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BB39C" w14:textId="7EF5B17C" w:rsidR="00F06E14" w:rsidRPr="007D04B2" w:rsidRDefault="00934500" w:rsidP="00A51D1A">
      <w:pPr>
        <w:pStyle w:val="ACMAReportTitle"/>
      </w:pPr>
      <w:r>
        <w:t xml:space="preserve">Review </w:t>
      </w:r>
      <w:r w:rsidR="00B459CC" w:rsidRPr="007D04B2">
        <w:t xml:space="preserve">of the </w:t>
      </w:r>
      <w:r w:rsidR="008E0856">
        <w:t>1</w:t>
      </w:r>
      <w:r w:rsidR="006419FA">
        <w:t>800</w:t>
      </w:r>
      <w:r w:rsidR="00B459CC" w:rsidRPr="007D04B2">
        <w:t xml:space="preserve"> </w:t>
      </w:r>
      <w:r w:rsidR="006419FA">
        <w:t>M</w:t>
      </w:r>
      <w:r w:rsidR="00B459CC" w:rsidRPr="007D04B2">
        <w:t>Hz spectrum licence technical framework</w:t>
      </w:r>
    </w:p>
    <w:p w14:paraId="5A664242" w14:textId="3F2076C5" w:rsidR="00F06E14" w:rsidRPr="007D04B2" w:rsidRDefault="00B459CC" w:rsidP="00F06E14">
      <w:pPr>
        <w:pStyle w:val="ACMAReportSubTitle"/>
      </w:pPr>
      <w:r w:rsidRPr="007D04B2">
        <w:t xml:space="preserve">Technical </w:t>
      </w:r>
      <w:r w:rsidR="005D3786">
        <w:t>l</w:t>
      </w:r>
      <w:r w:rsidRPr="007D04B2">
        <w:t xml:space="preserve">iaison </w:t>
      </w:r>
      <w:r w:rsidR="005D3786">
        <w:t>g</w:t>
      </w:r>
      <w:r w:rsidRPr="007D04B2">
        <w:t xml:space="preserve">roup </w:t>
      </w:r>
      <w:r w:rsidR="00C34F12">
        <w:t>p</w:t>
      </w:r>
      <w:r w:rsidRPr="007D04B2">
        <w:t>aper</w:t>
      </w:r>
    </w:p>
    <w:p w14:paraId="2008CEF8" w14:textId="4EEF313D" w:rsidR="00F06E14" w:rsidRPr="007D04B2" w:rsidRDefault="00000963" w:rsidP="009105AF">
      <w:pPr>
        <w:pStyle w:val="ACMAReportDate"/>
        <w:tabs>
          <w:tab w:val="left" w:pos="2750"/>
        </w:tabs>
        <w:spacing w:after="720"/>
      </w:pPr>
      <w:r>
        <w:t>AUGUST</w:t>
      </w:r>
      <w:r w:rsidR="008E0856">
        <w:t xml:space="preserve"> </w:t>
      </w:r>
      <w:r w:rsidR="008E0856" w:rsidRPr="007D04B2">
        <w:t>20</w:t>
      </w:r>
      <w:r w:rsidR="008E0856">
        <w:t>21</w:t>
      </w:r>
      <w:r w:rsidR="009105AF">
        <w:tab/>
      </w:r>
    </w:p>
    <w:p w14:paraId="6FB60BB4" w14:textId="77777777" w:rsidR="00C97736" w:rsidRPr="007D04B2" w:rsidRDefault="00C97736" w:rsidP="0041071D">
      <w:pPr>
        <w:rPr>
          <w:rFonts w:cs="Arial"/>
        </w:rPr>
      </w:pPr>
    </w:p>
    <w:p w14:paraId="35EBF0A7" w14:textId="77777777" w:rsidR="00C97736" w:rsidRPr="007D04B2" w:rsidRDefault="00C97736" w:rsidP="0041071D">
      <w:pPr>
        <w:rPr>
          <w:rFonts w:cs="Arial"/>
        </w:rPr>
        <w:sectPr w:rsidR="00C97736" w:rsidRPr="007D04B2" w:rsidSect="004F556E">
          <w:headerReference w:type="default" r:id="rId8"/>
          <w:footerReference w:type="default" r:id="rId9"/>
          <w:headerReference w:type="first" r:id="rId10"/>
          <w:footerReference w:type="first" r:id="rId11"/>
          <w:pgSz w:w="11906" w:h="16838" w:code="9"/>
          <w:pgMar w:top="3924" w:right="1797" w:bottom="1440" w:left="1134" w:header="709" w:footer="454" w:gutter="0"/>
          <w:cols w:space="708"/>
          <w:docGrid w:linePitch="360"/>
        </w:sectPr>
      </w:pPr>
    </w:p>
    <w:p w14:paraId="377BFEAD" w14:textId="77777777" w:rsidR="0005011A" w:rsidRPr="007D04B2" w:rsidRDefault="0005011A" w:rsidP="00FC07B9">
      <w:pPr>
        <w:pStyle w:val="ACMACorporateAddressHeader"/>
      </w:pPr>
      <w:r w:rsidRPr="007D04B2">
        <w:lastRenderedPageBreak/>
        <w:t>Canberra</w:t>
      </w:r>
    </w:p>
    <w:p w14:paraId="2AE5FBAE" w14:textId="77777777" w:rsidR="0005011A" w:rsidRPr="007D04B2" w:rsidRDefault="0005011A" w:rsidP="00FC07B9">
      <w:pPr>
        <w:pStyle w:val="ACMACorporateAddresses"/>
      </w:pPr>
      <w:r w:rsidRPr="007D04B2">
        <w:t xml:space="preserve">Red Building </w:t>
      </w:r>
      <w:r w:rsidRPr="007D04B2">
        <w:br/>
        <w:t>Benjamin Offices</w:t>
      </w:r>
      <w:r w:rsidRPr="007D04B2">
        <w:br/>
        <w:t xml:space="preserve">Chan Street </w:t>
      </w:r>
      <w:r w:rsidRPr="007D04B2">
        <w:br/>
        <w:t>Belconnen ACT</w:t>
      </w:r>
    </w:p>
    <w:p w14:paraId="53F50AF7" w14:textId="77777777" w:rsidR="0005011A" w:rsidRPr="007D04B2" w:rsidRDefault="0005011A" w:rsidP="00FC07B9">
      <w:pPr>
        <w:pStyle w:val="ACMACorporateAddresses"/>
      </w:pPr>
      <w:r w:rsidRPr="007D04B2">
        <w:t>PO Box 78</w:t>
      </w:r>
      <w:r w:rsidRPr="007D04B2">
        <w:br/>
        <w:t>Belconnen ACT 2616</w:t>
      </w:r>
    </w:p>
    <w:p w14:paraId="7AB28DE1" w14:textId="77777777" w:rsidR="00FE1823" w:rsidRPr="007D04B2" w:rsidRDefault="0005011A" w:rsidP="00FC07B9">
      <w:pPr>
        <w:pStyle w:val="ACMACorporateAddresses"/>
      </w:pPr>
      <w:r w:rsidRPr="007D04B2">
        <w:t>T</w:t>
      </w:r>
      <w:r w:rsidR="00537604" w:rsidRPr="007D04B2">
        <w:tab/>
      </w:r>
      <w:r w:rsidRPr="007D04B2">
        <w:t>+61 2 6219 5555</w:t>
      </w:r>
      <w:r w:rsidRPr="007D04B2">
        <w:br/>
        <w:t>F</w:t>
      </w:r>
      <w:r w:rsidR="00537604" w:rsidRPr="007D04B2">
        <w:tab/>
      </w:r>
      <w:r w:rsidRPr="007D04B2">
        <w:t>+61 2 6219 5353</w:t>
      </w:r>
    </w:p>
    <w:p w14:paraId="2EF9DD03" w14:textId="77777777" w:rsidR="0005011A" w:rsidRPr="007D04B2" w:rsidRDefault="0005011A" w:rsidP="00FC07B9">
      <w:pPr>
        <w:pStyle w:val="ACMACorporateAddressHeader"/>
      </w:pPr>
      <w:r w:rsidRPr="007D04B2">
        <w:t>Melbourne</w:t>
      </w:r>
    </w:p>
    <w:p w14:paraId="42A081B3" w14:textId="77777777" w:rsidR="0005011A" w:rsidRPr="007D04B2" w:rsidRDefault="0005011A" w:rsidP="00FC07B9">
      <w:pPr>
        <w:pStyle w:val="ACMACorporateAddresses"/>
      </w:pPr>
      <w:r w:rsidRPr="007D04B2">
        <w:t xml:space="preserve">Level 32 </w:t>
      </w:r>
      <w:r w:rsidRPr="007D04B2">
        <w:br/>
        <w:t>Melbourne Central Tower</w:t>
      </w:r>
      <w:r w:rsidRPr="007D04B2">
        <w:br/>
        <w:t xml:space="preserve">360 Elizabeth Street </w:t>
      </w:r>
      <w:r w:rsidR="008C10F4" w:rsidRPr="007D04B2">
        <w:br/>
      </w:r>
      <w:r w:rsidRPr="007D04B2">
        <w:t>Melbourne VIC</w:t>
      </w:r>
    </w:p>
    <w:p w14:paraId="229C800E" w14:textId="77777777" w:rsidR="0005011A" w:rsidRPr="007D04B2" w:rsidRDefault="0005011A" w:rsidP="00FC07B9">
      <w:pPr>
        <w:pStyle w:val="ACMACorporateAddresses"/>
      </w:pPr>
      <w:r w:rsidRPr="007D04B2">
        <w:t>PO Box 13112</w:t>
      </w:r>
      <w:r w:rsidRPr="007D04B2">
        <w:br/>
        <w:t xml:space="preserve">Law Courts </w:t>
      </w:r>
      <w:r w:rsidRPr="007D04B2">
        <w:br/>
        <w:t>Melbourne VIC 8010</w:t>
      </w:r>
    </w:p>
    <w:p w14:paraId="68E94C43" w14:textId="77777777" w:rsidR="0005011A" w:rsidRPr="007D04B2" w:rsidRDefault="0005011A" w:rsidP="00FC07B9">
      <w:pPr>
        <w:pStyle w:val="ACMACorporateAddresses"/>
      </w:pPr>
      <w:r w:rsidRPr="007D04B2">
        <w:t>T</w:t>
      </w:r>
      <w:r w:rsidR="00140318" w:rsidRPr="007D04B2">
        <w:tab/>
      </w:r>
      <w:r w:rsidRPr="007D04B2">
        <w:t>+61 3 9963 6800</w:t>
      </w:r>
      <w:r w:rsidRPr="007D04B2">
        <w:br/>
        <w:t>F</w:t>
      </w:r>
      <w:r w:rsidR="00140318" w:rsidRPr="007D04B2">
        <w:tab/>
      </w:r>
      <w:r w:rsidRPr="007D04B2">
        <w:t>+61 3 9963 6899</w:t>
      </w:r>
    </w:p>
    <w:p w14:paraId="591F8280" w14:textId="77777777" w:rsidR="0005011A" w:rsidRPr="007D04B2" w:rsidRDefault="0005011A" w:rsidP="00FC07B9">
      <w:pPr>
        <w:pStyle w:val="ACMACorporateAddressHeader"/>
      </w:pPr>
      <w:r w:rsidRPr="007D04B2">
        <w:t>Sydney</w:t>
      </w:r>
    </w:p>
    <w:p w14:paraId="28DE5260" w14:textId="77777777" w:rsidR="0005011A" w:rsidRPr="007D04B2" w:rsidRDefault="0005011A" w:rsidP="00FC07B9">
      <w:pPr>
        <w:pStyle w:val="ACMACorporateAddresses"/>
      </w:pPr>
      <w:r w:rsidRPr="007D04B2">
        <w:t xml:space="preserve">Level 5 </w:t>
      </w:r>
      <w:r w:rsidRPr="007D04B2">
        <w:br/>
        <w:t>The Bay Centre</w:t>
      </w:r>
      <w:r w:rsidRPr="007D04B2">
        <w:br/>
        <w:t xml:space="preserve">65 Pirrama Road </w:t>
      </w:r>
      <w:r w:rsidRPr="007D04B2">
        <w:br/>
        <w:t>Pyrmont NSW</w:t>
      </w:r>
    </w:p>
    <w:p w14:paraId="740AF999" w14:textId="77777777" w:rsidR="0005011A" w:rsidRPr="007D04B2" w:rsidRDefault="0005011A" w:rsidP="00FC07B9">
      <w:pPr>
        <w:pStyle w:val="ACMACorporateAddresses"/>
      </w:pPr>
      <w:r w:rsidRPr="007D04B2">
        <w:t>PO Box Q500</w:t>
      </w:r>
      <w:r w:rsidRPr="007D04B2">
        <w:br/>
        <w:t xml:space="preserve">Queen Victoria Building </w:t>
      </w:r>
      <w:r w:rsidRPr="007D04B2">
        <w:br/>
        <w:t>NSW 1230</w:t>
      </w:r>
    </w:p>
    <w:p w14:paraId="641662C8" w14:textId="77777777" w:rsidR="0005011A" w:rsidRPr="007D04B2" w:rsidRDefault="0005011A" w:rsidP="00FC07B9">
      <w:pPr>
        <w:pStyle w:val="ACMACorporateAddresses"/>
      </w:pPr>
      <w:r w:rsidRPr="007D04B2">
        <w:t>T</w:t>
      </w:r>
      <w:r w:rsidR="00140318" w:rsidRPr="007D04B2">
        <w:tab/>
      </w:r>
      <w:r w:rsidRPr="007D04B2">
        <w:t>+61 2 9334 7700</w:t>
      </w:r>
      <w:r w:rsidR="00140318" w:rsidRPr="007D04B2">
        <w:t xml:space="preserve"> or</w:t>
      </w:r>
      <w:r w:rsidRPr="007D04B2">
        <w:t xml:space="preserve"> 1800 226 667</w:t>
      </w:r>
      <w:r w:rsidRPr="007D04B2">
        <w:br/>
        <w:t>F</w:t>
      </w:r>
      <w:r w:rsidR="00140318" w:rsidRPr="007D04B2">
        <w:tab/>
      </w:r>
      <w:r w:rsidRPr="007D04B2">
        <w:t>+61 2 9334 7799</w:t>
      </w:r>
    </w:p>
    <w:p w14:paraId="49D88AC4" w14:textId="77777777" w:rsidR="00140318" w:rsidRPr="007D04B2" w:rsidRDefault="00140318" w:rsidP="00FC07B9">
      <w:pPr>
        <w:pStyle w:val="ACMACopyrightHeader"/>
      </w:pPr>
      <w:r w:rsidRPr="007D04B2">
        <w:t>Copyright notice</w:t>
      </w:r>
    </w:p>
    <w:p w14:paraId="13506190" w14:textId="77777777" w:rsidR="00140318" w:rsidRPr="007D04B2" w:rsidRDefault="00623FF9" w:rsidP="00623FF9">
      <w:pPr>
        <w:pStyle w:val="ACMACClogo"/>
      </w:pPr>
      <w:r w:rsidRPr="007D04B2">
        <w:rPr>
          <w:noProof/>
        </w:rPr>
        <w:drawing>
          <wp:inline distT="0" distB="0" distL="0" distR="0" wp14:anchorId="2755EA44" wp14:editId="2608F385">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0DBB9B6C" w14:textId="77777777" w:rsidR="00140318" w:rsidRPr="007D04B2" w:rsidRDefault="00FA4B0C" w:rsidP="00FC07B9">
      <w:pPr>
        <w:pStyle w:val="ACMACorporateAddresses"/>
        <w:rPr>
          <w:rStyle w:val="Hyperlink"/>
        </w:rPr>
      </w:pPr>
      <w:hyperlink r:id="rId14" w:tooltip="Creative Commons Licenses" w:history="1">
        <w:r w:rsidR="00140318" w:rsidRPr="007D04B2">
          <w:rPr>
            <w:rStyle w:val="Hyperlink"/>
          </w:rPr>
          <w:t>http://creativecommons.org/licenses/by/3.0/au/</w:t>
        </w:r>
      </w:hyperlink>
    </w:p>
    <w:p w14:paraId="714623FF" w14:textId="77777777" w:rsidR="00140318" w:rsidRPr="007D04B2" w:rsidRDefault="00140318" w:rsidP="00FC07B9">
      <w:pPr>
        <w:pStyle w:val="ACMACorporateAddresses"/>
      </w:pPr>
      <w:r w:rsidRPr="007D04B2">
        <w:t xml:space="preserve">With the exception of coats of arms, logos, emblems, images, other third-party material or devices protected by a trademark, this content is licensed under the Creative Commons Australia Attribution 3.0 Licence. </w:t>
      </w:r>
    </w:p>
    <w:p w14:paraId="2ADFDC75" w14:textId="147CAE5E" w:rsidR="00140318" w:rsidRPr="007D04B2" w:rsidRDefault="00C34A05" w:rsidP="00FC07B9">
      <w:pPr>
        <w:pStyle w:val="ACMACorporateAddresses"/>
      </w:pPr>
      <w:r w:rsidRPr="007D04B2">
        <w:t>We request attribution as</w:t>
      </w:r>
      <w:r w:rsidR="00140318" w:rsidRPr="007D04B2">
        <w:t xml:space="preserve"> © Commonwealth of Australia (Australian Communic</w:t>
      </w:r>
      <w:r w:rsidR="003215B5" w:rsidRPr="007D04B2">
        <w:t>ations and Media Authority) 20</w:t>
      </w:r>
      <w:r w:rsidR="0086185C">
        <w:t>2</w:t>
      </w:r>
      <w:r w:rsidR="00CA09C9">
        <w:t>1</w:t>
      </w:r>
      <w:r w:rsidR="00140318" w:rsidRPr="007D04B2">
        <w:t>.</w:t>
      </w:r>
    </w:p>
    <w:p w14:paraId="691940DB" w14:textId="77777777" w:rsidR="00140318" w:rsidRPr="007D04B2" w:rsidRDefault="00140318" w:rsidP="00FC07B9">
      <w:pPr>
        <w:pStyle w:val="ACMACorporateAddresses"/>
      </w:pPr>
      <w:r w:rsidRPr="007D04B2">
        <w:t>All other rights are reserved.</w:t>
      </w:r>
    </w:p>
    <w:p w14:paraId="08D9EEEC" w14:textId="77777777" w:rsidR="00140318" w:rsidRPr="007D04B2" w:rsidRDefault="00140318" w:rsidP="00FC07B9">
      <w:pPr>
        <w:pStyle w:val="ACMACorporateAddresses"/>
      </w:pPr>
      <w:r w:rsidRPr="007D04B2">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BAF93A6" w14:textId="77777777" w:rsidR="00140318" w:rsidRPr="007D04B2" w:rsidRDefault="00140318" w:rsidP="00FC07B9">
      <w:pPr>
        <w:pStyle w:val="ACMACorporateAddresses"/>
      </w:pPr>
      <w:r w:rsidRPr="007D04B2">
        <w:t>Written enquiries may be sent to:</w:t>
      </w:r>
    </w:p>
    <w:p w14:paraId="09C01ED3" w14:textId="77777777" w:rsidR="00D16FE3" w:rsidRPr="007D04B2" w:rsidRDefault="00140318" w:rsidP="00D16FE3">
      <w:pPr>
        <w:pStyle w:val="ACMACorporateAddresses"/>
        <w:rPr>
          <w:rStyle w:val="Hyperlink"/>
        </w:rPr>
      </w:pPr>
      <w:r w:rsidRPr="007D04B2">
        <w:t>Manager, Editorial and Design</w:t>
      </w:r>
      <w:r w:rsidR="00623FF9" w:rsidRPr="007D04B2">
        <w:br/>
      </w:r>
      <w:r w:rsidRPr="007D04B2">
        <w:t>PO Box 13112</w:t>
      </w:r>
      <w:r w:rsidR="00623FF9" w:rsidRPr="007D04B2">
        <w:br/>
      </w:r>
      <w:r w:rsidRPr="007D04B2">
        <w:t>Law Courts</w:t>
      </w:r>
      <w:r w:rsidR="00623FF9" w:rsidRPr="007D04B2">
        <w:br/>
      </w:r>
      <w:r w:rsidRPr="007D04B2">
        <w:t>Melbourne VIC 8010</w:t>
      </w:r>
      <w:r w:rsidR="00623FF9" w:rsidRPr="007D04B2">
        <w:br/>
      </w:r>
      <w:r w:rsidRPr="007D04B2">
        <w:t xml:space="preserve">Email: </w:t>
      </w:r>
      <w:hyperlink r:id="rId15" w:history="1">
        <w:r w:rsidR="000A1400" w:rsidRPr="007D04B2">
          <w:rPr>
            <w:rStyle w:val="Hyperlink"/>
          </w:rPr>
          <w:t>info@acma.gov.au</w:t>
        </w:r>
      </w:hyperlink>
    </w:p>
    <w:p w14:paraId="2A6B3E20" w14:textId="77777777" w:rsidR="00D16FE3" w:rsidRPr="007D04B2" w:rsidRDefault="00D16FE3" w:rsidP="00D16FE3">
      <w:pPr>
        <w:pStyle w:val="ACMACorporateAddresses"/>
        <w:rPr>
          <w:rStyle w:val="Hyperlink"/>
        </w:rPr>
      </w:pPr>
    </w:p>
    <w:p w14:paraId="6F3B1150" w14:textId="77777777" w:rsidR="00D16FE3" w:rsidRPr="007D04B2" w:rsidRDefault="00D16FE3" w:rsidP="00D16FE3">
      <w:pPr>
        <w:pStyle w:val="ACMACorporateAddresses"/>
        <w:sectPr w:rsidR="00D16FE3" w:rsidRPr="007D04B2">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03A619E7" w14:textId="43AA4590" w:rsidR="009105AF" w:rsidRDefault="007A6CC0">
      <w:pPr>
        <w:pStyle w:val="TOC1"/>
        <w:rPr>
          <w:rFonts w:asciiTheme="minorHAnsi" w:eastAsiaTheme="minorEastAsia" w:hAnsiTheme="minorHAnsi" w:cstheme="minorBidi"/>
          <w:b w:val="0"/>
          <w:spacing w:val="0"/>
          <w:sz w:val="22"/>
          <w:szCs w:val="22"/>
        </w:rPr>
      </w:pPr>
      <w:r w:rsidRPr="007D04B2">
        <w:rPr>
          <w:rFonts w:cs="Arial"/>
          <w:b w:val="0"/>
        </w:rPr>
        <w:lastRenderedPageBreak/>
        <w:fldChar w:fldCharType="begin"/>
      </w:r>
      <w:r w:rsidRPr="007D04B2">
        <w:rPr>
          <w:rFonts w:cs="Arial"/>
          <w:b w:val="0"/>
        </w:rPr>
        <w:instrText xml:space="preserve"> TOC \o "1-3" \t "ACMA_ExecSummaryHeading,1" </w:instrText>
      </w:r>
      <w:r w:rsidRPr="007D04B2">
        <w:rPr>
          <w:rFonts w:cs="Arial"/>
          <w:b w:val="0"/>
        </w:rPr>
        <w:fldChar w:fldCharType="separate"/>
      </w:r>
      <w:r w:rsidR="009105AF">
        <w:t>Version control</w:t>
      </w:r>
      <w:r w:rsidR="009105AF">
        <w:tab/>
      </w:r>
      <w:r w:rsidR="009105AF">
        <w:fldChar w:fldCharType="begin"/>
      </w:r>
      <w:r w:rsidR="009105AF">
        <w:instrText xml:space="preserve"> PAGEREF _Toc84339331 \h </w:instrText>
      </w:r>
      <w:r w:rsidR="009105AF">
        <w:fldChar w:fldCharType="separate"/>
      </w:r>
      <w:r w:rsidR="009105AF">
        <w:t>iv</w:t>
      </w:r>
      <w:r w:rsidR="009105AF">
        <w:fldChar w:fldCharType="end"/>
      </w:r>
    </w:p>
    <w:p w14:paraId="163C6A11" w14:textId="77719E6E" w:rsidR="009105AF" w:rsidRDefault="009105AF">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_Toc84339332 \h </w:instrText>
      </w:r>
      <w:r>
        <w:fldChar w:fldCharType="separate"/>
      </w:r>
      <w:r>
        <w:t>1</w:t>
      </w:r>
      <w:r>
        <w:fldChar w:fldCharType="end"/>
      </w:r>
    </w:p>
    <w:p w14:paraId="26BDDC07" w14:textId="4F21CFE8" w:rsidR="009105AF" w:rsidRDefault="009105AF">
      <w:pPr>
        <w:pStyle w:val="TOC2"/>
        <w:rPr>
          <w:rFonts w:asciiTheme="minorHAnsi" w:eastAsiaTheme="minorEastAsia" w:hAnsiTheme="minorHAnsi" w:cstheme="minorBidi"/>
          <w:spacing w:val="0"/>
          <w:sz w:val="22"/>
          <w:szCs w:val="22"/>
        </w:rPr>
      </w:pPr>
      <w:r>
        <w:t>Outline</w:t>
      </w:r>
      <w:r>
        <w:tab/>
      </w:r>
      <w:r>
        <w:tab/>
      </w:r>
      <w:r>
        <w:fldChar w:fldCharType="begin"/>
      </w:r>
      <w:r>
        <w:instrText xml:space="preserve"> PAGEREF _Toc84339333 \h </w:instrText>
      </w:r>
      <w:r>
        <w:fldChar w:fldCharType="separate"/>
      </w:r>
      <w:r>
        <w:t>2</w:t>
      </w:r>
      <w:r>
        <w:fldChar w:fldCharType="end"/>
      </w:r>
    </w:p>
    <w:p w14:paraId="5CAEC7D1" w14:textId="5F31DAB6" w:rsidR="009105AF" w:rsidRDefault="009105AF">
      <w:pPr>
        <w:pStyle w:val="TOC2"/>
        <w:rPr>
          <w:rFonts w:asciiTheme="minorHAnsi" w:eastAsiaTheme="minorEastAsia" w:hAnsiTheme="minorHAnsi" w:cstheme="minorBidi"/>
          <w:spacing w:val="0"/>
          <w:sz w:val="22"/>
          <w:szCs w:val="22"/>
        </w:rPr>
      </w:pPr>
      <w:r w:rsidRPr="0061035A">
        <w:rPr>
          <w:rFonts w:cs="Calibri"/>
        </w:rPr>
        <w:t>Scope</w:t>
      </w:r>
      <w:r>
        <w:tab/>
      </w:r>
      <w:r>
        <w:tab/>
      </w:r>
      <w:r>
        <w:fldChar w:fldCharType="begin"/>
      </w:r>
      <w:r>
        <w:instrText xml:space="preserve"> PAGEREF _Toc84339334 \h </w:instrText>
      </w:r>
      <w:r>
        <w:fldChar w:fldCharType="separate"/>
      </w:r>
      <w:r>
        <w:t>3</w:t>
      </w:r>
      <w:r>
        <w:fldChar w:fldCharType="end"/>
      </w:r>
    </w:p>
    <w:p w14:paraId="38347D82" w14:textId="16A05362" w:rsidR="009105AF" w:rsidRDefault="009105AF">
      <w:pPr>
        <w:pStyle w:val="TOC2"/>
        <w:rPr>
          <w:rFonts w:asciiTheme="minorHAnsi" w:eastAsiaTheme="minorEastAsia" w:hAnsiTheme="minorHAnsi" w:cstheme="minorBidi"/>
          <w:spacing w:val="0"/>
          <w:sz w:val="22"/>
          <w:szCs w:val="22"/>
        </w:rPr>
      </w:pPr>
      <w:r>
        <w:t>Timeline</w:t>
      </w:r>
      <w:r>
        <w:tab/>
      </w:r>
      <w:r>
        <w:tab/>
      </w:r>
      <w:r>
        <w:fldChar w:fldCharType="begin"/>
      </w:r>
      <w:r>
        <w:instrText xml:space="preserve"> PAGEREF _Toc84339335 \h </w:instrText>
      </w:r>
      <w:r>
        <w:fldChar w:fldCharType="separate"/>
      </w:r>
      <w:r>
        <w:t>3</w:t>
      </w:r>
      <w:r>
        <w:fldChar w:fldCharType="end"/>
      </w:r>
    </w:p>
    <w:p w14:paraId="50BFC33C" w14:textId="762472BC" w:rsidR="009105AF" w:rsidRDefault="009105AF">
      <w:pPr>
        <w:pStyle w:val="TOC1"/>
        <w:rPr>
          <w:rFonts w:asciiTheme="minorHAnsi" w:eastAsiaTheme="minorEastAsia" w:hAnsiTheme="minorHAnsi" w:cstheme="minorBidi"/>
          <w:b w:val="0"/>
          <w:spacing w:val="0"/>
          <w:sz w:val="22"/>
          <w:szCs w:val="22"/>
        </w:rPr>
      </w:pPr>
      <w:r>
        <w:t>Discussion on proposed technical framework</w:t>
      </w:r>
      <w:r>
        <w:tab/>
      </w:r>
      <w:r>
        <w:fldChar w:fldCharType="begin"/>
      </w:r>
      <w:r>
        <w:instrText xml:space="preserve"> PAGEREF _Toc84339336 \h </w:instrText>
      </w:r>
      <w:r>
        <w:fldChar w:fldCharType="separate"/>
      </w:r>
      <w:r>
        <w:t>4</w:t>
      </w:r>
      <w:r>
        <w:fldChar w:fldCharType="end"/>
      </w:r>
    </w:p>
    <w:p w14:paraId="67B1BAEC" w14:textId="66D7D3D8" w:rsidR="009105AF" w:rsidRDefault="009105AF">
      <w:pPr>
        <w:pStyle w:val="TOC2"/>
        <w:rPr>
          <w:rFonts w:asciiTheme="minorHAnsi" w:eastAsiaTheme="minorEastAsia" w:hAnsiTheme="minorHAnsi" w:cstheme="minorBidi"/>
          <w:spacing w:val="0"/>
          <w:sz w:val="22"/>
          <w:szCs w:val="22"/>
        </w:rPr>
      </w:pPr>
      <w:r>
        <w:t>1800 MHz band spectrum licence technical framework</w:t>
      </w:r>
      <w:r>
        <w:tab/>
      </w:r>
      <w:r>
        <w:fldChar w:fldCharType="begin"/>
      </w:r>
      <w:r>
        <w:instrText xml:space="preserve"> PAGEREF _Toc84339337 \h </w:instrText>
      </w:r>
      <w:r>
        <w:fldChar w:fldCharType="separate"/>
      </w:r>
      <w:r>
        <w:t>4</w:t>
      </w:r>
      <w:r>
        <w:fldChar w:fldCharType="end"/>
      </w:r>
    </w:p>
    <w:p w14:paraId="285CDFAE" w14:textId="591C0E60" w:rsidR="009105AF" w:rsidRDefault="009105AF">
      <w:pPr>
        <w:pStyle w:val="TOC2"/>
        <w:rPr>
          <w:rFonts w:asciiTheme="minorHAnsi" w:eastAsiaTheme="minorEastAsia" w:hAnsiTheme="minorHAnsi" w:cstheme="minorBidi"/>
          <w:spacing w:val="0"/>
          <w:sz w:val="22"/>
          <w:szCs w:val="22"/>
        </w:rPr>
      </w:pPr>
      <w:r>
        <w:t>Conditions on the spectrum licence</w:t>
      </w:r>
      <w:r>
        <w:tab/>
      </w:r>
      <w:r>
        <w:fldChar w:fldCharType="begin"/>
      </w:r>
      <w:r>
        <w:instrText xml:space="preserve"> PAGEREF _Toc84339338 \h </w:instrText>
      </w:r>
      <w:r>
        <w:fldChar w:fldCharType="separate"/>
      </w:r>
      <w:r>
        <w:t>5</w:t>
      </w:r>
      <w:r>
        <w:fldChar w:fldCharType="end"/>
      </w:r>
    </w:p>
    <w:p w14:paraId="0DFDD7ED" w14:textId="34631D0B" w:rsidR="009105AF" w:rsidRDefault="009105AF">
      <w:pPr>
        <w:pStyle w:val="TOC3"/>
        <w:rPr>
          <w:rFonts w:asciiTheme="minorHAnsi" w:eastAsiaTheme="minorEastAsia" w:hAnsiTheme="minorHAnsi" w:cstheme="minorBidi"/>
        </w:rPr>
      </w:pPr>
      <w:r>
        <w:t>In-band emission limits</w:t>
      </w:r>
      <w:r>
        <w:tab/>
      </w:r>
      <w:r>
        <w:fldChar w:fldCharType="begin"/>
      </w:r>
      <w:r>
        <w:instrText xml:space="preserve"> PAGEREF _Toc84339339 \h </w:instrText>
      </w:r>
      <w:r>
        <w:fldChar w:fldCharType="separate"/>
      </w:r>
      <w:r>
        <w:t>5</w:t>
      </w:r>
      <w:r>
        <w:fldChar w:fldCharType="end"/>
      </w:r>
    </w:p>
    <w:p w14:paraId="5E515E09" w14:textId="77D8EF45" w:rsidR="009105AF" w:rsidRDefault="009105AF">
      <w:pPr>
        <w:pStyle w:val="TOC3"/>
        <w:rPr>
          <w:rFonts w:asciiTheme="minorHAnsi" w:eastAsiaTheme="minorEastAsia" w:hAnsiTheme="minorHAnsi" w:cstheme="minorBidi"/>
        </w:rPr>
      </w:pPr>
      <w:r>
        <w:t>Unwanted emission limits</w:t>
      </w:r>
      <w:r>
        <w:tab/>
      </w:r>
      <w:r>
        <w:fldChar w:fldCharType="begin"/>
      </w:r>
      <w:r>
        <w:instrText xml:space="preserve"> PAGEREF _Toc84339340 \h </w:instrText>
      </w:r>
      <w:r>
        <w:fldChar w:fldCharType="separate"/>
      </w:r>
      <w:r>
        <w:t>6</w:t>
      </w:r>
      <w:r>
        <w:fldChar w:fldCharType="end"/>
      </w:r>
    </w:p>
    <w:p w14:paraId="72916F49" w14:textId="143BA32A" w:rsidR="009105AF" w:rsidRDefault="009105AF">
      <w:pPr>
        <w:pStyle w:val="TOC3"/>
        <w:rPr>
          <w:rFonts w:asciiTheme="minorHAnsi" w:eastAsiaTheme="minorEastAsia" w:hAnsiTheme="minorHAnsi" w:cstheme="minorBidi"/>
        </w:rPr>
      </w:pPr>
      <w:r w:rsidRPr="0061035A">
        <w:rPr>
          <w:iCs/>
        </w:rPr>
        <w:t xml:space="preserve">Proposed in-band emission limits for devices operating in the upper </w:t>
      </w:r>
      <w:r>
        <w:rPr>
          <w:iCs/>
        </w:rPr>
        <w:br/>
      </w:r>
      <w:r w:rsidRPr="0061035A">
        <w:rPr>
          <w:iCs/>
        </w:rPr>
        <w:t>1800 MHz band</w:t>
      </w:r>
      <w:r>
        <w:tab/>
      </w:r>
      <w:r>
        <w:fldChar w:fldCharType="begin"/>
      </w:r>
      <w:r>
        <w:instrText xml:space="preserve"> PAGEREF _Toc84339341 \h </w:instrText>
      </w:r>
      <w:r>
        <w:fldChar w:fldCharType="separate"/>
      </w:r>
      <w:r>
        <w:t>7</w:t>
      </w:r>
      <w:r>
        <w:fldChar w:fldCharType="end"/>
      </w:r>
    </w:p>
    <w:p w14:paraId="50673290" w14:textId="0411CEE2" w:rsidR="009105AF" w:rsidRDefault="009105AF">
      <w:pPr>
        <w:pStyle w:val="TOC3"/>
        <w:rPr>
          <w:rFonts w:asciiTheme="minorHAnsi" w:eastAsiaTheme="minorEastAsia" w:hAnsiTheme="minorHAnsi" w:cstheme="minorBidi"/>
        </w:rPr>
      </w:pPr>
      <w:r w:rsidRPr="0061035A">
        <w:rPr>
          <w:iCs/>
        </w:rPr>
        <w:t>Proposed spurious emission limits</w:t>
      </w:r>
      <w:r>
        <w:tab/>
      </w:r>
      <w:r>
        <w:fldChar w:fldCharType="begin"/>
      </w:r>
      <w:r>
        <w:instrText xml:space="preserve"> PAGEREF _Toc84339342 \h </w:instrText>
      </w:r>
      <w:r>
        <w:fldChar w:fldCharType="separate"/>
      </w:r>
      <w:r>
        <w:t>9</w:t>
      </w:r>
      <w:r>
        <w:fldChar w:fldCharType="end"/>
      </w:r>
    </w:p>
    <w:p w14:paraId="220B9FA6" w14:textId="7B266D66" w:rsidR="009105AF" w:rsidRDefault="009105AF">
      <w:pPr>
        <w:pStyle w:val="TOC3"/>
        <w:rPr>
          <w:rFonts w:asciiTheme="minorHAnsi" w:eastAsiaTheme="minorEastAsia" w:hAnsiTheme="minorHAnsi" w:cstheme="minorBidi"/>
        </w:rPr>
      </w:pPr>
      <w:r>
        <w:t>Devices exempt from registration</w:t>
      </w:r>
      <w:r>
        <w:tab/>
      </w:r>
      <w:r>
        <w:fldChar w:fldCharType="begin"/>
      </w:r>
      <w:r>
        <w:instrText xml:space="preserve"> PAGEREF _Toc84339343 \h </w:instrText>
      </w:r>
      <w:r>
        <w:fldChar w:fldCharType="separate"/>
      </w:r>
      <w:r>
        <w:t>12</w:t>
      </w:r>
      <w:r>
        <w:fldChar w:fldCharType="end"/>
      </w:r>
    </w:p>
    <w:p w14:paraId="32F854E9" w14:textId="0DE2B9F2" w:rsidR="009105AF" w:rsidRDefault="009105AF">
      <w:pPr>
        <w:pStyle w:val="TOC3"/>
        <w:rPr>
          <w:rFonts w:asciiTheme="minorHAnsi" w:eastAsiaTheme="minorEastAsia" w:hAnsiTheme="minorHAnsi" w:cstheme="minorBidi"/>
        </w:rPr>
      </w:pPr>
      <w:r>
        <w:t>Other conditions on the licence</w:t>
      </w:r>
      <w:r>
        <w:tab/>
      </w:r>
      <w:r>
        <w:fldChar w:fldCharType="begin"/>
      </w:r>
      <w:r>
        <w:instrText xml:space="preserve"> PAGEREF _Toc84339344 \h </w:instrText>
      </w:r>
      <w:r>
        <w:fldChar w:fldCharType="separate"/>
      </w:r>
      <w:r>
        <w:t>13</w:t>
      </w:r>
      <w:r>
        <w:fldChar w:fldCharType="end"/>
      </w:r>
    </w:p>
    <w:p w14:paraId="7BDE2B8F" w14:textId="79BC013A" w:rsidR="009105AF" w:rsidRDefault="009105AF">
      <w:pPr>
        <w:pStyle w:val="TOC2"/>
        <w:rPr>
          <w:rFonts w:asciiTheme="minorHAnsi" w:eastAsiaTheme="minorEastAsia" w:hAnsiTheme="minorHAnsi" w:cstheme="minorBidi"/>
          <w:spacing w:val="0"/>
          <w:sz w:val="22"/>
          <w:szCs w:val="22"/>
        </w:rPr>
      </w:pPr>
      <w:r>
        <w:t>Unacceptable levels of interference</w:t>
      </w:r>
      <w:r>
        <w:tab/>
      </w:r>
      <w:r>
        <w:fldChar w:fldCharType="begin"/>
      </w:r>
      <w:r>
        <w:instrText xml:space="preserve"> PAGEREF _Toc84339345 \h </w:instrText>
      </w:r>
      <w:r>
        <w:fldChar w:fldCharType="separate"/>
      </w:r>
      <w:r>
        <w:t>13</w:t>
      </w:r>
      <w:r>
        <w:fldChar w:fldCharType="end"/>
      </w:r>
    </w:p>
    <w:p w14:paraId="153A00A4" w14:textId="43DCB7BF" w:rsidR="009105AF" w:rsidRDefault="009105AF">
      <w:pPr>
        <w:pStyle w:val="TOC2"/>
        <w:rPr>
          <w:rFonts w:asciiTheme="minorHAnsi" w:eastAsiaTheme="minorEastAsia" w:hAnsiTheme="minorHAnsi" w:cstheme="minorBidi"/>
          <w:spacing w:val="0"/>
          <w:sz w:val="22"/>
          <w:szCs w:val="22"/>
        </w:rPr>
      </w:pPr>
      <w:r>
        <w:t>Radiocommunications advisory guidelines</w:t>
      </w:r>
      <w:r>
        <w:tab/>
      </w:r>
      <w:r>
        <w:fldChar w:fldCharType="begin"/>
      </w:r>
      <w:r>
        <w:instrText xml:space="preserve"> PAGEREF _Toc84339346 \h </w:instrText>
      </w:r>
      <w:r>
        <w:fldChar w:fldCharType="separate"/>
      </w:r>
      <w:r>
        <w:t>15</w:t>
      </w:r>
      <w:r>
        <w:fldChar w:fldCharType="end"/>
      </w:r>
    </w:p>
    <w:p w14:paraId="6D37586F" w14:textId="0B7BF440" w:rsidR="009105AF" w:rsidRDefault="009105AF">
      <w:pPr>
        <w:pStyle w:val="TOC3"/>
        <w:rPr>
          <w:rFonts w:asciiTheme="minorHAnsi" w:eastAsiaTheme="minorEastAsia" w:hAnsiTheme="minorHAnsi" w:cstheme="minorBidi"/>
        </w:rPr>
      </w:pPr>
      <w:r>
        <w:t>Managing interference to spectrum-licensed receivers</w:t>
      </w:r>
      <w:r>
        <w:tab/>
      </w:r>
      <w:r>
        <w:fldChar w:fldCharType="begin"/>
      </w:r>
      <w:r>
        <w:instrText xml:space="preserve"> PAGEREF _Toc84339347 \h </w:instrText>
      </w:r>
      <w:r>
        <w:fldChar w:fldCharType="separate"/>
      </w:r>
      <w:r>
        <w:t>16</w:t>
      </w:r>
      <w:r>
        <w:fldChar w:fldCharType="end"/>
      </w:r>
    </w:p>
    <w:p w14:paraId="7F4897C0" w14:textId="785CAD18" w:rsidR="009105AF" w:rsidRDefault="009105AF">
      <w:pPr>
        <w:pStyle w:val="TOC3"/>
        <w:rPr>
          <w:rFonts w:asciiTheme="minorHAnsi" w:eastAsiaTheme="minorEastAsia" w:hAnsiTheme="minorHAnsi" w:cstheme="minorBidi"/>
        </w:rPr>
      </w:pPr>
      <w:r>
        <w:t>Managing interference from spectrum-licensed transmitters</w:t>
      </w:r>
      <w:r>
        <w:tab/>
      </w:r>
      <w:r>
        <w:fldChar w:fldCharType="begin"/>
      </w:r>
      <w:r>
        <w:instrText xml:space="preserve"> PAGEREF _Toc84339348 \h </w:instrText>
      </w:r>
      <w:r>
        <w:fldChar w:fldCharType="separate"/>
      </w:r>
      <w:r>
        <w:t>16</w:t>
      </w:r>
      <w:r>
        <w:fldChar w:fldCharType="end"/>
      </w:r>
    </w:p>
    <w:p w14:paraId="1EF2A3A7" w14:textId="39E77CD8" w:rsidR="009105AF" w:rsidRDefault="009105AF">
      <w:pPr>
        <w:pStyle w:val="TOC1"/>
        <w:rPr>
          <w:rFonts w:asciiTheme="minorHAnsi" w:eastAsiaTheme="minorEastAsia" w:hAnsiTheme="minorHAnsi" w:cstheme="minorBidi"/>
          <w:b w:val="0"/>
          <w:spacing w:val="0"/>
          <w:sz w:val="22"/>
          <w:szCs w:val="22"/>
        </w:rPr>
      </w:pPr>
      <w:r>
        <w:t>Appendix A – Current use of the 1800 MHz and adjacent bands</w:t>
      </w:r>
      <w:r>
        <w:tab/>
      </w:r>
      <w:r>
        <w:fldChar w:fldCharType="begin"/>
      </w:r>
      <w:r>
        <w:instrText xml:space="preserve"> PAGEREF _Toc84339349 \h </w:instrText>
      </w:r>
      <w:r>
        <w:fldChar w:fldCharType="separate"/>
      </w:r>
      <w:r>
        <w:t>20</w:t>
      </w:r>
      <w:r>
        <w:fldChar w:fldCharType="end"/>
      </w:r>
    </w:p>
    <w:p w14:paraId="5D7CFDBB" w14:textId="2F66E5F1" w:rsidR="009105AF" w:rsidRDefault="009105AF">
      <w:pPr>
        <w:pStyle w:val="TOC1"/>
        <w:rPr>
          <w:rFonts w:asciiTheme="minorHAnsi" w:eastAsiaTheme="minorEastAsia" w:hAnsiTheme="minorHAnsi" w:cstheme="minorBidi"/>
          <w:b w:val="0"/>
          <w:spacing w:val="0"/>
          <w:sz w:val="22"/>
          <w:szCs w:val="22"/>
        </w:rPr>
      </w:pPr>
      <w:r>
        <w:t>Appendix B – Current 1800 MHz band unwanted emission limits</w:t>
      </w:r>
      <w:r>
        <w:tab/>
      </w:r>
      <w:r>
        <w:fldChar w:fldCharType="begin"/>
      </w:r>
      <w:r>
        <w:instrText xml:space="preserve"> PAGEREF _Toc84339350 \h </w:instrText>
      </w:r>
      <w:r>
        <w:fldChar w:fldCharType="separate"/>
      </w:r>
      <w:r>
        <w:t>21</w:t>
      </w:r>
      <w:r>
        <w:fldChar w:fldCharType="end"/>
      </w:r>
    </w:p>
    <w:p w14:paraId="1F1ED464" w14:textId="222ADCB3" w:rsidR="009105AF" w:rsidRDefault="009105AF">
      <w:pPr>
        <w:pStyle w:val="TOC2"/>
        <w:rPr>
          <w:rFonts w:asciiTheme="minorHAnsi" w:eastAsiaTheme="minorEastAsia" w:hAnsiTheme="minorHAnsi" w:cstheme="minorBidi"/>
          <w:spacing w:val="0"/>
          <w:sz w:val="22"/>
          <w:szCs w:val="22"/>
        </w:rPr>
      </w:pPr>
      <w:r>
        <w:t>Frequency band and geographic areas</w:t>
      </w:r>
      <w:r>
        <w:tab/>
      </w:r>
      <w:r>
        <w:fldChar w:fldCharType="begin"/>
      </w:r>
      <w:r>
        <w:instrText xml:space="preserve"> PAGEREF _Toc84339351 \h </w:instrText>
      </w:r>
      <w:r>
        <w:fldChar w:fldCharType="separate"/>
      </w:r>
      <w:r>
        <w:t>21</w:t>
      </w:r>
      <w:r>
        <w:fldChar w:fldCharType="end"/>
      </w:r>
    </w:p>
    <w:p w14:paraId="7CC6B18D" w14:textId="744559C8" w:rsidR="009105AF" w:rsidRDefault="009105AF">
      <w:pPr>
        <w:pStyle w:val="TOC2"/>
        <w:rPr>
          <w:rFonts w:asciiTheme="minorHAnsi" w:eastAsiaTheme="minorEastAsia" w:hAnsiTheme="minorHAnsi" w:cstheme="minorBidi"/>
          <w:spacing w:val="0"/>
          <w:sz w:val="22"/>
          <w:szCs w:val="22"/>
        </w:rPr>
      </w:pPr>
      <w:r>
        <w:t>Emission</w:t>
      </w:r>
      <w:r w:rsidRPr="0061035A">
        <w:rPr>
          <w:spacing w:val="-7"/>
        </w:rPr>
        <w:t xml:space="preserve"> </w:t>
      </w:r>
      <w:r>
        <w:t>limits</w:t>
      </w:r>
      <w:r w:rsidRPr="0061035A">
        <w:rPr>
          <w:spacing w:val="-6"/>
        </w:rPr>
        <w:t xml:space="preserve"> </w:t>
      </w:r>
      <w:r>
        <w:t>outside</w:t>
      </w:r>
      <w:r w:rsidRPr="0061035A">
        <w:rPr>
          <w:spacing w:val="-7"/>
        </w:rPr>
        <w:t xml:space="preserve"> </w:t>
      </w:r>
      <w:r>
        <w:t>the</w:t>
      </w:r>
      <w:r w:rsidRPr="0061035A">
        <w:rPr>
          <w:spacing w:val="-6"/>
        </w:rPr>
        <w:t xml:space="preserve"> </w:t>
      </w:r>
      <w:r>
        <w:t>frequency</w:t>
      </w:r>
      <w:r w:rsidRPr="0061035A">
        <w:rPr>
          <w:spacing w:val="-6"/>
        </w:rPr>
        <w:t xml:space="preserve"> </w:t>
      </w:r>
      <w:r>
        <w:t>band</w:t>
      </w:r>
      <w:r>
        <w:tab/>
      </w:r>
      <w:r>
        <w:fldChar w:fldCharType="begin"/>
      </w:r>
      <w:r>
        <w:instrText xml:space="preserve"> PAGEREF _Toc84339352 \h </w:instrText>
      </w:r>
      <w:r>
        <w:fldChar w:fldCharType="separate"/>
      </w:r>
      <w:r>
        <w:t>21</w:t>
      </w:r>
      <w:r>
        <w:fldChar w:fldCharType="end"/>
      </w:r>
    </w:p>
    <w:p w14:paraId="6D967B63" w14:textId="0721087A" w:rsidR="009105AF" w:rsidRDefault="009105AF">
      <w:pPr>
        <w:pStyle w:val="TOC2"/>
        <w:rPr>
          <w:rFonts w:asciiTheme="minorHAnsi" w:eastAsiaTheme="minorEastAsia" w:hAnsiTheme="minorHAnsi" w:cstheme="minorBidi"/>
          <w:spacing w:val="0"/>
          <w:sz w:val="22"/>
          <w:szCs w:val="22"/>
        </w:rPr>
      </w:pPr>
      <w:r w:rsidRPr="0061035A">
        <w:rPr>
          <w:spacing w:val="-1"/>
        </w:rPr>
        <w:t>Non</w:t>
      </w:r>
      <w:r w:rsidRPr="0061035A">
        <w:rPr>
          <w:spacing w:val="-10"/>
        </w:rPr>
        <w:t>-</w:t>
      </w:r>
      <w:r w:rsidRPr="0061035A">
        <w:rPr>
          <w:spacing w:val="-1"/>
        </w:rPr>
        <w:t>spurious</w:t>
      </w:r>
      <w:r w:rsidRPr="0061035A">
        <w:rPr>
          <w:spacing w:val="-9"/>
        </w:rPr>
        <w:t xml:space="preserve"> </w:t>
      </w:r>
      <w:r w:rsidRPr="0061035A">
        <w:rPr>
          <w:spacing w:val="-1"/>
        </w:rPr>
        <w:t>emission</w:t>
      </w:r>
      <w:r w:rsidRPr="0061035A">
        <w:rPr>
          <w:spacing w:val="-9"/>
        </w:rPr>
        <w:t xml:space="preserve"> </w:t>
      </w:r>
      <w:r>
        <w:t>limits</w:t>
      </w:r>
      <w:r>
        <w:tab/>
      </w:r>
      <w:r>
        <w:fldChar w:fldCharType="begin"/>
      </w:r>
      <w:r>
        <w:instrText xml:space="preserve"> PAGEREF _Toc84339353 \h </w:instrText>
      </w:r>
      <w:r>
        <w:fldChar w:fldCharType="separate"/>
      </w:r>
      <w:r>
        <w:t>21</w:t>
      </w:r>
      <w:r>
        <w:fldChar w:fldCharType="end"/>
      </w:r>
    </w:p>
    <w:p w14:paraId="702B00DF" w14:textId="410866E5" w:rsidR="000A4A51" w:rsidRPr="007D04B2" w:rsidRDefault="007A6CC0" w:rsidP="00FD023A">
      <w:pPr>
        <w:pStyle w:val="TOC1"/>
        <w:tabs>
          <w:tab w:val="clear" w:pos="7660"/>
          <w:tab w:val="left" w:pos="486"/>
        </w:tabs>
        <w:rPr>
          <w:rFonts w:cs="Arial"/>
        </w:rPr>
      </w:pPr>
      <w:r w:rsidRPr="007D04B2">
        <w:rPr>
          <w:rFonts w:cs="Arial"/>
          <w:b w:val="0"/>
        </w:rPr>
        <w:fldChar w:fldCharType="end"/>
      </w:r>
      <w:r w:rsidR="00FD023A">
        <w:rPr>
          <w:rFonts w:cs="Arial"/>
          <w:b w:val="0"/>
        </w:rPr>
        <w:tab/>
      </w:r>
    </w:p>
    <w:p w14:paraId="66FB9B2E" w14:textId="59B55F46" w:rsidR="00BA0A44" w:rsidRPr="007D04B2" w:rsidRDefault="00BA0A44" w:rsidP="00BA0A44">
      <w:pPr>
        <w:pStyle w:val="Heading1"/>
      </w:pPr>
      <w:bookmarkStart w:id="0" w:name="_Toc56006325"/>
      <w:bookmarkStart w:id="1" w:name="_Toc84339331"/>
      <w:r w:rsidRPr="007D04B2">
        <w:lastRenderedPageBreak/>
        <w:t xml:space="preserve">Version </w:t>
      </w:r>
      <w:bookmarkEnd w:id="0"/>
      <w:r w:rsidR="00C34F12">
        <w:t>c</w:t>
      </w:r>
      <w:r w:rsidR="00C34F12" w:rsidRPr="007D04B2">
        <w:t>ontrol</w:t>
      </w:r>
      <w:bookmarkEnd w:id="1"/>
    </w:p>
    <w:p w14:paraId="0DBBE1D1" w14:textId="77777777" w:rsidR="00BA0A44" w:rsidRPr="007D04B2" w:rsidRDefault="00BA0A44">
      <w:pPr>
        <w:spacing w:after="0" w:line="240" w:lineRule="auto"/>
      </w:pPr>
    </w:p>
    <w:p w14:paraId="4079EB27" w14:textId="77777777" w:rsidR="00BA0A44" w:rsidRPr="007D04B2" w:rsidRDefault="00BA0A44">
      <w:pPr>
        <w:spacing w:after="0" w:line="240" w:lineRule="auto"/>
      </w:pPr>
    </w:p>
    <w:tbl>
      <w:tblPr>
        <w:tblStyle w:val="TableGrid"/>
        <w:tblW w:w="0" w:type="auto"/>
        <w:tblLook w:val="04A0" w:firstRow="1" w:lastRow="0" w:firstColumn="1" w:lastColumn="0" w:noHBand="0" w:noVBand="1"/>
      </w:tblPr>
      <w:tblGrid>
        <w:gridCol w:w="1743"/>
        <w:gridCol w:w="5918"/>
      </w:tblGrid>
      <w:tr w:rsidR="00BA0A44" w:rsidRPr="007D04B2" w14:paraId="393B0F3C" w14:textId="77777777" w:rsidTr="00BA0A44">
        <w:tc>
          <w:tcPr>
            <w:tcW w:w="1980" w:type="dxa"/>
            <w:shd w:val="clear" w:color="auto" w:fill="7F7F7F" w:themeFill="text1" w:themeFillTint="80"/>
          </w:tcPr>
          <w:p w14:paraId="19A2A189" w14:textId="151504D1" w:rsidR="00BA0A44" w:rsidRPr="007D04B2" w:rsidRDefault="00BA0A44" w:rsidP="00BA0A44">
            <w:pPr>
              <w:spacing w:before="120" w:after="120" w:line="240" w:lineRule="auto"/>
              <w:rPr>
                <w:b/>
                <w:color w:val="FFFFFF" w:themeColor="background1"/>
              </w:rPr>
            </w:pPr>
            <w:r w:rsidRPr="007D04B2">
              <w:rPr>
                <w:b/>
                <w:color w:val="FFFFFF" w:themeColor="background1"/>
              </w:rPr>
              <w:t>Version</w:t>
            </w:r>
          </w:p>
        </w:tc>
        <w:tc>
          <w:tcPr>
            <w:tcW w:w="7310" w:type="dxa"/>
            <w:shd w:val="clear" w:color="auto" w:fill="7F7F7F" w:themeFill="text1" w:themeFillTint="80"/>
          </w:tcPr>
          <w:p w14:paraId="0F1BD159" w14:textId="762893D2" w:rsidR="00BA0A44" w:rsidRPr="007D04B2" w:rsidRDefault="00BA0A44" w:rsidP="00BA0A44">
            <w:pPr>
              <w:spacing w:before="120" w:after="120" w:line="240" w:lineRule="auto"/>
              <w:rPr>
                <w:b/>
                <w:color w:val="FFFFFF" w:themeColor="background1"/>
              </w:rPr>
            </w:pPr>
            <w:r w:rsidRPr="007D04B2">
              <w:rPr>
                <w:b/>
                <w:color w:val="FFFFFF" w:themeColor="background1"/>
              </w:rPr>
              <w:t>Comments</w:t>
            </w:r>
          </w:p>
        </w:tc>
      </w:tr>
      <w:tr w:rsidR="00BA0A44" w:rsidRPr="007D04B2" w14:paraId="281DAA25" w14:textId="77777777" w:rsidTr="00BA0A44">
        <w:tc>
          <w:tcPr>
            <w:tcW w:w="1980" w:type="dxa"/>
          </w:tcPr>
          <w:p w14:paraId="58F0E7BE" w14:textId="7BA28467" w:rsidR="00BA0A44" w:rsidRPr="007D04B2" w:rsidRDefault="00BA0A44" w:rsidP="00BA0A44">
            <w:pPr>
              <w:spacing w:before="120" w:after="120" w:line="240" w:lineRule="auto"/>
            </w:pPr>
            <w:r w:rsidRPr="007D04B2">
              <w:t>Version 1.0</w:t>
            </w:r>
          </w:p>
        </w:tc>
        <w:tc>
          <w:tcPr>
            <w:tcW w:w="7310" w:type="dxa"/>
          </w:tcPr>
          <w:p w14:paraId="2CF758FD" w14:textId="24BE560F" w:rsidR="00BA0A44" w:rsidRPr="007D04B2" w:rsidRDefault="00BA0A44" w:rsidP="00BA0A44">
            <w:pPr>
              <w:spacing w:before="120" w:after="120" w:line="240" w:lineRule="auto"/>
            </w:pPr>
            <w:r w:rsidRPr="007D04B2">
              <w:t>Initial release</w:t>
            </w:r>
          </w:p>
        </w:tc>
      </w:tr>
      <w:tr w:rsidR="000D7C73" w:rsidRPr="007D04B2" w14:paraId="01F75724" w14:textId="77777777" w:rsidTr="00BA0A44">
        <w:tc>
          <w:tcPr>
            <w:tcW w:w="1980" w:type="dxa"/>
          </w:tcPr>
          <w:p w14:paraId="15436A75" w14:textId="76EBCF55" w:rsidR="000D7C73" w:rsidRPr="007D04B2" w:rsidRDefault="000D7C73" w:rsidP="00BA0A44">
            <w:pPr>
              <w:spacing w:before="120" w:after="120" w:line="240" w:lineRule="auto"/>
            </w:pPr>
          </w:p>
        </w:tc>
        <w:tc>
          <w:tcPr>
            <w:tcW w:w="7310" w:type="dxa"/>
          </w:tcPr>
          <w:p w14:paraId="5657D0EF" w14:textId="3D440E77" w:rsidR="000D7C73" w:rsidRPr="007D04B2" w:rsidRDefault="000D7C73" w:rsidP="00BA0A44">
            <w:pPr>
              <w:spacing w:before="120" w:after="120" w:line="240" w:lineRule="auto"/>
            </w:pPr>
          </w:p>
        </w:tc>
      </w:tr>
    </w:tbl>
    <w:p w14:paraId="19EA71E0" w14:textId="77777777" w:rsidR="00473557" w:rsidRDefault="00473557">
      <w:pPr>
        <w:spacing w:after="0" w:line="240" w:lineRule="auto"/>
        <w:sectPr w:rsidR="00473557" w:rsidSect="005438AE">
          <w:headerReference w:type="even" r:id="rId20"/>
          <w:headerReference w:type="default" r:id="rId21"/>
          <w:footerReference w:type="even" r:id="rId22"/>
          <w:footerReference w:type="default" r:id="rId23"/>
          <w:pgSz w:w="11906" w:h="16838" w:code="9"/>
          <w:pgMar w:top="1945" w:right="3101" w:bottom="1134" w:left="1134" w:header="709" w:footer="119" w:gutter="0"/>
          <w:pgNumType w:fmt="lowerRoman" w:start="3"/>
          <w:cols w:space="708"/>
          <w:titlePg/>
          <w:docGrid w:linePitch="360"/>
        </w:sectPr>
      </w:pPr>
    </w:p>
    <w:p w14:paraId="2C7212F1" w14:textId="299C24C5" w:rsidR="00BE4C11" w:rsidRPr="00473557" w:rsidRDefault="00297A45" w:rsidP="00473557">
      <w:pPr>
        <w:pStyle w:val="Heading1"/>
      </w:pPr>
      <w:bookmarkStart w:id="2" w:name="_Toc56006326"/>
      <w:bookmarkStart w:id="3" w:name="_Toc84339332"/>
      <w:r w:rsidRPr="00473557">
        <w:lastRenderedPageBreak/>
        <w:t>Introduction</w:t>
      </w:r>
      <w:bookmarkEnd w:id="2"/>
      <w:bookmarkEnd w:id="3"/>
      <w:r w:rsidR="0042762F" w:rsidRPr="00473557">
        <w:t xml:space="preserve"> </w:t>
      </w:r>
    </w:p>
    <w:p w14:paraId="6638D8A8" w14:textId="5D3FB06E" w:rsidR="00E314C2" w:rsidRPr="007D04B2" w:rsidRDefault="00E314C2" w:rsidP="00E314C2">
      <w:pPr>
        <w:rPr>
          <w:rFonts w:cs="Arial"/>
        </w:rPr>
      </w:pPr>
      <w:r w:rsidRPr="007D04B2">
        <w:rPr>
          <w:rFonts w:cs="Arial"/>
        </w:rPr>
        <w:t>The Australian Communications and Media Authority (ACMA) develops a technical framework for e</w:t>
      </w:r>
      <w:r w:rsidR="000162E5" w:rsidRPr="007D04B2">
        <w:rPr>
          <w:rFonts w:cs="Arial"/>
        </w:rPr>
        <w:t>very</w:t>
      </w:r>
      <w:r w:rsidRPr="007D04B2">
        <w:rPr>
          <w:rFonts w:cs="Arial"/>
        </w:rPr>
        <w:t xml:space="preserve"> band</w:t>
      </w:r>
      <w:r w:rsidR="000162E5" w:rsidRPr="007D04B2">
        <w:rPr>
          <w:rFonts w:cs="Arial"/>
        </w:rPr>
        <w:t xml:space="preserve"> subject to spectrum licensing</w:t>
      </w:r>
      <w:r w:rsidRPr="007D04B2">
        <w:rPr>
          <w:rFonts w:cs="Arial"/>
        </w:rPr>
        <w:t>. Each framework is a collection of technical and regulatory conditions applicable to the use of radiocommunications devices in the spectrum-licensed band. The purpose</w:t>
      </w:r>
      <w:r w:rsidRPr="007D04B2" w:rsidDel="00F774CE">
        <w:rPr>
          <w:rFonts w:cs="Arial"/>
        </w:rPr>
        <w:t xml:space="preserve"> </w:t>
      </w:r>
      <w:r w:rsidRPr="007D04B2">
        <w:rPr>
          <w:rFonts w:cs="Arial"/>
        </w:rPr>
        <w:t>of the technical framework is to define the technical conditions and constraints under which a device may be deployed and operated within the specified geographic area and frequency band of the licence.</w:t>
      </w:r>
    </w:p>
    <w:p w14:paraId="2DDC8D68" w14:textId="226C29DE" w:rsidR="00E314C2" w:rsidRPr="007D04B2" w:rsidRDefault="00E314C2" w:rsidP="00E314C2">
      <w:pPr>
        <w:rPr>
          <w:rFonts w:cs="Arial"/>
        </w:rPr>
      </w:pPr>
      <w:r w:rsidRPr="007D04B2">
        <w:rPr>
          <w:rFonts w:cs="Arial"/>
        </w:rPr>
        <w:t>Although the technical framework is optimised for technologies, or services most likely to be deployed in the band, it is intended to be technology</w:t>
      </w:r>
      <w:r w:rsidR="000D473A">
        <w:rPr>
          <w:rFonts w:cs="Arial"/>
        </w:rPr>
        <w:t xml:space="preserve"> </w:t>
      </w:r>
      <w:r w:rsidRPr="007D04B2">
        <w:rPr>
          <w:rFonts w:cs="Arial"/>
        </w:rPr>
        <w:t xml:space="preserve">flexible. This means licensees can operate any type of radiocommunications device for any purpose, provided they comply with the technical framework relevant to the licence. </w:t>
      </w:r>
    </w:p>
    <w:p w14:paraId="5C9FE6EB" w14:textId="361AEE0A" w:rsidR="00674B92" w:rsidRDefault="00E314C2" w:rsidP="00E314C2">
      <w:pPr>
        <w:rPr>
          <w:rFonts w:cs="Arial"/>
        </w:rPr>
      </w:pPr>
      <w:r w:rsidRPr="007D04B2">
        <w:rPr>
          <w:rFonts w:cs="Arial"/>
        </w:rPr>
        <w:t xml:space="preserve">The </w:t>
      </w:r>
      <w:r w:rsidR="00FD6A42">
        <w:rPr>
          <w:rFonts w:cs="Arial"/>
        </w:rPr>
        <w:t xml:space="preserve">paired </w:t>
      </w:r>
      <w:r w:rsidRPr="007D04B2">
        <w:rPr>
          <w:rFonts w:cs="Arial"/>
        </w:rPr>
        <w:t>frequency range</w:t>
      </w:r>
      <w:r w:rsidR="00254703">
        <w:rPr>
          <w:rFonts w:cs="Arial"/>
        </w:rPr>
        <w:t>s</w:t>
      </w:r>
      <w:r w:rsidRPr="007D04B2">
        <w:rPr>
          <w:rFonts w:cs="Arial"/>
        </w:rPr>
        <w:t xml:space="preserve"> </w:t>
      </w:r>
      <w:r w:rsidR="00254703">
        <w:rPr>
          <w:rFonts w:cs="Arial"/>
        </w:rPr>
        <w:t>1710</w:t>
      </w:r>
      <w:r w:rsidR="00C34F12">
        <w:rPr>
          <w:rFonts w:cs="Arial"/>
        </w:rPr>
        <w:t>–</w:t>
      </w:r>
      <w:r w:rsidR="00254703">
        <w:rPr>
          <w:rFonts w:cs="Arial"/>
        </w:rPr>
        <w:t xml:space="preserve">1785 </w:t>
      </w:r>
      <w:r w:rsidR="00FD6A42">
        <w:rPr>
          <w:rFonts w:cs="Arial"/>
        </w:rPr>
        <w:t xml:space="preserve">MHz </w:t>
      </w:r>
      <w:r w:rsidR="00254703">
        <w:rPr>
          <w:rFonts w:cs="Arial"/>
        </w:rPr>
        <w:t xml:space="preserve">and </w:t>
      </w:r>
      <w:r w:rsidR="00FD6A42">
        <w:rPr>
          <w:rFonts w:cs="Arial"/>
        </w:rPr>
        <w:t xml:space="preserve">1805–1880 </w:t>
      </w:r>
      <w:r w:rsidRPr="007D04B2">
        <w:rPr>
          <w:rFonts w:cs="Arial"/>
        </w:rPr>
        <w:t xml:space="preserve">MHz (the </w:t>
      </w:r>
      <w:r w:rsidR="006419FA">
        <w:rPr>
          <w:rFonts w:cs="Arial"/>
        </w:rPr>
        <w:t>1800 M</w:t>
      </w:r>
      <w:r w:rsidR="004F6636" w:rsidRPr="007D04B2">
        <w:rPr>
          <w:rFonts w:cs="Arial"/>
        </w:rPr>
        <w:t>Hz band)</w:t>
      </w:r>
      <w:r w:rsidRPr="007D04B2">
        <w:rPr>
          <w:rFonts w:cs="Arial"/>
        </w:rPr>
        <w:t xml:space="preserve"> was </w:t>
      </w:r>
      <w:r w:rsidR="004075F0">
        <w:rPr>
          <w:rFonts w:cs="Arial"/>
        </w:rPr>
        <w:t>designated</w:t>
      </w:r>
      <w:r w:rsidRPr="007D04B2">
        <w:rPr>
          <w:rFonts w:cs="Arial"/>
        </w:rPr>
        <w:t xml:space="preserve"> for the issue of spectrum licences in </w:t>
      </w:r>
      <w:r w:rsidR="00934500">
        <w:rPr>
          <w:rFonts w:cs="Arial"/>
        </w:rPr>
        <w:t>m</w:t>
      </w:r>
      <w:r w:rsidR="00C928E6">
        <w:rPr>
          <w:rFonts w:cs="Arial"/>
        </w:rPr>
        <w:t xml:space="preserve">etro and </w:t>
      </w:r>
      <w:r w:rsidR="00934500">
        <w:rPr>
          <w:rFonts w:cs="Arial"/>
        </w:rPr>
        <w:t>r</w:t>
      </w:r>
      <w:r w:rsidR="00C928E6">
        <w:rPr>
          <w:rFonts w:cs="Arial"/>
        </w:rPr>
        <w:t xml:space="preserve">egional areas </w:t>
      </w:r>
      <w:r w:rsidR="00910B85">
        <w:rPr>
          <w:rFonts w:cs="Arial"/>
        </w:rPr>
        <w:t xml:space="preserve">as shown in </w:t>
      </w:r>
      <w:r w:rsidR="004F6636" w:rsidRPr="007D04B2">
        <w:rPr>
          <w:rFonts w:cs="Arial"/>
        </w:rPr>
        <w:t>Figure 1</w:t>
      </w:r>
      <w:r w:rsidR="00124789" w:rsidRPr="007D04B2">
        <w:rPr>
          <w:rFonts w:cs="Arial"/>
        </w:rPr>
        <w:t>.</w:t>
      </w:r>
      <w:r w:rsidRPr="007D04B2">
        <w:rPr>
          <w:rFonts w:cs="Arial"/>
        </w:rPr>
        <w:t xml:space="preserve"> </w:t>
      </w:r>
      <w:r w:rsidR="00EA7769">
        <w:rPr>
          <w:rFonts w:cs="Arial"/>
        </w:rPr>
        <w:t xml:space="preserve">The </w:t>
      </w:r>
      <w:r w:rsidR="0086185C">
        <w:rPr>
          <w:rFonts w:cs="Arial"/>
        </w:rPr>
        <w:t xml:space="preserve">most recent </w:t>
      </w:r>
      <w:r w:rsidR="00EA7769">
        <w:rPr>
          <w:rFonts w:cs="Arial"/>
        </w:rPr>
        <w:t xml:space="preserve">modification of </w:t>
      </w:r>
      <w:r w:rsidR="004075F0">
        <w:rPr>
          <w:rFonts w:cs="Arial"/>
        </w:rPr>
        <w:t xml:space="preserve">the </w:t>
      </w:r>
      <w:r w:rsidR="00EA7769">
        <w:rPr>
          <w:rFonts w:cs="Arial"/>
        </w:rPr>
        <w:t xml:space="preserve">technical framework of </w:t>
      </w:r>
      <w:r w:rsidR="00C34F12">
        <w:rPr>
          <w:rFonts w:cs="Arial"/>
        </w:rPr>
        <w:t xml:space="preserve">the </w:t>
      </w:r>
      <w:r w:rsidR="006419FA">
        <w:rPr>
          <w:rFonts w:cs="Arial"/>
        </w:rPr>
        <w:t>1800 MHz</w:t>
      </w:r>
      <w:r w:rsidR="00EA7769">
        <w:rPr>
          <w:rFonts w:cs="Arial"/>
        </w:rPr>
        <w:t xml:space="preserve"> band </w:t>
      </w:r>
      <w:r w:rsidR="0086185C">
        <w:rPr>
          <w:rFonts w:cs="Arial"/>
        </w:rPr>
        <w:t xml:space="preserve">was </w:t>
      </w:r>
      <w:r w:rsidR="00FE6557">
        <w:rPr>
          <w:rFonts w:cs="Arial"/>
        </w:rPr>
        <w:t>finalised</w:t>
      </w:r>
      <w:r w:rsidR="00DE73AD">
        <w:rPr>
          <w:rFonts w:cs="Arial"/>
        </w:rPr>
        <w:t xml:space="preserve"> in </w:t>
      </w:r>
      <w:r w:rsidR="00FE6040">
        <w:rPr>
          <w:rFonts w:cs="Arial"/>
        </w:rPr>
        <w:t>2012</w:t>
      </w:r>
      <w:r w:rsidR="00DE73AD">
        <w:rPr>
          <w:rFonts w:cs="Arial"/>
        </w:rPr>
        <w:t xml:space="preserve">. </w:t>
      </w:r>
      <w:r w:rsidR="0086185C">
        <w:rPr>
          <w:rFonts w:cs="Arial"/>
        </w:rPr>
        <w:t xml:space="preserve">This optimised use of the band for </w:t>
      </w:r>
      <w:r w:rsidR="00582114">
        <w:rPr>
          <w:rFonts w:cs="Arial"/>
        </w:rPr>
        <w:t xml:space="preserve">4G </w:t>
      </w:r>
      <w:r w:rsidR="00FE6557">
        <w:rPr>
          <w:rFonts w:cs="Arial"/>
        </w:rPr>
        <w:t>technologies</w:t>
      </w:r>
      <w:r w:rsidR="00582114">
        <w:rPr>
          <w:rFonts w:cs="Arial"/>
        </w:rPr>
        <w:t xml:space="preserve">. </w:t>
      </w:r>
      <w:r w:rsidR="00DE73AD">
        <w:rPr>
          <w:rFonts w:cs="Arial"/>
        </w:rPr>
        <w:t>Since then,</w:t>
      </w:r>
      <w:r w:rsidR="00FE6557">
        <w:rPr>
          <w:rFonts w:cs="Arial"/>
        </w:rPr>
        <w:t xml:space="preserve"> </w:t>
      </w:r>
      <w:r w:rsidR="00582114">
        <w:rPr>
          <w:rFonts w:cs="Arial"/>
        </w:rPr>
        <w:t>5G standards</w:t>
      </w:r>
      <w:r w:rsidR="0086185C">
        <w:rPr>
          <w:rFonts w:cs="Arial"/>
        </w:rPr>
        <w:t xml:space="preserve"> and </w:t>
      </w:r>
      <w:r w:rsidR="00934500">
        <w:rPr>
          <w:rFonts w:cs="Arial"/>
        </w:rPr>
        <w:t>a</w:t>
      </w:r>
      <w:r w:rsidR="0086185C">
        <w:rPr>
          <w:rFonts w:cs="Arial"/>
        </w:rPr>
        <w:t xml:space="preserve">dvanced </w:t>
      </w:r>
      <w:r w:rsidR="00934500">
        <w:rPr>
          <w:rFonts w:cs="Arial"/>
        </w:rPr>
        <w:t>a</w:t>
      </w:r>
      <w:r w:rsidR="0086185C">
        <w:rPr>
          <w:rFonts w:cs="Arial"/>
        </w:rPr>
        <w:t xml:space="preserve">ntenna </w:t>
      </w:r>
      <w:r w:rsidR="00934500">
        <w:rPr>
          <w:rFonts w:cs="Arial"/>
        </w:rPr>
        <w:t>s</w:t>
      </w:r>
      <w:r w:rsidR="0086185C">
        <w:rPr>
          <w:rFonts w:cs="Arial"/>
        </w:rPr>
        <w:t>ystems (AAS)</w:t>
      </w:r>
      <w:r w:rsidR="00582114">
        <w:rPr>
          <w:rFonts w:cs="Arial"/>
        </w:rPr>
        <w:t xml:space="preserve"> ha</w:t>
      </w:r>
      <w:r w:rsidR="0086185C">
        <w:rPr>
          <w:rFonts w:cs="Arial"/>
        </w:rPr>
        <w:t>ve</w:t>
      </w:r>
      <w:r w:rsidR="00582114">
        <w:rPr>
          <w:rFonts w:cs="Arial"/>
        </w:rPr>
        <w:t xml:space="preserve"> been introduced and </w:t>
      </w:r>
      <w:r w:rsidR="0086185C">
        <w:rPr>
          <w:rFonts w:cs="Arial"/>
        </w:rPr>
        <w:t xml:space="preserve">are </w:t>
      </w:r>
      <w:r w:rsidR="00834D38">
        <w:rPr>
          <w:rFonts w:cs="Arial"/>
        </w:rPr>
        <w:t xml:space="preserve">now commercially available in </w:t>
      </w:r>
      <w:r w:rsidR="004075F0">
        <w:rPr>
          <w:rFonts w:cs="Arial"/>
        </w:rPr>
        <w:t xml:space="preserve">the </w:t>
      </w:r>
      <w:r w:rsidR="006419FA">
        <w:rPr>
          <w:rFonts w:cs="Arial"/>
        </w:rPr>
        <w:t>1800 MHz</w:t>
      </w:r>
      <w:r w:rsidR="00834D38">
        <w:rPr>
          <w:rFonts w:cs="Arial"/>
        </w:rPr>
        <w:t xml:space="preserve"> band. Therefore, it </w:t>
      </w:r>
      <w:r w:rsidR="0086185C">
        <w:rPr>
          <w:rFonts w:cs="Arial"/>
        </w:rPr>
        <w:t>wa</w:t>
      </w:r>
      <w:r w:rsidR="00834D38">
        <w:rPr>
          <w:rFonts w:cs="Arial"/>
        </w:rPr>
        <w:t>s req</w:t>
      </w:r>
      <w:r w:rsidR="00C40188">
        <w:rPr>
          <w:rFonts w:cs="Arial"/>
        </w:rPr>
        <w:t xml:space="preserve">uested by stakeholders to revise the </w:t>
      </w:r>
      <w:r w:rsidR="006419FA">
        <w:rPr>
          <w:rFonts w:cs="Arial"/>
        </w:rPr>
        <w:t>1800 MHz</w:t>
      </w:r>
      <w:r w:rsidR="00C40188">
        <w:rPr>
          <w:rFonts w:cs="Arial"/>
        </w:rPr>
        <w:t xml:space="preserve"> technical framework </w:t>
      </w:r>
      <w:r w:rsidR="0086185C">
        <w:rPr>
          <w:rFonts w:cs="Arial"/>
        </w:rPr>
        <w:t xml:space="preserve">to </w:t>
      </w:r>
      <w:r w:rsidR="00674B92">
        <w:rPr>
          <w:rFonts w:cs="Arial"/>
        </w:rPr>
        <w:t>account for these developments</w:t>
      </w:r>
      <w:r w:rsidR="006536CE">
        <w:rPr>
          <w:rFonts w:cs="Arial"/>
        </w:rPr>
        <w:t xml:space="preserve">. </w:t>
      </w:r>
    </w:p>
    <w:p w14:paraId="3D1BB3F4" w14:textId="2101B67B" w:rsidR="00674B92" w:rsidRDefault="006536CE" w:rsidP="00E314C2">
      <w:pPr>
        <w:rPr>
          <w:rFonts w:cs="Arial"/>
        </w:rPr>
      </w:pPr>
      <w:r>
        <w:rPr>
          <w:rFonts w:cs="Arial"/>
        </w:rPr>
        <w:t>The</w:t>
      </w:r>
      <w:r w:rsidR="00996BEE">
        <w:rPr>
          <w:rFonts w:cs="Arial"/>
        </w:rPr>
        <w:t xml:space="preserve"> ACMA has stated its intention to progressively review the technical framework for all spectrum licen</w:t>
      </w:r>
      <w:r w:rsidR="000D473A">
        <w:rPr>
          <w:rFonts w:cs="Arial"/>
        </w:rPr>
        <w:t>s</w:t>
      </w:r>
      <w:r w:rsidR="00996BEE">
        <w:rPr>
          <w:rFonts w:cs="Arial"/>
        </w:rPr>
        <w:t>ed band</w:t>
      </w:r>
      <w:r w:rsidR="004075F0">
        <w:rPr>
          <w:rFonts w:cs="Arial"/>
        </w:rPr>
        <w:t>s</w:t>
      </w:r>
      <w:r w:rsidR="00996BEE">
        <w:rPr>
          <w:rFonts w:cs="Arial"/>
        </w:rPr>
        <w:t xml:space="preserve">, </w:t>
      </w:r>
      <w:r>
        <w:rPr>
          <w:rFonts w:cs="Arial"/>
        </w:rPr>
        <w:t xml:space="preserve">in </w:t>
      </w:r>
      <w:r w:rsidR="00996BEE">
        <w:rPr>
          <w:rFonts w:cs="Arial"/>
        </w:rPr>
        <w:t xml:space="preserve">the </w:t>
      </w:r>
      <w:hyperlink r:id="rId24" w:history="1">
        <w:r w:rsidR="000D473A" w:rsidRPr="00934500">
          <w:rPr>
            <w:rStyle w:val="Hyperlink"/>
            <w:rFonts w:cs="Arial"/>
            <w:i/>
            <w:iCs/>
          </w:rPr>
          <w:t>Five</w:t>
        </w:r>
        <w:r w:rsidR="00C34F12" w:rsidRPr="00934500">
          <w:rPr>
            <w:rStyle w:val="Hyperlink"/>
            <w:rFonts w:cs="Arial"/>
            <w:i/>
            <w:iCs/>
          </w:rPr>
          <w:t>-y</w:t>
        </w:r>
        <w:r w:rsidR="000D473A" w:rsidRPr="00934500">
          <w:rPr>
            <w:rStyle w:val="Hyperlink"/>
            <w:rFonts w:cs="Arial"/>
            <w:i/>
            <w:iCs/>
          </w:rPr>
          <w:t xml:space="preserve">ear </w:t>
        </w:r>
        <w:r w:rsidR="00C34F12" w:rsidRPr="00934500">
          <w:rPr>
            <w:rStyle w:val="Hyperlink"/>
            <w:rFonts w:cs="Arial"/>
            <w:i/>
            <w:iCs/>
          </w:rPr>
          <w:t>s</w:t>
        </w:r>
        <w:r w:rsidR="000D473A" w:rsidRPr="00934500">
          <w:rPr>
            <w:rStyle w:val="Hyperlink"/>
            <w:rFonts w:cs="Arial"/>
            <w:i/>
            <w:iCs/>
          </w:rPr>
          <w:t xml:space="preserve">pectrum </w:t>
        </w:r>
        <w:r w:rsidR="00C34F12" w:rsidRPr="00934500">
          <w:rPr>
            <w:rStyle w:val="Hyperlink"/>
            <w:rFonts w:cs="Arial"/>
            <w:i/>
            <w:iCs/>
          </w:rPr>
          <w:t>o</w:t>
        </w:r>
        <w:r w:rsidR="000D473A" w:rsidRPr="00934500">
          <w:rPr>
            <w:rStyle w:val="Hyperlink"/>
            <w:rFonts w:cs="Arial"/>
            <w:i/>
            <w:iCs/>
          </w:rPr>
          <w:t>utlook</w:t>
        </w:r>
        <w:r w:rsidR="00996BEE" w:rsidRPr="00934500">
          <w:rPr>
            <w:rStyle w:val="Hyperlink"/>
            <w:rFonts w:cs="Arial"/>
            <w:i/>
            <w:iCs/>
          </w:rPr>
          <w:t xml:space="preserve"> </w:t>
        </w:r>
        <w:r w:rsidR="000D473A" w:rsidRPr="00934500">
          <w:rPr>
            <w:rStyle w:val="Hyperlink"/>
            <w:rFonts w:cs="Arial"/>
            <w:i/>
            <w:iCs/>
          </w:rPr>
          <w:t>2019</w:t>
        </w:r>
        <w:r w:rsidR="00C34F12" w:rsidRPr="00934500">
          <w:rPr>
            <w:rStyle w:val="Hyperlink"/>
            <w:rFonts w:cs="Arial"/>
            <w:i/>
            <w:iCs/>
          </w:rPr>
          <w:t>–</w:t>
        </w:r>
        <w:r w:rsidR="000D473A" w:rsidRPr="00934500">
          <w:rPr>
            <w:rStyle w:val="Hyperlink"/>
            <w:rFonts w:cs="Arial"/>
            <w:i/>
            <w:iCs/>
          </w:rPr>
          <w:t>23</w:t>
        </w:r>
      </w:hyperlink>
      <w:r>
        <w:rPr>
          <w:rFonts w:cs="Arial"/>
        </w:rPr>
        <w:t xml:space="preserve">. </w:t>
      </w:r>
    </w:p>
    <w:p w14:paraId="3AC228C5" w14:textId="2AB81614" w:rsidR="00996BEE" w:rsidRDefault="00674B92" w:rsidP="00E314C2">
      <w:pPr>
        <w:rPr>
          <w:rFonts w:cs="Arial"/>
        </w:rPr>
      </w:pPr>
      <w:r>
        <w:rPr>
          <w:rFonts w:cs="Arial"/>
        </w:rPr>
        <w:t xml:space="preserve">To assist with this work, the ACMA formed the </w:t>
      </w:r>
      <w:r w:rsidR="006419FA">
        <w:rPr>
          <w:rFonts w:cs="Arial"/>
        </w:rPr>
        <w:t>1800 MHz</w:t>
      </w:r>
      <w:r>
        <w:rPr>
          <w:rFonts w:cs="Arial"/>
        </w:rPr>
        <w:t xml:space="preserve"> </w:t>
      </w:r>
      <w:r w:rsidR="00934500">
        <w:rPr>
          <w:rFonts w:cs="Arial"/>
        </w:rPr>
        <w:t>t</w:t>
      </w:r>
      <w:r>
        <w:rPr>
          <w:rFonts w:cs="Arial"/>
        </w:rPr>
        <w:t xml:space="preserve">echnical </w:t>
      </w:r>
      <w:r w:rsidR="00934500">
        <w:rPr>
          <w:rFonts w:cs="Arial"/>
        </w:rPr>
        <w:t>l</w:t>
      </w:r>
      <w:r>
        <w:rPr>
          <w:rFonts w:cs="Arial"/>
        </w:rPr>
        <w:t xml:space="preserve">iaison </w:t>
      </w:r>
      <w:r w:rsidR="00934500">
        <w:rPr>
          <w:rFonts w:cs="Arial"/>
        </w:rPr>
        <w:t>g</w:t>
      </w:r>
      <w:r>
        <w:rPr>
          <w:rFonts w:cs="Arial"/>
        </w:rPr>
        <w:t>roup (TLG). Members of the TLG included</w:t>
      </w:r>
      <w:r w:rsidR="006419FA">
        <w:rPr>
          <w:rFonts w:cs="Arial"/>
        </w:rPr>
        <w:t xml:space="preserve"> 1800 MHz</w:t>
      </w:r>
      <w:r w:rsidR="00996BEE">
        <w:rPr>
          <w:rFonts w:cs="Arial"/>
        </w:rPr>
        <w:t xml:space="preserve"> spectrum licensees</w:t>
      </w:r>
      <w:r w:rsidR="003F1B41">
        <w:rPr>
          <w:rFonts w:cs="Arial"/>
        </w:rPr>
        <w:t xml:space="preserve"> and</w:t>
      </w:r>
      <w:r w:rsidR="00996BEE">
        <w:rPr>
          <w:rFonts w:cs="Arial"/>
        </w:rPr>
        <w:t xml:space="preserve"> </w:t>
      </w:r>
      <w:r w:rsidR="00916455">
        <w:rPr>
          <w:rFonts w:cs="Arial"/>
        </w:rPr>
        <w:t xml:space="preserve">equipment </w:t>
      </w:r>
      <w:r w:rsidR="00996BEE">
        <w:rPr>
          <w:rFonts w:cs="Arial"/>
        </w:rPr>
        <w:t>manufacturers.</w:t>
      </w:r>
      <w:r>
        <w:rPr>
          <w:rFonts w:cs="Arial"/>
        </w:rPr>
        <w:t xml:space="preserve"> </w:t>
      </w:r>
    </w:p>
    <w:p w14:paraId="141E8366" w14:textId="696F8EA4" w:rsidR="00E314C2" w:rsidRDefault="00E314C2" w:rsidP="00E314C2">
      <w:pPr>
        <w:rPr>
          <w:rFonts w:cs="Arial"/>
        </w:rPr>
      </w:pPr>
      <w:r w:rsidRPr="007D04B2">
        <w:rPr>
          <w:rFonts w:cs="Arial"/>
        </w:rPr>
        <w:t xml:space="preserve">The purpose of this paper </w:t>
      </w:r>
      <w:r w:rsidR="003F608B" w:rsidRPr="007D04B2">
        <w:rPr>
          <w:rFonts w:cs="Arial"/>
        </w:rPr>
        <w:t xml:space="preserve">is to </w:t>
      </w:r>
      <w:r w:rsidR="00A50914">
        <w:rPr>
          <w:rFonts w:cs="Arial"/>
        </w:rPr>
        <w:t>summari</w:t>
      </w:r>
      <w:r w:rsidR="004075F0">
        <w:rPr>
          <w:rFonts w:cs="Arial"/>
        </w:rPr>
        <w:t>s</w:t>
      </w:r>
      <w:r w:rsidR="00A50914">
        <w:rPr>
          <w:rFonts w:cs="Arial"/>
        </w:rPr>
        <w:t xml:space="preserve">e </w:t>
      </w:r>
      <w:r w:rsidR="00674B92">
        <w:rPr>
          <w:rFonts w:cs="Arial"/>
        </w:rPr>
        <w:t xml:space="preserve">changes to the </w:t>
      </w:r>
      <w:r w:rsidR="006419FA">
        <w:rPr>
          <w:rFonts w:cs="Arial"/>
        </w:rPr>
        <w:t>1800 MHz</w:t>
      </w:r>
      <w:r w:rsidR="00674B92">
        <w:rPr>
          <w:rFonts w:cs="Arial"/>
        </w:rPr>
        <w:t xml:space="preserve"> band spectrum licence technical framework</w:t>
      </w:r>
      <w:r w:rsidR="00A50914">
        <w:rPr>
          <w:rFonts w:cs="Arial"/>
        </w:rPr>
        <w:t xml:space="preserve"> </w:t>
      </w:r>
      <w:r w:rsidR="004075F0">
        <w:rPr>
          <w:rFonts w:cs="Arial"/>
        </w:rPr>
        <w:t xml:space="preserve">proposed </w:t>
      </w:r>
      <w:r w:rsidR="00674B92">
        <w:rPr>
          <w:rFonts w:cs="Arial"/>
        </w:rPr>
        <w:t xml:space="preserve">by the TLG. </w:t>
      </w:r>
    </w:p>
    <w:p w14:paraId="1C7CF8E2" w14:textId="0164C1A2" w:rsidR="00996BEE" w:rsidRDefault="00996BEE">
      <w:pPr>
        <w:spacing w:after="0" w:line="240" w:lineRule="auto"/>
        <w:rPr>
          <w:rFonts w:cs="Arial"/>
        </w:rPr>
      </w:pPr>
      <w:r>
        <w:rPr>
          <w:rFonts w:cs="Arial"/>
        </w:rPr>
        <w:br w:type="page"/>
      </w:r>
    </w:p>
    <w:p w14:paraId="3FADB9B2" w14:textId="0EF7721B" w:rsidR="00803AF9" w:rsidRPr="007D04B2" w:rsidRDefault="006419FA" w:rsidP="00322232">
      <w:pPr>
        <w:pStyle w:val="ACMAFigureHeader"/>
        <w:spacing w:after="60" w:line="240" w:lineRule="atLeast"/>
      </w:pPr>
      <w:r>
        <w:lastRenderedPageBreak/>
        <w:t>1800 MHz</w:t>
      </w:r>
      <w:r w:rsidR="00803AF9" w:rsidRPr="007D04B2">
        <w:t xml:space="preserve"> band spectrum licence</w:t>
      </w:r>
      <w:r w:rsidR="00586709">
        <w:t xml:space="preserve"> area</w:t>
      </w:r>
      <w:r w:rsidR="00803AF9" w:rsidRPr="007D04B2">
        <w:t>s</w:t>
      </w:r>
      <w:r w:rsidR="00B8123B">
        <w:t xml:space="preserve"> (purple shaded areas)</w:t>
      </w:r>
      <w:r w:rsidR="00803AF9" w:rsidRPr="007D04B2">
        <w:t>.</w:t>
      </w:r>
    </w:p>
    <w:p w14:paraId="26C9551D" w14:textId="45E11BDF" w:rsidR="00480A25" w:rsidRDefault="00480A25" w:rsidP="008F1E95">
      <w:pPr>
        <w:jc w:val="center"/>
        <w:rPr>
          <w:rFonts w:cs="Calibri"/>
        </w:rPr>
      </w:pPr>
    </w:p>
    <w:p w14:paraId="0662376E" w14:textId="169A2E4B" w:rsidR="001B09A4" w:rsidRPr="007D04B2" w:rsidRDefault="00B8123B" w:rsidP="008F1E95">
      <w:pPr>
        <w:jc w:val="center"/>
        <w:rPr>
          <w:rFonts w:cs="Calibri"/>
        </w:rPr>
      </w:pPr>
      <w:r>
        <w:rPr>
          <w:rFonts w:cs="Calibri"/>
          <w:noProof/>
        </w:rPr>
        <w:drawing>
          <wp:inline distT="0" distB="0" distL="0" distR="0" wp14:anchorId="33EEA500" wp14:editId="6614D866">
            <wp:extent cx="4871085" cy="3620770"/>
            <wp:effectExtent l="0" t="0" r="5715" b="0"/>
            <wp:docPr id="10" name="Picture 10" descr="Figure 1: 1800 MHz band spectrum licence areas (purple shaded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Figure 1: 1800 MHz band spectrum licence areas (purple shaded areas)."/>
                    <pic:cNvPicPr/>
                  </pic:nvPicPr>
                  <pic:blipFill>
                    <a:blip r:embed="rId25"/>
                    <a:stretch>
                      <a:fillRect/>
                    </a:stretch>
                  </pic:blipFill>
                  <pic:spPr>
                    <a:xfrm>
                      <a:off x="0" y="0"/>
                      <a:ext cx="4871085" cy="3620770"/>
                    </a:xfrm>
                    <a:prstGeom prst="rect">
                      <a:avLst/>
                    </a:prstGeom>
                  </pic:spPr>
                </pic:pic>
              </a:graphicData>
            </a:graphic>
          </wp:inline>
        </w:drawing>
      </w:r>
    </w:p>
    <w:p w14:paraId="34C824AC" w14:textId="279F5F75" w:rsidR="00BB4561" w:rsidRPr="007D04B2" w:rsidRDefault="00BB4561" w:rsidP="00BB4561">
      <w:pPr>
        <w:pStyle w:val="Heading2"/>
      </w:pPr>
      <w:bookmarkStart w:id="4" w:name="_Toc56006327"/>
      <w:bookmarkStart w:id="5" w:name="_Toc84339333"/>
      <w:r w:rsidRPr="007D04B2">
        <w:t>Outline</w:t>
      </w:r>
      <w:bookmarkEnd w:id="4"/>
      <w:bookmarkEnd w:id="5"/>
    </w:p>
    <w:p w14:paraId="2E1C803D" w14:textId="7B1CC603" w:rsidR="00067E30" w:rsidRPr="007D04B2" w:rsidRDefault="00067E30" w:rsidP="00322232">
      <w:pPr>
        <w:spacing w:after="60" w:line="240" w:lineRule="auto"/>
      </w:pPr>
      <w:r w:rsidRPr="007D04B2">
        <w:t>This paper has been divided into discussion on the</w:t>
      </w:r>
      <w:r w:rsidR="00BE4181" w:rsidRPr="007D04B2">
        <w:t xml:space="preserve"> relevant</w:t>
      </w:r>
      <w:r w:rsidRPr="007D04B2">
        <w:t xml:space="preserve"> instrument</w:t>
      </w:r>
      <w:r w:rsidR="003172F0">
        <w:t>s</w:t>
      </w:r>
      <w:r w:rsidRPr="007D04B2">
        <w:t xml:space="preserve"> that form a spectrum licence technical framework</w:t>
      </w:r>
      <w:r w:rsidR="00916455">
        <w:t xml:space="preserve"> as follows</w:t>
      </w:r>
      <w:r w:rsidRPr="007D04B2">
        <w:t>:</w:t>
      </w:r>
    </w:p>
    <w:p w14:paraId="259A26C3" w14:textId="4C22FBDA" w:rsidR="00067E30" w:rsidRPr="007D04B2" w:rsidRDefault="00225DC4" w:rsidP="005438AE">
      <w:pPr>
        <w:pStyle w:val="ListBullet"/>
        <w:rPr>
          <w:rFonts w:cs="Arial"/>
        </w:rPr>
      </w:pPr>
      <w:r>
        <w:t>The s</w:t>
      </w:r>
      <w:r w:rsidR="00067E30" w:rsidRPr="007D04B2">
        <w:t xml:space="preserve">pectrum </w:t>
      </w:r>
      <w:r w:rsidR="00C34F12">
        <w:t>l</w:t>
      </w:r>
      <w:r w:rsidR="00067E30" w:rsidRPr="007D04B2">
        <w:t>icence</w:t>
      </w:r>
      <w:r>
        <w:t>, specifically</w:t>
      </w:r>
      <w:r w:rsidR="00067E30" w:rsidRPr="007D04B2">
        <w:t>:</w:t>
      </w:r>
    </w:p>
    <w:p w14:paraId="5626D8F9" w14:textId="6830277B" w:rsidR="00067E30" w:rsidRPr="007D04B2" w:rsidRDefault="00C34F12" w:rsidP="005438AE">
      <w:pPr>
        <w:pStyle w:val="ListBullet2"/>
        <w:rPr>
          <w:rFonts w:cs="Arial"/>
        </w:rPr>
      </w:pPr>
      <w:r>
        <w:t>u</w:t>
      </w:r>
      <w:r w:rsidR="00067E30" w:rsidRPr="007D04B2">
        <w:t>nwanted emission limits</w:t>
      </w:r>
    </w:p>
    <w:p w14:paraId="6C0E9201" w14:textId="10EC8925" w:rsidR="00067E30" w:rsidRPr="007D04B2" w:rsidRDefault="00C34F12" w:rsidP="005438AE">
      <w:pPr>
        <w:pStyle w:val="ListBullet2"/>
        <w:rPr>
          <w:rFonts w:cs="Arial"/>
        </w:rPr>
      </w:pPr>
      <w:r>
        <w:t>o</w:t>
      </w:r>
      <w:r w:rsidR="00067E30" w:rsidRPr="007D04B2">
        <w:t>ther conditions on the licence</w:t>
      </w:r>
      <w:r>
        <w:t>.</w:t>
      </w:r>
    </w:p>
    <w:p w14:paraId="02010FFA" w14:textId="64CDEC9E" w:rsidR="00067E30" w:rsidRPr="007D04B2" w:rsidRDefault="00067E30" w:rsidP="005438AE">
      <w:pPr>
        <w:pStyle w:val="ListBullet"/>
        <w:rPr>
          <w:rFonts w:cs="Arial"/>
        </w:rPr>
      </w:pPr>
      <w:r w:rsidRPr="00473557">
        <w:t>The</w:t>
      </w:r>
      <w:r w:rsidRPr="007D04B2">
        <w:t xml:space="preserve"> s.145(4) determination on unacceptable levels of interference</w:t>
      </w:r>
      <w:r w:rsidR="00225DC4">
        <w:t>, specifically</w:t>
      </w:r>
      <w:r w:rsidRPr="007D04B2">
        <w:t>:</w:t>
      </w:r>
    </w:p>
    <w:p w14:paraId="03C7D9B7" w14:textId="475CE5FE" w:rsidR="00067E30" w:rsidRPr="007D04B2" w:rsidRDefault="00C34F12" w:rsidP="005438AE">
      <w:pPr>
        <w:pStyle w:val="ListBullet2"/>
      </w:pPr>
      <w:r>
        <w:t>t</w:t>
      </w:r>
      <w:r w:rsidR="00067E30" w:rsidRPr="007D04B2">
        <w:t>he device boundary criteria (controlling emissions across geographical boundaries)</w:t>
      </w:r>
    </w:p>
    <w:p w14:paraId="38E1ABA6" w14:textId="02E57DDE" w:rsidR="00067E30" w:rsidRPr="007D04B2" w:rsidRDefault="00C34F12" w:rsidP="005438AE">
      <w:pPr>
        <w:pStyle w:val="ListBullet2"/>
      </w:pPr>
      <w:r>
        <w:t>d</w:t>
      </w:r>
      <w:r w:rsidR="00067E30" w:rsidRPr="007D04B2">
        <w:t>eployment constraints</w:t>
      </w:r>
      <w:r>
        <w:t>.</w:t>
      </w:r>
    </w:p>
    <w:p w14:paraId="526EE345" w14:textId="7524C3EB" w:rsidR="00067E30" w:rsidRPr="007D04B2" w:rsidRDefault="00225DC4" w:rsidP="005438AE">
      <w:pPr>
        <w:pStyle w:val="ListBullet"/>
        <w:rPr>
          <w:rFonts w:cs="Arial"/>
        </w:rPr>
      </w:pPr>
      <w:r>
        <w:t>The a</w:t>
      </w:r>
      <w:r w:rsidR="00067E30" w:rsidRPr="007D04B2">
        <w:t>dvisory guidelines made under s.262</w:t>
      </w:r>
      <w:r>
        <w:t xml:space="preserve"> for</w:t>
      </w:r>
      <w:r w:rsidR="00067E30" w:rsidRPr="007D04B2">
        <w:t>:</w:t>
      </w:r>
    </w:p>
    <w:p w14:paraId="33F54977" w14:textId="391A5B95" w:rsidR="00067E30" w:rsidRPr="007D04B2" w:rsidRDefault="00C34F12" w:rsidP="005438AE">
      <w:pPr>
        <w:pStyle w:val="ListBullet2"/>
        <w:rPr>
          <w:rFonts w:cs="Arial"/>
        </w:rPr>
      </w:pPr>
      <w:r>
        <w:t>m</w:t>
      </w:r>
      <w:r w:rsidR="00067E30" w:rsidRPr="007D04B2">
        <w:t>anaging interference from spectrum licensed transmitters</w:t>
      </w:r>
      <w:r w:rsidR="00BE4181" w:rsidRPr="007D04B2">
        <w:t xml:space="preserve"> to the following:</w:t>
      </w:r>
    </w:p>
    <w:p w14:paraId="772907C3" w14:textId="6127DDDA" w:rsidR="00EE38CD" w:rsidRPr="00C172D5" w:rsidRDefault="00C34F12" w:rsidP="005438AE">
      <w:pPr>
        <w:pStyle w:val="ListBullet2"/>
        <w:tabs>
          <w:tab w:val="clear" w:pos="845"/>
          <w:tab w:val="num" w:pos="1389"/>
        </w:tabs>
        <w:ind w:left="1389"/>
      </w:pPr>
      <w:r>
        <w:t>p</w:t>
      </w:r>
      <w:r w:rsidR="00EE38CD" w:rsidRPr="00C172D5">
        <w:t xml:space="preserve">oint-to-point fixed services operating in the </w:t>
      </w:r>
      <w:r w:rsidR="007E020A">
        <w:t>1.8</w:t>
      </w:r>
      <w:r w:rsidR="00EE38CD" w:rsidRPr="00C172D5">
        <w:t xml:space="preserve"> GHz band</w:t>
      </w:r>
    </w:p>
    <w:p w14:paraId="18CEDAC2" w14:textId="0140D14E" w:rsidR="00064E45" w:rsidRDefault="00C9097B" w:rsidP="005438AE">
      <w:pPr>
        <w:pStyle w:val="ListBullet2"/>
        <w:tabs>
          <w:tab w:val="clear" w:pos="845"/>
          <w:tab w:val="num" w:pos="1389"/>
        </w:tabs>
        <w:ind w:left="1389"/>
      </w:pPr>
      <w:r>
        <w:t>c</w:t>
      </w:r>
      <w:r w:rsidR="00064E45" w:rsidRPr="00064E45">
        <w:t>ordless communications devices</w:t>
      </w:r>
      <w:r w:rsidR="00064E45">
        <w:t xml:space="preserve"> (i</w:t>
      </w:r>
      <w:r>
        <w:t>.</w:t>
      </w:r>
      <w:r w:rsidR="00064E45">
        <w:t>e</w:t>
      </w:r>
      <w:r>
        <w:t>.,</w:t>
      </w:r>
      <w:r w:rsidR="00064E45">
        <w:t xml:space="preserve"> </w:t>
      </w:r>
      <w:r w:rsidR="007E020A">
        <w:t>DECT</w:t>
      </w:r>
      <w:r w:rsidR="00223736">
        <w:rPr>
          <w:rStyle w:val="FootnoteReference"/>
        </w:rPr>
        <w:footnoteReference w:id="2"/>
      </w:r>
      <w:r w:rsidR="00064E45">
        <w:t>)</w:t>
      </w:r>
      <w:r w:rsidR="00EE38CD" w:rsidRPr="00C172D5">
        <w:t xml:space="preserve">, </w:t>
      </w:r>
      <w:r w:rsidR="00064E45" w:rsidRPr="00C172D5">
        <w:t xml:space="preserve">operating </w:t>
      </w:r>
      <w:r w:rsidR="00064E45">
        <w:t>in the 1880</w:t>
      </w:r>
      <w:r>
        <w:t> </w:t>
      </w:r>
      <w:r w:rsidR="00064E45">
        <w:t>MHz to 1900 MHz frequency range</w:t>
      </w:r>
    </w:p>
    <w:p w14:paraId="4FE66F9F" w14:textId="04640215" w:rsidR="00EE38CD" w:rsidRPr="00C172D5" w:rsidRDefault="00B83633" w:rsidP="005438AE">
      <w:pPr>
        <w:pStyle w:val="ListBullet2"/>
        <w:tabs>
          <w:tab w:val="clear" w:pos="845"/>
          <w:tab w:val="num" w:pos="1389"/>
        </w:tabs>
        <w:ind w:left="1389"/>
      </w:pPr>
      <w:r>
        <w:t>wireless microphone</w:t>
      </w:r>
      <w:r w:rsidR="00E94017" w:rsidRPr="00E94017">
        <w:t xml:space="preserve"> </w:t>
      </w:r>
      <w:r w:rsidR="00E94017" w:rsidRPr="00C172D5">
        <w:t xml:space="preserve">services </w:t>
      </w:r>
      <w:r w:rsidR="00435B27">
        <w:t>authorised</w:t>
      </w:r>
      <w:r w:rsidR="00435B27" w:rsidRPr="00C172D5">
        <w:t xml:space="preserve"> </w:t>
      </w:r>
      <w:r w:rsidR="00E94017" w:rsidRPr="00C172D5">
        <w:t xml:space="preserve">under the </w:t>
      </w:r>
      <w:r w:rsidR="00C9097B">
        <w:t>l</w:t>
      </w:r>
      <w:r w:rsidR="00E94017">
        <w:t xml:space="preserve">ow </w:t>
      </w:r>
      <w:r w:rsidR="00C9097B">
        <w:t>i</w:t>
      </w:r>
      <w:r w:rsidR="00E94017">
        <w:t xml:space="preserve">nterference </w:t>
      </w:r>
      <w:r w:rsidR="00C9097B">
        <w:t>p</w:t>
      </w:r>
      <w:r w:rsidR="00E94017">
        <w:t xml:space="preserve">otential </w:t>
      </w:r>
      <w:r w:rsidR="00C9097B">
        <w:t>d</w:t>
      </w:r>
      <w:r w:rsidR="00E94017">
        <w:t>evices (</w:t>
      </w:r>
      <w:r w:rsidR="00E94017" w:rsidRPr="00C172D5">
        <w:t>LIPD</w:t>
      </w:r>
      <w:r w:rsidR="00E94017">
        <w:t>)</w:t>
      </w:r>
      <w:r w:rsidR="00E94017" w:rsidRPr="00C172D5">
        <w:t xml:space="preserve"> </w:t>
      </w:r>
      <w:r w:rsidR="00435B27">
        <w:t>C</w:t>
      </w:r>
      <w:r w:rsidR="00E94017" w:rsidRPr="00C172D5">
        <w:t xml:space="preserve">lass </w:t>
      </w:r>
      <w:r w:rsidR="00435B27">
        <w:t>L</w:t>
      </w:r>
      <w:r w:rsidR="00E94017" w:rsidRPr="00C172D5">
        <w:t xml:space="preserve">icence </w:t>
      </w:r>
      <w:r>
        <w:t xml:space="preserve">operating in the </w:t>
      </w:r>
      <w:r w:rsidR="005C4715">
        <w:t>1785 MHz to 1805 MHz</w:t>
      </w:r>
      <w:r w:rsidR="00064E45">
        <w:t xml:space="preserve"> frequency range</w:t>
      </w:r>
    </w:p>
    <w:p w14:paraId="778DD04F" w14:textId="77777777" w:rsidR="001F6635" w:rsidRPr="007C0AC5" w:rsidRDefault="00C34F12" w:rsidP="0062295F">
      <w:pPr>
        <w:pStyle w:val="ListBullet2"/>
        <w:ind w:left="1389"/>
        <w:rPr>
          <w:szCs w:val="20"/>
        </w:rPr>
      </w:pPr>
      <w:r>
        <w:rPr>
          <w:szCs w:val="20"/>
        </w:rPr>
        <w:lastRenderedPageBreak/>
        <w:t>r</w:t>
      </w:r>
      <w:r w:rsidR="00EE38CD" w:rsidRPr="00FD023A">
        <w:rPr>
          <w:szCs w:val="20"/>
        </w:rPr>
        <w:t>adio-astronomy services operating on an opportunistic basis</w:t>
      </w:r>
      <w:r w:rsidR="00D72869">
        <w:rPr>
          <w:szCs w:val="20"/>
        </w:rPr>
        <w:t xml:space="preserve"> in </w:t>
      </w:r>
      <w:r w:rsidR="00D72869" w:rsidRPr="007C0AC5">
        <w:rPr>
          <w:szCs w:val="20"/>
        </w:rPr>
        <w:t xml:space="preserve">the </w:t>
      </w:r>
      <w:r w:rsidR="00570540" w:rsidRPr="007C0AC5">
        <w:rPr>
          <w:szCs w:val="20"/>
        </w:rPr>
        <w:t>frequency bands specified in Australian Footnote AUS87 of the Australia Radiofrequency Plan</w:t>
      </w:r>
    </w:p>
    <w:p w14:paraId="19D56C17" w14:textId="7ADD6221" w:rsidR="00317D31" w:rsidRPr="00C172D5" w:rsidRDefault="00C9097B" w:rsidP="00317D31">
      <w:pPr>
        <w:pStyle w:val="ListBullet2"/>
        <w:tabs>
          <w:tab w:val="clear" w:pos="845"/>
          <w:tab w:val="num" w:pos="1389"/>
        </w:tabs>
        <w:ind w:left="1389"/>
      </w:pPr>
      <w:r>
        <w:t>m</w:t>
      </w:r>
      <w:r w:rsidR="001F6635" w:rsidRPr="007C0AC5">
        <w:t>eteorological</w:t>
      </w:r>
      <w:r>
        <w:t xml:space="preserve"> </w:t>
      </w:r>
      <w:r w:rsidR="001F6635" w:rsidRPr="007C0AC5">
        <w:t>satellite service (space-to-</w:t>
      </w:r>
      <w:r>
        <w:t>e</w:t>
      </w:r>
      <w:r w:rsidR="001F6635" w:rsidRPr="007C0AC5">
        <w:t>arth)</w:t>
      </w:r>
      <w:r w:rsidR="00317D31" w:rsidRPr="007C0AC5">
        <w:t xml:space="preserve"> </w:t>
      </w:r>
      <w:r w:rsidR="00317D31" w:rsidRPr="00C172D5">
        <w:t xml:space="preserve">operating </w:t>
      </w:r>
      <w:r w:rsidR="00F92842" w:rsidRPr="00F92842">
        <w:t>in the band</w:t>
      </w:r>
      <w:r>
        <w:t> </w:t>
      </w:r>
      <w:r w:rsidR="00F92842" w:rsidRPr="00F92842">
        <w:t>below 1710 MHz and adjacent to the 1800 MHz spectrum licensed band</w:t>
      </w:r>
    </w:p>
    <w:p w14:paraId="64E1CB30" w14:textId="4CA0C12F" w:rsidR="001F6635" w:rsidRPr="007C0AC5" w:rsidRDefault="00C9097B" w:rsidP="0062295F">
      <w:pPr>
        <w:pStyle w:val="ListBullet2"/>
        <w:tabs>
          <w:tab w:val="clear" w:pos="845"/>
          <w:tab w:val="num" w:pos="1389"/>
        </w:tabs>
        <w:ind w:left="1389"/>
        <w:rPr>
          <w:color w:val="000000"/>
          <w:shd w:val="clear" w:color="auto" w:fill="FFFFFF"/>
        </w:rPr>
      </w:pPr>
      <w:r>
        <w:rPr>
          <w:color w:val="000000"/>
          <w:shd w:val="clear" w:color="auto" w:fill="FFFFFF"/>
        </w:rPr>
        <w:t>p</w:t>
      </w:r>
      <w:r w:rsidR="001F6635" w:rsidRPr="007C0AC5">
        <w:rPr>
          <w:color w:val="000000"/>
          <w:shd w:val="clear" w:color="auto" w:fill="FFFFFF"/>
        </w:rPr>
        <w:t xml:space="preserve">ublic </w:t>
      </w:r>
      <w:r>
        <w:rPr>
          <w:color w:val="000000"/>
          <w:shd w:val="clear" w:color="auto" w:fill="FFFFFF"/>
        </w:rPr>
        <w:t>t</w:t>
      </w:r>
      <w:r w:rsidR="001F6635" w:rsidRPr="007C0AC5">
        <w:rPr>
          <w:color w:val="000000"/>
          <w:shd w:val="clear" w:color="auto" w:fill="FFFFFF"/>
        </w:rPr>
        <w:t xml:space="preserve">elecommunications </w:t>
      </w:r>
      <w:r>
        <w:rPr>
          <w:color w:val="000000"/>
          <w:shd w:val="clear" w:color="auto" w:fill="FFFFFF"/>
        </w:rPr>
        <w:t>s</w:t>
      </w:r>
      <w:r w:rsidR="001F6635" w:rsidRPr="007C0AC5">
        <w:rPr>
          <w:color w:val="000000"/>
          <w:shd w:val="clear" w:color="auto" w:fill="FFFFFF"/>
        </w:rPr>
        <w:t>ervice</w:t>
      </w:r>
      <w:r w:rsidR="00435B27">
        <w:rPr>
          <w:color w:val="000000"/>
          <w:shd w:val="clear" w:color="auto" w:fill="FFFFFF"/>
        </w:rPr>
        <w:t>s</w:t>
      </w:r>
      <w:r w:rsidR="00710BAD" w:rsidRPr="007C0AC5">
        <w:rPr>
          <w:color w:val="000000"/>
          <w:shd w:val="clear" w:color="auto" w:fill="FFFFFF"/>
        </w:rPr>
        <w:t xml:space="preserve"> </w:t>
      </w:r>
      <w:r w:rsidR="00710BAD">
        <w:rPr>
          <w:color w:val="000000"/>
          <w:shd w:val="clear" w:color="auto" w:fill="FFFFFF"/>
        </w:rPr>
        <w:t>operating in spectrum in and adjacent to areas subject to spectrum licensing in the 1800 MHz band</w:t>
      </w:r>
    </w:p>
    <w:p w14:paraId="453CE6F9" w14:textId="46475398" w:rsidR="001F6635" w:rsidRPr="007C0AC5" w:rsidRDefault="005D3786" w:rsidP="0062295F">
      <w:pPr>
        <w:pStyle w:val="ListBullet2"/>
        <w:tabs>
          <w:tab w:val="clear" w:pos="845"/>
          <w:tab w:val="num" w:pos="1389"/>
        </w:tabs>
        <w:ind w:left="1389"/>
        <w:rPr>
          <w:color w:val="000000"/>
          <w:shd w:val="clear" w:color="auto" w:fill="FFFFFF"/>
        </w:rPr>
      </w:pPr>
      <w:r>
        <w:rPr>
          <w:color w:val="000000"/>
          <w:shd w:val="clear" w:color="auto" w:fill="FFFFFF"/>
        </w:rPr>
        <w:t>u</w:t>
      </w:r>
      <w:r w:rsidR="001F6635" w:rsidRPr="007C0AC5">
        <w:rPr>
          <w:color w:val="000000"/>
          <w:shd w:val="clear" w:color="auto" w:fill="FFFFFF"/>
        </w:rPr>
        <w:t xml:space="preserve">se of </w:t>
      </w:r>
      <w:r w:rsidR="00C9097B">
        <w:rPr>
          <w:color w:val="000000"/>
          <w:shd w:val="clear" w:color="auto" w:fill="FFFFFF"/>
        </w:rPr>
        <w:t>m</w:t>
      </w:r>
      <w:r w:rsidR="001F6635" w:rsidRPr="007C0AC5">
        <w:rPr>
          <w:color w:val="000000"/>
          <w:shd w:val="clear" w:color="auto" w:fill="FFFFFF"/>
        </w:rPr>
        <w:t xml:space="preserve">obile </w:t>
      </w:r>
      <w:r w:rsidR="00C9097B">
        <w:rPr>
          <w:color w:val="000000"/>
          <w:shd w:val="clear" w:color="auto" w:fill="FFFFFF"/>
        </w:rPr>
        <w:t>c</w:t>
      </w:r>
      <w:r w:rsidR="001F6635" w:rsidRPr="007C0AC5">
        <w:rPr>
          <w:color w:val="000000"/>
          <w:shd w:val="clear" w:color="auto" w:fill="FFFFFF"/>
        </w:rPr>
        <w:t xml:space="preserve">ommunications systems on-board </w:t>
      </w:r>
      <w:r w:rsidR="00C9097B">
        <w:rPr>
          <w:color w:val="000000"/>
          <w:shd w:val="clear" w:color="auto" w:fill="FFFFFF"/>
        </w:rPr>
        <w:t>a</w:t>
      </w:r>
      <w:r w:rsidR="001F6635" w:rsidRPr="007C0AC5">
        <w:rPr>
          <w:color w:val="000000"/>
          <w:shd w:val="clear" w:color="auto" w:fill="FFFFFF"/>
        </w:rPr>
        <w:t>ircraft (MCA)</w:t>
      </w:r>
    </w:p>
    <w:p w14:paraId="4C75C5EF" w14:textId="77777777" w:rsidR="001F6635" w:rsidRPr="007C0AC5" w:rsidRDefault="001F6635" w:rsidP="0062295F">
      <w:pPr>
        <w:pStyle w:val="ListBullet2"/>
        <w:tabs>
          <w:tab w:val="clear" w:pos="845"/>
          <w:tab w:val="num" w:pos="1389"/>
        </w:tabs>
        <w:ind w:left="1389"/>
        <w:rPr>
          <w:color w:val="000000"/>
          <w:shd w:val="clear" w:color="auto" w:fill="FFFFFF"/>
        </w:rPr>
      </w:pPr>
      <w:r w:rsidRPr="007C0AC5">
        <w:rPr>
          <w:color w:val="000000"/>
          <w:shd w:val="clear" w:color="auto" w:fill="FFFFFF"/>
        </w:rPr>
        <w:t>Global System for Mobile Communications - Railway (GSM-R) networks</w:t>
      </w:r>
    </w:p>
    <w:p w14:paraId="59630DF9" w14:textId="60C005F4" w:rsidR="00067E30" w:rsidRPr="006B395C" w:rsidRDefault="00C34F12" w:rsidP="0062295F">
      <w:pPr>
        <w:pStyle w:val="ListBullet2"/>
        <w:spacing w:after="120"/>
        <w:rPr>
          <w:rFonts w:cs="Arial"/>
        </w:rPr>
      </w:pPr>
      <w:r>
        <w:t>m</w:t>
      </w:r>
      <w:r w:rsidR="00067E30" w:rsidRPr="007D04B2">
        <w:t>anaging interference to spectrum licensed receivers</w:t>
      </w:r>
      <w:r w:rsidR="00BE4181" w:rsidRPr="007D04B2">
        <w:t>.</w:t>
      </w:r>
    </w:p>
    <w:p w14:paraId="773BD231" w14:textId="3EACE6B1" w:rsidR="00185194" w:rsidRPr="007D04B2" w:rsidRDefault="005D3786" w:rsidP="005438AE">
      <w:pPr>
        <w:pStyle w:val="ListBullet2"/>
        <w:spacing w:after="240"/>
        <w:rPr>
          <w:rFonts w:cs="Arial"/>
        </w:rPr>
      </w:pPr>
      <w:r>
        <w:rPr>
          <w:color w:val="000000"/>
          <w:shd w:val="clear" w:color="auto" w:fill="FFFFFF"/>
        </w:rPr>
        <w:t>A</w:t>
      </w:r>
      <w:r w:rsidR="00E27996" w:rsidRPr="00E27996">
        <w:rPr>
          <w:color w:val="000000"/>
          <w:shd w:val="clear" w:color="auto" w:fill="FFFFFF"/>
        </w:rPr>
        <w:t xml:space="preserve">dditional </w:t>
      </w:r>
      <w:r>
        <w:rPr>
          <w:color w:val="000000"/>
          <w:shd w:val="clear" w:color="auto" w:fill="FFFFFF"/>
        </w:rPr>
        <w:t>D</w:t>
      </w:r>
      <w:r w:rsidR="00E27996" w:rsidRPr="00E27996">
        <w:rPr>
          <w:color w:val="000000"/>
          <w:shd w:val="clear" w:color="auto" w:fill="FFFFFF"/>
        </w:rPr>
        <w:t xml:space="preserve">evice </w:t>
      </w:r>
      <w:r>
        <w:rPr>
          <w:color w:val="000000"/>
          <w:shd w:val="clear" w:color="auto" w:fill="FFFFFF"/>
        </w:rPr>
        <w:t>B</w:t>
      </w:r>
      <w:r w:rsidR="00E27996" w:rsidRPr="00E27996">
        <w:rPr>
          <w:color w:val="000000"/>
          <w:shd w:val="clear" w:color="auto" w:fill="FFFFFF"/>
        </w:rPr>
        <w:t xml:space="preserve">oundary </w:t>
      </w:r>
      <w:r>
        <w:rPr>
          <w:color w:val="000000"/>
          <w:shd w:val="clear" w:color="auto" w:fill="FFFFFF"/>
        </w:rPr>
        <w:t>C</w:t>
      </w:r>
      <w:r w:rsidR="00E27996" w:rsidRPr="00E27996">
        <w:rPr>
          <w:color w:val="000000"/>
          <w:shd w:val="clear" w:color="auto" w:fill="FFFFFF"/>
        </w:rPr>
        <w:t xml:space="preserve">riteria </w:t>
      </w:r>
      <w:r w:rsidR="00C057A8">
        <w:rPr>
          <w:color w:val="000000"/>
          <w:shd w:val="clear" w:color="auto" w:fill="FFFFFF"/>
        </w:rPr>
        <w:t xml:space="preserve">for the </w:t>
      </w:r>
      <w:r w:rsidR="00E27996" w:rsidRPr="00E27996">
        <w:rPr>
          <w:color w:val="000000"/>
          <w:shd w:val="clear" w:color="auto" w:fill="FFFFFF"/>
        </w:rPr>
        <w:t xml:space="preserve">1800 MHz </w:t>
      </w:r>
      <w:r>
        <w:rPr>
          <w:color w:val="000000"/>
          <w:shd w:val="clear" w:color="auto" w:fill="FFFFFF"/>
        </w:rPr>
        <w:t>L</w:t>
      </w:r>
      <w:r w:rsidR="00E27996" w:rsidRPr="00E27996">
        <w:rPr>
          <w:color w:val="000000"/>
          <w:shd w:val="clear" w:color="auto" w:fill="FFFFFF"/>
        </w:rPr>
        <w:t xml:space="preserve">ower </w:t>
      </w:r>
      <w:r>
        <w:rPr>
          <w:color w:val="000000"/>
          <w:shd w:val="clear" w:color="auto" w:fill="FFFFFF"/>
        </w:rPr>
        <w:t>B</w:t>
      </w:r>
      <w:r w:rsidR="00E27996" w:rsidRPr="00E27996">
        <w:rPr>
          <w:color w:val="000000"/>
          <w:shd w:val="clear" w:color="auto" w:fill="FFFFFF"/>
        </w:rPr>
        <w:t>and</w:t>
      </w:r>
      <w:r>
        <w:rPr>
          <w:color w:val="000000"/>
          <w:shd w:val="clear" w:color="auto" w:fill="FFFFFF"/>
        </w:rPr>
        <w:t>.</w:t>
      </w:r>
    </w:p>
    <w:p w14:paraId="2BB63E0D" w14:textId="35926B0D" w:rsidR="009056F1" w:rsidRPr="007D04B2" w:rsidRDefault="009056F1" w:rsidP="009056F1">
      <w:pPr>
        <w:pStyle w:val="Heading2"/>
      </w:pPr>
      <w:bookmarkStart w:id="6" w:name="_Toc56006328"/>
      <w:bookmarkStart w:id="7" w:name="_Toc84339334"/>
      <w:r w:rsidRPr="007D04B2">
        <w:rPr>
          <w:rFonts w:cs="Calibri"/>
        </w:rPr>
        <w:t>Scope</w:t>
      </w:r>
      <w:bookmarkEnd w:id="6"/>
      <w:bookmarkEnd w:id="7"/>
      <w:r w:rsidRPr="007D04B2">
        <w:t xml:space="preserve"> </w:t>
      </w:r>
    </w:p>
    <w:p w14:paraId="55F54C6A" w14:textId="4B31C217" w:rsidR="009056F1" w:rsidRPr="007D04B2" w:rsidRDefault="009056F1" w:rsidP="0030239D">
      <w:pPr>
        <w:rPr>
          <w:rFonts w:cs="Arial"/>
        </w:rPr>
      </w:pPr>
      <w:r w:rsidRPr="007D04B2">
        <w:rPr>
          <w:rFonts w:cs="Calibri"/>
        </w:rPr>
        <w:t xml:space="preserve">This paper is focused on </w:t>
      </w:r>
      <w:r w:rsidR="003F5990">
        <w:rPr>
          <w:rFonts w:cs="Calibri"/>
        </w:rPr>
        <w:t>modif</w:t>
      </w:r>
      <w:r w:rsidR="00225DC4">
        <w:rPr>
          <w:rFonts w:cs="Calibri"/>
        </w:rPr>
        <w:t>ications to</w:t>
      </w:r>
      <w:r w:rsidR="003F5990">
        <w:rPr>
          <w:rFonts w:cs="Calibri"/>
        </w:rPr>
        <w:t xml:space="preserve"> </w:t>
      </w:r>
      <w:r w:rsidR="002B703E">
        <w:rPr>
          <w:rFonts w:cs="Calibri"/>
        </w:rPr>
        <w:t xml:space="preserve">the </w:t>
      </w:r>
      <w:r w:rsidRPr="007D04B2">
        <w:rPr>
          <w:rFonts w:cs="Calibri"/>
        </w:rPr>
        <w:t xml:space="preserve">technical framework for the </w:t>
      </w:r>
      <w:r w:rsidR="00FF1CC2" w:rsidRPr="007D04B2">
        <w:rPr>
          <w:rFonts w:cs="Calibri"/>
        </w:rPr>
        <w:t xml:space="preserve">areas and frequencies </w:t>
      </w:r>
      <w:r w:rsidR="005438AE">
        <w:rPr>
          <w:rFonts w:cs="Calibri"/>
        </w:rPr>
        <w:t>subject to spectrum licensing in the</w:t>
      </w:r>
      <w:r w:rsidR="00C35A70" w:rsidRPr="007D04B2">
        <w:rPr>
          <w:rFonts w:cs="Calibri"/>
        </w:rPr>
        <w:t xml:space="preserve"> </w:t>
      </w:r>
      <w:r w:rsidR="006419FA">
        <w:rPr>
          <w:rFonts w:cs="Calibri"/>
        </w:rPr>
        <w:t>1800 MHz</w:t>
      </w:r>
      <w:r w:rsidR="00C35A70" w:rsidRPr="007D04B2">
        <w:rPr>
          <w:rFonts w:cs="Calibri"/>
        </w:rPr>
        <w:t xml:space="preserve"> band </w:t>
      </w:r>
      <w:r w:rsidR="003C6B7D">
        <w:rPr>
          <w:rFonts w:cs="Calibri"/>
        </w:rPr>
        <w:t xml:space="preserve">to cater </w:t>
      </w:r>
      <w:r w:rsidR="0030239D">
        <w:rPr>
          <w:rFonts w:cs="Calibri"/>
        </w:rPr>
        <w:t xml:space="preserve">for </w:t>
      </w:r>
      <w:r w:rsidR="003C6B7D">
        <w:rPr>
          <w:rFonts w:cs="Calibri"/>
        </w:rPr>
        <w:t xml:space="preserve">the use of 5G technologies including </w:t>
      </w:r>
      <w:r w:rsidR="00CC52B3">
        <w:rPr>
          <w:rFonts w:cs="Calibri"/>
        </w:rPr>
        <w:t>active antenna systems</w:t>
      </w:r>
      <w:r w:rsidR="0062672D">
        <w:rPr>
          <w:rFonts w:cs="Calibri"/>
        </w:rPr>
        <w:t xml:space="preserve"> and GSM-R</w:t>
      </w:r>
      <w:r w:rsidR="003E046D">
        <w:rPr>
          <w:rFonts w:cs="Calibri"/>
        </w:rPr>
        <w:t xml:space="preserve"> technologies</w:t>
      </w:r>
      <w:r w:rsidR="0030239D">
        <w:rPr>
          <w:rFonts w:cs="Calibri"/>
        </w:rPr>
        <w:t>.</w:t>
      </w:r>
      <w:r w:rsidR="00FF1CC2" w:rsidRPr="007D04B2">
        <w:rPr>
          <w:rFonts w:cs="Arial"/>
        </w:rPr>
        <w:t xml:space="preserve"> </w:t>
      </w:r>
    </w:p>
    <w:p w14:paraId="79ACD425" w14:textId="2D41CA34" w:rsidR="004F6636" w:rsidRPr="007D04B2" w:rsidRDefault="004F6636" w:rsidP="004F6636">
      <w:pPr>
        <w:pStyle w:val="Heading2"/>
      </w:pPr>
      <w:bookmarkStart w:id="8" w:name="_Toc56006329"/>
      <w:bookmarkStart w:id="9" w:name="_Toc84339335"/>
      <w:r w:rsidRPr="007D04B2">
        <w:t>Timeline</w:t>
      </w:r>
      <w:bookmarkEnd w:id="8"/>
      <w:bookmarkEnd w:id="9"/>
      <w:r w:rsidRPr="007D04B2">
        <w:t xml:space="preserve"> </w:t>
      </w:r>
    </w:p>
    <w:p w14:paraId="76538E97" w14:textId="52E48478" w:rsidR="004F6636" w:rsidRPr="007D04B2" w:rsidRDefault="00DA2DC8" w:rsidP="00322232">
      <w:pPr>
        <w:spacing w:after="120"/>
        <w:rPr>
          <w:rFonts w:cs="Calibri"/>
        </w:rPr>
      </w:pPr>
      <w:r w:rsidRPr="007D04B2">
        <w:rPr>
          <w:rFonts w:cs="Calibri"/>
        </w:rPr>
        <w:t>T</w:t>
      </w:r>
      <w:r w:rsidR="00996BEE">
        <w:rPr>
          <w:rFonts w:cs="Calibri"/>
        </w:rPr>
        <w:t xml:space="preserve">he proposed timeline for updating the </w:t>
      </w:r>
      <w:r w:rsidR="006419FA">
        <w:rPr>
          <w:rFonts w:cs="Calibri"/>
        </w:rPr>
        <w:t>1800 MHz</w:t>
      </w:r>
      <w:r w:rsidR="00996BEE">
        <w:rPr>
          <w:rFonts w:cs="Calibri"/>
        </w:rPr>
        <w:t xml:space="preserve"> technical framework </w:t>
      </w:r>
      <w:r w:rsidRPr="007D04B2">
        <w:rPr>
          <w:rFonts w:cs="Calibri"/>
        </w:rPr>
        <w:t>is</w:t>
      </w:r>
      <w:r w:rsidR="009B7503" w:rsidRPr="007D04B2">
        <w:rPr>
          <w:rFonts w:cs="Calibri"/>
        </w:rPr>
        <w:t>:</w:t>
      </w:r>
    </w:p>
    <w:tbl>
      <w:tblPr>
        <w:tblStyle w:val="TableGrid"/>
        <w:tblW w:w="8648" w:type="dxa"/>
        <w:tblInd w:w="137" w:type="dxa"/>
        <w:tblLayout w:type="fixed"/>
        <w:tblCellMar>
          <w:top w:w="57" w:type="dxa"/>
          <w:left w:w="57" w:type="dxa"/>
          <w:bottom w:w="57" w:type="dxa"/>
          <w:right w:w="57" w:type="dxa"/>
        </w:tblCellMar>
        <w:tblLook w:val="04A0" w:firstRow="1" w:lastRow="0" w:firstColumn="1" w:lastColumn="0" w:noHBand="0" w:noVBand="1"/>
        <w:tblCaption w:val="Indicative timetable for the reallocation process"/>
        <w:tblDescription w:val="The table provides the indicative timetable which outlines the key steps in the re-allocation process. The ACMA is working towards giving the Minister a recommendation to make a spectrum reallocation declaration in May 2015, and anticipates that the Minister will make a spectrum re-allocation declaration in May 2015. However, under section 153E of the Act, the Minister has 180 days after receiving the ACMA’s recommendation to make a spectrum re-allocation declaration. If the Minister makes a spectrum re-allocation declaration in May, the ACMA is proposing to commence an auction of the 1800 megahertz band in November 2015. "/>
      </w:tblPr>
      <w:tblGrid>
        <w:gridCol w:w="6521"/>
        <w:gridCol w:w="2127"/>
      </w:tblGrid>
      <w:tr w:rsidR="00A31D68" w:rsidRPr="007D04B2" w14:paraId="24A1E92E" w14:textId="77777777" w:rsidTr="00D9207A">
        <w:trPr>
          <w:cantSplit/>
          <w:tblHeader/>
        </w:trPr>
        <w:tc>
          <w:tcPr>
            <w:tcW w:w="6521" w:type="dxa"/>
            <w:shd w:val="clear" w:color="auto" w:fill="404040" w:themeFill="text1" w:themeFillTint="BF"/>
            <w:tcMar>
              <w:top w:w="57" w:type="dxa"/>
              <w:bottom w:w="28" w:type="dxa"/>
            </w:tcMar>
          </w:tcPr>
          <w:p w14:paraId="4969B094" w14:textId="77777777" w:rsidR="00A31D68" w:rsidRPr="007D04B2" w:rsidRDefault="00A31D68" w:rsidP="00D9207A">
            <w:pPr>
              <w:pStyle w:val="TableHeading"/>
              <w:rPr>
                <w:color w:val="FFFFFF" w:themeColor="background1"/>
              </w:rPr>
            </w:pPr>
            <w:r w:rsidRPr="007D04B2">
              <w:rPr>
                <w:color w:val="FFFFFF" w:themeColor="background1"/>
              </w:rPr>
              <w:t>Key steps</w:t>
            </w:r>
          </w:p>
        </w:tc>
        <w:tc>
          <w:tcPr>
            <w:tcW w:w="2127" w:type="dxa"/>
            <w:shd w:val="clear" w:color="auto" w:fill="404040" w:themeFill="text1" w:themeFillTint="BF"/>
            <w:tcMar>
              <w:top w:w="57" w:type="dxa"/>
              <w:bottom w:w="28" w:type="dxa"/>
            </w:tcMar>
          </w:tcPr>
          <w:p w14:paraId="76A7F654" w14:textId="05F83F47" w:rsidR="00A31D68" w:rsidRPr="007D04B2" w:rsidRDefault="00A31D68" w:rsidP="00D9207A">
            <w:pPr>
              <w:pStyle w:val="TableHeading"/>
              <w:rPr>
                <w:color w:val="FFFFFF" w:themeColor="background1"/>
              </w:rPr>
            </w:pPr>
            <w:r w:rsidRPr="007D04B2">
              <w:rPr>
                <w:color w:val="FFFFFF" w:themeColor="background1"/>
              </w:rPr>
              <w:t xml:space="preserve">Proposed </w:t>
            </w:r>
            <w:r w:rsidR="00697737">
              <w:rPr>
                <w:color w:val="FFFFFF" w:themeColor="background1"/>
              </w:rPr>
              <w:t>d</w:t>
            </w:r>
            <w:r w:rsidRPr="007D04B2">
              <w:rPr>
                <w:color w:val="FFFFFF" w:themeColor="background1"/>
              </w:rPr>
              <w:t>ate</w:t>
            </w:r>
          </w:p>
        </w:tc>
      </w:tr>
      <w:tr w:rsidR="00A31D68" w:rsidRPr="007D04B2" w14:paraId="6B8DE24B" w14:textId="77777777" w:rsidTr="00D9207A">
        <w:trPr>
          <w:cantSplit/>
        </w:trPr>
        <w:tc>
          <w:tcPr>
            <w:tcW w:w="6521" w:type="dxa"/>
            <w:tcMar>
              <w:top w:w="57" w:type="dxa"/>
              <w:bottom w:w="28" w:type="dxa"/>
            </w:tcMar>
          </w:tcPr>
          <w:p w14:paraId="0198B60E" w14:textId="6D10DA33" w:rsidR="00B653A4" w:rsidRPr="00327AED" w:rsidRDefault="00A31D68" w:rsidP="00FD023A">
            <w:pPr>
              <w:keepNext/>
              <w:keepLines/>
              <w:spacing w:after="0"/>
            </w:pPr>
            <w:r w:rsidRPr="007D04B2">
              <w:rPr>
                <w:rFonts w:cs="Arial"/>
                <w:szCs w:val="20"/>
              </w:rPr>
              <w:t>TLG process</w:t>
            </w:r>
          </w:p>
        </w:tc>
        <w:tc>
          <w:tcPr>
            <w:tcW w:w="2127" w:type="dxa"/>
            <w:tcMar>
              <w:top w:w="57" w:type="dxa"/>
              <w:bottom w:w="28" w:type="dxa"/>
            </w:tcMar>
          </w:tcPr>
          <w:p w14:paraId="5A8CEDDB" w14:textId="20F827D1" w:rsidR="00B653A4" w:rsidRPr="007D04B2" w:rsidRDefault="00E564A3" w:rsidP="00FD023A">
            <w:pPr>
              <w:keepNext/>
              <w:keepLines/>
              <w:spacing w:after="0"/>
              <w:rPr>
                <w:rFonts w:cs="Arial"/>
                <w:szCs w:val="20"/>
              </w:rPr>
            </w:pPr>
            <w:r>
              <w:rPr>
                <w:rFonts w:cs="Arial"/>
                <w:szCs w:val="20"/>
              </w:rPr>
              <w:t>July</w:t>
            </w:r>
            <w:r w:rsidR="00F42681">
              <w:rPr>
                <w:rFonts w:cs="Arial"/>
                <w:szCs w:val="20"/>
              </w:rPr>
              <w:t xml:space="preserve"> </w:t>
            </w:r>
            <w:r w:rsidR="00F76FD7">
              <w:rPr>
                <w:rFonts w:cs="Arial"/>
                <w:szCs w:val="20"/>
              </w:rPr>
              <w:t xml:space="preserve">2020 </w:t>
            </w:r>
            <w:r w:rsidR="00C34F12">
              <w:rPr>
                <w:rFonts w:cs="Arial"/>
                <w:szCs w:val="20"/>
              </w:rPr>
              <w:t xml:space="preserve">to </w:t>
            </w:r>
            <w:r w:rsidR="00697737">
              <w:rPr>
                <w:rFonts w:cs="Arial"/>
                <w:szCs w:val="20"/>
              </w:rPr>
              <w:br/>
            </w:r>
            <w:r w:rsidR="002317A1">
              <w:rPr>
                <w:rFonts w:cs="Arial"/>
                <w:szCs w:val="20"/>
              </w:rPr>
              <w:t>August</w:t>
            </w:r>
            <w:r w:rsidR="00630F97">
              <w:rPr>
                <w:rFonts w:cs="Arial"/>
                <w:szCs w:val="20"/>
              </w:rPr>
              <w:t xml:space="preserve"> 2021</w:t>
            </w:r>
          </w:p>
        </w:tc>
      </w:tr>
      <w:tr w:rsidR="00A31D68" w:rsidRPr="007D04B2" w14:paraId="72AF1F01" w14:textId="77777777" w:rsidTr="00D9207A">
        <w:trPr>
          <w:cantSplit/>
        </w:trPr>
        <w:tc>
          <w:tcPr>
            <w:tcW w:w="6521" w:type="dxa"/>
            <w:shd w:val="clear" w:color="auto" w:fill="F2F2F2" w:themeFill="background1" w:themeFillShade="F2"/>
            <w:tcMar>
              <w:top w:w="57" w:type="dxa"/>
              <w:bottom w:w="28" w:type="dxa"/>
            </w:tcMar>
          </w:tcPr>
          <w:p w14:paraId="65698ED3" w14:textId="32DCA381" w:rsidR="002C53C3" w:rsidRPr="007D04B2" w:rsidRDefault="002C53C3" w:rsidP="005438AE">
            <w:pPr>
              <w:keepNext/>
              <w:keepLines/>
              <w:spacing w:after="80"/>
              <w:rPr>
                <w:rFonts w:cs="Arial"/>
                <w:szCs w:val="20"/>
              </w:rPr>
            </w:pPr>
            <w:r w:rsidRPr="007D04B2">
              <w:rPr>
                <w:rFonts w:cs="Arial"/>
                <w:szCs w:val="20"/>
              </w:rPr>
              <w:t>Public c</w:t>
            </w:r>
            <w:r w:rsidR="00A31D68" w:rsidRPr="007D04B2">
              <w:rPr>
                <w:rFonts w:cs="Arial"/>
                <w:szCs w:val="20"/>
              </w:rPr>
              <w:t xml:space="preserve">onsultation on </w:t>
            </w:r>
            <w:r w:rsidR="009068EF" w:rsidRPr="007D04B2">
              <w:rPr>
                <w:rFonts w:cs="Arial"/>
                <w:szCs w:val="20"/>
              </w:rPr>
              <w:t xml:space="preserve">the </w:t>
            </w:r>
            <w:r w:rsidR="00A31D68" w:rsidRPr="007D04B2">
              <w:rPr>
                <w:rFonts w:cs="Arial"/>
                <w:szCs w:val="20"/>
              </w:rPr>
              <w:t xml:space="preserve">draft </w:t>
            </w:r>
            <w:r w:rsidR="009068EF" w:rsidRPr="007D04B2">
              <w:rPr>
                <w:rFonts w:cs="Arial"/>
                <w:szCs w:val="20"/>
              </w:rPr>
              <w:t xml:space="preserve">updates to the following </w:t>
            </w:r>
            <w:r w:rsidRPr="007D04B2">
              <w:rPr>
                <w:rFonts w:cs="Arial"/>
                <w:szCs w:val="20"/>
              </w:rPr>
              <w:t xml:space="preserve">technical framework </w:t>
            </w:r>
            <w:r w:rsidR="00A31D68" w:rsidRPr="007D04B2">
              <w:rPr>
                <w:rFonts w:cs="Arial"/>
                <w:szCs w:val="20"/>
              </w:rPr>
              <w:t>instruments</w:t>
            </w:r>
            <w:r w:rsidRPr="007D04B2">
              <w:rPr>
                <w:rFonts w:cs="Arial"/>
                <w:szCs w:val="20"/>
              </w:rPr>
              <w:t>:</w:t>
            </w:r>
          </w:p>
          <w:p w14:paraId="1D991277" w14:textId="55795DD5" w:rsidR="002C53C3" w:rsidRPr="007D04B2" w:rsidRDefault="002C53C3" w:rsidP="005438AE">
            <w:pPr>
              <w:pStyle w:val="ListBullet"/>
            </w:pPr>
            <w:r w:rsidRPr="007D04B2">
              <w:t>Draft spectrum licence</w:t>
            </w:r>
          </w:p>
          <w:p w14:paraId="59B3E5B2" w14:textId="6B1C4D65" w:rsidR="002C53C3" w:rsidRPr="00473557" w:rsidRDefault="002C53C3">
            <w:pPr>
              <w:pStyle w:val="ListBullet"/>
              <w:rPr>
                <w:rFonts w:cs="Arial"/>
                <w:szCs w:val="20"/>
              </w:rPr>
            </w:pPr>
            <w:r w:rsidRPr="007D04B2">
              <w:t xml:space="preserve">Draft </w:t>
            </w:r>
            <w:r w:rsidR="009068EF" w:rsidRPr="007D04B2">
              <w:t xml:space="preserve">update to </w:t>
            </w:r>
            <w:r w:rsidRPr="005438AE">
              <w:rPr>
                <w:bCs/>
              </w:rPr>
              <w:t xml:space="preserve">Radiocommunications (Unacceptable Levels of Interference – </w:t>
            </w:r>
            <w:r w:rsidR="006419FA">
              <w:rPr>
                <w:bCs/>
              </w:rPr>
              <w:t>1800 MHz</w:t>
            </w:r>
            <w:r w:rsidRPr="005438AE">
              <w:rPr>
                <w:bCs/>
              </w:rPr>
              <w:t xml:space="preserve"> Band) Determination 201</w:t>
            </w:r>
            <w:r w:rsidR="0044347B" w:rsidRPr="005438AE">
              <w:rPr>
                <w:bCs/>
              </w:rPr>
              <w:t>3</w:t>
            </w:r>
            <w:r w:rsidR="00697737">
              <w:rPr>
                <w:bCs/>
              </w:rPr>
              <w:t>.</w:t>
            </w:r>
          </w:p>
        </w:tc>
        <w:tc>
          <w:tcPr>
            <w:tcW w:w="2127" w:type="dxa"/>
            <w:shd w:val="clear" w:color="auto" w:fill="F2F2F2" w:themeFill="background1" w:themeFillShade="F2"/>
            <w:tcMar>
              <w:top w:w="57" w:type="dxa"/>
              <w:bottom w:w="28" w:type="dxa"/>
            </w:tcMar>
          </w:tcPr>
          <w:p w14:paraId="657FCB82" w14:textId="3E11C378" w:rsidR="00A31D68" w:rsidRPr="007D04B2" w:rsidRDefault="002317A1" w:rsidP="000F4E6F">
            <w:pPr>
              <w:keepNext/>
              <w:keepLines/>
              <w:spacing w:after="0"/>
              <w:rPr>
                <w:rFonts w:cs="Arial"/>
                <w:szCs w:val="20"/>
              </w:rPr>
            </w:pPr>
            <w:r>
              <w:rPr>
                <w:rFonts w:cs="Arial"/>
                <w:szCs w:val="20"/>
              </w:rPr>
              <w:t>October</w:t>
            </w:r>
            <w:r w:rsidR="00630F97">
              <w:rPr>
                <w:rFonts w:cs="Arial"/>
                <w:szCs w:val="20"/>
              </w:rPr>
              <w:t xml:space="preserve"> 2021 </w:t>
            </w:r>
            <w:r w:rsidR="00C34F12">
              <w:rPr>
                <w:rFonts w:cs="Arial"/>
                <w:szCs w:val="20"/>
              </w:rPr>
              <w:t xml:space="preserve">to </w:t>
            </w:r>
            <w:r>
              <w:rPr>
                <w:rFonts w:cs="Arial"/>
                <w:szCs w:val="20"/>
              </w:rPr>
              <w:t>November</w:t>
            </w:r>
            <w:r w:rsidR="00A738C7">
              <w:rPr>
                <w:rFonts w:cs="Arial"/>
                <w:szCs w:val="20"/>
              </w:rPr>
              <w:t xml:space="preserve"> </w:t>
            </w:r>
            <w:r w:rsidR="00A926FB">
              <w:rPr>
                <w:rFonts w:cs="Arial"/>
                <w:szCs w:val="20"/>
              </w:rPr>
              <w:t>2021</w:t>
            </w:r>
          </w:p>
        </w:tc>
      </w:tr>
      <w:tr w:rsidR="00061873" w:rsidRPr="007D04B2" w14:paraId="5058932B" w14:textId="77777777" w:rsidTr="00322232">
        <w:trPr>
          <w:cantSplit/>
        </w:trPr>
        <w:tc>
          <w:tcPr>
            <w:tcW w:w="6521" w:type="dxa"/>
            <w:shd w:val="clear" w:color="auto" w:fill="FFFFFF" w:themeFill="background1"/>
            <w:tcMar>
              <w:top w:w="57" w:type="dxa"/>
              <w:bottom w:w="28" w:type="dxa"/>
            </w:tcMar>
          </w:tcPr>
          <w:p w14:paraId="5E0B0286" w14:textId="54F8D6C1" w:rsidR="00061873" w:rsidRPr="007D04B2" w:rsidRDefault="00061873">
            <w:pPr>
              <w:keepNext/>
              <w:keepLines/>
              <w:spacing w:after="0"/>
              <w:rPr>
                <w:rFonts w:cs="Arial"/>
                <w:szCs w:val="20"/>
              </w:rPr>
            </w:pPr>
            <w:r>
              <w:rPr>
                <w:rFonts w:cs="Arial"/>
                <w:szCs w:val="20"/>
              </w:rPr>
              <w:t>Finalisation of technical framework</w:t>
            </w:r>
          </w:p>
        </w:tc>
        <w:tc>
          <w:tcPr>
            <w:tcW w:w="2127" w:type="dxa"/>
            <w:shd w:val="clear" w:color="auto" w:fill="FFFFFF" w:themeFill="background1"/>
            <w:tcMar>
              <w:top w:w="57" w:type="dxa"/>
              <w:bottom w:w="28" w:type="dxa"/>
            </w:tcMar>
          </w:tcPr>
          <w:p w14:paraId="676CB495" w14:textId="4A84B56D" w:rsidR="00061873" w:rsidRPr="007D04B2" w:rsidRDefault="00B653A4" w:rsidP="000F4E6F">
            <w:pPr>
              <w:keepNext/>
              <w:keepLines/>
              <w:spacing w:after="0"/>
              <w:rPr>
                <w:rFonts w:cs="Arial"/>
                <w:szCs w:val="20"/>
              </w:rPr>
            </w:pPr>
            <w:r>
              <w:rPr>
                <w:rFonts w:cs="Arial"/>
                <w:szCs w:val="20"/>
              </w:rPr>
              <w:t>Q</w:t>
            </w:r>
            <w:r w:rsidR="00A738C7">
              <w:rPr>
                <w:rFonts w:cs="Arial"/>
                <w:szCs w:val="20"/>
              </w:rPr>
              <w:t>4</w:t>
            </w:r>
            <w:r>
              <w:rPr>
                <w:rFonts w:cs="Arial"/>
                <w:szCs w:val="20"/>
              </w:rPr>
              <w:t xml:space="preserve"> 2021</w:t>
            </w:r>
          </w:p>
        </w:tc>
      </w:tr>
    </w:tbl>
    <w:p w14:paraId="4532AC7C" w14:textId="77777777" w:rsidR="00B6693A" w:rsidRDefault="00826E4E" w:rsidP="00322232">
      <w:pPr>
        <w:pStyle w:val="ListBullet"/>
        <w:numPr>
          <w:ilvl w:val="0"/>
          <w:numId w:val="0"/>
        </w:numPr>
        <w:spacing w:before="240" w:after="60"/>
        <w:rPr>
          <w:rFonts w:cs="Arial"/>
        </w:rPr>
      </w:pPr>
      <w:r w:rsidRPr="007D04B2">
        <w:rPr>
          <w:rFonts w:cs="Arial"/>
        </w:rPr>
        <w:t>It is not</w:t>
      </w:r>
      <w:r w:rsidR="00902D27" w:rsidRPr="007D04B2">
        <w:rPr>
          <w:rFonts w:cs="Arial"/>
        </w:rPr>
        <w:t>ed that</w:t>
      </w:r>
      <w:r w:rsidR="00B6693A">
        <w:rPr>
          <w:rFonts w:cs="Arial"/>
        </w:rPr>
        <w:t>:</w:t>
      </w:r>
      <w:r w:rsidR="00902D27" w:rsidRPr="007D04B2">
        <w:rPr>
          <w:rFonts w:cs="Arial"/>
        </w:rPr>
        <w:t xml:space="preserve"> </w:t>
      </w:r>
    </w:p>
    <w:p w14:paraId="1D6E44FA" w14:textId="2809F3B4" w:rsidR="00B6693A" w:rsidRPr="005438AE" w:rsidRDefault="00697737" w:rsidP="005438AE">
      <w:pPr>
        <w:pStyle w:val="ListBullet"/>
      </w:pPr>
      <w:r>
        <w:t>T</w:t>
      </w:r>
      <w:r w:rsidR="00902D27" w:rsidRPr="00473557">
        <w:t xml:space="preserve">he TLG </w:t>
      </w:r>
      <w:r w:rsidR="008C72CE" w:rsidRPr="00473557">
        <w:t>is</w:t>
      </w:r>
      <w:r w:rsidR="00902D27" w:rsidRPr="00473557">
        <w:t xml:space="preserve"> </w:t>
      </w:r>
      <w:r w:rsidR="00826E4E" w:rsidRPr="00473557">
        <w:t>the first step in the process</w:t>
      </w:r>
      <w:r w:rsidR="00FF1CC2" w:rsidRPr="00473557">
        <w:t xml:space="preserve"> of developing </w:t>
      </w:r>
      <w:r w:rsidR="00225DC4">
        <w:t xml:space="preserve">or updating </w:t>
      </w:r>
      <w:r w:rsidR="00FF1CC2" w:rsidRPr="00473557">
        <w:t>a technical framework</w:t>
      </w:r>
      <w:r w:rsidR="00826E4E" w:rsidRPr="00473557">
        <w:t xml:space="preserve">. </w:t>
      </w:r>
      <w:r w:rsidR="009F2F35" w:rsidRPr="00473557">
        <w:t>T</w:t>
      </w:r>
      <w:r w:rsidR="00826E4E" w:rsidRPr="00473557">
        <w:t xml:space="preserve">he ACMA </w:t>
      </w:r>
      <w:r w:rsidR="00F9618B" w:rsidRPr="00473557">
        <w:t>will use</w:t>
      </w:r>
      <w:r w:rsidR="00826E4E" w:rsidRPr="00473557">
        <w:t xml:space="preserve"> the outcomes of the TLG to publicly consult on the relevant instruments </w:t>
      </w:r>
      <w:r w:rsidR="00FF1CC2" w:rsidRPr="00473557">
        <w:t xml:space="preserve">that will form </w:t>
      </w:r>
      <w:r w:rsidR="00826E4E" w:rsidRPr="00473557">
        <w:t xml:space="preserve">the </w:t>
      </w:r>
      <w:r w:rsidR="006419FA">
        <w:t>1800 MHz</w:t>
      </w:r>
      <w:r w:rsidR="00826E4E" w:rsidRPr="00473557">
        <w:t xml:space="preserve"> band technical framework. </w:t>
      </w:r>
      <w:r w:rsidR="00FF1CC2" w:rsidRPr="00473557">
        <w:t xml:space="preserve">This means </w:t>
      </w:r>
      <w:r w:rsidR="00826E4E" w:rsidRPr="00473557">
        <w:t>TLG members will be able to provide comment</w:t>
      </w:r>
      <w:r w:rsidR="00FF1CC2" w:rsidRPr="005438AE">
        <w:t>s</w:t>
      </w:r>
      <w:r w:rsidR="00826E4E" w:rsidRPr="005438AE">
        <w:t xml:space="preserve"> on </w:t>
      </w:r>
      <w:r w:rsidR="00DA2DC8" w:rsidRPr="005438AE">
        <w:t xml:space="preserve">the </w:t>
      </w:r>
      <w:r w:rsidR="00FF1CC2" w:rsidRPr="005438AE">
        <w:t xml:space="preserve">technical framework both </w:t>
      </w:r>
      <w:r w:rsidR="00826E4E" w:rsidRPr="005438AE">
        <w:t xml:space="preserve">as part of the </w:t>
      </w:r>
      <w:r w:rsidR="00BA36C5" w:rsidRPr="005438AE">
        <w:t xml:space="preserve">informal </w:t>
      </w:r>
      <w:r w:rsidR="00826E4E" w:rsidRPr="005438AE">
        <w:t xml:space="preserve">TLG and subsequent </w:t>
      </w:r>
      <w:r w:rsidR="00BA36C5" w:rsidRPr="005438AE">
        <w:t xml:space="preserve">formal </w:t>
      </w:r>
      <w:r w:rsidR="00826E4E" w:rsidRPr="005438AE">
        <w:t>public consultation processes</w:t>
      </w:r>
    </w:p>
    <w:p w14:paraId="1DEB5087" w14:textId="20D6F8E4" w:rsidR="00F9618B" w:rsidRPr="00B6693A" w:rsidRDefault="00697737" w:rsidP="005438AE">
      <w:pPr>
        <w:pStyle w:val="ListBullet"/>
        <w:rPr>
          <w:rFonts w:cs="Arial"/>
        </w:rPr>
      </w:pPr>
      <w:r>
        <w:t>A</w:t>
      </w:r>
      <w:r w:rsidR="00F9618B" w:rsidRPr="00736BE8">
        <w:t xml:space="preserve"> TLG is a short-term advisory body convened by the ACMA. </w:t>
      </w:r>
      <w:r w:rsidR="00B6693A" w:rsidRPr="00736BE8">
        <w:t>Its purpose</w:t>
      </w:r>
      <w:r w:rsidR="00F9618B" w:rsidRPr="00736BE8">
        <w:t xml:space="preserve"> is to provide advice on the development of, or possible changes to, a spectrum </w:t>
      </w:r>
      <w:r w:rsidR="00B6693A" w:rsidRPr="00736BE8">
        <w:t xml:space="preserve">or apparatus </w:t>
      </w:r>
      <w:r w:rsidR="00F9618B" w:rsidRPr="00736BE8">
        <w:t>licence technical framework. While the ACMA strives to achieve consensus with members, the final decision on the content of, or changes to, a spectrum or apparatus licence technical framework rests with the ACMA. This is particularly relevant in cases where consensus cannot be achieved on an issue or advice from the TLG is not provided within a reasonable time</w:t>
      </w:r>
      <w:r w:rsidR="00F9618B">
        <w:t xml:space="preserve"> frame.</w:t>
      </w:r>
    </w:p>
    <w:p w14:paraId="4716FCCA" w14:textId="57482D9A" w:rsidR="00FF3C69" w:rsidRPr="007D04B2" w:rsidRDefault="009D1B2F" w:rsidP="00FF3C69">
      <w:pPr>
        <w:pStyle w:val="Heading1"/>
      </w:pPr>
      <w:bookmarkStart w:id="10" w:name="_Toc56006331"/>
      <w:bookmarkStart w:id="11" w:name="_Toc84339336"/>
      <w:r w:rsidRPr="007D04B2">
        <w:lastRenderedPageBreak/>
        <w:t>Discussion on p</w:t>
      </w:r>
      <w:r w:rsidR="004F6636" w:rsidRPr="007D04B2">
        <w:t>roposed technical framework</w:t>
      </w:r>
      <w:bookmarkEnd w:id="10"/>
      <w:bookmarkEnd w:id="11"/>
    </w:p>
    <w:p w14:paraId="393F23FA" w14:textId="37DD041E" w:rsidR="004F6636" w:rsidRPr="007D04B2" w:rsidRDefault="004F6636" w:rsidP="00322232">
      <w:pPr>
        <w:spacing w:after="60"/>
        <w:rPr>
          <w:rFonts w:cs="Arial"/>
        </w:rPr>
      </w:pPr>
      <w:bookmarkStart w:id="12" w:name="_Toc298924672"/>
      <w:bookmarkStart w:id="13" w:name="_Toc300909555"/>
      <w:bookmarkStart w:id="14" w:name="_Toc348105636"/>
      <w:r w:rsidRPr="007D04B2">
        <w:rPr>
          <w:rFonts w:cs="Arial"/>
        </w:rPr>
        <w:t xml:space="preserve">A technical framework consists of three interlocking regulatory elements provided for under the </w:t>
      </w:r>
      <w:r w:rsidR="00CE4E49" w:rsidRPr="005438AE">
        <w:rPr>
          <w:rFonts w:cs="Arial"/>
          <w:i/>
          <w:iCs/>
        </w:rPr>
        <w:t xml:space="preserve">Radiocommunications </w:t>
      </w:r>
      <w:r w:rsidRPr="005438AE">
        <w:rPr>
          <w:rFonts w:cs="Arial"/>
          <w:i/>
          <w:iCs/>
        </w:rPr>
        <w:t>Act</w:t>
      </w:r>
      <w:r w:rsidR="00CE4E49" w:rsidRPr="005438AE">
        <w:rPr>
          <w:rFonts w:cs="Arial"/>
          <w:i/>
          <w:iCs/>
        </w:rPr>
        <w:t xml:space="preserve"> 1992</w:t>
      </w:r>
      <w:r w:rsidR="00CE4E49">
        <w:rPr>
          <w:rFonts w:cs="Arial"/>
        </w:rPr>
        <w:t xml:space="preserve"> (the Act)</w:t>
      </w:r>
      <w:r w:rsidRPr="007D04B2">
        <w:rPr>
          <w:rFonts w:cs="Arial"/>
        </w:rPr>
        <w:t>:</w:t>
      </w:r>
    </w:p>
    <w:p w14:paraId="4653FFF1" w14:textId="77777777" w:rsidR="004F6636" w:rsidRPr="007D04B2" w:rsidRDefault="004F6636" w:rsidP="004F6636">
      <w:pPr>
        <w:pStyle w:val="ListBullet"/>
      </w:pPr>
      <w:r w:rsidRPr="007D04B2">
        <w:t xml:space="preserve">The conditions specified on the spectrum licence—in particular, the core conditions that define the spectrum space (both frequency and geographical area) and the level of emissions permitted inside and across the frequency boundaries of the licence (section 66 of the Act). </w:t>
      </w:r>
    </w:p>
    <w:p w14:paraId="1F8E9D64" w14:textId="3BC8C46B" w:rsidR="004F6636" w:rsidRPr="007D04B2" w:rsidRDefault="004F6636" w:rsidP="004F6636">
      <w:pPr>
        <w:pStyle w:val="ListBullet"/>
      </w:pPr>
      <w:r w:rsidRPr="007D04B2">
        <w:t xml:space="preserve">A determination of unacceptable interference for the purpose of device registration in each band (section 145 of the Act). </w:t>
      </w:r>
      <w:r w:rsidR="009830D5" w:rsidRPr="007D04B2">
        <w:t xml:space="preserve">This defines permissible levels of emissions across </w:t>
      </w:r>
      <w:r w:rsidR="00402327" w:rsidRPr="007D04B2">
        <w:t xml:space="preserve">geographical licence </w:t>
      </w:r>
      <w:r w:rsidR="009830D5" w:rsidRPr="007D04B2">
        <w:t>boundaries and can also define various deployment constraints.</w:t>
      </w:r>
    </w:p>
    <w:p w14:paraId="3D38BAD4" w14:textId="780C7AB9" w:rsidR="004F6636" w:rsidRPr="007D04B2" w:rsidRDefault="004F6636" w:rsidP="004F6636">
      <w:pPr>
        <w:pStyle w:val="ListBullet"/>
        <w:spacing w:after="240"/>
      </w:pPr>
      <w:r w:rsidRPr="007D04B2">
        <w:t>Radiocommunications advisory guidelines</w:t>
      </w:r>
      <w:r w:rsidR="009830D5" w:rsidRPr="007D04B2">
        <w:t xml:space="preserve"> (RAG)</w:t>
      </w:r>
      <w:r w:rsidRPr="007D04B2">
        <w:t xml:space="preserve"> that </w:t>
      </w:r>
      <w:proofErr w:type="gramStart"/>
      <w:r w:rsidRPr="007D04B2">
        <w:t>provide assistance</w:t>
      </w:r>
      <w:proofErr w:type="gramEnd"/>
      <w:r w:rsidRPr="007D04B2">
        <w:t xml:space="preserve"> and advice for coordination with stations in other services when and where required (section 262 of the Act).</w:t>
      </w:r>
      <w:r w:rsidR="009830D5" w:rsidRPr="007D04B2">
        <w:t xml:space="preserve"> This includes detailing interference management criteria with incumbent apparatus and other spectrum licences. </w:t>
      </w:r>
    </w:p>
    <w:p w14:paraId="50ECE7AA" w14:textId="75B4A2DA" w:rsidR="004F6636" w:rsidRPr="007D04B2" w:rsidRDefault="004F6636" w:rsidP="004F6636">
      <w:pPr>
        <w:rPr>
          <w:rFonts w:cs="Arial"/>
          <w:bCs/>
          <w:iCs/>
        </w:rPr>
      </w:pPr>
      <w:r w:rsidRPr="007D04B2">
        <w:rPr>
          <w:rFonts w:cs="Arial"/>
          <w:bCs/>
          <w:iCs/>
        </w:rPr>
        <w:t xml:space="preserve">A more comprehensive explanation of spectrum licence technical frameworks is provided in the document </w:t>
      </w:r>
      <w:hyperlink r:id="rId26" w:history="1">
        <w:r w:rsidRPr="00A64DAB">
          <w:rPr>
            <w:rStyle w:val="Hyperlink"/>
            <w:rFonts w:cs="Arial"/>
            <w:bCs/>
            <w:i/>
            <w:iCs/>
          </w:rPr>
          <w:t>Know your obligations</w:t>
        </w:r>
        <w:r w:rsidR="00697737">
          <w:rPr>
            <w:rStyle w:val="Hyperlink"/>
            <w:rFonts w:cs="Arial"/>
            <w:bCs/>
            <w:i/>
            <w:iCs/>
          </w:rPr>
          <w:t xml:space="preserve"> – </w:t>
        </w:r>
        <w:r w:rsidRPr="00A64DAB">
          <w:rPr>
            <w:rStyle w:val="Hyperlink"/>
            <w:rFonts w:cs="Arial"/>
            <w:bCs/>
            <w:i/>
            <w:iCs/>
          </w:rPr>
          <w:t>Spectrum licensees</w:t>
        </w:r>
        <w:r w:rsidRPr="00A64DAB">
          <w:rPr>
            <w:rStyle w:val="Hyperlink"/>
            <w:rFonts w:cs="Arial"/>
            <w:bCs/>
            <w:iCs/>
          </w:rPr>
          <w:t>.</w:t>
        </w:r>
      </w:hyperlink>
    </w:p>
    <w:p w14:paraId="24DFD019" w14:textId="00091656" w:rsidR="004F6636" w:rsidRPr="007D04B2" w:rsidRDefault="004F6636" w:rsidP="00E05708">
      <w:pPr>
        <w:rPr>
          <w:rFonts w:cs="Arial"/>
        </w:rPr>
      </w:pPr>
      <w:r w:rsidRPr="007D04B2">
        <w:rPr>
          <w:rFonts w:cs="Arial"/>
        </w:rPr>
        <w:t>This section of the paper considers the development of each of these components</w:t>
      </w:r>
      <w:r w:rsidR="0027549B">
        <w:rPr>
          <w:rFonts w:cs="Arial"/>
        </w:rPr>
        <w:t xml:space="preserve">. This would normally include </w:t>
      </w:r>
      <w:r w:rsidRPr="007D04B2">
        <w:rPr>
          <w:rFonts w:cs="Arial"/>
        </w:rPr>
        <w:t>the standard trading unit and minimum contiguous bandwidth</w:t>
      </w:r>
      <w:r w:rsidR="0027549B">
        <w:rPr>
          <w:rFonts w:cs="Arial"/>
        </w:rPr>
        <w:t xml:space="preserve">, however, as these will not </w:t>
      </w:r>
      <w:r w:rsidR="00A926FB">
        <w:rPr>
          <w:rFonts w:cs="Arial"/>
        </w:rPr>
        <w:t>change,</w:t>
      </w:r>
      <w:r w:rsidR="0027549B">
        <w:rPr>
          <w:rFonts w:cs="Arial"/>
        </w:rPr>
        <w:t xml:space="preserve"> they are not discussed</w:t>
      </w:r>
      <w:r w:rsidRPr="007D04B2">
        <w:rPr>
          <w:rFonts w:cs="Arial"/>
        </w:rPr>
        <w:t xml:space="preserve">. </w:t>
      </w:r>
    </w:p>
    <w:p w14:paraId="302BC821" w14:textId="1D490B1F" w:rsidR="004F6636" w:rsidRPr="007D04B2" w:rsidRDefault="006419FA" w:rsidP="004F6636">
      <w:pPr>
        <w:pStyle w:val="Heading2"/>
      </w:pPr>
      <w:bookmarkStart w:id="15" w:name="_Toc56006332"/>
      <w:bookmarkStart w:id="16" w:name="_Toc84339337"/>
      <w:r>
        <w:t>1800 MHz</w:t>
      </w:r>
      <w:r w:rsidR="004F6636" w:rsidRPr="007D04B2">
        <w:t xml:space="preserve"> </w:t>
      </w:r>
      <w:r w:rsidR="004B1836">
        <w:t>b</w:t>
      </w:r>
      <w:r w:rsidR="004B1836" w:rsidRPr="007D04B2">
        <w:t xml:space="preserve">and </w:t>
      </w:r>
      <w:r w:rsidR="004B1836">
        <w:t>s</w:t>
      </w:r>
      <w:r w:rsidR="004F6636" w:rsidRPr="007D04B2">
        <w:t xml:space="preserve">pectrum </w:t>
      </w:r>
      <w:r w:rsidR="004B1836">
        <w:t>l</w:t>
      </w:r>
      <w:r w:rsidR="004F6636" w:rsidRPr="007D04B2">
        <w:t xml:space="preserve">icence </w:t>
      </w:r>
      <w:r w:rsidR="004B1836">
        <w:t>t</w:t>
      </w:r>
      <w:r w:rsidR="004F6636" w:rsidRPr="007D04B2">
        <w:t xml:space="preserve">echnical </w:t>
      </w:r>
      <w:r w:rsidR="004B1836">
        <w:t>f</w:t>
      </w:r>
      <w:r w:rsidR="004F6636" w:rsidRPr="007D04B2">
        <w:t>ramework</w:t>
      </w:r>
      <w:bookmarkEnd w:id="15"/>
      <w:bookmarkEnd w:id="16"/>
    </w:p>
    <w:p w14:paraId="0BF5E5EF" w14:textId="45FFED2A" w:rsidR="00723A48" w:rsidRPr="007D04B2" w:rsidRDefault="00FD027D" w:rsidP="00BC41EF">
      <w:pPr>
        <w:rPr>
          <w:rFonts w:cs="Arial"/>
        </w:rPr>
      </w:pPr>
      <w:r>
        <w:rPr>
          <w:rFonts w:cs="Arial"/>
        </w:rPr>
        <w:t xml:space="preserve">The current </w:t>
      </w:r>
      <w:r w:rsidR="006419FA">
        <w:rPr>
          <w:rFonts w:cs="Arial"/>
        </w:rPr>
        <w:t>1800 MHz</w:t>
      </w:r>
      <w:r w:rsidR="000F4E6F">
        <w:rPr>
          <w:rFonts w:cs="Arial"/>
        </w:rPr>
        <w:t xml:space="preserve"> </w:t>
      </w:r>
      <w:r w:rsidR="00A666C8">
        <w:rPr>
          <w:rFonts w:cs="Arial"/>
        </w:rPr>
        <w:t xml:space="preserve">spectrum licence </w:t>
      </w:r>
      <w:r w:rsidR="000F4E6F">
        <w:rPr>
          <w:rFonts w:cs="Arial"/>
        </w:rPr>
        <w:t>t</w:t>
      </w:r>
      <w:r w:rsidR="00A666C8">
        <w:rPr>
          <w:rFonts w:cs="Arial"/>
        </w:rPr>
        <w:t xml:space="preserve">echnical </w:t>
      </w:r>
      <w:r w:rsidR="00564B1A">
        <w:rPr>
          <w:rFonts w:cs="Arial"/>
        </w:rPr>
        <w:t>framework</w:t>
      </w:r>
      <w:r w:rsidR="00A666C8">
        <w:rPr>
          <w:rFonts w:cs="Arial"/>
        </w:rPr>
        <w:t xml:space="preserve"> is </w:t>
      </w:r>
      <w:r w:rsidR="000F4E6F">
        <w:rPr>
          <w:rFonts w:cs="Arial"/>
        </w:rPr>
        <w:t xml:space="preserve">optimised for </w:t>
      </w:r>
      <w:r w:rsidR="00225DC4">
        <w:rPr>
          <w:rFonts w:cs="Arial"/>
        </w:rPr>
        <w:t xml:space="preserve">the use of </w:t>
      </w:r>
      <w:r w:rsidR="00697737">
        <w:rPr>
          <w:rFonts w:cs="Arial"/>
        </w:rPr>
        <w:t>f</w:t>
      </w:r>
      <w:r w:rsidR="00225DC4">
        <w:rPr>
          <w:rFonts w:cs="Arial"/>
        </w:rPr>
        <w:t xml:space="preserve">requency </w:t>
      </w:r>
      <w:r w:rsidR="00697737">
        <w:rPr>
          <w:rFonts w:cs="Arial"/>
        </w:rPr>
        <w:t>d</w:t>
      </w:r>
      <w:r w:rsidR="00225DC4">
        <w:rPr>
          <w:rFonts w:cs="Arial"/>
        </w:rPr>
        <w:t xml:space="preserve">ivisions </w:t>
      </w:r>
      <w:r w:rsidR="00697737">
        <w:rPr>
          <w:rFonts w:cs="Arial"/>
        </w:rPr>
        <w:t>d</w:t>
      </w:r>
      <w:r w:rsidR="00225DC4">
        <w:rPr>
          <w:rFonts w:cs="Arial"/>
        </w:rPr>
        <w:t>uplex (</w:t>
      </w:r>
      <w:r w:rsidR="00C172D2">
        <w:rPr>
          <w:rFonts w:cs="Arial"/>
        </w:rPr>
        <w:t>FDD</w:t>
      </w:r>
      <w:r w:rsidR="00225DC4">
        <w:rPr>
          <w:rFonts w:cs="Arial"/>
        </w:rPr>
        <w:t>)</w:t>
      </w:r>
      <w:r w:rsidR="00C172D2">
        <w:rPr>
          <w:rFonts w:cs="Arial"/>
        </w:rPr>
        <w:t xml:space="preserve"> </w:t>
      </w:r>
      <w:r w:rsidR="000F4E6F">
        <w:rPr>
          <w:rFonts w:cs="Arial"/>
        </w:rPr>
        <w:t>technologies</w:t>
      </w:r>
      <w:r w:rsidR="00A666C8">
        <w:rPr>
          <w:rFonts w:cs="Arial"/>
        </w:rPr>
        <w:t xml:space="preserve">. The ACMA </w:t>
      </w:r>
      <w:r w:rsidR="00564B1A">
        <w:rPr>
          <w:rFonts w:cs="Arial"/>
        </w:rPr>
        <w:t>believes</w:t>
      </w:r>
      <w:r w:rsidR="00A666C8">
        <w:rPr>
          <w:rFonts w:cs="Arial"/>
        </w:rPr>
        <w:t xml:space="preserve"> that the </w:t>
      </w:r>
      <w:r w:rsidR="00225DC4">
        <w:rPr>
          <w:rFonts w:cs="Arial"/>
        </w:rPr>
        <w:t xml:space="preserve">continued optimisation </w:t>
      </w:r>
      <w:r w:rsidR="00A666C8">
        <w:rPr>
          <w:rFonts w:cs="Arial"/>
        </w:rPr>
        <w:t>arrangement</w:t>
      </w:r>
      <w:r w:rsidR="00225DC4">
        <w:rPr>
          <w:rFonts w:cs="Arial"/>
        </w:rPr>
        <w:t>s</w:t>
      </w:r>
      <w:r w:rsidR="00A666C8">
        <w:rPr>
          <w:rFonts w:cs="Arial"/>
        </w:rPr>
        <w:t xml:space="preserve"> </w:t>
      </w:r>
      <w:r w:rsidR="00225DC4">
        <w:rPr>
          <w:rFonts w:cs="Arial"/>
        </w:rPr>
        <w:t>for FDD</w:t>
      </w:r>
      <w:r w:rsidR="00A666C8">
        <w:rPr>
          <w:rFonts w:cs="Arial"/>
        </w:rPr>
        <w:t xml:space="preserve"> is appropriate for </w:t>
      </w:r>
      <w:r w:rsidR="00564B1A">
        <w:rPr>
          <w:rFonts w:cs="Arial"/>
        </w:rPr>
        <w:t>future use of this</w:t>
      </w:r>
      <w:r w:rsidR="00B06982">
        <w:rPr>
          <w:rFonts w:cs="Arial"/>
        </w:rPr>
        <w:t> </w:t>
      </w:r>
      <w:r w:rsidR="00564B1A">
        <w:rPr>
          <w:rFonts w:cs="Arial"/>
        </w:rPr>
        <w:t>band.</w:t>
      </w:r>
      <w:r w:rsidR="00723A48" w:rsidRPr="007D04B2">
        <w:rPr>
          <w:rFonts w:cs="Arial"/>
        </w:rPr>
        <w:t xml:space="preserve"> </w:t>
      </w:r>
    </w:p>
    <w:p w14:paraId="158D4705" w14:textId="7410FAE0" w:rsidR="004432BB" w:rsidRPr="007D04B2" w:rsidRDefault="00427431" w:rsidP="005438AE">
      <w:pPr>
        <w:spacing w:before="240" w:after="80"/>
        <w:rPr>
          <w:rFonts w:cs="Arial"/>
        </w:rPr>
      </w:pPr>
      <w:r w:rsidRPr="007D04B2">
        <w:rPr>
          <w:rFonts w:cs="Arial"/>
        </w:rPr>
        <w:t>The r</w:t>
      </w:r>
      <w:r w:rsidR="004432BB" w:rsidRPr="007D04B2">
        <w:rPr>
          <w:rFonts w:cs="Arial"/>
        </w:rPr>
        <w:t xml:space="preserve">elevant </w:t>
      </w:r>
      <w:r w:rsidR="006419FA">
        <w:rPr>
          <w:rFonts w:cs="Arial"/>
        </w:rPr>
        <w:t>1800 MHz</w:t>
      </w:r>
      <w:r w:rsidR="004432BB" w:rsidRPr="007D04B2">
        <w:rPr>
          <w:rFonts w:cs="Arial"/>
        </w:rPr>
        <w:t xml:space="preserve"> band technical framework instruments are:</w:t>
      </w:r>
    </w:p>
    <w:p w14:paraId="6BD3E9C3" w14:textId="041C6EDE" w:rsidR="00C06D8C" w:rsidRPr="0062295F" w:rsidRDefault="00C06D8C" w:rsidP="00C06D8C">
      <w:pPr>
        <w:pStyle w:val="ListBullet"/>
        <w:rPr>
          <w:rStyle w:val="Hyperlink"/>
          <w:rFonts w:cs="Arial"/>
          <w:color w:val="auto"/>
          <w:u w:val="none"/>
        </w:rPr>
      </w:pPr>
      <w:r w:rsidRPr="007D04B2">
        <w:t xml:space="preserve">Spectrum </w:t>
      </w:r>
      <w:r w:rsidR="00B06982">
        <w:t>l</w:t>
      </w:r>
      <w:r w:rsidRPr="007D04B2">
        <w:t>icence (</w:t>
      </w:r>
      <w:hyperlink r:id="rId27" w:history="1">
        <w:r>
          <w:rPr>
            <w:rStyle w:val="Hyperlink"/>
            <w:rFonts w:cs="Arial"/>
          </w:rPr>
          <w:t>c</w:t>
        </w:r>
        <w:r w:rsidRPr="007D04B2">
          <w:rPr>
            <w:rStyle w:val="Hyperlink"/>
            <w:rFonts w:cs="Arial"/>
          </w:rPr>
          <w:t>urrent licence holders and copies of licences</w:t>
        </w:r>
      </w:hyperlink>
      <w:r w:rsidR="00B06982" w:rsidRPr="00322232">
        <w:rPr>
          <w:rStyle w:val="Hyperlink"/>
          <w:rFonts w:cs="Arial"/>
          <w:color w:val="auto"/>
          <w:u w:val="none"/>
        </w:rPr>
        <w:t>)</w:t>
      </w:r>
    </w:p>
    <w:p w14:paraId="494B7DE8" w14:textId="51D5FED5" w:rsidR="00C06D8C" w:rsidRPr="005438AE" w:rsidRDefault="00FA4B0C" w:rsidP="00C06D8C">
      <w:pPr>
        <w:pStyle w:val="ListBullet"/>
        <w:rPr>
          <w:rStyle w:val="Hyperlink"/>
          <w:bCs/>
        </w:rPr>
      </w:pPr>
      <w:hyperlink r:id="rId28" w:history="1">
        <w:r w:rsidR="00C06D8C" w:rsidRPr="00457AA7">
          <w:rPr>
            <w:rStyle w:val="Hyperlink"/>
            <w:bCs/>
          </w:rPr>
          <w:t xml:space="preserve">Radiocommunications (Unacceptable Levels of Interference </w:t>
        </w:r>
        <w:r w:rsidR="00B06982" w:rsidRPr="00B06982">
          <w:rPr>
            <w:rStyle w:val="Hyperlink"/>
            <w:bCs/>
          </w:rPr>
          <w:t>—</w:t>
        </w:r>
        <w:r w:rsidR="00C06D8C" w:rsidRPr="00457AA7">
          <w:rPr>
            <w:rStyle w:val="Hyperlink"/>
            <w:bCs/>
          </w:rPr>
          <w:t xml:space="preserve"> 1800 MHz Band) Determination 20</w:t>
        </w:r>
        <w:r w:rsidR="00C06D8C" w:rsidRPr="00540B0E">
          <w:rPr>
            <w:rStyle w:val="Hyperlink"/>
            <w:bCs/>
          </w:rPr>
          <w:t>12</w:t>
        </w:r>
      </w:hyperlink>
    </w:p>
    <w:p w14:paraId="2DF47CA2" w14:textId="77777777" w:rsidR="00C06D8C" w:rsidRPr="005438AE" w:rsidRDefault="00C06D8C" w:rsidP="00C06D8C">
      <w:pPr>
        <w:pStyle w:val="ListBullet"/>
        <w:rPr>
          <w:rStyle w:val="Hyperlink"/>
          <w:bCs/>
        </w:rPr>
      </w:pPr>
      <w:r w:rsidRPr="005438AE">
        <w:rPr>
          <w:bCs/>
        </w:rPr>
        <w:fldChar w:fldCharType="begin"/>
      </w:r>
      <w:r>
        <w:rPr>
          <w:bCs/>
        </w:rPr>
        <w:instrText>HYPERLINK "https://www.legislation.gov.au/Details/F2017C01051" \t "_self"</w:instrText>
      </w:r>
      <w:r w:rsidRPr="005438AE">
        <w:rPr>
          <w:bCs/>
        </w:rPr>
        <w:fldChar w:fldCharType="separate"/>
      </w:r>
      <w:r w:rsidRPr="005438AE">
        <w:rPr>
          <w:rStyle w:val="Hyperlink"/>
          <w:bCs/>
        </w:rPr>
        <w:t xml:space="preserve">Radiocommunications Advisory Guidelines (Managing Interference from Spectrum Licensed Transmitters — </w:t>
      </w:r>
      <w:r>
        <w:rPr>
          <w:rStyle w:val="Hyperlink"/>
          <w:bCs/>
        </w:rPr>
        <w:t>1800</w:t>
      </w:r>
      <w:r w:rsidRPr="005438AE">
        <w:rPr>
          <w:rStyle w:val="Hyperlink"/>
          <w:bCs/>
        </w:rPr>
        <w:t xml:space="preserve"> </w:t>
      </w:r>
      <w:r>
        <w:rPr>
          <w:rStyle w:val="Hyperlink"/>
          <w:bCs/>
        </w:rPr>
        <w:t>M</w:t>
      </w:r>
      <w:r w:rsidRPr="005438AE">
        <w:rPr>
          <w:rStyle w:val="Hyperlink"/>
          <w:bCs/>
        </w:rPr>
        <w:t>Hz Band) 201</w:t>
      </w:r>
      <w:r>
        <w:rPr>
          <w:rStyle w:val="Hyperlink"/>
          <w:bCs/>
        </w:rPr>
        <w:t>2</w:t>
      </w:r>
    </w:p>
    <w:p w14:paraId="4D02C556" w14:textId="1C00D580" w:rsidR="001A7E3B" w:rsidRPr="001A7E3B" w:rsidRDefault="00C06D8C" w:rsidP="001A7E3B">
      <w:pPr>
        <w:pStyle w:val="ListBullet"/>
        <w:rPr>
          <w:bCs/>
        </w:rPr>
      </w:pPr>
      <w:r w:rsidRPr="005438AE">
        <w:rPr>
          <w:bCs/>
        </w:rPr>
        <w:fldChar w:fldCharType="end"/>
      </w:r>
      <w:hyperlink r:id="rId29" w:history="1">
        <w:r w:rsidR="001A7E3B" w:rsidRPr="001A7E3B">
          <w:rPr>
            <w:rStyle w:val="Hyperlink"/>
            <w:bCs/>
          </w:rPr>
          <w:t>Radiocommunications Advisory Guidelines (Managing Interference to Spectrum Licensed Receivers – 1800 MHz Band) 2012</w:t>
        </w:r>
      </w:hyperlink>
    </w:p>
    <w:p w14:paraId="6C073040" w14:textId="199E1676" w:rsidR="00C06D8C" w:rsidRPr="007D04B2" w:rsidRDefault="001927E9" w:rsidP="00322232">
      <w:pPr>
        <w:pStyle w:val="ListBullet"/>
        <w:spacing w:after="240"/>
        <w:rPr>
          <w:rFonts w:cs="Arial"/>
        </w:rPr>
      </w:pPr>
      <w:hyperlink r:id="rId30" w:history="1">
        <w:r w:rsidR="001A7E3B" w:rsidRPr="00C651CA">
          <w:rPr>
            <w:rStyle w:val="Hyperlink"/>
            <w:bCs/>
          </w:rPr>
          <w:t>Radiocommunicatio</w:t>
        </w:r>
        <w:r w:rsidR="001A7E3B" w:rsidRPr="00C651CA">
          <w:rPr>
            <w:rStyle w:val="Hyperlink"/>
            <w:bCs/>
          </w:rPr>
          <w:t>n</w:t>
        </w:r>
        <w:r w:rsidR="001A7E3B" w:rsidRPr="00C651CA">
          <w:rPr>
            <w:rStyle w:val="Hyperlink"/>
            <w:bCs/>
          </w:rPr>
          <w:t>s Advisory Guidelines (</w:t>
        </w:r>
        <w:r w:rsidR="00594B37" w:rsidRPr="00594B37">
          <w:rPr>
            <w:rStyle w:val="Hyperlink"/>
            <w:bCs/>
          </w:rPr>
          <w:t>Additional Device Boundary Criteria – 1800 MHz Lower Band</w:t>
        </w:r>
        <w:r w:rsidR="001A7E3B" w:rsidRPr="00C651CA">
          <w:rPr>
            <w:rStyle w:val="Hyperlink"/>
            <w:bCs/>
          </w:rPr>
          <w:t>) 2012</w:t>
        </w:r>
      </w:hyperlink>
      <w:r w:rsidR="00B06982" w:rsidRPr="00322232">
        <w:rPr>
          <w:rStyle w:val="Hyperlink"/>
          <w:bCs/>
          <w:color w:val="auto"/>
          <w:u w:val="none"/>
        </w:rPr>
        <w:t>.</w:t>
      </w:r>
    </w:p>
    <w:p w14:paraId="109DCB9C" w14:textId="0FF01BA2" w:rsidR="004276E5" w:rsidRPr="007D04B2" w:rsidRDefault="004276E5" w:rsidP="005438AE">
      <w:pPr>
        <w:pStyle w:val="Heading2"/>
        <w:keepLines/>
        <w:spacing w:before="480"/>
      </w:pPr>
      <w:bookmarkStart w:id="17" w:name="_Toc403740552"/>
      <w:bookmarkStart w:id="18" w:name="_Toc404333447"/>
      <w:bookmarkStart w:id="19" w:name="_Toc444690625"/>
      <w:bookmarkStart w:id="20" w:name="_Toc56006333"/>
      <w:bookmarkStart w:id="21" w:name="_Toc84339338"/>
      <w:r w:rsidRPr="007D04B2">
        <w:lastRenderedPageBreak/>
        <w:t>Conditions on the spectrum licence</w:t>
      </w:r>
      <w:bookmarkEnd w:id="17"/>
      <w:bookmarkEnd w:id="18"/>
      <w:bookmarkEnd w:id="19"/>
      <w:bookmarkEnd w:id="20"/>
      <w:bookmarkEnd w:id="21"/>
    </w:p>
    <w:p w14:paraId="62BC3C3A" w14:textId="77777777" w:rsidR="004276E5" w:rsidRPr="007D04B2" w:rsidRDefault="004276E5" w:rsidP="005438AE">
      <w:pPr>
        <w:keepNext/>
        <w:keepLines/>
        <w:spacing w:before="80" w:after="80"/>
        <w:rPr>
          <w:rFonts w:cs="Arial"/>
          <w:bCs/>
          <w:iCs/>
        </w:rPr>
      </w:pPr>
      <w:r w:rsidRPr="007D04B2">
        <w:rPr>
          <w:rFonts w:cs="Arial"/>
          <w:bCs/>
          <w:iCs/>
        </w:rPr>
        <w:t>Each spectrum licence includes both core conditions and statutory conditions specified under relevant sections of the Act. The Act also provides that other specific conditions may be included by the ACMA.</w:t>
      </w:r>
    </w:p>
    <w:p w14:paraId="6A5F6A2A" w14:textId="77853CBD" w:rsidR="004276E5" w:rsidRPr="007D04B2" w:rsidRDefault="004276E5" w:rsidP="005438AE">
      <w:pPr>
        <w:pStyle w:val="ListBullet"/>
        <w:keepNext/>
        <w:keepLines/>
      </w:pPr>
      <w:r w:rsidRPr="007D04B2">
        <w:rPr>
          <w:b/>
        </w:rPr>
        <w:t>Core conditions</w:t>
      </w:r>
      <w:r w:rsidR="00B06982">
        <w:rPr>
          <w:b/>
        </w:rPr>
        <w:t xml:space="preserve"> </w:t>
      </w:r>
      <w:r w:rsidRPr="007D04B2">
        <w:t>—</w:t>
      </w:r>
      <w:r w:rsidR="00B06982">
        <w:t xml:space="preserve"> </w:t>
      </w:r>
      <w:r w:rsidRPr="007D04B2">
        <w:t>required under section 66, these conditions define the spectrum space within which the licensee is authorised to operate radiocommunications devices under the licence, and the maximum permitted level of radio emissions inside and outside the band. These conditions are included in all spectrum licences.</w:t>
      </w:r>
    </w:p>
    <w:p w14:paraId="6978B914" w14:textId="383734B3" w:rsidR="004276E5" w:rsidRPr="007D04B2" w:rsidRDefault="004276E5" w:rsidP="004276E5">
      <w:pPr>
        <w:pStyle w:val="ListBullet"/>
      </w:pPr>
      <w:r w:rsidRPr="007D04B2">
        <w:rPr>
          <w:b/>
        </w:rPr>
        <w:t>Statutory conditions</w:t>
      </w:r>
      <w:r w:rsidR="00B06982">
        <w:rPr>
          <w:b/>
        </w:rPr>
        <w:t xml:space="preserve"> </w:t>
      </w:r>
      <w:r w:rsidRPr="007D04B2">
        <w:t>—</w:t>
      </w:r>
      <w:r w:rsidR="00B06982">
        <w:t xml:space="preserve"> </w:t>
      </w:r>
      <w:r w:rsidRPr="007D04B2">
        <w:t>required under sections 67 to 69A, these conditions include information about payment of charges, use by third parties, residency, registration of transmitters and devices exempt from registration. These conditions are included in all spectrum licences.</w:t>
      </w:r>
    </w:p>
    <w:p w14:paraId="57611CB7" w14:textId="0DC15BFA" w:rsidR="004276E5" w:rsidRPr="007D04B2" w:rsidRDefault="004276E5" w:rsidP="004276E5">
      <w:pPr>
        <w:pStyle w:val="ListBullet"/>
        <w:spacing w:after="240"/>
      </w:pPr>
      <w:r w:rsidRPr="007D04B2">
        <w:rPr>
          <w:b/>
        </w:rPr>
        <w:t>Other conditions</w:t>
      </w:r>
      <w:r w:rsidR="00B06982">
        <w:rPr>
          <w:b/>
        </w:rPr>
        <w:t xml:space="preserve"> </w:t>
      </w:r>
      <w:r w:rsidRPr="007D04B2">
        <w:t>—</w:t>
      </w:r>
      <w:r w:rsidR="00B06982">
        <w:t xml:space="preserve"> </w:t>
      </w:r>
      <w:r w:rsidRPr="007D04B2">
        <w:t>conditions placed on licences under section 71 generally provide for the efficient management of the spectrum and administration of the Act. These conditions may vary from one band or licence to another.</w:t>
      </w:r>
    </w:p>
    <w:p w14:paraId="43977A43" w14:textId="77777777" w:rsidR="004276E5" w:rsidRPr="007D04B2" w:rsidRDefault="004276E5" w:rsidP="004276E5">
      <w:pPr>
        <w:spacing w:after="80"/>
      </w:pPr>
      <w:r w:rsidRPr="007D04B2">
        <w:t>The core conditions of a spectrum licence form the fundamental building blocks for operation of a spectrum-licensed device, and for managing interference with adjacent frequency bands and geographic areas. Section 66 of the Act states spectrum licences must specify the following core conditions:</w:t>
      </w:r>
    </w:p>
    <w:p w14:paraId="253A37C1" w14:textId="77777777" w:rsidR="004276E5" w:rsidRPr="007D04B2" w:rsidRDefault="004276E5" w:rsidP="004276E5">
      <w:pPr>
        <w:pStyle w:val="ListBullet"/>
      </w:pPr>
      <w:r w:rsidRPr="007D04B2">
        <w:t>the part or parts of the spectrum in which operation of radiocommunications devices is authorised under the licence (frequency range of operation)</w:t>
      </w:r>
    </w:p>
    <w:p w14:paraId="4579B1AB" w14:textId="77777777" w:rsidR="004276E5" w:rsidRPr="007D04B2" w:rsidRDefault="004276E5" w:rsidP="004276E5">
      <w:pPr>
        <w:pStyle w:val="ListBullet"/>
      </w:pPr>
      <w:r w:rsidRPr="007D04B2">
        <w:t>the maximum permitted level of radio emission, in parts of the spectrum outside the frequency range specified on the licence, that may be caused by operation of radiocommunications devices under the licence (outside-the-band emission)</w:t>
      </w:r>
    </w:p>
    <w:p w14:paraId="68A1BCB1" w14:textId="77777777" w:rsidR="004276E5" w:rsidRPr="007D04B2" w:rsidRDefault="004276E5" w:rsidP="004276E5">
      <w:pPr>
        <w:pStyle w:val="ListBullet"/>
      </w:pPr>
      <w:r w:rsidRPr="007D04B2">
        <w:t>the area within which operation of radiocommunications devices is authorised under the licence (geographic area of operation)</w:t>
      </w:r>
    </w:p>
    <w:p w14:paraId="1FD0CEC2" w14:textId="77777777" w:rsidR="004276E5" w:rsidRPr="007D04B2" w:rsidRDefault="004276E5" w:rsidP="004276E5">
      <w:pPr>
        <w:pStyle w:val="ListBullet"/>
        <w:spacing w:after="240"/>
      </w:pPr>
      <w:r w:rsidRPr="007D04B2">
        <w:t>the maximum permitted level of radio emission that may be caused by the operation of radiocommunications devices under the licence (outside-the-area emission).</w:t>
      </w:r>
    </w:p>
    <w:p w14:paraId="730A71EA" w14:textId="72C10CF9" w:rsidR="006F188E" w:rsidRPr="007D04B2" w:rsidRDefault="006F188E" w:rsidP="00322232">
      <w:pPr>
        <w:pStyle w:val="Heading3"/>
      </w:pPr>
      <w:bookmarkStart w:id="22" w:name="_Toc506899797"/>
      <w:bookmarkStart w:id="23" w:name="_Toc56006334"/>
      <w:bookmarkStart w:id="24" w:name="_Toc84339339"/>
      <w:r w:rsidRPr="007D04B2">
        <w:t>In-band emission limits</w:t>
      </w:r>
      <w:bookmarkEnd w:id="22"/>
      <w:bookmarkEnd w:id="23"/>
      <w:bookmarkEnd w:id="24"/>
    </w:p>
    <w:p w14:paraId="30484389" w14:textId="792230FF" w:rsidR="009E4909" w:rsidRPr="007D04B2" w:rsidRDefault="00163578" w:rsidP="005438AE">
      <w:pPr>
        <w:spacing w:after="80"/>
      </w:pPr>
      <w:r w:rsidRPr="007D04B2">
        <w:t>T</w:t>
      </w:r>
      <w:r w:rsidR="009E4909" w:rsidRPr="007D04B2">
        <w:t xml:space="preserve">he </w:t>
      </w:r>
      <w:r w:rsidR="006F188E" w:rsidRPr="007D04B2">
        <w:t xml:space="preserve">current in-band emission limits </w:t>
      </w:r>
      <w:r w:rsidRPr="007D04B2">
        <w:t>for</w:t>
      </w:r>
      <w:r w:rsidR="006F188E" w:rsidRPr="007D04B2">
        <w:t xml:space="preserve"> </w:t>
      </w:r>
      <w:r w:rsidR="006419FA">
        <w:t>1800 MHz</w:t>
      </w:r>
      <w:r w:rsidR="006F188E" w:rsidRPr="007D04B2">
        <w:t xml:space="preserve"> band</w:t>
      </w:r>
      <w:r w:rsidR="009E4909" w:rsidRPr="007D04B2">
        <w:t xml:space="preserve"> </w:t>
      </w:r>
      <w:r w:rsidR="00863AB1" w:rsidRPr="007D04B2">
        <w:t xml:space="preserve">spectrum licences </w:t>
      </w:r>
      <w:r w:rsidR="00377F0F" w:rsidRPr="007D04B2">
        <w:t>are</w:t>
      </w:r>
      <w:r w:rsidR="00B06982">
        <w:t xml:space="preserve"> either</w:t>
      </w:r>
      <w:r w:rsidR="009E4909" w:rsidRPr="007D04B2">
        <w:t>:</w:t>
      </w:r>
    </w:p>
    <w:p w14:paraId="707C8E40" w14:textId="6407556A" w:rsidR="009E4909" w:rsidRPr="007D04B2" w:rsidRDefault="00183BF5" w:rsidP="005438AE">
      <w:pPr>
        <w:pStyle w:val="ListBullet"/>
      </w:pPr>
      <w:r>
        <w:t xml:space="preserve">50 </w:t>
      </w:r>
      <w:r w:rsidR="009E4909" w:rsidRPr="007D04B2">
        <w:t>dBm/</w:t>
      </w:r>
      <w:r>
        <w:t>30</w:t>
      </w:r>
      <w:r w:rsidRPr="007D04B2">
        <w:t xml:space="preserve"> </w:t>
      </w:r>
      <w:r>
        <w:t>k</w:t>
      </w:r>
      <w:r w:rsidR="009E4909" w:rsidRPr="007D04B2">
        <w:t xml:space="preserve">Hz </w:t>
      </w:r>
      <w:r w:rsidR="00377F0F" w:rsidRPr="007D04B2">
        <w:t>EIRP</w:t>
      </w:r>
      <w:r w:rsidR="007150CA">
        <w:rPr>
          <w:rStyle w:val="FootnoteReference"/>
          <w:rFonts w:cs="Arial"/>
        </w:rPr>
        <w:footnoteReference w:id="3"/>
      </w:r>
      <w:r w:rsidR="00377F0F" w:rsidRPr="007D04B2">
        <w:t xml:space="preserve"> </w:t>
      </w:r>
      <w:r w:rsidR="009E4909" w:rsidRPr="007D04B2">
        <w:t xml:space="preserve">in </w:t>
      </w:r>
      <w:r w:rsidR="007150CA">
        <w:t xml:space="preserve">the </w:t>
      </w:r>
      <w:r w:rsidR="009E4909" w:rsidRPr="007D04B2">
        <w:t xml:space="preserve">upper </w:t>
      </w:r>
      <w:r w:rsidR="00183F96">
        <w:t>2.</w:t>
      </w:r>
      <w:r w:rsidR="009E4909" w:rsidRPr="007D04B2">
        <w:t xml:space="preserve">5 MHz </w:t>
      </w:r>
      <w:r w:rsidR="006D0DEC">
        <w:t xml:space="preserve">of the upper band </w:t>
      </w:r>
      <w:r w:rsidR="00B06982">
        <w:br/>
      </w:r>
      <w:r w:rsidR="006D0DEC">
        <w:t>(1877.5 MHz to 1880 MHz)</w:t>
      </w:r>
    </w:p>
    <w:p w14:paraId="676D561A" w14:textId="0864B58D" w:rsidR="009E4909" w:rsidRPr="007D04B2" w:rsidRDefault="006D0DEC" w:rsidP="005438AE">
      <w:pPr>
        <w:pStyle w:val="ListBulletLast"/>
      </w:pPr>
      <w:r>
        <w:t>54.5</w:t>
      </w:r>
      <w:r w:rsidRPr="007D04B2">
        <w:t xml:space="preserve"> </w:t>
      </w:r>
      <w:r w:rsidR="009E4909" w:rsidRPr="007D04B2">
        <w:t>dBm/</w:t>
      </w:r>
      <w:r>
        <w:t>30 k</w:t>
      </w:r>
      <w:r w:rsidR="009E4909" w:rsidRPr="007D04B2">
        <w:t>Hz</w:t>
      </w:r>
      <w:r w:rsidR="00377F0F" w:rsidRPr="007D04B2">
        <w:t xml:space="preserve"> EIRP</w:t>
      </w:r>
      <w:r w:rsidR="00FF1EBE" w:rsidRPr="007D04B2">
        <w:t>.</w:t>
      </w:r>
    </w:p>
    <w:p w14:paraId="04469702" w14:textId="20B607D6" w:rsidR="009635FB" w:rsidRDefault="003802C6" w:rsidP="003802C6">
      <w:r>
        <w:t xml:space="preserve">While traditionally emission limits in technical and regulatory frameworks have been defined in terms of EIRP, there is a general preference to define emission limits for services using AAS in the form of </w:t>
      </w:r>
      <w:r w:rsidR="00B06982">
        <w:t>t</w:t>
      </w:r>
      <w:r>
        <w:t xml:space="preserve">otal </w:t>
      </w:r>
      <w:r w:rsidR="00B06982">
        <w:t>r</w:t>
      </w:r>
      <w:r>
        <w:t xml:space="preserve">adiated </w:t>
      </w:r>
      <w:r w:rsidR="00B06982">
        <w:t>p</w:t>
      </w:r>
      <w:r>
        <w:t xml:space="preserve">ower (TRP). This is considered to more accurately reflect </w:t>
      </w:r>
      <w:r w:rsidR="009635FB" w:rsidRPr="009635FB">
        <w:t xml:space="preserve">and limit the risk of interference </w:t>
      </w:r>
      <w:r>
        <w:t xml:space="preserve">presented by AAS (refer to section 6.3.2.1 of </w:t>
      </w:r>
      <w:hyperlink r:id="rId31" w:history="1">
        <w:r w:rsidRPr="007D04B2">
          <w:rPr>
            <w:rStyle w:val="Hyperlink"/>
            <w:rFonts w:cs="Arial"/>
          </w:rPr>
          <w:t>ECC Report 281</w:t>
        </w:r>
      </w:hyperlink>
      <w:r w:rsidRPr="00322232">
        <w:rPr>
          <w:rStyle w:val="Hyperlink"/>
          <w:rFonts w:cs="Arial"/>
          <w:color w:val="auto"/>
          <w:u w:val="none"/>
        </w:rPr>
        <w:t>)</w:t>
      </w:r>
      <w:r>
        <w:t xml:space="preserve">. </w:t>
      </w:r>
      <w:r w:rsidR="009635FB" w:rsidRPr="009635FB">
        <w:t xml:space="preserve"> </w:t>
      </w:r>
    </w:p>
    <w:p w14:paraId="522BA41B" w14:textId="02574F9F" w:rsidR="003802C6" w:rsidRDefault="009635FB" w:rsidP="003802C6">
      <w:r w:rsidRPr="009635FB">
        <w:t>Section 6.3.2.1 of ECC Report 281 provides a comparison on the use of TRP vs EIRP metrics to specify AAS emissions. Based on 3GPP studies</w:t>
      </w:r>
      <w:r w:rsidR="00242BEA">
        <w:t>,</w:t>
      </w:r>
      <w:r>
        <w:rPr>
          <w:rStyle w:val="FootnoteReference"/>
        </w:rPr>
        <w:footnoteReference w:id="4"/>
      </w:r>
      <w:r w:rsidRPr="009635FB">
        <w:t xml:space="preserve"> the impact of unwanted emissions on the adjacent mobile systems is best represented and limited by use of </w:t>
      </w:r>
      <w:r w:rsidRPr="009635FB">
        <w:lastRenderedPageBreak/>
        <w:t>TRP. While these studies apply to mobile systems, similar logic is considered to apply</w:t>
      </w:r>
      <w:r w:rsidR="00AB0A24">
        <w:t xml:space="preserve"> for interference</w:t>
      </w:r>
      <w:r w:rsidRPr="009635FB">
        <w:t xml:space="preserve"> to other services.</w:t>
      </w:r>
      <w:r w:rsidR="00473258">
        <w:t xml:space="preserve"> </w:t>
      </w:r>
    </w:p>
    <w:p w14:paraId="03E8AB61" w14:textId="1D57DFCE" w:rsidR="003F4263" w:rsidRDefault="003F4263" w:rsidP="008E72D1">
      <w:pPr>
        <w:pStyle w:val="ListBullet"/>
        <w:numPr>
          <w:ilvl w:val="0"/>
          <w:numId w:val="0"/>
        </w:numPr>
        <w:spacing w:after="240"/>
      </w:pPr>
      <w:r w:rsidRPr="00602151">
        <w:t xml:space="preserve">Importantly, it is not intended that </w:t>
      </w:r>
      <w:r w:rsidR="007239DD" w:rsidRPr="00FD023A">
        <w:t xml:space="preserve">use of TRP </w:t>
      </w:r>
      <w:r w:rsidRPr="00602151">
        <w:t xml:space="preserve">replace the need for spectrum licensees to coordinated with other </w:t>
      </w:r>
      <w:r w:rsidRPr="0038741C">
        <w:t>services</w:t>
      </w:r>
      <w:r>
        <w:t>, with known locations,</w:t>
      </w:r>
      <w:r w:rsidRPr="0038741C">
        <w:t xml:space="preserve"> using actual EIRP values. This requirement, along with the defined protection criteria</w:t>
      </w:r>
      <w:r w:rsidRPr="00DB5756">
        <w:t xml:space="preserve"> for other services</w:t>
      </w:r>
      <w:r w:rsidRPr="00D644ED">
        <w:t xml:space="preserve"> will not change.</w:t>
      </w:r>
      <w:r w:rsidRPr="00602151">
        <w:t xml:space="preserve">  </w:t>
      </w:r>
    </w:p>
    <w:p w14:paraId="312BB4DB" w14:textId="37BC527F" w:rsidR="00473258" w:rsidRDefault="007239DD" w:rsidP="008E72D1">
      <w:r w:rsidRPr="00FD023A">
        <w:t xml:space="preserve">The use of TRP </w:t>
      </w:r>
      <w:r w:rsidR="00473258">
        <w:t>also</w:t>
      </w:r>
      <w:r w:rsidR="003F4263">
        <w:t xml:space="preserve"> </w:t>
      </w:r>
      <w:r w:rsidR="002E483D" w:rsidRPr="003F4263">
        <w:t xml:space="preserve">provides a </w:t>
      </w:r>
      <w:r w:rsidR="002E483D" w:rsidRPr="00FD023A">
        <w:t xml:space="preserve">level of flexibility to the technical framework that will help it accommodate future </w:t>
      </w:r>
      <w:r w:rsidR="00EC286D">
        <w:t>technologies</w:t>
      </w:r>
      <w:r w:rsidR="003F4263">
        <w:t>.</w:t>
      </w:r>
      <w:r w:rsidR="004D2B1A" w:rsidRPr="008E72D1">
        <w:t xml:space="preserve"> </w:t>
      </w:r>
    </w:p>
    <w:p w14:paraId="5DAB1B2F" w14:textId="223091B9" w:rsidR="00591951" w:rsidRDefault="00F62C12" w:rsidP="00322232">
      <w:pPr>
        <w:spacing w:before="240" w:after="60"/>
      </w:pPr>
      <w:r>
        <w:t xml:space="preserve">Considering the </w:t>
      </w:r>
      <w:r w:rsidR="00E32DCC">
        <w:t xml:space="preserve">current </w:t>
      </w:r>
      <w:r w:rsidR="008B1E45">
        <w:t xml:space="preserve">EIRP </w:t>
      </w:r>
      <w:r w:rsidR="00E32DCC">
        <w:t xml:space="preserve">in-band limit of </w:t>
      </w:r>
      <w:r w:rsidR="007C5D79">
        <w:t xml:space="preserve">54.5 </w:t>
      </w:r>
      <w:r w:rsidR="00E32DCC">
        <w:t>dBm/</w:t>
      </w:r>
      <w:r w:rsidR="007C5D79">
        <w:t>30 kHz</w:t>
      </w:r>
      <w:r w:rsidR="008B1E45">
        <w:t xml:space="preserve">, </w:t>
      </w:r>
      <w:r w:rsidR="00591951">
        <w:t>the following in</w:t>
      </w:r>
      <w:r w:rsidR="00B17446">
        <w:t>-</w:t>
      </w:r>
      <w:r w:rsidR="00591951">
        <w:t xml:space="preserve">band limits were proposed </w:t>
      </w:r>
      <w:r w:rsidR="00EE14BD">
        <w:t>and</w:t>
      </w:r>
      <w:r w:rsidR="008B1E45">
        <w:t xml:space="preserve"> agreed </w:t>
      </w:r>
      <w:r w:rsidR="00217B72">
        <w:t xml:space="preserve">by </w:t>
      </w:r>
      <w:r w:rsidR="00812DA7">
        <w:t xml:space="preserve">1800 MHz band </w:t>
      </w:r>
      <w:r w:rsidR="00242BEA">
        <w:t>s</w:t>
      </w:r>
      <w:r w:rsidR="00812DA7">
        <w:t xml:space="preserve">pectrum </w:t>
      </w:r>
      <w:r w:rsidR="00242BEA">
        <w:t>l</w:t>
      </w:r>
      <w:r w:rsidR="00812DA7">
        <w:t>icensee</w:t>
      </w:r>
      <w:r w:rsidR="00217B72">
        <w:t>s</w:t>
      </w:r>
      <w:r w:rsidR="00591951">
        <w:t>:</w:t>
      </w:r>
    </w:p>
    <w:p w14:paraId="29839C75" w14:textId="5E30520B" w:rsidR="00591951" w:rsidRDefault="00F42681" w:rsidP="000055E6">
      <w:pPr>
        <w:pStyle w:val="ListBullet"/>
      </w:pPr>
      <w:r>
        <w:t>EIRP of</w:t>
      </w:r>
      <w:r w:rsidR="008B1E45">
        <w:t xml:space="preserve"> </w:t>
      </w:r>
      <w:r w:rsidR="006F4910">
        <w:t xml:space="preserve">54.5 dBm/30 kHz for </w:t>
      </w:r>
      <w:r w:rsidR="00591951">
        <w:t>GSM-R services</w:t>
      </w:r>
      <w:r w:rsidR="006F4910">
        <w:t xml:space="preserve"> </w:t>
      </w:r>
    </w:p>
    <w:p w14:paraId="62BE92F2" w14:textId="0839D73F" w:rsidR="00591951" w:rsidRDefault="008B1E45" w:rsidP="000055E6">
      <w:pPr>
        <w:pStyle w:val="ListBullet"/>
      </w:pPr>
      <w:r>
        <w:t xml:space="preserve">TRP of </w:t>
      </w:r>
      <w:r w:rsidR="007C5D79">
        <w:t>5</w:t>
      </w:r>
      <w:r w:rsidR="00591951">
        <w:t>0</w:t>
      </w:r>
      <w:r w:rsidR="007C5D79" w:rsidRPr="00792707">
        <w:t xml:space="preserve"> </w:t>
      </w:r>
      <w:r w:rsidRPr="00792707">
        <w:t>dBm/5 MHz</w:t>
      </w:r>
      <w:r w:rsidR="00AF6A54">
        <w:t xml:space="preserve"> </w:t>
      </w:r>
      <w:r w:rsidR="006F4910">
        <w:t xml:space="preserve">for </w:t>
      </w:r>
      <w:r w:rsidR="00591951">
        <w:t>all other services</w:t>
      </w:r>
      <w:r w:rsidR="006F4910">
        <w:t xml:space="preserve"> </w:t>
      </w:r>
      <w:r w:rsidR="00591951">
        <w:t>in metropolitan areas</w:t>
      </w:r>
    </w:p>
    <w:p w14:paraId="434EFE91" w14:textId="372551AD" w:rsidR="00591951" w:rsidRDefault="00591951" w:rsidP="00322232">
      <w:pPr>
        <w:pStyle w:val="ListBullet"/>
        <w:spacing w:after="240"/>
      </w:pPr>
      <w:r>
        <w:t>TRP of 5</w:t>
      </w:r>
      <w:r w:rsidR="00472862">
        <w:t>3</w:t>
      </w:r>
      <w:r w:rsidRPr="00792707">
        <w:t xml:space="preserve"> dBm/5 MHz</w:t>
      </w:r>
      <w:r>
        <w:t xml:space="preserve"> for all other services in non-metropolitan areas</w:t>
      </w:r>
      <w:r w:rsidR="00242BEA">
        <w:t>.</w:t>
      </w:r>
    </w:p>
    <w:p w14:paraId="2EE69AEF" w14:textId="71635DC9" w:rsidR="00046604" w:rsidRPr="0062295F" w:rsidRDefault="00A926FB" w:rsidP="0062295F">
      <w:pPr>
        <w:pStyle w:val="ListBullet"/>
        <w:numPr>
          <w:ilvl w:val="0"/>
          <w:numId w:val="0"/>
        </w:numPr>
      </w:pPr>
      <w:r>
        <w:t xml:space="preserve">Adopting </w:t>
      </w:r>
      <w:r w:rsidR="00591951">
        <w:t xml:space="preserve">these </w:t>
      </w:r>
      <w:r>
        <w:t>level</w:t>
      </w:r>
      <w:r w:rsidR="00591951">
        <w:t>s</w:t>
      </w:r>
      <w:r>
        <w:t xml:space="preserve"> </w:t>
      </w:r>
      <w:r w:rsidRPr="00DF4591">
        <w:t xml:space="preserve">also </w:t>
      </w:r>
      <w:r w:rsidRPr="00FD023A">
        <w:t xml:space="preserve">ensures </w:t>
      </w:r>
      <w:r w:rsidRPr="00DF4591">
        <w:t xml:space="preserve">existing registered devices </w:t>
      </w:r>
      <w:r w:rsidRPr="00845A9D">
        <w:t>operatin</w:t>
      </w:r>
      <w:r w:rsidRPr="00FC05CF">
        <w:t xml:space="preserve">g in the </w:t>
      </w:r>
      <w:r w:rsidR="0020596D">
        <w:t>1800</w:t>
      </w:r>
      <w:r w:rsidRPr="00FC05CF">
        <w:t xml:space="preserve"> </w:t>
      </w:r>
      <w:r w:rsidR="0020596D">
        <w:t>M</w:t>
      </w:r>
      <w:r w:rsidRPr="00FC05CF">
        <w:t xml:space="preserve">Hz band </w:t>
      </w:r>
      <w:r w:rsidR="005A3F79" w:rsidRPr="00FC05CF">
        <w:t xml:space="preserve">are </w:t>
      </w:r>
      <w:r w:rsidR="00812DA7">
        <w:t xml:space="preserve">not affected </w:t>
      </w:r>
      <w:r w:rsidR="005A3F79">
        <w:t xml:space="preserve">by the change. </w:t>
      </w:r>
      <w:bookmarkStart w:id="25" w:name="_Toc506899798"/>
      <w:bookmarkStart w:id="26" w:name="_Toc56006335"/>
    </w:p>
    <w:p w14:paraId="0952FC44" w14:textId="671BC1CC" w:rsidR="006F188E" w:rsidRPr="007D04B2" w:rsidRDefault="006F188E" w:rsidP="00322232">
      <w:pPr>
        <w:pStyle w:val="Heading3"/>
        <w:spacing w:before="240"/>
      </w:pPr>
      <w:bookmarkStart w:id="27" w:name="_Toc84339340"/>
      <w:r w:rsidRPr="007D04B2">
        <w:t>Unwanted emission limits</w:t>
      </w:r>
      <w:bookmarkEnd w:id="25"/>
      <w:bookmarkEnd w:id="26"/>
      <w:bookmarkEnd w:id="27"/>
    </w:p>
    <w:p w14:paraId="548B1C24" w14:textId="407D8ABA" w:rsidR="002410BD" w:rsidRDefault="00FF1EBE" w:rsidP="007C0AC5">
      <w:r w:rsidRPr="007D04B2">
        <w:t xml:space="preserve">Existing unwanted emission limits that apply to </w:t>
      </w:r>
      <w:r w:rsidR="007379A1">
        <w:t>1</w:t>
      </w:r>
      <w:r w:rsidR="007A5DB7">
        <w:t>800 MHz</w:t>
      </w:r>
      <w:r w:rsidRPr="007D04B2">
        <w:t xml:space="preserve"> band spectrum licences </w:t>
      </w:r>
      <w:r w:rsidR="00242525">
        <w:t>are</w:t>
      </w:r>
      <w:r w:rsidRPr="007D04B2">
        <w:t xml:space="preserve"> reproduced at Appendix B.</w:t>
      </w:r>
      <w:r w:rsidR="00F20F7F">
        <w:t xml:space="preserve"> </w:t>
      </w:r>
      <w:r w:rsidR="00EF6E18">
        <w:t>The term unwanted emission limit encompasses both out-of-band and spurious emission limits. 3GPP standards define different limits for both cases. For the upper 1800 MHz band, out-of-band emissions are those that fall outside the lower and upper frequency limits of the licence and within the 1795</w:t>
      </w:r>
      <w:r w:rsidR="000C60E1">
        <w:t>–</w:t>
      </w:r>
      <w:r w:rsidR="00EF6E18">
        <w:t>1890 MHz frequency range</w:t>
      </w:r>
      <w:r w:rsidR="00087B86">
        <w:t xml:space="preserve"> (i.e.</w:t>
      </w:r>
      <w:r w:rsidR="00242BEA">
        <w:t>,</w:t>
      </w:r>
      <w:r w:rsidR="00087B86">
        <w:t xml:space="preserve"> the operating band +/- 10 MHz either side)</w:t>
      </w:r>
      <w:r w:rsidR="00EF6E18">
        <w:t>. Spurious emission</w:t>
      </w:r>
      <w:r w:rsidR="00DB4E22">
        <w:t>s</w:t>
      </w:r>
      <w:r w:rsidR="00EF6E18">
        <w:t xml:space="preserve"> are all emission</w:t>
      </w:r>
      <w:r w:rsidR="00DB4E22">
        <w:t>s</w:t>
      </w:r>
      <w:r w:rsidR="00EF6E18">
        <w:t xml:space="preserve"> that fall outside the 1795</w:t>
      </w:r>
      <w:r w:rsidR="000C60E1">
        <w:t>–</w:t>
      </w:r>
      <w:r w:rsidR="00EF6E18">
        <w:t xml:space="preserve">1890 MHz frequency range.  </w:t>
      </w:r>
    </w:p>
    <w:p w14:paraId="4E1CCC2C" w14:textId="39CDCBA3" w:rsidR="00EF6E18" w:rsidRPr="007D04B2" w:rsidRDefault="002410BD" w:rsidP="00EF6E18">
      <w:pPr>
        <w:spacing w:after="80"/>
      </w:pPr>
      <w:r>
        <w:t>The TLG considered changes to the unwanted emission limits for devices operating in the 1805</w:t>
      </w:r>
      <w:r w:rsidR="000C60E1">
        <w:t>–</w:t>
      </w:r>
      <w:r>
        <w:t>1880 MHz band (the upper 1800 MHz band). While this has flow</w:t>
      </w:r>
      <w:r w:rsidR="000C60E1">
        <w:t>-</w:t>
      </w:r>
      <w:r>
        <w:t>on effects for the spurious emission limits for devices operating in the 1710</w:t>
      </w:r>
      <w:r w:rsidR="000C60E1">
        <w:t>–</w:t>
      </w:r>
      <w:r>
        <w:t>1785 MHz band (the lower 1800 MHz band), no changes were proposed to the out-of-band limits for devices operating in the lower 1800 MHz band.</w:t>
      </w:r>
    </w:p>
    <w:p w14:paraId="1F5627EA" w14:textId="55C0F307" w:rsidR="00DA0B0D" w:rsidRPr="007D04B2" w:rsidRDefault="00DA0B0D" w:rsidP="0062295F">
      <w:pPr>
        <w:spacing w:before="240" w:after="80"/>
      </w:pPr>
      <w:r w:rsidRPr="007D04B2">
        <w:t xml:space="preserve">A summary of </w:t>
      </w:r>
      <w:r w:rsidR="00116006">
        <w:t xml:space="preserve">points </w:t>
      </w:r>
      <w:r>
        <w:t xml:space="preserve">raised by the TLG </w:t>
      </w:r>
      <w:r w:rsidR="000C5638">
        <w:t xml:space="preserve">on this issue </w:t>
      </w:r>
      <w:r>
        <w:t>are</w:t>
      </w:r>
      <w:r w:rsidRPr="007D04B2">
        <w:t>:</w:t>
      </w:r>
    </w:p>
    <w:p w14:paraId="7EF51B31" w14:textId="502EE4E9" w:rsidR="00106434" w:rsidRDefault="000C5638" w:rsidP="00DA0B0D">
      <w:pPr>
        <w:pStyle w:val="ListBullet"/>
      </w:pPr>
      <w:r>
        <w:t xml:space="preserve">Mobile network </w:t>
      </w:r>
      <w:r w:rsidR="00106434">
        <w:t>operators (MNOs), Optus, Telstra, TPG, currently</w:t>
      </w:r>
      <w:r>
        <w:t xml:space="preserve"> operate LTE </w:t>
      </w:r>
      <w:r w:rsidR="005B30DA">
        <w:t>services</w:t>
      </w:r>
      <w:r>
        <w:t xml:space="preserve"> </w:t>
      </w:r>
      <w:r w:rsidR="00106434">
        <w:t xml:space="preserve">in the 1800 MHz spectrum licences. However, there is a desire to be able to migrate to deploy AAS and migrate to 5G technologies in the future. </w:t>
      </w:r>
    </w:p>
    <w:p w14:paraId="7133A5D6" w14:textId="32109197" w:rsidR="000C5638" w:rsidRDefault="00106434" w:rsidP="00DA0B0D">
      <w:pPr>
        <w:pStyle w:val="ListBullet"/>
      </w:pPr>
      <w:r>
        <w:t xml:space="preserve">1800 MHz band spectrum licences held by Victorian Rail Track, Sydney Trains, the Department of Planning Transport and Infrastructure, Queensland Rail Limited and the Public Transport Authority of Western Australia (Rail licensees) are used to support railway operations. Services currently deployed are based on GSM-R. </w:t>
      </w:r>
    </w:p>
    <w:p w14:paraId="4745F447" w14:textId="0EBA9F39" w:rsidR="00DA0B0D" w:rsidRDefault="00DA0B0D" w:rsidP="00DA0B0D">
      <w:pPr>
        <w:pStyle w:val="ListBullet"/>
      </w:pPr>
      <w:r>
        <w:t>The</w:t>
      </w:r>
      <w:r w:rsidR="00796815">
        <w:t xml:space="preserve"> current limits </w:t>
      </w:r>
      <w:r>
        <w:t xml:space="preserve">were defined to provide a degree of coexistence with services operating </w:t>
      </w:r>
      <w:r w:rsidR="004B4D14">
        <w:t xml:space="preserve">inside and adjacent to the 1800 </w:t>
      </w:r>
      <w:r>
        <w:t xml:space="preserve">MHz band. </w:t>
      </w:r>
    </w:p>
    <w:p w14:paraId="6E01E460" w14:textId="209AFF89" w:rsidR="00106434" w:rsidRDefault="00106434" w:rsidP="00DA0B0D">
      <w:pPr>
        <w:pStyle w:val="ListBullet"/>
      </w:pPr>
      <w:r>
        <w:t xml:space="preserve">The unwanted </w:t>
      </w:r>
      <w:r w:rsidRPr="007D04B2">
        <w:t xml:space="preserve">emission limits </w:t>
      </w:r>
      <w:r>
        <w:t>for LTE and NR non-AAS base station transmitters in the upper 1800 MHz band are more restrictive than Category B (Option 1) limits defined in 3GPP standards</w:t>
      </w:r>
      <w:r w:rsidR="00223736">
        <w:t>. Option 1</w:t>
      </w:r>
      <w:r>
        <w:t xml:space="preserve"> </w:t>
      </w:r>
      <w:r w:rsidR="00223736">
        <w:t xml:space="preserve">limits are </w:t>
      </w:r>
      <w:r>
        <w:t xml:space="preserve">preferred by </w:t>
      </w:r>
      <w:r w:rsidR="002410BD">
        <w:t>the</w:t>
      </w:r>
      <w:r>
        <w:t xml:space="preserve"> MNOs.</w:t>
      </w:r>
    </w:p>
    <w:p w14:paraId="5644F7DD" w14:textId="7549FAA4" w:rsidR="0069264A" w:rsidRDefault="00DA0B0D" w:rsidP="00DA0B0D">
      <w:pPr>
        <w:pStyle w:val="ListBullet"/>
      </w:pPr>
      <w:r w:rsidRPr="00A17E67">
        <w:t xml:space="preserve">The </w:t>
      </w:r>
      <w:r w:rsidR="008042BB">
        <w:t xml:space="preserve">unwanted </w:t>
      </w:r>
      <w:r w:rsidRPr="00A17E67">
        <w:t xml:space="preserve">emission limits </w:t>
      </w:r>
      <w:r w:rsidR="0069264A">
        <w:t xml:space="preserve">are </w:t>
      </w:r>
      <w:r w:rsidR="00796815">
        <w:t xml:space="preserve">too restrictive </w:t>
      </w:r>
      <w:r w:rsidR="002410BD">
        <w:t xml:space="preserve">to allow </w:t>
      </w:r>
      <w:r w:rsidR="00796815">
        <w:t xml:space="preserve">for </w:t>
      </w:r>
      <w:r w:rsidR="002410BD">
        <w:t xml:space="preserve">the deployment of </w:t>
      </w:r>
      <w:r w:rsidR="00E37627">
        <w:t xml:space="preserve">AAS </w:t>
      </w:r>
      <w:r w:rsidR="00796815">
        <w:t>devices.</w:t>
      </w:r>
    </w:p>
    <w:p w14:paraId="18AA9A3D" w14:textId="5A2A678C" w:rsidR="00DA0B0D" w:rsidRDefault="00F93C51" w:rsidP="0062295F">
      <w:pPr>
        <w:pStyle w:val="ListBulletLast"/>
        <w:spacing w:after="120"/>
      </w:pPr>
      <w:r>
        <w:t>All</w:t>
      </w:r>
      <w:r w:rsidR="00DA0B0D">
        <w:t xml:space="preserve"> </w:t>
      </w:r>
      <w:r>
        <w:t>unwanted</w:t>
      </w:r>
      <w:r w:rsidR="00DA0B0D">
        <w:t xml:space="preserve"> emission limits </w:t>
      </w:r>
      <w:r>
        <w:t>are defined as EI</w:t>
      </w:r>
      <w:r w:rsidR="00F20F7F">
        <w:t>R</w:t>
      </w:r>
      <w:r>
        <w:t>P levels</w:t>
      </w:r>
      <w:r w:rsidR="00DA0B0D">
        <w:t xml:space="preserve">. However, </w:t>
      </w:r>
      <w:r w:rsidR="00593DDD">
        <w:t xml:space="preserve">AAS </w:t>
      </w:r>
      <w:r w:rsidR="006A0A50">
        <w:t>networks are</w:t>
      </w:r>
      <w:r w:rsidR="00DA0B0D">
        <w:t xml:space="preserve"> </w:t>
      </w:r>
      <w:r w:rsidR="006A0A50">
        <w:t xml:space="preserve">more effectively </w:t>
      </w:r>
      <w:r w:rsidR="00DA0B0D">
        <w:t xml:space="preserve">defined in terms of </w:t>
      </w:r>
      <w:r w:rsidR="002410BD">
        <w:t>TRP</w:t>
      </w:r>
      <w:r w:rsidR="00DA0B0D">
        <w:t>.</w:t>
      </w:r>
    </w:p>
    <w:p w14:paraId="08CAFCE4" w14:textId="2709F127" w:rsidR="006B19BF" w:rsidRDefault="006B19BF" w:rsidP="0062295F">
      <w:pPr>
        <w:pStyle w:val="ListBulletLast"/>
        <w:spacing w:after="80"/>
      </w:pPr>
      <w:r>
        <w:lastRenderedPageBreak/>
        <w:t xml:space="preserve">There was general agreement that long term all licensees would employ AAS and there was interest in reviewing the current limits to enable this. However, </w:t>
      </w:r>
      <w:r w:rsidR="000C60E1">
        <w:t>r</w:t>
      </w:r>
      <w:r>
        <w:t xml:space="preserve">ail licensees indicated this may not occur for a number of years for them. Consequently, they are interested in ensuring the ongoing viability of their existing </w:t>
      </w:r>
      <w:r w:rsidR="00106434">
        <w:t xml:space="preserve">GSM-R </w:t>
      </w:r>
      <w:r>
        <w:t>infrastructure.</w:t>
      </w:r>
    </w:p>
    <w:p w14:paraId="69907B1A" w14:textId="21D0762D" w:rsidR="006A0A50" w:rsidRDefault="00F20F7F" w:rsidP="00DA0B0D">
      <w:pPr>
        <w:pStyle w:val="ListBulletLast"/>
      </w:pPr>
      <w:r>
        <w:t>Rail licensees reported instance</w:t>
      </w:r>
      <w:r w:rsidR="006B19BF">
        <w:t>s</w:t>
      </w:r>
      <w:r>
        <w:t xml:space="preserve"> of interference to mobile terminals operating on their </w:t>
      </w:r>
      <w:r w:rsidR="002E3C33">
        <w:t>GSM-R networks</w:t>
      </w:r>
      <w:r>
        <w:t xml:space="preserve">. </w:t>
      </w:r>
      <w:r w:rsidR="006B19BF">
        <w:t xml:space="preserve">This appears to be </w:t>
      </w:r>
      <w:r>
        <w:t xml:space="preserve">due to base stations operated by other adjacent band spectrum licensees </w:t>
      </w:r>
      <w:r w:rsidR="006B19BF">
        <w:t>deployed at or near the edge of coverage of a GSM-R base station. Rail licensees expressed concern that a change in unwanted emission</w:t>
      </w:r>
      <w:r w:rsidR="002410BD">
        <w:t>s</w:t>
      </w:r>
      <w:r w:rsidR="006B19BF">
        <w:t xml:space="preserve"> could </w:t>
      </w:r>
      <w:r w:rsidR="00610330">
        <w:t xml:space="preserve">increase </w:t>
      </w:r>
      <w:r w:rsidR="006B19BF">
        <w:t xml:space="preserve">the risk and severity of this interference. </w:t>
      </w:r>
    </w:p>
    <w:p w14:paraId="697D8E8C" w14:textId="0DB13E4F" w:rsidR="00DA0B0D" w:rsidRPr="0038765E" w:rsidRDefault="00DA0B0D" w:rsidP="00DA0B0D">
      <w:pPr>
        <w:spacing w:after="80"/>
      </w:pPr>
      <w:proofErr w:type="gramStart"/>
      <w:r>
        <w:t>T</w:t>
      </w:r>
      <w:r w:rsidR="006B19BF">
        <w:t>aking into account</w:t>
      </w:r>
      <w:proofErr w:type="gramEnd"/>
      <w:r w:rsidR="006B19BF">
        <w:t xml:space="preserve"> the above issue</w:t>
      </w:r>
      <w:r w:rsidR="002410BD">
        <w:t>s</w:t>
      </w:r>
      <w:r>
        <w:t xml:space="preserve">, the TLG </w:t>
      </w:r>
      <w:r w:rsidRPr="007D04B2">
        <w:t xml:space="preserve">proposed </w:t>
      </w:r>
      <w:r w:rsidR="00116006">
        <w:t>a</w:t>
      </w:r>
      <w:r w:rsidR="00116006" w:rsidRPr="007D04B2">
        <w:t xml:space="preserve"> </w:t>
      </w:r>
      <w:r w:rsidRPr="007D04B2">
        <w:t>revis</w:t>
      </w:r>
      <w:r w:rsidR="00116006">
        <w:t>ion of</w:t>
      </w:r>
      <w:r w:rsidRPr="007D04B2">
        <w:t xml:space="preserve"> </w:t>
      </w:r>
      <w:r w:rsidR="004E42DF">
        <w:t xml:space="preserve">the </w:t>
      </w:r>
      <w:r w:rsidRPr="007D04B2">
        <w:t xml:space="preserve">current </w:t>
      </w:r>
      <w:r w:rsidR="000C5638">
        <w:t>upper 1800 MHz</w:t>
      </w:r>
      <w:r w:rsidRPr="007D04B2">
        <w:t xml:space="preserve"> band unwanted emission limits. The aim of </w:t>
      </w:r>
      <w:r>
        <w:t xml:space="preserve">the </w:t>
      </w:r>
      <w:r w:rsidRPr="0038765E">
        <w:t xml:space="preserve">revision </w:t>
      </w:r>
      <w:r>
        <w:t>was</w:t>
      </w:r>
      <w:r w:rsidRPr="0038765E">
        <w:t xml:space="preserve"> to:</w:t>
      </w:r>
    </w:p>
    <w:p w14:paraId="74D8353D" w14:textId="43751CD7" w:rsidR="00DA0B0D" w:rsidRPr="007D04B2" w:rsidRDefault="00DA0B0D" w:rsidP="00DA0B0D">
      <w:pPr>
        <w:pStyle w:val="ListBullet"/>
      </w:pPr>
      <w:r w:rsidRPr="007D04B2">
        <w:t xml:space="preserve">ensure existing devices deployed under the current </w:t>
      </w:r>
      <w:r w:rsidR="006419FA">
        <w:t>1800 MHz</w:t>
      </w:r>
      <w:r w:rsidRPr="007D04B2">
        <w:t xml:space="preserve"> band framework can continue operating unaffected</w:t>
      </w:r>
      <w:r w:rsidR="006B19BF">
        <w:t xml:space="preserve"> by any changes</w:t>
      </w:r>
    </w:p>
    <w:p w14:paraId="257F51A9" w14:textId="7EE03C5E" w:rsidR="00DA0B0D" w:rsidRPr="007D04B2" w:rsidRDefault="00DA0B0D" w:rsidP="00DA0B0D">
      <w:pPr>
        <w:pStyle w:val="ListBullet"/>
      </w:pPr>
      <w:r w:rsidRPr="007D04B2">
        <w:t>enable new technologies (e.g.</w:t>
      </w:r>
      <w:r w:rsidR="000C60E1">
        <w:t>,</w:t>
      </w:r>
      <w:r w:rsidRPr="007D04B2">
        <w:t xml:space="preserve"> 5G and AAS) to be deployed</w:t>
      </w:r>
    </w:p>
    <w:p w14:paraId="7BBD02A5" w14:textId="7B78E14C" w:rsidR="00DA0B0D" w:rsidRPr="007D04B2" w:rsidRDefault="00DA0B0D" w:rsidP="00DA0B0D">
      <w:pPr>
        <w:pStyle w:val="ListBullet"/>
      </w:pPr>
      <w:r w:rsidRPr="007D04B2">
        <w:t>avoid unnecessary costs and burdens on licensees to implement strict unwanted emission limits that are only required to enable compatibility in specific situations</w:t>
      </w:r>
    </w:p>
    <w:p w14:paraId="25BAACA9" w14:textId="0E455EEB" w:rsidR="004E42DF" w:rsidRDefault="00DA0B0D" w:rsidP="004E42DF">
      <w:pPr>
        <w:pStyle w:val="ListBulletLast"/>
      </w:pPr>
      <w:r w:rsidRPr="007D04B2">
        <w:t xml:space="preserve">align the way </w:t>
      </w:r>
      <w:r w:rsidR="006B19BF">
        <w:t>unwanted</w:t>
      </w:r>
      <w:r w:rsidRPr="007D04B2">
        <w:t xml:space="preserve"> emission limits are defined with international </w:t>
      </w:r>
      <w:r w:rsidR="00B65F7E">
        <w:t>standards</w:t>
      </w:r>
      <w:r w:rsidRPr="007D04B2">
        <w:t xml:space="preserve"> except where appropriate </w:t>
      </w:r>
      <w:r w:rsidR="00B65F7E">
        <w:t xml:space="preserve">to support </w:t>
      </w:r>
      <w:r w:rsidRPr="007D04B2">
        <w:t>coexistence with other services.</w:t>
      </w:r>
      <w:r w:rsidR="000C5638">
        <w:t xml:space="preserve">  </w:t>
      </w:r>
    </w:p>
    <w:p w14:paraId="25004C4F" w14:textId="402840C6" w:rsidR="007F3EA0" w:rsidRPr="007D04B2" w:rsidRDefault="00864BEA" w:rsidP="00322232">
      <w:pPr>
        <w:pStyle w:val="Heading3"/>
      </w:pPr>
      <w:bookmarkStart w:id="28" w:name="_Toc84339341"/>
      <w:r w:rsidRPr="005438AE">
        <w:rPr>
          <w:iCs/>
        </w:rPr>
        <w:t xml:space="preserve">Proposed </w:t>
      </w:r>
      <w:r w:rsidR="00A9343D">
        <w:rPr>
          <w:iCs/>
        </w:rPr>
        <w:t>in</w:t>
      </w:r>
      <w:r w:rsidR="006E4C03">
        <w:rPr>
          <w:iCs/>
        </w:rPr>
        <w:t xml:space="preserve">-band emission limits for devices operating in the upper </w:t>
      </w:r>
      <w:r w:rsidR="000C60E1">
        <w:rPr>
          <w:iCs/>
        </w:rPr>
        <w:br/>
      </w:r>
      <w:r w:rsidR="006E4C03">
        <w:rPr>
          <w:iCs/>
        </w:rPr>
        <w:t>1800 MHz band</w:t>
      </w:r>
      <w:bookmarkEnd w:id="28"/>
      <w:r w:rsidR="00B65F7E">
        <w:rPr>
          <w:iCs/>
        </w:rPr>
        <w:t xml:space="preserve"> </w:t>
      </w:r>
    </w:p>
    <w:p w14:paraId="560CB429" w14:textId="272C88C6" w:rsidR="00F05455" w:rsidRDefault="00BB4D5D" w:rsidP="00322232">
      <w:pPr>
        <w:spacing w:after="60"/>
      </w:pPr>
      <w:r>
        <w:t xml:space="preserve">The TLG considered 4 options for the </w:t>
      </w:r>
      <w:r w:rsidR="004C7576">
        <w:t>out-of-band emission limits:</w:t>
      </w:r>
    </w:p>
    <w:p w14:paraId="2CF6B012" w14:textId="5F40DC16" w:rsidR="00D331DA" w:rsidRPr="00B04DE1" w:rsidRDefault="00B04DE1" w:rsidP="0062295F">
      <w:pPr>
        <w:pStyle w:val="ListNumber"/>
      </w:pPr>
      <w:r w:rsidRPr="00B04DE1">
        <w:t>Adopt the</w:t>
      </w:r>
      <w:r w:rsidR="004C7576">
        <w:t xml:space="preserve"> Category B (option 1)</w:t>
      </w:r>
      <w:r w:rsidRPr="00B04DE1">
        <w:t xml:space="preserve"> limits for non-AAS and AAS devices as defined in TS 138 104, Table 6.6.4.2.2.1 and </w:t>
      </w:r>
      <w:r w:rsidR="004C7576">
        <w:t xml:space="preserve">section </w:t>
      </w:r>
      <w:r w:rsidRPr="00B04DE1">
        <w:t>9.7.</w:t>
      </w:r>
      <w:r w:rsidR="00087B86">
        <w:t>4.2</w:t>
      </w:r>
      <w:r w:rsidR="00D331DA">
        <w:t>, respectively</w:t>
      </w:r>
      <w:r w:rsidRPr="00B04DE1">
        <w:t>.</w:t>
      </w:r>
    </w:p>
    <w:p w14:paraId="1ADB7312" w14:textId="4C1413CE" w:rsidR="00B04DE1" w:rsidRPr="00B04DE1" w:rsidRDefault="00B04DE1" w:rsidP="00B22557">
      <w:pPr>
        <w:pStyle w:val="ListNumber"/>
      </w:pPr>
      <w:r w:rsidRPr="00B04DE1">
        <w:t xml:space="preserve">Adopt the </w:t>
      </w:r>
      <w:r w:rsidR="004C7576">
        <w:t>Category B (option 2)</w:t>
      </w:r>
      <w:r w:rsidR="004C7576" w:rsidRPr="00B04DE1">
        <w:t xml:space="preserve"> </w:t>
      </w:r>
      <w:r w:rsidRPr="00B04DE1">
        <w:t>limits for non-AAS and AAS devices as defined in TS 138 104, Table 6.6.4.2.2.1-2 and section 9.7.</w:t>
      </w:r>
      <w:r w:rsidR="00087B86">
        <w:t>4</w:t>
      </w:r>
      <w:r w:rsidRPr="00B04DE1">
        <w:t>.2</w:t>
      </w:r>
      <w:r w:rsidR="004C7576">
        <w:t>, respectively</w:t>
      </w:r>
      <w:r w:rsidRPr="00B04DE1">
        <w:t xml:space="preserve">. </w:t>
      </w:r>
    </w:p>
    <w:p w14:paraId="3182BEC5" w14:textId="38AADE48" w:rsidR="00D331DA" w:rsidRPr="00B04DE1" w:rsidRDefault="004C7576" w:rsidP="0062295F">
      <w:pPr>
        <w:pStyle w:val="ListNumber"/>
      </w:pPr>
      <w:r>
        <w:t xml:space="preserve">Adopt the limits in Option </w:t>
      </w:r>
      <w:proofErr w:type="gramStart"/>
      <w:r>
        <w:t>1</w:t>
      </w:r>
      <w:r w:rsidR="00D331DA">
        <w:t>, but</w:t>
      </w:r>
      <w:proofErr w:type="gramEnd"/>
      <w:r w:rsidR="00D331DA">
        <w:t xml:space="preserve"> include a requirement (preferably in either in the licence conditions or the s.145</w:t>
      </w:r>
      <w:r w:rsidR="00087B86">
        <w:t xml:space="preserve"> determination</w:t>
      </w:r>
      <w:r w:rsidR="00D331DA">
        <w:t xml:space="preserve">) that for any new devices deployed after </w:t>
      </w:r>
      <w:r w:rsidR="000C60E1">
        <w:t>(</w:t>
      </w:r>
      <w:r w:rsidR="00D331DA">
        <w:t>date TBD</w:t>
      </w:r>
      <w:r w:rsidR="000C60E1">
        <w:t>)</w:t>
      </w:r>
      <w:r w:rsidR="00D331DA">
        <w:t xml:space="preserve">, the unwanted emissions within </w:t>
      </w:r>
      <w:r>
        <w:t xml:space="preserve">spectrum </w:t>
      </w:r>
      <w:r w:rsidR="00D331DA">
        <w:t xml:space="preserve">held by </w:t>
      </w:r>
      <w:r w:rsidR="000C60E1">
        <w:t>r</w:t>
      </w:r>
      <w:r w:rsidR="00D331DA">
        <w:t xml:space="preserve">ail licensees should not exceed defined criteria </w:t>
      </w:r>
      <w:r w:rsidR="00D331DA" w:rsidRPr="00B04DE1">
        <w:t xml:space="preserve">along </w:t>
      </w:r>
      <w:r w:rsidR="00D331DA">
        <w:t xml:space="preserve">a </w:t>
      </w:r>
      <w:r w:rsidR="00D331DA" w:rsidRPr="00B04DE1">
        <w:t>rail corridor</w:t>
      </w:r>
      <w:r w:rsidR="00D331DA">
        <w:t xml:space="preserve">. </w:t>
      </w:r>
      <w:r>
        <w:t xml:space="preserve">Example criteria that could apply was provided in </w:t>
      </w:r>
      <w:r w:rsidR="005B30DA">
        <w:t xml:space="preserve">to </w:t>
      </w:r>
      <w:hyperlink r:id="rId32" w:history="1">
        <w:r w:rsidR="005B30DA">
          <w:rPr>
            <w:rStyle w:val="Hyperlink"/>
          </w:rPr>
          <w:t>ECC Report 229</w:t>
        </w:r>
      </w:hyperlink>
      <w:r>
        <w:t>.</w:t>
      </w:r>
    </w:p>
    <w:p w14:paraId="3D6DFC51" w14:textId="49AE411D" w:rsidR="00D331DA" w:rsidRPr="00B04DE1" w:rsidRDefault="004C7576" w:rsidP="00322232">
      <w:pPr>
        <w:pStyle w:val="ListNumber"/>
        <w:spacing w:after="240"/>
        <w:ind w:left="357" w:hanging="357"/>
      </w:pPr>
      <w:r>
        <w:t xml:space="preserve">No change. Maintain </w:t>
      </w:r>
      <w:r w:rsidR="00D331DA">
        <w:t>the existing limits</w:t>
      </w:r>
      <w:r w:rsidR="00271737">
        <w:t>.</w:t>
      </w:r>
    </w:p>
    <w:p w14:paraId="70555F01" w14:textId="5730DB26" w:rsidR="000C6F63" w:rsidRDefault="00D331DA" w:rsidP="007C0AC5">
      <w:pPr>
        <w:rPr>
          <w:b/>
          <w:bCs/>
          <w:color w:val="323232"/>
          <w:szCs w:val="20"/>
        </w:rPr>
      </w:pPr>
      <w:r>
        <w:t xml:space="preserve">A graphical representation of the proposed </w:t>
      </w:r>
      <w:r w:rsidR="0055433D">
        <w:t xml:space="preserve">option </w:t>
      </w:r>
      <w:r>
        <w:t>limits is provided in Figure 2</w:t>
      </w:r>
      <w:r w:rsidR="005B30DA">
        <w:t>.</w:t>
      </w:r>
      <w:r w:rsidR="00687E35">
        <w:t xml:space="preserve"> Note the current </w:t>
      </w:r>
      <w:r w:rsidR="00301464">
        <w:t xml:space="preserve">unwanted emission </w:t>
      </w:r>
      <w:r w:rsidR="00687E35">
        <w:t xml:space="preserve">limits have been converted from EIRP to TRP by </w:t>
      </w:r>
      <w:r w:rsidR="00116006">
        <w:t xml:space="preserve">subtracting </w:t>
      </w:r>
      <w:r w:rsidR="00687E35">
        <w:t xml:space="preserve">an assumed antenna gain of </w:t>
      </w:r>
      <w:r w:rsidR="00606A3D">
        <w:t>15</w:t>
      </w:r>
      <w:r w:rsidR="00687E35">
        <w:t xml:space="preserve"> </w:t>
      </w:r>
      <w:proofErr w:type="spellStart"/>
      <w:r w:rsidR="00687E35">
        <w:t>dBi</w:t>
      </w:r>
      <w:proofErr w:type="spellEnd"/>
      <w:r w:rsidR="001E2EA3">
        <w:t>.</w:t>
      </w:r>
      <w:r w:rsidR="00606A3D">
        <w:rPr>
          <w:rStyle w:val="FootnoteReference"/>
        </w:rPr>
        <w:footnoteReference w:id="5"/>
      </w:r>
    </w:p>
    <w:p w14:paraId="7E43848D" w14:textId="77777777" w:rsidR="00A9343D" w:rsidRDefault="00A9343D">
      <w:pPr>
        <w:spacing w:after="0" w:line="240" w:lineRule="auto"/>
        <w:rPr>
          <w:b/>
          <w:bCs/>
          <w:color w:val="323232"/>
          <w:szCs w:val="20"/>
        </w:rPr>
      </w:pPr>
      <w:r>
        <w:br w:type="page"/>
      </w:r>
    </w:p>
    <w:p w14:paraId="02D75CA2" w14:textId="085412EE" w:rsidR="00D331DA" w:rsidRPr="007D04B2" w:rsidRDefault="0055433D" w:rsidP="00D331DA">
      <w:pPr>
        <w:pStyle w:val="ACMAFigureHeader"/>
        <w:spacing w:line="240" w:lineRule="atLeast"/>
      </w:pPr>
      <w:r>
        <w:lastRenderedPageBreak/>
        <w:t>Option</w:t>
      </w:r>
      <w:r w:rsidR="00116006">
        <w:t>s for</w:t>
      </w:r>
      <w:r w:rsidR="00D331DA">
        <w:t xml:space="preserve"> unwanted emission limits within 1805</w:t>
      </w:r>
      <w:r w:rsidR="001E2EA3">
        <w:t>–</w:t>
      </w:r>
      <w:r w:rsidR="00D331DA">
        <w:t>1800 MHz</w:t>
      </w:r>
    </w:p>
    <w:p w14:paraId="39B5E3D3" w14:textId="35E2F1D8" w:rsidR="00190603" w:rsidRDefault="00B13E4F">
      <w:pPr>
        <w:spacing w:before="360"/>
      </w:pPr>
      <w:r>
        <w:rPr>
          <w:noProof/>
        </w:rPr>
        <w:drawing>
          <wp:inline distT="0" distB="0" distL="0" distR="0" wp14:anchorId="14E83DDD" wp14:editId="10E40982">
            <wp:extent cx="4949591" cy="3233737"/>
            <wp:effectExtent l="0" t="0" r="3810" b="5080"/>
            <wp:docPr id="2" name="Picture 2" descr="Figure 2: Options for unwanted emission limits within 1805–1800 MH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2: Options for unwanted emission limits within 1805–1800 MHz"/>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955840" cy="3237819"/>
                    </a:xfrm>
                    <a:prstGeom prst="rect">
                      <a:avLst/>
                    </a:prstGeom>
                    <a:noFill/>
                  </pic:spPr>
                </pic:pic>
              </a:graphicData>
            </a:graphic>
          </wp:inline>
        </w:drawing>
      </w:r>
    </w:p>
    <w:p w14:paraId="58EBD063" w14:textId="1C66EAF0" w:rsidR="004D6ECE" w:rsidRDefault="004D6ECE" w:rsidP="0062295F">
      <w:pPr>
        <w:spacing w:before="360"/>
      </w:pPr>
      <w:r>
        <w:t xml:space="preserve">MNOs indicated </w:t>
      </w:r>
      <w:r w:rsidR="00087B86">
        <w:t xml:space="preserve">a </w:t>
      </w:r>
      <w:r>
        <w:t xml:space="preserve">preference </w:t>
      </w:r>
      <w:r w:rsidR="00087B86">
        <w:t xml:space="preserve">for </w:t>
      </w:r>
      <w:r>
        <w:t xml:space="preserve">Option 1 as it </w:t>
      </w:r>
      <w:r w:rsidR="00087B86">
        <w:t xml:space="preserve">is the least restrictive option and is the most commonly adopted choice in </w:t>
      </w:r>
      <w:r w:rsidR="00116006">
        <w:t xml:space="preserve">ITU-R </w:t>
      </w:r>
      <w:r w:rsidR="00087B86">
        <w:t xml:space="preserve">Region 3. This would </w:t>
      </w:r>
      <w:r>
        <w:t xml:space="preserve">allow them to </w:t>
      </w:r>
      <w:r w:rsidR="00087B86">
        <w:t xml:space="preserve">tap into the associated economies of scale for equipment. </w:t>
      </w:r>
      <w:r>
        <w:t xml:space="preserve">However, </w:t>
      </w:r>
      <w:r w:rsidR="000C60E1">
        <w:t>r</w:t>
      </w:r>
      <w:r>
        <w:t xml:space="preserve">ail </w:t>
      </w:r>
      <w:r w:rsidR="00087B86">
        <w:t xml:space="preserve">licensees were concerned that </w:t>
      </w:r>
      <w:r>
        <w:t xml:space="preserve">Option 1 would </w:t>
      </w:r>
      <w:r w:rsidR="00087B86">
        <w:t xml:space="preserve">result in </w:t>
      </w:r>
      <w:r>
        <w:t xml:space="preserve">a significant increase in the unwanted emission limits </w:t>
      </w:r>
      <w:r w:rsidR="00087B86">
        <w:t xml:space="preserve">that </w:t>
      </w:r>
      <w:r>
        <w:t xml:space="preserve">could potentially cause interference to </w:t>
      </w:r>
      <w:r w:rsidR="00087B86">
        <w:t xml:space="preserve">their </w:t>
      </w:r>
      <w:r>
        <w:t>GSM-R services.</w:t>
      </w:r>
    </w:p>
    <w:p w14:paraId="245F6878" w14:textId="334FAEB0" w:rsidR="00D331DA" w:rsidRDefault="004D6ECE">
      <w:r>
        <w:t xml:space="preserve">Option 2 was </w:t>
      </w:r>
      <w:r w:rsidR="00F14BC3">
        <w:t xml:space="preserve">the </w:t>
      </w:r>
      <w:r w:rsidR="005012DC">
        <w:t xml:space="preserve">second </w:t>
      </w:r>
      <w:r>
        <w:t>prefer</w:t>
      </w:r>
      <w:r w:rsidR="00F14BC3">
        <w:t>ence of</w:t>
      </w:r>
      <w:r>
        <w:t xml:space="preserve"> </w:t>
      </w:r>
      <w:r w:rsidR="00F14BC3">
        <w:t>the</w:t>
      </w:r>
      <w:r>
        <w:t xml:space="preserve"> </w:t>
      </w:r>
      <w:r w:rsidR="000C60E1">
        <w:t>r</w:t>
      </w:r>
      <w:r>
        <w:t xml:space="preserve">ail </w:t>
      </w:r>
      <w:r w:rsidR="005012DC">
        <w:t xml:space="preserve">licensees </w:t>
      </w:r>
      <w:r>
        <w:t xml:space="preserve">as </w:t>
      </w:r>
      <w:r w:rsidR="00087B86">
        <w:t>the unwanted emissions</w:t>
      </w:r>
      <w:r w:rsidR="005012DC">
        <w:t xml:space="preserve"> falling within their licences</w:t>
      </w:r>
      <w:r w:rsidR="00087B86">
        <w:t xml:space="preserve"> were lower</w:t>
      </w:r>
      <w:r w:rsidR="005012DC">
        <w:t xml:space="preserve"> than Option 1</w:t>
      </w:r>
      <w:r w:rsidR="00087B86">
        <w:t>. In th</w:t>
      </w:r>
      <w:r w:rsidR="005012DC">
        <w:t>is</w:t>
      </w:r>
      <w:r w:rsidR="00087B86">
        <w:t xml:space="preserve"> case </w:t>
      </w:r>
      <w:r w:rsidR="005012DC">
        <w:t xml:space="preserve">the </w:t>
      </w:r>
      <w:r w:rsidR="00087B86">
        <w:t xml:space="preserve">non-AAS </w:t>
      </w:r>
      <w:r w:rsidR="005012DC">
        <w:t xml:space="preserve">limits are </w:t>
      </w:r>
      <w:r w:rsidR="00087B86">
        <w:t>completely encompassed by the existing limit</w:t>
      </w:r>
      <w:r w:rsidR="005012DC">
        <w:t xml:space="preserve">s. This would result in a similar interference environment as currently experienced. </w:t>
      </w:r>
    </w:p>
    <w:p w14:paraId="4288A29D" w14:textId="12ED63F1" w:rsidR="004D6ECE" w:rsidRDefault="005012DC">
      <w:r>
        <w:t xml:space="preserve">Option 3 was the preferred option by </w:t>
      </w:r>
      <w:r w:rsidR="000C60E1">
        <w:t>r</w:t>
      </w:r>
      <w:r>
        <w:t xml:space="preserve">ail licensees as it would ensure a minimum level of emissions along rail corridors is maintained by new services. </w:t>
      </w:r>
      <w:r w:rsidR="00D331DA">
        <w:t xml:space="preserve">MNOs indicated that Option 3 was untenable as </w:t>
      </w:r>
      <w:r w:rsidR="00087B86">
        <w:t xml:space="preserve">it would </w:t>
      </w:r>
      <w:r>
        <w:t>not allow them to</w:t>
      </w:r>
      <w:r w:rsidR="00496210">
        <w:t xml:space="preserve"> </w:t>
      </w:r>
      <w:r>
        <w:t xml:space="preserve">deploy AAS at </w:t>
      </w:r>
      <w:r w:rsidR="00496210">
        <w:t>a large number of existing sites along and near rail corridors</w:t>
      </w:r>
      <w:r w:rsidR="004D6ECE">
        <w:t xml:space="preserve">. </w:t>
      </w:r>
      <w:r w:rsidR="00496210">
        <w:t>This would have a significant impact on their networks moving forward.</w:t>
      </w:r>
    </w:p>
    <w:p w14:paraId="2BD8540C" w14:textId="381FCB66" w:rsidR="00687E35" w:rsidRDefault="00223736" w:rsidP="00322232">
      <w:pPr>
        <w:spacing w:after="60"/>
      </w:pPr>
      <w:r>
        <w:t xml:space="preserve">The </w:t>
      </w:r>
      <w:r w:rsidR="00051503">
        <w:t xml:space="preserve">TLG was unable to reach consensus on </w:t>
      </w:r>
      <w:r w:rsidR="00A518D3">
        <w:t xml:space="preserve">which of </w:t>
      </w:r>
      <w:r w:rsidR="00051503">
        <w:t>Options 1 to 3</w:t>
      </w:r>
      <w:r w:rsidR="00A518D3">
        <w:t xml:space="preserve"> to implement</w:t>
      </w:r>
      <w:r w:rsidR="00051503">
        <w:t xml:space="preserve">. </w:t>
      </w:r>
      <w:r w:rsidR="001927E9">
        <w:t>Instead,</w:t>
      </w:r>
      <w:r w:rsidR="00A518D3">
        <w:t xml:space="preserve"> t</w:t>
      </w:r>
      <w:r w:rsidR="00051503">
        <w:t xml:space="preserve">he TLG identified the following </w:t>
      </w:r>
      <w:r w:rsidR="00496210">
        <w:t>compromise solution</w:t>
      </w:r>
      <w:r w:rsidR="00051503">
        <w:t xml:space="preserve"> based on Option 4</w:t>
      </w:r>
      <w:r w:rsidR="00687E35">
        <w:t>:</w:t>
      </w:r>
    </w:p>
    <w:p w14:paraId="67CBEAF2" w14:textId="36CAE065" w:rsidR="00687E35" w:rsidRPr="0062295F" w:rsidRDefault="00687E35" w:rsidP="00687E35">
      <w:pPr>
        <w:pStyle w:val="ListParagraph"/>
        <w:numPr>
          <w:ilvl w:val="0"/>
          <w:numId w:val="105"/>
        </w:numPr>
        <w:rPr>
          <w:rFonts w:ascii="Arial" w:hAnsi="Arial"/>
        </w:rPr>
      </w:pPr>
      <w:r w:rsidRPr="0062295F">
        <w:rPr>
          <w:rFonts w:ascii="Arial" w:hAnsi="Arial"/>
        </w:rPr>
        <w:t>Non-AAS transmitters: us</w:t>
      </w:r>
      <w:r w:rsidR="007137AC">
        <w:rPr>
          <w:rFonts w:ascii="Arial" w:hAnsi="Arial"/>
        </w:rPr>
        <w:t>e</w:t>
      </w:r>
      <w:r w:rsidR="00496210" w:rsidRPr="0062295F">
        <w:rPr>
          <w:rFonts w:ascii="Arial" w:hAnsi="Arial"/>
        </w:rPr>
        <w:t xml:space="preserve"> the existing unwanted emission limits</w:t>
      </w:r>
      <w:r w:rsidR="001E2EA3">
        <w:rPr>
          <w:rFonts w:ascii="Arial" w:hAnsi="Arial"/>
        </w:rPr>
        <w:t>.</w:t>
      </w:r>
    </w:p>
    <w:p w14:paraId="202F735E" w14:textId="2A3670EF" w:rsidR="00687E35" w:rsidRDefault="00687E35" w:rsidP="00687E35">
      <w:pPr>
        <w:pStyle w:val="ListParagraph"/>
        <w:numPr>
          <w:ilvl w:val="0"/>
          <w:numId w:val="105"/>
        </w:numPr>
        <w:spacing w:after="240"/>
        <w:rPr>
          <w:rFonts w:ascii="Arial" w:hAnsi="Arial"/>
        </w:rPr>
      </w:pPr>
      <w:r w:rsidRPr="0062295F">
        <w:rPr>
          <w:rFonts w:ascii="Arial" w:hAnsi="Arial"/>
        </w:rPr>
        <w:t xml:space="preserve">AAS transmitters: convert the existing limits to TRP (assuming an antenna gain of </w:t>
      </w:r>
      <w:r w:rsidR="00837973">
        <w:rPr>
          <w:rFonts w:ascii="Arial" w:hAnsi="Arial"/>
        </w:rPr>
        <w:t>15</w:t>
      </w:r>
      <w:r w:rsidRPr="0062295F">
        <w:rPr>
          <w:rFonts w:ascii="Arial" w:hAnsi="Arial"/>
        </w:rPr>
        <w:t xml:space="preserve"> </w:t>
      </w:r>
      <w:proofErr w:type="spellStart"/>
      <w:r w:rsidRPr="0062295F">
        <w:rPr>
          <w:rFonts w:ascii="Arial" w:hAnsi="Arial"/>
        </w:rPr>
        <w:t>dBi</w:t>
      </w:r>
      <w:proofErr w:type="spellEnd"/>
      <w:r w:rsidRPr="0062295F">
        <w:rPr>
          <w:rFonts w:ascii="Arial" w:hAnsi="Arial"/>
        </w:rPr>
        <w:t xml:space="preserve">) and then </w:t>
      </w:r>
      <w:r>
        <w:rPr>
          <w:rFonts w:ascii="Arial" w:hAnsi="Arial"/>
        </w:rPr>
        <w:t>includ</w:t>
      </w:r>
      <w:r w:rsidR="00F14BC3">
        <w:rPr>
          <w:rFonts w:ascii="Arial" w:hAnsi="Arial"/>
        </w:rPr>
        <w:t>e</w:t>
      </w:r>
      <w:r>
        <w:rPr>
          <w:rFonts w:ascii="Arial" w:hAnsi="Arial"/>
        </w:rPr>
        <w:t xml:space="preserve"> </w:t>
      </w:r>
      <w:r w:rsidRPr="0062295F">
        <w:rPr>
          <w:rFonts w:ascii="Arial" w:hAnsi="Arial"/>
        </w:rPr>
        <w:t xml:space="preserve">a 9 dB conversion </w:t>
      </w:r>
      <w:r w:rsidR="00F14BC3">
        <w:rPr>
          <w:rFonts w:ascii="Arial" w:hAnsi="Arial"/>
        </w:rPr>
        <w:t xml:space="preserve">factor </w:t>
      </w:r>
      <w:r w:rsidRPr="0062295F">
        <w:rPr>
          <w:rFonts w:ascii="Arial" w:hAnsi="Arial"/>
        </w:rPr>
        <w:t>(as is done in 3GPP standards for AAS devices).</w:t>
      </w:r>
    </w:p>
    <w:p w14:paraId="24AE94C9" w14:textId="77777777" w:rsidR="00687E35" w:rsidRPr="00687E35" w:rsidRDefault="00687E35" w:rsidP="0062295F">
      <w:pPr>
        <w:pStyle w:val="ListParagraph"/>
        <w:spacing w:after="240"/>
        <w:ind w:left="360"/>
      </w:pPr>
    </w:p>
    <w:p w14:paraId="7ACA411E" w14:textId="467FBDB5" w:rsidR="00B04DE1" w:rsidRPr="00F14BC3" w:rsidRDefault="001868F1" w:rsidP="0062295F">
      <w:pPr>
        <w:pStyle w:val="ListParagraph"/>
        <w:spacing w:before="240"/>
        <w:ind w:left="0"/>
        <w:rPr>
          <w:rFonts w:ascii="Arial" w:hAnsi="Arial" w:cs="Arial"/>
        </w:rPr>
      </w:pPr>
      <w:r w:rsidRPr="007C0AC5">
        <w:rPr>
          <w:rFonts w:ascii="Arial" w:hAnsi="Arial" w:cs="Arial"/>
        </w:rPr>
        <w:t xml:space="preserve">This </w:t>
      </w:r>
      <w:r w:rsidR="00496210" w:rsidRPr="007C0AC5">
        <w:rPr>
          <w:rFonts w:ascii="Arial" w:hAnsi="Arial" w:cs="Arial"/>
        </w:rPr>
        <w:t xml:space="preserve">approach will </w:t>
      </w:r>
      <w:r w:rsidRPr="007C0AC5">
        <w:rPr>
          <w:rFonts w:ascii="Arial" w:hAnsi="Arial" w:cs="Arial"/>
        </w:rPr>
        <w:t xml:space="preserve">facilitate </w:t>
      </w:r>
      <w:r w:rsidR="00496210" w:rsidRPr="007C0AC5">
        <w:rPr>
          <w:rFonts w:ascii="Arial" w:hAnsi="Arial" w:cs="Arial"/>
        </w:rPr>
        <w:t xml:space="preserve">the </w:t>
      </w:r>
      <w:r w:rsidRPr="007C0AC5">
        <w:rPr>
          <w:rFonts w:ascii="Arial" w:hAnsi="Arial" w:cs="Arial"/>
        </w:rPr>
        <w:t xml:space="preserve">deployment of AAS while ensuring all devices operating under the existing limits are not impacted </w:t>
      </w:r>
      <w:r w:rsidR="00496210" w:rsidRPr="007C0AC5">
        <w:rPr>
          <w:rFonts w:ascii="Arial" w:hAnsi="Arial" w:cs="Arial"/>
        </w:rPr>
        <w:t xml:space="preserve">by any changes </w:t>
      </w:r>
      <w:r w:rsidRPr="007C0AC5">
        <w:rPr>
          <w:rFonts w:ascii="Arial" w:hAnsi="Arial" w:cs="Arial"/>
        </w:rPr>
        <w:t xml:space="preserve">(as they are all non-AAS). </w:t>
      </w:r>
      <w:r w:rsidR="00520A6F" w:rsidRPr="007C0AC5">
        <w:rPr>
          <w:rFonts w:ascii="Arial" w:hAnsi="Arial" w:cs="Arial"/>
        </w:rPr>
        <w:t xml:space="preserve">The proposed </w:t>
      </w:r>
      <w:r w:rsidR="00496210" w:rsidRPr="007C0AC5">
        <w:rPr>
          <w:rFonts w:ascii="Arial" w:hAnsi="Arial" w:cs="Arial"/>
        </w:rPr>
        <w:t xml:space="preserve">compromise </w:t>
      </w:r>
      <w:r w:rsidR="00520A6F" w:rsidRPr="007C0AC5">
        <w:rPr>
          <w:rFonts w:ascii="Arial" w:hAnsi="Arial" w:cs="Arial"/>
        </w:rPr>
        <w:t>limit</w:t>
      </w:r>
      <w:r w:rsidR="00496210" w:rsidRPr="007C0AC5">
        <w:rPr>
          <w:rFonts w:ascii="Arial" w:hAnsi="Arial" w:cs="Arial"/>
        </w:rPr>
        <w:t>s</w:t>
      </w:r>
      <w:r w:rsidR="00520A6F" w:rsidRPr="007C0AC5">
        <w:rPr>
          <w:rFonts w:ascii="Arial" w:hAnsi="Arial" w:cs="Arial"/>
        </w:rPr>
        <w:t xml:space="preserve"> are provided in Table 1 and Table 2</w:t>
      </w:r>
      <w:r w:rsidR="00496210" w:rsidRPr="007C0AC5">
        <w:rPr>
          <w:rFonts w:ascii="Arial" w:hAnsi="Arial" w:cs="Arial"/>
        </w:rPr>
        <w:t xml:space="preserve"> for non-AAS and AAS devices respectively</w:t>
      </w:r>
      <w:r w:rsidR="00520A6F" w:rsidRPr="007C0AC5">
        <w:rPr>
          <w:rFonts w:ascii="Arial" w:hAnsi="Arial" w:cs="Arial"/>
        </w:rPr>
        <w:t>.</w:t>
      </w:r>
      <w:r w:rsidR="00837973" w:rsidRPr="007C0AC5">
        <w:rPr>
          <w:rFonts w:ascii="Arial" w:hAnsi="Arial" w:cs="Arial"/>
        </w:rPr>
        <w:t xml:space="preserve"> A graphical representation of the proposed</w:t>
      </w:r>
      <w:r w:rsidR="0055433D" w:rsidRPr="007C0AC5">
        <w:rPr>
          <w:rFonts w:ascii="Arial" w:hAnsi="Arial" w:cs="Arial"/>
        </w:rPr>
        <w:t xml:space="preserve"> compromise</w:t>
      </w:r>
      <w:r w:rsidR="00837973" w:rsidRPr="007C0AC5">
        <w:rPr>
          <w:rFonts w:ascii="Arial" w:hAnsi="Arial" w:cs="Arial"/>
        </w:rPr>
        <w:t xml:space="preserve"> limits is provided in Figure 3. </w:t>
      </w:r>
    </w:p>
    <w:p w14:paraId="42923B5F" w14:textId="200F6274" w:rsidR="006F67D6" w:rsidRPr="007D04B2" w:rsidRDefault="006F67D6" w:rsidP="0062295F">
      <w:pPr>
        <w:pStyle w:val="ACMATableHeader"/>
        <w:keepNext/>
        <w:keepLines/>
        <w:spacing w:after="120" w:line="240" w:lineRule="atLeast"/>
      </w:pPr>
      <w:r w:rsidRPr="007D04B2">
        <w:rPr>
          <w:rFonts w:cs="Arial"/>
        </w:rPr>
        <w:lastRenderedPageBreak/>
        <w:t>Transmitter unwanted emission limits</w:t>
      </w:r>
      <w:r w:rsidR="00496210">
        <w:rPr>
          <w:rFonts w:cs="Arial"/>
        </w:rPr>
        <w:t xml:space="preserve"> in the 1795</w:t>
      </w:r>
      <w:r w:rsidR="001E2EA3">
        <w:rPr>
          <w:rFonts w:cs="Arial"/>
        </w:rPr>
        <w:t>–</w:t>
      </w:r>
      <w:r w:rsidR="00496210">
        <w:rPr>
          <w:rFonts w:cs="Arial"/>
        </w:rPr>
        <w:t>1890 MHz band</w:t>
      </w:r>
      <w:r w:rsidR="004C7576">
        <w:rPr>
          <w:rFonts w:cs="Arial"/>
        </w:rPr>
        <w:t xml:space="preserve"> </w:t>
      </w:r>
      <w:r w:rsidR="001E2EA3">
        <w:rPr>
          <w:rFonts w:cs="Arial"/>
        </w:rPr>
        <w:br/>
      </w:r>
      <w:r w:rsidRPr="007D04B2">
        <w:rPr>
          <w:rFonts w:cs="Arial"/>
        </w:rPr>
        <w:t>–</w:t>
      </w:r>
      <w:r w:rsidR="004C7576">
        <w:rPr>
          <w:rFonts w:cs="Arial"/>
        </w:rPr>
        <w:t xml:space="preserve"> </w:t>
      </w:r>
      <w:r>
        <w:rPr>
          <w:rFonts w:cs="Arial"/>
        </w:rPr>
        <w:t xml:space="preserve">non-AAS </w:t>
      </w:r>
      <w:r w:rsidRPr="007D04B2">
        <w:rPr>
          <w:rFonts w:cs="Arial"/>
        </w:rPr>
        <w:t>devices</w:t>
      </w:r>
      <w:r w:rsidRPr="007D04B2">
        <w:t>.</w:t>
      </w:r>
      <w:r>
        <w:t xml:space="preserve"> </w:t>
      </w:r>
    </w:p>
    <w:tbl>
      <w:tblPr>
        <w:tblStyle w:val="TableGrid"/>
        <w:tblW w:w="7083" w:type="dxa"/>
        <w:jc w:val="center"/>
        <w:tblLook w:val="04A0" w:firstRow="1" w:lastRow="0" w:firstColumn="1" w:lastColumn="0" w:noHBand="0" w:noVBand="1"/>
      </w:tblPr>
      <w:tblGrid>
        <w:gridCol w:w="2972"/>
        <w:gridCol w:w="2552"/>
        <w:gridCol w:w="1559"/>
      </w:tblGrid>
      <w:tr w:rsidR="004B5C1A" w:rsidRPr="004B5C1A" w14:paraId="0B43452D" w14:textId="77777777" w:rsidTr="004B5C1A">
        <w:trPr>
          <w:jc w:val="center"/>
        </w:trPr>
        <w:tc>
          <w:tcPr>
            <w:tcW w:w="2972" w:type="dxa"/>
            <w:shd w:val="clear" w:color="auto" w:fill="404040" w:themeFill="text1" w:themeFillTint="BF"/>
          </w:tcPr>
          <w:p w14:paraId="7EFC8BDB" w14:textId="2D9DAE48" w:rsidR="006F67D6" w:rsidRPr="00322232" w:rsidRDefault="006F67D6"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Frequency </w:t>
            </w:r>
            <w:r w:rsidR="006E4C03" w:rsidRPr="00322232">
              <w:rPr>
                <w:rFonts w:ascii="Arial" w:hAnsi="Arial" w:cs="Arial"/>
                <w:b/>
                <w:color w:val="FFFFFF" w:themeColor="background1"/>
              </w:rPr>
              <w:t>offset</w:t>
            </w:r>
          </w:p>
          <w:p w14:paraId="398E581B" w14:textId="12674905" w:rsidR="006F67D6" w:rsidRPr="00322232" w:rsidRDefault="006F67D6" w:rsidP="00DA5108">
            <w:pPr>
              <w:pStyle w:val="ListParagraph"/>
              <w:keepNext/>
              <w:keepLines/>
              <w:ind w:left="0"/>
              <w:jc w:val="center"/>
              <w:rPr>
                <w:rFonts w:ascii="Arial" w:hAnsi="Arial" w:cs="Arial"/>
                <w:b/>
                <w:color w:val="FFFFFF" w:themeColor="background1"/>
                <w:vertAlign w:val="superscript"/>
              </w:rPr>
            </w:pPr>
            <w:r w:rsidRPr="00322232">
              <w:rPr>
                <w:rFonts w:ascii="Arial" w:hAnsi="Arial" w:cs="Arial"/>
                <w:b/>
                <w:color w:val="FFFFFF" w:themeColor="background1"/>
              </w:rPr>
              <w:t>(</w:t>
            </w:r>
            <w:proofErr w:type="spellStart"/>
            <w:r w:rsidRPr="00322232">
              <w:rPr>
                <w:rFonts w:ascii="Arial" w:hAnsi="Arial" w:cs="Arial"/>
                <w:b/>
                <w:color w:val="FFFFFF" w:themeColor="background1"/>
              </w:rPr>
              <w:t>f</w:t>
            </w:r>
            <w:r w:rsidRPr="00322232">
              <w:rPr>
                <w:rFonts w:ascii="Arial" w:hAnsi="Arial" w:cs="Arial"/>
                <w:b/>
                <w:color w:val="FFFFFF" w:themeColor="background1"/>
                <w:vertAlign w:val="subscript"/>
              </w:rPr>
              <w:t>offset</w:t>
            </w:r>
            <w:proofErr w:type="spellEnd"/>
            <w:r w:rsidRPr="00322232">
              <w:rPr>
                <w:rFonts w:ascii="Arial" w:hAnsi="Arial" w:cs="Arial"/>
                <w:b/>
                <w:color w:val="FFFFFF" w:themeColor="background1"/>
              </w:rPr>
              <w:t xml:space="preserve">) </w:t>
            </w:r>
            <w:r w:rsidR="004B5C1A">
              <w:rPr>
                <w:rFonts w:ascii="Arial" w:hAnsi="Arial" w:cs="Arial"/>
                <w:b/>
                <w:color w:val="FFFFFF" w:themeColor="background1"/>
                <w:sz w:val="18"/>
                <w:szCs w:val="18"/>
              </w:rPr>
              <w:t>(</w:t>
            </w:r>
            <w:r w:rsidRPr="00322232">
              <w:rPr>
                <w:rFonts w:ascii="Arial" w:hAnsi="Arial" w:cs="Arial"/>
                <w:b/>
                <w:color w:val="FFFFFF" w:themeColor="background1"/>
                <w:sz w:val="18"/>
                <w:szCs w:val="18"/>
              </w:rPr>
              <w:t>Note 1</w:t>
            </w:r>
            <w:r w:rsidR="004B5C1A">
              <w:rPr>
                <w:rFonts w:ascii="Arial" w:hAnsi="Arial" w:cs="Arial"/>
                <w:b/>
                <w:color w:val="FFFFFF" w:themeColor="background1"/>
                <w:sz w:val="18"/>
                <w:szCs w:val="18"/>
              </w:rPr>
              <w:t>)</w:t>
            </w:r>
          </w:p>
        </w:tc>
        <w:tc>
          <w:tcPr>
            <w:tcW w:w="2552" w:type="dxa"/>
            <w:shd w:val="clear" w:color="auto" w:fill="404040" w:themeFill="text1" w:themeFillTint="BF"/>
          </w:tcPr>
          <w:p w14:paraId="24D6CDEA" w14:textId="3690DDBB" w:rsidR="006F67D6" w:rsidRPr="00322232" w:rsidRDefault="001868F1"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Radiated </w:t>
            </w:r>
            <w:r w:rsidR="004B5C1A">
              <w:rPr>
                <w:rFonts w:ascii="Arial" w:hAnsi="Arial" w:cs="Arial"/>
                <w:b/>
                <w:color w:val="FFFFFF" w:themeColor="background1"/>
              </w:rPr>
              <w:t>m</w:t>
            </w:r>
            <w:r w:rsidRPr="00322232">
              <w:rPr>
                <w:rFonts w:ascii="Arial" w:hAnsi="Arial" w:cs="Arial"/>
                <w:b/>
                <w:color w:val="FFFFFF" w:themeColor="background1"/>
              </w:rPr>
              <w:t xml:space="preserve">aximum </w:t>
            </w:r>
            <w:r w:rsidR="004B5C1A">
              <w:rPr>
                <w:rFonts w:ascii="Arial" w:hAnsi="Arial" w:cs="Arial"/>
                <w:b/>
                <w:color w:val="FFFFFF" w:themeColor="background1"/>
              </w:rPr>
              <w:t>t</w:t>
            </w:r>
            <w:r w:rsidRPr="00322232">
              <w:rPr>
                <w:rFonts w:ascii="Arial" w:hAnsi="Arial" w:cs="Arial"/>
                <w:b/>
                <w:color w:val="FFFFFF" w:themeColor="background1"/>
              </w:rPr>
              <w:t xml:space="preserve">rue </w:t>
            </w:r>
            <w:r w:rsidR="004B5C1A">
              <w:rPr>
                <w:rFonts w:ascii="Arial" w:hAnsi="Arial" w:cs="Arial"/>
                <w:b/>
                <w:color w:val="FFFFFF" w:themeColor="background1"/>
              </w:rPr>
              <w:t>m</w:t>
            </w:r>
            <w:r w:rsidR="006F67D6" w:rsidRPr="00322232">
              <w:rPr>
                <w:rFonts w:ascii="Arial" w:hAnsi="Arial" w:cs="Arial"/>
                <w:b/>
                <w:color w:val="FFFFFF" w:themeColor="background1"/>
              </w:rPr>
              <w:t xml:space="preserve">ean </w:t>
            </w:r>
            <w:r w:rsidR="004B5C1A">
              <w:rPr>
                <w:rFonts w:ascii="Arial" w:hAnsi="Arial" w:cs="Arial"/>
                <w:b/>
                <w:color w:val="FFFFFF" w:themeColor="background1"/>
              </w:rPr>
              <w:t>p</w:t>
            </w:r>
            <w:r w:rsidR="006F67D6" w:rsidRPr="00322232">
              <w:rPr>
                <w:rFonts w:ascii="Arial" w:hAnsi="Arial" w:cs="Arial"/>
                <w:b/>
                <w:color w:val="FFFFFF" w:themeColor="background1"/>
              </w:rPr>
              <w:t>ower (dBm</w:t>
            </w:r>
            <w:r w:rsidRPr="00322232">
              <w:rPr>
                <w:rFonts w:ascii="Arial" w:hAnsi="Arial" w:cs="Arial"/>
                <w:b/>
                <w:color w:val="FFFFFF" w:themeColor="background1"/>
              </w:rPr>
              <w:t xml:space="preserve"> EIRP</w:t>
            </w:r>
            <w:r w:rsidR="006F67D6" w:rsidRPr="00322232">
              <w:rPr>
                <w:rFonts w:ascii="Arial" w:hAnsi="Arial" w:cs="Arial"/>
                <w:b/>
                <w:color w:val="FFFFFF" w:themeColor="background1"/>
              </w:rPr>
              <w:t xml:space="preserve">) </w:t>
            </w:r>
          </w:p>
        </w:tc>
        <w:tc>
          <w:tcPr>
            <w:tcW w:w="1559" w:type="dxa"/>
            <w:shd w:val="clear" w:color="auto" w:fill="404040" w:themeFill="text1" w:themeFillTint="BF"/>
          </w:tcPr>
          <w:p w14:paraId="5FA65622" w14:textId="6E97197C" w:rsidR="006F67D6" w:rsidRPr="00322232" w:rsidRDefault="006F67D6"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4B5C1A">
              <w:rPr>
                <w:rFonts w:ascii="Arial" w:hAnsi="Arial" w:cs="Arial"/>
                <w:b/>
                <w:color w:val="FFFFFF" w:themeColor="background1"/>
              </w:rPr>
              <w:t>b</w:t>
            </w:r>
            <w:r w:rsidRPr="00322232">
              <w:rPr>
                <w:rFonts w:ascii="Arial" w:hAnsi="Arial" w:cs="Arial"/>
                <w:b/>
                <w:color w:val="FFFFFF" w:themeColor="background1"/>
              </w:rPr>
              <w:t>andwidth</w:t>
            </w:r>
          </w:p>
        </w:tc>
      </w:tr>
      <w:tr w:rsidR="006F67D6" w:rsidRPr="0038765E" w14:paraId="511DED05" w14:textId="77777777" w:rsidTr="00DA5108">
        <w:trPr>
          <w:jc w:val="center"/>
        </w:trPr>
        <w:tc>
          <w:tcPr>
            <w:tcW w:w="2972" w:type="dxa"/>
          </w:tcPr>
          <w:p w14:paraId="2EC17543" w14:textId="306015D8" w:rsidR="006F67D6" w:rsidRPr="00322232" w:rsidRDefault="006F67D6" w:rsidP="00DA5108">
            <w:pPr>
              <w:pStyle w:val="ListParagraph"/>
              <w:keepNext/>
              <w:keepLines/>
              <w:ind w:left="0"/>
              <w:jc w:val="center"/>
              <w:rPr>
                <w:rFonts w:ascii="Arial" w:hAnsi="Arial" w:cs="Arial"/>
                <w:sz w:val="18"/>
                <w:szCs w:val="18"/>
                <w:u w:val="single"/>
              </w:rPr>
            </w:pPr>
            <w:r w:rsidRPr="00322232">
              <w:rPr>
                <w:rFonts w:ascii="Arial" w:hAnsi="Arial" w:cs="Arial"/>
                <w:sz w:val="18"/>
                <w:szCs w:val="18"/>
              </w:rPr>
              <w:t>0 MHz</w:t>
            </w:r>
            <w:r w:rsidRPr="00322232">
              <w:rPr>
                <w:rFonts w:ascii="Arial" w:hAnsi="Arial" w:cs="Arial"/>
                <w:spacing w:val="13"/>
                <w:sz w:val="18"/>
                <w:szCs w:val="18"/>
              </w:rPr>
              <w:t xml:space="preserve"> </w:t>
            </w:r>
            <w:r w:rsidRPr="00322232">
              <w:rPr>
                <w:rFonts w:ascii="Arial" w:hAnsi="Arial" w:cs="Arial"/>
                <w:sz w:val="18"/>
                <w:szCs w:val="18"/>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r w:rsidRPr="00322232">
              <w:rPr>
                <w:rFonts w:ascii="Arial" w:hAnsi="Arial" w:cs="Arial"/>
                <w:sz w:val="18"/>
                <w:szCs w:val="18"/>
              </w:rPr>
              <w:t>&lt;</w:t>
            </w:r>
            <w:r w:rsidRPr="00322232">
              <w:rPr>
                <w:rFonts w:ascii="Arial" w:hAnsi="Arial" w:cs="Arial"/>
                <w:spacing w:val="1"/>
                <w:sz w:val="18"/>
                <w:szCs w:val="18"/>
              </w:rPr>
              <w:t xml:space="preserve"> </w:t>
            </w:r>
            <w:r w:rsidR="000C5A7A" w:rsidRPr="00322232">
              <w:rPr>
                <w:rFonts w:ascii="Arial" w:hAnsi="Arial" w:cs="Arial"/>
                <w:sz w:val="18"/>
                <w:szCs w:val="18"/>
              </w:rPr>
              <w:t>200</w:t>
            </w:r>
            <w:r w:rsidRPr="00322232">
              <w:rPr>
                <w:rFonts w:ascii="Arial" w:hAnsi="Arial" w:cs="Arial"/>
                <w:sz w:val="18"/>
                <w:szCs w:val="18"/>
              </w:rPr>
              <w:t xml:space="preserve"> </w:t>
            </w:r>
            <w:r w:rsidR="000C5A7A" w:rsidRPr="00322232">
              <w:rPr>
                <w:rFonts w:ascii="Arial" w:hAnsi="Arial" w:cs="Arial"/>
                <w:sz w:val="18"/>
                <w:szCs w:val="18"/>
              </w:rPr>
              <w:t>k</w:t>
            </w:r>
            <w:r w:rsidRPr="00322232">
              <w:rPr>
                <w:rFonts w:ascii="Arial" w:hAnsi="Arial" w:cs="Arial"/>
                <w:sz w:val="18"/>
                <w:szCs w:val="18"/>
              </w:rPr>
              <w:t>Hz</w:t>
            </w:r>
          </w:p>
        </w:tc>
        <w:tc>
          <w:tcPr>
            <w:tcW w:w="2552" w:type="dxa"/>
          </w:tcPr>
          <w:p w14:paraId="4EBC61BB" w14:textId="4564FBC7" w:rsidR="006F67D6" w:rsidRPr="00322232" w:rsidRDefault="000C5A7A" w:rsidP="00DA5108">
            <w:pPr>
              <w:pStyle w:val="ListParagraph"/>
              <w:keepNext/>
              <w:keepLines/>
              <w:ind w:left="0"/>
              <w:jc w:val="center"/>
              <w:rPr>
                <w:rFonts w:ascii="Arial" w:hAnsi="Arial" w:cs="Arial"/>
                <w:sz w:val="18"/>
                <w:szCs w:val="18"/>
              </w:rPr>
            </w:pPr>
            <w:r w:rsidRPr="00322232">
              <w:rPr>
                <w:rFonts w:ascii="Arial" w:hAnsi="Arial" w:cs="Arial"/>
                <w:sz w:val="18"/>
                <w:szCs w:val="18"/>
              </w:rPr>
              <w:t>21.5</w:t>
            </w:r>
          </w:p>
        </w:tc>
        <w:tc>
          <w:tcPr>
            <w:tcW w:w="1559" w:type="dxa"/>
          </w:tcPr>
          <w:p w14:paraId="2BFE2D55" w14:textId="059758CB" w:rsidR="006F67D6" w:rsidRPr="00322232" w:rsidRDefault="000C5A7A" w:rsidP="00DA5108">
            <w:pPr>
              <w:pStyle w:val="ListParagraph"/>
              <w:keepNext/>
              <w:keepLines/>
              <w:ind w:left="0"/>
              <w:jc w:val="center"/>
              <w:rPr>
                <w:rFonts w:ascii="Arial" w:hAnsi="Arial" w:cs="Arial"/>
                <w:sz w:val="18"/>
                <w:szCs w:val="18"/>
              </w:rPr>
            </w:pPr>
            <w:r w:rsidRPr="00322232">
              <w:rPr>
                <w:rFonts w:ascii="Arial" w:hAnsi="Arial" w:cs="Arial"/>
                <w:sz w:val="18"/>
                <w:szCs w:val="18"/>
              </w:rPr>
              <w:t>30</w:t>
            </w:r>
            <w:r w:rsidR="006F67D6" w:rsidRPr="00322232">
              <w:rPr>
                <w:rFonts w:ascii="Arial" w:hAnsi="Arial" w:cs="Arial"/>
                <w:sz w:val="18"/>
                <w:szCs w:val="18"/>
              </w:rPr>
              <w:t xml:space="preserve"> </w:t>
            </w:r>
            <w:r w:rsidR="00F14BC3" w:rsidRPr="00322232">
              <w:rPr>
                <w:rFonts w:ascii="Arial" w:hAnsi="Arial" w:cs="Arial"/>
                <w:sz w:val="18"/>
                <w:szCs w:val="18"/>
              </w:rPr>
              <w:t>k</w:t>
            </w:r>
            <w:r w:rsidR="006F67D6" w:rsidRPr="00322232">
              <w:rPr>
                <w:rFonts w:ascii="Arial" w:hAnsi="Arial" w:cs="Arial"/>
                <w:sz w:val="18"/>
                <w:szCs w:val="18"/>
              </w:rPr>
              <w:t>Hz</w:t>
            </w:r>
          </w:p>
        </w:tc>
      </w:tr>
      <w:tr w:rsidR="006F67D6" w:rsidRPr="0038765E" w14:paraId="0999C2A3" w14:textId="77777777" w:rsidTr="00322232">
        <w:trPr>
          <w:jc w:val="center"/>
        </w:trPr>
        <w:tc>
          <w:tcPr>
            <w:tcW w:w="2972" w:type="dxa"/>
            <w:shd w:val="clear" w:color="auto" w:fill="F2F2F2" w:themeFill="background1" w:themeFillShade="F2"/>
          </w:tcPr>
          <w:p w14:paraId="041ABC2D" w14:textId="332148E9" w:rsidR="006F67D6" w:rsidRPr="00322232" w:rsidRDefault="000C5A7A" w:rsidP="00DA5108">
            <w:pPr>
              <w:pStyle w:val="ListParagraph"/>
              <w:keepNext/>
              <w:keepLines/>
              <w:ind w:left="0"/>
              <w:jc w:val="center"/>
              <w:rPr>
                <w:rFonts w:ascii="Arial" w:hAnsi="Arial" w:cs="Arial"/>
                <w:sz w:val="18"/>
                <w:szCs w:val="18"/>
              </w:rPr>
            </w:pPr>
            <w:r w:rsidRPr="00322232">
              <w:rPr>
                <w:rFonts w:ascii="Arial" w:hAnsi="Arial" w:cs="Arial"/>
                <w:sz w:val="18"/>
                <w:szCs w:val="18"/>
              </w:rPr>
              <w:t>200</w:t>
            </w:r>
            <w:r w:rsidR="006F67D6" w:rsidRPr="00322232">
              <w:rPr>
                <w:rFonts w:ascii="Arial" w:hAnsi="Arial" w:cs="Arial"/>
                <w:sz w:val="18"/>
                <w:szCs w:val="18"/>
              </w:rPr>
              <w:t xml:space="preserve"> </w:t>
            </w:r>
            <w:r w:rsidRPr="00322232">
              <w:rPr>
                <w:rFonts w:ascii="Arial" w:hAnsi="Arial" w:cs="Arial"/>
                <w:sz w:val="18"/>
                <w:szCs w:val="18"/>
              </w:rPr>
              <w:t>k</w:t>
            </w:r>
            <w:r w:rsidR="006F67D6" w:rsidRPr="00322232">
              <w:rPr>
                <w:rFonts w:ascii="Arial" w:hAnsi="Arial" w:cs="Arial"/>
                <w:sz w:val="18"/>
                <w:szCs w:val="18"/>
              </w:rPr>
              <w:t>Hz</w:t>
            </w:r>
            <w:r w:rsidR="006F67D6" w:rsidRPr="00322232">
              <w:rPr>
                <w:rFonts w:ascii="Arial" w:hAnsi="Arial" w:cs="Arial"/>
                <w:spacing w:val="13"/>
                <w:sz w:val="18"/>
                <w:szCs w:val="18"/>
              </w:rPr>
              <w:t xml:space="preserve"> </w:t>
            </w:r>
            <w:r w:rsidR="006F67D6" w:rsidRPr="00322232">
              <w:rPr>
                <w:rFonts w:ascii="Arial" w:hAnsi="Arial" w:cs="Arial"/>
                <w:sz w:val="18"/>
                <w:szCs w:val="18"/>
              </w:rPr>
              <w:t xml:space="preserve">≤ </w:t>
            </w:r>
            <w:proofErr w:type="spellStart"/>
            <w:r w:rsidR="006F67D6" w:rsidRPr="00322232">
              <w:rPr>
                <w:rFonts w:ascii="Arial" w:hAnsi="Arial" w:cs="Arial"/>
                <w:sz w:val="18"/>
                <w:szCs w:val="18"/>
              </w:rPr>
              <w:t>f</w:t>
            </w:r>
            <w:r w:rsidR="006F67D6" w:rsidRPr="00322232">
              <w:rPr>
                <w:rFonts w:ascii="Arial" w:hAnsi="Arial" w:cs="Arial"/>
                <w:sz w:val="18"/>
                <w:szCs w:val="18"/>
                <w:vertAlign w:val="subscript"/>
              </w:rPr>
              <w:t>offset</w:t>
            </w:r>
            <w:proofErr w:type="spellEnd"/>
            <w:r w:rsidR="006F67D6" w:rsidRPr="00322232">
              <w:rPr>
                <w:rFonts w:ascii="Arial" w:hAnsi="Arial" w:cs="Arial"/>
                <w:spacing w:val="27"/>
                <w:position w:val="-1"/>
                <w:sz w:val="18"/>
                <w:szCs w:val="18"/>
              </w:rPr>
              <w:t xml:space="preserve"> </w:t>
            </w:r>
            <w:r w:rsidR="006F67D6" w:rsidRPr="00322232">
              <w:rPr>
                <w:rFonts w:ascii="Arial" w:hAnsi="Arial" w:cs="Arial"/>
                <w:sz w:val="18"/>
                <w:szCs w:val="18"/>
              </w:rPr>
              <w:t>&lt;</w:t>
            </w:r>
            <w:r w:rsidR="006F67D6" w:rsidRPr="00322232">
              <w:rPr>
                <w:rFonts w:ascii="Arial" w:hAnsi="Arial" w:cs="Arial"/>
                <w:spacing w:val="1"/>
                <w:sz w:val="18"/>
                <w:szCs w:val="18"/>
              </w:rPr>
              <w:t xml:space="preserve"> </w:t>
            </w:r>
            <w:r w:rsidRPr="00322232">
              <w:rPr>
                <w:rFonts w:ascii="Arial" w:hAnsi="Arial" w:cs="Arial"/>
                <w:spacing w:val="1"/>
                <w:sz w:val="18"/>
                <w:szCs w:val="18"/>
              </w:rPr>
              <w:t>1</w:t>
            </w:r>
            <w:r w:rsidR="006F67D6" w:rsidRPr="00322232">
              <w:rPr>
                <w:rFonts w:ascii="Arial" w:hAnsi="Arial" w:cs="Arial"/>
                <w:spacing w:val="1"/>
                <w:sz w:val="18"/>
                <w:szCs w:val="18"/>
              </w:rPr>
              <w:t xml:space="preserve"> MHz</w:t>
            </w:r>
          </w:p>
        </w:tc>
        <w:tc>
          <w:tcPr>
            <w:tcW w:w="2552" w:type="dxa"/>
            <w:shd w:val="clear" w:color="auto" w:fill="F2F2F2" w:themeFill="background1" w:themeFillShade="F2"/>
          </w:tcPr>
          <w:p w14:paraId="10B1B848" w14:textId="1CBB9F2B" w:rsidR="006F67D6" w:rsidRPr="00322232" w:rsidRDefault="000C5A7A" w:rsidP="00DA5108">
            <w:pPr>
              <w:pStyle w:val="ListParagraph"/>
              <w:keepNext/>
              <w:keepLines/>
              <w:ind w:left="0"/>
              <w:jc w:val="center"/>
              <w:rPr>
                <w:rFonts w:ascii="Arial" w:hAnsi="Arial" w:cs="Arial"/>
                <w:sz w:val="18"/>
                <w:szCs w:val="18"/>
              </w:rPr>
            </w:pPr>
            <w:r w:rsidRPr="00322232">
              <w:rPr>
                <w:rFonts w:ascii="Arial" w:hAnsi="Arial" w:cs="Arial"/>
                <w:sz w:val="18"/>
                <w:szCs w:val="18"/>
              </w:rPr>
              <w:t>2 – 13.125 x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z w:val="18"/>
                <w:szCs w:val="18"/>
              </w:rPr>
              <w:t xml:space="preserve"> – 0.2)</w:t>
            </w:r>
          </w:p>
        </w:tc>
        <w:tc>
          <w:tcPr>
            <w:tcW w:w="1559" w:type="dxa"/>
            <w:shd w:val="clear" w:color="auto" w:fill="F2F2F2" w:themeFill="background1" w:themeFillShade="F2"/>
          </w:tcPr>
          <w:p w14:paraId="0CF762E6" w14:textId="1A3620AA" w:rsidR="006F67D6" w:rsidRPr="00322232" w:rsidRDefault="000C5A7A" w:rsidP="00DA5108">
            <w:pPr>
              <w:pStyle w:val="ListParagraph"/>
              <w:keepNext/>
              <w:keepLines/>
              <w:ind w:left="0"/>
              <w:jc w:val="center"/>
              <w:rPr>
                <w:rFonts w:ascii="Arial" w:hAnsi="Arial" w:cs="Arial"/>
                <w:sz w:val="18"/>
                <w:szCs w:val="18"/>
              </w:rPr>
            </w:pPr>
            <w:r w:rsidRPr="00322232">
              <w:rPr>
                <w:rFonts w:ascii="Arial" w:hAnsi="Arial" w:cs="Arial"/>
                <w:sz w:val="18"/>
                <w:szCs w:val="18"/>
              </w:rPr>
              <w:t>3</w:t>
            </w:r>
            <w:r w:rsidR="006F67D6" w:rsidRPr="00322232">
              <w:rPr>
                <w:rFonts w:ascii="Arial" w:hAnsi="Arial" w:cs="Arial"/>
                <w:sz w:val="18"/>
                <w:szCs w:val="18"/>
              </w:rPr>
              <w:t xml:space="preserve">0 </w:t>
            </w:r>
            <w:r w:rsidR="00F14BC3" w:rsidRPr="00322232">
              <w:rPr>
                <w:rFonts w:ascii="Arial" w:hAnsi="Arial" w:cs="Arial"/>
                <w:sz w:val="18"/>
                <w:szCs w:val="18"/>
              </w:rPr>
              <w:t>k</w:t>
            </w:r>
            <w:r w:rsidR="006F67D6" w:rsidRPr="00322232">
              <w:rPr>
                <w:rFonts w:ascii="Arial" w:hAnsi="Arial" w:cs="Arial"/>
                <w:sz w:val="18"/>
                <w:szCs w:val="18"/>
              </w:rPr>
              <w:t>Hz</w:t>
            </w:r>
          </w:p>
        </w:tc>
      </w:tr>
      <w:tr w:rsidR="000C5A7A" w:rsidRPr="0038765E" w14:paraId="660C564A" w14:textId="77777777" w:rsidTr="00322232">
        <w:trPr>
          <w:jc w:val="center"/>
        </w:trPr>
        <w:tc>
          <w:tcPr>
            <w:tcW w:w="2972" w:type="dxa"/>
            <w:shd w:val="clear" w:color="auto" w:fill="FFFFFF" w:themeFill="background1"/>
          </w:tcPr>
          <w:p w14:paraId="6ACC99B7" w14:textId="6CD9B27E"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1 MHz</w:t>
            </w:r>
            <w:r w:rsidRPr="00322232">
              <w:rPr>
                <w:rFonts w:ascii="Arial" w:hAnsi="Arial" w:cs="Arial"/>
                <w:spacing w:val="13"/>
                <w:sz w:val="18"/>
                <w:szCs w:val="18"/>
              </w:rPr>
              <w:t xml:space="preserve"> </w:t>
            </w:r>
            <w:r w:rsidRPr="00322232">
              <w:rPr>
                <w:rFonts w:ascii="Arial" w:hAnsi="Arial" w:cs="Arial"/>
                <w:sz w:val="18"/>
                <w:szCs w:val="18"/>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r w:rsidRPr="00322232">
              <w:rPr>
                <w:rFonts w:ascii="Arial" w:hAnsi="Arial" w:cs="Arial"/>
                <w:sz w:val="18"/>
                <w:szCs w:val="18"/>
              </w:rPr>
              <w:t>&lt;</w:t>
            </w:r>
            <w:r w:rsidRPr="00322232">
              <w:rPr>
                <w:rFonts w:ascii="Arial" w:hAnsi="Arial" w:cs="Arial"/>
                <w:spacing w:val="1"/>
                <w:sz w:val="18"/>
                <w:szCs w:val="18"/>
              </w:rPr>
              <w:t xml:space="preserve"> 5.8 MHz</w:t>
            </w:r>
          </w:p>
        </w:tc>
        <w:tc>
          <w:tcPr>
            <w:tcW w:w="2552" w:type="dxa"/>
            <w:shd w:val="clear" w:color="auto" w:fill="FFFFFF" w:themeFill="background1"/>
          </w:tcPr>
          <w:p w14:paraId="4631EBA7" w14:textId="563AE943" w:rsidR="000C5A7A" w:rsidRPr="00322232" w:rsidDel="00CF0645"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-8.5</w:t>
            </w:r>
          </w:p>
        </w:tc>
        <w:tc>
          <w:tcPr>
            <w:tcW w:w="1559" w:type="dxa"/>
            <w:shd w:val="clear" w:color="auto" w:fill="FFFFFF" w:themeFill="background1"/>
          </w:tcPr>
          <w:p w14:paraId="042A4E59" w14:textId="298FE716"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 xml:space="preserve">30 </w:t>
            </w:r>
            <w:r w:rsidR="00F14BC3" w:rsidRPr="00322232">
              <w:rPr>
                <w:rFonts w:ascii="Arial" w:hAnsi="Arial" w:cs="Arial"/>
                <w:sz w:val="18"/>
                <w:szCs w:val="18"/>
              </w:rPr>
              <w:t>k</w:t>
            </w:r>
            <w:r w:rsidRPr="00322232">
              <w:rPr>
                <w:rFonts w:ascii="Arial" w:hAnsi="Arial" w:cs="Arial"/>
                <w:sz w:val="18"/>
                <w:szCs w:val="18"/>
              </w:rPr>
              <w:t>Hz</w:t>
            </w:r>
          </w:p>
        </w:tc>
      </w:tr>
      <w:tr w:rsidR="000C5A7A" w:rsidRPr="0038765E" w14:paraId="57665A06" w14:textId="77777777" w:rsidTr="00322232">
        <w:trPr>
          <w:jc w:val="center"/>
        </w:trPr>
        <w:tc>
          <w:tcPr>
            <w:tcW w:w="2972" w:type="dxa"/>
            <w:shd w:val="clear" w:color="auto" w:fill="F2F2F2" w:themeFill="background1" w:themeFillShade="F2"/>
          </w:tcPr>
          <w:p w14:paraId="46D9158B" w14:textId="09F62FBA"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5.8 MHz</w:t>
            </w:r>
            <w:r w:rsidRPr="00322232">
              <w:rPr>
                <w:rFonts w:ascii="Arial" w:hAnsi="Arial" w:cs="Arial"/>
                <w:spacing w:val="13"/>
                <w:sz w:val="18"/>
                <w:szCs w:val="18"/>
              </w:rPr>
              <w:t xml:space="preserve"> </w:t>
            </w:r>
            <w:r w:rsidRPr="00322232">
              <w:rPr>
                <w:rFonts w:ascii="Arial" w:hAnsi="Arial" w:cs="Arial"/>
                <w:sz w:val="18"/>
                <w:szCs w:val="18"/>
              </w:rPr>
              <w:t>≤</w:t>
            </w:r>
            <w:r w:rsidRPr="00322232">
              <w:rPr>
                <w:rFonts w:ascii="Arial" w:hAnsi="Arial" w:cs="Arial"/>
                <w:spacing w:val="11"/>
                <w:sz w:val="18"/>
                <w:szCs w:val="18"/>
                <w:u w:val="single" w:color="000000"/>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p>
        </w:tc>
        <w:tc>
          <w:tcPr>
            <w:tcW w:w="2552" w:type="dxa"/>
            <w:shd w:val="clear" w:color="auto" w:fill="F2F2F2" w:themeFill="background1" w:themeFillShade="F2"/>
          </w:tcPr>
          <w:p w14:paraId="111C5721" w14:textId="396BC517"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-13</w:t>
            </w:r>
          </w:p>
        </w:tc>
        <w:tc>
          <w:tcPr>
            <w:tcW w:w="1559" w:type="dxa"/>
            <w:shd w:val="clear" w:color="auto" w:fill="F2F2F2" w:themeFill="background1" w:themeFillShade="F2"/>
          </w:tcPr>
          <w:p w14:paraId="07475A78" w14:textId="10A0FBDB"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 xml:space="preserve">30 </w:t>
            </w:r>
            <w:r w:rsidR="00F14BC3" w:rsidRPr="00322232">
              <w:rPr>
                <w:rFonts w:ascii="Arial" w:hAnsi="Arial" w:cs="Arial"/>
                <w:sz w:val="18"/>
                <w:szCs w:val="18"/>
              </w:rPr>
              <w:t>k</w:t>
            </w:r>
            <w:r w:rsidRPr="00322232">
              <w:rPr>
                <w:rFonts w:ascii="Arial" w:hAnsi="Arial" w:cs="Arial"/>
                <w:sz w:val="18"/>
                <w:szCs w:val="18"/>
              </w:rPr>
              <w:t>Hz</w:t>
            </w:r>
          </w:p>
        </w:tc>
      </w:tr>
    </w:tbl>
    <w:p w14:paraId="02574A4D" w14:textId="77777777" w:rsidR="006F67D6" w:rsidRDefault="006F67D6" w:rsidP="0062295F">
      <w:pPr>
        <w:keepNext/>
        <w:keepLines/>
        <w:spacing w:after="0"/>
        <w:ind w:left="852"/>
        <w:rPr>
          <w:rFonts w:cs="Arial"/>
          <w:bCs/>
          <w:sz w:val="16"/>
          <w:szCs w:val="16"/>
        </w:rPr>
      </w:pPr>
    </w:p>
    <w:p w14:paraId="69CA1149" w14:textId="35B99FFC" w:rsidR="006F67D6" w:rsidRPr="007D04B2" w:rsidRDefault="006F67D6" w:rsidP="006F67D6">
      <w:pPr>
        <w:pStyle w:val="ACMATableHeader"/>
        <w:keepNext/>
        <w:keepLines/>
        <w:spacing w:line="240" w:lineRule="atLeast"/>
      </w:pPr>
      <w:r w:rsidRPr="007D04B2">
        <w:rPr>
          <w:rFonts w:cs="Arial"/>
        </w:rPr>
        <w:t>Transmitter unwanted emission limits</w:t>
      </w:r>
      <w:r w:rsidR="004C7576">
        <w:rPr>
          <w:rFonts w:cs="Arial"/>
        </w:rPr>
        <w:t xml:space="preserve"> </w:t>
      </w:r>
      <w:r w:rsidR="00496210">
        <w:rPr>
          <w:rFonts w:cs="Arial"/>
        </w:rPr>
        <w:t>in the 1795</w:t>
      </w:r>
      <w:r w:rsidR="001E2EA3">
        <w:rPr>
          <w:rFonts w:cs="Arial"/>
        </w:rPr>
        <w:t>–</w:t>
      </w:r>
      <w:r w:rsidR="00496210">
        <w:rPr>
          <w:rFonts w:cs="Arial"/>
        </w:rPr>
        <w:t xml:space="preserve">1890 MHz band </w:t>
      </w:r>
      <w:r w:rsidR="001E2EA3">
        <w:rPr>
          <w:rFonts w:cs="Arial"/>
        </w:rPr>
        <w:br/>
      </w:r>
      <w:r w:rsidRPr="007D04B2">
        <w:rPr>
          <w:rFonts w:cs="Arial"/>
        </w:rPr>
        <w:t>–</w:t>
      </w:r>
      <w:r w:rsidR="004C7576">
        <w:rPr>
          <w:rFonts w:cs="Arial"/>
        </w:rPr>
        <w:t xml:space="preserve"> </w:t>
      </w:r>
      <w:r>
        <w:rPr>
          <w:rFonts w:cs="Arial"/>
        </w:rPr>
        <w:t xml:space="preserve">AAS </w:t>
      </w:r>
      <w:r w:rsidRPr="007D04B2">
        <w:rPr>
          <w:rFonts w:cs="Arial"/>
        </w:rPr>
        <w:t>devices</w:t>
      </w:r>
      <w:r w:rsidRPr="007D04B2">
        <w:t>.</w:t>
      </w:r>
      <w:r>
        <w:t xml:space="preserve"> </w:t>
      </w:r>
    </w:p>
    <w:tbl>
      <w:tblPr>
        <w:tblStyle w:val="TableGrid"/>
        <w:tblW w:w="7083" w:type="dxa"/>
        <w:jc w:val="center"/>
        <w:tblLook w:val="04A0" w:firstRow="1" w:lastRow="0" w:firstColumn="1" w:lastColumn="0" w:noHBand="0" w:noVBand="1"/>
      </w:tblPr>
      <w:tblGrid>
        <w:gridCol w:w="2972"/>
        <w:gridCol w:w="2552"/>
        <w:gridCol w:w="1559"/>
      </w:tblGrid>
      <w:tr w:rsidR="004B5C1A" w:rsidRPr="004B5C1A" w14:paraId="50C24F67" w14:textId="77777777" w:rsidTr="004B5C1A">
        <w:trPr>
          <w:jc w:val="center"/>
        </w:trPr>
        <w:tc>
          <w:tcPr>
            <w:tcW w:w="2972" w:type="dxa"/>
            <w:shd w:val="clear" w:color="auto" w:fill="404040" w:themeFill="text1" w:themeFillTint="BF"/>
          </w:tcPr>
          <w:p w14:paraId="080608E6" w14:textId="3374725C" w:rsidR="006F67D6" w:rsidRPr="00322232" w:rsidRDefault="006F67D6"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Frequency </w:t>
            </w:r>
            <w:r w:rsidR="006E4C03" w:rsidRPr="00322232">
              <w:rPr>
                <w:rFonts w:ascii="Arial" w:hAnsi="Arial" w:cs="Arial"/>
                <w:b/>
                <w:color w:val="FFFFFF" w:themeColor="background1"/>
              </w:rPr>
              <w:t>offs</w:t>
            </w:r>
            <w:r w:rsidR="001868F1" w:rsidRPr="00322232">
              <w:rPr>
                <w:rFonts w:ascii="Arial" w:hAnsi="Arial" w:cs="Arial"/>
                <w:b/>
                <w:color w:val="FFFFFF" w:themeColor="background1"/>
              </w:rPr>
              <w:t>e</w:t>
            </w:r>
            <w:r w:rsidR="006E4C03" w:rsidRPr="00322232">
              <w:rPr>
                <w:rFonts w:ascii="Arial" w:hAnsi="Arial" w:cs="Arial"/>
                <w:b/>
                <w:color w:val="FFFFFF" w:themeColor="background1"/>
              </w:rPr>
              <w:t>t</w:t>
            </w:r>
          </w:p>
          <w:p w14:paraId="6A900ED5" w14:textId="59638DD8" w:rsidR="006F67D6" w:rsidRPr="00322232" w:rsidRDefault="006F67D6" w:rsidP="00DA5108">
            <w:pPr>
              <w:pStyle w:val="ListParagraph"/>
              <w:keepNext/>
              <w:keepLines/>
              <w:ind w:left="0"/>
              <w:jc w:val="center"/>
              <w:rPr>
                <w:rFonts w:ascii="Arial" w:hAnsi="Arial" w:cs="Arial"/>
                <w:b/>
                <w:color w:val="FFFFFF" w:themeColor="background1"/>
                <w:vertAlign w:val="superscript"/>
              </w:rPr>
            </w:pPr>
            <w:r w:rsidRPr="00322232">
              <w:rPr>
                <w:rFonts w:ascii="Arial" w:hAnsi="Arial" w:cs="Arial"/>
                <w:b/>
                <w:color w:val="FFFFFF" w:themeColor="background1"/>
              </w:rPr>
              <w:t>(</w:t>
            </w:r>
            <w:proofErr w:type="spellStart"/>
            <w:r w:rsidRPr="00322232">
              <w:rPr>
                <w:rFonts w:ascii="Arial" w:hAnsi="Arial" w:cs="Arial"/>
                <w:b/>
                <w:color w:val="FFFFFF" w:themeColor="background1"/>
              </w:rPr>
              <w:t>f</w:t>
            </w:r>
            <w:r w:rsidRPr="00322232">
              <w:rPr>
                <w:rFonts w:ascii="Arial" w:hAnsi="Arial" w:cs="Arial"/>
                <w:b/>
                <w:color w:val="FFFFFF" w:themeColor="background1"/>
                <w:vertAlign w:val="subscript"/>
              </w:rPr>
              <w:t>offset</w:t>
            </w:r>
            <w:proofErr w:type="spellEnd"/>
            <w:r w:rsidRPr="00322232">
              <w:rPr>
                <w:rFonts w:ascii="Arial" w:hAnsi="Arial" w:cs="Arial"/>
                <w:b/>
                <w:color w:val="FFFFFF" w:themeColor="background1"/>
              </w:rPr>
              <w:t xml:space="preserve">) </w:t>
            </w:r>
            <w:r w:rsidR="004B5C1A">
              <w:rPr>
                <w:rFonts w:ascii="Arial" w:hAnsi="Arial" w:cs="Arial"/>
                <w:b/>
                <w:color w:val="FFFFFF" w:themeColor="background1"/>
                <w:sz w:val="18"/>
                <w:szCs w:val="18"/>
              </w:rPr>
              <w:t>(</w:t>
            </w:r>
            <w:r w:rsidRPr="00322232">
              <w:rPr>
                <w:rFonts w:ascii="Arial" w:hAnsi="Arial" w:cs="Arial"/>
                <w:b/>
                <w:color w:val="FFFFFF" w:themeColor="background1"/>
                <w:sz w:val="18"/>
                <w:szCs w:val="18"/>
              </w:rPr>
              <w:t>Note 1</w:t>
            </w:r>
            <w:r w:rsidR="004B5C1A">
              <w:rPr>
                <w:rFonts w:ascii="Arial" w:hAnsi="Arial" w:cs="Arial"/>
                <w:b/>
                <w:color w:val="FFFFFF" w:themeColor="background1"/>
                <w:sz w:val="18"/>
                <w:szCs w:val="18"/>
              </w:rPr>
              <w:t>)</w:t>
            </w:r>
          </w:p>
        </w:tc>
        <w:tc>
          <w:tcPr>
            <w:tcW w:w="2552" w:type="dxa"/>
            <w:shd w:val="clear" w:color="auto" w:fill="404040" w:themeFill="text1" w:themeFillTint="BF"/>
          </w:tcPr>
          <w:p w14:paraId="3395F2D2" w14:textId="12ED6BCE" w:rsidR="006F67D6" w:rsidRPr="00322232" w:rsidRDefault="006F67D6"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Total </w:t>
            </w:r>
            <w:r w:rsidR="004B5C1A">
              <w:rPr>
                <w:rFonts w:ascii="Arial" w:hAnsi="Arial" w:cs="Arial"/>
                <w:b/>
                <w:color w:val="FFFFFF" w:themeColor="background1"/>
              </w:rPr>
              <w:t>r</w:t>
            </w:r>
            <w:r w:rsidRPr="00322232">
              <w:rPr>
                <w:rFonts w:ascii="Arial" w:hAnsi="Arial" w:cs="Arial"/>
                <w:b/>
                <w:color w:val="FFFFFF" w:themeColor="background1"/>
              </w:rPr>
              <w:t xml:space="preserve">adiated </w:t>
            </w:r>
            <w:r w:rsidR="004B5C1A">
              <w:rPr>
                <w:rFonts w:ascii="Arial" w:hAnsi="Arial" w:cs="Arial"/>
                <w:b/>
                <w:color w:val="FFFFFF" w:themeColor="background1"/>
              </w:rPr>
              <w:t>p</w:t>
            </w:r>
            <w:r w:rsidRPr="00322232">
              <w:rPr>
                <w:rFonts w:ascii="Arial" w:hAnsi="Arial" w:cs="Arial"/>
                <w:b/>
                <w:color w:val="FFFFFF" w:themeColor="background1"/>
              </w:rPr>
              <w:t>ower (dBm) per cell/sector</w:t>
            </w:r>
          </w:p>
        </w:tc>
        <w:tc>
          <w:tcPr>
            <w:tcW w:w="1559" w:type="dxa"/>
            <w:shd w:val="clear" w:color="auto" w:fill="404040" w:themeFill="text1" w:themeFillTint="BF"/>
          </w:tcPr>
          <w:p w14:paraId="1A913C48" w14:textId="394D72D0" w:rsidR="006F67D6" w:rsidRPr="00322232" w:rsidRDefault="006F67D6" w:rsidP="00DA5108">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4B5C1A">
              <w:rPr>
                <w:rFonts w:ascii="Arial" w:hAnsi="Arial" w:cs="Arial"/>
                <w:b/>
                <w:color w:val="FFFFFF" w:themeColor="background1"/>
              </w:rPr>
              <w:t>b</w:t>
            </w:r>
            <w:r w:rsidRPr="00322232">
              <w:rPr>
                <w:rFonts w:ascii="Arial" w:hAnsi="Arial" w:cs="Arial"/>
                <w:b/>
                <w:color w:val="FFFFFF" w:themeColor="background1"/>
              </w:rPr>
              <w:t>andwidth</w:t>
            </w:r>
          </w:p>
        </w:tc>
      </w:tr>
      <w:tr w:rsidR="000C5A7A" w:rsidRPr="0038765E" w14:paraId="6E336171" w14:textId="77777777" w:rsidTr="00DA5108">
        <w:trPr>
          <w:jc w:val="center"/>
        </w:trPr>
        <w:tc>
          <w:tcPr>
            <w:tcW w:w="2972" w:type="dxa"/>
          </w:tcPr>
          <w:p w14:paraId="496CF391" w14:textId="5DE61E74" w:rsidR="000C5A7A" w:rsidRPr="00322232" w:rsidRDefault="000C5A7A" w:rsidP="000C5A7A">
            <w:pPr>
              <w:pStyle w:val="ListParagraph"/>
              <w:keepNext/>
              <w:keepLines/>
              <w:ind w:left="0"/>
              <w:jc w:val="center"/>
              <w:rPr>
                <w:rFonts w:ascii="Arial" w:hAnsi="Arial" w:cs="Arial"/>
                <w:sz w:val="18"/>
                <w:szCs w:val="18"/>
                <w:u w:val="single"/>
              </w:rPr>
            </w:pPr>
            <w:r w:rsidRPr="00322232">
              <w:rPr>
                <w:rFonts w:ascii="Arial" w:hAnsi="Arial" w:cs="Arial"/>
                <w:sz w:val="18"/>
                <w:szCs w:val="18"/>
              </w:rPr>
              <w:t>0 MHz</w:t>
            </w:r>
            <w:r w:rsidRPr="00322232">
              <w:rPr>
                <w:rFonts w:ascii="Arial" w:hAnsi="Arial" w:cs="Arial"/>
                <w:spacing w:val="13"/>
                <w:sz w:val="18"/>
                <w:szCs w:val="18"/>
              </w:rPr>
              <w:t xml:space="preserve"> </w:t>
            </w:r>
            <w:r w:rsidRPr="00322232">
              <w:rPr>
                <w:rFonts w:ascii="Arial" w:hAnsi="Arial" w:cs="Arial"/>
                <w:sz w:val="18"/>
                <w:szCs w:val="18"/>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r w:rsidRPr="00322232">
              <w:rPr>
                <w:rFonts w:ascii="Arial" w:hAnsi="Arial" w:cs="Arial"/>
                <w:sz w:val="18"/>
                <w:szCs w:val="18"/>
              </w:rPr>
              <w:t>&lt;</w:t>
            </w:r>
            <w:r w:rsidRPr="00322232">
              <w:rPr>
                <w:rFonts w:ascii="Arial" w:hAnsi="Arial" w:cs="Arial"/>
                <w:spacing w:val="1"/>
                <w:sz w:val="18"/>
                <w:szCs w:val="18"/>
              </w:rPr>
              <w:t xml:space="preserve"> </w:t>
            </w:r>
            <w:r w:rsidRPr="00322232">
              <w:rPr>
                <w:rFonts w:ascii="Arial" w:hAnsi="Arial" w:cs="Arial"/>
                <w:sz w:val="18"/>
                <w:szCs w:val="18"/>
              </w:rPr>
              <w:t>200 kHz</w:t>
            </w:r>
          </w:p>
        </w:tc>
        <w:tc>
          <w:tcPr>
            <w:tcW w:w="2552" w:type="dxa"/>
          </w:tcPr>
          <w:p w14:paraId="73C8D0A6" w14:textId="4D6F599A" w:rsidR="000C5A7A" w:rsidRPr="00322232" w:rsidRDefault="00266DCB" w:rsidP="000C5A7A">
            <w:pPr>
              <w:pStyle w:val="ListParagraph"/>
              <w:keepNext/>
              <w:keepLines/>
              <w:ind w:left="0"/>
              <w:jc w:val="center"/>
              <w:rPr>
                <w:rFonts w:ascii="Arial" w:hAnsi="Arial" w:cs="Arial"/>
                <w:sz w:val="18"/>
                <w:szCs w:val="18"/>
              </w:rPr>
            </w:pPr>
            <w:r w:rsidRPr="00322232">
              <w:rPr>
                <w:rFonts w:ascii="Arial" w:hAnsi="Arial" w:cs="Arial"/>
                <w:sz w:val="18"/>
                <w:szCs w:val="18"/>
              </w:rPr>
              <w:t>-</w:t>
            </w:r>
            <w:r w:rsidR="00837973" w:rsidRPr="00322232">
              <w:rPr>
                <w:rFonts w:ascii="Arial" w:hAnsi="Arial" w:cs="Arial"/>
                <w:sz w:val="18"/>
                <w:szCs w:val="18"/>
              </w:rPr>
              <w:t>4</w:t>
            </w:r>
          </w:p>
        </w:tc>
        <w:tc>
          <w:tcPr>
            <w:tcW w:w="1559" w:type="dxa"/>
          </w:tcPr>
          <w:p w14:paraId="79F95B60" w14:textId="0AEAB144" w:rsidR="000C5A7A" w:rsidRPr="00322232" w:rsidRDefault="002A677F" w:rsidP="000C5A7A">
            <w:pPr>
              <w:pStyle w:val="ListParagraph"/>
              <w:keepNext/>
              <w:keepLines/>
              <w:ind w:left="0"/>
              <w:jc w:val="center"/>
              <w:rPr>
                <w:rFonts w:ascii="Arial" w:hAnsi="Arial" w:cs="Arial"/>
                <w:sz w:val="18"/>
                <w:szCs w:val="18"/>
              </w:rPr>
            </w:pPr>
            <w:r w:rsidRPr="00322232">
              <w:rPr>
                <w:rFonts w:ascii="Arial" w:hAnsi="Arial" w:cs="Arial"/>
                <w:sz w:val="18"/>
                <w:szCs w:val="18"/>
              </w:rPr>
              <w:t xml:space="preserve">30 </w:t>
            </w:r>
            <w:r w:rsidR="00F14BC3" w:rsidRPr="00322232">
              <w:rPr>
                <w:rFonts w:ascii="Arial" w:hAnsi="Arial" w:cs="Arial"/>
                <w:sz w:val="18"/>
                <w:szCs w:val="18"/>
              </w:rPr>
              <w:t>k</w:t>
            </w:r>
            <w:r w:rsidRPr="00322232">
              <w:rPr>
                <w:rFonts w:ascii="Arial" w:hAnsi="Arial" w:cs="Arial"/>
                <w:sz w:val="18"/>
                <w:szCs w:val="18"/>
              </w:rPr>
              <w:t>Hz</w:t>
            </w:r>
          </w:p>
        </w:tc>
      </w:tr>
      <w:tr w:rsidR="000C5A7A" w:rsidRPr="0038765E" w14:paraId="29D27334" w14:textId="77777777" w:rsidTr="00322232">
        <w:trPr>
          <w:jc w:val="center"/>
        </w:trPr>
        <w:tc>
          <w:tcPr>
            <w:tcW w:w="2972" w:type="dxa"/>
            <w:shd w:val="clear" w:color="auto" w:fill="F2F2F2" w:themeFill="background1" w:themeFillShade="F2"/>
          </w:tcPr>
          <w:p w14:paraId="442E17B9" w14:textId="66ACE454"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200 kHz</w:t>
            </w:r>
            <w:r w:rsidRPr="00322232">
              <w:rPr>
                <w:rFonts w:ascii="Arial" w:hAnsi="Arial" w:cs="Arial"/>
                <w:spacing w:val="13"/>
                <w:sz w:val="18"/>
                <w:szCs w:val="18"/>
              </w:rPr>
              <w:t xml:space="preserve"> </w:t>
            </w:r>
            <w:r w:rsidRPr="00322232">
              <w:rPr>
                <w:rFonts w:ascii="Arial" w:hAnsi="Arial" w:cs="Arial"/>
                <w:sz w:val="18"/>
                <w:szCs w:val="18"/>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r w:rsidRPr="00322232">
              <w:rPr>
                <w:rFonts w:ascii="Arial" w:hAnsi="Arial" w:cs="Arial"/>
                <w:sz w:val="18"/>
                <w:szCs w:val="18"/>
              </w:rPr>
              <w:t>&lt;</w:t>
            </w:r>
            <w:r w:rsidRPr="00322232">
              <w:rPr>
                <w:rFonts w:ascii="Arial" w:hAnsi="Arial" w:cs="Arial"/>
                <w:spacing w:val="1"/>
                <w:sz w:val="18"/>
                <w:szCs w:val="18"/>
              </w:rPr>
              <w:t xml:space="preserve"> 1 MHz</w:t>
            </w:r>
          </w:p>
        </w:tc>
        <w:tc>
          <w:tcPr>
            <w:tcW w:w="2552" w:type="dxa"/>
            <w:shd w:val="clear" w:color="auto" w:fill="F2F2F2" w:themeFill="background1" w:themeFillShade="F2"/>
          </w:tcPr>
          <w:p w14:paraId="3750EECC" w14:textId="33209ADC" w:rsidR="000C5A7A" w:rsidRPr="00322232" w:rsidRDefault="00266DCB" w:rsidP="000C5A7A">
            <w:pPr>
              <w:pStyle w:val="ListParagraph"/>
              <w:keepNext/>
              <w:keepLines/>
              <w:ind w:left="0"/>
              <w:jc w:val="center"/>
              <w:rPr>
                <w:rFonts w:ascii="Arial" w:hAnsi="Arial" w:cs="Arial"/>
                <w:sz w:val="18"/>
                <w:szCs w:val="18"/>
              </w:rPr>
            </w:pPr>
            <w:r w:rsidRPr="00322232">
              <w:rPr>
                <w:rFonts w:ascii="Arial" w:hAnsi="Arial" w:cs="Arial"/>
                <w:sz w:val="18"/>
                <w:szCs w:val="18"/>
              </w:rPr>
              <w:t>-</w:t>
            </w:r>
            <w:r w:rsidR="00837973" w:rsidRPr="00322232">
              <w:rPr>
                <w:rFonts w:ascii="Arial" w:hAnsi="Arial" w:cs="Arial"/>
                <w:sz w:val="18"/>
                <w:szCs w:val="18"/>
              </w:rPr>
              <w:t>4</w:t>
            </w:r>
            <w:r w:rsidR="000C5A7A" w:rsidRPr="00322232">
              <w:rPr>
                <w:rFonts w:ascii="Arial" w:hAnsi="Arial" w:cs="Arial"/>
                <w:sz w:val="18"/>
                <w:szCs w:val="18"/>
              </w:rPr>
              <w:t xml:space="preserve"> – 13.125 x (</w:t>
            </w:r>
            <w:proofErr w:type="spellStart"/>
            <w:r w:rsidR="000C5A7A" w:rsidRPr="00322232">
              <w:rPr>
                <w:rFonts w:ascii="Arial" w:hAnsi="Arial" w:cs="Arial"/>
                <w:sz w:val="18"/>
                <w:szCs w:val="18"/>
              </w:rPr>
              <w:t>f</w:t>
            </w:r>
            <w:r w:rsidR="000C5A7A" w:rsidRPr="00322232">
              <w:rPr>
                <w:rFonts w:ascii="Arial" w:hAnsi="Arial" w:cs="Arial"/>
                <w:sz w:val="18"/>
                <w:szCs w:val="18"/>
                <w:vertAlign w:val="subscript"/>
              </w:rPr>
              <w:t>offset</w:t>
            </w:r>
            <w:proofErr w:type="spellEnd"/>
            <w:r w:rsidR="000C5A7A" w:rsidRPr="00322232">
              <w:rPr>
                <w:rFonts w:ascii="Arial" w:hAnsi="Arial" w:cs="Arial"/>
                <w:sz w:val="18"/>
                <w:szCs w:val="18"/>
              </w:rPr>
              <w:t xml:space="preserve"> – 0.2)</w:t>
            </w:r>
          </w:p>
        </w:tc>
        <w:tc>
          <w:tcPr>
            <w:tcW w:w="1559" w:type="dxa"/>
            <w:shd w:val="clear" w:color="auto" w:fill="F2F2F2" w:themeFill="background1" w:themeFillShade="F2"/>
          </w:tcPr>
          <w:p w14:paraId="36E5D2BD" w14:textId="689F33B9" w:rsidR="000C5A7A" w:rsidRPr="00322232" w:rsidRDefault="002A677F" w:rsidP="000C5A7A">
            <w:pPr>
              <w:pStyle w:val="ListParagraph"/>
              <w:keepNext/>
              <w:keepLines/>
              <w:ind w:left="0"/>
              <w:jc w:val="center"/>
              <w:rPr>
                <w:rFonts w:ascii="Arial" w:hAnsi="Arial" w:cs="Arial"/>
                <w:sz w:val="18"/>
                <w:szCs w:val="18"/>
              </w:rPr>
            </w:pPr>
            <w:r w:rsidRPr="00322232">
              <w:rPr>
                <w:rFonts w:ascii="Arial" w:hAnsi="Arial" w:cs="Arial"/>
                <w:sz w:val="18"/>
                <w:szCs w:val="18"/>
              </w:rPr>
              <w:t xml:space="preserve">30 </w:t>
            </w:r>
            <w:r w:rsidR="00F14BC3" w:rsidRPr="00322232">
              <w:rPr>
                <w:rFonts w:ascii="Arial" w:hAnsi="Arial" w:cs="Arial"/>
                <w:sz w:val="18"/>
                <w:szCs w:val="18"/>
              </w:rPr>
              <w:t>k</w:t>
            </w:r>
            <w:r w:rsidRPr="00322232">
              <w:rPr>
                <w:rFonts w:ascii="Arial" w:hAnsi="Arial" w:cs="Arial"/>
                <w:sz w:val="18"/>
                <w:szCs w:val="18"/>
              </w:rPr>
              <w:t>Hz</w:t>
            </w:r>
          </w:p>
        </w:tc>
      </w:tr>
      <w:tr w:rsidR="000C5A7A" w:rsidRPr="0038765E" w14:paraId="5F2F88F6" w14:textId="77777777" w:rsidTr="00DA5108">
        <w:trPr>
          <w:jc w:val="center"/>
        </w:trPr>
        <w:tc>
          <w:tcPr>
            <w:tcW w:w="2972" w:type="dxa"/>
          </w:tcPr>
          <w:p w14:paraId="099A63DE" w14:textId="1D31E68D"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1 MHz</w:t>
            </w:r>
            <w:r w:rsidRPr="00322232">
              <w:rPr>
                <w:rFonts w:ascii="Arial" w:hAnsi="Arial" w:cs="Arial"/>
                <w:spacing w:val="13"/>
                <w:sz w:val="18"/>
                <w:szCs w:val="18"/>
              </w:rPr>
              <w:t xml:space="preserve"> </w:t>
            </w:r>
            <w:r w:rsidRPr="00322232">
              <w:rPr>
                <w:rFonts w:ascii="Arial" w:hAnsi="Arial" w:cs="Arial"/>
                <w:sz w:val="18"/>
                <w:szCs w:val="18"/>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r w:rsidRPr="00322232">
              <w:rPr>
                <w:rFonts w:ascii="Arial" w:hAnsi="Arial" w:cs="Arial"/>
                <w:sz w:val="18"/>
                <w:szCs w:val="18"/>
              </w:rPr>
              <w:t>&lt;</w:t>
            </w:r>
            <w:r w:rsidRPr="00322232">
              <w:rPr>
                <w:rFonts w:ascii="Arial" w:hAnsi="Arial" w:cs="Arial"/>
                <w:spacing w:val="1"/>
                <w:sz w:val="18"/>
                <w:szCs w:val="18"/>
              </w:rPr>
              <w:t xml:space="preserve"> 5.8 MHz</w:t>
            </w:r>
          </w:p>
        </w:tc>
        <w:tc>
          <w:tcPr>
            <w:tcW w:w="2552" w:type="dxa"/>
          </w:tcPr>
          <w:p w14:paraId="02F5E430" w14:textId="0FFCA631" w:rsidR="000C5A7A" w:rsidRPr="00322232" w:rsidDel="00CF0645" w:rsidRDefault="00266DCB" w:rsidP="000C5A7A">
            <w:pPr>
              <w:pStyle w:val="ListParagraph"/>
              <w:keepNext/>
              <w:keepLines/>
              <w:ind w:left="0"/>
              <w:jc w:val="center"/>
              <w:rPr>
                <w:rFonts w:ascii="Arial" w:hAnsi="Arial" w:cs="Arial"/>
                <w:sz w:val="18"/>
                <w:szCs w:val="18"/>
              </w:rPr>
            </w:pPr>
            <w:r w:rsidRPr="00322232">
              <w:rPr>
                <w:rFonts w:ascii="Arial" w:hAnsi="Arial" w:cs="Arial"/>
                <w:sz w:val="18"/>
                <w:szCs w:val="18"/>
              </w:rPr>
              <w:t>0.7</w:t>
            </w:r>
          </w:p>
        </w:tc>
        <w:tc>
          <w:tcPr>
            <w:tcW w:w="1559" w:type="dxa"/>
          </w:tcPr>
          <w:p w14:paraId="2E3FC32E" w14:textId="5136C607" w:rsidR="000C5A7A" w:rsidRPr="00322232" w:rsidRDefault="00A228F7" w:rsidP="000C5A7A">
            <w:pPr>
              <w:pStyle w:val="ListParagraph"/>
              <w:keepNext/>
              <w:keepLines/>
              <w:ind w:left="0"/>
              <w:jc w:val="center"/>
              <w:rPr>
                <w:rFonts w:ascii="Arial" w:hAnsi="Arial" w:cs="Arial"/>
                <w:sz w:val="18"/>
                <w:szCs w:val="18"/>
              </w:rPr>
            </w:pPr>
            <w:r w:rsidRPr="00322232">
              <w:rPr>
                <w:rFonts w:ascii="Arial" w:hAnsi="Arial" w:cs="Arial"/>
                <w:sz w:val="18"/>
                <w:szCs w:val="18"/>
              </w:rPr>
              <w:t>1 MHz</w:t>
            </w:r>
          </w:p>
        </w:tc>
      </w:tr>
      <w:tr w:rsidR="000C5A7A" w:rsidRPr="0038765E" w14:paraId="7211EDD1" w14:textId="77777777" w:rsidTr="00322232">
        <w:trPr>
          <w:jc w:val="center"/>
        </w:trPr>
        <w:tc>
          <w:tcPr>
            <w:tcW w:w="2972" w:type="dxa"/>
            <w:shd w:val="clear" w:color="auto" w:fill="F2F2F2" w:themeFill="background1" w:themeFillShade="F2"/>
          </w:tcPr>
          <w:p w14:paraId="19BEA848" w14:textId="7084801D" w:rsidR="000C5A7A" w:rsidRPr="00322232" w:rsidRDefault="000C5A7A" w:rsidP="000C5A7A">
            <w:pPr>
              <w:pStyle w:val="ListParagraph"/>
              <w:keepNext/>
              <w:keepLines/>
              <w:ind w:left="0"/>
              <w:jc w:val="center"/>
              <w:rPr>
                <w:rFonts w:ascii="Arial" w:hAnsi="Arial" w:cs="Arial"/>
                <w:sz w:val="18"/>
                <w:szCs w:val="18"/>
              </w:rPr>
            </w:pPr>
            <w:r w:rsidRPr="00322232">
              <w:rPr>
                <w:rFonts w:ascii="Arial" w:hAnsi="Arial" w:cs="Arial"/>
                <w:sz w:val="18"/>
                <w:szCs w:val="18"/>
              </w:rPr>
              <w:t>5.8 MHz</w:t>
            </w:r>
            <w:r w:rsidRPr="00322232">
              <w:rPr>
                <w:rFonts w:ascii="Arial" w:hAnsi="Arial" w:cs="Arial"/>
                <w:spacing w:val="13"/>
                <w:sz w:val="18"/>
                <w:szCs w:val="18"/>
              </w:rPr>
              <w:t xml:space="preserve"> </w:t>
            </w:r>
            <w:r w:rsidRPr="00322232">
              <w:rPr>
                <w:rFonts w:ascii="Arial" w:hAnsi="Arial" w:cs="Arial"/>
                <w:sz w:val="18"/>
                <w:szCs w:val="18"/>
              </w:rPr>
              <w:t>≤</w:t>
            </w:r>
            <w:r w:rsidRPr="00322232">
              <w:rPr>
                <w:rFonts w:ascii="Arial" w:hAnsi="Arial" w:cs="Arial"/>
                <w:spacing w:val="11"/>
                <w:sz w:val="18"/>
                <w:szCs w:val="18"/>
                <w:u w:val="single" w:color="000000"/>
              </w:rPr>
              <w:t xml:space="preserve"> </w:t>
            </w:r>
            <w:proofErr w:type="spellStart"/>
            <w:r w:rsidRPr="00322232">
              <w:rPr>
                <w:rFonts w:ascii="Arial" w:hAnsi="Arial" w:cs="Arial"/>
                <w:sz w:val="18"/>
                <w:szCs w:val="18"/>
              </w:rPr>
              <w:t>f</w:t>
            </w:r>
            <w:r w:rsidRPr="00322232">
              <w:rPr>
                <w:rFonts w:ascii="Arial" w:hAnsi="Arial" w:cs="Arial"/>
                <w:sz w:val="18"/>
                <w:szCs w:val="18"/>
                <w:vertAlign w:val="subscript"/>
              </w:rPr>
              <w:t>offset</w:t>
            </w:r>
            <w:proofErr w:type="spellEnd"/>
            <w:r w:rsidRPr="00322232">
              <w:rPr>
                <w:rFonts w:ascii="Arial" w:hAnsi="Arial" w:cs="Arial"/>
                <w:spacing w:val="27"/>
                <w:position w:val="-1"/>
                <w:sz w:val="18"/>
                <w:szCs w:val="18"/>
              </w:rPr>
              <w:t xml:space="preserve"> </w:t>
            </w:r>
          </w:p>
        </w:tc>
        <w:tc>
          <w:tcPr>
            <w:tcW w:w="2552" w:type="dxa"/>
            <w:shd w:val="clear" w:color="auto" w:fill="F2F2F2" w:themeFill="background1" w:themeFillShade="F2"/>
          </w:tcPr>
          <w:p w14:paraId="424A893B" w14:textId="42323F85" w:rsidR="000C5A7A" w:rsidRPr="00322232" w:rsidRDefault="00266DCB" w:rsidP="000C5A7A">
            <w:pPr>
              <w:pStyle w:val="ListParagraph"/>
              <w:keepNext/>
              <w:keepLines/>
              <w:ind w:left="0"/>
              <w:jc w:val="center"/>
              <w:rPr>
                <w:rFonts w:ascii="Arial" w:hAnsi="Arial" w:cs="Arial"/>
                <w:sz w:val="18"/>
                <w:szCs w:val="18"/>
              </w:rPr>
            </w:pPr>
            <w:r w:rsidRPr="00322232">
              <w:rPr>
                <w:rFonts w:ascii="Arial" w:hAnsi="Arial" w:cs="Arial"/>
                <w:sz w:val="18"/>
                <w:szCs w:val="18"/>
              </w:rPr>
              <w:t>-3.7</w:t>
            </w:r>
          </w:p>
        </w:tc>
        <w:tc>
          <w:tcPr>
            <w:tcW w:w="1559" w:type="dxa"/>
            <w:shd w:val="clear" w:color="auto" w:fill="F2F2F2" w:themeFill="background1" w:themeFillShade="F2"/>
          </w:tcPr>
          <w:p w14:paraId="407F6351" w14:textId="0EB904D6" w:rsidR="000C5A7A" w:rsidRPr="00322232" w:rsidRDefault="00A228F7" w:rsidP="000C5A7A">
            <w:pPr>
              <w:pStyle w:val="ListParagraph"/>
              <w:keepNext/>
              <w:keepLines/>
              <w:ind w:left="0"/>
              <w:jc w:val="center"/>
              <w:rPr>
                <w:rFonts w:ascii="Arial" w:hAnsi="Arial" w:cs="Arial"/>
                <w:sz w:val="18"/>
                <w:szCs w:val="18"/>
              </w:rPr>
            </w:pPr>
            <w:r w:rsidRPr="00322232">
              <w:rPr>
                <w:rFonts w:ascii="Arial" w:hAnsi="Arial" w:cs="Arial"/>
                <w:sz w:val="18"/>
                <w:szCs w:val="18"/>
              </w:rPr>
              <w:t>1 MHz</w:t>
            </w:r>
          </w:p>
        </w:tc>
      </w:tr>
    </w:tbl>
    <w:p w14:paraId="6C20E2AE" w14:textId="4F41570F" w:rsidR="00837973" w:rsidRPr="00322232" w:rsidRDefault="006F67D6" w:rsidP="00322232">
      <w:pPr>
        <w:keepNext/>
        <w:keepLines/>
        <w:spacing w:before="120" w:after="0"/>
        <w:ind w:left="284"/>
        <w:rPr>
          <w:rFonts w:cs="Arial"/>
          <w:bCs/>
          <w:i/>
          <w:iCs/>
          <w:sz w:val="16"/>
          <w:szCs w:val="16"/>
        </w:rPr>
      </w:pPr>
      <w:r w:rsidRPr="00322232">
        <w:rPr>
          <w:rFonts w:cs="Arial"/>
          <w:bCs/>
          <w:i/>
          <w:iCs/>
          <w:sz w:val="16"/>
          <w:szCs w:val="16"/>
        </w:rPr>
        <w:t xml:space="preserve">Note 1: </w:t>
      </w:r>
      <w:proofErr w:type="spellStart"/>
      <w:r w:rsidRPr="00322232">
        <w:rPr>
          <w:rFonts w:cs="Arial"/>
          <w:bCs/>
          <w:i/>
          <w:iCs/>
          <w:sz w:val="16"/>
          <w:szCs w:val="16"/>
        </w:rPr>
        <w:t>f</w:t>
      </w:r>
      <w:r w:rsidRPr="00322232">
        <w:rPr>
          <w:rFonts w:cs="Arial"/>
          <w:bCs/>
          <w:i/>
          <w:iCs/>
          <w:sz w:val="16"/>
          <w:szCs w:val="16"/>
          <w:vertAlign w:val="subscript"/>
        </w:rPr>
        <w:t>offset</w:t>
      </w:r>
      <w:proofErr w:type="spellEnd"/>
      <w:r w:rsidRPr="00322232">
        <w:rPr>
          <w:rFonts w:cs="Arial"/>
          <w:bCs/>
          <w:i/>
          <w:iCs/>
          <w:sz w:val="16"/>
          <w:szCs w:val="16"/>
          <w:vertAlign w:val="subscript"/>
        </w:rPr>
        <w:t xml:space="preserve"> </w:t>
      </w:r>
      <w:r w:rsidRPr="00322232">
        <w:rPr>
          <w:rFonts w:cs="Arial"/>
          <w:bCs/>
          <w:i/>
          <w:iCs/>
          <w:sz w:val="16"/>
          <w:szCs w:val="16"/>
        </w:rPr>
        <w:t xml:space="preserve">is the frequency offset from the upper or lower frequency limits set out in Part 2 of Licence Schedule 1. </w:t>
      </w:r>
      <w:r w:rsidRPr="00322232">
        <w:rPr>
          <w:bCs/>
          <w:i/>
          <w:iCs/>
          <w:sz w:val="16"/>
          <w:szCs w:val="16"/>
        </w:rPr>
        <w:t>The</w:t>
      </w:r>
      <w:r w:rsidRPr="00322232">
        <w:rPr>
          <w:i/>
          <w:iCs/>
          <w:sz w:val="16"/>
          <w:szCs w:val="16"/>
        </w:rPr>
        <w:t xml:space="preserve"> closest -3dB point of the measurement bandwidth to </w:t>
      </w:r>
      <w:r w:rsidRPr="00322232">
        <w:rPr>
          <w:rFonts w:cs="Arial"/>
          <w:bCs/>
          <w:i/>
          <w:iCs/>
          <w:sz w:val="16"/>
          <w:szCs w:val="16"/>
        </w:rPr>
        <w:t>the upper or lower frequency limits i</w:t>
      </w:r>
      <w:r w:rsidRPr="00322232">
        <w:rPr>
          <w:i/>
          <w:iCs/>
          <w:sz w:val="16"/>
          <w:szCs w:val="16"/>
        </w:rPr>
        <w:t xml:space="preserve">s placed at </w:t>
      </w:r>
      <w:proofErr w:type="spellStart"/>
      <w:r w:rsidRPr="00322232">
        <w:rPr>
          <w:i/>
          <w:iCs/>
          <w:sz w:val="16"/>
          <w:szCs w:val="16"/>
        </w:rPr>
        <w:t>f</w:t>
      </w:r>
      <w:r w:rsidRPr="00322232">
        <w:rPr>
          <w:i/>
          <w:iCs/>
          <w:sz w:val="16"/>
          <w:szCs w:val="16"/>
          <w:vertAlign w:val="subscript"/>
        </w:rPr>
        <w:t>offset</w:t>
      </w:r>
      <w:proofErr w:type="spellEnd"/>
      <w:r w:rsidRPr="00322232">
        <w:rPr>
          <w:i/>
          <w:iCs/>
          <w:sz w:val="16"/>
          <w:szCs w:val="16"/>
        </w:rPr>
        <w:t>.</w:t>
      </w:r>
    </w:p>
    <w:p w14:paraId="5F5C068B" w14:textId="275C1705" w:rsidR="00AB0A24" w:rsidRDefault="00AB0A24">
      <w:pPr>
        <w:spacing w:after="0" w:line="240" w:lineRule="auto"/>
        <w:rPr>
          <w:b/>
          <w:bCs/>
          <w:color w:val="323232"/>
          <w:szCs w:val="20"/>
        </w:rPr>
      </w:pPr>
    </w:p>
    <w:p w14:paraId="64A57658" w14:textId="6B3A5925" w:rsidR="0055433D" w:rsidRPr="007D04B2" w:rsidRDefault="0055433D" w:rsidP="0055433D">
      <w:pPr>
        <w:pStyle w:val="ACMAFigureHeader"/>
        <w:spacing w:line="240" w:lineRule="atLeast"/>
      </w:pPr>
      <w:r>
        <w:t>Proposed unwanted emission limits within 1</w:t>
      </w:r>
      <w:r w:rsidR="0096423A">
        <w:t>795</w:t>
      </w:r>
      <w:r w:rsidR="004B5C1A">
        <w:t>–</w:t>
      </w:r>
      <w:r>
        <w:t>18</w:t>
      </w:r>
      <w:r w:rsidR="0096423A">
        <w:t>9</w:t>
      </w:r>
      <w:r>
        <w:t>0 MHz</w:t>
      </w:r>
    </w:p>
    <w:p w14:paraId="6FFC7105" w14:textId="5E64B8A5" w:rsidR="00837973" w:rsidRDefault="00745ABE" w:rsidP="00837973">
      <w:pPr>
        <w:keepNext/>
        <w:keepLines/>
        <w:spacing w:before="120" w:after="0"/>
      </w:pPr>
      <w:r>
        <w:rPr>
          <w:noProof/>
        </w:rPr>
        <w:drawing>
          <wp:inline distT="0" distB="0" distL="0" distR="0" wp14:anchorId="74773D51" wp14:editId="32E682A9">
            <wp:extent cx="4452937" cy="2909256"/>
            <wp:effectExtent l="0" t="0" r="5080" b="5715"/>
            <wp:docPr id="4" name="Picture 4" descr="Figure 1: Proposed unwanted emission limits within 1795-1890 MH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1: Proposed unwanted emission limits within 1795-1890 MHz"/>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466555" cy="2918153"/>
                    </a:xfrm>
                    <a:prstGeom prst="rect">
                      <a:avLst/>
                    </a:prstGeom>
                    <a:noFill/>
                  </pic:spPr>
                </pic:pic>
              </a:graphicData>
            </a:graphic>
          </wp:inline>
        </w:drawing>
      </w:r>
    </w:p>
    <w:p w14:paraId="24DCE32D" w14:textId="2C68B9A1" w:rsidR="007F3EA0" w:rsidRPr="007D04B2" w:rsidRDefault="00864BEA" w:rsidP="00322232">
      <w:pPr>
        <w:pStyle w:val="Heading3"/>
        <w:spacing w:before="240"/>
      </w:pPr>
      <w:bookmarkStart w:id="29" w:name="_Toc84339342"/>
      <w:r w:rsidRPr="005438AE">
        <w:rPr>
          <w:iCs/>
        </w:rPr>
        <w:t xml:space="preserve">Proposed </w:t>
      </w:r>
      <w:r w:rsidR="006E4C03">
        <w:rPr>
          <w:iCs/>
        </w:rPr>
        <w:t xml:space="preserve">spurious </w:t>
      </w:r>
      <w:r w:rsidRPr="005438AE">
        <w:rPr>
          <w:iCs/>
        </w:rPr>
        <w:t>emission limits</w:t>
      </w:r>
      <w:bookmarkEnd w:id="29"/>
      <w:r w:rsidRPr="005438AE">
        <w:rPr>
          <w:iCs/>
        </w:rPr>
        <w:t xml:space="preserve"> </w:t>
      </w:r>
    </w:p>
    <w:p w14:paraId="5F20FEB5" w14:textId="387ADA80" w:rsidR="00B14416" w:rsidRDefault="00B14416" w:rsidP="00322232">
      <w:pPr>
        <w:rPr>
          <w:b/>
          <w:bCs/>
          <w:iCs/>
        </w:rPr>
      </w:pPr>
      <w:r>
        <w:t xml:space="preserve">For the </w:t>
      </w:r>
      <w:r w:rsidR="00462769">
        <w:t xml:space="preserve">upper </w:t>
      </w:r>
      <w:r>
        <w:t xml:space="preserve">1800 MHz band, </w:t>
      </w:r>
      <w:r w:rsidR="00687E35">
        <w:t>the</w:t>
      </w:r>
      <w:r>
        <w:t xml:space="preserve"> spurious domain commences at +/- 10 MHz either side of the operating band</w:t>
      </w:r>
      <w:r w:rsidR="00462769">
        <w:t xml:space="preserve"> (i.e.</w:t>
      </w:r>
      <w:r w:rsidR="004B5C1A">
        <w:t>,</w:t>
      </w:r>
      <w:r w:rsidR="00462769">
        <w:t xml:space="preserve"> 1805</w:t>
      </w:r>
      <w:r w:rsidR="004B5C1A">
        <w:t>–</w:t>
      </w:r>
      <w:r w:rsidR="00462769">
        <w:t>1880 MHz band)</w:t>
      </w:r>
      <w:r>
        <w:t xml:space="preserve">. </w:t>
      </w:r>
      <w:r w:rsidRPr="0038765E">
        <w:t xml:space="preserve">Current </w:t>
      </w:r>
      <w:r>
        <w:t>1800</w:t>
      </w:r>
      <w:r w:rsidRPr="0038765E">
        <w:t xml:space="preserve"> </w:t>
      </w:r>
      <w:r>
        <w:t>M</w:t>
      </w:r>
      <w:r w:rsidRPr="0038765E">
        <w:t>Hz spectrum licences define spurious emission limit</w:t>
      </w:r>
      <w:r>
        <w:t>s</w:t>
      </w:r>
      <w:r w:rsidRPr="0038765E">
        <w:t xml:space="preserve"> as a </w:t>
      </w:r>
      <w:r>
        <w:t xml:space="preserve">radiated </w:t>
      </w:r>
      <w:r w:rsidRPr="0038765E">
        <w:t>mean power</w:t>
      </w:r>
      <w:r>
        <w:t xml:space="preserve"> (i.e.</w:t>
      </w:r>
      <w:r w:rsidR="000049FD">
        <w:t>,</w:t>
      </w:r>
      <w:r>
        <w:t xml:space="preserve"> EIRP)</w:t>
      </w:r>
      <w:r w:rsidR="00823EEC">
        <w:t xml:space="preserve"> for all devices</w:t>
      </w:r>
      <w:r w:rsidRPr="0038765E">
        <w:t>.</w:t>
      </w:r>
      <w:r>
        <w:t xml:space="preserve"> The current limits do not align with international standards</w:t>
      </w:r>
      <w:r w:rsidR="00462769">
        <w:t xml:space="preserve"> and do not clearly state where the spurious emission limits apply.</w:t>
      </w:r>
    </w:p>
    <w:p w14:paraId="01C716CC" w14:textId="5C1D364B" w:rsidR="00C570C6" w:rsidRDefault="00E06606" w:rsidP="00682385">
      <w:r>
        <w:lastRenderedPageBreak/>
        <w:t>The TLG proposed adopting</w:t>
      </w:r>
      <w:r w:rsidR="00496210">
        <w:t xml:space="preserve"> the </w:t>
      </w:r>
      <w:r w:rsidR="00B14416">
        <w:t xml:space="preserve">transmitter and receiver </w:t>
      </w:r>
      <w:r w:rsidR="00496210">
        <w:t>spurious</w:t>
      </w:r>
      <w:r>
        <w:t xml:space="preserve"> emissions limits specified in </w:t>
      </w:r>
      <w:r w:rsidRPr="0038765E">
        <w:t xml:space="preserve">the 3GPP </w:t>
      </w:r>
      <w:r>
        <w:t>TS 3</w:t>
      </w:r>
      <w:r w:rsidR="00496210">
        <w:t>8</w:t>
      </w:r>
      <w:r>
        <w:t>.104</w:t>
      </w:r>
      <w:r w:rsidR="000049FD">
        <w:t>.</w:t>
      </w:r>
      <w:r w:rsidRPr="0038765E">
        <w:rPr>
          <w:rStyle w:val="FootnoteReference"/>
        </w:rPr>
        <w:footnoteReference w:id="6"/>
      </w:r>
      <w:r>
        <w:t xml:space="preserve"> </w:t>
      </w:r>
      <w:r w:rsidR="00462769" w:rsidRPr="0038765E">
        <w:t xml:space="preserve">3GPP </w:t>
      </w:r>
      <w:r w:rsidR="00462769">
        <w:t>TS 38.104</w:t>
      </w:r>
      <w:r w:rsidR="00B14416">
        <w:t xml:space="preserve"> defines separate limits for non-AAS and AAS devices. </w:t>
      </w:r>
      <w:r w:rsidR="002647EB">
        <w:t>Non-AAS limits are defined as conducted powers (i.e.</w:t>
      </w:r>
      <w:r w:rsidR="000049FD">
        <w:t>,</w:t>
      </w:r>
      <w:r w:rsidR="002647EB">
        <w:t xml:space="preserve"> mean power) per antenna port. AAS limits are defined in terms of TRP which means they apply to the aggregate emissions from all transmitters/receivers that form a device. </w:t>
      </w:r>
      <w:r w:rsidR="00462769">
        <w:t xml:space="preserve"> </w:t>
      </w:r>
    </w:p>
    <w:p w14:paraId="4D911161" w14:textId="74EE9871" w:rsidR="00884869" w:rsidRDefault="00DE5EFD" w:rsidP="00682385">
      <w:r>
        <w:t>The</w:t>
      </w:r>
      <w:r w:rsidR="00C570C6">
        <w:t xml:space="preserve"> </w:t>
      </w:r>
      <w:r>
        <w:t>proposed</w:t>
      </w:r>
      <w:r w:rsidR="00E06606">
        <w:t xml:space="preserve"> </w:t>
      </w:r>
      <w:r w:rsidR="00B14416">
        <w:t xml:space="preserve">spurious emission </w:t>
      </w:r>
      <w:r w:rsidR="00E06606">
        <w:t>limit</w:t>
      </w:r>
      <w:r w:rsidR="00B14416">
        <w:t>s</w:t>
      </w:r>
      <w:r w:rsidR="00E06606">
        <w:t xml:space="preserve"> for </w:t>
      </w:r>
      <w:r w:rsidR="00B14416">
        <w:t xml:space="preserve">non-AAS and AAS </w:t>
      </w:r>
      <w:r w:rsidR="00C570C6">
        <w:t xml:space="preserve">transmitters operating in the upper 1800 MHz band </w:t>
      </w:r>
      <w:r w:rsidR="00B14416">
        <w:t xml:space="preserve">are </w:t>
      </w:r>
      <w:r>
        <w:t xml:space="preserve">provided in Table </w:t>
      </w:r>
      <w:r w:rsidR="00B14416">
        <w:t>3 and Table 4 respectively</w:t>
      </w:r>
      <w:r w:rsidR="00E06606">
        <w:t>.</w:t>
      </w:r>
      <w:r w:rsidR="00E06606" w:rsidRPr="007D04B2">
        <w:t xml:space="preserve"> </w:t>
      </w:r>
    </w:p>
    <w:p w14:paraId="629159BD" w14:textId="13D2BEAE" w:rsidR="00884869" w:rsidRDefault="008F4B70" w:rsidP="00682385">
      <w:r>
        <w:t>The TLG</w:t>
      </w:r>
      <w:r w:rsidR="00884869">
        <w:t xml:space="preserve"> similar</w:t>
      </w:r>
      <w:r w:rsidR="00462769">
        <w:t>ly</w:t>
      </w:r>
      <w:r w:rsidR="00884869">
        <w:t xml:space="preserve"> proposed to align the spurious emission limits </w:t>
      </w:r>
      <w:r w:rsidR="009113E5">
        <w:t xml:space="preserve">for </w:t>
      </w:r>
      <w:r w:rsidR="00C570C6">
        <w:t xml:space="preserve">transmitters </w:t>
      </w:r>
      <w:r w:rsidR="009113E5">
        <w:t xml:space="preserve">operating </w:t>
      </w:r>
      <w:r w:rsidR="00884869">
        <w:t>in the lower 1800 MHz band with 3GPP standards</w:t>
      </w:r>
      <w:r w:rsidR="00D35DF5">
        <w:t xml:space="preserve">, this will also help to more clearly define where the spurious emission </w:t>
      </w:r>
      <w:r w:rsidR="00B3531B">
        <w:t>limits</w:t>
      </w:r>
      <w:r w:rsidR="00D35DF5">
        <w:t xml:space="preserve"> apply</w:t>
      </w:r>
      <w:r w:rsidR="00884869">
        <w:t>. The</w:t>
      </w:r>
      <w:r w:rsidR="00D35DF5">
        <w:t xml:space="preserve"> current</w:t>
      </w:r>
      <w:r w:rsidR="00884869">
        <w:t xml:space="preserve"> limits are defined in terms of EIRP</w:t>
      </w:r>
      <w:r w:rsidR="00A24527">
        <w:t>, w</w:t>
      </w:r>
      <w:r w:rsidR="00884869">
        <w:t>ithin the 1</w:t>
      </w:r>
      <w:r w:rsidR="000049FD">
        <w:t>–</w:t>
      </w:r>
      <w:r w:rsidR="00884869">
        <w:t xml:space="preserve">3.5 GHz frequency range the limit is an EIRP of </w:t>
      </w:r>
      <w:r w:rsidR="000049FD">
        <w:br/>
      </w:r>
      <w:r w:rsidR="00884869">
        <w:t>-2 dBm/</w:t>
      </w:r>
      <w:proofErr w:type="spellStart"/>
      <w:r w:rsidR="00884869">
        <w:t>MHz.</w:t>
      </w:r>
      <w:proofErr w:type="spellEnd"/>
      <w:r w:rsidR="00884869">
        <w:t xml:space="preserve"> This assumes an 18 </w:t>
      </w:r>
      <w:proofErr w:type="spellStart"/>
      <w:r w:rsidR="00884869">
        <w:t>dBi</w:t>
      </w:r>
      <w:proofErr w:type="spellEnd"/>
      <w:r w:rsidR="00884869">
        <w:t xml:space="preserve"> antenna gain applies in that frequency range. This limit is considered much higher than is necessary for </w:t>
      </w:r>
      <w:r w:rsidR="00823EEC">
        <w:t>most</w:t>
      </w:r>
      <w:r w:rsidR="00462769">
        <w:t xml:space="preserve"> transmitter</w:t>
      </w:r>
      <w:r w:rsidR="00823EEC">
        <w:t>s</w:t>
      </w:r>
      <w:r w:rsidR="00462769">
        <w:t xml:space="preserve"> </w:t>
      </w:r>
      <w:r w:rsidR="00884869">
        <w:t>operating in the lower 1800 MHz band</w:t>
      </w:r>
      <w:r w:rsidR="00462769">
        <w:t>. This is because devices in the lower 1800 MHz band are typically lower gain mobile handsets and nomadic devices.</w:t>
      </w:r>
      <w:r w:rsidR="00884869">
        <w:t xml:space="preserve"> In addition</w:t>
      </w:r>
      <w:r w:rsidR="00B3531B">
        <w:t>,</w:t>
      </w:r>
      <w:r w:rsidR="00884869">
        <w:t xml:space="preserve"> the limits within the 9 kHz</w:t>
      </w:r>
      <w:r w:rsidR="00462769">
        <w:t>–</w:t>
      </w:r>
      <w:r w:rsidR="00884869">
        <w:t>1 GHz and 3.5 GHz</w:t>
      </w:r>
      <w:r w:rsidR="00462769">
        <w:t>–</w:t>
      </w:r>
      <w:r w:rsidR="00884869">
        <w:t xml:space="preserve">12.75 GHz frequency ranges assume a 0 </w:t>
      </w:r>
      <w:proofErr w:type="spellStart"/>
      <w:r w:rsidR="00884869">
        <w:t>dBi</w:t>
      </w:r>
      <w:proofErr w:type="spellEnd"/>
      <w:r w:rsidR="00884869">
        <w:t xml:space="preserve"> antenna gain to convert the standard 3GPP limits to </w:t>
      </w:r>
      <w:r w:rsidR="00B3531B">
        <w:t xml:space="preserve">an </w:t>
      </w:r>
      <w:r w:rsidR="00884869">
        <w:t>EIRP.</w:t>
      </w:r>
      <w:r w:rsidR="00D35DF5">
        <w:t xml:space="preserve"> As mobile handsets and other consumer devices are developed for the international market, it is usually </w:t>
      </w:r>
      <w:r w:rsidR="00BC5EBD">
        <w:t xml:space="preserve">preferable not </w:t>
      </w:r>
      <w:r w:rsidR="00D35DF5">
        <w:t xml:space="preserve">to </w:t>
      </w:r>
      <w:r w:rsidR="00BC5EBD">
        <w:t xml:space="preserve">have </w:t>
      </w:r>
      <w:r w:rsidR="00D35DF5">
        <w:t>to modify them to meet an Australian specific requirement</w:t>
      </w:r>
      <w:r w:rsidR="00462769">
        <w:t>.</w:t>
      </w:r>
      <w:r w:rsidR="00D35DF5">
        <w:t xml:space="preserve"> Aligning the lower 1800 MHz band spurious emission limits with</w:t>
      </w:r>
      <w:r w:rsidR="00462769">
        <w:t xml:space="preserve"> </w:t>
      </w:r>
      <w:r w:rsidR="00D35DF5">
        <w:t xml:space="preserve">3GPP standards would ensure this is not an issue. </w:t>
      </w:r>
      <w:r w:rsidR="00C570C6">
        <w:t xml:space="preserve">Due to the low level of emissions, there </w:t>
      </w:r>
      <w:r w:rsidR="00D35DF5">
        <w:t xml:space="preserve">is expected to be a negligible change to the interference environment in doing this. </w:t>
      </w:r>
    </w:p>
    <w:p w14:paraId="2CA89BFE" w14:textId="16E9C246" w:rsidR="00C570C6" w:rsidRDefault="00884869" w:rsidP="00682385">
      <w:bookmarkStart w:id="30" w:name="_Hlk81928206"/>
      <w:r>
        <w:t xml:space="preserve">3GPP TS 38.101-1 defines the spurious domain </w:t>
      </w:r>
      <w:r w:rsidR="00462769">
        <w:t xml:space="preserve">for lower 1800 MH band transmitters </w:t>
      </w:r>
      <w:r>
        <w:t>as commencing +/- (channel bandwidth + 5 MHz) of a device</w:t>
      </w:r>
      <w:r w:rsidR="00BC5EBD">
        <w:t>’</w:t>
      </w:r>
      <w:r>
        <w:t xml:space="preserve">s </w:t>
      </w:r>
      <w:r w:rsidR="00462769">
        <w:t>assigned channel</w:t>
      </w:r>
      <w:bookmarkEnd w:id="30"/>
      <w:r w:rsidR="00462769">
        <w:t>.</w:t>
      </w:r>
      <w:r>
        <w:t xml:space="preserve"> </w:t>
      </w:r>
      <w:bookmarkStart w:id="31" w:name="_Hlk81928249"/>
      <w:r w:rsidR="00462769">
        <w:t xml:space="preserve">The largest contiguous bandwidth held in the 1800 MHz band is 40 </w:t>
      </w:r>
      <w:proofErr w:type="spellStart"/>
      <w:r w:rsidR="00462769">
        <w:t>MHz.</w:t>
      </w:r>
      <w:proofErr w:type="spellEnd"/>
      <w:r w:rsidR="00462769">
        <w:t xml:space="preserve"> Consequently, it is proposed that for devices operating in the lower 1800 MHz band, the </w:t>
      </w:r>
      <w:r w:rsidR="009113E5">
        <w:t>spurious emission</w:t>
      </w:r>
      <w:r w:rsidR="00462769">
        <w:t xml:space="preserve"> limits apply +/- 45 MHz either side of the 1710</w:t>
      </w:r>
      <w:r w:rsidR="000049FD">
        <w:t>–</w:t>
      </w:r>
      <w:r w:rsidR="00462769">
        <w:t xml:space="preserve">1785 MHz band. </w:t>
      </w:r>
      <w:bookmarkEnd w:id="31"/>
    </w:p>
    <w:p w14:paraId="56D5744D" w14:textId="48FBBAFD" w:rsidR="00884869" w:rsidRDefault="00C570C6" w:rsidP="00682385">
      <w:bookmarkStart w:id="32" w:name="_Hlk81928313"/>
      <w:r>
        <w:t xml:space="preserve">It is </w:t>
      </w:r>
      <w:r w:rsidR="00823EEC">
        <w:t>considered unlikely</w:t>
      </w:r>
      <w:r>
        <w:t xml:space="preserve"> that transmitters </w:t>
      </w:r>
      <w:r w:rsidR="00BC5EBD">
        <w:t xml:space="preserve">with AAS </w:t>
      </w:r>
      <w:r>
        <w:t xml:space="preserve">will be deployed in the 1800 MHz lower band. This means </w:t>
      </w:r>
      <w:r w:rsidR="00823EEC">
        <w:t>the same</w:t>
      </w:r>
      <w:r>
        <w:t xml:space="preserve"> spurious emission limit</w:t>
      </w:r>
      <w:r w:rsidR="00823EEC">
        <w:t>s</w:t>
      </w:r>
      <w:r>
        <w:t xml:space="preserve"> can be applied for all </w:t>
      </w:r>
      <w:r w:rsidR="00823EEC">
        <w:t>transmitters</w:t>
      </w:r>
      <w:r>
        <w:t>. In the event AAS are deployed, it is proposed to define th</w:t>
      </w:r>
      <w:r w:rsidR="00823EEC">
        <w:t>e</w:t>
      </w:r>
      <w:r>
        <w:t xml:space="preserve"> limit</w:t>
      </w:r>
      <w:r w:rsidR="00823EEC">
        <w:t>s</w:t>
      </w:r>
      <w:r>
        <w:t xml:space="preserve"> in terms of TRP. The resulting proposed spurious emission limits for transmitters operating in the lower 1800 MHz band </w:t>
      </w:r>
      <w:bookmarkEnd w:id="32"/>
      <w:r>
        <w:t>are provided in Table 5.</w:t>
      </w:r>
    </w:p>
    <w:p w14:paraId="79652F6B" w14:textId="504E4CBA" w:rsidR="00682385" w:rsidRPr="007D04B2" w:rsidRDefault="00884869" w:rsidP="00682385">
      <w:pPr>
        <w:pStyle w:val="ACMATableHeader"/>
        <w:spacing w:line="240" w:lineRule="atLeast"/>
      </w:pPr>
      <w:r>
        <w:rPr>
          <w:rFonts w:cs="Arial"/>
        </w:rPr>
        <w:t>U</w:t>
      </w:r>
      <w:r w:rsidR="00682385" w:rsidRPr="007D04B2">
        <w:rPr>
          <w:rFonts w:cs="Arial"/>
        </w:rPr>
        <w:t xml:space="preserve">nwanted emission limits </w:t>
      </w:r>
      <w:r>
        <w:rPr>
          <w:rFonts w:cs="Arial"/>
        </w:rPr>
        <w:t xml:space="preserve">for transmitters operating in the upper 1800 MHz band at frequency </w:t>
      </w:r>
      <w:r w:rsidR="00682385" w:rsidRPr="007D04B2">
        <w:rPr>
          <w:rFonts w:cs="Arial"/>
        </w:rPr>
        <w:t xml:space="preserve">outside the </w:t>
      </w:r>
      <w:r>
        <w:t>1795</w:t>
      </w:r>
      <w:r w:rsidR="00682385">
        <w:t>–</w:t>
      </w:r>
      <w:r w:rsidR="00180D91">
        <w:t>18</w:t>
      </w:r>
      <w:r>
        <w:t>9</w:t>
      </w:r>
      <w:r w:rsidR="00180D91">
        <w:t>0</w:t>
      </w:r>
      <w:r w:rsidR="00682385">
        <w:t xml:space="preserve"> </w:t>
      </w:r>
      <w:r w:rsidR="00682385" w:rsidRPr="007D04B2">
        <w:rPr>
          <w:rFonts w:cs="Arial"/>
        </w:rPr>
        <w:t>MHz band –</w:t>
      </w:r>
      <w:r w:rsidR="002647EB">
        <w:rPr>
          <w:rFonts w:cs="Arial"/>
        </w:rPr>
        <w:t xml:space="preserve"> </w:t>
      </w:r>
      <w:r w:rsidR="00682385">
        <w:rPr>
          <w:rFonts w:cs="Arial"/>
        </w:rPr>
        <w:t xml:space="preserve">non-AAS </w:t>
      </w:r>
      <w:r w:rsidR="00682385" w:rsidRPr="007D04B2">
        <w:rPr>
          <w:rFonts w:cs="Arial"/>
        </w:rPr>
        <w:t>devices.</w:t>
      </w:r>
      <w:r w:rsidR="00682385">
        <w:rPr>
          <w:rFonts w:cs="Arial"/>
        </w:rPr>
        <w:t xml:space="preserve"> </w:t>
      </w:r>
    </w:p>
    <w:tbl>
      <w:tblPr>
        <w:tblStyle w:val="TableGrid"/>
        <w:tblW w:w="7555" w:type="dxa"/>
        <w:jc w:val="center"/>
        <w:tblLook w:val="04A0" w:firstRow="1" w:lastRow="0" w:firstColumn="1" w:lastColumn="0" w:noHBand="0" w:noVBand="1"/>
      </w:tblPr>
      <w:tblGrid>
        <w:gridCol w:w="3685"/>
        <w:gridCol w:w="2270"/>
        <w:gridCol w:w="1600"/>
      </w:tblGrid>
      <w:tr w:rsidR="000049FD" w:rsidRPr="000049FD" w14:paraId="73E5AC4E" w14:textId="77777777" w:rsidTr="00322232">
        <w:trPr>
          <w:jc w:val="center"/>
        </w:trPr>
        <w:tc>
          <w:tcPr>
            <w:tcW w:w="3685" w:type="dxa"/>
            <w:shd w:val="clear" w:color="auto" w:fill="404040" w:themeFill="text1" w:themeFillTint="BF"/>
          </w:tcPr>
          <w:p w14:paraId="56033A15" w14:textId="3B3A4A18" w:rsidR="00682385" w:rsidRPr="00322232" w:rsidRDefault="00682385">
            <w:pPr>
              <w:pStyle w:val="ListParagraph"/>
              <w:ind w:left="0"/>
              <w:jc w:val="center"/>
              <w:rPr>
                <w:rFonts w:ascii="Arial" w:hAnsi="Arial" w:cs="Arial"/>
                <w:b/>
                <w:color w:val="FFFFFF" w:themeColor="background1"/>
              </w:rPr>
            </w:pPr>
            <w:r w:rsidRPr="00322232">
              <w:rPr>
                <w:rFonts w:cs="Arial"/>
                <w:b/>
                <w:color w:val="FFFFFF" w:themeColor="background1"/>
              </w:rPr>
              <w:t xml:space="preserve">Frequency </w:t>
            </w:r>
            <w:r w:rsidR="000049FD">
              <w:rPr>
                <w:rFonts w:ascii="Arial" w:hAnsi="Arial" w:cs="Arial"/>
                <w:b/>
                <w:color w:val="FFFFFF" w:themeColor="background1"/>
              </w:rPr>
              <w:br/>
              <w:t>r</w:t>
            </w:r>
            <w:r w:rsidRPr="00322232">
              <w:rPr>
                <w:rFonts w:cs="Arial"/>
                <w:b/>
                <w:color w:val="FFFFFF" w:themeColor="background1"/>
              </w:rPr>
              <w:t xml:space="preserve">ange </w:t>
            </w:r>
            <w:r w:rsidRPr="00322232">
              <w:rPr>
                <w:rFonts w:ascii="Arial" w:hAnsi="Arial" w:cs="Arial"/>
                <w:b/>
                <w:color w:val="FFFFFF" w:themeColor="background1"/>
              </w:rPr>
              <w:t>(f)</w:t>
            </w:r>
          </w:p>
        </w:tc>
        <w:tc>
          <w:tcPr>
            <w:tcW w:w="2270" w:type="dxa"/>
            <w:shd w:val="clear" w:color="auto" w:fill="404040" w:themeFill="text1" w:themeFillTint="BF"/>
          </w:tcPr>
          <w:p w14:paraId="54D8289F" w14:textId="46395FF2" w:rsidR="00682385" w:rsidRPr="00322232" w:rsidRDefault="000049FD" w:rsidP="00E826E3">
            <w:pPr>
              <w:pStyle w:val="ListParagraph"/>
              <w:ind w:left="0"/>
              <w:jc w:val="center"/>
              <w:rPr>
                <w:rFonts w:ascii="Arial" w:hAnsi="Arial" w:cs="Arial"/>
                <w:b/>
                <w:color w:val="FFFFFF" w:themeColor="background1"/>
              </w:rPr>
            </w:pPr>
            <w:r>
              <w:rPr>
                <w:rFonts w:ascii="Arial" w:hAnsi="Arial" w:cs="Arial"/>
                <w:b/>
                <w:color w:val="FFFFFF" w:themeColor="background1"/>
              </w:rPr>
              <w:t>M</w:t>
            </w:r>
            <w:r w:rsidR="00B14416" w:rsidRPr="00322232">
              <w:rPr>
                <w:rFonts w:ascii="Arial" w:hAnsi="Arial" w:cs="Arial"/>
                <w:b/>
                <w:color w:val="FFFFFF" w:themeColor="background1"/>
              </w:rPr>
              <w:t>ean power</w:t>
            </w:r>
            <w:r w:rsidR="00682385" w:rsidRPr="00322232">
              <w:rPr>
                <w:rFonts w:ascii="Arial" w:hAnsi="Arial" w:cs="Arial"/>
                <w:b/>
                <w:color w:val="FFFFFF" w:themeColor="background1"/>
              </w:rPr>
              <w:t xml:space="preserve"> (dBm) per </w:t>
            </w:r>
            <w:r w:rsidR="00B14416" w:rsidRPr="00322232">
              <w:rPr>
                <w:rFonts w:ascii="Arial" w:hAnsi="Arial" w:cs="Arial"/>
                <w:b/>
                <w:color w:val="FFFFFF" w:themeColor="background1"/>
              </w:rPr>
              <w:t>transmitter port</w:t>
            </w:r>
          </w:p>
        </w:tc>
        <w:tc>
          <w:tcPr>
            <w:tcW w:w="1600" w:type="dxa"/>
            <w:shd w:val="clear" w:color="auto" w:fill="404040" w:themeFill="text1" w:themeFillTint="BF"/>
          </w:tcPr>
          <w:p w14:paraId="039B324F" w14:textId="2222AFF7" w:rsidR="00682385" w:rsidRPr="00322232" w:rsidRDefault="00682385" w:rsidP="00E826E3">
            <w:pPr>
              <w:pStyle w:val="ListParagraph"/>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0049FD">
              <w:rPr>
                <w:rFonts w:ascii="Arial" w:hAnsi="Arial" w:cs="Arial"/>
                <w:b/>
                <w:color w:val="FFFFFF" w:themeColor="background1"/>
              </w:rPr>
              <w:t>b</w:t>
            </w:r>
            <w:r w:rsidRPr="00322232">
              <w:rPr>
                <w:rFonts w:ascii="Arial" w:hAnsi="Arial" w:cs="Arial"/>
                <w:b/>
                <w:color w:val="FFFFFF" w:themeColor="background1"/>
              </w:rPr>
              <w:t>andwidth</w:t>
            </w:r>
          </w:p>
        </w:tc>
      </w:tr>
      <w:tr w:rsidR="00682385" w:rsidRPr="007D04B2" w14:paraId="34C89695" w14:textId="77777777" w:rsidTr="00322232">
        <w:trPr>
          <w:jc w:val="center"/>
        </w:trPr>
        <w:tc>
          <w:tcPr>
            <w:tcW w:w="3685" w:type="dxa"/>
          </w:tcPr>
          <w:p w14:paraId="4D102199"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9 kHz ≤ f &lt; 150 kHz</w:t>
            </w:r>
          </w:p>
        </w:tc>
        <w:tc>
          <w:tcPr>
            <w:tcW w:w="2270" w:type="dxa"/>
          </w:tcPr>
          <w:p w14:paraId="7EE5CEC2"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-36</w:t>
            </w:r>
          </w:p>
        </w:tc>
        <w:tc>
          <w:tcPr>
            <w:tcW w:w="1600" w:type="dxa"/>
          </w:tcPr>
          <w:p w14:paraId="5139E30F"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 kHz</w:t>
            </w:r>
          </w:p>
        </w:tc>
      </w:tr>
      <w:tr w:rsidR="00682385" w:rsidRPr="007D04B2" w14:paraId="35268C1C" w14:textId="77777777" w:rsidTr="00322232">
        <w:trPr>
          <w:jc w:val="center"/>
        </w:trPr>
        <w:tc>
          <w:tcPr>
            <w:tcW w:w="3685" w:type="dxa"/>
            <w:shd w:val="clear" w:color="auto" w:fill="F2F2F2" w:themeFill="background1" w:themeFillShade="F2"/>
          </w:tcPr>
          <w:p w14:paraId="0E45ADB2"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150 kHz ≤ f &lt; 30 MHz</w:t>
            </w:r>
          </w:p>
        </w:tc>
        <w:tc>
          <w:tcPr>
            <w:tcW w:w="2270" w:type="dxa"/>
            <w:shd w:val="clear" w:color="auto" w:fill="F2F2F2" w:themeFill="background1" w:themeFillShade="F2"/>
          </w:tcPr>
          <w:p w14:paraId="222537CB"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-36</w:t>
            </w:r>
          </w:p>
        </w:tc>
        <w:tc>
          <w:tcPr>
            <w:tcW w:w="1600" w:type="dxa"/>
            <w:shd w:val="clear" w:color="auto" w:fill="F2F2F2" w:themeFill="background1" w:themeFillShade="F2"/>
          </w:tcPr>
          <w:p w14:paraId="08DA2E15"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10 kHz</w:t>
            </w:r>
          </w:p>
        </w:tc>
      </w:tr>
      <w:tr w:rsidR="00682385" w:rsidRPr="007D04B2" w14:paraId="782159FA" w14:textId="77777777" w:rsidTr="00322232">
        <w:trPr>
          <w:jc w:val="center"/>
        </w:trPr>
        <w:tc>
          <w:tcPr>
            <w:tcW w:w="3685" w:type="dxa"/>
          </w:tcPr>
          <w:p w14:paraId="22D9D5A8"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30 MHz ≤ f &lt; 1 GHz</w:t>
            </w:r>
          </w:p>
        </w:tc>
        <w:tc>
          <w:tcPr>
            <w:tcW w:w="2270" w:type="dxa"/>
          </w:tcPr>
          <w:p w14:paraId="19E64C73"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-36</w:t>
            </w:r>
          </w:p>
        </w:tc>
        <w:tc>
          <w:tcPr>
            <w:tcW w:w="1600" w:type="dxa"/>
          </w:tcPr>
          <w:p w14:paraId="330F9705"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100 kHz</w:t>
            </w:r>
          </w:p>
        </w:tc>
      </w:tr>
      <w:tr w:rsidR="00682385" w:rsidRPr="007D04B2" w14:paraId="77757845" w14:textId="77777777" w:rsidTr="00322232">
        <w:trPr>
          <w:jc w:val="center"/>
        </w:trPr>
        <w:tc>
          <w:tcPr>
            <w:tcW w:w="3685" w:type="dxa"/>
            <w:shd w:val="clear" w:color="auto" w:fill="F2F2F2" w:themeFill="background1" w:themeFillShade="F2"/>
          </w:tcPr>
          <w:p w14:paraId="3285D0BF"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 GHz ≤ f &lt; 12.75 GHz</w:t>
            </w:r>
          </w:p>
        </w:tc>
        <w:tc>
          <w:tcPr>
            <w:tcW w:w="2270" w:type="dxa"/>
            <w:shd w:val="clear" w:color="auto" w:fill="F2F2F2" w:themeFill="background1" w:themeFillShade="F2"/>
          </w:tcPr>
          <w:p w14:paraId="52A5EBDA"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-30</w:t>
            </w:r>
          </w:p>
        </w:tc>
        <w:tc>
          <w:tcPr>
            <w:tcW w:w="1600" w:type="dxa"/>
            <w:shd w:val="clear" w:color="auto" w:fill="F2F2F2" w:themeFill="background1" w:themeFillShade="F2"/>
          </w:tcPr>
          <w:p w14:paraId="4255FA70" w14:textId="77777777" w:rsidR="00682385" w:rsidRPr="000372F7" w:rsidRDefault="00682385" w:rsidP="00E826E3">
            <w:pPr>
              <w:pStyle w:val="ListParagraph"/>
              <w:ind w:left="0"/>
              <w:jc w:val="center"/>
              <w:rPr>
                <w:rFonts w:ascii="Arial" w:hAnsi="Arial" w:cs="Arial"/>
                <w:szCs w:val="20"/>
              </w:rPr>
            </w:pPr>
            <w:r w:rsidRPr="000372F7">
              <w:rPr>
                <w:rFonts w:ascii="Arial" w:hAnsi="Arial" w:cs="Arial"/>
                <w:szCs w:val="20"/>
              </w:rPr>
              <w:t>1 MHz</w:t>
            </w:r>
          </w:p>
        </w:tc>
      </w:tr>
    </w:tbl>
    <w:p w14:paraId="7093EA3F" w14:textId="3FA79858" w:rsidR="00682385" w:rsidRDefault="00682385" w:rsidP="0062295F">
      <w:pPr>
        <w:pStyle w:val="ListParagraph"/>
        <w:spacing w:before="120"/>
        <w:ind w:left="852"/>
        <w:rPr>
          <w:rFonts w:ascii="Arial" w:hAnsi="Arial" w:cs="Arial"/>
        </w:rPr>
      </w:pPr>
    </w:p>
    <w:p w14:paraId="701004FF" w14:textId="2D24C56D" w:rsidR="006C429C" w:rsidRPr="007D04B2" w:rsidRDefault="00884869" w:rsidP="00322232">
      <w:pPr>
        <w:pStyle w:val="ACMATableHeader"/>
        <w:keepNext/>
        <w:keepLines/>
        <w:spacing w:line="240" w:lineRule="atLeast"/>
      </w:pPr>
      <w:r>
        <w:rPr>
          <w:rFonts w:cs="Arial"/>
        </w:rPr>
        <w:lastRenderedPageBreak/>
        <w:t>U</w:t>
      </w:r>
      <w:r w:rsidRPr="007D04B2">
        <w:rPr>
          <w:rFonts w:cs="Arial"/>
        </w:rPr>
        <w:t xml:space="preserve">nwanted emission limits </w:t>
      </w:r>
      <w:r>
        <w:rPr>
          <w:rFonts w:cs="Arial"/>
        </w:rPr>
        <w:t xml:space="preserve">for transmitters operating in the upper 1800 MHz band at frequency </w:t>
      </w:r>
      <w:r w:rsidRPr="007D04B2">
        <w:rPr>
          <w:rFonts w:cs="Arial"/>
        </w:rPr>
        <w:t xml:space="preserve">outside the </w:t>
      </w:r>
      <w:r>
        <w:t xml:space="preserve">1795–1890 </w:t>
      </w:r>
      <w:r w:rsidRPr="007D04B2">
        <w:rPr>
          <w:rFonts w:cs="Arial"/>
        </w:rPr>
        <w:t xml:space="preserve">MHz band </w:t>
      </w:r>
      <w:r w:rsidR="000049FD">
        <w:rPr>
          <w:rFonts w:cs="Arial"/>
        </w:rPr>
        <w:br/>
      </w:r>
      <w:r w:rsidR="006C429C" w:rsidRPr="007D04B2">
        <w:rPr>
          <w:rFonts w:cs="Arial"/>
        </w:rPr>
        <w:t>–</w:t>
      </w:r>
      <w:r w:rsidR="002647EB">
        <w:rPr>
          <w:rFonts w:cs="Arial"/>
        </w:rPr>
        <w:t xml:space="preserve"> </w:t>
      </w:r>
      <w:r w:rsidR="006C429C">
        <w:rPr>
          <w:rFonts w:cs="Arial"/>
        </w:rPr>
        <w:t xml:space="preserve">AAS </w:t>
      </w:r>
      <w:r w:rsidR="006C429C" w:rsidRPr="007D04B2">
        <w:rPr>
          <w:rFonts w:cs="Arial"/>
        </w:rPr>
        <w:t>devices.</w:t>
      </w:r>
      <w:r w:rsidR="006C429C">
        <w:rPr>
          <w:rFonts w:cs="Arial"/>
        </w:rPr>
        <w:t xml:space="preserve"> </w:t>
      </w:r>
    </w:p>
    <w:tbl>
      <w:tblPr>
        <w:tblStyle w:val="TableGrid"/>
        <w:tblW w:w="7697" w:type="dxa"/>
        <w:jc w:val="center"/>
        <w:tblLook w:val="04A0" w:firstRow="1" w:lastRow="0" w:firstColumn="1" w:lastColumn="0" w:noHBand="0" w:noVBand="1"/>
      </w:tblPr>
      <w:tblGrid>
        <w:gridCol w:w="3827"/>
        <w:gridCol w:w="2270"/>
        <w:gridCol w:w="1600"/>
      </w:tblGrid>
      <w:tr w:rsidR="000049FD" w:rsidRPr="000049FD" w14:paraId="40DAF739" w14:textId="77777777" w:rsidTr="000049FD">
        <w:trPr>
          <w:jc w:val="center"/>
        </w:trPr>
        <w:tc>
          <w:tcPr>
            <w:tcW w:w="3827" w:type="dxa"/>
            <w:shd w:val="clear" w:color="auto" w:fill="404040" w:themeFill="text1" w:themeFillTint="BF"/>
          </w:tcPr>
          <w:p w14:paraId="603943F6" w14:textId="3F71FB2C" w:rsidR="006C429C" w:rsidRPr="00322232" w:rsidRDefault="006C429C" w:rsidP="00322232">
            <w:pPr>
              <w:pStyle w:val="ListParagraph"/>
              <w:keepNext/>
              <w:keepLines/>
              <w:ind w:left="0"/>
              <w:jc w:val="center"/>
              <w:rPr>
                <w:rFonts w:ascii="Arial" w:hAnsi="Arial" w:cs="Arial"/>
                <w:b/>
                <w:color w:val="FFFFFF" w:themeColor="background1"/>
              </w:rPr>
            </w:pPr>
            <w:r w:rsidRPr="00322232">
              <w:rPr>
                <w:rFonts w:cs="Arial"/>
                <w:b/>
                <w:color w:val="FFFFFF" w:themeColor="background1"/>
              </w:rPr>
              <w:t xml:space="preserve">Frequency </w:t>
            </w:r>
            <w:r w:rsidR="000049FD">
              <w:rPr>
                <w:rFonts w:ascii="Arial" w:hAnsi="Arial" w:cs="Arial"/>
                <w:b/>
                <w:color w:val="FFFFFF" w:themeColor="background1"/>
              </w:rPr>
              <w:br/>
            </w:r>
            <w:r w:rsidR="000049FD" w:rsidRPr="00322232">
              <w:rPr>
                <w:rFonts w:cs="Arial"/>
                <w:b/>
                <w:color w:val="FFFFFF" w:themeColor="background1"/>
              </w:rPr>
              <w:t>r</w:t>
            </w:r>
            <w:r w:rsidRPr="00322232">
              <w:rPr>
                <w:rFonts w:cs="Arial"/>
                <w:b/>
                <w:color w:val="FFFFFF" w:themeColor="background1"/>
              </w:rPr>
              <w:t xml:space="preserve">ange </w:t>
            </w:r>
            <w:r w:rsidRPr="00322232">
              <w:rPr>
                <w:rFonts w:ascii="Arial" w:hAnsi="Arial" w:cs="Arial"/>
                <w:b/>
                <w:color w:val="FFFFFF" w:themeColor="background1"/>
              </w:rPr>
              <w:t>(f)</w:t>
            </w:r>
          </w:p>
        </w:tc>
        <w:tc>
          <w:tcPr>
            <w:tcW w:w="2270" w:type="dxa"/>
            <w:shd w:val="clear" w:color="auto" w:fill="404040" w:themeFill="text1" w:themeFillTint="BF"/>
          </w:tcPr>
          <w:p w14:paraId="0FF11122" w14:textId="0D8AEA74" w:rsidR="006C429C" w:rsidRPr="00322232" w:rsidRDefault="006C429C" w:rsidP="00322232">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Total </w:t>
            </w:r>
            <w:r w:rsidR="000049FD" w:rsidRPr="00322232">
              <w:rPr>
                <w:rFonts w:ascii="Arial" w:hAnsi="Arial" w:cs="Arial"/>
                <w:b/>
                <w:color w:val="FFFFFF" w:themeColor="background1"/>
              </w:rPr>
              <w:t>r</w:t>
            </w:r>
            <w:r w:rsidRPr="00322232">
              <w:rPr>
                <w:rFonts w:ascii="Arial" w:hAnsi="Arial" w:cs="Arial"/>
                <w:b/>
                <w:color w:val="FFFFFF" w:themeColor="background1"/>
              </w:rPr>
              <w:t xml:space="preserve">adiated </w:t>
            </w:r>
            <w:r w:rsidR="000049FD" w:rsidRPr="00322232">
              <w:rPr>
                <w:rFonts w:ascii="Arial" w:hAnsi="Arial" w:cs="Arial"/>
                <w:b/>
                <w:color w:val="FFFFFF" w:themeColor="background1"/>
              </w:rPr>
              <w:t>p</w:t>
            </w:r>
            <w:r w:rsidRPr="00322232">
              <w:rPr>
                <w:rFonts w:ascii="Arial" w:hAnsi="Arial" w:cs="Arial"/>
                <w:b/>
                <w:color w:val="FFFFFF" w:themeColor="background1"/>
              </w:rPr>
              <w:t>ower (dBm) per cell/sector</w:t>
            </w:r>
          </w:p>
        </w:tc>
        <w:tc>
          <w:tcPr>
            <w:tcW w:w="1600" w:type="dxa"/>
            <w:shd w:val="clear" w:color="auto" w:fill="404040" w:themeFill="text1" w:themeFillTint="BF"/>
          </w:tcPr>
          <w:p w14:paraId="2E2AF3E2" w14:textId="25510BA1" w:rsidR="006C429C" w:rsidRPr="00322232" w:rsidRDefault="006C429C" w:rsidP="00322232">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0049FD" w:rsidRPr="00322232">
              <w:rPr>
                <w:rFonts w:ascii="Arial" w:hAnsi="Arial" w:cs="Arial"/>
                <w:b/>
                <w:color w:val="FFFFFF" w:themeColor="background1"/>
              </w:rPr>
              <w:t>b</w:t>
            </w:r>
            <w:r w:rsidRPr="00322232">
              <w:rPr>
                <w:rFonts w:ascii="Arial" w:hAnsi="Arial" w:cs="Arial"/>
                <w:b/>
                <w:color w:val="FFFFFF" w:themeColor="background1"/>
              </w:rPr>
              <w:t>andwidth</w:t>
            </w:r>
          </w:p>
        </w:tc>
      </w:tr>
      <w:tr w:rsidR="006C429C" w:rsidRPr="007D04B2" w14:paraId="739AC184" w14:textId="77777777" w:rsidTr="00322232">
        <w:trPr>
          <w:jc w:val="center"/>
        </w:trPr>
        <w:tc>
          <w:tcPr>
            <w:tcW w:w="3827" w:type="dxa"/>
          </w:tcPr>
          <w:p w14:paraId="2B4B228B"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9 kHz ≤ f &lt; 150 kHz</w:t>
            </w:r>
          </w:p>
        </w:tc>
        <w:tc>
          <w:tcPr>
            <w:tcW w:w="2270" w:type="dxa"/>
          </w:tcPr>
          <w:p w14:paraId="7C790A5B" w14:textId="678BB605"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w:t>
            </w:r>
            <w:r w:rsidR="00622123">
              <w:rPr>
                <w:rFonts w:ascii="Arial" w:hAnsi="Arial" w:cs="Arial"/>
                <w:szCs w:val="20"/>
              </w:rPr>
              <w:t>27</w:t>
            </w:r>
          </w:p>
        </w:tc>
        <w:tc>
          <w:tcPr>
            <w:tcW w:w="1600" w:type="dxa"/>
          </w:tcPr>
          <w:p w14:paraId="4A8F396C"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 kHz</w:t>
            </w:r>
          </w:p>
        </w:tc>
      </w:tr>
      <w:tr w:rsidR="006C429C" w:rsidRPr="007D04B2" w14:paraId="08E9D430" w14:textId="77777777" w:rsidTr="00322232">
        <w:trPr>
          <w:jc w:val="center"/>
        </w:trPr>
        <w:tc>
          <w:tcPr>
            <w:tcW w:w="3827" w:type="dxa"/>
            <w:shd w:val="clear" w:color="auto" w:fill="F2F2F2" w:themeFill="background1" w:themeFillShade="F2"/>
          </w:tcPr>
          <w:p w14:paraId="12FEEAA1"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150 kHz ≤ f &lt; 30 MHz</w:t>
            </w:r>
          </w:p>
        </w:tc>
        <w:tc>
          <w:tcPr>
            <w:tcW w:w="2270" w:type="dxa"/>
            <w:shd w:val="clear" w:color="auto" w:fill="F2F2F2" w:themeFill="background1" w:themeFillShade="F2"/>
          </w:tcPr>
          <w:p w14:paraId="587BD7C3" w14:textId="75D2C0F2"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w:t>
            </w:r>
            <w:r w:rsidR="00622123">
              <w:rPr>
                <w:rFonts w:ascii="Arial" w:hAnsi="Arial" w:cs="Arial"/>
                <w:szCs w:val="20"/>
              </w:rPr>
              <w:t>27</w:t>
            </w:r>
          </w:p>
        </w:tc>
        <w:tc>
          <w:tcPr>
            <w:tcW w:w="1600" w:type="dxa"/>
            <w:shd w:val="clear" w:color="auto" w:fill="F2F2F2" w:themeFill="background1" w:themeFillShade="F2"/>
          </w:tcPr>
          <w:p w14:paraId="2211334D"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10 kHz</w:t>
            </w:r>
          </w:p>
        </w:tc>
      </w:tr>
      <w:tr w:rsidR="006C429C" w:rsidRPr="007D04B2" w14:paraId="7508A112" w14:textId="77777777" w:rsidTr="00322232">
        <w:trPr>
          <w:jc w:val="center"/>
        </w:trPr>
        <w:tc>
          <w:tcPr>
            <w:tcW w:w="3827" w:type="dxa"/>
          </w:tcPr>
          <w:p w14:paraId="0D7DE64B"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30 MHz ≤ f &lt; 1 GHz</w:t>
            </w:r>
          </w:p>
        </w:tc>
        <w:tc>
          <w:tcPr>
            <w:tcW w:w="2270" w:type="dxa"/>
          </w:tcPr>
          <w:p w14:paraId="31F88F35" w14:textId="3140E9AB"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w:t>
            </w:r>
            <w:r w:rsidR="00622123">
              <w:rPr>
                <w:rFonts w:ascii="Arial" w:hAnsi="Arial" w:cs="Arial"/>
                <w:szCs w:val="20"/>
              </w:rPr>
              <w:t>27</w:t>
            </w:r>
          </w:p>
        </w:tc>
        <w:tc>
          <w:tcPr>
            <w:tcW w:w="1600" w:type="dxa"/>
          </w:tcPr>
          <w:p w14:paraId="279AB46E"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100 kHz</w:t>
            </w:r>
          </w:p>
        </w:tc>
      </w:tr>
      <w:tr w:rsidR="006C429C" w:rsidRPr="007D04B2" w14:paraId="7BFFDA4A" w14:textId="77777777" w:rsidTr="00322232">
        <w:trPr>
          <w:jc w:val="center"/>
        </w:trPr>
        <w:tc>
          <w:tcPr>
            <w:tcW w:w="3827" w:type="dxa"/>
            <w:shd w:val="clear" w:color="auto" w:fill="F2F2F2" w:themeFill="background1" w:themeFillShade="F2"/>
          </w:tcPr>
          <w:p w14:paraId="671829D2"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 GHz ≤ f &lt; 12.75 GHz</w:t>
            </w:r>
          </w:p>
        </w:tc>
        <w:tc>
          <w:tcPr>
            <w:tcW w:w="2270" w:type="dxa"/>
            <w:shd w:val="clear" w:color="auto" w:fill="F2F2F2" w:themeFill="background1" w:themeFillShade="F2"/>
          </w:tcPr>
          <w:p w14:paraId="250947EA" w14:textId="22511260"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w:t>
            </w:r>
            <w:r w:rsidR="00622123">
              <w:rPr>
                <w:rFonts w:ascii="Arial" w:hAnsi="Arial" w:cs="Arial"/>
                <w:szCs w:val="20"/>
              </w:rPr>
              <w:t>21</w:t>
            </w:r>
          </w:p>
        </w:tc>
        <w:tc>
          <w:tcPr>
            <w:tcW w:w="1600" w:type="dxa"/>
            <w:shd w:val="clear" w:color="auto" w:fill="F2F2F2" w:themeFill="background1" w:themeFillShade="F2"/>
          </w:tcPr>
          <w:p w14:paraId="7018A1B0" w14:textId="77777777" w:rsidR="006C429C" w:rsidRPr="000372F7" w:rsidRDefault="006C429C" w:rsidP="00322232">
            <w:pPr>
              <w:pStyle w:val="ListParagraph"/>
              <w:keepNext/>
              <w:keepLines/>
              <w:ind w:left="0"/>
              <w:jc w:val="center"/>
              <w:rPr>
                <w:rFonts w:ascii="Arial" w:hAnsi="Arial" w:cs="Arial"/>
                <w:szCs w:val="20"/>
              </w:rPr>
            </w:pPr>
            <w:r w:rsidRPr="000372F7">
              <w:rPr>
                <w:rFonts w:ascii="Arial" w:hAnsi="Arial" w:cs="Arial"/>
                <w:szCs w:val="20"/>
              </w:rPr>
              <w:t>1 MHz</w:t>
            </w:r>
          </w:p>
        </w:tc>
      </w:tr>
    </w:tbl>
    <w:p w14:paraId="6A985ECC" w14:textId="54C6FDEA" w:rsidR="00D35DF5" w:rsidRDefault="00D35DF5" w:rsidP="00322232">
      <w:pPr>
        <w:pStyle w:val="ListParagraph"/>
        <w:keepNext/>
        <w:keepLines/>
        <w:spacing w:before="120"/>
        <w:ind w:left="852"/>
        <w:rPr>
          <w:rFonts w:ascii="Arial" w:hAnsi="Arial" w:cs="Arial"/>
        </w:rPr>
      </w:pPr>
    </w:p>
    <w:p w14:paraId="078F6005" w14:textId="57A04CCC" w:rsidR="00D35DF5" w:rsidRPr="007D04B2" w:rsidRDefault="00D35DF5" w:rsidP="00D35DF5">
      <w:pPr>
        <w:pStyle w:val="ACMATableHeader"/>
        <w:spacing w:line="240" w:lineRule="atLeast"/>
      </w:pPr>
      <w:r>
        <w:rPr>
          <w:rFonts w:cs="Arial"/>
        </w:rPr>
        <w:t>U</w:t>
      </w:r>
      <w:r w:rsidRPr="007D04B2">
        <w:rPr>
          <w:rFonts w:cs="Arial"/>
        </w:rPr>
        <w:t xml:space="preserve">nwanted emission limits </w:t>
      </w:r>
      <w:r>
        <w:rPr>
          <w:rFonts w:cs="Arial"/>
        </w:rPr>
        <w:t xml:space="preserve">for transmitters operating in the lower </w:t>
      </w:r>
      <w:r w:rsidR="000049FD">
        <w:rPr>
          <w:rFonts w:cs="Arial"/>
        </w:rPr>
        <w:br/>
      </w:r>
      <w:r>
        <w:rPr>
          <w:rFonts w:cs="Arial"/>
        </w:rPr>
        <w:t xml:space="preserve">1800 MHz band at frequency </w:t>
      </w:r>
      <w:r w:rsidRPr="007D04B2">
        <w:rPr>
          <w:rFonts w:cs="Arial"/>
        </w:rPr>
        <w:t xml:space="preserve">outside the </w:t>
      </w:r>
      <w:r>
        <w:t>1665-18</w:t>
      </w:r>
      <w:r w:rsidR="00BA01DD">
        <w:t>3</w:t>
      </w:r>
      <w:r>
        <w:t xml:space="preserve">0 </w:t>
      </w:r>
      <w:r w:rsidRPr="007D04B2">
        <w:rPr>
          <w:rFonts w:cs="Arial"/>
        </w:rPr>
        <w:t xml:space="preserve">MHz band </w:t>
      </w:r>
      <w:r w:rsidR="000049FD">
        <w:rPr>
          <w:rFonts w:cs="Arial"/>
        </w:rPr>
        <w:br/>
      </w:r>
      <w:r w:rsidRPr="007D04B2">
        <w:rPr>
          <w:rFonts w:cs="Arial"/>
        </w:rPr>
        <w:t>–</w:t>
      </w:r>
      <w:r>
        <w:rPr>
          <w:rFonts w:cs="Arial"/>
        </w:rPr>
        <w:t xml:space="preserve"> all </w:t>
      </w:r>
      <w:r w:rsidRPr="007D04B2">
        <w:rPr>
          <w:rFonts w:cs="Arial"/>
        </w:rPr>
        <w:t>devices.</w:t>
      </w:r>
      <w:r>
        <w:rPr>
          <w:rFonts w:cs="Arial"/>
        </w:rPr>
        <w:t xml:space="preserve"> </w:t>
      </w:r>
    </w:p>
    <w:tbl>
      <w:tblPr>
        <w:tblStyle w:val="TableGrid"/>
        <w:tblW w:w="7697" w:type="dxa"/>
        <w:jc w:val="center"/>
        <w:tblLook w:val="04A0" w:firstRow="1" w:lastRow="0" w:firstColumn="1" w:lastColumn="0" w:noHBand="0" w:noVBand="1"/>
      </w:tblPr>
      <w:tblGrid>
        <w:gridCol w:w="3827"/>
        <w:gridCol w:w="2270"/>
        <w:gridCol w:w="1600"/>
      </w:tblGrid>
      <w:tr w:rsidR="000049FD" w:rsidRPr="000049FD" w14:paraId="3CFB4A55" w14:textId="77777777" w:rsidTr="000049FD">
        <w:trPr>
          <w:jc w:val="center"/>
        </w:trPr>
        <w:tc>
          <w:tcPr>
            <w:tcW w:w="3827" w:type="dxa"/>
            <w:shd w:val="clear" w:color="auto" w:fill="404040" w:themeFill="text1" w:themeFillTint="BF"/>
          </w:tcPr>
          <w:p w14:paraId="4ABD368E" w14:textId="77777777" w:rsidR="000049FD" w:rsidRDefault="00D35DF5" w:rsidP="003C584C">
            <w:pPr>
              <w:pStyle w:val="ListParagraph"/>
              <w:ind w:left="0"/>
              <w:jc w:val="center"/>
              <w:rPr>
                <w:rFonts w:ascii="Arial" w:hAnsi="Arial" w:cs="Arial"/>
                <w:b/>
                <w:color w:val="FFFFFF" w:themeColor="background1"/>
              </w:rPr>
            </w:pPr>
            <w:r w:rsidRPr="00322232">
              <w:rPr>
                <w:rFonts w:ascii="Arial" w:hAnsi="Arial" w:cs="Arial"/>
                <w:b/>
                <w:color w:val="FFFFFF" w:themeColor="background1"/>
              </w:rPr>
              <w:t xml:space="preserve">Frequency </w:t>
            </w:r>
          </w:p>
          <w:p w14:paraId="551AF177" w14:textId="26428DA7" w:rsidR="00D35DF5" w:rsidRPr="00322232" w:rsidRDefault="000049FD">
            <w:pPr>
              <w:pStyle w:val="ListParagraph"/>
              <w:ind w:left="0"/>
              <w:jc w:val="center"/>
              <w:rPr>
                <w:rFonts w:ascii="Arial" w:hAnsi="Arial" w:cs="Arial"/>
                <w:b/>
                <w:color w:val="FFFFFF" w:themeColor="background1"/>
              </w:rPr>
            </w:pPr>
            <w:r>
              <w:rPr>
                <w:rFonts w:ascii="Arial" w:hAnsi="Arial" w:cs="Arial"/>
                <w:b/>
                <w:color w:val="FFFFFF" w:themeColor="background1"/>
              </w:rPr>
              <w:t>r</w:t>
            </w:r>
            <w:r w:rsidR="00D35DF5" w:rsidRPr="00322232">
              <w:rPr>
                <w:rFonts w:cs="Arial"/>
                <w:b/>
                <w:color w:val="FFFFFF" w:themeColor="background1"/>
              </w:rPr>
              <w:t xml:space="preserve">ange </w:t>
            </w:r>
            <w:r w:rsidR="00D35DF5" w:rsidRPr="00322232">
              <w:rPr>
                <w:rFonts w:ascii="Arial" w:hAnsi="Arial" w:cs="Arial"/>
                <w:b/>
                <w:color w:val="FFFFFF" w:themeColor="background1"/>
              </w:rPr>
              <w:t>(f)</w:t>
            </w:r>
          </w:p>
        </w:tc>
        <w:tc>
          <w:tcPr>
            <w:tcW w:w="2270" w:type="dxa"/>
            <w:shd w:val="clear" w:color="auto" w:fill="404040" w:themeFill="text1" w:themeFillTint="BF"/>
          </w:tcPr>
          <w:p w14:paraId="05AE370E" w14:textId="740C9DF6" w:rsidR="00D35DF5" w:rsidRPr="00322232" w:rsidRDefault="00D35DF5" w:rsidP="003C584C">
            <w:pPr>
              <w:pStyle w:val="ListParagraph"/>
              <w:ind w:left="0"/>
              <w:jc w:val="center"/>
              <w:rPr>
                <w:rFonts w:ascii="Arial" w:hAnsi="Arial" w:cs="Arial"/>
                <w:b/>
                <w:color w:val="FFFFFF" w:themeColor="background1"/>
              </w:rPr>
            </w:pPr>
            <w:r w:rsidRPr="00322232">
              <w:rPr>
                <w:rFonts w:ascii="Arial" w:hAnsi="Arial" w:cs="Arial"/>
                <w:b/>
                <w:color w:val="FFFFFF" w:themeColor="background1"/>
              </w:rPr>
              <w:t xml:space="preserve">Total </w:t>
            </w:r>
            <w:r w:rsidR="000049FD">
              <w:rPr>
                <w:rFonts w:ascii="Arial" w:hAnsi="Arial" w:cs="Arial"/>
                <w:b/>
                <w:color w:val="FFFFFF" w:themeColor="background1"/>
              </w:rPr>
              <w:t>r</w:t>
            </w:r>
            <w:r w:rsidRPr="00322232">
              <w:rPr>
                <w:rFonts w:ascii="Arial" w:hAnsi="Arial" w:cs="Arial"/>
                <w:b/>
                <w:color w:val="FFFFFF" w:themeColor="background1"/>
              </w:rPr>
              <w:t xml:space="preserve">adiated </w:t>
            </w:r>
            <w:r w:rsidR="000049FD">
              <w:rPr>
                <w:rFonts w:ascii="Arial" w:hAnsi="Arial" w:cs="Arial"/>
                <w:b/>
                <w:color w:val="FFFFFF" w:themeColor="background1"/>
              </w:rPr>
              <w:t>p</w:t>
            </w:r>
            <w:r w:rsidRPr="00322232">
              <w:rPr>
                <w:rFonts w:ascii="Arial" w:hAnsi="Arial" w:cs="Arial"/>
                <w:b/>
                <w:color w:val="FFFFFF" w:themeColor="background1"/>
              </w:rPr>
              <w:t xml:space="preserve">ower (dBm) </w:t>
            </w:r>
          </w:p>
        </w:tc>
        <w:tc>
          <w:tcPr>
            <w:tcW w:w="1600" w:type="dxa"/>
            <w:shd w:val="clear" w:color="auto" w:fill="404040" w:themeFill="text1" w:themeFillTint="BF"/>
          </w:tcPr>
          <w:p w14:paraId="0782B8E1" w14:textId="2314CBAC" w:rsidR="00D35DF5" w:rsidRPr="00322232" w:rsidRDefault="00D35DF5" w:rsidP="003C584C">
            <w:pPr>
              <w:pStyle w:val="ListParagraph"/>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0049FD">
              <w:rPr>
                <w:rFonts w:ascii="Arial" w:hAnsi="Arial" w:cs="Arial"/>
                <w:b/>
                <w:color w:val="FFFFFF" w:themeColor="background1"/>
              </w:rPr>
              <w:t>b</w:t>
            </w:r>
            <w:r w:rsidRPr="00322232">
              <w:rPr>
                <w:rFonts w:ascii="Arial" w:hAnsi="Arial" w:cs="Arial"/>
                <w:b/>
                <w:color w:val="FFFFFF" w:themeColor="background1"/>
              </w:rPr>
              <w:t>andwidth</w:t>
            </w:r>
          </w:p>
        </w:tc>
      </w:tr>
      <w:tr w:rsidR="00D35DF5" w:rsidRPr="007D04B2" w14:paraId="21913BA8" w14:textId="77777777" w:rsidTr="00322232">
        <w:trPr>
          <w:jc w:val="center"/>
        </w:trPr>
        <w:tc>
          <w:tcPr>
            <w:tcW w:w="3827" w:type="dxa"/>
          </w:tcPr>
          <w:p w14:paraId="0F5F7A5F"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9 kHz ≤ f &lt; 150 kHz</w:t>
            </w:r>
          </w:p>
        </w:tc>
        <w:tc>
          <w:tcPr>
            <w:tcW w:w="2270" w:type="dxa"/>
          </w:tcPr>
          <w:p w14:paraId="5CE639AB" w14:textId="3C0DCBDD"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-36</w:t>
            </w:r>
          </w:p>
        </w:tc>
        <w:tc>
          <w:tcPr>
            <w:tcW w:w="1600" w:type="dxa"/>
          </w:tcPr>
          <w:p w14:paraId="073F46F1"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 kHz</w:t>
            </w:r>
          </w:p>
        </w:tc>
      </w:tr>
      <w:tr w:rsidR="00D35DF5" w:rsidRPr="007D04B2" w14:paraId="5A5EB8CE" w14:textId="77777777" w:rsidTr="00322232">
        <w:trPr>
          <w:jc w:val="center"/>
        </w:trPr>
        <w:tc>
          <w:tcPr>
            <w:tcW w:w="3827" w:type="dxa"/>
            <w:shd w:val="clear" w:color="auto" w:fill="F2F2F2" w:themeFill="background1" w:themeFillShade="F2"/>
          </w:tcPr>
          <w:p w14:paraId="5BAA6708"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150 kHz ≤ f &lt; 30 MHz</w:t>
            </w:r>
          </w:p>
        </w:tc>
        <w:tc>
          <w:tcPr>
            <w:tcW w:w="2270" w:type="dxa"/>
            <w:shd w:val="clear" w:color="auto" w:fill="F2F2F2" w:themeFill="background1" w:themeFillShade="F2"/>
          </w:tcPr>
          <w:p w14:paraId="333F974B"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-36</w:t>
            </w:r>
          </w:p>
        </w:tc>
        <w:tc>
          <w:tcPr>
            <w:tcW w:w="1600" w:type="dxa"/>
            <w:shd w:val="clear" w:color="auto" w:fill="F2F2F2" w:themeFill="background1" w:themeFillShade="F2"/>
          </w:tcPr>
          <w:p w14:paraId="299BD59D"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10 kHz</w:t>
            </w:r>
          </w:p>
        </w:tc>
      </w:tr>
      <w:tr w:rsidR="00D35DF5" w:rsidRPr="007D04B2" w14:paraId="11ABEAED" w14:textId="77777777" w:rsidTr="00322232">
        <w:trPr>
          <w:jc w:val="center"/>
        </w:trPr>
        <w:tc>
          <w:tcPr>
            <w:tcW w:w="3827" w:type="dxa"/>
          </w:tcPr>
          <w:p w14:paraId="7EE4AFB1"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30 MHz ≤ f &lt; 1 GHz</w:t>
            </w:r>
          </w:p>
        </w:tc>
        <w:tc>
          <w:tcPr>
            <w:tcW w:w="2270" w:type="dxa"/>
          </w:tcPr>
          <w:p w14:paraId="263518FB"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-36</w:t>
            </w:r>
          </w:p>
        </w:tc>
        <w:tc>
          <w:tcPr>
            <w:tcW w:w="1600" w:type="dxa"/>
          </w:tcPr>
          <w:p w14:paraId="5E0C1C70"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100 kHz</w:t>
            </w:r>
          </w:p>
        </w:tc>
      </w:tr>
      <w:tr w:rsidR="00D35DF5" w:rsidRPr="007D04B2" w14:paraId="3A2F14C3" w14:textId="77777777" w:rsidTr="00322232">
        <w:trPr>
          <w:jc w:val="center"/>
        </w:trPr>
        <w:tc>
          <w:tcPr>
            <w:tcW w:w="3827" w:type="dxa"/>
            <w:shd w:val="clear" w:color="auto" w:fill="F2F2F2" w:themeFill="background1" w:themeFillShade="F2"/>
          </w:tcPr>
          <w:p w14:paraId="0B6051B4"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 GHz ≤ f &lt; 12.75 GHz</w:t>
            </w:r>
          </w:p>
        </w:tc>
        <w:tc>
          <w:tcPr>
            <w:tcW w:w="2270" w:type="dxa"/>
            <w:shd w:val="clear" w:color="auto" w:fill="F2F2F2" w:themeFill="background1" w:themeFillShade="F2"/>
          </w:tcPr>
          <w:p w14:paraId="092B246F"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-30</w:t>
            </w:r>
          </w:p>
        </w:tc>
        <w:tc>
          <w:tcPr>
            <w:tcW w:w="1600" w:type="dxa"/>
            <w:shd w:val="clear" w:color="auto" w:fill="F2F2F2" w:themeFill="background1" w:themeFillShade="F2"/>
          </w:tcPr>
          <w:p w14:paraId="57217916" w14:textId="77777777" w:rsidR="00D35DF5" w:rsidRPr="000372F7" w:rsidRDefault="00D35DF5" w:rsidP="003C584C">
            <w:pPr>
              <w:pStyle w:val="ListParagraph"/>
              <w:ind w:left="0"/>
              <w:jc w:val="center"/>
              <w:rPr>
                <w:rFonts w:ascii="Arial" w:hAnsi="Arial" w:cs="Arial"/>
                <w:szCs w:val="20"/>
              </w:rPr>
            </w:pPr>
            <w:r w:rsidRPr="000372F7">
              <w:rPr>
                <w:rFonts w:ascii="Arial" w:hAnsi="Arial" w:cs="Arial"/>
                <w:szCs w:val="20"/>
              </w:rPr>
              <w:t>1 MHz</w:t>
            </w:r>
          </w:p>
        </w:tc>
      </w:tr>
    </w:tbl>
    <w:p w14:paraId="3B3C5987" w14:textId="77777777" w:rsidR="00D35DF5" w:rsidRDefault="00D35DF5" w:rsidP="00D35DF5">
      <w:pPr>
        <w:pStyle w:val="ListParagraph"/>
        <w:spacing w:before="120"/>
        <w:ind w:left="852"/>
        <w:rPr>
          <w:rFonts w:ascii="Arial" w:hAnsi="Arial" w:cs="Arial"/>
        </w:rPr>
      </w:pPr>
    </w:p>
    <w:p w14:paraId="14DC8E1A" w14:textId="328ADE37" w:rsidR="009113E5" w:rsidRDefault="00D35DF5" w:rsidP="00D35DF5">
      <w:bookmarkStart w:id="33" w:name="_Hlk81991090"/>
      <w:r>
        <w:t>The proposed spurious emission limits for non-AAS receivers operating in the lower 1800 MHz band are provided in Table 6</w:t>
      </w:r>
      <w:r w:rsidR="009113E5">
        <w:t>. However, consistent with 3GPP TS 38.104, f</w:t>
      </w:r>
      <w:r w:rsidR="009113E5" w:rsidRPr="009113E5">
        <w:t>or a radiocommunications receiver where the antenna or transceiver array boundary connectors support both a radiocommunications receiver and a radiocommunications transmitter</w:t>
      </w:r>
      <w:r w:rsidR="009113E5">
        <w:t xml:space="preserve"> the limits in Table 3 will apply instead.</w:t>
      </w:r>
    </w:p>
    <w:p w14:paraId="0A89DA52" w14:textId="7B7146A4" w:rsidR="00D35DF5" w:rsidRDefault="009113E5" w:rsidP="00D35DF5">
      <w:bookmarkStart w:id="34" w:name="_Hlk81986109"/>
      <w:bookmarkEnd w:id="33"/>
      <w:r>
        <w:t>Due to the integrated nature of an AAS the proposed spurious emission limits for AAS receivers operating in the lower 1800 MHz band are the</w:t>
      </w:r>
      <w:r w:rsidR="00C570C6">
        <w:t xml:space="preserve"> same as the</w:t>
      </w:r>
      <w:r>
        <w:t xml:space="preserve"> AAS transmitter spurious emission limits specified in Table 4.  </w:t>
      </w:r>
      <w:r w:rsidR="00D35DF5">
        <w:t xml:space="preserve"> </w:t>
      </w:r>
    </w:p>
    <w:bookmarkEnd w:id="34"/>
    <w:p w14:paraId="758E6466" w14:textId="334A5E77" w:rsidR="00682385" w:rsidRPr="007D04B2" w:rsidRDefault="009113E5" w:rsidP="0062295F">
      <w:pPr>
        <w:rPr>
          <w:rFonts w:cs="Arial"/>
        </w:rPr>
      </w:pPr>
      <w:r>
        <w:t xml:space="preserve">It is similarly proposed to align the spurious emission limits for </w:t>
      </w:r>
      <w:r w:rsidR="00C570C6">
        <w:t>receivers</w:t>
      </w:r>
      <w:r>
        <w:t xml:space="preserve"> operating in the upper 1800 MHz band with 3GPP standards, this will also help to more clearly define where the </w:t>
      </w:r>
      <w:r w:rsidR="00823EEC">
        <w:t>limits</w:t>
      </w:r>
      <w:r>
        <w:t xml:space="preserve"> apply. The same logic for changing the spurious emission limits for </w:t>
      </w:r>
      <w:r w:rsidR="00C570C6">
        <w:t xml:space="preserve">transmitters </w:t>
      </w:r>
      <w:r>
        <w:t xml:space="preserve">operating in the lower band </w:t>
      </w:r>
      <w:r w:rsidR="00823EEC">
        <w:t xml:space="preserve">also </w:t>
      </w:r>
      <w:r>
        <w:t xml:space="preserve">applies in this case. </w:t>
      </w:r>
      <w:r w:rsidR="00C570C6">
        <w:t>The resulting proposed spurious emission limits for receivers operating in the upper 1800 MHz band are provided in Table 7.</w:t>
      </w:r>
    </w:p>
    <w:p w14:paraId="72AEA473" w14:textId="6166EF33" w:rsidR="00682385" w:rsidRPr="007D04B2" w:rsidRDefault="009113E5" w:rsidP="00682385">
      <w:pPr>
        <w:pStyle w:val="ACMATableHeader"/>
        <w:keepNext/>
        <w:keepLines/>
        <w:spacing w:line="240" w:lineRule="atLeast"/>
      </w:pPr>
      <w:r>
        <w:rPr>
          <w:rFonts w:cs="Arial"/>
        </w:rPr>
        <w:lastRenderedPageBreak/>
        <w:t>U</w:t>
      </w:r>
      <w:r w:rsidRPr="007D04B2">
        <w:rPr>
          <w:rFonts w:cs="Arial"/>
        </w:rPr>
        <w:t xml:space="preserve">nwanted emission limits </w:t>
      </w:r>
      <w:r>
        <w:rPr>
          <w:rFonts w:cs="Arial"/>
        </w:rPr>
        <w:t xml:space="preserve">for receivers operating in the lower </w:t>
      </w:r>
      <w:r w:rsidR="000049FD">
        <w:rPr>
          <w:rFonts w:cs="Arial"/>
        </w:rPr>
        <w:br/>
      </w:r>
      <w:r>
        <w:rPr>
          <w:rFonts w:cs="Arial"/>
        </w:rPr>
        <w:t xml:space="preserve">1800 MHz band at frequency </w:t>
      </w:r>
      <w:r w:rsidRPr="007D04B2">
        <w:rPr>
          <w:rFonts w:cs="Arial"/>
        </w:rPr>
        <w:t xml:space="preserve">outside the </w:t>
      </w:r>
      <w:r>
        <w:t xml:space="preserve">1795–1890 </w:t>
      </w:r>
      <w:r w:rsidRPr="007D04B2">
        <w:rPr>
          <w:rFonts w:cs="Arial"/>
        </w:rPr>
        <w:t xml:space="preserve">MHz band </w:t>
      </w:r>
      <w:r w:rsidR="000049FD">
        <w:rPr>
          <w:rFonts w:cs="Arial"/>
        </w:rPr>
        <w:br/>
      </w:r>
      <w:r w:rsidR="00682385" w:rsidRPr="007D04B2">
        <w:rPr>
          <w:rFonts w:cs="Arial"/>
        </w:rPr>
        <w:t>–</w:t>
      </w:r>
      <w:r w:rsidR="002647EB">
        <w:rPr>
          <w:rFonts w:cs="Arial"/>
        </w:rPr>
        <w:t xml:space="preserve"> </w:t>
      </w:r>
      <w:r w:rsidR="00682385">
        <w:rPr>
          <w:rFonts w:cs="Arial"/>
        </w:rPr>
        <w:t xml:space="preserve">non-AAS </w:t>
      </w:r>
      <w:r w:rsidR="00682385" w:rsidRPr="007D04B2">
        <w:rPr>
          <w:rFonts w:cs="Arial"/>
        </w:rPr>
        <w:t>devices</w:t>
      </w:r>
      <w:r w:rsidR="00682385" w:rsidRPr="007D04B2">
        <w:t>.</w:t>
      </w:r>
      <w:r w:rsidR="00682385">
        <w:t xml:space="preserve"> </w:t>
      </w:r>
    </w:p>
    <w:tbl>
      <w:tblPr>
        <w:tblStyle w:val="TableGrid"/>
        <w:tblW w:w="7555" w:type="dxa"/>
        <w:jc w:val="center"/>
        <w:tblLook w:val="04A0" w:firstRow="1" w:lastRow="0" w:firstColumn="1" w:lastColumn="0" w:noHBand="0" w:noVBand="1"/>
      </w:tblPr>
      <w:tblGrid>
        <w:gridCol w:w="3685"/>
        <w:gridCol w:w="2270"/>
        <w:gridCol w:w="1600"/>
      </w:tblGrid>
      <w:tr w:rsidR="0004335B" w:rsidRPr="0004335B" w14:paraId="19A241B3" w14:textId="77777777" w:rsidTr="0004335B">
        <w:trPr>
          <w:jc w:val="center"/>
        </w:trPr>
        <w:tc>
          <w:tcPr>
            <w:tcW w:w="3685" w:type="dxa"/>
            <w:shd w:val="clear" w:color="auto" w:fill="404040" w:themeFill="text1" w:themeFillTint="BF"/>
          </w:tcPr>
          <w:p w14:paraId="43B05525" w14:textId="2CE1042B" w:rsidR="00682385" w:rsidRPr="00322232" w:rsidRDefault="00682385">
            <w:pPr>
              <w:pStyle w:val="ListParagraph"/>
              <w:keepNext/>
              <w:keepLines/>
              <w:ind w:left="0"/>
              <w:jc w:val="center"/>
              <w:rPr>
                <w:rFonts w:ascii="Arial" w:hAnsi="Arial" w:cs="Arial"/>
                <w:b/>
                <w:color w:val="FFFFFF" w:themeColor="background1"/>
              </w:rPr>
            </w:pPr>
            <w:r w:rsidRPr="00322232">
              <w:rPr>
                <w:rFonts w:cs="Arial"/>
                <w:b/>
                <w:color w:val="FFFFFF" w:themeColor="background1"/>
              </w:rPr>
              <w:t xml:space="preserve">Frequency </w:t>
            </w:r>
            <w:r w:rsidR="0004335B">
              <w:rPr>
                <w:rFonts w:ascii="Arial" w:hAnsi="Arial" w:cs="Arial"/>
                <w:b/>
                <w:color w:val="FFFFFF" w:themeColor="background1"/>
              </w:rPr>
              <w:br/>
              <w:t>r</w:t>
            </w:r>
            <w:r w:rsidRPr="00322232">
              <w:rPr>
                <w:rFonts w:cs="Arial"/>
                <w:b/>
                <w:color w:val="FFFFFF" w:themeColor="background1"/>
              </w:rPr>
              <w:t>ange</w:t>
            </w:r>
            <w:r w:rsidR="0004335B">
              <w:rPr>
                <w:rFonts w:ascii="Arial" w:hAnsi="Arial" w:cs="Arial"/>
                <w:b/>
                <w:color w:val="FFFFFF" w:themeColor="background1"/>
              </w:rPr>
              <w:t xml:space="preserve"> </w:t>
            </w:r>
            <w:r w:rsidRPr="00322232">
              <w:rPr>
                <w:rFonts w:ascii="Arial" w:hAnsi="Arial" w:cs="Arial"/>
                <w:b/>
                <w:color w:val="FFFFFF" w:themeColor="background1"/>
              </w:rPr>
              <w:t>(f)</w:t>
            </w:r>
          </w:p>
        </w:tc>
        <w:tc>
          <w:tcPr>
            <w:tcW w:w="2270" w:type="dxa"/>
            <w:shd w:val="clear" w:color="auto" w:fill="404040" w:themeFill="text1" w:themeFillTint="BF"/>
          </w:tcPr>
          <w:p w14:paraId="5EBF3B1D" w14:textId="4F69A28A" w:rsidR="00682385" w:rsidRPr="00322232" w:rsidRDefault="0004335B" w:rsidP="00E826E3">
            <w:pPr>
              <w:pStyle w:val="ListParagraph"/>
              <w:keepNext/>
              <w:keepLines/>
              <w:ind w:left="0"/>
              <w:jc w:val="center"/>
              <w:rPr>
                <w:rFonts w:ascii="Arial" w:hAnsi="Arial" w:cs="Arial"/>
                <w:b/>
                <w:color w:val="FFFFFF" w:themeColor="background1"/>
              </w:rPr>
            </w:pPr>
            <w:r>
              <w:rPr>
                <w:rFonts w:ascii="Arial" w:hAnsi="Arial" w:cs="Arial"/>
                <w:b/>
                <w:color w:val="FFFFFF" w:themeColor="background1"/>
              </w:rPr>
              <w:t>M</w:t>
            </w:r>
            <w:r w:rsidR="00DB6FA8" w:rsidRPr="00322232">
              <w:rPr>
                <w:rFonts w:ascii="Arial" w:hAnsi="Arial" w:cs="Arial"/>
                <w:b/>
                <w:color w:val="FFFFFF" w:themeColor="background1"/>
              </w:rPr>
              <w:t>ean power (dBm) per receiver port</w:t>
            </w:r>
          </w:p>
        </w:tc>
        <w:tc>
          <w:tcPr>
            <w:tcW w:w="1600" w:type="dxa"/>
            <w:shd w:val="clear" w:color="auto" w:fill="404040" w:themeFill="text1" w:themeFillTint="BF"/>
          </w:tcPr>
          <w:p w14:paraId="694BBD18" w14:textId="228D5576" w:rsidR="00682385" w:rsidRPr="00322232" w:rsidRDefault="00682385" w:rsidP="00E826E3">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04335B">
              <w:rPr>
                <w:rFonts w:ascii="Arial" w:hAnsi="Arial" w:cs="Arial"/>
                <w:b/>
                <w:color w:val="FFFFFF" w:themeColor="background1"/>
              </w:rPr>
              <w:t>b</w:t>
            </w:r>
            <w:r w:rsidRPr="00322232">
              <w:rPr>
                <w:rFonts w:ascii="Arial" w:hAnsi="Arial" w:cs="Arial"/>
                <w:b/>
                <w:color w:val="FFFFFF" w:themeColor="background1"/>
              </w:rPr>
              <w:t>andwidth</w:t>
            </w:r>
          </w:p>
        </w:tc>
      </w:tr>
      <w:tr w:rsidR="00682385" w:rsidRPr="007D04B2" w14:paraId="15EF99BB" w14:textId="77777777" w:rsidTr="00322232">
        <w:trPr>
          <w:jc w:val="center"/>
        </w:trPr>
        <w:tc>
          <w:tcPr>
            <w:tcW w:w="3685" w:type="dxa"/>
          </w:tcPr>
          <w:p w14:paraId="00BF2CCC"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30 MHz ≤ f &lt; 1 GHz</w:t>
            </w:r>
          </w:p>
        </w:tc>
        <w:tc>
          <w:tcPr>
            <w:tcW w:w="2270" w:type="dxa"/>
          </w:tcPr>
          <w:p w14:paraId="41264D80"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-57</w:t>
            </w:r>
          </w:p>
        </w:tc>
        <w:tc>
          <w:tcPr>
            <w:tcW w:w="1600" w:type="dxa"/>
          </w:tcPr>
          <w:p w14:paraId="7577F499"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100 kHz</w:t>
            </w:r>
          </w:p>
        </w:tc>
      </w:tr>
      <w:tr w:rsidR="00682385" w:rsidRPr="007D04B2" w14:paraId="2417B01D" w14:textId="77777777" w:rsidTr="00322232">
        <w:trPr>
          <w:jc w:val="center"/>
        </w:trPr>
        <w:tc>
          <w:tcPr>
            <w:tcW w:w="3685" w:type="dxa"/>
            <w:shd w:val="clear" w:color="auto" w:fill="F2F2F2" w:themeFill="background1" w:themeFillShade="F2"/>
          </w:tcPr>
          <w:p w14:paraId="23E9500F"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1 GHz ≤ f &lt; 12.75 GHz</w:t>
            </w:r>
          </w:p>
        </w:tc>
        <w:tc>
          <w:tcPr>
            <w:tcW w:w="2270" w:type="dxa"/>
            <w:shd w:val="clear" w:color="auto" w:fill="F2F2F2" w:themeFill="background1" w:themeFillShade="F2"/>
          </w:tcPr>
          <w:p w14:paraId="48B120F9"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-47</w:t>
            </w:r>
          </w:p>
        </w:tc>
        <w:tc>
          <w:tcPr>
            <w:tcW w:w="1600" w:type="dxa"/>
            <w:shd w:val="clear" w:color="auto" w:fill="F2F2F2" w:themeFill="background1" w:themeFillShade="F2"/>
          </w:tcPr>
          <w:p w14:paraId="4E4ABBE9" w14:textId="77777777" w:rsidR="00682385" w:rsidRPr="000372F7" w:rsidRDefault="00682385" w:rsidP="00E826E3">
            <w:pPr>
              <w:pStyle w:val="ListParagraph"/>
              <w:keepNext/>
              <w:keepLines/>
              <w:ind w:left="0"/>
              <w:jc w:val="center"/>
              <w:rPr>
                <w:rFonts w:ascii="Arial" w:hAnsi="Arial" w:cs="Arial"/>
                <w:szCs w:val="20"/>
              </w:rPr>
            </w:pPr>
            <w:r w:rsidRPr="000372F7">
              <w:rPr>
                <w:rFonts w:ascii="Arial" w:hAnsi="Arial" w:cs="Arial"/>
                <w:szCs w:val="20"/>
              </w:rPr>
              <w:t>1 MHz</w:t>
            </w:r>
          </w:p>
        </w:tc>
      </w:tr>
    </w:tbl>
    <w:p w14:paraId="3BCC138A" w14:textId="77777777" w:rsidR="00682385" w:rsidRPr="007D04B2" w:rsidRDefault="00682385" w:rsidP="00682385">
      <w:pPr>
        <w:keepNext/>
        <w:keepLines/>
        <w:spacing w:after="80"/>
        <w:rPr>
          <w:rFonts w:cs="Arial"/>
        </w:rPr>
      </w:pPr>
    </w:p>
    <w:p w14:paraId="764984A9" w14:textId="48F4ED3F" w:rsidR="00622123" w:rsidRPr="007D04B2" w:rsidRDefault="009113E5" w:rsidP="00622123">
      <w:pPr>
        <w:pStyle w:val="ACMATableHeader"/>
        <w:keepNext/>
        <w:keepLines/>
        <w:spacing w:line="240" w:lineRule="atLeast"/>
      </w:pPr>
      <w:r>
        <w:rPr>
          <w:rFonts w:cs="Arial"/>
        </w:rPr>
        <w:t>U</w:t>
      </w:r>
      <w:r w:rsidRPr="007D04B2">
        <w:rPr>
          <w:rFonts w:cs="Arial"/>
        </w:rPr>
        <w:t xml:space="preserve">nwanted emission limits </w:t>
      </w:r>
      <w:r>
        <w:rPr>
          <w:rFonts w:cs="Arial"/>
        </w:rPr>
        <w:t xml:space="preserve">for receivers operating in the upper </w:t>
      </w:r>
      <w:r w:rsidR="000049FD">
        <w:rPr>
          <w:rFonts w:cs="Arial"/>
        </w:rPr>
        <w:br/>
      </w:r>
      <w:r>
        <w:rPr>
          <w:rFonts w:cs="Arial"/>
        </w:rPr>
        <w:t xml:space="preserve">1800 MHz band at frequency </w:t>
      </w:r>
      <w:r w:rsidRPr="007D04B2">
        <w:rPr>
          <w:rFonts w:cs="Arial"/>
        </w:rPr>
        <w:t xml:space="preserve">outside the </w:t>
      </w:r>
      <w:r>
        <w:t xml:space="preserve">1665-1820 </w:t>
      </w:r>
      <w:r w:rsidRPr="007D04B2">
        <w:rPr>
          <w:rFonts w:cs="Arial"/>
        </w:rPr>
        <w:t xml:space="preserve">MHz band </w:t>
      </w:r>
      <w:r w:rsidR="000049FD">
        <w:rPr>
          <w:rFonts w:cs="Arial"/>
        </w:rPr>
        <w:br/>
      </w:r>
      <w:r w:rsidRPr="007D04B2">
        <w:rPr>
          <w:rFonts w:cs="Arial"/>
        </w:rPr>
        <w:t>–</w:t>
      </w:r>
      <w:r>
        <w:rPr>
          <w:rFonts w:cs="Arial"/>
        </w:rPr>
        <w:t xml:space="preserve"> all </w:t>
      </w:r>
      <w:r w:rsidRPr="007D04B2">
        <w:rPr>
          <w:rFonts w:cs="Arial"/>
        </w:rPr>
        <w:t>devices</w:t>
      </w:r>
      <w:r w:rsidRPr="007D04B2">
        <w:t>.</w:t>
      </w:r>
    </w:p>
    <w:tbl>
      <w:tblPr>
        <w:tblStyle w:val="TableGrid"/>
        <w:tblW w:w="7555" w:type="dxa"/>
        <w:jc w:val="center"/>
        <w:tblLook w:val="04A0" w:firstRow="1" w:lastRow="0" w:firstColumn="1" w:lastColumn="0" w:noHBand="0" w:noVBand="1"/>
      </w:tblPr>
      <w:tblGrid>
        <w:gridCol w:w="3685"/>
        <w:gridCol w:w="2270"/>
        <w:gridCol w:w="1600"/>
      </w:tblGrid>
      <w:tr w:rsidR="0004335B" w:rsidRPr="0004335B" w14:paraId="6EA3C725" w14:textId="77777777" w:rsidTr="0004335B">
        <w:trPr>
          <w:jc w:val="center"/>
        </w:trPr>
        <w:tc>
          <w:tcPr>
            <w:tcW w:w="3685" w:type="dxa"/>
            <w:shd w:val="clear" w:color="auto" w:fill="404040" w:themeFill="text1" w:themeFillTint="BF"/>
          </w:tcPr>
          <w:p w14:paraId="4C0FB900" w14:textId="78DFFB5C" w:rsidR="00622123" w:rsidRPr="00322232" w:rsidRDefault="00622123">
            <w:pPr>
              <w:pStyle w:val="ListParagraph"/>
              <w:keepNext/>
              <w:keepLines/>
              <w:ind w:left="0"/>
              <w:jc w:val="center"/>
              <w:rPr>
                <w:rFonts w:ascii="Arial" w:hAnsi="Arial" w:cs="Arial"/>
                <w:b/>
                <w:color w:val="FFFFFF" w:themeColor="background1"/>
              </w:rPr>
            </w:pPr>
            <w:r w:rsidRPr="00322232">
              <w:rPr>
                <w:rFonts w:cs="Arial"/>
                <w:b/>
                <w:color w:val="FFFFFF" w:themeColor="background1"/>
              </w:rPr>
              <w:t xml:space="preserve">Frequency </w:t>
            </w:r>
            <w:r w:rsidR="0004335B">
              <w:rPr>
                <w:rFonts w:ascii="Arial" w:hAnsi="Arial" w:cs="Arial"/>
                <w:b/>
                <w:color w:val="FFFFFF" w:themeColor="background1"/>
              </w:rPr>
              <w:br/>
              <w:t>r</w:t>
            </w:r>
            <w:r w:rsidRPr="00322232">
              <w:rPr>
                <w:rFonts w:cs="Arial"/>
                <w:b/>
                <w:color w:val="FFFFFF" w:themeColor="background1"/>
              </w:rPr>
              <w:t>ange</w:t>
            </w:r>
            <w:r w:rsidR="0004335B">
              <w:rPr>
                <w:rFonts w:ascii="Arial" w:hAnsi="Arial" w:cs="Arial"/>
                <w:b/>
                <w:color w:val="FFFFFF" w:themeColor="background1"/>
              </w:rPr>
              <w:t xml:space="preserve"> </w:t>
            </w:r>
            <w:r w:rsidRPr="00322232">
              <w:rPr>
                <w:rFonts w:ascii="Arial" w:hAnsi="Arial" w:cs="Arial"/>
                <w:b/>
                <w:color w:val="FFFFFF" w:themeColor="background1"/>
              </w:rPr>
              <w:t>(f)</w:t>
            </w:r>
          </w:p>
        </w:tc>
        <w:tc>
          <w:tcPr>
            <w:tcW w:w="2270" w:type="dxa"/>
            <w:shd w:val="clear" w:color="auto" w:fill="404040" w:themeFill="text1" w:themeFillTint="BF"/>
          </w:tcPr>
          <w:p w14:paraId="1239064D" w14:textId="730F8FD7" w:rsidR="00622123" w:rsidRPr="00322232" w:rsidRDefault="00622123" w:rsidP="00E826E3">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Total </w:t>
            </w:r>
            <w:r w:rsidR="0004335B">
              <w:rPr>
                <w:rFonts w:ascii="Arial" w:hAnsi="Arial" w:cs="Arial"/>
                <w:b/>
                <w:color w:val="FFFFFF" w:themeColor="background1"/>
              </w:rPr>
              <w:t>r</w:t>
            </w:r>
            <w:r w:rsidRPr="00322232">
              <w:rPr>
                <w:rFonts w:ascii="Arial" w:hAnsi="Arial" w:cs="Arial"/>
                <w:b/>
                <w:color w:val="FFFFFF" w:themeColor="background1"/>
              </w:rPr>
              <w:t xml:space="preserve">adiated </w:t>
            </w:r>
            <w:r w:rsidR="0004335B">
              <w:rPr>
                <w:rFonts w:ascii="Arial" w:hAnsi="Arial" w:cs="Arial"/>
                <w:b/>
                <w:color w:val="FFFFFF" w:themeColor="background1"/>
              </w:rPr>
              <w:t>p</w:t>
            </w:r>
            <w:r w:rsidRPr="00322232">
              <w:rPr>
                <w:rFonts w:ascii="Arial" w:hAnsi="Arial" w:cs="Arial"/>
                <w:b/>
                <w:color w:val="FFFFFF" w:themeColor="background1"/>
              </w:rPr>
              <w:t xml:space="preserve">ower (dBm) </w:t>
            </w:r>
          </w:p>
        </w:tc>
        <w:tc>
          <w:tcPr>
            <w:tcW w:w="1600" w:type="dxa"/>
            <w:shd w:val="clear" w:color="auto" w:fill="404040" w:themeFill="text1" w:themeFillTint="BF"/>
          </w:tcPr>
          <w:p w14:paraId="30B36E86" w14:textId="370E1F8B" w:rsidR="00622123" w:rsidRPr="00322232" w:rsidRDefault="00622123" w:rsidP="00E826E3">
            <w:pPr>
              <w:pStyle w:val="ListParagraph"/>
              <w:keepNext/>
              <w:keepLines/>
              <w:ind w:left="0"/>
              <w:jc w:val="center"/>
              <w:rPr>
                <w:rFonts w:ascii="Arial" w:hAnsi="Arial" w:cs="Arial"/>
                <w:b/>
                <w:color w:val="FFFFFF" w:themeColor="background1"/>
              </w:rPr>
            </w:pPr>
            <w:r w:rsidRPr="00322232">
              <w:rPr>
                <w:rFonts w:ascii="Arial" w:hAnsi="Arial" w:cs="Arial"/>
                <w:b/>
                <w:color w:val="FFFFFF" w:themeColor="background1"/>
              </w:rPr>
              <w:t xml:space="preserve">Measurement </w:t>
            </w:r>
            <w:r w:rsidR="0004335B">
              <w:rPr>
                <w:rFonts w:ascii="Arial" w:hAnsi="Arial" w:cs="Arial"/>
                <w:b/>
                <w:color w:val="FFFFFF" w:themeColor="background1"/>
              </w:rPr>
              <w:t>b</w:t>
            </w:r>
            <w:r w:rsidRPr="00322232">
              <w:rPr>
                <w:rFonts w:ascii="Arial" w:hAnsi="Arial" w:cs="Arial"/>
                <w:b/>
                <w:color w:val="FFFFFF" w:themeColor="background1"/>
              </w:rPr>
              <w:t>andwidth</w:t>
            </w:r>
          </w:p>
        </w:tc>
      </w:tr>
      <w:tr w:rsidR="009113E5" w:rsidRPr="007D04B2" w14:paraId="66766D90" w14:textId="77777777" w:rsidTr="00322232">
        <w:trPr>
          <w:jc w:val="center"/>
        </w:trPr>
        <w:tc>
          <w:tcPr>
            <w:tcW w:w="3685" w:type="dxa"/>
          </w:tcPr>
          <w:p w14:paraId="1C1BC6B0" w14:textId="77777777"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30 MHz ≤ f &lt; 1 GHz</w:t>
            </w:r>
          </w:p>
        </w:tc>
        <w:tc>
          <w:tcPr>
            <w:tcW w:w="2270" w:type="dxa"/>
          </w:tcPr>
          <w:p w14:paraId="70A2054F" w14:textId="320C592B"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-57</w:t>
            </w:r>
          </w:p>
        </w:tc>
        <w:tc>
          <w:tcPr>
            <w:tcW w:w="1600" w:type="dxa"/>
          </w:tcPr>
          <w:p w14:paraId="12B28A75" w14:textId="77777777"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100 kHz</w:t>
            </w:r>
          </w:p>
        </w:tc>
      </w:tr>
      <w:tr w:rsidR="009113E5" w:rsidRPr="007D04B2" w14:paraId="0E56025F" w14:textId="77777777" w:rsidTr="00322232">
        <w:trPr>
          <w:jc w:val="center"/>
        </w:trPr>
        <w:tc>
          <w:tcPr>
            <w:tcW w:w="3685" w:type="dxa"/>
            <w:shd w:val="clear" w:color="auto" w:fill="F2F2F2" w:themeFill="background1" w:themeFillShade="F2"/>
          </w:tcPr>
          <w:p w14:paraId="68561CF4" w14:textId="77777777"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1 GHz ≤ f &lt; 12.75 GHz</w:t>
            </w:r>
          </w:p>
        </w:tc>
        <w:tc>
          <w:tcPr>
            <w:tcW w:w="2270" w:type="dxa"/>
            <w:shd w:val="clear" w:color="auto" w:fill="F2F2F2" w:themeFill="background1" w:themeFillShade="F2"/>
          </w:tcPr>
          <w:p w14:paraId="4AA1AF35" w14:textId="1D1CF263"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-47</w:t>
            </w:r>
          </w:p>
        </w:tc>
        <w:tc>
          <w:tcPr>
            <w:tcW w:w="1600" w:type="dxa"/>
            <w:shd w:val="clear" w:color="auto" w:fill="F2F2F2" w:themeFill="background1" w:themeFillShade="F2"/>
          </w:tcPr>
          <w:p w14:paraId="37CB53AE" w14:textId="77777777" w:rsidR="009113E5" w:rsidRPr="000372F7" w:rsidRDefault="009113E5" w:rsidP="009113E5">
            <w:pPr>
              <w:pStyle w:val="ListParagraph"/>
              <w:keepNext/>
              <w:keepLines/>
              <w:ind w:left="0"/>
              <w:jc w:val="center"/>
              <w:rPr>
                <w:rFonts w:ascii="Arial" w:hAnsi="Arial" w:cs="Arial"/>
                <w:szCs w:val="20"/>
              </w:rPr>
            </w:pPr>
            <w:r w:rsidRPr="000372F7">
              <w:rPr>
                <w:rFonts w:ascii="Arial" w:hAnsi="Arial" w:cs="Arial"/>
                <w:szCs w:val="20"/>
              </w:rPr>
              <w:t>1 MHz</w:t>
            </w:r>
          </w:p>
        </w:tc>
      </w:tr>
    </w:tbl>
    <w:p w14:paraId="1F8B6961" w14:textId="77777777" w:rsidR="0036147A" w:rsidRDefault="0036147A" w:rsidP="00322232">
      <w:pPr>
        <w:pStyle w:val="Heading3"/>
        <w:spacing w:before="360"/>
      </w:pPr>
      <w:bookmarkStart w:id="35" w:name="_Toc84339343"/>
      <w:r w:rsidRPr="007D04B2">
        <w:t>Devices exempt from registration</w:t>
      </w:r>
      <w:bookmarkEnd w:id="35"/>
    </w:p>
    <w:p w14:paraId="3875B941" w14:textId="0AD9F2E7" w:rsidR="00E06606" w:rsidRDefault="00E06606" w:rsidP="00E06606">
      <w:r>
        <w:t>The TLG propose</w:t>
      </w:r>
      <w:r w:rsidR="0047543B">
        <w:t>d</w:t>
      </w:r>
      <w:r>
        <w:t xml:space="preserve"> changes to the definition of devices that are exempt from registration. </w:t>
      </w:r>
    </w:p>
    <w:p w14:paraId="1750BEF8" w14:textId="4D6752C5" w:rsidR="00E06606" w:rsidRPr="007D04B2" w:rsidRDefault="00E06606" w:rsidP="0062295F">
      <w:pPr>
        <w:spacing w:after="120"/>
      </w:pPr>
      <w:r w:rsidRPr="007D04B2">
        <w:t xml:space="preserve">Devices exempt from registration, as defined on the current </w:t>
      </w:r>
      <w:r w:rsidR="006419FA">
        <w:t>1800 MHz</w:t>
      </w:r>
      <w:r w:rsidRPr="007D04B2">
        <w:t xml:space="preserve"> spectrum licences, fall into two categories:</w:t>
      </w:r>
    </w:p>
    <w:p w14:paraId="0FBAE718" w14:textId="176DC8B9" w:rsidR="00E06606" w:rsidRPr="007D04B2" w:rsidRDefault="0047543B" w:rsidP="0062295F">
      <w:pPr>
        <w:pStyle w:val="ListNumber"/>
        <w:numPr>
          <w:ilvl w:val="0"/>
          <w:numId w:val="98"/>
        </w:numPr>
      </w:pPr>
      <w:r>
        <w:t>Mobile transmitters</w:t>
      </w:r>
      <w:r w:rsidR="00E06606" w:rsidRPr="007D04B2">
        <w:t xml:space="preserve"> operating with an EIRP less than </w:t>
      </w:r>
      <w:r w:rsidR="00EA3BE9">
        <w:t xml:space="preserve">or equal to </w:t>
      </w:r>
      <w:r>
        <w:t>39</w:t>
      </w:r>
      <w:r w:rsidR="00E06606" w:rsidRPr="007D04B2">
        <w:t xml:space="preserve"> dBm per occupied bandwidth</w:t>
      </w:r>
      <w:r w:rsidR="00016A86">
        <w:t>.</w:t>
      </w:r>
      <w:r w:rsidR="00E06606" w:rsidRPr="007D04B2">
        <w:t xml:space="preserve"> </w:t>
      </w:r>
    </w:p>
    <w:p w14:paraId="357F9645" w14:textId="69BA14D5" w:rsidR="0047543B" w:rsidRPr="007D04B2" w:rsidRDefault="0047543B" w:rsidP="0062295F">
      <w:pPr>
        <w:pStyle w:val="ListNumber"/>
        <w:spacing w:after="240"/>
      </w:pPr>
      <w:r>
        <w:t>Fixed transmitters</w:t>
      </w:r>
      <w:r w:rsidRPr="007D04B2">
        <w:t xml:space="preserve"> operating with an EIRP less than </w:t>
      </w:r>
      <w:r w:rsidR="00EA3BE9">
        <w:t xml:space="preserve">or equal to </w:t>
      </w:r>
      <w:r>
        <w:t>33</w:t>
      </w:r>
      <w:r w:rsidRPr="007D04B2">
        <w:t xml:space="preserve"> dBm per occupied bandwidth</w:t>
      </w:r>
      <w:r w:rsidR="00016A86">
        <w:t>.</w:t>
      </w:r>
      <w:r w:rsidRPr="007D04B2">
        <w:t xml:space="preserve"> </w:t>
      </w:r>
    </w:p>
    <w:p w14:paraId="0FE2FF75" w14:textId="1E2D56E8" w:rsidR="0093431E" w:rsidRPr="007D04B2" w:rsidRDefault="00E06606" w:rsidP="0062295F">
      <w:r w:rsidRPr="007D04B2">
        <w:t xml:space="preserve">To maximise flexibility for licensees to be able to deploy such devices, </w:t>
      </w:r>
      <w:r>
        <w:t xml:space="preserve">the TLG </w:t>
      </w:r>
      <w:r w:rsidRPr="007D04B2">
        <w:t xml:space="preserve">proposed to </w:t>
      </w:r>
      <w:r>
        <w:t>re</w:t>
      </w:r>
      <w:r w:rsidRPr="007D04B2">
        <w:t xml:space="preserve">define </w:t>
      </w:r>
      <w:r>
        <w:t>and simplify the definition of devices that are exempt from registration</w:t>
      </w:r>
      <w:r w:rsidR="00EA3BE9">
        <w:t xml:space="preserve"> into the following two categories:</w:t>
      </w:r>
      <w:r w:rsidR="0093431E">
        <w:t xml:space="preserve"> </w:t>
      </w:r>
      <w:r w:rsidR="00A33A2E">
        <w:t>mobile</w:t>
      </w:r>
      <w:r w:rsidR="0093431E">
        <w:t xml:space="preserve"> transmitters </w:t>
      </w:r>
      <w:r w:rsidR="00823EEC">
        <w:t xml:space="preserve">associated with rail communications </w:t>
      </w:r>
      <w:r w:rsidR="0093431E">
        <w:t xml:space="preserve">and </w:t>
      </w:r>
      <w:r w:rsidR="00EA3BE9">
        <w:t>all other</w:t>
      </w:r>
      <w:r w:rsidR="0093431E">
        <w:t xml:space="preserve"> transmitters.</w:t>
      </w:r>
    </w:p>
    <w:p w14:paraId="2F4CD65F" w14:textId="38267017" w:rsidR="00823EEC" w:rsidRDefault="00EA3BE9" w:rsidP="0062295F">
      <w:r>
        <w:t>For GSM-R mobile transmitters, it was proposed to maintain the existing limit of an</w:t>
      </w:r>
      <w:r w:rsidR="00016A86">
        <w:t> </w:t>
      </w:r>
      <w:r>
        <w:t>EIRP less than or equal to 39 dBm per occupied bandwidth. This aligns with limits</w:t>
      </w:r>
      <w:r w:rsidR="00016A86">
        <w:t> </w:t>
      </w:r>
      <w:r>
        <w:t xml:space="preserve">defined </w:t>
      </w:r>
      <w:r w:rsidR="0000048E">
        <w:t xml:space="preserve">for </w:t>
      </w:r>
      <w:r w:rsidR="000C60E1">
        <w:t>r</w:t>
      </w:r>
      <w:r w:rsidR="0000048E">
        <w:t xml:space="preserve">ail </w:t>
      </w:r>
      <w:proofErr w:type="spellStart"/>
      <w:r w:rsidR="0000048E">
        <w:t>cab</w:t>
      </w:r>
      <w:proofErr w:type="spellEnd"/>
      <w:r w:rsidR="0000048E">
        <w:t xml:space="preserve"> radios </w:t>
      </w:r>
      <w:r>
        <w:t xml:space="preserve">in </w:t>
      </w:r>
      <w:r w:rsidR="0000048E">
        <w:rPr>
          <w:szCs w:val="20"/>
        </w:rPr>
        <w:t>EIRENE System Requirements Specification Version 15.1.</w:t>
      </w:r>
      <w:r w:rsidR="0000048E">
        <w:t xml:space="preserve"> </w:t>
      </w:r>
    </w:p>
    <w:p w14:paraId="0E3D3CED" w14:textId="35A6FEAB" w:rsidR="00015D78" w:rsidRPr="00F33A30" w:rsidRDefault="00B206B0" w:rsidP="00015D78">
      <w:pPr>
        <w:spacing w:before="240"/>
      </w:pPr>
      <w:r w:rsidRPr="0062295F">
        <w:t>R</w:t>
      </w:r>
      <w:r w:rsidRPr="00431641">
        <w:t>ail</w:t>
      </w:r>
      <w:r w:rsidR="00875D89" w:rsidRPr="0062295F">
        <w:t xml:space="preserve"> licensees</w:t>
      </w:r>
      <w:r w:rsidRPr="00431641">
        <w:t xml:space="preserve"> indicated the intention to </w:t>
      </w:r>
      <w:r w:rsidR="008225BE" w:rsidRPr="0062295F">
        <w:t>migrate to</w:t>
      </w:r>
      <w:r w:rsidRPr="00431641">
        <w:t xml:space="preserve"> Future Railway Mobile Communication System (FRMCS) in the future</w:t>
      </w:r>
      <w:r w:rsidR="008225BE" w:rsidRPr="0062295F">
        <w:t>, which is based on 5G technologies.</w:t>
      </w:r>
      <w:r w:rsidRPr="00431641">
        <w:t xml:space="preserve"> </w:t>
      </w:r>
      <w:r w:rsidR="008225BE" w:rsidRPr="0062295F">
        <w:t>It is expected that FRMCS</w:t>
      </w:r>
      <w:r w:rsidRPr="00431641">
        <w:t xml:space="preserve"> would be able to operate under the majority of </w:t>
      </w:r>
      <w:r w:rsidR="008225BE" w:rsidRPr="0062295F">
        <w:t>changes</w:t>
      </w:r>
      <w:r w:rsidRPr="00431641">
        <w:t xml:space="preserve"> being proposed in this review</w:t>
      </w:r>
      <w:r w:rsidR="008225BE" w:rsidRPr="0062295F">
        <w:t xml:space="preserve">. However, </w:t>
      </w:r>
      <w:r w:rsidR="000C60E1">
        <w:t>r</w:t>
      </w:r>
      <w:r w:rsidR="008225BE" w:rsidRPr="0062295F">
        <w:t>ail licensees indicated a preference</w:t>
      </w:r>
      <w:r w:rsidRPr="0062295F">
        <w:t xml:space="preserve"> </w:t>
      </w:r>
      <w:r w:rsidR="008225BE" w:rsidRPr="0062295F">
        <w:t>to define an exemption from registration limit</w:t>
      </w:r>
      <w:r w:rsidRPr="00431641">
        <w:t xml:space="preserve"> for </w:t>
      </w:r>
      <w:r w:rsidR="00823EEC" w:rsidRPr="0062295F">
        <w:t>FRMCS cab radios</w:t>
      </w:r>
      <w:r w:rsidRPr="00431641">
        <w:t xml:space="preserve"> </w:t>
      </w:r>
      <w:r w:rsidR="008225BE" w:rsidRPr="0062295F">
        <w:t xml:space="preserve">of </w:t>
      </w:r>
      <w:r w:rsidRPr="00431641">
        <w:t xml:space="preserve">31 dBm per occupied bandwidth. This </w:t>
      </w:r>
      <w:r w:rsidR="008225BE" w:rsidRPr="0062295F">
        <w:t>would be</w:t>
      </w:r>
      <w:r w:rsidRPr="00431641">
        <w:t xml:space="preserve"> </w:t>
      </w:r>
      <w:r w:rsidR="00015D78" w:rsidRPr="00431641">
        <w:t>in line</w:t>
      </w:r>
      <w:r w:rsidRPr="00431641">
        <w:t xml:space="preserve"> with</w:t>
      </w:r>
      <w:r w:rsidR="00015D78" w:rsidRPr="00431641">
        <w:t xml:space="preserve"> European Union report, </w:t>
      </w:r>
      <w:hyperlink r:id="rId35" w:history="1">
        <w:r w:rsidR="00015D78" w:rsidRPr="00431641">
          <w:rPr>
            <w:rStyle w:val="Hyperlink"/>
          </w:rPr>
          <w:t>Study On The Architecture Of On-Board Radio Communication Equipment</w:t>
        </w:r>
      </w:hyperlink>
      <w:r w:rsidR="00015D78" w:rsidRPr="00431641">
        <w:t>, and information provided in ECC Decision (20)02, ECC Report 318, CEPT Report 74 and ECC Report 314.</w:t>
      </w:r>
    </w:p>
    <w:p w14:paraId="435FA5C5" w14:textId="42B458AD" w:rsidR="00E06606" w:rsidRDefault="0093431E" w:rsidP="00E06606">
      <w:pPr>
        <w:spacing w:before="240"/>
      </w:pPr>
      <w:r>
        <w:t xml:space="preserve">For </w:t>
      </w:r>
      <w:r w:rsidR="00EA3BE9">
        <w:t>all other transmitters</w:t>
      </w:r>
      <w:r>
        <w:t>,</w:t>
      </w:r>
      <w:r w:rsidR="00E06606">
        <w:t xml:space="preserve"> 3GPP</w:t>
      </w:r>
      <w:r w:rsidR="00E06606">
        <w:rPr>
          <w:rStyle w:val="FootnoteReference"/>
        </w:rPr>
        <w:t xml:space="preserve"> </w:t>
      </w:r>
      <w:r w:rsidR="00E06606">
        <w:t>standards</w:t>
      </w:r>
      <w:r w:rsidR="00E06606" w:rsidRPr="007D04B2">
        <w:t xml:space="preserve"> </w:t>
      </w:r>
      <w:r w:rsidR="00E06606">
        <w:t>define numerous UE power classes that could apply.</w:t>
      </w:r>
      <w:r w:rsidR="00E06606" w:rsidRPr="007D04B2">
        <w:t xml:space="preserve"> </w:t>
      </w:r>
      <w:r w:rsidR="00E06606">
        <w:t xml:space="preserve">Power class 3 is the default power class, it defines a maximum power of 23 dBm per transmission bandwidth with a tolerance of +2 </w:t>
      </w:r>
      <w:proofErr w:type="spellStart"/>
      <w:r w:rsidR="00E06606">
        <w:t>dB.</w:t>
      </w:r>
      <w:proofErr w:type="spellEnd"/>
      <w:r w:rsidR="00E06606">
        <w:t xml:space="preserve"> However, </w:t>
      </w:r>
      <w:r w:rsidR="00EA3BE9">
        <w:t>TLG members</w:t>
      </w:r>
      <w:r w:rsidR="00E06606">
        <w:t xml:space="preserve"> suggested that power class 2 (used typically to support fixed deployments) are of increasing interest. </w:t>
      </w:r>
      <w:r w:rsidR="00EA3BE9">
        <w:t>3GPP</w:t>
      </w:r>
      <w:r w:rsidR="00E06606">
        <w:t xml:space="preserve"> </w:t>
      </w:r>
      <w:r w:rsidR="006419FA">
        <w:t xml:space="preserve">TS 38.101-1 </w:t>
      </w:r>
      <w:r w:rsidR="00EA3BE9">
        <w:t>do</w:t>
      </w:r>
      <w:r w:rsidR="006419FA">
        <w:t>es</w:t>
      </w:r>
      <w:r w:rsidR="00EA3BE9">
        <w:t xml:space="preserve"> not </w:t>
      </w:r>
      <w:r w:rsidR="00E06606">
        <w:t xml:space="preserve">currently </w:t>
      </w:r>
      <w:r w:rsidR="006419FA">
        <w:t>define this</w:t>
      </w:r>
      <w:r w:rsidR="00EA3BE9">
        <w:t xml:space="preserve"> power class </w:t>
      </w:r>
      <w:r w:rsidR="006419FA">
        <w:t xml:space="preserve">for </w:t>
      </w:r>
      <w:r w:rsidR="00EA3BE9">
        <w:t>the 1800 MHz band (band 3)</w:t>
      </w:r>
      <w:r w:rsidR="00E06606">
        <w:t xml:space="preserve">, </w:t>
      </w:r>
      <w:r w:rsidR="00EA3BE9">
        <w:t xml:space="preserve">but </w:t>
      </w:r>
      <w:r w:rsidR="00E06606">
        <w:t>that may change in the future.</w:t>
      </w:r>
    </w:p>
    <w:p w14:paraId="476743BE" w14:textId="4D8B05ED" w:rsidR="00E06606" w:rsidRDefault="00E06606" w:rsidP="00E06606">
      <w:pPr>
        <w:spacing w:before="240"/>
      </w:pPr>
      <w:r>
        <w:lastRenderedPageBreak/>
        <w:t xml:space="preserve">Power class 2 defines a maximum power of 26 dBm per transmission bandwidth with a tolerance of +2 </w:t>
      </w:r>
      <w:proofErr w:type="spellStart"/>
      <w:r>
        <w:t>dB.</w:t>
      </w:r>
      <w:proofErr w:type="spellEnd"/>
      <w:r>
        <w:t xml:space="preserve"> To accommodate such use on a ubiquitous basis requires an in-band TRP limit for unregistered devices of 28 dBm per occupied bandwidth. </w:t>
      </w:r>
      <w:r w:rsidRPr="00F33A30">
        <w:t xml:space="preserve">This limit would cover existing and future UEs and other devices such as repeaters and </w:t>
      </w:r>
      <w:r w:rsidR="00823EEC">
        <w:t>small cells</w:t>
      </w:r>
      <w:r w:rsidRPr="00F33A30">
        <w:t xml:space="preserve"> with higher main-beam gains</w:t>
      </w:r>
      <w:r w:rsidR="00823EEC">
        <w:t>.</w:t>
      </w:r>
      <w:r w:rsidRPr="00F33A30">
        <w:t xml:space="preserve"> </w:t>
      </w:r>
    </w:p>
    <w:p w14:paraId="5F9EAD4F" w14:textId="7C415F90" w:rsidR="00E06606" w:rsidRPr="00F33A30" w:rsidRDefault="00E06606" w:rsidP="00322232">
      <w:pPr>
        <w:keepNext/>
        <w:keepLines/>
      </w:pPr>
      <w:r w:rsidRPr="00F33A30">
        <w:t>The propos</w:t>
      </w:r>
      <w:r w:rsidR="006419FA">
        <w:t xml:space="preserve">ed new </w:t>
      </w:r>
      <w:r w:rsidRPr="00F33A30">
        <w:t>exempt</w:t>
      </w:r>
      <w:r w:rsidR="00734F84">
        <w:t>ion</w:t>
      </w:r>
      <w:r w:rsidRPr="00F33A30">
        <w:t xml:space="preserve"> from </w:t>
      </w:r>
      <w:r>
        <w:t xml:space="preserve">the </w:t>
      </w:r>
      <w:r w:rsidRPr="00F33A30">
        <w:t>registration requirement</w:t>
      </w:r>
      <w:r w:rsidR="00734F84">
        <w:t>s are as</w:t>
      </w:r>
      <w:r w:rsidRPr="00F33A30">
        <w:t xml:space="preserve"> follows:</w:t>
      </w:r>
    </w:p>
    <w:p w14:paraId="30C60136" w14:textId="65BE9ACE" w:rsidR="00554FF0" w:rsidRDefault="00E06606" w:rsidP="005438AE">
      <w:pPr>
        <w:pStyle w:val="BodySubHeader"/>
      </w:pPr>
      <w:r w:rsidRPr="00D2010F">
        <w:rPr>
          <w:rFonts w:cs="Arial"/>
          <w:noProof/>
        </w:rPr>
        <mc:AlternateContent>
          <mc:Choice Requires="wps">
            <w:drawing>
              <wp:inline distT="0" distB="0" distL="0" distR="0" wp14:anchorId="6A5A1B5D" wp14:editId="71929D2F">
                <wp:extent cx="4597879" cy="1949450"/>
                <wp:effectExtent l="0" t="0" r="12700" b="12700"/>
                <wp:docPr id="6" name="Text Box 6"/>
                <wp:cNvGraphicFramePr/>
                <a:graphic xmlns:a="http://schemas.openxmlformats.org/drawingml/2006/main">
                  <a:graphicData uri="http://schemas.microsoft.com/office/word/2010/wordprocessingShape">
                    <wps:wsp>
                      <wps:cNvSpPr txBox="1"/>
                      <wps:spPr>
                        <a:xfrm>
                          <a:off x="0" y="0"/>
                          <a:ext cx="4597879" cy="1949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36B0FC5" w14:textId="77777777" w:rsidR="00E06606" w:rsidRPr="00C206D9" w:rsidRDefault="00E06606" w:rsidP="00E06606">
                            <w:pPr>
                              <w:spacing w:after="0" w:line="290" w:lineRule="exact"/>
                              <w:ind w:left="152"/>
                              <w:outlineLvl w:val="1"/>
                              <w:rPr>
                                <w:rFonts w:ascii="Times New Roman" w:hAnsi="Times New Roman"/>
                                <w:b/>
                                <w:szCs w:val="20"/>
                              </w:rPr>
                            </w:pPr>
                            <w:r>
                              <w:rPr>
                                <w:rFonts w:ascii="Times New Roman" w:hAnsi="Times New Roman"/>
                                <w:b/>
                                <w:szCs w:val="20"/>
                              </w:rPr>
                              <w:t>Exemption from registration requirements</w:t>
                            </w:r>
                          </w:p>
                          <w:p w14:paraId="1D48DB79" w14:textId="77777777" w:rsidR="00E06606" w:rsidRPr="00C206D9" w:rsidRDefault="00E06606" w:rsidP="00E06606">
                            <w:pPr>
                              <w:spacing w:after="120"/>
                              <w:ind w:left="568" w:hanging="416"/>
                              <w:rPr>
                                <w:rFonts w:ascii="Times New Roman" w:hAnsi="Times New Roman"/>
                                <w:szCs w:val="20"/>
                              </w:rPr>
                            </w:pPr>
                            <w:r>
                              <w:rPr>
                                <w:rFonts w:ascii="Times New Roman" w:hAnsi="Times New Roman"/>
                                <w:szCs w:val="20"/>
                              </w:rPr>
                              <w:t>1</w:t>
                            </w:r>
                            <w:r w:rsidRPr="00C206D9">
                              <w:rPr>
                                <w:rFonts w:ascii="Times New Roman" w:hAnsi="Times New Roman"/>
                                <w:szCs w:val="20"/>
                              </w:rPr>
                              <w:t>.</w:t>
                            </w:r>
                            <w:r w:rsidRPr="00C206D9">
                              <w:rPr>
                                <w:rFonts w:ascii="Times New Roman" w:hAnsi="Times New Roman"/>
                                <w:szCs w:val="20"/>
                              </w:rPr>
                              <w:tab/>
                            </w:r>
                            <w:r>
                              <w:rPr>
                                <w:rFonts w:ascii="TimesNewRoman" w:hAnsi="TimesNewRoman" w:cs="TimesNewRoman"/>
                                <w:sz w:val="21"/>
                                <w:szCs w:val="21"/>
                              </w:rPr>
                              <w:t>The following kinds of radiocommunications transmitters are exempt from the registration requirement in Statutory Condition 3</w:t>
                            </w:r>
                            <w:r w:rsidRPr="00C206D9">
                              <w:rPr>
                                <w:rFonts w:ascii="Times New Roman" w:hAnsi="Times New Roman"/>
                                <w:szCs w:val="20"/>
                              </w:rPr>
                              <w:t>:</w:t>
                            </w:r>
                          </w:p>
                          <w:p w14:paraId="0BF6C152" w14:textId="71CE25B8" w:rsidR="006419FA" w:rsidRDefault="00E06606" w:rsidP="00E06606">
                            <w:pPr>
                              <w:pStyle w:val="Jeanpara"/>
                              <w:tabs>
                                <w:tab w:val="left" w:pos="1134"/>
                              </w:tabs>
                              <w:spacing w:after="120"/>
                              <w:ind w:left="1134" w:hanging="425"/>
                              <w:rPr>
                                <w:sz w:val="20"/>
                              </w:rPr>
                            </w:pPr>
                            <w:r w:rsidRPr="00C206D9">
                              <w:rPr>
                                <w:sz w:val="20"/>
                              </w:rPr>
                              <w:t>(a)</w:t>
                            </w:r>
                            <w:r w:rsidR="006419FA">
                              <w:rPr>
                                <w:sz w:val="20"/>
                              </w:rPr>
                              <w:tab/>
                            </w:r>
                            <w:r w:rsidR="006419FA">
                              <w:rPr>
                                <w:rFonts w:ascii="TimesNewRoman" w:hAnsi="TimesNewRoman" w:cs="TimesNewRoman"/>
                                <w:sz w:val="21"/>
                                <w:szCs w:val="21"/>
                              </w:rPr>
                              <w:t xml:space="preserve">a transmitter that operates in the 1800 MHz band with a total radiated power of less than or equal to 28 dBm per occupied </w:t>
                            </w:r>
                            <w:proofErr w:type="gramStart"/>
                            <w:r w:rsidR="006419FA">
                              <w:rPr>
                                <w:rFonts w:ascii="TimesNewRoman" w:hAnsi="TimesNewRoman" w:cs="TimesNewRoman"/>
                                <w:sz w:val="21"/>
                                <w:szCs w:val="21"/>
                              </w:rPr>
                              <w:t>bandwidth;</w:t>
                            </w:r>
                            <w:proofErr w:type="gramEnd"/>
                            <w:r w:rsidR="006419FA">
                              <w:rPr>
                                <w:rFonts w:ascii="TimesNewRoman" w:hAnsi="TimesNewRoman" w:cs="TimesNewRoman"/>
                                <w:sz w:val="21"/>
                                <w:szCs w:val="21"/>
                              </w:rPr>
                              <w:t xml:space="preserve"> </w:t>
                            </w:r>
                            <w:r w:rsidRPr="00C206D9">
                              <w:rPr>
                                <w:sz w:val="20"/>
                              </w:rPr>
                              <w:tab/>
                            </w:r>
                          </w:p>
                          <w:p w14:paraId="4239C22F" w14:textId="1A6E2C18" w:rsidR="0093431E" w:rsidRDefault="006419FA" w:rsidP="00E06606">
                            <w:pPr>
                              <w:pStyle w:val="Jeanpara"/>
                              <w:tabs>
                                <w:tab w:val="left" w:pos="1134"/>
                              </w:tabs>
                              <w:spacing w:after="120"/>
                              <w:ind w:left="1134" w:hanging="425"/>
                              <w:rPr>
                                <w:rFonts w:ascii="TimesNewRoman" w:hAnsi="TimesNewRoman" w:cs="TimesNewRoman"/>
                                <w:sz w:val="21"/>
                                <w:szCs w:val="21"/>
                              </w:rPr>
                            </w:pPr>
                            <w:r>
                              <w:rPr>
                                <w:rFonts w:ascii="TimesNewRoman" w:hAnsi="TimesNewRoman" w:cs="TimesNewRoman"/>
                                <w:sz w:val="21"/>
                                <w:szCs w:val="21"/>
                              </w:rPr>
                              <w:t xml:space="preserve">(b)   </w:t>
                            </w:r>
                            <w:r w:rsidR="0093431E">
                              <w:rPr>
                                <w:rFonts w:ascii="TimesNewRoman" w:hAnsi="TimesNewRoman" w:cs="TimesNewRoman"/>
                                <w:sz w:val="21"/>
                                <w:szCs w:val="21"/>
                              </w:rPr>
                              <w:t>a GSM-R</w:t>
                            </w:r>
                            <w:r w:rsidR="00A33A2E">
                              <w:rPr>
                                <w:rFonts w:ascii="TimesNewRoman" w:hAnsi="TimesNewRoman" w:cs="TimesNewRoman"/>
                                <w:sz w:val="21"/>
                                <w:szCs w:val="21"/>
                              </w:rPr>
                              <w:t xml:space="preserve"> mobile</w:t>
                            </w:r>
                            <w:r w:rsidR="0093431E">
                              <w:rPr>
                                <w:rFonts w:ascii="TimesNewRoman" w:hAnsi="TimesNewRoman" w:cs="TimesNewRoman"/>
                                <w:sz w:val="21"/>
                                <w:szCs w:val="21"/>
                              </w:rPr>
                              <w:t xml:space="preserve"> transmitter that operates in the 18</w:t>
                            </w:r>
                            <w:r>
                              <w:rPr>
                                <w:rFonts w:ascii="TimesNewRoman" w:hAnsi="TimesNewRoman" w:cs="TimesNewRoman"/>
                                <w:sz w:val="21"/>
                                <w:szCs w:val="21"/>
                              </w:rPr>
                              <w:t>00</w:t>
                            </w:r>
                            <w:r w:rsidR="0093431E">
                              <w:rPr>
                                <w:rFonts w:ascii="TimesNewRoman" w:hAnsi="TimesNewRoman" w:cs="TimesNewRoman"/>
                                <w:sz w:val="21"/>
                                <w:szCs w:val="21"/>
                              </w:rPr>
                              <w:t xml:space="preserve"> </w:t>
                            </w:r>
                            <w:r>
                              <w:rPr>
                                <w:rFonts w:ascii="TimesNewRoman" w:hAnsi="TimesNewRoman" w:cs="TimesNewRoman"/>
                                <w:sz w:val="21"/>
                                <w:szCs w:val="21"/>
                              </w:rPr>
                              <w:t>M</w:t>
                            </w:r>
                            <w:r w:rsidR="0093431E">
                              <w:rPr>
                                <w:rFonts w:ascii="TimesNewRoman" w:hAnsi="TimesNewRoman" w:cs="TimesNewRoman"/>
                                <w:sz w:val="21"/>
                                <w:szCs w:val="21"/>
                              </w:rPr>
                              <w:t>Hz band with a</w:t>
                            </w:r>
                            <w:r w:rsidR="00F42681">
                              <w:rPr>
                                <w:rFonts w:ascii="TimesNewRoman" w:hAnsi="TimesNewRoman" w:cs="TimesNewRoman"/>
                                <w:sz w:val="21"/>
                                <w:szCs w:val="21"/>
                              </w:rPr>
                              <w:t>n EIRP</w:t>
                            </w:r>
                            <w:r w:rsidR="0093431E">
                              <w:rPr>
                                <w:rFonts w:ascii="TimesNewRoman" w:hAnsi="TimesNewRoman" w:cs="TimesNewRoman"/>
                                <w:sz w:val="21"/>
                                <w:szCs w:val="21"/>
                              </w:rPr>
                              <w:t xml:space="preserve"> of less than or equal to 39 dBm per occupied bandwidth</w:t>
                            </w:r>
                            <w:r w:rsidR="008A6608">
                              <w:rPr>
                                <w:rFonts w:ascii="TimesNewRoman" w:hAnsi="TimesNewRoman" w:cs="TimesNewRoman"/>
                                <w:sz w:val="21"/>
                                <w:szCs w:val="21"/>
                              </w:rPr>
                              <w:t>;</w:t>
                            </w:r>
                            <w:r w:rsidR="0093431E">
                              <w:rPr>
                                <w:rFonts w:ascii="TimesNewRoman" w:hAnsi="TimesNewRoman" w:cs="TimesNewRoman"/>
                                <w:sz w:val="21"/>
                                <w:szCs w:val="21"/>
                              </w:rPr>
                              <w:t xml:space="preserve"> or</w:t>
                            </w:r>
                          </w:p>
                          <w:p w14:paraId="20A53E13" w14:textId="02C1D541" w:rsidR="00A33A2E" w:rsidRDefault="0093431E" w:rsidP="00A33A2E">
                            <w:pPr>
                              <w:pStyle w:val="Jeanpara"/>
                              <w:tabs>
                                <w:tab w:val="left" w:pos="1134"/>
                              </w:tabs>
                              <w:spacing w:after="120"/>
                              <w:ind w:left="1134" w:hanging="425"/>
                              <w:rPr>
                                <w:rFonts w:ascii="TimesNewRoman" w:hAnsi="TimesNewRoman" w:cs="TimesNewRoman"/>
                                <w:sz w:val="21"/>
                                <w:szCs w:val="21"/>
                              </w:rPr>
                            </w:pPr>
                            <w:r>
                              <w:rPr>
                                <w:rFonts w:ascii="TimesNewRoman" w:hAnsi="TimesNewRoman" w:cs="TimesNewRoman"/>
                                <w:sz w:val="21"/>
                                <w:szCs w:val="21"/>
                              </w:rPr>
                              <w:t>(</w:t>
                            </w:r>
                            <w:r w:rsidR="006419FA">
                              <w:rPr>
                                <w:rFonts w:ascii="TimesNewRoman" w:hAnsi="TimesNewRoman" w:cs="TimesNewRoman"/>
                                <w:sz w:val="21"/>
                                <w:szCs w:val="21"/>
                              </w:rPr>
                              <w:t>c</w:t>
                            </w:r>
                            <w:r>
                              <w:rPr>
                                <w:rFonts w:ascii="TimesNewRoman" w:hAnsi="TimesNewRoman" w:cs="TimesNewRoman"/>
                                <w:sz w:val="21"/>
                                <w:szCs w:val="21"/>
                              </w:rPr>
                              <w:t xml:space="preserve">)   </w:t>
                            </w:r>
                            <w:r w:rsidR="00E06606">
                              <w:rPr>
                                <w:rFonts w:ascii="TimesNewRoman" w:hAnsi="TimesNewRoman" w:cs="TimesNewRoman"/>
                                <w:sz w:val="21"/>
                                <w:szCs w:val="21"/>
                              </w:rPr>
                              <w:t xml:space="preserve">a </w:t>
                            </w:r>
                            <w:r w:rsidR="00A33A2E">
                              <w:rPr>
                                <w:rFonts w:ascii="TimesNewRoman" w:hAnsi="TimesNewRoman" w:cs="TimesNewRoman"/>
                                <w:sz w:val="21"/>
                                <w:szCs w:val="21"/>
                              </w:rPr>
                              <w:t>FRMCS mobile</w:t>
                            </w:r>
                            <w:r>
                              <w:rPr>
                                <w:rFonts w:ascii="TimesNewRoman" w:hAnsi="TimesNewRoman" w:cs="TimesNewRoman"/>
                                <w:sz w:val="21"/>
                                <w:szCs w:val="21"/>
                              </w:rPr>
                              <w:t xml:space="preserve"> </w:t>
                            </w:r>
                            <w:r w:rsidR="00E06606">
                              <w:rPr>
                                <w:rFonts w:ascii="TimesNewRoman" w:hAnsi="TimesNewRoman" w:cs="TimesNewRoman"/>
                                <w:sz w:val="21"/>
                                <w:szCs w:val="21"/>
                              </w:rPr>
                              <w:t xml:space="preserve">transmitter that operates in the </w:t>
                            </w:r>
                            <w:r>
                              <w:rPr>
                                <w:rFonts w:ascii="TimesNewRoman" w:hAnsi="TimesNewRoman" w:cs="TimesNewRoman"/>
                                <w:sz w:val="21"/>
                                <w:szCs w:val="21"/>
                              </w:rPr>
                              <w:t>1</w:t>
                            </w:r>
                            <w:r w:rsidR="006419FA">
                              <w:rPr>
                                <w:rFonts w:ascii="TimesNewRoman" w:hAnsi="TimesNewRoman" w:cs="TimesNewRoman"/>
                                <w:sz w:val="21"/>
                                <w:szCs w:val="21"/>
                              </w:rPr>
                              <w:t>800</w:t>
                            </w:r>
                            <w:r w:rsidR="00E06606">
                              <w:rPr>
                                <w:rFonts w:ascii="TimesNewRoman" w:hAnsi="TimesNewRoman" w:cs="TimesNewRoman"/>
                                <w:sz w:val="21"/>
                                <w:szCs w:val="21"/>
                              </w:rPr>
                              <w:t xml:space="preserve"> </w:t>
                            </w:r>
                            <w:r w:rsidR="006419FA">
                              <w:rPr>
                                <w:rFonts w:ascii="TimesNewRoman" w:hAnsi="TimesNewRoman" w:cs="TimesNewRoman"/>
                                <w:sz w:val="21"/>
                                <w:szCs w:val="21"/>
                              </w:rPr>
                              <w:t>M</w:t>
                            </w:r>
                            <w:r w:rsidR="00E06606">
                              <w:rPr>
                                <w:rFonts w:ascii="TimesNewRoman" w:hAnsi="TimesNewRoman" w:cs="TimesNewRoman"/>
                                <w:sz w:val="21"/>
                                <w:szCs w:val="21"/>
                              </w:rPr>
                              <w:t xml:space="preserve">Hz band with a total radiated power of less than or equal to </w:t>
                            </w:r>
                            <w:r w:rsidR="00A33A2E">
                              <w:rPr>
                                <w:rFonts w:ascii="TimesNewRoman" w:hAnsi="TimesNewRoman" w:cs="TimesNewRoman"/>
                                <w:sz w:val="21"/>
                                <w:szCs w:val="21"/>
                              </w:rPr>
                              <w:t xml:space="preserve">31 </w:t>
                            </w:r>
                            <w:r w:rsidR="00E06606">
                              <w:rPr>
                                <w:rFonts w:ascii="TimesNewRoman" w:hAnsi="TimesNewRoman" w:cs="TimesNewRoman"/>
                                <w:sz w:val="21"/>
                                <w:szCs w:val="21"/>
                              </w:rPr>
                              <w:t>dBm per occupied bandwidth</w:t>
                            </w:r>
                            <w:r w:rsidR="006419FA">
                              <w:rPr>
                                <w:rFonts w:ascii="TimesNewRoman" w:hAnsi="TimesNewRoman" w:cs="TimesNewRoman"/>
                                <w:sz w:val="21"/>
                                <w:szCs w:val="21"/>
                              </w:rPr>
                              <w:t>.</w:t>
                            </w:r>
                          </w:p>
                          <w:p w14:paraId="0F1881CF" w14:textId="25E98CEA" w:rsidR="00E06606" w:rsidRPr="00C206D9" w:rsidRDefault="00E06606" w:rsidP="00E06606">
                            <w:pPr>
                              <w:pStyle w:val="Jeanpara"/>
                              <w:tabs>
                                <w:tab w:val="left" w:pos="1134"/>
                              </w:tabs>
                              <w:spacing w:after="120"/>
                              <w:ind w:left="1134" w:hanging="425"/>
                              <w:rPr>
                                <w:sz w:val="20"/>
                              </w:rPr>
                            </w:pPr>
                          </w:p>
                          <w:p w14:paraId="3A38954D" w14:textId="77777777" w:rsidR="00E06606" w:rsidRPr="00C206D9" w:rsidRDefault="00E06606" w:rsidP="00E06606">
                            <w:pPr>
                              <w:spacing w:before="120"/>
                              <w:ind w:left="1134" w:hanging="425"/>
                              <w:rPr>
                                <w:rFonts w:ascii="Times New Roman" w:hAnsi="Times New Roman"/>
                                <w:szCs w:val="20"/>
                              </w:rPr>
                            </w:pPr>
                          </w:p>
                        </w:txbxContent>
                      </wps:txbx>
                      <wps:bodyPr rot="0" spcFirstLastPara="0" vertOverflow="overflow" horzOverflow="overflow" vert="horz" wrap="square" lIns="36000" tIns="45720" rIns="36000" bIns="45720" numCol="1" spcCol="0" rtlCol="0" fromWordArt="0" anchor="t" anchorCtr="0" forceAA="0" compatLnSpc="1">
                        <a:prstTxWarp prst="textNoShape">
                          <a:avLst/>
                        </a:prstTxWarp>
                        <a:noAutofit/>
                      </wps:bodyPr>
                    </wps:wsp>
                  </a:graphicData>
                </a:graphic>
              </wp:inline>
            </w:drawing>
          </mc:Choice>
          <mc:Fallback>
            <w:pict>
              <v:shapetype w14:anchorId="6A5A1B5D" id="_x0000_t202" coordsize="21600,21600" o:spt="202" path="m,l,21600r21600,l21600,xe">
                <v:stroke joinstyle="miter"/>
                <v:path gradientshapeok="t" o:connecttype="rect"/>
              </v:shapetype>
              <v:shape id="Text Box 6" o:spid="_x0000_s1026" type="#_x0000_t202" style="width:362.05pt;height:15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" fillcolor="white [3201]" strokeweight=".5pt">
                <v:textbox inset="1mm,,1mm">
                  <w:txbxContent>
                    <w:p w14:paraId="636B0FC5" w14:textId="77777777" w:rsidR="00E06606" w:rsidRPr="00C206D9" w:rsidRDefault="00E06606" w:rsidP="00E06606">
                      <w:pPr>
                        <w:spacing w:after="0" w:line="290" w:lineRule="exact"/>
                        <w:ind w:left="152"/>
                        <w:outlineLvl w:val="1"/>
                        <w:rPr>
                          <w:rFonts w:ascii="Times New Roman" w:hAnsi="Times New Roman"/>
                          <w:b/>
                          <w:szCs w:val="20"/>
                        </w:rPr>
                      </w:pPr>
                      <w:r>
                        <w:rPr>
                          <w:rFonts w:ascii="Times New Roman" w:hAnsi="Times New Roman"/>
                          <w:b/>
                          <w:szCs w:val="20"/>
                        </w:rPr>
                        <w:t>Exemption from registration requirements</w:t>
                      </w:r>
                    </w:p>
                    <w:p w14:paraId="1D48DB79" w14:textId="77777777" w:rsidR="00E06606" w:rsidRPr="00C206D9" w:rsidRDefault="00E06606" w:rsidP="00E06606">
                      <w:pPr>
                        <w:spacing w:after="120"/>
                        <w:ind w:left="568" w:hanging="416"/>
                        <w:rPr>
                          <w:rFonts w:ascii="Times New Roman" w:hAnsi="Times New Roman"/>
                          <w:szCs w:val="20"/>
                        </w:rPr>
                      </w:pPr>
                      <w:r>
                        <w:rPr>
                          <w:rFonts w:ascii="Times New Roman" w:hAnsi="Times New Roman"/>
                          <w:szCs w:val="20"/>
                        </w:rPr>
                        <w:t>1</w:t>
                      </w:r>
                      <w:r w:rsidRPr="00C206D9">
                        <w:rPr>
                          <w:rFonts w:ascii="Times New Roman" w:hAnsi="Times New Roman"/>
                          <w:szCs w:val="20"/>
                        </w:rPr>
                        <w:t>.</w:t>
                      </w:r>
                      <w:r w:rsidRPr="00C206D9">
                        <w:rPr>
                          <w:rFonts w:ascii="Times New Roman" w:hAnsi="Times New Roman"/>
                          <w:szCs w:val="20"/>
                        </w:rPr>
                        <w:tab/>
                      </w:r>
                      <w:r>
                        <w:rPr>
                          <w:rFonts w:ascii="TimesNewRoman" w:hAnsi="TimesNewRoman" w:cs="TimesNewRoman"/>
                          <w:sz w:val="21"/>
                          <w:szCs w:val="21"/>
                        </w:rPr>
                        <w:t>The following kinds of radiocommunications transmitters are exempt from the registration requirement in Statutory Condition 3</w:t>
                      </w:r>
                      <w:r w:rsidRPr="00C206D9">
                        <w:rPr>
                          <w:rFonts w:ascii="Times New Roman" w:hAnsi="Times New Roman"/>
                          <w:szCs w:val="20"/>
                        </w:rPr>
                        <w:t>:</w:t>
                      </w:r>
                    </w:p>
                    <w:p w14:paraId="0BF6C152" w14:textId="71CE25B8" w:rsidR="006419FA" w:rsidRDefault="00E06606" w:rsidP="00E06606">
                      <w:pPr>
                        <w:pStyle w:val="Jeanpara"/>
                        <w:tabs>
                          <w:tab w:val="left" w:pos="1134"/>
                        </w:tabs>
                        <w:spacing w:after="120"/>
                        <w:ind w:left="1134" w:hanging="425"/>
                        <w:rPr>
                          <w:sz w:val="20"/>
                        </w:rPr>
                      </w:pPr>
                      <w:r w:rsidRPr="00C206D9">
                        <w:rPr>
                          <w:sz w:val="20"/>
                        </w:rPr>
                        <w:t>(a)</w:t>
                      </w:r>
                      <w:r w:rsidR="006419FA">
                        <w:rPr>
                          <w:sz w:val="20"/>
                        </w:rPr>
                        <w:tab/>
                      </w:r>
                      <w:r w:rsidR="006419FA">
                        <w:rPr>
                          <w:rFonts w:ascii="TimesNewRoman" w:hAnsi="TimesNewRoman" w:cs="TimesNewRoman"/>
                          <w:sz w:val="21"/>
                          <w:szCs w:val="21"/>
                        </w:rPr>
                        <w:t xml:space="preserve">a transmitter that operates in the 1800 MHz band with a total radiated power of less than or equal to 28 dBm per occupied </w:t>
                      </w:r>
                      <w:proofErr w:type="gramStart"/>
                      <w:r w:rsidR="006419FA">
                        <w:rPr>
                          <w:rFonts w:ascii="TimesNewRoman" w:hAnsi="TimesNewRoman" w:cs="TimesNewRoman"/>
                          <w:sz w:val="21"/>
                          <w:szCs w:val="21"/>
                        </w:rPr>
                        <w:t>bandwidth;</w:t>
                      </w:r>
                      <w:proofErr w:type="gramEnd"/>
                      <w:r w:rsidR="006419FA">
                        <w:rPr>
                          <w:rFonts w:ascii="TimesNewRoman" w:hAnsi="TimesNewRoman" w:cs="TimesNewRoman"/>
                          <w:sz w:val="21"/>
                          <w:szCs w:val="21"/>
                        </w:rPr>
                        <w:t xml:space="preserve"> </w:t>
                      </w:r>
                      <w:r w:rsidRPr="00C206D9">
                        <w:rPr>
                          <w:sz w:val="20"/>
                        </w:rPr>
                        <w:tab/>
                      </w:r>
                    </w:p>
                    <w:p w14:paraId="4239C22F" w14:textId="1A6E2C18" w:rsidR="0093431E" w:rsidRDefault="006419FA" w:rsidP="00E06606">
                      <w:pPr>
                        <w:pStyle w:val="Jeanpara"/>
                        <w:tabs>
                          <w:tab w:val="left" w:pos="1134"/>
                        </w:tabs>
                        <w:spacing w:after="120"/>
                        <w:ind w:left="1134" w:hanging="425"/>
                        <w:rPr>
                          <w:rFonts w:ascii="TimesNewRoman" w:hAnsi="TimesNewRoman" w:cs="TimesNewRoman"/>
                          <w:sz w:val="21"/>
                          <w:szCs w:val="21"/>
                        </w:rPr>
                      </w:pPr>
                      <w:r>
                        <w:rPr>
                          <w:rFonts w:ascii="TimesNewRoman" w:hAnsi="TimesNewRoman" w:cs="TimesNewRoman"/>
                          <w:sz w:val="21"/>
                          <w:szCs w:val="21"/>
                        </w:rPr>
                        <w:t xml:space="preserve">(b)   </w:t>
                      </w:r>
                      <w:r w:rsidR="0093431E">
                        <w:rPr>
                          <w:rFonts w:ascii="TimesNewRoman" w:hAnsi="TimesNewRoman" w:cs="TimesNewRoman"/>
                          <w:sz w:val="21"/>
                          <w:szCs w:val="21"/>
                        </w:rPr>
                        <w:t>a GSM-R</w:t>
                      </w:r>
                      <w:r w:rsidR="00A33A2E">
                        <w:rPr>
                          <w:rFonts w:ascii="TimesNewRoman" w:hAnsi="TimesNewRoman" w:cs="TimesNewRoman"/>
                          <w:sz w:val="21"/>
                          <w:szCs w:val="21"/>
                        </w:rPr>
                        <w:t xml:space="preserve"> mobile</w:t>
                      </w:r>
                      <w:r w:rsidR="0093431E">
                        <w:rPr>
                          <w:rFonts w:ascii="TimesNewRoman" w:hAnsi="TimesNewRoman" w:cs="TimesNewRoman"/>
                          <w:sz w:val="21"/>
                          <w:szCs w:val="21"/>
                        </w:rPr>
                        <w:t xml:space="preserve"> transmitter that operates in the 18</w:t>
                      </w:r>
                      <w:r>
                        <w:rPr>
                          <w:rFonts w:ascii="TimesNewRoman" w:hAnsi="TimesNewRoman" w:cs="TimesNewRoman"/>
                          <w:sz w:val="21"/>
                          <w:szCs w:val="21"/>
                        </w:rPr>
                        <w:t>00</w:t>
                      </w:r>
                      <w:r w:rsidR="0093431E">
                        <w:rPr>
                          <w:rFonts w:ascii="TimesNewRoman" w:hAnsi="TimesNewRoman" w:cs="TimesNewRoman"/>
                          <w:sz w:val="21"/>
                          <w:szCs w:val="21"/>
                        </w:rPr>
                        <w:t xml:space="preserve"> </w:t>
                      </w:r>
                      <w:r>
                        <w:rPr>
                          <w:rFonts w:ascii="TimesNewRoman" w:hAnsi="TimesNewRoman" w:cs="TimesNewRoman"/>
                          <w:sz w:val="21"/>
                          <w:szCs w:val="21"/>
                        </w:rPr>
                        <w:t>M</w:t>
                      </w:r>
                      <w:r w:rsidR="0093431E">
                        <w:rPr>
                          <w:rFonts w:ascii="TimesNewRoman" w:hAnsi="TimesNewRoman" w:cs="TimesNewRoman"/>
                          <w:sz w:val="21"/>
                          <w:szCs w:val="21"/>
                        </w:rPr>
                        <w:t>Hz band with a</w:t>
                      </w:r>
                      <w:r w:rsidR="00F42681">
                        <w:rPr>
                          <w:rFonts w:ascii="TimesNewRoman" w:hAnsi="TimesNewRoman" w:cs="TimesNewRoman"/>
                          <w:sz w:val="21"/>
                          <w:szCs w:val="21"/>
                        </w:rPr>
                        <w:t>n EIRP</w:t>
                      </w:r>
                      <w:r w:rsidR="0093431E">
                        <w:rPr>
                          <w:rFonts w:ascii="TimesNewRoman" w:hAnsi="TimesNewRoman" w:cs="TimesNewRoman"/>
                          <w:sz w:val="21"/>
                          <w:szCs w:val="21"/>
                        </w:rPr>
                        <w:t xml:space="preserve"> of less than or equal to 39 dBm per occupied bandwidth</w:t>
                      </w:r>
                      <w:r w:rsidR="008A6608">
                        <w:rPr>
                          <w:rFonts w:ascii="TimesNewRoman" w:hAnsi="TimesNewRoman" w:cs="TimesNewRoman"/>
                          <w:sz w:val="21"/>
                          <w:szCs w:val="21"/>
                        </w:rPr>
                        <w:t>;</w:t>
                      </w:r>
                      <w:r w:rsidR="0093431E">
                        <w:rPr>
                          <w:rFonts w:ascii="TimesNewRoman" w:hAnsi="TimesNewRoman" w:cs="TimesNewRoman"/>
                          <w:sz w:val="21"/>
                          <w:szCs w:val="21"/>
                        </w:rPr>
                        <w:t xml:space="preserve"> or</w:t>
                      </w:r>
                    </w:p>
                    <w:p w14:paraId="20A53E13" w14:textId="02C1D541" w:rsidR="00A33A2E" w:rsidRDefault="0093431E" w:rsidP="00A33A2E">
                      <w:pPr>
                        <w:pStyle w:val="Jeanpara"/>
                        <w:tabs>
                          <w:tab w:val="left" w:pos="1134"/>
                        </w:tabs>
                        <w:spacing w:after="120"/>
                        <w:ind w:left="1134" w:hanging="425"/>
                        <w:rPr>
                          <w:rFonts w:ascii="TimesNewRoman" w:hAnsi="TimesNewRoman" w:cs="TimesNewRoman"/>
                          <w:sz w:val="21"/>
                          <w:szCs w:val="21"/>
                        </w:rPr>
                      </w:pPr>
                      <w:r>
                        <w:rPr>
                          <w:rFonts w:ascii="TimesNewRoman" w:hAnsi="TimesNewRoman" w:cs="TimesNewRoman"/>
                          <w:sz w:val="21"/>
                          <w:szCs w:val="21"/>
                        </w:rPr>
                        <w:t>(</w:t>
                      </w:r>
                      <w:r w:rsidR="006419FA">
                        <w:rPr>
                          <w:rFonts w:ascii="TimesNewRoman" w:hAnsi="TimesNewRoman" w:cs="TimesNewRoman"/>
                          <w:sz w:val="21"/>
                          <w:szCs w:val="21"/>
                        </w:rPr>
                        <w:t>c</w:t>
                      </w:r>
                      <w:r>
                        <w:rPr>
                          <w:rFonts w:ascii="TimesNewRoman" w:hAnsi="TimesNewRoman" w:cs="TimesNewRoman"/>
                          <w:sz w:val="21"/>
                          <w:szCs w:val="21"/>
                        </w:rPr>
                        <w:t xml:space="preserve">)   </w:t>
                      </w:r>
                      <w:r w:rsidR="00E06606">
                        <w:rPr>
                          <w:rFonts w:ascii="TimesNewRoman" w:hAnsi="TimesNewRoman" w:cs="TimesNewRoman"/>
                          <w:sz w:val="21"/>
                          <w:szCs w:val="21"/>
                        </w:rPr>
                        <w:t xml:space="preserve">a </w:t>
                      </w:r>
                      <w:r w:rsidR="00A33A2E">
                        <w:rPr>
                          <w:rFonts w:ascii="TimesNewRoman" w:hAnsi="TimesNewRoman" w:cs="TimesNewRoman"/>
                          <w:sz w:val="21"/>
                          <w:szCs w:val="21"/>
                        </w:rPr>
                        <w:t>FRMCS mobile</w:t>
                      </w:r>
                      <w:r>
                        <w:rPr>
                          <w:rFonts w:ascii="TimesNewRoman" w:hAnsi="TimesNewRoman" w:cs="TimesNewRoman"/>
                          <w:sz w:val="21"/>
                          <w:szCs w:val="21"/>
                        </w:rPr>
                        <w:t xml:space="preserve"> </w:t>
                      </w:r>
                      <w:r w:rsidR="00E06606">
                        <w:rPr>
                          <w:rFonts w:ascii="TimesNewRoman" w:hAnsi="TimesNewRoman" w:cs="TimesNewRoman"/>
                          <w:sz w:val="21"/>
                          <w:szCs w:val="21"/>
                        </w:rPr>
                        <w:t xml:space="preserve">transmitter that operates in the </w:t>
                      </w:r>
                      <w:r>
                        <w:rPr>
                          <w:rFonts w:ascii="TimesNewRoman" w:hAnsi="TimesNewRoman" w:cs="TimesNewRoman"/>
                          <w:sz w:val="21"/>
                          <w:szCs w:val="21"/>
                        </w:rPr>
                        <w:t>1</w:t>
                      </w:r>
                      <w:r w:rsidR="006419FA">
                        <w:rPr>
                          <w:rFonts w:ascii="TimesNewRoman" w:hAnsi="TimesNewRoman" w:cs="TimesNewRoman"/>
                          <w:sz w:val="21"/>
                          <w:szCs w:val="21"/>
                        </w:rPr>
                        <w:t>800</w:t>
                      </w:r>
                      <w:r w:rsidR="00E06606">
                        <w:rPr>
                          <w:rFonts w:ascii="TimesNewRoman" w:hAnsi="TimesNewRoman" w:cs="TimesNewRoman"/>
                          <w:sz w:val="21"/>
                          <w:szCs w:val="21"/>
                        </w:rPr>
                        <w:t xml:space="preserve"> </w:t>
                      </w:r>
                      <w:r w:rsidR="006419FA">
                        <w:rPr>
                          <w:rFonts w:ascii="TimesNewRoman" w:hAnsi="TimesNewRoman" w:cs="TimesNewRoman"/>
                          <w:sz w:val="21"/>
                          <w:szCs w:val="21"/>
                        </w:rPr>
                        <w:t>M</w:t>
                      </w:r>
                      <w:r w:rsidR="00E06606">
                        <w:rPr>
                          <w:rFonts w:ascii="TimesNewRoman" w:hAnsi="TimesNewRoman" w:cs="TimesNewRoman"/>
                          <w:sz w:val="21"/>
                          <w:szCs w:val="21"/>
                        </w:rPr>
                        <w:t xml:space="preserve">Hz band with a total radiated power of less than or equal to </w:t>
                      </w:r>
                      <w:r w:rsidR="00A33A2E">
                        <w:rPr>
                          <w:rFonts w:ascii="TimesNewRoman" w:hAnsi="TimesNewRoman" w:cs="TimesNewRoman"/>
                          <w:sz w:val="21"/>
                          <w:szCs w:val="21"/>
                        </w:rPr>
                        <w:t xml:space="preserve">31 </w:t>
                      </w:r>
                      <w:r w:rsidR="00E06606">
                        <w:rPr>
                          <w:rFonts w:ascii="TimesNewRoman" w:hAnsi="TimesNewRoman" w:cs="TimesNewRoman"/>
                          <w:sz w:val="21"/>
                          <w:szCs w:val="21"/>
                        </w:rPr>
                        <w:t>dBm per occupied bandwidth</w:t>
                      </w:r>
                      <w:r w:rsidR="006419FA">
                        <w:rPr>
                          <w:rFonts w:ascii="TimesNewRoman" w:hAnsi="TimesNewRoman" w:cs="TimesNewRoman"/>
                          <w:sz w:val="21"/>
                          <w:szCs w:val="21"/>
                        </w:rPr>
                        <w:t>.</w:t>
                      </w:r>
                    </w:p>
                    <w:p w14:paraId="0F1881CF" w14:textId="25E98CEA" w:rsidR="00E06606" w:rsidRPr="00C206D9" w:rsidRDefault="00E06606" w:rsidP="00E06606">
                      <w:pPr>
                        <w:pStyle w:val="Jeanpara"/>
                        <w:tabs>
                          <w:tab w:val="left" w:pos="1134"/>
                        </w:tabs>
                        <w:spacing w:after="120"/>
                        <w:ind w:left="1134" w:hanging="425"/>
                        <w:rPr>
                          <w:sz w:val="20"/>
                        </w:rPr>
                      </w:pPr>
                    </w:p>
                    <w:p w14:paraId="3A38954D" w14:textId="77777777" w:rsidR="00E06606" w:rsidRPr="00C206D9" w:rsidRDefault="00E06606" w:rsidP="00E06606">
                      <w:pPr>
                        <w:spacing w:before="120"/>
                        <w:ind w:left="1134" w:hanging="425"/>
                        <w:rPr>
                          <w:rFonts w:ascii="Times New Roman" w:hAnsi="Times New Roman"/>
                          <w:szCs w:val="20"/>
                        </w:rPr>
                      </w:pPr>
                    </w:p>
                  </w:txbxContent>
                </v:textbox>
                <w10:anchorlock/>
              </v:shape>
            </w:pict>
          </mc:Fallback>
        </mc:AlternateContent>
      </w:r>
    </w:p>
    <w:p w14:paraId="6708E4C2" w14:textId="77777777" w:rsidR="00A10DF7" w:rsidRDefault="00A10DF7" w:rsidP="00C36E48">
      <w:pPr>
        <w:spacing w:after="0"/>
        <w:rPr>
          <w:b/>
        </w:rPr>
      </w:pPr>
    </w:p>
    <w:p w14:paraId="4E3F6640" w14:textId="3118ED20" w:rsidR="006F188E" w:rsidRPr="007D04B2" w:rsidRDefault="006F188E" w:rsidP="00322232">
      <w:pPr>
        <w:pStyle w:val="Heading3"/>
        <w:spacing w:before="0"/>
      </w:pPr>
      <w:bookmarkStart w:id="36" w:name="_Toc506899799"/>
      <w:bookmarkStart w:id="37" w:name="_Toc56006336"/>
      <w:bookmarkStart w:id="38" w:name="_Toc84339344"/>
      <w:r w:rsidRPr="007D04B2">
        <w:t>Other conditions on the licence</w:t>
      </w:r>
      <w:bookmarkEnd w:id="36"/>
      <w:bookmarkEnd w:id="37"/>
      <w:bookmarkEnd w:id="38"/>
    </w:p>
    <w:p w14:paraId="0352037C" w14:textId="20A4FBB4" w:rsidR="00EC3254" w:rsidRPr="007D04B2" w:rsidRDefault="00EC3254" w:rsidP="006F188E">
      <w:r w:rsidRPr="007D04B2">
        <w:t xml:space="preserve">It is proposed to maintain all of the </w:t>
      </w:r>
      <w:r w:rsidR="008E6DF7" w:rsidRPr="007D04B2">
        <w:t>‘</w:t>
      </w:r>
      <w:r w:rsidRPr="007D04B2">
        <w:t>other conditions</w:t>
      </w:r>
      <w:r w:rsidR="008E6DF7" w:rsidRPr="007D04B2">
        <w:t>’</w:t>
      </w:r>
      <w:r w:rsidRPr="007D04B2">
        <w:t xml:space="preserve"> (i.e.</w:t>
      </w:r>
      <w:r w:rsidR="00016A86">
        <w:t>,</w:t>
      </w:r>
      <w:r w:rsidRPr="007D04B2">
        <w:t xml:space="preserve"> those other than core </w:t>
      </w:r>
      <w:r w:rsidR="00812D3D" w:rsidRPr="007D04B2">
        <w:t xml:space="preserve">and statutory </w:t>
      </w:r>
      <w:r w:rsidRPr="007D04B2">
        <w:t xml:space="preserve">conditions) that are currently contained </w:t>
      </w:r>
      <w:r w:rsidR="007232C7" w:rsidRPr="007D04B2">
        <w:t>i</w:t>
      </w:r>
      <w:r w:rsidRPr="007D04B2">
        <w:t xml:space="preserve">n </w:t>
      </w:r>
      <w:r w:rsidR="0036147A">
        <w:t>18</w:t>
      </w:r>
      <w:r w:rsidR="006419FA">
        <w:t>00</w:t>
      </w:r>
      <w:r w:rsidRPr="007D04B2">
        <w:t xml:space="preserve"> </w:t>
      </w:r>
      <w:r w:rsidR="006419FA">
        <w:t>M</w:t>
      </w:r>
      <w:r w:rsidRPr="007D04B2">
        <w:t xml:space="preserve">Hz band spectrum licences (refer to the PDF image of </w:t>
      </w:r>
      <w:r w:rsidR="00812D3D" w:rsidRPr="007D04B2">
        <w:t xml:space="preserve">current </w:t>
      </w:r>
      <w:r w:rsidR="00663A40">
        <w:t>18</w:t>
      </w:r>
      <w:r w:rsidR="006419FA">
        <w:t>00</w:t>
      </w:r>
      <w:r w:rsidR="00DA32B3" w:rsidRPr="007D04B2">
        <w:t> </w:t>
      </w:r>
      <w:r w:rsidR="006419FA">
        <w:t>M</w:t>
      </w:r>
      <w:r w:rsidR="00812D3D" w:rsidRPr="007D04B2">
        <w:t xml:space="preserve">Hz band spectrum </w:t>
      </w:r>
      <w:r w:rsidRPr="007D04B2">
        <w:t xml:space="preserve">licences available on the </w:t>
      </w:r>
      <w:hyperlink r:id="rId36" w:history="1">
        <w:r w:rsidRPr="007D04B2">
          <w:rPr>
            <w:rStyle w:val="Hyperlink"/>
          </w:rPr>
          <w:t>RRL</w:t>
        </w:r>
      </w:hyperlink>
      <w:r w:rsidRPr="007D04B2">
        <w:t xml:space="preserve"> for more details). </w:t>
      </w:r>
    </w:p>
    <w:p w14:paraId="7CE42F80" w14:textId="77777777" w:rsidR="0029295B" w:rsidRPr="007D04B2" w:rsidRDefault="0029295B" w:rsidP="00812D3D">
      <w:pPr>
        <w:pStyle w:val="Heading2"/>
        <w:keepLines/>
        <w:spacing w:before="360"/>
      </w:pPr>
      <w:bookmarkStart w:id="39" w:name="_Ref312164882"/>
      <w:bookmarkStart w:id="40" w:name="_Ref312338073"/>
      <w:bookmarkStart w:id="41" w:name="_Toc328403871"/>
      <w:bookmarkStart w:id="42" w:name="_Toc403740553"/>
      <w:bookmarkStart w:id="43" w:name="_Toc404333448"/>
      <w:bookmarkStart w:id="44" w:name="_Toc444690626"/>
      <w:bookmarkStart w:id="45" w:name="_Toc56006337"/>
      <w:bookmarkStart w:id="46" w:name="_Toc84339345"/>
      <w:r w:rsidRPr="007D04B2">
        <w:t>Unacceptable levels of interference</w:t>
      </w:r>
      <w:bookmarkEnd w:id="39"/>
      <w:bookmarkEnd w:id="40"/>
      <w:bookmarkEnd w:id="41"/>
      <w:bookmarkEnd w:id="42"/>
      <w:bookmarkEnd w:id="43"/>
      <w:bookmarkEnd w:id="44"/>
      <w:bookmarkEnd w:id="45"/>
      <w:bookmarkEnd w:id="46"/>
    </w:p>
    <w:p w14:paraId="58FF3D94" w14:textId="57B49D99" w:rsidR="0029295B" w:rsidRPr="007D04B2" w:rsidRDefault="0029295B" w:rsidP="0029295B">
      <w:pPr>
        <w:keepNext/>
        <w:keepLines/>
      </w:pPr>
      <w:r w:rsidRPr="007D04B2">
        <w:t>Spectrum licensees are required to register a radiocommunications transmitter in the Register of Radiocommunications Licences before they ma</w:t>
      </w:r>
      <w:r w:rsidR="002603F7" w:rsidRPr="007D04B2">
        <w:t>y be operated under the</w:t>
      </w:r>
      <w:r w:rsidR="00946199">
        <w:t>ir</w:t>
      </w:r>
      <w:r w:rsidR="002603F7" w:rsidRPr="007D04B2">
        <w:t xml:space="preserve"> licence. The only exception to this is if there is a condition on licences that exempts certain types of</w:t>
      </w:r>
      <w:r w:rsidRPr="007D04B2">
        <w:t xml:space="preserve"> transmitter</w:t>
      </w:r>
      <w:r w:rsidR="00823EEC">
        <w:t>s</w:t>
      </w:r>
      <w:r w:rsidRPr="007D04B2">
        <w:t>.</w:t>
      </w:r>
    </w:p>
    <w:p w14:paraId="52EA4F2D" w14:textId="677EBA95" w:rsidR="0029295B" w:rsidRPr="007D04B2" w:rsidRDefault="0029295B" w:rsidP="0029295B">
      <w:pPr>
        <w:keepLines/>
      </w:pPr>
      <w:r w:rsidRPr="007D04B2">
        <w:t xml:space="preserve">Subsection 145(1) of the Act gives the ACMA the power to refuse to register a radiocommunications transmitter if it is satisfied that the operation of the transmitter could cause an unacceptable level of interference to the operation of other radiocommunications devices. </w:t>
      </w:r>
      <w:r w:rsidR="00A92775" w:rsidRPr="007D04B2">
        <w:t>Under subsection 145(4) of the Act, t</w:t>
      </w:r>
      <w:r w:rsidRPr="007D04B2">
        <w:t xml:space="preserve">he ACMA </w:t>
      </w:r>
      <w:r w:rsidR="00A92775" w:rsidRPr="007D04B2">
        <w:t xml:space="preserve">can </w:t>
      </w:r>
      <w:proofErr w:type="gramStart"/>
      <w:r w:rsidRPr="007D04B2">
        <w:t>make a determination</w:t>
      </w:r>
      <w:proofErr w:type="gramEnd"/>
      <w:r w:rsidRPr="007D04B2">
        <w:t xml:space="preserve"> (</w:t>
      </w:r>
      <w:r w:rsidR="00A92775" w:rsidRPr="007D04B2">
        <w:t xml:space="preserve">referred to as a </w:t>
      </w:r>
      <w:r w:rsidRPr="007D04B2">
        <w:t xml:space="preserve">section 145 determination) that sets out </w:t>
      </w:r>
      <w:r w:rsidR="00A92775" w:rsidRPr="007D04B2">
        <w:t xml:space="preserve">what is considered </w:t>
      </w:r>
      <w:r w:rsidRPr="007D04B2">
        <w:t>unacceptable levels of interference for each spectrum-licensed band.</w:t>
      </w:r>
    </w:p>
    <w:p w14:paraId="01EC4738" w14:textId="77DBB29B" w:rsidR="0029295B" w:rsidRPr="007D04B2" w:rsidRDefault="00A92775" w:rsidP="0029295B">
      <w:pPr>
        <w:spacing w:after="80"/>
        <w:rPr>
          <w:rFonts w:cs="Arial"/>
        </w:rPr>
      </w:pPr>
      <w:r w:rsidRPr="007D04B2">
        <w:rPr>
          <w:rFonts w:cs="Arial"/>
        </w:rPr>
        <w:t xml:space="preserve">A </w:t>
      </w:r>
      <w:r w:rsidR="0029295B" w:rsidRPr="007D04B2">
        <w:rPr>
          <w:rFonts w:cs="Arial"/>
        </w:rPr>
        <w:t>section 145 determination set</w:t>
      </w:r>
      <w:r w:rsidRPr="007D04B2">
        <w:rPr>
          <w:rFonts w:cs="Arial"/>
        </w:rPr>
        <w:t>s</w:t>
      </w:r>
      <w:r w:rsidR="0029295B" w:rsidRPr="007D04B2">
        <w:rPr>
          <w:rFonts w:cs="Arial"/>
        </w:rPr>
        <w:t xml:space="preserve"> out the ci</w:t>
      </w:r>
      <w:r w:rsidR="00865EC9" w:rsidRPr="007D04B2">
        <w:rPr>
          <w:rFonts w:cs="Arial"/>
        </w:rPr>
        <w:t>rcumstances in which devices are deemed to</w:t>
      </w:r>
      <w:r w:rsidR="0029295B" w:rsidRPr="007D04B2">
        <w:rPr>
          <w:rFonts w:cs="Arial"/>
        </w:rPr>
        <w:t xml:space="preserve"> cause unacceptable levels of interference. These circumstances </w:t>
      </w:r>
      <w:r w:rsidRPr="007D04B2">
        <w:rPr>
          <w:rFonts w:cs="Arial"/>
        </w:rPr>
        <w:t xml:space="preserve">typically </w:t>
      </w:r>
      <w:r w:rsidR="0029295B" w:rsidRPr="007D04B2">
        <w:rPr>
          <w:rFonts w:cs="Arial"/>
        </w:rPr>
        <w:t>include:</w:t>
      </w:r>
    </w:p>
    <w:p w14:paraId="6074E8F6" w14:textId="5E50DFED" w:rsidR="0029295B" w:rsidRPr="007D04B2" w:rsidRDefault="00865EC9" w:rsidP="0029295B">
      <w:pPr>
        <w:pStyle w:val="ListBullet"/>
      </w:pPr>
      <w:r w:rsidRPr="007D04B2">
        <w:t>if the levels of emissions from a device at the geographical boundary of a licence exceed a defined level</w:t>
      </w:r>
    </w:p>
    <w:p w14:paraId="001A195D" w14:textId="5FAB6AE7" w:rsidR="0029295B" w:rsidRPr="007D04B2" w:rsidRDefault="0029295B" w:rsidP="0029295B">
      <w:pPr>
        <w:pStyle w:val="ListBullet"/>
      </w:pPr>
      <w:r w:rsidRPr="007D04B2">
        <w:t>if the operation of the transmitter will cause a breach of a core condition of the licence</w:t>
      </w:r>
    </w:p>
    <w:p w14:paraId="044BAFCC" w14:textId="47C85B31" w:rsidR="0029295B" w:rsidRPr="007D04B2" w:rsidRDefault="0029295B" w:rsidP="0029295B">
      <w:pPr>
        <w:pStyle w:val="ListBullet"/>
        <w:spacing w:after="240"/>
      </w:pPr>
      <w:r w:rsidRPr="007D04B2">
        <w:t xml:space="preserve">if the deployment of the device is outside </w:t>
      </w:r>
      <w:r w:rsidR="001013B9" w:rsidRPr="007D04B2">
        <w:t>any</w:t>
      </w:r>
      <w:r w:rsidRPr="007D04B2">
        <w:t xml:space="preserve"> deployment constraints </w:t>
      </w:r>
      <w:r w:rsidR="002603F7" w:rsidRPr="007D04B2">
        <w:t>defined</w:t>
      </w:r>
      <w:r w:rsidRPr="007D04B2">
        <w:t xml:space="preserve"> for the band</w:t>
      </w:r>
      <w:r w:rsidR="00473557">
        <w:t>.</w:t>
      </w:r>
      <w:r w:rsidR="00946199">
        <w:t xml:space="preserve"> </w:t>
      </w:r>
    </w:p>
    <w:p w14:paraId="549D6685" w14:textId="77777777" w:rsidR="00265200" w:rsidRDefault="00515E6B">
      <w:pPr>
        <w:pStyle w:val="ListBullet"/>
        <w:numPr>
          <w:ilvl w:val="0"/>
          <w:numId w:val="0"/>
        </w:numPr>
      </w:pPr>
      <w:r w:rsidRPr="007D04B2">
        <w:t xml:space="preserve">The current section 145 determination for the </w:t>
      </w:r>
      <w:r w:rsidR="006419FA">
        <w:t>1800 MHz</w:t>
      </w:r>
      <w:r w:rsidRPr="007D04B2">
        <w:t xml:space="preserve"> band is the</w:t>
      </w:r>
      <w:r w:rsidR="005B72ED">
        <w:t xml:space="preserve"> </w:t>
      </w:r>
      <w:hyperlink r:id="rId37" w:history="1">
        <w:r w:rsidR="005B72ED" w:rsidRPr="00457AA7">
          <w:rPr>
            <w:rStyle w:val="Hyperlink"/>
            <w:bCs/>
          </w:rPr>
          <w:t>Radiocommunications (Unacceptable Levels of Interference – 1800 MHz Band) Determination 20</w:t>
        </w:r>
        <w:r w:rsidR="005B72ED" w:rsidRPr="00540B0E">
          <w:rPr>
            <w:rStyle w:val="Hyperlink"/>
            <w:bCs/>
          </w:rPr>
          <w:t>12</w:t>
        </w:r>
      </w:hyperlink>
      <w:bookmarkStart w:id="47" w:name="_Hlk56678836"/>
      <w:r w:rsidRPr="007D04B2">
        <w:t>.</w:t>
      </w:r>
      <w:bookmarkEnd w:id="47"/>
      <w:r w:rsidRPr="007D04B2">
        <w:t xml:space="preserve"> </w:t>
      </w:r>
    </w:p>
    <w:p w14:paraId="219AD755" w14:textId="2C019AD3" w:rsidR="00031BFB" w:rsidRPr="007D04B2" w:rsidRDefault="00865EC9" w:rsidP="00322232">
      <w:pPr>
        <w:pStyle w:val="ListBullet"/>
        <w:keepNext/>
        <w:keepLines/>
        <w:numPr>
          <w:ilvl w:val="0"/>
          <w:numId w:val="0"/>
        </w:numPr>
        <w:spacing w:after="60"/>
      </w:pPr>
      <w:r w:rsidRPr="007D04B2">
        <w:lastRenderedPageBreak/>
        <w:t xml:space="preserve">Some of the key </w:t>
      </w:r>
      <w:r w:rsidR="005549A9" w:rsidRPr="007D04B2">
        <w:t>details</w:t>
      </w:r>
      <w:r w:rsidRPr="007D04B2">
        <w:t xml:space="preserve"> of the </w:t>
      </w:r>
      <w:r w:rsidR="006419FA">
        <w:t>1800 MHz</w:t>
      </w:r>
      <w:r w:rsidRPr="007D04B2">
        <w:t xml:space="preserve"> band section 145 determination are:</w:t>
      </w:r>
    </w:p>
    <w:p w14:paraId="5A4CDFA5" w14:textId="781D3ADF" w:rsidR="00865EC9" w:rsidRPr="007D04B2" w:rsidRDefault="00865EC9" w:rsidP="00322232">
      <w:pPr>
        <w:pStyle w:val="ListBullet"/>
        <w:keepNext/>
        <w:keepLines/>
      </w:pPr>
      <w:r w:rsidRPr="007D04B2">
        <w:t xml:space="preserve">It is optimised for </w:t>
      </w:r>
      <w:r w:rsidR="000B4045">
        <w:t>F</w:t>
      </w:r>
      <w:r w:rsidR="000B4045" w:rsidRPr="007D04B2">
        <w:t xml:space="preserve">DD </w:t>
      </w:r>
      <w:r w:rsidRPr="007D04B2">
        <w:t>use</w:t>
      </w:r>
      <w:r w:rsidR="00473557">
        <w:t>.</w:t>
      </w:r>
    </w:p>
    <w:p w14:paraId="60AFF950" w14:textId="6284B791" w:rsidR="00865EC9" w:rsidRPr="007D04B2" w:rsidRDefault="005549A9" w:rsidP="00322232">
      <w:pPr>
        <w:pStyle w:val="ListBullet"/>
        <w:keepNext/>
        <w:keepLines/>
      </w:pPr>
      <w:r w:rsidRPr="007D04B2">
        <w:t>T</w:t>
      </w:r>
      <w:r w:rsidR="00865EC9" w:rsidRPr="007D04B2">
        <w:t>he device boundary criteri</w:t>
      </w:r>
      <w:r w:rsidR="008F024D" w:rsidRPr="007D04B2">
        <w:t>a (DBC)</w:t>
      </w:r>
      <w:r w:rsidRPr="007D04B2">
        <w:t xml:space="preserve"> </w:t>
      </w:r>
      <w:r w:rsidR="00265200">
        <w:t>are</w:t>
      </w:r>
      <w:r w:rsidR="00265200" w:rsidRPr="007D04B2">
        <w:t xml:space="preserve"> </w:t>
      </w:r>
      <w:r w:rsidRPr="007D04B2">
        <w:t>based on the following</w:t>
      </w:r>
      <w:r w:rsidR="00865EC9" w:rsidRPr="007D04B2">
        <w:t>:</w:t>
      </w:r>
    </w:p>
    <w:p w14:paraId="1E2FDB09" w14:textId="414DA894" w:rsidR="00865EC9" w:rsidRPr="007D04B2" w:rsidRDefault="00865EC9" w:rsidP="00322232">
      <w:pPr>
        <w:pStyle w:val="ListBullet"/>
        <w:keepNext/>
        <w:keepLines/>
        <w:tabs>
          <w:tab w:val="clear" w:pos="295"/>
          <w:tab w:val="num" w:pos="863"/>
        </w:tabs>
        <w:ind w:left="863"/>
      </w:pPr>
      <w:r w:rsidRPr="007D04B2">
        <w:t>A defined level of protection of -</w:t>
      </w:r>
      <w:r w:rsidR="00375495" w:rsidRPr="007D04B2">
        <w:t>1</w:t>
      </w:r>
      <w:r w:rsidR="00375495">
        <w:t>15</w:t>
      </w:r>
      <w:r w:rsidRPr="007D04B2">
        <w:t xml:space="preserve"> dBm/</w:t>
      </w:r>
      <w:r w:rsidR="00375495">
        <w:t>30</w:t>
      </w:r>
      <w:r w:rsidR="003C0E2C">
        <w:t xml:space="preserve"> </w:t>
      </w:r>
      <w:r w:rsidR="00375495">
        <w:t>k</w:t>
      </w:r>
      <w:r w:rsidRPr="007D04B2">
        <w:t>Hz to a receiver with a gain of 0</w:t>
      </w:r>
      <w:r w:rsidR="00EC30F0">
        <w:t> </w:t>
      </w:r>
      <w:proofErr w:type="spellStart"/>
      <w:r w:rsidRPr="007D04B2">
        <w:t>dBi</w:t>
      </w:r>
      <w:proofErr w:type="spellEnd"/>
      <w:r w:rsidRPr="007D04B2">
        <w:t xml:space="preserve"> at a height of </w:t>
      </w:r>
      <w:r w:rsidR="00000963">
        <w:t>1.</w:t>
      </w:r>
      <w:r w:rsidRPr="007D04B2">
        <w:t>5</w:t>
      </w:r>
      <w:r w:rsidR="003C0E2C">
        <w:t xml:space="preserve"> </w:t>
      </w:r>
      <w:r w:rsidRPr="007D04B2">
        <w:t>m above the ground</w:t>
      </w:r>
      <w:r w:rsidR="00473557">
        <w:t>.</w:t>
      </w:r>
    </w:p>
    <w:p w14:paraId="59FC550B" w14:textId="5BB5FAD7" w:rsidR="00865EC9" w:rsidRPr="007D04B2" w:rsidRDefault="00865EC9" w:rsidP="00322232">
      <w:pPr>
        <w:pStyle w:val="ListBullet"/>
        <w:keepNext/>
        <w:keepLines/>
        <w:tabs>
          <w:tab w:val="clear" w:pos="295"/>
          <w:tab w:val="num" w:pos="863"/>
        </w:tabs>
        <w:ind w:left="863"/>
      </w:pPr>
      <w:r w:rsidRPr="007D04B2">
        <w:t>Us</w:t>
      </w:r>
      <w:r w:rsidR="00FF3495" w:rsidRPr="007D04B2">
        <w:t>e of</w:t>
      </w:r>
      <w:r w:rsidRPr="007D04B2">
        <w:t xml:space="preserve"> </w:t>
      </w:r>
      <w:r w:rsidR="00823EEC">
        <w:t xml:space="preserve">the </w:t>
      </w:r>
      <w:r w:rsidR="005B2E78">
        <w:t>modified</w:t>
      </w:r>
      <w:r w:rsidRPr="007D04B2">
        <w:t xml:space="preserve"> </w:t>
      </w:r>
      <w:r w:rsidR="00000963">
        <w:t>HATA</w:t>
      </w:r>
      <w:r w:rsidRPr="007D04B2">
        <w:t xml:space="preserve"> propagation model</w:t>
      </w:r>
      <w:r w:rsidR="00000963">
        <w:t xml:space="preserve"> as specified in ERC Report</w:t>
      </w:r>
      <w:r w:rsidR="005B2E78">
        <w:t> </w:t>
      </w:r>
      <w:r w:rsidR="00000963">
        <w:t>68</w:t>
      </w:r>
      <w:r w:rsidR="00473557">
        <w:t>.</w:t>
      </w:r>
    </w:p>
    <w:p w14:paraId="45155088" w14:textId="247E5C50" w:rsidR="00865EC9" w:rsidRPr="007D04B2" w:rsidRDefault="005549A9" w:rsidP="00246513">
      <w:pPr>
        <w:pStyle w:val="ListBullet"/>
        <w:tabs>
          <w:tab w:val="clear" w:pos="295"/>
          <w:tab w:val="num" w:pos="863"/>
        </w:tabs>
        <w:ind w:left="863"/>
      </w:pPr>
      <w:r w:rsidRPr="007D04B2">
        <w:t>A</w:t>
      </w:r>
      <w:r w:rsidR="00865EC9" w:rsidRPr="007D04B2">
        <w:t xml:space="preserve"> </w:t>
      </w:r>
      <w:r w:rsidR="00FF3495" w:rsidRPr="007D04B2">
        <w:t xml:space="preserve">calculation </w:t>
      </w:r>
      <w:r w:rsidR="00865EC9" w:rsidRPr="007D04B2">
        <w:t xml:space="preserve">procedure </w:t>
      </w:r>
      <w:r w:rsidRPr="007D04B2">
        <w:t xml:space="preserve">similar to that </w:t>
      </w:r>
      <w:r w:rsidR="00865EC9" w:rsidRPr="007D04B2">
        <w:t>implemented in other spectrum licence bands</w:t>
      </w:r>
      <w:r w:rsidR="00FF3495" w:rsidRPr="007D04B2">
        <w:t>.</w:t>
      </w:r>
    </w:p>
    <w:p w14:paraId="113111F1" w14:textId="7A30FF16" w:rsidR="001452E3" w:rsidRPr="00F33A30" w:rsidRDefault="001452E3" w:rsidP="00322232">
      <w:pPr>
        <w:pStyle w:val="Paragraph"/>
        <w:spacing w:after="60"/>
      </w:pPr>
      <w:r w:rsidRPr="005B2E78">
        <w:t xml:space="preserve">Based on </w:t>
      </w:r>
      <w:r w:rsidR="0040390A" w:rsidRPr="005B2E78">
        <w:t>discussions</w:t>
      </w:r>
      <w:r w:rsidR="00F33A30" w:rsidRPr="005B2E78">
        <w:t xml:space="preserve"> </w:t>
      </w:r>
      <w:r w:rsidR="005B2E78">
        <w:t>in</w:t>
      </w:r>
      <w:r w:rsidR="005B2E78" w:rsidRPr="005B2E78">
        <w:t xml:space="preserve"> </w:t>
      </w:r>
      <w:r w:rsidRPr="005B2E78">
        <w:t>the TLG</w:t>
      </w:r>
      <w:r w:rsidR="00681119" w:rsidRPr="005B2E78">
        <w:t xml:space="preserve">, </w:t>
      </w:r>
      <w:r w:rsidR="0082702E" w:rsidRPr="005B2E78">
        <w:t xml:space="preserve">the following </w:t>
      </w:r>
      <w:r w:rsidRPr="005B2E78">
        <w:t>amend</w:t>
      </w:r>
      <w:r w:rsidR="00681119" w:rsidRPr="005B2E78">
        <w:t>ments</w:t>
      </w:r>
      <w:r w:rsidRPr="005B2E78">
        <w:t xml:space="preserve"> </w:t>
      </w:r>
      <w:r w:rsidR="0082702E" w:rsidRPr="005B2E78">
        <w:t xml:space="preserve">are proposed to </w:t>
      </w:r>
      <w:r w:rsidRPr="005B2E78">
        <w:t>parts of the DBC:</w:t>
      </w:r>
    </w:p>
    <w:p w14:paraId="1A9B1015" w14:textId="121D4E6A" w:rsidR="001452E3" w:rsidRDefault="007B19C1" w:rsidP="00F33A30">
      <w:pPr>
        <w:pStyle w:val="ListBullet"/>
      </w:pPr>
      <w:r>
        <w:t xml:space="preserve">Keep the existing </w:t>
      </w:r>
      <w:r w:rsidR="001D5D55">
        <w:t xml:space="preserve">LOP of </w:t>
      </w:r>
      <w:r w:rsidR="001D5D55" w:rsidRPr="00F33A30">
        <w:t>-</w:t>
      </w:r>
      <w:r w:rsidR="001D5D55">
        <w:t xml:space="preserve">115 </w:t>
      </w:r>
      <w:r w:rsidR="001D5D55" w:rsidRPr="00F33A30">
        <w:t>dBm/</w:t>
      </w:r>
      <w:r w:rsidR="001D5D55">
        <w:t>30</w:t>
      </w:r>
      <w:r w:rsidR="003C0E2C">
        <w:t xml:space="preserve"> </w:t>
      </w:r>
      <w:r w:rsidR="001D5D55">
        <w:t>k</w:t>
      </w:r>
      <w:r w:rsidR="001D5D55" w:rsidRPr="00F33A30">
        <w:t>Hz</w:t>
      </w:r>
      <w:r w:rsidR="001D5D55">
        <w:t xml:space="preserve"> for non-AAS devices</w:t>
      </w:r>
      <w:r w:rsidR="001D5D55" w:rsidRPr="00F33A30">
        <w:t xml:space="preserve"> </w:t>
      </w:r>
      <w:r w:rsidR="00F00E7B">
        <w:t>and</w:t>
      </w:r>
      <w:r w:rsidR="001C3FBF">
        <w:t xml:space="preserve"> </w:t>
      </w:r>
      <w:r w:rsidR="001D5D55">
        <w:t>increase</w:t>
      </w:r>
      <w:r w:rsidR="009D2719">
        <w:t xml:space="preserve"> the LOP for</w:t>
      </w:r>
      <w:r w:rsidR="00F00E7B">
        <w:t xml:space="preserve"> AAS devices</w:t>
      </w:r>
      <w:r w:rsidR="009D2719">
        <w:t xml:space="preserve"> to </w:t>
      </w:r>
      <w:r w:rsidR="009D2719" w:rsidRPr="00F33A30">
        <w:t>-</w:t>
      </w:r>
      <w:r w:rsidR="009D2719">
        <w:t xml:space="preserve">107 </w:t>
      </w:r>
      <w:r w:rsidR="009D2719" w:rsidRPr="00F33A30">
        <w:t>dBm/</w:t>
      </w:r>
      <w:r w:rsidR="009D2719">
        <w:t>30</w:t>
      </w:r>
      <w:r w:rsidR="003C0E2C">
        <w:t xml:space="preserve"> </w:t>
      </w:r>
      <w:r w:rsidR="009D2719">
        <w:t>k</w:t>
      </w:r>
      <w:r w:rsidR="009D2719" w:rsidRPr="00F33A30">
        <w:t>Hz</w:t>
      </w:r>
      <w:r w:rsidR="001452E3" w:rsidRPr="00F33A30">
        <w:t>.</w:t>
      </w:r>
      <w:r w:rsidR="0040390A" w:rsidRPr="0040390A">
        <w:t xml:space="preserve"> </w:t>
      </w:r>
      <w:r w:rsidR="0040390A">
        <w:t xml:space="preserve">Spectrum licensees proposed and are happy to adopt </w:t>
      </w:r>
      <w:r w:rsidR="00C42B36">
        <w:t>the increase of</w:t>
      </w:r>
      <w:r w:rsidR="0040390A">
        <w:t xml:space="preserve"> LOP </w:t>
      </w:r>
      <w:r w:rsidR="00C42B36">
        <w:t xml:space="preserve">for </w:t>
      </w:r>
      <w:r w:rsidR="0033046B">
        <w:t>AAS devices</w:t>
      </w:r>
      <w:r w:rsidR="0040390A">
        <w:t>.</w:t>
      </w:r>
    </w:p>
    <w:p w14:paraId="262CEA1D" w14:textId="51B10E3A" w:rsidR="00DF5844" w:rsidRDefault="00846BE8" w:rsidP="00992F3B">
      <w:pPr>
        <w:pStyle w:val="ListBullet"/>
        <w:numPr>
          <w:ilvl w:val="0"/>
          <w:numId w:val="0"/>
        </w:numPr>
        <w:ind w:left="295"/>
      </w:pPr>
      <w:r>
        <w:t>The level of protection (LOP) is the benchmark protection given to receivers from co-channel emissions from</w:t>
      </w:r>
      <w:r w:rsidR="00A60DE0">
        <w:t xml:space="preserve"> </w:t>
      </w:r>
      <w:r>
        <w:t>transmitters operating in adjacent geographic licence areas.</w:t>
      </w:r>
      <w:r w:rsidR="00A60DE0">
        <w:t xml:space="preserve"> </w:t>
      </w:r>
      <w:r>
        <w:t xml:space="preserve">The current LOP is </w:t>
      </w:r>
      <w:r w:rsidR="0033046B" w:rsidRPr="00F33A30">
        <w:t>-</w:t>
      </w:r>
      <w:r w:rsidR="0033046B">
        <w:t xml:space="preserve">115 </w:t>
      </w:r>
      <w:r w:rsidR="0033046B" w:rsidRPr="00F33A30">
        <w:t>dBm/</w:t>
      </w:r>
      <w:r w:rsidR="0033046B">
        <w:t>30</w:t>
      </w:r>
      <w:r w:rsidR="00265200">
        <w:t xml:space="preserve"> </w:t>
      </w:r>
      <w:r w:rsidR="001927E9">
        <w:t>k</w:t>
      </w:r>
      <w:r w:rsidR="001927E9" w:rsidRPr="00F33A30">
        <w:t>Hz</w:t>
      </w:r>
      <w:r w:rsidR="001927E9">
        <w:t>.</w:t>
      </w:r>
      <w:r>
        <w:t xml:space="preserve"> This was based on compatibility </w:t>
      </w:r>
      <w:r w:rsidR="005B2E78">
        <w:t xml:space="preserve">with </w:t>
      </w:r>
      <w:r w:rsidR="00713DF0">
        <w:t>a</w:t>
      </w:r>
      <w:r>
        <w:t xml:space="preserve"> </w:t>
      </w:r>
      <w:r w:rsidR="00713DF0">
        <w:t xml:space="preserve">UE </w:t>
      </w:r>
      <w:r>
        <w:t>receiver.</w:t>
      </w:r>
      <w:r w:rsidR="00A60DE0">
        <w:t xml:space="preserve"> </w:t>
      </w:r>
      <w:r>
        <w:t>The current nominal receive antenna height above ground level</w:t>
      </w:r>
      <w:r w:rsidR="006716AA">
        <w:t xml:space="preserve"> is</w:t>
      </w:r>
      <w:r>
        <w:t xml:space="preserve"> </w:t>
      </w:r>
      <w:r w:rsidR="00D152A5">
        <w:t>1.</w:t>
      </w:r>
      <w:r>
        <w:t>5 m</w:t>
      </w:r>
      <w:r w:rsidR="006716AA">
        <w:t xml:space="preserve"> and t</w:t>
      </w:r>
      <w:r>
        <w:t>he current nominal receive antenna gain</w:t>
      </w:r>
      <w:r w:rsidR="006716AA">
        <w:t xml:space="preserve"> is</w:t>
      </w:r>
      <w:r>
        <w:t xml:space="preserve"> Gr = 0 </w:t>
      </w:r>
      <w:proofErr w:type="spellStart"/>
      <w:r>
        <w:t>dBi</w:t>
      </w:r>
      <w:proofErr w:type="spellEnd"/>
      <w:r>
        <w:t>.</w:t>
      </w:r>
      <w:r w:rsidR="00992F3B">
        <w:t xml:space="preserve"> </w:t>
      </w:r>
    </w:p>
    <w:p w14:paraId="657E5AC7" w14:textId="6ED567FD" w:rsidR="001C3FBF" w:rsidRDefault="00D80177" w:rsidP="00200EC4">
      <w:pPr>
        <w:pStyle w:val="ListBullet"/>
        <w:numPr>
          <w:ilvl w:val="0"/>
          <w:numId w:val="0"/>
        </w:numPr>
        <w:ind w:left="295"/>
      </w:pPr>
      <w:r>
        <w:t xml:space="preserve">For AAS devices, the possibility </w:t>
      </w:r>
      <w:r w:rsidR="00F935FB">
        <w:t>that a beam directed to</w:t>
      </w:r>
      <w:r w:rsidR="00B237BB">
        <w:t xml:space="preserve"> </w:t>
      </w:r>
      <w:r w:rsidR="00DB2866">
        <w:t xml:space="preserve">a </w:t>
      </w:r>
      <w:r w:rsidR="00F935FB">
        <w:t>UE in one spectrum licence area would align with another operator’s UE in a different geographic</w:t>
      </w:r>
      <w:r w:rsidR="00B237BB">
        <w:t xml:space="preserve"> </w:t>
      </w:r>
      <w:r w:rsidR="00F935FB">
        <w:t>area</w:t>
      </w:r>
      <w:r w:rsidR="00B237BB">
        <w:t xml:space="preserve"> is very low</w:t>
      </w:r>
      <w:r w:rsidR="00F935FB">
        <w:t xml:space="preserve">. </w:t>
      </w:r>
      <w:r w:rsidR="00DB2866">
        <w:t xml:space="preserve">The TLG therefore proposed </w:t>
      </w:r>
      <w:r w:rsidR="009660F3">
        <w:t>consider</w:t>
      </w:r>
      <w:r w:rsidR="00205F62">
        <w:t>ing</w:t>
      </w:r>
      <w:r w:rsidR="009660F3">
        <w:t xml:space="preserve"> </w:t>
      </w:r>
      <w:r w:rsidR="00F935FB">
        <w:t>an Antenna Beam Alignment Loss</w:t>
      </w:r>
      <w:r w:rsidR="00205F62">
        <w:t xml:space="preserve"> of 8 dB </w:t>
      </w:r>
      <w:r w:rsidR="00F935FB">
        <w:t xml:space="preserve">when </w:t>
      </w:r>
      <w:r w:rsidR="005C2181">
        <w:t xml:space="preserve">an </w:t>
      </w:r>
      <w:r w:rsidR="00F935FB">
        <w:t xml:space="preserve">AAS </w:t>
      </w:r>
      <w:r w:rsidR="005C2181">
        <w:t>is</w:t>
      </w:r>
      <w:r w:rsidR="00F935FB">
        <w:t xml:space="preserve"> being used</w:t>
      </w:r>
      <w:r w:rsidR="00205F62">
        <w:t xml:space="preserve"> </w:t>
      </w:r>
      <w:r w:rsidR="00F935FB">
        <w:t>by the base station.</w:t>
      </w:r>
      <w:r w:rsidR="00995EA8">
        <w:t xml:space="preserve"> Therefore, the LOP for AAS devices </w:t>
      </w:r>
      <w:r w:rsidR="005C2181">
        <w:t>is</w:t>
      </w:r>
      <w:r w:rsidR="00995EA8">
        <w:t xml:space="preserve"> suggested to be </w:t>
      </w:r>
      <w:r w:rsidR="007D3297" w:rsidRPr="00F33A30">
        <w:t>-</w:t>
      </w:r>
      <w:r w:rsidR="007D3297">
        <w:t xml:space="preserve">107 </w:t>
      </w:r>
      <w:r w:rsidR="007D3297" w:rsidRPr="00F33A30">
        <w:t>dBm/</w:t>
      </w:r>
      <w:r w:rsidR="007D3297">
        <w:t>30</w:t>
      </w:r>
      <w:r w:rsidR="00265200">
        <w:t xml:space="preserve"> </w:t>
      </w:r>
      <w:r w:rsidR="007D3297">
        <w:t>k</w:t>
      </w:r>
      <w:r w:rsidR="007D3297" w:rsidRPr="00F33A30">
        <w:t>Hz</w:t>
      </w:r>
      <w:r w:rsidR="00A6242A">
        <w:t>.</w:t>
      </w:r>
      <w:r w:rsidR="00995EA8">
        <w:t xml:space="preserve"> </w:t>
      </w:r>
    </w:p>
    <w:p w14:paraId="04FE3A2E" w14:textId="77777777" w:rsidR="00BC099C" w:rsidRDefault="00272D18" w:rsidP="00E5085E">
      <w:pPr>
        <w:pStyle w:val="ListBullet"/>
      </w:pPr>
      <w:r>
        <w:t xml:space="preserve">Increase in the </w:t>
      </w:r>
      <w:r w:rsidR="00E5085E">
        <w:t xml:space="preserve">accuracy of the base terrain data </w:t>
      </w:r>
      <w:r>
        <w:t xml:space="preserve">by </w:t>
      </w:r>
      <w:r w:rsidR="00E5085E">
        <w:t>applying 3-sec DEM</w:t>
      </w:r>
      <w:r w:rsidR="00D36317">
        <w:t xml:space="preserve"> instead of 9-sec DEM</w:t>
      </w:r>
      <w:r w:rsidR="00E5085E">
        <w:t xml:space="preserve">. </w:t>
      </w:r>
    </w:p>
    <w:p w14:paraId="092A4365" w14:textId="3F232D6B" w:rsidR="00DB2866" w:rsidRDefault="00822839" w:rsidP="00DB2866">
      <w:pPr>
        <w:pStyle w:val="ListBullet"/>
        <w:numPr>
          <w:ilvl w:val="0"/>
          <w:numId w:val="0"/>
        </w:numPr>
        <w:ind w:left="295"/>
      </w:pPr>
      <w:r>
        <w:t>T</w:t>
      </w:r>
      <w:r w:rsidR="00E5085E">
        <w:t>here are</w:t>
      </w:r>
      <w:r w:rsidR="00BC099C">
        <w:t xml:space="preserve"> </w:t>
      </w:r>
      <w:r w:rsidR="00E5085E">
        <w:t xml:space="preserve">advantages </w:t>
      </w:r>
      <w:r w:rsidR="00EC30F0">
        <w:t xml:space="preserve">in </w:t>
      </w:r>
      <w:r w:rsidR="00E5085E">
        <w:t>improving the accuracy of the base data. This</w:t>
      </w:r>
      <w:r w:rsidR="00D152A5">
        <w:t xml:space="preserve"> change</w:t>
      </w:r>
      <w:r w:rsidR="00E5085E">
        <w:t xml:space="preserve"> aligns with the </w:t>
      </w:r>
      <w:r w:rsidR="00D152A5">
        <w:t xml:space="preserve">changes made to the s.145 </w:t>
      </w:r>
      <w:r w:rsidR="00B54010">
        <w:t>determination</w:t>
      </w:r>
      <w:r w:rsidR="00D152A5">
        <w:t xml:space="preserve"> </w:t>
      </w:r>
      <w:r w:rsidR="00E5085E">
        <w:t xml:space="preserve">in the </w:t>
      </w:r>
      <w:r w:rsidR="00B67922">
        <w:t>other band</w:t>
      </w:r>
      <w:r w:rsidR="000B4059">
        <w:t xml:space="preserve">s, </w:t>
      </w:r>
      <w:r w:rsidR="00DB2866">
        <w:t>including the</w:t>
      </w:r>
      <w:r w:rsidR="00207D46">
        <w:t xml:space="preserve"> </w:t>
      </w:r>
      <w:r w:rsidR="00D152A5">
        <w:t xml:space="preserve">850/900 MHz, </w:t>
      </w:r>
      <w:r w:rsidR="00207D46">
        <w:t>2.3 GHz</w:t>
      </w:r>
      <w:r w:rsidR="005B2E78">
        <w:t>,</w:t>
      </w:r>
      <w:r w:rsidR="00207D46">
        <w:t xml:space="preserve"> </w:t>
      </w:r>
      <w:r w:rsidR="00D152A5">
        <w:t xml:space="preserve">3.4 GHz </w:t>
      </w:r>
      <w:r w:rsidR="005B2E78">
        <w:t xml:space="preserve">and 26 GHz </w:t>
      </w:r>
      <w:r w:rsidR="00D152A5">
        <w:t>band</w:t>
      </w:r>
      <w:r w:rsidR="005B2E78">
        <w:t>s</w:t>
      </w:r>
      <w:r w:rsidR="00E5085E">
        <w:t xml:space="preserve">. No changes to </w:t>
      </w:r>
      <w:r w:rsidR="000E032F">
        <w:t>the</w:t>
      </w:r>
      <w:r w:rsidR="00E5085E">
        <w:t xml:space="preserve"> height averaging are proposed.</w:t>
      </w:r>
      <w:r w:rsidR="00A80703">
        <w:t xml:space="preserve"> </w:t>
      </w:r>
    </w:p>
    <w:p w14:paraId="18B7E110" w14:textId="4735BE59" w:rsidR="001452E3" w:rsidRDefault="00DB2866" w:rsidP="00DB2866">
      <w:pPr>
        <w:pStyle w:val="ListBullet"/>
        <w:numPr>
          <w:ilvl w:val="0"/>
          <w:numId w:val="0"/>
        </w:numPr>
        <w:ind w:left="295"/>
      </w:pPr>
      <w:r>
        <w:t>To account for the higher resolution of the DEM, it was also proposed to i</w:t>
      </w:r>
      <w:r w:rsidR="001452E3" w:rsidRPr="00F33A30">
        <w:t>ncrease the resolution of calculations from 500</w:t>
      </w:r>
      <w:r w:rsidR="00265200">
        <w:t xml:space="preserve"> </w:t>
      </w:r>
      <w:r w:rsidR="001452E3" w:rsidRPr="00F33A30">
        <w:t xml:space="preserve">m increments to </w:t>
      </w:r>
      <w:r w:rsidR="006335DF">
        <w:t>10</w:t>
      </w:r>
      <w:r w:rsidR="001452E3" w:rsidRPr="00F33A30">
        <w:t>0</w:t>
      </w:r>
      <w:r w:rsidR="00265200">
        <w:t xml:space="preserve"> </w:t>
      </w:r>
      <w:r w:rsidR="001452E3" w:rsidRPr="00F33A30">
        <w:t>m increments.</w:t>
      </w:r>
      <w:r w:rsidR="001452E3" w:rsidRPr="007D04B2">
        <w:t xml:space="preserve"> </w:t>
      </w:r>
    </w:p>
    <w:p w14:paraId="493F7A47" w14:textId="5406AE32" w:rsidR="007B59E0" w:rsidRDefault="00671091" w:rsidP="00E82AA2">
      <w:pPr>
        <w:pStyle w:val="ListBullet"/>
      </w:pPr>
      <w:r>
        <w:t xml:space="preserve">Increasing </w:t>
      </w:r>
      <w:r w:rsidR="007B59E0">
        <w:t xml:space="preserve">the </w:t>
      </w:r>
      <w:r w:rsidR="00F664EE">
        <w:t xml:space="preserve">maximum </w:t>
      </w:r>
      <w:r w:rsidR="007B59E0">
        <w:t xml:space="preserve">value of </w:t>
      </w:r>
      <w:r w:rsidR="00EC30F0">
        <w:t>‘</w:t>
      </w:r>
      <w:r w:rsidR="007B59E0">
        <w:t>m</w:t>
      </w:r>
      <w:r w:rsidR="00EC30F0">
        <w:t>’</w:t>
      </w:r>
      <w:r w:rsidR="007B59E0">
        <w:t xml:space="preserve"> (which defines the maximum length of a DBC radial) </w:t>
      </w:r>
      <w:r w:rsidR="005B7C07">
        <w:t xml:space="preserve">from </w:t>
      </w:r>
      <w:r w:rsidR="00D152A5">
        <w:t>80</w:t>
      </w:r>
      <w:r w:rsidR="005B7C07">
        <w:t xml:space="preserve"> </w:t>
      </w:r>
      <w:r w:rsidR="007B59E0">
        <w:t xml:space="preserve">to </w:t>
      </w:r>
      <w:r w:rsidR="00D152A5">
        <w:t xml:space="preserve">400 </w:t>
      </w:r>
      <w:r w:rsidR="007B59E0">
        <w:t xml:space="preserve">(or equivalently </w:t>
      </w:r>
      <w:r w:rsidR="00D152A5">
        <w:t>4</w:t>
      </w:r>
      <w:r w:rsidR="00FD6A0C">
        <w:t>0</w:t>
      </w:r>
      <w:r w:rsidR="007B59E0">
        <w:t xml:space="preserve"> km)</w:t>
      </w:r>
      <w:r w:rsidR="00F664EE">
        <w:t xml:space="preserve">. This is based on the path loss required, assuming smooth earth diffraction, from a </w:t>
      </w:r>
      <w:r w:rsidR="00946E06">
        <w:t>5</w:t>
      </w:r>
      <w:r w:rsidR="00F664EE">
        <w:t>00</w:t>
      </w:r>
      <w:r w:rsidR="00265200">
        <w:t xml:space="preserve"> </w:t>
      </w:r>
      <w:r w:rsidR="00F664EE">
        <w:t xml:space="preserve">m high </w:t>
      </w:r>
      <w:r w:rsidR="00F664EE" w:rsidRPr="00FD6A0C">
        <w:rPr>
          <w:color w:val="000000" w:themeColor="text1"/>
        </w:rPr>
        <w:t xml:space="preserve">transmitter </w:t>
      </w:r>
      <w:r w:rsidR="00EC30F0">
        <w:rPr>
          <w:color w:val="000000" w:themeColor="text1"/>
        </w:rPr>
        <w:t>(Tx)</w:t>
      </w:r>
      <w:r w:rsidR="00F664EE" w:rsidRPr="00FD6A0C">
        <w:rPr>
          <w:color w:val="000000" w:themeColor="text1"/>
        </w:rPr>
        <w:t xml:space="preserve"> </w:t>
      </w:r>
      <w:r w:rsidR="00FD6A0C" w:rsidRPr="00FD6A0C">
        <w:rPr>
          <w:color w:val="000000" w:themeColor="text1"/>
        </w:rPr>
        <w:t xml:space="preserve">to a </w:t>
      </w:r>
      <w:r w:rsidR="00D152A5">
        <w:rPr>
          <w:color w:val="000000" w:themeColor="text1"/>
        </w:rPr>
        <w:t>1.</w:t>
      </w:r>
      <w:r w:rsidR="00FD6A0C" w:rsidRPr="00FD6A0C">
        <w:rPr>
          <w:color w:val="000000" w:themeColor="text1"/>
        </w:rPr>
        <w:t>5</w:t>
      </w:r>
      <w:r w:rsidR="00265200">
        <w:rPr>
          <w:color w:val="000000" w:themeColor="text1"/>
        </w:rPr>
        <w:t xml:space="preserve"> </w:t>
      </w:r>
      <w:r w:rsidR="00FD6A0C" w:rsidRPr="00FD6A0C">
        <w:rPr>
          <w:color w:val="000000" w:themeColor="text1"/>
        </w:rPr>
        <w:t xml:space="preserve">m </w:t>
      </w:r>
      <w:r w:rsidR="00EC30F0">
        <w:rPr>
          <w:color w:val="000000" w:themeColor="text1"/>
        </w:rPr>
        <w:t>receiver (Rx)</w:t>
      </w:r>
      <w:r w:rsidR="00EC30F0" w:rsidRPr="00FD6A0C">
        <w:rPr>
          <w:color w:val="000000" w:themeColor="text1"/>
        </w:rPr>
        <w:t xml:space="preserve"> </w:t>
      </w:r>
      <w:r w:rsidR="00F664EE">
        <w:t>(highest assumed Tx to Rx height difference) to meet the DBC.</w:t>
      </w:r>
      <w:r w:rsidR="00DB2866">
        <w:t xml:space="preserve"> </w:t>
      </w:r>
      <w:r w:rsidR="00C025B6">
        <w:t xml:space="preserve">It also </w:t>
      </w:r>
      <w:r w:rsidR="00DB2866">
        <w:t>accounts for the change in the resolution of calculations from 500</w:t>
      </w:r>
      <w:r w:rsidR="00265200">
        <w:t xml:space="preserve"> </w:t>
      </w:r>
      <w:r w:rsidR="00DB2866">
        <w:t>m to 100</w:t>
      </w:r>
      <w:r w:rsidR="00265200">
        <w:t> </w:t>
      </w:r>
      <w:r w:rsidR="00DB2866">
        <w:t xml:space="preserve">m. </w:t>
      </w:r>
      <w:r w:rsidR="00F664EE">
        <w:t xml:space="preserve"> </w:t>
      </w:r>
    </w:p>
    <w:p w14:paraId="0CE35CEB" w14:textId="328FC75A" w:rsidR="00365072" w:rsidRDefault="00DB2866" w:rsidP="004479D6">
      <w:pPr>
        <w:pStyle w:val="ListBullet"/>
      </w:pPr>
      <w:r>
        <w:t xml:space="preserve">DBC failures over ocean paths </w:t>
      </w:r>
      <w:r w:rsidR="002031E3">
        <w:t xml:space="preserve">not deemed as unacceptable interference. </w:t>
      </w:r>
    </w:p>
    <w:p w14:paraId="3544F0E3" w14:textId="70352F32" w:rsidR="001D4FAD" w:rsidRDefault="00AA4A20" w:rsidP="0062295F">
      <w:pPr>
        <w:pStyle w:val="ListBullet"/>
        <w:numPr>
          <w:ilvl w:val="0"/>
          <w:numId w:val="0"/>
        </w:numPr>
        <w:spacing w:after="360"/>
        <w:ind w:left="295"/>
      </w:pPr>
      <w:r>
        <w:t xml:space="preserve">The current </w:t>
      </w:r>
      <w:r w:rsidR="004E5FB1">
        <w:t xml:space="preserve">DBC procedure </w:t>
      </w:r>
      <w:r>
        <w:t xml:space="preserve">has no exclusions </w:t>
      </w:r>
      <w:r w:rsidR="002031E3">
        <w:t>when the LOP outside a spectrum licensee</w:t>
      </w:r>
      <w:r w:rsidR="00EC30F0">
        <w:t>’</w:t>
      </w:r>
      <w:r w:rsidR="002031E3">
        <w:t xml:space="preserve">s area is exceeded over </w:t>
      </w:r>
      <w:r>
        <w:t>ocean</w:t>
      </w:r>
      <w:r w:rsidR="00CF6F34">
        <w:t xml:space="preserve"> </w:t>
      </w:r>
      <w:r w:rsidR="002031E3">
        <w:t>paths only</w:t>
      </w:r>
      <w:r>
        <w:t>. This has resulted in device registration failures where there are no impacts to other</w:t>
      </w:r>
      <w:r w:rsidR="007D65BB">
        <w:t xml:space="preserve"> </w:t>
      </w:r>
      <w:r w:rsidR="00265200">
        <w:t>l</w:t>
      </w:r>
      <w:r>
        <w:t xml:space="preserve">icensees. This issue was addressed in </w:t>
      </w:r>
      <w:r w:rsidR="002031E3">
        <w:t xml:space="preserve">TLG processes for the </w:t>
      </w:r>
      <w:r w:rsidR="00D106BB">
        <w:t xml:space="preserve">850/900 MHz, </w:t>
      </w:r>
      <w:r w:rsidR="00207D46">
        <w:t xml:space="preserve">2.3, </w:t>
      </w:r>
      <w:r w:rsidR="002031E3">
        <w:t>3.4 GHz and 26 GHz bands. T</w:t>
      </w:r>
      <w:r>
        <w:t xml:space="preserve">he </w:t>
      </w:r>
      <w:r w:rsidR="007D65BB">
        <w:t xml:space="preserve">TLG </w:t>
      </w:r>
      <w:r w:rsidR="002031E3">
        <w:t xml:space="preserve">proposed including similar mechanisms for the </w:t>
      </w:r>
      <w:r w:rsidR="006419FA">
        <w:t>1800 MHz</w:t>
      </w:r>
      <w:r w:rsidR="002031E3">
        <w:t xml:space="preserve"> band. Specifically</w:t>
      </w:r>
      <w:r w:rsidR="007B2ED8">
        <w:t>,</w:t>
      </w:r>
      <w:r w:rsidR="002031E3">
        <w:t xml:space="preserve"> including </w:t>
      </w:r>
      <w:r w:rsidR="000E032F">
        <w:t>the following</w:t>
      </w:r>
      <w:r w:rsidR="002031E3">
        <w:t xml:space="preserve"> new clause into the s.145(4) determination</w:t>
      </w:r>
      <w:r w:rsidR="00265200">
        <w:t>:</w:t>
      </w:r>
      <w:r w:rsidR="002031E3">
        <w:t xml:space="preserve"> </w:t>
      </w:r>
    </w:p>
    <w:p w14:paraId="305C64D4" w14:textId="25A38378" w:rsidR="0082164C" w:rsidRDefault="0082164C" w:rsidP="006534AB">
      <w:pPr>
        <w:pStyle w:val="ListBullet"/>
        <w:numPr>
          <w:ilvl w:val="0"/>
          <w:numId w:val="0"/>
        </w:numPr>
        <w:ind w:left="295"/>
      </w:pPr>
      <w:r w:rsidRPr="00C36E48">
        <w:rPr>
          <w:rFonts w:cs="Arial"/>
          <w:noProof/>
        </w:rPr>
        <w:lastRenderedPageBreak/>
        <mc:AlternateContent>
          <mc:Choice Requires="wps">
            <w:drawing>
              <wp:inline distT="0" distB="0" distL="0" distR="0" wp14:anchorId="0CF75F8C" wp14:editId="29BE0ED4">
                <wp:extent cx="4772025" cy="2533650"/>
                <wp:effectExtent l="0" t="0" r="28575" b="19050"/>
                <wp:docPr id="5" name="Text Box 5"/>
                <wp:cNvGraphicFramePr/>
                <a:graphic xmlns:a="http://schemas.openxmlformats.org/drawingml/2006/main">
                  <a:graphicData uri="http://schemas.microsoft.com/office/word/2010/wordprocessingShape">
                    <wps:wsp>
                      <wps:cNvSpPr txBox="1"/>
                      <wps:spPr>
                        <a:xfrm>
                          <a:off x="0" y="0"/>
                          <a:ext cx="4772025" cy="2533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8623E3" w14:textId="2726D710" w:rsidR="001A4276" w:rsidRPr="00322232" w:rsidRDefault="001A4276" w:rsidP="00AC719F">
                            <w:pPr>
                              <w:pStyle w:val="R1"/>
                              <w:ind w:left="0" w:firstLine="0"/>
                              <w:rPr>
                                <w:sz w:val="21"/>
                                <w:szCs w:val="21"/>
                              </w:rPr>
                            </w:pPr>
                            <w:r w:rsidRPr="00322232">
                              <w:rPr>
                                <w:sz w:val="21"/>
                                <w:szCs w:val="21"/>
                              </w:rPr>
                              <w:t>(</w:t>
                            </w:r>
                            <w:r w:rsidR="005B2E78" w:rsidRPr="00322232">
                              <w:rPr>
                                <w:sz w:val="21"/>
                                <w:szCs w:val="21"/>
                              </w:rPr>
                              <w:t>9.</w:t>
                            </w:r>
                            <w:r w:rsidR="000E032F" w:rsidRPr="00322232">
                              <w:rPr>
                                <w:sz w:val="21"/>
                                <w:szCs w:val="21"/>
                              </w:rPr>
                              <w:t>X</w:t>
                            </w:r>
                            <w:r w:rsidRPr="00322232">
                              <w:rPr>
                                <w:sz w:val="21"/>
                                <w:szCs w:val="21"/>
                              </w:rPr>
                              <w:t>)   A level of interference mentioned in paragraph 9(1) is not unacceptable in relation to a part of the device boundary that:</w:t>
                            </w:r>
                          </w:p>
                          <w:p w14:paraId="321B8306" w14:textId="77777777" w:rsidR="001A4276" w:rsidRPr="00322232" w:rsidRDefault="001A4276" w:rsidP="007B2ED8">
                            <w:pPr>
                              <w:pStyle w:val="R1"/>
                              <w:ind w:left="426" w:hanging="426"/>
                              <w:rPr>
                                <w:sz w:val="21"/>
                                <w:szCs w:val="21"/>
                              </w:rPr>
                            </w:pPr>
                            <w:r w:rsidRPr="00322232">
                              <w:rPr>
                                <w:sz w:val="21"/>
                                <w:szCs w:val="21"/>
                              </w:rPr>
                              <w:t xml:space="preserve">         (a) lies outside the geographic area of the licence; and</w:t>
                            </w:r>
                          </w:p>
                          <w:p w14:paraId="647E4290" w14:textId="77777777" w:rsidR="001A4276" w:rsidRPr="00322232" w:rsidRDefault="001A4276" w:rsidP="007B2ED8">
                            <w:pPr>
                              <w:pStyle w:val="R1"/>
                              <w:ind w:left="426" w:hanging="426"/>
                              <w:rPr>
                                <w:sz w:val="21"/>
                                <w:szCs w:val="21"/>
                              </w:rPr>
                            </w:pPr>
                            <w:r w:rsidRPr="00322232">
                              <w:rPr>
                                <w:sz w:val="21"/>
                                <w:szCs w:val="21"/>
                              </w:rPr>
                              <w:t xml:space="preserve">         (b) is connected to a radial that:</w:t>
                            </w:r>
                          </w:p>
                          <w:p w14:paraId="5ACC6FCB" w14:textId="77777777" w:rsidR="001A4276" w:rsidRPr="00322232" w:rsidRDefault="001A4276" w:rsidP="007B2ED8">
                            <w:pPr>
                              <w:pStyle w:val="R1"/>
                              <w:ind w:left="426" w:hanging="426"/>
                              <w:rPr>
                                <w:sz w:val="21"/>
                                <w:szCs w:val="21"/>
                              </w:rPr>
                            </w:pPr>
                            <w:r w:rsidRPr="00322232">
                              <w:rPr>
                                <w:sz w:val="21"/>
                                <w:szCs w:val="21"/>
                              </w:rPr>
                              <w:t xml:space="preserve">                (i)  is mentioned in Part 1 of Schedule 2; and</w:t>
                            </w:r>
                          </w:p>
                          <w:p w14:paraId="401DD489" w14:textId="77777777" w:rsidR="001A4276" w:rsidRPr="00322232" w:rsidRDefault="001A4276" w:rsidP="007B2ED8">
                            <w:pPr>
                              <w:pStyle w:val="R1"/>
                              <w:ind w:left="426" w:hanging="426"/>
                              <w:rPr>
                                <w:sz w:val="21"/>
                                <w:szCs w:val="21"/>
                              </w:rPr>
                            </w:pPr>
                            <w:r w:rsidRPr="00322232">
                              <w:rPr>
                                <w:sz w:val="21"/>
                                <w:szCs w:val="21"/>
                              </w:rPr>
                              <w:t xml:space="preserve">                (ii) does not cross over land outside the geographical area of the  </w:t>
                            </w:r>
                          </w:p>
                          <w:p w14:paraId="0B7F9832" w14:textId="77777777" w:rsidR="001A4276" w:rsidRPr="00322232" w:rsidRDefault="001A4276" w:rsidP="00AC719F">
                            <w:pPr>
                              <w:pStyle w:val="R1"/>
                              <w:ind w:left="426" w:hanging="426"/>
                              <w:rPr>
                                <w:sz w:val="21"/>
                                <w:szCs w:val="21"/>
                              </w:rPr>
                            </w:pPr>
                            <w:r w:rsidRPr="00322232">
                              <w:rPr>
                                <w:sz w:val="21"/>
                                <w:szCs w:val="21"/>
                              </w:rPr>
                              <w:t xml:space="preserve">                     licence that is permanently above the Australian territorial sea </w:t>
                            </w:r>
                          </w:p>
                          <w:p w14:paraId="4A16B11E" w14:textId="0A23CF33" w:rsidR="001A4276" w:rsidRPr="00322232" w:rsidRDefault="001A4276" w:rsidP="00AC719F">
                            <w:pPr>
                              <w:pStyle w:val="R1"/>
                              <w:ind w:left="426" w:hanging="426"/>
                              <w:rPr>
                                <w:sz w:val="21"/>
                                <w:szCs w:val="21"/>
                              </w:rPr>
                            </w:pPr>
                            <w:r w:rsidRPr="00322232">
                              <w:rPr>
                                <w:sz w:val="21"/>
                                <w:szCs w:val="21"/>
                              </w:rPr>
                              <w:t xml:space="preserve">                     baseline as defined by Geoscience Australia;</w:t>
                            </w:r>
                          </w:p>
                          <w:p w14:paraId="7A48B4DE" w14:textId="77777777" w:rsidR="001A4276" w:rsidRPr="00322232" w:rsidRDefault="001A4276" w:rsidP="007B2ED8">
                            <w:pPr>
                              <w:pStyle w:val="R1"/>
                              <w:ind w:left="426" w:hanging="426"/>
                              <w:rPr>
                                <w:sz w:val="21"/>
                                <w:szCs w:val="21"/>
                              </w:rPr>
                            </w:pPr>
                            <w:r w:rsidRPr="00322232">
                              <w:rPr>
                                <w:sz w:val="21"/>
                                <w:szCs w:val="21"/>
                              </w:rPr>
                              <w:t xml:space="preserve">                (iii) does not cross into any of the following HCIS: IW3E, IW3I, </w:t>
                            </w:r>
                          </w:p>
                          <w:p w14:paraId="019EF755" w14:textId="5D173D24" w:rsidR="001A4276" w:rsidRPr="00322232" w:rsidRDefault="001A4276" w:rsidP="00915C1C">
                            <w:pPr>
                              <w:pStyle w:val="R1"/>
                              <w:ind w:left="426" w:hanging="426"/>
                              <w:rPr>
                                <w:sz w:val="21"/>
                                <w:szCs w:val="21"/>
                              </w:rPr>
                            </w:pPr>
                            <w:r w:rsidRPr="00322232">
                              <w:rPr>
                                <w:sz w:val="21"/>
                                <w:szCs w:val="21"/>
                              </w:rPr>
                              <w:t xml:space="preserve">                       IW3M, IW6A, IW6E, KX9, LX7, LX8, LX9.</w:t>
                            </w:r>
                          </w:p>
                          <w:p w14:paraId="73D3A1FC" w14:textId="77777777" w:rsidR="001A4276" w:rsidRPr="00322232" w:rsidRDefault="001A4276" w:rsidP="0082164C">
                            <w:pPr>
                              <w:spacing w:after="120"/>
                              <w:ind w:left="568" w:hanging="416"/>
                              <w:rPr>
                                <w:rFonts w:ascii="Times New Roman" w:hAnsi="Times New Roman"/>
                                <w:sz w:val="21"/>
                                <w:szCs w:val="21"/>
                              </w:rPr>
                            </w:pPr>
                          </w:p>
                          <w:p w14:paraId="18FA48FE" w14:textId="77777777" w:rsidR="001A4276" w:rsidRDefault="001A4276" w:rsidP="0082164C">
                            <w:pPr>
                              <w:spacing w:after="120"/>
                              <w:ind w:left="152"/>
                              <w:rPr>
                                <w:rFonts w:ascii="Times New Roman" w:hAnsi="Times New Roman"/>
                                <w:szCs w:val="20"/>
                              </w:rPr>
                            </w:pPr>
                          </w:p>
                        </w:txbxContent>
                      </wps:txbx>
                      <wps:bodyPr rot="0" spcFirstLastPara="0" vertOverflow="overflow" horzOverflow="overflow" vert="horz" wrap="square" lIns="36000" tIns="45720" rIns="36000" bIns="45720" numCol="1" spcCol="0" rtlCol="0" fromWordArt="0" anchor="t" anchorCtr="0" forceAA="0" compatLnSpc="1">
                        <a:prstTxWarp prst="textNoShape">
                          <a:avLst/>
                        </a:prstTxWarp>
                        <a:noAutofit/>
                      </wps:bodyPr>
                    </wps:wsp>
                  </a:graphicData>
                </a:graphic>
              </wp:inline>
            </w:drawing>
          </mc:Choice>
          <mc:Fallback>
            <w:pict>
              <v:shape w14:anchorId="0CF75F8C" id="Text Box 5" o:spid="_x0000_s1027" type="#_x0000_t202" style="width:375.75pt;height:19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" fillcolor="white [3201]" strokeweight=".5pt">
                <v:textbox inset="1mm,,1mm">
                  <w:txbxContent>
                    <w:p w14:paraId="218623E3" w14:textId="2726D710" w:rsidR="001A4276" w:rsidRPr="00322232" w:rsidRDefault="001A4276" w:rsidP="00AC719F">
                      <w:pPr>
                        <w:pStyle w:val="R1"/>
                        <w:ind w:left="0" w:firstLine="0"/>
                        <w:rPr>
                          <w:sz w:val="21"/>
                          <w:szCs w:val="21"/>
                        </w:rPr>
                      </w:pPr>
                      <w:r w:rsidRPr="00322232">
                        <w:rPr>
                          <w:sz w:val="21"/>
                          <w:szCs w:val="21"/>
                        </w:rPr>
                        <w:t>(</w:t>
                      </w:r>
                      <w:r w:rsidR="005B2E78" w:rsidRPr="00322232">
                        <w:rPr>
                          <w:sz w:val="21"/>
                          <w:szCs w:val="21"/>
                        </w:rPr>
                        <w:t>9.</w:t>
                      </w:r>
                      <w:r w:rsidR="000E032F" w:rsidRPr="00322232">
                        <w:rPr>
                          <w:sz w:val="21"/>
                          <w:szCs w:val="21"/>
                        </w:rPr>
                        <w:t>X</w:t>
                      </w:r>
                      <w:r w:rsidRPr="00322232">
                        <w:rPr>
                          <w:sz w:val="21"/>
                          <w:szCs w:val="21"/>
                        </w:rPr>
                        <w:t>)   A level of interference mentioned in paragraph 9(1) is not unacceptable in relation to a part of the device boundary that:</w:t>
                      </w:r>
                    </w:p>
                    <w:p w14:paraId="321B8306" w14:textId="77777777" w:rsidR="001A4276" w:rsidRPr="00322232" w:rsidRDefault="001A4276" w:rsidP="007B2ED8">
                      <w:pPr>
                        <w:pStyle w:val="R1"/>
                        <w:ind w:left="426" w:hanging="426"/>
                        <w:rPr>
                          <w:sz w:val="21"/>
                          <w:szCs w:val="21"/>
                        </w:rPr>
                      </w:pPr>
                      <w:r w:rsidRPr="00322232">
                        <w:rPr>
                          <w:sz w:val="21"/>
                          <w:szCs w:val="21"/>
                        </w:rPr>
                        <w:t xml:space="preserve">         (a) lies outside the geographic area of the licence; and</w:t>
                      </w:r>
                    </w:p>
                    <w:p w14:paraId="647E4290" w14:textId="77777777" w:rsidR="001A4276" w:rsidRPr="00322232" w:rsidRDefault="001A4276" w:rsidP="007B2ED8">
                      <w:pPr>
                        <w:pStyle w:val="R1"/>
                        <w:ind w:left="426" w:hanging="426"/>
                        <w:rPr>
                          <w:sz w:val="21"/>
                          <w:szCs w:val="21"/>
                        </w:rPr>
                      </w:pPr>
                      <w:r w:rsidRPr="00322232">
                        <w:rPr>
                          <w:sz w:val="21"/>
                          <w:szCs w:val="21"/>
                        </w:rPr>
                        <w:t xml:space="preserve">         (b) is connected to a radial that:</w:t>
                      </w:r>
                    </w:p>
                    <w:p w14:paraId="5ACC6FCB" w14:textId="77777777" w:rsidR="001A4276" w:rsidRPr="00322232" w:rsidRDefault="001A4276" w:rsidP="007B2ED8">
                      <w:pPr>
                        <w:pStyle w:val="R1"/>
                        <w:ind w:left="426" w:hanging="426"/>
                        <w:rPr>
                          <w:sz w:val="21"/>
                          <w:szCs w:val="21"/>
                        </w:rPr>
                      </w:pPr>
                      <w:r w:rsidRPr="00322232">
                        <w:rPr>
                          <w:sz w:val="21"/>
                          <w:szCs w:val="21"/>
                        </w:rPr>
                        <w:t xml:space="preserve">                (i)  is mentioned in Part 1 of Schedule 2; and</w:t>
                      </w:r>
                    </w:p>
                    <w:p w14:paraId="401DD489" w14:textId="77777777" w:rsidR="001A4276" w:rsidRPr="00322232" w:rsidRDefault="001A4276" w:rsidP="007B2ED8">
                      <w:pPr>
                        <w:pStyle w:val="R1"/>
                        <w:ind w:left="426" w:hanging="426"/>
                        <w:rPr>
                          <w:sz w:val="21"/>
                          <w:szCs w:val="21"/>
                        </w:rPr>
                      </w:pPr>
                      <w:r w:rsidRPr="00322232">
                        <w:rPr>
                          <w:sz w:val="21"/>
                          <w:szCs w:val="21"/>
                        </w:rPr>
                        <w:t xml:space="preserve">                (ii) does not cross over land outside the geographical area of the  </w:t>
                      </w:r>
                    </w:p>
                    <w:p w14:paraId="0B7F9832" w14:textId="77777777" w:rsidR="001A4276" w:rsidRPr="00322232" w:rsidRDefault="001A4276" w:rsidP="00AC719F">
                      <w:pPr>
                        <w:pStyle w:val="R1"/>
                        <w:ind w:left="426" w:hanging="426"/>
                        <w:rPr>
                          <w:sz w:val="21"/>
                          <w:szCs w:val="21"/>
                        </w:rPr>
                      </w:pPr>
                      <w:r w:rsidRPr="00322232">
                        <w:rPr>
                          <w:sz w:val="21"/>
                          <w:szCs w:val="21"/>
                        </w:rPr>
                        <w:t xml:space="preserve">                     licence that is permanently above the Australian territorial sea </w:t>
                      </w:r>
                    </w:p>
                    <w:p w14:paraId="4A16B11E" w14:textId="0A23CF33" w:rsidR="001A4276" w:rsidRPr="00322232" w:rsidRDefault="001A4276" w:rsidP="00AC719F">
                      <w:pPr>
                        <w:pStyle w:val="R1"/>
                        <w:ind w:left="426" w:hanging="426"/>
                        <w:rPr>
                          <w:sz w:val="21"/>
                          <w:szCs w:val="21"/>
                        </w:rPr>
                      </w:pPr>
                      <w:r w:rsidRPr="00322232">
                        <w:rPr>
                          <w:sz w:val="21"/>
                          <w:szCs w:val="21"/>
                        </w:rPr>
                        <w:t xml:space="preserve">                     baseline as defined by Geoscience Australia;</w:t>
                      </w:r>
                    </w:p>
                    <w:p w14:paraId="7A48B4DE" w14:textId="77777777" w:rsidR="001A4276" w:rsidRPr="00322232" w:rsidRDefault="001A4276" w:rsidP="007B2ED8">
                      <w:pPr>
                        <w:pStyle w:val="R1"/>
                        <w:ind w:left="426" w:hanging="426"/>
                        <w:rPr>
                          <w:sz w:val="21"/>
                          <w:szCs w:val="21"/>
                        </w:rPr>
                      </w:pPr>
                      <w:r w:rsidRPr="00322232">
                        <w:rPr>
                          <w:sz w:val="21"/>
                          <w:szCs w:val="21"/>
                        </w:rPr>
                        <w:t xml:space="preserve">                (iii) does not cross into any of the following HCIS: IW3E, IW3I, </w:t>
                      </w:r>
                    </w:p>
                    <w:p w14:paraId="019EF755" w14:textId="5D173D24" w:rsidR="001A4276" w:rsidRPr="00322232" w:rsidRDefault="001A4276" w:rsidP="00915C1C">
                      <w:pPr>
                        <w:pStyle w:val="R1"/>
                        <w:ind w:left="426" w:hanging="426"/>
                        <w:rPr>
                          <w:sz w:val="21"/>
                          <w:szCs w:val="21"/>
                        </w:rPr>
                      </w:pPr>
                      <w:r w:rsidRPr="00322232">
                        <w:rPr>
                          <w:sz w:val="21"/>
                          <w:szCs w:val="21"/>
                        </w:rPr>
                        <w:t xml:space="preserve">                       IW3M, IW6A, IW6E, KX9, LX7, LX8, LX9.</w:t>
                      </w:r>
                    </w:p>
                    <w:p w14:paraId="73D3A1FC" w14:textId="77777777" w:rsidR="001A4276" w:rsidRPr="00322232" w:rsidRDefault="001A4276" w:rsidP="0082164C">
                      <w:pPr>
                        <w:spacing w:after="120"/>
                        <w:ind w:left="568" w:hanging="416"/>
                        <w:rPr>
                          <w:rFonts w:ascii="Times New Roman" w:hAnsi="Times New Roman"/>
                          <w:sz w:val="21"/>
                          <w:szCs w:val="21"/>
                        </w:rPr>
                      </w:pPr>
                    </w:p>
                    <w:p w14:paraId="18FA48FE" w14:textId="77777777" w:rsidR="001A4276" w:rsidRDefault="001A4276" w:rsidP="0082164C">
                      <w:pPr>
                        <w:spacing w:after="120"/>
                        <w:ind w:left="152"/>
                        <w:rPr>
                          <w:rFonts w:ascii="Times New Roman" w:hAnsi="Times New Roman"/>
                          <w:szCs w:val="20"/>
                        </w:rPr>
                      </w:pPr>
                    </w:p>
                  </w:txbxContent>
                </v:textbox>
                <w10:anchorlock/>
              </v:shape>
            </w:pict>
          </mc:Fallback>
        </mc:AlternateContent>
      </w:r>
    </w:p>
    <w:p w14:paraId="6DFB895A" w14:textId="0A6754B9" w:rsidR="00A40ECF" w:rsidRPr="0062295F" w:rsidRDefault="003620E4" w:rsidP="0062295F">
      <w:pPr>
        <w:pStyle w:val="ListBulletLast"/>
        <w:spacing w:before="240"/>
      </w:pPr>
      <w:r>
        <w:rPr>
          <w:color w:val="000000"/>
          <w:shd w:val="clear" w:color="auto" w:fill="FFFFFF"/>
        </w:rPr>
        <w:t>R</w:t>
      </w:r>
      <w:r w:rsidR="0072660D">
        <w:rPr>
          <w:color w:val="000000"/>
          <w:shd w:val="clear" w:color="auto" w:fill="FFFFFF"/>
        </w:rPr>
        <w:t>emoval</w:t>
      </w:r>
      <w:r>
        <w:rPr>
          <w:color w:val="000000"/>
          <w:shd w:val="clear" w:color="auto" w:fill="FFFFFF"/>
        </w:rPr>
        <w:t xml:space="preserve"> of clause 9(h)</w:t>
      </w:r>
      <w:r w:rsidR="006B180D">
        <w:rPr>
          <w:color w:val="000000"/>
          <w:shd w:val="clear" w:color="auto" w:fill="FFFFFF"/>
        </w:rPr>
        <w:t xml:space="preserve"> which deems </w:t>
      </w:r>
      <w:r w:rsidR="0072660D">
        <w:rPr>
          <w:color w:val="000000"/>
          <w:shd w:val="clear" w:color="auto" w:fill="FFFFFF"/>
        </w:rPr>
        <w:t xml:space="preserve">a fixed transmitter that operates in the frequency band 1877.5 MHz – 1880 MHz with a horizontally radiated power greater </w:t>
      </w:r>
      <w:r w:rsidR="0072660D" w:rsidRPr="00431641">
        <w:rPr>
          <w:color w:val="000000"/>
          <w:shd w:val="clear" w:color="auto" w:fill="FFFFFF"/>
        </w:rPr>
        <w:t>than 50 dBm per 30 kHz</w:t>
      </w:r>
      <w:r w:rsidR="000565C9" w:rsidRPr="00431641">
        <w:rPr>
          <w:color w:val="000000"/>
          <w:shd w:val="clear" w:color="auto" w:fill="FFFFFF"/>
        </w:rPr>
        <w:t xml:space="preserve"> to be causing interference</w:t>
      </w:r>
      <w:r w:rsidR="0072660D" w:rsidRPr="00431641">
        <w:rPr>
          <w:color w:val="000000"/>
          <w:shd w:val="clear" w:color="auto" w:fill="FFFFFF"/>
        </w:rPr>
        <w:t>.</w:t>
      </w:r>
      <w:r w:rsidR="000565C9" w:rsidRPr="00431641">
        <w:rPr>
          <w:color w:val="000000"/>
          <w:shd w:val="clear" w:color="auto" w:fill="FFFFFF"/>
        </w:rPr>
        <w:t xml:space="preserve"> </w:t>
      </w:r>
    </w:p>
    <w:p w14:paraId="35EEFF83" w14:textId="33692ECE" w:rsidR="00227D56" w:rsidRDefault="009A6B5E" w:rsidP="005D3786">
      <w:pPr>
        <w:pStyle w:val="ListBulletLast"/>
        <w:numPr>
          <w:ilvl w:val="0"/>
          <w:numId w:val="0"/>
        </w:numPr>
        <w:ind w:left="295"/>
      </w:pPr>
      <w:r w:rsidRPr="00431641">
        <w:rPr>
          <w:color w:val="000000"/>
          <w:shd w:val="clear" w:color="auto" w:fill="FFFFFF"/>
        </w:rPr>
        <w:t>This requirement was originally adopted to mitigate any potential interference concerns and ensure coexistence between DECT and spectrum licen</w:t>
      </w:r>
      <w:r w:rsidR="008A6608">
        <w:rPr>
          <w:color w:val="000000"/>
          <w:shd w:val="clear" w:color="auto" w:fill="FFFFFF"/>
        </w:rPr>
        <w:t>s</w:t>
      </w:r>
      <w:r w:rsidRPr="00431641">
        <w:rPr>
          <w:color w:val="000000"/>
          <w:shd w:val="clear" w:color="auto" w:fill="FFFFFF"/>
        </w:rPr>
        <w:t>ed services.</w:t>
      </w:r>
      <w:r w:rsidR="00745271" w:rsidRPr="00431641">
        <w:rPr>
          <w:color w:val="000000"/>
          <w:shd w:val="clear" w:color="auto" w:fill="FFFFFF"/>
        </w:rPr>
        <w:t xml:space="preserve"> </w:t>
      </w:r>
      <w:r w:rsidR="0033277F">
        <w:rPr>
          <w:color w:val="000000"/>
          <w:shd w:val="clear" w:color="auto" w:fill="FFFFFF"/>
        </w:rPr>
        <w:t xml:space="preserve">However, studies in the </w:t>
      </w:r>
      <w:hyperlink r:id="rId38" w:history="1">
        <w:r w:rsidR="0033277F" w:rsidRPr="00EA3921">
          <w:rPr>
            <w:rStyle w:val="Hyperlink"/>
            <w:shd w:val="clear" w:color="auto" w:fill="FFFFFF"/>
          </w:rPr>
          <w:t>Electronic Communications Committee (ECC) Reports 96</w:t>
        </w:r>
      </w:hyperlink>
      <w:r w:rsidR="0033277F">
        <w:rPr>
          <w:color w:val="000000"/>
          <w:shd w:val="clear" w:color="auto" w:fill="FFFFFF"/>
        </w:rPr>
        <w:t xml:space="preserve"> and 146, the </w:t>
      </w:r>
      <w:hyperlink r:id="rId39" w:history="1">
        <w:r w:rsidR="0033277F" w:rsidRPr="00EA3921">
          <w:rPr>
            <w:rStyle w:val="Hyperlink"/>
            <w:shd w:val="clear" w:color="auto" w:fill="FFFFFF"/>
          </w:rPr>
          <w:t>European Conference of Postal and Telecommunications Administrations (CEPT) Report 41</w:t>
        </w:r>
      </w:hyperlink>
      <w:r w:rsidR="0033277F">
        <w:rPr>
          <w:color w:val="000000"/>
          <w:shd w:val="clear" w:color="auto" w:fill="FFFFFF"/>
        </w:rPr>
        <w:t xml:space="preserve">, </w:t>
      </w:r>
      <w:hyperlink r:id="rId40" w:history="1">
        <w:r w:rsidR="0033277F" w:rsidRPr="00EA3921">
          <w:rPr>
            <w:rStyle w:val="Hyperlink"/>
            <w:shd w:val="clear" w:color="auto" w:fill="FFFFFF"/>
          </w:rPr>
          <w:t>ECC Report 297</w:t>
        </w:r>
      </w:hyperlink>
      <w:r w:rsidR="0033277F">
        <w:rPr>
          <w:color w:val="000000"/>
          <w:shd w:val="clear" w:color="auto" w:fill="FFFFFF"/>
        </w:rPr>
        <w:t xml:space="preserve"> show that this restriction is not</w:t>
      </w:r>
      <w:r w:rsidR="00265200">
        <w:rPr>
          <w:color w:val="000000"/>
          <w:shd w:val="clear" w:color="auto" w:fill="FFFFFF"/>
        </w:rPr>
        <w:t> </w:t>
      </w:r>
      <w:r w:rsidR="0033277F">
        <w:rPr>
          <w:color w:val="000000"/>
          <w:shd w:val="clear" w:color="auto" w:fill="FFFFFF"/>
        </w:rPr>
        <w:t>required.</w:t>
      </w:r>
    </w:p>
    <w:p w14:paraId="736D4C8C" w14:textId="77777777" w:rsidR="0029295B" w:rsidRPr="007D04B2" w:rsidRDefault="0029295B" w:rsidP="0029295B">
      <w:pPr>
        <w:pStyle w:val="Heading2"/>
      </w:pPr>
      <w:bookmarkStart w:id="48" w:name="_Ref312338161"/>
      <w:bookmarkStart w:id="49" w:name="_Ref312338219"/>
      <w:bookmarkStart w:id="50" w:name="_Ref314129073"/>
      <w:bookmarkStart w:id="51" w:name="_Toc328403872"/>
      <w:bookmarkStart w:id="52" w:name="_Toc403740554"/>
      <w:bookmarkStart w:id="53" w:name="_Toc404333449"/>
      <w:bookmarkStart w:id="54" w:name="_Toc444690627"/>
      <w:bookmarkStart w:id="55" w:name="_Toc56006340"/>
      <w:bookmarkStart w:id="56" w:name="_Toc84339346"/>
      <w:r w:rsidRPr="007D04B2">
        <w:t>Radiocommunications advisory guidelines</w:t>
      </w:r>
      <w:bookmarkEnd w:id="48"/>
      <w:bookmarkEnd w:id="49"/>
      <w:bookmarkEnd w:id="50"/>
      <w:bookmarkEnd w:id="51"/>
      <w:bookmarkEnd w:id="52"/>
      <w:bookmarkEnd w:id="53"/>
      <w:bookmarkEnd w:id="54"/>
      <w:bookmarkEnd w:id="55"/>
      <w:bookmarkEnd w:id="56"/>
    </w:p>
    <w:p w14:paraId="431E8DC5" w14:textId="5BDA7FA1" w:rsidR="0029295B" w:rsidRPr="007D04B2" w:rsidRDefault="0029295B" w:rsidP="0029295B">
      <w:pPr>
        <w:rPr>
          <w:rFonts w:cs="Arial"/>
        </w:rPr>
      </w:pPr>
      <w:r w:rsidRPr="007D04B2">
        <w:rPr>
          <w:rFonts w:cs="Arial"/>
        </w:rPr>
        <w:t xml:space="preserve">Further guidance on interference management with other </w:t>
      </w:r>
      <w:r w:rsidR="00714877" w:rsidRPr="007D04B2">
        <w:rPr>
          <w:rFonts w:cs="Arial"/>
        </w:rPr>
        <w:t xml:space="preserve">licensed </w:t>
      </w:r>
      <w:r w:rsidRPr="007D04B2">
        <w:rPr>
          <w:rFonts w:cs="Arial"/>
        </w:rPr>
        <w:t>services is provided in Radiocommunications Advisory Guidelines (RAGs) made under section 262 of the Act. RAGs can refer to any aspect of radiocommunications or radio emissions.</w:t>
      </w:r>
    </w:p>
    <w:p w14:paraId="0631A299" w14:textId="77777777" w:rsidR="0029295B" w:rsidRPr="007D04B2" w:rsidRDefault="0029295B" w:rsidP="0029295B">
      <w:pPr>
        <w:rPr>
          <w:rFonts w:cs="Arial"/>
        </w:rPr>
      </w:pPr>
      <w:r w:rsidRPr="007D04B2">
        <w:rPr>
          <w:rFonts w:cs="Arial"/>
        </w:rPr>
        <w:t>Generally, RAGs include provisions to help assess the possible interference between spectrum-licensed devices and services operating under spectrum, apparatus or class licences. Potentially affected services are identified in the RAGs to enable licensees to assess and mitigate the risk of interference between these services.</w:t>
      </w:r>
    </w:p>
    <w:p w14:paraId="39378DDE" w14:textId="0DE01014" w:rsidR="0029295B" w:rsidRPr="007D04B2" w:rsidRDefault="0029295B" w:rsidP="0029295B">
      <w:pPr>
        <w:rPr>
          <w:rFonts w:cs="Arial"/>
        </w:rPr>
      </w:pPr>
      <w:r w:rsidRPr="007D04B2">
        <w:rPr>
          <w:rFonts w:cs="Arial"/>
        </w:rPr>
        <w:t xml:space="preserve">It is important to note that where a case of interference arises between a spectrum-licensed </w:t>
      </w:r>
      <w:r w:rsidR="00714877" w:rsidRPr="007D04B2">
        <w:rPr>
          <w:rFonts w:cs="Arial"/>
        </w:rPr>
        <w:t>device</w:t>
      </w:r>
      <w:r w:rsidRPr="007D04B2">
        <w:rPr>
          <w:rFonts w:cs="Arial"/>
        </w:rPr>
        <w:t xml:space="preserve"> and another </w:t>
      </w:r>
      <w:r w:rsidR="00714877" w:rsidRPr="007D04B2">
        <w:rPr>
          <w:rFonts w:cs="Arial"/>
        </w:rPr>
        <w:t>licensed device</w:t>
      </w:r>
      <w:r w:rsidRPr="007D04B2">
        <w:rPr>
          <w:rFonts w:cs="Arial"/>
        </w:rPr>
        <w:t>, the ACMA will refer to the provisions of the RAGs in resolving the matter.</w:t>
      </w:r>
      <w:r w:rsidR="00E6423E" w:rsidRPr="007D04B2">
        <w:rPr>
          <w:rFonts w:cs="Arial"/>
        </w:rPr>
        <w:t xml:space="preserve"> In general, affected licensees also have the ability to negotiate their own arrangements in order to manage interference. Such arrangements will also be </w:t>
      </w:r>
      <w:proofErr w:type="gramStart"/>
      <w:r w:rsidR="00E6423E" w:rsidRPr="007D04B2">
        <w:rPr>
          <w:rFonts w:cs="Arial"/>
        </w:rPr>
        <w:t>taken into account</w:t>
      </w:r>
      <w:proofErr w:type="gramEnd"/>
      <w:r w:rsidR="00E6423E" w:rsidRPr="007D04B2">
        <w:rPr>
          <w:rFonts w:cs="Arial"/>
        </w:rPr>
        <w:t xml:space="preserve"> when resolving any interference disputes.  </w:t>
      </w:r>
    </w:p>
    <w:p w14:paraId="234A3FAA" w14:textId="15A25ECD" w:rsidR="0029295B" w:rsidRDefault="0029295B" w:rsidP="005438AE">
      <w:pPr>
        <w:keepNext/>
        <w:spacing w:after="80"/>
        <w:rPr>
          <w:rFonts w:cs="Arial"/>
        </w:rPr>
      </w:pPr>
      <w:r w:rsidRPr="007D04B2">
        <w:rPr>
          <w:rFonts w:cs="Arial"/>
        </w:rPr>
        <w:t xml:space="preserve">Currently, there are </w:t>
      </w:r>
      <w:r w:rsidR="00455FDE">
        <w:rPr>
          <w:rFonts w:cs="Arial"/>
        </w:rPr>
        <w:t>three</w:t>
      </w:r>
      <w:r w:rsidR="00455FDE" w:rsidRPr="007D04B2">
        <w:rPr>
          <w:rFonts w:cs="Arial"/>
        </w:rPr>
        <w:t xml:space="preserve"> </w:t>
      </w:r>
      <w:r w:rsidRPr="007D04B2">
        <w:rPr>
          <w:rFonts w:cs="Arial"/>
        </w:rPr>
        <w:t xml:space="preserve">section 262 guidelines relevant to the deployment of services </w:t>
      </w:r>
      <w:r w:rsidR="00E9411C" w:rsidRPr="007D04B2">
        <w:rPr>
          <w:rFonts w:cs="Arial"/>
        </w:rPr>
        <w:t xml:space="preserve">under </w:t>
      </w:r>
      <w:r w:rsidR="006419FA">
        <w:rPr>
          <w:rFonts w:cs="Arial"/>
        </w:rPr>
        <w:t>1800 MHz</w:t>
      </w:r>
      <w:r w:rsidRPr="007D04B2">
        <w:rPr>
          <w:rFonts w:cs="Arial"/>
        </w:rPr>
        <w:t xml:space="preserve"> band</w:t>
      </w:r>
      <w:r w:rsidR="00E9411C" w:rsidRPr="007D04B2">
        <w:rPr>
          <w:rFonts w:cs="Arial"/>
        </w:rPr>
        <w:t xml:space="preserve"> spectrum licences</w:t>
      </w:r>
      <w:r w:rsidRPr="007D04B2">
        <w:rPr>
          <w:rFonts w:cs="Arial"/>
        </w:rPr>
        <w:t>:</w:t>
      </w:r>
    </w:p>
    <w:p w14:paraId="5382B2FC" w14:textId="77777777" w:rsidR="00455FDE" w:rsidRPr="005438AE" w:rsidRDefault="00455FDE" w:rsidP="00455FDE">
      <w:pPr>
        <w:pStyle w:val="ListBullet"/>
        <w:rPr>
          <w:rStyle w:val="Hyperlink"/>
          <w:bCs/>
        </w:rPr>
      </w:pPr>
      <w:r w:rsidRPr="005438AE">
        <w:rPr>
          <w:bCs/>
        </w:rPr>
        <w:fldChar w:fldCharType="begin"/>
      </w:r>
      <w:r>
        <w:rPr>
          <w:bCs/>
        </w:rPr>
        <w:instrText>HYPERLINK "https://www.legislation.gov.au/Details/F2017C01051" \t "_self"</w:instrText>
      </w:r>
      <w:r w:rsidRPr="005438AE">
        <w:rPr>
          <w:bCs/>
        </w:rPr>
        <w:fldChar w:fldCharType="separate"/>
      </w:r>
      <w:r w:rsidRPr="005438AE">
        <w:rPr>
          <w:rStyle w:val="Hyperlink"/>
          <w:bCs/>
        </w:rPr>
        <w:t xml:space="preserve">Radiocommunications Advisory Guidelines (Managing Interference from Spectrum Licensed Transmitters — </w:t>
      </w:r>
      <w:r>
        <w:rPr>
          <w:rStyle w:val="Hyperlink"/>
          <w:bCs/>
        </w:rPr>
        <w:t>1800</w:t>
      </w:r>
      <w:r w:rsidRPr="005438AE">
        <w:rPr>
          <w:rStyle w:val="Hyperlink"/>
          <w:bCs/>
        </w:rPr>
        <w:t xml:space="preserve"> </w:t>
      </w:r>
      <w:r>
        <w:rPr>
          <w:rStyle w:val="Hyperlink"/>
          <w:bCs/>
        </w:rPr>
        <w:t>M</w:t>
      </w:r>
      <w:r w:rsidRPr="005438AE">
        <w:rPr>
          <w:rStyle w:val="Hyperlink"/>
          <w:bCs/>
        </w:rPr>
        <w:t>Hz Band) 201</w:t>
      </w:r>
      <w:r>
        <w:rPr>
          <w:rStyle w:val="Hyperlink"/>
          <w:bCs/>
        </w:rPr>
        <w:t>2</w:t>
      </w:r>
    </w:p>
    <w:p w14:paraId="58195D30" w14:textId="77777777" w:rsidR="00455FDE" w:rsidRPr="001A7E3B" w:rsidRDefault="00455FDE" w:rsidP="00455FDE">
      <w:pPr>
        <w:pStyle w:val="ListBullet"/>
        <w:rPr>
          <w:bCs/>
        </w:rPr>
      </w:pPr>
      <w:r w:rsidRPr="005438AE">
        <w:rPr>
          <w:bCs/>
        </w:rPr>
        <w:fldChar w:fldCharType="end"/>
      </w:r>
      <w:hyperlink r:id="rId41" w:history="1">
        <w:r w:rsidRPr="001A7E3B">
          <w:rPr>
            <w:rStyle w:val="Hyperlink"/>
            <w:bCs/>
          </w:rPr>
          <w:t>Radiocommunications Advisory Guidelines (Managing Interference to Spectrum Licensed Receivers – 1800 MHz Band) 2012</w:t>
        </w:r>
      </w:hyperlink>
    </w:p>
    <w:p w14:paraId="21BA361E" w14:textId="68D2AA9F" w:rsidR="00E9411C" w:rsidRDefault="00FA4B0C" w:rsidP="00E9411C">
      <w:pPr>
        <w:pStyle w:val="ListBullet"/>
        <w:spacing w:after="240"/>
        <w:rPr>
          <w:rStyle w:val="Hyperlink"/>
          <w:bCs/>
          <w:i/>
          <w:iCs/>
        </w:rPr>
      </w:pPr>
      <w:hyperlink r:id="rId42" w:history="1">
        <w:r w:rsidR="007229B2" w:rsidRPr="007229B2">
          <w:rPr>
            <w:rStyle w:val="Hyperlink"/>
            <w:bCs/>
          </w:rPr>
          <w:t xml:space="preserve">Radiocommunications Advisory Guidelines (Additional Device Boundary Criteria </w:t>
        </w:r>
        <w:r w:rsidR="00265200">
          <w:rPr>
            <w:rStyle w:val="Hyperlink"/>
            <w:bCs/>
          </w:rPr>
          <w:t>–</w:t>
        </w:r>
        <w:r w:rsidR="007229B2" w:rsidRPr="007229B2">
          <w:rPr>
            <w:rStyle w:val="Hyperlink"/>
            <w:bCs/>
          </w:rPr>
          <w:t xml:space="preserve"> 1800 MHz Lower Band) 2012</w:t>
        </w:r>
      </w:hyperlink>
      <w:r w:rsidR="00265200" w:rsidRPr="00322232">
        <w:rPr>
          <w:rStyle w:val="Hyperlink"/>
          <w:bCs/>
          <w:color w:val="auto"/>
          <w:u w:val="none"/>
        </w:rPr>
        <w:t>.</w:t>
      </w:r>
    </w:p>
    <w:p w14:paraId="299CFE08" w14:textId="7F23DF9F" w:rsidR="0044347B" w:rsidRPr="007D04B2" w:rsidRDefault="0044347B" w:rsidP="00322232">
      <w:pPr>
        <w:pStyle w:val="Heading3"/>
        <w:numPr>
          <w:ilvl w:val="2"/>
          <w:numId w:val="0"/>
        </w:numPr>
        <w:spacing w:before="360"/>
        <w:ind w:left="720" w:hanging="720"/>
      </w:pPr>
      <w:bookmarkStart w:id="57" w:name="_Toc328403749"/>
      <w:bookmarkStart w:id="58" w:name="_Toc56006341"/>
      <w:bookmarkStart w:id="59" w:name="_Toc328403873"/>
      <w:bookmarkStart w:id="60" w:name="_Toc367692837"/>
      <w:bookmarkStart w:id="61" w:name="_Toc367693441"/>
      <w:bookmarkStart w:id="62" w:name="_Toc367881973"/>
      <w:bookmarkStart w:id="63" w:name="_Toc403740555"/>
      <w:bookmarkStart w:id="64" w:name="_Toc404333450"/>
      <w:bookmarkStart w:id="65" w:name="_Toc444690628"/>
      <w:bookmarkStart w:id="66" w:name="_Toc506899804"/>
      <w:bookmarkStart w:id="67" w:name="_Toc84339347"/>
      <w:bookmarkEnd w:id="57"/>
      <w:r w:rsidRPr="007D04B2">
        <w:lastRenderedPageBreak/>
        <w:t xml:space="preserve">Managing interference </w:t>
      </w:r>
      <w:r>
        <w:t>to</w:t>
      </w:r>
      <w:r w:rsidRPr="007D04B2">
        <w:t xml:space="preserve"> spectrum-licensed </w:t>
      </w:r>
      <w:r>
        <w:t>receivers</w:t>
      </w:r>
      <w:bookmarkEnd w:id="58"/>
      <w:bookmarkEnd w:id="67"/>
    </w:p>
    <w:p w14:paraId="0AB5C781" w14:textId="058FAE9C" w:rsidR="0044347B" w:rsidRPr="007D04B2" w:rsidRDefault="0044347B">
      <w:pPr>
        <w:rPr>
          <w:rFonts w:cs="Arial"/>
        </w:rPr>
      </w:pPr>
      <w:r w:rsidRPr="007D04B2">
        <w:rPr>
          <w:rFonts w:cs="Arial"/>
        </w:rPr>
        <w:t xml:space="preserve">The </w:t>
      </w:r>
      <w:hyperlink r:id="rId43" w:history="1">
        <w:r w:rsidR="00B1026A" w:rsidRPr="001A7E3B">
          <w:rPr>
            <w:rStyle w:val="Hyperlink"/>
            <w:bCs/>
          </w:rPr>
          <w:t>Radiocommunications Advisory Guidelines (Managing Interference to Spectrum Licensed Receivers – 1800 MHz Band) 2012</w:t>
        </w:r>
      </w:hyperlink>
      <w:r w:rsidRPr="007D04B2">
        <w:rPr>
          <w:rFonts w:cs="Arial"/>
        </w:rPr>
        <w:t xml:space="preserve"> (RAG Rx) provides guidance on the management of interference to receivers operating under </w:t>
      </w:r>
      <w:proofErr w:type="gramStart"/>
      <w:r w:rsidRPr="007D04B2">
        <w:rPr>
          <w:rFonts w:cs="Arial"/>
        </w:rPr>
        <w:t>a</w:t>
      </w:r>
      <w:proofErr w:type="gramEnd"/>
      <w:r w:rsidRPr="007D04B2">
        <w:rPr>
          <w:rFonts w:cs="Arial"/>
        </w:rPr>
        <w:t xml:space="preserve"> </w:t>
      </w:r>
      <w:r w:rsidR="006419FA">
        <w:rPr>
          <w:rFonts w:cs="Arial"/>
        </w:rPr>
        <w:t>1800 MHz</w:t>
      </w:r>
      <w:r w:rsidRPr="007D04B2">
        <w:rPr>
          <w:rFonts w:cs="Arial"/>
        </w:rPr>
        <w:t xml:space="preserve"> band spectrum licence. </w:t>
      </w:r>
    </w:p>
    <w:p w14:paraId="441A29F2" w14:textId="5E11265B" w:rsidR="005A01D5" w:rsidRDefault="002C30CC" w:rsidP="0044347B">
      <w:pPr>
        <w:rPr>
          <w:bCs/>
        </w:rPr>
      </w:pPr>
      <w:r w:rsidRPr="007D04B2">
        <w:rPr>
          <w:lang w:eastAsia="ja-JP"/>
        </w:rPr>
        <w:t>A key part of the management of this type of interference is the specification of a notional receiver performance level and a compatibility requirement. This provides a base for the operators of radiocommunications transmitters to coordinate their services against. While adherence to the notional receiver is optional, the ACMA will have regard to it when settling interference disputes. For this reason, it is</w:t>
      </w:r>
      <w:r w:rsidRPr="007D04B2">
        <w:t xml:space="preserve"> recommended that all receivers operating under a spectrum licence have a performance level at least equal to the defined notional receiver.</w:t>
      </w:r>
    </w:p>
    <w:p w14:paraId="3D017E5E" w14:textId="53AEB365" w:rsidR="0044347B" w:rsidRDefault="0044347B" w:rsidP="000372F7">
      <w:pPr>
        <w:rPr>
          <w:rFonts w:cs="Arial"/>
        </w:rPr>
      </w:pPr>
      <w:r w:rsidRPr="00711773">
        <w:rPr>
          <w:rFonts w:cs="Arial"/>
        </w:rPr>
        <w:t>The TLG did not propose any changes to the RAG R</w:t>
      </w:r>
      <w:r w:rsidR="00EC30F0">
        <w:rPr>
          <w:rFonts w:cs="Arial"/>
        </w:rPr>
        <w:t>x</w:t>
      </w:r>
      <w:r w:rsidRPr="00711773">
        <w:rPr>
          <w:rFonts w:cs="Arial"/>
        </w:rPr>
        <w:t>.</w:t>
      </w:r>
    </w:p>
    <w:p w14:paraId="70250AA5" w14:textId="74E877EA" w:rsidR="000430EE" w:rsidRDefault="000430EE" w:rsidP="00322232">
      <w:pPr>
        <w:spacing w:after="60"/>
        <w:rPr>
          <w:rFonts w:cs="Arial"/>
        </w:rPr>
      </w:pPr>
      <w:r w:rsidRPr="000430EE">
        <w:rPr>
          <w:rFonts w:cs="Arial"/>
          <w:b/>
          <w:bCs/>
          <w:szCs w:val="26"/>
        </w:rPr>
        <w:t xml:space="preserve">Additional Device Boundary Criteria </w:t>
      </w:r>
      <w:r w:rsidR="00CC0F5E">
        <w:rPr>
          <w:rFonts w:cs="Arial"/>
          <w:b/>
          <w:bCs/>
          <w:szCs w:val="26"/>
        </w:rPr>
        <w:t>–</w:t>
      </w:r>
      <w:r w:rsidRPr="000430EE">
        <w:rPr>
          <w:rFonts w:cs="Arial"/>
          <w:b/>
          <w:bCs/>
          <w:szCs w:val="26"/>
        </w:rPr>
        <w:t xml:space="preserve"> 1800 MHz Lower Band</w:t>
      </w:r>
    </w:p>
    <w:p w14:paraId="07A308EC" w14:textId="154D4A44" w:rsidR="00DC4D2D" w:rsidRPr="007D04B2" w:rsidRDefault="000430EE" w:rsidP="00DC4D2D">
      <w:pPr>
        <w:rPr>
          <w:rFonts w:cs="Arial"/>
        </w:rPr>
      </w:pPr>
      <w:r>
        <w:rPr>
          <w:rFonts w:cs="Arial"/>
        </w:rPr>
        <w:t xml:space="preserve">The </w:t>
      </w:r>
      <w:hyperlink r:id="rId44" w:history="1">
        <w:r w:rsidRPr="007229B2">
          <w:rPr>
            <w:rStyle w:val="Hyperlink"/>
            <w:bCs/>
          </w:rPr>
          <w:t xml:space="preserve">Radiocommunications Advisory Guidelines (Additional Device Boundary Criteria </w:t>
        </w:r>
        <w:r w:rsidR="00CC0F5E">
          <w:rPr>
            <w:rStyle w:val="Hyperlink"/>
            <w:bCs/>
          </w:rPr>
          <w:t>–</w:t>
        </w:r>
        <w:r w:rsidRPr="007229B2">
          <w:rPr>
            <w:rStyle w:val="Hyperlink"/>
            <w:bCs/>
          </w:rPr>
          <w:t xml:space="preserve"> 1800 MHz Lower Band) 2012</w:t>
        </w:r>
      </w:hyperlink>
      <w:r w:rsidR="00DC4D2D">
        <w:rPr>
          <w:bCs/>
        </w:rPr>
        <w:t xml:space="preserve"> </w:t>
      </w:r>
      <w:r w:rsidR="00DC4D2D" w:rsidRPr="007D04B2">
        <w:rPr>
          <w:rFonts w:cs="Arial"/>
        </w:rPr>
        <w:t xml:space="preserve">(RAG </w:t>
      </w:r>
      <w:r w:rsidR="00DC4D2D">
        <w:rPr>
          <w:rFonts w:cs="Arial"/>
        </w:rPr>
        <w:t>DBC</w:t>
      </w:r>
      <w:r w:rsidR="00DC4D2D" w:rsidRPr="007D04B2">
        <w:rPr>
          <w:rFonts w:cs="Arial"/>
        </w:rPr>
        <w:t xml:space="preserve">) provides </w:t>
      </w:r>
      <w:r w:rsidR="00857E2B">
        <w:rPr>
          <w:rFonts w:cs="Arial"/>
        </w:rPr>
        <w:t xml:space="preserve">additional </w:t>
      </w:r>
      <w:r w:rsidR="00B67850">
        <w:rPr>
          <w:rFonts w:cs="Arial"/>
        </w:rPr>
        <w:t xml:space="preserve">criteria </w:t>
      </w:r>
      <w:r w:rsidR="007714F7">
        <w:rPr>
          <w:rFonts w:cs="Arial"/>
        </w:rPr>
        <w:t xml:space="preserve">for performing the device boundary calculations in lower </w:t>
      </w:r>
      <w:r w:rsidR="006419FA">
        <w:rPr>
          <w:rFonts w:cs="Arial"/>
        </w:rPr>
        <w:t>1800 MHz</w:t>
      </w:r>
      <w:r w:rsidR="00DC4D2D" w:rsidRPr="007D04B2">
        <w:rPr>
          <w:rFonts w:cs="Arial"/>
        </w:rPr>
        <w:t xml:space="preserve"> band. </w:t>
      </w:r>
    </w:p>
    <w:p w14:paraId="35926B1E" w14:textId="079345D2" w:rsidR="0026363D" w:rsidRDefault="002C30CC" w:rsidP="00DC4D2D">
      <w:r>
        <w:rPr>
          <w:lang w:eastAsia="ja-JP"/>
        </w:rPr>
        <w:t xml:space="preserve">The DBC provided in the </w:t>
      </w:r>
      <w:r w:rsidRPr="007D04B2">
        <w:t xml:space="preserve">section 145 determination for the </w:t>
      </w:r>
      <w:r w:rsidR="006419FA">
        <w:t>1800 MHz</w:t>
      </w:r>
      <w:r w:rsidRPr="007D04B2">
        <w:t xml:space="preserve"> band is </w:t>
      </w:r>
      <w:r>
        <w:t>optimised for high site (base station transmitter) to low site (user equipment receiver) interference scenario. However, in the lower band further consideration need</w:t>
      </w:r>
      <w:r w:rsidR="00D643BF">
        <w:t>s</w:t>
      </w:r>
      <w:r>
        <w:t xml:space="preserve"> to be </w:t>
      </w:r>
      <w:r w:rsidR="007B196D">
        <w:t>given to</w:t>
      </w:r>
      <w:r>
        <w:t xml:space="preserve"> high site (fixed point to point transmitter) to high site (base station receiver)</w:t>
      </w:r>
      <w:r w:rsidR="000B523D">
        <w:t xml:space="preserve"> interference mechanisms</w:t>
      </w:r>
      <w:r>
        <w:t xml:space="preserve">. </w:t>
      </w:r>
      <w:r w:rsidR="00321F6C">
        <w:t>The DBC used in this case is defined in the RAG DBC.</w:t>
      </w:r>
    </w:p>
    <w:p w14:paraId="495A1E4D" w14:textId="2005512B" w:rsidR="0026363D" w:rsidRDefault="0026363D" w:rsidP="00DC4D2D">
      <w:r>
        <w:t xml:space="preserve">The current notional receiver used in the RAG DBC is based on </w:t>
      </w:r>
      <w:r w:rsidR="00CD47AA">
        <w:t xml:space="preserve">the </w:t>
      </w:r>
      <w:r>
        <w:t xml:space="preserve">characteristics of a non-AAS </w:t>
      </w:r>
      <w:r w:rsidR="00CD47AA">
        <w:t xml:space="preserve">base station </w:t>
      </w:r>
      <w:r>
        <w:t xml:space="preserve">receiver. While the non-AAS notional receiver </w:t>
      </w:r>
      <w:r w:rsidR="00CD47AA">
        <w:t xml:space="preserve">has </w:t>
      </w:r>
      <w:r>
        <w:t xml:space="preserve">a lower maximum antenna gain than a notional AAS receiver, it also </w:t>
      </w:r>
      <w:r w:rsidR="00CD47AA">
        <w:t xml:space="preserve">has </w:t>
      </w:r>
      <w:r>
        <w:t>a higher level of protection (based on changes proposed to the s.145 determination it would be 8 dB higher). Based on this the TLG did not propose changing the notional receiver used in the RAG DBC.</w:t>
      </w:r>
      <w:r w:rsidR="00CD47AA">
        <w:t xml:space="preserve"> The TLG also did not propose changes to the LOP to account for the different interference potential from non-AAS and AAS transmitters. This is because it is </w:t>
      </w:r>
      <w:r w:rsidR="006E2AF2">
        <w:t>considered unlikely</w:t>
      </w:r>
      <w:r w:rsidR="00CD47AA">
        <w:t xml:space="preserve"> that AAS transmitters will be deployed in the lower 1800 MHz band. </w:t>
      </w:r>
      <w:r>
        <w:t xml:space="preserve"> </w:t>
      </w:r>
    </w:p>
    <w:p w14:paraId="1499EC7A" w14:textId="711FA115" w:rsidR="00DC4D2D" w:rsidRPr="007D04B2" w:rsidRDefault="0026363D" w:rsidP="00DC4D2D">
      <w:pPr>
        <w:rPr>
          <w:lang w:eastAsia="ja-JP"/>
        </w:rPr>
      </w:pPr>
      <w:r>
        <w:t>The TLG considered the calculation methodology in the RAG DBC and did not propose any changes.</w:t>
      </w:r>
    </w:p>
    <w:p w14:paraId="7011B446" w14:textId="657398F0" w:rsidR="00DC4D2D" w:rsidRDefault="0026363D" w:rsidP="00DC4D2D">
      <w:pPr>
        <w:rPr>
          <w:rFonts w:cs="Arial"/>
        </w:rPr>
      </w:pPr>
      <w:r>
        <w:rPr>
          <w:rFonts w:cs="Arial"/>
        </w:rPr>
        <w:t>In summary, t</w:t>
      </w:r>
      <w:r w:rsidR="00DC4D2D" w:rsidRPr="00711773">
        <w:rPr>
          <w:rFonts w:cs="Arial"/>
        </w:rPr>
        <w:t xml:space="preserve">he TLG did not propose any changes to the RAG </w:t>
      </w:r>
      <w:r w:rsidR="00DC4D2D">
        <w:rPr>
          <w:rFonts w:cs="Arial"/>
        </w:rPr>
        <w:t>DBC</w:t>
      </w:r>
      <w:r w:rsidR="00DC4D2D" w:rsidRPr="00711773">
        <w:rPr>
          <w:rFonts w:cs="Arial"/>
        </w:rPr>
        <w:t>.</w:t>
      </w:r>
    </w:p>
    <w:p w14:paraId="03905F48" w14:textId="2A2087AB" w:rsidR="0029295B" w:rsidRPr="007D04B2" w:rsidRDefault="0029295B" w:rsidP="00322232">
      <w:pPr>
        <w:pStyle w:val="Heading3"/>
        <w:numPr>
          <w:ilvl w:val="2"/>
          <w:numId w:val="0"/>
        </w:numPr>
        <w:spacing w:before="240"/>
        <w:ind w:left="720" w:hanging="720"/>
      </w:pPr>
      <w:bookmarkStart w:id="68" w:name="_Toc56006342"/>
      <w:bookmarkStart w:id="69" w:name="_Toc84339348"/>
      <w:r w:rsidRPr="007D04B2">
        <w:t>Managing interference from spectrum-licensed transmitters</w:t>
      </w:r>
      <w:bookmarkEnd w:id="59"/>
      <w:bookmarkEnd w:id="60"/>
      <w:bookmarkEnd w:id="61"/>
      <w:bookmarkEnd w:id="62"/>
      <w:bookmarkEnd w:id="63"/>
      <w:bookmarkEnd w:id="64"/>
      <w:bookmarkEnd w:id="65"/>
      <w:bookmarkEnd w:id="66"/>
      <w:bookmarkEnd w:id="68"/>
      <w:bookmarkEnd w:id="69"/>
    </w:p>
    <w:p w14:paraId="54A40D85" w14:textId="6A28A1F7" w:rsidR="0029295B" w:rsidRDefault="0029295B">
      <w:pPr>
        <w:rPr>
          <w:rFonts w:cs="Arial"/>
        </w:rPr>
      </w:pPr>
      <w:r w:rsidRPr="007D04B2">
        <w:rPr>
          <w:rFonts w:cs="Arial"/>
        </w:rPr>
        <w:t xml:space="preserve">The </w:t>
      </w:r>
      <w:hyperlink r:id="rId45" w:tgtFrame="_self" w:history="1">
        <w:r w:rsidR="00FE6016" w:rsidRPr="005438AE">
          <w:rPr>
            <w:rStyle w:val="Hyperlink"/>
            <w:bCs/>
          </w:rPr>
          <w:t xml:space="preserve">Radiocommunications Advisory Guidelines (Managing Interference from Spectrum Licensed Transmitters — </w:t>
        </w:r>
        <w:r w:rsidR="00FE6016">
          <w:rPr>
            <w:rStyle w:val="Hyperlink"/>
            <w:bCs/>
          </w:rPr>
          <w:t>1800</w:t>
        </w:r>
        <w:r w:rsidR="00FE6016" w:rsidRPr="005438AE">
          <w:rPr>
            <w:rStyle w:val="Hyperlink"/>
            <w:bCs/>
          </w:rPr>
          <w:t xml:space="preserve"> </w:t>
        </w:r>
        <w:r w:rsidR="00FE6016">
          <w:rPr>
            <w:rStyle w:val="Hyperlink"/>
            <w:bCs/>
          </w:rPr>
          <w:t>M</w:t>
        </w:r>
        <w:r w:rsidR="00FE6016" w:rsidRPr="005438AE">
          <w:rPr>
            <w:rStyle w:val="Hyperlink"/>
            <w:bCs/>
          </w:rPr>
          <w:t>Hz Band) 201</w:t>
        </w:r>
        <w:r w:rsidR="00FE6016">
          <w:rPr>
            <w:rStyle w:val="Hyperlink"/>
            <w:bCs/>
          </w:rPr>
          <w:t>2</w:t>
        </w:r>
      </w:hyperlink>
      <w:r w:rsidR="008355C6" w:rsidRPr="007D04B2">
        <w:rPr>
          <w:rFonts w:cs="Arial"/>
        </w:rPr>
        <w:t xml:space="preserve"> </w:t>
      </w:r>
      <w:r w:rsidRPr="007D04B2">
        <w:rPr>
          <w:rFonts w:cs="Arial"/>
        </w:rPr>
        <w:t>(</w:t>
      </w:r>
      <w:r w:rsidR="008355C6" w:rsidRPr="007D04B2">
        <w:rPr>
          <w:rFonts w:cs="Arial"/>
        </w:rPr>
        <w:t>RAG Tx</w:t>
      </w:r>
      <w:r w:rsidRPr="007D04B2">
        <w:rPr>
          <w:rFonts w:cs="Arial"/>
        </w:rPr>
        <w:t xml:space="preserve">) provide guidance on the protection of adjacent band apparatus and class-licensed receivers from interference from spectrum-licensed transmitters. The existing guidelines identify the types of apparatus-licensed services potentially affected by transmitters operated under a spectrum licence in the </w:t>
      </w:r>
      <w:r w:rsidR="006419FA">
        <w:rPr>
          <w:rFonts w:cs="Arial"/>
        </w:rPr>
        <w:t>1800 MHz</w:t>
      </w:r>
      <w:r w:rsidRPr="007D04B2">
        <w:rPr>
          <w:rFonts w:cs="Arial"/>
        </w:rPr>
        <w:t xml:space="preserve"> band. </w:t>
      </w:r>
      <w:r w:rsidR="00612A4C" w:rsidRPr="007D04B2">
        <w:rPr>
          <w:rFonts w:cs="Arial"/>
        </w:rPr>
        <w:t>They</w:t>
      </w:r>
      <w:r w:rsidRPr="007D04B2">
        <w:rPr>
          <w:rFonts w:cs="Arial"/>
        </w:rPr>
        <w:t xml:space="preserve"> also explain the protection criteria and coordination arrangements that apply to these services</w:t>
      </w:r>
      <w:r w:rsidR="00612A4C" w:rsidRPr="007D04B2">
        <w:rPr>
          <w:rFonts w:cs="Arial"/>
        </w:rPr>
        <w:t>, sometimes</w:t>
      </w:r>
      <w:r w:rsidRPr="007D04B2">
        <w:rPr>
          <w:rFonts w:cs="Arial"/>
        </w:rPr>
        <w:t xml:space="preserve"> by reference to various </w:t>
      </w:r>
      <w:r w:rsidR="00380FD8">
        <w:rPr>
          <w:rFonts w:cs="Arial"/>
        </w:rPr>
        <w:t>r</w:t>
      </w:r>
      <w:r w:rsidR="00380FD8" w:rsidRPr="00380FD8">
        <w:rPr>
          <w:rFonts w:cs="Arial"/>
        </w:rPr>
        <w:t>adiocommunications assignment and licensing instructions (RALIs)</w:t>
      </w:r>
      <w:r w:rsidR="006A22B8" w:rsidRPr="007D04B2">
        <w:rPr>
          <w:rStyle w:val="FootnoteReference"/>
          <w:rFonts w:cs="Arial"/>
        </w:rPr>
        <w:footnoteReference w:id="7"/>
      </w:r>
      <w:r w:rsidR="00612A4C" w:rsidRPr="007D04B2">
        <w:rPr>
          <w:rFonts w:cs="Arial"/>
        </w:rPr>
        <w:t xml:space="preserve"> or</w:t>
      </w:r>
      <w:r w:rsidRPr="007D04B2">
        <w:rPr>
          <w:rFonts w:cs="Arial"/>
        </w:rPr>
        <w:t xml:space="preserve"> international standards.</w:t>
      </w:r>
    </w:p>
    <w:p w14:paraId="0FF2960E" w14:textId="4F17EC17" w:rsidR="0044347B" w:rsidRDefault="0044347B" w:rsidP="000372F7">
      <w:pPr>
        <w:rPr>
          <w:rFonts w:cs="Arial"/>
        </w:rPr>
      </w:pPr>
      <w:r w:rsidRPr="00711773">
        <w:rPr>
          <w:rFonts w:cs="Arial"/>
        </w:rPr>
        <w:lastRenderedPageBreak/>
        <w:t xml:space="preserve">The TLG did not propose any changes to the RAG </w:t>
      </w:r>
      <w:r w:rsidRPr="00713DF0">
        <w:rPr>
          <w:rFonts w:cs="Arial"/>
        </w:rPr>
        <w:t>T</w:t>
      </w:r>
      <w:r w:rsidR="000E1C48">
        <w:rPr>
          <w:rFonts w:cs="Arial"/>
        </w:rPr>
        <w:t>x</w:t>
      </w:r>
      <w:r w:rsidRPr="00713DF0">
        <w:rPr>
          <w:rFonts w:cs="Arial"/>
        </w:rPr>
        <w:t>.</w:t>
      </w:r>
      <w:r>
        <w:rPr>
          <w:rFonts w:cs="Arial"/>
        </w:rPr>
        <w:t xml:space="preserve"> Justification for this is provided on a service-by-service basis below.</w:t>
      </w:r>
    </w:p>
    <w:p w14:paraId="52181D98" w14:textId="77777777" w:rsidR="0087694D" w:rsidRPr="005438AE" w:rsidRDefault="0087694D" w:rsidP="00322232">
      <w:pPr>
        <w:pStyle w:val="ListBullet"/>
        <w:numPr>
          <w:ilvl w:val="0"/>
          <w:numId w:val="0"/>
        </w:numPr>
        <w:spacing w:after="60"/>
        <w:rPr>
          <w:b/>
          <w:iCs/>
        </w:rPr>
      </w:pPr>
      <w:r w:rsidRPr="005438AE">
        <w:rPr>
          <w:b/>
          <w:iCs/>
        </w:rPr>
        <w:t>Point-to-point fixed services</w:t>
      </w:r>
    </w:p>
    <w:p w14:paraId="023437A0" w14:textId="16F07454" w:rsidR="0087694D" w:rsidRPr="00602151" w:rsidRDefault="0087694D" w:rsidP="0087694D">
      <w:pPr>
        <w:autoSpaceDE w:val="0"/>
        <w:autoSpaceDN w:val="0"/>
        <w:adjustRightInd w:val="0"/>
        <w:spacing w:line="240" w:lineRule="auto"/>
      </w:pPr>
      <w:r w:rsidRPr="00602151">
        <w:t>There are arrangements for point-to-point services to operate in the 17</w:t>
      </w:r>
      <w:r w:rsidR="005B530A">
        <w:t>0</w:t>
      </w:r>
      <w:r w:rsidRPr="00602151">
        <w:t>0</w:t>
      </w:r>
      <w:r>
        <w:t>–</w:t>
      </w:r>
      <w:r w:rsidR="005B530A">
        <w:t>19</w:t>
      </w:r>
      <w:r w:rsidRPr="00602151">
        <w:t xml:space="preserve">00 MHz band. RALI FX 3 details the relevant protection criteria that applies. </w:t>
      </w:r>
    </w:p>
    <w:p w14:paraId="1FE524FE" w14:textId="5126C8BA" w:rsidR="005C5EF2" w:rsidRDefault="008225BE">
      <w:pPr>
        <w:autoSpaceDE w:val="0"/>
        <w:autoSpaceDN w:val="0"/>
        <w:adjustRightInd w:val="0"/>
        <w:spacing w:line="240" w:lineRule="auto"/>
        <w:rPr>
          <w:rFonts w:cs="Arial"/>
        </w:rPr>
      </w:pPr>
      <w:r>
        <w:t xml:space="preserve">Existing </w:t>
      </w:r>
      <w:r w:rsidR="005C5EF2">
        <w:t xml:space="preserve">adjacent channel </w:t>
      </w:r>
      <w:r>
        <w:t>p</w:t>
      </w:r>
      <w:r w:rsidR="0087694D" w:rsidRPr="00602151">
        <w:t xml:space="preserve">oint-to-point </w:t>
      </w:r>
      <w:r>
        <w:t xml:space="preserve">licences will not be affected by the proposed changes. </w:t>
      </w:r>
      <w:r w:rsidR="005C5EF2">
        <w:t>This is because</w:t>
      </w:r>
      <w:r w:rsidR="0087694D" w:rsidRPr="00602151">
        <w:t xml:space="preserve"> </w:t>
      </w:r>
      <w:r w:rsidR="0087694D" w:rsidRPr="00602151">
        <w:rPr>
          <w:rFonts w:cs="Arial"/>
        </w:rPr>
        <w:t>newly registered spectrum-licensed devices are required to protect existing apparatus-licensed point-to-point services to the stated levels</w:t>
      </w:r>
      <w:r w:rsidR="00CC0F5E">
        <w:rPr>
          <w:rFonts w:cs="Arial"/>
        </w:rPr>
        <w:t xml:space="preserve"> –</w:t>
      </w:r>
      <w:r w:rsidR="0087694D" w:rsidRPr="00602151">
        <w:rPr>
          <w:rFonts w:cs="Arial"/>
        </w:rPr>
        <w:t xml:space="preserve">irrespective of the in-band or unwanted emission limits defined. </w:t>
      </w:r>
    </w:p>
    <w:p w14:paraId="52BD64A0" w14:textId="08D536CD" w:rsidR="001A69E0" w:rsidRDefault="000835AA" w:rsidP="001A69E0">
      <w:pPr>
        <w:autoSpaceDE w:val="0"/>
        <w:autoSpaceDN w:val="0"/>
        <w:adjustRightInd w:val="0"/>
        <w:spacing w:line="240" w:lineRule="auto"/>
        <w:rPr>
          <w:rFonts w:cs="Arial"/>
        </w:rPr>
      </w:pPr>
      <w:r>
        <w:rPr>
          <w:rFonts w:cs="Arial"/>
        </w:rPr>
        <w:t>All existing point-to-point licence in the 1710</w:t>
      </w:r>
      <w:r w:rsidR="00CC0F5E">
        <w:rPr>
          <w:rFonts w:cs="Arial"/>
        </w:rPr>
        <w:t>–</w:t>
      </w:r>
      <w:r>
        <w:rPr>
          <w:rFonts w:cs="Arial"/>
        </w:rPr>
        <w:t>1785 MHz or 1805</w:t>
      </w:r>
      <w:r w:rsidR="00CC0F5E">
        <w:rPr>
          <w:rFonts w:cs="Arial"/>
        </w:rPr>
        <w:t>–</w:t>
      </w:r>
      <w:r>
        <w:rPr>
          <w:rFonts w:cs="Arial"/>
        </w:rPr>
        <w:t>1880 MHz frequency ranges (</w:t>
      </w:r>
      <w:r w:rsidR="005C5EF2">
        <w:rPr>
          <w:rFonts w:cs="Arial"/>
        </w:rPr>
        <w:t>existing co-channel licences</w:t>
      </w:r>
      <w:r>
        <w:rPr>
          <w:rFonts w:cs="Arial"/>
        </w:rPr>
        <w:t xml:space="preserve">) were issued before 13 June 2013. As stated in the RAG Tx, </w:t>
      </w:r>
      <w:r w:rsidR="005C5EF2">
        <w:rPr>
          <w:rFonts w:cs="Arial"/>
        </w:rPr>
        <w:t xml:space="preserve">point-to-point licences </w:t>
      </w:r>
      <w:r>
        <w:rPr>
          <w:rFonts w:cs="Arial"/>
        </w:rPr>
        <w:t xml:space="preserve">issued before 13 June 2013 are protected on a first-in-time coordinated basis. This means new devices operated under a spectrum licence must protect them to the levels defined in RALI FX3. </w:t>
      </w:r>
      <w:r w:rsidR="000E1E75">
        <w:rPr>
          <w:rFonts w:cs="Arial"/>
        </w:rPr>
        <w:t>Therefore,</w:t>
      </w:r>
      <w:r>
        <w:rPr>
          <w:rFonts w:cs="Arial"/>
        </w:rPr>
        <w:t xml:space="preserve"> the proposed changes to the DBC will have no impact on existing co-channel licences.</w:t>
      </w:r>
      <w:r w:rsidR="005C5EF2">
        <w:rPr>
          <w:rFonts w:cs="Arial"/>
        </w:rPr>
        <w:t xml:space="preserve"> </w:t>
      </w:r>
    </w:p>
    <w:p w14:paraId="21F55F4C" w14:textId="2AE462DD" w:rsidR="00B1443B" w:rsidRDefault="009E141C" w:rsidP="00322232">
      <w:pPr>
        <w:autoSpaceDE w:val="0"/>
        <w:autoSpaceDN w:val="0"/>
        <w:adjustRightInd w:val="0"/>
        <w:spacing w:after="60" w:line="240" w:lineRule="auto"/>
        <w:rPr>
          <w:rFonts w:cs="Arial"/>
        </w:rPr>
      </w:pPr>
      <w:r>
        <w:rPr>
          <w:rFonts w:cs="Arial"/>
        </w:rPr>
        <w:t xml:space="preserve">The proposed changes to the </w:t>
      </w:r>
      <w:r w:rsidR="00B1443B">
        <w:rPr>
          <w:rFonts w:cs="Arial"/>
        </w:rPr>
        <w:t xml:space="preserve">unwanted </w:t>
      </w:r>
      <w:r>
        <w:rPr>
          <w:rFonts w:cs="Arial"/>
        </w:rPr>
        <w:t xml:space="preserve">emission </w:t>
      </w:r>
      <w:r w:rsidR="00B1443B">
        <w:rPr>
          <w:rFonts w:cs="Arial"/>
        </w:rPr>
        <w:t xml:space="preserve">limits </w:t>
      </w:r>
      <w:r>
        <w:rPr>
          <w:rFonts w:cs="Arial"/>
        </w:rPr>
        <w:t xml:space="preserve">will have no impact on the licensing of </w:t>
      </w:r>
      <w:r w:rsidRPr="003C584C">
        <w:rPr>
          <w:rFonts w:cs="Arial"/>
        </w:rPr>
        <w:t>new point-to-point link</w:t>
      </w:r>
      <w:r>
        <w:rPr>
          <w:rFonts w:cs="Arial"/>
        </w:rPr>
        <w:t>s</w:t>
      </w:r>
      <w:r w:rsidRPr="003C584C">
        <w:rPr>
          <w:rFonts w:cs="Arial"/>
        </w:rPr>
        <w:t xml:space="preserve"> being in adjacent bands</w:t>
      </w:r>
      <w:r>
        <w:rPr>
          <w:rFonts w:cs="Arial"/>
        </w:rPr>
        <w:t xml:space="preserve"> for the following reasons:</w:t>
      </w:r>
    </w:p>
    <w:p w14:paraId="67424611" w14:textId="62FB9C59" w:rsidR="00B1443B" w:rsidRDefault="009E141C" w:rsidP="00322232">
      <w:pPr>
        <w:pStyle w:val="ListParagraph"/>
        <w:numPr>
          <w:ilvl w:val="0"/>
          <w:numId w:val="101"/>
        </w:numPr>
        <w:autoSpaceDE w:val="0"/>
        <w:autoSpaceDN w:val="0"/>
        <w:adjustRightInd w:val="0"/>
        <w:spacing w:after="60" w:line="240" w:lineRule="auto"/>
        <w:ind w:left="357" w:hanging="357"/>
        <w:rPr>
          <w:rFonts w:ascii="Arial" w:hAnsi="Arial" w:cs="Arial"/>
        </w:rPr>
      </w:pPr>
      <w:r>
        <w:rPr>
          <w:rFonts w:ascii="Arial" w:hAnsi="Arial" w:cs="Arial"/>
        </w:rPr>
        <w:t>the</w:t>
      </w:r>
      <w:r w:rsidR="0087694D" w:rsidRPr="0062295F">
        <w:rPr>
          <w:rFonts w:ascii="Arial" w:hAnsi="Arial" w:cs="Arial"/>
        </w:rPr>
        <w:t xml:space="preserve"> </w:t>
      </w:r>
      <w:r w:rsidR="00B1443B" w:rsidRPr="0062295F">
        <w:rPr>
          <w:rFonts w:ascii="Arial" w:hAnsi="Arial" w:cs="Arial"/>
        </w:rPr>
        <w:t>1710</w:t>
      </w:r>
      <w:r w:rsidR="00CC0F5E">
        <w:rPr>
          <w:rFonts w:ascii="Arial" w:hAnsi="Arial" w:cs="Arial"/>
        </w:rPr>
        <w:t>–</w:t>
      </w:r>
      <w:r w:rsidR="00B1443B" w:rsidRPr="0062295F">
        <w:rPr>
          <w:rFonts w:ascii="Arial" w:hAnsi="Arial" w:cs="Arial"/>
        </w:rPr>
        <w:t>1785/1805</w:t>
      </w:r>
      <w:r w:rsidR="00CC0F5E">
        <w:rPr>
          <w:rFonts w:ascii="Arial" w:hAnsi="Arial" w:cs="Arial"/>
        </w:rPr>
        <w:t>–</w:t>
      </w:r>
      <w:r w:rsidR="00B1443B" w:rsidRPr="0062295F">
        <w:rPr>
          <w:rFonts w:ascii="Arial" w:hAnsi="Arial" w:cs="Arial"/>
        </w:rPr>
        <w:t xml:space="preserve">1880 MHz </w:t>
      </w:r>
      <w:r w:rsidR="0087694D" w:rsidRPr="0062295F">
        <w:rPr>
          <w:rFonts w:ascii="Arial" w:hAnsi="Arial" w:cs="Arial"/>
        </w:rPr>
        <w:t xml:space="preserve">band </w:t>
      </w:r>
      <w:r w:rsidR="00B1443B" w:rsidRPr="0062295F">
        <w:rPr>
          <w:rFonts w:ascii="Arial" w:hAnsi="Arial" w:cs="Arial"/>
        </w:rPr>
        <w:t>is subject to spectrum licensing</w:t>
      </w:r>
      <w:r w:rsidR="00B1443B">
        <w:rPr>
          <w:rFonts w:ascii="Arial" w:hAnsi="Arial" w:cs="Arial"/>
        </w:rPr>
        <w:t xml:space="preserve"> </w:t>
      </w:r>
      <w:r>
        <w:rPr>
          <w:rFonts w:ascii="Arial" w:hAnsi="Arial" w:cs="Arial"/>
        </w:rPr>
        <w:t xml:space="preserve">in metropolitan and regional areas </w:t>
      </w:r>
      <w:r w:rsidR="00B1443B">
        <w:rPr>
          <w:rFonts w:ascii="Arial" w:hAnsi="Arial" w:cs="Arial"/>
        </w:rPr>
        <w:t>(refer to RALI SM26)</w:t>
      </w:r>
      <w:r>
        <w:rPr>
          <w:rFonts w:ascii="Arial" w:hAnsi="Arial" w:cs="Arial"/>
        </w:rPr>
        <w:t>, RALI FX3 restricts new assignments in those frequencies and areas subject to spectrum licensing</w:t>
      </w:r>
      <w:r w:rsidR="0087694D" w:rsidRPr="0062295F">
        <w:rPr>
          <w:rFonts w:ascii="Arial" w:hAnsi="Arial" w:cs="Arial"/>
        </w:rPr>
        <w:t>.</w:t>
      </w:r>
      <w:r w:rsidR="00B1443B" w:rsidRPr="0062295F">
        <w:rPr>
          <w:rFonts w:ascii="Arial" w:hAnsi="Arial" w:cs="Arial"/>
        </w:rPr>
        <w:t xml:space="preserve"> </w:t>
      </w:r>
    </w:p>
    <w:p w14:paraId="28469BB7" w14:textId="3916601E" w:rsidR="0087694D" w:rsidRPr="00602151" w:rsidRDefault="00B1443B" w:rsidP="00322232">
      <w:pPr>
        <w:pStyle w:val="ListParagraph"/>
        <w:numPr>
          <w:ilvl w:val="0"/>
          <w:numId w:val="101"/>
        </w:numPr>
        <w:autoSpaceDE w:val="0"/>
        <w:autoSpaceDN w:val="0"/>
        <w:adjustRightInd w:val="0"/>
        <w:spacing w:before="60" w:line="240" w:lineRule="auto"/>
        <w:ind w:left="357" w:hanging="357"/>
        <w:rPr>
          <w:rFonts w:cs="Arial"/>
        </w:rPr>
      </w:pPr>
      <w:r>
        <w:rPr>
          <w:rFonts w:ascii="Arial" w:hAnsi="Arial" w:cs="Arial"/>
        </w:rPr>
        <w:t>RALI FX3 restricts new assignments in the 1785</w:t>
      </w:r>
      <w:r w:rsidR="00CC0F5E">
        <w:rPr>
          <w:rFonts w:ascii="Arial" w:hAnsi="Arial" w:cs="Arial"/>
        </w:rPr>
        <w:t>–</w:t>
      </w:r>
      <w:r>
        <w:rPr>
          <w:rFonts w:ascii="Arial" w:hAnsi="Arial" w:cs="Arial"/>
        </w:rPr>
        <w:t>1805 MHz and 1880</w:t>
      </w:r>
      <w:r w:rsidR="00CC0F5E">
        <w:rPr>
          <w:rFonts w:ascii="Arial" w:hAnsi="Arial" w:cs="Arial"/>
        </w:rPr>
        <w:t>–</w:t>
      </w:r>
      <w:r>
        <w:rPr>
          <w:rFonts w:ascii="Arial" w:hAnsi="Arial" w:cs="Arial"/>
        </w:rPr>
        <w:t>1900 MHz bands</w:t>
      </w:r>
      <w:r w:rsidR="009E141C">
        <w:rPr>
          <w:rFonts w:ascii="Arial" w:hAnsi="Arial" w:cs="Arial"/>
        </w:rPr>
        <w:t>.</w:t>
      </w:r>
      <w:r w:rsidR="00744DA5">
        <w:rPr>
          <w:rFonts w:ascii="Arial" w:hAnsi="Arial" w:cs="Arial"/>
        </w:rPr>
        <w:t xml:space="preserve"> </w:t>
      </w:r>
    </w:p>
    <w:p w14:paraId="72A1C633" w14:textId="7DA1C0B3" w:rsidR="00264808" w:rsidRDefault="009E141C" w:rsidP="0062295F">
      <w:pPr>
        <w:pStyle w:val="ListBullet"/>
        <w:numPr>
          <w:ilvl w:val="0"/>
          <w:numId w:val="0"/>
        </w:numPr>
        <w:spacing w:before="240" w:after="120"/>
      </w:pPr>
      <w:r>
        <w:t xml:space="preserve">The proposed changes to the s.145 determination </w:t>
      </w:r>
      <w:proofErr w:type="gramStart"/>
      <w:r>
        <w:t>are</w:t>
      </w:r>
      <w:proofErr w:type="gramEnd"/>
      <w:r>
        <w:t xml:space="preserve"> expected to have </w:t>
      </w:r>
      <w:r w:rsidR="00A8309E">
        <w:t>a negligible impact</w:t>
      </w:r>
      <w:r>
        <w:t xml:space="preserve"> on the </w:t>
      </w:r>
      <w:r>
        <w:rPr>
          <w:rFonts w:cs="Arial"/>
        </w:rPr>
        <w:t xml:space="preserve">licensing of </w:t>
      </w:r>
      <w:r w:rsidRPr="003C584C">
        <w:rPr>
          <w:rFonts w:cs="Arial"/>
        </w:rPr>
        <w:t>new</w:t>
      </w:r>
      <w:r>
        <w:rPr>
          <w:rFonts w:cs="Arial"/>
        </w:rPr>
        <w:t xml:space="preserve"> co-channel</w:t>
      </w:r>
      <w:r w:rsidRPr="003C584C">
        <w:rPr>
          <w:rFonts w:cs="Arial"/>
        </w:rPr>
        <w:t xml:space="preserve"> point-to-point link</w:t>
      </w:r>
      <w:r>
        <w:rPr>
          <w:rFonts w:cs="Arial"/>
        </w:rPr>
        <w:t>s</w:t>
      </w:r>
      <w:r w:rsidRPr="003C584C">
        <w:rPr>
          <w:rFonts w:cs="Arial"/>
        </w:rPr>
        <w:t xml:space="preserve"> in</w:t>
      </w:r>
      <w:r>
        <w:rPr>
          <w:rFonts w:cs="Arial"/>
        </w:rPr>
        <w:t xml:space="preserve"> remote areas. This is </w:t>
      </w:r>
      <w:r w:rsidR="003E62B5">
        <w:rPr>
          <w:rFonts w:cs="Arial"/>
        </w:rPr>
        <w:t>due to t</w:t>
      </w:r>
      <w:r w:rsidR="003E62B5">
        <w:t xml:space="preserve">he low density of point-to-point and spectrum licence service deployments near the boundary </w:t>
      </w:r>
      <w:r w:rsidR="003E62B5" w:rsidDel="00F521F2">
        <w:t>between regional spectrum licences and remote areas.</w:t>
      </w:r>
    </w:p>
    <w:p w14:paraId="37D083DD" w14:textId="416A8717" w:rsidR="0087694D" w:rsidRPr="00602151" w:rsidRDefault="0087694D" w:rsidP="0087694D">
      <w:pPr>
        <w:pStyle w:val="ListBullet"/>
        <w:numPr>
          <w:ilvl w:val="0"/>
          <w:numId w:val="0"/>
        </w:numPr>
        <w:spacing w:before="240" w:after="240"/>
      </w:pPr>
      <w:r w:rsidRPr="00602151">
        <w:t xml:space="preserve">Consequently, it is considered that the existing arrangements in place to manage interference with point-to-point services are suitable and do not need to be modified to account </w:t>
      </w:r>
      <w:r w:rsidR="00672EB9">
        <w:t xml:space="preserve">for </w:t>
      </w:r>
      <w:r w:rsidRPr="00602151">
        <w:t xml:space="preserve">proposed changes to the </w:t>
      </w:r>
      <w:r w:rsidR="00937A8E">
        <w:t>1</w:t>
      </w:r>
      <w:r w:rsidR="000B523D">
        <w:t>800</w:t>
      </w:r>
      <w:r w:rsidRPr="00602151">
        <w:t xml:space="preserve"> </w:t>
      </w:r>
      <w:r w:rsidR="00937A8E">
        <w:t>M</w:t>
      </w:r>
      <w:r w:rsidRPr="00602151">
        <w:t xml:space="preserve">Hz technical framework. </w:t>
      </w:r>
    </w:p>
    <w:p w14:paraId="37E0CB69" w14:textId="2A722628" w:rsidR="000F03CC" w:rsidRPr="005438AE" w:rsidRDefault="000F03CC" w:rsidP="0062295F">
      <w:pPr>
        <w:pStyle w:val="ListBullet"/>
        <w:numPr>
          <w:ilvl w:val="0"/>
          <w:numId w:val="0"/>
        </w:numPr>
        <w:spacing w:after="120"/>
        <w:rPr>
          <w:b/>
          <w:iCs/>
        </w:rPr>
      </w:pPr>
      <w:r w:rsidRPr="000F03CC">
        <w:rPr>
          <w:b/>
          <w:iCs/>
        </w:rPr>
        <w:t>Meteorological-satellite service (space-to-</w:t>
      </w:r>
      <w:r w:rsidR="00CC0F5E">
        <w:rPr>
          <w:b/>
          <w:iCs/>
        </w:rPr>
        <w:t>e</w:t>
      </w:r>
      <w:r w:rsidRPr="000F03CC">
        <w:rPr>
          <w:b/>
          <w:iCs/>
        </w:rPr>
        <w:t>arth) operating in the band below 1710 MHz and adjacent to the 1800 MHz spectrum licensed band</w:t>
      </w:r>
    </w:p>
    <w:p w14:paraId="47D6F808" w14:textId="31DC0959" w:rsidR="000F03CC" w:rsidRDefault="003E62B5" w:rsidP="000F03CC">
      <w:pPr>
        <w:autoSpaceDE w:val="0"/>
        <w:autoSpaceDN w:val="0"/>
        <w:adjustRightInd w:val="0"/>
        <w:spacing w:after="0" w:line="240" w:lineRule="auto"/>
        <w:rPr>
          <w:b/>
          <w:iCs/>
        </w:rPr>
      </w:pPr>
      <w:r>
        <w:t xml:space="preserve">The </w:t>
      </w:r>
      <w:r w:rsidR="00DC220F">
        <w:t>m</w:t>
      </w:r>
      <w:r w:rsidR="00DC220F">
        <w:rPr>
          <w:color w:val="000000"/>
          <w:shd w:val="clear" w:color="auto" w:fill="FFFFFF"/>
        </w:rPr>
        <w:t xml:space="preserve">eteorological-satellite (Met-Sat) service </w:t>
      </w:r>
      <w:r w:rsidR="001B7171">
        <w:rPr>
          <w:color w:val="000000"/>
          <w:shd w:val="clear" w:color="auto" w:fill="FFFFFF"/>
        </w:rPr>
        <w:t xml:space="preserve">operates in the band below 1710 MHz and adjacent to the </w:t>
      </w:r>
      <w:r w:rsidR="00DC220F">
        <w:rPr>
          <w:color w:val="000000"/>
          <w:shd w:val="clear" w:color="auto" w:fill="FFFFFF"/>
        </w:rPr>
        <w:t>1800 MHz spectrum licensed band</w:t>
      </w:r>
      <w:r w:rsidR="001B7171">
        <w:t>.</w:t>
      </w:r>
    </w:p>
    <w:p w14:paraId="529E96A9" w14:textId="782E9C67" w:rsidR="00A8309E" w:rsidRDefault="00A8309E" w:rsidP="0062295F">
      <w:pPr>
        <w:pStyle w:val="ListBullet2"/>
        <w:numPr>
          <w:ilvl w:val="0"/>
          <w:numId w:val="0"/>
        </w:numPr>
        <w:spacing w:before="240" w:after="240"/>
      </w:pPr>
      <w:r>
        <w:t>No changes are proposed to the unwanted emission</w:t>
      </w:r>
      <w:r w:rsidR="00A25455">
        <w:t>s</w:t>
      </w:r>
      <w:r>
        <w:t xml:space="preserve"> in the 1665</w:t>
      </w:r>
      <w:r w:rsidR="00CC0F5E">
        <w:t>–</w:t>
      </w:r>
      <w:r>
        <w:t>1710 MHz frequency range</w:t>
      </w:r>
      <w:r w:rsidR="00672EB9">
        <w:t xml:space="preserve"> for transmitters operating in the lower 1800 MHz band</w:t>
      </w:r>
      <w:r>
        <w:t xml:space="preserve">. This means there will be no change to the interference environment for meteorological services in that frequency range.  </w:t>
      </w:r>
    </w:p>
    <w:p w14:paraId="69222AF5" w14:textId="56EB14FC" w:rsidR="000F03CC" w:rsidRDefault="0088308D" w:rsidP="0062295F">
      <w:pPr>
        <w:pStyle w:val="ListBullet2"/>
        <w:numPr>
          <w:ilvl w:val="0"/>
          <w:numId w:val="0"/>
        </w:numPr>
        <w:spacing w:after="240"/>
      </w:pPr>
      <w:r>
        <w:t>I</w:t>
      </w:r>
      <w:r w:rsidRPr="00602151">
        <w:t xml:space="preserve">t is considered that the existing arrangements in place to manage interference with </w:t>
      </w:r>
      <w:r w:rsidR="005C27A7">
        <w:rPr>
          <w:color w:val="000000"/>
          <w:shd w:val="clear" w:color="auto" w:fill="FFFFFF"/>
        </w:rPr>
        <w:t>Met-Sat radiocommunications receivers</w:t>
      </w:r>
      <w:r w:rsidR="005C27A7" w:rsidRPr="00602151" w:rsidDel="005C27A7">
        <w:t xml:space="preserve"> </w:t>
      </w:r>
      <w:r w:rsidRPr="00602151">
        <w:t xml:space="preserve">are suitable and do not need to be modified to account </w:t>
      </w:r>
      <w:r w:rsidR="00672EB9">
        <w:t xml:space="preserve">for </w:t>
      </w:r>
      <w:r w:rsidRPr="00602151">
        <w:t xml:space="preserve">proposed changes to the </w:t>
      </w:r>
      <w:r>
        <w:t>1</w:t>
      </w:r>
      <w:r w:rsidR="000B523D">
        <w:t>800</w:t>
      </w:r>
      <w:r w:rsidRPr="00602151">
        <w:t xml:space="preserve"> </w:t>
      </w:r>
      <w:r>
        <w:t>M</w:t>
      </w:r>
      <w:r w:rsidRPr="00602151">
        <w:t>Hz technical framework.</w:t>
      </w:r>
    </w:p>
    <w:p w14:paraId="19DAD86D" w14:textId="621E2F13" w:rsidR="000F6B1E" w:rsidRPr="005438AE" w:rsidRDefault="000F6B1E" w:rsidP="00322232">
      <w:pPr>
        <w:autoSpaceDE w:val="0"/>
        <w:autoSpaceDN w:val="0"/>
        <w:adjustRightInd w:val="0"/>
        <w:spacing w:after="60" w:line="240" w:lineRule="auto"/>
        <w:rPr>
          <w:b/>
          <w:iCs/>
        </w:rPr>
      </w:pPr>
      <w:r w:rsidRPr="002B2CD5">
        <w:rPr>
          <w:b/>
          <w:iCs/>
        </w:rPr>
        <w:t>Cordless communications devices (</w:t>
      </w:r>
      <w:r w:rsidR="00A8309E" w:rsidRPr="002B2CD5">
        <w:rPr>
          <w:b/>
          <w:iCs/>
        </w:rPr>
        <w:t>i.e.</w:t>
      </w:r>
      <w:r w:rsidR="00CC0F5E">
        <w:rPr>
          <w:b/>
          <w:iCs/>
        </w:rPr>
        <w:t>,</w:t>
      </w:r>
      <w:r w:rsidRPr="002B2CD5">
        <w:rPr>
          <w:b/>
          <w:iCs/>
        </w:rPr>
        <w:t xml:space="preserve"> DECT), operating in the 1880 MHz to 1900 MHz frequency range</w:t>
      </w:r>
    </w:p>
    <w:p w14:paraId="49C2721E" w14:textId="30934C28" w:rsidR="000F6B1E" w:rsidRDefault="00510EEF" w:rsidP="000F6B1E">
      <w:pPr>
        <w:autoSpaceDE w:val="0"/>
        <w:autoSpaceDN w:val="0"/>
        <w:adjustRightInd w:val="0"/>
        <w:spacing w:after="0" w:line="240" w:lineRule="auto"/>
      </w:pPr>
      <w:r>
        <w:t>C</w:t>
      </w:r>
      <w:r w:rsidR="00553E86" w:rsidRPr="00553E86">
        <w:t xml:space="preserve">ordless communications devices </w:t>
      </w:r>
      <w:r>
        <w:t>are authorised to operate in the 1880</w:t>
      </w:r>
      <w:r w:rsidRPr="00553E86">
        <w:t>–</w:t>
      </w:r>
      <w:r>
        <w:t>1900 MHz band</w:t>
      </w:r>
      <w:r w:rsidR="00553E86" w:rsidRPr="00553E86">
        <w:t xml:space="preserve"> by the </w:t>
      </w:r>
      <w:r w:rsidR="00553E86" w:rsidRPr="00322232">
        <w:rPr>
          <w:iCs/>
        </w:rPr>
        <w:t>Radiocommunications (Cordless Communications Devices) Class Licence 2001</w:t>
      </w:r>
      <w:r w:rsidR="00553E86" w:rsidRPr="00553E86">
        <w:t xml:space="preserve">. This band is adjacent to the 1800 MHz spectrum licensed band. </w:t>
      </w:r>
    </w:p>
    <w:p w14:paraId="35BBD4D7" w14:textId="61D2F09C" w:rsidR="00672EB9" w:rsidRDefault="0015578E" w:rsidP="00061B0C">
      <w:pPr>
        <w:pStyle w:val="ListBullet2"/>
        <w:numPr>
          <w:ilvl w:val="0"/>
          <w:numId w:val="0"/>
        </w:numPr>
        <w:spacing w:after="240"/>
      </w:pPr>
      <w:r>
        <w:rPr>
          <w:color w:val="000000"/>
          <w:shd w:val="clear" w:color="auto" w:fill="FFFFFF"/>
        </w:rPr>
        <w:t xml:space="preserve">European studies in the </w:t>
      </w:r>
      <w:hyperlink r:id="rId46" w:history="1">
        <w:r w:rsidRPr="00EA3921">
          <w:rPr>
            <w:rStyle w:val="Hyperlink"/>
            <w:shd w:val="clear" w:color="auto" w:fill="FFFFFF"/>
          </w:rPr>
          <w:t>Electronic Communications Committee (ECC) Reports 96</w:t>
        </w:r>
      </w:hyperlink>
      <w:r>
        <w:rPr>
          <w:color w:val="000000"/>
          <w:shd w:val="clear" w:color="auto" w:fill="FFFFFF"/>
        </w:rPr>
        <w:t xml:space="preserve"> and 146, and the </w:t>
      </w:r>
      <w:hyperlink r:id="rId47" w:history="1">
        <w:r w:rsidRPr="00EA3921">
          <w:rPr>
            <w:rStyle w:val="Hyperlink"/>
            <w:shd w:val="clear" w:color="auto" w:fill="FFFFFF"/>
          </w:rPr>
          <w:t xml:space="preserve">European Conference of Postal and Telecommunications Administrations </w:t>
        </w:r>
        <w:r w:rsidRPr="00EA3921">
          <w:rPr>
            <w:rStyle w:val="Hyperlink"/>
            <w:shd w:val="clear" w:color="auto" w:fill="FFFFFF"/>
          </w:rPr>
          <w:lastRenderedPageBreak/>
          <w:t>(CEPT) Report 41</w:t>
        </w:r>
      </w:hyperlink>
      <w:r w:rsidR="00061B0C">
        <w:rPr>
          <w:color w:val="000000"/>
          <w:shd w:val="clear" w:color="auto" w:fill="FFFFFF"/>
        </w:rPr>
        <w:t xml:space="preserve"> </w:t>
      </w:r>
      <w:r w:rsidR="00526ED4">
        <w:rPr>
          <w:color w:val="000000"/>
          <w:shd w:val="clear" w:color="auto" w:fill="FFFFFF"/>
        </w:rPr>
        <w:t xml:space="preserve">have been used to inform the protection </w:t>
      </w:r>
      <w:r w:rsidR="003F29C0">
        <w:rPr>
          <w:color w:val="000000"/>
          <w:shd w:val="clear" w:color="auto" w:fill="FFFFFF"/>
        </w:rPr>
        <w:t xml:space="preserve">requirement for DECT </w:t>
      </w:r>
      <w:r w:rsidR="00FF6DB4">
        <w:rPr>
          <w:color w:val="000000"/>
          <w:shd w:val="clear" w:color="auto" w:fill="FFFFFF"/>
        </w:rPr>
        <w:t>services</w:t>
      </w:r>
      <w:r w:rsidR="00672EB9">
        <w:rPr>
          <w:color w:val="000000"/>
          <w:shd w:val="clear" w:color="auto" w:fill="FFFFFF"/>
        </w:rPr>
        <w:t xml:space="preserve"> from non-AAS transmitters</w:t>
      </w:r>
      <w:r w:rsidR="003F29C0">
        <w:rPr>
          <w:color w:val="000000"/>
          <w:shd w:val="clear" w:color="auto" w:fill="FFFFFF"/>
        </w:rPr>
        <w:t>.</w:t>
      </w:r>
      <w:r w:rsidR="00672EB9">
        <w:rPr>
          <w:color w:val="000000"/>
          <w:shd w:val="clear" w:color="auto" w:fill="FFFFFF"/>
        </w:rPr>
        <w:t xml:space="preserve"> </w:t>
      </w:r>
      <w:hyperlink r:id="rId48" w:history="1">
        <w:r w:rsidR="008C4CD4" w:rsidRPr="00EA3921">
          <w:rPr>
            <w:rStyle w:val="Hyperlink"/>
            <w:shd w:val="clear" w:color="auto" w:fill="FFFFFF"/>
          </w:rPr>
          <w:t>ECC Report 297</w:t>
        </w:r>
      </w:hyperlink>
      <w:r w:rsidR="008C4CD4">
        <w:rPr>
          <w:color w:val="000000"/>
          <w:shd w:val="clear" w:color="auto" w:fill="FFFFFF"/>
        </w:rPr>
        <w:t xml:space="preserve"> considers the potential </w:t>
      </w:r>
      <w:r w:rsidR="00440A25">
        <w:rPr>
          <w:color w:val="000000"/>
          <w:shd w:val="clear" w:color="auto" w:fill="FFFFFF"/>
        </w:rPr>
        <w:t>interference from</w:t>
      </w:r>
      <w:r w:rsidR="00D86240">
        <w:rPr>
          <w:color w:val="000000"/>
          <w:shd w:val="clear" w:color="auto" w:fill="FFFFFF"/>
        </w:rPr>
        <w:t xml:space="preserve"> the introduction of</w:t>
      </w:r>
      <w:r w:rsidR="00440A25">
        <w:rPr>
          <w:color w:val="000000"/>
          <w:shd w:val="clear" w:color="auto" w:fill="FFFFFF"/>
        </w:rPr>
        <w:t xml:space="preserve"> an AAS </w:t>
      </w:r>
      <w:r w:rsidR="00D86240">
        <w:rPr>
          <w:color w:val="000000"/>
          <w:shd w:val="clear" w:color="auto" w:fill="FFFFFF"/>
        </w:rPr>
        <w:t>service</w:t>
      </w:r>
      <w:r w:rsidR="00061B0C">
        <w:rPr>
          <w:color w:val="000000"/>
          <w:shd w:val="clear" w:color="auto" w:fill="FFFFFF"/>
        </w:rPr>
        <w:t xml:space="preserve"> into adjacent bands</w:t>
      </w:r>
      <w:r w:rsidR="00D86240">
        <w:rPr>
          <w:color w:val="000000"/>
          <w:shd w:val="clear" w:color="auto" w:fill="FFFFFF"/>
        </w:rPr>
        <w:t>.</w:t>
      </w:r>
      <w:r w:rsidR="00886F02">
        <w:t xml:space="preserve"> </w:t>
      </w:r>
    </w:p>
    <w:p w14:paraId="4E0187D9" w14:textId="4F2BA735" w:rsidR="000F6B1E" w:rsidRDefault="00061B0C" w:rsidP="0062295F">
      <w:pPr>
        <w:pStyle w:val="ListBullet2"/>
        <w:numPr>
          <w:ilvl w:val="0"/>
          <w:numId w:val="0"/>
        </w:numPr>
        <w:spacing w:after="240"/>
      </w:pPr>
      <w:r>
        <w:t xml:space="preserve">Based on </w:t>
      </w:r>
      <w:r w:rsidR="00AD72C1">
        <w:t xml:space="preserve">results of studies provided in </w:t>
      </w:r>
      <w:r>
        <w:t>th</w:t>
      </w:r>
      <w:r w:rsidR="00672EB9">
        <w:t>ese</w:t>
      </w:r>
      <w:r>
        <w:t xml:space="preserve"> report</w:t>
      </w:r>
      <w:r w:rsidR="00A25455">
        <w:t>s</w:t>
      </w:r>
      <w:r>
        <w:t>, i</w:t>
      </w:r>
      <w:r w:rsidR="008C4CD4" w:rsidRPr="00602151">
        <w:t xml:space="preserve">t is considered that the </w:t>
      </w:r>
      <w:r w:rsidR="00534B8B">
        <w:t>proposed</w:t>
      </w:r>
      <w:r w:rsidR="008C4CD4" w:rsidRPr="00602151">
        <w:t xml:space="preserve"> </w:t>
      </w:r>
      <w:r w:rsidR="00886F02">
        <w:t xml:space="preserve">amendments </w:t>
      </w:r>
      <w:r>
        <w:t>to</w:t>
      </w:r>
      <w:r w:rsidR="00886F02">
        <w:t xml:space="preserve"> the </w:t>
      </w:r>
      <w:r w:rsidR="006419FA">
        <w:t>1800 MHz</w:t>
      </w:r>
      <w:r w:rsidR="00886F02">
        <w:t xml:space="preserve"> </w:t>
      </w:r>
      <w:r w:rsidR="00886F02" w:rsidRPr="00602151">
        <w:t>technical framework</w:t>
      </w:r>
      <w:r w:rsidR="00D54B5A">
        <w:t xml:space="preserve"> will </w:t>
      </w:r>
      <w:r>
        <w:t xml:space="preserve">result in a </w:t>
      </w:r>
      <w:r w:rsidR="00AD72C1">
        <w:t>minor</w:t>
      </w:r>
      <w:r>
        <w:t xml:space="preserve"> change to the existing interference environment </w:t>
      </w:r>
      <w:r w:rsidR="00AD72C1">
        <w:t xml:space="preserve">experienced by </w:t>
      </w:r>
      <w:r w:rsidR="00D54B5A">
        <w:t>DECT service</w:t>
      </w:r>
      <w:r w:rsidR="00A25455">
        <w:t>s</w:t>
      </w:r>
      <w:r>
        <w:t>.</w:t>
      </w:r>
      <w:r w:rsidR="00DF53BE">
        <w:t xml:space="preserve"> </w:t>
      </w:r>
      <w:r>
        <w:t>Consequently, it is considered that</w:t>
      </w:r>
      <w:r w:rsidR="0071289D" w:rsidRPr="00602151">
        <w:t xml:space="preserve"> </w:t>
      </w:r>
      <w:r w:rsidR="00DF53BE">
        <w:t xml:space="preserve">the RAG Tx </w:t>
      </w:r>
      <w:r w:rsidR="0071289D" w:rsidRPr="00602151">
        <w:t>do</w:t>
      </w:r>
      <w:r w:rsidR="00DF53BE">
        <w:t>es</w:t>
      </w:r>
      <w:r w:rsidR="0071289D" w:rsidRPr="00602151">
        <w:t xml:space="preserve"> not need to be modified to </w:t>
      </w:r>
      <w:proofErr w:type="gramStart"/>
      <w:r w:rsidR="0071289D" w:rsidRPr="00602151">
        <w:t>take into account</w:t>
      </w:r>
      <w:proofErr w:type="gramEnd"/>
      <w:r w:rsidR="0071289D" w:rsidRPr="00602151">
        <w:t xml:space="preserve"> proposed changes to the </w:t>
      </w:r>
      <w:r w:rsidR="0071289D">
        <w:t>1</w:t>
      </w:r>
      <w:r w:rsidR="000B523D">
        <w:t>800</w:t>
      </w:r>
      <w:r w:rsidR="0071289D" w:rsidRPr="00602151">
        <w:t xml:space="preserve"> </w:t>
      </w:r>
      <w:r w:rsidR="0071289D">
        <w:t>M</w:t>
      </w:r>
      <w:r w:rsidR="0071289D" w:rsidRPr="00602151">
        <w:t>Hz technical framework</w:t>
      </w:r>
      <w:r>
        <w:t>.</w:t>
      </w:r>
      <w:r w:rsidR="00D54B5A">
        <w:t xml:space="preserve"> </w:t>
      </w:r>
    </w:p>
    <w:p w14:paraId="52DE360C" w14:textId="77777777" w:rsidR="0087694D" w:rsidRPr="005438AE" w:rsidRDefault="0087694D" w:rsidP="00322232">
      <w:pPr>
        <w:autoSpaceDE w:val="0"/>
        <w:autoSpaceDN w:val="0"/>
        <w:adjustRightInd w:val="0"/>
        <w:spacing w:after="60" w:line="240" w:lineRule="auto"/>
        <w:rPr>
          <w:b/>
          <w:iCs/>
        </w:rPr>
      </w:pPr>
      <w:r w:rsidRPr="005438AE">
        <w:rPr>
          <w:b/>
          <w:iCs/>
        </w:rPr>
        <w:t>Radio Astronomy Service receivers</w:t>
      </w:r>
    </w:p>
    <w:p w14:paraId="31CC476C" w14:textId="2F330D63" w:rsidR="0087694D" w:rsidRPr="00D644ED" w:rsidRDefault="0087694D" w:rsidP="0087694D">
      <w:pPr>
        <w:autoSpaceDE w:val="0"/>
        <w:autoSpaceDN w:val="0"/>
        <w:adjustRightInd w:val="0"/>
        <w:spacing w:line="240" w:lineRule="auto"/>
      </w:pPr>
      <w:r w:rsidRPr="00602151">
        <w:t xml:space="preserve">RAS conduct passive observations in the frequency bands specified in footnote AUS87 of the </w:t>
      </w:r>
      <w:hyperlink r:id="rId49" w:history="1">
        <w:r w:rsidRPr="0038741C">
          <w:rPr>
            <w:rStyle w:val="Hyperlink"/>
            <w:i/>
            <w:iCs/>
          </w:rPr>
          <w:t>Australian Radiofrequency Spectrum Plan 20</w:t>
        </w:r>
        <w:r w:rsidR="00594B37">
          <w:rPr>
            <w:rStyle w:val="Hyperlink"/>
            <w:i/>
            <w:iCs/>
          </w:rPr>
          <w:t>21</w:t>
        </w:r>
      </w:hyperlink>
      <w:r w:rsidRPr="0038741C">
        <w:t xml:space="preserve">. This includes the </w:t>
      </w:r>
      <w:r w:rsidR="009372FB">
        <w:t>1710</w:t>
      </w:r>
      <w:r>
        <w:t>–</w:t>
      </w:r>
      <w:r w:rsidR="009372FB">
        <w:t>178</w:t>
      </w:r>
      <w:r w:rsidR="00822C3A">
        <w:t>0</w:t>
      </w:r>
      <w:r w:rsidRPr="00DB5756">
        <w:t xml:space="preserve"> MHz b</w:t>
      </w:r>
      <w:r w:rsidRPr="006E076A">
        <w:t>and. Operation of RAS under footnote AUS87 is done on a</w:t>
      </w:r>
      <w:r w:rsidR="00CC0F5E">
        <w:t>n</w:t>
      </w:r>
      <w:r w:rsidRPr="006E076A">
        <w:t xml:space="preserve"> </w:t>
      </w:r>
      <w:r w:rsidR="00894674">
        <w:t>opportunistic</w:t>
      </w:r>
      <w:r w:rsidR="00894674" w:rsidRPr="006E076A">
        <w:t xml:space="preserve"> </w:t>
      </w:r>
      <w:r w:rsidRPr="006E076A">
        <w:t xml:space="preserve">basis. </w:t>
      </w:r>
    </w:p>
    <w:p w14:paraId="04DCC4A4" w14:textId="41387967" w:rsidR="0087694D" w:rsidRPr="0038741C" w:rsidRDefault="0087694D" w:rsidP="0087694D">
      <w:pPr>
        <w:autoSpaceDE w:val="0"/>
        <w:autoSpaceDN w:val="0"/>
        <w:adjustRightInd w:val="0"/>
        <w:spacing w:line="240" w:lineRule="auto"/>
      </w:pPr>
      <w:r w:rsidRPr="00602151">
        <w:t xml:space="preserve">The RAG Tx requests that </w:t>
      </w:r>
      <w:r w:rsidR="006419FA">
        <w:t>1800 MHz</w:t>
      </w:r>
      <w:r w:rsidRPr="00602151">
        <w:t xml:space="preserve"> spectrum licensees have regard to RAS operating in bands covered by footnote AUS87. In planning for the operation of fixed transmitters under a spectrum licence in the </w:t>
      </w:r>
      <w:r w:rsidR="006419FA">
        <w:t>1800 MHz</w:t>
      </w:r>
      <w:r w:rsidRPr="00602151">
        <w:t xml:space="preserve"> band, spectrum licensees are encouraged to follow the notification arrangements specified in </w:t>
      </w:r>
      <w:hyperlink r:id="rId50" w:history="1">
        <w:r w:rsidRPr="0038741C">
          <w:rPr>
            <w:rStyle w:val="Hyperlink"/>
          </w:rPr>
          <w:t>RALI MS 31</w:t>
        </w:r>
      </w:hyperlink>
      <w:r w:rsidRPr="0038741C">
        <w:t xml:space="preserve"> before operating the transmitters. </w:t>
      </w:r>
    </w:p>
    <w:p w14:paraId="7B9EC9D3" w14:textId="516B46D4" w:rsidR="0087694D" w:rsidRDefault="0087694D" w:rsidP="0062295F">
      <w:pPr>
        <w:autoSpaceDE w:val="0"/>
        <w:autoSpaceDN w:val="0"/>
        <w:adjustRightInd w:val="0"/>
        <w:spacing w:line="240" w:lineRule="auto"/>
      </w:pPr>
      <w:r w:rsidRPr="00DB5756">
        <w:t>Since RAS operation is limited to a small number of sites, typically located outside of major population centres, and use is on a</w:t>
      </w:r>
      <w:r w:rsidR="00CC0F5E">
        <w:t>n</w:t>
      </w:r>
      <w:r w:rsidRPr="00DB5756">
        <w:t xml:space="preserve"> </w:t>
      </w:r>
      <w:r w:rsidR="00894674">
        <w:t>opportunistic</w:t>
      </w:r>
      <w:r w:rsidR="00894674" w:rsidRPr="006E076A">
        <w:t xml:space="preserve"> </w:t>
      </w:r>
      <w:r w:rsidRPr="00DB5756">
        <w:t>basis, no changes are proposed to the existing i</w:t>
      </w:r>
      <w:r w:rsidRPr="006E076A">
        <w:t>nterference managem</w:t>
      </w:r>
      <w:r w:rsidRPr="00E32714">
        <w:t>ent criteria.</w:t>
      </w:r>
    </w:p>
    <w:p w14:paraId="7082A75F" w14:textId="77777777" w:rsidR="00FA38F8" w:rsidRDefault="00FA38F8" w:rsidP="00322232">
      <w:pPr>
        <w:pStyle w:val="ListBullet2"/>
        <w:numPr>
          <w:ilvl w:val="0"/>
          <w:numId w:val="0"/>
        </w:numPr>
        <w:spacing w:after="60"/>
        <w:rPr>
          <w:b/>
          <w:iCs/>
        </w:rPr>
      </w:pPr>
      <w:r w:rsidRPr="00FA38F8">
        <w:rPr>
          <w:b/>
          <w:iCs/>
        </w:rPr>
        <w:t>Public Telecommunications Service</w:t>
      </w:r>
    </w:p>
    <w:p w14:paraId="2FBF5465" w14:textId="4C0DFA81" w:rsidR="0004078F" w:rsidRPr="0004078F" w:rsidRDefault="0004078F" w:rsidP="0062295F">
      <w:pPr>
        <w:pStyle w:val="Paragraph"/>
        <w:rPr>
          <w:shd w:val="clear" w:color="auto" w:fill="FFFFFF"/>
        </w:rPr>
      </w:pPr>
      <w:r w:rsidRPr="0004078F">
        <w:rPr>
          <w:shd w:val="clear" w:color="auto" w:fill="FFFFFF"/>
        </w:rPr>
        <w:t xml:space="preserve">Public Telecommunications Services (PTS) operate in </w:t>
      </w:r>
      <w:r w:rsidR="00061B0C">
        <w:rPr>
          <w:shd w:val="clear" w:color="auto" w:fill="FFFFFF"/>
        </w:rPr>
        <w:t xml:space="preserve">areas that are </w:t>
      </w:r>
      <w:r w:rsidRPr="0004078F">
        <w:rPr>
          <w:shd w:val="clear" w:color="auto" w:fill="FFFFFF"/>
        </w:rPr>
        <w:t xml:space="preserve">adjacent to areas subject to spectrum licensing in the 1800 MHz band. PTS is a service that consists of one or more base stations that are operated for the purposes of supplying a public mobile telecommunications service (PMTS).  Mobile stations that communicate with PTS land stations are authorised by the </w:t>
      </w:r>
      <w:r w:rsidRPr="00322232">
        <w:rPr>
          <w:iCs/>
          <w:shd w:val="clear" w:color="auto" w:fill="FFFFFF"/>
        </w:rPr>
        <w:t>Radiocommunications (Cellular Mobile Telecommunications Devices) Class Licence 2002</w:t>
      </w:r>
      <w:r w:rsidRPr="0004078F">
        <w:rPr>
          <w:shd w:val="clear" w:color="auto" w:fill="FFFFFF"/>
        </w:rPr>
        <w:t>.</w:t>
      </w:r>
    </w:p>
    <w:p w14:paraId="0227FEAA" w14:textId="11BA812F" w:rsidR="0004078F" w:rsidRPr="0004078F" w:rsidRDefault="00A21EA9" w:rsidP="00322232">
      <w:pPr>
        <w:pStyle w:val="Paragraph"/>
        <w:spacing w:after="60"/>
        <w:rPr>
          <w:color w:val="000000"/>
          <w:shd w:val="clear" w:color="auto" w:fill="FFFFFF"/>
        </w:rPr>
      </w:pPr>
      <w:r>
        <w:rPr>
          <w:shd w:val="clear" w:color="auto" w:fill="FFFFFF"/>
        </w:rPr>
        <w:t xml:space="preserve">There are </w:t>
      </w:r>
      <w:r w:rsidR="008B3C79">
        <w:rPr>
          <w:shd w:val="clear" w:color="auto" w:fill="FFFFFF"/>
        </w:rPr>
        <w:t xml:space="preserve">two </w:t>
      </w:r>
      <w:r w:rsidR="008B3C79">
        <w:rPr>
          <w:color w:val="000000"/>
          <w:shd w:val="clear" w:color="auto" w:fill="FFFFFF"/>
        </w:rPr>
        <w:t xml:space="preserve">types of </w:t>
      </w:r>
      <w:r w:rsidR="0004078F" w:rsidRPr="0004078F">
        <w:rPr>
          <w:color w:val="000000"/>
          <w:shd w:val="clear" w:color="auto" w:fill="FFFFFF"/>
        </w:rPr>
        <w:t>PTS licences are available in the 1800 MHz band:</w:t>
      </w:r>
    </w:p>
    <w:p w14:paraId="2DDD8962" w14:textId="54954D14" w:rsidR="0004078F" w:rsidRPr="0004078F" w:rsidRDefault="0004078F" w:rsidP="0062295F">
      <w:pPr>
        <w:pStyle w:val="ListBullet"/>
        <w:rPr>
          <w:shd w:val="clear" w:color="auto" w:fill="FFFFFF"/>
        </w:rPr>
      </w:pPr>
      <w:r w:rsidRPr="0004078F">
        <w:rPr>
          <w:shd w:val="clear" w:color="auto" w:fill="FFFFFF"/>
        </w:rPr>
        <w:t>PMTS Class B – which authorises the use of terrestrial systems</w:t>
      </w:r>
    </w:p>
    <w:p w14:paraId="2CA01CC8" w14:textId="01C31129" w:rsidR="00AA759B" w:rsidRPr="00D644ED" w:rsidRDefault="0004078F">
      <w:pPr>
        <w:pStyle w:val="ListBullet"/>
      </w:pPr>
      <w:r w:rsidRPr="0004078F">
        <w:rPr>
          <w:shd w:val="clear" w:color="auto" w:fill="FFFFFF"/>
        </w:rPr>
        <w:t>PMTS Class C – which authorises the use of systems onboard aircraft.</w:t>
      </w:r>
    </w:p>
    <w:p w14:paraId="6D4A5CBA" w14:textId="6370E112" w:rsidR="00061B0C" w:rsidRDefault="00061B0C" w:rsidP="0062295F">
      <w:pPr>
        <w:pStyle w:val="ListBullet2"/>
        <w:numPr>
          <w:ilvl w:val="0"/>
          <w:numId w:val="0"/>
        </w:numPr>
        <w:spacing w:before="240" w:after="240"/>
      </w:pPr>
      <w:r>
        <w:t xml:space="preserve">PTS services employ the same </w:t>
      </w:r>
      <w:r w:rsidR="00A25455">
        <w:t>or similar</w:t>
      </w:r>
      <w:r>
        <w:t xml:space="preserve"> </w:t>
      </w:r>
      <w:r w:rsidR="00373E0D">
        <w:t>technology</w:t>
      </w:r>
      <w:r>
        <w:t xml:space="preserve"> </w:t>
      </w:r>
      <w:r w:rsidR="00373E0D">
        <w:t>used by 1800 MHz spectrum</w:t>
      </w:r>
      <w:r w:rsidR="00CC0F5E">
        <w:t> </w:t>
      </w:r>
      <w:r w:rsidR="00373E0D">
        <w:t>licensees. Co-channel interference between PTS licences and services deployed under an 1800 MHz spectrum licences is managed via the DBC in the s.145</w:t>
      </w:r>
      <w:r w:rsidR="00CC0F5E">
        <w:t> </w:t>
      </w:r>
      <w:r w:rsidR="00373E0D">
        <w:t xml:space="preserve">determination.  </w:t>
      </w:r>
    </w:p>
    <w:p w14:paraId="0F26D862" w14:textId="7C774CAC" w:rsidR="00A30FAE" w:rsidRDefault="00A30FAE" w:rsidP="00A30FAE">
      <w:pPr>
        <w:pStyle w:val="ListBullet2"/>
        <w:numPr>
          <w:ilvl w:val="0"/>
          <w:numId w:val="0"/>
        </w:numPr>
        <w:spacing w:after="240"/>
      </w:pPr>
      <w:r>
        <w:t xml:space="preserve">Existing services operating under PTS licences in remote areas will not be impacted by the proposed changes to the s.145 determination. While the changes are aimed at </w:t>
      </w:r>
      <w:r>
        <w:rPr>
          <w:rFonts w:cs="Arial"/>
        </w:rPr>
        <w:t>enabling services to deploy closer to spectrum licence boundaries in the upper 1800</w:t>
      </w:r>
      <w:r w:rsidR="00CC0F5E">
        <w:rPr>
          <w:rFonts w:cs="Arial"/>
        </w:rPr>
        <w:t> </w:t>
      </w:r>
      <w:r>
        <w:rPr>
          <w:rFonts w:cs="Arial"/>
        </w:rPr>
        <w:t xml:space="preserve">MHz band, </w:t>
      </w:r>
      <w:r>
        <w:t xml:space="preserve">they are expected to have a negligible impact on the </w:t>
      </w:r>
      <w:r>
        <w:rPr>
          <w:rFonts w:cs="Arial"/>
        </w:rPr>
        <w:t xml:space="preserve">licensing of </w:t>
      </w:r>
      <w:r w:rsidRPr="003C584C">
        <w:rPr>
          <w:rFonts w:cs="Arial"/>
        </w:rPr>
        <w:t>new</w:t>
      </w:r>
      <w:r>
        <w:rPr>
          <w:rFonts w:cs="Arial"/>
        </w:rPr>
        <w:t xml:space="preserve"> co-channel</w:t>
      </w:r>
      <w:r w:rsidRPr="003C584C">
        <w:rPr>
          <w:rFonts w:cs="Arial"/>
        </w:rPr>
        <w:t xml:space="preserve"> </w:t>
      </w:r>
      <w:r>
        <w:rPr>
          <w:rFonts w:cs="Arial"/>
        </w:rPr>
        <w:t>PTS. This is due to t</w:t>
      </w:r>
      <w:r>
        <w:t xml:space="preserve">he low density of point-to-point and spectrum licence service deployments near the boundary </w:t>
      </w:r>
      <w:r w:rsidDel="00F521F2">
        <w:t>between regional spectrum licences and remote areas.</w:t>
      </w:r>
      <w:r>
        <w:rPr>
          <w:rStyle w:val="CommentReference"/>
        </w:rPr>
        <w:annotationRef/>
      </w:r>
      <w:r>
        <w:rPr>
          <w:rStyle w:val="CommentReference"/>
        </w:rPr>
        <w:annotationRef/>
      </w:r>
      <w:r>
        <w:rPr>
          <w:rFonts w:cs="Arial"/>
        </w:rPr>
        <w:t xml:space="preserve"> Also no changes are being proposed to the RAG DBC which is used to manage co-channel interference for high sighted devices in the lower 1800 MHz band. </w:t>
      </w:r>
    </w:p>
    <w:p w14:paraId="093A02DC" w14:textId="19F8BBEA" w:rsidR="00ED7D83" w:rsidRDefault="00373E0D" w:rsidP="00136668">
      <w:pPr>
        <w:pStyle w:val="ListBullet2"/>
        <w:numPr>
          <w:ilvl w:val="0"/>
          <w:numId w:val="0"/>
        </w:numPr>
      </w:pPr>
      <w:r>
        <w:t xml:space="preserve">Consequently, it is considered that </w:t>
      </w:r>
      <w:r w:rsidR="00C84934">
        <w:t xml:space="preserve">the RAG Tx </w:t>
      </w:r>
      <w:r w:rsidR="00C84934" w:rsidRPr="00602151">
        <w:t>do</w:t>
      </w:r>
      <w:r w:rsidR="00C84934">
        <w:t>es</w:t>
      </w:r>
      <w:r w:rsidR="00C84934" w:rsidRPr="00602151">
        <w:t xml:space="preserve"> not need to be modified to </w:t>
      </w:r>
      <w:proofErr w:type="gramStart"/>
      <w:r w:rsidR="00C84934" w:rsidRPr="00602151">
        <w:t>take into account</w:t>
      </w:r>
      <w:proofErr w:type="gramEnd"/>
      <w:r w:rsidR="00C84934" w:rsidRPr="00602151">
        <w:t xml:space="preserve"> proposed changes to the </w:t>
      </w:r>
      <w:r w:rsidR="00C84934">
        <w:t>18</w:t>
      </w:r>
      <w:r w:rsidR="000B523D">
        <w:t>00</w:t>
      </w:r>
      <w:r w:rsidR="00C84934" w:rsidRPr="00602151">
        <w:t xml:space="preserve"> </w:t>
      </w:r>
      <w:r w:rsidR="00C84934">
        <w:t>M</w:t>
      </w:r>
      <w:r w:rsidR="00C84934" w:rsidRPr="00602151">
        <w:t>Hz technical framework</w:t>
      </w:r>
      <w:r>
        <w:t>.</w:t>
      </w:r>
      <w:r w:rsidR="00C84934">
        <w:t xml:space="preserve"> </w:t>
      </w:r>
    </w:p>
    <w:p w14:paraId="59E385F0" w14:textId="77777777" w:rsidR="00361911" w:rsidRDefault="00361911" w:rsidP="00A60869">
      <w:pPr>
        <w:autoSpaceDE w:val="0"/>
        <w:autoSpaceDN w:val="0"/>
        <w:adjustRightInd w:val="0"/>
        <w:spacing w:after="0" w:line="240" w:lineRule="auto"/>
      </w:pPr>
    </w:p>
    <w:p w14:paraId="513E9BA0" w14:textId="67C421C9" w:rsidR="00F323E8" w:rsidRPr="005438AE" w:rsidRDefault="00F323E8" w:rsidP="00322232">
      <w:pPr>
        <w:autoSpaceDE w:val="0"/>
        <w:autoSpaceDN w:val="0"/>
        <w:adjustRightInd w:val="0"/>
        <w:spacing w:after="60" w:line="240" w:lineRule="auto"/>
        <w:rPr>
          <w:b/>
          <w:iCs/>
        </w:rPr>
      </w:pPr>
      <w:r w:rsidRPr="005438AE">
        <w:rPr>
          <w:b/>
          <w:iCs/>
        </w:rPr>
        <w:t>Class licensed services</w:t>
      </w:r>
    </w:p>
    <w:p w14:paraId="246580E6" w14:textId="0DEBFB29" w:rsidR="001B522C" w:rsidRDefault="00F34826" w:rsidP="00F34826">
      <w:pPr>
        <w:autoSpaceDE w:val="0"/>
        <w:autoSpaceDN w:val="0"/>
        <w:adjustRightInd w:val="0"/>
        <w:spacing w:line="240" w:lineRule="auto"/>
      </w:pPr>
      <w:r w:rsidRPr="00602151">
        <w:lastRenderedPageBreak/>
        <w:t xml:space="preserve">The </w:t>
      </w:r>
      <w:hyperlink r:id="rId51" w:history="1">
        <w:r w:rsidRPr="00322232">
          <w:rPr>
            <w:rStyle w:val="Hyperlink"/>
          </w:rPr>
          <w:t>Radiocommunications (Low Interference Potential Devices) Class Licence 2015</w:t>
        </w:r>
      </w:hyperlink>
      <w:r w:rsidRPr="0038741C">
        <w:rPr>
          <w:i/>
          <w:iCs/>
        </w:rPr>
        <w:t xml:space="preserve"> </w:t>
      </w:r>
      <w:r w:rsidRPr="0038741C">
        <w:t xml:space="preserve">(the LIPD) defines arrangements for a range of different </w:t>
      </w:r>
      <w:r w:rsidRPr="00DB5756">
        <w:t xml:space="preserve">types of transmitters in the </w:t>
      </w:r>
      <w:r w:rsidR="004332EA">
        <w:t>1710</w:t>
      </w:r>
      <w:r w:rsidRPr="00DB5756">
        <w:t>–</w:t>
      </w:r>
      <w:r w:rsidR="004332EA">
        <w:t>1880</w:t>
      </w:r>
      <w:r w:rsidRPr="00DB5756">
        <w:t xml:space="preserve"> MHz band</w:t>
      </w:r>
      <w:r w:rsidRPr="006E076A">
        <w:t xml:space="preserve">. </w:t>
      </w:r>
      <w:r w:rsidR="001B522C">
        <w:t>This includes wireless microphones in the 1785</w:t>
      </w:r>
      <w:r w:rsidR="004E1219">
        <w:t>–</w:t>
      </w:r>
      <w:r w:rsidR="001B522C">
        <w:t>1800 MHz frequency range and ground penetrating radars in the 30</w:t>
      </w:r>
      <w:r w:rsidR="004E1219">
        <w:t>–</w:t>
      </w:r>
      <w:r w:rsidR="001B522C">
        <w:t>12400 MHz frequency</w:t>
      </w:r>
      <w:r w:rsidR="004E1219">
        <w:t> </w:t>
      </w:r>
      <w:r w:rsidR="001B522C">
        <w:t>range.</w:t>
      </w:r>
    </w:p>
    <w:p w14:paraId="56267760" w14:textId="310F15E8" w:rsidR="00F34826" w:rsidRPr="00602151" w:rsidRDefault="00F34826" w:rsidP="00F34826">
      <w:pPr>
        <w:autoSpaceDE w:val="0"/>
        <w:autoSpaceDN w:val="0"/>
        <w:adjustRightInd w:val="0"/>
        <w:spacing w:line="240" w:lineRule="auto"/>
      </w:pPr>
      <w:r w:rsidRPr="006E076A">
        <w:t>T</w:t>
      </w:r>
      <w:r w:rsidRPr="00E32714">
        <w:t>ransmitters operated under a</w:t>
      </w:r>
      <w:r w:rsidR="00383080">
        <w:t>n</w:t>
      </w:r>
      <w:r w:rsidRPr="00E32714">
        <w:t xml:space="preserve"> </w:t>
      </w:r>
      <w:r w:rsidR="006419FA">
        <w:t>1800 MHz</w:t>
      </w:r>
      <w:r w:rsidRPr="00E32714">
        <w:t xml:space="preserve"> spectrum licence in accordance with the conditions of the licence, are taken </w:t>
      </w:r>
      <w:r w:rsidR="00383080" w:rsidRPr="00E32714">
        <w:t xml:space="preserve">not </w:t>
      </w:r>
      <w:r w:rsidRPr="00E32714">
        <w:t>to cause unacceptable interfe</w:t>
      </w:r>
      <w:r w:rsidRPr="00D644ED">
        <w:t xml:space="preserve">rence </w:t>
      </w:r>
      <w:r w:rsidR="00383080">
        <w:t xml:space="preserve">to </w:t>
      </w:r>
      <w:r w:rsidRPr="00602151">
        <w:t xml:space="preserve">devices operating in accordance with the LIPD. </w:t>
      </w:r>
      <w:r w:rsidR="001B522C">
        <w:t xml:space="preserve">In addition, devices operated under the LIPD operate on a ‘no interference and no protection’ basis. Consequently, it is considered that the RAG Tx </w:t>
      </w:r>
      <w:r w:rsidR="001B522C" w:rsidRPr="00602151">
        <w:t>do</w:t>
      </w:r>
      <w:r w:rsidR="001B522C">
        <w:t>es</w:t>
      </w:r>
      <w:r w:rsidR="001B522C" w:rsidRPr="00602151">
        <w:t xml:space="preserve"> not need to be modified to </w:t>
      </w:r>
      <w:proofErr w:type="gramStart"/>
      <w:r w:rsidR="001B522C" w:rsidRPr="00602151">
        <w:t>take into account</w:t>
      </w:r>
      <w:proofErr w:type="gramEnd"/>
      <w:r w:rsidR="001B522C" w:rsidRPr="00602151">
        <w:t xml:space="preserve"> proposed changes to the </w:t>
      </w:r>
      <w:r w:rsidR="001B522C">
        <w:t>1800</w:t>
      </w:r>
      <w:r w:rsidR="001B522C" w:rsidRPr="00602151">
        <w:t xml:space="preserve"> </w:t>
      </w:r>
      <w:r w:rsidR="001B522C">
        <w:t>M</w:t>
      </w:r>
      <w:r w:rsidR="001B522C" w:rsidRPr="00602151">
        <w:t>Hz technical framework</w:t>
      </w:r>
      <w:r w:rsidR="001B522C">
        <w:t>.</w:t>
      </w:r>
    </w:p>
    <w:p w14:paraId="365D8C79" w14:textId="342DAC0F" w:rsidR="001B522C" w:rsidRPr="00602151" w:rsidRDefault="001B522C" w:rsidP="00F34826">
      <w:pPr>
        <w:autoSpaceDE w:val="0"/>
        <w:autoSpaceDN w:val="0"/>
        <w:adjustRightInd w:val="0"/>
        <w:spacing w:line="240" w:lineRule="auto"/>
      </w:pPr>
    </w:p>
    <w:p w14:paraId="75E4CA53" w14:textId="21A73CB4" w:rsidR="00242DC6" w:rsidRDefault="00242DC6" w:rsidP="003B6B38">
      <w:pPr>
        <w:autoSpaceDE w:val="0"/>
        <w:autoSpaceDN w:val="0"/>
        <w:adjustRightInd w:val="0"/>
        <w:spacing w:after="0" w:line="240" w:lineRule="auto"/>
      </w:pPr>
    </w:p>
    <w:p w14:paraId="5F1B6592" w14:textId="5EFA60E0" w:rsidR="00242DC6" w:rsidRDefault="00242DC6" w:rsidP="003B6B38">
      <w:pPr>
        <w:autoSpaceDE w:val="0"/>
        <w:autoSpaceDN w:val="0"/>
        <w:adjustRightInd w:val="0"/>
        <w:spacing w:after="0" w:line="240" w:lineRule="auto"/>
      </w:pPr>
    </w:p>
    <w:p w14:paraId="354900C6" w14:textId="6520638D" w:rsidR="00240CE9" w:rsidRPr="007D04B2" w:rsidRDefault="00FF3C69" w:rsidP="00FF3C69">
      <w:pPr>
        <w:pStyle w:val="Heading1"/>
      </w:pPr>
      <w:bookmarkStart w:id="70" w:name="_Toc348105641"/>
      <w:bookmarkStart w:id="71" w:name="_Toc56006343"/>
      <w:bookmarkStart w:id="72" w:name="_Toc84339349"/>
      <w:bookmarkEnd w:id="12"/>
      <w:bookmarkEnd w:id="13"/>
      <w:bookmarkEnd w:id="14"/>
      <w:r w:rsidRPr="007D04B2">
        <w:lastRenderedPageBreak/>
        <w:t>Appendix A</w:t>
      </w:r>
      <w:bookmarkEnd w:id="70"/>
      <w:r w:rsidR="00D074FE" w:rsidRPr="007D04B2">
        <w:t xml:space="preserve"> – Current use of the </w:t>
      </w:r>
      <w:r w:rsidR="006419FA">
        <w:t>1800 MHz</w:t>
      </w:r>
      <w:r w:rsidR="00D074FE" w:rsidRPr="007D04B2">
        <w:t xml:space="preserve"> and adjacent bands</w:t>
      </w:r>
      <w:bookmarkEnd w:id="71"/>
      <w:bookmarkEnd w:id="72"/>
    </w:p>
    <w:p w14:paraId="42DB1A2D" w14:textId="614023F6" w:rsidR="0010046D" w:rsidRPr="007D04B2" w:rsidRDefault="0010046D" w:rsidP="0010046D">
      <w:r w:rsidRPr="007D04B2">
        <w:t xml:space="preserve">Figure </w:t>
      </w:r>
      <w:r w:rsidR="00637CC7">
        <w:t>1</w:t>
      </w:r>
      <w:r w:rsidRPr="007D04B2">
        <w:t xml:space="preserve"> provides the current arrangements in the </w:t>
      </w:r>
      <w:r w:rsidR="006419FA">
        <w:t>1800 MHz</w:t>
      </w:r>
      <w:r w:rsidRPr="007D04B2">
        <w:t xml:space="preserve"> band (shown by the shaded area) and adjacent bands. Table </w:t>
      </w:r>
      <w:r w:rsidR="00B83AB5">
        <w:t>1</w:t>
      </w:r>
      <w:r w:rsidRPr="007D04B2">
        <w:t xml:space="preserve"> provide</w:t>
      </w:r>
      <w:r w:rsidR="008F3578">
        <w:t>s</w:t>
      </w:r>
      <w:r w:rsidRPr="007D04B2">
        <w:t xml:space="preserve"> information on the number of existing apparatus-licensed services in the </w:t>
      </w:r>
      <w:r w:rsidR="006419FA">
        <w:t>1800 MHz</w:t>
      </w:r>
      <w:r w:rsidRPr="007D04B2">
        <w:t xml:space="preserve"> band</w:t>
      </w:r>
      <w:r w:rsidR="00902486">
        <w:t xml:space="preserve"> and its adjacent bands</w:t>
      </w:r>
      <w:r w:rsidRPr="007D04B2">
        <w:t>.</w:t>
      </w:r>
    </w:p>
    <w:p w14:paraId="6A87FC66" w14:textId="385CDBD9" w:rsidR="0010046D" w:rsidRPr="007D04B2" w:rsidRDefault="006419FA" w:rsidP="00637CC7">
      <w:pPr>
        <w:pStyle w:val="ACMAFigureHeader"/>
        <w:numPr>
          <w:ilvl w:val="0"/>
          <w:numId w:val="85"/>
        </w:numPr>
      </w:pPr>
      <w:bookmarkStart w:id="73" w:name="_Ref479582565"/>
      <w:r>
        <w:t>1800 MHz</w:t>
      </w:r>
      <w:r w:rsidR="0010046D" w:rsidRPr="007D04B2">
        <w:t xml:space="preserve"> band arrangements</w:t>
      </w:r>
      <w:bookmarkEnd w:id="73"/>
    </w:p>
    <w:p w14:paraId="570773CC" w14:textId="075B966C" w:rsidR="00BC5FE1" w:rsidRDefault="002B2833" w:rsidP="0010046D">
      <w:pPr>
        <w:rPr>
          <w:rFonts w:cs="Arial"/>
        </w:rPr>
      </w:pPr>
      <w:r>
        <w:rPr>
          <w:rFonts w:cs="Arial"/>
          <w:noProof/>
        </w:rPr>
        <w:drawing>
          <wp:inline distT="0" distB="0" distL="0" distR="0" wp14:anchorId="5CD1B9F6" wp14:editId="0E70E978">
            <wp:extent cx="3876675" cy="4573835"/>
            <wp:effectExtent l="0" t="0" r="0" b="0"/>
            <wp:docPr id="65" name="Picture 65" descr="Figure 1: 1800 MHz band arrang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descr="Figure 1: 1800 MHz band arrangements"/>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892861" cy="4592932"/>
                    </a:xfrm>
                    <a:prstGeom prst="rect">
                      <a:avLst/>
                    </a:prstGeom>
                    <a:noFill/>
                  </pic:spPr>
                </pic:pic>
              </a:graphicData>
            </a:graphic>
          </wp:inline>
        </w:drawing>
      </w:r>
    </w:p>
    <w:p w14:paraId="315DE0AE" w14:textId="1CB96515" w:rsidR="0010046D" w:rsidRPr="00430F19" w:rsidRDefault="00B95E3A" w:rsidP="00B95E3A">
      <w:pPr>
        <w:pStyle w:val="ACMATableHeader"/>
        <w:keepNext/>
        <w:numPr>
          <w:ilvl w:val="0"/>
          <w:numId w:val="0"/>
        </w:numPr>
        <w:ind w:left="964" w:hanging="964"/>
      </w:pPr>
      <w:bookmarkStart w:id="74" w:name="_Ref459817782"/>
      <w:bookmarkStart w:id="75" w:name="_Ref458581852"/>
      <w:r>
        <w:t xml:space="preserve">Table 1: </w:t>
      </w:r>
      <w:r w:rsidR="0010046D" w:rsidRPr="007D04B2">
        <w:t xml:space="preserve">Breakdown of </w:t>
      </w:r>
      <w:r w:rsidR="0048788B">
        <w:t xml:space="preserve">apparatus </w:t>
      </w:r>
      <w:r w:rsidR="0010046D" w:rsidRPr="007D04B2">
        <w:t xml:space="preserve">licences in the </w:t>
      </w:r>
      <w:r w:rsidR="006419FA">
        <w:t>1800 MHz</w:t>
      </w:r>
      <w:r w:rsidR="0010046D" w:rsidRPr="007D04B2">
        <w:t xml:space="preserve"> band </w:t>
      </w:r>
      <w:r w:rsidR="004E1219">
        <w:br/>
      </w:r>
      <w:r w:rsidR="0010046D" w:rsidRPr="007D04B2">
        <w:t xml:space="preserve">(RRL extract, </w:t>
      </w:r>
      <w:r w:rsidR="00302960">
        <w:t>August 2021</w:t>
      </w:r>
      <w:r w:rsidR="0010046D" w:rsidRPr="00430F19">
        <w:t>)</w:t>
      </w:r>
    </w:p>
    <w:tbl>
      <w:tblPr>
        <w:tblW w:w="779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85" w:type="dxa"/>
          <w:bottom w:w="85" w:type="dxa"/>
        </w:tblCellMar>
        <w:tblLook w:val="01E0" w:firstRow="1" w:lastRow="1" w:firstColumn="1" w:lastColumn="1" w:noHBand="0" w:noVBand="0"/>
        <w:tblCaption w:val="table 5, Breakdown of licences in the 3.6 GHz band"/>
        <w:tblDescription w:val="Breakdown of licences types and licensees in the 3.6 GHz band"/>
      </w:tblPr>
      <w:tblGrid>
        <w:gridCol w:w="4108"/>
        <w:gridCol w:w="1843"/>
        <w:gridCol w:w="1843"/>
      </w:tblGrid>
      <w:tr w:rsidR="008F1E94" w:rsidRPr="007D04B2" w14:paraId="6D9D40BB" w14:textId="77777777" w:rsidTr="0062295F">
        <w:trPr>
          <w:cantSplit/>
          <w:tblHeader/>
        </w:trPr>
        <w:tc>
          <w:tcPr>
            <w:tcW w:w="4108" w:type="dxa"/>
            <w:shd w:val="clear" w:color="auto" w:fill="404040" w:themeFill="text1" w:themeFillTint="BF"/>
            <w:tcMar>
              <w:top w:w="57" w:type="dxa"/>
              <w:left w:w="57" w:type="dxa"/>
              <w:bottom w:w="57" w:type="dxa"/>
              <w:right w:w="57" w:type="dxa"/>
            </w:tcMar>
            <w:vAlign w:val="center"/>
          </w:tcPr>
          <w:bookmarkEnd w:id="74"/>
          <w:p w14:paraId="7981494D" w14:textId="77777777" w:rsidR="008F1E94" w:rsidRPr="007D04B2" w:rsidRDefault="008F1E94" w:rsidP="00C61796">
            <w:pPr>
              <w:pStyle w:val="TableHeading"/>
              <w:rPr>
                <w:rFonts w:cs="Arial"/>
                <w:color w:val="FFFFFF" w:themeColor="background1"/>
              </w:rPr>
            </w:pPr>
            <w:r w:rsidRPr="007D04B2">
              <w:rPr>
                <w:rFonts w:cs="Arial"/>
                <w:color w:val="FFFFFF" w:themeColor="background1"/>
              </w:rPr>
              <w:t>Licence type</w:t>
            </w:r>
          </w:p>
        </w:tc>
        <w:tc>
          <w:tcPr>
            <w:tcW w:w="1843" w:type="dxa"/>
            <w:shd w:val="clear" w:color="auto" w:fill="404040" w:themeFill="text1" w:themeFillTint="BF"/>
            <w:tcMar>
              <w:top w:w="57" w:type="dxa"/>
              <w:left w:w="57" w:type="dxa"/>
              <w:bottom w:w="57" w:type="dxa"/>
              <w:right w:w="57" w:type="dxa"/>
            </w:tcMar>
            <w:vAlign w:val="center"/>
          </w:tcPr>
          <w:p w14:paraId="6FE603DC" w14:textId="07EC8580" w:rsidR="008F1E94" w:rsidRPr="007D04B2" w:rsidRDefault="008F1E94" w:rsidP="0062295F">
            <w:pPr>
              <w:pStyle w:val="TableHeading"/>
              <w:jc w:val="center"/>
              <w:rPr>
                <w:rFonts w:cs="Arial"/>
                <w:color w:val="FFFFFF" w:themeColor="background1"/>
              </w:rPr>
            </w:pPr>
            <w:r w:rsidRPr="007D04B2">
              <w:rPr>
                <w:rFonts w:cs="Arial"/>
                <w:color w:val="FFFFFF" w:themeColor="background1"/>
              </w:rPr>
              <w:t xml:space="preserve">No. of </w:t>
            </w:r>
            <w:r w:rsidR="00431641">
              <w:rPr>
                <w:rFonts w:cs="Arial"/>
                <w:color w:val="FFFFFF" w:themeColor="background1"/>
              </w:rPr>
              <w:t>licences</w:t>
            </w:r>
          </w:p>
        </w:tc>
        <w:tc>
          <w:tcPr>
            <w:tcW w:w="1843" w:type="dxa"/>
            <w:shd w:val="clear" w:color="auto" w:fill="404040" w:themeFill="text1" w:themeFillTint="BF"/>
            <w:tcMar>
              <w:top w:w="57" w:type="dxa"/>
              <w:left w:w="57" w:type="dxa"/>
              <w:bottom w:w="57" w:type="dxa"/>
              <w:right w:w="57" w:type="dxa"/>
            </w:tcMar>
            <w:vAlign w:val="center"/>
          </w:tcPr>
          <w:p w14:paraId="662EF68C" w14:textId="77777777" w:rsidR="008F1E94" w:rsidRPr="007D04B2" w:rsidRDefault="008F1E94" w:rsidP="0062295F">
            <w:pPr>
              <w:pStyle w:val="TableHeading"/>
              <w:jc w:val="center"/>
              <w:rPr>
                <w:rFonts w:cs="Arial"/>
                <w:color w:val="FFFFFF" w:themeColor="background1"/>
              </w:rPr>
            </w:pPr>
            <w:r w:rsidRPr="007D04B2">
              <w:rPr>
                <w:rFonts w:cs="Arial"/>
                <w:color w:val="FFFFFF" w:themeColor="background1"/>
              </w:rPr>
              <w:t>No. of licensees</w:t>
            </w:r>
          </w:p>
        </w:tc>
      </w:tr>
      <w:tr w:rsidR="008F1E94" w:rsidRPr="007D04B2" w14:paraId="43C2CC9C" w14:textId="77777777" w:rsidTr="0062295F">
        <w:trPr>
          <w:cantSplit/>
          <w:tblHeader/>
        </w:trPr>
        <w:tc>
          <w:tcPr>
            <w:tcW w:w="4108" w:type="dxa"/>
            <w:tcMar>
              <w:top w:w="57" w:type="dxa"/>
              <w:left w:w="57" w:type="dxa"/>
              <w:bottom w:w="57" w:type="dxa"/>
              <w:right w:w="57" w:type="dxa"/>
            </w:tcMar>
          </w:tcPr>
          <w:p w14:paraId="44C92E9C" w14:textId="27057478" w:rsidR="008F1E94" w:rsidRPr="007D04B2" w:rsidRDefault="008F1E94" w:rsidP="00C61796">
            <w:pPr>
              <w:pStyle w:val="TableBody"/>
              <w:rPr>
                <w:rFonts w:cs="Arial"/>
              </w:rPr>
            </w:pPr>
            <w:r w:rsidRPr="007D04B2">
              <w:rPr>
                <w:rFonts w:cs="Arial"/>
              </w:rPr>
              <w:t xml:space="preserve">Earth </w:t>
            </w:r>
            <w:proofErr w:type="gramStart"/>
            <w:r w:rsidR="004E1219">
              <w:rPr>
                <w:rFonts w:cs="Arial"/>
              </w:rPr>
              <w:t>r</w:t>
            </w:r>
            <w:r w:rsidRPr="007D04B2">
              <w:rPr>
                <w:rFonts w:cs="Arial"/>
              </w:rPr>
              <w:t>eceive</w:t>
            </w:r>
            <w:proofErr w:type="gramEnd"/>
            <w:r>
              <w:rPr>
                <w:rFonts w:cs="Arial"/>
              </w:rPr>
              <w:t xml:space="preserve"> (</w:t>
            </w:r>
            <w:r w:rsidR="002B2833">
              <w:rPr>
                <w:rFonts w:cs="Arial"/>
              </w:rPr>
              <w:t>1700</w:t>
            </w:r>
            <w:r w:rsidR="004E1219">
              <w:rPr>
                <w:rFonts w:cs="Arial"/>
              </w:rPr>
              <w:t>–</w:t>
            </w:r>
            <w:r w:rsidR="00A90AA5">
              <w:rPr>
                <w:rFonts w:cs="Arial"/>
              </w:rPr>
              <w:t xml:space="preserve">1710 </w:t>
            </w:r>
            <w:r>
              <w:rPr>
                <w:rFonts w:cs="Arial"/>
              </w:rPr>
              <w:t>MHz)</w:t>
            </w:r>
          </w:p>
        </w:tc>
        <w:tc>
          <w:tcPr>
            <w:tcW w:w="1843" w:type="dxa"/>
            <w:tcMar>
              <w:top w:w="57" w:type="dxa"/>
              <w:left w:w="57" w:type="dxa"/>
              <w:bottom w:w="57" w:type="dxa"/>
              <w:right w:w="57" w:type="dxa"/>
            </w:tcMar>
          </w:tcPr>
          <w:p w14:paraId="750DE711" w14:textId="32660F5D" w:rsidR="008F1E94" w:rsidRPr="007D04B2" w:rsidRDefault="00CD64EC" w:rsidP="0062295F">
            <w:pPr>
              <w:pStyle w:val="TableBody"/>
              <w:jc w:val="center"/>
              <w:rPr>
                <w:rFonts w:cs="Arial"/>
              </w:rPr>
            </w:pPr>
            <w:r>
              <w:t>2</w:t>
            </w:r>
            <w:r w:rsidR="00E67B8D">
              <w:t>0</w:t>
            </w:r>
          </w:p>
        </w:tc>
        <w:tc>
          <w:tcPr>
            <w:tcW w:w="1843" w:type="dxa"/>
            <w:tcMar>
              <w:top w:w="57" w:type="dxa"/>
              <w:left w:w="57" w:type="dxa"/>
              <w:bottom w:w="57" w:type="dxa"/>
              <w:right w:w="57" w:type="dxa"/>
            </w:tcMar>
          </w:tcPr>
          <w:p w14:paraId="3166738F" w14:textId="10684252" w:rsidR="008F1E94" w:rsidRPr="007D04B2" w:rsidRDefault="0007186E" w:rsidP="0062295F">
            <w:pPr>
              <w:pStyle w:val="TableBody"/>
              <w:jc w:val="center"/>
              <w:rPr>
                <w:rFonts w:cs="Arial"/>
              </w:rPr>
            </w:pPr>
            <w:r>
              <w:rPr>
                <w:rFonts w:cs="Arial"/>
              </w:rPr>
              <w:t>4</w:t>
            </w:r>
          </w:p>
        </w:tc>
      </w:tr>
      <w:tr w:rsidR="008B482A" w:rsidRPr="007D04B2" w14:paraId="5B8E7FB8" w14:textId="77777777" w:rsidTr="00322232">
        <w:trPr>
          <w:cantSplit/>
          <w:tblHeader/>
        </w:trPr>
        <w:tc>
          <w:tcPr>
            <w:tcW w:w="4108" w:type="dxa"/>
            <w:shd w:val="clear" w:color="auto" w:fill="F2F2F2" w:themeFill="background1" w:themeFillShade="F2"/>
            <w:tcMar>
              <w:top w:w="57" w:type="dxa"/>
              <w:left w:w="57" w:type="dxa"/>
              <w:bottom w:w="57" w:type="dxa"/>
              <w:right w:w="57" w:type="dxa"/>
            </w:tcMar>
          </w:tcPr>
          <w:p w14:paraId="018DAC33" w14:textId="3E0BF24F" w:rsidR="008B482A" w:rsidRPr="007D04B2" w:rsidRDefault="00ED7E7F" w:rsidP="00C61796">
            <w:pPr>
              <w:pStyle w:val="TableBody"/>
              <w:rPr>
                <w:rFonts w:cs="Arial"/>
              </w:rPr>
            </w:pPr>
            <w:r>
              <w:rPr>
                <w:rFonts w:cs="Arial"/>
              </w:rPr>
              <w:t>Aeronautical (</w:t>
            </w:r>
            <w:r w:rsidR="0048788B">
              <w:rPr>
                <w:rFonts w:cs="Arial"/>
              </w:rPr>
              <w:t>1785–</w:t>
            </w:r>
            <w:r w:rsidR="00FF1930">
              <w:rPr>
                <w:rFonts w:cs="Arial"/>
              </w:rPr>
              <w:t>1805 MHz)</w:t>
            </w:r>
          </w:p>
        </w:tc>
        <w:tc>
          <w:tcPr>
            <w:tcW w:w="1843" w:type="dxa"/>
            <w:shd w:val="clear" w:color="auto" w:fill="F2F2F2" w:themeFill="background1" w:themeFillShade="F2"/>
            <w:tcMar>
              <w:top w:w="57" w:type="dxa"/>
              <w:left w:w="57" w:type="dxa"/>
              <w:bottom w:w="57" w:type="dxa"/>
              <w:right w:w="57" w:type="dxa"/>
            </w:tcMar>
          </w:tcPr>
          <w:p w14:paraId="3313CAB7" w14:textId="636FF1ED" w:rsidR="008B482A" w:rsidRDefault="00E67B8D" w:rsidP="0062295F">
            <w:pPr>
              <w:pStyle w:val="TableBody"/>
              <w:jc w:val="center"/>
              <w:rPr>
                <w:rFonts w:cs="Arial"/>
              </w:rPr>
            </w:pPr>
            <w:r>
              <w:rPr>
                <w:rFonts w:cs="Arial"/>
              </w:rPr>
              <w:t>3</w:t>
            </w:r>
          </w:p>
        </w:tc>
        <w:tc>
          <w:tcPr>
            <w:tcW w:w="1843" w:type="dxa"/>
            <w:shd w:val="clear" w:color="auto" w:fill="F2F2F2" w:themeFill="background1" w:themeFillShade="F2"/>
            <w:tcMar>
              <w:top w:w="57" w:type="dxa"/>
              <w:left w:w="57" w:type="dxa"/>
              <w:bottom w:w="57" w:type="dxa"/>
              <w:right w:w="57" w:type="dxa"/>
            </w:tcMar>
          </w:tcPr>
          <w:p w14:paraId="19548C13" w14:textId="54A3AD9A" w:rsidR="008B482A" w:rsidRPr="007D04B2" w:rsidRDefault="002D20DC" w:rsidP="0062295F">
            <w:pPr>
              <w:pStyle w:val="TableBody"/>
              <w:jc w:val="center"/>
              <w:rPr>
                <w:rFonts w:cs="Arial"/>
              </w:rPr>
            </w:pPr>
            <w:r>
              <w:rPr>
                <w:rFonts w:cs="Arial"/>
              </w:rPr>
              <w:t>1</w:t>
            </w:r>
          </w:p>
        </w:tc>
      </w:tr>
      <w:tr w:rsidR="008B482A" w:rsidRPr="007D04B2" w14:paraId="3F465E4A" w14:textId="77777777" w:rsidTr="0062295F">
        <w:trPr>
          <w:cantSplit/>
          <w:tblHeader/>
        </w:trPr>
        <w:tc>
          <w:tcPr>
            <w:tcW w:w="4108" w:type="dxa"/>
            <w:tcMar>
              <w:top w:w="57" w:type="dxa"/>
              <w:left w:w="57" w:type="dxa"/>
              <w:bottom w:w="57" w:type="dxa"/>
              <w:right w:w="57" w:type="dxa"/>
            </w:tcMar>
          </w:tcPr>
          <w:p w14:paraId="69F44C3E" w14:textId="031C9382" w:rsidR="008B482A" w:rsidRPr="007D04B2" w:rsidRDefault="002838C6" w:rsidP="00C61796">
            <w:pPr>
              <w:pStyle w:val="TableBody"/>
              <w:rPr>
                <w:rFonts w:cs="Arial"/>
              </w:rPr>
            </w:pPr>
            <w:r>
              <w:rPr>
                <w:rFonts w:cs="Arial"/>
              </w:rPr>
              <w:t>PTS (1710–1785 MHz, 1805–1880 MHz)</w:t>
            </w:r>
          </w:p>
        </w:tc>
        <w:tc>
          <w:tcPr>
            <w:tcW w:w="1843" w:type="dxa"/>
            <w:tcMar>
              <w:top w:w="57" w:type="dxa"/>
              <w:left w:w="57" w:type="dxa"/>
              <w:bottom w:w="57" w:type="dxa"/>
              <w:right w:w="57" w:type="dxa"/>
            </w:tcMar>
          </w:tcPr>
          <w:p w14:paraId="5C1DC7A1" w14:textId="1CBBA2BA" w:rsidR="008B482A" w:rsidRDefault="000C27B5" w:rsidP="0062295F">
            <w:pPr>
              <w:pStyle w:val="TableBody"/>
              <w:jc w:val="center"/>
              <w:rPr>
                <w:rFonts w:cs="Arial"/>
              </w:rPr>
            </w:pPr>
            <w:r>
              <w:rPr>
                <w:rFonts w:cs="Arial"/>
              </w:rPr>
              <w:t>1</w:t>
            </w:r>
            <w:r w:rsidR="00302960">
              <w:rPr>
                <w:rFonts w:cs="Arial"/>
              </w:rPr>
              <w:t>43</w:t>
            </w:r>
          </w:p>
        </w:tc>
        <w:tc>
          <w:tcPr>
            <w:tcW w:w="1843" w:type="dxa"/>
            <w:tcMar>
              <w:top w:w="57" w:type="dxa"/>
              <w:left w:w="57" w:type="dxa"/>
              <w:bottom w:w="57" w:type="dxa"/>
              <w:right w:w="57" w:type="dxa"/>
            </w:tcMar>
          </w:tcPr>
          <w:p w14:paraId="7D8054E9" w14:textId="655E80D3" w:rsidR="008B482A" w:rsidRPr="007D04B2" w:rsidRDefault="00B34A1A" w:rsidP="0062295F">
            <w:pPr>
              <w:pStyle w:val="TableBody"/>
              <w:jc w:val="center"/>
              <w:rPr>
                <w:rFonts w:cs="Arial"/>
              </w:rPr>
            </w:pPr>
            <w:r>
              <w:rPr>
                <w:rFonts w:cs="Arial"/>
              </w:rPr>
              <w:t>35</w:t>
            </w:r>
          </w:p>
        </w:tc>
      </w:tr>
      <w:tr w:rsidR="008B482A" w:rsidRPr="007D04B2" w14:paraId="1E0D7483" w14:textId="77777777" w:rsidTr="009105AF">
        <w:trPr>
          <w:cantSplit/>
          <w:tblHeader/>
        </w:trPr>
        <w:tc>
          <w:tcPr>
            <w:tcW w:w="4108" w:type="dxa"/>
            <w:shd w:val="clear" w:color="auto" w:fill="F2F2F2" w:themeFill="background1" w:themeFillShade="F2"/>
            <w:tcMar>
              <w:top w:w="57" w:type="dxa"/>
              <w:left w:w="57" w:type="dxa"/>
              <w:bottom w:w="57" w:type="dxa"/>
              <w:right w:w="57" w:type="dxa"/>
            </w:tcMar>
          </w:tcPr>
          <w:p w14:paraId="0CCCD0B8" w14:textId="7A5388F6" w:rsidR="008B482A" w:rsidRPr="007D04B2" w:rsidRDefault="00595121" w:rsidP="00C61796">
            <w:pPr>
              <w:pStyle w:val="TableBody"/>
              <w:rPr>
                <w:rFonts w:cs="Arial"/>
              </w:rPr>
            </w:pPr>
            <w:r>
              <w:rPr>
                <w:rFonts w:cs="Arial"/>
              </w:rPr>
              <w:t xml:space="preserve">1.8 GHz </w:t>
            </w:r>
            <w:r w:rsidR="004E1219">
              <w:rPr>
                <w:rFonts w:cs="Arial"/>
              </w:rPr>
              <w:t>p</w:t>
            </w:r>
            <w:r w:rsidR="00321E64">
              <w:rPr>
                <w:rFonts w:cs="Arial"/>
              </w:rPr>
              <w:t>oint to point</w:t>
            </w:r>
          </w:p>
        </w:tc>
        <w:tc>
          <w:tcPr>
            <w:tcW w:w="1843" w:type="dxa"/>
            <w:shd w:val="clear" w:color="auto" w:fill="F2F2F2" w:themeFill="background1" w:themeFillShade="F2"/>
            <w:tcMar>
              <w:top w:w="57" w:type="dxa"/>
              <w:left w:w="57" w:type="dxa"/>
              <w:bottom w:w="57" w:type="dxa"/>
              <w:right w:w="57" w:type="dxa"/>
            </w:tcMar>
          </w:tcPr>
          <w:p w14:paraId="286FDC51" w14:textId="6DCD7270" w:rsidR="008B482A" w:rsidRDefault="00E67B8D" w:rsidP="0062295F">
            <w:pPr>
              <w:pStyle w:val="TableBody"/>
              <w:jc w:val="center"/>
              <w:rPr>
                <w:rFonts w:cs="Arial"/>
              </w:rPr>
            </w:pPr>
            <w:r>
              <w:rPr>
                <w:rFonts w:cs="Arial"/>
              </w:rPr>
              <w:t>1</w:t>
            </w:r>
            <w:r w:rsidR="00302960">
              <w:rPr>
                <w:rFonts w:cs="Arial"/>
              </w:rPr>
              <w:t>60</w:t>
            </w:r>
          </w:p>
        </w:tc>
        <w:tc>
          <w:tcPr>
            <w:tcW w:w="1843" w:type="dxa"/>
            <w:shd w:val="clear" w:color="auto" w:fill="F2F2F2" w:themeFill="background1" w:themeFillShade="F2"/>
            <w:tcMar>
              <w:top w:w="57" w:type="dxa"/>
              <w:left w:w="57" w:type="dxa"/>
              <w:bottom w:w="57" w:type="dxa"/>
              <w:right w:w="57" w:type="dxa"/>
            </w:tcMar>
          </w:tcPr>
          <w:p w14:paraId="6663CF1D" w14:textId="7DAC22DA" w:rsidR="008B482A" w:rsidRPr="007D04B2" w:rsidRDefault="00B34A1A" w:rsidP="0062295F">
            <w:pPr>
              <w:pStyle w:val="TableBody"/>
              <w:jc w:val="center"/>
              <w:rPr>
                <w:rFonts w:cs="Arial"/>
              </w:rPr>
            </w:pPr>
            <w:r>
              <w:rPr>
                <w:rFonts w:cs="Arial"/>
              </w:rPr>
              <w:t>6</w:t>
            </w:r>
          </w:p>
        </w:tc>
      </w:tr>
    </w:tbl>
    <w:p w14:paraId="372DDA99" w14:textId="7C827F18" w:rsidR="002908C2" w:rsidRPr="007D04B2" w:rsidRDefault="00D3488F" w:rsidP="002908C2">
      <w:pPr>
        <w:pStyle w:val="Heading1"/>
      </w:pPr>
      <w:bookmarkStart w:id="76" w:name="_Toc56006344"/>
      <w:bookmarkStart w:id="77" w:name="_Toc84339350"/>
      <w:bookmarkEnd w:id="75"/>
      <w:r w:rsidRPr="007D04B2">
        <w:lastRenderedPageBreak/>
        <w:t>Appendix B</w:t>
      </w:r>
      <w:r w:rsidR="002908C2" w:rsidRPr="007D04B2">
        <w:t xml:space="preserve"> – </w:t>
      </w:r>
      <w:r w:rsidRPr="007D04B2">
        <w:t xml:space="preserve">Current </w:t>
      </w:r>
      <w:r w:rsidR="006419FA">
        <w:t>1800 MHz</w:t>
      </w:r>
      <w:r w:rsidRPr="007D04B2">
        <w:t xml:space="preserve"> band </w:t>
      </w:r>
      <w:r w:rsidR="00A83A6A" w:rsidRPr="007D04B2">
        <w:t xml:space="preserve">unwanted </w:t>
      </w:r>
      <w:r w:rsidRPr="007D04B2">
        <w:t>emission limits</w:t>
      </w:r>
      <w:bookmarkEnd w:id="76"/>
      <w:bookmarkEnd w:id="77"/>
    </w:p>
    <w:p w14:paraId="20A55BE3" w14:textId="77777777" w:rsidR="00A83A6A" w:rsidRPr="007D04B2" w:rsidRDefault="00A83A6A" w:rsidP="00A83A6A">
      <w:pPr>
        <w:pStyle w:val="Heading2"/>
        <w:spacing w:before="0" w:after="0"/>
        <w:ind w:right="1169"/>
      </w:pPr>
      <w:bookmarkStart w:id="78" w:name="_Toc507878621"/>
      <w:bookmarkStart w:id="79" w:name="_Toc56006345"/>
      <w:bookmarkStart w:id="80" w:name="_Toc84339351"/>
      <w:r w:rsidRPr="007D04B2">
        <w:t>Frequency band and geographic areas</w:t>
      </w:r>
      <w:bookmarkEnd w:id="78"/>
      <w:bookmarkEnd w:id="79"/>
      <w:bookmarkEnd w:id="80"/>
    </w:p>
    <w:p w14:paraId="02C2E73D" w14:textId="77777777" w:rsidR="00A83A6A" w:rsidRPr="007D04B2" w:rsidRDefault="00A83A6A" w:rsidP="00A83A6A">
      <w:pPr>
        <w:spacing w:after="0"/>
        <w:rPr>
          <w:rFonts w:eastAsia="Arial" w:cs="Arial"/>
          <w:b/>
          <w:bCs/>
          <w:sz w:val="27"/>
          <w:szCs w:val="27"/>
        </w:rPr>
      </w:pPr>
    </w:p>
    <w:p w14:paraId="18FDF3FA" w14:textId="4FA55AFF" w:rsidR="00A83A6A" w:rsidRPr="005F39DC" w:rsidRDefault="005F39DC" w:rsidP="00E826E3">
      <w:pPr>
        <w:pStyle w:val="BodyText"/>
        <w:numPr>
          <w:ilvl w:val="0"/>
          <w:numId w:val="40"/>
        </w:numPr>
        <w:tabs>
          <w:tab w:val="left" w:pos="531"/>
        </w:tabs>
        <w:spacing w:line="282" w:lineRule="auto"/>
        <w:ind w:right="1384"/>
        <w:jc w:val="left"/>
        <w:rPr>
          <w:sz w:val="25"/>
          <w:szCs w:val="25"/>
        </w:rPr>
      </w:pPr>
      <w:r w:rsidRPr="005F39DC">
        <w:rPr>
          <w:spacing w:val="6"/>
        </w:rPr>
        <w:t xml:space="preserve">This </w:t>
      </w:r>
      <w:proofErr w:type="spellStart"/>
      <w:r w:rsidRPr="005F39DC">
        <w:rPr>
          <w:spacing w:val="6"/>
        </w:rPr>
        <w:t>licence</w:t>
      </w:r>
      <w:proofErr w:type="spellEnd"/>
      <w:r w:rsidRPr="005F39DC">
        <w:rPr>
          <w:spacing w:val="6"/>
        </w:rPr>
        <w:t xml:space="preserve"> </w:t>
      </w:r>
      <w:proofErr w:type="spellStart"/>
      <w:r w:rsidRPr="005F39DC">
        <w:rPr>
          <w:spacing w:val="6"/>
        </w:rPr>
        <w:t>authorises</w:t>
      </w:r>
      <w:proofErr w:type="spellEnd"/>
      <w:r w:rsidRPr="005F39DC">
        <w:rPr>
          <w:spacing w:val="6"/>
        </w:rPr>
        <w:t xml:space="preserve"> the operation of radiocommunications devices in the frequency bands and within the geographic areas set out in Part 2 of </w:t>
      </w:r>
      <w:proofErr w:type="spellStart"/>
      <w:r w:rsidRPr="005F39DC">
        <w:rPr>
          <w:spacing w:val="6"/>
        </w:rPr>
        <w:t>Licence</w:t>
      </w:r>
      <w:proofErr w:type="spellEnd"/>
      <w:r w:rsidRPr="005F39DC">
        <w:rPr>
          <w:spacing w:val="6"/>
        </w:rPr>
        <w:t xml:space="preserve"> Schedule 1. </w:t>
      </w:r>
    </w:p>
    <w:p w14:paraId="618584B1" w14:textId="77777777" w:rsidR="00A83A6A" w:rsidRPr="007D04B2" w:rsidRDefault="00A83A6A" w:rsidP="00A83A6A">
      <w:pPr>
        <w:pStyle w:val="Heading2"/>
        <w:spacing w:before="0" w:after="0"/>
        <w:ind w:right="1169"/>
        <w:rPr>
          <w:b w:val="0"/>
          <w:bCs w:val="0"/>
        </w:rPr>
      </w:pPr>
      <w:bookmarkStart w:id="81" w:name="_Toc507878622"/>
      <w:bookmarkStart w:id="82" w:name="_Toc56006346"/>
      <w:bookmarkStart w:id="83" w:name="_Toc84339352"/>
      <w:r w:rsidRPr="007D04B2">
        <w:t>Emission</w:t>
      </w:r>
      <w:r w:rsidRPr="007D04B2">
        <w:rPr>
          <w:spacing w:val="-7"/>
        </w:rPr>
        <w:t xml:space="preserve"> </w:t>
      </w:r>
      <w:r w:rsidRPr="007D04B2">
        <w:t>limits</w:t>
      </w:r>
      <w:r w:rsidRPr="007D04B2">
        <w:rPr>
          <w:spacing w:val="-6"/>
        </w:rPr>
        <w:t xml:space="preserve"> </w:t>
      </w:r>
      <w:r w:rsidRPr="007D04B2">
        <w:t>outside</w:t>
      </w:r>
      <w:r w:rsidRPr="007D04B2">
        <w:rPr>
          <w:spacing w:val="-7"/>
        </w:rPr>
        <w:t xml:space="preserve"> </w:t>
      </w:r>
      <w:r w:rsidRPr="007D04B2">
        <w:t>the</w:t>
      </w:r>
      <w:r w:rsidRPr="007D04B2">
        <w:rPr>
          <w:spacing w:val="-6"/>
        </w:rPr>
        <w:t xml:space="preserve"> </w:t>
      </w:r>
      <w:r w:rsidRPr="007D04B2">
        <w:t>frequency</w:t>
      </w:r>
      <w:r w:rsidRPr="007D04B2">
        <w:rPr>
          <w:spacing w:val="-6"/>
        </w:rPr>
        <w:t xml:space="preserve"> </w:t>
      </w:r>
      <w:r w:rsidRPr="007D04B2">
        <w:t>band</w:t>
      </w:r>
      <w:bookmarkEnd w:id="81"/>
      <w:bookmarkEnd w:id="82"/>
      <w:bookmarkEnd w:id="83"/>
    </w:p>
    <w:p w14:paraId="5A4064CF" w14:textId="77777777" w:rsidR="00A83A6A" w:rsidRPr="007D04B2" w:rsidRDefault="00A83A6A" w:rsidP="00A83A6A">
      <w:pPr>
        <w:spacing w:after="0"/>
        <w:rPr>
          <w:rFonts w:eastAsia="Arial" w:cs="Arial"/>
          <w:b/>
          <w:bCs/>
          <w:sz w:val="27"/>
          <w:szCs w:val="27"/>
        </w:rPr>
      </w:pPr>
    </w:p>
    <w:p w14:paraId="73684DEF" w14:textId="13F126F8" w:rsidR="00A83A6A" w:rsidRPr="007D04B2" w:rsidRDefault="00A83A6A" w:rsidP="00A83A6A">
      <w:pPr>
        <w:pStyle w:val="BodyText"/>
        <w:numPr>
          <w:ilvl w:val="0"/>
          <w:numId w:val="40"/>
        </w:numPr>
        <w:tabs>
          <w:tab w:val="left" w:pos="531"/>
        </w:tabs>
        <w:spacing w:line="282" w:lineRule="auto"/>
        <w:ind w:right="1894"/>
        <w:jc w:val="left"/>
      </w:pPr>
      <w:r w:rsidRPr="007D04B2">
        <w:t>Core</w:t>
      </w:r>
      <w:r w:rsidRPr="007D04B2">
        <w:rPr>
          <w:spacing w:val="4"/>
        </w:rPr>
        <w:t xml:space="preserve"> </w:t>
      </w:r>
      <w:r w:rsidR="001010FC" w:rsidRPr="001010FC">
        <w:rPr>
          <w:spacing w:val="4"/>
        </w:rPr>
        <w:t xml:space="preserve">conditions 3 to 11 apply in relation to those frequencies that are outside the frequency bands set out in Part 2 of </w:t>
      </w:r>
      <w:proofErr w:type="spellStart"/>
      <w:r w:rsidR="001010FC" w:rsidRPr="001010FC">
        <w:rPr>
          <w:spacing w:val="4"/>
        </w:rPr>
        <w:t>Licence</w:t>
      </w:r>
      <w:proofErr w:type="spellEnd"/>
      <w:r w:rsidR="001010FC" w:rsidRPr="001010FC">
        <w:rPr>
          <w:spacing w:val="4"/>
        </w:rPr>
        <w:t xml:space="preserve"> Schedule 1.</w:t>
      </w:r>
    </w:p>
    <w:p w14:paraId="0382C9E1" w14:textId="77777777" w:rsidR="00A83A6A" w:rsidRPr="007D04B2" w:rsidRDefault="00A83A6A" w:rsidP="00A83A6A">
      <w:pPr>
        <w:spacing w:after="0"/>
        <w:rPr>
          <w:rFonts w:ascii="Times New Roman" w:hAnsi="Times New Roman"/>
          <w:sz w:val="24"/>
        </w:rPr>
      </w:pPr>
    </w:p>
    <w:p w14:paraId="4B87808C" w14:textId="77777777" w:rsidR="00A83A6A" w:rsidRPr="007D04B2" w:rsidRDefault="00A83A6A" w:rsidP="00A83A6A">
      <w:pPr>
        <w:pStyle w:val="BodyText"/>
        <w:numPr>
          <w:ilvl w:val="0"/>
          <w:numId w:val="40"/>
        </w:numPr>
        <w:tabs>
          <w:tab w:val="left" w:pos="531"/>
        </w:tabs>
        <w:spacing w:line="282" w:lineRule="auto"/>
        <w:ind w:right="1440"/>
        <w:jc w:val="left"/>
      </w:pPr>
      <w:r w:rsidRPr="007D04B2">
        <w:t>Where</w:t>
      </w:r>
      <w:r w:rsidRPr="007D04B2">
        <w:rPr>
          <w:spacing w:val="6"/>
        </w:rPr>
        <w:t xml:space="preserve"> </w:t>
      </w:r>
      <w:r w:rsidRPr="007D04B2">
        <w:t>a</w:t>
      </w:r>
      <w:r w:rsidRPr="007D04B2">
        <w:rPr>
          <w:spacing w:val="6"/>
        </w:rPr>
        <w:t xml:space="preserve"> </w:t>
      </w:r>
      <w:r w:rsidRPr="007D04B2">
        <w:rPr>
          <w:spacing w:val="-1"/>
        </w:rPr>
        <w:t>written</w:t>
      </w:r>
      <w:r w:rsidRPr="007D04B2">
        <w:rPr>
          <w:spacing w:val="7"/>
        </w:rPr>
        <w:t xml:space="preserve"> </w:t>
      </w:r>
      <w:r w:rsidRPr="007D04B2">
        <w:t>agreement</w:t>
      </w:r>
      <w:r w:rsidRPr="007D04B2">
        <w:rPr>
          <w:spacing w:val="6"/>
        </w:rPr>
        <w:t xml:space="preserve"> </w:t>
      </w:r>
      <w:r w:rsidRPr="007D04B2">
        <w:rPr>
          <w:spacing w:val="-1"/>
        </w:rPr>
        <w:t>specifying</w:t>
      </w:r>
      <w:r w:rsidRPr="007D04B2">
        <w:rPr>
          <w:spacing w:val="7"/>
        </w:rPr>
        <w:t xml:space="preserve"> </w:t>
      </w:r>
      <w:r w:rsidRPr="007D04B2">
        <w:t>the</w:t>
      </w:r>
      <w:r w:rsidRPr="007D04B2">
        <w:rPr>
          <w:spacing w:val="6"/>
        </w:rPr>
        <w:t xml:space="preserve"> </w:t>
      </w:r>
      <w:r w:rsidRPr="007D04B2">
        <w:t>maximum</w:t>
      </w:r>
      <w:r w:rsidRPr="007D04B2">
        <w:rPr>
          <w:spacing w:val="6"/>
        </w:rPr>
        <w:t xml:space="preserve"> </w:t>
      </w:r>
      <w:r w:rsidRPr="007D04B2">
        <w:t>permitted</w:t>
      </w:r>
      <w:r w:rsidRPr="007D04B2">
        <w:rPr>
          <w:spacing w:val="6"/>
        </w:rPr>
        <w:t xml:space="preserve"> </w:t>
      </w:r>
      <w:r w:rsidRPr="007D04B2">
        <w:t>level</w:t>
      </w:r>
      <w:r w:rsidRPr="007D04B2">
        <w:rPr>
          <w:spacing w:val="6"/>
        </w:rPr>
        <w:t xml:space="preserve"> </w:t>
      </w:r>
      <w:r w:rsidRPr="007D04B2">
        <w:t>of</w:t>
      </w:r>
      <w:r w:rsidRPr="007D04B2">
        <w:rPr>
          <w:spacing w:val="6"/>
        </w:rPr>
        <w:t xml:space="preserve"> </w:t>
      </w:r>
      <w:r w:rsidRPr="007D04B2">
        <w:t>radio</w:t>
      </w:r>
      <w:r w:rsidRPr="007D04B2">
        <w:rPr>
          <w:spacing w:val="6"/>
        </w:rPr>
        <w:t xml:space="preserve"> </w:t>
      </w:r>
      <w:r w:rsidRPr="007D04B2">
        <w:t>emission</w:t>
      </w:r>
      <w:r w:rsidRPr="007D04B2">
        <w:rPr>
          <w:spacing w:val="23"/>
          <w:w w:val="101"/>
        </w:rPr>
        <w:t xml:space="preserve"> </w:t>
      </w:r>
      <w:r w:rsidRPr="007D04B2">
        <w:t>for</w:t>
      </w:r>
      <w:r w:rsidRPr="007D04B2">
        <w:rPr>
          <w:spacing w:val="5"/>
        </w:rPr>
        <w:t xml:space="preserve"> </w:t>
      </w:r>
      <w:r w:rsidRPr="007D04B2">
        <w:t>frequencies</w:t>
      </w:r>
      <w:r w:rsidRPr="007D04B2">
        <w:rPr>
          <w:spacing w:val="6"/>
        </w:rPr>
        <w:t xml:space="preserve"> </w:t>
      </w:r>
      <w:r w:rsidRPr="007D04B2">
        <w:t>described</w:t>
      </w:r>
      <w:r w:rsidRPr="007D04B2">
        <w:rPr>
          <w:spacing w:val="6"/>
        </w:rPr>
        <w:t xml:space="preserve"> </w:t>
      </w:r>
      <w:r w:rsidRPr="007D04B2">
        <w:t>in</w:t>
      </w:r>
      <w:r w:rsidRPr="007D04B2">
        <w:rPr>
          <w:spacing w:val="6"/>
        </w:rPr>
        <w:t xml:space="preserve"> </w:t>
      </w:r>
      <w:r w:rsidRPr="007D04B2">
        <w:t>core</w:t>
      </w:r>
      <w:r w:rsidRPr="007D04B2">
        <w:rPr>
          <w:spacing w:val="6"/>
        </w:rPr>
        <w:t xml:space="preserve"> </w:t>
      </w:r>
      <w:r w:rsidRPr="007D04B2">
        <w:t>condition</w:t>
      </w:r>
      <w:r w:rsidRPr="007D04B2">
        <w:rPr>
          <w:spacing w:val="6"/>
        </w:rPr>
        <w:t xml:space="preserve"> </w:t>
      </w:r>
      <w:r w:rsidRPr="007D04B2">
        <w:t>2</w:t>
      </w:r>
      <w:r w:rsidRPr="007D04B2">
        <w:rPr>
          <w:spacing w:val="5"/>
        </w:rPr>
        <w:t xml:space="preserve"> </w:t>
      </w:r>
      <w:r w:rsidRPr="007D04B2">
        <w:t>exists</w:t>
      </w:r>
      <w:r w:rsidRPr="007D04B2">
        <w:rPr>
          <w:spacing w:val="6"/>
        </w:rPr>
        <w:t xml:space="preserve"> </w:t>
      </w:r>
      <w:r w:rsidRPr="007D04B2">
        <w:t>between:</w:t>
      </w:r>
    </w:p>
    <w:p w14:paraId="285B6376" w14:textId="77777777" w:rsidR="00A83A6A" w:rsidRPr="007D04B2" w:rsidRDefault="00A83A6A" w:rsidP="00A83A6A">
      <w:pPr>
        <w:spacing w:after="0"/>
        <w:rPr>
          <w:rFonts w:ascii="Times New Roman" w:hAnsi="Times New Roman"/>
          <w:sz w:val="24"/>
        </w:rPr>
      </w:pPr>
    </w:p>
    <w:p w14:paraId="55036F39" w14:textId="77777777" w:rsidR="00A83A6A" w:rsidRPr="007D04B2" w:rsidRDefault="00A83A6A" w:rsidP="00A83A6A">
      <w:pPr>
        <w:pStyle w:val="BodyText"/>
        <w:numPr>
          <w:ilvl w:val="1"/>
          <w:numId w:val="40"/>
        </w:numPr>
        <w:tabs>
          <w:tab w:val="left" w:pos="891"/>
        </w:tabs>
      </w:pPr>
      <w:r w:rsidRPr="007D04B2">
        <w:t>the</w:t>
      </w:r>
      <w:r w:rsidRPr="007D04B2">
        <w:rPr>
          <w:spacing w:val="6"/>
        </w:rPr>
        <w:t xml:space="preserve"> </w:t>
      </w:r>
      <w:r w:rsidRPr="007D04B2">
        <w:t>licensee;</w:t>
      </w:r>
      <w:r w:rsidRPr="007D04B2">
        <w:rPr>
          <w:spacing w:val="6"/>
        </w:rPr>
        <w:t xml:space="preserve"> </w:t>
      </w:r>
      <w:r w:rsidRPr="007D04B2">
        <w:t>and</w:t>
      </w:r>
    </w:p>
    <w:p w14:paraId="7FCEB0E0" w14:textId="77777777" w:rsidR="00A83A6A" w:rsidRPr="007D04B2" w:rsidRDefault="00A83A6A" w:rsidP="00A83A6A">
      <w:pPr>
        <w:pStyle w:val="BodyText"/>
        <w:numPr>
          <w:ilvl w:val="1"/>
          <w:numId w:val="40"/>
        </w:numPr>
        <w:tabs>
          <w:tab w:val="left" w:pos="891"/>
        </w:tabs>
        <w:spacing w:line="282" w:lineRule="auto"/>
        <w:ind w:right="1298"/>
      </w:pPr>
      <w:r w:rsidRPr="007D04B2">
        <w:t>all</w:t>
      </w:r>
      <w:r w:rsidRPr="007D04B2">
        <w:rPr>
          <w:spacing w:val="7"/>
        </w:rPr>
        <w:t xml:space="preserve"> </w:t>
      </w:r>
      <w:r w:rsidRPr="007D04B2">
        <w:t>the</w:t>
      </w:r>
      <w:r w:rsidRPr="007D04B2">
        <w:rPr>
          <w:spacing w:val="7"/>
        </w:rPr>
        <w:t xml:space="preserve"> </w:t>
      </w:r>
      <w:r w:rsidRPr="007D04B2">
        <w:t>affected</w:t>
      </w:r>
      <w:r w:rsidRPr="007D04B2">
        <w:rPr>
          <w:spacing w:val="7"/>
        </w:rPr>
        <w:t xml:space="preserve"> </w:t>
      </w:r>
      <w:r w:rsidRPr="007D04B2">
        <w:t>licensees</w:t>
      </w:r>
      <w:r w:rsidRPr="007D04B2">
        <w:rPr>
          <w:spacing w:val="8"/>
        </w:rPr>
        <w:t xml:space="preserve"> </w:t>
      </w:r>
      <w:r w:rsidRPr="007D04B2">
        <w:t>of</w:t>
      </w:r>
      <w:r w:rsidRPr="007D04B2">
        <w:rPr>
          <w:spacing w:val="7"/>
        </w:rPr>
        <w:t xml:space="preserve"> </w:t>
      </w:r>
      <w:r w:rsidRPr="007D04B2">
        <w:t>frequency-adjacent</w:t>
      </w:r>
      <w:r w:rsidRPr="007D04B2">
        <w:rPr>
          <w:spacing w:val="8"/>
        </w:rPr>
        <w:t xml:space="preserve"> </w:t>
      </w:r>
      <w:r w:rsidRPr="007D04B2">
        <w:rPr>
          <w:spacing w:val="-1"/>
        </w:rPr>
        <w:t>spectrum</w:t>
      </w:r>
      <w:r w:rsidRPr="007D04B2">
        <w:rPr>
          <w:spacing w:val="9"/>
        </w:rPr>
        <w:t xml:space="preserve"> </w:t>
      </w:r>
      <w:proofErr w:type="spellStart"/>
      <w:r w:rsidRPr="007D04B2">
        <w:t>licences</w:t>
      </w:r>
      <w:proofErr w:type="spellEnd"/>
      <w:r w:rsidRPr="007D04B2">
        <w:rPr>
          <w:spacing w:val="7"/>
        </w:rPr>
        <w:t xml:space="preserve"> </w:t>
      </w:r>
      <w:r w:rsidRPr="007D04B2">
        <w:t>and</w:t>
      </w:r>
      <w:r w:rsidRPr="007D04B2">
        <w:rPr>
          <w:spacing w:val="7"/>
        </w:rPr>
        <w:t xml:space="preserve"> </w:t>
      </w:r>
      <w:r w:rsidRPr="007D04B2">
        <w:t>area-adjacent</w:t>
      </w:r>
      <w:r w:rsidRPr="007D04B2">
        <w:rPr>
          <w:spacing w:val="22"/>
          <w:w w:val="101"/>
        </w:rPr>
        <w:t xml:space="preserve"> </w:t>
      </w:r>
      <w:r w:rsidRPr="007D04B2">
        <w:rPr>
          <w:spacing w:val="-1"/>
        </w:rPr>
        <w:t>spectrum</w:t>
      </w:r>
      <w:r w:rsidRPr="007D04B2">
        <w:rPr>
          <w:spacing w:val="16"/>
        </w:rPr>
        <w:t xml:space="preserve"> </w:t>
      </w:r>
      <w:proofErr w:type="spellStart"/>
      <w:proofErr w:type="gramStart"/>
      <w:r w:rsidRPr="007D04B2">
        <w:t>licences</w:t>
      </w:r>
      <w:proofErr w:type="spellEnd"/>
      <w:r w:rsidRPr="007D04B2">
        <w:t>;</w:t>
      </w:r>
      <w:proofErr w:type="gramEnd"/>
    </w:p>
    <w:p w14:paraId="3764730B" w14:textId="77777777" w:rsidR="00A83A6A" w:rsidRPr="007D04B2" w:rsidRDefault="00A83A6A" w:rsidP="00A83A6A">
      <w:pPr>
        <w:spacing w:after="0"/>
        <w:rPr>
          <w:rFonts w:ascii="Times New Roman" w:hAnsi="Times New Roman"/>
          <w:sz w:val="24"/>
        </w:rPr>
      </w:pPr>
    </w:p>
    <w:p w14:paraId="239E359B" w14:textId="77777777" w:rsidR="00A83A6A" w:rsidRPr="007D04B2" w:rsidRDefault="00A83A6A" w:rsidP="00A83A6A">
      <w:pPr>
        <w:pStyle w:val="BodyText"/>
        <w:spacing w:line="282" w:lineRule="auto"/>
        <w:ind w:left="530" w:right="1387" w:firstLine="0"/>
      </w:pPr>
      <w:r w:rsidRPr="007D04B2">
        <w:t>the</w:t>
      </w:r>
      <w:r w:rsidRPr="007D04B2">
        <w:rPr>
          <w:spacing w:val="5"/>
        </w:rPr>
        <w:t xml:space="preserve"> </w:t>
      </w:r>
      <w:r w:rsidRPr="007D04B2">
        <w:t>licensee</w:t>
      </w:r>
      <w:r w:rsidRPr="007D04B2">
        <w:rPr>
          <w:spacing w:val="6"/>
        </w:rPr>
        <w:t xml:space="preserve"> </w:t>
      </w:r>
      <w:r w:rsidRPr="007D04B2">
        <w:t>must</w:t>
      </w:r>
      <w:r w:rsidRPr="007D04B2">
        <w:rPr>
          <w:spacing w:val="5"/>
        </w:rPr>
        <w:t xml:space="preserve"> </w:t>
      </w:r>
      <w:r w:rsidRPr="007D04B2">
        <w:t>comply</w:t>
      </w:r>
      <w:r w:rsidRPr="007D04B2">
        <w:rPr>
          <w:spacing w:val="6"/>
        </w:rPr>
        <w:t xml:space="preserve"> </w:t>
      </w:r>
      <w:r w:rsidRPr="007D04B2">
        <w:rPr>
          <w:spacing w:val="-1"/>
        </w:rPr>
        <w:t>with</w:t>
      </w:r>
      <w:r w:rsidRPr="007D04B2">
        <w:rPr>
          <w:spacing w:val="6"/>
        </w:rPr>
        <w:t xml:space="preserve"> </w:t>
      </w:r>
      <w:r w:rsidRPr="007D04B2">
        <w:t>that</w:t>
      </w:r>
      <w:r w:rsidRPr="007D04B2">
        <w:rPr>
          <w:spacing w:val="6"/>
        </w:rPr>
        <w:t xml:space="preserve"> </w:t>
      </w:r>
      <w:r w:rsidRPr="007D04B2">
        <w:rPr>
          <w:spacing w:val="-1"/>
        </w:rPr>
        <w:t>specified</w:t>
      </w:r>
      <w:r w:rsidRPr="007D04B2">
        <w:rPr>
          <w:spacing w:val="6"/>
        </w:rPr>
        <w:t xml:space="preserve"> </w:t>
      </w:r>
      <w:r w:rsidRPr="007D04B2">
        <w:t>maximum</w:t>
      </w:r>
      <w:r w:rsidRPr="007D04B2">
        <w:rPr>
          <w:spacing w:val="6"/>
        </w:rPr>
        <w:t xml:space="preserve"> </w:t>
      </w:r>
      <w:r w:rsidRPr="007D04B2">
        <w:t>permitted</w:t>
      </w:r>
      <w:r w:rsidRPr="007D04B2">
        <w:rPr>
          <w:spacing w:val="5"/>
        </w:rPr>
        <w:t xml:space="preserve"> </w:t>
      </w:r>
      <w:r w:rsidRPr="007D04B2">
        <w:t>level</w:t>
      </w:r>
      <w:r w:rsidRPr="007D04B2">
        <w:rPr>
          <w:spacing w:val="6"/>
        </w:rPr>
        <w:t xml:space="preserve"> </w:t>
      </w:r>
      <w:r w:rsidRPr="007D04B2">
        <w:t>of</w:t>
      </w:r>
      <w:r w:rsidRPr="007D04B2">
        <w:rPr>
          <w:spacing w:val="5"/>
        </w:rPr>
        <w:t xml:space="preserve"> </w:t>
      </w:r>
      <w:r w:rsidRPr="007D04B2">
        <w:t>radio</w:t>
      </w:r>
      <w:r w:rsidRPr="007D04B2">
        <w:rPr>
          <w:spacing w:val="23"/>
          <w:w w:val="101"/>
        </w:rPr>
        <w:t xml:space="preserve"> </w:t>
      </w:r>
      <w:r w:rsidRPr="007D04B2">
        <w:t>emission.</w:t>
      </w:r>
    </w:p>
    <w:p w14:paraId="077B2F2A" w14:textId="77777777" w:rsidR="00A83A6A" w:rsidRPr="007D04B2" w:rsidRDefault="00A83A6A" w:rsidP="00A83A6A">
      <w:pPr>
        <w:spacing w:after="0"/>
        <w:rPr>
          <w:rFonts w:ascii="Times New Roman" w:hAnsi="Times New Roman"/>
          <w:sz w:val="24"/>
        </w:rPr>
      </w:pPr>
    </w:p>
    <w:p w14:paraId="1BCD060C" w14:textId="6FA663DF" w:rsidR="00A83A6A" w:rsidRPr="007D04B2" w:rsidRDefault="00A83A6A" w:rsidP="00A83A6A">
      <w:pPr>
        <w:pStyle w:val="BodyText"/>
        <w:numPr>
          <w:ilvl w:val="0"/>
          <w:numId w:val="40"/>
        </w:numPr>
        <w:tabs>
          <w:tab w:val="left" w:pos="531"/>
        </w:tabs>
        <w:spacing w:line="282" w:lineRule="auto"/>
        <w:ind w:right="1491"/>
        <w:jc w:val="left"/>
      </w:pPr>
      <w:r w:rsidRPr="007D04B2">
        <w:t>Where</w:t>
      </w:r>
      <w:r w:rsidRPr="007D04B2">
        <w:rPr>
          <w:spacing w:val="4"/>
        </w:rPr>
        <w:t xml:space="preserve"> </w:t>
      </w:r>
      <w:r w:rsidRPr="007D04B2">
        <w:t>there</w:t>
      </w:r>
      <w:r w:rsidRPr="007D04B2">
        <w:rPr>
          <w:spacing w:val="4"/>
        </w:rPr>
        <w:t xml:space="preserve"> </w:t>
      </w:r>
      <w:r w:rsidRPr="007D04B2">
        <w:t>is</w:t>
      </w:r>
      <w:r w:rsidRPr="007D04B2">
        <w:rPr>
          <w:spacing w:val="4"/>
        </w:rPr>
        <w:t xml:space="preserve"> </w:t>
      </w:r>
      <w:r w:rsidRPr="007D04B2">
        <w:t>no</w:t>
      </w:r>
      <w:r w:rsidRPr="007D04B2">
        <w:rPr>
          <w:spacing w:val="5"/>
        </w:rPr>
        <w:t xml:space="preserve"> </w:t>
      </w:r>
      <w:r w:rsidRPr="007D04B2">
        <w:rPr>
          <w:spacing w:val="-1"/>
        </w:rPr>
        <w:t>written</w:t>
      </w:r>
      <w:r w:rsidRPr="007D04B2">
        <w:rPr>
          <w:spacing w:val="5"/>
        </w:rPr>
        <w:t xml:space="preserve"> </w:t>
      </w:r>
      <w:r w:rsidRPr="007D04B2">
        <w:t>agreement</w:t>
      </w:r>
      <w:r w:rsidRPr="007D04B2">
        <w:rPr>
          <w:spacing w:val="4"/>
        </w:rPr>
        <w:t xml:space="preserve"> </w:t>
      </w:r>
      <w:r w:rsidRPr="007D04B2">
        <w:t>for</w:t>
      </w:r>
      <w:r w:rsidRPr="007D04B2">
        <w:rPr>
          <w:spacing w:val="4"/>
        </w:rPr>
        <w:t xml:space="preserve"> </w:t>
      </w:r>
      <w:r w:rsidRPr="007D04B2">
        <w:t>the</w:t>
      </w:r>
      <w:r w:rsidRPr="007D04B2">
        <w:rPr>
          <w:spacing w:val="5"/>
        </w:rPr>
        <w:t xml:space="preserve"> </w:t>
      </w:r>
      <w:r w:rsidRPr="007D04B2">
        <w:t>purposes</w:t>
      </w:r>
      <w:r w:rsidRPr="007D04B2">
        <w:rPr>
          <w:spacing w:val="4"/>
        </w:rPr>
        <w:t xml:space="preserve"> </w:t>
      </w:r>
      <w:r w:rsidRPr="007D04B2">
        <w:t>of</w:t>
      </w:r>
      <w:r w:rsidRPr="007D04B2">
        <w:rPr>
          <w:spacing w:val="4"/>
        </w:rPr>
        <w:t xml:space="preserve"> </w:t>
      </w:r>
      <w:r w:rsidRPr="007D04B2">
        <w:t>core</w:t>
      </w:r>
      <w:r w:rsidRPr="007D04B2">
        <w:rPr>
          <w:spacing w:val="4"/>
        </w:rPr>
        <w:t xml:space="preserve"> </w:t>
      </w:r>
      <w:r w:rsidRPr="007D04B2">
        <w:t>condition</w:t>
      </w:r>
      <w:r w:rsidRPr="007D04B2">
        <w:rPr>
          <w:spacing w:val="5"/>
        </w:rPr>
        <w:t xml:space="preserve"> </w:t>
      </w:r>
      <w:r w:rsidRPr="007D04B2">
        <w:t>3</w:t>
      </w:r>
      <w:r w:rsidRPr="007D04B2">
        <w:rPr>
          <w:spacing w:val="4"/>
        </w:rPr>
        <w:t xml:space="preserve"> </w:t>
      </w:r>
      <w:r w:rsidRPr="007D04B2">
        <w:t>in</w:t>
      </w:r>
      <w:r w:rsidRPr="007D04B2">
        <w:rPr>
          <w:spacing w:val="4"/>
        </w:rPr>
        <w:t xml:space="preserve"> </w:t>
      </w:r>
      <w:r w:rsidRPr="007D04B2">
        <w:t>force,</w:t>
      </w:r>
      <w:r w:rsidRPr="007D04B2">
        <w:rPr>
          <w:spacing w:val="4"/>
        </w:rPr>
        <w:t xml:space="preserve"> </w:t>
      </w:r>
      <w:r w:rsidRPr="007D04B2">
        <w:t>the</w:t>
      </w:r>
      <w:r w:rsidRPr="007D04B2">
        <w:rPr>
          <w:spacing w:val="22"/>
          <w:w w:val="101"/>
        </w:rPr>
        <w:t xml:space="preserve"> </w:t>
      </w:r>
      <w:r w:rsidRPr="007D04B2">
        <w:t>licensee</w:t>
      </w:r>
      <w:r w:rsidRPr="007D04B2">
        <w:rPr>
          <w:spacing w:val="4"/>
        </w:rPr>
        <w:t xml:space="preserve"> </w:t>
      </w:r>
      <w:r w:rsidRPr="007D04B2">
        <w:t>must</w:t>
      </w:r>
      <w:r w:rsidRPr="007D04B2">
        <w:rPr>
          <w:spacing w:val="5"/>
        </w:rPr>
        <w:t xml:space="preserve"> </w:t>
      </w:r>
      <w:r w:rsidRPr="007D04B2">
        <w:t>comply</w:t>
      </w:r>
      <w:r w:rsidRPr="007D04B2">
        <w:rPr>
          <w:spacing w:val="5"/>
        </w:rPr>
        <w:t xml:space="preserve"> </w:t>
      </w:r>
      <w:r w:rsidRPr="007D04B2">
        <w:rPr>
          <w:spacing w:val="-1"/>
        </w:rPr>
        <w:t>with</w:t>
      </w:r>
      <w:r w:rsidRPr="007D04B2">
        <w:rPr>
          <w:spacing w:val="6"/>
        </w:rPr>
        <w:t xml:space="preserve"> </w:t>
      </w:r>
      <w:r w:rsidRPr="007D04B2">
        <w:t>core</w:t>
      </w:r>
      <w:r w:rsidRPr="007D04B2">
        <w:rPr>
          <w:spacing w:val="5"/>
        </w:rPr>
        <w:t xml:space="preserve"> </w:t>
      </w:r>
      <w:r w:rsidRPr="007D04B2">
        <w:t>conditions</w:t>
      </w:r>
      <w:r w:rsidRPr="007D04B2">
        <w:rPr>
          <w:spacing w:val="4"/>
        </w:rPr>
        <w:t xml:space="preserve"> </w:t>
      </w:r>
      <w:r w:rsidRPr="007D04B2">
        <w:t>5</w:t>
      </w:r>
      <w:r w:rsidRPr="007D04B2">
        <w:rPr>
          <w:spacing w:val="5"/>
        </w:rPr>
        <w:t xml:space="preserve"> </w:t>
      </w:r>
      <w:r w:rsidRPr="007D04B2">
        <w:t>to</w:t>
      </w:r>
      <w:r w:rsidRPr="007D04B2">
        <w:rPr>
          <w:spacing w:val="5"/>
        </w:rPr>
        <w:t xml:space="preserve"> </w:t>
      </w:r>
      <w:r w:rsidR="00547522" w:rsidRPr="007D04B2">
        <w:t>1</w:t>
      </w:r>
      <w:r w:rsidR="00547522">
        <w:t>1</w:t>
      </w:r>
      <w:r w:rsidRPr="007D04B2">
        <w:t>.</w:t>
      </w:r>
    </w:p>
    <w:p w14:paraId="236DBF25" w14:textId="77777777" w:rsidR="00A83A6A" w:rsidRPr="007D04B2" w:rsidRDefault="00A83A6A" w:rsidP="00A83A6A">
      <w:pPr>
        <w:spacing w:after="0"/>
        <w:rPr>
          <w:rFonts w:ascii="Times New Roman" w:hAnsi="Times New Roman"/>
          <w:sz w:val="25"/>
          <w:szCs w:val="25"/>
        </w:rPr>
      </w:pPr>
    </w:p>
    <w:p w14:paraId="444ABE8A" w14:textId="5D524ECE" w:rsidR="00A83A6A" w:rsidRPr="007D04B2" w:rsidRDefault="00A83A6A" w:rsidP="00A83A6A">
      <w:pPr>
        <w:pStyle w:val="Heading2"/>
        <w:spacing w:before="0" w:after="0"/>
        <w:ind w:left="187" w:right="1169"/>
        <w:rPr>
          <w:b w:val="0"/>
          <w:bCs w:val="0"/>
        </w:rPr>
      </w:pPr>
      <w:bookmarkStart w:id="84" w:name="_Toc507878623"/>
      <w:bookmarkStart w:id="85" w:name="_Toc56006347"/>
      <w:bookmarkStart w:id="86" w:name="_Toc84339353"/>
      <w:r w:rsidRPr="007D04B2">
        <w:rPr>
          <w:spacing w:val="-1"/>
        </w:rPr>
        <w:t>Non</w:t>
      </w:r>
      <w:r w:rsidR="0032322E">
        <w:rPr>
          <w:spacing w:val="-10"/>
        </w:rPr>
        <w:t>-</w:t>
      </w:r>
      <w:r w:rsidRPr="007D04B2">
        <w:rPr>
          <w:spacing w:val="-1"/>
        </w:rPr>
        <w:t>spurious</w:t>
      </w:r>
      <w:r w:rsidRPr="007D04B2">
        <w:rPr>
          <w:spacing w:val="-9"/>
        </w:rPr>
        <w:t xml:space="preserve"> </w:t>
      </w:r>
      <w:r w:rsidRPr="007D04B2">
        <w:rPr>
          <w:spacing w:val="-1"/>
        </w:rPr>
        <w:t>emission</w:t>
      </w:r>
      <w:r w:rsidRPr="007D04B2">
        <w:rPr>
          <w:spacing w:val="-9"/>
        </w:rPr>
        <w:t xml:space="preserve"> </w:t>
      </w:r>
      <w:r w:rsidRPr="007D04B2">
        <w:t>limits</w:t>
      </w:r>
      <w:bookmarkEnd w:id="84"/>
      <w:bookmarkEnd w:id="85"/>
      <w:bookmarkEnd w:id="86"/>
    </w:p>
    <w:p w14:paraId="027C94A5" w14:textId="77777777" w:rsidR="00A83A6A" w:rsidRPr="007D04B2" w:rsidRDefault="00A83A6A" w:rsidP="00A83A6A">
      <w:pPr>
        <w:spacing w:after="0"/>
        <w:rPr>
          <w:rFonts w:eastAsia="Arial" w:cs="Arial"/>
          <w:b/>
          <w:bCs/>
          <w:sz w:val="27"/>
          <w:szCs w:val="27"/>
        </w:rPr>
      </w:pPr>
    </w:p>
    <w:p w14:paraId="005F2FA0" w14:textId="6F684504" w:rsidR="00A83A6A" w:rsidRDefault="00A83A6A" w:rsidP="0062295F">
      <w:pPr>
        <w:pStyle w:val="BodyText"/>
        <w:numPr>
          <w:ilvl w:val="0"/>
          <w:numId w:val="40"/>
        </w:numPr>
        <w:tabs>
          <w:tab w:val="left" w:pos="531"/>
        </w:tabs>
        <w:spacing w:line="282" w:lineRule="auto"/>
        <w:ind w:left="891" w:right="1226" w:hanging="715"/>
        <w:jc w:val="left"/>
      </w:pPr>
      <w:r w:rsidRPr="007D04B2">
        <w:t>(1)</w:t>
      </w:r>
      <w:r w:rsidRPr="007D04B2">
        <w:rPr>
          <w:spacing w:val="17"/>
        </w:rPr>
        <w:t xml:space="preserve"> </w:t>
      </w:r>
      <w:r w:rsidR="00F42961" w:rsidRPr="0062295F">
        <w:t xml:space="preserve">Subject to sub-condition (2), the licensee must ensure that radiocommunications transmitters operated under this </w:t>
      </w:r>
      <w:proofErr w:type="spellStart"/>
      <w:r w:rsidR="00F42961" w:rsidRPr="0062295F">
        <w:t>licence</w:t>
      </w:r>
      <w:proofErr w:type="spellEnd"/>
      <w:r w:rsidR="00F42961" w:rsidRPr="0062295F">
        <w:t xml:space="preserve"> do not exceed the non</w:t>
      </w:r>
      <w:r w:rsidR="0032322E">
        <w:t>-</w:t>
      </w:r>
      <w:r w:rsidR="00F42961" w:rsidRPr="0062295F">
        <w:t>spurious emission limits in core conditions 6 and 7</w:t>
      </w:r>
      <w:r w:rsidR="00F42961" w:rsidRPr="00F42961">
        <w:rPr>
          <w:spacing w:val="17"/>
        </w:rPr>
        <w:t>.</w:t>
      </w:r>
    </w:p>
    <w:p w14:paraId="2381A53F" w14:textId="66415E6C" w:rsidR="00667BA6" w:rsidRPr="007D04B2" w:rsidRDefault="00453E75" w:rsidP="00110BC9">
      <w:pPr>
        <w:pStyle w:val="BodyText"/>
        <w:tabs>
          <w:tab w:val="left" w:pos="531"/>
        </w:tabs>
        <w:spacing w:line="282" w:lineRule="auto"/>
        <w:ind w:right="1226"/>
      </w:pPr>
      <w:r w:rsidRPr="00453E75">
        <w:t xml:space="preserve">(2) </w:t>
      </w:r>
      <w:r w:rsidR="00ED3C28">
        <w:t xml:space="preserve"> </w:t>
      </w:r>
      <w:r w:rsidRPr="00453E75">
        <w:t>For any frequency where an emission limit described in Core Condition 8 is less than</w:t>
      </w:r>
      <w:r w:rsidR="00ED3C28">
        <w:t xml:space="preserve"> </w:t>
      </w:r>
      <w:r w:rsidRPr="00453E75">
        <w:t>an emission limit described in Core Conditions 6 or 7, the emission limit in Core</w:t>
      </w:r>
      <w:r>
        <w:t xml:space="preserve"> </w:t>
      </w:r>
      <w:r w:rsidRPr="00453E75">
        <w:t>Condition 8 applies</w:t>
      </w:r>
      <w:r w:rsidR="00110BC9" w:rsidRPr="00110BC9">
        <w:t xml:space="preserve"> instead of the emission limits in core condition 6 or 7</w:t>
      </w:r>
      <w:r w:rsidRPr="00453E75">
        <w:t>.</w:t>
      </w:r>
    </w:p>
    <w:p w14:paraId="027CAA75" w14:textId="74D04480" w:rsidR="00A83A6A" w:rsidRPr="007D04B2" w:rsidRDefault="00A83A6A" w:rsidP="00A83A6A">
      <w:pPr>
        <w:pStyle w:val="BodyText"/>
        <w:numPr>
          <w:ilvl w:val="0"/>
          <w:numId w:val="40"/>
        </w:numPr>
        <w:tabs>
          <w:tab w:val="left" w:pos="531"/>
        </w:tabs>
        <w:jc w:val="left"/>
      </w:pPr>
      <w:r w:rsidRPr="007D04B2">
        <w:t>The</w:t>
      </w:r>
      <w:r w:rsidRPr="007D04B2">
        <w:rPr>
          <w:spacing w:val="4"/>
        </w:rPr>
        <w:t xml:space="preserve"> </w:t>
      </w:r>
      <w:r w:rsidRPr="007D04B2">
        <w:t>non</w:t>
      </w:r>
      <w:r w:rsidR="0032322E">
        <w:rPr>
          <w:spacing w:val="5"/>
        </w:rPr>
        <w:t>-</w:t>
      </w:r>
      <w:r w:rsidRPr="007D04B2">
        <w:rPr>
          <w:spacing w:val="-1"/>
        </w:rPr>
        <w:t>spurious</w:t>
      </w:r>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rsidRPr="007D04B2">
        <w:t>3</w:t>
      </w:r>
      <w:r w:rsidRPr="007D04B2">
        <w:rPr>
          <w:spacing w:val="5"/>
        </w:rPr>
        <w:t xml:space="preserve"> </w:t>
      </w:r>
      <w:r w:rsidRPr="007D04B2">
        <w:t>apply:</w:t>
      </w:r>
    </w:p>
    <w:p w14:paraId="03A3FA50" w14:textId="77777777" w:rsidR="00A83A6A" w:rsidRPr="007D04B2" w:rsidRDefault="00A83A6A" w:rsidP="00A83A6A">
      <w:pPr>
        <w:spacing w:after="0"/>
        <w:rPr>
          <w:rFonts w:ascii="Times New Roman" w:hAnsi="Times New Roman"/>
          <w:sz w:val="28"/>
          <w:szCs w:val="28"/>
        </w:rPr>
      </w:pPr>
    </w:p>
    <w:p w14:paraId="0DE4184D" w14:textId="74E0D896" w:rsidR="00A83A6A" w:rsidRPr="007D04B2" w:rsidRDefault="00D52713" w:rsidP="00A83A6A">
      <w:pPr>
        <w:pStyle w:val="BodyText"/>
        <w:numPr>
          <w:ilvl w:val="1"/>
          <w:numId w:val="40"/>
        </w:numPr>
        <w:tabs>
          <w:tab w:val="left" w:pos="892"/>
        </w:tabs>
        <w:rPr>
          <w:rFonts w:cs="Times New Roman"/>
        </w:rPr>
      </w:pPr>
      <w:r w:rsidRPr="00D52713">
        <w:t xml:space="preserve">at frequencies </w:t>
      </w:r>
      <w:r w:rsidR="009F2A35" w:rsidRPr="009F2A35">
        <w:t xml:space="preserve">outside the 1710-1785 MHz and 1805-1880 MHz frequency </w:t>
      </w:r>
      <w:proofErr w:type="gramStart"/>
      <w:r w:rsidR="009F2A35" w:rsidRPr="009F2A35">
        <w:t>bands</w:t>
      </w:r>
      <w:r w:rsidR="009F2A35" w:rsidRPr="009F2A35" w:rsidDel="009F2A35">
        <w:t xml:space="preserve"> </w:t>
      </w:r>
      <w:r w:rsidRPr="00D52713">
        <w:t>;</w:t>
      </w:r>
      <w:proofErr w:type="gramEnd"/>
      <w:r w:rsidRPr="00D52713">
        <w:t xml:space="preserve"> and </w:t>
      </w:r>
    </w:p>
    <w:p w14:paraId="02850BDB" w14:textId="70E1D685" w:rsidR="00A83A6A" w:rsidRPr="004941BD" w:rsidRDefault="004941BD" w:rsidP="00D5701E">
      <w:pPr>
        <w:spacing w:after="0"/>
        <w:rPr>
          <w:rFonts w:ascii="Times New Roman" w:hAnsi="Times New Roman" w:cstheme="minorBidi"/>
          <w:sz w:val="21"/>
          <w:szCs w:val="21"/>
          <w:lang w:val="en-US" w:eastAsia="en-US"/>
        </w:rPr>
      </w:pPr>
      <w:r w:rsidRPr="004941BD">
        <w:rPr>
          <w:rFonts w:ascii="Times New Roman" w:hAnsi="Times New Roman" w:cstheme="minorBidi"/>
          <w:sz w:val="21"/>
          <w:szCs w:val="21"/>
          <w:lang w:val="en-US" w:eastAsia="en-US"/>
        </w:rPr>
        <w:t xml:space="preserve">     </w:t>
      </w:r>
      <w:r>
        <w:rPr>
          <w:rFonts w:ascii="Times New Roman" w:hAnsi="Times New Roman" w:cstheme="minorBidi"/>
          <w:sz w:val="21"/>
          <w:szCs w:val="21"/>
          <w:lang w:val="en-US" w:eastAsia="en-US"/>
        </w:rPr>
        <w:t xml:space="preserve">  </w:t>
      </w:r>
      <w:r w:rsidRPr="004941BD">
        <w:rPr>
          <w:rFonts w:ascii="Times New Roman" w:hAnsi="Times New Roman" w:cstheme="minorBidi"/>
          <w:sz w:val="21"/>
          <w:szCs w:val="21"/>
          <w:lang w:val="en-US" w:eastAsia="en-US"/>
        </w:rPr>
        <w:t xml:space="preserve">   </w:t>
      </w:r>
      <w:r w:rsidR="00D5701E" w:rsidRPr="004941BD">
        <w:rPr>
          <w:rFonts w:ascii="Times New Roman" w:hAnsi="Times New Roman" w:cstheme="minorBidi"/>
          <w:sz w:val="21"/>
          <w:szCs w:val="21"/>
          <w:lang w:val="en-US" w:eastAsia="en-US"/>
        </w:rPr>
        <w:t xml:space="preserve">(b) offset </w:t>
      </w:r>
      <w:r w:rsidR="0032322E" w:rsidRPr="0032322E">
        <w:rPr>
          <w:rFonts w:ascii="Times New Roman" w:hAnsi="Times New Roman" w:cstheme="minorBidi"/>
          <w:sz w:val="21"/>
          <w:szCs w:val="21"/>
          <w:lang w:val="en-US" w:eastAsia="en-US"/>
        </w:rPr>
        <w:t xml:space="preserve">from 1785 MHz, 1805 MHz and 1880 </w:t>
      </w:r>
      <w:proofErr w:type="gramStart"/>
      <w:r w:rsidR="0032322E" w:rsidRPr="0032322E">
        <w:rPr>
          <w:rFonts w:ascii="Times New Roman" w:hAnsi="Times New Roman" w:cstheme="minorBidi"/>
          <w:sz w:val="21"/>
          <w:szCs w:val="21"/>
          <w:lang w:val="en-US" w:eastAsia="en-US"/>
        </w:rPr>
        <w:t>MHz</w:t>
      </w:r>
      <w:r w:rsidR="00D5701E" w:rsidRPr="004941BD">
        <w:rPr>
          <w:rFonts w:ascii="Times New Roman" w:hAnsi="Times New Roman" w:cstheme="minorBidi"/>
          <w:sz w:val="21"/>
          <w:szCs w:val="21"/>
          <w:lang w:val="en-US" w:eastAsia="en-US"/>
        </w:rPr>
        <w:t>;</w:t>
      </w:r>
      <w:proofErr w:type="gramEnd"/>
    </w:p>
    <w:p w14:paraId="6016FA65" w14:textId="77777777" w:rsidR="00082C8A" w:rsidRDefault="00082C8A" w:rsidP="00A83A6A">
      <w:pPr>
        <w:pStyle w:val="BodyText"/>
        <w:ind w:left="530" w:right="1169" w:firstLine="0"/>
        <w:rPr>
          <w:spacing w:val="-1"/>
        </w:rPr>
      </w:pPr>
    </w:p>
    <w:p w14:paraId="452487C8" w14:textId="39968FCA" w:rsidR="00A83A6A" w:rsidRPr="007D04B2" w:rsidRDefault="00A83A6A" w:rsidP="00A83A6A">
      <w:pPr>
        <w:pStyle w:val="BodyText"/>
        <w:ind w:left="530" w:right="1169" w:firstLine="0"/>
      </w:pPr>
      <w:r w:rsidRPr="007D04B2">
        <w:rPr>
          <w:spacing w:val="-1"/>
        </w:rPr>
        <w:t>where:</w:t>
      </w:r>
    </w:p>
    <w:p w14:paraId="46E05CF1" w14:textId="23CA1417" w:rsidR="00D212BB" w:rsidRPr="0062295F" w:rsidRDefault="00082C8A" w:rsidP="0062295F">
      <w:pPr>
        <w:autoSpaceDE w:val="0"/>
        <w:autoSpaceDN w:val="0"/>
        <w:adjustRightInd w:val="0"/>
        <w:spacing w:after="0" w:line="240" w:lineRule="auto"/>
        <w:ind w:left="530" w:firstLine="33"/>
        <w:rPr>
          <w:rFonts w:ascii="Times New Roman" w:hAnsi="Times New Roman"/>
          <w:sz w:val="18"/>
          <w:szCs w:val="18"/>
        </w:rPr>
      </w:pPr>
      <w:proofErr w:type="spellStart"/>
      <w:r w:rsidRPr="0062295F">
        <w:rPr>
          <w:rFonts w:ascii="Times New Roman" w:hAnsi="Times New Roman"/>
          <w:b/>
          <w:bCs/>
          <w:sz w:val="18"/>
          <w:szCs w:val="18"/>
        </w:rPr>
        <w:lastRenderedPageBreak/>
        <w:t>foffset</w:t>
      </w:r>
      <w:proofErr w:type="spellEnd"/>
      <w:r w:rsidRPr="0062295F">
        <w:rPr>
          <w:rFonts w:ascii="Times New Roman" w:hAnsi="Times New Roman"/>
          <w:b/>
          <w:bCs/>
          <w:sz w:val="18"/>
          <w:szCs w:val="18"/>
        </w:rPr>
        <w:t xml:space="preserve"> </w:t>
      </w:r>
      <w:r w:rsidR="00F63EFF" w:rsidRPr="0062295F">
        <w:rPr>
          <w:rFonts w:ascii="Times New Roman" w:hAnsi="Times New Roman"/>
          <w:sz w:val="18"/>
          <w:szCs w:val="18"/>
        </w:rPr>
        <w:t xml:space="preserve">is the frequency offset from the 1785 MHz, 1805 MHz and 1880 MHz band edges. The -3dB point of the specified bandwidth closest to the band edge being frequency offset from, is placed at </w:t>
      </w:r>
      <w:proofErr w:type="spellStart"/>
      <w:r w:rsidRPr="0062295F">
        <w:rPr>
          <w:rFonts w:ascii="Times New Roman" w:hAnsi="Times New Roman"/>
          <w:b/>
          <w:sz w:val="18"/>
          <w:szCs w:val="18"/>
        </w:rPr>
        <w:t>foffset</w:t>
      </w:r>
      <w:proofErr w:type="spellEnd"/>
      <w:r w:rsidRPr="0062295F">
        <w:rPr>
          <w:rFonts w:ascii="Times New Roman" w:hAnsi="Times New Roman"/>
          <w:b/>
          <w:sz w:val="18"/>
          <w:szCs w:val="18"/>
        </w:rPr>
        <w:t>.</w:t>
      </w:r>
    </w:p>
    <w:p w14:paraId="4E72A27A" w14:textId="77777777" w:rsidR="00A83A6A" w:rsidRPr="007D04B2" w:rsidRDefault="00A83A6A" w:rsidP="00A83A6A">
      <w:pPr>
        <w:spacing w:after="0"/>
        <w:rPr>
          <w:rFonts w:ascii="Times New Roman" w:hAnsi="Times New Roman"/>
          <w:b/>
          <w:bCs/>
          <w:sz w:val="29"/>
          <w:szCs w:val="29"/>
        </w:rPr>
      </w:pPr>
    </w:p>
    <w:p w14:paraId="1ECFFA37" w14:textId="56474193" w:rsidR="00A83A6A" w:rsidRPr="0062295F" w:rsidRDefault="009E3601" w:rsidP="0062295F">
      <w:pPr>
        <w:pStyle w:val="BodyText"/>
        <w:rPr>
          <w:rFonts w:cs="Times New Roman"/>
          <w:sz w:val="18"/>
          <w:szCs w:val="18"/>
        </w:rPr>
      </w:pPr>
      <w:bookmarkStart w:id="87" w:name="_Toc507878624"/>
      <w:bookmarkStart w:id="88" w:name="_Toc55989599"/>
      <w:bookmarkStart w:id="89" w:name="_Toc56006348"/>
      <w:bookmarkStart w:id="90" w:name="_Toc56507468"/>
      <w:bookmarkStart w:id="91" w:name="_Toc57808781"/>
      <w:bookmarkStart w:id="92" w:name="_Toc57809605"/>
      <w:proofErr w:type="spellStart"/>
      <w:r w:rsidRPr="0062295F">
        <w:rPr>
          <w:b/>
          <w:bCs/>
          <w:sz w:val="18"/>
          <w:szCs w:val="18"/>
        </w:rPr>
        <w:t>Licence</w:t>
      </w:r>
      <w:proofErr w:type="spellEnd"/>
      <w:r w:rsidRPr="0062295F">
        <w:rPr>
          <w:b/>
          <w:bCs/>
          <w:sz w:val="18"/>
          <w:szCs w:val="18"/>
        </w:rPr>
        <w:t xml:space="preserve"> </w:t>
      </w:r>
      <w:r w:rsidR="00A83A6A" w:rsidRPr="0062295F">
        <w:rPr>
          <w:b/>
          <w:bCs/>
          <w:sz w:val="18"/>
          <w:szCs w:val="18"/>
        </w:rPr>
        <w:t>Table</w:t>
      </w:r>
      <w:r w:rsidR="00A83A6A" w:rsidRPr="0062295F">
        <w:rPr>
          <w:b/>
          <w:bCs/>
          <w:spacing w:val="6"/>
          <w:sz w:val="18"/>
          <w:szCs w:val="18"/>
        </w:rPr>
        <w:t xml:space="preserve"> </w:t>
      </w:r>
      <w:r w:rsidR="00A83A6A" w:rsidRPr="0062295F">
        <w:rPr>
          <w:b/>
          <w:bCs/>
          <w:sz w:val="18"/>
          <w:szCs w:val="18"/>
        </w:rPr>
        <w:t>3:</w:t>
      </w:r>
      <w:r w:rsidR="00A83A6A" w:rsidRPr="0062295F">
        <w:rPr>
          <w:b/>
          <w:bCs/>
          <w:spacing w:val="7"/>
          <w:sz w:val="18"/>
          <w:szCs w:val="18"/>
        </w:rPr>
        <w:t xml:space="preserve"> </w:t>
      </w:r>
      <w:r w:rsidR="00A83A6A" w:rsidRPr="0062295F">
        <w:rPr>
          <w:b/>
          <w:bCs/>
          <w:spacing w:val="-1"/>
          <w:sz w:val="18"/>
          <w:szCs w:val="18"/>
        </w:rPr>
        <w:t>Radiated</w:t>
      </w:r>
      <w:r w:rsidR="00A83A6A" w:rsidRPr="0062295F">
        <w:rPr>
          <w:b/>
          <w:bCs/>
          <w:spacing w:val="8"/>
          <w:sz w:val="18"/>
          <w:szCs w:val="18"/>
        </w:rPr>
        <w:t xml:space="preserve"> </w:t>
      </w:r>
      <w:r w:rsidR="00A83A6A" w:rsidRPr="0062295F">
        <w:rPr>
          <w:b/>
          <w:bCs/>
          <w:sz w:val="18"/>
          <w:szCs w:val="18"/>
        </w:rPr>
        <w:t>maximum</w:t>
      </w:r>
      <w:r w:rsidR="00A83A6A" w:rsidRPr="0062295F">
        <w:rPr>
          <w:b/>
          <w:bCs/>
          <w:spacing w:val="7"/>
          <w:sz w:val="18"/>
          <w:szCs w:val="18"/>
        </w:rPr>
        <w:t xml:space="preserve"> </w:t>
      </w:r>
      <w:r w:rsidR="00A83A6A" w:rsidRPr="0062295F">
        <w:rPr>
          <w:b/>
          <w:bCs/>
          <w:sz w:val="18"/>
          <w:szCs w:val="18"/>
        </w:rPr>
        <w:t>true</w:t>
      </w:r>
      <w:r w:rsidR="00A83A6A" w:rsidRPr="0062295F">
        <w:rPr>
          <w:b/>
          <w:bCs/>
          <w:spacing w:val="7"/>
          <w:sz w:val="18"/>
          <w:szCs w:val="18"/>
        </w:rPr>
        <w:t xml:space="preserve"> </w:t>
      </w:r>
      <w:r w:rsidR="00A83A6A" w:rsidRPr="0062295F">
        <w:rPr>
          <w:b/>
          <w:bCs/>
          <w:sz w:val="18"/>
          <w:szCs w:val="18"/>
        </w:rPr>
        <w:t>mean</w:t>
      </w:r>
      <w:r w:rsidR="00A83A6A" w:rsidRPr="0062295F">
        <w:rPr>
          <w:b/>
          <w:bCs/>
          <w:spacing w:val="7"/>
          <w:sz w:val="18"/>
          <w:szCs w:val="18"/>
        </w:rPr>
        <w:t xml:space="preserve"> </w:t>
      </w:r>
      <w:r w:rsidR="00A83A6A" w:rsidRPr="0062295F">
        <w:rPr>
          <w:b/>
          <w:bCs/>
          <w:spacing w:val="-1"/>
          <w:sz w:val="18"/>
          <w:szCs w:val="18"/>
        </w:rPr>
        <w:t>power</w:t>
      </w:r>
      <w:r w:rsidR="00A83A6A" w:rsidRPr="0062295F">
        <w:rPr>
          <w:b/>
          <w:bCs/>
          <w:spacing w:val="8"/>
          <w:sz w:val="18"/>
          <w:szCs w:val="18"/>
        </w:rPr>
        <w:t xml:space="preserve"> </w:t>
      </w:r>
      <w:r w:rsidR="00A83A6A" w:rsidRPr="0062295F">
        <w:rPr>
          <w:b/>
          <w:bCs/>
          <w:spacing w:val="-1"/>
          <w:sz w:val="18"/>
          <w:szCs w:val="18"/>
        </w:rPr>
        <w:t>non-spurious</w:t>
      </w:r>
      <w:r w:rsidR="00A83A6A" w:rsidRPr="0062295F">
        <w:rPr>
          <w:b/>
          <w:bCs/>
          <w:spacing w:val="8"/>
          <w:sz w:val="18"/>
          <w:szCs w:val="18"/>
        </w:rPr>
        <w:t xml:space="preserve"> </w:t>
      </w:r>
      <w:r w:rsidR="00A83A6A" w:rsidRPr="0062295F">
        <w:rPr>
          <w:b/>
          <w:bCs/>
          <w:sz w:val="18"/>
          <w:szCs w:val="18"/>
        </w:rPr>
        <w:t>emission</w:t>
      </w:r>
      <w:r w:rsidR="00A83A6A" w:rsidRPr="0062295F">
        <w:rPr>
          <w:b/>
          <w:bCs/>
          <w:spacing w:val="7"/>
          <w:sz w:val="18"/>
          <w:szCs w:val="18"/>
        </w:rPr>
        <w:t xml:space="preserve"> </w:t>
      </w:r>
      <w:r w:rsidR="00A83A6A" w:rsidRPr="0062295F">
        <w:rPr>
          <w:b/>
          <w:bCs/>
          <w:sz w:val="18"/>
          <w:szCs w:val="18"/>
        </w:rPr>
        <w:t>limits</w:t>
      </w:r>
      <w:bookmarkEnd w:id="87"/>
      <w:bookmarkEnd w:id="88"/>
      <w:bookmarkEnd w:id="89"/>
      <w:bookmarkEnd w:id="90"/>
      <w:bookmarkEnd w:id="91"/>
      <w:bookmarkEnd w:id="92"/>
    </w:p>
    <w:p w14:paraId="2BBEC5EE" w14:textId="77777777" w:rsidR="00A83A6A" w:rsidRPr="007D04B2" w:rsidRDefault="00A83A6A" w:rsidP="00A83A6A">
      <w:pPr>
        <w:spacing w:after="0"/>
        <w:rPr>
          <w:rFonts w:ascii="Times New Roman" w:hAnsi="Times New Roman"/>
          <w:b/>
          <w:bCs/>
          <w:sz w:val="13"/>
          <w:szCs w:val="13"/>
        </w:rPr>
      </w:pPr>
    </w:p>
    <w:tbl>
      <w:tblPr>
        <w:tblW w:w="7800" w:type="dxa"/>
        <w:tblInd w:w="170" w:type="dxa"/>
        <w:tblLayout w:type="fixed"/>
        <w:tblCellMar>
          <w:left w:w="0" w:type="dxa"/>
          <w:right w:w="0" w:type="dxa"/>
        </w:tblCellMar>
        <w:tblLook w:val="01E0" w:firstRow="1" w:lastRow="1" w:firstColumn="1" w:lastColumn="1" w:noHBand="0" w:noVBand="0"/>
      </w:tblPr>
      <w:tblGrid>
        <w:gridCol w:w="3391"/>
        <w:gridCol w:w="2952"/>
        <w:gridCol w:w="1457"/>
      </w:tblGrid>
      <w:tr w:rsidR="00A83A6A" w:rsidRPr="007D04B2" w14:paraId="5835743C" w14:textId="77777777" w:rsidTr="00E564A3">
        <w:trPr>
          <w:trHeight w:hRule="exact" w:val="952"/>
        </w:trPr>
        <w:tc>
          <w:tcPr>
            <w:tcW w:w="3391" w:type="dxa"/>
            <w:tcBorders>
              <w:top w:val="single" w:sz="6" w:space="0" w:color="000000"/>
              <w:left w:val="single" w:sz="6" w:space="0" w:color="000000"/>
              <w:bottom w:val="single" w:sz="6" w:space="0" w:color="000000"/>
              <w:right w:val="single" w:sz="6" w:space="0" w:color="000000"/>
            </w:tcBorders>
          </w:tcPr>
          <w:p w14:paraId="50BC0CE8" w14:textId="77777777" w:rsidR="00A83A6A" w:rsidRPr="0062295F" w:rsidRDefault="00A83A6A" w:rsidP="00A83A6A">
            <w:pPr>
              <w:pStyle w:val="TableParagraph"/>
              <w:ind w:right="47"/>
              <w:jc w:val="center"/>
              <w:rPr>
                <w:rFonts w:ascii="Times New Roman" w:eastAsia="Times New Roman" w:hAnsi="Times New Roman" w:cs="Times New Roman"/>
              </w:rPr>
            </w:pPr>
            <w:bookmarkStart w:id="93" w:name="_Hlk56001084"/>
            <w:r w:rsidRPr="0062295F">
              <w:rPr>
                <w:rFonts w:ascii="Times New Roman" w:hAnsi="Times New Roman" w:cs="Times New Roman"/>
                <w:b/>
                <w:spacing w:val="-5"/>
              </w:rPr>
              <w:t>Frequency</w:t>
            </w:r>
            <w:r w:rsidRPr="0062295F">
              <w:rPr>
                <w:rFonts w:ascii="Times New Roman" w:hAnsi="Times New Roman" w:cs="Times New Roman"/>
                <w:b/>
                <w:spacing w:val="25"/>
              </w:rPr>
              <w:t xml:space="preserve"> </w:t>
            </w:r>
            <w:r w:rsidRPr="0062295F">
              <w:rPr>
                <w:rFonts w:ascii="Times New Roman" w:hAnsi="Times New Roman" w:cs="Times New Roman"/>
                <w:b/>
              </w:rPr>
              <w:t>offset</w:t>
            </w:r>
            <w:r w:rsidRPr="0062295F">
              <w:rPr>
                <w:rFonts w:ascii="Times New Roman" w:hAnsi="Times New Roman" w:cs="Times New Roman"/>
                <w:b/>
                <w:spacing w:val="25"/>
              </w:rPr>
              <w:t xml:space="preserve"> </w:t>
            </w:r>
            <w:r w:rsidRPr="0062295F">
              <w:rPr>
                <w:rFonts w:ascii="Times New Roman" w:hAnsi="Times New Roman" w:cs="Times New Roman"/>
                <w:b/>
                <w:spacing w:val="-5"/>
              </w:rPr>
              <w:t>range</w:t>
            </w:r>
          </w:p>
          <w:p w14:paraId="59480B21" w14:textId="77777777" w:rsidR="00A83A6A" w:rsidRPr="0062295F" w:rsidRDefault="00A83A6A" w:rsidP="00A83A6A">
            <w:pPr>
              <w:pStyle w:val="TableParagraph"/>
              <w:ind w:right="1"/>
              <w:jc w:val="center"/>
              <w:rPr>
                <w:rFonts w:ascii="Times New Roman" w:eastAsia="Times New Roman" w:hAnsi="Times New Roman" w:cs="Times New Roman"/>
              </w:rPr>
            </w:pPr>
            <w:r w:rsidRPr="0062295F">
              <w:rPr>
                <w:rFonts w:ascii="Times New Roman" w:hAnsi="Times New Roman" w:cs="Times New Roman"/>
                <w:b/>
                <w:position w:val="5"/>
              </w:rPr>
              <w:t>(f</w:t>
            </w:r>
            <w:r w:rsidRPr="0062295F">
              <w:rPr>
                <w:rFonts w:ascii="Times New Roman" w:hAnsi="Times New Roman" w:cs="Times New Roman"/>
                <w:b/>
              </w:rPr>
              <w:t>offset</w:t>
            </w:r>
            <w:r w:rsidRPr="0062295F">
              <w:rPr>
                <w:rFonts w:ascii="Times New Roman" w:hAnsi="Times New Roman" w:cs="Times New Roman"/>
                <w:b/>
                <w:position w:val="5"/>
              </w:rPr>
              <w:t>)</w:t>
            </w:r>
          </w:p>
        </w:tc>
        <w:tc>
          <w:tcPr>
            <w:tcW w:w="2952" w:type="dxa"/>
            <w:tcBorders>
              <w:top w:val="single" w:sz="6" w:space="0" w:color="000000"/>
              <w:left w:val="single" w:sz="6" w:space="0" w:color="000000"/>
              <w:bottom w:val="single" w:sz="6" w:space="0" w:color="000000"/>
              <w:right w:val="single" w:sz="6" w:space="0" w:color="000000"/>
            </w:tcBorders>
          </w:tcPr>
          <w:p w14:paraId="3BDFCB94" w14:textId="77777777" w:rsidR="00A83A6A" w:rsidRPr="0062295F" w:rsidRDefault="00A83A6A" w:rsidP="00A83A6A">
            <w:pPr>
              <w:pStyle w:val="TableParagraph"/>
              <w:spacing w:line="279" w:lineRule="auto"/>
              <w:ind w:left="1391" w:right="224" w:hanging="1226"/>
              <w:rPr>
                <w:rFonts w:ascii="Times New Roman" w:eastAsia="Times New Roman" w:hAnsi="Times New Roman" w:cs="Times New Roman"/>
              </w:rPr>
            </w:pPr>
            <w:r w:rsidRPr="0062295F">
              <w:rPr>
                <w:rFonts w:ascii="Times New Roman" w:hAnsi="Times New Roman" w:cs="Times New Roman"/>
                <w:b/>
                <w:spacing w:val="-2"/>
              </w:rPr>
              <w:t>Radiated</w:t>
            </w:r>
            <w:r w:rsidRPr="0062295F">
              <w:rPr>
                <w:rFonts w:ascii="Times New Roman" w:hAnsi="Times New Roman" w:cs="Times New Roman"/>
                <w:b/>
                <w:spacing w:val="5"/>
              </w:rPr>
              <w:t xml:space="preserve"> </w:t>
            </w:r>
            <w:r w:rsidRPr="0062295F">
              <w:rPr>
                <w:rFonts w:ascii="Times New Roman" w:hAnsi="Times New Roman" w:cs="Times New Roman"/>
                <w:b/>
                <w:spacing w:val="-11"/>
              </w:rPr>
              <w:t xml:space="preserve">maximum </w:t>
            </w:r>
            <w:r w:rsidRPr="0062295F">
              <w:rPr>
                <w:rFonts w:ascii="Times New Roman" w:hAnsi="Times New Roman" w:cs="Times New Roman"/>
                <w:b/>
                <w:spacing w:val="-6"/>
              </w:rPr>
              <w:t>true</w:t>
            </w:r>
            <w:r w:rsidRPr="0062295F">
              <w:rPr>
                <w:rFonts w:ascii="Times New Roman" w:hAnsi="Times New Roman" w:cs="Times New Roman"/>
                <w:b/>
                <w:spacing w:val="37"/>
              </w:rPr>
              <w:t xml:space="preserve"> </w:t>
            </w:r>
            <w:r w:rsidRPr="0062295F">
              <w:rPr>
                <w:rFonts w:ascii="Times New Roman" w:hAnsi="Times New Roman" w:cs="Times New Roman"/>
                <w:b/>
                <w:spacing w:val="-4"/>
              </w:rPr>
              <w:t>mean</w:t>
            </w:r>
            <w:r w:rsidRPr="0062295F">
              <w:rPr>
                <w:rFonts w:ascii="Times New Roman" w:hAnsi="Times New Roman" w:cs="Times New Roman"/>
                <w:b/>
                <w:spacing w:val="6"/>
              </w:rPr>
              <w:t xml:space="preserve"> </w:t>
            </w:r>
            <w:r w:rsidRPr="0062295F">
              <w:rPr>
                <w:rFonts w:ascii="Times New Roman" w:hAnsi="Times New Roman" w:cs="Times New Roman"/>
                <w:b/>
                <w:spacing w:val="-1"/>
              </w:rPr>
              <w:t>power</w:t>
            </w:r>
            <w:r w:rsidRPr="0062295F">
              <w:rPr>
                <w:rFonts w:ascii="Times New Roman" w:hAnsi="Times New Roman" w:cs="Times New Roman"/>
                <w:b/>
                <w:spacing w:val="27"/>
                <w:w w:val="102"/>
              </w:rPr>
              <w:t xml:space="preserve"> </w:t>
            </w:r>
            <w:r w:rsidRPr="0062295F">
              <w:rPr>
                <w:rFonts w:ascii="Times New Roman" w:hAnsi="Times New Roman" w:cs="Times New Roman"/>
                <w:b/>
                <w:spacing w:val="-3"/>
              </w:rPr>
              <w:t>(dBm</w:t>
            </w:r>
            <w:r w:rsidRPr="0062295F">
              <w:rPr>
                <w:rFonts w:ascii="Times New Roman" w:hAnsi="Times New Roman" w:cs="Times New Roman"/>
                <w:b/>
              </w:rPr>
              <w:t xml:space="preserve"> </w:t>
            </w:r>
            <w:r w:rsidRPr="0062295F">
              <w:rPr>
                <w:rFonts w:ascii="Times New Roman" w:hAnsi="Times New Roman" w:cs="Times New Roman"/>
                <w:b/>
                <w:spacing w:val="-3"/>
              </w:rPr>
              <w:t>EIRP)</w:t>
            </w:r>
          </w:p>
        </w:tc>
        <w:tc>
          <w:tcPr>
            <w:tcW w:w="1457" w:type="dxa"/>
            <w:tcBorders>
              <w:top w:val="single" w:sz="6" w:space="0" w:color="000000"/>
              <w:left w:val="single" w:sz="6" w:space="0" w:color="000000"/>
              <w:bottom w:val="single" w:sz="6" w:space="0" w:color="000000"/>
              <w:right w:val="single" w:sz="6" w:space="0" w:color="000000"/>
            </w:tcBorders>
          </w:tcPr>
          <w:p w14:paraId="1391B766" w14:textId="77777777" w:rsidR="00A83A6A" w:rsidRPr="0062295F" w:rsidRDefault="00A83A6A" w:rsidP="00A83A6A">
            <w:pPr>
              <w:pStyle w:val="TableParagraph"/>
              <w:spacing w:line="279" w:lineRule="auto"/>
              <w:ind w:left="184" w:right="190" w:firstLine="82"/>
              <w:rPr>
                <w:rFonts w:ascii="Times New Roman" w:eastAsia="Times New Roman" w:hAnsi="Times New Roman" w:cs="Times New Roman"/>
              </w:rPr>
            </w:pPr>
            <w:r w:rsidRPr="0062295F">
              <w:rPr>
                <w:rFonts w:ascii="Times New Roman" w:hAnsi="Times New Roman" w:cs="Times New Roman"/>
                <w:b/>
                <w:spacing w:val="-2"/>
              </w:rPr>
              <w:t>Specified</w:t>
            </w:r>
            <w:r w:rsidRPr="0062295F">
              <w:rPr>
                <w:rFonts w:ascii="Times New Roman" w:hAnsi="Times New Roman" w:cs="Times New Roman"/>
                <w:b/>
                <w:spacing w:val="23"/>
                <w:w w:val="102"/>
              </w:rPr>
              <w:t xml:space="preserve"> </w:t>
            </w:r>
            <w:r w:rsidRPr="0062295F">
              <w:rPr>
                <w:rFonts w:ascii="Times New Roman" w:hAnsi="Times New Roman" w:cs="Times New Roman"/>
                <w:b/>
                <w:spacing w:val="-6"/>
              </w:rPr>
              <w:t>Bandwidth</w:t>
            </w:r>
          </w:p>
        </w:tc>
      </w:tr>
      <w:tr w:rsidR="0073105A" w:rsidRPr="007D04B2" w14:paraId="786D987D" w14:textId="77777777" w:rsidTr="0073105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15B8F3C5" w14:textId="29C766C0" w:rsidR="0073105A" w:rsidRPr="0062295F" w:rsidRDefault="0073105A" w:rsidP="0073105A">
            <w:pPr>
              <w:pStyle w:val="TableParagraph"/>
              <w:ind w:left="682"/>
              <w:jc w:val="center"/>
              <w:rPr>
                <w:rFonts w:ascii="Times New Roman" w:eastAsia="Times New Roman" w:hAnsi="Times New Roman" w:cs="Times New Roman"/>
              </w:rPr>
            </w:pPr>
            <w:r w:rsidRPr="0062295F">
              <w:rPr>
                <w:rFonts w:ascii="Times New Roman" w:hAnsi="Times New Roman" w:cs="Times New Roman"/>
              </w:rPr>
              <w:t xml:space="preserve">0 Hz </w:t>
            </w:r>
            <w:r w:rsidRPr="0062295F">
              <w:rPr>
                <w:rFonts w:ascii="Times New Roman" w:hAnsi="Times New Roman" w:cs="Times New Roman"/>
                <w:u w:val="single" w:color="000000"/>
              </w:rPr>
              <w:t>&lt;</w:t>
            </w:r>
            <w:r w:rsidRPr="0062295F">
              <w:rPr>
                <w:rFonts w:ascii="Times New Roman" w:hAnsi="Times New Roman" w:cs="Times New Roman"/>
              </w:rPr>
              <w:t xml:space="preserve"> </w:t>
            </w:r>
            <w:proofErr w:type="spellStart"/>
            <w:r w:rsidRPr="0062295F">
              <w:rPr>
                <w:rFonts w:ascii="Times New Roman" w:hAnsi="Times New Roman" w:cs="Times New Roman"/>
              </w:rPr>
              <w:t>f</w:t>
            </w:r>
            <w:r w:rsidRPr="0062295F">
              <w:rPr>
                <w:rFonts w:ascii="Times New Roman" w:hAnsi="Times New Roman" w:cs="Times New Roman"/>
                <w:vertAlign w:val="subscript"/>
              </w:rPr>
              <w:t>offset</w:t>
            </w:r>
            <w:proofErr w:type="spellEnd"/>
            <w:r w:rsidRPr="0062295F">
              <w:rPr>
                <w:rFonts w:ascii="Times New Roman" w:hAnsi="Times New Roman" w:cs="Times New Roman"/>
              </w:rPr>
              <w:t xml:space="preserve"> &lt; 200 kHz</w:t>
            </w:r>
          </w:p>
        </w:tc>
        <w:tc>
          <w:tcPr>
            <w:tcW w:w="2952" w:type="dxa"/>
            <w:tcBorders>
              <w:top w:val="single" w:sz="6" w:space="0" w:color="000000"/>
              <w:left w:val="single" w:sz="6" w:space="0" w:color="000000"/>
              <w:bottom w:val="single" w:sz="6" w:space="0" w:color="000000"/>
              <w:right w:val="single" w:sz="6" w:space="0" w:color="000000"/>
            </w:tcBorders>
          </w:tcPr>
          <w:p w14:paraId="736C9B77" w14:textId="61BD91B7" w:rsidR="0073105A" w:rsidRPr="0062295F" w:rsidRDefault="0073105A" w:rsidP="0073105A">
            <w:pPr>
              <w:pStyle w:val="TableParagraph"/>
              <w:jc w:val="center"/>
              <w:rPr>
                <w:rFonts w:ascii="Times New Roman" w:eastAsia="Times New Roman" w:hAnsi="Times New Roman" w:cs="Times New Roman"/>
              </w:rPr>
            </w:pPr>
            <w:r w:rsidRPr="0062295F">
              <w:rPr>
                <w:rFonts w:ascii="Times New Roman" w:hAnsi="Times New Roman" w:cs="Times New Roman"/>
              </w:rPr>
              <w:t>2</w:t>
            </w:r>
          </w:p>
        </w:tc>
        <w:tc>
          <w:tcPr>
            <w:tcW w:w="1457" w:type="dxa"/>
            <w:tcBorders>
              <w:top w:val="single" w:sz="6" w:space="0" w:color="000000"/>
              <w:left w:val="single" w:sz="6" w:space="0" w:color="000000"/>
              <w:bottom w:val="single" w:sz="6" w:space="0" w:color="000000"/>
              <w:right w:val="single" w:sz="6" w:space="0" w:color="000000"/>
            </w:tcBorders>
          </w:tcPr>
          <w:p w14:paraId="28950856" w14:textId="4B100C1F" w:rsidR="0073105A" w:rsidRPr="0062295F" w:rsidRDefault="0073105A" w:rsidP="0073105A">
            <w:pPr>
              <w:pStyle w:val="TableParagraph"/>
              <w:ind w:left="325"/>
              <w:rPr>
                <w:rFonts w:ascii="Times New Roman" w:eastAsia="Times New Roman" w:hAnsi="Times New Roman" w:cs="Times New Roman"/>
              </w:rPr>
            </w:pPr>
            <w:r w:rsidRPr="0062295F">
              <w:rPr>
                <w:rFonts w:ascii="Times New Roman" w:hAnsi="Times New Roman" w:cs="Times New Roman"/>
              </w:rPr>
              <w:t>30 kHz</w:t>
            </w:r>
          </w:p>
        </w:tc>
      </w:tr>
      <w:tr w:rsidR="0073105A" w:rsidRPr="007D04B2" w14:paraId="57F4706F" w14:textId="77777777" w:rsidTr="0073105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013346E1" w14:textId="7DAF7288" w:rsidR="0073105A" w:rsidRPr="0062295F" w:rsidRDefault="0073105A" w:rsidP="0073105A">
            <w:pPr>
              <w:pStyle w:val="TableParagraph"/>
              <w:ind w:left="682"/>
              <w:jc w:val="center"/>
              <w:rPr>
                <w:rFonts w:ascii="Times New Roman" w:hAnsi="Times New Roman" w:cs="Times New Roman"/>
              </w:rPr>
            </w:pPr>
            <w:r w:rsidRPr="0062295F">
              <w:rPr>
                <w:rFonts w:ascii="Times New Roman" w:hAnsi="Times New Roman" w:cs="Times New Roman"/>
              </w:rPr>
              <w:t xml:space="preserve">200 kHz </w:t>
            </w:r>
            <w:r w:rsidRPr="0062295F">
              <w:rPr>
                <w:rFonts w:ascii="Times New Roman" w:hAnsi="Times New Roman" w:cs="Times New Roman"/>
                <w:u w:val="single" w:color="000000"/>
              </w:rPr>
              <w:t>&lt;</w:t>
            </w:r>
            <w:r w:rsidRPr="0062295F">
              <w:rPr>
                <w:rFonts w:ascii="Times New Roman" w:hAnsi="Times New Roman" w:cs="Times New Roman"/>
              </w:rPr>
              <w:t xml:space="preserve"> </w:t>
            </w:r>
            <w:proofErr w:type="spellStart"/>
            <w:r w:rsidRPr="0062295F">
              <w:rPr>
                <w:rFonts w:ascii="Times New Roman" w:hAnsi="Times New Roman" w:cs="Times New Roman"/>
              </w:rPr>
              <w:t>f</w:t>
            </w:r>
            <w:r w:rsidRPr="0062295F">
              <w:rPr>
                <w:rFonts w:ascii="Times New Roman" w:hAnsi="Times New Roman" w:cs="Times New Roman"/>
                <w:vertAlign w:val="subscript"/>
              </w:rPr>
              <w:t>offset</w:t>
            </w:r>
            <w:proofErr w:type="spellEnd"/>
            <w:r w:rsidRPr="0062295F">
              <w:rPr>
                <w:rFonts w:ascii="Times New Roman" w:hAnsi="Times New Roman" w:cs="Times New Roman"/>
              </w:rPr>
              <w:t xml:space="preserve"> &lt; 900 kHz</w:t>
            </w:r>
          </w:p>
        </w:tc>
        <w:tc>
          <w:tcPr>
            <w:tcW w:w="2952" w:type="dxa"/>
            <w:tcBorders>
              <w:top w:val="single" w:sz="6" w:space="0" w:color="000000"/>
              <w:left w:val="single" w:sz="6" w:space="0" w:color="000000"/>
              <w:bottom w:val="single" w:sz="6" w:space="0" w:color="000000"/>
              <w:right w:val="single" w:sz="6" w:space="0" w:color="000000"/>
            </w:tcBorders>
          </w:tcPr>
          <w:p w14:paraId="2732D89E" w14:textId="56CDD97E" w:rsidR="0073105A" w:rsidRPr="0062295F" w:rsidRDefault="0073105A" w:rsidP="0073105A">
            <w:pPr>
              <w:pStyle w:val="TableParagraph"/>
              <w:jc w:val="center"/>
              <w:rPr>
                <w:rFonts w:ascii="Times New Roman" w:hAnsi="Times New Roman" w:cs="Times New Roman"/>
              </w:rPr>
            </w:pPr>
            <w:r w:rsidRPr="0062295F">
              <w:rPr>
                <w:rFonts w:ascii="Times New Roman" w:hAnsi="Times New Roman" w:cs="Times New Roman"/>
              </w:rPr>
              <w:t xml:space="preserve">2 - 15 x (f </w:t>
            </w:r>
            <w:r w:rsidRPr="0062295F">
              <w:rPr>
                <w:rFonts w:ascii="Times New Roman" w:hAnsi="Times New Roman" w:cs="Times New Roman"/>
                <w:vertAlign w:val="subscript"/>
              </w:rPr>
              <w:t>offset</w:t>
            </w:r>
            <w:r w:rsidRPr="0062295F">
              <w:rPr>
                <w:rFonts w:ascii="Times New Roman" w:hAnsi="Times New Roman" w:cs="Times New Roman"/>
              </w:rPr>
              <w:t xml:space="preserve"> (MHz) - 0.2)</w:t>
            </w:r>
          </w:p>
        </w:tc>
        <w:tc>
          <w:tcPr>
            <w:tcW w:w="1457" w:type="dxa"/>
            <w:tcBorders>
              <w:top w:val="single" w:sz="6" w:space="0" w:color="000000"/>
              <w:left w:val="single" w:sz="6" w:space="0" w:color="000000"/>
              <w:bottom w:val="single" w:sz="6" w:space="0" w:color="000000"/>
              <w:right w:val="single" w:sz="6" w:space="0" w:color="000000"/>
            </w:tcBorders>
          </w:tcPr>
          <w:p w14:paraId="64ACE5B0" w14:textId="02D1CCCA" w:rsidR="0073105A" w:rsidRPr="0062295F" w:rsidRDefault="0073105A" w:rsidP="0073105A">
            <w:pPr>
              <w:pStyle w:val="TableParagraph"/>
              <w:ind w:left="325"/>
              <w:rPr>
                <w:rFonts w:ascii="Times New Roman" w:hAnsi="Times New Roman" w:cs="Times New Roman"/>
              </w:rPr>
            </w:pPr>
            <w:r w:rsidRPr="0062295F">
              <w:rPr>
                <w:rFonts w:ascii="Times New Roman" w:hAnsi="Times New Roman" w:cs="Times New Roman"/>
              </w:rPr>
              <w:t>30 kHz</w:t>
            </w:r>
          </w:p>
        </w:tc>
      </w:tr>
      <w:tr w:rsidR="0073105A" w:rsidRPr="007D04B2" w14:paraId="376305A2" w14:textId="77777777" w:rsidTr="0073105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1F7FFE08" w14:textId="62A64DC2" w:rsidR="0073105A" w:rsidRPr="0062295F" w:rsidRDefault="0073105A" w:rsidP="0073105A">
            <w:pPr>
              <w:pStyle w:val="TableParagraph"/>
              <w:jc w:val="center"/>
              <w:rPr>
                <w:rFonts w:ascii="Times New Roman" w:eastAsia="Times New Roman" w:hAnsi="Times New Roman" w:cs="Times New Roman"/>
              </w:rPr>
            </w:pPr>
            <w:r w:rsidRPr="0062295F">
              <w:rPr>
                <w:rFonts w:ascii="Times New Roman" w:hAnsi="Times New Roman" w:cs="Times New Roman"/>
              </w:rPr>
              <w:t xml:space="preserve">900 kHz </w:t>
            </w:r>
            <w:r w:rsidRPr="0062295F">
              <w:rPr>
                <w:rFonts w:ascii="Times New Roman" w:hAnsi="Times New Roman" w:cs="Times New Roman"/>
                <w:u w:val="single" w:color="000000"/>
              </w:rPr>
              <w:t>&lt;</w:t>
            </w:r>
            <w:r w:rsidRPr="0062295F">
              <w:rPr>
                <w:rFonts w:ascii="Times New Roman" w:hAnsi="Times New Roman" w:cs="Times New Roman"/>
              </w:rPr>
              <w:t xml:space="preserve"> </w:t>
            </w:r>
            <w:proofErr w:type="spellStart"/>
            <w:r w:rsidRPr="0062295F">
              <w:rPr>
                <w:rFonts w:ascii="Times New Roman" w:hAnsi="Times New Roman" w:cs="Times New Roman"/>
              </w:rPr>
              <w:t>f</w:t>
            </w:r>
            <w:r w:rsidRPr="0062295F">
              <w:rPr>
                <w:rFonts w:ascii="Times New Roman" w:hAnsi="Times New Roman" w:cs="Times New Roman"/>
                <w:vertAlign w:val="subscript"/>
              </w:rPr>
              <w:t>offset</w:t>
            </w:r>
            <w:proofErr w:type="spellEnd"/>
            <w:r w:rsidRPr="0062295F">
              <w:rPr>
                <w:rFonts w:ascii="Times New Roman" w:hAnsi="Times New Roman" w:cs="Times New Roman"/>
              </w:rPr>
              <w:t xml:space="preserve"> &lt; 5.6 MHz</w:t>
            </w:r>
          </w:p>
        </w:tc>
        <w:tc>
          <w:tcPr>
            <w:tcW w:w="2952" w:type="dxa"/>
            <w:tcBorders>
              <w:top w:val="single" w:sz="6" w:space="0" w:color="000000"/>
              <w:left w:val="single" w:sz="6" w:space="0" w:color="000000"/>
              <w:bottom w:val="single" w:sz="6" w:space="0" w:color="000000"/>
              <w:right w:val="single" w:sz="6" w:space="0" w:color="000000"/>
            </w:tcBorders>
          </w:tcPr>
          <w:p w14:paraId="0C412DE2" w14:textId="2101ED8F" w:rsidR="0073105A" w:rsidRPr="0062295F" w:rsidRDefault="0073105A" w:rsidP="0073105A">
            <w:pPr>
              <w:pStyle w:val="TableParagraph"/>
              <w:ind w:right="10"/>
              <w:jc w:val="center"/>
              <w:rPr>
                <w:rFonts w:ascii="Times New Roman" w:eastAsia="Times New Roman" w:hAnsi="Times New Roman" w:cs="Times New Roman"/>
              </w:rPr>
            </w:pPr>
            <w:r w:rsidRPr="0062295F">
              <w:rPr>
                <w:rFonts w:ascii="Times New Roman" w:hAnsi="Times New Roman" w:cs="Times New Roman"/>
              </w:rPr>
              <w:t>-8.5</w:t>
            </w:r>
          </w:p>
        </w:tc>
        <w:tc>
          <w:tcPr>
            <w:tcW w:w="1457" w:type="dxa"/>
            <w:tcBorders>
              <w:top w:val="single" w:sz="6" w:space="0" w:color="000000"/>
              <w:left w:val="single" w:sz="6" w:space="0" w:color="000000"/>
              <w:bottom w:val="single" w:sz="6" w:space="0" w:color="000000"/>
              <w:right w:val="single" w:sz="6" w:space="0" w:color="000000"/>
            </w:tcBorders>
          </w:tcPr>
          <w:p w14:paraId="3B89FAB0" w14:textId="2EEB747D" w:rsidR="0073105A" w:rsidRPr="0062295F" w:rsidRDefault="0073105A" w:rsidP="0073105A">
            <w:pPr>
              <w:pStyle w:val="TableParagraph"/>
              <w:ind w:left="325"/>
              <w:rPr>
                <w:rFonts w:ascii="Times New Roman" w:eastAsia="Times New Roman" w:hAnsi="Times New Roman" w:cs="Times New Roman"/>
              </w:rPr>
            </w:pPr>
            <w:r w:rsidRPr="0062295F">
              <w:rPr>
                <w:rFonts w:ascii="Times New Roman" w:hAnsi="Times New Roman" w:cs="Times New Roman"/>
              </w:rPr>
              <w:t>30 kHz</w:t>
            </w:r>
          </w:p>
        </w:tc>
      </w:tr>
      <w:tr w:rsidR="0073105A" w:rsidRPr="007D04B2" w14:paraId="16CBE0C7" w14:textId="77777777" w:rsidTr="0073105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6CDBED91" w14:textId="0153CE26" w:rsidR="0073105A" w:rsidRPr="0062295F" w:rsidRDefault="0073105A" w:rsidP="0073105A">
            <w:pPr>
              <w:pStyle w:val="TableParagraph"/>
              <w:ind w:left="1000"/>
              <w:jc w:val="center"/>
              <w:rPr>
                <w:rFonts w:ascii="Times New Roman" w:eastAsia="Times New Roman" w:hAnsi="Times New Roman" w:cs="Times New Roman"/>
              </w:rPr>
            </w:pPr>
            <w:proofErr w:type="spellStart"/>
            <w:r w:rsidRPr="0062295F">
              <w:rPr>
                <w:rFonts w:ascii="Times New Roman" w:hAnsi="Times New Roman" w:cs="Times New Roman"/>
              </w:rPr>
              <w:t>f</w:t>
            </w:r>
            <w:r w:rsidRPr="0062295F">
              <w:rPr>
                <w:rFonts w:ascii="Times New Roman" w:hAnsi="Times New Roman" w:cs="Times New Roman"/>
                <w:vertAlign w:val="subscript"/>
              </w:rPr>
              <w:t>offset</w:t>
            </w:r>
            <w:proofErr w:type="spellEnd"/>
            <w:r w:rsidRPr="0062295F">
              <w:rPr>
                <w:rFonts w:ascii="Times New Roman" w:hAnsi="Times New Roman" w:cs="Times New Roman"/>
              </w:rPr>
              <w:t xml:space="preserve"> </w:t>
            </w:r>
            <w:r w:rsidRPr="0062295F">
              <w:rPr>
                <w:rFonts w:ascii="Times New Roman" w:hAnsi="Times New Roman" w:cs="Times New Roman"/>
                <w:u w:val="single" w:color="000000"/>
              </w:rPr>
              <w:t>&gt;</w:t>
            </w:r>
            <w:r w:rsidRPr="0062295F">
              <w:rPr>
                <w:rFonts w:ascii="Times New Roman" w:hAnsi="Times New Roman" w:cs="Times New Roman"/>
              </w:rPr>
              <w:t xml:space="preserve"> 5.6 MHz</w:t>
            </w:r>
          </w:p>
        </w:tc>
        <w:tc>
          <w:tcPr>
            <w:tcW w:w="2952" w:type="dxa"/>
            <w:tcBorders>
              <w:top w:val="single" w:sz="6" w:space="0" w:color="000000"/>
              <w:left w:val="single" w:sz="6" w:space="0" w:color="000000"/>
              <w:bottom w:val="single" w:sz="6" w:space="0" w:color="000000"/>
              <w:right w:val="single" w:sz="6" w:space="0" w:color="000000"/>
            </w:tcBorders>
          </w:tcPr>
          <w:p w14:paraId="4C35CC16" w14:textId="07184998" w:rsidR="0073105A" w:rsidRPr="0062295F" w:rsidRDefault="0073105A" w:rsidP="0073105A">
            <w:pPr>
              <w:pStyle w:val="TableParagraph"/>
              <w:ind w:right="10"/>
              <w:jc w:val="center"/>
              <w:rPr>
                <w:rFonts w:ascii="Times New Roman" w:eastAsia="Times New Roman" w:hAnsi="Times New Roman" w:cs="Times New Roman"/>
              </w:rPr>
            </w:pPr>
            <w:r w:rsidRPr="0062295F">
              <w:rPr>
                <w:rFonts w:ascii="Times New Roman" w:hAnsi="Times New Roman" w:cs="Times New Roman"/>
              </w:rPr>
              <w:t>-18.5</w:t>
            </w:r>
          </w:p>
        </w:tc>
        <w:tc>
          <w:tcPr>
            <w:tcW w:w="1457" w:type="dxa"/>
            <w:tcBorders>
              <w:top w:val="single" w:sz="6" w:space="0" w:color="000000"/>
              <w:left w:val="single" w:sz="6" w:space="0" w:color="000000"/>
              <w:bottom w:val="single" w:sz="6" w:space="0" w:color="000000"/>
              <w:right w:val="single" w:sz="6" w:space="0" w:color="000000"/>
            </w:tcBorders>
          </w:tcPr>
          <w:p w14:paraId="46E33DEF" w14:textId="1BF7B6D9" w:rsidR="0073105A" w:rsidRPr="0062295F" w:rsidRDefault="0073105A" w:rsidP="0073105A">
            <w:pPr>
              <w:pStyle w:val="TableParagraph"/>
              <w:ind w:left="420"/>
              <w:rPr>
                <w:rFonts w:ascii="Times New Roman" w:eastAsia="Times New Roman" w:hAnsi="Times New Roman" w:cs="Times New Roman"/>
              </w:rPr>
            </w:pPr>
            <w:r w:rsidRPr="0062295F">
              <w:rPr>
                <w:rFonts w:ascii="Times New Roman" w:hAnsi="Times New Roman" w:cs="Times New Roman"/>
              </w:rPr>
              <w:t>30 kHz</w:t>
            </w:r>
          </w:p>
        </w:tc>
      </w:tr>
      <w:bookmarkEnd w:id="93"/>
    </w:tbl>
    <w:p w14:paraId="267AFBCD" w14:textId="77777777" w:rsidR="00A83A6A" w:rsidRPr="007D04B2" w:rsidRDefault="00A83A6A" w:rsidP="00A83A6A">
      <w:pPr>
        <w:spacing w:after="0"/>
        <w:rPr>
          <w:rFonts w:ascii="Times New Roman" w:hAnsi="Times New Roman"/>
          <w:b/>
          <w:bCs/>
          <w:sz w:val="19"/>
          <w:szCs w:val="19"/>
        </w:rPr>
      </w:pPr>
    </w:p>
    <w:p w14:paraId="571AA237" w14:textId="19EED36A" w:rsidR="00A83A6A" w:rsidRPr="007D04B2" w:rsidRDefault="00A83A6A" w:rsidP="00A83A6A">
      <w:pPr>
        <w:pStyle w:val="BodyText"/>
        <w:numPr>
          <w:ilvl w:val="0"/>
          <w:numId w:val="40"/>
        </w:numPr>
        <w:tabs>
          <w:tab w:val="left" w:pos="531"/>
        </w:tabs>
        <w:jc w:val="left"/>
      </w:pPr>
      <w:r w:rsidRPr="007D04B2">
        <w:t>The</w:t>
      </w:r>
      <w:r w:rsidRPr="007D04B2">
        <w:rPr>
          <w:spacing w:val="4"/>
        </w:rPr>
        <w:t xml:space="preserve"> </w:t>
      </w:r>
      <w:r w:rsidR="00B16E7C" w:rsidRPr="007D04B2">
        <w:t>non</w:t>
      </w:r>
      <w:r w:rsidR="00B16E7C" w:rsidRPr="007D04B2">
        <w:rPr>
          <w:spacing w:val="5"/>
        </w:rPr>
        <w:t>-</w:t>
      </w:r>
      <w:r w:rsidR="00B16E7C" w:rsidRPr="007D04B2">
        <w:rPr>
          <w:spacing w:val="-1"/>
        </w:rPr>
        <w:t>spurious</w:t>
      </w:r>
      <w:r w:rsidRPr="007D04B2">
        <w:rPr>
          <w:spacing w:val="6"/>
        </w:rPr>
        <w:t xml:space="preserve"> </w:t>
      </w:r>
      <w:r w:rsidR="00B16E7C" w:rsidRPr="00B16E7C">
        <w:rPr>
          <w:spacing w:val="6"/>
        </w:rPr>
        <w:t>emission limits in Table 4a and 4b apply</w:t>
      </w:r>
      <w:r w:rsidRPr="007D04B2">
        <w:t>:</w:t>
      </w:r>
    </w:p>
    <w:p w14:paraId="33CE0168" w14:textId="77777777" w:rsidR="00A83A6A" w:rsidRPr="007D04B2" w:rsidRDefault="00A83A6A" w:rsidP="00A83A6A">
      <w:pPr>
        <w:spacing w:after="0"/>
        <w:rPr>
          <w:rFonts w:ascii="Times New Roman" w:hAnsi="Times New Roman"/>
          <w:sz w:val="28"/>
          <w:szCs w:val="28"/>
        </w:rPr>
      </w:pPr>
    </w:p>
    <w:p w14:paraId="2CF37E04" w14:textId="7A3142E6" w:rsidR="00A83A6A" w:rsidRPr="007D04B2" w:rsidRDefault="00F861C4" w:rsidP="00A83A6A">
      <w:pPr>
        <w:pStyle w:val="BodyText"/>
        <w:numPr>
          <w:ilvl w:val="1"/>
          <w:numId w:val="40"/>
        </w:numPr>
        <w:tabs>
          <w:tab w:val="left" w:pos="892"/>
        </w:tabs>
        <w:rPr>
          <w:rFonts w:cs="Times New Roman"/>
        </w:rPr>
      </w:pPr>
      <w:r>
        <w:rPr>
          <w:rFonts w:ascii="TimesNewRoman" w:hAnsi="TimesNewRoman" w:cs="TimesNewRoman"/>
        </w:rPr>
        <w:t xml:space="preserve">at frequencies </w:t>
      </w:r>
      <w:r w:rsidR="001906BD" w:rsidRPr="001906BD">
        <w:rPr>
          <w:rFonts w:ascii="TimesNewRoman" w:hAnsi="TimesNewRoman" w:cs="TimesNewRoman"/>
        </w:rPr>
        <w:t>outside the 1710-1785 MHz frequency band</w:t>
      </w:r>
      <w:r>
        <w:rPr>
          <w:rFonts w:ascii="TimesNewRoman" w:hAnsi="TimesNewRoman" w:cs="TimesNewRoman"/>
        </w:rPr>
        <w:t>; and</w:t>
      </w:r>
      <w:r w:rsidRPr="007D04B2">
        <w:t xml:space="preserve"> </w:t>
      </w:r>
    </w:p>
    <w:p w14:paraId="10E9AF20" w14:textId="4EE07700" w:rsidR="009E5FA0" w:rsidRPr="009E5FA0" w:rsidRDefault="009E5FA0" w:rsidP="009E5FA0">
      <w:pPr>
        <w:pStyle w:val="ListParagraph"/>
        <w:numPr>
          <w:ilvl w:val="1"/>
          <w:numId w:val="40"/>
        </w:numPr>
        <w:autoSpaceDE w:val="0"/>
        <w:autoSpaceDN w:val="0"/>
        <w:adjustRightInd w:val="0"/>
        <w:spacing w:line="240" w:lineRule="auto"/>
        <w:rPr>
          <w:rFonts w:ascii="TimesNewRoman" w:hAnsi="TimesNewRoman" w:cs="TimesNewRoman"/>
          <w:sz w:val="21"/>
          <w:szCs w:val="21"/>
        </w:rPr>
      </w:pPr>
      <w:r w:rsidRPr="009E5FA0">
        <w:rPr>
          <w:rFonts w:ascii="TimesNewRoman" w:hAnsi="TimesNewRoman" w:cs="TimesNewRoman"/>
          <w:sz w:val="21"/>
          <w:szCs w:val="21"/>
        </w:rPr>
        <w:t xml:space="preserve"> offset from </w:t>
      </w:r>
      <w:r w:rsidR="00B64349">
        <w:rPr>
          <w:rFonts w:ascii="TimesNewRoman" w:hAnsi="TimesNewRoman" w:cs="TimesNewRoman"/>
          <w:sz w:val="21"/>
          <w:szCs w:val="21"/>
        </w:rPr>
        <w:t>171</w:t>
      </w:r>
      <w:r w:rsidR="00B64349" w:rsidRPr="009E5FA0">
        <w:rPr>
          <w:rFonts w:ascii="TimesNewRoman" w:hAnsi="TimesNewRoman" w:cs="TimesNewRoman"/>
          <w:sz w:val="21"/>
          <w:szCs w:val="21"/>
        </w:rPr>
        <w:t xml:space="preserve">0 </w:t>
      </w:r>
      <w:proofErr w:type="gramStart"/>
      <w:r w:rsidRPr="009E5FA0">
        <w:rPr>
          <w:rFonts w:ascii="TimesNewRoman" w:hAnsi="TimesNewRoman" w:cs="TimesNewRoman"/>
          <w:sz w:val="21"/>
          <w:szCs w:val="21"/>
        </w:rPr>
        <w:t>MHz;</w:t>
      </w:r>
      <w:proofErr w:type="gramEnd"/>
    </w:p>
    <w:p w14:paraId="14362EE2" w14:textId="77777777" w:rsidR="00A83A6A" w:rsidRPr="007D04B2" w:rsidRDefault="00A83A6A" w:rsidP="00A83A6A">
      <w:pPr>
        <w:spacing w:after="0"/>
        <w:rPr>
          <w:rFonts w:ascii="Times New Roman" w:hAnsi="Times New Roman"/>
          <w:sz w:val="28"/>
          <w:szCs w:val="28"/>
        </w:rPr>
      </w:pPr>
    </w:p>
    <w:p w14:paraId="7DB14164" w14:textId="77777777" w:rsidR="00A83A6A" w:rsidRPr="007D04B2" w:rsidRDefault="00A83A6A" w:rsidP="00A83A6A">
      <w:pPr>
        <w:pStyle w:val="BodyText"/>
        <w:ind w:left="530" w:right="1169" w:firstLine="0"/>
      </w:pPr>
      <w:r w:rsidRPr="007D04B2">
        <w:rPr>
          <w:spacing w:val="-1"/>
        </w:rPr>
        <w:t>where:</w:t>
      </w:r>
    </w:p>
    <w:p w14:paraId="0364FBD3" w14:textId="565CEC18" w:rsidR="009E5FA0" w:rsidRPr="0062295F" w:rsidRDefault="009E5FA0" w:rsidP="0062295F">
      <w:pPr>
        <w:autoSpaceDE w:val="0"/>
        <w:autoSpaceDN w:val="0"/>
        <w:adjustRightInd w:val="0"/>
        <w:spacing w:after="0" w:line="240" w:lineRule="auto"/>
        <w:ind w:left="530" w:firstLine="48"/>
        <w:rPr>
          <w:rFonts w:ascii="Times New Roman" w:hAnsi="Times New Roman"/>
          <w:b/>
          <w:bCs/>
          <w:sz w:val="18"/>
          <w:szCs w:val="18"/>
        </w:rPr>
      </w:pPr>
      <w:proofErr w:type="spellStart"/>
      <w:r w:rsidRPr="0062295F">
        <w:rPr>
          <w:rFonts w:ascii="Times New Roman" w:hAnsi="Times New Roman"/>
          <w:b/>
          <w:bCs/>
          <w:sz w:val="18"/>
          <w:szCs w:val="18"/>
        </w:rPr>
        <w:t>foffset</w:t>
      </w:r>
      <w:proofErr w:type="spellEnd"/>
      <w:r w:rsidRPr="0062295F">
        <w:rPr>
          <w:rFonts w:ascii="Times New Roman" w:hAnsi="Times New Roman"/>
          <w:b/>
          <w:bCs/>
          <w:sz w:val="18"/>
          <w:szCs w:val="18"/>
        </w:rPr>
        <w:t xml:space="preserve"> </w:t>
      </w:r>
      <w:r w:rsidRPr="0062295F">
        <w:rPr>
          <w:rFonts w:ascii="Times New Roman" w:hAnsi="Times New Roman"/>
          <w:sz w:val="18"/>
          <w:szCs w:val="18"/>
        </w:rPr>
        <w:t xml:space="preserve">is </w:t>
      </w:r>
      <w:r w:rsidR="00417B82" w:rsidRPr="0062295F">
        <w:rPr>
          <w:rFonts w:ascii="Times New Roman" w:hAnsi="Times New Roman"/>
          <w:sz w:val="18"/>
          <w:szCs w:val="18"/>
        </w:rPr>
        <w:t xml:space="preserve">the frequency offset from the 1710 MHz band edge. The -3dB point of the specified bandwidth closest to the band edge being frequency offset from, is placed at </w:t>
      </w:r>
      <w:proofErr w:type="spellStart"/>
      <w:r w:rsidRPr="0062295F">
        <w:rPr>
          <w:rFonts w:ascii="Times New Roman" w:hAnsi="Times New Roman"/>
          <w:b/>
          <w:bCs/>
          <w:sz w:val="18"/>
          <w:szCs w:val="18"/>
        </w:rPr>
        <w:t>foffset</w:t>
      </w:r>
      <w:proofErr w:type="spellEnd"/>
      <w:r w:rsidRPr="0062295F">
        <w:rPr>
          <w:rFonts w:ascii="Times New Roman" w:hAnsi="Times New Roman"/>
          <w:b/>
          <w:bCs/>
          <w:sz w:val="18"/>
          <w:szCs w:val="18"/>
        </w:rPr>
        <w:t>.</w:t>
      </w:r>
    </w:p>
    <w:p w14:paraId="2998E423" w14:textId="77777777" w:rsidR="00A83A6A" w:rsidRPr="007D04B2" w:rsidRDefault="00A83A6A" w:rsidP="00A83A6A">
      <w:pPr>
        <w:spacing w:after="0"/>
        <w:rPr>
          <w:rFonts w:ascii="Times New Roman" w:hAnsi="Times New Roman"/>
          <w:b/>
          <w:bCs/>
          <w:szCs w:val="20"/>
        </w:rPr>
      </w:pPr>
    </w:p>
    <w:p w14:paraId="12558158" w14:textId="29068866" w:rsidR="00A83A6A" w:rsidRPr="007D04B2" w:rsidRDefault="009E3601" w:rsidP="0062295F">
      <w:pPr>
        <w:pStyle w:val="BodyText"/>
        <w:rPr>
          <w:b/>
          <w:bCs/>
          <w:sz w:val="8"/>
          <w:szCs w:val="8"/>
        </w:rPr>
      </w:pPr>
      <w:bookmarkStart w:id="94" w:name="_Toc507878625"/>
      <w:bookmarkStart w:id="95" w:name="_Toc55989600"/>
      <w:bookmarkStart w:id="96" w:name="_Toc56006349"/>
      <w:bookmarkStart w:id="97" w:name="_Toc56507469"/>
      <w:bookmarkStart w:id="98" w:name="_Toc57808782"/>
      <w:bookmarkStart w:id="99" w:name="_Toc57809606"/>
      <w:proofErr w:type="spellStart"/>
      <w:r w:rsidRPr="0062295F">
        <w:rPr>
          <w:b/>
          <w:bCs/>
          <w:sz w:val="18"/>
          <w:szCs w:val="18"/>
        </w:rPr>
        <w:t>Licence</w:t>
      </w:r>
      <w:proofErr w:type="spellEnd"/>
      <w:r w:rsidRPr="0062295F">
        <w:rPr>
          <w:b/>
          <w:bCs/>
          <w:sz w:val="18"/>
          <w:szCs w:val="18"/>
        </w:rPr>
        <w:t xml:space="preserve"> </w:t>
      </w:r>
      <w:r w:rsidR="00A83A6A" w:rsidRPr="0062295F">
        <w:rPr>
          <w:b/>
          <w:bCs/>
          <w:sz w:val="18"/>
          <w:szCs w:val="18"/>
        </w:rPr>
        <w:t>Table 4</w:t>
      </w:r>
      <w:r w:rsidR="00FF3873" w:rsidRPr="0062295F">
        <w:rPr>
          <w:b/>
          <w:bCs/>
          <w:sz w:val="18"/>
          <w:szCs w:val="18"/>
        </w:rPr>
        <w:t>a</w:t>
      </w:r>
      <w:r w:rsidR="00A83A6A" w:rsidRPr="0062295F">
        <w:rPr>
          <w:b/>
          <w:bCs/>
          <w:sz w:val="18"/>
          <w:szCs w:val="18"/>
        </w:rPr>
        <w:t>: Radiated maximum true mean power non-spurious emission limits</w:t>
      </w:r>
      <w:bookmarkEnd w:id="94"/>
      <w:bookmarkEnd w:id="95"/>
      <w:bookmarkEnd w:id="96"/>
      <w:bookmarkEnd w:id="97"/>
      <w:bookmarkEnd w:id="98"/>
      <w:bookmarkEnd w:id="99"/>
    </w:p>
    <w:tbl>
      <w:tblPr>
        <w:tblW w:w="7800" w:type="dxa"/>
        <w:tblInd w:w="170" w:type="dxa"/>
        <w:tblLayout w:type="fixed"/>
        <w:tblCellMar>
          <w:left w:w="0" w:type="dxa"/>
          <w:right w:w="0" w:type="dxa"/>
        </w:tblCellMar>
        <w:tblLook w:val="01E0" w:firstRow="1" w:lastRow="1" w:firstColumn="1" w:lastColumn="1" w:noHBand="0" w:noVBand="0"/>
      </w:tblPr>
      <w:tblGrid>
        <w:gridCol w:w="2657"/>
        <w:gridCol w:w="3686"/>
        <w:gridCol w:w="1457"/>
      </w:tblGrid>
      <w:tr w:rsidR="00A83A6A" w:rsidRPr="007D04B2" w14:paraId="43DA3A37" w14:textId="77777777" w:rsidTr="0062295F">
        <w:trPr>
          <w:trHeight w:hRule="exact" w:val="663"/>
        </w:trPr>
        <w:tc>
          <w:tcPr>
            <w:tcW w:w="2657" w:type="dxa"/>
            <w:tcBorders>
              <w:top w:val="single" w:sz="6" w:space="0" w:color="000000"/>
              <w:left w:val="single" w:sz="6" w:space="0" w:color="000000"/>
              <w:bottom w:val="single" w:sz="6" w:space="0" w:color="000000"/>
              <w:right w:val="single" w:sz="6" w:space="0" w:color="000000"/>
            </w:tcBorders>
          </w:tcPr>
          <w:p w14:paraId="754FC4A3" w14:textId="77777777" w:rsidR="00A83A6A" w:rsidRPr="0062295F" w:rsidRDefault="00A83A6A" w:rsidP="00A83A6A">
            <w:pPr>
              <w:pStyle w:val="TableParagraph"/>
              <w:ind w:right="47"/>
              <w:jc w:val="center"/>
              <w:rPr>
                <w:rFonts w:ascii="Times New Roman" w:eastAsia="Times New Roman" w:hAnsi="Times New Roman" w:cs="Times New Roman"/>
              </w:rPr>
            </w:pPr>
            <w:bookmarkStart w:id="100" w:name="_Hlk50549548"/>
            <w:r w:rsidRPr="0062295F">
              <w:rPr>
                <w:rFonts w:ascii="Times New Roman" w:hAnsi="Times New Roman" w:cs="Times New Roman"/>
                <w:b/>
                <w:spacing w:val="-5"/>
              </w:rPr>
              <w:t>Frequency</w:t>
            </w:r>
            <w:r w:rsidRPr="0062295F">
              <w:rPr>
                <w:rFonts w:ascii="Times New Roman" w:hAnsi="Times New Roman" w:cs="Times New Roman"/>
                <w:b/>
                <w:spacing w:val="25"/>
              </w:rPr>
              <w:t xml:space="preserve"> </w:t>
            </w:r>
            <w:r w:rsidRPr="0062295F">
              <w:rPr>
                <w:rFonts w:ascii="Times New Roman" w:hAnsi="Times New Roman" w:cs="Times New Roman"/>
                <w:b/>
              </w:rPr>
              <w:t>offset</w:t>
            </w:r>
            <w:r w:rsidRPr="0062295F">
              <w:rPr>
                <w:rFonts w:ascii="Times New Roman" w:hAnsi="Times New Roman" w:cs="Times New Roman"/>
                <w:b/>
                <w:spacing w:val="25"/>
              </w:rPr>
              <w:t xml:space="preserve"> </w:t>
            </w:r>
            <w:r w:rsidRPr="0062295F">
              <w:rPr>
                <w:rFonts w:ascii="Times New Roman" w:hAnsi="Times New Roman" w:cs="Times New Roman"/>
                <w:b/>
                <w:spacing w:val="-5"/>
              </w:rPr>
              <w:t>range</w:t>
            </w:r>
          </w:p>
          <w:p w14:paraId="10379FD9" w14:textId="77777777" w:rsidR="00A83A6A" w:rsidRPr="0062295F" w:rsidRDefault="00A83A6A" w:rsidP="00A83A6A">
            <w:pPr>
              <w:pStyle w:val="TableParagraph"/>
              <w:ind w:right="1"/>
              <w:jc w:val="center"/>
              <w:rPr>
                <w:rFonts w:ascii="Times New Roman" w:eastAsia="Times New Roman" w:hAnsi="Times New Roman" w:cs="Times New Roman"/>
              </w:rPr>
            </w:pPr>
            <w:r w:rsidRPr="0062295F">
              <w:rPr>
                <w:rFonts w:ascii="Times New Roman" w:hAnsi="Times New Roman" w:cs="Times New Roman"/>
                <w:b/>
                <w:position w:val="5"/>
              </w:rPr>
              <w:t>(f</w:t>
            </w:r>
            <w:r w:rsidRPr="0062295F">
              <w:rPr>
                <w:rFonts w:ascii="Times New Roman" w:hAnsi="Times New Roman" w:cs="Times New Roman"/>
                <w:b/>
              </w:rPr>
              <w:t>offset</w:t>
            </w:r>
            <w:r w:rsidRPr="0062295F">
              <w:rPr>
                <w:rFonts w:ascii="Times New Roman" w:hAnsi="Times New Roman" w:cs="Times New Roman"/>
                <w:b/>
                <w:position w:val="5"/>
              </w:rPr>
              <w:t>)</w:t>
            </w:r>
          </w:p>
        </w:tc>
        <w:tc>
          <w:tcPr>
            <w:tcW w:w="3686" w:type="dxa"/>
            <w:tcBorders>
              <w:top w:val="single" w:sz="6" w:space="0" w:color="000000"/>
              <w:left w:val="single" w:sz="6" w:space="0" w:color="000000"/>
              <w:bottom w:val="single" w:sz="6" w:space="0" w:color="000000"/>
              <w:right w:val="single" w:sz="6" w:space="0" w:color="000000"/>
            </w:tcBorders>
          </w:tcPr>
          <w:p w14:paraId="746D3A95" w14:textId="77777777" w:rsidR="0016065B" w:rsidRPr="0062295F" w:rsidRDefault="0016065B">
            <w:pPr>
              <w:spacing w:after="15" w:line="259" w:lineRule="auto"/>
              <w:ind w:right="36"/>
              <w:jc w:val="center"/>
              <w:rPr>
                <w:rFonts w:ascii="Times New Roman" w:hAnsi="Times New Roman"/>
                <w:sz w:val="22"/>
                <w:szCs w:val="22"/>
              </w:rPr>
            </w:pPr>
            <w:r w:rsidRPr="0062295F">
              <w:rPr>
                <w:rFonts w:ascii="Times New Roman" w:hAnsi="Times New Roman"/>
                <w:b/>
                <w:sz w:val="22"/>
                <w:szCs w:val="22"/>
              </w:rPr>
              <w:t>Radiated maximum true mean power</w:t>
            </w:r>
          </w:p>
          <w:p w14:paraId="40FBFA69" w14:textId="2BC35247" w:rsidR="00A83A6A" w:rsidRPr="0062295F" w:rsidRDefault="0016065B" w:rsidP="0062295F">
            <w:pPr>
              <w:pStyle w:val="TableParagraph"/>
              <w:spacing w:line="279" w:lineRule="auto"/>
              <w:ind w:left="1391" w:right="224" w:hanging="1226"/>
              <w:jc w:val="center"/>
              <w:rPr>
                <w:rFonts w:ascii="Times New Roman" w:eastAsia="Times New Roman" w:hAnsi="Times New Roman" w:cs="Times New Roman"/>
              </w:rPr>
            </w:pPr>
            <w:r w:rsidRPr="0062295F">
              <w:rPr>
                <w:rFonts w:ascii="Times New Roman" w:eastAsia="Times New Roman" w:hAnsi="Times New Roman" w:cs="Times New Roman"/>
                <w:b/>
              </w:rPr>
              <w:t>(dBm EIRP)</w:t>
            </w:r>
            <w:r w:rsidRPr="0062295F" w:rsidDel="0016065B">
              <w:rPr>
                <w:rFonts w:ascii="Times New Roman" w:hAnsi="Times New Roman" w:cs="Times New Roman"/>
                <w:b/>
                <w:spacing w:val="-2"/>
              </w:rPr>
              <w:t xml:space="preserve"> </w:t>
            </w:r>
          </w:p>
        </w:tc>
        <w:tc>
          <w:tcPr>
            <w:tcW w:w="1457" w:type="dxa"/>
            <w:tcBorders>
              <w:top w:val="single" w:sz="6" w:space="0" w:color="000000"/>
              <w:left w:val="single" w:sz="6" w:space="0" w:color="000000"/>
              <w:bottom w:val="single" w:sz="6" w:space="0" w:color="000000"/>
              <w:right w:val="single" w:sz="6" w:space="0" w:color="000000"/>
            </w:tcBorders>
          </w:tcPr>
          <w:p w14:paraId="1DC258ED" w14:textId="77777777" w:rsidR="00A83A6A" w:rsidRPr="0062295F" w:rsidRDefault="00A83A6A" w:rsidP="00A83A6A">
            <w:pPr>
              <w:pStyle w:val="TableParagraph"/>
              <w:spacing w:line="279" w:lineRule="auto"/>
              <w:ind w:left="184" w:right="190" w:firstLine="82"/>
              <w:rPr>
                <w:rFonts w:ascii="Times New Roman" w:eastAsia="Times New Roman" w:hAnsi="Times New Roman" w:cs="Times New Roman"/>
              </w:rPr>
            </w:pPr>
            <w:r w:rsidRPr="0062295F">
              <w:rPr>
                <w:rFonts w:ascii="Times New Roman" w:hAnsi="Times New Roman" w:cs="Times New Roman"/>
                <w:b/>
                <w:spacing w:val="-2"/>
              </w:rPr>
              <w:t>Specified</w:t>
            </w:r>
            <w:r w:rsidRPr="0062295F">
              <w:rPr>
                <w:rFonts w:ascii="Times New Roman" w:hAnsi="Times New Roman" w:cs="Times New Roman"/>
                <w:b/>
                <w:spacing w:val="23"/>
                <w:w w:val="102"/>
              </w:rPr>
              <w:t xml:space="preserve"> </w:t>
            </w:r>
            <w:r w:rsidRPr="0062295F">
              <w:rPr>
                <w:rFonts w:ascii="Times New Roman" w:hAnsi="Times New Roman" w:cs="Times New Roman"/>
                <w:b/>
                <w:spacing w:val="-6"/>
              </w:rPr>
              <w:t>Bandwidth</w:t>
            </w:r>
          </w:p>
        </w:tc>
      </w:tr>
      <w:tr w:rsidR="00FF3873" w:rsidRPr="007D04B2" w14:paraId="7FB0C11A" w14:textId="77777777" w:rsidTr="0062295F">
        <w:trPr>
          <w:trHeight w:hRule="exact" w:val="320"/>
        </w:trPr>
        <w:tc>
          <w:tcPr>
            <w:tcW w:w="2657" w:type="dxa"/>
            <w:tcBorders>
              <w:top w:val="single" w:sz="6" w:space="0" w:color="000000"/>
              <w:left w:val="single" w:sz="6" w:space="0" w:color="000000"/>
              <w:bottom w:val="single" w:sz="6" w:space="0" w:color="000000"/>
              <w:right w:val="single" w:sz="6" w:space="0" w:color="000000"/>
            </w:tcBorders>
          </w:tcPr>
          <w:p w14:paraId="25F819B6" w14:textId="7F3848D4" w:rsidR="00FF3873" w:rsidRPr="0062295F" w:rsidRDefault="00FF3873" w:rsidP="0062295F">
            <w:pPr>
              <w:pStyle w:val="TableParagraph"/>
              <w:jc w:val="center"/>
              <w:rPr>
                <w:rFonts w:ascii="Times New Roman" w:eastAsia="Times New Roman" w:hAnsi="Times New Roman" w:cs="Times New Roman"/>
              </w:rPr>
            </w:pPr>
            <w:r w:rsidRPr="0062295F">
              <w:rPr>
                <w:rFonts w:ascii="Times New Roman" w:hAnsi="Times New Roman" w:cs="Times New Roman"/>
              </w:rPr>
              <w:t>0 kHz</w:t>
            </w:r>
            <w:r w:rsidRPr="0062295F">
              <w:rPr>
                <w:rFonts w:ascii="Times New Roman" w:hAnsi="Times New Roman" w:cs="Times New Roman"/>
                <w:spacing w:val="13"/>
              </w:rPr>
              <w:t xml:space="preserve"> </w:t>
            </w:r>
            <w:r w:rsidRPr="0062295F">
              <w:rPr>
                <w:rFonts w:ascii="Times New Roman" w:hAnsi="Times New Roman" w:cs="Times New Roman"/>
                <w:u w:val="single" w:color="000000"/>
              </w:rPr>
              <w:t>&lt;</w:t>
            </w:r>
            <w:r w:rsidRPr="0062295F">
              <w:rPr>
                <w:rFonts w:ascii="Times New Roman" w:hAnsi="Times New Roman" w:cs="Times New Roman"/>
                <w:spacing w:val="11"/>
                <w:u w:val="single" w:color="000000"/>
              </w:rPr>
              <w:t xml:space="preserve"> </w:t>
            </w:r>
            <w:r w:rsidRPr="0062295F">
              <w:rPr>
                <w:rFonts w:ascii="Times New Roman" w:hAnsi="Times New Roman" w:cs="Times New Roman"/>
              </w:rPr>
              <w:t>f</w:t>
            </w:r>
            <w:r w:rsidRPr="0062295F">
              <w:rPr>
                <w:rFonts w:ascii="Times New Roman" w:hAnsi="Times New Roman" w:cs="Times New Roman"/>
                <w:position w:val="-1"/>
              </w:rPr>
              <w:t>offset</w:t>
            </w:r>
            <w:r w:rsidRPr="0062295F">
              <w:rPr>
                <w:rFonts w:ascii="Times New Roman" w:hAnsi="Times New Roman" w:cs="Times New Roman"/>
                <w:spacing w:val="27"/>
                <w:position w:val="-1"/>
              </w:rPr>
              <w:t xml:space="preserve"> </w:t>
            </w:r>
            <w:r w:rsidRPr="0062295F">
              <w:rPr>
                <w:rFonts w:ascii="Times New Roman" w:hAnsi="Times New Roman" w:cs="Times New Roman"/>
              </w:rPr>
              <w:t>&lt;</w:t>
            </w:r>
            <w:r w:rsidRPr="0062295F">
              <w:rPr>
                <w:rFonts w:ascii="Times New Roman" w:hAnsi="Times New Roman" w:cs="Times New Roman"/>
                <w:spacing w:val="1"/>
              </w:rPr>
              <w:t xml:space="preserve"> </w:t>
            </w:r>
            <w:r w:rsidRPr="0062295F">
              <w:rPr>
                <w:rFonts w:ascii="Times New Roman" w:hAnsi="Times New Roman" w:cs="Times New Roman"/>
              </w:rPr>
              <w:t>500</w:t>
            </w:r>
            <w:r w:rsidRPr="0062295F">
              <w:rPr>
                <w:rFonts w:ascii="Times New Roman" w:hAnsi="Times New Roman" w:cs="Times New Roman"/>
                <w:spacing w:val="1"/>
              </w:rPr>
              <w:t xml:space="preserve"> </w:t>
            </w:r>
            <w:r w:rsidRPr="0062295F">
              <w:rPr>
                <w:rFonts w:ascii="Times New Roman" w:hAnsi="Times New Roman" w:cs="Times New Roman"/>
                <w:spacing w:val="-1"/>
              </w:rPr>
              <w:t>kHz</w:t>
            </w:r>
          </w:p>
        </w:tc>
        <w:tc>
          <w:tcPr>
            <w:tcW w:w="3686" w:type="dxa"/>
            <w:tcBorders>
              <w:top w:val="single" w:sz="6" w:space="0" w:color="000000"/>
              <w:left w:val="single" w:sz="6" w:space="0" w:color="000000"/>
              <w:bottom w:val="single" w:sz="6" w:space="0" w:color="000000"/>
              <w:right w:val="single" w:sz="6" w:space="0" w:color="000000"/>
            </w:tcBorders>
          </w:tcPr>
          <w:p w14:paraId="39FF2AC4" w14:textId="218DF4C1" w:rsidR="00FF3873" w:rsidRPr="0062295F" w:rsidRDefault="00FF3873" w:rsidP="00FF3873">
            <w:pPr>
              <w:pStyle w:val="TableParagraph"/>
              <w:jc w:val="center"/>
              <w:rPr>
                <w:rFonts w:ascii="Times New Roman" w:eastAsia="Times New Roman" w:hAnsi="Times New Roman" w:cs="Times New Roman"/>
              </w:rPr>
            </w:pPr>
            <w:r w:rsidRPr="0062295F">
              <w:rPr>
                <w:rFonts w:ascii="Times New Roman" w:hAnsi="Times New Roman" w:cs="Times New Roman"/>
              </w:rPr>
              <w:t>-8.5</w:t>
            </w:r>
          </w:p>
        </w:tc>
        <w:tc>
          <w:tcPr>
            <w:tcW w:w="1457" w:type="dxa"/>
            <w:tcBorders>
              <w:top w:val="single" w:sz="6" w:space="0" w:color="000000"/>
              <w:left w:val="single" w:sz="6" w:space="0" w:color="000000"/>
              <w:bottom w:val="single" w:sz="6" w:space="0" w:color="000000"/>
              <w:right w:val="single" w:sz="6" w:space="0" w:color="000000"/>
            </w:tcBorders>
          </w:tcPr>
          <w:p w14:paraId="0D187E44" w14:textId="603D5846" w:rsidR="00FF3873" w:rsidRPr="0062295F" w:rsidRDefault="00FF3873" w:rsidP="00FF3873">
            <w:pPr>
              <w:pStyle w:val="TableParagraph"/>
              <w:ind w:left="384"/>
              <w:rPr>
                <w:rFonts w:ascii="Times New Roman" w:eastAsia="Times New Roman" w:hAnsi="Times New Roman" w:cs="Times New Roman"/>
              </w:rPr>
            </w:pPr>
            <w:r w:rsidRPr="0062295F">
              <w:rPr>
                <w:rFonts w:ascii="Times New Roman" w:hAnsi="Times New Roman" w:cs="Times New Roman"/>
              </w:rPr>
              <w:t>30 kHz</w:t>
            </w:r>
          </w:p>
        </w:tc>
      </w:tr>
      <w:tr w:rsidR="00FF3873" w:rsidRPr="007D04B2" w14:paraId="26C5497E" w14:textId="77777777" w:rsidTr="0062295F">
        <w:trPr>
          <w:trHeight w:hRule="exact" w:val="320"/>
        </w:trPr>
        <w:tc>
          <w:tcPr>
            <w:tcW w:w="2657" w:type="dxa"/>
            <w:tcBorders>
              <w:top w:val="single" w:sz="6" w:space="0" w:color="000000"/>
              <w:left w:val="single" w:sz="6" w:space="0" w:color="000000"/>
              <w:bottom w:val="single" w:sz="6" w:space="0" w:color="000000"/>
              <w:right w:val="single" w:sz="6" w:space="0" w:color="000000"/>
            </w:tcBorders>
          </w:tcPr>
          <w:p w14:paraId="346342F6" w14:textId="6FDF96B6" w:rsidR="00FF3873" w:rsidRPr="0062295F" w:rsidRDefault="00FF3873" w:rsidP="0062295F">
            <w:pPr>
              <w:pStyle w:val="TableParagraph"/>
              <w:jc w:val="center"/>
              <w:rPr>
                <w:rFonts w:ascii="Times New Roman" w:eastAsia="Times New Roman" w:hAnsi="Times New Roman" w:cs="Times New Roman"/>
              </w:rPr>
            </w:pPr>
            <w:proofErr w:type="gramStart"/>
            <w:r w:rsidRPr="0062295F">
              <w:rPr>
                <w:rFonts w:ascii="Times New Roman" w:hAnsi="Times New Roman" w:cs="Times New Roman"/>
              </w:rPr>
              <w:t>f</w:t>
            </w:r>
            <w:r w:rsidRPr="0062295F">
              <w:rPr>
                <w:rFonts w:ascii="Times New Roman" w:hAnsi="Times New Roman" w:cs="Times New Roman"/>
                <w:position w:val="-1"/>
              </w:rPr>
              <w:t xml:space="preserve">offset </w:t>
            </w:r>
            <w:r w:rsidRPr="0062295F">
              <w:rPr>
                <w:rFonts w:ascii="Times New Roman" w:hAnsi="Times New Roman" w:cs="Times New Roman"/>
                <w:spacing w:val="10"/>
                <w:position w:val="-1"/>
              </w:rPr>
              <w:t xml:space="preserve"> </w:t>
            </w:r>
            <w:r w:rsidRPr="0062295F">
              <w:rPr>
                <w:rFonts w:ascii="Times New Roman" w:hAnsi="Times New Roman" w:cs="Times New Roman"/>
                <w:u w:val="single" w:color="000000"/>
              </w:rPr>
              <w:t>&gt;</w:t>
            </w:r>
            <w:proofErr w:type="gramEnd"/>
            <w:r w:rsidRPr="0062295F">
              <w:rPr>
                <w:rFonts w:ascii="Times New Roman" w:hAnsi="Times New Roman" w:cs="Times New Roman"/>
                <w:spacing w:val="-1"/>
                <w:u w:val="single" w:color="000000"/>
              </w:rPr>
              <w:t xml:space="preserve"> </w:t>
            </w:r>
            <w:r w:rsidRPr="0062295F">
              <w:rPr>
                <w:rFonts w:ascii="Times New Roman" w:hAnsi="Times New Roman" w:cs="Times New Roman"/>
              </w:rPr>
              <w:t>500</w:t>
            </w:r>
            <w:r w:rsidRPr="0062295F">
              <w:rPr>
                <w:rFonts w:ascii="Times New Roman" w:hAnsi="Times New Roman" w:cs="Times New Roman"/>
                <w:spacing w:val="2"/>
              </w:rPr>
              <w:t xml:space="preserve"> </w:t>
            </w:r>
            <w:r w:rsidRPr="0062295F">
              <w:rPr>
                <w:rFonts w:ascii="Times New Roman" w:hAnsi="Times New Roman" w:cs="Times New Roman"/>
                <w:spacing w:val="-1"/>
              </w:rPr>
              <w:t>kHz</w:t>
            </w:r>
          </w:p>
        </w:tc>
        <w:tc>
          <w:tcPr>
            <w:tcW w:w="3686" w:type="dxa"/>
            <w:tcBorders>
              <w:top w:val="single" w:sz="6" w:space="0" w:color="000000"/>
              <w:left w:val="single" w:sz="6" w:space="0" w:color="000000"/>
              <w:bottom w:val="single" w:sz="6" w:space="0" w:color="000000"/>
              <w:right w:val="single" w:sz="6" w:space="0" w:color="000000"/>
            </w:tcBorders>
          </w:tcPr>
          <w:p w14:paraId="5F0CB600" w14:textId="6FA5B58E" w:rsidR="00FF3873" w:rsidRPr="0062295F" w:rsidRDefault="00FF3873" w:rsidP="00FF3873">
            <w:pPr>
              <w:pStyle w:val="TableParagraph"/>
              <w:jc w:val="center"/>
              <w:rPr>
                <w:rFonts w:ascii="Times New Roman" w:eastAsia="Times New Roman" w:hAnsi="Times New Roman" w:cs="Times New Roman"/>
              </w:rPr>
            </w:pPr>
            <w:r w:rsidRPr="0062295F">
              <w:rPr>
                <w:rFonts w:ascii="Times New Roman" w:hAnsi="Times New Roman" w:cs="Times New Roman"/>
              </w:rPr>
              <w:t>-8.5</w:t>
            </w:r>
          </w:p>
        </w:tc>
        <w:tc>
          <w:tcPr>
            <w:tcW w:w="1457" w:type="dxa"/>
            <w:tcBorders>
              <w:top w:val="single" w:sz="6" w:space="0" w:color="000000"/>
              <w:left w:val="single" w:sz="6" w:space="0" w:color="000000"/>
              <w:bottom w:val="single" w:sz="6" w:space="0" w:color="000000"/>
              <w:right w:val="single" w:sz="6" w:space="0" w:color="000000"/>
            </w:tcBorders>
          </w:tcPr>
          <w:p w14:paraId="05AF07A7" w14:textId="00361CEA" w:rsidR="00FF3873" w:rsidRPr="0062295F" w:rsidRDefault="00FF3873" w:rsidP="0062295F">
            <w:pPr>
              <w:pStyle w:val="TableParagraph"/>
              <w:jc w:val="center"/>
              <w:rPr>
                <w:rFonts w:ascii="Times New Roman" w:eastAsia="Times New Roman" w:hAnsi="Times New Roman" w:cs="Times New Roman"/>
              </w:rPr>
            </w:pPr>
            <w:r w:rsidRPr="0062295F">
              <w:rPr>
                <w:rFonts w:ascii="Times New Roman" w:hAnsi="Times New Roman" w:cs="Times New Roman"/>
              </w:rPr>
              <w:t>30 kHz</w:t>
            </w:r>
          </w:p>
        </w:tc>
      </w:tr>
    </w:tbl>
    <w:p w14:paraId="54AEE96F" w14:textId="77777777" w:rsidR="00A83A6A" w:rsidRDefault="00A83A6A" w:rsidP="00A83A6A">
      <w:pPr>
        <w:spacing w:after="0"/>
        <w:rPr>
          <w:rFonts w:ascii="Times New Roman" w:hAnsi="Times New Roman"/>
          <w:sz w:val="21"/>
          <w:szCs w:val="21"/>
        </w:rPr>
      </w:pPr>
    </w:p>
    <w:bookmarkEnd w:id="100"/>
    <w:p w14:paraId="327CA57B" w14:textId="6915BADF" w:rsidR="00FF3873" w:rsidRPr="0062295F" w:rsidRDefault="00FF3873" w:rsidP="0062295F">
      <w:pPr>
        <w:pStyle w:val="BodyText"/>
        <w:rPr>
          <w:b/>
          <w:bCs/>
          <w:sz w:val="18"/>
          <w:szCs w:val="18"/>
        </w:rPr>
      </w:pPr>
      <w:proofErr w:type="spellStart"/>
      <w:r w:rsidRPr="0062295F">
        <w:rPr>
          <w:b/>
          <w:bCs/>
          <w:sz w:val="18"/>
          <w:szCs w:val="18"/>
        </w:rPr>
        <w:t>Licence</w:t>
      </w:r>
      <w:proofErr w:type="spellEnd"/>
      <w:r w:rsidRPr="0062295F">
        <w:rPr>
          <w:b/>
          <w:bCs/>
          <w:sz w:val="18"/>
          <w:szCs w:val="18"/>
        </w:rPr>
        <w:t xml:space="preserve"> Table 4b: Radiated </w:t>
      </w:r>
      <w:r w:rsidR="00572D90" w:rsidRPr="00572D90">
        <w:rPr>
          <w:b/>
          <w:bCs/>
          <w:sz w:val="18"/>
          <w:szCs w:val="18"/>
        </w:rPr>
        <w:t xml:space="preserve">peak power non-spurious </w:t>
      </w:r>
      <w:r w:rsidRPr="0062295F">
        <w:rPr>
          <w:b/>
          <w:bCs/>
          <w:sz w:val="18"/>
          <w:szCs w:val="18"/>
        </w:rPr>
        <w:t>emission limits</w:t>
      </w:r>
    </w:p>
    <w:tbl>
      <w:tblPr>
        <w:tblW w:w="7800" w:type="dxa"/>
        <w:tblInd w:w="170" w:type="dxa"/>
        <w:tblLayout w:type="fixed"/>
        <w:tblCellMar>
          <w:left w:w="0" w:type="dxa"/>
          <w:right w:w="0" w:type="dxa"/>
        </w:tblCellMar>
        <w:tblLook w:val="01E0" w:firstRow="1" w:lastRow="1" w:firstColumn="1" w:lastColumn="1" w:noHBand="0" w:noVBand="0"/>
      </w:tblPr>
      <w:tblGrid>
        <w:gridCol w:w="2657"/>
        <w:gridCol w:w="3686"/>
        <w:gridCol w:w="1457"/>
      </w:tblGrid>
      <w:tr w:rsidR="009D6A87" w:rsidRPr="007D04B2" w14:paraId="5A41C114" w14:textId="77777777" w:rsidTr="0062295F">
        <w:trPr>
          <w:trHeight w:hRule="exact" w:val="663"/>
        </w:trPr>
        <w:tc>
          <w:tcPr>
            <w:tcW w:w="2657" w:type="dxa"/>
            <w:tcBorders>
              <w:top w:val="single" w:sz="6" w:space="0" w:color="000000"/>
              <w:left w:val="single" w:sz="6" w:space="0" w:color="000000"/>
              <w:bottom w:val="single" w:sz="6" w:space="0" w:color="000000"/>
              <w:right w:val="single" w:sz="6" w:space="0" w:color="000000"/>
            </w:tcBorders>
          </w:tcPr>
          <w:p w14:paraId="72E52A89" w14:textId="77777777" w:rsidR="009D6A87" w:rsidRPr="0062295F" w:rsidRDefault="009D6A87" w:rsidP="00E826E3">
            <w:pPr>
              <w:pStyle w:val="TableParagraph"/>
              <w:ind w:right="47"/>
              <w:jc w:val="center"/>
              <w:rPr>
                <w:rFonts w:ascii="Times New Roman" w:eastAsia="Times New Roman" w:hAnsi="Times New Roman" w:cs="Times New Roman"/>
              </w:rPr>
            </w:pPr>
            <w:r w:rsidRPr="0062295F">
              <w:rPr>
                <w:rFonts w:ascii="Times New Roman" w:hAnsi="Times New Roman" w:cs="Times New Roman"/>
                <w:b/>
                <w:spacing w:val="-5"/>
              </w:rPr>
              <w:t>Frequency</w:t>
            </w:r>
            <w:r w:rsidRPr="0062295F">
              <w:rPr>
                <w:rFonts w:ascii="Times New Roman" w:hAnsi="Times New Roman" w:cs="Times New Roman"/>
                <w:b/>
                <w:spacing w:val="25"/>
              </w:rPr>
              <w:t xml:space="preserve"> </w:t>
            </w:r>
            <w:r w:rsidRPr="0062295F">
              <w:rPr>
                <w:rFonts w:ascii="Times New Roman" w:hAnsi="Times New Roman" w:cs="Times New Roman"/>
                <w:b/>
              </w:rPr>
              <w:t>offset</w:t>
            </w:r>
            <w:r w:rsidRPr="0062295F">
              <w:rPr>
                <w:rFonts w:ascii="Times New Roman" w:hAnsi="Times New Roman" w:cs="Times New Roman"/>
                <w:b/>
                <w:spacing w:val="25"/>
              </w:rPr>
              <w:t xml:space="preserve"> </w:t>
            </w:r>
            <w:r w:rsidRPr="0062295F">
              <w:rPr>
                <w:rFonts w:ascii="Times New Roman" w:hAnsi="Times New Roman" w:cs="Times New Roman"/>
                <w:b/>
                <w:spacing w:val="-5"/>
              </w:rPr>
              <w:t>range</w:t>
            </w:r>
          </w:p>
          <w:p w14:paraId="5C9DB537" w14:textId="77777777" w:rsidR="009D6A87" w:rsidRPr="0062295F" w:rsidRDefault="009D6A87" w:rsidP="00E826E3">
            <w:pPr>
              <w:pStyle w:val="TableParagraph"/>
              <w:ind w:right="1"/>
              <w:jc w:val="center"/>
              <w:rPr>
                <w:rFonts w:ascii="Times New Roman" w:eastAsia="Times New Roman" w:hAnsi="Times New Roman" w:cs="Times New Roman"/>
              </w:rPr>
            </w:pPr>
            <w:r w:rsidRPr="0062295F">
              <w:rPr>
                <w:rFonts w:ascii="Times New Roman" w:hAnsi="Times New Roman" w:cs="Times New Roman"/>
                <w:b/>
                <w:position w:val="5"/>
              </w:rPr>
              <w:t>(f</w:t>
            </w:r>
            <w:r w:rsidRPr="0062295F">
              <w:rPr>
                <w:rFonts w:ascii="Times New Roman" w:hAnsi="Times New Roman" w:cs="Times New Roman"/>
                <w:b/>
              </w:rPr>
              <w:t>offset</w:t>
            </w:r>
            <w:r w:rsidRPr="0062295F">
              <w:rPr>
                <w:rFonts w:ascii="Times New Roman" w:hAnsi="Times New Roman" w:cs="Times New Roman"/>
                <w:b/>
                <w:position w:val="5"/>
              </w:rPr>
              <w:t>)</w:t>
            </w:r>
          </w:p>
        </w:tc>
        <w:tc>
          <w:tcPr>
            <w:tcW w:w="3686" w:type="dxa"/>
            <w:tcBorders>
              <w:top w:val="single" w:sz="6" w:space="0" w:color="000000"/>
              <w:left w:val="single" w:sz="6" w:space="0" w:color="000000"/>
              <w:bottom w:val="single" w:sz="6" w:space="0" w:color="000000"/>
              <w:right w:val="single" w:sz="6" w:space="0" w:color="000000"/>
            </w:tcBorders>
          </w:tcPr>
          <w:p w14:paraId="6C9D9A67" w14:textId="77777777" w:rsidR="006F6A8E" w:rsidRPr="0062295F" w:rsidRDefault="006F6A8E" w:rsidP="0062295F">
            <w:pPr>
              <w:pStyle w:val="TableParagraph"/>
              <w:spacing w:line="279" w:lineRule="auto"/>
              <w:ind w:left="1391" w:right="224" w:hanging="1226"/>
              <w:jc w:val="center"/>
              <w:rPr>
                <w:rFonts w:ascii="Times New Roman" w:hAnsi="Times New Roman" w:cs="Times New Roman"/>
                <w:b/>
                <w:spacing w:val="-2"/>
              </w:rPr>
            </w:pPr>
            <w:r w:rsidRPr="0062295F">
              <w:rPr>
                <w:rFonts w:ascii="Times New Roman" w:hAnsi="Times New Roman" w:cs="Times New Roman"/>
                <w:b/>
                <w:spacing w:val="-2"/>
              </w:rPr>
              <w:t>Radiated peak power</w:t>
            </w:r>
          </w:p>
          <w:p w14:paraId="293DEB1B" w14:textId="3B61660A" w:rsidR="009D6A87" w:rsidRPr="0062295F" w:rsidRDefault="006F6A8E" w:rsidP="0062295F">
            <w:pPr>
              <w:pStyle w:val="TableParagraph"/>
              <w:spacing w:line="279" w:lineRule="auto"/>
              <w:ind w:left="1391" w:right="224" w:hanging="1226"/>
              <w:jc w:val="center"/>
              <w:rPr>
                <w:rFonts w:ascii="Times New Roman" w:eastAsia="Times New Roman" w:hAnsi="Times New Roman" w:cs="Times New Roman"/>
              </w:rPr>
            </w:pPr>
            <w:r w:rsidRPr="0062295F">
              <w:rPr>
                <w:rFonts w:ascii="Times New Roman" w:hAnsi="Times New Roman" w:cs="Times New Roman"/>
                <w:b/>
                <w:spacing w:val="-2"/>
              </w:rPr>
              <w:t>(dBm EIRP)</w:t>
            </w:r>
            <w:r w:rsidRPr="0062295F" w:rsidDel="006F6A8E">
              <w:rPr>
                <w:rFonts w:ascii="Times New Roman" w:hAnsi="Times New Roman" w:cs="Times New Roman"/>
                <w:b/>
                <w:spacing w:val="-2"/>
              </w:rPr>
              <w:t xml:space="preserve"> </w:t>
            </w:r>
          </w:p>
        </w:tc>
        <w:tc>
          <w:tcPr>
            <w:tcW w:w="1457" w:type="dxa"/>
            <w:tcBorders>
              <w:top w:val="single" w:sz="6" w:space="0" w:color="000000"/>
              <w:left w:val="single" w:sz="6" w:space="0" w:color="000000"/>
              <w:bottom w:val="single" w:sz="6" w:space="0" w:color="000000"/>
              <w:right w:val="single" w:sz="6" w:space="0" w:color="000000"/>
            </w:tcBorders>
          </w:tcPr>
          <w:p w14:paraId="47712268" w14:textId="77777777" w:rsidR="009D6A87" w:rsidRPr="0062295F" w:rsidRDefault="009D6A87" w:rsidP="00E826E3">
            <w:pPr>
              <w:pStyle w:val="TableParagraph"/>
              <w:spacing w:line="279" w:lineRule="auto"/>
              <w:ind w:left="184" w:right="190" w:firstLine="82"/>
              <w:rPr>
                <w:rFonts w:ascii="Times New Roman" w:eastAsia="Times New Roman" w:hAnsi="Times New Roman" w:cs="Times New Roman"/>
              </w:rPr>
            </w:pPr>
            <w:r w:rsidRPr="0062295F">
              <w:rPr>
                <w:rFonts w:ascii="Times New Roman" w:hAnsi="Times New Roman" w:cs="Times New Roman"/>
                <w:b/>
                <w:spacing w:val="-2"/>
              </w:rPr>
              <w:t>Specified</w:t>
            </w:r>
            <w:r w:rsidRPr="0062295F">
              <w:rPr>
                <w:rFonts w:ascii="Times New Roman" w:hAnsi="Times New Roman" w:cs="Times New Roman"/>
                <w:b/>
                <w:spacing w:val="23"/>
                <w:w w:val="102"/>
              </w:rPr>
              <w:t xml:space="preserve"> </w:t>
            </w:r>
            <w:r w:rsidRPr="0062295F">
              <w:rPr>
                <w:rFonts w:ascii="Times New Roman" w:hAnsi="Times New Roman" w:cs="Times New Roman"/>
                <w:b/>
                <w:spacing w:val="-6"/>
              </w:rPr>
              <w:t>Bandwidth</w:t>
            </w:r>
          </w:p>
        </w:tc>
      </w:tr>
      <w:tr w:rsidR="009D6A87" w:rsidRPr="007D04B2" w14:paraId="3FE8FA71" w14:textId="77777777" w:rsidTr="0062295F">
        <w:trPr>
          <w:trHeight w:hRule="exact" w:val="320"/>
        </w:trPr>
        <w:tc>
          <w:tcPr>
            <w:tcW w:w="2657" w:type="dxa"/>
            <w:tcBorders>
              <w:top w:val="single" w:sz="6" w:space="0" w:color="000000"/>
              <w:left w:val="single" w:sz="6" w:space="0" w:color="000000"/>
              <w:bottom w:val="single" w:sz="6" w:space="0" w:color="000000"/>
              <w:right w:val="single" w:sz="6" w:space="0" w:color="000000"/>
            </w:tcBorders>
          </w:tcPr>
          <w:p w14:paraId="2798F92E" w14:textId="32F35763" w:rsidR="009D6A87" w:rsidRPr="0062295F" w:rsidRDefault="009D6A87" w:rsidP="0062295F">
            <w:pPr>
              <w:pStyle w:val="TableParagraph"/>
              <w:jc w:val="center"/>
              <w:rPr>
                <w:rFonts w:ascii="Times New Roman" w:eastAsia="Times New Roman" w:hAnsi="Times New Roman" w:cs="Times New Roman"/>
              </w:rPr>
            </w:pPr>
            <w:r w:rsidRPr="0062295F">
              <w:rPr>
                <w:rFonts w:ascii="Times New Roman" w:hAnsi="Times New Roman" w:cs="Times New Roman"/>
              </w:rPr>
              <w:t>0 kHz</w:t>
            </w:r>
            <w:r w:rsidRPr="0062295F">
              <w:rPr>
                <w:rFonts w:ascii="Times New Roman" w:hAnsi="Times New Roman" w:cs="Times New Roman"/>
                <w:spacing w:val="13"/>
              </w:rPr>
              <w:t xml:space="preserve"> </w:t>
            </w:r>
            <w:r w:rsidRPr="0062295F">
              <w:rPr>
                <w:rFonts w:ascii="Times New Roman" w:hAnsi="Times New Roman" w:cs="Times New Roman"/>
                <w:u w:val="single" w:color="000000"/>
              </w:rPr>
              <w:t>&lt;</w:t>
            </w:r>
            <w:r w:rsidRPr="0062295F">
              <w:rPr>
                <w:rFonts w:ascii="Times New Roman" w:hAnsi="Times New Roman" w:cs="Times New Roman"/>
                <w:spacing w:val="11"/>
                <w:u w:val="single" w:color="000000"/>
              </w:rPr>
              <w:t xml:space="preserve"> </w:t>
            </w:r>
            <w:r w:rsidRPr="0062295F">
              <w:rPr>
                <w:rFonts w:ascii="Times New Roman" w:hAnsi="Times New Roman" w:cs="Times New Roman"/>
              </w:rPr>
              <w:t>f</w:t>
            </w:r>
            <w:r w:rsidRPr="0062295F">
              <w:rPr>
                <w:rFonts w:ascii="Times New Roman" w:hAnsi="Times New Roman" w:cs="Times New Roman"/>
                <w:position w:val="-1"/>
              </w:rPr>
              <w:t>offset</w:t>
            </w:r>
            <w:r w:rsidRPr="0062295F">
              <w:rPr>
                <w:rFonts w:ascii="Times New Roman" w:hAnsi="Times New Roman" w:cs="Times New Roman"/>
                <w:spacing w:val="27"/>
                <w:position w:val="-1"/>
              </w:rPr>
              <w:t xml:space="preserve"> </w:t>
            </w:r>
            <w:r w:rsidRPr="0062295F">
              <w:rPr>
                <w:rFonts w:ascii="Times New Roman" w:hAnsi="Times New Roman" w:cs="Times New Roman"/>
              </w:rPr>
              <w:t>&lt;</w:t>
            </w:r>
            <w:r w:rsidRPr="0062295F">
              <w:rPr>
                <w:rFonts w:ascii="Times New Roman" w:hAnsi="Times New Roman" w:cs="Times New Roman"/>
                <w:spacing w:val="1"/>
              </w:rPr>
              <w:t xml:space="preserve"> </w:t>
            </w:r>
            <w:r w:rsidR="0016065B" w:rsidRPr="0062295F">
              <w:rPr>
                <w:rFonts w:ascii="Times New Roman" w:hAnsi="Times New Roman" w:cs="Times New Roman"/>
              </w:rPr>
              <w:t>3</w:t>
            </w:r>
            <w:r w:rsidRPr="0062295F">
              <w:rPr>
                <w:rFonts w:ascii="Times New Roman" w:hAnsi="Times New Roman" w:cs="Times New Roman"/>
              </w:rPr>
              <w:t>00</w:t>
            </w:r>
            <w:r w:rsidRPr="0062295F">
              <w:rPr>
                <w:rFonts w:ascii="Times New Roman" w:hAnsi="Times New Roman" w:cs="Times New Roman"/>
                <w:spacing w:val="1"/>
              </w:rPr>
              <w:t xml:space="preserve"> </w:t>
            </w:r>
            <w:r w:rsidR="00137C87" w:rsidRPr="0062295F">
              <w:rPr>
                <w:rFonts w:ascii="Times New Roman" w:hAnsi="Times New Roman" w:cs="Times New Roman"/>
                <w:spacing w:val="1"/>
              </w:rPr>
              <w:t>kHz</w:t>
            </w:r>
          </w:p>
        </w:tc>
        <w:tc>
          <w:tcPr>
            <w:tcW w:w="3686" w:type="dxa"/>
            <w:tcBorders>
              <w:top w:val="single" w:sz="6" w:space="0" w:color="000000"/>
              <w:left w:val="single" w:sz="6" w:space="0" w:color="000000"/>
              <w:bottom w:val="single" w:sz="6" w:space="0" w:color="000000"/>
              <w:right w:val="single" w:sz="6" w:space="0" w:color="000000"/>
            </w:tcBorders>
          </w:tcPr>
          <w:p w14:paraId="329C162E" w14:textId="3C6C49C1" w:rsidR="009D6A87" w:rsidRPr="0062295F" w:rsidRDefault="004B0CAE" w:rsidP="00E826E3">
            <w:pPr>
              <w:pStyle w:val="TableParagraph"/>
              <w:jc w:val="center"/>
              <w:rPr>
                <w:rFonts w:ascii="Times New Roman" w:eastAsia="Times New Roman" w:hAnsi="Times New Roman" w:cs="Times New Roman"/>
              </w:rPr>
            </w:pPr>
            <w:r w:rsidRPr="009B297F">
              <w:rPr>
                <w:rFonts w:ascii="Times New Roman" w:hAnsi="Times New Roman" w:cs="Times New Roman"/>
              </w:rPr>
              <w:t>10</w:t>
            </w:r>
          </w:p>
        </w:tc>
        <w:tc>
          <w:tcPr>
            <w:tcW w:w="1457" w:type="dxa"/>
            <w:tcBorders>
              <w:top w:val="single" w:sz="6" w:space="0" w:color="000000"/>
              <w:left w:val="single" w:sz="6" w:space="0" w:color="000000"/>
              <w:bottom w:val="single" w:sz="6" w:space="0" w:color="000000"/>
              <w:right w:val="single" w:sz="6" w:space="0" w:color="000000"/>
            </w:tcBorders>
          </w:tcPr>
          <w:p w14:paraId="290BAC98" w14:textId="59D984C1" w:rsidR="009D6A87" w:rsidRPr="0062295F" w:rsidRDefault="009D6A87" w:rsidP="00E826E3">
            <w:pPr>
              <w:pStyle w:val="TableParagraph"/>
              <w:ind w:left="384"/>
              <w:rPr>
                <w:rFonts w:ascii="Times New Roman" w:eastAsia="Times New Roman" w:hAnsi="Times New Roman" w:cs="Times New Roman"/>
              </w:rPr>
            </w:pPr>
            <w:r w:rsidRPr="009B297F">
              <w:rPr>
                <w:rFonts w:ascii="Times New Roman" w:hAnsi="Times New Roman" w:cs="Times New Roman"/>
              </w:rPr>
              <w:t>30</w:t>
            </w:r>
            <w:r w:rsidR="00F772C4" w:rsidRPr="009B297F">
              <w:rPr>
                <w:rFonts w:ascii="Times New Roman" w:hAnsi="Times New Roman" w:cs="Times New Roman"/>
              </w:rPr>
              <w:t>0</w:t>
            </w:r>
            <w:r w:rsidRPr="009B297F">
              <w:rPr>
                <w:rFonts w:ascii="Times New Roman" w:hAnsi="Times New Roman" w:cs="Times New Roman"/>
              </w:rPr>
              <w:t xml:space="preserve"> kHz</w:t>
            </w:r>
          </w:p>
        </w:tc>
      </w:tr>
    </w:tbl>
    <w:p w14:paraId="4A8E37F2" w14:textId="77777777" w:rsidR="00932188" w:rsidRDefault="00932188" w:rsidP="00A83A6A">
      <w:pPr>
        <w:spacing w:after="0"/>
        <w:rPr>
          <w:rFonts w:ascii="Times New Roman" w:hAnsi="Times New Roman"/>
          <w:sz w:val="21"/>
          <w:szCs w:val="21"/>
        </w:rPr>
      </w:pPr>
    </w:p>
    <w:p w14:paraId="4D052018" w14:textId="50BB19E0" w:rsidR="00932188" w:rsidRPr="007D04B2" w:rsidRDefault="00932188" w:rsidP="00932188">
      <w:pPr>
        <w:pStyle w:val="BodyText"/>
        <w:numPr>
          <w:ilvl w:val="0"/>
          <w:numId w:val="40"/>
        </w:numPr>
        <w:tabs>
          <w:tab w:val="left" w:pos="531"/>
        </w:tabs>
        <w:jc w:val="left"/>
      </w:pPr>
      <w:r w:rsidRPr="007D04B2">
        <w:t>The</w:t>
      </w:r>
      <w:r w:rsidRPr="007D04B2">
        <w:rPr>
          <w:spacing w:val="4"/>
        </w:rPr>
        <w:t xml:space="preserve"> </w:t>
      </w:r>
      <w:r w:rsidR="00625C0E" w:rsidRPr="007D04B2">
        <w:t>non</w:t>
      </w:r>
      <w:r w:rsidR="00625C0E" w:rsidRPr="007D04B2">
        <w:rPr>
          <w:spacing w:val="5"/>
        </w:rPr>
        <w:t>-</w:t>
      </w:r>
      <w:r w:rsidR="00625C0E" w:rsidRPr="007D04B2">
        <w:rPr>
          <w:spacing w:val="-1"/>
        </w:rPr>
        <w:t>spurious</w:t>
      </w:r>
      <w:r w:rsidRPr="007D04B2">
        <w:rPr>
          <w:spacing w:val="6"/>
        </w:rPr>
        <w:t xml:space="preserve"> </w:t>
      </w:r>
      <w:r w:rsidRPr="007D04B2">
        <w:t>emission</w:t>
      </w:r>
      <w:r w:rsidRPr="007D04B2">
        <w:rPr>
          <w:spacing w:val="5"/>
        </w:rPr>
        <w:t xml:space="preserve"> </w:t>
      </w:r>
      <w:r w:rsidRPr="007D04B2">
        <w:t>limits</w:t>
      </w:r>
      <w:r w:rsidRPr="007D04B2">
        <w:rPr>
          <w:spacing w:val="5"/>
        </w:rPr>
        <w:t xml:space="preserve"> </w:t>
      </w:r>
      <w:r w:rsidRPr="007D04B2">
        <w:t>in</w:t>
      </w:r>
      <w:r w:rsidRPr="007D04B2">
        <w:rPr>
          <w:spacing w:val="4"/>
        </w:rPr>
        <w:t xml:space="preserve"> </w:t>
      </w:r>
      <w:r w:rsidRPr="007D04B2">
        <w:t>Table</w:t>
      </w:r>
      <w:r w:rsidRPr="007D04B2">
        <w:rPr>
          <w:spacing w:val="5"/>
        </w:rPr>
        <w:t xml:space="preserve"> </w:t>
      </w:r>
      <w:r w:rsidR="003A385E">
        <w:t>5</w:t>
      </w:r>
      <w:r w:rsidRPr="007D04B2">
        <w:rPr>
          <w:spacing w:val="5"/>
        </w:rPr>
        <w:t xml:space="preserve"> </w:t>
      </w:r>
      <w:r w:rsidRPr="007D04B2">
        <w:t>apply:</w:t>
      </w:r>
    </w:p>
    <w:p w14:paraId="58AD291C" w14:textId="77777777" w:rsidR="00932188" w:rsidRPr="007D04B2" w:rsidRDefault="00932188" w:rsidP="00932188">
      <w:pPr>
        <w:spacing w:after="0"/>
        <w:rPr>
          <w:rFonts w:ascii="Times New Roman" w:hAnsi="Times New Roman"/>
          <w:sz w:val="28"/>
          <w:szCs w:val="28"/>
        </w:rPr>
      </w:pPr>
    </w:p>
    <w:p w14:paraId="02BFBA66" w14:textId="7C2DF0BB" w:rsidR="003A385E" w:rsidRPr="003A385E" w:rsidRDefault="003A385E" w:rsidP="003A385E">
      <w:pPr>
        <w:pStyle w:val="ListParagraph"/>
        <w:numPr>
          <w:ilvl w:val="1"/>
          <w:numId w:val="40"/>
        </w:numPr>
        <w:autoSpaceDE w:val="0"/>
        <w:autoSpaceDN w:val="0"/>
        <w:adjustRightInd w:val="0"/>
        <w:spacing w:line="240" w:lineRule="auto"/>
        <w:rPr>
          <w:rFonts w:ascii="TimesNewRoman" w:hAnsi="TimesNewRoman" w:cs="TimesNewRoman"/>
          <w:sz w:val="21"/>
          <w:szCs w:val="21"/>
        </w:rPr>
      </w:pPr>
      <w:r w:rsidRPr="003A385E">
        <w:rPr>
          <w:rFonts w:ascii="TimesNewRoman" w:hAnsi="TimesNewRoman" w:cs="TimesNewRoman"/>
          <w:sz w:val="21"/>
          <w:szCs w:val="21"/>
        </w:rPr>
        <w:t>at frequencies outside the upper or lower frequency limits set out in Part 2 of Licence</w:t>
      </w:r>
    </w:p>
    <w:p w14:paraId="08E7333F" w14:textId="2109876C" w:rsidR="00932188" w:rsidRPr="000E254D" w:rsidRDefault="000E254D" w:rsidP="000E254D">
      <w:pPr>
        <w:autoSpaceDE w:val="0"/>
        <w:autoSpaceDN w:val="0"/>
        <w:adjustRightInd w:val="0"/>
        <w:spacing w:line="240" w:lineRule="auto"/>
        <w:ind w:left="531"/>
        <w:rPr>
          <w:rFonts w:ascii="TimesNewRoman" w:hAnsi="TimesNewRoman" w:cs="TimesNewRoman"/>
          <w:sz w:val="21"/>
          <w:szCs w:val="21"/>
        </w:rPr>
      </w:pPr>
      <w:r>
        <w:rPr>
          <w:rFonts w:ascii="TimesNewRoman" w:hAnsi="TimesNewRoman" w:cs="TimesNewRoman"/>
          <w:sz w:val="21"/>
          <w:szCs w:val="21"/>
        </w:rPr>
        <w:t xml:space="preserve">(b) offset from the upper or lower frequency limits set out in Part 2 of Licence Schedule </w:t>
      </w:r>
      <w:proofErr w:type="gramStart"/>
      <w:r>
        <w:rPr>
          <w:rFonts w:ascii="TimesNewRoman" w:hAnsi="TimesNewRoman" w:cs="TimesNewRoman"/>
          <w:sz w:val="21"/>
          <w:szCs w:val="21"/>
        </w:rPr>
        <w:t>1;</w:t>
      </w:r>
      <w:proofErr w:type="gramEnd"/>
    </w:p>
    <w:p w14:paraId="74953882" w14:textId="77777777" w:rsidR="00932188" w:rsidRPr="007D04B2" w:rsidRDefault="00932188" w:rsidP="00932188">
      <w:pPr>
        <w:pStyle w:val="BodyText"/>
        <w:ind w:left="530" w:right="1169" w:firstLine="0"/>
      </w:pPr>
      <w:r w:rsidRPr="007D04B2">
        <w:rPr>
          <w:spacing w:val="-1"/>
        </w:rPr>
        <w:t>where:</w:t>
      </w:r>
    </w:p>
    <w:p w14:paraId="437EF6C7" w14:textId="6A853CD2" w:rsidR="00932188" w:rsidRPr="007D04B2" w:rsidRDefault="00C705AA" w:rsidP="0062295F">
      <w:pPr>
        <w:autoSpaceDE w:val="0"/>
        <w:autoSpaceDN w:val="0"/>
        <w:adjustRightInd w:val="0"/>
        <w:spacing w:after="0" w:line="240" w:lineRule="auto"/>
        <w:ind w:left="530" w:firstLine="48"/>
        <w:rPr>
          <w:rFonts w:ascii="Times New Roman" w:hAnsi="Times New Roman"/>
          <w:b/>
          <w:bCs/>
          <w:sz w:val="19"/>
          <w:szCs w:val="19"/>
        </w:rPr>
      </w:pPr>
      <w:proofErr w:type="spellStart"/>
      <w:r>
        <w:rPr>
          <w:rFonts w:ascii="TimesNewRoman,Bold" w:hAnsi="TimesNewRoman,Bold" w:cs="TimesNewRoman,Bold"/>
          <w:b/>
          <w:bCs/>
          <w:sz w:val="21"/>
          <w:szCs w:val="21"/>
        </w:rPr>
        <w:t>f</w:t>
      </w:r>
      <w:r>
        <w:rPr>
          <w:rFonts w:ascii="TimesNewRoman,Bold" w:hAnsi="TimesNewRoman,Bold" w:cs="TimesNewRoman,Bold"/>
          <w:b/>
          <w:bCs/>
          <w:sz w:val="14"/>
          <w:szCs w:val="14"/>
        </w:rPr>
        <w:t>offset</w:t>
      </w:r>
      <w:proofErr w:type="spellEnd"/>
      <w:r>
        <w:rPr>
          <w:rFonts w:ascii="TimesNewRoman,Bold" w:hAnsi="TimesNewRoman,Bold" w:cs="TimesNewRoman,Bold"/>
          <w:b/>
          <w:bCs/>
          <w:sz w:val="14"/>
          <w:szCs w:val="14"/>
        </w:rPr>
        <w:t xml:space="preserve"> </w:t>
      </w:r>
      <w:r w:rsidR="007B2DB1" w:rsidRPr="007B2DB1">
        <w:rPr>
          <w:rFonts w:ascii="TimesNewRoman" w:hAnsi="TimesNewRoman" w:cs="TimesNewRoman"/>
          <w:sz w:val="21"/>
          <w:szCs w:val="21"/>
        </w:rPr>
        <w:t xml:space="preserve">is the frequency offset from the upper or lower frequency limits set out in Part 2 of Licence Schedule 1. The -3dB point of the specified bandwidth closest to the band edge being frequency offset from, is placed at </w:t>
      </w:r>
      <w:proofErr w:type="spellStart"/>
      <w:r>
        <w:rPr>
          <w:rFonts w:ascii="TimesNewRoman,Bold" w:hAnsi="TimesNewRoman,Bold" w:cs="TimesNewRoman,Bold"/>
          <w:b/>
          <w:bCs/>
          <w:sz w:val="21"/>
          <w:szCs w:val="21"/>
        </w:rPr>
        <w:t>f</w:t>
      </w:r>
      <w:r>
        <w:rPr>
          <w:rFonts w:ascii="TimesNewRoman,Bold" w:hAnsi="TimesNewRoman,Bold" w:cs="TimesNewRoman,Bold"/>
          <w:b/>
          <w:bCs/>
          <w:sz w:val="14"/>
          <w:szCs w:val="14"/>
        </w:rPr>
        <w:t>offset</w:t>
      </w:r>
      <w:proofErr w:type="spellEnd"/>
      <w:r>
        <w:rPr>
          <w:rFonts w:ascii="TimesNewRoman,Bold" w:hAnsi="TimesNewRoman,Bold" w:cs="TimesNewRoman,Bold"/>
          <w:b/>
          <w:bCs/>
          <w:sz w:val="14"/>
          <w:szCs w:val="14"/>
        </w:rPr>
        <w:t>.</w:t>
      </w:r>
    </w:p>
    <w:p w14:paraId="78CE05DC" w14:textId="77777777" w:rsidR="00932188" w:rsidRPr="007D04B2" w:rsidRDefault="00932188" w:rsidP="00932188">
      <w:pPr>
        <w:spacing w:after="0"/>
        <w:rPr>
          <w:rFonts w:ascii="Times New Roman" w:hAnsi="Times New Roman"/>
          <w:b/>
          <w:bCs/>
          <w:szCs w:val="20"/>
        </w:rPr>
      </w:pPr>
    </w:p>
    <w:p w14:paraId="00B6E952" w14:textId="77777777" w:rsidR="00CE40F9" w:rsidRDefault="00CE40F9">
      <w:pPr>
        <w:spacing w:after="0" w:line="240" w:lineRule="auto"/>
        <w:rPr>
          <w:rFonts w:ascii="Times New Roman" w:hAnsi="Times New Roman" w:cstheme="minorBidi"/>
          <w:b/>
          <w:bCs/>
          <w:sz w:val="18"/>
          <w:szCs w:val="18"/>
          <w:lang w:val="en-US" w:eastAsia="en-US"/>
        </w:rPr>
      </w:pPr>
      <w:bookmarkStart w:id="101" w:name="_Toc55989601"/>
      <w:bookmarkStart w:id="102" w:name="_Toc56006350"/>
      <w:bookmarkStart w:id="103" w:name="_Toc56507470"/>
      <w:bookmarkStart w:id="104" w:name="_Toc57808783"/>
      <w:bookmarkStart w:id="105" w:name="_Toc57809607"/>
      <w:r>
        <w:rPr>
          <w:b/>
          <w:bCs/>
          <w:sz w:val="18"/>
          <w:szCs w:val="18"/>
        </w:rPr>
        <w:br w:type="page"/>
      </w:r>
    </w:p>
    <w:p w14:paraId="78C607E0" w14:textId="0026B21D" w:rsidR="00932188" w:rsidRPr="007D04B2" w:rsidRDefault="00932188" w:rsidP="0062295F">
      <w:pPr>
        <w:pStyle w:val="BodyText"/>
        <w:rPr>
          <w:b/>
          <w:bCs/>
          <w:sz w:val="8"/>
          <w:szCs w:val="8"/>
        </w:rPr>
      </w:pPr>
      <w:proofErr w:type="spellStart"/>
      <w:r w:rsidRPr="0062295F">
        <w:rPr>
          <w:b/>
          <w:bCs/>
          <w:sz w:val="18"/>
          <w:szCs w:val="18"/>
        </w:rPr>
        <w:lastRenderedPageBreak/>
        <w:t>Licence</w:t>
      </w:r>
      <w:proofErr w:type="spellEnd"/>
      <w:r w:rsidRPr="0062295F">
        <w:rPr>
          <w:b/>
          <w:bCs/>
          <w:sz w:val="18"/>
          <w:szCs w:val="18"/>
        </w:rPr>
        <w:t xml:space="preserve"> Table </w:t>
      </w:r>
      <w:r w:rsidR="005F3685" w:rsidRPr="0062295F">
        <w:rPr>
          <w:b/>
          <w:bCs/>
          <w:sz w:val="18"/>
          <w:szCs w:val="18"/>
        </w:rPr>
        <w:t>5</w:t>
      </w:r>
      <w:r w:rsidRPr="0062295F">
        <w:rPr>
          <w:b/>
          <w:bCs/>
          <w:sz w:val="18"/>
          <w:szCs w:val="18"/>
        </w:rPr>
        <w:t>: Radiated maximum true mean power non-spurious emission limits</w:t>
      </w:r>
      <w:bookmarkEnd w:id="101"/>
      <w:bookmarkEnd w:id="102"/>
      <w:bookmarkEnd w:id="103"/>
      <w:bookmarkEnd w:id="104"/>
      <w:bookmarkEnd w:id="105"/>
    </w:p>
    <w:tbl>
      <w:tblPr>
        <w:tblW w:w="8044" w:type="dxa"/>
        <w:tblInd w:w="170" w:type="dxa"/>
        <w:tblLayout w:type="fixed"/>
        <w:tblCellMar>
          <w:left w:w="0" w:type="dxa"/>
          <w:right w:w="0" w:type="dxa"/>
        </w:tblCellMar>
        <w:tblLook w:val="01E0" w:firstRow="1" w:lastRow="1" w:firstColumn="1" w:lastColumn="1" w:noHBand="0" w:noVBand="0"/>
      </w:tblPr>
      <w:tblGrid>
        <w:gridCol w:w="2374"/>
        <w:gridCol w:w="4111"/>
        <w:gridCol w:w="1559"/>
      </w:tblGrid>
      <w:tr w:rsidR="00932188" w:rsidRPr="007D04B2" w14:paraId="6CE0428F" w14:textId="77777777" w:rsidTr="0062295F">
        <w:trPr>
          <w:trHeight w:hRule="exact" w:val="663"/>
        </w:trPr>
        <w:tc>
          <w:tcPr>
            <w:tcW w:w="2374" w:type="dxa"/>
            <w:tcBorders>
              <w:top w:val="single" w:sz="6" w:space="0" w:color="000000"/>
              <w:left w:val="single" w:sz="6" w:space="0" w:color="000000"/>
              <w:bottom w:val="single" w:sz="6" w:space="0" w:color="000000"/>
              <w:right w:val="single" w:sz="6" w:space="0" w:color="000000"/>
            </w:tcBorders>
          </w:tcPr>
          <w:p w14:paraId="60290293" w14:textId="77777777" w:rsidR="00932188" w:rsidRPr="0062295F" w:rsidRDefault="00932188" w:rsidP="0086185C">
            <w:pPr>
              <w:pStyle w:val="TableParagraph"/>
              <w:ind w:right="47"/>
              <w:jc w:val="center"/>
              <w:rPr>
                <w:rFonts w:ascii="Times New Roman" w:eastAsia="Times New Roman" w:hAnsi="Times New Roman" w:cs="Times New Roman"/>
              </w:rPr>
            </w:pPr>
            <w:r w:rsidRPr="0062295F">
              <w:rPr>
                <w:rFonts w:ascii="Times New Roman" w:hAnsi="Times New Roman" w:cs="Times New Roman"/>
                <w:b/>
                <w:spacing w:val="-5"/>
              </w:rPr>
              <w:t>Frequency</w:t>
            </w:r>
            <w:r w:rsidRPr="0062295F">
              <w:rPr>
                <w:rFonts w:ascii="Times New Roman" w:hAnsi="Times New Roman" w:cs="Times New Roman"/>
                <w:b/>
                <w:spacing w:val="25"/>
              </w:rPr>
              <w:t xml:space="preserve"> </w:t>
            </w:r>
            <w:r w:rsidRPr="0062295F">
              <w:rPr>
                <w:rFonts w:ascii="Times New Roman" w:hAnsi="Times New Roman" w:cs="Times New Roman"/>
                <w:b/>
              </w:rPr>
              <w:t>offset</w:t>
            </w:r>
            <w:r w:rsidRPr="0062295F">
              <w:rPr>
                <w:rFonts w:ascii="Times New Roman" w:hAnsi="Times New Roman" w:cs="Times New Roman"/>
                <w:b/>
                <w:spacing w:val="25"/>
              </w:rPr>
              <w:t xml:space="preserve"> </w:t>
            </w:r>
            <w:r w:rsidRPr="0062295F">
              <w:rPr>
                <w:rFonts w:ascii="Times New Roman" w:hAnsi="Times New Roman" w:cs="Times New Roman"/>
                <w:b/>
                <w:spacing w:val="-5"/>
              </w:rPr>
              <w:t>range</w:t>
            </w:r>
          </w:p>
          <w:p w14:paraId="2054B851" w14:textId="77777777" w:rsidR="00932188" w:rsidRPr="0062295F" w:rsidRDefault="00932188" w:rsidP="0086185C">
            <w:pPr>
              <w:pStyle w:val="TableParagraph"/>
              <w:ind w:right="1"/>
              <w:jc w:val="center"/>
              <w:rPr>
                <w:rFonts w:ascii="Times New Roman" w:eastAsia="Times New Roman" w:hAnsi="Times New Roman" w:cs="Times New Roman"/>
              </w:rPr>
            </w:pPr>
            <w:r w:rsidRPr="0062295F">
              <w:rPr>
                <w:rFonts w:ascii="Times New Roman" w:hAnsi="Times New Roman" w:cs="Times New Roman"/>
                <w:b/>
                <w:position w:val="5"/>
              </w:rPr>
              <w:t>(f</w:t>
            </w:r>
            <w:r w:rsidRPr="0062295F">
              <w:rPr>
                <w:rFonts w:ascii="Times New Roman" w:hAnsi="Times New Roman" w:cs="Times New Roman"/>
                <w:b/>
              </w:rPr>
              <w:t>offset</w:t>
            </w:r>
            <w:r w:rsidRPr="0062295F">
              <w:rPr>
                <w:rFonts w:ascii="Times New Roman" w:hAnsi="Times New Roman" w:cs="Times New Roman"/>
                <w:b/>
                <w:position w:val="5"/>
              </w:rPr>
              <w:t>)</w:t>
            </w:r>
          </w:p>
        </w:tc>
        <w:tc>
          <w:tcPr>
            <w:tcW w:w="4111" w:type="dxa"/>
            <w:tcBorders>
              <w:top w:val="single" w:sz="6" w:space="0" w:color="000000"/>
              <w:left w:val="single" w:sz="6" w:space="0" w:color="000000"/>
              <w:bottom w:val="single" w:sz="6" w:space="0" w:color="000000"/>
              <w:right w:val="single" w:sz="6" w:space="0" w:color="000000"/>
            </w:tcBorders>
          </w:tcPr>
          <w:p w14:paraId="642C6323" w14:textId="77777777" w:rsidR="009B297F" w:rsidRPr="0062295F" w:rsidRDefault="00932188" w:rsidP="009B297F">
            <w:pPr>
              <w:pStyle w:val="TableParagraph"/>
              <w:spacing w:line="279" w:lineRule="auto"/>
              <w:ind w:left="1391" w:right="224" w:hanging="1226"/>
              <w:jc w:val="center"/>
              <w:rPr>
                <w:rFonts w:ascii="Times New Roman" w:hAnsi="Times New Roman" w:cs="Times New Roman"/>
                <w:b/>
                <w:spacing w:val="27"/>
                <w:w w:val="102"/>
              </w:rPr>
            </w:pPr>
            <w:r w:rsidRPr="0062295F">
              <w:rPr>
                <w:rFonts w:ascii="Times New Roman" w:hAnsi="Times New Roman" w:cs="Times New Roman"/>
                <w:b/>
                <w:spacing w:val="-2"/>
              </w:rPr>
              <w:t>Radiated</w:t>
            </w:r>
            <w:r w:rsidRPr="0062295F">
              <w:rPr>
                <w:rFonts w:ascii="Times New Roman" w:hAnsi="Times New Roman" w:cs="Times New Roman"/>
                <w:b/>
                <w:spacing w:val="5"/>
              </w:rPr>
              <w:t xml:space="preserve"> </w:t>
            </w:r>
            <w:r w:rsidRPr="0062295F">
              <w:rPr>
                <w:rFonts w:ascii="Times New Roman" w:hAnsi="Times New Roman" w:cs="Times New Roman"/>
                <w:b/>
                <w:spacing w:val="-11"/>
              </w:rPr>
              <w:t xml:space="preserve">maximum </w:t>
            </w:r>
            <w:r w:rsidRPr="0062295F">
              <w:rPr>
                <w:rFonts w:ascii="Times New Roman" w:hAnsi="Times New Roman" w:cs="Times New Roman"/>
                <w:b/>
                <w:spacing w:val="-6"/>
              </w:rPr>
              <w:t>true</w:t>
            </w:r>
            <w:r w:rsidRPr="0062295F">
              <w:rPr>
                <w:rFonts w:ascii="Times New Roman" w:hAnsi="Times New Roman" w:cs="Times New Roman"/>
                <w:b/>
                <w:spacing w:val="37"/>
              </w:rPr>
              <w:t xml:space="preserve"> </w:t>
            </w:r>
            <w:r w:rsidRPr="0062295F">
              <w:rPr>
                <w:rFonts w:ascii="Times New Roman" w:hAnsi="Times New Roman" w:cs="Times New Roman"/>
                <w:b/>
                <w:spacing w:val="-4"/>
              </w:rPr>
              <w:t>mean</w:t>
            </w:r>
            <w:r w:rsidRPr="0062295F">
              <w:rPr>
                <w:rFonts w:ascii="Times New Roman" w:hAnsi="Times New Roman" w:cs="Times New Roman"/>
                <w:b/>
                <w:spacing w:val="6"/>
              </w:rPr>
              <w:t xml:space="preserve"> </w:t>
            </w:r>
            <w:r w:rsidRPr="0062295F">
              <w:rPr>
                <w:rFonts w:ascii="Times New Roman" w:hAnsi="Times New Roman" w:cs="Times New Roman"/>
                <w:b/>
                <w:spacing w:val="-1"/>
              </w:rPr>
              <w:t>power</w:t>
            </w:r>
          </w:p>
          <w:p w14:paraId="6D2FB904" w14:textId="678BA47A" w:rsidR="00932188" w:rsidRPr="0062295F" w:rsidRDefault="00932188" w:rsidP="0062295F">
            <w:pPr>
              <w:pStyle w:val="TableParagraph"/>
              <w:spacing w:line="279" w:lineRule="auto"/>
              <w:ind w:left="1391" w:right="224" w:hanging="1226"/>
              <w:jc w:val="center"/>
              <w:rPr>
                <w:rFonts w:ascii="Times New Roman" w:eastAsia="Times New Roman" w:hAnsi="Times New Roman" w:cs="Times New Roman"/>
              </w:rPr>
            </w:pPr>
            <w:r w:rsidRPr="0062295F">
              <w:rPr>
                <w:rFonts w:ascii="Times New Roman" w:hAnsi="Times New Roman" w:cs="Times New Roman"/>
                <w:b/>
                <w:spacing w:val="-3"/>
              </w:rPr>
              <w:t>(dBm</w:t>
            </w:r>
            <w:r w:rsidRPr="0062295F">
              <w:rPr>
                <w:rFonts w:ascii="Times New Roman" w:hAnsi="Times New Roman" w:cs="Times New Roman"/>
                <w:b/>
              </w:rPr>
              <w:t xml:space="preserve"> </w:t>
            </w:r>
            <w:r w:rsidRPr="0062295F">
              <w:rPr>
                <w:rFonts w:ascii="Times New Roman" w:hAnsi="Times New Roman" w:cs="Times New Roman"/>
                <w:b/>
                <w:spacing w:val="-3"/>
              </w:rPr>
              <w:t>EIRP)</w:t>
            </w:r>
          </w:p>
        </w:tc>
        <w:tc>
          <w:tcPr>
            <w:tcW w:w="1559" w:type="dxa"/>
            <w:tcBorders>
              <w:top w:val="single" w:sz="6" w:space="0" w:color="000000"/>
              <w:left w:val="single" w:sz="6" w:space="0" w:color="000000"/>
              <w:bottom w:val="single" w:sz="6" w:space="0" w:color="000000"/>
              <w:right w:val="single" w:sz="6" w:space="0" w:color="000000"/>
            </w:tcBorders>
          </w:tcPr>
          <w:p w14:paraId="5AD9B421" w14:textId="77777777" w:rsidR="00932188" w:rsidRPr="0062295F" w:rsidRDefault="00932188" w:rsidP="0086185C">
            <w:pPr>
              <w:pStyle w:val="TableParagraph"/>
              <w:spacing w:line="279" w:lineRule="auto"/>
              <w:ind w:left="184" w:right="190" w:firstLine="82"/>
              <w:rPr>
                <w:rFonts w:ascii="Times New Roman" w:eastAsia="Times New Roman" w:hAnsi="Times New Roman" w:cs="Times New Roman"/>
              </w:rPr>
            </w:pPr>
            <w:r w:rsidRPr="0062295F">
              <w:rPr>
                <w:rFonts w:ascii="Times New Roman" w:hAnsi="Times New Roman" w:cs="Times New Roman"/>
                <w:b/>
                <w:spacing w:val="-2"/>
              </w:rPr>
              <w:t>Specified</w:t>
            </w:r>
            <w:r w:rsidRPr="0062295F">
              <w:rPr>
                <w:rFonts w:ascii="Times New Roman" w:hAnsi="Times New Roman" w:cs="Times New Roman"/>
                <w:b/>
                <w:spacing w:val="23"/>
                <w:w w:val="102"/>
              </w:rPr>
              <w:t xml:space="preserve"> </w:t>
            </w:r>
            <w:r w:rsidRPr="0062295F">
              <w:rPr>
                <w:rFonts w:ascii="Times New Roman" w:hAnsi="Times New Roman" w:cs="Times New Roman"/>
                <w:b/>
                <w:spacing w:val="-6"/>
              </w:rPr>
              <w:t>Bandwidth</w:t>
            </w:r>
          </w:p>
        </w:tc>
      </w:tr>
      <w:tr w:rsidR="00B2254C" w:rsidRPr="007D04B2" w14:paraId="742ED8E5" w14:textId="77777777" w:rsidTr="0062295F">
        <w:trPr>
          <w:trHeight w:hRule="exact" w:val="320"/>
        </w:trPr>
        <w:tc>
          <w:tcPr>
            <w:tcW w:w="2374" w:type="dxa"/>
            <w:tcBorders>
              <w:top w:val="single" w:sz="6" w:space="0" w:color="000000"/>
              <w:left w:val="single" w:sz="6" w:space="0" w:color="000000"/>
              <w:bottom w:val="single" w:sz="6" w:space="0" w:color="000000"/>
              <w:right w:val="single" w:sz="6" w:space="0" w:color="000000"/>
            </w:tcBorders>
          </w:tcPr>
          <w:p w14:paraId="7266495A" w14:textId="28F9B975" w:rsidR="00B2254C" w:rsidRPr="0062295F" w:rsidRDefault="00B2254C" w:rsidP="0062295F">
            <w:pPr>
              <w:pStyle w:val="TableParagraph"/>
              <w:jc w:val="center"/>
              <w:rPr>
                <w:rFonts w:ascii="Times New Roman" w:eastAsia="Times New Roman" w:hAnsi="Times New Roman" w:cs="Times New Roman"/>
              </w:rPr>
            </w:pPr>
            <w:r w:rsidRPr="0062295F">
              <w:rPr>
                <w:rFonts w:ascii="Times New Roman" w:hAnsi="Times New Roman" w:cs="Times New Roman"/>
              </w:rPr>
              <w:t>0 kHz</w:t>
            </w:r>
            <w:r w:rsidRPr="0062295F">
              <w:rPr>
                <w:rFonts w:ascii="Times New Roman" w:hAnsi="Times New Roman" w:cs="Times New Roman"/>
                <w:spacing w:val="13"/>
              </w:rPr>
              <w:t xml:space="preserve"> </w:t>
            </w:r>
            <w:r w:rsidRPr="0062295F">
              <w:rPr>
                <w:rFonts w:ascii="Times New Roman" w:hAnsi="Times New Roman" w:cs="Times New Roman"/>
                <w:u w:val="single" w:color="000000"/>
              </w:rPr>
              <w:t>&lt;</w:t>
            </w:r>
            <w:r w:rsidRPr="0062295F">
              <w:rPr>
                <w:rFonts w:ascii="Times New Roman" w:hAnsi="Times New Roman" w:cs="Times New Roman"/>
                <w:spacing w:val="11"/>
                <w:u w:val="single" w:color="000000"/>
              </w:rPr>
              <w:t xml:space="preserve"> </w:t>
            </w:r>
            <w:r w:rsidRPr="0062295F">
              <w:rPr>
                <w:rFonts w:ascii="Times New Roman" w:hAnsi="Times New Roman" w:cs="Times New Roman"/>
              </w:rPr>
              <w:t>f</w:t>
            </w:r>
            <w:r w:rsidRPr="0062295F">
              <w:rPr>
                <w:rFonts w:ascii="Times New Roman" w:hAnsi="Times New Roman" w:cs="Times New Roman"/>
                <w:position w:val="-1"/>
              </w:rPr>
              <w:t>offset</w:t>
            </w:r>
            <w:r w:rsidRPr="0062295F">
              <w:rPr>
                <w:rFonts w:ascii="Times New Roman" w:hAnsi="Times New Roman" w:cs="Times New Roman"/>
                <w:spacing w:val="27"/>
                <w:position w:val="-1"/>
              </w:rPr>
              <w:t xml:space="preserve"> </w:t>
            </w:r>
            <w:r w:rsidRPr="0062295F">
              <w:rPr>
                <w:rFonts w:ascii="Times New Roman" w:hAnsi="Times New Roman" w:cs="Times New Roman"/>
              </w:rPr>
              <w:t>&lt;</w:t>
            </w:r>
            <w:r w:rsidRPr="0062295F">
              <w:rPr>
                <w:rFonts w:ascii="Times New Roman" w:hAnsi="Times New Roman" w:cs="Times New Roman"/>
                <w:spacing w:val="1"/>
              </w:rPr>
              <w:t xml:space="preserve"> </w:t>
            </w:r>
            <w:r w:rsidRPr="0062295F">
              <w:rPr>
                <w:rFonts w:ascii="Times New Roman" w:hAnsi="Times New Roman" w:cs="Times New Roman"/>
              </w:rPr>
              <w:t>200</w:t>
            </w:r>
            <w:r w:rsidRPr="0062295F">
              <w:rPr>
                <w:rFonts w:ascii="Times New Roman" w:hAnsi="Times New Roman" w:cs="Times New Roman"/>
                <w:spacing w:val="1"/>
              </w:rPr>
              <w:t xml:space="preserve"> </w:t>
            </w:r>
            <w:r w:rsidRPr="0062295F">
              <w:rPr>
                <w:rFonts w:ascii="Times New Roman" w:hAnsi="Times New Roman" w:cs="Times New Roman"/>
                <w:spacing w:val="-1"/>
              </w:rPr>
              <w:t>kHz</w:t>
            </w:r>
          </w:p>
        </w:tc>
        <w:tc>
          <w:tcPr>
            <w:tcW w:w="4111" w:type="dxa"/>
            <w:tcBorders>
              <w:top w:val="single" w:sz="6" w:space="0" w:color="000000"/>
              <w:left w:val="single" w:sz="6" w:space="0" w:color="000000"/>
              <w:bottom w:val="single" w:sz="6" w:space="0" w:color="000000"/>
              <w:right w:val="single" w:sz="6" w:space="0" w:color="000000"/>
            </w:tcBorders>
          </w:tcPr>
          <w:p w14:paraId="591906FE" w14:textId="3ADF7172" w:rsidR="00B2254C" w:rsidRPr="0062295F" w:rsidRDefault="00B2254C" w:rsidP="00B2254C">
            <w:pPr>
              <w:pStyle w:val="TableParagraph"/>
              <w:jc w:val="center"/>
              <w:rPr>
                <w:rFonts w:ascii="Times New Roman" w:eastAsia="Times New Roman" w:hAnsi="Times New Roman" w:cs="Times New Roman"/>
              </w:rPr>
            </w:pPr>
            <w:r w:rsidRPr="0062295F">
              <w:rPr>
                <w:rFonts w:ascii="Times New Roman" w:hAnsi="Times New Roman" w:cs="Times New Roman"/>
              </w:rPr>
              <w:t>21.5</w:t>
            </w:r>
          </w:p>
        </w:tc>
        <w:tc>
          <w:tcPr>
            <w:tcW w:w="1559" w:type="dxa"/>
            <w:tcBorders>
              <w:top w:val="single" w:sz="6" w:space="0" w:color="000000"/>
              <w:left w:val="single" w:sz="6" w:space="0" w:color="000000"/>
              <w:bottom w:val="single" w:sz="6" w:space="0" w:color="000000"/>
              <w:right w:val="single" w:sz="6" w:space="0" w:color="000000"/>
            </w:tcBorders>
          </w:tcPr>
          <w:p w14:paraId="302E1D82" w14:textId="30B68649" w:rsidR="00B2254C" w:rsidRPr="0062295F" w:rsidRDefault="00B2254C" w:rsidP="00B2254C">
            <w:pPr>
              <w:pStyle w:val="TableParagraph"/>
              <w:ind w:left="384"/>
              <w:rPr>
                <w:rFonts w:ascii="Times New Roman" w:eastAsia="Times New Roman" w:hAnsi="Times New Roman" w:cs="Times New Roman"/>
              </w:rPr>
            </w:pPr>
            <w:r w:rsidRPr="0062295F">
              <w:rPr>
                <w:rFonts w:ascii="Times New Roman" w:hAnsi="Times New Roman" w:cs="Times New Roman"/>
              </w:rPr>
              <w:t>30 kHz</w:t>
            </w:r>
          </w:p>
        </w:tc>
      </w:tr>
      <w:tr w:rsidR="00B2254C" w:rsidRPr="007D04B2" w14:paraId="5D7CCF01" w14:textId="77777777" w:rsidTr="0062295F">
        <w:trPr>
          <w:trHeight w:hRule="exact" w:val="320"/>
        </w:trPr>
        <w:tc>
          <w:tcPr>
            <w:tcW w:w="2374" w:type="dxa"/>
            <w:tcBorders>
              <w:top w:val="single" w:sz="6" w:space="0" w:color="000000"/>
              <w:left w:val="single" w:sz="6" w:space="0" w:color="000000"/>
              <w:bottom w:val="single" w:sz="6" w:space="0" w:color="000000"/>
              <w:right w:val="single" w:sz="6" w:space="0" w:color="000000"/>
            </w:tcBorders>
          </w:tcPr>
          <w:p w14:paraId="4443ACC5" w14:textId="0F0E7E74" w:rsidR="00B2254C" w:rsidRPr="0062295F" w:rsidRDefault="00B2254C" w:rsidP="0062295F">
            <w:pPr>
              <w:pStyle w:val="TableParagraph"/>
              <w:jc w:val="center"/>
              <w:rPr>
                <w:rFonts w:ascii="Times New Roman" w:eastAsia="Times New Roman" w:hAnsi="Times New Roman" w:cs="Times New Roman"/>
              </w:rPr>
            </w:pPr>
            <w:r w:rsidRPr="0062295F">
              <w:rPr>
                <w:rFonts w:ascii="Times New Roman" w:hAnsi="Times New Roman" w:cs="Times New Roman"/>
              </w:rPr>
              <w:t>200</w:t>
            </w:r>
            <w:r w:rsidRPr="0062295F">
              <w:rPr>
                <w:rFonts w:ascii="Times New Roman" w:hAnsi="Times New Roman" w:cs="Times New Roman"/>
                <w:spacing w:val="1"/>
              </w:rPr>
              <w:t xml:space="preserve"> </w:t>
            </w:r>
            <w:r w:rsidRPr="0062295F">
              <w:rPr>
                <w:rFonts w:ascii="Times New Roman" w:hAnsi="Times New Roman" w:cs="Times New Roman"/>
                <w:spacing w:val="-1"/>
              </w:rPr>
              <w:t>kHz</w:t>
            </w:r>
            <w:r w:rsidRPr="0062295F">
              <w:rPr>
                <w:rFonts w:ascii="Times New Roman" w:hAnsi="Times New Roman" w:cs="Times New Roman"/>
                <w:spacing w:val="14"/>
              </w:rPr>
              <w:t xml:space="preserve"> </w:t>
            </w:r>
            <w:r w:rsidRPr="0062295F">
              <w:rPr>
                <w:rFonts w:ascii="Times New Roman" w:hAnsi="Times New Roman" w:cs="Times New Roman"/>
                <w:u w:val="single" w:color="000000"/>
              </w:rPr>
              <w:t>&lt;</w:t>
            </w:r>
            <w:r w:rsidRPr="0062295F">
              <w:rPr>
                <w:rFonts w:ascii="Times New Roman" w:hAnsi="Times New Roman" w:cs="Times New Roman"/>
                <w:spacing w:val="11"/>
                <w:u w:val="single" w:color="000000"/>
              </w:rPr>
              <w:t xml:space="preserve"> </w:t>
            </w:r>
            <w:r w:rsidRPr="0062295F">
              <w:rPr>
                <w:rFonts w:ascii="Times New Roman" w:hAnsi="Times New Roman" w:cs="Times New Roman"/>
              </w:rPr>
              <w:t>f</w:t>
            </w:r>
            <w:r w:rsidRPr="0062295F">
              <w:rPr>
                <w:rFonts w:ascii="Times New Roman" w:hAnsi="Times New Roman" w:cs="Times New Roman"/>
                <w:position w:val="-1"/>
              </w:rPr>
              <w:t>offset</w:t>
            </w:r>
            <w:r w:rsidRPr="0062295F">
              <w:rPr>
                <w:rFonts w:ascii="Times New Roman" w:hAnsi="Times New Roman" w:cs="Times New Roman"/>
                <w:spacing w:val="28"/>
                <w:position w:val="-1"/>
              </w:rPr>
              <w:t xml:space="preserve"> </w:t>
            </w:r>
            <w:r w:rsidRPr="0062295F">
              <w:rPr>
                <w:rFonts w:ascii="Times New Roman" w:hAnsi="Times New Roman" w:cs="Times New Roman"/>
              </w:rPr>
              <w:t>&lt;</w:t>
            </w:r>
            <w:r w:rsidRPr="0062295F">
              <w:rPr>
                <w:rFonts w:ascii="Times New Roman" w:hAnsi="Times New Roman" w:cs="Times New Roman"/>
                <w:spacing w:val="1"/>
              </w:rPr>
              <w:t xml:space="preserve"> </w:t>
            </w:r>
            <w:r w:rsidRPr="0062295F">
              <w:rPr>
                <w:rFonts w:ascii="Times New Roman" w:hAnsi="Times New Roman" w:cs="Times New Roman"/>
              </w:rPr>
              <w:t>1</w:t>
            </w:r>
            <w:r w:rsidRPr="0062295F">
              <w:rPr>
                <w:rFonts w:ascii="Times New Roman" w:hAnsi="Times New Roman" w:cs="Times New Roman"/>
                <w:spacing w:val="2"/>
              </w:rPr>
              <w:t xml:space="preserve"> </w:t>
            </w:r>
            <w:r w:rsidRPr="0062295F">
              <w:rPr>
                <w:rFonts w:ascii="Times New Roman" w:hAnsi="Times New Roman" w:cs="Times New Roman"/>
                <w:spacing w:val="-1"/>
              </w:rPr>
              <w:t>MHz</w:t>
            </w:r>
          </w:p>
        </w:tc>
        <w:tc>
          <w:tcPr>
            <w:tcW w:w="4111" w:type="dxa"/>
            <w:tcBorders>
              <w:top w:val="single" w:sz="6" w:space="0" w:color="000000"/>
              <w:left w:val="single" w:sz="6" w:space="0" w:color="000000"/>
              <w:bottom w:val="single" w:sz="6" w:space="0" w:color="000000"/>
              <w:right w:val="single" w:sz="6" w:space="0" w:color="000000"/>
            </w:tcBorders>
          </w:tcPr>
          <w:p w14:paraId="7347EAD6" w14:textId="3A15E3A2" w:rsidR="00B2254C" w:rsidRPr="0062295F" w:rsidRDefault="00B2254C" w:rsidP="00B2254C">
            <w:pPr>
              <w:pStyle w:val="TableParagraph"/>
              <w:jc w:val="center"/>
              <w:rPr>
                <w:rFonts w:ascii="Times New Roman" w:eastAsia="Times New Roman" w:hAnsi="Times New Roman" w:cs="Times New Roman"/>
              </w:rPr>
            </w:pPr>
            <w:r w:rsidRPr="0062295F">
              <w:rPr>
                <w:rFonts w:ascii="Times New Roman" w:hAnsi="Times New Roman" w:cs="Times New Roman"/>
              </w:rPr>
              <w:t xml:space="preserve">2 - 13.125 x (f </w:t>
            </w:r>
            <w:r w:rsidRPr="0062295F">
              <w:rPr>
                <w:rFonts w:ascii="Times New Roman" w:hAnsi="Times New Roman" w:cs="Times New Roman"/>
                <w:vertAlign w:val="subscript"/>
              </w:rPr>
              <w:t>offset</w:t>
            </w:r>
            <w:r w:rsidRPr="0062295F">
              <w:rPr>
                <w:rFonts w:ascii="Times New Roman" w:hAnsi="Times New Roman" w:cs="Times New Roman"/>
              </w:rPr>
              <w:t xml:space="preserve"> (MHz) - 0.2)</w:t>
            </w:r>
          </w:p>
        </w:tc>
        <w:tc>
          <w:tcPr>
            <w:tcW w:w="1559" w:type="dxa"/>
            <w:tcBorders>
              <w:top w:val="single" w:sz="6" w:space="0" w:color="000000"/>
              <w:left w:val="single" w:sz="6" w:space="0" w:color="000000"/>
              <w:bottom w:val="single" w:sz="6" w:space="0" w:color="000000"/>
              <w:right w:val="single" w:sz="6" w:space="0" w:color="000000"/>
            </w:tcBorders>
          </w:tcPr>
          <w:p w14:paraId="29091BD0" w14:textId="584D7B62" w:rsidR="00B2254C" w:rsidRPr="0062295F" w:rsidRDefault="00B2254C" w:rsidP="00B2254C">
            <w:pPr>
              <w:pStyle w:val="TableParagraph"/>
              <w:ind w:left="420"/>
              <w:rPr>
                <w:rFonts w:ascii="Times New Roman" w:eastAsia="Times New Roman" w:hAnsi="Times New Roman" w:cs="Times New Roman"/>
              </w:rPr>
            </w:pPr>
            <w:r w:rsidRPr="0062295F">
              <w:rPr>
                <w:rFonts w:ascii="Times New Roman" w:hAnsi="Times New Roman" w:cs="Times New Roman"/>
              </w:rPr>
              <w:t>30 kHz</w:t>
            </w:r>
          </w:p>
        </w:tc>
      </w:tr>
      <w:tr w:rsidR="00B2254C" w:rsidRPr="007D04B2" w14:paraId="117579AA" w14:textId="77777777" w:rsidTr="0062295F">
        <w:trPr>
          <w:trHeight w:hRule="exact" w:val="320"/>
        </w:trPr>
        <w:tc>
          <w:tcPr>
            <w:tcW w:w="2374" w:type="dxa"/>
            <w:tcBorders>
              <w:top w:val="single" w:sz="6" w:space="0" w:color="000000"/>
              <w:left w:val="single" w:sz="6" w:space="0" w:color="000000"/>
              <w:bottom w:val="single" w:sz="6" w:space="0" w:color="000000"/>
              <w:right w:val="single" w:sz="6" w:space="0" w:color="000000"/>
            </w:tcBorders>
          </w:tcPr>
          <w:p w14:paraId="63446833" w14:textId="0FD052C8" w:rsidR="00B2254C" w:rsidRPr="0062295F" w:rsidRDefault="00B2254C" w:rsidP="0062295F">
            <w:pPr>
              <w:pStyle w:val="TableParagraph"/>
              <w:jc w:val="center"/>
              <w:rPr>
                <w:rFonts w:ascii="Times New Roman" w:hAnsi="Times New Roman" w:cs="Times New Roman"/>
              </w:rPr>
            </w:pPr>
            <w:r w:rsidRPr="0062295F">
              <w:rPr>
                <w:rFonts w:ascii="Times New Roman" w:hAnsi="Times New Roman" w:cs="Times New Roman"/>
              </w:rPr>
              <w:t>1</w:t>
            </w:r>
            <w:r w:rsidRPr="0062295F">
              <w:rPr>
                <w:rFonts w:ascii="Times New Roman" w:hAnsi="Times New Roman" w:cs="Times New Roman"/>
                <w:spacing w:val="1"/>
              </w:rPr>
              <w:t xml:space="preserve"> </w:t>
            </w:r>
            <w:r w:rsidRPr="0062295F">
              <w:rPr>
                <w:rFonts w:ascii="Times New Roman" w:hAnsi="Times New Roman" w:cs="Times New Roman"/>
                <w:spacing w:val="-1"/>
              </w:rPr>
              <w:t>MHz</w:t>
            </w:r>
            <w:r w:rsidRPr="0062295F">
              <w:rPr>
                <w:rFonts w:ascii="Times New Roman" w:hAnsi="Times New Roman" w:cs="Times New Roman"/>
                <w:spacing w:val="14"/>
              </w:rPr>
              <w:t xml:space="preserve"> </w:t>
            </w:r>
            <w:r w:rsidRPr="0062295F">
              <w:rPr>
                <w:rFonts w:ascii="Times New Roman" w:hAnsi="Times New Roman" w:cs="Times New Roman"/>
                <w:u w:val="single" w:color="000000"/>
              </w:rPr>
              <w:t>&lt;</w:t>
            </w:r>
            <w:r w:rsidRPr="0062295F">
              <w:rPr>
                <w:rFonts w:ascii="Times New Roman" w:hAnsi="Times New Roman" w:cs="Times New Roman"/>
                <w:spacing w:val="11"/>
                <w:u w:val="single" w:color="000000"/>
              </w:rPr>
              <w:t xml:space="preserve"> </w:t>
            </w:r>
            <w:r w:rsidRPr="0062295F">
              <w:rPr>
                <w:rFonts w:ascii="Times New Roman" w:hAnsi="Times New Roman" w:cs="Times New Roman"/>
              </w:rPr>
              <w:t>f</w:t>
            </w:r>
            <w:r w:rsidRPr="0062295F">
              <w:rPr>
                <w:rFonts w:ascii="Times New Roman" w:hAnsi="Times New Roman" w:cs="Times New Roman"/>
                <w:position w:val="-1"/>
              </w:rPr>
              <w:t>offset</w:t>
            </w:r>
            <w:r w:rsidRPr="0062295F">
              <w:rPr>
                <w:rFonts w:ascii="Times New Roman" w:hAnsi="Times New Roman" w:cs="Times New Roman"/>
                <w:spacing w:val="28"/>
                <w:position w:val="-1"/>
              </w:rPr>
              <w:t xml:space="preserve"> </w:t>
            </w:r>
            <w:r w:rsidRPr="0062295F">
              <w:rPr>
                <w:rFonts w:ascii="Times New Roman" w:hAnsi="Times New Roman" w:cs="Times New Roman"/>
              </w:rPr>
              <w:t>&lt;</w:t>
            </w:r>
            <w:r w:rsidRPr="0062295F">
              <w:rPr>
                <w:rFonts w:ascii="Times New Roman" w:hAnsi="Times New Roman" w:cs="Times New Roman"/>
                <w:spacing w:val="1"/>
              </w:rPr>
              <w:t xml:space="preserve"> </w:t>
            </w:r>
            <w:r w:rsidRPr="0062295F">
              <w:rPr>
                <w:rFonts w:ascii="Times New Roman" w:hAnsi="Times New Roman" w:cs="Times New Roman"/>
              </w:rPr>
              <w:t>5.8</w:t>
            </w:r>
            <w:r w:rsidRPr="0062295F">
              <w:rPr>
                <w:rFonts w:ascii="Times New Roman" w:hAnsi="Times New Roman" w:cs="Times New Roman"/>
                <w:spacing w:val="2"/>
              </w:rPr>
              <w:t xml:space="preserve"> </w:t>
            </w:r>
            <w:r w:rsidRPr="0062295F">
              <w:rPr>
                <w:rFonts w:ascii="Times New Roman" w:hAnsi="Times New Roman" w:cs="Times New Roman"/>
                <w:spacing w:val="-1"/>
              </w:rPr>
              <w:t>MHz</w:t>
            </w:r>
          </w:p>
        </w:tc>
        <w:tc>
          <w:tcPr>
            <w:tcW w:w="4111" w:type="dxa"/>
            <w:tcBorders>
              <w:top w:val="single" w:sz="6" w:space="0" w:color="000000"/>
              <w:left w:val="single" w:sz="6" w:space="0" w:color="000000"/>
              <w:bottom w:val="single" w:sz="6" w:space="0" w:color="000000"/>
              <w:right w:val="single" w:sz="6" w:space="0" w:color="000000"/>
            </w:tcBorders>
          </w:tcPr>
          <w:p w14:paraId="525E45B1" w14:textId="2F83312D" w:rsidR="00B2254C" w:rsidRPr="0062295F" w:rsidRDefault="00B2254C" w:rsidP="00B2254C">
            <w:pPr>
              <w:pStyle w:val="TableParagraph"/>
              <w:jc w:val="center"/>
              <w:rPr>
                <w:rFonts w:ascii="Times New Roman" w:hAnsi="Times New Roman" w:cs="Times New Roman"/>
              </w:rPr>
            </w:pPr>
            <w:r w:rsidRPr="0062295F">
              <w:rPr>
                <w:rFonts w:ascii="Times New Roman" w:hAnsi="Times New Roman" w:cs="Times New Roman"/>
              </w:rPr>
              <w:t>-8.5</w:t>
            </w:r>
          </w:p>
        </w:tc>
        <w:tc>
          <w:tcPr>
            <w:tcW w:w="1559" w:type="dxa"/>
            <w:tcBorders>
              <w:top w:val="single" w:sz="6" w:space="0" w:color="000000"/>
              <w:left w:val="single" w:sz="6" w:space="0" w:color="000000"/>
              <w:bottom w:val="single" w:sz="6" w:space="0" w:color="000000"/>
              <w:right w:val="single" w:sz="6" w:space="0" w:color="000000"/>
            </w:tcBorders>
          </w:tcPr>
          <w:p w14:paraId="05A476FD" w14:textId="590E3A23" w:rsidR="00B2254C" w:rsidRPr="0062295F" w:rsidRDefault="00B2254C" w:rsidP="00B2254C">
            <w:pPr>
              <w:pStyle w:val="TableParagraph"/>
              <w:ind w:left="420"/>
              <w:rPr>
                <w:rFonts w:ascii="Times New Roman" w:hAnsi="Times New Roman" w:cs="Times New Roman"/>
              </w:rPr>
            </w:pPr>
            <w:r w:rsidRPr="0062295F">
              <w:rPr>
                <w:rFonts w:ascii="Times New Roman" w:hAnsi="Times New Roman" w:cs="Times New Roman"/>
              </w:rPr>
              <w:t>30 kHz</w:t>
            </w:r>
          </w:p>
        </w:tc>
      </w:tr>
      <w:tr w:rsidR="00B2254C" w:rsidRPr="007D04B2" w14:paraId="37D69539" w14:textId="77777777" w:rsidTr="0062295F">
        <w:trPr>
          <w:trHeight w:hRule="exact" w:val="320"/>
        </w:trPr>
        <w:tc>
          <w:tcPr>
            <w:tcW w:w="2374" w:type="dxa"/>
            <w:tcBorders>
              <w:top w:val="single" w:sz="6" w:space="0" w:color="000000"/>
              <w:left w:val="single" w:sz="6" w:space="0" w:color="000000"/>
              <w:bottom w:val="single" w:sz="6" w:space="0" w:color="000000"/>
              <w:right w:val="single" w:sz="6" w:space="0" w:color="000000"/>
            </w:tcBorders>
          </w:tcPr>
          <w:p w14:paraId="181E4E67" w14:textId="5658D7B1" w:rsidR="00B2254C" w:rsidRPr="0062295F" w:rsidRDefault="00B2254C" w:rsidP="0062295F">
            <w:pPr>
              <w:pStyle w:val="TableParagraph"/>
              <w:jc w:val="center"/>
              <w:rPr>
                <w:rFonts w:ascii="Times New Roman" w:eastAsia="Times New Roman" w:hAnsi="Times New Roman" w:cs="Times New Roman"/>
              </w:rPr>
            </w:pPr>
            <w:proofErr w:type="gramStart"/>
            <w:r w:rsidRPr="0062295F">
              <w:rPr>
                <w:rFonts w:ascii="Times New Roman" w:hAnsi="Times New Roman" w:cs="Times New Roman"/>
              </w:rPr>
              <w:t>f</w:t>
            </w:r>
            <w:r w:rsidRPr="0062295F">
              <w:rPr>
                <w:rFonts w:ascii="Times New Roman" w:hAnsi="Times New Roman" w:cs="Times New Roman"/>
                <w:position w:val="-1"/>
              </w:rPr>
              <w:t xml:space="preserve">offset </w:t>
            </w:r>
            <w:r w:rsidRPr="0062295F">
              <w:rPr>
                <w:rFonts w:ascii="Times New Roman" w:hAnsi="Times New Roman" w:cs="Times New Roman"/>
                <w:spacing w:val="10"/>
                <w:position w:val="-1"/>
              </w:rPr>
              <w:t xml:space="preserve"> </w:t>
            </w:r>
            <w:r w:rsidRPr="0062295F">
              <w:rPr>
                <w:rFonts w:ascii="Times New Roman" w:hAnsi="Times New Roman" w:cs="Times New Roman"/>
                <w:u w:val="single" w:color="000000"/>
              </w:rPr>
              <w:t>&gt;</w:t>
            </w:r>
            <w:proofErr w:type="gramEnd"/>
            <w:r w:rsidRPr="0062295F">
              <w:rPr>
                <w:rFonts w:ascii="Times New Roman" w:hAnsi="Times New Roman" w:cs="Times New Roman"/>
                <w:spacing w:val="-1"/>
                <w:u w:val="single" w:color="000000"/>
              </w:rPr>
              <w:t xml:space="preserve"> </w:t>
            </w:r>
            <w:r w:rsidRPr="0062295F">
              <w:rPr>
                <w:rFonts w:ascii="Times New Roman" w:hAnsi="Times New Roman" w:cs="Times New Roman"/>
              </w:rPr>
              <w:t>5.8</w:t>
            </w:r>
            <w:r w:rsidRPr="0062295F">
              <w:rPr>
                <w:rFonts w:ascii="Times New Roman" w:hAnsi="Times New Roman" w:cs="Times New Roman"/>
                <w:spacing w:val="2"/>
              </w:rPr>
              <w:t xml:space="preserve"> </w:t>
            </w:r>
            <w:r w:rsidRPr="0062295F">
              <w:rPr>
                <w:rFonts w:ascii="Times New Roman" w:hAnsi="Times New Roman" w:cs="Times New Roman"/>
                <w:spacing w:val="-1"/>
              </w:rPr>
              <w:t>MHz</w:t>
            </w:r>
          </w:p>
        </w:tc>
        <w:tc>
          <w:tcPr>
            <w:tcW w:w="4111" w:type="dxa"/>
            <w:tcBorders>
              <w:top w:val="single" w:sz="6" w:space="0" w:color="000000"/>
              <w:left w:val="single" w:sz="6" w:space="0" w:color="000000"/>
              <w:bottom w:val="single" w:sz="6" w:space="0" w:color="000000"/>
              <w:right w:val="single" w:sz="6" w:space="0" w:color="000000"/>
            </w:tcBorders>
          </w:tcPr>
          <w:p w14:paraId="5DB2949E" w14:textId="29578C4D" w:rsidR="00B2254C" w:rsidRPr="0062295F" w:rsidRDefault="00B2254C" w:rsidP="00B2254C">
            <w:pPr>
              <w:pStyle w:val="TableParagraph"/>
              <w:jc w:val="center"/>
              <w:rPr>
                <w:rFonts w:ascii="Times New Roman" w:eastAsia="Times New Roman" w:hAnsi="Times New Roman" w:cs="Times New Roman"/>
              </w:rPr>
            </w:pPr>
            <w:r w:rsidRPr="0062295F">
              <w:rPr>
                <w:rFonts w:ascii="Times New Roman" w:hAnsi="Times New Roman" w:cs="Times New Roman"/>
              </w:rPr>
              <w:t>-13</w:t>
            </w:r>
          </w:p>
        </w:tc>
        <w:tc>
          <w:tcPr>
            <w:tcW w:w="1559" w:type="dxa"/>
            <w:tcBorders>
              <w:top w:val="single" w:sz="6" w:space="0" w:color="000000"/>
              <w:left w:val="single" w:sz="6" w:space="0" w:color="000000"/>
              <w:bottom w:val="single" w:sz="6" w:space="0" w:color="000000"/>
              <w:right w:val="single" w:sz="6" w:space="0" w:color="000000"/>
            </w:tcBorders>
          </w:tcPr>
          <w:p w14:paraId="26FC4B04" w14:textId="1F0681BD" w:rsidR="00B2254C" w:rsidRPr="0062295F" w:rsidRDefault="00B2254C" w:rsidP="00B2254C">
            <w:pPr>
              <w:pStyle w:val="TableParagraph"/>
              <w:ind w:left="420"/>
              <w:rPr>
                <w:rFonts w:ascii="Times New Roman" w:eastAsia="Times New Roman" w:hAnsi="Times New Roman" w:cs="Times New Roman"/>
              </w:rPr>
            </w:pPr>
            <w:r w:rsidRPr="0062295F">
              <w:rPr>
                <w:rFonts w:ascii="Times New Roman" w:hAnsi="Times New Roman" w:cs="Times New Roman"/>
              </w:rPr>
              <w:t>30 kHz</w:t>
            </w:r>
          </w:p>
        </w:tc>
      </w:tr>
    </w:tbl>
    <w:p w14:paraId="347C2388" w14:textId="77777777" w:rsidR="007B5D01" w:rsidRDefault="007B5D01" w:rsidP="00A83A6A">
      <w:pPr>
        <w:spacing w:after="0"/>
        <w:rPr>
          <w:rFonts w:ascii="Times New Roman" w:hAnsi="Times New Roman"/>
          <w:sz w:val="21"/>
          <w:szCs w:val="21"/>
        </w:rPr>
      </w:pPr>
    </w:p>
    <w:p w14:paraId="2ED5A929" w14:textId="77777777" w:rsidR="00A83A6A" w:rsidRPr="007D04B2" w:rsidRDefault="00A83A6A" w:rsidP="00A83A6A">
      <w:pPr>
        <w:spacing w:after="0"/>
        <w:ind w:left="171"/>
        <w:rPr>
          <w:rFonts w:eastAsia="Arial" w:cs="Arial"/>
          <w:sz w:val="21"/>
          <w:szCs w:val="21"/>
        </w:rPr>
      </w:pPr>
      <w:r w:rsidRPr="007D04B2">
        <w:rPr>
          <w:b/>
          <w:sz w:val="21"/>
        </w:rPr>
        <w:t>Spurious</w:t>
      </w:r>
      <w:r w:rsidRPr="007D04B2">
        <w:rPr>
          <w:b/>
          <w:spacing w:val="-14"/>
          <w:sz w:val="21"/>
        </w:rPr>
        <w:t xml:space="preserve"> </w:t>
      </w:r>
      <w:r w:rsidRPr="007D04B2">
        <w:rPr>
          <w:b/>
          <w:sz w:val="21"/>
        </w:rPr>
        <w:t>Emission</w:t>
      </w:r>
      <w:r w:rsidRPr="007D04B2">
        <w:rPr>
          <w:b/>
          <w:spacing w:val="-13"/>
          <w:sz w:val="21"/>
        </w:rPr>
        <w:t xml:space="preserve"> </w:t>
      </w:r>
      <w:r w:rsidRPr="007D04B2">
        <w:rPr>
          <w:b/>
          <w:sz w:val="21"/>
        </w:rPr>
        <w:t>Limits</w:t>
      </w:r>
    </w:p>
    <w:p w14:paraId="55C7502D" w14:textId="77777777" w:rsidR="00A83A6A" w:rsidRPr="007D04B2" w:rsidRDefault="00A83A6A" w:rsidP="00A83A6A">
      <w:pPr>
        <w:spacing w:after="0"/>
        <w:rPr>
          <w:rFonts w:eastAsia="Arial" w:cs="Arial"/>
          <w:b/>
          <w:bCs/>
          <w:sz w:val="27"/>
          <w:szCs w:val="27"/>
        </w:rPr>
      </w:pPr>
    </w:p>
    <w:p w14:paraId="5A5BB6B9" w14:textId="1FAD1353" w:rsidR="00A83A6A" w:rsidRPr="007D04B2" w:rsidRDefault="00A83A6A" w:rsidP="00A83A6A">
      <w:pPr>
        <w:pStyle w:val="BodyText"/>
        <w:numPr>
          <w:ilvl w:val="0"/>
          <w:numId w:val="40"/>
        </w:numPr>
        <w:tabs>
          <w:tab w:val="left" w:pos="531"/>
        </w:tabs>
        <w:spacing w:line="282" w:lineRule="auto"/>
        <w:ind w:right="1313"/>
        <w:jc w:val="left"/>
      </w:pPr>
      <w:r w:rsidRPr="007D04B2">
        <w:t>The</w:t>
      </w:r>
      <w:r w:rsidRPr="007D04B2">
        <w:rPr>
          <w:spacing w:val="6"/>
        </w:rPr>
        <w:t xml:space="preserve"> </w:t>
      </w:r>
      <w:r w:rsidRPr="007D04B2">
        <w:t>licensee</w:t>
      </w:r>
      <w:r w:rsidRPr="007D04B2">
        <w:rPr>
          <w:spacing w:val="7"/>
        </w:rPr>
        <w:t xml:space="preserve"> </w:t>
      </w:r>
      <w:r w:rsidRPr="007D04B2">
        <w:t>must</w:t>
      </w:r>
      <w:r w:rsidRPr="007D04B2">
        <w:rPr>
          <w:spacing w:val="7"/>
        </w:rPr>
        <w:t xml:space="preserve"> </w:t>
      </w:r>
      <w:r w:rsidRPr="007D04B2">
        <w:t>ensure</w:t>
      </w:r>
      <w:r w:rsidRPr="007D04B2">
        <w:rPr>
          <w:spacing w:val="7"/>
        </w:rPr>
        <w:t xml:space="preserve"> </w:t>
      </w:r>
      <w:r w:rsidRPr="007D04B2">
        <w:t>that</w:t>
      </w:r>
      <w:r w:rsidRPr="007D04B2">
        <w:rPr>
          <w:spacing w:val="7"/>
        </w:rPr>
        <w:t xml:space="preserve"> </w:t>
      </w:r>
      <w:r w:rsidRPr="007D04B2">
        <w:t>radiocommunications</w:t>
      </w:r>
      <w:r w:rsidRPr="007D04B2">
        <w:rPr>
          <w:spacing w:val="8"/>
        </w:rPr>
        <w:t xml:space="preserve"> </w:t>
      </w:r>
      <w:r w:rsidRPr="007D04B2">
        <w:t>devices</w:t>
      </w:r>
      <w:r w:rsidRPr="007D04B2">
        <w:rPr>
          <w:spacing w:val="6"/>
        </w:rPr>
        <w:t xml:space="preserve"> </w:t>
      </w:r>
      <w:r w:rsidR="005B14CB">
        <w:rPr>
          <w:spacing w:val="6"/>
        </w:rPr>
        <w:t>o</w:t>
      </w:r>
      <w:r w:rsidRPr="007D04B2">
        <w:t>perated</w:t>
      </w:r>
      <w:r w:rsidRPr="007D04B2">
        <w:rPr>
          <w:spacing w:val="7"/>
        </w:rPr>
        <w:t xml:space="preserve"> </w:t>
      </w:r>
      <w:r w:rsidRPr="007D04B2">
        <w:t>under</w:t>
      </w:r>
      <w:r w:rsidRPr="007D04B2">
        <w:rPr>
          <w:spacing w:val="7"/>
        </w:rPr>
        <w:t xml:space="preserve"> </w:t>
      </w:r>
      <w:r w:rsidRPr="007D04B2">
        <w:t>this</w:t>
      </w:r>
      <w:r w:rsidRPr="007D04B2">
        <w:rPr>
          <w:spacing w:val="7"/>
        </w:rPr>
        <w:t xml:space="preserve"> </w:t>
      </w:r>
      <w:proofErr w:type="spellStart"/>
      <w:r w:rsidRPr="007D04B2">
        <w:t>licence</w:t>
      </w:r>
      <w:proofErr w:type="spellEnd"/>
      <w:r w:rsidRPr="007D04B2">
        <w:rPr>
          <w:w w:val="101"/>
        </w:rPr>
        <w:t xml:space="preserve"> </w:t>
      </w:r>
      <w:r w:rsidRPr="007D04B2">
        <w:t>do</w:t>
      </w:r>
      <w:r w:rsidRPr="007D04B2">
        <w:rPr>
          <w:spacing w:val="4"/>
        </w:rPr>
        <w:t xml:space="preserve"> </w:t>
      </w:r>
      <w:r w:rsidRPr="007D04B2">
        <w:t>not</w:t>
      </w:r>
      <w:r w:rsidRPr="007D04B2">
        <w:rPr>
          <w:spacing w:val="4"/>
        </w:rPr>
        <w:t xml:space="preserve"> </w:t>
      </w:r>
      <w:r w:rsidRPr="007D04B2">
        <w:t>exceed</w:t>
      </w:r>
      <w:r w:rsidRPr="007D04B2">
        <w:rPr>
          <w:spacing w:val="5"/>
        </w:rPr>
        <w:t xml:space="preserve"> </w:t>
      </w:r>
      <w:r w:rsidRPr="007D04B2">
        <w:t>the</w:t>
      </w:r>
      <w:r w:rsidRPr="007D04B2">
        <w:rPr>
          <w:spacing w:val="4"/>
        </w:rPr>
        <w:t xml:space="preserve"> </w:t>
      </w:r>
      <w:r w:rsidRPr="007D04B2">
        <w:rPr>
          <w:spacing w:val="-1"/>
        </w:rPr>
        <w:t>spurious</w:t>
      </w:r>
      <w:r w:rsidRPr="007D04B2">
        <w:rPr>
          <w:spacing w:val="6"/>
        </w:rPr>
        <w:t xml:space="preserve"> </w:t>
      </w:r>
      <w:r w:rsidRPr="007D04B2">
        <w:t>emission</w:t>
      </w:r>
      <w:r w:rsidRPr="007D04B2">
        <w:rPr>
          <w:spacing w:val="4"/>
        </w:rPr>
        <w:t xml:space="preserve"> </w:t>
      </w:r>
      <w:r w:rsidRPr="007D04B2">
        <w:t>limits</w:t>
      </w:r>
      <w:r w:rsidRPr="007D04B2">
        <w:rPr>
          <w:spacing w:val="5"/>
        </w:rPr>
        <w:t xml:space="preserve"> </w:t>
      </w:r>
      <w:r w:rsidRPr="007D04B2">
        <w:t>in</w:t>
      </w:r>
      <w:r w:rsidRPr="007D04B2">
        <w:rPr>
          <w:spacing w:val="4"/>
        </w:rPr>
        <w:t xml:space="preserve"> </w:t>
      </w:r>
      <w:r w:rsidRPr="007D04B2">
        <w:t>core</w:t>
      </w:r>
      <w:r w:rsidRPr="007D04B2">
        <w:rPr>
          <w:spacing w:val="4"/>
        </w:rPr>
        <w:t xml:space="preserve"> </w:t>
      </w:r>
      <w:r w:rsidRPr="007D04B2">
        <w:t>conditions</w:t>
      </w:r>
      <w:r w:rsidRPr="007D04B2">
        <w:rPr>
          <w:spacing w:val="5"/>
        </w:rPr>
        <w:t xml:space="preserve"> </w:t>
      </w:r>
      <w:r w:rsidR="00C707EC">
        <w:t>10</w:t>
      </w:r>
      <w:r w:rsidR="00C707EC" w:rsidRPr="007D04B2">
        <w:rPr>
          <w:spacing w:val="4"/>
        </w:rPr>
        <w:t xml:space="preserve"> </w:t>
      </w:r>
      <w:r w:rsidRPr="007D04B2">
        <w:t>and</w:t>
      </w:r>
      <w:r w:rsidRPr="007D04B2">
        <w:rPr>
          <w:spacing w:val="5"/>
        </w:rPr>
        <w:t xml:space="preserve"> </w:t>
      </w:r>
      <w:r w:rsidR="00C707EC" w:rsidRPr="007D04B2">
        <w:t>1</w:t>
      </w:r>
      <w:r w:rsidR="00C707EC">
        <w:t>1</w:t>
      </w:r>
      <w:r w:rsidRPr="007D04B2">
        <w:t>.</w:t>
      </w:r>
    </w:p>
    <w:p w14:paraId="0B7DB206" w14:textId="77777777" w:rsidR="00A83A6A" w:rsidRPr="007D04B2" w:rsidRDefault="00A83A6A" w:rsidP="00A83A6A">
      <w:pPr>
        <w:spacing w:after="0"/>
        <w:rPr>
          <w:rFonts w:ascii="Times New Roman" w:hAnsi="Times New Roman"/>
          <w:sz w:val="24"/>
        </w:rPr>
      </w:pPr>
    </w:p>
    <w:p w14:paraId="70234959" w14:textId="3F20A6EA" w:rsidR="00A83A6A" w:rsidRPr="007D04B2" w:rsidRDefault="00A83A6A" w:rsidP="00A83A6A">
      <w:pPr>
        <w:pStyle w:val="BodyText"/>
        <w:numPr>
          <w:ilvl w:val="0"/>
          <w:numId w:val="40"/>
        </w:numPr>
        <w:tabs>
          <w:tab w:val="left" w:pos="531"/>
        </w:tabs>
        <w:spacing w:line="282" w:lineRule="auto"/>
        <w:ind w:right="1440" w:hanging="326"/>
        <w:jc w:val="left"/>
      </w:pPr>
      <w:r w:rsidRPr="007D04B2">
        <w:rPr>
          <w:spacing w:val="-1"/>
        </w:rPr>
        <w:t>For</w:t>
      </w:r>
      <w:r w:rsidRPr="007D04B2">
        <w:rPr>
          <w:spacing w:val="7"/>
        </w:rPr>
        <w:t xml:space="preserve"> </w:t>
      </w:r>
      <w:r w:rsidRPr="007D04B2">
        <w:t>radiocommunications</w:t>
      </w:r>
      <w:r w:rsidRPr="007D04B2">
        <w:rPr>
          <w:spacing w:val="9"/>
        </w:rPr>
        <w:t xml:space="preserve"> </w:t>
      </w:r>
      <w:r w:rsidRPr="007D04B2">
        <w:t>transmitters</w:t>
      </w:r>
      <w:r w:rsidRPr="007D04B2">
        <w:rPr>
          <w:spacing w:val="8"/>
        </w:rPr>
        <w:t xml:space="preserve"> </w:t>
      </w:r>
      <w:r w:rsidRPr="007D04B2">
        <w:t>operated</w:t>
      </w:r>
      <w:r w:rsidRPr="007D04B2">
        <w:rPr>
          <w:spacing w:val="8"/>
        </w:rPr>
        <w:t xml:space="preserve"> </w:t>
      </w:r>
      <w:r w:rsidRPr="007D04B2">
        <w:t>under</w:t>
      </w:r>
      <w:r w:rsidRPr="007D04B2">
        <w:rPr>
          <w:spacing w:val="7"/>
        </w:rPr>
        <w:t xml:space="preserve"> </w:t>
      </w:r>
      <w:r w:rsidRPr="007D04B2">
        <w:t>this</w:t>
      </w:r>
      <w:r w:rsidRPr="007D04B2">
        <w:rPr>
          <w:spacing w:val="8"/>
        </w:rPr>
        <w:t xml:space="preserve"> </w:t>
      </w:r>
      <w:proofErr w:type="spellStart"/>
      <w:r w:rsidRPr="007D04B2">
        <w:t>licence</w:t>
      </w:r>
      <w:proofErr w:type="spellEnd"/>
      <w:r w:rsidRPr="007D04B2">
        <w:t>,</w:t>
      </w:r>
      <w:r w:rsidRPr="007D04B2">
        <w:rPr>
          <w:spacing w:val="8"/>
        </w:rPr>
        <w:t xml:space="preserve"> </w:t>
      </w:r>
      <w:r w:rsidRPr="007D04B2">
        <w:t>the</w:t>
      </w:r>
      <w:r w:rsidRPr="007D04B2">
        <w:rPr>
          <w:spacing w:val="8"/>
        </w:rPr>
        <w:t xml:space="preserve"> </w:t>
      </w:r>
      <w:r w:rsidRPr="007D04B2">
        <w:rPr>
          <w:spacing w:val="-1"/>
        </w:rPr>
        <w:t>spurious</w:t>
      </w:r>
      <w:r w:rsidRPr="007D04B2">
        <w:rPr>
          <w:spacing w:val="21"/>
          <w:w w:val="101"/>
        </w:rPr>
        <w:t xml:space="preserve"> </w:t>
      </w:r>
      <w:r w:rsidRPr="007D04B2">
        <w:t>emission</w:t>
      </w:r>
      <w:r w:rsidRPr="007D04B2">
        <w:rPr>
          <w:spacing w:val="5"/>
        </w:rPr>
        <w:t xml:space="preserve"> </w:t>
      </w:r>
      <w:r w:rsidRPr="007D04B2">
        <w:t>limits</w:t>
      </w:r>
      <w:r w:rsidRPr="007D04B2">
        <w:rPr>
          <w:spacing w:val="6"/>
        </w:rPr>
        <w:t xml:space="preserve"> </w:t>
      </w:r>
      <w:r w:rsidRPr="007D04B2">
        <w:t>in</w:t>
      </w:r>
      <w:r w:rsidRPr="007D04B2">
        <w:rPr>
          <w:spacing w:val="5"/>
        </w:rPr>
        <w:t xml:space="preserve"> </w:t>
      </w:r>
      <w:r w:rsidRPr="007D04B2">
        <w:t>Table</w:t>
      </w:r>
      <w:r w:rsidRPr="007D04B2">
        <w:rPr>
          <w:spacing w:val="6"/>
        </w:rPr>
        <w:t xml:space="preserve"> </w:t>
      </w:r>
      <w:r w:rsidR="00C707EC">
        <w:t>6</w:t>
      </w:r>
      <w:r w:rsidR="00C707EC" w:rsidRPr="007D04B2">
        <w:rPr>
          <w:spacing w:val="5"/>
        </w:rPr>
        <w:t xml:space="preserve"> </w:t>
      </w:r>
      <w:r w:rsidRPr="007D04B2">
        <w:t>apply</w:t>
      </w:r>
      <w:r w:rsidRPr="007D04B2">
        <w:rPr>
          <w:spacing w:val="6"/>
        </w:rPr>
        <w:t xml:space="preserve"> </w:t>
      </w:r>
      <w:r w:rsidRPr="007D04B2">
        <w:t>at</w:t>
      </w:r>
      <w:r w:rsidRPr="007D04B2">
        <w:rPr>
          <w:spacing w:val="5"/>
        </w:rPr>
        <w:t xml:space="preserve"> </w:t>
      </w:r>
      <w:r w:rsidRPr="007D04B2">
        <w:t>frequencies</w:t>
      </w:r>
      <w:r w:rsidRPr="007D04B2">
        <w:rPr>
          <w:spacing w:val="6"/>
        </w:rPr>
        <w:t xml:space="preserve"> </w:t>
      </w:r>
      <w:r w:rsidR="005E355B" w:rsidRPr="005E355B">
        <w:rPr>
          <w:spacing w:val="6"/>
        </w:rPr>
        <w:t>outside the 1710-1785 MHz and 1805-1880 MHz frequency bands</w:t>
      </w:r>
      <w:r w:rsidRPr="007D04B2">
        <w:t>,</w:t>
      </w:r>
      <w:r w:rsidRPr="007D04B2">
        <w:rPr>
          <w:spacing w:val="6"/>
        </w:rPr>
        <w:t xml:space="preserve"> </w:t>
      </w:r>
      <w:r w:rsidRPr="007D04B2">
        <w:t>measured</w:t>
      </w:r>
      <w:r w:rsidRPr="007D04B2">
        <w:rPr>
          <w:spacing w:val="6"/>
        </w:rPr>
        <w:t xml:space="preserve"> </w:t>
      </w:r>
      <w:r w:rsidRPr="007D04B2">
        <w:t>over</w:t>
      </w:r>
      <w:r w:rsidRPr="007D04B2">
        <w:rPr>
          <w:spacing w:val="6"/>
        </w:rPr>
        <w:t xml:space="preserve"> </w:t>
      </w:r>
      <w:r w:rsidRPr="007D04B2">
        <w:t>the</w:t>
      </w:r>
      <w:r w:rsidRPr="007D04B2">
        <w:rPr>
          <w:spacing w:val="6"/>
        </w:rPr>
        <w:t xml:space="preserve"> </w:t>
      </w:r>
      <w:r w:rsidRPr="007D04B2">
        <w:rPr>
          <w:spacing w:val="-1"/>
        </w:rPr>
        <w:t>specified</w:t>
      </w:r>
      <w:r w:rsidRPr="007D04B2">
        <w:rPr>
          <w:spacing w:val="7"/>
        </w:rPr>
        <w:t xml:space="preserve"> </w:t>
      </w:r>
      <w:r w:rsidRPr="007D04B2">
        <w:t>bandwidth</w:t>
      </w:r>
      <w:r w:rsidRPr="007D04B2">
        <w:rPr>
          <w:spacing w:val="6"/>
        </w:rPr>
        <w:t xml:space="preserve"> </w:t>
      </w:r>
      <w:r w:rsidRPr="007D04B2">
        <w:t>for</w:t>
      </w:r>
      <w:r w:rsidRPr="007D04B2">
        <w:rPr>
          <w:spacing w:val="6"/>
        </w:rPr>
        <w:t xml:space="preserve"> </w:t>
      </w:r>
      <w:r w:rsidRPr="007D04B2">
        <w:t>the</w:t>
      </w:r>
      <w:r w:rsidRPr="007D04B2">
        <w:rPr>
          <w:spacing w:val="6"/>
        </w:rPr>
        <w:t xml:space="preserve"> </w:t>
      </w:r>
      <w:r w:rsidRPr="007D04B2">
        <w:t>relevant</w:t>
      </w:r>
      <w:r w:rsidRPr="007D04B2">
        <w:rPr>
          <w:spacing w:val="6"/>
        </w:rPr>
        <w:t xml:space="preserve"> </w:t>
      </w:r>
      <w:r w:rsidRPr="007D04B2">
        <w:t>frequency</w:t>
      </w:r>
      <w:r w:rsidRPr="007D04B2">
        <w:rPr>
          <w:spacing w:val="6"/>
        </w:rPr>
        <w:t xml:space="preserve"> </w:t>
      </w:r>
      <w:r w:rsidRPr="007D04B2">
        <w:t>range.</w:t>
      </w:r>
    </w:p>
    <w:p w14:paraId="14C1CBE1" w14:textId="77777777" w:rsidR="00A83A6A" w:rsidRPr="007D04B2" w:rsidRDefault="00A83A6A" w:rsidP="00A83A6A">
      <w:pPr>
        <w:spacing w:after="0"/>
        <w:rPr>
          <w:rFonts w:ascii="Times New Roman" w:hAnsi="Times New Roman"/>
          <w:szCs w:val="20"/>
        </w:rPr>
      </w:pPr>
    </w:p>
    <w:p w14:paraId="31DE5D09" w14:textId="59407CCF" w:rsidR="00A83A6A" w:rsidRPr="007D04B2" w:rsidRDefault="009E3601" w:rsidP="0062295F">
      <w:pPr>
        <w:pStyle w:val="BodyText"/>
        <w:rPr>
          <w:b/>
          <w:bCs/>
          <w:sz w:val="8"/>
          <w:szCs w:val="8"/>
        </w:rPr>
      </w:pPr>
      <w:bookmarkStart w:id="106" w:name="_Toc507878626"/>
      <w:bookmarkStart w:id="107" w:name="_Toc55989603"/>
      <w:bookmarkStart w:id="108" w:name="_Toc56006352"/>
      <w:bookmarkStart w:id="109" w:name="_Toc56507472"/>
      <w:bookmarkStart w:id="110" w:name="_Toc57808785"/>
      <w:bookmarkStart w:id="111" w:name="_Toc57809609"/>
      <w:proofErr w:type="spellStart"/>
      <w:r w:rsidRPr="0062295F">
        <w:rPr>
          <w:b/>
          <w:bCs/>
          <w:sz w:val="18"/>
          <w:szCs w:val="18"/>
        </w:rPr>
        <w:t>Licence</w:t>
      </w:r>
      <w:proofErr w:type="spellEnd"/>
      <w:r w:rsidRPr="0062295F">
        <w:rPr>
          <w:b/>
          <w:bCs/>
          <w:sz w:val="18"/>
          <w:szCs w:val="18"/>
        </w:rPr>
        <w:t xml:space="preserve"> </w:t>
      </w:r>
      <w:r w:rsidR="00A83A6A" w:rsidRPr="0062295F">
        <w:rPr>
          <w:b/>
          <w:bCs/>
          <w:sz w:val="18"/>
          <w:szCs w:val="18"/>
        </w:rPr>
        <w:t xml:space="preserve">Table </w:t>
      </w:r>
      <w:r w:rsidR="005E355B" w:rsidRPr="0062295F">
        <w:rPr>
          <w:b/>
          <w:bCs/>
          <w:sz w:val="18"/>
          <w:szCs w:val="18"/>
        </w:rPr>
        <w:t>6</w:t>
      </w:r>
      <w:r w:rsidR="00A83A6A" w:rsidRPr="0062295F">
        <w:rPr>
          <w:b/>
          <w:bCs/>
          <w:sz w:val="18"/>
          <w:szCs w:val="18"/>
        </w:rPr>
        <w:t>: Radiocommunications transmitter spurious emission limits</w:t>
      </w:r>
      <w:bookmarkEnd w:id="106"/>
      <w:bookmarkEnd w:id="107"/>
      <w:bookmarkEnd w:id="108"/>
      <w:bookmarkEnd w:id="109"/>
      <w:bookmarkEnd w:id="110"/>
      <w:bookmarkEnd w:id="111"/>
    </w:p>
    <w:tbl>
      <w:tblPr>
        <w:tblW w:w="7658" w:type="dxa"/>
        <w:tblInd w:w="170" w:type="dxa"/>
        <w:tblLayout w:type="fixed"/>
        <w:tblCellMar>
          <w:left w:w="0" w:type="dxa"/>
          <w:right w:w="0" w:type="dxa"/>
        </w:tblCellMar>
        <w:tblLook w:val="01E0" w:firstRow="1" w:lastRow="1" w:firstColumn="1" w:lastColumn="1" w:noHBand="0" w:noVBand="0"/>
      </w:tblPr>
      <w:tblGrid>
        <w:gridCol w:w="3391"/>
        <w:gridCol w:w="2810"/>
        <w:gridCol w:w="1457"/>
      </w:tblGrid>
      <w:tr w:rsidR="00A83A6A" w:rsidRPr="007D04B2" w14:paraId="6C0ABACE" w14:textId="77777777" w:rsidTr="0062295F">
        <w:trPr>
          <w:trHeight w:hRule="exact" w:val="529"/>
        </w:trPr>
        <w:tc>
          <w:tcPr>
            <w:tcW w:w="3391" w:type="dxa"/>
            <w:tcBorders>
              <w:top w:val="single" w:sz="6" w:space="0" w:color="000000"/>
              <w:left w:val="single" w:sz="6" w:space="0" w:color="000000"/>
              <w:bottom w:val="single" w:sz="6" w:space="0" w:color="000000"/>
              <w:right w:val="single" w:sz="6" w:space="0" w:color="000000"/>
            </w:tcBorders>
          </w:tcPr>
          <w:p w14:paraId="3AA3E6AE" w14:textId="77777777" w:rsidR="00A83A6A" w:rsidRPr="0062295F" w:rsidRDefault="00A83A6A" w:rsidP="00A83A6A">
            <w:pPr>
              <w:pStyle w:val="TableParagraph"/>
              <w:ind w:right="29"/>
              <w:jc w:val="center"/>
              <w:rPr>
                <w:rFonts w:ascii="Times New Roman" w:eastAsia="Times New Roman" w:hAnsi="Times New Roman" w:cs="Times New Roman"/>
              </w:rPr>
            </w:pPr>
            <w:bookmarkStart w:id="112" w:name="_Hlk50551018"/>
            <w:r w:rsidRPr="0062295F">
              <w:rPr>
                <w:rFonts w:ascii="Times New Roman"/>
                <w:b/>
                <w:spacing w:val="-5"/>
              </w:rPr>
              <w:t>Frequency</w:t>
            </w:r>
            <w:r w:rsidRPr="0062295F">
              <w:rPr>
                <w:rFonts w:ascii="Times New Roman"/>
                <w:b/>
                <w:spacing w:val="33"/>
              </w:rPr>
              <w:t xml:space="preserve"> </w:t>
            </w:r>
            <w:r w:rsidRPr="0062295F">
              <w:rPr>
                <w:rFonts w:ascii="Times New Roman"/>
                <w:b/>
                <w:spacing w:val="-5"/>
              </w:rPr>
              <w:t>range</w:t>
            </w:r>
          </w:p>
          <w:p w14:paraId="3CD574D5" w14:textId="77777777" w:rsidR="00A83A6A" w:rsidRPr="0062295F" w:rsidRDefault="00A83A6A" w:rsidP="00A83A6A">
            <w:pPr>
              <w:pStyle w:val="TableParagraph"/>
              <w:ind w:right="6"/>
              <w:jc w:val="center"/>
              <w:rPr>
                <w:rFonts w:ascii="Times New Roman" w:eastAsia="Times New Roman" w:hAnsi="Times New Roman" w:cs="Times New Roman"/>
              </w:rPr>
            </w:pPr>
            <w:r w:rsidRPr="0062295F">
              <w:rPr>
                <w:rFonts w:ascii="Times New Roman"/>
                <w:b/>
              </w:rPr>
              <w:t>(f)</w:t>
            </w:r>
          </w:p>
        </w:tc>
        <w:tc>
          <w:tcPr>
            <w:tcW w:w="2810" w:type="dxa"/>
            <w:tcBorders>
              <w:top w:val="single" w:sz="6" w:space="0" w:color="000000"/>
              <w:left w:val="single" w:sz="6" w:space="0" w:color="000000"/>
              <w:bottom w:val="single" w:sz="6" w:space="0" w:color="000000"/>
              <w:right w:val="single" w:sz="6" w:space="0" w:color="000000"/>
            </w:tcBorders>
          </w:tcPr>
          <w:p w14:paraId="047FFA5C" w14:textId="2D02A446" w:rsidR="008C02D2" w:rsidRDefault="005E355B" w:rsidP="005E355B">
            <w:pPr>
              <w:pStyle w:val="TableParagraph"/>
              <w:ind w:right="14"/>
              <w:jc w:val="center"/>
              <w:rPr>
                <w:rFonts w:ascii="Times New Roman"/>
                <w:b/>
                <w:spacing w:val="-8"/>
              </w:rPr>
            </w:pPr>
            <w:r w:rsidRPr="0062295F">
              <w:rPr>
                <w:rFonts w:ascii="Times New Roman"/>
                <w:b/>
                <w:spacing w:val="-1"/>
              </w:rPr>
              <w:t>Radiated m</w:t>
            </w:r>
            <w:r w:rsidR="00A83A6A" w:rsidRPr="0062295F">
              <w:rPr>
                <w:rFonts w:ascii="Times New Roman"/>
                <w:b/>
                <w:spacing w:val="-1"/>
              </w:rPr>
              <w:t>ean</w:t>
            </w:r>
            <w:r w:rsidR="00A83A6A" w:rsidRPr="0062295F">
              <w:rPr>
                <w:rFonts w:ascii="Times New Roman"/>
                <w:b/>
                <w:spacing w:val="12"/>
              </w:rPr>
              <w:t xml:space="preserve"> </w:t>
            </w:r>
            <w:r w:rsidR="00A83A6A" w:rsidRPr="0062295F">
              <w:rPr>
                <w:rFonts w:ascii="Times New Roman"/>
                <w:b/>
                <w:spacing w:val="-1"/>
              </w:rPr>
              <w:t>power</w:t>
            </w:r>
            <w:r w:rsidRPr="0062295F">
              <w:rPr>
                <w:rFonts w:ascii="Times New Roman"/>
                <w:b/>
                <w:spacing w:val="-8"/>
              </w:rPr>
              <w:t xml:space="preserve"> </w:t>
            </w:r>
          </w:p>
          <w:p w14:paraId="04296E29" w14:textId="01DD04DF" w:rsidR="00A83A6A" w:rsidRPr="0062295F" w:rsidRDefault="00A83A6A" w:rsidP="0062295F">
            <w:pPr>
              <w:pStyle w:val="TableParagraph"/>
              <w:ind w:right="14"/>
              <w:jc w:val="center"/>
              <w:rPr>
                <w:rFonts w:ascii="Times New Roman" w:eastAsia="Times New Roman" w:hAnsi="Times New Roman" w:cs="Times New Roman"/>
              </w:rPr>
            </w:pPr>
            <w:r w:rsidRPr="0062295F">
              <w:rPr>
                <w:rFonts w:ascii="Times New Roman"/>
                <w:b/>
                <w:spacing w:val="-8"/>
              </w:rPr>
              <w:t>(dBm</w:t>
            </w:r>
            <w:r w:rsidR="008C02D2">
              <w:rPr>
                <w:rFonts w:ascii="Times New Roman"/>
                <w:b/>
                <w:spacing w:val="-8"/>
              </w:rPr>
              <w:t xml:space="preserve"> EIRP</w:t>
            </w:r>
            <w:r w:rsidRPr="0062295F">
              <w:rPr>
                <w:rFonts w:ascii="Times New Roman"/>
                <w:b/>
                <w:spacing w:val="-8"/>
              </w:rPr>
              <w:t>)</w:t>
            </w:r>
          </w:p>
        </w:tc>
        <w:tc>
          <w:tcPr>
            <w:tcW w:w="1457" w:type="dxa"/>
            <w:tcBorders>
              <w:top w:val="single" w:sz="6" w:space="0" w:color="000000"/>
              <w:left w:val="single" w:sz="6" w:space="0" w:color="000000"/>
              <w:bottom w:val="single" w:sz="6" w:space="0" w:color="000000"/>
              <w:right w:val="single" w:sz="6" w:space="0" w:color="000000"/>
            </w:tcBorders>
          </w:tcPr>
          <w:p w14:paraId="4473CA06" w14:textId="77777777" w:rsidR="00A83A6A" w:rsidRPr="0062295F" w:rsidRDefault="00A83A6A" w:rsidP="00A83A6A">
            <w:pPr>
              <w:pStyle w:val="TableParagraph"/>
              <w:ind w:left="187" w:firstLine="70"/>
              <w:rPr>
                <w:rFonts w:ascii="Times New Roman" w:eastAsia="Times New Roman" w:hAnsi="Times New Roman" w:cs="Times New Roman"/>
              </w:rPr>
            </w:pPr>
            <w:r w:rsidRPr="0062295F">
              <w:rPr>
                <w:rFonts w:ascii="Times New Roman"/>
                <w:b/>
                <w:spacing w:val="-2"/>
              </w:rPr>
              <w:t>Specified</w:t>
            </w:r>
          </w:p>
          <w:p w14:paraId="291A2BB0" w14:textId="77777777" w:rsidR="00A83A6A" w:rsidRPr="0062295F" w:rsidRDefault="00A83A6A" w:rsidP="00A83A6A">
            <w:pPr>
              <w:pStyle w:val="TableParagraph"/>
              <w:ind w:left="187"/>
              <w:rPr>
                <w:rFonts w:ascii="Times New Roman" w:eastAsia="Times New Roman" w:hAnsi="Times New Roman" w:cs="Times New Roman"/>
              </w:rPr>
            </w:pPr>
            <w:r w:rsidRPr="0062295F">
              <w:rPr>
                <w:rFonts w:ascii="Times New Roman"/>
                <w:b/>
                <w:spacing w:val="-6"/>
              </w:rPr>
              <w:t>Bandwidth</w:t>
            </w:r>
          </w:p>
        </w:tc>
      </w:tr>
      <w:tr w:rsidR="00A83A6A" w:rsidRPr="007D04B2" w14:paraId="58068A4A"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72AD4FB1" w14:textId="77777777" w:rsidR="00A83A6A" w:rsidRPr="007D04B2" w:rsidRDefault="00A83A6A">
            <w:pPr>
              <w:pStyle w:val="TableParagraph"/>
              <w:ind w:left="776"/>
              <w:rPr>
                <w:rFonts w:ascii="Times New Roman" w:eastAsia="Times New Roman" w:hAnsi="Times New Roman" w:cs="Times New Roman"/>
                <w:sz w:val="21"/>
                <w:szCs w:val="21"/>
              </w:rPr>
            </w:pPr>
            <w:r w:rsidRPr="007D04B2">
              <w:rPr>
                <w:rFonts w:ascii="Times New Roman"/>
                <w:sz w:val="21"/>
              </w:rPr>
              <w:t>9</w:t>
            </w:r>
            <w:r w:rsidRPr="007D04B2">
              <w:rPr>
                <w:rFonts w:ascii="Times New Roman"/>
                <w:spacing w:val="2"/>
                <w:sz w:val="21"/>
              </w:rPr>
              <w:t xml:space="preserve"> </w:t>
            </w:r>
            <w:r w:rsidRPr="007D04B2">
              <w:rPr>
                <w:rFonts w:ascii="Times New Roman"/>
                <w:sz w:val="21"/>
              </w:rPr>
              <w:t>kHz</w:t>
            </w:r>
            <w:r w:rsidRPr="007D04B2">
              <w:rPr>
                <w:rFonts w:ascii="Times New Roman"/>
                <w:spacing w:val="14"/>
                <w:sz w:val="21"/>
              </w:rPr>
              <w:t xml:space="preserve"> </w:t>
            </w:r>
            <w:r w:rsidRPr="007D04B2">
              <w:rPr>
                <w:rFonts w:ascii="Times New Roman"/>
                <w:sz w:val="21"/>
                <w:u w:val="single" w:color="000000"/>
              </w:rPr>
              <w:t>&lt;</w:t>
            </w:r>
            <w:r w:rsidRPr="007D04B2">
              <w:rPr>
                <w:rFonts w:ascii="Times New Roman"/>
                <w:spacing w:val="13"/>
                <w:sz w:val="21"/>
                <w:u w:val="single" w:color="000000"/>
              </w:rPr>
              <w:t xml:space="preserve"> </w:t>
            </w:r>
            <w:r w:rsidRPr="007D04B2">
              <w:rPr>
                <w:rFonts w:ascii="Times New Roman"/>
                <w:sz w:val="21"/>
              </w:rPr>
              <w:t>f</w:t>
            </w:r>
            <w:r w:rsidRPr="007D04B2">
              <w:rPr>
                <w:rFonts w:ascii="Times New Roman"/>
                <w:spacing w:val="2"/>
                <w:sz w:val="21"/>
              </w:rPr>
              <w:t xml:space="preserve"> </w:t>
            </w:r>
            <w:r w:rsidRPr="007D04B2">
              <w:rPr>
                <w:rFonts w:ascii="Times New Roman"/>
                <w:sz w:val="21"/>
              </w:rPr>
              <w:t>&lt;</w:t>
            </w:r>
            <w:r w:rsidRPr="007D04B2">
              <w:rPr>
                <w:rFonts w:ascii="Times New Roman"/>
                <w:spacing w:val="3"/>
                <w:sz w:val="21"/>
              </w:rPr>
              <w:t xml:space="preserve"> </w:t>
            </w:r>
            <w:r w:rsidRPr="007D04B2">
              <w:rPr>
                <w:rFonts w:ascii="Times New Roman"/>
                <w:sz w:val="21"/>
              </w:rPr>
              <w:t>150</w:t>
            </w:r>
            <w:r w:rsidRPr="007D04B2">
              <w:rPr>
                <w:rFonts w:ascii="Times New Roman"/>
                <w:spacing w:val="2"/>
                <w:sz w:val="21"/>
              </w:rPr>
              <w:t xml:space="preserve"> </w:t>
            </w:r>
            <w:r w:rsidRPr="007D04B2">
              <w:rPr>
                <w:rFonts w:ascii="Times New Roman"/>
                <w:sz w:val="21"/>
              </w:rPr>
              <w:t>kHz</w:t>
            </w:r>
          </w:p>
        </w:tc>
        <w:tc>
          <w:tcPr>
            <w:tcW w:w="2810" w:type="dxa"/>
            <w:tcBorders>
              <w:top w:val="single" w:sz="6" w:space="0" w:color="000000"/>
              <w:left w:val="single" w:sz="6" w:space="0" w:color="000000"/>
              <w:bottom w:val="single" w:sz="6" w:space="0" w:color="000000"/>
              <w:right w:val="single" w:sz="6" w:space="0" w:color="000000"/>
            </w:tcBorders>
          </w:tcPr>
          <w:p w14:paraId="7DD73800" w14:textId="77777777" w:rsidR="00A83A6A" w:rsidRPr="007D04B2" w:rsidRDefault="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448C5E32" w14:textId="77777777" w:rsidR="00A83A6A" w:rsidRPr="007D04B2" w:rsidRDefault="00A83A6A" w:rsidP="0062295F">
            <w:pPr>
              <w:pStyle w:val="TableParagraph"/>
              <w:jc w:val="center"/>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4"/>
                <w:sz w:val="21"/>
              </w:rPr>
              <w:t xml:space="preserve"> </w:t>
            </w:r>
            <w:r w:rsidRPr="007D04B2">
              <w:rPr>
                <w:rFonts w:ascii="Times New Roman"/>
                <w:spacing w:val="-1"/>
                <w:sz w:val="21"/>
              </w:rPr>
              <w:t>kHz</w:t>
            </w:r>
          </w:p>
        </w:tc>
      </w:tr>
      <w:tr w:rsidR="00A83A6A" w:rsidRPr="007D04B2" w14:paraId="31FD8D08"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0DF428D4" w14:textId="77777777" w:rsidR="00A83A6A" w:rsidRPr="007D04B2" w:rsidRDefault="00A83A6A">
            <w:pPr>
              <w:pStyle w:val="TableParagraph"/>
              <w:ind w:left="682"/>
              <w:rPr>
                <w:rFonts w:ascii="Times New Roman" w:eastAsia="Times New Roman" w:hAnsi="Times New Roman" w:cs="Times New Roman"/>
                <w:sz w:val="21"/>
                <w:szCs w:val="21"/>
              </w:rPr>
            </w:pPr>
            <w:r w:rsidRPr="007D04B2">
              <w:rPr>
                <w:rFonts w:ascii="Times New Roman"/>
                <w:sz w:val="21"/>
              </w:rPr>
              <w:t>150</w:t>
            </w:r>
            <w:r w:rsidRPr="007D04B2">
              <w:rPr>
                <w:rFonts w:ascii="Times New Roman"/>
                <w:spacing w:val="2"/>
                <w:sz w:val="21"/>
              </w:rPr>
              <w:t xml:space="preserve"> </w:t>
            </w:r>
            <w:r w:rsidRPr="007D04B2">
              <w:rPr>
                <w:rFonts w:ascii="Times New Roman"/>
                <w:sz w:val="21"/>
              </w:rPr>
              <w:t>kHz</w:t>
            </w:r>
            <w:r w:rsidRPr="007D04B2">
              <w:rPr>
                <w:rFonts w:ascii="Times New Roman"/>
                <w:spacing w:val="28"/>
                <w:sz w:val="21"/>
              </w:rPr>
              <w:t xml:space="preserve"> </w:t>
            </w:r>
            <w:r w:rsidRPr="007D04B2">
              <w:rPr>
                <w:rFonts w:ascii="Times New Roman"/>
                <w:sz w:val="21"/>
                <w:u w:val="single" w:color="000000"/>
              </w:rPr>
              <w:t xml:space="preserve">&lt;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2"/>
                <w:sz w:val="21"/>
              </w:rPr>
              <w:t xml:space="preserve"> </w:t>
            </w:r>
            <w:r w:rsidRPr="007D04B2">
              <w:rPr>
                <w:rFonts w:ascii="Times New Roman"/>
                <w:sz w:val="21"/>
              </w:rPr>
              <w:t>30</w:t>
            </w:r>
            <w:r w:rsidRPr="007D04B2">
              <w:rPr>
                <w:rFonts w:ascii="Times New Roman"/>
                <w:spacing w:val="3"/>
                <w:sz w:val="21"/>
              </w:rPr>
              <w:t xml:space="preserve"> </w:t>
            </w:r>
            <w:r w:rsidRPr="007D04B2">
              <w:rPr>
                <w:rFonts w:ascii="Times New Roman"/>
                <w:spacing w:val="-1"/>
                <w:sz w:val="21"/>
              </w:rPr>
              <w:t>MHz</w:t>
            </w:r>
          </w:p>
        </w:tc>
        <w:tc>
          <w:tcPr>
            <w:tcW w:w="2810" w:type="dxa"/>
            <w:tcBorders>
              <w:top w:val="single" w:sz="6" w:space="0" w:color="000000"/>
              <w:left w:val="single" w:sz="6" w:space="0" w:color="000000"/>
              <w:bottom w:val="single" w:sz="6" w:space="0" w:color="000000"/>
              <w:right w:val="single" w:sz="6" w:space="0" w:color="000000"/>
            </w:tcBorders>
          </w:tcPr>
          <w:p w14:paraId="6ACF0EBA" w14:textId="77777777" w:rsidR="00A83A6A" w:rsidRPr="007D04B2" w:rsidRDefault="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2474DAE0" w14:textId="77777777" w:rsidR="00A83A6A" w:rsidRPr="007D04B2" w:rsidRDefault="00A83A6A" w:rsidP="0062295F">
            <w:pPr>
              <w:pStyle w:val="TableParagraph"/>
              <w:jc w:val="center"/>
              <w:rPr>
                <w:rFonts w:ascii="Times New Roman" w:eastAsia="Times New Roman" w:hAnsi="Times New Roman" w:cs="Times New Roman"/>
                <w:sz w:val="21"/>
                <w:szCs w:val="21"/>
              </w:rPr>
            </w:pPr>
            <w:r w:rsidRPr="007D04B2">
              <w:rPr>
                <w:rFonts w:ascii="Times New Roman"/>
                <w:sz w:val="21"/>
              </w:rPr>
              <w:t>10</w:t>
            </w:r>
            <w:r w:rsidRPr="007D04B2">
              <w:rPr>
                <w:rFonts w:ascii="Times New Roman"/>
                <w:spacing w:val="5"/>
                <w:sz w:val="21"/>
              </w:rPr>
              <w:t xml:space="preserve"> </w:t>
            </w:r>
            <w:r w:rsidRPr="007D04B2">
              <w:rPr>
                <w:rFonts w:ascii="Times New Roman"/>
                <w:sz w:val="21"/>
              </w:rPr>
              <w:t>kHz</w:t>
            </w:r>
          </w:p>
        </w:tc>
      </w:tr>
      <w:tr w:rsidR="00A83A6A" w:rsidRPr="007D04B2" w14:paraId="4D4D11E6"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67183496" w14:textId="77777777" w:rsidR="00A83A6A" w:rsidRPr="007D04B2" w:rsidRDefault="00A83A6A">
            <w:pPr>
              <w:pStyle w:val="TableParagraph"/>
              <w:ind w:left="765"/>
              <w:rPr>
                <w:rFonts w:ascii="Times New Roman" w:eastAsia="Times New Roman" w:hAnsi="Times New Roman" w:cs="Times New Roman"/>
                <w:sz w:val="21"/>
                <w:szCs w:val="21"/>
              </w:rPr>
            </w:pPr>
            <w:r w:rsidRPr="007D04B2">
              <w:rPr>
                <w:rFonts w:ascii="Times New Roman"/>
                <w:sz w:val="21"/>
              </w:rPr>
              <w:t>30</w:t>
            </w:r>
            <w:r w:rsidRPr="007D04B2">
              <w:rPr>
                <w:rFonts w:ascii="Times New Roman"/>
                <w:spacing w:val="2"/>
                <w:sz w:val="21"/>
              </w:rPr>
              <w:t xml:space="preserve"> </w:t>
            </w:r>
            <w:r w:rsidRPr="007D04B2">
              <w:rPr>
                <w:rFonts w:ascii="Times New Roman"/>
                <w:spacing w:val="-1"/>
                <w:sz w:val="21"/>
              </w:rPr>
              <w:t>MHz</w:t>
            </w:r>
            <w:r w:rsidRPr="007D04B2">
              <w:rPr>
                <w:rFonts w:ascii="Times New Roman"/>
                <w:spacing w:val="27"/>
                <w:sz w:val="21"/>
              </w:rPr>
              <w:t xml:space="preserve"> </w:t>
            </w:r>
            <w:r w:rsidRPr="007D04B2">
              <w:rPr>
                <w:rFonts w:ascii="Times New Roman"/>
                <w:sz w:val="21"/>
                <w:u w:val="single" w:color="000000"/>
              </w:rPr>
              <w:t xml:space="preserve">&lt;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2"/>
                <w:sz w:val="21"/>
              </w:rPr>
              <w:t xml:space="preserve"> </w:t>
            </w:r>
            <w:r w:rsidRPr="007D04B2">
              <w:rPr>
                <w:rFonts w:ascii="Times New Roman"/>
                <w:sz w:val="21"/>
              </w:rPr>
              <w:t>1</w:t>
            </w:r>
            <w:r w:rsidRPr="007D04B2">
              <w:rPr>
                <w:rFonts w:ascii="Times New Roman"/>
                <w:spacing w:val="2"/>
                <w:sz w:val="21"/>
              </w:rPr>
              <w:t xml:space="preserve"> </w:t>
            </w:r>
            <w:r w:rsidRPr="007D04B2">
              <w:rPr>
                <w:rFonts w:ascii="Times New Roman"/>
                <w:spacing w:val="-1"/>
                <w:sz w:val="21"/>
              </w:rPr>
              <w:t>GHz</w:t>
            </w:r>
          </w:p>
        </w:tc>
        <w:tc>
          <w:tcPr>
            <w:tcW w:w="2810" w:type="dxa"/>
            <w:tcBorders>
              <w:top w:val="single" w:sz="6" w:space="0" w:color="000000"/>
              <w:left w:val="single" w:sz="6" w:space="0" w:color="000000"/>
              <w:bottom w:val="single" w:sz="6" w:space="0" w:color="000000"/>
              <w:right w:val="single" w:sz="6" w:space="0" w:color="000000"/>
            </w:tcBorders>
          </w:tcPr>
          <w:p w14:paraId="26A63FAD" w14:textId="77777777" w:rsidR="00A83A6A" w:rsidRPr="007D04B2" w:rsidRDefault="00A83A6A">
            <w:pPr>
              <w:pStyle w:val="TableParagraph"/>
              <w:ind w:left="3"/>
              <w:jc w:val="center"/>
              <w:rPr>
                <w:rFonts w:ascii="Times New Roman" w:eastAsia="Times New Roman" w:hAnsi="Times New Roman" w:cs="Times New Roman"/>
                <w:sz w:val="21"/>
                <w:szCs w:val="21"/>
              </w:rPr>
            </w:pPr>
            <w:r w:rsidRPr="007D04B2">
              <w:rPr>
                <w:rFonts w:ascii="Times New Roman"/>
                <w:sz w:val="21"/>
              </w:rPr>
              <w:t>-36</w:t>
            </w:r>
          </w:p>
        </w:tc>
        <w:tc>
          <w:tcPr>
            <w:tcW w:w="1457" w:type="dxa"/>
            <w:tcBorders>
              <w:top w:val="single" w:sz="6" w:space="0" w:color="000000"/>
              <w:left w:val="single" w:sz="6" w:space="0" w:color="000000"/>
              <w:bottom w:val="single" w:sz="6" w:space="0" w:color="000000"/>
              <w:right w:val="single" w:sz="6" w:space="0" w:color="000000"/>
            </w:tcBorders>
          </w:tcPr>
          <w:p w14:paraId="52E599E0" w14:textId="77777777" w:rsidR="00A83A6A" w:rsidRPr="007D04B2" w:rsidRDefault="00A83A6A" w:rsidP="0062295F">
            <w:pPr>
              <w:pStyle w:val="TableParagraph"/>
              <w:jc w:val="center"/>
              <w:rPr>
                <w:rFonts w:ascii="Times New Roman" w:eastAsia="Times New Roman" w:hAnsi="Times New Roman" w:cs="Times New Roman"/>
                <w:sz w:val="21"/>
                <w:szCs w:val="21"/>
              </w:rPr>
            </w:pPr>
            <w:r w:rsidRPr="007D04B2">
              <w:rPr>
                <w:rFonts w:ascii="Times New Roman"/>
                <w:sz w:val="21"/>
              </w:rPr>
              <w:t>100</w:t>
            </w:r>
            <w:r w:rsidRPr="007D04B2">
              <w:rPr>
                <w:rFonts w:ascii="Times New Roman"/>
                <w:spacing w:val="6"/>
                <w:sz w:val="21"/>
              </w:rPr>
              <w:t xml:space="preserve"> </w:t>
            </w:r>
            <w:r w:rsidRPr="007D04B2">
              <w:rPr>
                <w:rFonts w:ascii="Times New Roman"/>
                <w:sz w:val="21"/>
              </w:rPr>
              <w:t>kHz</w:t>
            </w:r>
          </w:p>
        </w:tc>
      </w:tr>
      <w:tr w:rsidR="008C02D2" w:rsidRPr="007D04B2" w14:paraId="0DEF44D5"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5AEC17F8" w14:textId="75FCCE50" w:rsidR="008C02D2" w:rsidRPr="007D04B2" w:rsidRDefault="008C02D2">
            <w:pPr>
              <w:pStyle w:val="TableParagraph"/>
              <w:ind w:left="765"/>
              <w:rPr>
                <w:rFonts w:ascii="Times New Roman"/>
                <w:sz w:val="21"/>
              </w:rPr>
            </w:pPr>
            <w:r w:rsidRPr="007D04B2">
              <w:rPr>
                <w:rFonts w:ascii="Times New Roman"/>
                <w:sz w:val="21"/>
              </w:rPr>
              <w:t>1</w:t>
            </w:r>
            <w:r w:rsidRPr="007D04B2">
              <w:rPr>
                <w:rFonts w:ascii="Times New Roman"/>
                <w:spacing w:val="2"/>
                <w:sz w:val="21"/>
              </w:rPr>
              <w:t xml:space="preserve"> </w:t>
            </w:r>
            <w:r w:rsidRPr="007D04B2">
              <w:rPr>
                <w:rFonts w:ascii="Times New Roman"/>
                <w:spacing w:val="-1"/>
                <w:sz w:val="21"/>
              </w:rPr>
              <w:t>GHz</w:t>
            </w:r>
            <w:r w:rsidRPr="007D04B2">
              <w:rPr>
                <w:rFonts w:ascii="Times New Roman"/>
                <w:spacing w:val="15"/>
                <w:sz w:val="21"/>
              </w:rPr>
              <w:t xml:space="preserve"> </w:t>
            </w:r>
            <w:r w:rsidRPr="007D04B2">
              <w:rPr>
                <w:rFonts w:ascii="Times New Roman"/>
                <w:sz w:val="21"/>
                <w:u w:val="single" w:color="000000"/>
              </w:rPr>
              <w:t>&lt;</w:t>
            </w:r>
            <w:r w:rsidRPr="007D04B2">
              <w:rPr>
                <w:rFonts w:ascii="Times New Roman"/>
                <w:spacing w:val="13"/>
                <w:sz w:val="21"/>
                <w:u w:val="single" w:color="000000"/>
              </w:rPr>
              <w:t xml:space="preserve">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3"/>
                <w:sz w:val="21"/>
              </w:rPr>
              <w:t xml:space="preserve"> </w:t>
            </w:r>
            <w:r>
              <w:rPr>
                <w:rFonts w:ascii="Times New Roman"/>
                <w:sz w:val="21"/>
              </w:rPr>
              <w:t>3.5</w:t>
            </w:r>
            <w:r w:rsidRPr="007D04B2">
              <w:rPr>
                <w:rFonts w:ascii="Times New Roman"/>
                <w:spacing w:val="2"/>
                <w:sz w:val="21"/>
              </w:rPr>
              <w:t xml:space="preserve"> </w:t>
            </w:r>
            <w:r w:rsidRPr="007D04B2">
              <w:rPr>
                <w:rFonts w:ascii="Times New Roman"/>
                <w:spacing w:val="-1"/>
                <w:sz w:val="21"/>
              </w:rPr>
              <w:t>GHz</w:t>
            </w:r>
          </w:p>
        </w:tc>
        <w:tc>
          <w:tcPr>
            <w:tcW w:w="2810" w:type="dxa"/>
            <w:tcBorders>
              <w:top w:val="single" w:sz="6" w:space="0" w:color="000000"/>
              <w:left w:val="single" w:sz="6" w:space="0" w:color="000000"/>
              <w:bottom w:val="single" w:sz="6" w:space="0" w:color="000000"/>
              <w:right w:val="single" w:sz="6" w:space="0" w:color="000000"/>
            </w:tcBorders>
          </w:tcPr>
          <w:p w14:paraId="2E606BBF" w14:textId="5964D5FD" w:rsidR="008C02D2" w:rsidRPr="007D04B2" w:rsidRDefault="008C02D2">
            <w:pPr>
              <w:pStyle w:val="TableParagraph"/>
              <w:ind w:left="3"/>
              <w:jc w:val="center"/>
              <w:rPr>
                <w:rFonts w:ascii="Times New Roman"/>
                <w:sz w:val="21"/>
              </w:rPr>
            </w:pPr>
            <w:r w:rsidRPr="007D04B2">
              <w:rPr>
                <w:rFonts w:ascii="Times New Roman"/>
                <w:sz w:val="21"/>
              </w:rPr>
              <w:t>-</w:t>
            </w:r>
            <w:r w:rsidR="00BE358F">
              <w:rPr>
                <w:rFonts w:ascii="Times New Roman"/>
                <w:sz w:val="21"/>
              </w:rPr>
              <w:t>2</w:t>
            </w:r>
          </w:p>
        </w:tc>
        <w:tc>
          <w:tcPr>
            <w:tcW w:w="1457" w:type="dxa"/>
            <w:tcBorders>
              <w:top w:val="single" w:sz="6" w:space="0" w:color="000000"/>
              <w:left w:val="single" w:sz="6" w:space="0" w:color="000000"/>
              <w:bottom w:val="single" w:sz="6" w:space="0" w:color="000000"/>
              <w:right w:val="single" w:sz="6" w:space="0" w:color="000000"/>
            </w:tcBorders>
          </w:tcPr>
          <w:p w14:paraId="44125262" w14:textId="30FF20FC" w:rsidR="008C02D2" w:rsidRPr="007D04B2" w:rsidRDefault="008C02D2" w:rsidP="0062295F">
            <w:pPr>
              <w:pStyle w:val="TableParagraph"/>
              <w:jc w:val="center"/>
              <w:rPr>
                <w:rFonts w:ascii="Times New Roman"/>
                <w:sz w:val="21"/>
              </w:rPr>
            </w:pPr>
            <w:r w:rsidRPr="007D04B2">
              <w:rPr>
                <w:rFonts w:ascii="Times New Roman"/>
                <w:sz w:val="21"/>
              </w:rPr>
              <w:t>1</w:t>
            </w:r>
            <w:r w:rsidRPr="007D04B2">
              <w:rPr>
                <w:rFonts w:ascii="Times New Roman"/>
                <w:spacing w:val="5"/>
                <w:sz w:val="21"/>
              </w:rPr>
              <w:t xml:space="preserve"> </w:t>
            </w:r>
            <w:r w:rsidRPr="007D04B2">
              <w:rPr>
                <w:rFonts w:ascii="Times New Roman"/>
                <w:spacing w:val="-1"/>
                <w:sz w:val="21"/>
              </w:rPr>
              <w:t>MHz</w:t>
            </w:r>
          </w:p>
        </w:tc>
      </w:tr>
      <w:tr w:rsidR="008C02D2" w:rsidRPr="007D04B2" w14:paraId="1DEE27AF" w14:textId="77777777" w:rsidTr="00A83A6A">
        <w:trPr>
          <w:trHeight w:hRule="exact" w:val="320"/>
        </w:trPr>
        <w:tc>
          <w:tcPr>
            <w:tcW w:w="3391" w:type="dxa"/>
            <w:tcBorders>
              <w:top w:val="single" w:sz="6" w:space="0" w:color="000000"/>
              <w:left w:val="single" w:sz="6" w:space="0" w:color="000000"/>
              <w:bottom w:val="single" w:sz="6" w:space="0" w:color="000000"/>
              <w:right w:val="single" w:sz="6" w:space="0" w:color="000000"/>
            </w:tcBorders>
          </w:tcPr>
          <w:p w14:paraId="20B47122" w14:textId="0C722C78" w:rsidR="008C02D2" w:rsidRPr="007D04B2" w:rsidRDefault="008C02D2">
            <w:pPr>
              <w:pStyle w:val="TableParagraph"/>
              <w:ind w:left="647"/>
              <w:rPr>
                <w:rFonts w:ascii="Times New Roman" w:eastAsia="Times New Roman" w:hAnsi="Times New Roman" w:cs="Times New Roman"/>
                <w:sz w:val="21"/>
                <w:szCs w:val="21"/>
              </w:rPr>
            </w:pPr>
            <w:r>
              <w:rPr>
                <w:rFonts w:ascii="Times New Roman"/>
                <w:sz w:val="21"/>
              </w:rPr>
              <w:t>3.5</w:t>
            </w:r>
            <w:r w:rsidRPr="007D04B2">
              <w:rPr>
                <w:rFonts w:ascii="Times New Roman"/>
                <w:spacing w:val="2"/>
                <w:sz w:val="21"/>
              </w:rPr>
              <w:t xml:space="preserve"> </w:t>
            </w:r>
            <w:r w:rsidRPr="007D04B2">
              <w:rPr>
                <w:rFonts w:ascii="Times New Roman"/>
                <w:spacing w:val="-1"/>
                <w:sz w:val="21"/>
              </w:rPr>
              <w:t>GHz</w:t>
            </w:r>
            <w:r w:rsidRPr="007D04B2">
              <w:rPr>
                <w:rFonts w:ascii="Times New Roman"/>
                <w:spacing w:val="15"/>
                <w:sz w:val="21"/>
              </w:rPr>
              <w:t xml:space="preserve"> </w:t>
            </w:r>
            <w:r w:rsidRPr="007D04B2">
              <w:rPr>
                <w:rFonts w:ascii="Times New Roman"/>
                <w:sz w:val="21"/>
                <w:u w:val="single" w:color="000000"/>
              </w:rPr>
              <w:t>&lt;</w:t>
            </w:r>
            <w:r w:rsidRPr="007D04B2">
              <w:rPr>
                <w:rFonts w:ascii="Times New Roman"/>
                <w:spacing w:val="13"/>
                <w:sz w:val="21"/>
                <w:u w:val="single" w:color="000000"/>
              </w:rPr>
              <w:t xml:space="preserve"> </w:t>
            </w:r>
            <w:r w:rsidRPr="007D04B2">
              <w:rPr>
                <w:rFonts w:ascii="Times New Roman"/>
                <w:sz w:val="21"/>
              </w:rPr>
              <w:t>f</w:t>
            </w:r>
            <w:r w:rsidRPr="007D04B2">
              <w:rPr>
                <w:rFonts w:ascii="Times New Roman"/>
                <w:spacing w:val="3"/>
                <w:sz w:val="21"/>
              </w:rPr>
              <w:t xml:space="preserve"> </w:t>
            </w:r>
            <w:r w:rsidRPr="007D04B2">
              <w:rPr>
                <w:rFonts w:ascii="Times New Roman"/>
                <w:sz w:val="21"/>
              </w:rPr>
              <w:t>&lt;</w:t>
            </w:r>
            <w:r w:rsidRPr="007D04B2">
              <w:rPr>
                <w:rFonts w:ascii="Times New Roman"/>
                <w:spacing w:val="3"/>
                <w:sz w:val="21"/>
              </w:rPr>
              <w:t xml:space="preserve"> </w:t>
            </w:r>
            <w:r w:rsidRPr="007D04B2">
              <w:rPr>
                <w:rFonts w:ascii="Times New Roman"/>
                <w:sz w:val="21"/>
              </w:rPr>
              <w:t>12.75</w:t>
            </w:r>
            <w:r w:rsidRPr="007D04B2">
              <w:rPr>
                <w:rFonts w:ascii="Times New Roman"/>
                <w:spacing w:val="2"/>
                <w:sz w:val="21"/>
              </w:rPr>
              <w:t xml:space="preserve"> </w:t>
            </w:r>
            <w:r w:rsidRPr="007D04B2">
              <w:rPr>
                <w:rFonts w:ascii="Times New Roman"/>
                <w:spacing w:val="-1"/>
                <w:sz w:val="21"/>
              </w:rPr>
              <w:t>GHz</w:t>
            </w:r>
          </w:p>
        </w:tc>
        <w:tc>
          <w:tcPr>
            <w:tcW w:w="2810" w:type="dxa"/>
            <w:tcBorders>
              <w:top w:val="single" w:sz="6" w:space="0" w:color="000000"/>
              <w:left w:val="single" w:sz="6" w:space="0" w:color="000000"/>
              <w:bottom w:val="single" w:sz="6" w:space="0" w:color="000000"/>
              <w:right w:val="single" w:sz="6" w:space="0" w:color="000000"/>
            </w:tcBorders>
          </w:tcPr>
          <w:p w14:paraId="4564F141" w14:textId="77777777" w:rsidR="008C02D2" w:rsidRPr="007D04B2" w:rsidRDefault="008C02D2">
            <w:pPr>
              <w:pStyle w:val="TableParagraph"/>
              <w:ind w:left="3"/>
              <w:jc w:val="center"/>
              <w:rPr>
                <w:rFonts w:ascii="Times New Roman" w:eastAsia="Times New Roman" w:hAnsi="Times New Roman" w:cs="Times New Roman"/>
                <w:sz w:val="21"/>
                <w:szCs w:val="21"/>
              </w:rPr>
            </w:pPr>
            <w:r w:rsidRPr="007D04B2">
              <w:rPr>
                <w:rFonts w:ascii="Times New Roman"/>
                <w:sz w:val="21"/>
              </w:rPr>
              <w:t>-30</w:t>
            </w:r>
          </w:p>
        </w:tc>
        <w:tc>
          <w:tcPr>
            <w:tcW w:w="1457" w:type="dxa"/>
            <w:tcBorders>
              <w:top w:val="single" w:sz="6" w:space="0" w:color="000000"/>
              <w:left w:val="single" w:sz="6" w:space="0" w:color="000000"/>
              <w:bottom w:val="single" w:sz="6" w:space="0" w:color="000000"/>
              <w:right w:val="single" w:sz="6" w:space="0" w:color="000000"/>
            </w:tcBorders>
          </w:tcPr>
          <w:p w14:paraId="4C882487" w14:textId="77777777" w:rsidR="008C02D2" w:rsidRPr="007D04B2" w:rsidRDefault="008C02D2" w:rsidP="0062295F">
            <w:pPr>
              <w:pStyle w:val="TableParagraph"/>
              <w:jc w:val="center"/>
              <w:rPr>
                <w:rFonts w:ascii="Times New Roman" w:eastAsia="Times New Roman" w:hAnsi="Times New Roman" w:cs="Times New Roman"/>
                <w:sz w:val="21"/>
                <w:szCs w:val="21"/>
              </w:rPr>
            </w:pPr>
            <w:r w:rsidRPr="007D04B2">
              <w:rPr>
                <w:rFonts w:ascii="Times New Roman"/>
                <w:sz w:val="21"/>
              </w:rPr>
              <w:t>1</w:t>
            </w:r>
            <w:r w:rsidRPr="007D04B2">
              <w:rPr>
                <w:rFonts w:ascii="Times New Roman"/>
                <w:spacing w:val="5"/>
                <w:sz w:val="21"/>
              </w:rPr>
              <w:t xml:space="preserve"> </w:t>
            </w:r>
            <w:r w:rsidRPr="007D04B2">
              <w:rPr>
                <w:rFonts w:ascii="Times New Roman"/>
                <w:spacing w:val="-1"/>
                <w:sz w:val="21"/>
              </w:rPr>
              <w:t>MHz</w:t>
            </w:r>
          </w:p>
        </w:tc>
      </w:tr>
      <w:bookmarkEnd w:id="112"/>
    </w:tbl>
    <w:p w14:paraId="547539D7" w14:textId="77777777" w:rsidR="00A83A6A" w:rsidRPr="007D04B2" w:rsidRDefault="00A83A6A" w:rsidP="00A83A6A">
      <w:pPr>
        <w:spacing w:after="0"/>
        <w:rPr>
          <w:rFonts w:ascii="Times New Roman" w:hAnsi="Times New Roman"/>
          <w:b/>
          <w:bCs/>
          <w:szCs w:val="20"/>
        </w:rPr>
      </w:pPr>
    </w:p>
    <w:p w14:paraId="3038E212" w14:textId="77777777" w:rsidR="00A83A6A" w:rsidRPr="007D04B2" w:rsidRDefault="00A83A6A" w:rsidP="00A83A6A">
      <w:pPr>
        <w:pStyle w:val="BodyText"/>
        <w:numPr>
          <w:ilvl w:val="0"/>
          <w:numId w:val="40"/>
        </w:numPr>
        <w:tabs>
          <w:tab w:val="left" w:pos="614"/>
        </w:tabs>
        <w:ind w:left="614" w:hanging="348"/>
        <w:jc w:val="left"/>
      </w:pPr>
      <w:r w:rsidRPr="007D04B2">
        <w:rPr>
          <w:spacing w:val="-1"/>
        </w:rPr>
        <w:t>For</w:t>
      </w:r>
      <w:r w:rsidRPr="007D04B2">
        <w:rPr>
          <w:spacing w:val="7"/>
        </w:rPr>
        <w:t xml:space="preserve"> </w:t>
      </w:r>
      <w:r w:rsidRPr="007D04B2">
        <w:t>radiocommunications</w:t>
      </w:r>
      <w:r w:rsidRPr="007D04B2">
        <w:rPr>
          <w:spacing w:val="9"/>
        </w:rPr>
        <w:t xml:space="preserve"> </w:t>
      </w:r>
      <w:r w:rsidRPr="007D04B2">
        <w:t>receivers</w:t>
      </w:r>
      <w:r w:rsidRPr="007D04B2">
        <w:rPr>
          <w:spacing w:val="7"/>
        </w:rPr>
        <w:t xml:space="preserve"> </w:t>
      </w:r>
      <w:r w:rsidRPr="007D04B2">
        <w:t>operated</w:t>
      </w:r>
      <w:r w:rsidRPr="007D04B2">
        <w:rPr>
          <w:spacing w:val="8"/>
        </w:rPr>
        <w:t xml:space="preserve"> </w:t>
      </w:r>
      <w:r w:rsidRPr="007D04B2">
        <w:t>under</w:t>
      </w:r>
      <w:r w:rsidRPr="007D04B2">
        <w:rPr>
          <w:spacing w:val="7"/>
        </w:rPr>
        <w:t xml:space="preserve"> </w:t>
      </w:r>
      <w:r w:rsidRPr="007D04B2">
        <w:t>this</w:t>
      </w:r>
      <w:r w:rsidRPr="007D04B2">
        <w:rPr>
          <w:spacing w:val="7"/>
        </w:rPr>
        <w:t xml:space="preserve"> </w:t>
      </w:r>
      <w:proofErr w:type="spellStart"/>
      <w:r w:rsidRPr="007D04B2">
        <w:t>licence</w:t>
      </w:r>
      <w:proofErr w:type="spellEnd"/>
      <w:r w:rsidRPr="007D04B2">
        <w:t>,</w:t>
      </w:r>
      <w:r w:rsidRPr="007D04B2">
        <w:rPr>
          <w:spacing w:val="8"/>
        </w:rPr>
        <w:t xml:space="preserve"> </w:t>
      </w:r>
      <w:r w:rsidRPr="007D04B2">
        <w:t>the</w:t>
      </w:r>
      <w:r w:rsidRPr="007D04B2">
        <w:rPr>
          <w:spacing w:val="7"/>
        </w:rPr>
        <w:t xml:space="preserve"> </w:t>
      </w:r>
      <w:r w:rsidRPr="007D04B2">
        <w:rPr>
          <w:spacing w:val="-1"/>
        </w:rPr>
        <w:t>spurious</w:t>
      </w:r>
    </w:p>
    <w:p w14:paraId="114594C6" w14:textId="3DDC6C51" w:rsidR="00A83A6A" w:rsidRPr="007D04B2" w:rsidRDefault="00A83A6A" w:rsidP="00A83A6A">
      <w:pPr>
        <w:pStyle w:val="BodyText"/>
        <w:spacing w:line="282" w:lineRule="auto"/>
        <w:ind w:left="614" w:right="1298" w:firstLine="0"/>
      </w:pPr>
      <w:r w:rsidRPr="007D04B2">
        <w:t>emission</w:t>
      </w:r>
      <w:r w:rsidRPr="007D04B2">
        <w:rPr>
          <w:spacing w:val="5"/>
        </w:rPr>
        <w:t xml:space="preserve"> </w:t>
      </w:r>
      <w:r w:rsidRPr="007D04B2">
        <w:t>limits</w:t>
      </w:r>
      <w:r w:rsidRPr="007D04B2">
        <w:rPr>
          <w:spacing w:val="6"/>
        </w:rPr>
        <w:t xml:space="preserve"> </w:t>
      </w:r>
      <w:r w:rsidRPr="007D04B2">
        <w:t>in</w:t>
      </w:r>
      <w:r w:rsidRPr="007D04B2">
        <w:rPr>
          <w:spacing w:val="5"/>
        </w:rPr>
        <w:t xml:space="preserve"> </w:t>
      </w:r>
      <w:r w:rsidRPr="007D04B2">
        <w:t>Table</w:t>
      </w:r>
      <w:r w:rsidRPr="007D04B2">
        <w:rPr>
          <w:spacing w:val="6"/>
        </w:rPr>
        <w:t xml:space="preserve"> </w:t>
      </w:r>
      <w:r w:rsidR="00BE358F">
        <w:t>7</w:t>
      </w:r>
      <w:r w:rsidR="00BE358F" w:rsidRPr="007D04B2">
        <w:rPr>
          <w:spacing w:val="5"/>
        </w:rPr>
        <w:t xml:space="preserve"> </w:t>
      </w:r>
      <w:r w:rsidRPr="007D04B2">
        <w:t>apply</w:t>
      </w:r>
      <w:r w:rsidRPr="007D04B2">
        <w:rPr>
          <w:spacing w:val="6"/>
        </w:rPr>
        <w:t xml:space="preserve"> </w:t>
      </w:r>
      <w:r w:rsidRPr="007D04B2">
        <w:t>at</w:t>
      </w:r>
      <w:r w:rsidRPr="007D04B2">
        <w:rPr>
          <w:spacing w:val="5"/>
        </w:rPr>
        <w:t xml:space="preserve"> </w:t>
      </w:r>
      <w:r w:rsidRPr="007D04B2">
        <w:t>frequencies</w:t>
      </w:r>
      <w:r w:rsidRPr="007D04B2">
        <w:rPr>
          <w:spacing w:val="6"/>
        </w:rPr>
        <w:t xml:space="preserve"> </w:t>
      </w:r>
      <w:r w:rsidR="006960BB" w:rsidRPr="006960BB">
        <w:rPr>
          <w:spacing w:val="6"/>
        </w:rPr>
        <w:t>outside the 1710-1785 MHz and 1805-1880 MHz frequency bands</w:t>
      </w:r>
      <w:r w:rsidRPr="007D04B2">
        <w:t>,</w:t>
      </w:r>
      <w:r w:rsidRPr="007D04B2">
        <w:rPr>
          <w:spacing w:val="6"/>
        </w:rPr>
        <w:t xml:space="preserve"> </w:t>
      </w:r>
      <w:r w:rsidRPr="007D04B2">
        <w:t>measured</w:t>
      </w:r>
      <w:r w:rsidRPr="007D04B2">
        <w:rPr>
          <w:spacing w:val="6"/>
        </w:rPr>
        <w:t xml:space="preserve"> </w:t>
      </w:r>
      <w:r w:rsidRPr="007D04B2">
        <w:t>over</w:t>
      </w:r>
      <w:r w:rsidRPr="007D04B2">
        <w:rPr>
          <w:spacing w:val="6"/>
        </w:rPr>
        <w:t xml:space="preserve"> </w:t>
      </w:r>
      <w:r w:rsidRPr="007D04B2">
        <w:t>the</w:t>
      </w:r>
      <w:r w:rsidRPr="007D04B2">
        <w:rPr>
          <w:spacing w:val="6"/>
        </w:rPr>
        <w:t xml:space="preserve"> </w:t>
      </w:r>
      <w:r w:rsidRPr="007D04B2">
        <w:rPr>
          <w:spacing w:val="-1"/>
        </w:rPr>
        <w:t>specified</w:t>
      </w:r>
      <w:r w:rsidRPr="007D04B2">
        <w:rPr>
          <w:spacing w:val="7"/>
        </w:rPr>
        <w:t xml:space="preserve"> </w:t>
      </w:r>
      <w:r w:rsidRPr="007D04B2">
        <w:t>bandwidth</w:t>
      </w:r>
      <w:r w:rsidRPr="007D04B2">
        <w:rPr>
          <w:spacing w:val="6"/>
        </w:rPr>
        <w:t xml:space="preserve"> </w:t>
      </w:r>
      <w:r w:rsidRPr="007D04B2">
        <w:t>for</w:t>
      </w:r>
      <w:r w:rsidRPr="007D04B2">
        <w:rPr>
          <w:spacing w:val="6"/>
        </w:rPr>
        <w:t xml:space="preserve"> </w:t>
      </w:r>
      <w:r w:rsidRPr="007D04B2">
        <w:t>the</w:t>
      </w:r>
      <w:r w:rsidRPr="007D04B2">
        <w:rPr>
          <w:spacing w:val="6"/>
        </w:rPr>
        <w:t xml:space="preserve"> </w:t>
      </w:r>
      <w:r w:rsidRPr="007D04B2">
        <w:t>relevant</w:t>
      </w:r>
      <w:r w:rsidRPr="007D04B2">
        <w:rPr>
          <w:spacing w:val="6"/>
        </w:rPr>
        <w:t xml:space="preserve"> </w:t>
      </w:r>
      <w:r w:rsidRPr="007D04B2">
        <w:t>frequency</w:t>
      </w:r>
      <w:r w:rsidRPr="007D04B2">
        <w:rPr>
          <w:spacing w:val="6"/>
        </w:rPr>
        <w:t xml:space="preserve"> </w:t>
      </w:r>
      <w:r w:rsidRPr="007D04B2">
        <w:t>range.</w:t>
      </w:r>
    </w:p>
    <w:p w14:paraId="3569274D" w14:textId="77777777" w:rsidR="00A83A6A" w:rsidRPr="007D04B2" w:rsidRDefault="00A83A6A" w:rsidP="00A83A6A">
      <w:pPr>
        <w:spacing w:after="0"/>
        <w:rPr>
          <w:rFonts w:ascii="Times New Roman" w:hAnsi="Times New Roman"/>
          <w:szCs w:val="20"/>
        </w:rPr>
      </w:pPr>
    </w:p>
    <w:p w14:paraId="3D6AA3D8" w14:textId="5511F9E5" w:rsidR="00A83A6A" w:rsidRPr="007D04B2" w:rsidRDefault="009E3601" w:rsidP="0062295F">
      <w:pPr>
        <w:pStyle w:val="BodyText"/>
        <w:rPr>
          <w:b/>
          <w:bCs/>
          <w:sz w:val="8"/>
          <w:szCs w:val="8"/>
        </w:rPr>
      </w:pPr>
      <w:bookmarkStart w:id="113" w:name="_Toc507878627"/>
      <w:bookmarkStart w:id="114" w:name="_Toc55989604"/>
      <w:bookmarkStart w:id="115" w:name="_Toc56006353"/>
      <w:bookmarkStart w:id="116" w:name="_Toc56507473"/>
      <w:bookmarkStart w:id="117" w:name="_Toc57808786"/>
      <w:bookmarkStart w:id="118" w:name="_Toc57809610"/>
      <w:proofErr w:type="spellStart"/>
      <w:r w:rsidRPr="0062295F">
        <w:rPr>
          <w:b/>
          <w:bCs/>
          <w:sz w:val="18"/>
          <w:szCs w:val="18"/>
        </w:rPr>
        <w:t>Licence</w:t>
      </w:r>
      <w:proofErr w:type="spellEnd"/>
      <w:r w:rsidRPr="0062295F">
        <w:rPr>
          <w:b/>
          <w:bCs/>
          <w:sz w:val="18"/>
          <w:szCs w:val="18"/>
        </w:rPr>
        <w:t xml:space="preserve"> </w:t>
      </w:r>
      <w:r w:rsidR="00A83A6A" w:rsidRPr="0062295F">
        <w:rPr>
          <w:b/>
          <w:bCs/>
          <w:sz w:val="18"/>
          <w:szCs w:val="18"/>
        </w:rPr>
        <w:t xml:space="preserve">Table </w:t>
      </w:r>
      <w:r w:rsidR="000041B9" w:rsidRPr="0062295F">
        <w:rPr>
          <w:b/>
          <w:bCs/>
          <w:sz w:val="18"/>
          <w:szCs w:val="18"/>
        </w:rPr>
        <w:t>8</w:t>
      </w:r>
      <w:r w:rsidR="00A83A6A" w:rsidRPr="0062295F">
        <w:rPr>
          <w:b/>
          <w:bCs/>
          <w:sz w:val="18"/>
          <w:szCs w:val="18"/>
        </w:rPr>
        <w:t>: Radiocommunications receiver spurious emission limits</w:t>
      </w:r>
      <w:bookmarkEnd w:id="113"/>
      <w:bookmarkEnd w:id="114"/>
      <w:bookmarkEnd w:id="115"/>
      <w:bookmarkEnd w:id="116"/>
      <w:bookmarkEnd w:id="117"/>
      <w:bookmarkEnd w:id="118"/>
    </w:p>
    <w:tbl>
      <w:tblPr>
        <w:tblW w:w="7596" w:type="dxa"/>
        <w:tblInd w:w="232" w:type="dxa"/>
        <w:tblLayout w:type="fixed"/>
        <w:tblCellMar>
          <w:left w:w="0" w:type="dxa"/>
          <w:right w:w="0" w:type="dxa"/>
        </w:tblCellMar>
        <w:tblLook w:val="01E0" w:firstRow="1" w:lastRow="1" w:firstColumn="1" w:lastColumn="1" w:noHBand="0" w:noVBand="0"/>
      </w:tblPr>
      <w:tblGrid>
        <w:gridCol w:w="3391"/>
        <w:gridCol w:w="2748"/>
        <w:gridCol w:w="1457"/>
      </w:tblGrid>
      <w:tr w:rsidR="00A83A6A" w:rsidRPr="007D04B2" w14:paraId="3397E72E" w14:textId="77777777" w:rsidTr="00A83A6A">
        <w:trPr>
          <w:trHeight w:hRule="exact" w:val="613"/>
        </w:trPr>
        <w:tc>
          <w:tcPr>
            <w:tcW w:w="3391" w:type="dxa"/>
            <w:tcBorders>
              <w:top w:val="single" w:sz="6" w:space="0" w:color="000000"/>
              <w:left w:val="single" w:sz="6" w:space="0" w:color="000000"/>
              <w:bottom w:val="single" w:sz="6" w:space="0" w:color="000000"/>
              <w:right w:val="single" w:sz="6" w:space="0" w:color="000000"/>
            </w:tcBorders>
          </w:tcPr>
          <w:p w14:paraId="3F1C772D" w14:textId="77777777" w:rsidR="00A83A6A" w:rsidRPr="007D04B2" w:rsidRDefault="00A83A6A" w:rsidP="00A83A6A">
            <w:pPr>
              <w:pStyle w:val="TableParagraph"/>
              <w:ind w:right="48"/>
              <w:jc w:val="center"/>
              <w:rPr>
                <w:rFonts w:ascii="Times New Roman" w:eastAsia="Times New Roman" w:hAnsi="Times New Roman" w:cs="Times New Roman"/>
                <w:sz w:val="23"/>
                <w:szCs w:val="23"/>
              </w:rPr>
            </w:pPr>
            <w:r w:rsidRPr="007D04B2">
              <w:rPr>
                <w:rFonts w:ascii="Times New Roman"/>
                <w:b/>
                <w:spacing w:val="-5"/>
                <w:sz w:val="23"/>
              </w:rPr>
              <w:t>Frequency</w:t>
            </w:r>
            <w:r w:rsidRPr="007D04B2">
              <w:rPr>
                <w:rFonts w:ascii="Times New Roman"/>
                <w:b/>
                <w:spacing w:val="17"/>
                <w:sz w:val="23"/>
              </w:rPr>
              <w:t xml:space="preserve"> </w:t>
            </w:r>
            <w:r w:rsidRPr="007D04B2">
              <w:rPr>
                <w:rFonts w:ascii="Times New Roman"/>
                <w:b/>
                <w:spacing w:val="-5"/>
                <w:sz w:val="23"/>
              </w:rPr>
              <w:t>range</w:t>
            </w:r>
          </w:p>
          <w:p w14:paraId="4214CDCB" w14:textId="77777777" w:rsidR="00A83A6A" w:rsidRPr="007D04B2" w:rsidRDefault="00A83A6A" w:rsidP="00A83A6A">
            <w:pPr>
              <w:pStyle w:val="TableParagraph"/>
              <w:ind w:right="25"/>
              <w:jc w:val="center"/>
              <w:rPr>
                <w:rFonts w:ascii="Times New Roman" w:eastAsia="Times New Roman" w:hAnsi="Times New Roman" w:cs="Times New Roman"/>
                <w:sz w:val="23"/>
                <w:szCs w:val="23"/>
              </w:rPr>
            </w:pPr>
            <w:r w:rsidRPr="007D04B2">
              <w:rPr>
                <w:rFonts w:ascii="Times New Roman"/>
                <w:b/>
                <w:sz w:val="23"/>
              </w:rPr>
              <w:t>(f)</w:t>
            </w:r>
          </w:p>
        </w:tc>
        <w:tc>
          <w:tcPr>
            <w:tcW w:w="2748" w:type="dxa"/>
            <w:tcBorders>
              <w:top w:val="single" w:sz="6" w:space="0" w:color="000000"/>
              <w:left w:val="single" w:sz="6" w:space="0" w:color="000000"/>
              <w:bottom w:val="single" w:sz="6" w:space="0" w:color="000000"/>
              <w:right w:val="single" w:sz="6" w:space="0" w:color="000000"/>
            </w:tcBorders>
          </w:tcPr>
          <w:p w14:paraId="312DE7A6" w14:textId="2DACA5CD" w:rsidR="003F26DF" w:rsidRPr="007D04B2" w:rsidRDefault="006960BB" w:rsidP="003F26DF">
            <w:pPr>
              <w:pStyle w:val="TableParagraph"/>
              <w:ind w:right="14"/>
              <w:jc w:val="center"/>
              <w:rPr>
                <w:rFonts w:ascii="Times New Roman" w:eastAsia="Times New Roman" w:hAnsi="Times New Roman" w:cs="Times New Roman"/>
                <w:sz w:val="23"/>
                <w:szCs w:val="23"/>
              </w:rPr>
            </w:pPr>
            <w:r>
              <w:rPr>
                <w:rFonts w:ascii="Times New Roman"/>
                <w:b/>
                <w:spacing w:val="-1"/>
                <w:sz w:val="23"/>
              </w:rPr>
              <w:t>Radiated m</w:t>
            </w:r>
            <w:r w:rsidR="003F26DF" w:rsidRPr="007D04B2">
              <w:rPr>
                <w:rFonts w:ascii="Times New Roman"/>
                <w:b/>
                <w:spacing w:val="-1"/>
                <w:sz w:val="23"/>
              </w:rPr>
              <w:t>ean</w:t>
            </w:r>
            <w:r w:rsidR="003F26DF" w:rsidRPr="007D04B2">
              <w:rPr>
                <w:rFonts w:ascii="Times New Roman"/>
                <w:b/>
                <w:spacing w:val="12"/>
                <w:sz w:val="23"/>
              </w:rPr>
              <w:t xml:space="preserve"> </w:t>
            </w:r>
            <w:r w:rsidR="003F26DF" w:rsidRPr="007D04B2">
              <w:rPr>
                <w:rFonts w:ascii="Times New Roman"/>
                <w:b/>
                <w:spacing w:val="-1"/>
                <w:sz w:val="23"/>
              </w:rPr>
              <w:t>power</w:t>
            </w:r>
          </w:p>
          <w:p w14:paraId="151B0570" w14:textId="3B7E3D4E" w:rsidR="00A83A6A" w:rsidRPr="007D04B2" w:rsidRDefault="003F26DF" w:rsidP="00A83A6A">
            <w:pPr>
              <w:pStyle w:val="TableParagraph"/>
              <w:ind w:right="40"/>
              <w:jc w:val="center"/>
              <w:rPr>
                <w:rFonts w:ascii="Times New Roman" w:eastAsia="Times New Roman" w:hAnsi="Times New Roman" w:cs="Times New Roman"/>
                <w:sz w:val="23"/>
                <w:szCs w:val="23"/>
              </w:rPr>
            </w:pPr>
            <w:r w:rsidRPr="007D04B2">
              <w:rPr>
                <w:rFonts w:ascii="Times New Roman"/>
                <w:b/>
                <w:spacing w:val="-8"/>
                <w:sz w:val="23"/>
              </w:rPr>
              <w:t>(dBm)</w:t>
            </w:r>
          </w:p>
        </w:tc>
        <w:tc>
          <w:tcPr>
            <w:tcW w:w="1457" w:type="dxa"/>
            <w:tcBorders>
              <w:top w:val="single" w:sz="6" w:space="0" w:color="000000"/>
              <w:left w:val="single" w:sz="6" w:space="0" w:color="000000"/>
              <w:bottom w:val="single" w:sz="6" w:space="0" w:color="000000"/>
              <w:right w:val="single" w:sz="6" w:space="0" w:color="000000"/>
            </w:tcBorders>
          </w:tcPr>
          <w:p w14:paraId="48AC4CF0" w14:textId="77777777" w:rsidR="00A83A6A" w:rsidRPr="007D04B2" w:rsidRDefault="00A83A6A" w:rsidP="00A83A6A">
            <w:pPr>
              <w:pStyle w:val="TableParagraph"/>
              <w:ind w:left="191" w:firstLine="70"/>
              <w:rPr>
                <w:rFonts w:ascii="Times New Roman" w:eastAsia="Times New Roman" w:hAnsi="Times New Roman" w:cs="Times New Roman"/>
                <w:sz w:val="23"/>
                <w:szCs w:val="23"/>
              </w:rPr>
            </w:pPr>
            <w:r w:rsidRPr="007D04B2">
              <w:rPr>
                <w:rFonts w:ascii="Times New Roman"/>
                <w:b/>
                <w:spacing w:val="-2"/>
                <w:sz w:val="23"/>
              </w:rPr>
              <w:t>Specified</w:t>
            </w:r>
          </w:p>
          <w:p w14:paraId="15107652" w14:textId="77777777" w:rsidR="00A83A6A" w:rsidRPr="007D04B2" w:rsidRDefault="00A83A6A" w:rsidP="00A83A6A">
            <w:pPr>
              <w:pStyle w:val="TableParagraph"/>
              <w:ind w:left="191"/>
              <w:rPr>
                <w:rFonts w:ascii="Times New Roman" w:eastAsia="Times New Roman" w:hAnsi="Times New Roman" w:cs="Times New Roman"/>
                <w:sz w:val="23"/>
                <w:szCs w:val="23"/>
              </w:rPr>
            </w:pPr>
            <w:r w:rsidRPr="007D04B2">
              <w:rPr>
                <w:rFonts w:ascii="Times New Roman"/>
                <w:b/>
                <w:spacing w:val="-6"/>
                <w:sz w:val="23"/>
              </w:rPr>
              <w:t>Bandwidth</w:t>
            </w:r>
          </w:p>
        </w:tc>
      </w:tr>
      <w:tr w:rsidR="00A83A6A" w:rsidRPr="007D04B2" w14:paraId="60EC70E2" w14:textId="77777777" w:rsidTr="00A83A6A">
        <w:trPr>
          <w:trHeight w:hRule="exact" w:val="318"/>
        </w:trPr>
        <w:tc>
          <w:tcPr>
            <w:tcW w:w="3391" w:type="dxa"/>
            <w:tcBorders>
              <w:top w:val="single" w:sz="6" w:space="0" w:color="000000"/>
              <w:left w:val="single" w:sz="6" w:space="0" w:color="000000"/>
              <w:bottom w:val="single" w:sz="6" w:space="0" w:color="000000"/>
              <w:right w:val="single" w:sz="6" w:space="0" w:color="000000"/>
            </w:tcBorders>
          </w:tcPr>
          <w:p w14:paraId="658C9CCF" w14:textId="77777777" w:rsidR="00A83A6A" w:rsidRPr="007D04B2" w:rsidRDefault="00A83A6A" w:rsidP="00A83A6A">
            <w:pPr>
              <w:pStyle w:val="TableParagraph"/>
              <w:ind w:left="760"/>
              <w:rPr>
                <w:rFonts w:ascii="Times New Roman" w:eastAsia="Times New Roman" w:hAnsi="Times New Roman" w:cs="Times New Roman"/>
                <w:sz w:val="21"/>
                <w:szCs w:val="21"/>
              </w:rPr>
            </w:pPr>
            <w:r w:rsidRPr="007D04B2">
              <w:rPr>
                <w:rFonts w:ascii="Times New Roman"/>
                <w:sz w:val="21"/>
              </w:rPr>
              <w:t xml:space="preserve">30 </w:t>
            </w:r>
            <w:r w:rsidRPr="007D04B2">
              <w:rPr>
                <w:rFonts w:ascii="Times New Roman"/>
                <w:spacing w:val="-1"/>
                <w:sz w:val="21"/>
              </w:rPr>
              <w:t>MHz</w:t>
            </w:r>
            <w:r w:rsidRPr="007D04B2">
              <w:rPr>
                <w:rFonts w:ascii="Times New Roman"/>
                <w:spacing w:val="23"/>
                <w:sz w:val="21"/>
              </w:rPr>
              <w:t xml:space="preserve"> </w:t>
            </w:r>
            <w:r w:rsidRPr="007D04B2">
              <w:rPr>
                <w:rFonts w:ascii="Times New Roman"/>
                <w:sz w:val="21"/>
                <w:u w:val="single" w:color="000000"/>
              </w:rPr>
              <w:t>&lt;</w:t>
            </w:r>
            <w:r w:rsidRPr="007D04B2">
              <w:rPr>
                <w:rFonts w:ascii="Times New Roman"/>
                <w:spacing w:val="10"/>
                <w:sz w:val="21"/>
                <w:u w:val="single" w:color="000000"/>
              </w:rPr>
              <w:t xml:space="preserve"> </w:t>
            </w:r>
            <w:r w:rsidRPr="007D04B2">
              <w:rPr>
                <w:rFonts w:ascii="Times New Roman"/>
                <w:sz w:val="21"/>
              </w:rPr>
              <w:t xml:space="preserve">f &lt; 1 </w:t>
            </w:r>
            <w:r w:rsidRPr="007D04B2">
              <w:rPr>
                <w:rFonts w:ascii="Times New Roman"/>
                <w:spacing w:val="-1"/>
                <w:sz w:val="21"/>
              </w:rPr>
              <w:t>GHz</w:t>
            </w:r>
          </w:p>
        </w:tc>
        <w:tc>
          <w:tcPr>
            <w:tcW w:w="2748" w:type="dxa"/>
            <w:tcBorders>
              <w:top w:val="single" w:sz="6" w:space="0" w:color="000000"/>
              <w:left w:val="single" w:sz="6" w:space="0" w:color="000000"/>
              <w:bottom w:val="single" w:sz="6" w:space="0" w:color="000000"/>
              <w:right w:val="single" w:sz="6" w:space="0" w:color="000000"/>
            </w:tcBorders>
          </w:tcPr>
          <w:p w14:paraId="5E68ADE1" w14:textId="77777777" w:rsidR="00A83A6A" w:rsidRPr="007D04B2" w:rsidRDefault="00A83A6A" w:rsidP="00A83A6A">
            <w:pPr>
              <w:pStyle w:val="TableParagraph"/>
              <w:ind w:right="8"/>
              <w:jc w:val="center"/>
              <w:rPr>
                <w:rFonts w:ascii="Times New Roman" w:eastAsia="Times New Roman" w:hAnsi="Times New Roman" w:cs="Times New Roman"/>
                <w:sz w:val="21"/>
                <w:szCs w:val="21"/>
              </w:rPr>
            </w:pPr>
            <w:r w:rsidRPr="007D04B2">
              <w:rPr>
                <w:rFonts w:ascii="Times New Roman"/>
                <w:sz w:val="21"/>
              </w:rPr>
              <w:t>-57</w:t>
            </w:r>
          </w:p>
        </w:tc>
        <w:tc>
          <w:tcPr>
            <w:tcW w:w="1457" w:type="dxa"/>
            <w:tcBorders>
              <w:top w:val="single" w:sz="6" w:space="0" w:color="000000"/>
              <w:left w:val="single" w:sz="6" w:space="0" w:color="000000"/>
              <w:bottom w:val="single" w:sz="6" w:space="0" w:color="000000"/>
              <w:right w:val="single" w:sz="6" w:space="0" w:color="000000"/>
            </w:tcBorders>
          </w:tcPr>
          <w:p w14:paraId="70E3742A" w14:textId="77777777" w:rsidR="00A83A6A" w:rsidRPr="007D04B2" w:rsidRDefault="00A83A6A" w:rsidP="00A83A6A">
            <w:pPr>
              <w:pStyle w:val="TableParagraph"/>
              <w:ind w:left="343"/>
              <w:rPr>
                <w:rFonts w:ascii="Times New Roman" w:eastAsia="Times New Roman" w:hAnsi="Times New Roman" w:cs="Times New Roman"/>
                <w:sz w:val="21"/>
                <w:szCs w:val="21"/>
              </w:rPr>
            </w:pPr>
            <w:r w:rsidRPr="007D04B2">
              <w:rPr>
                <w:rFonts w:ascii="Times New Roman"/>
                <w:sz w:val="21"/>
              </w:rPr>
              <w:t>100 kHz</w:t>
            </w:r>
          </w:p>
        </w:tc>
      </w:tr>
      <w:tr w:rsidR="006960BB" w:rsidRPr="007D04B2" w14:paraId="74F28262" w14:textId="77777777" w:rsidTr="00A83A6A">
        <w:trPr>
          <w:trHeight w:hRule="exact" w:val="318"/>
        </w:trPr>
        <w:tc>
          <w:tcPr>
            <w:tcW w:w="3391" w:type="dxa"/>
            <w:tcBorders>
              <w:top w:val="single" w:sz="6" w:space="0" w:color="000000"/>
              <w:left w:val="single" w:sz="6" w:space="0" w:color="000000"/>
              <w:bottom w:val="single" w:sz="6" w:space="0" w:color="000000"/>
              <w:right w:val="single" w:sz="6" w:space="0" w:color="000000"/>
            </w:tcBorders>
          </w:tcPr>
          <w:p w14:paraId="36FEE789" w14:textId="7289E805" w:rsidR="006960BB" w:rsidRPr="007D04B2" w:rsidRDefault="006960BB" w:rsidP="006960BB">
            <w:pPr>
              <w:pStyle w:val="TableParagraph"/>
              <w:ind w:left="760"/>
              <w:rPr>
                <w:rFonts w:ascii="Times New Roman"/>
                <w:sz w:val="21"/>
              </w:rPr>
            </w:pPr>
            <w:r w:rsidRPr="007D04B2">
              <w:rPr>
                <w:rFonts w:ascii="Times New Roman"/>
                <w:sz w:val="21"/>
              </w:rPr>
              <w:t xml:space="preserve">1 </w:t>
            </w:r>
            <w:r w:rsidRPr="007D04B2">
              <w:rPr>
                <w:rFonts w:ascii="Times New Roman"/>
                <w:spacing w:val="-1"/>
                <w:sz w:val="21"/>
              </w:rPr>
              <w:t>GHz</w:t>
            </w:r>
            <w:r w:rsidRPr="007D04B2">
              <w:rPr>
                <w:rFonts w:ascii="Times New Roman"/>
                <w:spacing w:val="24"/>
                <w:sz w:val="21"/>
              </w:rPr>
              <w:t xml:space="preserve"> </w:t>
            </w:r>
            <w:r w:rsidRPr="007D04B2">
              <w:rPr>
                <w:rFonts w:ascii="Times New Roman"/>
                <w:sz w:val="21"/>
                <w:u w:val="single" w:color="000000"/>
              </w:rPr>
              <w:t>&lt;</w:t>
            </w:r>
            <w:r w:rsidRPr="007D04B2">
              <w:rPr>
                <w:rFonts w:ascii="Times New Roman"/>
                <w:spacing w:val="-2"/>
                <w:sz w:val="21"/>
                <w:u w:val="single" w:color="000000"/>
              </w:rPr>
              <w:t xml:space="preserve"> </w:t>
            </w:r>
            <w:r w:rsidRPr="007D04B2">
              <w:rPr>
                <w:rFonts w:ascii="Times New Roman"/>
                <w:sz w:val="21"/>
              </w:rPr>
              <w:t xml:space="preserve">f &lt; </w:t>
            </w:r>
            <w:r>
              <w:rPr>
                <w:rFonts w:ascii="Times New Roman"/>
                <w:sz w:val="21"/>
              </w:rPr>
              <w:t>3.5</w:t>
            </w:r>
            <w:r w:rsidRPr="007D04B2">
              <w:rPr>
                <w:rFonts w:ascii="Times New Roman"/>
                <w:sz w:val="21"/>
              </w:rPr>
              <w:t xml:space="preserve"> </w:t>
            </w:r>
            <w:r w:rsidRPr="007D04B2">
              <w:rPr>
                <w:rFonts w:ascii="Times New Roman"/>
                <w:spacing w:val="-1"/>
                <w:sz w:val="21"/>
              </w:rPr>
              <w:t>GHz</w:t>
            </w:r>
          </w:p>
        </w:tc>
        <w:tc>
          <w:tcPr>
            <w:tcW w:w="2748" w:type="dxa"/>
            <w:tcBorders>
              <w:top w:val="single" w:sz="6" w:space="0" w:color="000000"/>
              <w:left w:val="single" w:sz="6" w:space="0" w:color="000000"/>
              <w:bottom w:val="single" w:sz="6" w:space="0" w:color="000000"/>
              <w:right w:val="single" w:sz="6" w:space="0" w:color="000000"/>
            </w:tcBorders>
          </w:tcPr>
          <w:p w14:paraId="6C055599" w14:textId="30164ABB" w:rsidR="006960BB" w:rsidRPr="007D04B2" w:rsidRDefault="006960BB" w:rsidP="006960BB">
            <w:pPr>
              <w:pStyle w:val="TableParagraph"/>
              <w:ind w:right="8"/>
              <w:jc w:val="center"/>
              <w:rPr>
                <w:rFonts w:ascii="Times New Roman"/>
                <w:sz w:val="21"/>
              </w:rPr>
            </w:pPr>
            <w:r w:rsidRPr="007D04B2">
              <w:rPr>
                <w:rFonts w:ascii="Times New Roman"/>
                <w:sz w:val="21"/>
              </w:rPr>
              <w:t>-</w:t>
            </w:r>
            <w:r>
              <w:rPr>
                <w:rFonts w:ascii="Times New Roman"/>
                <w:sz w:val="21"/>
              </w:rPr>
              <w:t>19</w:t>
            </w:r>
          </w:p>
        </w:tc>
        <w:tc>
          <w:tcPr>
            <w:tcW w:w="1457" w:type="dxa"/>
            <w:tcBorders>
              <w:top w:val="single" w:sz="6" w:space="0" w:color="000000"/>
              <w:left w:val="single" w:sz="6" w:space="0" w:color="000000"/>
              <w:bottom w:val="single" w:sz="6" w:space="0" w:color="000000"/>
              <w:right w:val="single" w:sz="6" w:space="0" w:color="000000"/>
            </w:tcBorders>
          </w:tcPr>
          <w:p w14:paraId="23B1BED4" w14:textId="19131297" w:rsidR="006960BB" w:rsidRPr="007D04B2" w:rsidRDefault="006960BB" w:rsidP="0062295F">
            <w:pPr>
              <w:pStyle w:val="TableParagraph"/>
              <w:jc w:val="center"/>
              <w:rPr>
                <w:rFonts w:ascii="Times New Roman"/>
                <w:sz w:val="21"/>
              </w:rPr>
            </w:pPr>
            <w:r w:rsidRPr="007D04B2">
              <w:rPr>
                <w:rFonts w:ascii="Times New Roman"/>
                <w:sz w:val="21"/>
              </w:rPr>
              <w:t xml:space="preserve">1 </w:t>
            </w:r>
            <w:r w:rsidRPr="007D04B2">
              <w:rPr>
                <w:rFonts w:ascii="Times New Roman"/>
                <w:spacing w:val="-1"/>
                <w:sz w:val="21"/>
              </w:rPr>
              <w:t>MHz</w:t>
            </w:r>
          </w:p>
        </w:tc>
      </w:tr>
      <w:tr w:rsidR="006960BB" w:rsidRPr="007D04B2" w14:paraId="207C6474" w14:textId="77777777" w:rsidTr="00A83A6A">
        <w:trPr>
          <w:trHeight w:hRule="exact" w:val="318"/>
        </w:trPr>
        <w:tc>
          <w:tcPr>
            <w:tcW w:w="3391" w:type="dxa"/>
            <w:tcBorders>
              <w:top w:val="single" w:sz="6" w:space="0" w:color="000000"/>
              <w:left w:val="single" w:sz="6" w:space="0" w:color="000000"/>
              <w:bottom w:val="single" w:sz="6" w:space="0" w:color="000000"/>
              <w:right w:val="single" w:sz="6" w:space="0" w:color="000000"/>
            </w:tcBorders>
          </w:tcPr>
          <w:p w14:paraId="69B3713B" w14:textId="53617A9E" w:rsidR="006960BB" w:rsidRPr="007D04B2" w:rsidRDefault="006960BB" w:rsidP="006960BB">
            <w:pPr>
              <w:pStyle w:val="TableParagraph"/>
              <w:ind w:left="643"/>
              <w:rPr>
                <w:rFonts w:ascii="Times New Roman" w:eastAsia="Times New Roman" w:hAnsi="Times New Roman" w:cs="Times New Roman"/>
                <w:sz w:val="21"/>
                <w:szCs w:val="21"/>
              </w:rPr>
            </w:pPr>
            <w:r>
              <w:rPr>
                <w:rFonts w:ascii="Times New Roman"/>
                <w:sz w:val="21"/>
              </w:rPr>
              <w:t>3.5</w:t>
            </w:r>
            <w:r w:rsidRPr="007D04B2">
              <w:rPr>
                <w:rFonts w:ascii="Times New Roman"/>
                <w:sz w:val="21"/>
              </w:rPr>
              <w:t xml:space="preserve"> </w:t>
            </w:r>
            <w:r w:rsidRPr="007D04B2">
              <w:rPr>
                <w:rFonts w:ascii="Times New Roman"/>
                <w:spacing w:val="-1"/>
                <w:sz w:val="21"/>
              </w:rPr>
              <w:t>GHz</w:t>
            </w:r>
            <w:r w:rsidRPr="007D04B2">
              <w:rPr>
                <w:rFonts w:ascii="Times New Roman"/>
                <w:spacing w:val="24"/>
                <w:sz w:val="21"/>
              </w:rPr>
              <w:t xml:space="preserve"> </w:t>
            </w:r>
            <w:r w:rsidRPr="007D04B2">
              <w:rPr>
                <w:rFonts w:ascii="Times New Roman"/>
                <w:sz w:val="21"/>
                <w:u w:val="single" w:color="000000"/>
              </w:rPr>
              <w:t>&lt;</w:t>
            </w:r>
            <w:r w:rsidRPr="007D04B2">
              <w:rPr>
                <w:rFonts w:ascii="Times New Roman"/>
                <w:spacing w:val="-2"/>
                <w:sz w:val="21"/>
                <w:u w:val="single" w:color="000000"/>
              </w:rPr>
              <w:t xml:space="preserve"> </w:t>
            </w:r>
            <w:r w:rsidRPr="007D04B2">
              <w:rPr>
                <w:rFonts w:ascii="Times New Roman"/>
                <w:sz w:val="21"/>
              </w:rPr>
              <w:t xml:space="preserve">f &lt; 12.75 </w:t>
            </w:r>
            <w:r w:rsidRPr="007D04B2">
              <w:rPr>
                <w:rFonts w:ascii="Times New Roman"/>
                <w:spacing w:val="-1"/>
                <w:sz w:val="21"/>
              </w:rPr>
              <w:t>GHz</w:t>
            </w:r>
          </w:p>
        </w:tc>
        <w:tc>
          <w:tcPr>
            <w:tcW w:w="2748" w:type="dxa"/>
            <w:tcBorders>
              <w:top w:val="single" w:sz="6" w:space="0" w:color="000000"/>
              <w:left w:val="single" w:sz="6" w:space="0" w:color="000000"/>
              <w:bottom w:val="single" w:sz="6" w:space="0" w:color="000000"/>
              <w:right w:val="single" w:sz="6" w:space="0" w:color="000000"/>
            </w:tcBorders>
          </w:tcPr>
          <w:p w14:paraId="240BCA30" w14:textId="77777777" w:rsidR="006960BB" w:rsidRPr="007D04B2" w:rsidRDefault="006960BB" w:rsidP="006960BB">
            <w:pPr>
              <w:pStyle w:val="TableParagraph"/>
              <w:ind w:right="8"/>
              <w:jc w:val="center"/>
              <w:rPr>
                <w:rFonts w:ascii="Times New Roman" w:eastAsia="Times New Roman" w:hAnsi="Times New Roman" w:cs="Times New Roman"/>
                <w:sz w:val="21"/>
                <w:szCs w:val="21"/>
              </w:rPr>
            </w:pPr>
            <w:r w:rsidRPr="007D04B2">
              <w:rPr>
                <w:rFonts w:ascii="Times New Roman"/>
                <w:sz w:val="21"/>
              </w:rPr>
              <w:t>-47</w:t>
            </w:r>
          </w:p>
        </w:tc>
        <w:tc>
          <w:tcPr>
            <w:tcW w:w="1457" w:type="dxa"/>
            <w:tcBorders>
              <w:top w:val="single" w:sz="6" w:space="0" w:color="000000"/>
              <w:left w:val="single" w:sz="6" w:space="0" w:color="000000"/>
              <w:bottom w:val="single" w:sz="6" w:space="0" w:color="000000"/>
              <w:right w:val="single" w:sz="6" w:space="0" w:color="000000"/>
            </w:tcBorders>
          </w:tcPr>
          <w:p w14:paraId="73586089" w14:textId="77777777" w:rsidR="006960BB" w:rsidRPr="007D04B2" w:rsidRDefault="006960BB" w:rsidP="0062295F">
            <w:pPr>
              <w:pStyle w:val="TableParagraph"/>
              <w:jc w:val="center"/>
              <w:rPr>
                <w:rFonts w:ascii="Times New Roman" w:eastAsia="Times New Roman" w:hAnsi="Times New Roman" w:cs="Times New Roman"/>
                <w:sz w:val="21"/>
                <w:szCs w:val="21"/>
              </w:rPr>
            </w:pPr>
            <w:r w:rsidRPr="007D04B2">
              <w:rPr>
                <w:rFonts w:ascii="Times New Roman"/>
                <w:sz w:val="21"/>
              </w:rPr>
              <w:t xml:space="preserve">1 </w:t>
            </w:r>
            <w:r w:rsidRPr="007D04B2">
              <w:rPr>
                <w:rFonts w:ascii="Times New Roman"/>
                <w:spacing w:val="-1"/>
                <w:sz w:val="21"/>
              </w:rPr>
              <w:t>MHz</w:t>
            </w:r>
          </w:p>
        </w:tc>
      </w:tr>
    </w:tbl>
    <w:p w14:paraId="5F267335" w14:textId="77777777" w:rsidR="00A83A6A" w:rsidRPr="007D04B2" w:rsidRDefault="00A83A6A" w:rsidP="00A83A6A">
      <w:pPr>
        <w:spacing w:after="0"/>
        <w:rPr>
          <w:rFonts w:ascii="Times New Roman" w:hAnsi="Times New Roman"/>
          <w:b/>
          <w:bCs/>
          <w:sz w:val="21"/>
          <w:szCs w:val="21"/>
        </w:rPr>
      </w:pPr>
    </w:p>
    <w:p w14:paraId="6D1493F2" w14:textId="7D4A71BE" w:rsidR="002908C2" w:rsidRPr="007D04B2" w:rsidRDefault="002908C2" w:rsidP="00A83A6A">
      <w:pPr>
        <w:spacing w:after="0"/>
      </w:pPr>
    </w:p>
    <w:p w14:paraId="77FFE3DC" w14:textId="77777777" w:rsidR="00D074FE" w:rsidRPr="007D04B2" w:rsidRDefault="00D074FE" w:rsidP="00851F3F"/>
    <w:sectPr w:rsidR="00D074FE" w:rsidRPr="007D04B2" w:rsidSect="005438AE">
      <w:footerReference w:type="even" r:id="rId53"/>
      <w:footerReference w:type="default" r:id="rId5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9940B" w14:textId="77777777" w:rsidR="002A68F1" w:rsidRDefault="002A68F1">
      <w:r>
        <w:separator/>
      </w:r>
    </w:p>
  </w:endnote>
  <w:endnote w:type="continuationSeparator" w:id="0">
    <w:p w14:paraId="72CB1405" w14:textId="77777777" w:rsidR="002A68F1" w:rsidRDefault="002A68F1">
      <w:r>
        <w:continuationSeparator/>
      </w:r>
    </w:p>
  </w:endnote>
  <w:endnote w:type="continuationNotice" w:id="1">
    <w:p w14:paraId="707EB6B4" w14:textId="77777777" w:rsidR="002A68F1" w:rsidRDefault="002A68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TimesNewRoman,Bold">
    <w:altName w:val="Times New 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A562C" w14:textId="5883CCF0" w:rsidR="001A4276" w:rsidRPr="00C34F12" w:rsidRDefault="001A4276" w:rsidP="00C34F12">
    <w:pPr>
      <w:pStyle w:val="Footer"/>
      <w:jc w:val="right"/>
    </w:pPr>
    <w:r w:rsidRPr="005E250B">
      <w:rPr>
        <w:noProof/>
        <w:vertAlign w:val="subscript"/>
      </w:rPr>
      <w:drawing>
        <wp:inline distT="0" distB="0" distL="0" distR="0" wp14:anchorId="0F68A0A5" wp14:editId="3BE783E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A466C" w14:textId="77777777" w:rsidR="001A4276" w:rsidRPr="00622A3B" w:rsidRDefault="001A4276" w:rsidP="00473557">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iii</w:t>
    </w:r>
    <w:r w:rsidRPr="002E4DDC">
      <w:rPr>
        <w:color w:val="505050"/>
      </w:rPr>
      <w:fldChar w:fldCharType="end"/>
    </w:r>
  </w:p>
  <w:p w14:paraId="04AC44BA" w14:textId="77777777" w:rsidR="001A4276" w:rsidRPr="00A5474E" w:rsidRDefault="001A4276" w:rsidP="00473557">
    <w:pPr>
      <w:pStyle w:val="Footer"/>
      <w:jc w:val="center"/>
    </w:pPr>
  </w:p>
  <w:p w14:paraId="6B99CC2A" w14:textId="77777777" w:rsidR="001A4276" w:rsidRDefault="001A42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72529" w14:textId="77777777" w:rsidR="001A4276" w:rsidRPr="00473557" w:rsidRDefault="001A4276" w:rsidP="004735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DB16A" w14:textId="77777777" w:rsidR="001A4276" w:rsidRDefault="001A427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D13BF" w14:textId="77777777" w:rsidR="001A4276" w:rsidRPr="00473557" w:rsidRDefault="001A4276" w:rsidP="0047355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B293A" w14:textId="77777777" w:rsidR="001A4276" w:rsidRPr="00622A3B" w:rsidRDefault="001A4276" w:rsidP="0047355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4D49493F" w14:textId="77777777" w:rsidR="001A4276" w:rsidRPr="00A5474E" w:rsidRDefault="001A4276" w:rsidP="00473557">
    <w:pPr>
      <w:pStyle w:val="Footer"/>
      <w:jc w:val="right"/>
    </w:pPr>
  </w:p>
  <w:p w14:paraId="40E9CFB6" w14:textId="77777777" w:rsidR="001A4276" w:rsidRPr="00473557" w:rsidRDefault="001A4276" w:rsidP="0047355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94E7C" w14:textId="77777777" w:rsidR="001A4276" w:rsidRPr="00622A3B" w:rsidRDefault="001A4276" w:rsidP="003921A6">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AB49801" w14:textId="77777777" w:rsidR="001A4276" w:rsidRPr="00A5474E" w:rsidRDefault="001A4276" w:rsidP="003921A6">
    <w:pPr>
      <w:pStyle w:val="Footer"/>
      <w:tabs>
        <w:tab w:val="clear" w:pos="113"/>
        <w:tab w:val="left" w:pos="1770"/>
      </w:tabs>
    </w:pPr>
    <w:r>
      <w:tab/>
    </w:r>
  </w:p>
  <w:p w14:paraId="390FC294" w14:textId="77777777" w:rsidR="001A4276" w:rsidRPr="00473557" w:rsidRDefault="001A4276" w:rsidP="0047355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190BD" w14:textId="77777777" w:rsidR="001A4276" w:rsidRPr="00622A3B" w:rsidRDefault="001A4276" w:rsidP="0047355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6B2A4919" w14:textId="77777777" w:rsidR="001A4276" w:rsidRPr="00A5474E" w:rsidRDefault="001A4276" w:rsidP="00473557">
    <w:pPr>
      <w:pStyle w:val="Footer"/>
      <w:jc w:val="right"/>
    </w:pPr>
  </w:p>
  <w:p w14:paraId="69BC172B" w14:textId="77777777" w:rsidR="001A4276" w:rsidRPr="00473557" w:rsidRDefault="001A4276" w:rsidP="004735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682E8" w14:textId="77777777" w:rsidR="002A68F1" w:rsidRDefault="002A68F1">
      <w:r>
        <w:separator/>
      </w:r>
    </w:p>
  </w:footnote>
  <w:footnote w:type="continuationSeparator" w:id="0">
    <w:p w14:paraId="50948848" w14:textId="77777777" w:rsidR="002A68F1" w:rsidRDefault="002A68F1">
      <w:r>
        <w:continuationSeparator/>
      </w:r>
    </w:p>
  </w:footnote>
  <w:footnote w:type="continuationNotice" w:id="1">
    <w:p w14:paraId="5A414476" w14:textId="77777777" w:rsidR="002A68F1" w:rsidRDefault="002A68F1">
      <w:pPr>
        <w:spacing w:after="0" w:line="240" w:lineRule="auto"/>
      </w:pPr>
    </w:p>
  </w:footnote>
  <w:footnote w:id="2">
    <w:p w14:paraId="47866B3F" w14:textId="07B87DED" w:rsidR="00223736" w:rsidRDefault="00223736">
      <w:pPr>
        <w:pStyle w:val="FootnoteText"/>
      </w:pPr>
      <w:r>
        <w:rPr>
          <w:rStyle w:val="FootnoteReference"/>
        </w:rPr>
        <w:footnoteRef/>
      </w:r>
      <w:r>
        <w:t xml:space="preserve"> </w:t>
      </w:r>
      <w:r w:rsidR="00051503" w:rsidRPr="00051503">
        <w:t>Digital enhanced cordless telecommunications</w:t>
      </w:r>
      <w:r w:rsidR="00051503">
        <w:t xml:space="preserve"> (</w:t>
      </w:r>
      <w:r>
        <w:t>DECT</w:t>
      </w:r>
      <w:r w:rsidR="00051503">
        <w:t>)</w:t>
      </w:r>
    </w:p>
  </w:footnote>
  <w:footnote w:id="3">
    <w:p w14:paraId="5C279942" w14:textId="53839FA1" w:rsidR="001A4276" w:rsidRDefault="001A4276" w:rsidP="00322232">
      <w:pPr>
        <w:pStyle w:val="FootnoteText"/>
        <w:spacing w:after="60" w:line="240" w:lineRule="auto"/>
      </w:pPr>
      <w:r>
        <w:rPr>
          <w:rStyle w:val="FootnoteReference"/>
        </w:rPr>
        <w:footnoteRef/>
      </w:r>
      <w:r>
        <w:t xml:space="preserve"> Equivalent isotropic radiated power</w:t>
      </w:r>
      <w:r w:rsidR="00242BEA">
        <w:t>.</w:t>
      </w:r>
    </w:p>
  </w:footnote>
  <w:footnote w:id="4">
    <w:p w14:paraId="13249851" w14:textId="2CE7DDE4" w:rsidR="001A4276" w:rsidRDefault="001A4276" w:rsidP="00322232">
      <w:pPr>
        <w:pStyle w:val="FootnoteText"/>
        <w:spacing w:line="240" w:lineRule="auto"/>
      </w:pPr>
      <w:r>
        <w:rPr>
          <w:rStyle w:val="FootnoteReference"/>
        </w:rPr>
        <w:footnoteRef/>
      </w:r>
      <w:r>
        <w:t xml:space="preserve"> </w:t>
      </w:r>
      <w:r w:rsidRPr="00CF0720">
        <w:t xml:space="preserve">3GPP R4-168430, </w:t>
      </w:r>
      <w:r w:rsidR="00242BEA">
        <w:t>‘</w:t>
      </w:r>
      <w:r w:rsidRPr="00CF0720">
        <w:t xml:space="preserve">On </w:t>
      </w:r>
      <w:proofErr w:type="spellStart"/>
      <w:r w:rsidRPr="00CF0720">
        <w:t>NRb</w:t>
      </w:r>
      <w:proofErr w:type="spellEnd"/>
      <w:r w:rsidRPr="00CF0720">
        <w:t xml:space="preserve"> BS ACLR requirement</w:t>
      </w:r>
      <w:r w:rsidR="00242BEA">
        <w:t>’</w:t>
      </w:r>
      <w:r w:rsidRPr="00CF0720">
        <w:t>, Huawei, 3GPP TSG-RAN WG4 Meeting #80bis, Oct</w:t>
      </w:r>
      <w:r w:rsidR="000C60E1">
        <w:t>ober</w:t>
      </w:r>
      <w:r w:rsidRPr="00CF0720">
        <w:t xml:space="preserve"> 2016</w:t>
      </w:r>
      <w:r w:rsidR="00242BEA">
        <w:t>.</w:t>
      </w:r>
    </w:p>
  </w:footnote>
  <w:footnote w:id="5">
    <w:p w14:paraId="27A619F4" w14:textId="2F6A5894" w:rsidR="00606A3D" w:rsidRDefault="00606A3D">
      <w:pPr>
        <w:pStyle w:val="FootnoteText"/>
      </w:pPr>
      <w:r>
        <w:rPr>
          <w:rStyle w:val="FootnoteReference"/>
        </w:rPr>
        <w:footnoteRef/>
      </w:r>
      <w:r>
        <w:t xml:space="preserve"> Antenna gain assumes 17 </w:t>
      </w:r>
      <w:proofErr w:type="spellStart"/>
      <w:r>
        <w:t>dBi</w:t>
      </w:r>
      <w:proofErr w:type="spellEnd"/>
      <w:r>
        <w:t xml:space="preserve"> max</w:t>
      </w:r>
      <w:r w:rsidR="00086A43">
        <w:t>imum</w:t>
      </w:r>
      <w:r>
        <w:t xml:space="preserve"> antenna gain with 2 dB feeder loss</w:t>
      </w:r>
      <w:r w:rsidR="001E2EA3">
        <w:t>.</w:t>
      </w:r>
    </w:p>
  </w:footnote>
  <w:footnote w:id="6">
    <w:p w14:paraId="620DC489" w14:textId="453436E5" w:rsidR="00E06606" w:rsidRDefault="00E06606" w:rsidP="00322232">
      <w:pPr>
        <w:pStyle w:val="FootnoteText"/>
        <w:spacing w:line="240" w:lineRule="auto"/>
      </w:pPr>
      <w:r>
        <w:rPr>
          <w:rStyle w:val="FootnoteReference"/>
        </w:rPr>
        <w:footnoteRef/>
      </w:r>
      <w:r>
        <w:t xml:space="preserve"> 3GPP </w:t>
      </w:r>
      <w:r w:rsidRPr="00B46252">
        <w:t>TS 3</w:t>
      </w:r>
      <w:r w:rsidR="00B14416">
        <w:t>8</w:t>
      </w:r>
      <w:r w:rsidRPr="00B46252">
        <w:t xml:space="preserve">.104, available at: </w:t>
      </w:r>
      <w:hyperlink r:id="rId1" w:history="1">
        <w:r w:rsidR="00B14416" w:rsidRPr="006129E5">
          <w:rPr>
            <w:rStyle w:val="Hyperlink"/>
          </w:rPr>
          <w:t>https://portal.3gpp.org/desktopmodules/Specifications/SpecificationDetails.aspx?specificationId=3202</w:t>
        </w:r>
      </w:hyperlink>
      <w:r w:rsidR="000049FD">
        <w:t>.</w:t>
      </w:r>
      <w:r w:rsidR="00B14416">
        <w:t xml:space="preserve"> </w:t>
      </w:r>
    </w:p>
  </w:footnote>
  <w:footnote w:id="7">
    <w:p w14:paraId="036DEF97" w14:textId="4D8B3116" w:rsidR="001A4276" w:rsidRDefault="001A4276" w:rsidP="006A22B8">
      <w:pPr>
        <w:pStyle w:val="FootnoteText"/>
        <w:spacing w:after="0"/>
      </w:pPr>
      <w:r>
        <w:rPr>
          <w:rStyle w:val="FootnoteReference"/>
        </w:rPr>
        <w:footnoteRef/>
      </w:r>
      <w:r>
        <w:t xml:space="preserve"> A full list of RALIs currently in</w:t>
      </w:r>
      <w:r w:rsidR="00CC0F5E">
        <w:t xml:space="preserve"> </w:t>
      </w:r>
      <w:r>
        <w:t xml:space="preserve">force is available on the </w:t>
      </w:r>
      <w:hyperlink r:id="rId2" w:history="1">
        <w:r w:rsidRPr="00F5311E">
          <w:rPr>
            <w:rStyle w:val="Hyperlink"/>
          </w:rPr>
          <w:t>ACMA website</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D75AE" w14:textId="77777777" w:rsidR="001A4276" w:rsidRPr="00A5474E" w:rsidRDefault="001A4276" w:rsidP="00C34F12">
    <w:pPr>
      <w:pStyle w:val="Header"/>
    </w:pPr>
    <w:r>
      <w:rPr>
        <w:noProof/>
      </w:rPr>
      <w:drawing>
        <wp:inline distT="0" distB="0" distL="0" distR="0" wp14:anchorId="18A87133" wp14:editId="110B74F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3CEE5740" w14:textId="6A11DCB8" w:rsidR="001A4276" w:rsidRPr="00C34F12" w:rsidRDefault="001A4276" w:rsidP="00C34F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FE009" w14:textId="77777777" w:rsidR="001A4276" w:rsidRPr="00A5474E" w:rsidRDefault="001A427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1AA1D" w14:textId="77777777" w:rsidR="001A4276" w:rsidRDefault="001A42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0C1C9" w14:textId="77777777" w:rsidR="001A4276" w:rsidRDefault="001A427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347CE" w14:textId="77777777" w:rsidR="001A4276" w:rsidRDefault="001A427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54C36" w14:textId="77777777" w:rsidR="001A4276" w:rsidRDefault="001A4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48A0654"/>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054A5D4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55980368"/>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F8B00B62"/>
    <w:lvl w:ilvl="0">
      <w:start w:val="1"/>
      <w:numFmt w:val="bullet"/>
      <w:pStyle w:val="ListBullet"/>
      <w:lvlText w:val="&gt;"/>
      <w:lvlJc w:val="left"/>
      <w:pPr>
        <w:tabs>
          <w:tab w:val="num" w:pos="295"/>
        </w:tabs>
        <w:ind w:left="295" w:hanging="295"/>
      </w:pPr>
      <w:rPr>
        <w:rFonts w:ascii="HelveticaNeueLT Std Lt" w:hAnsi="HelveticaNeueLT Std Lt" w:hint="default"/>
        <w:color w:val="000000" w:themeColor="text1"/>
        <w:sz w:val="20"/>
      </w:rPr>
    </w:lvl>
  </w:abstractNum>
  <w:abstractNum w:abstractNumId="5" w15:restartNumberingAfterBreak="0">
    <w:nsid w:val="0101252C"/>
    <w:multiLevelType w:val="hybridMultilevel"/>
    <w:tmpl w:val="7414B1A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11F38D1"/>
    <w:multiLevelType w:val="hybridMultilevel"/>
    <w:tmpl w:val="EDFA4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1EC65A0"/>
    <w:multiLevelType w:val="hybridMultilevel"/>
    <w:tmpl w:val="D2B283F4"/>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1EE34EE"/>
    <w:multiLevelType w:val="hybridMultilevel"/>
    <w:tmpl w:val="E7CAF5EA"/>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33E7ED1"/>
    <w:multiLevelType w:val="hybridMultilevel"/>
    <w:tmpl w:val="DE90C13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8D377C"/>
    <w:multiLevelType w:val="hybridMultilevel"/>
    <w:tmpl w:val="9BF23112"/>
    <w:lvl w:ilvl="0" w:tplc="3E4C7BB4">
      <w:start w:val="1"/>
      <w:numFmt w:val="lowerRoman"/>
      <w:lvlText w:val="(%1)"/>
      <w:lvlJc w:val="left"/>
      <w:pPr>
        <w:ind w:left="1787" w:hanging="360"/>
      </w:pPr>
      <w:rPr>
        <w:rFonts w:ascii="Times New Roman" w:eastAsia="Times New Roman" w:hAnsi="Times New Roman" w:hint="default"/>
        <w:w w:val="101"/>
        <w:sz w:val="21"/>
        <w:szCs w:val="21"/>
      </w:rPr>
    </w:lvl>
    <w:lvl w:ilvl="1" w:tplc="0C090019" w:tentative="1">
      <w:start w:val="1"/>
      <w:numFmt w:val="lowerLetter"/>
      <w:lvlText w:val="%2."/>
      <w:lvlJc w:val="left"/>
      <w:pPr>
        <w:ind w:left="1026" w:hanging="360"/>
      </w:pPr>
    </w:lvl>
    <w:lvl w:ilvl="2" w:tplc="0C09001B" w:tentative="1">
      <w:start w:val="1"/>
      <w:numFmt w:val="lowerRoman"/>
      <w:lvlText w:val="%3."/>
      <w:lvlJc w:val="right"/>
      <w:pPr>
        <w:ind w:left="1746" w:hanging="180"/>
      </w:pPr>
    </w:lvl>
    <w:lvl w:ilvl="3" w:tplc="0C09000F" w:tentative="1">
      <w:start w:val="1"/>
      <w:numFmt w:val="decimal"/>
      <w:lvlText w:val="%4."/>
      <w:lvlJc w:val="left"/>
      <w:pPr>
        <w:ind w:left="2466" w:hanging="360"/>
      </w:pPr>
    </w:lvl>
    <w:lvl w:ilvl="4" w:tplc="0C090019" w:tentative="1">
      <w:start w:val="1"/>
      <w:numFmt w:val="lowerLetter"/>
      <w:lvlText w:val="%5."/>
      <w:lvlJc w:val="left"/>
      <w:pPr>
        <w:ind w:left="3186" w:hanging="360"/>
      </w:pPr>
    </w:lvl>
    <w:lvl w:ilvl="5" w:tplc="0C09001B" w:tentative="1">
      <w:start w:val="1"/>
      <w:numFmt w:val="lowerRoman"/>
      <w:lvlText w:val="%6."/>
      <w:lvlJc w:val="right"/>
      <w:pPr>
        <w:ind w:left="3906" w:hanging="180"/>
      </w:pPr>
    </w:lvl>
    <w:lvl w:ilvl="6" w:tplc="0C09000F" w:tentative="1">
      <w:start w:val="1"/>
      <w:numFmt w:val="decimal"/>
      <w:lvlText w:val="%7."/>
      <w:lvlJc w:val="left"/>
      <w:pPr>
        <w:ind w:left="4626" w:hanging="360"/>
      </w:pPr>
    </w:lvl>
    <w:lvl w:ilvl="7" w:tplc="0C090019" w:tentative="1">
      <w:start w:val="1"/>
      <w:numFmt w:val="lowerLetter"/>
      <w:lvlText w:val="%8."/>
      <w:lvlJc w:val="left"/>
      <w:pPr>
        <w:ind w:left="5346" w:hanging="360"/>
      </w:pPr>
    </w:lvl>
    <w:lvl w:ilvl="8" w:tplc="0C09001B" w:tentative="1">
      <w:start w:val="1"/>
      <w:numFmt w:val="lowerRoman"/>
      <w:lvlText w:val="%9."/>
      <w:lvlJc w:val="right"/>
      <w:pPr>
        <w:ind w:left="6066" w:hanging="180"/>
      </w:pPr>
    </w:lvl>
  </w:abstractNum>
  <w:abstractNum w:abstractNumId="12" w15:restartNumberingAfterBreak="0">
    <w:nsid w:val="05C214DA"/>
    <w:multiLevelType w:val="hybridMultilevel"/>
    <w:tmpl w:val="6530640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5CF089F"/>
    <w:multiLevelType w:val="hybridMultilevel"/>
    <w:tmpl w:val="24FEAB1C"/>
    <w:lvl w:ilvl="0" w:tplc="0C09000F">
      <w:start w:val="1"/>
      <w:numFmt w:val="decimal"/>
      <w:lvlText w:val="%1."/>
      <w:lvlJc w:val="left"/>
      <w:pPr>
        <w:ind w:left="644" w:hanging="360"/>
      </w:p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4" w15:restartNumberingAfterBreak="0">
    <w:nsid w:val="05E013CF"/>
    <w:multiLevelType w:val="hybridMultilevel"/>
    <w:tmpl w:val="311EA8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7B85492"/>
    <w:multiLevelType w:val="hybridMultilevel"/>
    <w:tmpl w:val="4D1ED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8A60866"/>
    <w:multiLevelType w:val="hybridMultilevel"/>
    <w:tmpl w:val="77682D74"/>
    <w:lvl w:ilvl="0" w:tplc="0C09000F">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0AB872D3"/>
    <w:multiLevelType w:val="hybridMultilevel"/>
    <w:tmpl w:val="AF10AFDC"/>
    <w:lvl w:ilvl="0" w:tplc="0C090007">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0D1921CD"/>
    <w:multiLevelType w:val="hybridMultilevel"/>
    <w:tmpl w:val="EA5EAC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0DA80697"/>
    <w:multiLevelType w:val="hybridMultilevel"/>
    <w:tmpl w:val="E3B4216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0F66B0C"/>
    <w:multiLevelType w:val="hybridMultilevel"/>
    <w:tmpl w:val="0E567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1547CD1"/>
    <w:multiLevelType w:val="hybridMultilevel"/>
    <w:tmpl w:val="85744DE4"/>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119C4D96"/>
    <w:multiLevelType w:val="hybridMultilevel"/>
    <w:tmpl w:val="9D122DBC"/>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5367510"/>
    <w:multiLevelType w:val="hybridMultilevel"/>
    <w:tmpl w:val="6274549A"/>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9417BDF"/>
    <w:multiLevelType w:val="hybridMultilevel"/>
    <w:tmpl w:val="FC141F7E"/>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9D37C7E"/>
    <w:multiLevelType w:val="multilevel"/>
    <w:tmpl w:val="A0348D74"/>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1B106536"/>
    <w:multiLevelType w:val="singleLevel"/>
    <w:tmpl w:val="07548C3C"/>
    <w:lvl w:ilvl="0">
      <w:start w:val="1"/>
      <w:numFmt w:val="lowerLetter"/>
      <w:lvlText w:val="(%1)"/>
      <w:lvlJc w:val="left"/>
      <w:pPr>
        <w:tabs>
          <w:tab w:val="num" w:pos="360"/>
        </w:tabs>
        <w:ind w:left="360" w:hanging="360"/>
      </w:pPr>
      <w:rPr>
        <w:rFonts w:cs="Times New Roman"/>
      </w:rPr>
    </w:lvl>
  </w:abstractNum>
  <w:abstractNum w:abstractNumId="28" w15:restartNumberingAfterBreak="0">
    <w:nsid w:val="1C0813A3"/>
    <w:multiLevelType w:val="hybridMultilevel"/>
    <w:tmpl w:val="0C9C0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C441DDF"/>
    <w:multiLevelType w:val="hybridMultilevel"/>
    <w:tmpl w:val="AEB00444"/>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C981EB5"/>
    <w:multiLevelType w:val="hybridMultilevel"/>
    <w:tmpl w:val="69ECF97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DB602BD"/>
    <w:multiLevelType w:val="hybridMultilevel"/>
    <w:tmpl w:val="C5BC5162"/>
    <w:lvl w:ilvl="0" w:tplc="0C09000F">
      <w:start w:val="1"/>
      <w:numFmt w:val="decimal"/>
      <w:lvlText w:val="%1."/>
      <w:lvlJc w:val="left"/>
      <w:pPr>
        <w:ind w:left="644"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EE7409B"/>
    <w:multiLevelType w:val="hybridMultilevel"/>
    <w:tmpl w:val="855A35E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04361DA"/>
    <w:multiLevelType w:val="hybridMultilevel"/>
    <w:tmpl w:val="4BC89884"/>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205C2EFB"/>
    <w:multiLevelType w:val="hybridMultilevel"/>
    <w:tmpl w:val="E0AEF3AE"/>
    <w:lvl w:ilvl="0" w:tplc="0C090001">
      <w:start w:val="1"/>
      <w:numFmt w:val="bullet"/>
      <w:lvlText w:val=""/>
      <w:lvlJc w:val="left"/>
      <w:pPr>
        <w:tabs>
          <w:tab w:val="num" w:pos="6840"/>
        </w:tabs>
        <w:ind w:left="6840" w:hanging="360"/>
      </w:pPr>
      <w:rPr>
        <w:rFonts w:ascii="Symbol" w:hAnsi="Symbol" w:hint="default"/>
      </w:rPr>
    </w:lvl>
    <w:lvl w:ilvl="1" w:tplc="0C090003" w:tentative="1">
      <w:start w:val="1"/>
      <w:numFmt w:val="bullet"/>
      <w:lvlText w:val="o"/>
      <w:lvlJc w:val="left"/>
      <w:pPr>
        <w:tabs>
          <w:tab w:val="num" w:pos="7560"/>
        </w:tabs>
        <w:ind w:left="7560" w:hanging="360"/>
      </w:pPr>
      <w:rPr>
        <w:rFonts w:ascii="Courier New" w:hAnsi="Courier New" w:cs="Courier New" w:hint="default"/>
      </w:rPr>
    </w:lvl>
    <w:lvl w:ilvl="2" w:tplc="0C090005" w:tentative="1">
      <w:start w:val="1"/>
      <w:numFmt w:val="bullet"/>
      <w:lvlText w:val=""/>
      <w:lvlJc w:val="left"/>
      <w:pPr>
        <w:tabs>
          <w:tab w:val="num" w:pos="8280"/>
        </w:tabs>
        <w:ind w:left="8280" w:hanging="360"/>
      </w:pPr>
      <w:rPr>
        <w:rFonts w:ascii="Wingdings" w:hAnsi="Wingdings" w:hint="default"/>
      </w:rPr>
    </w:lvl>
    <w:lvl w:ilvl="3" w:tplc="0C090001" w:tentative="1">
      <w:start w:val="1"/>
      <w:numFmt w:val="bullet"/>
      <w:lvlText w:val=""/>
      <w:lvlJc w:val="left"/>
      <w:pPr>
        <w:tabs>
          <w:tab w:val="num" w:pos="9000"/>
        </w:tabs>
        <w:ind w:left="9000" w:hanging="360"/>
      </w:pPr>
      <w:rPr>
        <w:rFonts w:ascii="Symbol" w:hAnsi="Symbol" w:hint="default"/>
      </w:rPr>
    </w:lvl>
    <w:lvl w:ilvl="4" w:tplc="0C090003" w:tentative="1">
      <w:start w:val="1"/>
      <w:numFmt w:val="bullet"/>
      <w:lvlText w:val="o"/>
      <w:lvlJc w:val="left"/>
      <w:pPr>
        <w:tabs>
          <w:tab w:val="num" w:pos="9720"/>
        </w:tabs>
        <w:ind w:left="9720" w:hanging="360"/>
      </w:pPr>
      <w:rPr>
        <w:rFonts w:ascii="Courier New" w:hAnsi="Courier New" w:cs="Courier New" w:hint="default"/>
      </w:rPr>
    </w:lvl>
    <w:lvl w:ilvl="5" w:tplc="0C090005" w:tentative="1">
      <w:start w:val="1"/>
      <w:numFmt w:val="bullet"/>
      <w:lvlText w:val=""/>
      <w:lvlJc w:val="left"/>
      <w:pPr>
        <w:tabs>
          <w:tab w:val="num" w:pos="10440"/>
        </w:tabs>
        <w:ind w:left="10440" w:hanging="360"/>
      </w:pPr>
      <w:rPr>
        <w:rFonts w:ascii="Wingdings" w:hAnsi="Wingdings" w:hint="default"/>
      </w:rPr>
    </w:lvl>
    <w:lvl w:ilvl="6" w:tplc="0C090001" w:tentative="1">
      <w:start w:val="1"/>
      <w:numFmt w:val="bullet"/>
      <w:lvlText w:val=""/>
      <w:lvlJc w:val="left"/>
      <w:pPr>
        <w:tabs>
          <w:tab w:val="num" w:pos="11160"/>
        </w:tabs>
        <w:ind w:left="11160" w:hanging="360"/>
      </w:pPr>
      <w:rPr>
        <w:rFonts w:ascii="Symbol" w:hAnsi="Symbol" w:hint="default"/>
      </w:rPr>
    </w:lvl>
    <w:lvl w:ilvl="7" w:tplc="0C090003" w:tentative="1">
      <w:start w:val="1"/>
      <w:numFmt w:val="bullet"/>
      <w:lvlText w:val="o"/>
      <w:lvlJc w:val="left"/>
      <w:pPr>
        <w:tabs>
          <w:tab w:val="num" w:pos="11880"/>
        </w:tabs>
        <w:ind w:left="11880" w:hanging="360"/>
      </w:pPr>
      <w:rPr>
        <w:rFonts w:ascii="Courier New" w:hAnsi="Courier New" w:cs="Courier New" w:hint="default"/>
      </w:rPr>
    </w:lvl>
    <w:lvl w:ilvl="8" w:tplc="0C090005" w:tentative="1">
      <w:start w:val="1"/>
      <w:numFmt w:val="bullet"/>
      <w:lvlText w:val=""/>
      <w:lvlJc w:val="left"/>
      <w:pPr>
        <w:tabs>
          <w:tab w:val="num" w:pos="12600"/>
        </w:tabs>
        <w:ind w:left="12600" w:hanging="360"/>
      </w:pPr>
      <w:rPr>
        <w:rFonts w:ascii="Wingdings" w:hAnsi="Wingdings" w:hint="default"/>
      </w:rPr>
    </w:lvl>
  </w:abstractNum>
  <w:abstractNum w:abstractNumId="35" w15:restartNumberingAfterBreak="0">
    <w:nsid w:val="241C0935"/>
    <w:multiLevelType w:val="hybridMultilevel"/>
    <w:tmpl w:val="1A0486AC"/>
    <w:lvl w:ilvl="0" w:tplc="30E054C2">
      <w:start w:val="7"/>
      <w:numFmt w:val="decimal"/>
      <w:lvlText w:val="%1."/>
      <w:lvlJc w:val="left"/>
      <w:pPr>
        <w:ind w:left="954" w:hanging="360"/>
      </w:pPr>
      <w:rPr>
        <w:rFonts w:ascii="Times New Roman" w:eastAsia="Times New Roman" w:hAnsi="Times New Roman" w:hint="default"/>
        <w:w w:val="101"/>
        <w:sz w:val="21"/>
        <w:szCs w:val="21"/>
      </w:rPr>
    </w:lvl>
    <w:lvl w:ilvl="1" w:tplc="205A7526">
      <w:start w:val="1"/>
      <w:numFmt w:val="lowerLetter"/>
      <w:lvlText w:val="(%2)"/>
      <w:lvlJc w:val="left"/>
      <w:pPr>
        <w:ind w:left="1314" w:hanging="360"/>
      </w:pPr>
      <w:rPr>
        <w:rFonts w:ascii="Times New Roman" w:eastAsia="Times New Roman" w:hAnsi="Times New Roman" w:hint="default"/>
        <w:w w:val="101"/>
        <w:sz w:val="21"/>
        <w:szCs w:val="21"/>
      </w:rPr>
    </w:lvl>
    <w:lvl w:ilvl="2" w:tplc="3E4C7BB4">
      <w:start w:val="1"/>
      <w:numFmt w:val="lowerRoman"/>
      <w:lvlText w:val="(%3)"/>
      <w:lvlJc w:val="left"/>
      <w:pPr>
        <w:ind w:left="2201" w:hanging="360"/>
      </w:pPr>
      <w:rPr>
        <w:rFonts w:ascii="Times New Roman" w:eastAsia="Times New Roman" w:hAnsi="Times New Roman" w:hint="default"/>
        <w:w w:val="101"/>
        <w:sz w:val="21"/>
        <w:szCs w:val="21"/>
      </w:rPr>
    </w:lvl>
    <w:lvl w:ilvl="3" w:tplc="5FDE33F2">
      <w:start w:val="1"/>
      <w:numFmt w:val="bullet"/>
      <w:lvlText w:val="•"/>
      <w:lvlJc w:val="left"/>
      <w:pPr>
        <w:ind w:left="3088" w:hanging="360"/>
      </w:pPr>
      <w:rPr>
        <w:rFonts w:hint="default"/>
      </w:rPr>
    </w:lvl>
    <w:lvl w:ilvl="4" w:tplc="5B265EE8">
      <w:start w:val="1"/>
      <w:numFmt w:val="bullet"/>
      <w:lvlText w:val="•"/>
      <w:lvlJc w:val="left"/>
      <w:pPr>
        <w:ind w:left="3976" w:hanging="360"/>
      </w:pPr>
      <w:rPr>
        <w:rFonts w:hint="default"/>
      </w:rPr>
    </w:lvl>
    <w:lvl w:ilvl="5" w:tplc="74068F6C">
      <w:start w:val="1"/>
      <w:numFmt w:val="bullet"/>
      <w:lvlText w:val="•"/>
      <w:lvlJc w:val="left"/>
      <w:pPr>
        <w:ind w:left="4863" w:hanging="360"/>
      </w:pPr>
      <w:rPr>
        <w:rFonts w:hint="default"/>
      </w:rPr>
    </w:lvl>
    <w:lvl w:ilvl="6" w:tplc="8E2A430A">
      <w:start w:val="1"/>
      <w:numFmt w:val="bullet"/>
      <w:lvlText w:val="•"/>
      <w:lvlJc w:val="left"/>
      <w:pPr>
        <w:ind w:left="5750" w:hanging="360"/>
      </w:pPr>
      <w:rPr>
        <w:rFonts w:hint="default"/>
      </w:rPr>
    </w:lvl>
    <w:lvl w:ilvl="7" w:tplc="3E688802">
      <w:start w:val="1"/>
      <w:numFmt w:val="bullet"/>
      <w:lvlText w:val="•"/>
      <w:lvlJc w:val="left"/>
      <w:pPr>
        <w:ind w:left="6638" w:hanging="360"/>
      </w:pPr>
      <w:rPr>
        <w:rFonts w:hint="default"/>
      </w:rPr>
    </w:lvl>
    <w:lvl w:ilvl="8" w:tplc="559EEC00">
      <w:start w:val="1"/>
      <w:numFmt w:val="bullet"/>
      <w:lvlText w:val="•"/>
      <w:lvlJc w:val="left"/>
      <w:pPr>
        <w:ind w:left="7525" w:hanging="360"/>
      </w:pPr>
      <w:rPr>
        <w:rFonts w:hint="default"/>
      </w:rPr>
    </w:lvl>
  </w:abstractNum>
  <w:abstractNum w:abstractNumId="36" w15:restartNumberingAfterBreak="0">
    <w:nsid w:val="245214F7"/>
    <w:multiLevelType w:val="hybridMultilevel"/>
    <w:tmpl w:val="FCC00F5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5747F38"/>
    <w:multiLevelType w:val="hybridMultilevel"/>
    <w:tmpl w:val="0FF6C618"/>
    <w:lvl w:ilvl="0" w:tplc="001230B2">
      <w:start w:val="1"/>
      <w:numFmt w:val="bullet"/>
      <w:lvlText w:val=""/>
      <w:lvlJc w:val="left"/>
      <w:pPr>
        <w:ind w:left="720"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2124C638">
      <w:start w:val="3"/>
      <w:numFmt w:val="bullet"/>
      <w:lvlText w:val="-"/>
      <w:lvlJc w:val="left"/>
      <w:pPr>
        <w:ind w:left="1210" w:hanging="360"/>
      </w:pPr>
      <w:rPr>
        <w:rFonts w:ascii="Arial" w:eastAsia="Times New Roman" w:hAnsi="Arial" w:cs="Aria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6B245F2"/>
    <w:multiLevelType w:val="hybridMultilevel"/>
    <w:tmpl w:val="2A7093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7900A2D"/>
    <w:multiLevelType w:val="hybridMultilevel"/>
    <w:tmpl w:val="24BA51B6"/>
    <w:lvl w:ilvl="0" w:tplc="001230B2">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80F07DC"/>
    <w:multiLevelType w:val="hybridMultilevel"/>
    <w:tmpl w:val="44EC7724"/>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2AD43777"/>
    <w:multiLevelType w:val="hybridMultilevel"/>
    <w:tmpl w:val="43348B20"/>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2C241F42"/>
    <w:multiLevelType w:val="hybridMultilevel"/>
    <w:tmpl w:val="45649012"/>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C9222AC"/>
    <w:multiLevelType w:val="hybridMultilevel"/>
    <w:tmpl w:val="9558B59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45" w15:restartNumberingAfterBreak="0">
    <w:nsid w:val="2F686D89"/>
    <w:multiLevelType w:val="hybridMultilevel"/>
    <w:tmpl w:val="C6B0E2A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2FCF6138"/>
    <w:multiLevelType w:val="hybridMultilevel"/>
    <w:tmpl w:val="EA6CE7A8"/>
    <w:lvl w:ilvl="0" w:tplc="2C8C77E0">
      <w:start w:val="1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18A3EF0"/>
    <w:multiLevelType w:val="hybridMultilevel"/>
    <w:tmpl w:val="4D52AAE4"/>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2BA52F9"/>
    <w:multiLevelType w:val="hybridMultilevel"/>
    <w:tmpl w:val="88CC9378"/>
    <w:lvl w:ilvl="0" w:tplc="55F2986E">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49" w15:restartNumberingAfterBreak="0">
    <w:nsid w:val="37AD2F08"/>
    <w:multiLevelType w:val="hybridMultilevel"/>
    <w:tmpl w:val="287EC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3A4237E4"/>
    <w:multiLevelType w:val="hybridMultilevel"/>
    <w:tmpl w:val="BAEC6AD6"/>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A5D3650"/>
    <w:multiLevelType w:val="hybridMultilevel"/>
    <w:tmpl w:val="A510D1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3B463B44"/>
    <w:multiLevelType w:val="hybridMultilevel"/>
    <w:tmpl w:val="9F784340"/>
    <w:lvl w:ilvl="0" w:tplc="215E9FDE">
      <w:start w:val="7"/>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CB4796F"/>
    <w:multiLevelType w:val="hybridMultilevel"/>
    <w:tmpl w:val="EA0423CA"/>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E11448C"/>
    <w:multiLevelType w:val="hybridMultilevel"/>
    <w:tmpl w:val="D71AB5A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E224C17"/>
    <w:multiLevelType w:val="hybridMultilevel"/>
    <w:tmpl w:val="63DC85BC"/>
    <w:lvl w:ilvl="0" w:tplc="CC72F036">
      <w:start w:val="1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09F54FF"/>
    <w:multiLevelType w:val="hybridMultilevel"/>
    <w:tmpl w:val="F612BFDA"/>
    <w:lvl w:ilvl="0" w:tplc="2E4C625C">
      <w:start w:val="1800"/>
      <w:numFmt w:val="decimal"/>
      <w:lvlText w:val="%1"/>
      <w:lvlJc w:val="left"/>
      <w:pPr>
        <w:ind w:left="810" w:hanging="45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440F3006"/>
    <w:multiLevelType w:val="hybridMultilevel"/>
    <w:tmpl w:val="0C3CD7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444972BC"/>
    <w:multiLevelType w:val="hybridMultilevel"/>
    <w:tmpl w:val="E0B2C4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46185453"/>
    <w:multiLevelType w:val="hybridMultilevel"/>
    <w:tmpl w:val="7BCCBE98"/>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46DF22E0"/>
    <w:multiLevelType w:val="singleLevel"/>
    <w:tmpl w:val="07548C3C"/>
    <w:lvl w:ilvl="0">
      <w:start w:val="1"/>
      <w:numFmt w:val="lowerLetter"/>
      <w:lvlText w:val="(%1)"/>
      <w:lvlJc w:val="left"/>
      <w:pPr>
        <w:tabs>
          <w:tab w:val="num" w:pos="360"/>
        </w:tabs>
        <w:ind w:left="360" w:hanging="360"/>
      </w:pPr>
      <w:rPr>
        <w:rFonts w:cs="Times New Roman"/>
      </w:rPr>
    </w:lvl>
  </w:abstractNum>
  <w:abstractNum w:abstractNumId="61" w15:restartNumberingAfterBreak="0">
    <w:nsid w:val="486B03ED"/>
    <w:multiLevelType w:val="hybridMultilevel"/>
    <w:tmpl w:val="73A01BE8"/>
    <w:lvl w:ilvl="0" w:tplc="121044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49772594"/>
    <w:multiLevelType w:val="hybridMultilevel"/>
    <w:tmpl w:val="8FF67B08"/>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3" w15:restartNumberingAfterBreak="0">
    <w:nsid w:val="4C7728F0"/>
    <w:multiLevelType w:val="hybridMultilevel"/>
    <w:tmpl w:val="8034E178"/>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4C9233C0"/>
    <w:multiLevelType w:val="hybridMultilevel"/>
    <w:tmpl w:val="2B304BF2"/>
    <w:lvl w:ilvl="0" w:tplc="DC2E5006">
      <w:start w:val="1"/>
      <w:numFmt w:val="decimal"/>
      <w:lvlText w:val="%1."/>
      <w:lvlJc w:val="left"/>
      <w:pPr>
        <w:ind w:left="531" w:hanging="360"/>
        <w:jc w:val="right"/>
      </w:pPr>
      <w:rPr>
        <w:rFonts w:ascii="Times New Roman" w:eastAsia="Times New Roman" w:hAnsi="Times New Roman" w:hint="default"/>
        <w:w w:val="101"/>
        <w:sz w:val="21"/>
        <w:szCs w:val="21"/>
      </w:rPr>
    </w:lvl>
    <w:lvl w:ilvl="1" w:tplc="8D0442E0">
      <w:start w:val="1"/>
      <w:numFmt w:val="lowerLetter"/>
      <w:lvlText w:val="(%2)"/>
      <w:lvlJc w:val="left"/>
      <w:pPr>
        <w:ind w:left="891" w:hanging="360"/>
      </w:pPr>
      <w:rPr>
        <w:rFonts w:ascii="Times New Roman" w:eastAsia="Times New Roman" w:hAnsi="Times New Roman" w:hint="default"/>
        <w:w w:val="101"/>
        <w:sz w:val="21"/>
        <w:szCs w:val="21"/>
      </w:rPr>
    </w:lvl>
    <w:lvl w:ilvl="2" w:tplc="E9E467A2">
      <w:start w:val="1"/>
      <w:numFmt w:val="lowerRoman"/>
      <w:lvlText w:val="(%3)"/>
      <w:lvlJc w:val="left"/>
      <w:pPr>
        <w:ind w:left="1674" w:hanging="360"/>
      </w:pPr>
      <w:rPr>
        <w:rFonts w:ascii="Times New Roman" w:eastAsia="Times New Roman" w:hAnsi="Times New Roman" w:hint="default"/>
        <w:w w:val="101"/>
        <w:sz w:val="21"/>
        <w:szCs w:val="21"/>
      </w:rPr>
    </w:lvl>
    <w:lvl w:ilvl="3" w:tplc="3BAA366E">
      <w:start w:val="1"/>
      <w:numFmt w:val="upperLetter"/>
      <w:lvlText w:val="(%4)"/>
      <w:lvlJc w:val="left"/>
      <w:pPr>
        <w:ind w:left="2034" w:hanging="360"/>
      </w:pPr>
      <w:rPr>
        <w:rFonts w:ascii="Times New Roman" w:eastAsia="Times New Roman" w:hAnsi="Times New Roman" w:hint="default"/>
        <w:w w:val="101"/>
        <w:sz w:val="21"/>
        <w:szCs w:val="21"/>
      </w:rPr>
    </w:lvl>
    <w:lvl w:ilvl="4" w:tplc="A00EC460">
      <w:start w:val="1"/>
      <w:numFmt w:val="bullet"/>
      <w:lvlText w:val="•"/>
      <w:lvlJc w:val="left"/>
      <w:pPr>
        <w:ind w:left="1674" w:hanging="360"/>
      </w:pPr>
      <w:rPr>
        <w:rFonts w:hint="default"/>
      </w:rPr>
    </w:lvl>
    <w:lvl w:ilvl="5" w:tplc="18306F8C">
      <w:start w:val="1"/>
      <w:numFmt w:val="bullet"/>
      <w:lvlText w:val="•"/>
      <w:lvlJc w:val="left"/>
      <w:pPr>
        <w:ind w:left="2034" w:hanging="360"/>
      </w:pPr>
      <w:rPr>
        <w:rFonts w:hint="default"/>
      </w:rPr>
    </w:lvl>
    <w:lvl w:ilvl="6" w:tplc="DCA441AC">
      <w:start w:val="1"/>
      <w:numFmt w:val="bullet"/>
      <w:lvlText w:val="•"/>
      <w:lvlJc w:val="left"/>
      <w:pPr>
        <w:ind w:left="3487" w:hanging="360"/>
      </w:pPr>
      <w:rPr>
        <w:rFonts w:hint="default"/>
      </w:rPr>
    </w:lvl>
    <w:lvl w:ilvl="7" w:tplc="E1C03F70">
      <w:start w:val="1"/>
      <w:numFmt w:val="bullet"/>
      <w:lvlText w:val="•"/>
      <w:lvlJc w:val="left"/>
      <w:pPr>
        <w:ind w:left="4940" w:hanging="360"/>
      </w:pPr>
      <w:rPr>
        <w:rFonts w:hint="default"/>
      </w:rPr>
    </w:lvl>
    <w:lvl w:ilvl="8" w:tplc="0D40AFBA">
      <w:start w:val="1"/>
      <w:numFmt w:val="bullet"/>
      <w:lvlText w:val="•"/>
      <w:lvlJc w:val="left"/>
      <w:pPr>
        <w:ind w:left="6393" w:hanging="360"/>
      </w:pPr>
      <w:rPr>
        <w:rFonts w:hint="default"/>
      </w:rPr>
    </w:lvl>
  </w:abstractNum>
  <w:abstractNum w:abstractNumId="65" w15:restartNumberingAfterBreak="0">
    <w:nsid w:val="4D5E57CC"/>
    <w:multiLevelType w:val="hybridMultilevel"/>
    <w:tmpl w:val="EBCC7E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6" w15:restartNumberingAfterBreak="0">
    <w:nsid w:val="50C7226C"/>
    <w:multiLevelType w:val="hybridMultilevel"/>
    <w:tmpl w:val="85A6BB1E"/>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7" w15:restartNumberingAfterBreak="0">
    <w:nsid w:val="510B526E"/>
    <w:multiLevelType w:val="hybridMultilevel"/>
    <w:tmpl w:val="F920C96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51294753"/>
    <w:multiLevelType w:val="hybridMultilevel"/>
    <w:tmpl w:val="E3B4216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51B563A9"/>
    <w:multiLevelType w:val="hybridMultilevel"/>
    <w:tmpl w:val="AB3E04E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524E4F97"/>
    <w:multiLevelType w:val="hybridMultilevel"/>
    <w:tmpl w:val="F7982394"/>
    <w:lvl w:ilvl="0" w:tplc="286C36EA">
      <w:start w:val="1800"/>
      <w:numFmt w:val="decimal"/>
      <w:lvlText w:val="%1"/>
      <w:lvlJc w:val="left"/>
      <w:pPr>
        <w:ind w:left="503" w:hanging="450"/>
      </w:pPr>
      <w:rPr>
        <w:rFonts w:hint="default"/>
      </w:rPr>
    </w:lvl>
    <w:lvl w:ilvl="1" w:tplc="0C090019" w:tentative="1">
      <w:start w:val="1"/>
      <w:numFmt w:val="lowerLetter"/>
      <w:lvlText w:val="%2."/>
      <w:lvlJc w:val="left"/>
      <w:pPr>
        <w:ind w:left="1133" w:hanging="360"/>
      </w:pPr>
    </w:lvl>
    <w:lvl w:ilvl="2" w:tplc="0C09001B" w:tentative="1">
      <w:start w:val="1"/>
      <w:numFmt w:val="lowerRoman"/>
      <w:lvlText w:val="%3."/>
      <w:lvlJc w:val="right"/>
      <w:pPr>
        <w:ind w:left="1853" w:hanging="180"/>
      </w:pPr>
    </w:lvl>
    <w:lvl w:ilvl="3" w:tplc="0C09000F" w:tentative="1">
      <w:start w:val="1"/>
      <w:numFmt w:val="decimal"/>
      <w:lvlText w:val="%4."/>
      <w:lvlJc w:val="left"/>
      <w:pPr>
        <w:ind w:left="2573" w:hanging="360"/>
      </w:pPr>
    </w:lvl>
    <w:lvl w:ilvl="4" w:tplc="0C090019" w:tentative="1">
      <w:start w:val="1"/>
      <w:numFmt w:val="lowerLetter"/>
      <w:lvlText w:val="%5."/>
      <w:lvlJc w:val="left"/>
      <w:pPr>
        <w:ind w:left="3293" w:hanging="360"/>
      </w:pPr>
    </w:lvl>
    <w:lvl w:ilvl="5" w:tplc="0C09001B" w:tentative="1">
      <w:start w:val="1"/>
      <w:numFmt w:val="lowerRoman"/>
      <w:lvlText w:val="%6."/>
      <w:lvlJc w:val="right"/>
      <w:pPr>
        <w:ind w:left="4013" w:hanging="180"/>
      </w:pPr>
    </w:lvl>
    <w:lvl w:ilvl="6" w:tplc="0C09000F" w:tentative="1">
      <w:start w:val="1"/>
      <w:numFmt w:val="decimal"/>
      <w:lvlText w:val="%7."/>
      <w:lvlJc w:val="left"/>
      <w:pPr>
        <w:ind w:left="4733" w:hanging="360"/>
      </w:pPr>
    </w:lvl>
    <w:lvl w:ilvl="7" w:tplc="0C090019" w:tentative="1">
      <w:start w:val="1"/>
      <w:numFmt w:val="lowerLetter"/>
      <w:lvlText w:val="%8."/>
      <w:lvlJc w:val="left"/>
      <w:pPr>
        <w:ind w:left="5453" w:hanging="360"/>
      </w:pPr>
    </w:lvl>
    <w:lvl w:ilvl="8" w:tplc="0C09001B" w:tentative="1">
      <w:start w:val="1"/>
      <w:numFmt w:val="lowerRoman"/>
      <w:lvlText w:val="%9."/>
      <w:lvlJc w:val="right"/>
      <w:pPr>
        <w:ind w:left="6173" w:hanging="180"/>
      </w:pPr>
    </w:lvl>
  </w:abstractNum>
  <w:abstractNum w:abstractNumId="71" w15:restartNumberingAfterBreak="0">
    <w:nsid w:val="55A02674"/>
    <w:multiLevelType w:val="hybridMultilevel"/>
    <w:tmpl w:val="BB566E6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55AA21F0"/>
    <w:multiLevelType w:val="hybridMultilevel"/>
    <w:tmpl w:val="06AC6452"/>
    <w:lvl w:ilvl="0" w:tplc="075A84B2">
      <w:start w:val="1"/>
      <w:numFmt w:val="decimal"/>
      <w:pStyle w:val="ACMATableHeader"/>
      <w:lvlText w:val="Table %1:"/>
      <w:lvlJc w:val="left"/>
      <w:pPr>
        <w:tabs>
          <w:tab w:val="num" w:pos="7627"/>
        </w:tabs>
        <w:ind w:left="7627"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56303B36"/>
    <w:multiLevelType w:val="hybridMultilevel"/>
    <w:tmpl w:val="7D3CD776"/>
    <w:lvl w:ilvl="0" w:tplc="2C8C77E0">
      <w:start w:val="1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564A25D8"/>
    <w:multiLevelType w:val="hybridMultilevel"/>
    <w:tmpl w:val="8946C3EE"/>
    <w:lvl w:ilvl="0" w:tplc="DC6A75D6">
      <w:start w:val="1"/>
      <w:numFmt w:val="lowerLetter"/>
      <w:lvlText w:val="(%1)"/>
      <w:lvlJc w:val="left"/>
      <w:pPr>
        <w:ind w:left="1800" w:hanging="360"/>
      </w:pPr>
      <w:rPr>
        <w:rFonts w:ascii="Times New Roman" w:eastAsia="Times New Roman" w:hAnsi="Times New Roman" w:cs="Times New Roman"/>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5" w15:restartNumberingAfterBreak="0">
    <w:nsid w:val="56ED7FFC"/>
    <w:multiLevelType w:val="hybridMultilevel"/>
    <w:tmpl w:val="F3104A08"/>
    <w:lvl w:ilvl="0" w:tplc="55F2986E">
      <w:start w:val="1"/>
      <w:numFmt w:val="bullet"/>
      <w:lvlText w:val=""/>
      <w:lvlJc w:val="left"/>
      <w:pPr>
        <w:ind w:left="72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59B949B6"/>
    <w:multiLevelType w:val="hybridMultilevel"/>
    <w:tmpl w:val="04A2063A"/>
    <w:lvl w:ilvl="0" w:tplc="55F2986E">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5F8C576C"/>
    <w:multiLevelType w:val="hybridMultilevel"/>
    <w:tmpl w:val="7A243216"/>
    <w:lvl w:ilvl="0" w:tplc="55F2986E">
      <w:start w:val="1"/>
      <w:numFmt w:val="bullet"/>
      <w:lvlText w:val=""/>
      <w:lvlJc w:val="left"/>
      <w:pPr>
        <w:ind w:left="720" w:hanging="360"/>
      </w:pPr>
      <w:rPr>
        <w:rFonts w:ascii="Symbol" w:hAnsi="Symbol" w:hint="default"/>
      </w:rPr>
    </w:lvl>
    <w:lvl w:ilvl="1" w:tplc="55F2986E">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2162C22"/>
    <w:multiLevelType w:val="hybridMultilevel"/>
    <w:tmpl w:val="A97EDB1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667D248B"/>
    <w:multiLevelType w:val="hybridMultilevel"/>
    <w:tmpl w:val="25B87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6F46226A"/>
    <w:multiLevelType w:val="hybridMultilevel"/>
    <w:tmpl w:val="24FEAB1C"/>
    <w:lvl w:ilvl="0" w:tplc="0C09000F">
      <w:start w:val="1"/>
      <w:numFmt w:val="decimal"/>
      <w:lvlText w:val="%1."/>
      <w:lvlJc w:val="left"/>
      <w:pPr>
        <w:ind w:left="644" w:hanging="360"/>
      </w:p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84" w15:restartNumberingAfterBreak="0">
    <w:nsid w:val="73F5621C"/>
    <w:multiLevelType w:val="hybridMultilevel"/>
    <w:tmpl w:val="3CB430B6"/>
    <w:lvl w:ilvl="0" w:tplc="FC7E2092">
      <w:start w:val="6"/>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4911D8C"/>
    <w:multiLevelType w:val="hybridMultilevel"/>
    <w:tmpl w:val="0C0A506C"/>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6AE3E66"/>
    <w:multiLevelType w:val="hybridMultilevel"/>
    <w:tmpl w:val="FDFAEE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78A23BE0"/>
    <w:multiLevelType w:val="hybridMultilevel"/>
    <w:tmpl w:val="CE4025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7AAA1797"/>
    <w:multiLevelType w:val="hybridMultilevel"/>
    <w:tmpl w:val="C5F01A8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7AFD0B38"/>
    <w:multiLevelType w:val="hybridMultilevel"/>
    <w:tmpl w:val="20F8217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7B11107D"/>
    <w:multiLevelType w:val="hybridMultilevel"/>
    <w:tmpl w:val="841481C2"/>
    <w:lvl w:ilvl="0" w:tplc="55F2986E">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91" w15:restartNumberingAfterBreak="0">
    <w:nsid w:val="7EED2EF6"/>
    <w:multiLevelType w:val="hybridMultilevel"/>
    <w:tmpl w:val="BE02F3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7F7E6BF0"/>
    <w:multiLevelType w:val="hybridMultilevel"/>
    <w:tmpl w:val="5C98B58E"/>
    <w:lvl w:ilvl="0" w:tplc="30E054C2">
      <w:start w:val="7"/>
      <w:numFmt w:val="decimal"/>
      <w:lvlText w:val="%1."/>
      <w:lvlJc w:val="left"/>
      <w:pPr>
        <w:ind w:left="954" w:hanging="360"/>
      </w:pPr>
      <w:rPr>
        <w:rFonts w:ascii="Times New Roman" w:eastAsia="Times New Roman" w:hAnsi="Times New Roman" w:hint="default"/>
        <w:w w:val="101"/>
        <w:sz w:val="21"/>
        <w:szCs w:val="21"/>
      </w:rPr>
    </w:lvl>
    <w:lvl w:ilvl="1" w:tplc="205A7526">
      <w:start w:val="1"/>
      <w:numFmt w:val="lowerLetter"/>
      <w:lvlText w:val="(%2)"/>
      <w:lvlJc w:val="left"/>
      <w:pPr>
        <w:ind w:left="1314" w:hanging="360"/>
      </w:pPr>
      <w:rPr>
        <w:rFonts w:ascii="Times New Roman" w:eastAsia="Times New Roman" w:hAnsi="Times New Roman" w:hint="default"/>
        <w:w w:val="101"/>
        <w:sz w:val="21"/>
        <w:szCs w:val="21"/>
      </w:rPr>
    </w:lvl>
    <w:lvl w:ilvl="2" w:tplc="D1CADF8A">
      <w:start w:val="1"/>
      <w:numFmt w:val="bullet"/>
      <w:lvlText w:val="•"/>
      <w:lvlJc w:val="left"/>
      <w:pPr>
        <w:ind w:left="2201" w:hanging="360"/>
      </w:pPr>
      <w:rPr>
        <w:rFonts w:hint="default"/>
      </w:rPr>
    </w:lvl>
    <w:lvl w:ilvl="3" w:tplc="5FDE33F2">
      <w:start w:val="1"/>
      <w:numFmt w:val="bullet"/>
      <w:lvlText w:val="•"/>
      <w:lvlJc w:val="left"/>
      <w:pPr>
        <w:ind w:left="3088" w:hanging="360"/>
      </w:pPr>
      <w:rPr>
        <w:rFonts w:hint="default"/>
      </w:rPr>
    </w:lvl>
    <w:lvl w:ilvl="4" w:tplc="5B265EE8">
      <w:start w:val="1"/>
      <w:numFmt w:val="bullet"/>
      <w:lvlText w:val="•"/>
      <w:lvlJc w:val="left"/>
      <w:pPr>
        <w:ind w:left="3976" w:hanging="360"/>
      </w:pPr>
      <w:rPr>
        <w:rFonts w:hint="default"/>
      </w:rPr>
    </w:lvl>
    <w:lvl w:ilvl="5" w:tplc="74068F6C">
      <w:start w:val="1"/>
      <w:numFmt w:val="bullet"/>
      <w:lvlText w:val="•"/>
      <w:lvlJc w:val="left"/>
      <w:pPr>
        <w:ind w:left="4863" w:hanging="360"/>
      </w:pPr>
      <w:rPr>
        <w:rFonts w:hint="default"/>
      </w:rPr>
    </w:lvl>
    <w:lvl w:ilvl="6" w:tplc="8E2A430A">
      <w:start w:val="1"/>
      <w:numFmt w:val="bullet"/>
      <w:lvlText w:val="•"/>
      <w:lvlJc w:val="left"/>
      <w:pPr>
        <w:ind w:left="5750" w:hanging="360"/>
      </w:pPr>
      <w:rPr>
        <w:rFonts w:hint="default"/>
      </w:rPr>
    </w:lvl>
    <w:lvl w:ilvl="7" w:tplc="3E688802">
      <w:start w:val="1"/>
      <w:numFmt w:val="bullet"/>
      <w:lvlText w:val="•"/>
      <w:lvlJc w:val="left"/>
      <w:pPr>
        <w:ind w:left="6638" w:hanging="360"/>
      </w:pPr>
      <w:rPr>
        <w:rFonts w:hint="default"/>
      </w:rPr>
    </w:lvl>
    <w:lvl w:ilvl="8" w:tplc="559EEC00">
      <w:start w:val="1"/>
      <w:numFmt w:val="bullet"/>
      <w:lvlText w:val="•"/>
      <w:lvlJc w:val="left"/>
      <w:pPr>
        <w:ind w:left="7525" w:hanging="360"/>
      </w:pPr>
      <w:rPr>
        <w:rFonts w:hint="default"/>
      </w:rPr>
    </w:lvl>
  </w:abstractNum>
  <w:num w:numId="1">
    <w:abstractNumId w:val="4"/>
  </w:num>
  <w:num w:numId="2">
    <w:abstractNumId w:val="2"/>
  </w:num>
  <w:num w:numId="3">
    <w:abstractNumId w:val="3"/>
  </w:num>
  <w:num w:numId="4">
    <w:abstractNumId w:val="1"/>
  </w:num>
  <w:num w:numId="5">
    <w:abstractNumId w:val="44"/>
  </w:num>
  <w:num w:numId="6">
    <w:abstractNumId w:val="80"/>
  </w:num>
  <w:num w:numId="7">
    <w:abstractNumId w:val="72"/>
  </w:num>
  <w:num w:numId="8">
    <w:abstractNumId w:val="79"/>
  </w:num>
  <w:num w:numId="9">
    <w:abstractNumId w:val="82"/>
  </w:num>
  <w:num w:numId="10">
    <w:abstractNumId w:val="16"/>
  </w:num>
  <w:num w:numId="11">
    <w:abstractNumId w:val="9"/>
  </w:num>
  <w:num w:numId="12">
    <w:abstractNumId w:val="20"/>
  </w:num>
  <w:num w:numId="13">
    <w:abstractNumId w:val="68"/>
  </w:num>
  <w:num w:numId="14">
    <w:abstractNumId w:val="13"/>
  </w:num>
  <w:num w:numId="15">
    <w:abstractNumId w:val="36"/>
  </w:num>
  <w:num w:numId="16">
    <w:abstractNumId w:val="23"/>
  </w:num>
  <w:num w:numId="17">
    <w:abstractNumId w:val="33"/>
  </w:num>
  <w:num w:numId="18">
    <w:abstractNumId w:val="85"/>
  </w:num>
  <w:num w:numId="19">
    <w:abstractNumId w:val="48"/>
  </w:num>
  <w:num w:numId="20">
    <w:abstractNumId w:val="69"/>
  </w:num>
  <w:num w:numId="21">
    <w:abstractNumId w:val="88"/>
  </w:num>
  <w:num w:numId="22">
    <w:abstractNumId w:val="17"/>
  </w:num>
  <w:num w:numId="23">
    <w:abstractNumId w:val="27"/>
  </w:num>
  <w:num w:numId="24">
    <w:abstractNumId w:val="3"/>
    <w:lvlOverride w:ilvl="0">
      <w:startOverride w:val="1"/>
    </w:lvlOverride>
  </w:num>
  <w:num w:numId="25">
    <w:abstractNumId w:val="21"/>
  </w:num>
  <w:num w:numId="26">
    <w:abstractNumId w:val="81"/>
  </w:num>
  <w:num w:numId="27">
    <w:abstractNumId w:val="77"/>
  </w:num>
  <w:num w:numId="28">
    <w:abstractNumId w:val="46"/>
  </w:num>
  <w:num w:numId="29">
    <w:abstractNumId w:val="63"/>
  </w:num>
  <w:num w:numId="30">
    <w:abstractNumId w:val="5"/>
  </w:num>
  <w:num w:numId="31">
    <w:abstractNumId w:val="67"/>
  </w:num>
  <w:num w:numId="32">
    <w:abstractNumId w:val="4"/>
  </w:num>
  <w:num w:numId="33">
    <w:abstractNumId w:val="24"/>
  </w:num>
  <w:num w:numId="34">
    <w:abstractNumId w:val="4"/>
  </w:num>
  <w:num w:numId="35">
    <w:abstractNumId w:val="73"/>
  </w:num>
  <w:num w:numId="36">
    <w:abstractNumId w:val="87"/>
  </w:num>
  <w:num w:numId="37">
    <w:abstractNumId w:val="83"/>
  </w:num>
  <w:num w:numId="38">
    <w:abstractNumId w:val="31"/>
  </w:num>
  <w:num w:numId="39">
    <w:abstractNumId w:val="52"/>
  </w:num>
  <w:num w:numId="40">
    <w:abstractNumId w:val="64"/>
  </w:num>
  <w:num w:numId="41">
    <w:abstractNumId w:val="84"/>
  </w:num>
  <w:num w:numId="42">
    <w:abstractNumId w:val="8"/>
  </w:num>
  <w:num w:numId="43">
    <w:abstractNumId w:val="15"/>
  </w:num>
  <w:num w:numId="44">
    <w:abstractNumId w:val="34"/>
  </w:num>
  <w:num w:numId="45">
    <w:abstractNumId w:val="37"/>
  </w:num>
  <w:num w:numId="46">
    <w:abstractNumId w:val="39"/>
  </w:num>
  <w:num w:numId="47">
    <w:abstractNumId w:val="75"/>
  </w:num>
  <w:num w:numId="48">
    <w:abstractNumId w:val="29"/>
  </w:num>
  <w:num w:numId="49">
    <w:abstractNumId w:val="32"/>
  </w:num>
  <w:num w:numId="50">
    <w:abstractNumId w:val="76"/>
  </w:num>
  <w:num w:numId="51">
    <w:abstractNumId w:val="78"/>
  </w:num>
  <w:num w:numId="52">
    <w:abstractNumId w:val="90"/>
  </w:num>
  <w:num w:numId="53">
    <w:abstractNumId w:val="50"/>
  </w:num>
  <w:num w:numId="54">
    <w:abstractNumId w:val="54"/>
  </w:num>
  <w:num w:numId="55">
    <w:abstractNumId w:val="59"/>
  </w:num>
  <w:num w:numId="56">
    <w:abstractNumId w:val="41"/>
  </w:num>
  <w:num w:numId="57">
    <w:abstractNumId w:val="4"/>
  </w:num>
  <w:num w:numId="58">
    <w:abstractNumId w:val="4"/>
  </w:num>
  <w:num w:numId="59">
    <w:abstractNumId w:val="51"/>
  </w:num>
  <w:num w:numId="60">
    <w:abstractNumId w:val="42"/>
  </w:num>
  <w:num w:numId="61">
    <w:abstractNumId w:val="25"/>
  </w:num>
  <w:num w:numId="62">
    <w:abstractNumId w:val="47"/>
  </w:num>
  <w:num w:numId="63">
    <w:abstractNumId w:val="74"/>
  </w:num>
  <w:num w:numId="64">
    <w:abstractNumId w:val="55"/>
  </w:num>
  <w:num w:numId="65">
    <w:abstractNumId w:val="58"/>
  </w:num>
  <w:num w:numId="66">
    <w:abstractNumId w:val="4"/>
  </w:num>
  <w:num w:numId="67">
    <w:abstractNumId w:val="66"/>
  </w:num>
  <w:num w:numId="68">
    <w:abstractNumId w:val="38"/>
  </w:num>
  <w:num w:numId="69">
    <w:abstractNumId w:val="49"/>
  </w:num>
  <w:num w:numId="70">
    <w:abstractNumId w:val="18"/>
  </w:num>
  <w:num w:numId="71">
    <w:abstractNumId w:val="12"/>
  </w:num>
  <w:num w:numId="72">
    <w:abstractNumId w:val="43"/>
  </w:num>
  <w:num w:numId="73">
    <w:abstractNumId w:val="45"/>
  </w:num>
  <w:num w:numId="74">
    <w:abstractNumId w:val="28"/>
  </w:num>
  <w:num w:numId="75">
    <w:abstractNumId w:val="92"/>
  </w:num>
  <w:num w:numId="76">
    <w:abstractNumId w:val="35"/>
  </w:num>
  <w:num w:numId="77">
    <w:abstractNumId w:val="11"/>
  </w:num>
  <w:num w:numId="78">
    <w:abstractNumId w:val="60"/>
  </w:num>
  <w:num w:numId="79">
    <w:abstractNumId w:val="86"/>
  </w:num>
  <w:num w:numId="80">
    <w:abstractNumId w:val="91"/>
  </w:num>
  <w:num w:numId="81">
    <w:abstractNumId w:val="6"/>
  </w:num>
  <w:num w:numId="82">
    <w:abstractNumId w:val="4"/>
  </w:num>
  <w:num w:numId="83">
    <w:abstractNumId w:val="4"/>
  </w:num>
  <w:num w:numId="84">
    <w:abstractNumId w:val="4"/>
  </w:num>
  <w:num w:numId="85">
    <w:abstractNumId w:val="80"/>
    <w:lvlOverride w:ilvl="0">
      <w:startOverride w:val="1"/>
    </w:lvlOverride>
  </w:num>
  <w:num w:numId="86">
    <w:abstractNumId w:val="4"/>
  </w:num>
  <w:num w:numId="87">
    <w:abstractNumId w:val="53"/>
  </w:num>
  <w:num w:numId="88">
    <w:abstractNumId w:val="61"/>
  </w:num>
  <w:num w:numId="89">
    <w:abstractNumId w:val="40"/>
  </w:num>
  <w:num w:numId="90">
    <w:abstractNumId w:val="0"/>
  </w:num>
  <w:num w:numId="91">
    <w:abstractNumId w:val="57"/>
  </w:num>
  <w:num w:numId="92">
    <w:abstractNumId w:val="14"/>
  </w:num>
  <w:num w:numId="93">
    <w:abstractNumId w:val="26"/>
  </w:num>
  <w:num w:numId="94">
    <w:abstractNumId w:val="3"/>
    <w:lvlOverride w:ilvl="0">
      <w:startOverride w:val="1"/>
    </w:lvlOverride>
  </w:num>
  <w:num w:numId="95">
    <w:abstractNumId w:val="71"/>
  </w:num>
  <w:num w:numId="96">
    <w:abstractNumId w:val="19"/>
  </w:num>
  <w:num w:numId="97">
    <w:abstractNumId w:val="65"/>
  </w:num>
  <w:num w:numId="98">
    <w:abstractNumId w:val="3"/>
    <w:lvlOverride w:ilvl="0">
      <w:startOverride w:val="1"/>
    </w:lvlOverride>
  </w:num>
  <w:num w:numId="99">
    <w:abstractNumId w:val="56"/>
  </w:num>
  <w:num w:numId="100">
    <w:abstractNumId w:val="70"/>
  </w:num>
  <w:num w:numId="101">
    <w:abstractNumId w:val="7"/>
  </w:num>
  <w:num w:numId="102">
    <w:abstractNumId w:val="30"/>
  </w:num>
  <w:num w:numId="103">
    <w:abstractNumId w:val="10"/>
  </w:num>
  <w:num w:numId="104">
    <w:abstractNumId w:val="89"/>
  </w:num>
  <w:num w:numId="105">
    <w:abstractNumId w:val="62"/>
  </w:num>
  <w:num w:numId="106">
    <w:abstractNumId w:val="2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DFC"/>
    <w:rsid w:val="0000048E"/>
    <w:rsid w:val="00000963"/>
    <w:rsid w:val="000027B8"/>
    <w:rsid w:val="000041B9"/>
    <w:rsid w:val="000049FD"/>
    <w:rsid w:val="00005092"/>
    <w:rsid w:val="000055E6"/>
    <w:rsid w:val="00005727"/>
    <w:rsid w:val="00010667"/>
    <w:rsid w:val="000110ED"/>
    <w:rsid w:val="000117B3"/>
    <w:rsid w:val="00011FBB"/>
    <w:rsid w:val="000129D5"/>
    <w:rsid w:val="00013BAA"/>
    <w:rsid w:val="00013D6E"/>
    <w:rsid w:val="00014549"/>
    <w:rsid w:val="00014863"/>
    <w:rsid w:val="00015AE7"/>
    <w:rsid w:val="00015D78"/>
    <w:rsid w:val="000162E5"/>
    <w:rsid w:val="00016A86"/>
    <w:rsid w:val="00016E21"/>
    <w:rsid w:val="0001719C"/>
    <w:rsid w:val="000218FC"/>
    <w:rsid w:val="0002224E"/>
    <w:rsid w:val="000259A4"/>
    <w:rsid w:val="00025E97"/>
    <w:rsid w:val="000263F6"/>
    <w:rsid w:val="0002673E"/>
    <w:rsid w:val="00026F91"/>
    <w:rsid w:val="000278B0"/>
    <w:rsid w:val="0003009F"/>
    <w:rsid w:val="00030766"/>
    <w:rsid w:val="00030B4A"/>
    <w:rsid w:val="00030DAC"/>
    <w:rsid w:val="00031BFB"/>
    <w:rsid w:val="0003211B"/>
    <w:rsid w:val="00033506"/>
    <w:rsid w:val="00033FDA"/>
    <w:rsid w:val="00033FE8"/>
    <w:rsid w:val="00035178"/>
    <w:rsid w:val="00036AFA"/>
    <w:rsid w:val="000372F7"/>
    <w:rsid w:val="0004078F"/>
    <w:rsid w:val="000430EE"/>
    <w:rsid w:val="0004335B"/>
    <w:rsid w:val="00043B59"/>
    <w:rsid w:val="00046604"/>
    <w:rsid w:val="0004764C"/>
    <w:rsid w:val="00047911"/>
    <w:rsid w:val="00047CD4"/>
    <w:rsid w:val="0005011A"/>
    <w:rsid w:val="0005045A"/>
    <w:rsid w:val="00051503"/>
    <w:rsid w:val="00051C1E"/>
    <w:rsid w:val="000539F9"/>
    <w:rsid w:val="00054C27"/>
    <w:rsid w:val="00055415"/>
    <w:rsid w:val="00055EC3"/>
    <w:rsid w:val="000563CE"/>
    <w:rsid w:val="000565C9"/>
    <w:rsid w:val="000611F8"/>
    <w:rsid w:val="00061873"/>
    <w:rsid w:val="00061B0C"/>
    <w:rsid w:val="00062AF0"/>
    <w:rsid w:val="00064E45"/>
    <w:rsid w:val="00064E95"/>
    <w:rsid w:val="000659B6"/>
    <w:rsid w:val="0006686F"/>
    <w:rsid w:val="00066A84"/>
    <w:rsid w:val="0006722A"/>
    <w:rsid w:val="00067E30"/>
    <w:rsid w:val="000703ED"/>
    <w:rsid w:val="0007186E"/>
    <w:rsid w:val="00072106"/>
    <w:rsid w:val="00072927"/>
    <w:rsid w:val="00073226"/>
    <w:rsid w:val="000732CF"/>
    <w:rsid w:val="00075B96"/>
    <w:rsid w:val="00076133"/>
    <w:rsid w:val="00077F25"/>
    <w:rsid w:val="00080CD5"/>
    <w:rsid w:val="0008120A"/>
    <w:rsid w:val="0008196A"/>
    <w:rsid w:val="00081BFE"/>
    <w:rsid w:val="00082322"/>
    <w:rsid w:val="00082C8A"/>
    <w:rsid w:val="000835AA"/>
    <w:rsid w:val="00084478"/>
    <w:rsid w:val="00085316"/>
    <w:rsid w:val="00086A43"/>
    <w:rsid w:val="00087159"/>
    <w:rsid w:val="00087B86"/>
    <w:rsid w:val="00090D9F"/>
    <w:rsid w:val="0009158F"/>
    <w:rsid w:val="000915ED"/>
    <w:rsid w:val="0009209D"/>
    <w:rsid w:val="000928FD"/>
    <w:rsid w:val="00094236"/>
    <w:rsid w:val="000946EC"/>
    <w:rsid w:val="00094A3C"/>
    <w:rsid w:val="00096984"/>
    <w:rsid w:val="000969BD"/>
    <w:rsid w:val="000969BF"/>
    <w:rsid w:val="00097AAF"/>
    <w:rsid w:val="000A00F6"/>
    <w:rsid w:val="000A01E8"/>
    <w:rsid w:val="000A03C5"/>
    <w:rsid w:val="000A0C22"/>
    <w:rsid w:val="000A1400"/>
    <w:rsid w:val="000A2EBD"/>
    <w:rsid w:val="000A3C43"/>
    <w:rsid w:val="000A416D"/>
    <w:rsid w:val="000A4A51"/>
    <w:rsid w:val="000A50B8"/>
    <w:rsid w:val="000A5D2B"/>
    <w:rsid w:val="000A72C9"/>
    <w:rsid w:val="000B0438"/>
    <w:rsid w:val="000B1CA3"/>
    <w:rsid w:val="000B3906"/>
    <w:rsid w:val="000B4045"/>
    <w:rsid w:val="000B4059"/>
    <w:rsid w:val="000B523D"/>
    <w:rsid w:val="000B59D1"/>
    <w:rsid w:val="000B5DE3"/>
    <w:rsid w:val="000B603D"/>
    <w:rsid w:val="000B631B"/>
    <w:rsid w:val="000B63EE"/>
    <w:rsid w:val="000B6458"/>
    <w:rsid w:val="000B702C"/>
    <w:rsid w:val="000B7273"/>
    <w:rsid w:val="000B72AF"/>
    <w:rsid w:val="000B73EB"/>
    <w:rsid w:val="000B748D"/>
    <w:rsid w:val="000B7B43"/>
    <w:rsid w:val="000C0A57"/>
    <w:rsid w:val="000C1326"/>
    <w:rsid w:val="000C230C"/>
    <w:rsid w:val="000C27B5"/>
    <w:rsid w:val="000C28BA"/>
    <w:rsid w:val="000C3452"/>
    <w:rsid w:val="000C3A59"/>
    <w:rsid w:val="000C481F"/>
    <w:rsid w:val="000C5638"/>
    <w:rsid w:val="000C5A7A"/>
    <w:rsid w:val="000C60E1"/>
    <w:rsid w:val="000C6AB4"/>
    <w:rsid w:val="000C6F63"/>
    <w:rsid w:val="000D2161"/>
    <w:rsid w:val="000D473A"/>
    <w:rsid w:val="000D71D9"/>
    <w:rsid w:val="000D76E0"/>
    <w:rsid w:val="000D7C73"/>
    <w:rsid w:val="000D7CAD"/>
    <w:rsid w:val="000D7E8B"/>
    <w:rsid w:val="000E032F"/>
    <w:rsid w:val="000E054F"/>
    <w:rsid w:val="000E1C48"/>
    <w:rsid w:val="000E1E75"/>
    <w:rsid w:val="000E2210"/>
    <w:rsid w:val="000E254D"/>
    <w:rsid w:val="000E4449"/>
    <w:rsid w:val="000E6097"/>
    <w:rsid w:val="000E6749"/>
    <w:rsid w:val="000F03CC"/>
    <w:rsid w:val="000F1CA2"/>
    <w:rsid w:val="000F41E0"/>
    <w:rsid w:val="000F4E6F"/>
    <w:rsid w:val="000F5A8B"/>
    <w:rsid w:val="000F61EC"/>
    <w:rsid w:val="000F6B1E"/>
    <w:rsid w:val="000F6C54"/>
    <w:rsid w:val="000F7024"/>
    <w:rsid w:val="000F7BCD"/>
    <w:rsid w:val="0010046D"/>
    <w:rsid w:val="001010FC"/>
    <w:rsid w:val="001013B9"/>
    <w:rsid w:val="00101A1E"/>
    <w:rsid w:val="00102669"/>
    <w:rsid w:val="00103829"/>
    <w:rsid w:val="001042C8"/>
    <w:rsid w:val="00104F78"/>
    <w:rsid w:val="00106434"/>
    <w:rsid w:val="00106F47"/>
    <w:rsid w:val="00107DF4"/>
    <w:rsid w:val="00107E6E"/>
    <w:rsid w:val="0011070B"/>
    <w:rsid w:val="00110787"/>
    <w:rsid w:val="00110B79"/>
    <w:rsid w:val="00110BC9"/>
    <w:rsid w:val="00111BA4"/>
    <w:rsid w:val="00111ED7"/>
    <w:rsid w:val="00111FCE"/>
    <w:rsid w:val="0011375E"/>
    <w:rsid w:val="00116006"/>
    <w:rsid w:val="00121A10"/>
    <w:rsid w:val="001229A5"/>
    <w:rsid w:val="00122D77"/>
    <w:rsid w:val="0012314D"/>
    <w:rsid w:val="00124789"/>
    <w:rsid w:val="0012489B"/>
    <w:rsid w:val="00125C6D"/>
    <w:rsid w:val="00126B1F"/>
    <w:rsid w:val="00130017"/>
    <w:rsid w:val="00130F91"/>
    <w:rsid w:val="00131DE9"/>
    <w:rsid w:val="001330FB"/>
    <w:rsid w:val="00133BF4"/>
    <w:rsid w:val="001349ED"/>
    <w:rsid w:val="00136668"/>
    <w:rsid w:val="00137424"/>
    <w:rsid w:val="001374E8"/>
    <w:rsid w:val="00137542"/>
    <w:rsid w:val="00137C87"/>
    <w:rsid w:val="00140103"/>
    <w:rsid w:val="00140301"/>
    <w:rsid w:val="00140318"/>
    <w:rsid w:val="00141AD9"/>
    <w:rsid w:val="00144745"/>
    <w:rsid w:val="001452E3"/>
    <w:rsid w:val="0014540B"/>
    <w:rsid w:val="00146CE6"/>
    <w:rsid w:val="00152018"/>
    <w:rsid w:val="00152903"/>
    <w:rsid w:val="00153FD5"/>
    <w:rsid w:val="001546E5"/>
    <w:rsid w:val="00154B3C"/>
    <w:rsid w:val="0015578E"/>
    <w:rsid w:val="001558E2"/>
    <w:rsid w:val="0015614F"/>
    <w:rsid w:val="0015626C"/>
    <w:rsid w:val="00156A68"/>
    <w:rsid w:val="001573CC"/>
    <w:rsid w:val="001577C2"/>
    <w:rsid w:val="001603F6"/>
    <w:rsid w:val="0016065B"/>
    <w:rsid w:val="001633C4"/>
    <w:rsid w:val="00163439"/>
    <w:rsid w:val="00163578"/>
    <w:rsid w:val="0016391E"/>
    <w:rsid w:val="001651AB"/>
    <w:rsid w:val="00165B59"/>
    <w:rsid w:val="00167531"/>
    <w:rsid w:val="0017099B"/>
    <w:rsid w:val="00171591"/>
    <w:rsid w:val="001716EA"/>
    <w:rsid w:val="00173440"/>
    <w:rsid w:val="00173981"/>
    <w:rsid w:val="00176F8E"/>
    <w:rsid w:val="0017719D"/>
    <w:rsid w:val="00177983"/>
    <w:rsid w:val="00180D91"/>
    <w:rsid w:val="00182F48"/>
    <w:rsid w:val="00183245"/>
    <w:rsid w:val="00183BF5"/>
    <w:rsid w:val="00183F96"/>
    <w:rsid w:val="00183FD7"/>
    <w:rsid w:val="00185194"/>
    <w:rsid w:val="00185CAB"/>
    <w:rsid w:val="001868F1"/>
    <w:rsid w:val="00186FA7"/>
    <w:rsid w:val="001875B7"/>
    <w:rsid w:val="00187CB3"/>
    <w:rsid w:val="001901EB"/>
    <w:rsid w:val="0019050A"/>
    <w:rsid w:val="00190603"/>
    <w:rsid w:val="001906BD"/>
    <w:rsid w:val="001910D4"/>
    <w:rsid w:val="00191276"/>
    <w:rsid w:val="001915A4"/>
    <w:rsid w:val="00191E41"/>
    <w:rsid w:val="00192026"/>
    <w:rsid w:val="001924A3"/>
    <w:rsid w:val="001927E9"/>
    <w:rsid w:val="00192E84"/>
    <w:rsid w:val="001934B8"/>
    <w:rsid w:val="00194FE7"/>
    <w:rsid w:val="00195F22"/>
    <w:rsid w:val="001971A9"/>
    <w:rsid w:val="001974FA"/>
    <w:rsid w:val="001976E3"/>
    <w:rsid w:val="001A0E99"/>
    <w:rsid w:val="001A15F9"/>
    <w:rsid w:val="001A4276"/>
    <w:rsid w:val="001A44EC"/>
    <w:rsid w:val="001A5B20"/>
    <w:rsid w:val="001A673B"/>
    <w:rsid w:val="001A69E0"/>
    <w:rsid w:val="001A7CFC"/>
    <w:rsid w:val="001A7E3B"/>
    <w:rsid w:val="001B0335"/>
    <w:rsid w:val="001B09A4"/>
    <w:rsid w:val="001B20F0"/>
    <w:rsid w:val="001B3B9C"/>
    <w:rsid w:val="001B4EE8"/>
    <w:rsid w:val="001B522C"/>
    <w:rsid w:val="001B52F7"/>
    <w:rsid w:val="001B58AA"/>
    <w:rsid w:val="001B5FCE"/>
    <w:rsid w:val="001B627C"/>
    <w:rsid w:val="001B7171"/>
    <w:rsid w:val="001B763A"/>
    <w:rsid w:val="001B7E48"/>
    <w:rsid w:val="001C17CE"/>
    <w:rsid w:val="001C1E51"/>
    <w:rsid w:val="001C36CA"/>
    <w:rsid w:val="001C3FBF"/>
    <w:rsid w:val="001C4031"/>
    <w:rsid w:val="001C44D1"/>
    <w:rsid w:val="001C564D"/>
    <w:rsid w:val="001C6AEE"/>
    <w:rsid w:val="001C721E"/>
    <w:rsid w:val="001C7630"/>
    <w:rsid w:val="001D2B75"/>
    <w:rsid w:val="001D34A1"/>
    <w:rsid w:val="001D3A79"/>
    <w:rsid w:val="001D40BB"/>
    <w:rsid w:val="001D421C"/>
    <w:rsid w:val="001D449A"/>
    <w:rsid w:val="001D4C2B"/>
    <w:rsid w:val="001D4FAD"/>
    <w:rsid w:val="001D5D55"/>
    <w:rsid w:val="001D6143"/>
    <w:rsid w:val="001D6D15"/>
    <w:rsid w:val="001D6E34"/>
    <w:rsid w:val="001D71A0"/>
    <w:rsid w:val="001D78DD"/>
    <w:rsid w:val="001E1726"/>
    <w:rsid w:val="001E2490"/>
    <w:rsid w:val="001E2531"/>
    <w:rsid w:val="001E2EA3"/>
    <w:rsid w:val="001E31C7"/>
    <w:rsid w:val="001E36DA"/>
    <w:rsid w:val="001E3DE9"/>
    <w:rsid w:val="001E4FA7"/>
    <w:rsid w:val="001E501F"/>
    <w:rsid w:val="001E63A0"/>
    <w:rsid w:val="001E739A"/>
    <w:rsid w:val="001F0389"/>
    <w:rsid w:val="001F171F"/>
    <w:rsid w:val="001F1F53"/>
    <w:rsid w:val="001F1F98"/>
    <w:rsid w:val="001F3330"/>
    <w:rsid w:val="001F3B4E"/>
    <w:rsid w:val="001F3B98"/>
    <w:rsid w:val="001F45C3"/>
    <w:rsid w:val="001F51AB"/>
    <w:rsid w:val="001F593E"/>
    <w:rsid w:val="001F6635"/>
    <w:rsid w:val="001F7558"/>
    <w:rsid w:val="00200EC4"/>
    <w:rsid w:val="00202845"/>
    <w:rsid w:val="002031E3"/>
    <w:rsid w:val="00203AFC"/>
    <w:rsid w:val="0020448C"/>
    <w:rsid w:val="0020596D"/>
    <w:rsid w:val="00205B57"/>
    <w:rsid w:val="00205F62"/>
    <w:rsid w:val="00207D46"/>
    <w:rsid w:val="0021138F"/>
    <w:rsid w:val="00211D95"/>
    <w:rsid w:val="002134D1"/>
    <w:rsid w:val="00213EA0"/>
    <w:rsid w:val="00214687"/>
    <w:rsid w:val="00214C97"/>
    <w:rsid w:val="002157E0"/>
    <w:rsid w:val="00216A57"/>
    <w:rsid w:val="00216C6E"/>
    <w:rsid w:val="0021705C"/>
    <w:rsid w:val="00217B72"/>
    <w:rsid w:val="00220191"/>
    <w:rsid w:val="00220BA7"/>
    <w:rsid w:val="002229D3"/>
    <w:rsid w:val="00222E75"/>
    <w:rsid w:val="0022334F"/>
    <w:rsid w:val="00223736"/>
    <w:rsid w:val="002240F0"/>
    <w:rsid w:val="002243B0"/>
    <w:rsid w:val="002244AF"/>
    <w:rsid w:val="00225DC4"/>
    <w:rsid w:val="002267D4"/>
    <w:rsid w:val="00226819"/>
    <w:rsid w:val="00226A4A"/>
    <w:rsid w:val="00227D56"/>
    <w:rsid w:val="00230592"/>
    <w:rsid w:val="00230AAB"/>
    <w:rsid w:val="002317A1"/>
    <w:rsid w:val="00233101"/>
    <w:rsid w:val="00233817"/>
    <w:rsid w:val="0023509B"/>
    <w:rsid w:val="002367FF"/>
    <w:rsid w:val="00240789"/>
    <w:rsid w:val="00240CE9"/>
    <w:rsid w:val="002410BD"/>
    <w:rsid w:val="00242525"/>
    <w:rsid w:val="00242BEA"/>
    <w:rsid w:val="00242DC6"/>
    <w:rsid w:val="002434BA"/>
    <w:rsid w:val="002449B2"/>
    <w:rsid w:val="00246089"/>
    <w:rsid w:val="00246093"/>
    <w:rsid w:val="00246513"/>
    <w:rsid w:val="00246702"/>
    <w:rsid w:val="00247C59"/>
    <w:rsid w:val="00247F2E"/>
    <w:rsid w:val="00250ADC"/>
    <w:rsid w:val="00250B07"/>
    <w:rsid w:val="00250BFF"/>
    <w:rsid w:val="00250CE8"/>
    <w:rsid w:val="00252039"/>
    <w:rsid w:val="00254703"/>
    <w:rsid w:val="00256B3B"/>
    <w:rsid w:val="00257553"/>
    <w:rsid w:val="00257957"/>
    <w:rsid w:val="002603F7"/>
    <w:rsid w:val="00260FB2"/>
    <w:rsid w:val="002616BA"/>
    <w:rsid w:val="00262128"/>
    <w:rsid w:val="0026363D"/>
    <w:rsid w:val="002647EB"/>
    <w:rsid w:val="00264808"/>
    <w:rsid w:val="00264962"/>
    <w:rsid w:val="00265200"/>
    <w:rsid w:val="00266DCB"/>
    <w:rsid w:val="0027042A"/>
    <w:rsid w:val="0027165D"/>
    <w:rsid w:val="00271737"/>
    <w:rsid w:val="0027238F"/>
    <w:rsid w:val="00272D18"/>
    <w:rsid w:val="00273CEB"/>
    <w:rsid w:val="00274149"/>
    <w:rsid w:val="00274BD6"/>
    <w:rsid w:val="0027549B"/>
    <w:rsid w:val="00275E2C"/>
    <w:rsid w:val="002765E5"/>
    <w:rsid w:val="00276E49"/>
    <w:rsid w:val="00281C89"/>
    <w:rsid w:val="00282414"/>
    <w:rsid w:val="0028282F"/>
    <w:rsid w:val="002838C6"/>
    <w:rsid w:val="002908C2"/>
    <w:rsid w:val="002908CE"/>
    <w:rsid w:val="0029295B"/>
    <w:rsid w:val="00295493"/>
    <w:rsid w:val="0029593B"/>
    <w:rsid w:val="002972A1"/>
    <w:rsid w:val="00297A45"/>
    <w:rsid w:val="00297FC5"/>
    <w:rsid w:val="002A0417"/>
    <w:rsid w:val="002A0662"/>
    <w:rsid w:val="002A07D7"/>
    <w:rsid w:val="002A0B0B"/>
    <w:rsid w:val="002A0C98"/>
    <w:rsid w:val="002A0DAA"/>
    <w:rsid w:val="002A16D8"/>
    <w:rsid w:val="002A1BC8"/>
    <w:rsid w:val="002A2475"/>
    <w:rsid w:val="002A3EF2"/>
    <w:rsid w:val="002A4D92"/>
    <w:rsid w:val="002A63CE"/>
    <w:rsid w:val="002A677F"/>
    <w:rsid w:val="002A68F1"/>
    <w:rsid w:val="002B056A"/>
    <w:rsid w:val="002B0DED"/>
    <w:rsid w:val="002B106F"/>
    <w:rsid w:val="002B19A2"/>
    <w:rsid w:val="002B239B"/>
    <w:rsid w:val="002B2833"/>
    <w:rsid w:val="002B2CD5"/>
    <w:rsid w:val="002B381A"/>
    <w:rsid w:val="002B45D4"/>
    <w:rsid w:val="002B4FCC"/>
    <w:rsid w:val="002B5C21"/>
    <w:rsid w:val="002B703E"/>
    <w:rsid w:val="002B7408"/>
    <w:rsid w:val="002B781E"/>
    <w:rsid w:val="002B7CFD"/>
    <w:rsid w:val="002C024F"/>
    <w:rsid w:val="002C210F"/>
    <w:rsid w:val="002C30CC"/>
    <w:rsid w:val="002C517A"/>
    <w:rsid w:val="002C53C3"/>
    <w:rsid w:val="002D1077"/>
    <w:rsid w:val="002D1ED2"/>
    <w:rsid w:val="002D20DC"/>
    <w:rsid w:val="002D2E80"/>
    <w:rsid w:val="002D3600"/>
    <w:rsid w:val="002D4A3A"/>
    <w:rsid w:val="002D59B6"/>
    <w:rsid w:val="002D5CF2"/>
    <w:rsid w:val="002D6ADC"/>
    <w:rsid w:val="002D6BDB"/>
    <w:rsid w:val="002D758F"/>
    <w:rsid w:val="002E054F"/>
    <w:rsid w:val="002E3C33"/>
    <w:rsid w:val="002E483D"/>
    <w:rsid w:val="002E4B2A"/>
    <w:rsid w:val="002E4DDC"/>
    <w:rsid w:val="002E5613"/>
    <w:rsid w:val="002F08A5"/>
    <w:rsid w:val="002F1B02"/>
    <w:rsid w:val="002F1E9B"/>
    <w:rsid w:val="002F359C"/>
    <w:rsid w:val="002F42AE"/>
    <w:rsid w:val="002F4536"/>
    <w:rsid w:val="002F735E"/>
    <w:rsid w:val="00300A06"/>
    <w:rsid w:val="00301464"/>
    <w:rsid w:val="0030239D"/>
    <w:rsid w:val="00302480"/>
    <w:rsid w:val="00302960"/>
    <w:rsid w:val="00303530"/>
    <w:rsid w:val="00304354"/>
    <w:rsid w:val="00305396"/>
    <w:rsid w:val="00311A14"/>
    <w:rsid w:val="003127C4"/>
    <w:rsid w:val="00312A92"/>
    <w:rsid w:val="003145BD"/>
    <w:rsid w:val="003146CA"/>
    <w:rsid w:val="00314A25"/>
    <w:rsid w:val="0031644F"/>
    <w:rsid w:val="003165E6"/>
    <w:rsid w:val="003172F0"/>
    <w:rsid w:val="00317D31"/>
    <w:rsid w:val="003209E6"/>
    <w:rsid w:val="00321296"/>
    <w:rsid w:val="003215B5"/>
    <w:rsid w:val="00321E64"/>
    <w:rsid w:val="00321F6C"/>
    <w:rsid w:val="003221CF"/>
    <w:rsid w:val="00322232"/>
    <w:rsid w:val="0032322E"/>
    <w:rsid w:val="003233ED"/>
    <w:rsid w:val="00324D9F"/>
    <w:rsid w:val="00325BFF"/>
    <w:rsid w:val="00326CD8"/>
    <w:rsid w:val="003275A6"/>
    <w:rsid w:val="00327948"/>
    <w:rsid w:val="00327AED"/>
    <w:rsid w:val="00327D90"/>
    <w:rsid w:val="0033000F"/>
    <w:rsid w:val="0033046B"/>
    <w:rsid w:val="00330E51"/>
    <w:rsid w:val="003311D4"/>
    <w:rsid w:val="003312E7"/>
    <w:rsid w:val="00332011"/>
    <w:rsid w:val="00332416"/>
    <w:rsid w:val="00332518"/>
    <w:rsid w:val="00332656"/>
    <w:rsid w:val="0033277F"/>
    <w:rsid w:val="00332925"/>
    <w:rsid w:val="003332ED"/>
    <w:rsid w:val="003349CA"/>
    <w:rsid w:val="00335A44"/>
    <w:rsid w:val="003360B6"/>
    <w:rsid w:val="003368DC"/>
    <w:rsid w:val="00340734"/>
    <w:rsid w:val="00341BC6"/>
    <w:rsid w:val="00345927"/>
    <w:rsid w:val="00345A2E"/>
    <w:rsid w:val="00345E1D"/>
    <w:rsid w:val="0034723F"/>
    <w:rsid w:val="00350584"/>
    <w:rsid w:val="003513F1"/>
    <w:rsid w:val="00351857"/>
    <w:rsid w:val="00353685"/>
    <w:rsid w:val="003545E8"/>
    <w:rsid w:val="00360456"/>
    <w:rsid w:val="003610E1"/>
    <w:rsid w:val="0036147A"/>
    <w:rsid w:val="00361911"/>
    <w:rsid w:val="003620E4"/>
    <w:rsid w:val="00363334"/>
    <w:rsid w:val="003636D3"/>
    <w:rsid w:val="00363743"/>
    <w:rsid w:val="00363A46"/>
    <w:rsid w:val="00365072"/>
    <w:rsid w:val="003671BE"/>
    <w:rsid w:val="00371791"/>
    <w:rsid w:val="00371AE8"/>
    <w:rsid w:val="00371C12"/>
    <w:rsid w:val="00372485"/>
    <w:rsid w:val="00373200"/>
    <w:rsid w:val="00373B88"/>
    <w:rsid w:val="00373E0D"/>
    <w:rsid w:val="003749C1"/>
    <w:rsid w:val="003751FD"/>
    <w:rsid w:val="00375495"/>
    <w:rsid w:val="003754A3"/>
    <w:rsid w:val="00375EF5"/>
    <w:rsid w:val="00376572"/>
    <w:rsid w:val="003767A5"/>
    <w:rsid w:val="00376D3C"/>
    <w:rsid w:val="00377558"/>
    <w:rsid w:val="00377BAA"/>
    <w:rsid w:val="00377F0F"/>
    <w:rsid w:val="003801AD"/>
    <w:rsid w:val="003802C6"/>
    <w:rsid w:val="003802E0"/>
    <w:rsid w:val="00380FD8"/>
    <w:rsid w:val="00381367"/>
    <w:rsid w:val="00381D15"/>
    <w:rsid w:val="00382C16"/>
    <w:rsid w:val="00382EBF"/>
    <w:rsid w:val="00383080"/>
    <w:rsid w:val="0038374B"/>
    <w:rsid w:val="003838F6"/>
    <w:rsid w:val="00385254"/>
    <w:rsid w:val="00385461"/>
    <w:rsid w:val="00385AA6"/>
    <w:rsid w:val="0038639E"/>
    <w:rsid w:val="00386CB6"/>
    <w:rsid w:val="0038765E"/>
    <w:rsid w:val="00387B4D"/>
    <w:rsid w:val="00390205"/>
    <w:rsid w:val="003906EB"/>
    <w:rsid w:val="00390737"/>
    <w:rsid w:val="003908F0"/>
    <w:rsid w:val="0039211E"/>
    <w:rsid w:val="003921A6"/>
    <w:rsid w:val="003926C0"/>
    <w:rsid w:val="00394DFB"/>
    <w:rsid w:val="00395543"/>
    <w:rsid w:val="003960ED"/>
    <w:rsid w:val="003972FE"/>
    <w:rsid w:val="00397889"/>
    <w:rsid w:val="003A04DB"/>
    <w:rsid w:val="003A158A"/>
    <w:rsid w:val="003A211A"/>
    <w:rsid w:val="003A3484"/>
    <w:rsid w:val="003A385E"/>
    <w:rsid w:val="003A4C6A"/>
    <w:rsid w:val="003A4D55"/>
    <w:rsid w:val="003A5135"/>
    <w:rsid w:val="003A531E"/>
    <w:rsid w:val="003A5F5B"/>
    <w:rsid w:val="003A789A"/>
    <w:rsid w:val="003A7F8D"/>
    <w:rsid w:val="003B12EC"/>
    <w:rsid w:val="003B2B6D"/>
    <w:rsid w:val="003B2FBD"/>
    <w:rsid w:val="003B335E"/>
    <w:rsid w:val="003B6B38"/>
    <w:rsid w:val="003C0E2C"/>
    <w:rsid w:val="003C0F4F"/>
    <w:rsid w:val="003C29D6"/>
    <w:rsid w:val="003C2B82"/>
    <w:rsid w:val="003C3B4D"/>
    <w:rsid w:val="003C43E9"/>
    <w:rsid w:val="003C4AA3"/>
    <w:rsid w:val="003C5E76"/>
    <w:rsid w:val="003C6B7D"/>
    <w:rsid w:val="003C6E12"/>
    <w:rsid w:val="003C71EE"/>
    <w:rsid w:val="003C77E0"/>
    <w:rsid w:val="003D06D5"/>
    <w:rsid w:val="003D12E1"/>
    <w:rsid w:val="003D17D7"/>
    <w:rsid w:val="003D2678"/>
    <w:rsid w:val="003D3111"/>
    <w:rsid w:val="003D71A3"/>
    <w:rsid w:val="003E046D"/>
    <w:rsid w:val="003E09D3"/>
    <w:rsid w:val="003E1BD8"/>
    <w:rsid w:val="003E2B8A"/>
    <w:rsid w:val="003E62B5"/>
    <w:rsid w:val="003F0CB2"/>
    <w:rsid w:val="003F10EE"/>
    <w:rsid w:val="003F16F6"/>
    <w:rsid w:val="003F1B41"/>
    <w:rsid w:val="003F1C9F"/>
    <w:rsid w:val="003F20E3"/>
    <w:rsid w:val="003F26DF"/>
    <w:rsid w:val="003F29C0"/>
    <w:rsid w:val="003F3815"/>
    <w:rsid w:val="003F4263"/>
    <w:rsid w:val="003F4BBF"/>
    <w:rsid w:val="003F4DC7"/>
    <w:rsid w:val="003F5235"/>
    <w:rsid w:val="003F5990"/>
    <w:rsid w:val="003F5EA8"/>
    <w:rsid w:val="003F608B"/>
    <w:rsid w:val="00400619"/>
    <w:rsid w:val="00400D26"/>
    <w:rsid w:val="00402327"/>
    <w:rsid w:val="004027E4"/>
    <w:rsid w:val="004029D3"/>
    <w:rsid w:val="00402A4C"/>
    <w:rsid w:val="004034A2"/>
    <w:rsid w:val="0040390A"/>
    <w:rsid w:val="004040DF"/>
    <w:rsid w:val="00405EF6"/>
    <w:rsid w:val="0040642D"/>
    <w:rsid w:val="004069A0"/>
    <w:rsid w:val="004075F0"/>
    <w:rsid w:val="0041071D"/>
    <w:rsid w:val="00411AEB"/>
    <w:rsid w:val="00411D12"/>
    <w:rsid w:val="00412DA4"/>
    <w:rsid w:val="004133C2"/>
    <w:rsid w:val="00414AFC"/>
    <w:rsid w:val="004151A7"/>
    <w:rsid w:val="00415310"/>
    <w:rsid w:val="0041615F"/>
    <w:rsid w:val="004167AD"/>
    <w:rsid w:val="00416DA0"/>
    <w:rsid w:val="00417B82"/>
    <w:rsid w:val="00421709"/>
    <w:rsid w:val="00423763"/>
    <w:rsid w:val="00424AD9"/>
    <w:rsid w:val="00425239"/>
    <w:rsid w:val="0042657A"/>
    <w:rsid w:val="00427431"/>
    <w:rsid w:val="0042762F"/>
    <w:rsid w:val="004276E5"/>
    <w:rsid w:val="00427DC7"/>
    <w:rsid w:val="004305D4"/>
    <w:rsid w:val="00430F19"/>
    <w:rsid w:val="00431613"/>
    <w:rsid w:val="00431641"/>
    <w:rsid w:val="00431792"/>
    <w:rsid w:val="0043297A"/>
    <w:rsid w:val="00432EAD"/>
    <w:rsid w:val="00432EB2"/>
    <w:rsid w:val="004332EA"/>
    <w:rsid w:val="00433998"/>
    <w:rsid w:val="00434DF8"/>
    <w:rsid w:val="00434F90"/>
    <w:rsid w:val="00435188"/>
    <w:rsid w:val="00435817"/>
    <w:rsid w:val="00435B27"/>
    <w:rsid w:val="0043714F"/>
    <w:rsid w:val="00440A25"/>
    <w:rsid w:val="00441558"/>
    <w:rsid w:val="004432BB"/>
    <w:rsid w:val="0044347B"/>
    <w:rsid w:val="004438B5"/>
    <w:rsid w:val="00443AA5"/>
    <w:rsid w:val="0044425A"/>
    <w:rsid w:val="004458A9"/>
    <w:rsid w:val="00447037"/>
    <w:rsid w:val="00447882"/>
    <w:rsid w:val="004479D6"/>
    <w:rsid w:val="0045124D"/>
    <w:rsid w:val="00453E75"/>
    <w:rsid w:val="00454596"/>
    <w:rsid w:val="004559A0"/>
    <w:rsid w:val="00455FDE"/>
    <w:rsid w:val="0045605D"/>
    <w:rsid w:val="00456134"/>
    <w:rsid w:val="0045634B"/>
    <w:rsid w:val="00456AF3"/>
    <w:rsid w:val="00456BA8"/>
    <w:rsid w:val="0046135B"/>
    <w:rsid w:val="00461D47"/>
    <w:rsid w:val="00461E28"/>
    <w:rsid w:val="00462769"/>
    <w:rsid w:val="00462CCC"/>
    <w:rsid w:val="00463102"/>
    <w:rsid w:val="00463623"/>
    <w:rsid w:val="00466AEC"/>
    <w:rsid w:val="00470249"/>
    <w:rsid w:val="00470AA1"/>
    <w:rsid w:val="004718CC"/>
    <w:rsid w:val="00472862"/>
    <w:rsid w:val="00473258"/>
    <w:rsid w:val="00473557"/>
    <w:rsid w:val="00474208"/>
    <w:rsid w:val="0047543B"/>
    <w:rsid w:val="00476328"/>
    <w:rsid w:val="00476F50"/>
    <w:rsid w:val="00476FFE"/>
    <w:rsid w:val="0047740D"/>
    <w:rsid w:val="00480A25"/>
    <w:rsid w:val="00481695"/>
    <w:rsid w:val="00483214"/>
    <w:rsid w:val="004834D2"/>
    <w:rsid w:val="00486AEE"/>
    <w:rsid w:val="00487333"/>
    <w:rsid w:val="00487766"/>
    <w:rsid w:val="0048788B"/>
    <w:rsid w:val="0049040C"/>
    <w:rsid w:val="0049101B"/>
    <w:rsid w:val="00493208"/>
    <w:rsid w:val="00493F59"/>
    <w:rsid w:val="004941BD"/>
    <w:rsid w:val="00494D72"/>
    <w:rsid w:val="00495A96"/>
    <w:rsid w:val="00495BB3"/>
    <w:rsid w:val="00496210"/>
    <w:rsid w:val="004A18BE"/>
    <w:rsid w:val="004A3D48"/>
    <w:rsid w:val="004A56BB"/>
    <w:rsid w:val="004A68F3"/>
    <w:rsid w:val="004A7E66"/>
    <w:rsid w:val="004B0CAE"/>
    <w:rsid w:val="004B1751"/>
    <w:rsid w:val="004B1836"/>
    <w:rsid w:val="004B32C4"/>
    <w:rsid w:val="004B3D83"/>
    <w:rsid w:val="004B4D14"/>
    <w:rsid w:val="004B5C1A"/>
    <w:rsid w:val="004B6422"/>
    <w:rsid w:val="004C0253"/>
    <w:rsid w:val="004C3398"/>
    <w:rsid w:val="004C3741"/>
    <w:rsid w:val="004C3D40"/>
    <w:rsid w:val="004C5009"/>
    <w:rsid w:val="004C615B"/>
    <w:rsid w:val="004C721D"/>
    <w:rsid w:val="004C7576"/>
    <w:rsid w:val="004C7C65"/>
    <w:rsid w:val="004C7D69"/>
    <w:rsid w:val="004C7D83"/>
    <w:rsid w:val="004D1515"/>
    <w:rsid w:val="004D1622"/>
    <w:rsid w:val="004D21B4"/>
    <w:rsid w:val="004D2B1A"/>
    <w:rsid w:val="004D2F7A"/>
    <w:rsid w:val="004D4C15"/>
    <w:rsid w:val="004D56FF"/>
    <w:rsid w:val="004D6ECE"/>
    <w:rsid w:val="004D6FD1"/>
    <w:rsid w:val="004E1140"/>
    <w:rsid w:val="004E1219"/>
    <w:rsid w:val="004E24BD"/>
    <w:rsid w:val="004E2A29"/>
    <w:rsid w:val="004E39D3"/>
    <w:rsid w:val="004E3CA2"/>
    <w:rsid w:val="004E3DBD"/>
    <w:rsid w:val="004E42DF"/>
    <w:rsid w:val="004E441B"/>
    <w:rsid w:val="004E476A"/>
    <w:rsid w:val="004E508A"/>
    <w:rsid w:val="004E5A03"/>
    <w:rsid w:val="004E5FB1"/>
    <w:rsid w:val="004E616D"/>
    <w:rsid w:val="004F0AC5"/>
    <w:rsid w:val="004F197C"/>
    <w:rsid w:val="004F1BDE"/>
    <w:rsid w:val="004F2CEE"/>
    <w:rsid w:val="004F4AFA"/>
    <w:rsid w:val="004F5446"/>
    <w:rsid w:val="004F556E"/>
    <w:rsid w:val="004F591C"/>
    <w:rsid w:val="004F6636"/>
    <w:rsid w:val="004F7F44"/>
    <w:rsid w:val="005012DC"/>
    <w:rsid w:val="00502253"/>
    <w:rsid w:val="0050293C"/>
    <w:rsid w:val="00502E36"/>
    <w:rsid w:val="005037B4"/>
    <w:rsid w:val="0050745D"/>
    <w:rsid w:val="005079BF"/>
    <w:rsid w:val="0051095B"/>
    <w:rsid w:val="00510EEF"/>
    <w:rsid w:val="00511591"/>
    <w:rsid w:val="0051165C"/>
    <w:rsid w:val="00511C51"/>
    <w:rsid w:val="0051269A"/>
    <w:rsid w:val="005137C9"/>
    <w:rsid w:val="005149A7"/>
    <w:rsid w:val="00515E6B"/>
    <w:rsid w:val="005179A3"/>
    <w:rsid w:val="005179F1"/>
    <w:rsid w:val="005203EE"/>
    <w:rsid w:val="00520A6F"/>
    <w:rsid w:val="005219E7"/>
    <w:rsid w:val="00522FEA"/>
    <w:rsid w:val="00525F5B"/>
    <w:rsid w:val="00526ED4"/>
    <w:rsid w:val="00531B9A"/>
    <w:rsid w:val="00531D15"/>
    <w:rsid w:val="0053300B"/>
    <w:rsid w:val="00533095"/>
    <w:rsid w:val="00534B8B"/>
    <w:rsid w:val="00537604"/>
    <w:rsid w:val="00537D56"/>
    <w:rsid w:val="005401D8"/>
    <w:rsid w:val="00540B0E"/>
    <w:rsid w:val="00541070"/>
    <w:rsid w:val="00541D8A"/>
    <w:rsid w:val="00542377"/>
    <w:rsid w:val="005438AE"/>
    <w:rsid w:val="005441D2"/>
    <w:rsid w:val="00544B0C"/>
    <w:rsid w:val="00547522"/>
    <w:rsid w:val="005476EB"/>
    <w:rsid w:val="005477D9"/>
    <w:rsid w:val="00547D7C"/>
    <w:rsid w:val="0055102D"/>
    <w:rsid w:val="00551782"/>
    <w:rsid w:val="00552BF0"/>
    <w:rsid w:val="00553E86"/>
    <w:rsid w:val="0055433D"/>
    <w:rsid w:val="005549A9"/>
    <w:rsid w:val="00554B8B"/>
    <w:rsid w:val="00554FF0"/>
    <w:rsid w:val="0055665A"/>
    <w:rsid w:val="00557C00"/>
    <w:rsid w:val="00557E6A"/>
    <w:rsid w:val="00560D75"/>
    <w:rsid w:val="00561065"/>
    <w:rsid w:val="005616FC"/>
    <w:rsid w:val="00563EF1"/>
    <w:rsid w:val="005645DB"/>
    <w:rsid w:val="005648C3"/>
    <w:rsid w:val="00564B1A"/>
    <w:rsid w:val="00564BEB"/>
    <w:rsid w:val="00564E69"/>
    <w:rsid w:val="00565C72"/>
    <w:rsid w:val="00566425"/>
    <w:rsid w:val="00566AB4"/>
    <w:rsid w:val="00570540"/>
    <w:rsid w:val="0057203D"/>
    <w:rsid w:val="00572D90"/>
    <w:rsid w:val="005730AC"/>
    <w:rsid w:val="00575AC5"/>
    <w:rsid w:val="0057605D"/>
    <w:rsid w:val="00577503"/>
    <w:rsid w:val="00580D3C"/>
    <w:rsid w:val="005812B2"/>
    <w:rsid w:val="00581347"/>
    <w:rsid w:val="00581AC9"/>
    <w:rsid w:val="00582114"/>
    <w:rsid w:val="005846B3"/>
    <w:rsid w:val="005849F8"/>
    <w:rsid w:val="00584A3A"/>
    <w:rsid w:val="005853B1"/>
    <w:rsid w:val="00586709"/>
    <w:rsid w:val="005876C2"/>
    <w:rsid w:val="00591951"/>
    <w:rsid w:val="00591DCB"/>
    <w:rsid w:val="00592C0C"/>
    <w:rsid w:val="005933DA"/>
    <w:rsid w:val="005938DF"/>
    <w:rsid w:val="00593DDD"/>
    <w:rsid w:val="00594055"/>
    <w:rsid w:val="00594255"/>
    <w:rsid w:val="00594B2A"/>
    <w:rsid w:val="00594B37"/>
    <w:rsid w:val="00594E9C"/>
    <w:rsid w:val="00595121"/>
    <w:rsid w:val="005951FD"/>
    <w:rsid w:val="0059677A"/>
    <w:rsid w:val="005A01D5"/>
    <w:rsid w:val="005A099B"/>
    <w:rsid w:val="005A1463"/>
    <w:rsid w:val="005A1746"/>
    <w:rsid w:val="005A1E5B"/>
    <w:rsid w:val="005A1F95"/>
    <w:rsid w:val="005A2020"/>
    <w:rsid w:val="005A2305"/>
    <w:rsid w:val="005A2D9C"/>
    <w:rsid w:val="005A3EF9"/>
    <w:rsid w:val="005A3F79"/>
    <w:rsid w:val="005A55FE"/>
    <w:rsid w:val="005A677A"/>
    <w:rsid w:val="005A6A11"/>
    <w:rsid w:val="005A72C4"/>
    <w:rsid w:val="005A7823"/>
    <w:rsid w:val="005A7A3C"/>
    <w:rsid w:val="005B14CB"/>
    <w:rsid w:val="005B1858"/>
    <w:rsid w:val="005B27E7"/>
    <w:rsid w:val="005B2E78"/>
    <w:rsid w:val="005B30DA"/>
    <w:rsid w:val="005B3840"/>
    <w:rsid w:val="005B530A"/>
    <w:rsid w:val="005B6881"/>
    <w:rsid w:val="005B72ED"/>
    <w:rsid w:val="005B7728"/>
    <w:rsid w:val="005B7C07"/>
    <w:rsid w:val="005C0971"/>
    <w:rsid w:val="005C19ED"/>
    <w:rsid w:val="005C2181"/>
    <w:rsid w:val="005C220C"/>
    <w:rsid w:val="005C2641"/>
    <w:rsid w:val="005C27A7"/>
    <w:rsid w:val="005C3CF7"/>
    <w:rsid w:val="005C4715"/>
    <w:rsid w:val="005C489A"/>
    <w:rsid w:val="005C5D8F"/>
    <w:rsid w:val="005C5DE3"/>
    <w:rsid w:val="005C5EF2"/>
    <w:rsid w:val="005C6393"/>
    <w:rsid w:val="005C6552"/>
    <w:rsid w:val="005C6E07"/>
    <w:rsid w:val="005C7349"/>
    <w:rsid w:val="005D0A07"/>
    <w:rsid w:val="005D1223"/>
    <w:rsid w:val="005D2502"/>
    <w:rsid w:val="005D3786"/>
    <w:rsid w:val="005D40BB"/>
    <w:rsid w:val="005D47F3"/>
    <w:rsid w:val="005D49BF"/>
    <w:rsid w:val="005D4AA5"/>
    <w:rsid w:val="005D5554"/>
    <w:rsid w:val="005D6D4E"/>
    <w:rsid w:val="005D6F4E"/>
    <w:rsid w:val="005D71DF"/>
    <w:rsid w:val="005D7C73"/>
    <w:rsid w:val="005D7E6B"/>
    <w:rsid w:val="005E156E"/>
    <w:rsid w:val="005E15A4"/>
    <w:rsid w:val="005E355B"/>
    <w:rsid w:val="005E3ACD"/>
    <w:rsid w:val="005E3B7D"/>
    <w:rsid w:val="005E4438"/>
    <w:rsid w:val="005E4ED3"/>
    <w:rsid w:val="005E626D"/>
    <w:rsid w:val="005E6D74"/>
    <w:rsid w:val="005E7226"/>
    <w:rsid w:val="005E7583"/>
    <w:rsid w:val="005E7A57"/>
    <w:rsid w:val="005F24B0"/>
    <w:rsid w:val="005F3685"/>
    <w:rsid w:val="005F39DC"/>
    <w:rsid w:val="005F3AB5"/>
    <w:rsid w:val="005F54C5"/>
    <w:rsid w:val="005F5C1C"/>
    <w:rsid w:val="005F7EA4"/>
    <w:rsid w:val="006000A1"/>
    <w:rsid w:val="00601E6E"/>
    <w:rsid w:val="00602696"/>
    <w:rsid w:val="00604315"/>
    <w:rsid w:val="00604993"/>
    <w:rsid w:val="00604E26"/>
    <w:rsid w:val="006052CF"/>
    <w:rsid w:val="006066C2"/>
    <w:rsid w:val="00606A3D"/>
    <w:rsid w:val="0060734F"/>
    <w:rsid w:val="00607B8D"/>
    <w:rsid w:val="00610330"/>
    <w:rsid w:val="0061098E"/>
    <w:rsid w:val="00611F5C"/>
    <w:rsid w:val="006123E2"/>
    <w:rsid w:val="00612A4C"/>
    <w:rsid w:val="006144CE"/>
    <w:rsid w:val="0061459F"/>
    <w:rsid w:val="00616797"/>
    <w:rsid w:val="00616E09"/>
    <w:rsid w:val="006176FE"/>
    <w:rsid w:val="00622123"/>
    <w:rsid w:val="0062295F"/>
    <w:rsid w:val="00622A3B"/>
    <w:rsid w:val="00622EEA"/>
    <w:rsid w:val="00623940"/>
    <w:rsid w:val="0062396C"/>
    <w:rsid w:val="00623B2D"/>
    <w:rsid w:val="00623D2D"/>
    <w:rsid w:val="00623FF9"/>
    <w:rsid w:val="00625580"/>
    <w:rsid w:val="006257A1"/>
    <w:rsid w:val="00625B69"/>
    <w:rsid w:val="00625C0E"/>
    <w:rsid w:val="00626426"/>
    <w:rsid w:val="0062672D"/>
    <w:rsid w:val="00626B87"/>
    <w:rsid w:val="00626DAC"/>
    <w:rsid w:val="00627D4E"/>
    <w:rsid w:val="00630F97"/>
    <w:rsid w:val="00632B89"/>
    <w:rsid w:val="006335DF"/>
    <w:rsid w:val="0063379C"/>
    <w:rsid w:val="00633E6E"/>
    <w:rsid w:val="00634478"/>
    <w:rsid w:val="00634B42"/>
    <w:rsid w:val="0063768C"/>
    <w:rsid w:val="00637CC7"/>
    <w:rsid w:val="006410EC"/>
    <w:rsid w:val="006419FA"/>
    <w:rsid w:val="00642179"/>
    <w:rsid w:val="006421B4"/>
    <w:rsid w:val="00642EF3"/>
    <w:rsid w:val="0064326E"/>
    <w:rsid w:val="006434D6"/>
    <w:rsid w:val="00643E33"/>
    <w:rsid w:val="00644373"/>
    <w:rsid w:val="00645915"/>
    <w:rsid w:val="0064677F"/>
    <w:rsid w:val="0064794C"/>
    <w:rsid w:val="006510C2"/>
    <w:rsid w:val="006519C3"/>
    <w:rsid w:val="00652B30"/>
    <w:rsid w:val="006534AB"/>
    <w:rsid w:val="006536CE"/>
    <w:rsid w:val="006560F2"/>
    <w:rsid w:val="00656345"/>
    <w:rsid w:val="00656DC6"/>
    <w:rsid w:val="00660EC6"/>
    <w:rsid w:val="006610C4"/>
    <w:rsid w:val="0066182F"/>
    <w:rsid w:val="00661BFC"/>
    <w:rsid w:val="006624C1"/>
    <w:rsid w:val="00662990"/>
    <w:rsid w:val="00663555"/>
    <w:rsid w:val="00663A40"/>
    <w:rsid w:val="00664110"/>
    <w:rsid w:val="00664D17"/>
    <w:rsid w:val="00665E04"/>
    <w:rsid w:val="00666016"/>
    <w:rsid w:val="00666520"/>
    <w:rsid w:val="00666A76"/>
    <w:rsid w:val="00667BA6"/>
    <w:rsid w:val="00667C5B"/>
    <w:rsid w:val="00670B10"/>
    <w:rsid w:val="00671091"/>
    <w:rsid w:val="006716AA"/>
    <w:rsid w:val="00671FCD"/>
    <w:rsid w:val="00672BDA"/>
    <w:rsid w:val="00672EB9"/>
    <w:rsid w:val="00673B21"/>
    <w:rsid w:val="00674B92"/>
    <w:rsid w:val="00675153"/>
    <w:rsid w:val="006766C7"/>
    <w:rsid w:val="00680568"/>
    <w:rsid w:val="00681119"/>
    <w:rsid w:val="00681A18"/>
    <w:rsid w:val="00681EE4"/>
    <w:rsid w:val="00682038"/>
    <w:rsid w:val="00682358"/>
    <w:rsid w:val="00682385"/>
    <w:rsid w:val="006825E1"/>
    <w:rsid w:val="00682A83"/>
    <w:rsid w:val="00682F23"/>
    <w:rsid w:val="00683CC2"/>
    <w:rsid w:val="00685190"/>
    <w:rsid w:val="006863D6"/>
    <w:rsid w:val="0068724F"/>
    <w:rsid w:val="00687E35"/>
    <w:rsid w:val="00690193"/>
    <w:rsid w:val="00691EB8"/>
    <w:rsid w:val="006921D5"/>
    <w:rsid w:val="0069264A"/>
    <w:rsid w:val="00692CDE"/>
    <w:rsid w:val="00693073"/>
    <w:rsid w:val="006960BB"/>
    <w:rsid w:val="00697737"/>
    <w:rsid w:val="006977FF"/>
    <w:rsid w:val="006A01FA"/>
    <w:rsid w:val="006A0A50"/>
    <w:rsid w:val="006A0E7B"/>
    <w:rsid w:val="006A0E9E"/>
    <w:rsid w:val="006A0EA9"/>
    <w:rsid w:val="006A22B8"/>
    <w:rsid w:val="006A25C7"/>
    <w:rsid w:val="006A3BD5"/>
    <w:rsid w:val="006A3F52"/>
    <w:rsid w:val="006A4AAD"/>
    <w:rsid w:val="006A52A7"/>
    <w:rsid w:val="006A569A"/>
    <w:rsid w:val="006A5D2F"/>
    <w:rsid w:val="006A6DA2"/>
    <w:rsid w:val="006A6DD9"/>
    <w:rsid w:val="006A74B4"/>
    <w:rsid w:val="006A7700"/>
    <w:rsid w:val="006A7AB2"/>
    <w:rsid w:val="006B0782"/>
    <w:rsid w:val="006B0F29"/>
    <w:rsid w:val="006B180D"/>
    <w:rsid w:val="006B19BF"/>
    <w:rsid w:val="006B1DAD"/>
    <w:rsid w:val="006B1ED4"/>
    <w:rsid w:val="006B395C"/>
    <w:rsid w:val="006B43D7"/>
    <w:rsid w:val="006B5717"/>
    <w:rsid w:val="006B582F"/>
    <w:rsid w:val="006B664D"/>
    <w:rsid w:val="006B6DA6"/>
    <w:rsid w:val="006B6F5F"/>
    <w:rsid w:val="006B7917"/>
    <w:rsid w:val="006C0272"/>
    <w:rsid w:val="006C0CEB"/>
    <w:rsid w:val="006C2448"/>
    <w:rsid w:val="006C24B2"/>
    <w:rsid w:val="006C343D"/>
    <w:rsid w:val="006C3B1E"/>
    <w:rsid w:val="006C429C"/>
    <w:rsid w:val="006C47FD"/>
    <w:rsid w:val="006C5A90"/>
    <w:rsid w:val="006C5B29"/>
    <w:rsid w:val="006C5C19"/>
    <w:rsid w:val="006C70A0"/>
    <w:rsid w:val="006C7AED"/>
    <w:rsid w:val="006C7FFA"/>
    <w:rsid w:val="006D03FB"/>
    <w:rsid w:val="006D0A69"/>
    <w:rsid w:val="006D0DEC"/>
    <w:rsid w:val="006D27CB"/>
    <w:rsid w:val="006D2F08"/>
    <w:rsid w:val="006D2F27"/>
    <w:rsid w:val="006D42E4"/>
    <w:rsid w:val="006D576C"/>
    <w:rsid w:val="006D581A"/>
    <w:rsid w:val="006D5865"/>
    <w:rsid w:val="006D68A1"/>
    <w:rsid w:val="006D6C82"/>
    <w:rsid w:val="006D77A3"/>
    <w:rsid w:val="006E01C5"/>
    <w:rsid w:val="006E11A1"/>
    <w:rsid w:val="006E2AF2"/>
    <w:rsid w:val="006E2BEC"/>
    <w:rsid w:val="006E4B1B"/>
    <w:rsid w:val="006E4C03"/>
    <w:rsid w:val="006E5445"/>
    <w:rsid w:val="006E614C"/>
    <w:rsid w:val="006E78A6"/>
    <w:rsid w:val="006E7D93"/>
    <w:rsid w:val="006F042F"/>
    <w:rsid w:val="006F0436"/>
    <w:rsid w:val="006F0721"/>
    <w:rsid w:val="006F188E"/>
    <w:rsid w:val="006F1DFC"/>
    <w:rsid w:val="006F2102"/>
    <w:rsid w:val="006F4814"/>
    <w:rsid w:val="006F4910"/>
    <w:rsid w:val="006F67D6"/>
    <w:rsid w:val="006F6A8E"/>
    <w:rsid w:val="006F7E56"/>
    <w:rsid w:val="00700519"/>
    <w:rsid w:val="007029A3"/>
    <w:rsid w:val="00702C43"/>
    <w:rsid w:val="00703C80"/>
    <w:rsid w:val="007041D4"/>
    <w:rsid w:val="007046B6"/>
    <w:rsid w:val="00704B5B"/>
    <w:rsid w:val="00706E4E"/>
    <w:rsid w:val="0070791C"/>
    <w:rsid w:val="00710BAD"/>
    <w:rsid w:val="00711773"/>
    <w:rsid w:val="00711A11"/>
    <w:rsid w:val="0071289D"/>
    <w:rsid w:val="007137AC"/>
    <w:rsid w:val="0071383C"/>
    <w:rsid w:val="00713DCB"/>
    <w:rsid w:val="00713DF0"/>
    <w:rsid w:val="007141A7"/>
    <w:rsid w:val="007142A7"/>
    <w:rsid w:val="00714877"/>
    <w:rsid w:val="00714A15"/>
    <w:rsid w:val="007150CA"/>
    <w:rsid w:val="0071517B"/>
    <w:rsid w:val="00715722"/>
    <w:rsid w:val="00715EB2"/>
    <w:rsid w:val="007177F0"/>
    <w:rsid w:val="00721032"/>
    <w:rsid w:val="007218DD"/>
    <w:rsid w:val="00721B55"/>
    <w:rsid w:val="007229B2"/>
    <w:rsid w:val="00722D2B"/>
    <w:rsid w:val="007232C7"/>
    <w:rsid w:val="007239DD"/>
    <w:rsid w:val="00723A48"/>
    <w:rsid w:val="0072481B"/>
    <w:rsid w:val="0072555B"/>
    <w:rsid w:val="00725E50"/>
    <w:rsid w:val="0072660D"/>
    <w:rsid w:val="00726CE4"/>
    <w:rsid w:val="00726DE1"/>
    <w:rsid w:val="007304CA"/>
    <w:rsid w:val="0073105A"/>
    <w:rsid w:val="007310B8"/>
    <w:rsid w:val="00733DAC"/>
    <w:rsid w:val="00734143"/>
    <w:rsid w:val="00734C09"/>
    <w:rsid w:val="00734F84"/>
    <w:rsid w:val="00736042"/>
    <w:rsid w:val="00736BE8"/>
    <w:rsid w:val="007379A1"/>
    <w:rsid w:val="00737B95"/>
    <w:rsid w:val="00737E47"/>
    <w:rsid w:val="00740EAC"/>
    <w:rsid w:val="007428CE"/>
    <w:rsid w:val="00742C31"/>
    <w:rsid w:val="00744956"/>
    <w:rsid w:val="00744DA5"/>
    <w:rsid w:val="00744ED0"/>
    <w:rsid w:val="00745271"/>
    <w:rsid w:val="00745A5C"/>
    <w:rsid w:val="00745ABE"/>
    <w:rsid w:val="0074605F"/>
    <w:rsid w:val="007466AB"/>
    <w:rsid w:val="007473B3"/>
    <w:rsid w:val="00747E94"/>
    <w:rsid w:val="0075098E"/>
    <w:rsid w:val="007512BC"/>
    <w:rsid w:val="00752495"/>
    <w:rsid w:val="007532E5"/>
    <w:rsid w:val="00754589"/>
    <w:rsid w:val="0075466A"/>
    <w:rsid w:val="00754958"/>
    <w:rsid w:val="007549B1"/>
    <w:rsid w:val="00754C83"/>
    <w:rsid w:val="00756D1C"/>
    <w:rsid w:val="0075765A"/>
    <w:rsid w:val="00760574"/>
    <w:rsid w:val="00760FCE"/>
    <w:rsid w:val="00761BF1"/>
    <w:rsid w:val="00765DF8"/>
    <w:rsid w:val="007660AF"/>
    <w:rsid w:val="00766749"/>
    <w:rsid w:val="00767C1B"/>
    <w:rsid w:val="00770EA1"/>
    <w:rsid w:val="007714A9"/>
    <w:rsid w:val="007714F7"/>
    <w:rsid w:val="0077189B"/>
    <w:rsid w:val="007748BA"/>
    <w:rsid w:val="00774F88"/>
    <w:rsid w:val="00774FDB"/>
    <w:rsid w:val="00776129"/>
    <w:rsid w:val="00777BA2"/>
    <w:rsid w:val="00780D4C"/>
    <w:rsid w:val="00781408"/>
    <w:rsid w:val="00783773"/>
    <w:rsid w:val="00784F7F"/>
    <w:rsid w:val="007856BD"/>
    <w:rsid w:val="00787657"/>
    <w:rsid w:val="007877DC"/>
    <w:rsid w:val="007878BD"/>
    <w:rsid w:val="00791B1D"/>
    <w:rsid w:val="00792707"/>
    <w:rsid w:val="00796815"/>
    <w:rsid w:val="00796F25"/>
    <w:rsid w:val="007A1F80"/>
    <w:rsid w:val="007A2E98"/>
    <w:rsid w:val="007A3BA3"/>
    <w:rsid w:val="007A56F2"/>
    <w:rsid w:val="007A5DB7"/>
    <w:rsid w:val="007A5E03"/>
    <w:rsid w:val="007A6CC0"/>
    <w:rsid w:val="007A7FEC"/>
    <w:rsid w:val="007B028B"/>
    <w:rsid w:val="007B1499"/>
    <w:rsid w:val="007B196D"/>
    <w:rsid w:val="007B19C1"/>
    <w:rsid w:val="007B1BBF"/>
    <w:rsid w:val="007B1FFB"/>
    <w:rsid w:val="007B2350"/>
    <w:rsid w:val="007B2960"/>
    <w:rsid w:val="007B2DB1"/>
    <w:rsid w:val="007B2ED8"/>
    <w:rsid w:val="007B3337"/>
    <w:rsid w:val="007B355D"/>
    <w:rsid w:val="007B3802"/>
    <w:rsid w:val="007B41BD"/>
    <w:rsid w:val="007B59E0"/>
    <w:rsid w:val="007B5D01"/>
    <w:rsid w:val="007B7980"/>
    <w:rsid w:val="007C0AC5"/>
    <w:rsid w:val="007C0DEF"/>
    <w:rsid w:val="007C1BD9"/>
    <w:rsid w:val="007C2C12"/>
    <w:rsid w:val="007C2FA0"/>
    <w:rsid w:val="007C4116"/>
    <w:rsid w:val="007C48EC"/>
    <w:rsid w:val="007C5060"/>
    <w:rsid w:val="007C52C7"/>
    <w:rsid w:val="007C5420"/>
    <w:rsid w:val="007C5D5A"/>
    <w:rsid w:val="007C5D79"/>
    <w:rsid w:val="007C607F"/>
    <w:rsid w:val="007C6699"/>
    <w:rsid w:val="007C77CE"/>
    <w:rsid w:val="007C79DD"/>
    <w:rsid w:val="007D029E"/>
    <w:rsid w:val="007D04B2"/>
    <w:rsid w:val="007D1127"/>
    <w:rsid w:val="007D1A97"/>
    <w:rsid w:val="007D2CD6"/>
    <w:rsid w:val="007D3063"/>
    <w:rsid w:val="007D3297"/>
    <w:rsid w:val="007D373A"/>
    <w:rsid w:val="007D3CEB"/>
    <w:rsid w:val="007D5A0E"/>
    <w:rsid w:val="007D65BB"/>
    <w:rsid w:val="007D73F7"/>
    <w:rsid w:val="007D75D0"/>
    <w:rsid w:val="007E020A"/>
    <w:rsid w:val="007E439D"/>
    <w:rsid w:val="007E661A"/>
    <w:rsid w:val="007E7683"/>
    <w:rsid w:val="007E7774"/>
    <w:rsid w:val="007E7AF4"/>
    <w:rsid w:val="007F0B0D"/>
    <w:rsid w:val="007F3EA0"/>
    <w:rsid w:val="007F44CF"/>
    <w:rsid w:val="007F49FA"/>
    <w:rsid w:val="007F4EA6"/>
    <w:rsid w:val="007F5050"/>
    <w:rsid w:val="007F52A6"/>
    <w:rsid w:val="007F54C4"/>
    <w:rsid w:val="007F5B74"/>
    <w:rsid w:val="007F5FA2"/>
    <w:rsid w:val="007F6E9A"/>
    <w:rsid w:val="007F7922"/>
    <w:rsid w:val="00802E1C"/>
    <w:rsid w:val="00803AF9"/>
    <w:rsid w:val="008042BB"/>
    <w:rsid w:val="008044D4"/>
    <w:rsid w:val="0080548C"/>
    <w:rsid w:val="00810163"/>
    <w:rsid w:val="00810598"/>
    <w:rsid w:val="00810AB4"/>
    <w:rsid w:val="00811388"/>
    <w:rsid w:val="00812D3D"/>
    <w:rsid w:val="00812DA7"/>
    <w:rsid w:val="0081426B"/>
    <w:rsid w:val="008152A1"/>
    <w:rsid w:val="008156AF"/>
    <w:rsid w:val="00816937"/>
    <w:rsid w:val="00817B56"/>
    <w:rsid w:val="0082164C"/>
    <w:rsid w:val="00821A88"/>
    <w:rsid w:val="008225BE"/>
    <w:rsid w:val="00822839"/>
    <w:rsid w:val="00822C3A"/>
    <w:rsid w:val="008233C6"/>
    <w:rsid w:val="0082344D"/>
    <w:rsid w:val="00823EEC"/>
    <w:rsid w:val="00824484"/>
    <w:rsid w:val="0082495D"/>
    <w:rsid w:val="008265C2"/>
    <w:rsid w:val="00826E4E"/>
    <w:rsid w:val="0082702E"/>
    <w:rsid w:val="00827A31"/>
    <w:rsid w:val="00830A7C"/>
    <w:rsid w:val="00831AC3"/>
    <w:rsid w:val="008321E3"/>
    <w:rsid w:val="008331BF"/>
    <w:rsid w:val="00833223"/>
    <w:rsid w:val="00834D38"/>
    <w:rsid w:val="008355C6"/>
    <w:rsid w:val="008355E9"/>
    <w:rsid w:val="008377E4"/>
    <w:rsid w:val="00837973"/>
    <w:rsid w:val="008408C1"/>
    <w:rsid w:val="008408FF"/>
    <w:rsid w:val="00840E6D"/>
    <w:rsid w:val="008414C5"/>
    <w:rsid w:val="00841AB2"/>
    <w:rsid w:val="00843B2C"/>
    <w:rsid w:val="00843F24"/>
    <w:rsid w:val="0084456F"/>
    <w:rsid w:val="00845885"/>
    <w:rsid w:val="00845A9D"/>
    <w:rsid w:val="00846608"/>
    <w:rsid w:val="00846BE8"/>
    <w:rsid w:val="008476DC"/>
    <w:rsid w:val="00851F3F"/>
    <w:rsid w:val="00852349"/>
    <w:rsid w:val="00852B15"/>
    <w:rsid w:val="00852D82"/>
    <w:rsid w:val="00853823"/>
    <w:rsid w:val="0085406F"/>
    <w:rsid w:val="00854895"/>
    <w:rsid w:val="00854C54"/>
    <w:rsid w:val="00856EDC"/>
    <w:rsid w:val="00856F13"/>
    <w:rsid w:val="00857E2B"/>
    <w:rsid w:val="0086185C"/>
    <w:rsid w:val="008623B5"/>
    <w:rsid w:val="00863AB1"/>
    <w:rsid w:val="00864BEA"/>
    <w:rsid w:val="00865379"/>
    <w:rsid w:val="008657C9"/>
    <w:rsid w:val="00865A56"/>
    <w:rsid w:val="00865EC9"/>
    <w:rsid w:val="00870ABA"/>
    <w:rsid w:val="008710E1"/>
    <w:rsid w:val="008716E5"/>
    <w:rsid w:val="00874EDA"/>
    <w:rsid w:val="00875D89"/>
    <w:rsid w:val="0087694D"/>
    <w:rsid w:val="00876C62"/>
    <w:rsid w:val="00877202"/>
    <w:rsid w:val="00880787"/>
    <w:rsid w:val="0088174B"/>
    <w:rsid w:val="00881CA9"/>
    <w:rsid w:val="0088308D"/>
    <w:rsid w:val="00883628"/>
    <w:rsid w:val="008841DB"/>
    <w:rsid w:val="00884869"/>
    <w:rsid w:val="00885544"/>
    <w:rsid w:val="008862D9"/>
    <w:rsid w:val="0088634E"/>
    <w:rsid w:val="00886832"/>
    <w:rsid w:val="00886F02"/>
    <w:rsid w:val="00893775"/>
    <w:rsid w:val="00893AB8"/>
    <w:rsid w:val="00893EF5"/>
    <w:rsid w:val="00894471"/>
    <w:rsid w:val="00894674"/>
    <w:rsid w:val="00894730"/>
    <w:rsid w:val="00895575"/>
    <w:rsid w:val="00897A27"/>
    <w:rsid w:val="008A0221"/>
    <w:rsid w:val="008A04C8"/>
    <w:rsid w:val="008A4B06"/>
    <w:rsid w:val="008A4BD5"/>
    <w:rsid w:val="008A4C2A"/>
    <w:rsid w:val="008A501A"/>
    <w:rsid w:val="008A577F"/>
    <w:rsid w:val="008A6608"/>
    <w:rsid w:val="008A6913"/>
    <w:rsid w:val="008B031D"/>
    <w:rsid w:val="008B093B"/>
    <w:rsid w:val="008B1E45"/>
    <w:rsid w:val="008B217D"/>
    <w:rsid w:val="008B2606"/>
    <w:rsid w:val="008B363E"/>
    <w:rsid w:val="008B3773"/>
    <w:rsid w:val="008B3C79"/>
    <w:rsid w:val="008B482A"/>
    <w:rsid w:val="008B4877"/>
    <w:rsid w:val="008B5A09"/>
    <w:rsid w:val="008B5CE7"/>
    <w:rsid w:val="008B6170"/>
    <w:rsid w:val="008B6382"/>
    <w:rsid w:val="008B6CEB"/>
    <w:rsid w:val="008B70F3"/>
    <w:rsid w:val="008B71C4"/>
    <w:rsid w:val="008B744D"/>
    <w:rsid w:val="008B76DF"/>
    <w:rsid w:val="008B7BBB"/>
    <w:rsid w:val="008C02D2"/>
    <w:rsid w:val="008C10F4"/>
    <w:rsid w:val="008C1329"/>
    <w:rsid w:val="008C13F2"/>
    <w:rsid w:val="008C2457"/>
    <w:rsid w:val="008C2E8F"/>
    <w:rsid w:val="008C3295"/>
    <w:rsid w:val="008C37A0"/>
    <w:rsid w:val="008C4CD4"/>
    <w:rsid w:val="008C51AE"/>
    <w:rsid w:val="008C51F9"/>
    <w:rsid w:val="008C65F7"/>
    <w:rsid w:val="008C72CE"/>
    <w:rsid w:val="008C76A3"/>
    <w:rsid w:val="008C7AA7"/>
    <w:rsid w:val="008C7BCA"/>
    <w:rsid w:val="008D2F27"/>
    <w:rsid w:val="008D3EF8"/>
    <w:rsid w:val="008D40AD"/>
    <w:rsid w:val="008D5C7F"/>
    <w:rsid w:val="008E02A1"/>
    <w:rsid w:val="008E0856"/>
    <w:rsid w:val="008E11BF"/>
    <w:rsid w:val="008E19E5"/>
    <w:rsid w:val="008E26BD"/>
    <w:rsid w:val="008E2B36"/>
    <w:rsid w:val="008E3502"/>
    <w:rsid w:val="008E4193"/>
    <w:rsid w:val="008E441B"/>
    <w:rsid w:val="008E4767"/>
    <w:rsid w:val="008E548A"/>
    <w:rsid w:val="008E59FB"/>
    <w:rsid w:val="008E68E2"/>
    <w:rsid w:val="008E6DF7"/>
    <w:rsid w:val="008E72D1"/>
    <w:rsid w:val="008E7A8C"/>
    <w:rsid w:val="008E7BB8"/>
    <w:rsid w:val="008F0162"/>
    <w:rsid w:val="008F024D"/>
    <w:rsid w:val="008F1BBC"/>
    <w:rsid w:val="008F1E94"/>
    <w:rsid w:val="008F1E95"/>
    <w:rsid w:val="008F2223"/>
    <w:rsid w:val="008F3578"/>
    <w:rsid w:val="008F4B70"/>
    <w:rsid w:val="008F4F26"/>
    <w:rsid w:val="008F5998"/>
    <w:rsid w:val="008F6C92"/>
    <w:rsid w:val="008F703B"/>
    <w:rsid w:val="008F7AB5"/>
    <w:rsid w:val="00901ABD"/>
    <w:rsid w:val="00902486"/>
    <w:rsid w:val="00902D27"/>
    <w:rsid w:val="00903285"/>
    <w:rsid w:val="00904BB0"/>
    <w:rsid w:val="00905209"/>
    <w:rsid w:val="009056F1"/>
    <w:rsid w:val="009068EF"/>
    <w:rsid w:val="00906C79"/>
    <w:rsid w:val="00906F40"/>
    <w:rsid w:val="009072C1"/>
    <w:rsid w:val="0090731E"/>
    <w:rsid w:val="009105AF"/>
    <w:rsid w:val="00910A9D"/>
    <w:rsid w:val="00910B85"/>
    <w:rsid w:val="009113E5"/>
    <w:rsid w:val="00913FDC"/>
    <w:rsid w:val="0091448C"/>
    <w:rsid w:val="00914BA8"/>
    <w:rsid w:val="00915B1C"/>
    <w:rsid w:val="00915C1C"/>
    <w:rsid w:val="00916455"/>
    <w:rsid w:val="00917213"/>
    <w:rsid w:val="009174F3"/>
    <w:rsid w:val="0091797D"/>
    <w:rsid w:val="009211FD"/>
    <w:rsid w:val="009226F0"/>
    <w:rsid w:val="00922916"/>
    <w:rsid w:val="00923BD0"/>
    <w:rsid w:val="00923CBA"/>
    <w:rsid w:val="00926672"/>
    <w:rsid w:val="009266FF"/>
    <w:rsid w:val="00926703"/>
    <w:rsid w:val="00927691"/>
    <w:rsid w:val="00927939"/>
    <w:rsid w:val="00927A5F"/>
    <w:rsid w:val="009302D6"/>
    <w:rsid w:val="00932188"/>
    <w:rsid w:val="009328AE"/>
    <w:rsid w:val="0093431E"/>
    <w:rsid w:val="00934500"/>
    <w:rsid w:val="00935B63"/>
    <w:rsid w:val="00936230"/>
    <w:rsid w:val="009372FB"/>
    <w:rsid w:val="00937A8E"/>
    <w:rsid w:val="00937B39"/>
    <w:rsid w:val="0094078F"/>
    <w:rsid w:val="00940FA3"/>
    <w:rsid w:val="00941FB0"/>
    <w:rsid w:val="009421D2"/>
    <w:rsid w:val="009426D4"/>
    <w:rsid w:val="00943BDE"/>
    <w:rsid w:val="00943C65"/>
    <w:rsid w:val="00944EE8"/>
    <w:rsid w:val="0094513E"/>
    <w:rsid w:val="0094596F"/>
    <w:rsid w:val="00945B76"/>
    <w:rsid w:val="00946199"/>
    <w:rsid w:val="00946E06"/>
    <w:rsid w:val="00947944"/>
    <w:rsid w:val="00947F25"/>
    <w:rsid w:val="00950159"/>
    <w:rsid w:val="00951045"/>
    <w:rsid w:val="009511AD"/>
    <w:rsid w:val="00951C85"/>
    <w:rsid w:val="009521BB"/>
    <w:rsid w:val="0095490B"/>
    <w:rsid w:val="00955A96"/>
    <w:rsid w:val="00956F7B"/>
    <w:rsid w:val="0096097A"/>
    <w:rsid w:val="00960A33"/>
    <w:rsid w:val="00960B40"/>
    <w:rsid w:val="009635F6"/>
    <w:rsid w:val="009635FB"/>
    <w:rsid w:val="00963CE8"/>
    <w:rsid w:val="0096423A"/>
    <w:rsid w:val="009642D6"/>
    <w:rsid w:val="009660F3"/>
    <w:rsid w:val="00967903"/>
    <w:rsid w:val="00971439"/>
    <w:rsid w:val="00971914"/>
    <w:rsid w:val="0097197C"/>
    <w:rsid w:val="00972619"/>
    <w:rsid w:val="00974314"/>
    <w:rsid w:val="00974363"/>
    <w:rsid w:val="009749AC"/>
    <w:rsid w:val="00974BD4"/>
    <w:rsid w:val="00974F65"/>
    <w:rsid w:val="00977B30"/>
    <w:rsid w:val="009815AB"/>
    <w:rsid w:val="00981898"/>
    <w:rsid w:val="00982F41"/>
    <w:rsid w:val="009830D5"/>
    <w:rsid w:val="0098319E"/>
    <w:rsid w:val="00986B2D"/>
    <w:rsid w:val="00990D3D"/>
    <w:rsid w:val="00992E35"/>
    <w:rsid w:val="00992F3B"/>
    <w:rsid w:val="00992F3E"/>
    <w:rsid w:val="00993194"/>
    <w:rsid w:val="0099577C"/>
    <w:rsid w:val="00995EA8"/>
    <w:rsid w:val="00996612"/>
    <w:rsid w:val="00996BEE"/>
    <w:rsid w:val="009A1CFB"/>
    <w:rsid w:val="009A32C2"/>
    <w:rsid w:val="009A55C0"/>
    <w:rsid w:val="009A66D5"/>
    <w:rsid w:val="009A6796"/>
    <w:rsid w:val="009A6B5E"/>
    <w:rsid w:val="009A78E6"/>
    <w:rsid w:val="009A7AA8"/>
    <w:rsid w:val="009A7F42"/>
    <w:rsid w:val="009B0385"/>
    <w:rsid w:val="009B06A2"/>
    <w:rsid w:val="009B1065"/>
    <w:rsid w:val="009B2242"/>
    <w:rsid w:val="009B2601"/>
    <w:rsid w:val="009B297F"/>
    <w:rsid w:val="009B437B"/>
    <w:rsid w:val="009B48F3"/>
    <w:rsid w:val="009B4B09"/>
    <w:rsid w:val="009B4E9E"/>
    <w:rsid w:val="009B7503"/>
    <w:rsid w:val="009C1690"/>
    <w:rsid w:val="009C3E36"/>
    <w:rsid w:val="009C4485"/>
    <w:rsid w:val="009C4510"/>
    <w:rsid w:val="009C6881"/>
    <w:rsid w:val="009C7759"/>
    <w:rsid w:val="009D043D"/>
    <w:rsid w:val="009D07C8"/>
    <w:rsid w:val="009D1B2F"/>
    <w:rsid w:val="009D1C12"/>
    <w:rsid w:val="009D204E"/>
    <w:rsid w:val="009D2719"/>
    <w:rsid w:val="009D3E2B"/>
    <w:rsid w:val="009D4062"/>
    <w:rsid w:val="009D4681"/>
    <w:rsid w:val="009D59DE"/>
    <w:rsid w:val="009D66F4"/>
    <w:rsid w:val="009D6A87"/>
    <w:rsid w:val="009D6C71"/>
    <w:rsid w:val="009D7319"/>
    <w:rsid w:val="009D7582"/>
    <w:rsid w:val="009D759D"/>
    <w:rsid w:val="009E0631"/>
    <w:rsid w:val="009E141C"/>
    <w:rsid w:val="009E16D0"/>
    <w:rsid w:val="009E21CC"/>
    <w:rsid w:val="009E2D5A"/>
    <w:rsid w:val="009E3601"/>
    <w:rsid w:val="009E38FD"/>
    <w:rsid w:val="009E40B6"/>
    <w:rsid w:val="009E4909"/>
    <w:rsid w:val="009E4F61"/>
    <w:rsid w:val="009E5C0C"/>
    <w:rsid w:val="009E5FA0"/>
    <w:rsid w:val="009E704D"/>
    <w:rsid w:val="009E7941"/>
    <w:rsid w:val="009F039B"/>
    <w:rsid w:val="009F08B2"/>
    <w:rsid w:val="009F138D"/>
    <w:rsid w:val="009F13D6"/>
    <w:rsid w:val="009F2A35"/>
    <w:rsid w:val="009F2F35"/>
    <w:rsid w:val="009F4A19"/>
    <w:rsid w:val="009F4C6B"/>
    <w:rsid w:val="009F4C77"/>
    <w:rsid w:val="009F51BB"/>
    <w:rsid w:val="009F5411"/>
    <w:rsid w:val="009F5AE0"/>
    <w:rsid w:val="009F6B3B"/>
    <w:rsid w:val="009F78A8"/>
    <w:rsid w:val="00A02AD6"/>
    <w:rsid w:val="00A02EB0"/>
    <w:rsid w:val="00A07096"/>
    <w:rsid w:val="00A07318"/>
    <w:rsid w:val="00A07E55"/>
    <w:rsid w:val="00A1017E"/>
    <w:rsid w:val="00A10DF7"/>
    <w:rsid w:val="00A11370"/>
    <w:rsid w:val="00A1258E"/>
    <w:rsid w:val="00A130ED"/>
    <w:rsid w:val="00A13DC2"/>
    <w:rsid w:val="00A1425D"/>
    <w:rsid w:val="00A14A29"/>
    <w:rsid w:val="00A152BE"/>
    <w:rsid w:val="00A17E67"/>
    <w:rsid w:val="00A21EA9"/>
    <w:rsid w:val="00A224CE"/>
    <w:rsid w:val="00A22522"/>
    <w:rsid w:val="00A228F7"/>
    <w:rsid w:val="00A22BFD"/>
    <w:rsid w:val="00A24527"/>
    <w:rsid w:val="00A24AFD"/>
    <w:rsid w:val="00A24F5C"/>
    <w:rsid w:val="00A25455"/>
    <w:rsid w:val="00A27258"/>
    <w:rsid w:val="00A275C5"/>
    <w:rsid w:val="00A279A8"/>
    <w:rsid w:val="00A302BE"/>
    <w:rsid w:val="00A30FAE"/>
    <w:rsid w:val="00A31D68"/>
    <w:rsid w:val="00A32F96"/>
    <w:rsid w:val="00A33271"/>
    <w:rsid w:val="00A33A2E"/>
    <w:rsid w:val="00A34761"/>
    <w:rsid w:val="00A34846"/>
    <w:rsid w:val="00A35779"/>
    <w:rsid w:val="00A379A0"/>
    <w:rsid w:val="00A37B08"/>
    <w:rsid w:val="00A40871"/>
    <w:rsid w:val="00A40E4D"/>
    <w:rsid w:val="00A40ECF"/>
    <w:rsid w:val="00A412AB"/>
    <w:rsid w:val="00A4193E"/>
    <w:rsid w:val="00A440E0"/>
    <w:rsid w:val="00A442EF"/>
    <w:rsid w:val="00A465A1"/>
    <w:rsid w:val="00A46BDA"/>
    <w:rsid w:val="00A47336"/>
    <w:rsid w:val="00A50217"/>
    <w:rsid w:val="00A50914"/>
    <w:rsid w:val="00A50E84"/>
    <w:rsid w:val="00A51845"/>
    <w:rsid w:val="00A518D3"/>
    <w:rsid w:val="00A51D1A"/>
    <w:rsid w:val="00A526CB"/>
    <w:rsid w:val="00A5418D"/>
    <w:rsid w:val="00A543A5"/>
    <w:rsid w:val="00A5474E"/>
    <w:rsid w:val="00A5534F"/>
    <w:rsid w:val="00A553C2"/>
    <w:rsid w:val="00A56459"/>
    <w:rsid w:val="00A56AA2"/>
    <w:rsid w:val="00A60869"/>
    <w:rsid w:val="00A608DF"/>
    <w:rsid w:val="00A60DE0"/>
    <w:rsid w:val="00A61091"/>
    <w:rsid w:val="00A611FE"/>
    <w:rsid w:val="00A62226"/>
    <w:rsid w:val="00A6242A"/>
    <w:rsid w:val="00A62FBE"/>
    <w:rsid w:val="00A64234"/>
    <w:rsid w:val="00A64BBB"/>
    <w:rsid w:val="00A64DAB"/>
    <w:rsid w:val="00A652BE"/>
    <w:rsid w:val="00A666C8"/>
    <w:rsid w:val="00A66B1C"/>
    <w:rsid w:val="00A7018A"/>
    <w:rsid w:val="00A70ADF"/>
    <w:rsid w:val="00A70B3E"/>
    <w:rsid w:val="00A71073"/>
    <w:rsid w:val="00A71466"/>
    <w:rsid w:val="00A718E2"/>
    <w:rsid w:val="00A735FC"/>
    <w:rsid w:val="00A73815"/>
    <w:rsid w:val="00A738C7"/>
    <w:rsid w:val="00A73939"/>
    <w:rsid w:val="00A73CA0"/>
    <w:rsid w:val="00A7454A"/>
    <w:rsid w:val="00A74B5E"/>
    <w:rsid w:val="00A7733C"/>
    <w:rsid w:val="00A80703"/>
    <w:rsid w:val="00A817C8"/>
    <w:rsid w:val="00A81BED"/>
    <w:rsid w:val="00A81EC4"/>
    <w:rsid w:val="00A8227A"/>
    <w:rsid w:val="00A82CDB"/>
    <w:rsid w:val="00A8309E"/>
    <w:rsid w:val="00A83A6A"/>
    <w:rsid w:val="00A83CD1"/>
    <w:rsid w:val="00A85BFD"/>
    <w:rsid w:val="00A90AA5"/>
    <w:rsid w:val="00A90F60"/>
    <w:rsid w:val="00A91238"/>
    <w:rsid w:val="00A912E0"/>
    <w:rsid w:val="00A926FB"/>
    <w:rsid w:val="00A9271F"/>
    <w:rsid w:val="00A92775"/>
    <w:rsid w:val="00A9343D"/>
    <w:rsid w:val="00A967FD"/>
    <w:rsid w:val="00A96C11"/>
    <w:rsid w:val="00A979AF"/>
    <w:rsid w:val="00AA1279"/>
    <w:rsid w:val="00AA1BFC"/>
    <w:rsid w:val="00AA1C79"/>
    <w:rsid w:val="00AA3125"/>
    <w:rsid w:val="00AA4A20"/>
    <w:rsid w:val="00AA63B4"/>
    <w:rsid w:val="00AA759B"/>
    <w:rsid w:val="00AA7734"/>
    <w:rsid w:val="00AB06C2"/>
    <w:rsid w:val="00AB0A24"/>
    <w:rsid w:val="00AB156C"/>
    <w:rsid w:val="00AB3EFF"/>
    <w:rsid w:val="00AB5177"/>
    <w:rsid w:val="00AB5AA4"/>
    <w:rsid w:val="00AB5E1D"/>
    <w:rsid w:val="00AB633F"/>
    <w:rsid w:val="00AB6814"/>
    <w:rsid w:val="00AC0496"/>
    <w:rsid w:val="00AC04BA"/>
    <w:rsid w:val="00AC0CE2"/>
    <w:rsid w:val="00AC0E39"/>
    <w:rsid w:val="00AC287A"/>
    <w:rsid w:val="00AC365E"/>
    <w:rsid w:val="00AC4DD2"/>
    <w:rsid w:val="00AC5ACD"/>
    <w:rsid w:val="00AC719F"/>
    <w:rsid w:val="00AC770B"/>
    <w:rsid w:val="00AD0083"/>
    <w:rsid w:val="00AD0237"/>
    <w:rsid w:val="00AD2A13"/>
    <w:rsid w:val="00AD3082"/>
    <w:rsid w:val="00AD32B4"/>
    <w:rsid w:val="00AD4AD0"/>
    <w:rsid w:val="00AD520A"/>
    <w:rsid w:val="00AD52A9"/>
    <w:rsid w:val="00AD5436"/>
    <w:rsid w:val="00AD5B5F"/>
    <w:rsid w:val="00AD5FEF"/>
    <w:rsid w:val="00AD60CD"/>
    <w:rsid w:val="00AD6C8C"/>
    <w:rsid w:val="00AD72C1"/>
    <w:rsid w:val="00AE091D"/>
    <w:rsid w:val="00AE0D25"/>
    <w:rsid w:val="00AE3B60"/>
    <w:rsid w:val="00AE53A1"/>
    <w:rsid w:val="00AE557D"/>
    <w:rsid w:val="00AE5895"/>
    <w:rsid w:val="00AE5E52"/>
    <w:rsid w:val="00AE7B51"/>
    <w:rsid w:val="00AF0F92"/>
    <w:rsid w:val="00AF1329"/>
    <w:rsid w:val="00AF1696"/>
    <w:rsid w:val="00AF1EB0"/>
    <w:rsid w:val="00AF2484"/>
    <w:rsid w:val="00AF2AF9"/>
    <w:rsid w:val="00AF51D9"/>
    <w:rsid w:val="00AF571A"/>
    <w:rsid w:val="00AF63E7"/>
    <w:rsid w:val="00AF6A54"/>
    <w:rsid w:val="00AF6E17"/>
    <w:rsid w:val="00B004D8"/>
    <w:rsid w:val="00B0165D"/>
    <w:rsid w:val="00B01B60"/>
    <w:rsid w:val="00B03058"/>
    <w:rsid w:val="00B031F3"/>
    <w:rsid w:val="00B032C7"/>
    <w:rsid w:val="00B04548"/>
    <w:rsid w:val="00B0473C"/>
    <w:rsid w:val="00B04DE1"/>
    <w:rsid w:val="00B052A4"/>
    <w:rsid w:val="00B059CD"/>
    <w:rsid w:val="00B06982"/>
    <w:rsid w:val="00B06A1A"/>
    <w:rsid w:val="00B07609"/>
    <w:rsid w:val="00B1026A"/>
    <w:rsid w:val="00B115E8"/>
    <w:rsid w:val="00B11E1D"/>
    <w:rsid w:val="00B125DE"/>
    <w:rsid w:val="00B1276C"/>
    <w:rsid w:val="00B13E4F"/>
    <w:rsid w:val="00B13FDD"/>
    <w:rsid w:val="00B14416"/>
    <w:rsid w:val="00B1443B"/>
    <w:rsid w:val="00B149DB"/>
    <w:rsid w:val="00B16E7C"/>
    <w:rsid w:val="00B17446"/>
    <w:rsid w:val="00B206B0"/>
    <w:rsid w:val="00B22246"/>
    <w:rsid w:val="00B2254C"/>
    <w:rsid w:val="00B22557"/>
    <w:rsid w:val="00B22EB2"/>
    <w:rsid w:val="00B237BB"/>
    <w:rsid w:val="00B23ECD"/>
    <w:rsid w:val="00B23F9A"/>
    <w:rsid w:val="00B24A6B"/>
    <w:rsid w:val="00B25FE5"/>
    <w:rsid w:val="00B267A4"/>
    <w:rsid w:val="00B27363"/>
    <w:rsid w:val="00B27442"/>
    <w:rsid w:val="00B2764D"/>
    <w:rsid w:val="00B27F10"/>
    <w:rsid w:val="00B31167"/>
    <w:rsid w:val="00B314D8"/>
    <w:rsid w:val="00B31FD2"/>
    <w:rsid w:val="00B32462"/>
    <w:rsid w:val="00B329D8"/>
    <w:rsid w:val="00B32BB9"/>
    <w:rsid w:val="00B3311F"/>
    <w:rsid w:val="00B332C2"/>
    <w:rsid w:val="00B33AE1"/>
    <w:rsid w:val="00B34A1A"/>
    <w:rsid w:val="00B34C7E"/>
    <w:rsid w:val="00B3531B"/>
    <w:rsid w:val="00B35F0E"/>
    <w:rsid w:val="00B362D1"/>
    <w:rsid w:val="00B36AB4"/>
    <w:rsid w:val="00B37C38"/>
    <w:rsid w:val="00B42587"/>
    <w:rsid w:val="00B4288C"/>
    <w:rsid w:val="00B43262"/>
    <w:rsid w:val="00B433F2"/>
    <w:rsid w:val="00B437D3"/>
    <w:rsid w:val="00B43D14"/>
    <w:rsid w:val="00B43EE8"/>
    <w:rsid w:val="00B44100"/>
    <w:rsid w:val="00B459CC"/>
    <w:rsid w:val="00B46252"/>
    <w:rsid w:val="00B46CBA"/>
    <w:rsid w:val="00B46F94"/>
    <w:rsid w:val="00B47D63"/>
    <w:rsid w:val="00B50730"/>
    <w:rsid w:val="00B50A8C"/>
    <w:rsid w:val="00B5264F"/>
    <w:rsid w:val="00B536B5"/>
    <w:rsid w:val="00B53949"/>
    <w:rsid w:val="00B53D60"/>
    <w:rsid w:val="00B54010"/>
    <w:rsid w:val="00B560A9"/>
    <w:rsid w:val="00B6003C"/>
    <w:rsid w:val="00B60369"/>
    <w:rsid w:val="00B608D7"/>
    <w:rsid w:val="00B61F03"/>
    <w:rsid w:val="00B626E4"/>
    <w:rsid w:val="00B634FA"/>
    <w:rsid w:val="00B64349"/>
    <w:rsid w:val="00B6499A"/>
    <w:rsid w:val="00B653A4"/>
    <w:rsid w:val="00B65489"/>
    <w:rsid w:val="00B65C6E"/>
    <w:rsid w:val="00B65F7E"/>
    <w:rsid w:val="00B6693A"/>
    <w:rsid w:val="00B6723A"/>
    <w:rsid w:val="00B676C1"/>
    <w:rsid w:val="00B67850"/>
    <w:rsid w:val="00B67922"/>
    <w:rsid w:val="00B67AEA"/>
    <w:rsid w:val="00B67B95"/>
    <w:rsid w:val="00B72F4A"/>
    <w:rsid w:val="00B76A41"/>
    <w:rsid w:val="00B76DEB"/>
    <w:rsid w:val="00B77A4F"/>
    <w:rsid w:val="00B8123B"/>
    <w:rsid w:val="00B83633"/>
    <w:rsid w:val="00B83AB5"/>
    <w:rsid w:val="00B83B23"/>
    <w:rsid w:val="00B83C27"/>
    <w:rsid w:val="00B84BC3"/>
    <w:rsid w:val="00B84BDD"/>
    <w:rsid w:val="00B87FAC"/>
    <w:rsid w:val="00B90084"/>
    <w:rsid w:val="00B90FED"/>
    <w:rsid w:val="00B912D5"/>
    <w:rsid w:val="00B913C6"/>
    <w:rsid w:val="00B91E78"/>
    <w:rsid w:val="00B92643"/>
    <w:rsid w:val="00B92812"/>
    <w:rsid w:val="00B932E3"/>
    <w:rsid w:val="00B93A1A"/>
    <w:rsid w:val="00B93D5F"/>
    <w:rsid w:val="00B9504E"/>
    <w:rsid w:val="00B95E3A"/>
    <w:rsid w:val="00B97FA6"/>
    <w:rsid w:val="00B97FC8"/>
    <w:rsid w:val="00BA01DD"/>
    <w:rsid w:val="00BA0A44"/>
    <w:rsid w:val="00BA1109"/>
    <w:rsid w:val="00BA26AA"/>
    <w:rsid w:val="00BA2A44"/>
    <w:rsid w:val="00BA36C5"/>
    <w:rsid w:val="00BB2F7C"/>
    <w:rsid w:val="00BB4561"/>
    <w:rsid w:val="00BB45A1"/>
    <w:rsid w:val="00BB4D5D"/>
    <w:rsid w:val="00BB5689"/>
    <w:rsid w:val="00BB7686"/>
    <w:rsid w:val="00BB7C08"/>
    <w:rsid w:val="00BB7D38"/>
    <w:rsid w:val="00BC068C"/>
    <w:rsid w:val="00BC099C"/>
    <w:rsid w:val="00BC23F9"/>
    <w:rsid w:val="00BC2402"/>
    <w:rsid w:val="00BC3421"/>
    <w:rsid w:val="00BC41EF"/>
    <w:rsid w:val="00BC4E77"/>
    <w:rsid w:val="00BC5A7B"/>
    <w:rsid w:val="00BC5EBD"/>
    <w:rsid w:val="00BC5FE1"/>
    <w:rsid w:val="00BC60D9"/>
    <w:rsid w:val="00BC715D"/>
    <w:rsid w:val="00BC732C"/>
    <w:rsid w:val="00BD01FB"/>
    <w:rsid w:val="00BD1D3F"/>
    <w:rsid w:val="00BD3A62"/>
    <w:rsid w:val="00BD3B30"/>
    <w:rsid w:val="00BD4142"/>
    <w:rsid w:val="00BD45E6"/>
    <w:rsid w:val="00BD6098"/>
    <w:rsid w:val="00BE2386"/>
    <w:rsid w:val="00BE2580"/>
    <w:rsid w:val="00BE266D"/>
    <w:rsid w:val="00BE278B"/>
    <w:rsid w:val="00BE280B"/>
    <w:rsid w:val="00BE3463"/>
    <w:rsid w:val="00BE358F"/>
    <w:rsid w:val="00BE3938"/>
    <w:rsid w:val="00BE39FB"/>
    <w:rsid w:val="00BE3ACB"/>
    <w:rsid w:val="00BE4181"/>
    <w:rsid w:val="00BE4C11"/>
    <w:rsid w:val="00BE5D47"/>
    <w:rsid w:val="00BE5DA0"/>
    <w:rsid w:val="00BE6999"/>
    <w:rsid w:val="00BE6DD9"/>
    <w:rsid w:val="00BE71C0"/>
    <w:rsid w:val="00BE763D"/>
    <w:rsid w:val="00BE76B5"/>
    <w:rsid w:val="00BF47B5"/>
    <w:rsid w:val="00BF610C"/>
    <w:rsid w:val="00BF708D"/>
    <w:rsid w:val="00C0060B"/>
    <w:rsid w:val="00C00D0E"/>
    <w:rsid w:val="00C01041"/>
    <w:rsid w:val="00C01677"/>
    <w:rsid w:val="00C0244E"/>
    <w:rsid w:val="00C025B6"/>
    <w:rsid w:val="00C0277D"/>
    <w:rsid w:val="00C03482"/>
    <w:rsid w:val="00C03AEF"/>
    <w:rsid w:val="00C053A1"/>
    <w:rsid w:val="00C057A8"/>
    <w:rsid w:val="00C06D8C"/>
    <w:rsid w:val="00C07608"/>
    <w:rsid w:val="00C1057B"/>
    <w:rsid w:val="00C12075"/>
    <w:rsid w:val="00C12149"/>
    <w:rsid w:val="00C14E3E"/>
    <w:rsid w:val="00C15F36"/>
    <w:rsid w:val="00C16198"/>
    <w:rsid w:val="00C16403"/>
    <w:rsid w:val="00C16BC3"/>
    <w:rsid w:val="00C172D2"/>
    <w:rsid w:val="00C172D5"/>
    <w:rsid w:val="00C206D9"/>
    <w:rsid w:val="00C2083D"/>
    <w:rsid w:val="00C21344"/>
    <w:rsid w:val="00C22E91"/>
    <w:rsid w:val="00C236FB"/>
    <w:rsid w:val="00C24A53"/>
    <w:rsid w:val="00C24F0A"/>
    <w:rsid w:val="00C25C79"/>
    <w:rsid w:val="00C27A7E"/>
    <w:rsid w:val="00C30327"/>
    <w:rsid w:val="00C305F9"/>
    <w:rsid w:val="00C30C61"/>
    <w:rsid w:val="00C3266D"/>
    <w:rsid w:val="00C3279A"/>
    <w:rsid w:val="00C34A05"/>
    <w:rsid w:val="00C34F12"/>
    <w:rsid w:val="00C35188"/>
    <w:rsid w:val="00C35A70"/>
    <w:rsid w:val="00C35F3C"/>
    <w:rsid w:val="00C3666A"/>
    <w:rsid w:val="00C36E48"/>
    <w:rsid w:val="00C40188"/>
    <w:rsid w:val="00C4032F"/>
    <w:rsid w:val="00C42744"/>
    <w:rsid w:val="00C42B36"/>
    <w:rsid w:val="00C43B23"/>
    <w:rsid w:val="00C44047"/>
    <w:rsid w:val="00C45155"/>
    <w:rsid w:val="00C4589B"/>
    <w:rsid w:val="00C50790"/>
    <w:rsid w:val="00C514FC"/>
    <w:rsid w:val="00C530F8"/>
    <w:rsid w:val="00C538B4"/>
    <w:rsid w:val="00C54838"/>
    <w:rsid w:val="00C5498F"/>
    <w:rsid w:val="00C55235"/>
    <w:rsid w:val="00C56CD1"/>
    <w:rsid w:val="00C570C6"/>
    <w:rsid w:val="00C57F47"/>
    <w:rsid w:val="00C60120"/>
    <w:rsid w:val="00C60394"/>
    <w:rsid w:val="00C60C31"/>
    <w:rsid w:val="00C610BD"/>
    <w:rsid w:val="00C61796"/>
    <w:rsid w:val="00C61F54"/>
    <w:rsid w:val="00C623CE"/>
    <w:rsid w:val="00C63190"/>
    <w:rsid w:val="00C63296"/>
    <w:rsid w:val="00C64673"/>
    <w:rsid w:val="00C64CD0"/>
    <w:rsid w:val="00C651CA"/>
    <w:rsid w:val="00C65522"/>
    <w:rsid w:val="00C66050"/>
    <w:rsid w:val="00C6684F"/>
    <w:rsid w:val="00C67BDD"/>
    <w:rsid w:val="00C705AA"/>
    <w:rsid w:val="00C707EC"/>
    <w:rsid w:val="00C70E70"/>
    <w:rsid w:val="00C71536"/>
    <w:rsid w:val="00C71D3A"/>
    <w:rsid w:val="00C75F8D"/>
    <w:rsid w:val="00C77380"/>
    <w:rsid w:val="00C80071"/>
    <w:rsid w:val="00C81361"/>
    <w:rsid w:val="00C84934"/>
    <w:rsid w:val="00C87234"/>
    <w:rsid w:val="00C8762A"/>
    <w:rsid w:val="00C87709"/>
    <w:rsid w:val="00C87BD3"/>
    <w:rsid w:val="00C9097B"/>
    <w:rsid w:val="00C928E6"/>
    <w:rsid w:val="00C93188"/>
    <w:rsid w:val="00C93FFD"/>
    <w:rsid w:val="00C94409"/>
    <w:rsid w:val="00C97736"/>
    <w:rsid w:val="00CA09C9"/>
    <w:rsid w:val="00CA345A"/>
    <w:rsid w:val="00CA4159"/>
    <w:rsid w:val="00CA4A12"/>
    <w:rsid w:val="00CA4FCD"/>
    <w:rsid w:val="00CA742A"/>
    <w:rsid w:val="00CA7C84"/>
    <w:rsid w:val="00CA7F1D"/>
    <w:rsid w:val="00CB0BDC"/>
    <w:rsid w:val="00CB1405"/>
    <w:rsid w:val="00CB1E82"/>
    <w:rsid w:val="00CB3484"/>
    <w:rsid w:val="00CB4020"/>
    <w:rsid w:val="00CB4253"/>
    <w:rsid w:val="00CB4BA8"/>
    <w:rsid w:val="00CB52D7"/>
    <w:rsid w:val="00CB5EAD"/>
    <w:rsid w:val="00CB5F1F"/>
    <w:rsid w:val="00CB7F7C"/>
    <w:rsid w:val="00CC0297"/>
    <w:rsid w:val="00CC0F5E"/>
    <w:rsid w:val="00CC1D60"/>
    <w:rsid w:val="00CC25DE"/>
    <w:rsid w:val="00CC28D7"/>
    <w:rsid w:val="00CC3F25"/>
    <w:rsid w:val="00CC52B3"/>
    <w:rsid w:val="00CC58D3"/>
    <w:rsid w:val="00CC64C8"/>
    <w:rsid w:val="00CC6732"/>
    <w:rsid w:val="00CD124D"/>
    <w:rsid w:val="00CD20B5"/>
    <w:rsid w:val="00CD262A"/>
    <w:rsid w:val="00CD3C35"/>
    <w:rsid w:val="00CD47AA"/>
    <w:rsid w:val="00CD583A"/>
    <w:rsid w:val="00CD64EC"/>
    <w:rsid w:val="00CD7B09"/>
    <w:rsid w:val="00CE07DC"/>
    <w:rsid w:val="00CE25EB"/>
    <w:rsid w:val="00CE3C96"/>
    <w:rsid w:val="00CE40F9"/>
    <w:rsid w:val="00CE480F"/>
    <w:rsid w:val="00CE4E49"/>
    <w:rsid w:val="00CE51A8"/>
    <w:rsid w:val="00CE51B9"/>
    <w:rsid w:val="00CE740B"/>
    <w:rsid w:val="00CE7AFC"/>
    <w:rsid w:val="00CF0645"/>
    <w:rsid w:val="00CF13EB"/>
    <w:rsid w:val="00CF15F6"/>
    <w:rsid w:val="00CF2C17"/>
    <w:rsid w:val="00CF3390"/>
    <w:rsid w:val="00CF369B"/>
    <w:rsid w:val="00CF38E5"/>
    <w:rsid w:val="00CF622F"/>
    <w:rsid w:val="00CF6F34"/>
    <w:rsid w:val="00CF78F6"/>
    <w:rsid w:val="00D00C5B"/>
    <w:rsid w:val="00D00E28"/>
    <w:rsid w:val="00D0269E"/>
    <w:rsid w:val="00D03717"/>
    <w:rsid w:val="00D05D6C"/>
    <w:rsid w:val="00D074FE"/>
    <w:rsid w:val="00D10458"/>
    <w:rsid w:val="00D10598"/>
    <w:rsid w:val="00D106BB"/>
    <w:rsid w:val="00D11549"/>
    <w:rsid w:val="00D11FD1"/>
    <w:rsid w:val="00D1432F"/>
    <w:rsid w:val="00D1490B"/>
    <w:rsid w:val="00D14F57"/>
    <w:rsid w:val="00D152A5"/>
    <w:rsid w:val="00D15810"/>
    <w:rsid w:val="00D164A7"/>
    <w:rsid w:val="00D164C5"/>
    <w:rsid w:val="00D1679B"/>
    <w:rsid w:val="00D16D4E"/>
    <w:rsid w:val="00D16FE3"/>
    <w:rsid w:val="00D2010F"/>
    <w:rsid w:val="00D212BB"/>
    <w:rsid w:val="00D214D1"/>
    <w:rsid w:val="00D2322C"/>
    <w:rsid w:val="00D23E55"/>
    <w:rsid w:val="00D24257"/>
    <w:rsid w:val="00D24345"/>
    <w:rsid w:val="00D249A7"/>
    <w:rsid w:val="00D24A4C"/>
    <w:rsid w:val="00D25446"/>
    <w:rsid w:val="00D25917"/>
    <w:rsid w:val="00D26645"/>
    <w:rsid w:val="00D27584"/>
    <w:rsid w:val="00D27F41"/>
    <w:rsid w:val="00D31A06"/>
    <w:rsid w:val="00D3272B"/>
    <w:rsid w:val="00D3318D"/>
    <w:rsid w:val="00D331DA"/>
    <w:rsid w:val="00D33E55"/>
    <w:rsid w:val="00D3488F"/>
    <w:rsid w:val="00D35501"/>
    <w:rsid w:val="00D35BED"/>
    <w:rsid w:val="00D35DF5"/>
    <w:rsid w:val="00D36317"/>
    <w:rsid w:val="00D36441"/>
    <w:rsid w:val="00D364EC"/>
    <w:rsid w:val="00D3680D"/>
    <w:rsid w:val="00D4064E"/>
    <w:rsid w:val="00D40929"/>
    <w:rsid w:val="00D419F0"/>
    <w:rsid w:val="00D42CFF"/>
    <w:rsid w:val="00D446CE"/>
    <w:rsid w:val="00D44E9B"/>
    <w:rsid w:val="00D4793A"/>
    <w:rsid w:val="00D47AEB"/>
    <w:rsid w:val="00D50B11"/>
    <w:rsid w:val="00D50DB9"/>
    <w:rsid w:val="00D51302"/>
    <w:rsid w:val="00D52122"/>
    <w:rsid w:val="00D5231D"/>
    <w:rsid w:val="00D52493"/>
    <w:rsid w:val="00D52713"/>
    <w:rsid w:val="00D52C43"/>
    <w:rsid w:val="00D54496"/>
    <w:rsid w:val="00D54B5A"/>
    <w:rsid w:val="00D55EE0"/>
    <w:rsid w:val="00D56414"/>
    <w:rsid w:val="00D56540"/>
    <w:rsid w:val="00D5701E"/>
    <w:rsid w:val="00D60D6C"/>
    <w:rsid w:val="00D61023"/>
    <w:rsid w:val="00D610EF"/>
    <w:rsid w:val="00D61739"/>
    <w:rsid w:val="00D63B23"/>
    <w:rsid w:val="00D643BF"/>
    <w:rsid w:val="00D6507F"/>
    <w:rsid w:val="00D670F6"/>
    <w:rsid w:val="00D72869"/>
    <w:rsid w:val="00D72FEF"/>
    <w:rsid w:val="00D730BC"/>
    <w:rsid w:val="00D734B2"/>
    <w:rsid w:val="00D73912"/>
    <w:rsid w:val="00D743A9"/>
    <w:rsid w:val="00D75BEB"/>
    <w:rsid w:val="00D80177"/>
    <w:rsid w:val="00D8111B"/>
    <w:rsid w:val="00D8416B"/>
    <w:rsid w:val="00D84B30"/>
    <w:rsid w:val="00D84C1A"/>
    <w:rsid w:val="00D85226"/>
    <w:rsid w:val="00D85EAC"/>
    <w:rsid w:val="00D86128"/>
    <w:rsid w:val="00D86240"/>
    <w:rsid w:val="00D872A0"/>
    <w:rsid w:val="00D87B94"/>
    <w:rsid w:val="00D90B10"/>
    <w:rsid w:val="00D9100B"/>
    <w:rsid w:val="00D918B0"/>
    <w:rsid w:val="00D91F96"/>
    <w:rsid w:val="00D9205A"/>
    <w:rsid w:val="00D9207A"/>
    <w:rsid w:val="00D927A5"/>
    <w:rsid w:val="00D92B08"/>
    <w:rsid w:val="00D92D49"/>
    <w:rsid w:val="00D92EC1"/>
    <w:rsid w:val="00D9432C"/>
    <w:rsid w:val="00D96DEA"/>
    <w:rsid w:val="00DA0B0D"/>
    <w:rsid w:val="00DA1581"/>
    <w:rsid w:val="00DA23F3"/>
    <w:rsid w:val="00DA2CF6"/>
    <w:rsid w:val="00DA2DC8"/>
    <w:rsid w:val="00DA32B3"/>
    <w:rsid w:val="00DA363C"/>
    <w:rsid w:val="00DA4BD2"/>
    <w:rsid w:val="00DA4E0E"/>
    <w:rsid w:val="00DA4E41"/>
    <w:rsid w:val="00DA6B73"/>
    <w:rsid w:val="00DB117A"/>
    <w:rsid w:val="00DB20D4"/>
    <w:rsid w:val="00DB2866"/>
    <w:rsid w:val="00DB2984"/>
    <w:rsid w:val="00DB2D6A"/>
    <w:rsid w:val="00DB4ABF"/>
    <w:rsid w:val="00DB4DB7"/>
    <w:rsid w:val="00DB4E22"/>
    <w:rsid w:val="00DB4ECA"/>
    <w:rsid w:val="00DB5173"/>
    <w:rsid w:val="00DB6FA8"/>
    <w:rsid w:val="00DB7717"/>
    <w:rsid w:val="00DB7873"/>
    <w:rsid w:val="00DC0FC6"/>
    <w:rsid w:val="00DC187B"/>
    <w:rsid w:val="00DC220F"/>
    <w:rsid w:val="00DC23D5"/>
    <w:rsid w:val="00DC2AD8"/>
    <w:rsid w:val="00DC37DB"/>
    <w:rsid w:val="00DC3994"/>
    <w:rsid w:val="00DC3AE5"/>
    <w:rsid w:val="00DC4624"/>
    <w:rsid w:val="00DC4D2D"/>
    <w:rsid w:val="00DC7F18"/>
    <w:rsid w:val="00DD061B"/>
    <w:rsid w:val="00DD2C22"/>
    <w:rsid w:val="00DD2ED8"/>
    <w:rsid w:val="00DD2EF0"/>
    <w:rsid w:val="00DD314C"/>
    <w:rsid w:val="00DD4532"/>
    <w:rsid w:val="00DD5262"/>
    <w:rsid w:val="00DD53CB"/>
    <w:rsid w:val="00DD5D79"/>
    <w:rsid w:val="00DD660A"/>
    <w:rsid w:val="00DD6906"/>
    <w:rsid w:val="00DD6EB3"/>
    <w:rsid w:val="00DD73C2"/>
    <w:rsid w:val="00DD7EC0"/>
    <w:rsid w:val="00DE04AE"/>
    <w:rsid w:val="00DE2016"/>
    <w:rsid w:val="00DE28F3"/>
    <w:rsid w:val="00DE2E3A"/>
    <w:rsid w:val="00DE319B"/>
    <w:rsid w:val="00DE4998"/>
    <w:rsid w:val="00DE5EFD"/>
    <w:rsid w:val="00DE73AD"/>
    <w:rsid w:val="00DE7431"/>
    <w:rsid w:val="00DF05D8"/>
    <w:rsid w:val="00DF3275"/>
    <w:rsid w:val="00DF34FE"/>
    <w:rsid w:val="00DF379D"/>
    <w:rsid w:val="00DF4591"/>
    <w:rsid w:val="00DF45B6"/>
    <w:rsid w:val="00DF4E5A"/>
    <w:rsid w:val="00DF53BE"/>
    <w:rsid w:val="00DF56AA"/>
    <w:rsid w:val="00DF56AF"/>
    <w:rsid w:val="00DF5844"/>
    <w:rsid w:val="00DF5D51"/>
    <w:rsid w:val="00DF622F"/>
    <w:rsid w:val="00DF6972"/>
    <w:rsid w:val="00DF78E7"/>
    <w:rsid w:val="00E02D77"/>
    <w:rsid w:val="00E02FB1"/>
    <w:rsid w:val="00E05708"/>
    <w:rsid w:val="00E06606"/>
    <w:rsid w:val="00E06BF7"/>
    <w:rsid w:val="00E079F1"/>
    <w:rsid w:val="00E1056F"/>
    <w:rsid w:val="00E110E0"/>
    <w:rsid w:val="00E12507"/>
    <w:rsid w:val="00E14C38"/>
    <w:rsid w:val="00E15371"/>
    <w:rsid w:val="00E16099"/>
    <w:rsid w:val="00E17CA9"/>
    <w:rsid w:val="00E20039"/>
    <w:rsid w:val="00E23E26"/>
    <w:rsid w:val="00E24104"/>
    <w:rsid w:val="00E24B3B"/>
    <w:rsid w:val="00E27996"/>
    <w:rsid w:val="00E27E29"/>
    <w:rsid w:val="00E302D0"/>
    <w:rsid w:val="00E314C2"/>
    <w:rsid w:val="00E3172E"/>
    <w:rsid w:val="00E32DCC"/>
    <w:rsid w:val="00E33CAE"/>
    <w:rsid w:val="00E35707"/>
    <w:rsid w:val="00E35994"/>
    <w:rsid w:val="00E35BFD"/>
    <w:rsid w:val="00E35CBD"/>
    <w:rsid w:val="00E36AA1"/>
    <w:rsid w:val="00E371BA"/>
    <w:rsid w:val="00E37255"/>
    <w:rsid w:val="00E37627"/>
    <w:rsid w:val="00E40272"/>
    <w:rsid w:val="00E40333"/>
    <w:rsid w:val="00E41536"/>
    <w:rsid w:val="00E41ECB"/>
    <w:rsid w:val="00E4326F"/>
    <w:rsid w:val="00E448C4"/>
    <w:rsid w:val="00E46699"/>
    <w:rsid w:val="00E46F3B"/>
    <w:rsid w:val="00E47935"/>
    <w:rsid w:val="00E5085E"/>
    <w:rsid w:val="00E52C01"/>
    <w:rsid w:val="00E52D2F"/>
    <w:rsid w:val="00E535A0"/>
    <w:rsid w:val="00E54453"/>
    <w:rsid w:val="00E54538"/>
    <w:rsid w:val="00E546BA"/>
    <w:rsid w:val="00E54FDB"/>
    <w:rsid w:val="00E55312"/>
    <w:rsid w:val="00E5617D"/>
    <w:rsid w:val="00E563D7"/>
    <w:rsid w:val="00E564A3"/>
    <w:rsid w:val="00E60C56"/>
    <w:rsid w:val="00E621BF"/>
    <w:rsid w:val="00E63B2F"/>
    <w:rsid w:val="00E641FD"/>
    <w:rsid w:val="00E6423E"/>
    <w:rsid w:val="00E657BD"/>
    <w:rsid w:val="00E65BE8"/>
    <w:rsid w:val="00E663F4"/>
    <w:rsid w:val="00E666F2"/>
    <w:rsid w:val="00E66DD4"/>
    <w:rsid w:val="00E66E16"/>
    <w:rsid w:val="00E67ADF"/>
    <w:rsid w:val="00E67B8D"/>
    <w:rsid w:val="00E748CC"/>
    <w:rsid w:val="00E75415"/>
    <w:rsid w:val="00E76DC0"/>
    <w:rsid w:val="00E775B1"/>
    <w:rsid w:val="00E81224"/>
    <w:rsid w:val="00E8152A"/>
    <w:rsid w:val="00E826E3"/>
    <w:rsid w:val="00E82AA2"/>
    <w:rsid w:val="00E8377A"/>
    <w:rsid w:val="00E838AB"/>
    <w:rsid w:val="00E86BD9"/>
    <w:rsid w:val="00E86FE0"/>
    <w:rsid w:val="00E87257"/>
    <w:rsid w:val="00E87650"/>
    <w:rsid w:val="00E87AE9"/>
    <w:rsid w:val="00E92CB4"/>
    <w:rsid w:val="00E93629"/>
    <w:rsid w:val="00E936F8"/>
    <w:rsid w:val="00E93B5C"/>
    <w:rsid w:val="00E94017"/>
    <w:rsid w:val="00E9411C"/>
    <w:rsid w:val="00E94B1B"/>
    <w:rsid w:val="00E94CEC"/>
    <w:rsid w:val="00E953D1"/>
    <w:rsid w:val="00E9683D"/>
    <w:rsid w:val="00E96DA8"/>
    <w:rsid w:val="00E97B08"/>
    <w:rsid w:val="00EA04EF"/>
    <w:rsid w:val="00EA17B7"/>
    <w:rsid w:val="00EA2C1D"/>
    <w:rsid w:val="00EA3921"/>
    <w:rsid w:val="00EA3BE9"/>
    <w:rsid w:val="00EA47EE"/>
    <w:rsid w:val="00EA5595"/>
    <w:rsid w:val="00EA5B13"/>
    <w:rsid w:val="00EA6B63"/>
    <w:rsid w:val="00EA6F19"/>
    <w:rsid w:val="00EA7769"/>
    <w:rsid w:val="00EB01B0"/>
    <w:rsid w:val="00EB05E9"/>
    <w:rsid w:val="00EB1045"/>
    <w:rsid w:val="00EB29AA"/>
    <w:rsid w:val="00EB30D7"/>
    <w:rsid w:val="00EB33FF"/>
    <w:rsid w:val="00EB3853"/>
    <w:rsid w:val="00EB4224"/>
    <w:rsid w:val="00EB5435"/>
    <w:rsid w:val="00EB5AFE"/>
    <w:rsid w:val="00EB64AF"/>
    <w:rsid w:val="00EB7090"/>
    <w:rsid w:val="00EC028F"/>
    <w:rsid w:val="00EC1BBE"/>
    <w:rsid w:val="00EC1C7F"/>
    <w:rsid w:val="00EC1ECF"/>
    <w:rsid w:val="00EC286D"/>
    <w:rsid w:val="00EC30F0"/>
    <w:rsid w:val="00EC3254"/>
    <w:rsid w:val="00EC45DB"/>
    <w:rsid w:val="00EC4C37"/>
    <w:rsid w:val="00EC562D"/>
    <w:rsid w:val="00EC5CD7"/>
    <w:rsid w:val="00EC677B"/>
    <w:rsid w:val="00EC74E0"/>
    <w:rsid w:val="00ED13CB"/>
    <w:rsid w:val="00ED2408"/>
    <w:rsid w:val="00ED2F73"/>
    <w:rsid w:val="00ED3C28"/>
    <w:rsid w:val="00ED4EF4"/>
    <w:rsid w:val="00ED576A"/>
    <w:rsid w:val="00ED5855"/>
    <w:rsid w:val="00ED61B3"/>
    <w:rsid w:val="00ED7911"/>
    <w:rsid w:val="00ED7D83"/>
    <w:rsid w:val="00ED7E7F"/>
    <w:rsid w:val="00EE02F7"/>
    <w:rsid w:val="00EE0512"/>
    <w:rsid w:val="00EE14BD"/>
    <w:rsid w:val="00EE2C32"/>
    <w:rsid w:val="00EE32FB"/>
    <w:rsid w:val="00EE38CD"/>
    <w:rsid w:val="00EE5FB3"/>
    <w:rsid w:val="00EE7EB9"/>
    <w:rsid w:val="00EE7F79"/>
    <w:rsid w:val="00EF09C8"/>
    <w:rsid w:val="00EF332C"/>
    <w:rsid w:val="00EF4346"/>
    <w:rsid w:val="00EF59D1"/>
    <w:rsid w:val="00EF634B"/>
    <w:rsid w:val="00EF6E18"/>
    <w:rsid w:val="00EF715A"/>
    <w:rsid w:val="00EF7AA2"/>
    <w:rsid w:val="00F003B4"/>
    <w:rsid w:val="00F00E7B"/>
    <w:rsid w:val="00F0134C"/>
    <w:rsid w:val="00F037C3"/>
    <w:rsid w:val="00F04262"/>
    <w:rsid w:val="00F05455"/>
    <w:rsid w:val="00F055BF"/>
    <w:rsid w:val="00F057AD"/>
    <w:rsid w:val="00F05E8B"/>
    <w:rsid w:val="00F05F6C"/>
    <w:rsid w:val="00F0681E"/>
    <w:rsid w:val="00F06E14"/>
    <w:rsid w:val="00F11697"/>
    <w:rsid w:val="00F11EC6"/>
    <w:rsid w:val="00F1266C"/>
    <w:rsid w:val="00F1277E"/>
    <w:rsid w:val="00F136C2"/>
    <w:rsid w:val="00F13BC6"/>
    <w:rsid w:val="00F14BC3"/>
    <w:rsid w:val="00F1748B"/>
    <w:rsid w:val="00F17575"/>
    <w:rsid w:val="00F179D4"/>
    <w:rsid w:val="00F20F7F"/>
    <w:rsid w:val="00F25F08"/>
    <w:rsid w:val="00F26ACE"/>
    <w:rsid w:val="00F2703A"/>
    <w:rsid w:val="00F27DF6"/>
    <w:rsid w:val="00F30740"/>
    <w:rsid w:val="00F3102C"/>
    <w:rsid w:val="00F323E8"/>
    <w:rsid w:val="00F3384A"/>
    <w:rsid w:val="00F33A30"/>
    <w:rsid w:val="00F33C56"/>
    <w:rsid w:val="00F347C7"/>
    <w:rsid w:val="00F34826"/>
    <w:rsid w:val="00F34848"/>
    <w:rsid w:val="00F359BF"/>
    <w:rsid w:val="00F36E8D"/>
    <w:rsid w:val="00F40614"/>
    <w:rsid w:val="00F42681"/>
    <w:rsid w:val="00F42961"/>
    <w:rsid w:val="00F42A89"/>
    <w:rsid w:val="00F42D46"/>
    <w:rsid w:val="00F4496C"/>
    <w:rsid w:val="00F44F3A"/>
    <w:rsid w:val="00F45117"/>
    <w:rsid w:val="00F46574"/>
    <w:rsid w:val="00F47FC5"/>
    <w:rsid w:val="00F51F10"/>
    <w:rsid w:val="00F521F2"/>
    <w:rsid w:val="00F529A5"/>
    <w:rsid w:val="00F53027"/>
    <w:rsid w:val="00F550A2"/>
    <w:rsid w:val="00F572E9"/>
    <w:rsid w:val="00F60F00"/>
    <w:rsid w:val="00F614C0"/>
    <w:rsid w:val="00F62C12"/>
    <w:rsid w:val="00F63EFF"/>
    <w:rsid w:val="00F64318"/>
    <w:rsid w:val="00F6476E"/>
    <w:rsid w:val="00F64A78"/>
    <w:rsid w:val="00F654FB"/>
    <w:rsid w:val="00F65E7C"/>
    <w:rsid w:val="00F664EE"/>
    <w:rsid w:val="00F67A24"/>
    <w:rsid w:val="00F67CC6"/>
    <w:rsid w:val="00F709FF"/>
    <w:rsid w:val="00F7235D"/>
    <w:rsid w:val="00F74263"/>
    <w:rsid w:val="00F76FD7"/>
    <w:rsid w:val="00F772C4"/>
    <w:rsid w:val="00F81445"/>
    <w:rsid w:val="00F815F9"/>
    <w:rsid w:val="00F8298D"/>
    <w:rsid w:val="00F83848"/>
    <w:rsid w:val="00F861C4"/>
    <w:rsid w:val="00F87853"/>
    <w:rsid w:val="00F91002"/>
    <w:rsid w:val="00F92842"/>
    <w:rsid w:val="00F92BF5"/>
    <w:rsid w:val="00F92EDE"/>
    <w:rsid w:val="00F935FB"/>
    <w:rsid w:val="00F93953"/>
    <w:rsid w:val="00F93C51"/>
    <w:rsid w:val="00F9532E"/>
    <w:rsid w:val="00F95657"/>
    <w:rsid w:val="00F96009"/>
    <w:rsid w:val="00F9618B"/>
    <w:rsid w:val="00F96589"/>
    <w:rsid w:val="00F975E9"/>
    <w:rsid w:val="00F979B3"/>
    <w:rsid w:val="00FA11C2"/>
    <w:rsid w:val="00FA1B7D"/>
    <w:rsid w:val="00FA38F8"/>
    <w:rsid w:val="00FA4B0C"/>
    <w:rsid w:val="00FA60C9"/>
    <w:rsid w:val="00FA785B"/>
    <w:rsid w:val="00FA7DDC"/>
    <w:rsid w:val="00FB192E"/>
    <w:rsid w:val="00FB24DB"/>
    <w:rsid w:val="00FB34DE"/>
    <w:rsid w:val="00FB6C54"/>
    <w:rsid w:val="00FC05CF"/>
    <w:rsid w:val="00FC07B9"/>
    <w:rsid w:val="00FC07DB"/>
    <w:rsid w:val="00FC4E21"/>
    <w:rsid w:val="00FC5F6D"/>
    <w:rsid w:val="00FD0107"/>
    <w:rsid w:val="00FD023A"/>
    <w:rsid w:val="00FD027D"/>
    <w:rsid w:val="00FD0A71"/>
    <w:rsid w:val="00FD262A"/>
    <w:rsid w:val="00FD2C2F"/>
    <w:rsid w:val="00FD3B31"/>
    <w:rsid w:val="00FD4C05"/>
    <w:rsid w:val="00FD5489"/>
    <w:rsid w:val="00FD6A0C"/>
    <w:rsid w:val="00FD6A42"/>
    <w:rsid w:val="00FD7B45"/>
    <w:rsid w:val="00FE12F6"/>
    <w:rsid w:val="00FE1823"/>
    <w:rsid w:val="00FE1D1E"/>
    <w:rsid w:val="00FE378C"/>
    <w:rsid w:val="00FE388F"/>
    <w:rsid w:val="00FE487A"/>
    <w:rsid w:val="00FE5E44"/>
    <w:rsid w:val="00FE6016"/>
    <w:rsid w:val="00FE6040"/>
    <w:rsid w:val="00FE6557"/>
    <w:rsid w:val="00FE6CA3"/>
    <w:rsid w:val="00FE7FB9"/>
    <w:rsid w:val="00FF0569"/>
    <w:rsid w:val="00FF0811"/>
    <w:rsid w:val="00FF132F"/>
    <w:rsid w:val="00FF1930"/>
    <w:rsid w:val="00FF1CC2"/>
    <w:rsid w:val="00FF1EBE"/>
    <w:rsid w:val="00FF206E"/>
    <w:rsid w:val="00FF3135"/>
    <w:rsid w:val="00FF3495"/>
    <w:rsid w:val="00FF3873"/>
    <w:rsid w:val="00FF3C69"/>
    <w:rsid w:val="00FF4560"/>
    <w:rsid w:val="00FF5ABF"/>
    <w:rsid w:val="00FF62B2"/>
    <w:rsid w:val="00FF6DB4"/>
    <w:rsid w:val="00FF6E0A"/>
    <w:rsid w:val="00FF72E8"/>
    <w:rsid w:val="00FF7852"/>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6AFA9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4B1836"/>
    <w:pPr>
      <w:spacing w:before="240" w:after="60"/>
    </w:pPr>
    <w:rPr>
      <w:b/>
      <w:i/>
    </w:rPr>
  </w:style>
  <w:style w:type="paragraph" w:styleId="ListBullet">
    <w:name w:val="List Bullet"/>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Style 13,FR"/>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tabs>
        <w:tab w:val="clear" w:pos="7627"/>
        <w:tab w:val="num" w:pos="964"/>
      </w:tabs>
      <w:spacing w:after="160"/>
      <w:ind w:left="964"/>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E05708"/>
    <w:pPr>
      <w:spacing w:after="0"/>
      <w:ind w:left="720"/>
      <w:contextualSpacing/>
    </w:pPr>
    <w:rPr>
      <w:rFonts w:ascii="Calibri" w:hAnsi="Calibri"/>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rsid w:val="00E05708"/>
    <w:rPr>
      <w:rFonts w:ascii="Arial" w:hAnsi="Arial"/>
      <w:sz w:val="16"/>
      <w:szCs w:val="16"/>
    </w:rPr>
  </w:style>
  <w:style w:type="character" w:customStyle="1" w:styleId="Heading2Char">
    <w:name w:val="Heading 2 Char"/>
    <w:aliases w:val="RIS Heading 2 Char"/>
    <w:basedOn w:val="DefaultParagraphFont"/>
    <w:link w:val="Heading2"/>
    <w:rsid w:val="0029295B"/>
    <w:rPr>
      <w:rFonts w:ascii="Arial" w:hAnsi="Arial" w:cs="Arial"/>
      <w:b/>
      <w:bCs/>
      <w:iCs/>
      <w:sz w:val="28"/>
      <w:szCs w:val="28"/>
    </w:rPr>
  </w:style>
  <w:style w:type="character" w:customStyle="1" w:styleId="Heading3Char">
    <w:name w:val="Heading 3 Char"/>
    <w:basedOn w:val="DefaultParagraphFont"/>
    <w:link w:val="Heading3"/>
    <w:rsid w:val="0029295B"/>
    <w:rPr>
      <w:rFonts w:ascii="Arial" w:hAnsi="Arial" w:cs="Arial"/>
      <w:b/>
      <w:bCs/>
      <w:sz w:val="20"/>
      <w:szCs w:val="26"/>
    </w:rPr>
  </w:style>
  <w:style w:type="character" w:customStyle="1" w:styleId="ACMAFootnoteTextCharChar">
    <w:name w:val="ACMA Footnote Text Char Char"/>
    <w:basedOn w:val="DefaultParagraphFont"/>
    <w:rsid w:val="0029295B"/>
    <w:rPr>
      <w:lang w:val="en-AU" w:eastAsia="en-US" w:bidi="ar-SA"/>
    </w:rPr>
  </w:style>
  <w:style w:type="character" w:customStyle="1" w:styleId="ECCParagraph">
    <w:name w:val="ECC Paragraph"/>
    <w:basedOn w:val="DefaultParagraphFont"/>
    <w:uiPriority w:val="1"/>
    <w:qFormat/>
    <w:rsid w:val="00FF62B2"/>
    <w:rPr>
      <w:rFonts w:ascii="Arial" w:hAnsi="Arial"/>
      <w:noProof w:val="0"/>
      <w:sz w:val="20"/>
      <w:bdr w:val="none" w:sz="0" w:space="0" w:color="auto"/>
      <w:lang w:val="en-GB"/>
    </w:rPr>
  </w:style>
  <w:style w:type="paragraph" w:customStyle="1" w:styleId="Jeanpara">
    <w:name w:val="Jean para"/>
    <w:basedOn w:val="Normal"/>
    <w:uiPriority w:val="99"/>
    <w:rsid w:val="00072106"/>
    <w:pPr>
      <w:spacing w:after="0" w:line="240" w:lineRule="auto"/>
      <w:ind w:left="1020" w:hanging="340"/>
    </w:pPr>
    <w:rPr>
      <w:rFonts w:ascii="Times New Roman" w:hAnsi="Times New Roman"/>
      <w:sz w:val="24"/>
      <w:szCs w:val="20"/>
    </w:rPr>
  </w:style>
  <w:style w:type="paragraph" w:styleId="BodyText">
    <w:name w:val="Body Text"/>
    <w:basedOn w:val="Normal"/>
    <w:link w:val="BodyTextChar"/>
    <w:uiPriority w:val="1"/>
    <w:qFormat/>
    <w:rsid w:val="006E78A6"/>
    <w:pPr>
      <w:widowControl w:val="0"/>
      <w:spacing w:after="0" w:line="240" w:lineRule="auto"/>
      <w:ind w:left="891" w:hanging="360"/>
    </w:pPr>
    <w:rPr>
      <w:rFonts w:ascii="Times New Roman" w:hAnsi="Times New Roman" w:cstheme="minorBidi"/>
      <w:sz w:val="21"/>
      <w:szCs w:val="21"/>
      <w:lang w:val="en-US" w:eastAsia="en-US"/>
    </w:rPr>
  </w:style>
  <w:style w:type="character" w:customStyle="1" w:styleId="BodyTextChar">
    <w:name w:val="Body Text Char"/>
    <w:basedOn w:val="DefaultParagraphFont"/>
    <w:link w:val="BodyText"/>
    <w:uiPriority w:val="1"/>
    <w:rsid w:val="006E78A6"/>
    <w:rPr>
      <w:rFonts w:cstheme="minorBidi"/>
      <w:sz w:val="21"/>
      <w:szCs w:val="21"/>
      <w:lang w:val="en-US" w:eastAsia="en-US"/>
    </w:rPr>
  </w:style>
  <w:style w:type="character" w:customStyle="1" w:styleId="ListBulletChar">
    <w:name w:val="List Bullet Char"/>
    <w:basedOn w:val="DefaultParagraphFont"/>
    <w:link w:val="ListBullet"/>
    <w:rsid w:val="0010046D"/>
    <w:rPr>
      <w:rFonts w:ascii="Arial" w:hAnsi="Arial"/>
      <w:sz w:val="20"/>
    </w:rPr>
  </w:style>
  <w:style w:type="paragraph" w:customStyle="1" w:styleId="TableParagraph">
    <w:name w:val="Table Paragraph"/>
    <w:basedOn w:val="Normal"/>
    <w:uiPriority w:val="1"/>
    <w:qFormat/>
    <w:rsid w:val="00A83A6A"/>
    <w:pPr>
      <w:widowControl w:val="0"/>
      <w:spacing w:after="0" w:line="240" w:lineRule="auto"/>
    </w:pPr>
    <w:rPr>
      <w:rFonts w:asciiTheme="minorHAnsi" w:eastAsiaTheme="minorHAnsi" w:hAnsiTheme="minorHAnsi" w:cstheme="minorBidi"/>
      <w:sz w:val="22"/>
      <w:szCs w:val="22"/>
      <w:lang w:val="en-US" w:eastAsia="en-US"/>
    </w:rPr>
  </w:style>
  <w:style w:type="paragraph" w:customStyle="1" w:styleId="A2">
    <w:name w:val="A2"/>
    <w:aliases w:val="1.1 amendment,Instruction amendment"/>
    <w:basedOn w:val="Normal"/>
    <w:next w:val="Normal"/>
    <w:rsid w:val="001452E3"/>
    <w:pPr>
      <w:tabs>
        <w:tab w:val="right" w:pos="794"/>
      </w:tabs>
      <w:spacing w:before="120" w:after="0" w:line="260" w:lineRule="exact"/>
      <w:ind w:left="964" w:hanging="964"/>
      <w:jc w:val="both"/>
    </w:pPr>
    <w:rPr>
      <w:rFonts w:ascii="Times New Roman" w:hAnsi="Times New Roman"/>
      <w:noProof/>
      <w:sz w:val="24"/>
      <w:lang w:eastAsia="en-US"/>
    </w:rPr>
  </w:style>
  <w:style w:type="paragraph" w:customStyle="1" w:styleId="R1">
    <w:name w:val="R1"/>
    <w:aliases w:val="1. or 1.(1)"/>
    <w:basedOn w:val="Normal"/>
    <w:next w:val="Normal"/>
    <w:rsid w:val="001452E3"/>
    <w:pPr>
      <w:tabs>
        <w:tab w:val="right" w:pos="794"/>
      </w:tabs>
      <w:spacing w:before="120" w:after="0" w:line="260" w:lineRule="exact"/>
      <w:ind w:left="964" w:hanging="964"/>
      <w:jc w:val="both"/>
    </w:pPr>
    <w:rPr>
      <w:rFonts w:ascii="Times New Roman" w:hAnsi="Times New Roman"/>
      <w:noProof/>
      <w:sz w:val="24"/>
      <w:lang w:eastAsia="en-US"/>
    </w:rPr>
  </w:style>
  <w:style w:type="character" w:styleId="UnresolvedMention">
    <w:name w:val="Unresolved Mention"/>
    <w:basedOn w:val="DefaultParagraphFont"/>
    <w:uiPriority w:val="99"/>
    <w:semiHidden/>
    <w:unhideWhenUsed/>
    <w:rsid w:val="003311D4"/>
    <w:rPr>
      <w:color w:val="605E5C"/>
      <w:shd w:val="clear" w:color="auto" w:fill="E1DFDD"/>
    </w:rPr>
  </w:style>
  <w:style w:type="paragraph" w:customStyle="1" w:styleId="Paragraph">
    <w:name w:val="Paragraph"/>
    <w:basedOn w:val="Normal"/>
    <w:qFormat/>
    <w:rsid w:val="002134D1"/>
    <w:rPr>
      <w:rFonts w:cs="Arial"/>
    </w:rPr>
  </w:style>
  <w:style w:type="paragraph" w:styleId="BlockText">
    <w:name w:val="Block Text"/>
    <w:basedOn w:val="Normal"/>
    <w:rsid w:val="0004078F"/>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Revision">
    <w:name w:val="Revision"/>
    <w:hidden/>
    <w:semiHidden/>
    <w:rsid w:val="003751FD"/>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587104">
      <w:bodyDiv w:val="1"/>
      <w:marLeft w:val="0"/>
      <w:marRight w:val="0"/>
      <w:marTop w:val="0"/>
      <w:marBottom w:val="0"/>
      <w:divBdr>
        <w:top w:val="none" w:sz="0" w:space="0" w:color="auto"/>
        <w:left w:val="none" w:sz="0" w:space="0" w:color="auto"/>
        <w:bottom w:val="none" w:sz="0" w:space="0" w:color="auto"/>
        <w:right w:val="none" w:sz="0" w:space="0" w:color="auto"/>
      </w:divBdr>
      <w:divsChild>
        <w:div w:id="713892219">
          <w:marLeft w:val="0"/>
          <w:marRight w:val="0"/>
          <w:marTop w:val="0"/>
          <w:marBottom w:val="0"/>
          <w:divBdr>
            <w:top w:val="none" w:sz="0" w:space="0" w:color="auto"/>
            <w:left w:val="none" w:sz="0" w:space="0" w:color="auto"/>
            <w:bottom w:val="none" w:sz="0" w:space="0" w:color="auto"/>
            <w:right w:val="none" w:sz="0" w:space="0" w:color="auto"/>
          </w:divBdr>
          <w:divsChild>
            <w:div w:id="38281286">
              <w:marLeft w:val="0"/>
              <w:marRight w:val="0"/>
              <w:marTop w:val="0"/>
              <w:marBottom w:val="0"/>
              <w:divBdr>
                <w:top w:val="none" w:sz="0" w:space="0" w:color="auto"/>
                <w:left w:val="none" w:sz="0" w:space="0" w:color="auto"/>
                <w:bottom w:val="none" w:sz="0" w:space="0" w:color="auto"/>
                <w:right w:val="none" w:sz="0" w:space="0" w:color="auto"/>
              </w:divBdr>
              <w:divsChild>
                <w:div w:id="540942488">
                  <w:marLeft w:val="0"/>
                  <w:marRight w:val="0"/>
                  <w:marTop w:val="0"/>
                  <w:marBottom w:val="0"/>
                  <w:divBdr>
                    <w:top w:val="none" w:sz="0" w:space="0" w:color="auto"/>
                    <w:left w:val="none" w:sz="0" w:space="0" w:color="auto"/>
                    <w:bottom w:val="none" w:sz="0" w:space="0" w:color="auto"/>
                    <w:right w:val="none" w:sz="0" w:space="0" w:color="auto"/>
                  </w:divBdr>
                  <w:divsChild>
                    <w:div w:id="23749336">
                      <w:marLeft w:val="0"/>
                      <w:marRight w:val="0"/>
                      <w:marTop w:val="0"/>
                      <w:marBottom w:val="0"/>
                      <w:divBdr>
                        <w:top w:val="none" w:sz="0" w:space="0" w:color="auto"/>
                        <w:left w:val="none" w:sz="0" w:space="0" w:color="auto"/>
                        <w:bottom w:val="none" w:sz="0" w:space="0" w:color="auto"/>
                        <w:right w:val="none" w:sz="0" w:space="0" w:color="auto"/>
                      </w:divBdr>
                      <w:divsChild>
                        <w:div w:id="1306349307">
                          <w:marLeft w:val="0"/>
                          <w:marRight w:val="0"/>
                          <w:marTop w:val="0"/>
                          <w:marBottom w:val="0"/>
                          <w:divBdr>
                            <w:top w:val="none" w:sz="0" w:space="0" w:color="auto"/>
                            <w:left w:val="none" w:sz="0" w:space="0" w:color="auto"/>
                            <w:bottom w:val="none" w:sz="0" w:space="0" w:color="auto"/>
                            <w:right w:val="none" w:sz="0" w:space="0" w:color="auto"/>
                          </w:divBdr>
                          <w:divsChild>
                            <w:div w:id="902788586">
                              <w:marLeft w:val="0"/>
                              <w:marRight w:val="0"/>
                              <w:marTop w:val="0"/>
                              <w:marBottom w:val="0"/>
                              <w:divBdr>
                                <w:top w:val="none" w:sz="0" w:space="0" w:color="auto"/>
                                <w:left w:val="none" w:sz="0" w:space="0" w:color="auto"/>
                                <w:bottom w:val="none" w:sz="0" w:space="0" w:color="auto"/>
                                <w:right w:val="none" w:sz="0" w:space="0" w:color="auto"/>
                              </w:divBdr>
                              <w:divsChild>
                                <w:div w:id="1137380374">
                                  <w:marLeft w:val="0"/>
                                  <w:marRight w:val="0"/>
                                  <w:marTop w:val="0"/>
                                  <w:marBottom w:val="0"/>
                                  <w:divBdr>
                                    <w:top w:val="none" w:sz="0" w:space="0" w:color="auto"/>
                                    <w:left w:val="none" w:sz="0" w:space="0" w:color="auto"/>
                                    <w:bottom w:val="none" w:sz="0" w:space="0" w:color="auto"/>
                                    <w:right w:val="none" w:sz="0" w:space="0" w:color="auto"/>
                                  </w:divBdr>
                                  <w:divsChild>
                                    <w:div w:id="2102218746">
                                      <w:marLeft w:val="0"/>
                                      <w:marRight w:val="0"/>
                                      <w:marTop w:val="0"/>
                                      <w:marBottom w:val="0"/>
                                      <w:divBdr>
                                        <w:top w:val="none" w:sz="0" w:space="0" w:color="auto"/>
                                        <w:left w:val="none" w:sz="0" w:space="0" w:color="auto"/>
                                        <w:bottom w:val="none" w:sz="0" w:space="0" w:color="auto"/>
                                        <w:right w:val="none" w:sz="0" w:space="0" w:color="auto"/>
                                      </w:divBdr>
                                      <w:divsChild>
                                        <w:div w:id="286476279">
                                          <w:marLeft w:val="0"/>
                                          <w:marRight w:val="0"/>
                                          <w:marTop w:val="0"/>
                                          <w:marBottom w:val="0"/>
                                          <w:divBdr>
                                            <w:top w:val="none" w:sz="0" w:space="0" w:color="auto"/>
                                            <w:left w:val="none" w:sz="0" w:space="0" w:color="auto"/>
                                            <w:bottom w:val="none" w:sz="0" w:space="0" w:color="auto"/>
                                            <w:right w:val="none" w:sz="0" w:space="0" w:color="auto"/>
                                          </w:divBdr>
                                          <w:divsChild>
                                            <w:div w:id="1760364959">
                                              <w:marLeft w:val="0"/>
                                              <w:marRight w:val="0"/>
                                              <w:marTop w:val="0"/>
                                              <w:marBottom w:val="0"/>
                                              <w:divBdr>
                                                <w:top w:val="none" w:sz="0" w:space="0" w:color="auto"/>
                                                <w:left w:val="none" w:sz="0" w:space="0" w:color="auto"/>
                                                <w:bottom w:val="none" w:sz="0" w:space="0" w:color="auto"/>
                                                <w:right w:val="none" w:sz="0" w:space="0" w:color="auto"/>
                                              </w:divBdr>
                                              <w:divsChild>
                                                <w:div w:id="1102149700">
                                                  <w:marLeft w:val="0"/>
                                                  <w:marRight w:val="0"/>
                                                  <w:marTop w:val="0"/>
                                                  <w:marBottom w:val="0"/>
                                                  <w:divBdr>
                                                    <w:top w:val="none" w:sz="0" w:space="0" w:color="auto"/>
                                                    <w:left w:val="none" w:sz="0" w:space="0" w:color="auto"/>
                                                    <w:bottom w:val="none" w:sz="0" w:space="0" w:color="auto"/>
                                                    <w:right w:val="none" w:sz="0" w:space="0" w:color="auto"/>
                                                  </w:divBdr>
                                                  <w:divsChild>
                                                    <w:div w:id="2094819137">
                                                      <w:marLeft w:val="0"/>
                                                      <w:marRight w:val="0"/>
                                                      <w:marTop w:val="0"/>
                                                      <w:marBottom w:val="0"/>
                                                      <w:divBdr>
                                                        <w:top w:val="none" w:sz="0" w:space="0" w:color="auto"/>
                                                        <w:left w:val="none" w:sz="0" w:space="0" w:color="auto"/>
                                                        <w:bottom w:val="none" w:sz="0" w:space="0" w:color="auto"/>
                                                        <w:right w:val="none" w:sz="0" w:space="0" w:color="auto"/>
                                                      </w:divBdr>
                                                      <w:divsChild>
                                                        <w:div w:id="31418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3080484">
      <w:bodyDiv w:val="1"/>
      <w:marLeft w:val="0"/>
      <w:marRight w:val="0"/>
      <w:marTop w:val="0"/>
      <w:marBottom w:val="0"/>
      <w:divBdr>
        <w:top w:val="none" w:sz="0" w:space="0" w:color="auto"/>
        <w:left w:val="none" w:sz="0" w:space="0" w:color="auto"/>
        <w:bottom w:val="none" w:sz="0" w:space="0" w:color="auto"/>
        <w:right w:val="none" w:sz="0" w:space="0" w:color="auto"/>
      </w:divBdr>
    </w:div>
    <w:div w:id="273946308">
      <w:bodyDiv w:val="1"/>
      <w:marLeft w:val="0"/>
      <w:marRight w:val="0"/>
      <w:marTop w:val="0"/>
      <w:marBottom w:val="0"/>
      <w:divBdr>
        <w:top w:val="none" w:sz="0" w:space="0" w:color="auto"/>
        <w:left w:val="none" w:sz="0" w:space="0" w:color="auto"/>
        <w:bottom w:val="none" w:sz="0" w:space="0" w:color="auto"/>
        <w:right w:val="none" w:sz="0" w:space="0" w:color="auto"/>
      </w:divBdr>
      <w:divsChild>
        <w:div w:id="958219299">
          <w:marLeft w:val="0"/>
          <w:marRight w:val="0"/>
          <w:marTop w:val="0"/>
          <w:marBottom w:val="0"/>
          <w:divBdr>
            <w:top w:val="none" w:sz="0" w:space="0" w:color="auto"/>
            <w:left w:val="none" w:sz="0" w:space="0" w:color="auto"/>
            <w:bottom w:val="none" w:sz="0" w:space="0" w:color="auto"/>
            <w:right w:val="none" w:sz="0" w:space="0" w:color="auto"/>
          </w:divBdr>
          <w:divsChild>
            <w:div w:id="1623225170">
              <w:marLeft w:val="0"/>
              <w:marRight w:val="0"/>
              <w:marTop w:val="0"/>
              <w:marBottom w:val="0"/>
              <w:divBdr>
                <w:top w:val="none" w:sz="0" w:space="0" w:color="auto"/>
                <w:left w:val="none" w:sz="0" w:space="0" w:color="auto"/>
                <w:bottom w:val="none" w:sz="0" w:space="0" w:color="auto"/>
                <w:right w:val="none" w:sz="0" w:space="0" w:color="auto"/>
              </w:divBdr>
              <w:divsChild>
                <w:div w:id="228003086">
                  <w:marLeft w:val="0"/>
                  <w:marRight w:val="0"/>
                  <w:marTop w:val="0"/>
                  <w:marBottom w:val="0"/>
                  <w:divBdr>
                    <w:top w:val="none" w:sz="0" w:space="0" w:color="auto"/>
                    <w:left w:val="none" w:sz="0" w:space="0" w:color="auto"/>
                    <w:bottom w:val="none" w:sz="0" w:space="0" w:color="auto"/>
                    <w:right w:val="none" w:sz="0" w:space="0" w:color="auto"/>
                  </w:divBdr>
                  <w:divsChild>
                    <w:div w:id="1704944030">
                      <w:marLeft w:val="0"/>
                      <w:marRight w:val="0"/>
                      <w:marTop w:val="0"/>
                      <w:marBottom w:val="0"/>
                      <w:divBdr>
                        <w:top w:val="none" w:sz="0" w:space="0" w:color="auto"/>
                        <w:left w:val="none" w:sz="0" w:space="0" w:color="auto"/>
                        <w:bottom w:val="none" w:sz="0" w:space="0" w:color="auto"/>
                        <w:right w:val="none" w:sz="0" w:space="0" w:color="auto"/>
                      </w:divBdr>
                      <w:divsChild>
                        <w:div w:id="503282706">
                          <w:marLeft w:val="0"/>
                          <w:marRight w:val="0"/>
                          <w:marTop w:val="0"/>
                          <w:marBottom w:val="0"/>
                          <w:divBdr>
                            <w:top w:val="none" w:sz="0" w:space="0" w:color="auto"/>
                            <w:left w:val="none" w:sz="0" w:space="0" w:color="auto"/>
                            <w:bottom w:val="none" w:sz="0" w:space="0" w:color="auto"/>
                            <w:right w:val="none" w:sz="0" w:space="0" w:color="auto"/>
                          </w:divBdr>
                          <w:divsChild>
                            <w:div w:id="1767993780">
                              <w:marLeft w:val="0"/>
                              <w:marRight w:val="0"/>
                              <w:marTop w:val="0"/>
                              <w:marBottom w:val="0"/>
                              <w:divBdr>
                                <w:top w:val="none" w:sz="0" w:space="0" w:color="auto"/>
                                <w:left w:val="none" w:sz="0" w:space="0" w:color="auto"/>
                                <w:bottom w:val="none" w:sz="0" w:space="0" w:color="auto"/>
                                <w:right w:val="none" w:sz="0" w:space="0" w:color="auto"/>
                              </w:divBdr>
                              <w:divsChild>
                                <w:div w:id="1467551638">
                                  <w:marLeft w:val="0"/>
                                  <w:marRight w:val="0"/>
                                  <w:marTop w:val="0"/>
                                  <w:marBottom w:val="0"/>
                                  <w:divBdr>
                                    <w:top w:val="none" w:sz="0" w:space="0" w:color="auto"/>
                                    <w:left w:val="none" w:sz="0" w:space="0" w:color="auto"/>
                                    <w:bottom w:val="none" w:sz="0" w:space="0" w:color="auto"/>
                                    <w:right w:val="none" w:sz="0" w:space="0" w:color="auto"/>
                                  </w:divBdr>
                                  <w:divsChild>
                                    <w:div w:id="1178498692">
                                      <w:marLeft w:val="0"/>
                                      <w:marRight w:val="0"/>
                                      <w:marTop w:val="0"/>
                                      <w:marBottom w:val="0"/>
                                      <w:divBdr>
                                        <w:top w:val="none" w:sz="0" w:space="0" w:color="auto"/>
                                        <w:left w:val="none" w:sz="0" w:space="0" w:color="auto"/>
                                        <w:bottom w:val="none" w:sz="0" w:space="0" w:color="auto"/>
                                        <w:right w:val="none" w:sz="0" w:space="0" w:color="auto"/>
                                      </w:divBdr>
                                      <w:divsChild>
                                        <w:div w:id="323365052">
                                          <w:marLeft w:val="0"/>
                                          <w:marRight w:val="0"/>
                                          <w:marTop w:val="0"/>
                                          <w:marBottom w:val="0"/>
                                          <w:divBdr>
                                            <w:top w:val="none" w:sz="0" w:space="0" w:color="auto"/>
                                            <w:left w:val="none" w:sz="0" w:space="0" w:color="auto"/>
                                            <w:bottom w:val="none" w:sz="0" w:space="0" w:color="auto"/>
                                            <w:right w:val="none" w:sz="0" w:space="0" w:color="auto"/>
                                          </w:divBdr>
                                          <w:divsChild>
                                            <w:div w:id="1844122502">
                                              <w:marLeft w:val="0"/>
                                              <w:marRight w:val="0"/>
                                              <w:marTop w:val="0"/>
                                              <w:marBottom w:val="0"/>
                                              <w:divBdr>
                                                <w:top w:val="none" w:sz="0" w:space="0" w:color="auto"/>
                                                <w:left w:val="none" w:sz="0" w:space="0" w:color="auto"/>
                                                <w:bottom w:val="none" w:sz="0" w:space="0" w:color="auto"/>
                                                <w:right w:val="none" w:sz="0" w:space="0" w:color="auto"/>
                                              </w:divBdr>
                                              <w:divsChild>
                                                <w:div w:id="1766025843">
                                                  <w:marLeft w:val="0"/>
                                                  <w:marRight w:val="0"/>
                                                  <w:marTop w:val="0"/>
                                                  <w:marBottom w:val="0"/>
                                                  <w:divBdr>
                                                    <w:top w:val="none" w:sz="0" w:space="0" w:color="auto"/>
                                                    <w:left w:val="none" w:sz="0" w:space="0" w:color="auto"/>
                                                    <w:bottom w:val="none" w:sz="0" w:space="0" w:color="auto"/>
                                                    <w:right w:val="none" w:sz="0" w:space="0" w:color="auto"/>
                                                  </w:divBdr>
                                                  <w:divsChild>
                                                    <w:div w:id="2138328956">
                                                      <w:marLeft w:val="0"/>
                                                      <w:marRight w:val="0"/>
                                                      <w:marTop w:val="0"/>
                                                      <w:marBottom w:val="0"/>
                                                      <w:divBdr>
                                                        <w:top w:val="none" w:sz="0" w:space="0" w:color="auto"/>
                                                        <w:left w:val="none" w:sz="0" w:space="0" w:color="auto"/>
                                                        <w:bottom w:val="none" w:sz="0" w:space="0" w:color="auto"/>
                                                        <w:right w:val="none" w:sz="0" w:space="0" w:color="auto"/>
                                                      </w:divBdr>
                                                      <w:divsChild>
                                                        <w:div w:id="112827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4479076">
      <w:bodyDiv w:val="1"/>
      <w:marLeft w:val="0"/>
      <w:marRight w:val="0"/>
      <w:marTop w:val="0"/>
      <w:marBottom w:val="0"/>
      <w:divBdr>
        <w:top w:val="none" w:sz="0" w:space="0" w:color="auto"/>
        <w:left w:val="none" w:sz="0" w:space="0" w:color="auto"/>
        <w:bottom w:val="none" w:sz="0" w:space="0" w:color="auto"/>
        <w:right w:val="none" w:sz="0" w:space="0" w:color="auto"/>
      </w:divBdr>
    </w:div>
    <w:div w:id="365445236">
      <w:bodyDiv w:val="1"/>
      <w:marLeft w:val="0"/>
      <w:marRight w:val="0"/>
      <w:marTop w:val="0"/>
      <w:marBottom w:val="0"/>
      <w:divBdr>
        <w:top w:val="none" w:sz="0" w:space="0" w:color="auto"/>
        <w:left w:val="none" w:sz="0" w:space="0" w:color="auto"/>
        <w:bottom w:val="none" w:sz="0" w:space="0" w:color="auto"/>
        <w:right w:val="none" w:sz="0" w:space="0" w:color="auto"/>
      </w:divBdr>
    </w:div>
    <w:div w:id="430054464">
      <w:bodyDiv w:val="1"/>
      <w:marLeft w:val="0"/>
      <w:marRight w:val="0"/>
      <w:marTop w:val="0"/>
      <w:marBottom w:val="0"/>
      <w:divBdr>
        <w:top w:val="none" w:sz="0" w:space="0" w:color="auto"/>
        <w:left w:val="none" w:sz="0" w:space="0" w:color="auto"/>
        <w:bottom w:val="none" w:sz="0" w:space="0" w:color="auto"/>
        <w:right w:val="none" w:sz="0" w:space="0" w:color="auto"/>
      </w:divBdr>
    </w:div>
    <w:div w:id="741566179">
      <w:bodyDiv w:val="1"/>
      <w:marLeft w:val="0"/>
      <w:marRight w:val="0"/>
      <w:marTop w:val="0"/>
      <w:marBottom w:val="0"/>
      <w:divBdr>
        <w:top w:val="none" w:sz="0" w:space="0" w:color="auto"/>
        <w:left w:val="none" w:sz="0" w:space="0" w:color="auto"/>
        <w:bottom w:val="none" w:sz="0" w:space="0" w:color="auto"/>
        <w:right w:val="none" w:sz="0" w:space="0" w:color="auto"/>
      </w:divBdr>
      <w:divsChild>
        <w:div w:id="1723560943">
          <w:marLeft w:val="994"/>
          <w:marRight w:val="0"/>
          <w:marTop w:val="0"/>
          <w:marBottom w:val="240"/>
          <w:divBdr>
            <w:top w:val="none" w:sz="0" w:space="0" w:color="auto"/>
            <w:left w:val="none" w:sz="0" w:space="0" w:color="auto"/>
            <w:bottom w:val="none" w:sz="0" w:space="0" w:color="auto"/>
            <w:right w:val="none" w:sz="0" w:space="0" w:color="auto"/>
          </w:divBdr>
        </w:div>
        <w:div w:id="1633748233">
          <w:marLeft w:val="994"/>
          <w:marRight w:val="0"/>
          <w:marTop w:val="0"/>
          <w:marBottom w:val="240"/>
          <w:divBdr>
            <w:top w:val="none" w:sz="0" w:space="0" w:color="auto"/>
            <w:left w:val="none" w:sz="0" w:space="0" w:color="auto"/>
            <w:bottom w:val="none" w:sz="0" w:space="0" w:color="auto"/>
            <w:right w:val="none" w:sz="0" w:space="0" w:color="auto"/>
          </w:divBdr>
        </w:div>
        <w:div w:id="1910917400">
          <w:marLeft w:val="994"/>
          <w:marRight w:val="0"/>
          <w:marTop w:val="0"/>
          <w:marBottom w:val="240"/>
          <w:divBdr>
            <w:top w:val="none" w:sz="0" w:space="0" w:color="auto"/>
            <w:left w:val="none" w:sz="0" w:space="0" w:color="auto"/>
            <w:bottom w:val="none" w:sz="0" w:space="0" w:color="auto"/>
            <w:right w:val="none" w:sz="0" w:space="0" w:color="auto"/>
          </w:divBdr>
        </w:div>
        <w:div w:id="384262492">
          <w:marLeft w:val="994"/>
          <w:marRight w:val="0"/>
          <w:marTop w:val="0"/>
          <w:marBottom w:val="240"/>
          <w:divBdr>
            <w:top w:val="none" w:sz="0" w:space="0" w:color="auto"/>
            <w:left w:val="none" w:sz="0" w:space="0" w:color="auto"/>
            <w:bottom w:val="none" w:sz="0" w:space="0" w:color="auto"/>
            <w:right w:val="none" w:sz="0" w:space="0" w:color="auto"/>
          </w:divBdr>
        </w:div>
      </w:divsChild>
    </w:div>
    <w:div w:id="745569863">
      <w:bodyDiv w:val="1"/>
      <w:marLeft w:val="0"/>
      <w:marRight w:val="0"/>
      <w:marTop w:val="0"/>
      <w:marBottom w:val="0"/>
      <w:divBdr>
        <w:top w:val="none" w:sz="0" w:space="0" w:color="auto"/>
        <w:left w:val="none" w:sz="0" w:space="0" w:color="auto"/>
        <w:bottom w:val="none" w:sz="0" w:space="0" w:color="auto"/>
        <w:right w:val="none" w:sz="0" w:space="0" w:color="auto"/>
      </w:divBdr>
    </w:div>
    <w:div w:id="760415940">
      <w:bodyDiv w:val="1"/>
      <w:marLeft w:val="0"/>
      <w:marRight w:val="0"/>
      <w:marTop w:val="0"/>
      <w:marBottom w:val="0"/>
      <w:divBdr>
        <w:top w:val="none" w:sz="0" w:space="0" w:color="auto"/>
        <w:left w:val="none" w:sz="0" w:space="0" w:color="auto"/>
        <w:bottom w:val="none" w:sz="0" w:space="0" w:color="auto"/>
        <w:right w:val="none" w:sz="0" w:space="0" w:color="auto"/>
      </w:divBdr>
    </w:div>
    <w:div w:id="995496136">
      <w:bodyDiv w:val="1"/>
      <w:marLeft w:val="0"/>
      <w:marRight w:val="0"/>
      <w:marTop w:val="0"/>
      <w:marBottom w:val="0"/>
      <w:divBdr>
        <w:top w:val="none" w:sz="0" w:space="0" w:color="auto"/>
        <w:left w:val="none" w:sz="0" w:space="0" w:color="auto"/>
        <w:bottom w:val="none" w:sz="0" w:space="0" w:color="auto"/>
        <w:right w:val="none" w:sz="0" w:space="0" w:color="auto"/>
      </w:divBdr>
    </w:div>
    <w:div w:id="1056004050">
      <w:bodyDiv w:val="1"/>
      <w:marLeft w:val="0"/>
      <w:marRight w:val="0"/>
      <w:marTop w:val="0"/>
      <w:marBottom w:val="0"/>
      <w:divBdr>
        <w:top w:val="none" w:sz="0" w:space="0" w:color="auto"/>
        <w:left w:val="none" w:sz="0" w:space="0" w:color="auto"/>
        <w:bottom w:val="none" w:sz="0" w:space="0" w:color="auto"/>
        <w:right w:val="none" w:sz="0" w:space="0" w:color="auto"/>
      </w:divBdr>
    </w:div>
    <w:div w:id="1178231427">
      <w:bodyDiv w:val="1"/>
      <w:marLeft w:val="0"/>
      <w:marRight w:val="0"/>
      <w:marTop w:val="0"/>
      <w:marBottom w:val="0"/>
      <w:divBdr>
        <w:top w:val="none" w:sz="0" w:space="0" w:color="auto"/>
        <w:left w:val="none" w:sz="0" w:space="0" w:color="auto"/>
        <w:bottom w:val="none" w:sz="0" w:space="0" w:color="auto"/>
        <w:right w:val="none" w:sz="0" w:space="0" w:color="auto"/>
      </w:divBdr>
    </w:div>
    <w:div w:id="1346204057">
      <w:bodyDiv w:val="1"/>
      <w:marLeft w:val="0"/>
      <w:marRight w:val="0"/>
      <w:marTop w:val="0"/>
      <w:marBottom w:val="0"/>
      <w:divBdr>
        <w:top w:val="none" w:sz="0" w:space="0" w:color="auto"/>
        <w:left w:val="none" w:sz="0" w:space="0" w:color="auto"/>
        <w:bottom w:val="none" w:sz="0" w:space="0" w:color="auto"/>
        <w:right w:val="none" w:sz="0" w:space="0" w:color="auto"/>
      </w:divBdr>
    </w:div>
    <w:div w:id="1827822765">
      <w:bodyDiv w:val="1"/>
      <w:marLeft w:val="0"/>
      <w:marRight w:val="0"/>
      <w:marTop w:val="0"/>
      <w:marBottom w:val="0"/>
      <w:divBdr>
        <w:top w:val="none" w:sz="0" w:space="0" w:color="auto"/>
        <w:left w:val="none" w:sz="0" w:space="0" w:color="auto"/>
        <w:bottom w:val="none" w:sz="0" w:space="0" w:color="auto"/>
        <w:right w:val="none" w:sz="0" w:space="0" w:color="auto"/>
      </w:divBdr>
    </w:div>
    <w:div w:id="1869296244">
      <w:bodyDiv w:val="1"/>
      <w:marLeft w:val="0"/>
      <w:marRight w:val="0"/>
      <w:marTop w:val="0"/>
      <w:marBottom w:val="0"/>
      <w:divBdr>
        <w:top w:val="none" w:sz="0" w:space="0" w:color="auto"/>
        <w:left w:val="none" w:sz="0" w:space="0" w:color="auto"/>
        <w:bottom w:val="none" w:sz="0" w:space="0" w:color="auto"/>
        <w:right w:val="none" w:sz="0" w:space="0" w:color="auto"/>
      </w:divBdr>
    </w:div>
    <w:div w:id="20712288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footer" Target="footer3.xml"/><Relationship Id="rId26" Type="http://schemas.openxmlformats.org/officeDocument/2006/relationships/hyperlink" Target="https://www.acma.gov.au/publications/2012-12/guide/spectrum-licencees-know-your-obligations" TargetMode="External"/><Relationship Id="rId39" Type="http://schemas.openxmlformats.org/officeDocument/2006/relationships/hyperlink" Target="https://docdb.cept.org/download/61" TargetMode="External"/><Relationship Id="rId21" Type="http://schemas.openxmlformats.org/officeDocument/2006/relationships/header" Target="header6.xml"/><Relationship Id="rId34" Type="http://schemas.openxmlformats.org/officeDocument/2006/relationships/image" Target="media/image6.png"/><Relationship Id="rId42" Type="http://schemas.openxmlformats.org/officeDocument/2006/relationships/hyperlink" Target="https://www.legislation.gov.au/Details/F2015C00769" TargetMode="External"/><Relationship Id="rId47" Type="http://schemas.openxmlformats.org/officeDocument/2006/relationships/hyperlink" Target="https://docdb.cept.org/download/61" TargetMode="External"/><Relationship Id="rId50" Type="http://schemas.openxmlformats.org/officeDocument/2006/relationships/hyperlink" Target="https://www.acma.gov.au/publications/2019-09/publication/rali-ms31-notification-zones-around-radio-astronomy-facilities"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image" Target="media/image4.jpg"/><Relationship Id="rId33" Type="http://schemas.openxmlformats.org/officeDocument/2006/relationships/image" Target="media/image5.png"/><Relationship Id="rId38" Type="http://schemas.openxmlformats.org/officeDocument/2006/relationships/hyperlink" Target="https://docdb.cept.org/download/425" TargetMode="External"/><Relationship Id="rId46" Type="http://schemas.openxmlformats.org/officeDocument/2006/relationships/hyperlink" Target="https://docdb.cept.org/download/425"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s://www.legislation.gov.au/Details/F2015C00771" TargetMode="External"/><Relationship Id="rId41" Type="http://schemas.openxmlformats.org/officeDocument/2006/relationships/hyperlink" Target="https://www.legislation.gov.au/Details/F2015C00771" TargetMode="External"/><Relationship Id="rId54"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acma.gov.au/publications/2019-09/plan/five-year-spectrum-outlook-2019-23" TargetMode="External"/><Relationship Id="rId32" Type="http://schemas.openxmlformats.org/officeDocument/2006/relationships/hyperlink" Target="https://docdb.cept.org/download/1199" TargetMode="External"/><Relationship Id="rId37" Type="http://schemas.openxmlformats.org/officeDocument/2006/relationships/hyperlink" Target="https://www.legislation.gov.au/Details/F2015C00768" TargetMode="External"/><Relationship Id="rId40" Type="http://schemas.openxmlformats.org/officeDocument/2006/relationships/hyperlink" Target="https://docdb.cept.org/download/1387" TargetMode="External"/><Relationship Id="rId45" Type="http://schemas.openxmlformats.org/officeDocument/2006/relationships/hyperlink" Target="https://www.legislation.gov.au/Details/F2017C01051" TargetMode="External"/><Relationship Id="rId53"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6.xml"/><Relationship Id="rId28" Type="http://schemas.openxmlformats.org/officeDocument/2006/relationships/hyperlink" Target="https://www.legislation.gov.au/Details/F2015C00768" TargetMode="External"/><Relationship Id="rId36" Type="http://schemas.openxmlformats.org/officeDocument/2006/relationships/hyperlink" Target="https://web.acma.gov.au/rrl/browse_licences.licence_list?pSV_ID=85&amp;pSS_ID=861" TargetMode="External"/><Relationship Id="rId49" Type="http://schemas.openxmlformats.org/officeDocument/2006/relationships/hyperlink" Target="https://www.acma.gov.au/australian-radiofrequency-spectrum-plan" TargetMode="External"/><Relationship Id="rId10" Type="http://schemas.openxmlformats.org/officeDocument/2006/relationships/header" Target="header2.xml"/><Relationship Id="rId19" Type="http://schemas.openxmlformats.org/officeDocument/2006/relationships/footer" Target="footer4.xml"/><Relationship Id="rId31" Type="http://schemas.openxmlformats.org/officeDocument/2006/relationships/hyperlink" Target="https://docdb.cept.org/document/3360" TargetMode="External"/><Relationship Id="rId44" Type="http://schemas.openxmlformats.org/officeDocument/2006/relationships/hyperlink" Target="https://www.legislation.gov.au/Details/F2015C00769" TargetMode="External"/><Relationship Id="rId52"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creativecommons.org/licenses/by/3.0/au/" TargetMode="External"/><Relationship Id="rId22" Type="http://schemas.openxmlformats.org/officeDocument/2006/relationships/footer" Target="footer5.xml"/><Relationship Id="rId27" Type="http://schemas.openxmlformats.org/officeDocument/2006/relationships/hyperlink" Target="https://web.acma.gov.au/rrl/register_search.search_dispatcher" TargetMode="External"/><Relationship Id="rId30" Type="http://schemas.openxmlformats.org/officeDocument/2006/relationships/hyperlink" Target="https://www.legislation.gov.au/Details/F2015C00769" TargetMode="External"/><Relationship Id="rId35" Type="http://schemas.openxmlformats.org/officeDocument/2006/relationships/hyperlink" Target="https://www.era.europa.eu/sites/default/files/activities/docs/study_on_architecture_on-board_radio_equipment_en.pdf" TargetMode="External"/><Relationship Id="rId43" Type="http://schemas.openxmlformats.org/officeDocument/2006/relationships/hyperlink" Target="https://www.legislation.gov.au/Details/F2015C00771" TargetMode="External"/><Relationship Id="rId48" Type="http://schemas.openxmlformats.org/officeDocument/2006/relationships/hyperlink" Target="https://docdb.cept.org/download/1387" TargetMode="Externa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s://www.legislation.gov.au/Series/F2015L01438"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file:///C:\Users\gphillips\AppData\Local\Microsoft\Windows\INetCache\Content.Outlook\N6KL5UKT\acma.gov.au\ralis-frequency-coordination" TargetMode="External"/><Relationship Id="rId1" Type="http://schemas.openxmlformats.org/officeDocument/2006/relationships/hyperlink" Target="https://portal.3gpp.org/desktopmodules/Specifications/SpecificationDetails.aspx?specificationId=320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430A2-25FB-491B-8F50-DFC50295E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8251</Words>
  <Characters>47033</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55174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2021-10-05T04:16:00Z</dcterms:created>
  <dcterms:modified xsi:type="dcterms:W3CDTF">2021-10-05T04:16:00Z</dcterms:modified>
  <cp:category/>
</cp:coreProperties>
</file>