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0F1FE1" w14:textId="0B1A6601" w:rsidR="005E5CA0" w:rsidRDefault="00203E65">
      <w:bookmarkStart w:id="0" w:name="_GoBack"/>
      <w:bookmarkEnd w:id="0"/>
    </w:p>
    <w:p w14:paraId="256C5C69" w14:textId="77777777" w:rsidR="00326165" w:rsidRDefault="00326165" w:rsidP="00326165">
      <w:pPr>
        <w:widowControl w:val="0"/>
        <w:autoSpaceDE w:val="0"/>
        <w:autoSpaceDN w:val="0"/>
        <w:adjustRightInd w:val="0"/>
        <w:ind w:left="3600"/>
        <w:rPr>
          <w:rFonts w:ascii="Times" w:hAnsi="Times" w:cs="Times"/>
          <w:lang w:val="en-US"/>
        </w:rPr>
      </w:pPr>
      <w:r>
        <w:rPr>
          <w:rFonts w:ascii="Palatino" w:hAnsi="Palatino" w:cs="Palatino"/>
          <w:b/>
          <w:bCs/>
          <w:color w:val="00007D"/>
          <w:sz w:val="32"/>
          <w:szCs w:val="32"/>
          <w:lang w:val="en-US"/>
        </w:rPr>
        <w:t>Innovative Electronics Pty Ltd</w:t>
      </w:r>
    </w:p>
    <w:p w14:paraId="4921E822" w14:textId="77777777" w:rsidR="00326165" w:rsidRPr="00820FD0" w:rsidRDefault="00326165" w:rsidP="00326165">
      <w:pPr>
        <w:widowControl w:val="0"/>
        <w:autoSpaceDE w:val="0"/>
        <w:autoSpaceDN w:val="0"/>
        <w:adjustRightInd w:val="0"/>
        <w:ind w:left="3600"/>
        <w:rPr>
          <w:rFonts w:ascii="Times" w:hAnsi="Times" w:cs="Times"/>
          <w:lang w:val="en-US"/>
        </w:rPr>
      </w:pPr>
      <w:r w:rsidRPr="00820FD0">
        <w:rPr>
          <w:rFonts w:ascii="Arial" w:hAnsi="Arial" w:cs="Arial"/>
          <w:lang w:val="en-US"/>
        </w:rPr>
        <w:t>84 Vasey Crescent</w:t>
      </w:r>
    </w:p>
    <w:p w14:paraId="34D33ED6" w14:textId="77777777" w:rsidR="00326165" w:rsidRPr="00820FD0" w:rsidRDefault="00326165" w:rsidP="00326165">
      <w:pPr>
        <w:widowControl w:val="0"/>
        <w:autoSpaceDE w:val="0"/>
        <w:autoSpaceDN w:val="0"/>
        <w:adjustRightInd w:val="0"/>
        <w:ind w:left="3600"/>
        <w:rPr>
          <w:rFonts w:ascii="Times" w:hAnsi="Times" w:cs="Times"/>
          <w:lang w:val="en-US"/>
        </w:rPr>
      </w:pPr>
      <w:r w:rsidRPr="00820FD0">
        <w:rPr>
          <w:rFonts w:ascii="Arial" w:hAnsi="Arial" w:cs="Arial"/>
          <w:lang w:val="en-US"/>
        </w:rPr>
        <w:t>Campbell ACT 2612</w:t>
      </w:r>
    </w:p>
    <w:p w14:paraId="271E7375" w14:textId="77777777" w:rsidR="00326165" w:rsidRPr="00820FD0" w:rsidRDefault="00326165" w:rsidP="00326165">
      <w:pPr>
        <w:widowControl w:val="0"/>
        <w:autoSpaceDE w:val="0"/>
        <w:autoSpaceDN w:val="0"/>
        <w:adjustRightInd w:val="0"/>
        <w:ind w:left="3600"/>
        <w:rPr>
          <w:rFonts w:ascii="Times" w:hAnsi="Times" w:cs="Times"/>
          <w:lang w:val="en-US"/>
        </w:rPr>
      </w:pPr>
      <w:r w:rsidRPr="00820FD0">
        <w:rPr>
          <w:rFonts w:ascii="Arial" w:hAnsi="Arial" w:cs="Arial"/>
          <w:lang w:val="en-US"/>
        </w:rPr>
        <w:t>Australia</w:t>
      </w:r>
    </w:p>
    <w:p w14:paraId="56400F91" w14:textId="77777777" w:rsidR="00326165" w:rsidRPr="00820FD0" w:rsidRDefault="00326165" w:rsidP="00326165">
      <w:pPr>
        <w:widowControl w:val="0"/>
        <w:autoSpaceDE w:val="0"/>
        <w:autoSpaceDN w:val="0"/>
        <w:adjustRightInd w:val="0"/>
        <w:ind w:left="3600"/>
        <w:rPr>
          <w:rFonts w:ascii="Times" w:hAnsi="Times" w:cs="Times"/>
          <w:lang w:val="en-US"/>
        </w:rPr>
      </w:pPr>
      <w:r w:rsidRPr="00820FD0">
        <w:rPr>
          <w:rFonts w:ascii="Arial" w:hAnsi="Arial" w:cs="Arial"/>
          <w:lang w:val="en-US"/>
        </w:rPr>
        <w:t>Tel: +61 2 6248 7418</w:t>
      </w:r>
    </w:p>
    <w:p w14:paraId="72A21320" w14:textId="77777777" w:rsidR="00326165" w:rsidRPr="00820FD0" w:rsidRDefault="00326165" w:rsidP="00326165">
      <w:pPr>
        <w:widowControl w:val="0"/>
        <w:autoSpaceDE w:val="0"/>
        <w:autoSpaceDN w:val="0"/>
        <w:adjustRightInd w:val="0"/>
        <w:ind w:left="3600"/>
        <w:rPr>
          <w:rFonts w:ascii="Times" w:hAnsi="Times" w:cs="Times"/>
          <w:lang w:val="en-US"/>
        </w:rPr>
      </w:pPr>
      <w:r w:rsidRPr="00820FD0">
        <w:rPr>
          <w:rFonts w:ascii="Arial" w:hAnsi="Arial" w:cs="Arial"/>
          <w:lang w:val="en-US"/>
        </w:rPr>
        <w:t>Mob: 0410 988887</w:t>
      </w:r>
    </w:p>
    <w:p w14:paraId="4EC4B094" w14:textId="77777777" w:rsidR="00326165" w:rsidRPr="00820FD0" w:rsidRDefault="00326165" w:rsidP="00326165">
      <w:pPr>
        <w:widowControl w:val="0"/>
        <w:autoSpaceDE w:val="0"/>
        <w:autoSpaceDN w:val="0"/>
        <w:adjustRightInd w:val="0"/>
        <w:ind w:left="3600"/>
        <w:rPr>
          <w:rFonts w:ascii="Times" w:hAnsi="Times" w:cs="Times"/>
          <w:lang w:val="en-US"/>
        </w:rPr>
      </w:pPr>
      <w:r w:rsidRPr="00820FD0">
        <w:rPr>
          <w:rFonts w:ascii="Arial" w:hAnsi="Arial" w:cs="Arial"/>
          <w:lang w:val="en-US"/>
        </w:rPr>
        <w:t>Email: Richard.Jacobsen@ieau.com.au</w:t>
      </w:r>
    </w:p>
    <w:p w14:paraId="6AB704A4" w14:textId="77777777" w:rsidR="00326165" w:rsidRPr="00820FD0" w:rsidRDefault="00326165" w:rsidP="00326165">
      <w:pPr>
        <w:widowControl w:val="0"/>
        <w:autoSpaceDE w:val="0"/>
        <w:autoSpaceDN w:val="0"/>
        <w:adjustRightInd w:val="0"/>
        <w:ind w:left="4320"/>
        <w:rPr>
          <w:rFonts w:ascii="Times" w:hAnsi="Times" w:cs="Times"/>
          <w:lang w:val="en-US"/>
        </w:rPr>
      </w:pPr>
      <w:r w:rsidRPr="00820FD0">
        <w:rPr>
          <w:rFonts w:ascii="Times" w:hAnsi="Times" w:cs="Times"/>
          <w:lang w:val="en-US"/>
        </w:rPr>
        <w:t> </w:t>
      </w:r>
    </w:p>
    <w:p w14:paraId="0A39F07B" w14:textId="36D05CF6" w:rsidR="00326165" w:rsidRPr="00820FD0" w:rsidRDefault="00326165" w:rsidP="00326165">
      <w:pPr>
        <w:widowControl w:val="0"/>
        <w:autoSpaceDE w:val="0"/>
        <w:autoSpaceDN w:val="0"/>
        <w:adjustRightInd w:val="0"/>
        <w:ind w:left="3600"/>
        <w:rPr>
          <w:rFonts w:ascii="Times" w:hAnsi="Times" w:cs="Times"/>
          <w:lang w:val="en-US"/>
        </w:rPr>
      </w:pPr>
      <w:r>
        <w:rPr>
          <w:rFonts w:ascii="Arial" w:hAnsi="Arial" w:cs="Arial"/>
          <w:lang w:val="en-US"/>
        </w:rPr>
        <w:t>7</w:t>
      </w:r>
      <w:r w:rsidRPr="00326165">
        <w:rPr>
          <w:rFonts w:ascii="Arial" w:hAnsi="Arial" w:cs="Arial"/>
          <w:vertAlign w:val="superscript"/>
          <w:lang w:val="en-US"/>
        </w:rPr>
        <w:t>th</w:t>
      </w:r>
      <w:r>
        <w:rPr>
          <w:rFonts w:ascii="Arial" w:hAnsi="Arial" w:cs="Arial"/>
          <w:lang w:val="en-US"/>
        </w:rPr>
        <w:t xml:space="preserve"> November 2018</w:t>
      </w:r>
    </w:p>
    <w:p w14:paraId="6BCB5D8C" w14:textId="77777777" w:rsidR="00326165" w:rsidRPr="00820FD0" w:rsidRDefault="00326165" w:rsidP="00326165">
      <w:pPr>
        <w:widowControl w:val="0"/>
        <w:autoSpaceDE w:val="0"/>
        <w:autoSpaceDN w:val="0"/>
        <w:adjustRightInd w:val="0"/>
        <w:ind w:left="4320"/>
        <w:rPr>
          <w:rFonts w:ascii="Times" w:hAnsi="Times" w:cs="Times"/>
          <w:lang w:val="en-US"/>
        </w:rPr>
      </w:pPr>
      <w:r w:rsidRPr="00820FD0">
        <w:rPr>
          <w:rFonts w:ascii="Times" w:hAnsi="Times" w:cs="Times"/>
          <w:lang w:val="en-US"/>
        </w:rPr>
        <w:t>  </w:t>
      </w:r>
    </w:p>
    <w:p w14:paraId="1CADEC5A" w14:textId="77777777" w:rsidR="003B3370" w:rsidRPr="003B3370" w:rsidRDefault="003B3370" w:rsidP="003B3370">
      <w:pPr>
        <w:widowControl w:val="0"/>
        <w:autoSpaceDE w:val="0"/>
        <w:autoSpaceDN w:val="0"/>
        <w:adjustRightInd w:val="0"/>
        <w:rPr>
          <w:rFonts w:ascii="Arial" w:hAnsi="Arial" w:cs="Arial"/>
          <w:color w:val="2E2E2F"/>
        </w:rPr>
      </w:pPr>
      <w:r w:rsidRPr="003B3370">
        <w:rPr>
          <w:rFonts w:ascii="Arial" w:hAnsi="Arial" w:cs="Arial"/>
          <w:color w:val="2E2E2F"/>
        </w:rPr>
        <w:t>The Manager, Spectrum Planning Section</w:t>
      </w:r>
    </w:p>
    <w:p w14:paraId="5750F3E3" w14:textId="77777777" w:rsidR="003B3370" w:rsidRPr="003B3370" w:rsidRDefault="003B3370" w:rsidP="003B3370">
      <w:pPr>
        <w:widowControl w:val="0"/>
        <w:autoSpaceDE w:val="0"/>
        <w:autoSpaceDN w:val="0"/>
        <w:adjustRightInd w:val="0"/>
        <w:rPr>
          <w:rFonts w:ascii="Arial" w:hAnsi="Arial" w:cs="Arial"/>
          <w:color w:val="2E2E2F"/>
        </w:rPr>
      </w:pPr>
      <w:r w:rsidRPr="003B3370">
        <w:rPr>
          <w:rFonts w:ascii="Arial" w:hAnsi="Arial" w:cs="Arial"/>
          <w:color w:val="2E2E2F"/>
        </w:rPr>
        <w:t>Spectrum Planning and Engineering Branch</w:t>
      </w:r>
    </w:p>
    <w:p w14:paraId="57A93856" w14:textId="77777777" w:rsidR="003B3370" w:rsidRPr="003B3370" w:rsidRDefault="003B3370" w:rsidP="003B3370">
      <w:pPr>
        <w:widowControl w:val="0"/>
        <w:autoSpaceDE w:val="0"/>
        <w:autoSpaceDN w:val="0"/>
        <w:adjustRightInd w:val="0"/>
        <w:rPr>
          <w:rFonts w:ascii="Arial" w:hAnsi="Arial" w:cs="Arial"/>
          <w:color w:val="2E2E2F"/>
        </w:rPr>
      </w:pPr>
      <w:r w:rsidRPr="003B3370">
        <w:rPr>
          <w:rFonts w:ascii="Arial" w:hAnsi="Arial" w:cs="Arial"/>
          <w:color w:val="2E2E2F"/>
        </w:rPr>
        <w:t>Communications Infrastructure Division</w:t>
      </w:r>
    </w:p>
    <w:p w14:paraId="717BA695" w14:textId="2CAEF164" w:rsidR="00326165" w:rsidRPr="003B3370" w:rsidRDefault="003B3370" w:rsidP="00326165">
      <w:pPr>
        <w:widowControl w:val="0"/>
        <w:autoSpaceDE w:val="0"/>
        <w:autoSpaceDN w:val="0"/>
        <w:adjustRightInd w:val="0"/>
        <w:rPr>
          <w:rFonts w:ascii="Arial" w:hAnsi="Arial" w:cs="Arial"/>
          <w:color w:val="2E2E2F"/>
        </w:rPr>
      </w:pPr>
      <w:r w:rsidRPr="003B3370">
        <w:rPr>
          <w:rFonts w:ascii="Arial" w:hAnsi="Arial" w:cs="Arial"/>
          <w:color w:val="2E2E2F"/>
        </w:rPr>
        <w:t>PO Box 78, Belconnen, ACT 2616</w:t>
      </w:r>
    </w:p>
    <w:p w14:paraId="5B04A2F1" w14:textId="77777777" w:rsidR="00326165" w:rsidRPr="00326165" w:rsidRDefault="00326165" w:rsidP="00326165">
      <w:pPr>
        <w:widowControl w:val="0"/>
        <w:autoSpaceDE w:val="0"/>
        <w:autoSpaceDN w:val="0"/>
        <w:adjustRightInd w:val="0"/>
        <w:rPr>
          <w:rFonts w:ascii="Arial" w:hAnsi="Arial" w:cs="Arial"/>
          <w:color w:val="3C3C3E"/>
          <w:sz w:val="28"/>
          <w:szCs w:val="28"/>
        </w:rPr>
      </w:pPr>
    </w:p>
    <w:p w14:paraId="5BEBD0DD" w14:textId="77777777" w:rsidR="00326165" w:rsidRPr="00326165" w:rsidRDefault="00326165" w:rsidP="00326165">
      <w:pPr>
        <w:widowControl w:val="0"/>
        <w:autoSpaceDE w:val="0"/>
        <w:autoSpaceDN w:val="0"/>
        <w:adjustRightInd w:val="0"/>
        <w:rPr>
          <w:rFonts w:ascii="Arial" w:hAnsi="Arial" w:cs="Arial"/>
          <w:color w:val="3C3C3E"/>
        </w:rPr>
      </w:pPr>
    </w:p>
    <w:p w14:paraId="00B89BE9" w14:textId="417EFC7C" w:rsidR="00326165" w:rsidRPr="00326165" w:rsidRDefault="00203E65" w:rsidP="00326165">
      <w:pPr>
        <w:widowControl w:val="0"/>
        <w:autoSpaceDE w:val="0"/>
        <w:autoSpaceDN w:val="0"/>
        <w:adjustRightInd w:val="0"/>
        <w:rPr>
          <w:rFonts w:ascii="Arial" w:hAnsi="Arial" w:cs="Arial"/>
          <w:b/>
          <w:color w:val="3C3C3E"/>
        </w:rPr>
      </w:pPr>
      <w:hyperlink r:id="rId8" w:history="1">
        <w:r w:rsidR="003C3DD0" w:rsidRPr="007F4588">
          <w:rPr>
            <w:rStyle w:val="Hyperlink"/>
            <w:rFonts w:ascii="Arial" w:hAnsi="Arial" w:cs="Arial"/>
            <w:b/>
          </w:rPr>
          <w:t>IFC 32/2018</w:t>
        </w:r>
      </w:hyperlink>
      <w:r w:rsidR="003C3DD0">
        <w:rPr>
          <w:rFonts w:ascii="Arial" w:hAnsi="Arial" w:cs="Arial"/>
          <w:b/>
          <w:color w:val="3C3C3E"/>
        </w:rPr>
        <w:t xml:space="preserve"> - </w:t>
      </w:r>
      <w:r w:rsidR="00326165" w:rsidRPr="00326165">
        <w:rPr>
          <w:rFonts w:ascii="Arial" w:hAnsi="Arial" w:cs="Arial"/>
          <w:b/>
          <w:color w:val="3C3C3E"/>
        </w:rPr>
        <w:t>Options for wireless broadband in the 26 GHz band – Questions for Consultation</w:t>
      </w:r>
    </w:p>
    <w:p w14:paraId="4541E328" w14:textId="77777777" w:rsidR="00326165" w:rsidRPr="00326165" w:rsidRDefault="00326165" w:rsidP="00326165">
      <w:pPr>
        <w:widowControl w:val="0"/>
        <w:autoSpaceDE w:val="0"/>
        <w:autoSpaceDN w:val="0"/>
        <w:adjustRightInd w:val="0"/>
        <w:rPr>
          <w:rFonts w:ascii="Arial" w:hAnsi="Arial" w:cs="Arial"/>
          <w:color w:val="3C3C3E"/>
        </w:rPr>
      </w:pPr>
      <w:r w:rsidRPr="00326165">
        <w:rPr>
          <w:rFonts w:ascii="Arial" w:hAnsi="Arial" w:cs="Arial"/>
          <w:color w:val="3C3C3E"/>
        </w:rPr>
        <w:t>(Consultation closes: 09 November 2018)</w:t>
      </w:r>
    </w:p>
    <w:p w14:paraId="0BB44123" w14:textId="77777777" w:rsidR="00326165" w:rsidRPr="00326165" w:rsidRDefault="00326165" w:rsidP="00326165">
      <w:pPr>
        <w:widowControl w:val="0"/>
        <w:autoSpaceDE w:val="0"/>
        <w:autoSpaceDN w:val="0"/>
        <w:adjustRightInd w:val="0"/>
        <w:rPr>
          <w:rFonts w:ascii="Arial" w:hAnsi="Arial" w:cs="Arial"/>
          <w:color w:val="3C3C3E"/>
        </w:rPr>
      </w:pPr>
    </w:p>
    <w:p w14:paraId="1D33A539" w14:textId="77777777" w:rsidR="00326165" w:rsidRPr="00326165" w:rsidRDefault="00326165" w:rsidP="00326165">
      <w:pPr>
        <w:widowControl w:val="0"/>
        <w:autoSpaceDE w:val="0"/>
        <w:autoSpaceDN w:val="0"/>
        <w:adjustRightInd w:val="0"/>
        <w:rPr>
          <w:rFonts w:ascii="Arial" w:hAnsi="Arial" w:cs="Arial"/>
          <w:color w:val="3C3C3E"/>
        </w:rPr>
      </w:pPr>
      <w:r w:rsidRPr="00326165">
        <w:rPr>
          <w:rFonts w:ascii="Arial" w:hAnsi="Arial" w:cs="Arial"/>
          <w:color w:val="3C3C3E"/>
        </w:rPr>
        <w:t>Dear Manager,</w:t>
      </w:r>
    </w:p>
    <w:p w14:paraId="61563673" w14:textId="77777777" w:rsidR="00326165" w:rsidRPr="00326165" w:rsidRDefault="00326165" w:rsidP="00326165">
      <w:pPr>
        <w:widowControl w:val="0"/>
        <w:autoSpaceDE w:val="0"/>
        <w:autoSpaceDN w:val="0"/>
        <w:adjustRightInd w:val="0"/>
        <w:rPr>
          <w:rFonts w:ascii="Arial" w:hAnsi="Arial" w:cs="Arial"/>
          <w:color w:val="3C3C3E"/>
        </w:rPr>
      </w:pPr>
    </w:p>
    <w:p w14:paraId="0C416C31" w14:textId="77777777" w:rsidR="00CC70AC" w:rsidRDefault="00326165" w:rsidP="00326165">
      <w:pPr>
        <w:widowControl w:val="0"/>
        <w:autoSpaceDE w:val="0"/>
        <w:autoSpaceDN w:val="0"/>
        <w:adjustRightInd w:val="0"/>
        <w:rPr>
          <w:rFonts w:ascii="Arial" w:hAnsi="Arial" w:cs="Arial"/>
          <w:color w:val="3C3C3E"/>
        </w:rPr>
      </w:pPr>
      <w:r>
        <w:rPr>
          <w:rFonts w:ascii="Arial" w:hAnsi="Arial" w:cs="Arial"/>
          <w:color w:val="3C3C3E"/>
        </w:rPr>
        <w:t>Thank you for</w:t>
      </w:r>
      <w:r w:rsidRPr="00326165">
        <w:rPr>
          <w:rFonts w:ascii="Arial" w:hAnsi="Arial" w:cs="Arial"/>
          <w:color w:val="3C3C3E"/>
        </w:rPr>
        <w:t xml:space="preserve"> the opportunity to comment on the ACMA’s recently released consultation paper titled “Options for wireless broadband in the 26 GHz band”.  </w:t>
      </w:r>
    </w:p>
    <w:p w14:paraId="69F04DEA" w14:textId="77777777" w:rsidR="00CC70AC" w:rsidRDefault="00CC70AC" w:rsidP="00326165">
      <w:pPr>
        <w:widowControl w:val="0"/>
        <w:autoSpaceDE w:val="0"/>
        <w:autoSpaceDN w:val="0"/>
        <w:adjustRightInd w:val="0"/>
        <w:rPr>
          <w:rFonts w:ascii="Arial" w:hAnsi="Arial" w:cs="Arial"/>
          <w:color w:val="3C3C3E"/>
        </w:rPr>
      </w:pPr>
    </w:p>
    <w:p w14:paraId="22C282E7" w14:textId="092855BD" w:rsidR="00CC70AC" w:rsidRDefault="00CC70AC" w:rsidP="00326165">
      <w:pPr>
        <w:widowControl w:val="0"/>
        <w:autoSpaceDE w:val="0"/>
        <w:autoSpaceDN w:val="0"/>
        <w:adjustRightInd w:val="0"/>
        <w:rPr>
          <w:rFonts w:ascii="Arial" w:hAnsi="Arial" w:cs="Arial"/>
          <w:color w:val="3C3C3E"/>
        </w:rPr>
      </w:pPr>
      <w:r>
        <w:rPr>
          <w:rFonts w:ascii="Arial" w:hAnsi="Arial" w:cs="Arial"/>
          <w:lang w:val="en-US"/>
        </w:rPr>
        <w:t xml:space="preserve">The </w:t>
      </w:r>
      <w:r w:rsidRPr="00820FD0">
        <w:rPr>
          <w:rFonts w:ascii="Arial" w:hAnsi="Arial" w:cs="Arial"/>
          <w:lang w:val="en-US"/>
        </w:rPr>
        <w:t>European Space Agency (ESA)</w:t>
      </w:r>
      <w:r>
        <w:rPr>
          <w:rFonts w:ascii="Arial" w:hAnsi="Arial" w:cs="Arial"/>
          <w:lang w:val="en-US"/>
        </w:rPr>
        <w:t xml:space="preserve"> is </w:t>
      </w:r>
      <w:r w:rsidR="002253DB">
        <w:rPr>
          <w:rFonts w:ascii="Arial" w:hAnsi="Arial" w:cs="Arial"/>
          <w:lang w:val="en-US"/>
        </w:rPr>
        <w:t>happy</w:t>
      </w:r>
      <w:r>
        <w:rPr>
          <w:rFonts w:ascii="Arial" w:hAnsi="Arial" w:cs="Arial"/>
          <w:lang w:val="en-US"/>
        </w:rPr>
        <w:t xml:space="preserve"> to </w:t>
      </w:r>
      <w:r w:rsidR="00315CDD">
        <w:rPr>
          <w:rFonts w:ascii="Arial" w:hAnsi="Arial" w:cs="Arial"/>
          <w:lang w:val="en-US"/>
        </w:rPr>
        <w:t xml:space="preserve">provide </w:t>
      </w:r>
      <w:r w:rsidR="002253DB">
        <w:rPr>
          <w:rFonts w:ascii="Arial" w:hAnsi="Arial" w:cs="Arial"/>
          <w:lang w:val="en-US"/>
        </w:rPr>
        <w:t xml:space="preserve">constructive </w:t>
      </w:r>
      <w:r w:rsidR="00315CDD">
        <w:rPr>
          <w:rFonts w:ascii="Arial" w:hAnsi="Arial" w:cs="Arial"/>
          <w:lang w:val="en-US"/>
        </w:rPr>
        <w:t xml:space="preserve">comments on this options paper and </w:t>
      </w:r>
      <w:r w:rsidRPr="00820FD0">
        <w:rPr>
          <w:rFonts w:ascii="Arial" w:hAnsi="Arial" w:cs="Arial"/>
          <w:lang w:val="en-US"/>
        </w:rPr>
        <w:t>I</w:t>
      </w:r>
      <w:r w:rsidR="00B25903">
        <w:rPr>
          <w:rFonts w:ascii="Arial" w:hAnsi="Arial" w:cs="Arial"/>
          <w:lang w:val="en-US"/>
        </w:rPr>
        <w:t>, acting as a proxy for ESA,</w:t>
      </w:r>
      <w:r w:rsidRPr="00820FD0">
        <w:rPr>
          <w:rFonts w:ascii="Arial" w:hAnsi="Arial" w:cs="Arial"/>
          <w:lang w:val="en-US"/>
        </w:rPr>
        <w:t xml:space="preserve"> am </w:t>
      </w:r>
      <w:r>
        <w:rPr>
          <w:rFonts w:ascii="Arial" w:hAnsi="Arial" w:cs="Arial"/>
          <w:lang w:val="en-US"/>
        </w:rPr>
        <w:t xml:space="preserve">therefore </w:t>
      </w:r>
      <w:r w:rsidRPr="00820FD0">
        <w:rPr>
          <w:rFonts w:ascii="Arial" w:hAnsi="Arial" w:cs="Arial"/>
          <w:lang w:val="en-US"/>
        </w:rPr>
        <w:t>pleased to here</w:t>
      </w:r>
      <w:r w:rsidR="00315CDD">
        <w:rPr>
          <w:rFonts w:ascii="Arial" w:hAnsi="Arial" w:cs="Arial"/>
          <w:lang w:val="en-US"/>
        </w:rPr>
        <w:t>in</w:t>
      </w:r>
      <w:r w:rsidRPr="00820FD0">
        <w:rPr>
          <w:rFonts w:ascii="Arial" w:hAnsi="Arial" w:cs="Arial"/>
          <w:lang w:val="en-US"/>
        </w:rPr>
        <w:t xml:space="preserve"> </w:t>
      </w:r>
      <w:r w:rsidR="00315CDD">
        <w:rPr>
          <w:rFonts w:ascii="Arial" w:hAnsi="Arial" w:cs="Arial"/>
          <w:lang w:val="en-US"/>
        </w:rPr>
        <w:t>present their thoughts and suggestions for consideration by the ACMA.  In submitting the comments (below) on behalf of ESA</w:t>
      </w:r>
      <w:r>
        <w:rPr>
          <w:rFonts w:ascii="Arial" w:hAnsi="Arial" w:cs="Arial"/>
          <w:lang w:val="en-US"/>
        </w:rPr>
        <w:t xml:space="preserve"> </w:t>
      </w:r>
      <w:r w:rsidR="00315CDD">
        <w:rPr>
          <w:rFonts w:ascii="Arial" w:hAnsi="Arial" w:cs="Arial"/>
          <w:lang w:val="en-US"/>
        </w:rPr>
        <w:t>I am pleased to be able to articulate</w:t>
      </w:r>
      <w:r>
        <w:rPr>
          <w:rFonts w:ascii="Arial" w:hAnsi="Arial" w:cs="Arial"/>
          <w:lang w:val="en-US"/>
        </w:rPr>
        <w:t xml:space="preserve"> their </w:t>
      </w:r>
      <w:r w:rsidR="00B25903">
        <w:rPr>
          <w:rFonts w:ascii="Arial" w:hAnsi="Arial" w:cs="Arial"/>
          <w:lang w:val="en-US"/>
        </w:rPr>
        <w:t xml:space="preserve">thoughts from the perspective of </w:t>
      </w:r>
      <w:r w:rsidR="002253DB">
        <w:rPr>
          <w:rFonts w:ascii="Arial" w:hAnsi="Arial" w:cs="Arial"/>
          <w:lang w:val="en-US"/>
        </w:rPr>
        <w:t>ESA’s</w:t>
      </w:r>
      <w:r w:rsidR="00B25903">
        <w:rPr>
          <w:rFonts w:ascii="Arial" w:hAnsi="Arial" w:cs="Arial"/>
          <w:lang w:val="en-US"/>
        </w:rPr>
        <w:t xml:space="preserve"> </w:t>
      </w:r>
      <w:proofErr w:type="gramStart"/>
      <w:r w:rsidR="00315CDD">
        <w:rPr>
          <w:rFonts w:ascii="Arial" w:hAnsi="Arial" w:cs="Arial"/>
          <w:lang w:val="en-US"/>
        </w:rPr>
        <w:t>long term</w:t>
      </w:r>
      <w:proofErr w:type="gramEnd"/>
      <w:r w:rsidR="00315CDD">
        <w:rPr>
          <w:rFonts w:ascii="Arial" w:hAnsi="Arial" w:cs="Arial"/>
          <w:lang w:val="en-US"/>
        </w:rPr>
        <w:t xml:space="preserve"> operations </w:t>
      </w:r>
      <w:r>
        <w:rPr>
          <w:rFonts w:ascii="Arial" w:hAnsi="Arial" w:cs="Arial"/>
          <w:lang w:val="en-US"/>
        </w:rPr>
        <w:t>interests</w:t>
      </w:r>
      <w:r w:rsidRPr="00820FD0">
        <w:rPr>
          <w:rFonts w:ascii="Arial" w:hAnsi="Arial" w:cs="Arial"/>
          <w:lang w:val="en-US"/>
        </w:rPr>
        <w:t xml:space="preserve"> particularly as related to potential implications for the current and future </w:t>
      </w:r>
      <w:r>
        <w:rPr>
          <w:rFonts w:ascii="Arial" w:hAnsi="Arial" w:cs="Arial"/>
          <w:lang w:val="en-US"/>
        </w:rPr>
        <w:t xml:space="preserve">security of </w:t>
      </w:r>
      <w:r w:rsidR="00B25903">
        <w:rPr>
          <w:rFonts w:ascii="Arial" w:hAnsi="Arial" w:cs="Arial"/>
          <w:lang w:val="en-US"/>
        </w:rPr>
        <w:t xml:space="preserve">interference free </w:t>
      </w:r>
      <w:r w:rsidRPr="00820FD0">
        <w:rPr>
          <w:rFonts w:ascii="Arial" w:hAnsi="Arial" w:cs="Arial"/>
          <w:lang w:val="en-US"/>
        </w:rPr>
        <w:t>operations of Space Research Service activities at New Norcia, W.A.</w:t>
      </w:r>
    </w:p>
    <w:p w14:paraId="650CE777" w14:textId="77777777" w:rsidR="00CC70AC" w:rsidRDefault="00CC70AC" w:rsidP="00326165">
      <w:pPr>
        <w:widowControl w:val="0"/>
        <w:autoSpaceDE w:val="0"/>
        <w:autoSpaceDN w:val="0"/>
        <w:adjustRightInd w:val="0"/>
        <w:rPr>
          <w:rFonts w:ascii="Arial" w:hAnsi="Arial" w:cs="Arial"/>
          <w:color w:val="3C3C3E"/>
        </w:rPr>
      </w:pPr>
    </w:p>
    <w:p w14:paraId="4373C334" w14:textId="6B6DDA3F" w:rsidR="00326165" w:rsidRPr="00326165" w:rsidRDefault="00315CDD" w:rsidP="00326165">
      <w:pPr>
        <w:widowControl w:val="0"/>
        <w:autoSpaceDE w:val="0"/>
        <w:autoSpaceDN w:val="0"/>
        <w:adjustRightInd w:val="0"/>
        <w:rPr>
          <w:rFonts w:ascii="Arial" w:hAnsi="Arial" w:cs="Arial"/>
          <w:color w:val="3C3C3E"/>
        </w:rPr>
      </w:pPr>
      <w:r>
        <w:rPr>
          <w:rFonts w:ascii="Arial" w:hAnsi="Arial" w:cs="Arial"/>
          <w:color w:val="3C3C3E"/>
        </w:rPr>
        <w:t xml:space="preserve">In addressing this </w:t>
      </w:r>
      <w:r w:rsidR="00D31ECD">
        <w:rPr>
          <w:rFonts w:ascii="Arial" w:hAnsi="Arial" w:cs="Arial"/>
          <w:color w:val="3C3C3E"/>
        </w:rPr>
        <w:t>Options consultation document, the</w:t>
      </w:r>
      <w:r w:rsidR="00326165">
        <w:rPr>
          <w:rFonts w:ascii="Arial" w:hAnsi="Arial" w:cs="Arial"/>
          <w:color w:val="3C3C3E"/>
        </w:rPr>
        <w:t xml:space="preserve"> European Space Agency </w:t>
      </w:r>
      <w:r w:rsidR="00326165" w:rsidRPr="00326165">
        <w:rPr>
          <w:rFonts w:ascii="Arial" w:hAnsi="Arial" w:cs="Arial"/>
          <w:color w:val="3C3C3E"/>
        </w:rPr>
        <w:t xml:space="preserve">notes that </w:t>
      </w:r>
      <w:r w:rsidR="00D31ECD">
        <w:rPr>
          <w:rFonts w:ascii="Arial" w:hAnsi="Arial" w:cs="Arial"/>
          <w:color w:val="3C3C3E"/>
        </w:rPr>
        <w:t>it</w:t>
      </w:r>
      <w:r w:rsidR="00326165">
        <w:rPr>
          <w:rFonts w:ascii="Arial" w:hAnsi="Arial" w:cs="Arial"/>
          <w:color w:val="3C3C3E"/>
        </w:rPr>
        <w:t xml:space="preserve"> </w:t>
      </w:r>
      <w:r w:rsidR="00D31ECD">
        <w:rPr>
          <w:rFonts w:ascii="Arial" w:hAnsi="Arial" w:cs="Arial"/>
          <w:color w:val="3C3C3E"/>
        </w:rPr>
        <w:t>primarily provides</w:t>
      </w:r>
      <w:r w:rsidR="00326165">
        <w:rPr>
          <w:rFonts w:ascii="Arial" w:hAnsi="Arial" w:cs="Arial"/>
          <w:color w:val="3C3C3E"/>
        </w:rPr>
        <w:t xml:space="preserve"> information for and seeks comments from prospective new 5G</w:t>
      </w:r>
      <w:r w:rsidR="00F428A4">
        <w:rPr>
          <w:rFonts w:ascii="Arial" w:hAnsi="Arial" w:cs="Arial"/>
          <w:color w:val="3C3C3E"/>
        </w:rPr>
        <w:t xml:space="preserve"> (IMT-2020)</w:t>
      </w:r>
      <w:r w:rsidR="00326165">
        <w:rPr>
          <w:rFonts w:ascii="Arial" w:hAnsi="Arial" w:cs="Arial"/>
          <w:color w:val="3C3C3E"/>
        </w:rPr>
        <w:t xml:space="preserve"> broadband operators.  Therefore, while the</w:t>
      </w:r>
      <w:r w:rsidR="00326165" w:rsidRPr="00326165">
        <w:rPr>
          <w:rFonts w:ascii="Arial" w:hAnsi="Arial" w:cs="Arial"/>
          <w:color w:val="3C3C3E"/>
        </w:rPr>
        <w:t xml:space="preserve"> questions are targeted to prospective new 5G Wireless Broadband licensed operators</w:t>
      </w:r>
      <w:r w:rsidR="00326165">
        <w:rPr>
          <w:rFonts w:ascii="Arial" w:hAnsi="Arial" w:cs="Arial"/>
          <w:color w:val="3C3C3E"/>
        </w:rPr>
        <w:t>, ESA is pleased to</w:t>
      </w:r>
      <w:r w:rsidR="00B234A9">
        <w:rPr>
          <w:rFonts w:ascii="Arial" w:hAnsi="Arial" w:cs="Arial"/>
          <w:color w:val="3C3C3E"/>
        </w:rPr>
        <w:t xml:space="preserve"> take this opportunity to</w:t>
      </w:r>
      <w:r w:rsidR="00326165">
        <w:rPr>
          <w:rFonts w:ascii="Arial" w:hAnsi="Arial" w:cs="Arial"/>
          <w:color w:val="3C3C3E"/>
        </w:rPr>
        <w:t xml:space="preserve"> contribute to the work of the ACMA by providing some </w:t>
      </w:r>
      <w:r w:rsidR="00B234A9">
        <w:rPr>
          <w:rFonts w:ascii="Arial" w:hAnsi="Arial" w:cs="Arial"/>
          <w:color w:val="3C3C3E"/>
        </w:rPr>
        <w:t xml:space="preserve">constructive </w:t>
      </w:r>
      <w:r w:rsidR="00326165">
        <w:rPr>
          <w:rFonts w:ascii="Arial" w:hAnsi="Arial" w:cs="Arial"/>
          <w:color w:val="3C3C3E"/>
        </w:rPr>
        <w:t xml:space="preserve">inputs to </w:t>
      </w:r>
      <w:r w:rsidR="00B234A9">
        <w:rPr>
          <w:rFonts w:ascii="Arial" w:hAnsi="Arial" w:cs="Arial"/>
          <w:color w:val="3C3C3E"/>
        </w:rPr>
        <w:t xml:space="preserve">those few </w:t>
      </w:r>
      <w:r w:rsidR="00326165">
        <w:rPr>
          <w:rFonts w:ascii="Arial" w:hAnsi="Arial" w:cs="Arial"/>
          <w:color w:val="3C3C3E"/>
        </w:rPr>
        <w:t xml:space="preserve">questions where there </w:t>
      </w:r>
      <w:r w:rsidR="00B234A9">
        <w:rPr>
          <w:rFonts w:ascii="Arial" w:hAnsi="Arial" w:cs="Arial"/>
          <w:color w:val="3C3C3E"/>
        </w:rPr>
        <w:t>is</w:t>
      </w:r>
      <w:r w:rsidR="00326165">
        <w:rPr>
          <w:rFonts w:ascii="Arial" w:hAnsi="Arial" w:cs="Arial"/>
          <w:color w:val="3C3C3E"/>
        </w:rPr>
        <w:t xml:space="preserve"> some relevance from the perspective of </w:t>
      </w:r>
      <w:r w:rsidR="00326165" w:rsidRPr="00326165">
        <w:rPr>
          <w:rFonts w:ascii="Arial" w:hAnsi="Arial" w:cs="Arial"/>
          <w:color w:val="3C3C3E"/>
        </w:rPr>
        <w:t xml:space="preserve">an established </w:t>
      </w:r>
      <w:r w:rsidR="00326165">
        <w:rPr>
          <w:rFonts w:ascii="Arial" w:hAnsi="Arial" w:cs="Arial"/>
          <w:color w:val="3C3C3E"/>
        </w:rPr>
        <w:t xml:space="preserve">Space Research Service </w:t>
      </w:r>
      <w:r w:rsidR="00326165" w:rsidRPr="00326165">
        <w:rPr>
          <w:rFonts w:ascii="Arial" w:hAnsi="Arial" w:cs="Arial"/>
          <w:color w:val="3C3C3E"/>
        </w:rPr>
        <w:t>licensed user</w:t>
      </w:r>
      <w:r w:rsidR="00F428A4">
        <w:rPr>
          <w:rFonts w:ascii="Arial" w:hAnsi="Arial" w:cs="Arial"/>
          <w:color w:val="3C3C3E"/>
        </w:rPr>
        <w:t xml:space="preserve"> at New Norcia</w:t>
      </w:r>
      <w:r w:rsidR="00326165" w:rsidRPr="00326165">
        <w:rPr>
          <w:rFonts w:ascii="Arial" w:hAnsi="Arial" w:cs="Arial"/>
          <w:color w:val="3C3C3E"/>
        </w:rPr>
        <w:t xml:space="preserve"> across the 25.5 – 27.0 GHz band</w:t>
      </w:r>
      <w:r w:rsidR="00326165">
        <w:rPr>
          <w:rFonts w:ascii="Arial" w:hAnsi="Arial" w:cs="Arial"/>
          <w:color w:val="3C3C3E"/>
        </w:rPr>
        <w:t>.</w:t>
      </w:r>
      <w:r w:rsidR="00326165" w:rsidRPr="00326165">
        <w:rPr>
          <w:rFonts w:ascii="Arial" w:hAnsi="Arial" w:cs="Arial"/>
          <w:color w:val="3C3C3E"/>
        </w:rPr>
        <w:t xml:space="preserve">  </w:t>
      </w:r>
      <w:r w:rsidR="00B234A9">
        <w:rPr>
          <w:rFonts w:ascii="Arial" w:hAnsi="Arial" w:cs="Arial"/>
          <w:color w:val="3C3C3E"/>
        </w:rPr>
        <w:t xml:space="preserve">Notwithstanding this limited scope, </w:t>
      </w:r>
      <w:r w:rsidR="00326165">
        <w:rPr>
          <w:rFonts w:ascii="Arial" w:hAnsi="Arial" w:cs="Arial"/>
          <w:color w:val="3C3C3E"/>
        </w:rPr>
        <w:t>ESA</w:t>
      </w:r>
      <w:r w:rsidR="00326165" w:rsidRPr="00326165">
        <w:rPr>
          <w:rFonts w:ascii="Arial" w:hAnsi="Arial" w:cs="Arial"/>
          <w:color w:val="3C3C3E"/>
        </w:rPr>
        <w:t xml:space="preserve"> is nevertheless pleased to provide </w:t>
      </w:r>
      <w:r w:rsidR="00B234A9">
        <w:rPr>
          <w:rFonts w:ascii="Arial" w:hAnsi="Arial" w:cs="Arial"/>
          <w:color w:val="3C3C3E"/>
        </w:rPr>
        <w:t xml:space="preserve">the following input </w:t>
      </w:r>
      <w:r w:rsidR="00326165">
        <w:rPr>
          <w:rFonts w:ascii="Arial" w:hAnsi="Arial" w:cs="Arial"/>
          <w:color w:val="3C3C3E"/>
        </w:rPr>
        <w:t>with a view to assisting ACMA in its plans towards candidate options for licensing of new 5G broadband operators in the generically titled “26 GHz band”.</w:t>
      </w:r>
    </w:p>
    <w:p w14:paraId="4B146B2C" w14:textId="77777777" w:rsidR="00326165" w:rsidRPr="00326165" w:rsidRDefault="00326165" w:rsidP="00326165">
      <w:pPr>
        <w:widowControl w:val="0"/>
        <w:autoSpaceDE w:val="0"/>
        <w:autoSpaceDN w:val="0"/>
        <w:adjustRightInd w:val="0"/>
        <w:rPr>
          <w:rFonts w:ascii="Arial" w:hAnsi="Arial" w:cs="Arial"/>
          <w:color w:val="3C3C3E"/>
        </w:rPr>
      </w:pPr>
    </w:p>
    <w:p w14:paraId="7E0212CD" w14:textId="224CC37E" w:rsidR="00326165" w:rsidRDefault="00D31ECD" w:rsidP="00326165">
      <w:pPr>
        <w:widowControl w:val="0"/>
        <w:autoSpaceDE w:val="0"/>
        <w:autoSpaceDN w:val="0"/>
        <w:adjustRightInd w:val="0"/>
        <w:rPr>
          <w:rFonts w:ascii="Arial" w:hAnsi="Arial" w:cs="Arial"/>
          <w:color w:val="3C3C3E"/>
        </w:rPr>
      </w:pPr>
      <w:r>
        <w:rPr>
          <w:rFonts w:ascii="Arial" w:hAnsi="Arial" w:cs="Arial"/>
          <w:color w:val="3C3C3E"/>
        </w:rPr>
        <w:t xml:space="preserve">Finally, </w:t>
      </w:r>
      <w:r w:rsidR="00F428A4">
        <w:rPr>
          <w:rFonts w:ascii="Arial" w:hAnsi="Arial" w:cs="Arial"/>
          <w:color w:val="3C3C3E"/>
        </w:rPr>
        <w:t>ESA’s</w:t>
      </w:r>
      <w:r w:rsidR="00326165" w:rsidRPr="00326165">
        <w:rPr>
          <w:rFonts w:ascii="Arial" w:hAnsi="Arial" w:cs="Arial"/>
          <w:color w:val="3C3C3E"/>
        </w:rPr>
        <w:t xml:space="preserve"> interest in the consultation paper on Options for wireless broadband </w:t>
      </w:r>
      <w:r>
        <w:rPr>
          <w:rFonts w:ascii="Arial" w:hAnsi="Arial" w:cs="Arial"/>
          <w:color w:val="3C3C3E"/>
        </w:rPr>
        <w:t xml:space="preserve">(IMT-2020) </w:t>
      </w:r>
      <w:r w:rsidR="00326165" w:rsidRPr="00326165">
        <w:rPr>
          <w:rFonts w:ascii="Arial" w:hAnsi="Arial" w:cs="Arial"/>
          <w:color w:val="3C3C3E"/>
        </w:rPr>
        <w:t xml:space="preserve">in the 26 GHz band relates to </w:t>
      </w:r>
      <w:r w:rsidR="00F428A4">
        <w:rPr>
          <w:rFonts w:ascii="Arial" w:hAnsi="Arial" w:cs="Arial"/>
          <w:color w:val="3C3C3E"/>
        </w:rPr>
        <w:t>the</w:t>
      </w:r>
      <w:r w:rsidR="002253DB">
        <w:rPr>
          <w:rFonts w:ascii="Arial" w:hAnsi="Arial" w:cs="Arial"/>
          <w:color w:val="3C3C3E"/>
        </w:rPr>
        <w:t>ir</w:t>
      </w:r>
      <w:r w:rsidR="00F428A4">
        <w:rPr>
          <w:rFonts w:ascii="Arial" w:hAnsi="Arial" w:cs="Arial"/>
          <w:color w:val="3C3C3E"/>
        </w:rPr>
        <w:t xml:space="preserve"> planned critical space research missions support commitments at New Norcia</w:t>
      </w:r>
      <w:r w:rsidR="00326165" w:rsidRPr="00326165">
        <w:rPr>
          <w:rFonts w:ascii="Arial" w:hAnsi="Arial" w:cs="Arial"/>
          <w:color w:val="3C3C3E"/>
        </w:rPr>
        <w:t xml:space="preserve"> </w:t>
      </w:r>
      <w:r w:rsidR="00F428A4">
        <w:rPr>
          <w:rFonts w:ascii="Arial" w:hAnsi="Arial" w:cs="Arial"/>
          <w:color w:val="3C3C3E"/>
        </w:rPr>
        <w:t xml:space="preserve">in the medium to long term, which </w:t>
      </w:r>
      <w:r w:rsidR="00F428A4">
        <w:rPr>
          <w:rFonts w:ascii="Arial" w:hAnsi="Arial" w:cs="Arial"/>
          <w:color w:val="3C3C3E"/>
        </w:rPr>
        <w:lastRenderedPageBreak/>
        <w:t>includes the</w:t>
      </w:r>
      <w:r w:rsidR="00326165" w:rsidRPr="00326165">
        <w:rPr>
          <w:rFonts w:ascii="Arial" w:hAnsi="Arial" w:cs="Arial"/>
          <w:color w:val="3C3C3E"/>
        </w:rPr>
        <w:t xml:space="preserve"> 25.5 – 27.0 GHz band, allocated to the S</w:t>
      </w:r>
      <w:r w:rsidR="00121271">
        <w:rPr>
          <w:rFonts w:ascii="Arial" w:hAnsi="Arial" w:cs="Arial"/>
          <w:color w:val="3C3C3E"/>
        </w:rPr>
        <w:t>pace</w:t>
      </w:r>
      <w:r w:rsidR="00326165" w:rsidRPr="00326165">
        <w:rPr>
          <w:rFonts w:ascii="Arial" w:hAnsi="Arial" w:cs="Arial"/>
          <w:color w:val="3C3C3E"/>
        </w:rPr>
        <w:t xml:space="preserve"> R</w:t>
      </w:r>
      <w:r w:rsidR="00121271">
        <w:rPr>
          <w:rFonts w:ascii="Arial" w:hAnsi="Arial" w:cs="Arial"/>
          <w:color w:val="3C3C3E"/>
        </w:rPr>
        <w:t>esearch</w:t>
      </w:r>
      <w:r w:rsidR="00326165" w:rsidRPr="00326165">
        <w:rPr>
          <w:rFonts w:ascii="Arial" w:hAnsi="Arial" w:cs="Arial"/>
          <w:color w:val="3C3C3E"/>
        </w:rPr>
        <w:t xml:space="preserve"> Service (space-to-Earth) on a primary basis</w:t>
      </w:r>
      <w:r w:rsidR="00F428A4">
        <w:rPr>
          <w:rFonts w:ascii="Arial" w:hAnsi="Arial" w:cs="Arial"/>
          <w:color w:val="3C3C3E"/>
        </w:rPr>
        <w:t xml:space="preserve">.   These immutable plans have been made within the productive and mutually beneficial </w:t>
      </w:r>
      <w:r w:rsidR="005A3E0E">
        <w:rPr>
          <w:rFonts w:ascii="Arial" w:hAnsi="Arial" w:cs="Arial"/>
          <w:color w:val="3C3C3E"/>
        </w:rPr>
        <w:t>arrangements</w:t>
      </w:r>
      <w:r w:rsidR="00326165" w:rsidRPr="00326165">
        <w:rPr>
          <w:rFonts w:ascii="Arial" w:hAnsi="Arial" w:cs="Arial"/>
          <w:color w:val="3C3C3E"/>
        </w:rPr>
        <w:t xml:space="preserve">, for </w:t>
      </w:r>
      <w:r w:rsidR="005A3E0E">
        <w:rPr>
          <w:rFonts w:ascii="Arial" w:hAnsi="Arial" w:cs="Arial"/>
          <w:color w:val="3C3C3E"/>
        </w:rPr>
        <w:t xml:space="preserve">planned </w:t>
      </w:r>
      <w:r w:rsidR="00326165" w:rsidRPr="00326165">
        <w:rPr>
          <w:rFonts w:ascii="Arial" w:hAnsi="Arial" w:cs="Arial"/>
          <w:color w:val="3C3C3E"/>
        </w:rPr>
        <w:t xml:space="preserve">critical tracking, telemetry and control purposes, under the </w:t>
      </w:r>
      <w:proofErr w:type="gramStart"/>
      <w:r w:rsidR="00F428A4">
        <w:rPr>
          <w:rFonts w:ascii="Arial" w:hAnsi="Arial" w:cs="Arial"/>
          <w:color w:val="3C3C3E"/>
        </w:rPr>
        <w:t>long standing</w:t>
      </w:r>
      <w:proofErr w:type="gramEnd"/>
      <w:r w:rsidR="00F428A4">
        <w:rPr>
          <w:rFonts w:ascii="Arial" w:hAnsi="Arial" w:cs="Arial"/>
          <w:color w:val="3C3C3E"/>
        </w:rPr>
        <w:t xml:space="preserve"> collaborative </w:t>
      </w:r>
      <w:r w:rsidR="00326165" w:rsidRPr="00326165">
        <w:rPr>
          <w:rFonts w:ascii="Arial" w:hAnsi="Arial" w:cs="Arial"/>
          <w:color w:val="3C3C3E"/>
        </w:rPr>
        <w:t xml:space="preserve">partnership arrangement </w:t>
      </w:r>
      <w:r w:rsidR="00F428A4">
        <w:rPr>
          <w:rFonts w:ascii="Arial" w:hAnsi="Arial" w:cs="Arial"/>
          <w:color w:val="3C3C3E"/>
        </w:rPr>
        <w:t>between the Australian government and ESA</w:t>
      </w:r>
      <w:r>
        <w:rPr>
          <w:rFonts w:ascii="Arial" w:hAnsi="Arial" w:cs="Arial"/>
          <w:color w:val="3C3C3E"/>
        </w:rPr>
        <w:t xml:space="preserve">, </w:t>
      </w:r>
      <w:r w:rsidR="00B232B0">
        <w:rPr>
          <w:rFonts w:ascii="Arial" w:hAnsi="Arial" w:cs="Arial"/>
          <w:color w:val="3C3C3E"/>
        </w:rPr>
        <w:t>as reflected</w:t>
      </w:r>
      <w:r>
        <w:rPr>
          <w:rFonts w:ascii="Arial" w:hAnsi="Arial" w:cs="Arial"/>
          <w:color w:val="3C3C3E"/>
        </w:rPr>
        <w:t xml:space="preserve"> within the provisions of the Treaty Arrangements between ESA and the Australian government.</w:t>
      </w:r>
    </w:p>
    <w:p w14:paraId="5BD14987" w14:textId="77777777" w:rsidR="005A3E0E" w:rsidRPr="00326165" w:rsidRDefault="005A3E0E" w:rsidP="00326165">
      <w:pPr>
        <w:widowControl w:val="0"/>
        <w:autoSpaceDE w:val="0"/>
        <w:autoSpaceDN w:val="0"/>
        <w:adjustRightInd w:val="0"/>
        <w:rPr>
          <w:rFonts w:ascii="Arial" w:hAnsi="Arial" w:cs="Arial"/>
          <w:color w:val="3C3C3E"/>
        </w:rPr>
      </w:pPr>
    </w:p>
    <w:p w14:paraId="30982B60" w14:textId="781AF258" w:rsidR="00326165" w:rsidRPr="00326165" w:rsidRDefault="00D31ECD" w:rsidP="00326165">
      <w:pPr>
        <w:widowControl w:val="0"/>
        <w:autoSpaceDE w:val="0"/>
        <w:autoSpaceDN w:val="0"/>
        <w:adjustRightInd w:val="0"/>
        <w:rPr>
          <w:rFonts w:ascii="Arial" w:hAnsi="Arial" w:cs="Arial"/>
          <w:color w:val="3C3C3E"/>
        </w:rPr>
      </w:pPr>
      <w:r>
        <w:rPr>
          <w:rFonts w:ascii="Arial" w:hAnsi="Arial" w:cs="Arial"/>
          <w:color w:val="3C3C3E"/>
        </w:rPr>
        <w:t xml:space="preserve">To the questions provided in the Options document, ESA </w:t>
      </w:r>
      <w:r w:rsidR="00326165" w:rsidRPr="00326165">
        <w:rPr>
          <w:rFonts w:ascii="Arial" w:hAnsi="Arial" w:cs="Arial"/>
          <w:color w:val="3C3C3E"/>
        </w:rPr>
        <w:t xml:space="preserve">is pleased </w:t>
      </w:r>
      <w:r w:rsidR="00B232B0">
        <w:rPr>
          <w:rFonts w:ascii="Arial" w:hAnsi="Arial" w:cs="Arial"/>
          <w:color w:val="3C3C3E"/>
        </w:rPr>
        <w:t xml:space="preserve">to </w:t>
      </w:r>
      <w:r w:rsidR="00326165" w:rsidRPr="00326165">
        <w:rPr>
          <w:rFonts w:ascii="Arial" w:hAnsi="Arial" w:cs="Arial"/>
          <w:color w:val="3C3C3E"/>
        </w:rPr>
        <w:t>offer the following comments:</w:t>
      </w:r>
    </w:p>
    <w:p w14:paraId="58C4C0BD" w14:textId="77777777" w:rsidR="00326165" w:rsidRPr="00326165" w:rsidRDefault="00326165" w:rsidP="00326165">
      <w:pPr>
        <w:widowControl w:val="0"/>
        <w:autoSpaceDE w:val="0"/>
        <w:autoSpaceDN w:val="0"/>
        <w:adjustRightInd w:val="0"/>
        <w:rPr>
          <w:rFonts w:ascii="Arial" w:hAnsi="Arial" w:cs="Arial"/>
          <w:color w:val="3C3C3E"/>
        </w:rPr>
      </w:pPr>
    </w:p>
    <w:p w14:paraId="0F22FBB7" w14:textId="77777777" w:rsidR="00326165" w:rsidRPr="00326165" w:rsidRDefault="00326165" w:rsidP="00326165">
      <w:pPr>
        <w:widowControl w:val="0"/>
        <w:numPr>
          <w:ilvl w:val="0"/>
          <w:numId w:val="3"/>
        </w:numPr>
        <w:autoSpaceDE w:val="0"/>
        <w:autoSpaceDN w:val="0"/>
        <w:adjustRightInd w:val="0"/>
        <w:rPr>
          <w:rFonts w:ascii="Arial" w:hAnsi="Arial" w:cs="Arial"/>
          <w:b/>
          <w:color w:val="3C3C3E"/>
        </w:rPr>
      </w:pPr>
      <w:r w:rsidRPr="00326165">
        <w:rPr>
          <w:rFonts w:ascii="Arial" w:hAnsi="Arial" w:cs="Arial"/>
          <w:b/>
          <w:color w:val="3C3C3E"/>
        </w:rPr>
        <w:t>Does the three-type model constitute an appropriate high-level representation of potential usage of the 26 GHz band? If not, are there any use cases that should be included, excluded or omitted?</w:t>
      </w:r>
    </w:p>
    <w:p w14:paraId="4C1F41EB" w14:textId="2BD725B6" w:rsidR="00326165" w:rsidRDefault="00326165" w:rsidP="00D31ECD">
      <w:pPr>
        <w:widowControl w:val="0"/>
        <w:autoSpaceDE w:val="0"/>
        <w:autoSpaceDN w:val="0"/>
        <w:adjustRightInd w:val="0"/>
        <w:ind w:left="360"/>
        <w:rPr>
          <w:rFonts w:ascii="Arial" w:hAnsi="Arial" w:cs="Arial"/>
          <w:color w:val="3C3C3E"/>
        </w:rPr>
      </w:pPr>
      <w:r w:rsidRPr="00326165">
        <w:rPr>
          <w:rFonts w:ascii="Arial" w:hAnsi="Arial" w:cs="Arial"/>
          <w:color w:val="3C3C3E"/>
        </w:rPr>
        <w:t>No comment.</w:t>
      </w:r>
    </w:p>
    <w:p w14:paraId="77CE79BA" w14:textId="77777777" w:rsidR="00D31ECD" w:rsidRPr="00326165" w:rsidRDefault="00D31ECD" w:rsidP="00326165">
      <w:pPr>
        <w:widowControl w:val="0"/>
        <w:autoSpaceDE w:val="0"/>
        <w:autoSpaceDN w:val="0"/>
        <w:adjustRightInd w:val="0"/>
        <w:rPr>
          <w:rFonts w:ascii="Arial" w:hAnsi="Arial" w:cs="Arial"/>
          <w:color w:val="3C3C3E"/>
        </w:rPr>
      </w:pPr>
    </w:p>
    <w:p w14:paraId="6630B52D" w14:textId="77777777" w:rsidR="00326165" w:rsidRPr="00326165" w:rsidRDefault="00326165" w:rsidP="00326165">
      <w:pPr>
        <w:widowControl w:val="0"/>
        <w:numPr>
          <w:ilvl w:val="0"/>
          <w:numId w:val="3"/>
        </w:numPr>
        <w:autoSpaceDE w:val="0"/>
        <w:autoSpaceDN w:val="0"/>
        <w:adjustRightInd w:val="0"/>
        <w:rPr>
          <w:rFonts w:ascii="Arial" w:hAnsi="Arial" w:cs="Arial"/>
          <w:b/>
          <w:color w:val="3C3C3E"/>
        </w:rPr>
      </w:pPr>
      <w:r w:rsidRPr="00326165">
        <w:rPr>
          <w:rFonts w:ascii="Arial" w:hAnsi="Arial" w:cs="Arial"/>
          <w:b/>
          <w:color w:val="3C3C3E"/>
        </w:rPr>
        <w:t>What are the implications for 26 GHz wireless broadband in Australia of the Electronic Communication Committee of CEPT (ECC) decision on emission limits to protect passive EESS</w:t>
      </w:r>
      <w:r w:rsidRPr="00326165">
        <w:rPr>
          <w:rFonts w:ascii="Arial" w:hAnsi="Arial" w:cs="Arial"/>
          <w:b/>
          <w:color w:val="3C3C3E"/>
          <w:vertAlign w:val="superscript"/>
        </w:rPr>
        <w:footnoteReference w:id="1"/>
      </w:r>
      <w:r w:rsidRPr="00326165">
        <w:rPr>
          <w:rFonts w:ascii="Arial" w:hAnsi="Arial" w:cs="Arial"/>
          <w:b/>
          <w:color w:val="3C3C3E"/>
        </w:rPr>
        <w:t xml:space="preserve">? </w:t>
      </w:r>
    </w:p>
    <w:p w14:paraId="115B4C4F" w14:textId="1B1EA7BF" w:rsidR="00163020" w:rsidRDefault="00326165" w:rsidP="00D31ECD">
      <w:pPr>
        <w:widowControl w:val="0"/>
        <w:autoSpaceDE w:val="0"/>
        <w:autoSpaceDN w:val="0"/>
        <w:adjustRightInd w:val="0"/>
        <w:ind w:left="360"/>
        <w:rPr>
          <w:rFonts w:ascii="Arial" w:hAnsi="Arial" w:cs="Arial"/>
          <w:color w:val="3C3C3E"/>
        </w:rPr>
      </w:pPr>
      <w:r w:rsidRPr="00326165">
        <w:rPr>
          <w:rFonts w:ascii="Arial" w:hAnsi="Arial" w:cs="Arial"/>
          <w:color w:val="3C3C3E"/>
        </w:rPr>
        <w:t xml:space="preserve">While </w:t>
      </w:r>
      <w:r w:rsidR="005A3E0E">
        <w:rPr>
          <w:rFonts w:ascii="Arial" w:hAnsi="Arial" w:cs="Arial"/>
          <w:color w:val="3C3C3E"/>
        </w:rPr>
        <w:t>ESA,</w:t>
      </w:r>
      <w:r w:rsidRPr="00326165">
        <w:rPr>
          <w:rFonts w:ascii="Arial" w:hAnsi="Arial" w:cs="Arial"/>
          <w:color w:val="3C3C3E"/>
        </w:rPr>
        <w:t xml:space="preserve"> as a licensed SRS operator</w:t>
      </w:r>
      <w:r w:rsidR="005A3E0E">
        <w:rPr>
          <w:rFonts w:ascii="Arial" w:hAnsi="Arial" w:cs="Arial"/>
          <w:color w:val="3C3C3E"/>
        </w:rPr>
        <w:t>,</w:t>
      </w:r>
      <w:r w:rsidRPr="00326165">
        <w:rPr>
          <w:rFonts w:ascii="Arial" w:hAnsi="Arial" w:cs="Arial"/>
          <w:color w:val="3C3C3E"/>
        </w:rPr>
        <w:t xml:space="preserve"> has limited scope to respond to this question, </w:t>
      </w:r>
      <w:r w:rsidR="00D31ECD">
        <w:rPr>
          <w:rFonts w:ascii="Arial" w:hAnsi="Arial" w:cs="Arial"/>
          <w:color w:val="3C3C3E"/>
        </w:rPr>
        <w:t>it has been a participant in and contributor to</w:t>
      </w:r>
      <w:r w:rsidRPr="00326165">
        <w:rPr>
          <w:rFonts w:ascii="Arial" w:hAnsi="Arial" w:cs="Arial"/>
          <w:color w:val="3C3C3E"/>
        </w:rPr>
        <w:t xml:space="preserve"> studies within the ITU-R in relation to this important Science Services matter</w:t>
      </w:r>
      <w:r w:rsidR="00E83802">
        <w:rPr>
          <w:rFonts w:ascii="Arial" w:hAnsi="Arial" w:cs="Arial"/>
          <w:color w:val="3C3C3E"/>
        </w:rPr>
        <w:t xml:space="preserve"> of passive environmental monitoring</w:t>
      </w:r>
      <w:r w:rsidRPr="00326165">
        <w:rPr>
          <w:rFonts w:ascii="Arial" w:hAnsi="Arial" w:cs="Arial"/>
          <w:color w:val="3C3C3E"/>
        </w:rPr>
        <w:t xml:space="preserve">. </w:t>
      </w:r>
      <w:r w:rsidR="00163020">
        <w:rPr>
          <w:rFonts w:ascii="Arial" w:hAnsi="Arial" w:cs="Arial"/>
          <w:color w:val="3C3C3E"/>
        </w:rPr>
        <w:t>The following summary of activities and recommended actions to avoid potentially irreversible contamination to EESS observations in the 23.6 – 24.0 GHz passive band are provided to ACMA in considering this matter</w:t>
      </w:r>
      <w:r w:rsidR="00EA1C39">
        <w:rPr>
          <w:rFonts w:ascii="Arial" w:hAnsi="Arial" w:cs="Arial"/>
          <w:color w:val="3C3C3E"/>
        </w:rPr>
        <w:t xml:space="preserve">, as </w:t>
      </w:r>
      <w:r w:rsidR="00163020">
        <w:rPr>
          <w:rFonts w:ascii="Arial" w:hAnsi="Arial" w:cs="Arial"/>
          <w:color w:val="3C3C3E"/>
        </w:rPr>
        <w:t>follows:</w:t>
      </w:r>
    </w:p>
    <w:p w14:paraId="119919D0" w14:textId="0C05855B" w:rsidR="00163020" w:rsidRPr="00163020" w:rsidRDefault="00163020" w:rsidP="00163020">
      <w:pPr>
        <w:widowControl w:val="0"/>
        <w:numPr>
          <w:ilvl w:val="0"/>
          <w:numId w:val="4"/>
        </w:numPr>
        <w:autoSpaceDE w:val="0"/>
        <w:autoSpaceDN w:val="0"/>
        <w:adjustRightInd w:val="0"/>
        <w:rPr>
          <w:rFonts w:ascii="Arial" w:hAnsi="Arial" w:cs="Arial"/>
          <w:color w:val="3C3C3E"/>
        </w:rPr>
      </w:pPr>
      <w:r w:rsidRPr="00163020">
        <w:rPr>
          <w:rFonts w:ascii="Arial" w:hAnsi="Arial" w:cs="Arial"/>
          <w:color w:val="3C3C3E"/>
        </w:rPr>
        <w:t>The EESS</w:t>
      </w:r>
      <w:r w:rsidR="0018580C">
        <w:rPr>
          <w:rFonts w:ascii="Arial" w:hAnsi="Arial" w:cs="Arial"/>
          <w:color w:val="3C3C3E"/>
        </w:rPr>
        <w:t xml:space="preserve"> </w:t>
      </w:r>
      <w:r w:rsidRPr="00163020">
        <w:rPr>
          <w:rFonts w:ascii="Arial" w:hAnsi="Arial" w:cs="Arial"/>
          <w:color w:val="3C3C3E"/>
        </w:rPr>
        <w:t>(passive) has a primary frequency allocation in the 23.6-24.0 GHz band, and this band is extensively used by passive microwave remote sensors to perform global climate observations worldwide. EESS</w:t>
      </w:r>
      <w:r w:rsidR="00EA1C39">
        <w:rPr>
          <w:rFonts w:ascii="Arial" w:hAnsi="Arial" w:cs="Arial"/>
          <w:color w:val="3C3C3E"/>
        </w:rPr>
        <w:t xml:space="preserve"> </w:t>
      </w:r>
      <w:r w:rsidRPr="00163020">
        <w:rPr>
          <w:rFonts w:ascii="Arial" w:hAnsi="Arial" w:cs="Arial"/>
          <w:color w:val="3C3C3E"/>
        </w:rPr>
        <w:t xml:space="preserve">(passive) remote sensors can be interfered by excessive unwanted emissions from wireless broadband systems operating in the adjacent band 24.25-27.5 GHz. ESA has been </w:t>
      </w:r>
      <w:r w:rsidR="00EA1C39">
        <w:rPr>
          <w:rFonts w:ascii="Arial" w:hAnsi="Arial" w:cs="Arial"/>
          <w:color w:val="3C3C3E"/>
        </w:rPr>
        <w:t xml:space="preserve">a </w:t>
      </w:r>
      <w:r w:rsidRPr="00163020">
        <w:rPr>
          <w:rFonts w:ascii="Arial" w:hAnsi="Arial" w:cs="Arial"/>
          <w:color w:val="3C3C3E"/>
        </w:rPr>
        <w:t>participant in and contributor to studies within the CEPT and the ITU-R expert groups in relation to WRC19 AI 1.13 in general, and in particular in relation to the protection of passive remote sensors. </w:t>
      </w:r>
    </w:p>
    <w:p w14:paraId="397FF191" w14:textId="77777777" w:rsidR="00163020" w:rsidRPr="00163020" w:rsidRDefault="00163020" w:rsidP="00163020">
      <w:pPr>
        <w:widowControl w:val="0"/>
        <w:numPr>
          <w:ilvl w:val="0"/>
          <w:numId w:val="4"/>
        </w:numPr>
        <w:autoSpaceDE w:val="0"/>
        <w:autoSpaceDN w:val="0"/>
        <w:adjustRightInd w:val="0"/>
        <w:rPr>
          <w:rFonts w:ascii="Arial" w:hAnsi="Arial" w:cs="Arial"/>
          <w:color w:val="3C3C3E"/>
        </w:rPr>
      </w:pPr>
      <w:r w:rsidRPr="00163020">
        <w:rPr>
          <w:rFonts w:ascii="Arial" w:hAnsi="Arial" w:cs="Arial"/>
          <w:color w:val="3C3C3E"/>
        </w:rPr>
        <w:t xml:space="preserve">The CEPT Decision (18)06 sets the limits of unwanted emission power for IMT base stations (-42dBW/200 MHz) and IMT user equipment (-38 </w:t>
      </w:r>
      <w:proofErr w:type="spellStart"/>
      <w:r w:rsidRPr="00163020">
        <w:rPr>
          <w:rFonts w:ascii="Arial" w:hAnsi="Arial" w:cs="Arial"/>
          <w:color w:val="3C3C3E"/>
        </w:rPr>
        <w:t>dBW</w:t>
      </w:r>
      <w:proofErr w:type="spellEnd"/>
      <w:r w:rsidRPr="00163020">
        <w:rPr>
          <w:rFonts w:ascii="Arial" w:hAnsi="Arial" w:cs="Arial"/>
          <w:color w:val="3C3C3E"/>
        </w:rPr>
        <w:t>/200 MHz). These levels constitute a compromise among the different stakeholders and CEPT administrations to ensure the protection of passive sensors without over-constraining IMT-2020/5G equipment and deployments. ESA emphasises that the compromised limits were the absolute maximum achievable given the pressure to implement 26 GHz wireless broadband systems as soon as possible. </w:t>
      </w:r>
    </w:p>
    <w:p w14:paraId="7C631992" w14:textId="77777777" w:rsidR="00163020" w:rsidRPr="00163020" w:rsidRDefault="00163020" w:rsidP="00163020">
      <w:pPr>
        <w:widowControl w:val="0"/>
        <w:numPr>
          <w:ilvl w:val="0"/>
          <w:numId w:val="4"/>
        </w:numPr>
        <w:autoSpaceDE w:val="0"/>
        <w:autoSpaceDN w:val="0"/>
        <w:adjustRightInd w:val="0"/>
        <w:rPr>
          <w:rFonts w:ascii="Arial" w:hAnsi="Arial" w:cs="Arial"/>
          <w:color w:val="3C3C3E"/>
        </w:rPr>
      </w:pPr>
      <w:r w:rsidRPr="00163020">
        <w:rPr>
          <w:rFonts w:ascii="Arial" w:hAnsi="Arial" w:cs="Arial"/>
          <w:color w:val="3C3C3E"/>
        </w:rPr>
        <w:t>ESA therefore strongly urges ACMA, to request the same unwanted emission limits as those in the CEPT decision for 26GHz wireless broadband system in Australia. Unacceptable interference from wireless broadband into this EESS passive band will severely contaminate the critical work of ongoing environmental observations and monitoring of global parameters. </w:t>
      </w:r>
    </w:p>
    <w:p w14:paraId="55C8410D" w14:textId="77777777" w:rsidR="00163020" w:rsidRDefault="00163020" w:rsidP="00D31ECD">
      <w:pPr>
        <w:widowControl w:val="0"/>
        <w:autoSpaceDE w:val="0"/>
        <w:autoSpaceDN w:val="0"/>
        <w:adjustRightInd w:val="0"/>
        <w:ind w:left="360"/>
        <w:rPr>
          <w:rFonts w:ascii="Arial" w:hAnsi="Arial" w:cs="Arial"/>
          <w:color w:val="3C3C3E"/>
        </w:rPr>
      </w:pPr>
    </w:p>
    <w:p w14:paraId="75A37342" w14:textId="7E7466DC" w:rsidR="00326165" w:rsidRDefault="00326165" w:rsidP="00D31ECD">
      <w:pPr>
        <w:widowControl w:val="0"/>
        <w:autoSpaceDE w:val="0"/>
        <w:autoSpaceDN w:val="0"/>
        <w:adjustRightInd w:val="0"/>
        <w:ind w:left="360"/>
        <w:rPr>
          <w:rFonts w:ascii="Arial" w:hAnsi="Arial" w:cs="Arial"/>
          <w:color w:val="3C3C3E"/>
        </w:rPr>
      </w:pPr>
    </w:p>
    <w:p w14:paraId="62884C63" w14:textId="77777777" w:rsidR="00D31ECD" w:rsidRPr="00326165" w:rsidRDefault="00D31ECD" w:rsidP="00D31ECD">
      <w:pPr>
        <w:widowControl w:val="0"/>
        <w:autoSpaceDE w:val="0"/>
        <w:autoSpaceDN w:val="0"/>
        <w:adjustRightInd w:val="0"/>
        <w:ind w:left="360"/>
        <w:rPr>
          <w:rFonts w:ascii="Arial" w:hAnsi="Arial" w:cs="Arial"/>
          <w:color w:val="3C3C3E"/>
        </w:rPr>
      </w:pPr>
    </w:p>
    <w:p w14:paraId="1A89AB1B" w14:textId="77777777" w:rsidR="00326165" w:rsidRPr="00326165" w:rsidRDefault="00326165" w:rsidP="00326165">
      <w:pPr>
        <w:widowControl w:val="0"/>
        <w:numPr>
          <w:ilvl w:val="0"/>
          <w:numId w:val="3"/>
        </w:numPr>
        <w:autoSpaceDE w:val="0"/>
        <w:autoSpaceDN w:val="0"/>
        <w:adjustRightInd w:val="0"/>
        <w:rPr>
          <w:rFonts w:ascii="Arial" w:hAnsi="Arial" w:cs="Arial"/>
          <w:b/>
          <w:color w:val="3C3C3E"/>
        </w:rPr>
      </w:pPr>
      <w:r w:rsidRPr="00326165">
        <w:rPr>
          <w:rFonts w:ascii="Arial" w:hAnsi="Arial" w:cs="Arial"/>
          <w:b/>
          <w:color w:val="3C3C3E"/>
        </w:rPr>
        <w:t>Are the proposed defined geographic areas for wide-area licensing appropriate?</w:t>
      </w:r>
    </w:p>
    <w:p w14:paraId="1204CD53" w14:textId="21928088" w:rsidR="00A503D3" w:rsidRDefault="00D31ECD" w:rsidP="00D31ECD">
      <w:pPr>
        <w:widowControl w:val="0"/>
        <w:autoSpaceDE w:val="0"/>
        <w:autoSpaceDN w:val="0"/>
        <w:adjustRightInd w:val="0"/>
        <w:ind w:left="360"/>
        <w:rPr>
          <w:rFonts w:ascii="Arial" w:hAnsi="Arial" w:cs="Arial"/>
          <w:color w:val="3C3C3E"/>
        </w:rPr>
      </w:pPr>
      <w:r>
        <w:rPr>
          <w:rFonts w:ascii="Arial" w:hAnsi="Arial" w:cs="Arial"/>
          <w:color w:val="3C3C3E"/>
        </w:rPr>
        <w:t>T</w:t>
      </w:r>
      <w:r w:rsidR="00326165" w:rsidRPr="00326165">
        <w:rPr>
          <w:rFonts w:ascii="Arial" w:hAnsi="Arial" w:cs="Arial"/>
          <w:color w:val="3C3C3E"/>
        </w:rPr>
        <w:t xml:space="preserve">he proposed geographic area </w:t>
      </w:r>
      <w:r>
        <w:rPr>
          <w:rFonts w:ascii="Arial" w:hAnsi="Arial" w:cs="Arial"/>
          <w:color w:val="3C3C3E"/>
        </w:rPr>
        <w:t xml:space="preserve">in and around Perth fortunately does not envelop the ESA deep space station at New Norcia.   Further, </w:t>
      </w:r>
      <w:r w:rsidR="00732436">
        <w:rPr>
          <w:rFonts w:ascii="Arial" w:hAnsi="Arial" w:cs="Arial"/>
          <w:color w:val="3C3C3E"/>
        </w:rPr>
        <w:t xml:space="preserve">ESA has conducted some studies of the requisite separation distance around New Norcia to enable compatible sharing between the proposed IMT-2020 mobile broadband services </w:t>
      </w:r>
      <w:r w:rsidR="002F28D3">
        <w:rPr>
          <w:rFonts w:ascii="Arial" w:hAnsi="Arial" w:cs="Arial"/>
          <w:color w:val="3C3C3E"/>
        </w:rPr>
        <w:t xml:space="preserve">in Perth </w:t>
      </w:r>
      <w:r w:rsidR="00732436">
        <w:rPr>
          <w:rFonts w:ascii="Arial" w:hAnsi="Arial" w:cs="Arial"/>
          <w:color w:val="3C3C3E"/>
        </w:rPr>
        <w:t>and operations at New Norcia in the 25.5 – 27.0 GHz band.   A coordination contour map showing requisite minimum separation distances to protect the SRS operations at 26 GHz illustrates sharing will be possible under the criteria proposed by ACMA</w:t>
      </w:r>
      <w:r w:rsidR="000A5217">
        <w:rPr>
          <w:rFonts w:ascii="Arial" w:hAnsi="Arial" w:cs="Arial"/>
          <w:color w:val="3C3C3E"/>
        </w:rPr>
        <w:t xml:space="preserve"> (refer Annex A)</w:t>
      </w:r>
      <w:r w:rsidR="00732436">
        <w:rPr>
          <w:rFonts w:ascii="Arial" w:hAnsi="Arial" w:cs="Arial"/>
          <w:color w:val="3C3C3E"/>
        </w:rPr>
        <w:t>.   In the interests of future practicality, ESA believes that if the separation contour pattern</w:t>
      </w:r>
      <w:r w:rsidR="00121271">
        <w:rPr>
          <w:rFonts w:ascii="Arial" w:hAnsi="Arial" w:cs="Arial"/>
          <w:color w:val="3C3C3E"/>
        </w:rPr>
        <w:t xml:space="preserve"> developed through studies within ESA</w:t>
      </w:r>
      <w:r w:rsidR="00732436">
        <w:rPr>
          <w:rFonts w:ascii="Arial" w:hAnsi="Arial" w:cs="Arial"/>
          <w:color w:val="3C3C3E"/>
        </w:rPr>
        <w:t xml:space="preserve"> can be smoothed into an agreed geographical HCIS block format, perhaps within a RALI, this would serve to make future assignments easier for the ACMA and its accredited assigners in considering </w:t>
      </w:r>
      <w:r w:rsidR="00121271">
        <w:rPr>
          <w:rFonts w:ascii="Arial" w:hAnsi="Arial" w:cs="Arial"/>
          <w:color w:val="3C3C3E"/>
        </w:rPr>
        <w:t xml:space="preserve">future </w:t>
      </w:r>
      <w:r w:rsidR="00A503D3">
        <w:rPr>
          <w:rFonts w:ascii="Arial" w:hAnsi="Arial" w:cs="Arial"/>
          <w:color w:val="3C3C3E"/>
        </w:rPr>
        <w:t xml:space="preserve">5G mobile broadband </w:t>
      </w:r>
      <w:r w:rsidR="00732436">
        <w:rPr>
          <w:rFonts w:ascii="Arial" w:hAnsi="Arial" w:cs="Arial"/>
          <w:color w:val="3C3C3E"/>
        </w:rPr>
        <w:t>license applications</w:t>
      </w:r>
      <w:r w:rsidR="00A503D3">
        <w:rPr>
          <w:rFonts w:ascii="Arial" w:hAnsi="Arial" w:cs="Arial"/>
          <w:color w:val="3C3C3E"/>
        </w:rPr>
        <w:t xml:space="preserve"> from prospective operators.  This approach will </w:t>
      </w:r>
      <w:r w:rsidR="00A503D3" w:rsidRPr="00A503D3">
        <w:rPr>
          <w:rFonts w:ascii="Arial" w:hAnsi="Arial" w:cs="Arial"/>
          <w:color w:val="3C3C3E"/>
        </w:rPr>
        <w:t xml:space="preserve">ensure the </w:t>
      </w:r>
      <w:r w:rsidR="00FA7A3E">
        <w:rPr>
          <w:rFonts w:ascii="Arial" w:hAnsi="Arial" w:cs="Arial"/>
          <w:color w:val="3C3C3E"/>
        </w:rPr>
        <w:t xml:space="preserve">continued </w:t>
      </w:r>
      <w:r w:rsidR="00A503D3" w:rsidRPr="00A503D3">
        <w:rPr>
          <w:rFonts w:ascii="Arial" w:hAnsi="Arial" w:cs="Arial"/>
          <w:color w:val="3C3C3E"/>
        </w:rPr>
        <w:t xml:space="preserve">integrity of </w:t>
      </w:r>
      <w:r w:rsidR="00A503D3">
        <w:rPr>
          <w:rFonts w:ascii="Arial" w:hAnsi="Arial" w:cs="Arial"/>
          <w:color w:val="3C3C3E"/>
        </w:rPr>
        <w:t>ESA’s SRS operations in 26GHz at New Norcia</w:t>
      </w:r>
      <w:r w:rsidR="00A503D3" w:rsidRPr="00A503D3">
        <w:rPr>
          <w:rFonts w:ascii="Arial" w:hAnsi="Arial" w:cs="Arial"/>
          <w:color w:val="3C3C3E"/>
        </w:rPr>
        <w:t xml:space="preserve"> is preserved through the avoidance of an undermining of the critically important radio quiet environment of </w:t>
      </w:r>
      <w:r w:rsidR="00A503D3">
        <w:rPr>
          <w:rFonts w:ascii="Arial" w:hAnsi="Arial" w:cs="Arial"/>
          <w:color w:val="3C3C3E"/>
        </w:rPr>
        <w:t>New Norcia</w:t>
      </w:r>
      <w:r w:rsidR="00A503D3" w:rsidRPr="00A503D3">
        <w:rPr>
          <w:rFonts w:ascii="Arial" w:hAnsi="Arial" w:cs="Arial"/>
          <w:color w:val="3C3C3E"/>
        </w:rPr>
        <w:t>, as defined within the ITU-R Radio Regulations.</w:t>
      </w:r>
    </w:p>
    <w:p w14:paraId="7B505A5C" w14:textId="77777777" w:rsidR="00326165" w:rsidRPr="00326165" w:rsidRDefault="00326165" w:rsidP="00326165">
      <w:pPr>
        <w:widowControl w:val="0"/>
        <w:autoSpaceDE w:val="0"/>
        <w:autoSpaceDN w:val="0"/>
        <w:adjustRightInd w:val="0"/>
        <w:rPr>
          <w:rFonts w:ascii="Arial" w:hAnsi="Arial" w:cs="Arial"/>
          <w:color w:val="3C3C3E"/>
        </w:rPr>
      </w:pPr>
    </w:p>
    <w:p w14:paraId="54A7824B" w14:textId="77777777" w:rsidR="00326165" w:rsidRPr="00326165" w:rsidRDefault="00326165" w:rsidP="00326165">
      <w:pPr>
        <w:widowControl w:val="0"/>
        <w:numPr>
          <w:ilvl w:val="0"/>
          <w:numId w:val="3"/>
        </w:numPr>
        <w:autoSpaceDE w:val="0"/>
        <w:autoSpaceDN w:val="0"/>
        <w:adjustRightInd w:val="0"/>
        <w:rPr>
          <w:rFonts w:ascii="Arial" w:hAnsi="Arial" w:cs="Arial"/>
          <w:b/>
          <w:color w:val="3C3C3E"/>
        </w:rPr>
      </w:pPr>
      <w:r w:rsidRPr="00326165">
        <w:rPr>
          <w:rFonts w:ascii="Arial" w:hAnsi="Arial" w:cs="Arial"/>
          <w:b/>
          <w:color w:val="3C3C3E"/>
        </w:rPr>
        <w:t>What is the expected proliferation of—or demand for—services deployed under type 2 (apparatus-licensed) and/or 3 (class-licensed) models?</w:t>
      </w:r>
    </w:p>
    <w:p w14:paraId="393E5AD4" w14:textId="5E47D41E" w:rsidR="00326165" w:rsidRDefault="00326165" w:rsidP="00A503D3">
      <w:pPr>
        <w:widowControl w:val="0"/>
        <w:autoSpaceDE w:val="0"/>
        <w:autoSpaceDN w:val="0"/>
        <w:adjustRightInd w:val="0"/>
        <w:ind w:left="360"/>
        <w:rPr>
          <w:rFonts w:ascii="Arial" w:hAnsi="Arial" w:cs="Arial"/>
          <w:color w:val="3C3C3E"/>
        </w:rPr>
      </w:pPr>
      <w:r w:rsidRPr="00326165">
        <w:rPr>
          <w:rFonts w:ascii="Arial" w:hAnsi="Arial" w:cs="Arial"/>
          <w:color w:val="3C3C3E"/>
        </w:rPr>
        <w:t>No comments.</w:t>
      </w:r>
    </w:p>
    <w:p w14:paraId="04A16223" w14:textId="77777777" w:rsidR="00A503D3" w:rsidRPr="00326165" w:rsidRDefault="00A503D3" w:rsidP="00A503D3">
      <w:pPr>
        <w:widowControl w:val="0"/>
        <w:autoSpaceDE w:val="0"/>
        <w:autoSpaceDN w:val="0"/>
        <w:adjustRightInd w:val="0"/>
        <w:ind w:left="360"/>
        <w:rPr>
          <w:rFonts w:ascii="Arial" w:hAnsi="Arial" w:cs="Arial"/>
          <w:color w:val="3C3C3E"/>
        </w:rPr>
      </w:pPr>
    </w:p>
    <w:p w14:paraId="282F39DA" w14:textId="77777777" w:rsidR="00326165" w:rsidRPr="00326165" w:rsidRDefault="00326165" w:rsidP="00326165">
      <w:pPr>
        <w:widowControl w:val="0"/>
        <w:numPr>
          <w:ilvl w:val="0"/>
          <w:numId w:val="3"/>
        </w:numPr>
        <w:autoSpaceDE w:val="0"/>
        <w:autoSpaceDN w:val="0"/>
        <w:adjustRightInd w:val="0"/>
        <w:rPr>
          <w:rFonts w:ascii="Arial" w:hAnsi="Arial" w:cs="Arial"/>
          <w:b/>
          <w:color w:val="3C3C3E"/>
        </w:rPr>
      </w:pPr>
      <w:r w:rsidRPr="00326165">
        <w:rPr>
          <w:rFonts w:ascii="Arial" w:hAnsi="Arial" w:cs="Arial"/>
          <w:b/>
          <w:color w:val="3C3C3E"/>
        </w:rPr>
        <w:t>Comment is sought on preferred option(s) for configuring and licensing the 26 GHz band.</w:t>
      </w:r>
    </w:p>
    <w:p w14:paraId="36CB3AEF" w14:textId="370541E4" w:rsidR="00326165" w:rsidRDefault="00326165" w:rsidP="00A503D3">
      <w:pPr>
        <w:widowControl w:val="0"/>
        <w:autoSpaceDE w:val="0"/>
        <w:autoSpaceDN w:val="0"/>
        <w:adjustRightInd w:val="0"/>
        <w:ind w:left="360"/>
        <w:rPr>
          <w:rFonts w:ascii="Arial" w:hAnsi="Arial" w:cs="Arial"/>
          <w:color w:val="3C3C3E"/>
        </w:rPr>
      </w:pPr>
      <w:r w:rsidRPr="00326165">
        <w:rPr>
          <w:rFonts w:ascii="Arial" w:hAnsi="Arial" w:cs="Arial"/>
          <w:color w:val="3C3C3E"/>
        </w:rPr>
        <w:t xml:space="preserve">No comments. </w:t>
      </w:r>
    </w:p>
    <w:p w14:paraId="5FBDA291" w14:textId="77777777" w:rsidR="00A503D3" w:rsidRPr="00326165" w:rsidRDefault="00A503D3" w:rsidP="00A503D3">
      <w:pPr>
        <w:widowControl w:val="0"/>
        <w:autoSpaceDE w:val="0"/>
        <w:autoSpaceDN w:val="0"/>
        <w:adjustRightInd w:val="0"/>
        <w:ind w:left="360"/>
        <w:rPr>
          <w:rFonts w:ascii="Arial" w:hAnsi="Arial" w:cs="Arial"/>
          <w:color w:val="3C3C3E"/>
        </w:rPr>
      </w:pPr>
    </w:p>
    <w:p w14:paraId="2DA0BB64" w14:textId="77777777" w:rsidR="00326165" w:rsidRPr="00326165" w:rsidRDefault="00326165" w:rsidP="00326165">
      <w:pPr>
        <w:widowControl w:val="0"/>
        <w:numPr>
          <w:ilvl w:val="0"/>
          <w:numId w:val="3"/>
        </w:numPr>
        <w:autoSpaceDE w:val="0"/>
        <w:autoSpaceDN w:val="0"/>
        <w:adjustRightInd w:val="0"/>
        <w:rPr>
          <w:rFonts w:ascii="Arial" w:hAnsi="Arial" w:cs="Arial"/>
          <w:b/>
          <w:color w:val="3C3C3E"/>
        </w:rPr>
      </w:pPr>
      <w:r w:rsidRPr="00326165">
        <w:rPr>
          <w:rFonts w:ascii="Arial" w:hAnsi="Arial" w:cs="Arial"/>
          <w:b/>
          <w:color w:val="3C3C3E"/>
        </w:rPr>
        <w:t>If options 3 or 5 (all variants</w:t>
      </w:r>
      <w:r w:rsidRPr="00326165">
        <w:rPr>
          <w:rFonts w:ascii="Arial" w:hAnsi="Arial" w:cs="Arial"/>
          <w:b/>
          <w:color w:val="3C3C3E"/>
          <w:vertAlign w:val="superscript"/>
        </w:rPr>
        <w:footnoteReference w:id="2"/>
      </w:r>
      <w:r w:rsidRPr="00326165">
        <w:rPr>
          <w:rFonts w:ascii="Arial" w:hAnsi="Arial" w:cs="Arial"/>
          <w:b/>
          <w:color w:val="3C3C3E"/>
        </w:rPr>
        <w:t>) are preferred, how much of the band should be available for spectrum licensing and apparatus licensing?</w:t>
      </w:r>
    </w:p>
    <w:p w14:paraId="0A41B9A2" w14:textId="09126D3F" w:rsidR="00326165" w:rsidRDefault="00326165" w:rsidP="00A503D3">
      <w:pPr>
        <w:widowControl w:val="0"/>
        <w:autoSpaceDE w:val="0"/>
        <w:autoSpaceDN w:val="0"/>
        <w:adjustRightInd w:val="0"/>
        <w:ind w:left="360"/>
        <w:rPr>
          <w:rFonts w:ascii="Arial" w:hAnsi="Arial" w:cs="Arial"/>
          <w:color w:val="3C3C3E"/>
        </w:rPr>
      </w:pPr>
      <w:r w:rsidRPr="00326165">
        <w:rPr>
          <w:rFonts w:ascii="Arial" w:hAnsi="Arial" w:cs="Arial"/>
          <w:color w:val="3C3C3E"/>
        </w:rPr>
        <w:t>No comments.</w:t>
      </w:r>
    </w:p>
    <w:p w14:paraId="22F5B1D3" w14:textId="77777777" w:rsidR="00A503D3" w:rsidRPr="00326165" w:rsidRDefault="00A503D3" w:rsidP="00A503D3">
      <w:pPr>
        <w:widowControl w:val="0"/>
        <w:autoSpaceDE w:val="0"/>
        <w:autoSpaceDN w:val="0"/>
        <w:adjustRightInd w:val="0"/>
        <w:ind w:left="360"/>
        <w:rPr>
          <w:rFonts w:ascii="Arial" w:hAnsi="Arial" w:cs="Arial"/>
          <w:color w:val="3C3C3E"/>
        </w:rPr>
      </w:pPr>
    </w:p>
    <w:p w14:paraId="167B2836" w14:textId="77777777" w:rsidR="00326165" w:rsidRPr="00326165" w:rsidRDefault="00326165" w:rsidP="00326165">
      <w:pPr>
        <w:widowControl w:val="0"/>
        <w:numPr>
          <w:ilvl w:val="0"/>
          <w:numId w:val="3"/>
        </w:numPr>
        <w:autoSpaceDE w:val="0"/>
        <w:autoSpaceDN w:val="0"/>
        <w:adjustRightInd w:val="0"/>
        <w:rPr>
          <w:rFonts w:ascii="Arial" w:hAnsi="Arial" w:cs="Arial"/>
          <w:b/>
          <w:color w:val="3C3C3E"/>
        </w:rPr>
      </w:pPr>
      <w:r w:rsidRPr="00326165">
        <w:rPr>
          <w:rFonts w:ascii="Arial" w:hAnsi="Arial" w:cs="Arial"/>
          <w:b/>
          <w:color w:val="3C3C3E"/>
        </w:rPr>
        <w:t>If options 4 or 5 (all variants) are preferred, how much of the band should be available for class licensing?</w:t>
      </w:r>
    </w:p>
    <w:p w14:paraId="0DC2677A" w14:textId="46B3BE60" w:rsidR="00326165" w:rsidRDefault="00326165" w:rsidP="00A503D3">
      <w:pPr>
        <w:widowControl w:val="0"/>
        <w:autoSpaceDE w:val="0"/>
        <w:autoSpaceDN w:val="0"/>
        <w:adjustRightInd w:val="0"/>
        <w:ind w:left="360"/>
        <w:rPr>
          <w:rFonts w:ascii="Arial" w:hAnsi="Arial" w:cs="Arial"/>
          <w:color w:val="3C3C3E"/>
        </w:rPr>
      </w:pPr>
      <w:r w:rsidRPr="00326165">
        <w:rPr>
          <w:rFonts w:ascii="Arial" w:hAnsi="Arial" w:cs="Arial"/>
          <w:color w:val="3C3C3E"/>
        </w:rPr>
        <w:t>No comments.</w:t>
      </w:r>
    </w:p>
    <w:p w14:paraId="789B30BA" w14:textId="77777777" w:rsidR="00A503D3" w:rsidRPr="00326165" w:rsidRDefault="00A503D3" w:rsidP="00A503D3">
      <w:pPr>
        <w:widowControl w:val="0"/>
        <w:autoSpaceDE w:val="0"/>
        <w:autoSpaceDN w:val="0"/>
        <w:adjustRightInd w:val="0"/>
        <w:ind w:left="360"/>
        <w:rPr>
          <w:rFonts w:ascii="Arial" w:hAnsi="Arial" w:cs="Arial"/>
          <w:color w:val="3C3C3E"/>
        </w:rPr>
      </w:pPr>
    </w:p>
    <w:p w14:paraId="76086E36" w14:textId="77777777" w:rsidR="00326165" w:rsidRPr="00326165" w:rsidRDefault="00326165" w:rsidP="00326165">
      <w:pPr>
        <w:widowControl w:val="0"/>
        <w:numPr>
          <w:ilvl w:val="0"/>
          <w:numId w:val="3"/>
        </w:numPr>
        <w:autoSpaceDE w:val="0"/>
        <w:autoSpaceDN w:val="0"/>
        <w:adjustRightInd w:val="0"/>
        <w:rPr>
          <w:rFonts w:ascii="Arial" w:hAnsi="Arial" w:cs="Arial"/>
          <w:b/>
          <w:color w:val="3C3C3E"/>
        </w:rPr>
      </w:pPr>
      <w:r w:rsidRPr="00326165">
        <w:rPr>
          <w:rFonts w:ascii="Arial" w:hAnsi="Arial" w:cs="Arial"/>
          <w:b/>
          <w:color w:val="3C3C3E"/>
        </w:rPr>
        <w:t>If options 4 or 5 (all variants) are preferred, what conditions should be applied to a class licence to protect co-frequency spectrum-licensed operations (in defined areas)? Would it be appropriate to define a means of making class-licensed use visible (for example, through a form of voluntary device registration)?</w:t>
      </w:r>
    </w:p>
    <w:p w14:paraId="3C7904FA" w14:textId="5B22B66C" w:rsidR="00326165" w:rsidRDefault="00326165" w:rsidP="00A503D3">
      <w:pPr>
        <w:widowControl w:val="0"/>
        <w:autoSpaceDE w:val="0"/>
        <w:autoSpaceDN w:val="0"/>
        <w:adjustRightInd w:val="0"/>
        <w:ind w:left="360"/>
        <w:rPr>
          <w:rFonts w:ascii="Arial" w:hAnsi="Arial" w:cs="Arial"/>
          <w:color w:val="3C3C3E"/>
        </w:rPr>
      </w:pPr>
      <w:r w:rsidRPr="00326165">
        <w:rPr>
          <w:rFonts w:ascii="Arial" w:hAnsi="Arial" w:cs="Arial"/>
          <w:color w:val="3C3C3E"/>
        </w:rPr>
        <w:t>No comments.</w:t>
      </w:r>
    </w:p>
    <w:p w14:paraId="5DBD4531" w14:textId="77777777" w:rsidR="00A503D3" w:rsidRPr="00326165" w:rsidRDefault="00A503D3" w:rsidP="00A503D3">
      <w:pPr>
        <w:widowControl w:val="0"/>
        <w:autoSpaceDE w:val="0"/>
        <w:autoSpaceDN w:val="0"/>
        <w:adjustRightInd w:val="0"/>
        <w:ind w:left="360"/>
        <w:rPr>
          <w:rFonts w:ascii="Arial" w:hAnsi="Arial" w:cs="Arial"/>
          <w:color w:val="3C3C3E"/>
        </w:rPr>
      </w:pPr>
    </w:p>
    <w:p w14:paraId="09C0D24D" w14:textId="77777777" w:rsidR="00326165" w:rsidRPr="00326165" w:rsidRDefault="00326165" w:rsidP="00326165">
      <w:pPr>
        <w:widowControl w:val="0"/>
        <w:numPr>
          <w:ilvl w:val="0"/>
          <w:numId w:val="3"/>
        </w:numPr>
        <w:autoSpaceDE w:val="0"/>
        <w:autoSpaceDN w:val="0"/>
        <w:adjustRightInd w:val="0"/>
        <w:rPr>
          <w:rFonts w:ascii="Arial" w:hAnsi="Arial" w:cs="Arial"/>
          <w:b/>
          <w:color w:val="3C3C3E"/>
        </w:rPr>
      </w:pPr>
      <w:r w:rsidRPr="00326165">
        <w:rPr>
          <w:rFonts w:ascii="Arial" w:hAnsi="Arial" w:cs="Arial"/>
          <w:b/>
          <w:color w:val="3C3C3E"/>
        </w:rPr>
        <w:t>Are there any other replanning options that should be considered?</w:t>
      </w:r>
    </w:p>
    <w:p w14:paraId="45508187" w14:textId="41146196" w:rsidR="00326165" w:rsidRDefault="00326165" w:rsidP="00A503D3">
      <w:pPr>
        <w:widowControl w:val="0"/>
        <w:autoSpaceDE w:val="0"/>
        <w:autoSpaceDN w:val="0"/>
        <w:adjustRightInd w:val="0"/>
        <w:ind w:left="360"/>
        <w:rPr>
          <w:rFonts w:ascii="Arial" w:hAnsi="Arial" w:cs="Arial"/>
          <w:color w:val="3C3C3E"/>
        </w:rPr>
      </w:pPr>
      <w:r w:rsidRPr="00326165">
        <w:rPr>
          <w:rFonts w:ascii="Arial" w:hAnsi="Arial" w:cs="Arial"/>
          <w:color w:val="3C3C3E"/>
        </w:rPr>
        <w:t>No comments.</w:t>
      </w:r>
    </w:p>
    <w:p w14:paraId="45F089D7" w14:textId="77777777" w:rsidR="00A503D3" w:rsidRPr="00326165" w:rsidRDefault="00A503D3" w:rsidP="00A503D3">
      <w:pPr>
        <w:widowControl w:val="0"/>
        <w:autoSpaceDE w:val="0"/>
        <w:autoSpaceDN w:val="0"/>
        <w:adjustRightInd w:val="0"/>
        <w:ind w:left="360"/>
        <w:rPr>
          <w:rFonts w:ascii="Arial" w:hAnsi="Arial" w:cs="Arial"/>
          <w:color w:val="3C3C3E"/>
        </w:rPr>
      </w:pPr>
    </w:p>
    <w:p w14:paraId="3C8602AB" w14:textId="77777777" w:rsidR="00326165" w:rsidRPr="00326165" w:rsidRDefault="00326165" w:rsidP="00326165">
      <w:pPr>
        <w:widowControl w:val="0"/>
        <w:numPr>
          <w:ilvl w:val="0"/>
          <w:numId w:val="3"/>
        </w:numPr>
        <w:autoSpaceDE w:val="0"/>
        <w:autoSpaceDN w:val="0"/>
        <w:adjustRightInd w:val="0"/>
        <w:rPr>
          <w:rFonts w:ascii="Arial" w:hAnsi="Arial" w:cs="Arial"/>
          <w:b/>
          <w:color w:val="3C3C3E"/>
        </w:rPr>
      </w:pPr>
      <w:r w:rsidRPr="00326165">
        <w:rPr>
          <w:rFonts w:ascii="Arial" w:hAnsi="Arial" w:cs="Arial"/>
          <w:b/>
          <w:color w:val="3C3C3E"/>
        </w:rPr>
        <w:lastRenderedPageBreak/>
        <w:t>Is there likely to be sufficient demand for type 1 services in regional centres outside metropolitan areas, and if so, what centres (either explicitly listed or by population threshold) should be included in the expanded licence areas?</w:t>
      </w:r>
    </w:p>
    <w:p w14:paraId="7C211FCD" w14:textId="77777777" w:rsidR="00326165" w:rsidRPr="00326165" w:rsidRDefault="00326165" w:rsidP="00A503D3">
      <w:pPr>
        <w:widowControl w:val="0"/>
        <w:autoSpaceDE w:val="0"/>
        <w:autoSpaceDN w:val="0"/>
        <w:adjustRightInd w:val="0"/>
        <w:ind w:left="360"/>
        <w:rPr>
          <w:rFonts w:ascii="Arial" w:hAnsi="Arial" w:cs="Arial"/>
          <w:color w:val="3C3C3E"/>
        </w:rPr>
      </w:pPr>
      <w:r w:rsidRPr="00326165">
        <w:rPr>
          <w:rFonts w:ascii="Arial" w:hAnsi="Arial" w:cs="Arial"/>
          <w:color w:val="3C3C3E"/>
        </w:rPr>
        <w:t>No comment.</w:t>
      </w:r>
    </w:p>
    <w:p w14:paraId="180008BC" w14:textId="4AD9B8EB" w:rsidR="00326165" w:rsidRDefault="00326165" w:rsidP="00326165">
      <w:pPr>
        <w:widowControl w:val="0"/>
        <w:autoSpaceDE w:val="0"/>
        <w:autoSpaceDN w:val="0"/>
        <w:adjustRightInd w:val="0"/>
        <w:rPr>
          <w:rFonts w:ascii="Arial" w:hAnsi="Arial" w:cs="Arial"/>
          <w:color w:val="3C3C3E"/>
        </w:rPr>
      </w:pPr>
    </w:p>
    <w:p w14:paraId="547D23A8" w14:textId="16416655" w:rsidR="00A2371D" w:rsidRDefault="0018580C" w:rsidP="00326165">
      <w:pPr>
        <w:widowControl w:val="0"/>
        <w:autoSpaceDE w:val="0"/>
        <w:autoSpaceDN w:val="0"/>
        <w:adjustRightInd w:val="0"/>
        <w:rPr>
          <w:rFonts w:ascii="Arial" w:hAnsi="Arial" w:cs="Arial"/>
          <w:color w:val="3C3C3E"/>
          <w:lang w:val="en-GB"/>
        </w:rPr>
      </w:pPr>
      <w:r>
        <w:rPr>
          <w:rFonts w:ascii="Arial" w:hAnsi="Arial" w:cs="Arial"/>
          <w:color w:val="3C3C3E"/>
        </w:rPr>
        <w:t xml:space="preserve">As a final </w:t>
      </w:r>
      <w:r w:rsidR="00EA3A5D">
        <w:rPr>
          <w:rFonts w:ascii="Arial" w:hAnsi="Arial" w:cs="Arial"/>
          <w:color w:val="3C3C3E"/>
        </w:rPr>
        <w:t xml:space="preserve">observation, ESA has noted </w:t>
      </w:r>
      <w:r w:rsidR="00780F51">
        <w:rPr>
          <w:rFonts w:ascii="Arial" w:hAnsi="Arial" w:cs="Arial"/>
          <w:color w:val="3C3C3E"/>
        </w:rPr>
        <w:t xml:space="preserve">in </w:t>
      </w:r>
      <w:r w:rsidR="00EA3A5D">
        <w:rPr>
          <w:rFonts w:ascii="Arial" w:hAnsi="Arial" w:cs="Arial"/>
          <w:color w:val="3C3C3E"/>
        </w:rPr>
        <w:t xml:space="preserve">Appendix 1, Table 6 titled “Summary of ITU-R Sharing Studies” </w:t>
      </w:r>
      <w:r w:rsidR="00780F51">
        <w:rPr>
          <w:rFonts w:ascii="Arial" w:hAnsi="Arial" w:cs="Arial"/>
          <w:color w:val="3C3C3E"/>
        </w:rPr>
        <w:t>there is an inference</w:t>
      </w:r>
      <w:r w:rsidR="00EA3A5D">
        <w:rPr>
          <w:rFonts w:ascii="Arial" w:hAnsi="Arial" w:cs="Arial"/>
          <w:color w:val="3C3C3E"/>
        </w:rPr>
        <w:t xml:space="preserve"> that future potential 5G/IMT-2020 operators m</w:t>
      </w:r>
      <w:r w:rsidR="00A2371D">
        <w:rPr>
          <w:rFonts w:ascii="Arial" w:hAnsi="Arial" w:cs="Arial"/>
          <w:color w:val="3C3C3E"/>
        </w:rPr>
        <w:t>ight</w:t>
      </w:r>
      <w:r w:rsidR="00EA3A5D">
        <w:rPr>
          <w:rFonts w:ascii="Arial" w:hAnsi="Arial" w:cs="Arial"/>
          <w:color w:val="3C3C3E"/>
        </w:rPr>
        <w:t xml:space="preserve"> assume that geographical separation </w:t>
      </w:r>
      <w:r w:rsidR="00780F51">
        <w:rPr>
          <w:rFonts w:ascii="Arial" w:hAnsi="Arial" w:cs="Arial"/>
          <w:color w:val="3C3C3E"/>
        </w:rPr>
        <w:t xml:space="preserve">from SRS stations </w:t>
      </w:r>
      <w:r w:rsidR="00A2371D">
        <w:rPr>
          <w:rFonts w:ascii="Arial" w:hAnsi="Arial" w:cs="Arial"/>
          <w:color w:val="3C3C3E"/>
        </w:rPr>
        <w:t>could</w:t>
      </w:r>
      <w:r w:rsidR="00EA3A5D">
        <w:rPr>
          <w:rFonts w:ascii="Arial" w:hAnsi="Arial" w:cs="Arial"/>
          <w:color w:val="3C3C3E"/>
        </w:rPr>
        <w:t xml:space="preserve"> be as small as “less than 1km (with clutter/terrain losses)”. </w:t>
      </w:r>
      <w:r w:rsidR="006F3481">
        <w:rPr>
          <w:rFonts w:ascii="Arial" w:hAnsi="Arial" w:cs="Arial"/>
          <w:color w:val="3C3C3E"/>
        </w:rPr>
        <w:t xml:space="preserve"> This </w:t>
      </w:r>
      <w:r w:rsidR="00A2371D">
        <w:rPr>
          <w:rFonts w:ascii="Arial" w:hAnsi="Arial" w:cs="Arial"/>
          <w:color w:val="3C3C3E"/>
        </w:rPr>
        <w:t>may</w:t>
      </w:r>
      <w:r w:rsidR="00F05C47">
        <w:rPr>
          <w:rFonts w:ascii="Arial" w:hAnsi="Arial" w:cs="Arial"/>
          <w:color w:val="3C3C3E"/>
        </w:rPr>
        <w:t xml:space="preserve"> be </w:t>
      </w:r>
      <w:r w:rsidR="006F3481">
        <w:rPr>
          <w:rFonts w:ascii="Arial" w:hAnsi="Arial" w:cs="Arial"/>
          <w:color w:val="3C3C3E"/>
        </w:rPr>
        <w:t>misleading and amendment of the text in the “Results” column of Table 6 is recommended.</w:t>
      </w:r>
      <w:r w:rsidR="00EA3A5D">
        <w:rPr>
          <w:rFonts w:ascii="Arial" w:hAnsi="Arial" w:cs="Arial"/>
          <w:color w:val="3C3C3E"/>
        </w:rPr>
        <w:t xml:space="preserve"> </w:t>
      </w:r>
      <w:r w:rsidR="00F05C47">
        <w:rPr>
          <w:rFonts w:ascii="Arial" w:hAnsi="Arial" w:cs="Arial"/>
          <w:color w:val="3C3C3E"/>
        </w:rPr>
        <w:t xml:space="preserve"> </w:t>
      </w:r>
      <w:r w:rsidR="00F05C47">
        <w:rPr>
          <w:rFonts w:ascii="Arial" w:hAnsi="Arial" w:cs="Arial"/>
          <w:color w:val="3C3C3E"/>
          <w:lang w:val="en-GB"/>
        </w:rPr>
        <w:t xml:space="preserve">Accordingly, perhaps the text in the Results column </w:t>
      </w:r>
      <w:r w:rsidR="00980F40">
        <w:rPr>
          <w:rFonts w:ascii="Arial" w:hAnsi="Arial" w:cs="Arial"/>
          <w:color w:val="3C3C3E"/>
          <w:lang w:val="en-GB"/>
        </w:rPr>
        <w:t>c</w:t>
      </w:r>
      <w:r w:rsidR="00F05C47">
        <w:rPr>
          <w:rFonts w:ascii="Arial" w:hAnsi="Arial" w:cs="Arial"/>
          <w:color w:val="3C3C3E"/>
          <w:lang w:val="en-GB"/>
        </w:rPr>
        <w:t>ould read “</w:t>
      </w:r>
      <w:r w:rsidR="00F05C47" w:rsidRPr="00F05C47">
        <w:rPr>
          <w:rFonts w:ascii="Arial" w:hAnsi="Arial" w:cs="Arial"/>
          <w:color w:val="3C3C3E"/>
        </w:rPr>
        <w:t>Results indicate the need for geographical separation in the range less than 1km (non-</w:t>
      </w:r>
      <w:proofErr w:type="gramStart"/>
      <w:r w:rsidR="00F05C47" w:rsidRPr="00F05C47">
        <w:rPr>
          <w:rFonts w:ascii="Arial" w:hAnsi="Arial" w:cs="Arial"/>
          <w:color w:val="3C3C3E"/>
        </w:rPr>
        <w:t>site specific</w:t>
      </w:r>
      <w:proofErr w:type="gramEnd"/>
      <w:r w:rsidR="00F05C47" w:rsidRPr="00F05C47">
        <w:rPr>
          <w:rFonts w:ascii="Arial" w:hAnsi="Arial" w:cs="Arial"/>
          <w:color w:val="3C3C3E"/>
        </w:rPr>
        <w:t xml:space="preserve"> analysis) to 92 km (site-specific analysis) between IMT-2020 transmitters and EESS/SRS Earth stations.</w:t>
      </w:r>
      <w:r w:rsidR="00A2371D">
        <w:rPr>
          <w:rFonts w:ascii="Arial" w:hAnsi="Arial" w:cs="Arial"/>
          <w:color w:val="3C3C3E"/>
        </w:rPr>
        <w:t xml:space="preserve">  </w:t>
      </w:r>
      <w:r w:rsidR="00F05C47">
        <w:rPr>
          <w:rFonts w:ascii="Arial" w:hAnsi="Arial" w:cs="Arial"/>
          <w:color w:val="3C3C3E"/>
          <w:lang w:val="en-GB"/>
        </w:rPr>
        <w:t>This is recommended noting that</w:t>
      </w:r>
      <w:r w:rsidR="00EA3A5D">
        <w:rPr>
          <w:rFonts w:ascii="Arial" w:hAnsi="Arial" w:cs="Arial"/>
          <w:color w:val="3C3C3E"/>
        </w:rPr>
        <w:t xml:space="preserve"> ITU-R document </w:t>
      </w:r>
      <w:hyperlink r:id="rId9" w:history="1">
        <w:r w:rsidR="00EA3A5D" w:rsidRPr="00F62E7B">
          <w:rPr>
            <w:rStyle w:val="Hyperlink"/>
            <w:rFonts w:ascii="Arial" w:hAnsi="Arial" w:cs="Arial"/>
          </w:rPr>
          <w:t>5-1/406</w:t>
        </w:r>
      </w:hyperlink>
      <w:r w:rsidR="00EA3A5D">
        <w:rPr>
          <w:rFonts w:ascii="Arial" w:hAnsi="Arial" w:cs="Arial"/>
          <w:color w:val="3C3C3E"/>
        </w:rPr>
        <w:t xml:space="preserve"> (Annex 3), Attachment 1, </w:t>
      </w:r>
      <w:r w:rsidR="00532888">
        <w:rPr>
          <w:rFonts w:ascii="Arial" w:hAnsi="Arial" w:cs="Arial"/>
          <w:color w:val="3C3C3E"/>
          <w:lang w:val="en-GB"/>
        </w:rPr>
        <w:t>Clause 1.3.4.4 concludes that</w:t>
      </w:r>
      <w:r w:rsidR="00980F40">
        <w:rPr>
          <w:rFonts w:ascii="Arial" w:hAnsi="Arial" w:cs="Arial"/>
          <w:color w:val="3C3C3E"/>
          <w:lang w:val="en-GB"/>
        </w:rPr>
        <w:t xml:space="preserve"> for New Norcia</w:t>
      </w:r>
      <w:r w:rsidR="00532888">
        <w:rPr>
          <w:rFonts w:ascii="Arial" w:hAnsi="Arial" w:cs="Arial"/>
          <w:color w:val="3C3C3E"/>
          <w:lang w:val="en-GB"/>
        </w:rPr>
        <w:t xml:space="preserve"> “</w:t>
      </w:r>
      <w:r w:rsidR="00532888" w:rsidRPr="00532888">
        <w:rPr>
          <w:rFonts w:ascii="Arial" w:hAnsi="Arial" w:cs="Arial"/>
          <w:color w:val="3C3C3E"/>
          <w:lang w:val="en-GB"/>
        </w:rPr>
        <w:t>The maximum separation distance is around 79 km</w:t>
      </w:r>
      <w:r w:rsidR="00980F40">
        <w:rPr>
          <w:rFonts w:ascii="Arial" w:hAnsi="Arial" w:cs="Arial"/>
          <w:color w:val="3C3C3E"/>
          <w:lang w:val="en-GB"/>
        </w:rPr>
        <w:t>.</w:t>
      </w:r>
      <w:r w:rsidR="005F550C">
        <w:rPr>
          <w:rFonts w:ascii="Arial" w:hAnsi="Arial" w:cs="Arial"/>
          <w:color w:val="3C3C3E"/>
          <w:lang w:val="en-GB"/>
        </w:rPr>
        <w:t>”</w:t>
      </w:r>
    </w:p>
    <w:p w14:paraId="1D97E671" w14:textId="4F67999E" w:rsidR="0018580C" w:rsidRDefault="00A673E3" w:rsidP="00326165">
      <w:pPr>
        <w:widowControl w:val="0"/>
        <w:autoSpaceDE w:val="0"/>
        <w:autoSpaceDN w:val="0"/>
        <w:adjustRightInd w:val="0"/>
        <w:rPr>
          <w:rFonts w:ascii="Arial" w:hAnsi="Arial" w:cs="Arial"/>
          <w:color w:val="3C3C3E"/>
        </w:rPr>
      </w:pPr>
      <w:r>
        <w:rPr>
          <w:rFonts w:ascii="Arial" w:hAnsi="Arial" w:cs="Arial"/>
          <w:color w:val="3C3C3E"/>
          <w:lang w:val="en-GB"/>
        </w:rPr>
        <w:t>The development in collaboration with ACMA of a graphical representation of this separation distance plot around New Norcia at 26 G</w:t>
      </w:r>
      <w:r w:rsidR="0096639D">
        <w:rPr>
          <w:rFonts w:ascii="Arial" w:hAnsi="Arial" w:cs="Arial"/>
          <w:color w:val="3C3C3E"/>
          <w:lang w:val="en-GB"/>
        </w:rPr>
        <w:t>H</w:t>
      </w:r>
      <w:r>
        <w:rPr>
          <w:rFonts w:ascii="Arial" w:hAnsi="Arial" w:cs="Arial"/>
          <w:color w:val="3C3C3E"/>
          <w:lang w:val="en-GB"/>
        </w:rPr>
        <w:t>z in HCIS blocks format is suggested above under Question 3.</w:t>
      </w:r>
    </w:p>
    <w:p w14:paraId="56643851" w14:textId="77777777" w:rsidR="0018580C" w:rsidRPr="00326165" w:rsidRDefault="0018580C" w:rsidP="00326165">
      <w:pPr>
        <w:widowControl w:val="0"/>
        <w:autoSpaceDE w:val="0"/>
        <w:autoSpaceDN w:val="0"/>
        <w:adjustRightInd w:val="0"/>
        <w:rPr>
          <w:rFonts w:ascii="Arial" w:hAnsi="Arial" w:cs="Arial"/>
          <w:color w:val="3C3C3E"/>
        </w:rPr>
      </w:pPr>
    </w:p>
    <w:p w14:paraId="545BD02A" w14:textId="77777777" w:rsidR="00326165" w:rsidRPr="00326165" w:rsidRDefault="00326165" w:rsidP="00326165">
      <w:pPr>
        <w:widowControl w:val="0"/>
        <w:autoSpaceDE w:val="0"/>
        <w:autoSpaceDN w:val="0"/>
        <w:adjustRightInd w:val="0"/>
        <w:rPr>
          <w:rFonts w:ascii="Arial" w:hAnsi="Arial" w:cs="Arial"/>
          <w:b/>
          <w:color w:val="3C3C3E"/>
        </w:rPr>
      </w:pPr>
      <w:r w:rsidRPr="00326165">
        <w:rPr>
          <w:rFonts w:ascii="Arial" w:hAnsi="Arial" w:cs="Arial"/>
          <w:b/>
          <w:color w:val="3C3C3E"/>
        </w:rPr>
        <w:t>Conclusion.</w:t>
      </w:r>
    </w:p>
    <w:p w14:paraId="614DD11E" w14:textId="77777777" w:rsidR="00326165" w:rsidRPr="00326165" w:rsidRDefault="00326165" w:rsidP="00326165">
      <w:pPr>
        <w:widowControl w:val="0"/>
        <w:autoSpaceDE w:val="0"/>
        <w:autoSpaceDN w:val="0"/>
        <w:adjustRightInd w:val="0"/>
        <w:rPr>
          <w:rFonts w:ascii="Arial" w:hAnsi="Arial" w:cs="Arial"/>
          <w:color w:val="3C3C3E"/>
        </w:rPr>
      </w:pPr>
    </w:p>
    <w:p w14:paraId="0819A40A" w14:textId="689D8BFB" w:rsidR="00A503D3" w:rsidRPr="00A503D3" w:rsidRDefault="00A503D3" w:rsidP="00A503D3">
      <w:pPr>
        <w:widowControl w:val="0"/>
        <w:autoSpaceDE w:val="0"/>
        <w:autoSpaceDN w:val="0"/>
        <w:adjustRightInd w:val="0"/>
        <w:rPr>
          <w:rFonts w:ascii="Arial" w:hAnsi="Arial" w:cs="Arial"/>
          <w:color w:val="3C3C3E"/>
          <w:lang w:val="en-US"/>
        </w:rPr>
      </w:pPr>
      <w:r w:rsidRPr="00A503D3">
        <w:rPr>
          <w:rFonts w:ascii="Arial" w:hAnsi="Arial" w:cs="Arial"/>
          <w:color w:val="3C3C3E"/>
          <w:lang w:val="en-US"/>
        </w:rPr>
        <w:t xml:space="preserve">Again, thank you for your invitation to comment on </w:t>
      </w:r>
      <w:r w:rsidR="003C3DD0">
        <w:rPr>
          <w:rFonts w:ascii="Arial" w:hAnsi="Arial" w:cs="Arial"/>
          <w:color w:val="3C3C3E"/>
          <w:lang w:val="en-US"/>
        </w:rPr>
        <w:t xml:space="preserve">this </w:t>
      </w:r>
      <w:r w:rsidR="003C3DD0" w:rsidRPr="00326165">
        <w:rPr>
          <w:rFonts w:ascii="Arial" w:hAnsi="Arial" w:cs="Arial"/>
          <w:color w:val="3C3C3E"/>
        </w:rPr>
        <w:t>consultation paper titled “Options for wireless broadband in the 26 GHz band”</w:t>
      </w:r>
      <w:r w:rsidR="003C3DD0">
        <w:rPr>
          <w:rFonts w:ascii="Arial" w:hAnsi="Arial" w:cs="Arial"/>
          <w:color w:val="3C3C3E"/>
        </w:rPr>
        <w:t xml:space="preserve"> (IFC 32/2018).  </w:t>
      </w:r>
      <w:r w:rsidR="003C3DD0">
        <w:rPr>
          <w:rFonts w:ascii="Arial" w:hAnsi="Arial" w:cs="Arial"/>
          <w:color w:val="3C3C3E"/>
          <w:lang w:val="en-US"/>
        </w:rPr>
        <w:t>ESA is keen to continue to work collaboratively with the ACMA on th</w:t>
      </w:r>
      <w:r w:rsidR="00B25903">
        <w:rPr>
          <w:rFonts w:ascii="Arial" w:hAnsi="Arial" w:cs="Arial"/>
          <w:color w:val="3C3C3E"/>
          <w:lang w:val="en-US"/>
        </w:rPr>
        <w:t>ese</w:t>
      </w:r>
      <w:r w:rsidR="003C3DD0">
        <w:rPr>
          <w:rFonts w:ascii="Arial" w:hAnsi="Arial" w:cs="Arial"/>
          <w:color w:val="3C3C3E"/>
          <w:lang w:val="en-US"/>
        </w:rPr>
        <w:t xml:space="preserve"> important issues.  Accordingly, ESA (and</w:t>
      </w:r>
      <w:r w:rsidR="00B25903">
        <w:rPr>
          <w:rFonts w:ascii="Arial" w:hAnsi="Arial" w:cs="Arial"/>
          <w:color w:val="3C3C3E"/>
          <w:lang w:val="en-US"/>
        </w:rPr>
        <w:t xml:space="preserve"> </w:t>
      </w:r>
      <w:r w:rsidRPr="00A503D3">
        <w:rPr>
          <w:rFonts w:ascii="Arial" w:hAnsi="Arial" w:cs="Arial"/>
          <w:color w:val="3C3C3E"/>
          <w:lang w:val="en-US"/>
        </w:rPr>
        <w:t>I</w:t>
      </w:r>
      <w:r w:rsidR="003C3DD0">
        <w:rPr>
          <w:rFonts w:ascii="Arial" w:hAnsi="Arial" w:cs="Arial"/>
          <w:color w:val="3C3C3E"/>
          <w:lang w:val="en-US"/>
        </w:rPr>
        <w:t xml:space="preserve"> on behalf of ESA)</w:t>
      </w:r>
      <w:r w:rsidRPr="00A503D3">
        <w:rPr>
          <w:rFonts w:ascii="Arial" w:hAnsi="Arial" w:cs="Arial"/>
          <w:color w:val="3C3C3E"/>
          <w:lang w:val="en-US"/>
        </w:rPr>
        <w:t xml:space="preserve"> would be pleased to further elaborate on any matter raised within this submission</w:t>
      </w:r>
      <w:r w:rsidR="003C3DD0">
        <w:rPr>
          <w:rFonts w:ascii="Arial" w:hAnsi="Arial" w:cs="Arial"/>
          <w:color w:val="3C3C3E"/>
          <w:lang w:val="en-US"/>
        </w:rPr>
        <w:t>.  I have pleasure in</w:t>
      </w:r>
      <w:r w:rsidRPr="00A503D3">
        <w:rPr>
          <w:rFonts w:ascii="Arial" w:hAnsi="Arial" w:cs="Arial"/>
          <w:color w:val="3C3C3E"/>
          <w:lang w:val="en-US"/>
        </w:rPr>
        <w:t xml:space="preserve"> </w:t>
      </w:r>
      <w:r w:rsidR="003C3DD0">
        <w:rPr>
          <w:rFonts w:ascii="Arial" w:hAnsi="Arial" w:cs="Arial"/>
          <w:color w:val="3C3C3E"/>
          <w:lang w:val="en-US"/>
        </w:rPr>
        <w:t>presenting</w:t>
      </w:r>
      <w:r w:rsidRPr="00A503D3">
        <w:rPr>
          <w:rFonts w:ascii="Arial" w:hAnsi="Arial" w:cs="Arial"/>
          <w:color w:val="3C3C3E"/>
          <w:lang w:val="en-US"/>
        </w:rPr>
        <w:t xml:space="preserve"> this contribution on behalf of ESA for your consideration.</w:t>
      </w:r>
    </w:p>
    <w:p w14:paraId="31156DF1" w14:textId="046F31FB" w:rsidR="00A503D3" w:rsidRDefault="00A503D3" w:rsidP="00A503D3">
      <w:pPr>
        <w:widowControl w:val="0"/>
        <w:autoSpaceDE w:val="0"/>
        <w:autoSpaceDN w:val="0"/>
        <w:adjustRightInd w:val="0"/>
        <w:rPr>
          <w:rFonts w:ascii="Arial" w:hAnsi="Arial" w:cs="Arial"/>
          <w:color w:val="3C3C3E"/>
          <w:lang w:val="en-US"/>
        </w:rPr>
      </w:pPr>
    </w:p>
    <w:p w14:paraId="38DD2E98" w14:textId="185150D7" w:rsidR="00985E18" w:rsidRDefault="00985E18" w:rsidP="00A503D3">
      <w:pPr>
        <w:widowControl w:val="0"/>
        <w:autoSpaceDE w:val="0"/>
        <w:autoSpaceDN w:val="0"/>
        <w:adjustRightInd w:val="0"/>
        <w:rPr>
          <w:rFonts w:ascii="Arial" w:hAnsi="Arial" w:cs="Arial"/>
          <w:color w:val="3C3C3E"/>
          <w:lang w:val="en-US"/>
        </w:rPr>
      </w:pPr>
    </w:p>
    <w:p w14:paraId="029716DC" w14:textId="77777777" w:rsidR="00985E18" w:rsidRPr="00A503D3" w:rsidRDefault="00985E18" w:rsidP="00A503D3">
      <w:pPr>
        <w:widowControl w:val="0"/>
        <w:autoSpaceDE w:val="0"/>
        <w:autoSpaceDN w:val="0"/>
        <w:adjustRightInd w:val="0"/>
        <w:rPr>
          <w:rFonts w:ascii="Arial" w:hAnsi="Arial" w:cs="Arial"/>
          <w:color w:val="3C3C3E"/>
          <w:lang w:val="en-US"/>
        </w:rPr>
      </w:pPr>
    </w:p>
    <w:p w14:paraId="1E277318" w14:textId="77777777" w:rsidR="00A503D3" w:rsidRPr="00A503D3" w:rsidRDefault="00A503D3" w:rsidP="00A503D3">
      <w:pPr>
        <w:widowControl w:val="0"/>
        <w:autoSpaceDE w:val="0"/>
        <w:autoSpaceDN w:val="0"/>
        <w:adjustRightInd w:val="0"/>
        <w:rPr>
          <w:rFonts w:ascii="Arial" w:hAnsi="Arial" w:cs="Arial"/>
          <w:color w:val="3C3C3E"/>
          <w:lang w:val="en-US"/>
        </w:rPr>
      </w:pPr>
    </w:p>
    <w:p w14:paraId="6A773090" w14:textId="77777777" w:rsidR="00A503D3" w:rsidRPr="00A503D3" w:rsidRDefault="00A503D3" w:rsidP="00A503D3">
      <w:pPr>
        <w:widowControl w:val="0"/>
        <w:autoSpaceDE w:val="0"/>
        <w:autoSpaceDN w:val="0"/>
        <w:adjustRightInd w:val="0"/>
        <w:rPr>
          <w:rFonts w:ascii="Arial" w:hAnsi="Arial" w:cs="Arial"/>
          <w:color w:val="3C3C3E"/>
          <w:lang w:val="en-US"/>
        </w:rPr>
      </w:pPr>
      <w:r w:rsidRPr="00A503D3">
        <w:rPr>
          <w:rFonts w:ascii="Arial" w:hAnsi="Arial" w:cs="Arial"/>
          <w:color w:val="3C3C3E"/>
          <w:lang w:val="en-US"/>
        </w:rPr>
        <w:t>Yours sincerely,</w:t>
      </w:r>
    </w:p>
    <w:p w14:paraId="798F0423" w14:textId="77777777" w:rsidR="00A503D3" w:rsidRPr="00A503D3" w:rsidRDefault="00A503D3" w:rsidP="00A503D3">
      <w:pPr>
        <w:widowControl w:val="0"/>
        <w:autoSpaceDE w:val="0"/>
        <w:autoSpaceDN w:val="0"/>
        <w:adjustRightInd w:val="0"/>
        <w:rPr>
          <w:rFonts w:ascii="Arial" w:hAnsi="Arial" w:cs="Arial"/>
          <w:color w:val="3C3C3E"/>
          <w:lang w:val="en-US"/>
        </w:rPr>
      </w:pPr>
    </w:p>
    <w:p w14:paraId="7E9EAE45" w14:textId="77777777" w:rsidR="00A503D3" w:rsidRPr="00A503D3" w:rsidRDefault="00A503D3" w:rsidP="00A503D3">
      <w:pPr>
        <w:widowControl w:val="0"/>
        <w:autoSpaceDE w:val="0"/>
        <w:autoSpaceDN w:val="0"/>
        <w:adjustRightInd w:val="0"/>
        <w:rPr>
          <w:rFonts w:ascii="Arial" w:hAnsi="Arial" w:cs="Arial"/>
          <w:color w:val="3C3C3E"/>
        </w:rPr>
      </w:pPr>
      <w:r w:rsidRPr="00A503D3">
        <w:rPr>
          <w:rFonts w:ascii="Arial" w:hAnsi="Arial" w:cs="Arial"/>
          <w:noProof/>
          <w:color w:val="3C3C3E"/>
          <w:lang w:val="en-US"/>
        </w:rPr>
        <w:drawing>
          <wp:inline distT="0" distB="0" distL="0" distR="0" wp14:anchorId="645A8183" wp14:editId="7F2757D3">
            <wp:extent cx="1892379" cy="323850"/>
            <wp:effectExtent l="25400" t="0" r="12621"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1900022" cy="325158"/>
                    </a:xfrm>
                    <a:prstGeom prst="rect">
                      <a:avLst/>
                    </a:prstGeom>
                    <a:noFill/>
                    <a:ln w="9525">
                      <a:noFill/>
                      <a:miter lim="800000"/>
                      <a:headEnd/>
                      <a:tailEnd/>
                    </a:ln>
                  </pic:spPr>
                </pic:pic>
              </a:graphicData>
            </a:graphic>
          </wp:inline>
        </w:drawing>
      </w:r>
    </w:p>
    <w:p w14:paraId="28907B23" w14:textId="77777777" w:rsidR="00A503D3" w:rsidRPr="00A503D3" w:rsidRDefault="00A503D3" w:rsidP="00A503D3">
      <w:pPr>
        <w:widowControl w:val="0"/>
        <w:autoSpaceDE w:val="0"/>
        <w:autoSpaceDN w:val="0"/>
        <w:adjustRightInd w:val="0"/>
        <w:rPr>
          <w:rFonts w:ascii="Arial" w:hAnsi="Arial" w:cs="Arial"/>
          <w:color w:val="3C3C3E"/>
          <w:lang w:val="en-US"/>
        </w:rPr>
      </w:pPr>
      <w:r w:rsidRPr="00A503D3">
        <w:rPr>
          <w:rFonts w:ascii="Arial" w:hAnsi="Arial" w:cs="Arial"/>
          <w:color w:val="3C3C3E"/>
          <w:lang w:val="en-US"/>
        </w:rPr>
        <w:t>…………………….</w:t>
      </w:r>
    </w:p>
    <w:p w14:paraId="49D0C11C" w14:textId="77777777" w:rsidR="00A503D3" w:rsidRPr="00A503D3" w:rsidRDefault="00A503D3" w:rsidP="00A503D3">
      <w:pPr>
        <w:widowControl w:val="0"/>
        <w:autoSpaceDE w:val="0"/>
        <w:autoSpaceDN w:val="0"/>
        <w:adjustRightInd w:val="0"/>
        <w:rPr>
          <w:rFonts w:ascii="Arial" w:hAnsi="Arial" w:cs="Arial"/>
          <w:color w:val="3C3C3E"/>
          <w:lang w:val="en-US"/>
        </w:rPr>
      </w:pPr>
      <w:r w:rsidRPr="00A503D3">
        <w:rPr>
          <w:rFonts w:ascii="Arial" w:hAnsi="Arial" w:cs="Arial"/>
          <w:color w:val="3C3C3E"/>
          <w:lang w:val="en-US"/>
        </w:rPr>
        <w:t>Richard Jacobsen</w:t>
      </w:r>
    </w:p>
    <w:p w14:paraId="688D2F61" w14:textId="77777777" w:rsidR="00A503D3" w:rsidRPr="00A503D3" w:rsidRDefault="00A503D3" w:rsidP="00A503D3">
      <w:pPr>
        <w:widowControl w:val="0"/>
        <w:autoSpaceDE w:val="0"/>
        <w:autoSpaceDN w:val="0"/>
        <w:adjustRightInd w:val="0"/>
        <w:rPr>
          <w:rFonts w:ascii="Arial" w:hAnsi="Arial" w:cs="Arial"/>
          <w:color w:val="3C3C3E"/>
          <w:lang w:val="en-US"/>
        </w:rPr>
      </w:pPr>
      <w:r w:rsidRPr="00A503D3">
        <w:rPr>
          <w:rFonts w:ascii="Arial" w:hAnsi="Arial" w:cs="Arial"/>
          <w:color w:val="3C3C3E"/>
          <w:lang w:val="en-US"/>
        </w:rPr>
        <w:t>Managing Director</w:t>
      </w:r>
    </w:p>
    <w:p w14:paraId="0B5F7EC6" w14:textId="77777777" w:rsidR="00A503D3" w:rsidRPr="00A503D3" w:rsidRDefault="00A503D3" w:rsidP="00A503D3">
      <w:pPr>
        <w:widowControl w:val="0"/>
        <w:autoSpaceDE w:val="0"/>
        <w:autoSpaceDN w:val="0"/>
        <w:adjustRightInd w:val="0"/>
        <w:rPr>
          <w:rFonts w:ascii="Arial" w:hAnsi="Arial" w:cs="Arial"/>
          <w:color w:val="3C3C3E"/>
          <w:lang w:val="en-US"/>
        </w:rPr>
      </w:pPr>
      <w:r w:rsidRPr="00A503D3">
        <w:rPr>
          <w:rFonts w:ascii="Arial" w:hAnsi="Arial" w:cs="Arial"/>
          <w:color w:val="3C3C3E"/>
          <w:lang w:val="en-US"/>
        </w:rPr>
        <w:t>Innovative Electronics Pty Ltd</w:t>
      </w:r>
    </w:p>
    <w:p w14:paraId="0EC7E36C" w14:textId="14828EFB" w:rsidR="00326165" w:rsidRDefault="00A503D3" w:rsidP="00A92C94">
      <w:pPr>
        <w:widowControl w:val="0"/>
        <w:autoSpaceDE w:val="0"/>
        <w:autoSpaceDN w:val="0"/>
        <w:adjustRightInd w:val="0"/>
        <w:rPr>
          <w:rFonts w:ascii="Arial" w:hAnsi="Arial" w:cs="Arial"/>
          <w:color w:val="3C3C3E"/>
          <w:lang w:val="en-US"/>
        </w:rPr>
      </w:pPr>
      <w:r w:rsidRPr="00A503D3">
        <w:rPr>
          <w:rFonts w:ascii="Arial" w:hAnsi="Arial" w:cs="Arial"/>
          <w:color w:val="3C3C3E"/>
          <w:lang w:val="en-US"/>
        </w:rPr>
        <w:t>ABN: 47 008 579 566</w:t>
      </w:r>
    </w:p>
    <w:p w14:paraId="6FB3F258" w14:textId="65651EE4" w:rsidR="00170A92" w:rsidRDefault="00170A92" w:rsidP="00A92C94">
      <w:pPr>
        <w:widowControl w:val="0"/>
        <w:autoSpaceDE w:val="0"/>
        <w:autoSpaceDN w:val="0"/>
        <w:adjustRightInd w:val="0"/>
        <w:rPr>
          <w:rFonts w:ascii="Arial" w:hAnsi="Arial" w:cs="Arial"/>
          <w:color w:val="3C3C3E"/>
          <w:lang w:val="en-US"/>
        </w:rPr>
      </w:pPr>
    </w:p>
    <w:p w14:paraId="735EF3A8" w14:textId="1CB66447" w:rsidR="00170A92" w:rsidRDefault="00170A92" w:rsidP="00A92C94">
      <w:pPr>
        <w:widowControl w:val="0"/>
        <w:autoSpaceDE w:val="0"/>
        <w:autoSpaceDN w:val="0"/>
        <w:adjustRightInd w:val="0"/>
        <w:rPr>
          <w:rFonts w:ascii="Arial" w:hAnsi="Arial" w:cs="Arial"/>
          <w:color w:val="3C3C3E"/>
          <w:lang w:val="en-US"/>
        </w:rPr>
      </w:pPr>
    </w:p>
    <w:p w14:paraId="1C31AF2B" w14:textId="3919C104" w:rsidR="00170A92" w:rsidRDefault="00170A92" w:rsidP="00A92C94">
      <w:pPr>
        <w:widowControl w:val="0"/>
        <w:autoSpaceDE w:val="0"/>
        <w:autoSpaceDN w:val="0"/>
        <w:adjustRightInd w:val="0"/>
        <w:rPr>
          <w:rFonts w:ascii="Arial" w:hAnsi="Arial" w:cs="Arial"/>
          <w:color w:val="3C3C3E"/>
          <w:lang w:val="en-US"/>
        </w:rPr>
      </w:pPr>
    </w:p>
    <w:p w14:paraId="2C0E795E" w14:textId="4252C67E" w:rsidR="00170A92" w:rsidRDefault="00170A92">
      <w:pPr>
        <w:rPr>
          <w:rFonts w:ascii="Arial" w:hAnsi="Arial" w:cs="Arial"/>
          <w:color w:val="3C3C3E"/>
          <w:lang w:val="en-US"/>
        </w:rPr>
      </w:pPr>
      <w:r>
        <w:rPr>
          <w:rFonts w:ascii="Arial" w:hAnsi="Arial" w:cs="Arial"/>
          <w:color w:val="3C3C3E"/>
          <w:lang w:val="en-US"/>
        </w:rPr>
        <w:br w:type="page"/>
      </w:r>
    </w:p>
    <w:p w14:paraId="7C95A437" w14:textId="42026D16" w:rsidR="00170A92" w:rsidRDefault="000A5217" w:rsidP="000A5217">
      <w:pPr>
        <w:widowControl w:val="0"/>
        <w:autoSpaceDE w:val="0"/>
        <w:autoSpaceDN w:val="0"/>
        <w:adjustRightInd w:val="0"/>
        <w:ind w:left="720"/>
        <w:jc w:val="right"/>
        <w:rPr>
          <w:rFonts w:ascii="Arial" w:hAnsi="Arial" w:cs="Arial"/>
          <w:b/>
          <w:color w:val="3C3C3E"/>
          <w:lang w:val="en-US"/>
        </w:rPr>
      </w:pPr>
      <w:r>
        <w:rPr>
          <w:rFonts w:ascii="Arial" w:hAnsi="Arial" w:cs="Arial"/>
          <w:b/>
          <w:color w:val="3C3C3E"/>
          <w:lang w:val="en-US"/>
        </w:rPr>
        <w:lastRenderedPageBreak/>
        <w:t>Annex A</w:t>
      </w:r>
    </w:p>
    <w:p w14:paraId="721FAB33" w14:textId="43F7A4EF" w:rsidR="000A5217" w:rsidRDefault="000A5217" w:rsidP="000A5217">
      <w:pPr>
        <w:widowControl w:val="0"/>
        <w:autoSpaceDE w:val="0"/>
        <w:autoSpaceDN w:val="0"/>
        <w:adjustRightInd w:val="0"/>
        <w:ind w:left="720"/>
        <w:rPr>
          <w:rFonts w:ascii="Arial" w:hAnsi="Arial" w:cs="Arial"/>
          <w:b/>
          <w:color w:val="3C3C3E"/>
          <w:lang w:val="en-US"/>
        </w:rPr>
      </w:pPr>
    </w:p>
    <w:p w14:paraId="0E7F43C3" w14:textId="435748A3" w:rsidR="000A5217" w:rsidRDefault="000A5217" w:rsidP="000A5217">
      <w:pPr>
        <w:widowControl w:val="0"/>
        <w:autoSpaceDE w:val="0"/>
        <w:autoSpaceDN w:val="0"/>
        <w:adjustRightInd w:val="0"/>
        <w:ind w:left="720"/>
        <w:rPr>
          <w:rFonts w:ascii="Arial" w:hAnsi="Arial" w:cs="Arial"/>
          <w:b/>
          <w:color w:val="3C3C3E"/>
          <w:lang w:val="en-US"/>
        </w:rPr>
      </w:pPr>
    </w:p>
    <w:p w14:paraId="60A52E03" w14:textId="77777777" w:rsidR="000A5217" w:rsidRPr="000A5217" w:rsidRDefault="000A5217" w:rsidP="000A5217">
      <w:pPr>
        <w:widowControl w:val="0"/>
        <w:autoSpaceDE w:val="0"/>
        <w:autoSpaceDN w:val="0"/>
        <w:adjustRightInd w:val="0"/>
        <w:ind w:left="720"/>
        <w:jc w:val="center"/>
        <w:rPr>
          <w:rFonts w:ascii="Arial" w:hAnsi="Arial" w:cs="Arial"/>
          <w:b/>
          <w:color w:val="3C3C3E"/>
        </w:rPr>
      </w:pPr>
      <w:r w:rsidRPr="000A5217">
        <w:rPr>
          <w:rFonts w:ascii="Arial" w:hAnsi="Arial" w:cs="Arial"/>
          <w:b/>
          <w:color w:val="3C3C3E"/>
        </w:rPr>
        <w:t xml:space="preserve">New Norcia 26-GHz coordination contour for IMT-2020 (suburban single entry / TVG </w:t>
      </w:r>
      <w:proofErr w:type="spellStart"/>
      <w:r w:rsidRPr="000A5217">
        <w:rPr>
          <w:rFonts w:ascii="Arial" w:hAnsi="Arial" w:cs="Arial"/>
          <w:b/>
          <w:color w:val="3C3C3E"/>
        </w:rPr>
        <w:t>Gtx</w:t>
      </w:r>
      <w:proofErr w:type="spellEnd"/>
      <w:r w:rsidRPr="000A5217">
        <w:rPr>
          <w:rFonts w:ascii="Arial" w:hAnsi="Arial" w:cs="Arial"/>
          <w:b/>
          <w:color w:val="3C3C3E"/>
        </w:rPr>
        <w:t xml:space="preserve"> only / no clutter - worst case result with 78.5 km of maximum separation distance) with the embargo 69 area over Perth.</w:t>
      </w:r>
    </w:p>
    <w:p w14:paraId="068A62EB" w14:textId="16A6CE96" w:rsidR="000A5217" w:rsidRDefault="000A5217" w:rsidP="000A5217">
      <w:pPr>
        <w:widowControl w:val="0"/>
        <w:autoSpaceDE w:val="0"/>
        <w:autoSpaceDN w:val="0"/>
        <w:adjustRightInd w:val="0"/>
        <w:ind w:left="720"/>
        <w:jc w:val="center"/>
        <w:rPr>
          <w:rFonts w:ascii="Arial" w:hAnsi="Arial" w:cs="Arial"/>
          <w:b/>
          <w:color w:val="3C3C3E"/>
          <w:lang w:val="en-US"/>
        </w:rPr>
      </w:pPr>
    </w:p>
    <w:p w14:paraId="3058FABF" w14:textId="60983678" w:rsidR="000A5217" w:rsidRPr="000A5217" w:rsidRDefault="000A5217" w:rsidP="000A5217">
      <w:pPr>
        <w:rPr>
          <w:rFonts w:ascii="Times New Roman" w:eastAsia="Times New Roman" w:hAnsi="Times New Roman" w:cs="Times New Roman"/>
        </w:rPr>
      </w:pPr>
      <w:r w:rsidRPr="000A5217">
        <w:rPr>
          <w:rFonts w:ascii="Times New Roman" w:eastAsia="Times New Roman" w:hAnsi="Times New Roman" w:cs="Times New Roman"/>
        </w:rPr>
        <w:fldChar w:fldCharType="begin"/>
      </w:r>
      <w:r w:rsidRPr="000A5217">
        <w:rPr>
          <w:rFonts w:ascii="Times New Roman" w:eastAsia="Times New Roman" w:hAnsi="Times New Roman" w:cs="Times New Roman"/>
        </w:rPr>
        <w:instrText xml:space="preserve"> INCLUDEPICTURE "cid:589E9322-FD01-46A7-A4AF-0C02EE52CADA@gateway" \* MERGEFORMATINET </w:instrText>
      </w:r>
      <w:r w:rsidRPr="000A5217">
        <w:rPr>
          <w:rFonts w:ascii="Times New Roman" w:eastAsia="Times New Roman" w:hAnsi="Times New Roman" w:cs="Times New Roman"/>
        </w:rPr>
        <w:fldChar w:fldCharType="separate"/>
      </w:r>
      <w:r w:rsidRPr="000A5217">
        <w:rPr>
          <w:rFonts w:ascii="Times New Roman" w:eastAsia="Times New Roman" w:hAnsi="Times New Roman" w:cs="Times New Roman"/>
          <w:noProof/>
        </w:rPr>
        <mc:AlternateContent>
          <mc:Choice Requires="wps">
            <w:drawing>
              <wp:inline distT="0" distB="0" distL="0" distR="0" wp14:anchorId="009D2F74" wp14:editId="5A38C16B">
                <wp:extent cx="304800" cy="304800"/>
                <wp:effectExtent l="0" t="0" r="0" b="0"/>
                <wp:docPr id="3" name="Rectangle 3" descr="IMT_Embargo69_superimposition_GE.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7A9883E" id="Rectangle 3" o:spid="_x0000_s1026" alt="IMT_Embargo69_superimposition_GE.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" filled="f" stroked="f">
                <o:lock v:ext="edit" aspectratio="t"/>
                <w10:anchorlock/>
              </v:rect>
            </w:pict>
          </mc:Fallback>
        </mc:AlternateContent>
      </w:r>
      <w:r w:rsidRPr="000A5217">
        <w:rPr>
          <w:rFonts w:ascii="Times New Roman" w:eastAsia="Times New Roman" w:hAnsi="Times New Roman" w:cs="Times New Roman"/>
        </w:rPr>
        <w:fldChar w:fldCharType="end"/>
      </w:r>
      <w:r>
        <w:rPr>
          <w:rFonts w:ascii="Times New Roman" w:eastAsia="Times New Roman" w:hAnsi="Times New Roman" w:cs="Times New Roman"/>
          <w:noProof/>
        </w:rPr>
        <w:drawing>
          <wp:inline distT="0" distB="0" distL="0" distR="0" wp14:anchorId="45F7C0CD" wp14:editId="08A546D6">
            <wp:extent cx="5334000" cy="74041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T_Embargo69_superimposition_GE.JPG"/>
                    <pic:cNvPicPr/>
                  </pic:nvPicPr>
                  <pic:blipFill>
                    <a:blip r:embed="rId11">
                      <a:extLst>
                        <a:ext uri="{28A0092B-C50C-407E-A947-70E740481C1C}">
                          <a14:useLocalDpi xmlns:a14="http://schemas.microsoft.com/office/drawing/2010/main" val="0"/>
                        </a:ext>
                      </a:extLst>
                    </a:blip>
                    <a:stretch>
                      <a:fillRect/>
                    </a:stretch>
                  </pic:blipFill>
                  <pic:spPr>
                    <a:xfrm>
                      <a:off x="0" y="0"/>
                      <a:ext cx="5334000" cy="7404100"/>
                    </a:xfrm>
                    <a:prstGeom prst="rect">
                      <a:avLst/>
                    </a:prstGeom>
                  </pic:spPr>
                </pic:pic>
              </a:graphicData>
            </a:graphic>
          </wp:inline>
        </w:drawing>
      </w:r>
    </w:p>
    <w:sectPr w:rsidR="000A5217" w:rsidRPr="000A5217" w:rsidSect="00B17F2D">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7543C7" w14:textId="77777777" w:rsidR="0074307A" w:rsidRDefault="0074307A" w:rsidP="00326165">
      <w:r>
        <w:separator/>
      </w:r>
    </w:p>
  </w:endnote>
  <w:endnote w:type="continuationSeparator" w:id="0">
    <w:p w14:paraId="210E0A48" w14:textId="77777777" w:rsidR="0074307A" w:rsidRDefault="0074307A" w:rsidP="00326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alatino">
    <w:altName w:val="Segoe UI Historic"/>
    <w:charset w:val="4D"/>
    <w:family w:val="auto"/>
    <w:pitch w:val="variable"/>
    <w:sig w:usb0="A00002FF" w:usb1="7800205A" w:usb2="14600000" w:usb3="00000000" w:csb0="00000193" w:csb1="00000000"/>
  </w:font>
  <w:font w:name="Times">
    <w:altName w:val="Times New Roman"/>
    <w:panose1 w:val="02020603050405020304"/>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D25E93" w14:textId="77777777" w:rsidR="0074307A" w:rsidRDefault="0074307A" w:rsidP="00326165">
      <w:r>
        <w:separator/>
      </w:r>
    </w:p>
  </w:footnote>
  <w:footnote w:type="continuationSeparator" w:id="0">
    <w:p w14:paraId="1D42C771" w14:textId="77777777" w:rsidR="0074307A" w:rsidRDefault="0074307A" w:rsidP="00326165">
      <w:r>
        <w:continuationSeparator/>
      </w:r>
    </w:p>
  </w:footnote>
  <w:footnote w:id="1">
    <w:p w14:paraId="28A45086" w14:textId="77777777" w:rsidR="00326165" w:rsidRDefault="00326165" w:rsidP="00326165">
      <w:pPr>
        <w:pStyle w:val="FootnoteText"/>
        <w:spacing w:after="40"/>
      </w:pPr>
    </w:p>
  </w:footnote>
  <w:footnote w:id="2">
    <w:p w14:paraId="42B1ECC3" w14:textId="77777777" w:rsidR="00326165" w:rsidRDefault="00326165" w:rsidP="00326165">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E61BC5"/>
    <w:multiLevelType w:val="multilevel"/>
    <w:tmpl w:val="297CE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7F066F"/>
    <w:multiLevelType w:val="hybridMultilevel"/>
    <w:tmpl w:val="1C1A9772"/>
    <w:lvl w:ilvl="0" w:tplc="74E84C0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936E20"/>
    <w:multiLevelType w:val="hybridMultilevel"/>
    <w:tmpl w:val="45960F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0AB7752"/>
    <w:multiLevelType w:val="hybridMultilevel"/>
    <w:tmpl w:val="856049D6"/>
    <w:lvl w:ilvl="0" w:tplc="D7AA3DE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165"/>
    <w:rsid w:val="000A5217"/>
    <w:rsid w:val="00112BE9"/>
    <w:rsid w:val="00121271"/>
    <w:rsid w:val="001538B5"/>
    <w:rsid w:val="00163020"/>
    <w:rsid w:val="00170A92"/>
    <w:rsid w:val="0018580C"/>
    <w:rsid w:val="00203E65"/>
    <w:rsid w:val="002253DB"/>
    <w:rsid w:val="00263B25"/>
    <w:rsid w:val="002C4F9E"/>
    <w:rsid w:val="002F28D3"/>
    <w:rsid w:val="00315CDD"/>
    <w:rsid w:val="00323620"/>
    <w:rsid w:val="00326165"/>
    <w:rsid w:val="003B3370"/>
    <w:rsid w:val="003C3DD0"/>
    <w:rsid w:val="00532888"/>
    <w:rsid w:val="00557194"/>
    <w:rsid w:val="005A3E0E"/>
    <w:rsid w:val="005B7994"/>
    <w:rsid w:val="005F550C"/>
    <w:rsid w:val="006F3481"/>
    <w:rsid w:val="00713903"/>
    <w:rsid w:val="00732436"/>
    <w:rsid w:val="0074307A"/>
    <w:rsid w:val="00780F51"/>
    <w:rsid w:val="007D4001"/>
    <w:rsid w:val="007F4588"/>
    <w:rsid w:val="00917F42"/>
    <w:rsid w:val="009561DE"/>
    <w:rsid w:val="0096639D"/>
    <w:rsid w:val="00980F40"/>
    <w:rsid w:val="00985E18"/>
    <w:rsid w:val="009B3A67"/>
    <w:rsid w:val="00A0180C"/>
    <w:rsid w:val="00A2371D"/>
    <w:rsid w:val="00A36E4E"/>
    <w:rsid w:val="00A503D3"/>
    <w:rsid w:val="00A55C1E"/>
    <w:rsid w:val="00A673E3"/>
    <w:rsid w:val="00A92C94"/>
    <w:rsid w:val="00B17F2D"/>
    <w:rsid w:val="00B232B0"/>
    <w:rsid w:val="00B234A9"/>
    <w:rsid w:val="00B25903"/>
    <w:rsid w:val="00CC70AC"/>
    <w:rsid w:val="00CD40DB"/>
    <w:rsid w:val="00CD538B"/>
    <w:rsid w:val="00D31ECD"/>
    <w:rsid w:val="00D51941"/>
    <w:rsid w:val="00DB368A"/>
    <w:rsid w:val="00E42087"/>
    <w:rsid w:val="00E424CC"/>
    <w:rsid w:val="00E83802"/>
    <w:rsid w:val="00EA1C39"/>
    <w:rsid w:val="00EA3A5D"/>
    <w:rsid w:val="00EC1A85"/>
    <w:rsid w:val="00F05C47"/>
    <w:rsid w:val="00F428A4"/>
    <w:rsid w:val="00F62E7B"/>
    <w:rsid w:val="00FA7A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59DC3"/>
  <w14:defaultImageDpi w14:val="32767"/>
  <w15:chartTrackingRefBased/>
  <w15:docId w15:val="{84600324-38FB-3E4A-A03C-99EF55A3F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26165"/>
    <w:rPr>
      <w:rFonts w:eastAsiaTheme="minorEastAsia"/>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6165"/>
    <w:rPr>
      <w:color w:val="0563C1" w:themeColor="hyperlink"/>
      <w:u w:val="single"/>
    </w:rPr>
  </w:style>
  <w:style w:type="paragraph" w:styleId="ListParagraph">
    <w:name w:val="List Paragraph"/>
    <w:basedOn w:val="Normal"/>
    <w:uiPriority w:val="34"/>
    <w:qFormat/>
    <w:rsid w:val="00326165"/>
    <w:pPr>
      <w:ind w:left="720"/>
      <w:contextualSpacing/>
    </w:pPr>
  </w:style>
  <w:style w:type="paragraph" w:styleId="FootnoteText">
    <w:name w:val="footnote text"/>
    <w:basedOn w:val="Normal"/>
    <w:link w:val="FootnoteTextChar"/>
    <w:semiHidden/>
    <w:unhideWhenUsed/>
    <w:rsid w:val="00326165"/>
    <w:rPr>
      <w:rFonts w:ascii="Calibri" w:eastAsia="Times New Roman" w:hAnsi="Calibri" w:cs="Times New Roman"/>
      <w:sz w:val="20"/>
      <w:szCs w:val="20"/>
    </w:rPr>
  </w:style>
  <w:style w:type="character" w:customStyle="1" w:styleId="FootnoteTextChar">
    <w:name w:val="Footnote Text Char"/>
    <w:basedOn w:val="DefaultParagraphFont"/>
    <w:link w:val="FootnoteText"/>
    <w:semiHidden/>
    <w:rsid w:val="00326165"/>
    <w:rPr>
      <w:rFonts w:ascii="Calibri" w:eastAsia="Times New Roman" w:hAnsi="Calibri" w:cs="Times New Roman"/>
      <w:sz w:val="20"/>
      <w:szCs w:val="20"/>
      <w:lang w:val="en-AU"/>
    </w:rPr>
  </w:style>
  <w:style w:type="character" w:styleId="UnresolvedMention">
    <w:name w:val="Unresolved Mention"/>
    <w:basedOn w:val="DefaultParagraphFont"/>
    <w:uiPriority w:val="99"/>
    <w:rsid w:val="00326165"/>
    <w:rPr>
      <w:color w:val="605E5C"/>
      <w:shd w:val="clear" w:color="auto" w:fill="E1DFDD"/>
    </w:rPr>
  </w:style>
  <w:style w:type="paragraph" w:styleId="Header">
    <w:name w:val="header"/>
    <w:basedOn w:val="Normal"/>
    <w:link w:val="HeaderChar"/>
    <w:uiPriority w:val="99"/>
    <w:unhideWhenUsed/>
    <w:rsid w:val="00B25903"/>
    <w:pPr>
      <w:tabs>
        <w:tab w:val="center" w:pos="4513"/>
        <w:tab w:val="right" w:pos="9026"/>
      </w:tabs>
    </w:pPr>
  </w:style>
  <w:style w:type="character" w:customStyle="1" w:styleId="HeaderChar">
    <w:name w:val="Header Char"/>
    <w:basedOn w:val="DefaultParagraphFont"/>
    <w:link w:val="Header"/>
    <w:uiPriority w:val="99"/>
    <w:rsid w:val="00B25903"/>
    <w:rPr>
      <w:rFonts w:eastAsiaTheme="minorEastAsia"/>
      <w:lang w:val="en-AU"/>
    </w:rPr>
  </w:style>
  <w:style w:type="paragraph" w:styleId="Footer">
    <w:name w:val="footer"/>
    <w:basedOn w:val="Normal"/>
    <w:link w:val="FooterChar"/>
    <w:uiPriority w:val="99"/>
    <w:unhideWhenUsed/>
    <w:rsid w:val="00B25903"/>
    <w:pPr>
      <w:tabs>
        <w:tab w:val="center" w:pos="4513"/>
        <w:tab w:val="right" w:pos="9026"/>
      </w:tabs>
    </w:pPr>
  </w:style>
  <w:style w:type="character" w:customStyle="1" w:styleId="FooterChar">
    <w:name w:val="Footer Char"/>
    <w:basedOn w:val="DefaultParagraphFont"/>
    <w:link w:val="Footer"/>
    <w:uiPriority w:val="99"/>
    <w:rsid w:val="00B25903"/>
    <w:rPr>
      <w:rFonts w:eastAsiaTheme="minorEastAsia"/>
      <w:lang w:val="en-AU"/>
    </w:rPr>
  </w:style>
  <w:style w:type="paragraph" w:styleId="BalloonText">
    <w:name w:val="Balloon Text"/>
    <w:basedOn w:val="Normal"/>
    <w:link w:val="BalloonTextChar"/>
    <w:uiPriority w:val="99"/>
    <w:semiHidden/>
    <w:unhideWhenUsed/>
    <w:rsid w:val="007D4001"/>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7D4001"/>
    <w:rPr>
      <w:rFonts w:ascii="Times New Roman" w:eastAsiaTheme="minorEastAsia" w:hAnsi="Times New Roman"/>
      <w:sz w:val="18"/>
      <w:szCs w:val="18"/>
      <w:lang w:val="en-AU"/>
    </w:rPr>
  </w:style>
  <w:style w:type="character" w:styleId="FollowedHyperlink">
    <w:name w:val="FollowedHyperlink"/>
    <w:basedOn w:val="DefaultParagraphFont"/>
    <w:uiPriority w:val="99"/>
    <w:semiHidden/>
    <w:unhideWhenUsed/>
    <w:rsid w:val="00F05C4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33212">
      <w:bodyDiv w:val="1"/>
      <w:marLeft w:val="0"/>
      <w:marRight w:val="0"/>
      <w:marTop w:val="0"/>
      <w:marBottom w:val="0"/>
      <w:divBdr>
        <w:top w:val="none" w:sz="0" w:space="0" w:color="auto"/>
        <w:left w:val="none" w:sz="0" w:space="0" w:color="auto"/>
        <w:bottom w:val="none" w:sz="0" w:space="0" w:color="auto"/>
        <w:right w:val="none" w:sz="0" w:space="0" w:color="auto"/>
      </w:divBdr>
    </w:div>
    <w:div w:id="265701451">
      <w:bodyDiv w:val="1"/>
      <w:marLeft w:val="0"/>
      <w:marRight w:val="0"/>
      <w:marTop w:val="0"/>
      <w:marBottom w:val="0"/>
      <w:divBdr>
        <w:top w:val="none" w:sz="0" w:space="0" w:color="auto"/>
        <w:left w:val="none" w:sz="0" w:space="0" w:color="auto"/>
        <w:bottom w:val="none" w:sz="0" w:space="0" w:color="auto"/>
        <w:right w:val="none" w:sz="0" w:space="0" w:color="auto"/>
      </w:divBdr>
      <w:divsChild>
        <w:div w:id="13592385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08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311393">
      <w:bodyDiv w:val="1"/>
      <w:marLeft w:val="0"/>
      <w:marRight w:val="0"/>
      <w:marTop w:val="0"/>
      <w:marBottom w:val="0"/>
      <w:divBdr>
        <w:top w:val="none" w:sz="0" w:space="0" w:color="auto"/>
        <w:left w:val="none" w:sz="0" w:space="0" w:color="auto"/>
        <w:bottom w:val="none" w:sz="0" w:space="0" w:color="auto"/>
        <w:right w:val="none" w:sz="0" w:space="0" w:color="auto"/>
      </w:divBdr>
    </w:div>
    <w:div w:id="760027780">
      <w:bodyDiv w:val="1"/>
      <w:marLeft w:val="0"/>
      <w:marRight w:val="0"/>
      <w:marTop w:val="0"/>
      <w:marBottom w:val="0"/>
      <w:divBdr>
        <w:top w:val="none" w:sz="0" w:space="0" w:color="auto"/>
        <w:left w:val="none" w:sz="0" w:space="0" w:color="auto"/>
        <w:bottom w:val="none" w:sz="0" w:space="0" w:color="auto"/>
        <w:right w:val="none" w:sz="0" w:space="0" w:color="auto"/>
      </w:divBdr>
    </w:div>
    <w:div w:id="937636095">
      <w:bodyDiv w:val="1"/>
      <w:marLeft w:val="0"/>
      <w:marRight w:val="0"/>
      <w:marTop w:val="0"/>
      <w:marBottom w:val="0"/>
      <w:divBdr>
        <w:top w:val="none" w:sz="0" w:space="0" w:color="auto"/>
        <w:left w:val="none" w:sz="0" w:space="0" w:color="auto"/>
        <w:bottom w:val="none" w:sz="0" w:space="0" w:color="auto"/>
        <w:right w:val="none" w:sz="0" w:space="0" w:color="auto"/>
      </w:divBdr>
    </w:div>
    <w:div w:id="2140561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ma.gov.au/theACMA/options-for-wireless-broadband-in-the-26-ghz-ban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itu.int/md/R15-TG5.1-C-0406/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DD8933-7222-4915-84D2-27EABBDB1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1464</Words>
  <Characters>8347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IFC 32/2018 Draft ESA Input to ACMA 7Nov18</vt:lpstr>
    </vt:vector>
  </TitlesOfParts>
  <Manager>Innovative Electronics Pty Ltd</Manager>
  <Company/>
  <LinksUpToDate>false</LinksUpToDate>
  <CharactersWithSpaces>9792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IFC 32/2018 - ESA Input to ACMA 7Nov18</dc:title>
  <dc:subject/>
  <dc:creator>R. Jacobsen</dc:creator>
  <cp:keywords/>
  <dc:description/>
  <cp:lastModifiedBy>Erin Raco</cp:lastModifiedBy>
  <cp:revision>2</cp:revision>
  <dcterms:created xsi:type="dcterms:W3CDTF">2018-11-07T04:07:00Z</dcterms:created>
  <dcterms:modified xsi:type="dcterms:W3CDTF">2018-11-07T04:07:00Z</dcterms:modified>
  <cp:category/>
</cp:coreProperties>
</file>