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9D27E37" w14:textId="7ED1D7E9" w:rsidR="00F06E14" w:rsidRPr="00A51D1A" w:rsidRDefault="00701580" w:rsidP="00DA511D">
      <w:pPr>
        <w:pStyle w:val="ACMAReportTitle"/>
        <w:spacing w:before="120" w:after="120" w:line="240" w:lineRule="auto"/>
      </w:pPr>
      <w:r>
        <w:t xml:space="preserve">Future use of the </w:t>
      </w:r>
      <w:r w:rsidR="00D75D31">
        <w:t>26</w:t>
      </w:r>
      <w:r w:rsidR="00E054A2">
        <w:t xml:space="preserve"> GHz band</w:t>
      </w:r>
      <w:bookmarkStart w:id="0" w:name="_GoBack"/>
      <w:bookmarkEnd w:id="0"/>
    </w:p>
    <w:p w14:paraId="4B410562" w14:textId="4E383B9B" w:rsidR="00F06E14" w:rsidRDefault="008B1C2D" w:rsidP="00DA511D">
      <w:pPr>
        <w:pStyle w:val="ACMAReportSubTitle"/>
        <w:spacing w:before="120" w:after="120" w:line="240" w:lineRule="auto"/>
      </w:pPr>
      <w:r>
        <w:t>Planning d</w:t>
      </w:r>
      <w:r w:rsidR="00E054A2">
        <w:t>ecision</w:t>
      </w:r>
      <w:r w:rsidR="00F84E1B">
        <w:t xml:space="preserve">s and </w:t>
      </w:r>
      <w:r w:rsidR="00FF6EE1">
        <w:t>p</w:t>
      </w:r>
      <w:r w:rsidR="00F84E1B">
        <w:t xml:space="preserve">reliminary </w:t>
      </w:r>
      <w:r w:rsidR="00FF6EE1">
        <w:t>v</w:t>
      </w:r>
      <w:r w:rsidR="00F84E1B">
        <w:t>iews</w:t>
      </w:r>
    </w:p>
    <w:p w14:paraId="18784EAE" w14:textId="3F43DEF1" w:rsidR="00F06E14" w:rsidRDefault="00176D1B" w:rsidP="00DA511D">
      <w:pPr>
        <w:pStyle w:val="ACMAReportDate"/>
        <w:spacing w:before="120" w:after="120"/>
      </w:pPr>
      <w:r w:rsidRPr="005419EA">
        <w:t>APRIL</w:t>
      </w:r>
      <w:r w:rsidR="00D26C78">
        <w:t xml:space="preserve"> 201</w:t>
      </w:r>
      <w:r w:rsidR="00D75D31">
        <w:t>9</w:t>
      </w:r>
    </w:p>
    <w:p w14:paraId="5A6F2707" w14:textId="77777777" w:rsidR="00C97736" w:rsidRPr="000D76E0" w:rsidRDefault="00C97736" w:rsidP="00DA511D">
      <w:pPr>
        <w:spacing w:before="120" w:after="120" w:line="240" w:lineRule="auto"/>
        <w:rPr>
          <w:rFonts w:cs="Arial"/>
        </w:rPr>
      </w:pPr>
    </w:p>
    <w:p w14:paraId="75390BC2" w14:textId="77777777" w:rsidR="00C97736" w:rsidRPr="000D76E0" w:rsidRDefault="00C97736" w:rsidP="00DA511D">
      <w:pPr>
        <w:spacing w:before="120" w:after="120" w:line="240" w:lineRule="auto"/>
        <w:rPr>
          <w:rFonts w:cs="Arial"/>
        </w:rPr>
        <w:sectPr w:rsidR="00C97736" w:rsidRPr="000D76E0" w:rsidSect="004F556E">
          <w:headerReference w:type="default" r:id="rId8"/>
          <w:footerReference w:type="default" r:id="rId9"/>
          <w:headerReference w:type="first" r:id="rId10"/>
          <w:pgSz w:w="11906" w:h="16838" w:code="9"/>
          <w:pgMar w:top="3924" w:right="1797" w:bottom="1440" w:left="1134" w:header="709" w:footer="454" w:gutter="0"/>
          <w:cols w:space="708"/>
          <w:docGrid w:linePitch="360"/>
        </w:sectPr>
      </w:pPr>
    </w:p>
    <w:p w14:paraId="095E7E16" w14:textId="77777777" w:rsidR="00280297" w:rsidRPr="00F44F3A" w:rsidRDefault="00280297" w:rsidP="00280297">
      <w:pPr>
        <w:pStyle w:val="ACMACorporateAddressHeader"/>
      </w:pPr>
      <w:r w:rsidRPr="00F44F3A">
        <w:lastRenderedPageBreak/>
        <w:t>Canberra</w:t>
      </w:r>
    </w:p>
    <w:p w14:paraId="0917CBEA" w14:textId="77777777" w:rsidR="00280297" w:rsidRPr="00FC07B9" w:rsidRDefault="00280297" w:rsidP="00280297">
      <w:pPr>
        <w:pStyle w:val="ACMACorporateAddresses"/>
      </w:pPr>
      <w:r w:rsidRPr="00FC07B9">
        <w:t xml:space="preserve">Red Building </w:t>
      </w:r>
      <w:r w:rsidRPr="00FC07B9">
        <w:br/>
        <w:t>Benjamin Offices</w:t>
      </w:r>
      <w:r w:rsidRPr="00FC07B9">
        <w:br/>
        <w:t xml:space="preserve">Chan Street </w:t>
      </w:r>
      <w:r w:rsidRPr="00FC07B9">
        <w:br/>
        <w:t>Belconnen ACT</w:t>
      </w:r>
    </w:p>
    <w:p w14:paraId="70F69324" w14:textId="77777777" w:rsidR="00280297" w:rsidRPr="00FC07B9" w:rsidRDefault="00280297" w:rsidP="00280297">
      <w:pPr>
        <w:pStyle w:val="ACMACorporateAddresses"/>
      </w:pPr>
      <w:r w:rsidRPr="00FC07B9">
        <w:t>PO Box 78</w:t>
      </w:r>
      <w:r w:rsidRPr="00FC07B9">
        <w:br/>
        <w:t>Belconnen ACT 2616</w:t>
      </w:r>
    </w:p>
    <w:p w14:paraId="3E77C2B1" w14:textId="77777777" w:rsidR="00280297" w:rsidRPr="00FC07B9" w:rsidRDefault="00280297" w:rsidP="00280297">
      <w:pPr>
        <w:pStyle w:val="ACMACorporateAddresses"/>
      </w:pPr>
      <w:r w:rsidRPr="00FC07B9">
        <w:t>T</w:t>
      </w:r>
      <w:r w:rsidRPr="00FC07B9">
        <w:tab/>
        <w:t>+61 2 6219 5555</w:t>
      </w:r>
      <w:r w:rsidRPr="00FC07B9">
        <w:br/>
        <w:t>F</w:t>
      </w:r>
      <w:r w:rsidRPr="00FC07B9">
        <w:tab/>
        <w:t>+61 2 6219 5353</w:t>
      </w:r>
    </w:p>
    <w:p w14:paraId="1374C876" w14:textId="77777777" w:rsidR="00280297" w:rsidRPr="00F44F3A" w:rsidRDefault="00280297" w:rsidP="00280297">
      <w:pPr>
        <w:pStyle w:val="ACMACorporateAddressHeader"/>
      </w:pPr>
      <w:r w:rsidRPr="00F44F3A">
        <w:t>Melbourne</w:t>
      </w:r>
    </w:p>
    <w:p w14:paraId="023B0746" w14:textId="77777777" w:rsidR="00280297" w:rsidRPr="00F44F3A" w:rsidRDefault="00280297" w:rsidP="00280297">
      <w:pPr>
        <w:pStyle w:val="ACMACorporateAddresses"/>
      </w:pPr>
      <w:r w:rsidRPr="00F44F3A">
        <w:t xml:space="preserve">Level 32 </w:t>
      </w:r>
      <w:r w:rsidRPr="00F44F3A">
        <w:br/>
        <w:t>Melbourne Central Tower</w:t>
      </w:r>
      <w:r w:rsidRPr="00F44F3A">
        <w:br/>
        <w:t xml:space="preserve">360 Elizabeth Street </w:t>
      </w:r>
      <w:r w:rsidRPr="00F44F3A">
        <w:br/>
        <w:t>Melbourne VIC</w:t>
      </w:r>
    </w:p>
    <w:p w14:paraId="2D92C8F2" w14:textId="77777777" w:rsidR="00280297" w:rsidRPr="00F44F3A" w:rsidRDefault="00280297" w:rsidP="00280297">
      <w:pPr>
        <w:pStyle w:val="ACMACorporateAddresses"/>
      </w:pPr>
      <w:r w:rsidRPr="00F44F3A">
        <w:t>PO Box 13112</w:t>
      </w:r>
      <w:r w:rsidRPr="00F44F3A">
        <w:br/>
        <w:t xml:space="preserve">Law Courts </w:t>
      </w:r>
      <w:r w:rsidRPr="00F44F3A">
        <w:br/>
        <w:t>Melbourne VIC 8010</w:t>
      </w:r>
    </w:p>
    <w:p w14:paraId="7333AE73" w14:textId="77777777" w:rsidR="00280297" w:rsidRPr="00F44F3A" w:rsidRDefault="00280297" w:rsidP="00280297">
      <w:pPr>
        <w:pStyle w:val="ACMACorporateAddresses"/>
      </w:pPr>
      <w:r w:rsidRPr="00F44F3A">
        <w:t>T</w:t>
      </w:r>
      <w:r w:rsidRPr="00F44F3A">
        <w:tab/>
        <w:t>+61 3 9963 6800</w:t>
      </w:r>
      <w:r w:rsidRPr="00F44F3A">
        <w:br/>
        <w:t>F</w:t>
      </w:r>
      <w:r w:rsidRPr="00F44F3A">
        <w:tab/>
        <w:t>+61 3 9963 6899</w:t>
      </w:r>
    </w:p>
    <w:p w14:paraId="20B86E03" w14:textId="77777777" w:rsidR="00280297" w:rsidRPr="00F44F3A" w:rsidRDefault="00280297" w:rsidP="00280297">
      <w:pPr>
        <w:pStyle w:val="ACMACorporateAddressHeader"/>
      </w:pPr>
      <w:r w:rsidRPr="00F44F3A">
        <w:t>Sydney</w:t>
      </w:r>
    </w:p>
    <w:p w14:paraId="5E6122DC" w14:textId="77777777" w:rsidR="00280297" w:rsidRPr="00F44F3A" w:rsidRDefault="00280297" w:rsidP="00280297">
      <w:pPr>
        <w:pStyle w:val="ACMACorporateAddresses"/>
      </w:pPr>
      <w:r w:rsidRPr="00F44F3A">
        <w:t xml:space="preserve">Level 5 </w:t>
      </w:r>
      <w:r w:rsidRPr="00F44F3A">
        <w:br/>
        <w:t>The Bay Centre</w:t>
      </w:r>
      <w:r w:rsidRPr="00F44F3A">
        <w:br/>
        <w:t xml:space="preserve">65 Pirrama Road </w:t>
      </w:r>
      <w:r w:rsidRPr="00F44F3A">
        <w:br/>
        <w:t>Pyrmont NSW</w:t>
      </w:r>
    </w:p>
    <w:p w14:paraId="4F832D7C" w14:textId="77777777" w:rsidR="00280297" w:rsidRPr="00F44F3A" w:rsidRDefault="00280297" w:rsidP="00280297">
      <w:pPr>
        <w:pStyle w:val="ACMACorporateAddresses"/>
      </w:pPr>
      <w:r w:rsidRPr="00F44F3A">
        <w:t>PO Box Q500</w:t>
      </w:r>
      <w:r w:rsidRPr="00F44F3A">
        <w:br/>
        <w:t xml:space="preserve">Queen Victoria Building </w:t>
      </w:r>
      <w:r w:rsidRPr="00F44F3A">
        <w:br/>
        <w:t>NSW 1230</w:t>
      </w:r>
    </w:p>
    <w:p w14:paraId="7674C689" w14:textId="77777777" w:rsidR="00280297" w:rsidRPr="00F44F3A" w:rsidRDefault="00280297" w:rsidP="00280297">
      <w:pPr>
        <w:pStyle w:val="ACMACorporateAddresses"/>
      </w:pPr>
      <w:r w:rsidRPr="00F44F3A">
        <w:t>T</w:t>
      </w:r>
      <w:r w:rsidRPr="00F44F3A">
        <w:tab/>
        <w:t>+61 2 9334 7700 or 1800 226 667</w:t>
      </w:r>
      <w:r w:rsidRPr="00F44F3A">
        <w:br/>
        <w:t>F</w:t>
      </w:r>
      <w:r w:rsidRPr="00F44F3A">
        <w:tab/>
        <w:t>+61 2 9334 7799</w:t>
      </w:r>
    </w:p>
    <w:p w14:paraId="78F16376" w14:textId="77777777" w:rsidR="00280297" w:rsidRPr="006D46E5" w:rsidRDefault="00280297" w:rsidP="00280297">
      <w:pPr>
        <w:pStyle w:val="ACMACopyrightHeader"/>
      </w:pPr>
      <w:r w:rsidRPr="00140318">
        <w:t>Copyright notice</w:t>
      </w:r>
    </w:p>
    <w:p w14:paraId="5F81A312" w14:textId="77777777" w:rsidR="00280297" w:rsidRPr="006D46E5" w:rsidRDefault="00280297" w:rsidP="00280297">
      <w:pPr>
        <w:pStyle w:val="ACMACClogo"/>
      </w:pPr>
      <w:r w:rsidRPr="00623FF9">
        <w:rPr>
          <w:noProof/>
        </w:rPr>
        <w:drawing>
          <wp:inline distT="0" distB="0" distL="0" distR="0" wp14:anchorId="49812AC2" wp14:editId="7B52253F">
            <wp:extent cx="838200" cy="295275"/>
            <wp:effectExtent l="0" t="0" r="0" b="0"/>
            <wp:docPr id="2" name="Picture 2" title="Creative Commons logo">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y">
                      <a:hlinkClick r:id="rId11"/>
                    </pic:cNvPr>
                    <pic:cNvPicPr>
                      <a:picLocks noChangeAspect="1" noChangeArrowheads="1"/>
                    </pic:cNvPicPr>
                  </pic:nvPicPr>
                  <pic:blipFill>
                    <a:blip r:embed="rId12" cstate="print"/>
                    <a:srcRect/>
                    <a:stretch>
                      <a:fillRect/>
                    </a:stretch>
                  </pic:blipFill>
                  <pic:spPr bwMode="auto">
                    <a:xfrm>
                      <a:off x="0" y="0"/>
                      <a:ext cx="838200" cy="295275"/>
                    </a:xfrm>
                    <a:prstGeom prst="rect">
                      <a:avLst/>
                    </a:prstGeom>
                    <a:noFill/>
                  </pic:spPr>
                </pic:pic>
              </a:graphicData>
            </a:graphic>
          </wp:inline>
        </w:drawing>
      </w:r>
    </w:p>
    <w:p w14:paraId="0B59D776" w14:textId="77777777" w:rsidR="00280297" w:rsidRDefault="00B6256F" w:rsidP="00280297">
      <w:pPr>
        <w:pStyle w:val="ACMACorporateAddresses"/>
        <w:rPr>
          <w:rStyle w:val="Hyperlink"/>
        </w:rPr>
      </w:pPr>
      <w:hyperlink r:id="rId13" w:history="1">
        <w:r w:rsidR="00280297">
          <w:rPr>
            <w:rStyle w:val="Hyperlink"/>
          </w:rPr>
          <w:t>https://creativecommons.org/licenses/by/4.0/</w:t>
        </w:r>
      </w:hyperlink>
    </w:p>
    <w:p w14:paraId="10AB8F41" w14:textId="77777777" w:rsidR="00280297" w:rsidRDefault="00280297" w:rsidP="00280297">
      <w:pPr>
        <w:pStyle w:val="ACMACorporateAddresses"/>
      </w:pPr>
      <w:r>
        <w:t xml:space="preserve">With the exception of coats of arms, logos, emblems, images, other third-party material or devices protected by a trademark, this content is made available under the terms of the Creative Commons Attribution 4.0 International (CC BY 4.0) licence. </w:t>
      </w:r>
    </w:p>
    <w:p w14:paraId="20A36BBC" w14:textId="77777777" w:rsidR="00280297" w:rsidRDefault="00280297" w:rsidP="00280297">
      <w:pPr>
        <w:pStyle w:val="ACMACorporateAddresses"/>
      </w:pPr>
      <w:r>
        <w:t>We request attribution as © Commonwealth of Australia (Australian Communications and Media Authority) 2019.</w:t>
      </w:r>
    </w:p>
    <w:p w14:paraId="3868CAD6" w14:textId="77777777" w:rsidR="00280297" w:rsidRDefault="00280297" w:rsidP="00280297">
      <w:pPr>
        <w:pStyle w:val="ACMACorporateAddresses"/>
      </w:pPr>
      <w:r>
        <w:t>All other rights are reserved.</w:t>
      </w:r>
    </w:p>
    <w:p w14:paraId="273A4EC8" w14:textId="77777777" w:rsidR="00280297" w:rsidRDefault="00280297" w:rsidP="00280297">
      <w:pPr>
        <w:pStyle w:val="ACMACorporateAddresses"/>
      </w:pPr>
      <w:r>
        <w:t xml:space="preserve">The Australian Communications and Media Authority has undertaken reasonable enquiries to identify material owned by third parties and secure permission for its reproduction. Permission may need to be obtained from third parties to re-use their material. </w:t>
      </w:r>
    </w:p>
    <w:p w14:paraId="02ED1CBC" w14:textId="77777777" w:rsidR="00280297" w:rsidRDefault="00280297" w:rsidP="00280297">
      <w:pPr>
        <w:pStyle w:val="ACMACorporateAddresses"/>
      </w:pPr>
      <w:r>
        <w:t>Written enquiries may be sent to:</w:t>
      </w:r>
    </w:p>
    <w:p w14:paraId="5D74161C" w14:textId="77777777" w:rsidR="00280297" w:rsidRDefault="00280297" w:rsidP="00280297">
      <w:pPr>
        <w:pStyle w:val="ACMACorporateAddresses"/>
        <w:rPr>
          <w:rStyle w:val="Hyperlink"/>
        </w:rPr>
      </w:pPr>
      <w:r>
        <w:t>Manager, Editorial Services</w:t>
      </w:r>
      <w:r>
        <w:br/>
        <w:t>PO Box 13112</w:t>
      </w:r>
      <w:r>
        <w:br/>
        <w:t>Law Courts</w:t>
      </w:r>
      <w:r>
        <w:br/>
        <w:t>Melbourne VIC 8010</w:t>
      </w:r>
      <w:r>
        <w:br/>
        <w:t xml:space="preserve">Email: </w:t>
      </w:r>
      <w:hyperlink r:id="rId14" w:history="1">
        <w:r>
          <w:rPr>
            <w:rStyle w:val="Hyperlink"/>
          </w:rPr>
          <w:t>info@acma.gov.au</w:t>
        </w:r>
      </w:hyperlink>
    </w:p>
    <w:p w14:paraId="02C33E87" w14:textId="77777777" w:rsidR="00D16FE3" w:rsidRDefault="00D16FE3" w:rsidP="00DA511D">
      <w:pPr>
        <w:pStyle w:val="ACMACorporateAddresses"/>
        <w:spacing w:before="120" w:line="240" w:lineRule="auto"/>
        <w:rPr>
          <w:rStyle w:val="Hyperlink"/>
        </w:rPr>
      </w:pPr>
    </w:p>
    <w:p w14:paraId="174283A8" w14:textId="77777777" w:rsidR="00D16FE3" w:rsidRPr="00D16FE3" w:rsidRDefault="00D16FE3" w:rsidP="00DA511D">
      <w:pPr>
        <w:pStyle w:val="ACMACorporateAddresses"/>
        <w:spacing w:before="120" w:line="240" w:lineRule="auto"/>
        <w:sectPr w:rsidR="00D16FE3" w:rsidRPr="00D16FE3">
          <w:headerReference w:type="even" r:id="rId15"/>
          <w:headerReference w:type="default" r:id="rId16"/>
          <w:footerReference w:type="even" r:id="rId17"/>
          <w:footerReference w:type="default" r:id="rId18"/>
          <w:pgSz w:w="11906" w:h="16838" w:code="9"/>
          <w:pgMar w:top="3924" w:right="1797" w:bottom="697" w:left="1134" w:header="709" w:footer="119" w:gutter="0"/>
          <w:cols w:space="708"/>
          <w:docGrid w:linePitch="360"/>
        </w:sectPr>
      </w:pPr>
    </w:p>
    <w:p w14:paraId="4FC1A2E2" w14:textId="51E76088" w:rsidR="00A108BD" w:rsidRDefault="00457920">
      <w:pPr>
        <w:pStyle w:val="TOC1"/>
        <w:rPr>
          <w:rFonts w:asciiTheme="minorHAnsi" w:eastAsiaTheme="minorEastAsia" w:hAnsiTheme="minorHAnsi" w:cstheme="minorBidi"/>
          <w:b w:val="0"/>
          <w:spacing w:val="0"/>
          <w:sz w:val="22"/>
          <w:szCs w:val="22"/>
        </w:rPr>
      </w:pPr>
      <w:r>
        <w:rPr>
          <w:rFonts w:cs="Arial"/>
        </w:rPr>
        <w:lastRenderedPageBreak/>
        <w:fldChar w:fldCharType="begin"/>
      </w:r>
      <w:r>
        <w:rPr>
          <w:rFonts w:cs="Arial"/>
        </w:rPr>
        <w:instrText xml:space="preserve"> TOC \o "1-3" \h \z \t "ACMA_ExecSummaryHeading,1" </w:instrText>
      </w:r>
      <w:r>
        <w:rPr>
          <w:rFonts w:cs="Arial"/>
        </w:rPr>
        <w:fldChar w:fldCharType="separate"/>
      </w:r>
      <w:hyperlink w:anchor="_Toc4664077" w:history="1">
        <w:r w:rsidR="00A108BD" w:rsidRPr="0026737F">
          <w:rPr>
            <w:rStyle w:val="Hyperlink"/>
          </w:rPr>
          <w:t>Executive summary</w:t>
        </w:r>
        <w:r w:rsidR="00A108BD">
          <w:rPr>
            <w:webHidden/>
          </w:rPr>
          <w:tab/>
        </w:r>
        <w:r w:rsidR="00A108BD">
          <w:rPr>
            <w:webHidden/>
          </w:rPr>
          <w:fldChar w:fldCharType="begin"/>
        </w:r>
        <w:r w:rsidR="00A108BD">
          <w:rPr>
            <w:webHidden/>
          </w:rPr>
          <w:instrText xml:space="preserve"> PAGEREF _Toc4664077 \h </w:instrText>
        </w:r>
        <w:r w:rsidR="00A108BD">
          <w:rPr>
            <w:webHidden/>
          </w:rPr>
        </w:r>
        <w:r w:rsidR="00A108BD">
          <w:rPr>
            <w:webHidden/>
          </w:rPr>
          <w:fldChar w:fldCharType="separate"/>
        </w:r>
        <w:r w:rsidR="00A108BD">
          <w:rPr>
            <w:webHidden/>
          </w:rPr>
          <w:t>1</w:t>
        </w:r>
        <w:r w:rsidR="00A108BD">
          <w:rPr>
            <w:webHidden/>
          </w:rPr>
          <w:fldChar w:fldCharType="end"/>
        </w:r>
      </w:hyperlink>
    </w:p>
    <w:p w14:paraId="52929A7B" w14:textId="56DC48D4" w:rsidR="00A108BD" w:rsidRDefault="00B6256F">
      <w:pPr>
        <w:pStyle w:val="TOC2"/>
        <w:rPr>
          <w:rFonts w:asciiTheme="minorHAnsi" w:eastAsiaTheme="minorEastAsia" w:hAnsiTheme="minorHAnsi" w:cstheme="minorBidi"/>
          <w:spacing w:val="0"/>
          <w:sz w:val="22"/>
          <w:szCs w:val="22"/>
        </w:rPr>
      </w:pPr>
      <w:hyperlink w:anchor="_Toc4664078" w:history="1">
        <w:r w:rsidR="00A108BD" w:rsidRPr="0026737F">
          <w:rPr>
            <w:rStyle w:val="Hyperlink"/>
          </w:rPr>
          <w:t>Summary of ACMA considerations and conclusions</w:t>
        </w:r>
        <w:r w:rsidR="00A108BD">
          <w:rPr>
            <w:webHidden/>
          </w:rPr>
          <w:tab/>
        </w:r>
        <w:r w:rsidR="00A108BD">
          <w:rPr>
            <w:webHidden/>
          </w:rPr>
          <w:fldChar w:fldCharType="begin"/>
        </w:r>
        <w:r w:rsidR="00A108BD">
          <w:rPr>
            <w:webHidden/>
          </w:rPr>
          <w:instrText xml:space="preserve"> PAGEREF _Toc4664078 \h </w:instrText>
        </w:r>
        <w:r w:rsidR="00A108BD">
          <w:rPr>
            <w:webHidden/>
          </w:rPr>
        </w:r>
        <w:r w:rsidR="00A108BD">
          <w:rPr>
            <w:webHidden/>
          </w:rPr>
          <w:fldChar w:fldCharType="separate"/>
        </w:r>
        <w:r w:rsidR="00A108BD">
          <w:rPr>
            <w:webHidden/>
          </w:rPr>
          <w:t>1</w:t>
        </w:r>
        <w:r w:rsidR="00A108BD">
          <w:rPr>
            <w:webHidden/>
          </w:rPr>
          <w:fldChar w:fldCharType="end"/>
        </w:r>
      </w:hyperlink>
    </w:p>
    <w:p w14:paraId="5D3D4D7A" w14:textId="6EB5806D" w:rsidR="00A108BD" w:rsidRDefault="00B6256F">
      <w:pPr>
        <w:pStyle w:val="TOC3"/>
        <w:rPr>
          <w:rFonts w:asciiTheme="minorHAnsi" w:eastAsiaTheme="minorEastAsia" w:hAnsiTheme="minorHAnsi" w:cstheme="minorBidi"/>
        </w:rPr>
      </w:pPr>
      <w:hyperlink w:anchor="_Toc4664079" w:history="1">
        <w:r w:rsidR="00A108BD" w:rsidRPr="0026737F">
          <w:rPr>
            <w:rStyle w:val="Hyperlink"/>
          </w:rPr>
          <w:t>Highest value uses (HVU) of the band and the case for action</w:t>
        </w:r>
        <w:r w:rsidR="00A108BD">
          <w:rPr>
            <w:webHidden/>
          </w:rPr>
          <w:tab/>
        </w:r>
        <w:r w:rsidR="00A108BD">
          <w:rPr>
            <w:webHidden/>
          </w:rPr>
          <w:fldChar w:fldCharType="begin"/>
        </w:r>
        <w:r w:rsidR="00A108BD">
          <w:rPr>
            <w:webHidden/>
          </w:rPr>
          <w:instrText xml:space="preserve"> PAGEREF _Toc4664079 \h </w:instrText>
        </w:r>
        <w:r w:rsidR="00A108BD">
          <w:rPr>
            <w:webHidden/>
          </w:rPr>
        </w:r>
        <w:r w:rsidR="00A108BD">
          <w:rPr>
            <w:webHidden/>
          </w:rPr>
          <w:fldChar w:fldCharType="separate"/>
        </w:r>
        <w:r w:rsidR="00A108BD">
          <w:rPr>
            <w:webHidden/>
          </w:rPr>
          <w:t>1</w:t>
        </w:r>
        <w:r w:rsidR="00A108BD">
          <w:rPr>
            <w:webHidden/>
          </w:rPr>
          <w:fldChar w:fldCharType="end"/>
        </w:r>
      </w:hyperlink>
    </w:p>
    <w:p w14:paraId="13D237A3" w14:textId="1668C1A0" w:rsidR="00A108BD" w:rsidRDefault="00B6256F">
      <w:pPr>
        <w:pStyle w:val="TOC3"/>
        <w:rPr>
          <w:rFonts w:asciiTheme="minorHAnsi" w:eastAsiaTheme="minorEastAsia" w:hAnsiTheme="minorHAnsi" w:cstheme="minorBidi"/>
        </w:rPr>
      </w:pPr>
      <w:hyperlink w:anchor="_Toc4664080" w:history="1">
        <w:r w:rsidR="00A108BD" w:rsidRPr="0026737F">
          <w:rPr>
            <w:rStyle w:val="Hyperlink"/>
          </w:rPr>
          <w:t>Coexistence of terrestrial wireless broadband with other services</w:t>
        </w:r>
        <w:r w:rsidR="00A108BD">
          <w:rPr>
            <w:webHidden/>
          </w:rPr>
          <w:tab/>
        </w:r>
        <w:r w:rsidR="00A108BD">
          <w:rPr>
            <w:webHidden/>
          </w:rPr>
          <w:fldChar w:fldCharType="begin"/>
        </w:r>
        <w:r w:rsidR="00A108BD">
          <w:rPr>
            <w:webHidden/>
          </w:rPr>
          <w:instrText xml:space="preserve"> PAGEREF _Toc4664080 \h </w:instrText>
        </w:r>
        <w:r w:rsidR="00A108BD">
          <w:rPr>
            <w:webHidden/>
          </w:rPr>
        </w:r>
        <w:r w:rsidR="00A108BD">
          <w:rPr>
            <w:webHidden/>
          </w:rPr>
          <w:fldChar w:fldCharType="separate"/>
        </w:r>
        <w:r w:rsidR="00A108BD">
          <w:rPr>
            <w:webHidden/>
          </w:rPr>
          <w:t>2</w:t>
        </w:r>
        <w:r w:rsidR="00A108BD">
          <w:rPr>
            <w:webHidden/>
          </w:rPr>
          <w:fldChar w:fldCharType="end"/>
        </w:r>
      </w:hyperlink>
    </w:p>
    <w:p w14:paraId="02AD146D" w14:textId="33523EFE" w:rsidR="00A108BD" w:rsidRDefault="00B6256F">
      <w:pPr>
        <w:pStyle w:val="TOC3"/>
        <w:rPr>
          <w:rFonts w:asciiTheme="minorHAnsi" w:eastAsiaTheme="minorEastAsia" w:hAnsiTheme="minorHAnsi" w:cstheme="minorBidi"/>
        </w:rPr>
      </w:pPr>
      <w:hyperlink w:anchor="_Toc4664081" w:history="1">
        <w:r w:rsidR="00A108BD" w:rsidRPr="0026737F">
          <w:rPr>
            <w:rStyle w:val="Hyperlink"/>
          </w:rPr>
          <w:t>Supporting different types of wireless broadband uses through licensing options</w:t>
        </w:r>
        <w:r w:rsidR="00A108BD">
          <w:rPr>
            <w:webHidden/>
          </w:rPr>
          <w:tab/>
        </w:r>
        <w:r w:rsidR="00A108BD">
          <w:rPr>
            <w:webHidden/>
          </w:rPr>
          <w:fldChar w:fldCharType="begin"/>
        </w:r>
        <w:r w:rsidR="00A108BD">
          <w:rPr>
            <w:webHidden/>
          </w:rPr>
          <w:instrText xml:space="preserve"> PAGEREF _Toc4664081 \h </w:instrText>
        </w:r>
        <w:r w:rsidR="00A108BD">
          <w:rPr>
            <w:webHidden/>
          </w:rPr>
        </w:r>
        <w:r w:rsidR="00A108BD">
          <w:rPr>
            <w:webHidden/>
          </w:rPr>
          <w:fldChar w:fldCharType="separate"/>
        </w:r>
        <w:r w:rsidR="00A108BD">
          <w:rPr>
            <w:webHidden/>
          </w:rPr>
          <w:t>3</w:t>
        </w:r>
        <w:r w:rsidR="00A108BD">
          <w:rPr>
            <w:webHidden/>
          </w:rPr>
          <w:fldChar w:fldCharType="end"/>
        </w:r>
      </w:hyperlink>
    </w:p>
    <w:p w14:paraId="44F55384" w14:textId="657A9DFD" w:rsidR="00A108BD" w:rsidRDefault="00B6256F">
      <w:pPr>
        <w:pStyle w:val="TOC3"/>
        <w:rPr>
          <w:rFonts w:asciiTheme="minorHAnsi" w:eastAsiaTheme="minorEastAsia" w:hAnsiTheme="minorHAnsi" w:cstheme="minorBidi"/>
        </w:rPr>
      </w:pPr>
      <w:hyperlink w:anchor="_Toc4664082" w:history="1">
        <w:r w:rsidR="00A108BD" w:rsidRPr="0026737F">
          <w:rPr>
            <w:rStyle w:val="Hyperlink"/>
          </w:rPr>
          <w:t>ACMA planning decisions and preliminary views</w:t>
        </w:r>
        <w:r w:rsidR="00A108BD">
          <w:rPr>
            <w:webHidden/>
          </w:rPr>
          <w:tab/>
        </w:r>
        <w:r w:rsidR="00A108BD">
          <w:rPr>
            <w:webHidden/>
          </w:rPr>
          <w:fldChar w:fldCharType="begin"/>
        </w:r>
        <w:r w:rsidR="00A108BD">
          <w:rPr>
            <w:webHidden/>
          </w:rPr>
          <w:instrText xml:space="preserve"> PAGEREF _Toc4664082 \h </w:instrText>
        </w:r>
        <w:r w:rsidR="00A108BD">
          <w:rPr>
            <w:webHidden/>
          </w:rPr>
        </w:r>
        <w:r w:rsidR="00A108BD">
          <w:rPr>
            <w:webHidden/>
          </w:rPr>
          <w:fldChar w:fldCharType="separate"/>
        </w:r>
        <w:r w:rsidR="00A108BD">
          <w:rPr>
            <w:webHidden/>
          </w:rPr>
          <w:t>4</w:t>
        </w:r>
        <w:r w:rsidR="00A108BD">
          <w:rPr>
            <w:webHidden/>
          </w:rPr>
          <w:fldChar w:fldCharType="end"/>
        </w:r>
      </w:hyperlink>
    </w:p>
    <w:p w14:paraId="1291D875" w14:textId="28A83B0C" w:rsidR="00A108BD" w:rsidRDefault="00B6256F">
      <w:pPr>
        <w:pStyle w:val="TOC3"/>
        <w:rPr>
          <w:rFonts w:asciiTheme="minorHAnsi" w:eastAsiaTheme="minorEastAsia" w:hAnsiTheme="minorHAnsi" w:cstheme="minorBidi"/>
        </w:rPr>
      </w:pPr>
      <w:hyperlink w:anchor="_Toc4664083" w:history="1">
        <w:r w:rsidR="00A108BD" w:rsidRPr="0026737F">
          <w:rPr>
            <w:rStyle w:val="Hyperlink"/>
          </w:rPr>
          <w:t>Defined areas</w:t>
        </w:r>
        <w:r w:rsidR="00A108BD">
          <w:rPr>
            <w:webHidden/>
          </w:rPr>
          <w:tab/>
        </w:r>
        <w:r w:rsidR="00A108BD">
          <w:rPr>
            <w:webHidden/>
          </w:rPr>
          <w:fldChar w:fldCharType="begin"/>
        </w:r>
        <w:r w:rsidR="00A108BD">
          <w:rPr>
            <w:webHidden/>
          </w:rPr>
          <w:instrText xml:space="preserve"> PAGEREF _Toc4664083 \h </w:instrText>
        </w:r>
        <w:r w:rsidR="00A108BD">
          <w:rPr>
            <w:webHidden/>
          </w:rPr>
        </w:r>
        <w:r w:rsidR="00A108BD">
          <w:rPr>
            <w:webHidden/>
          </w:rPr>
          <w:fldChar w:fldCharType="separate"/>
        </w:r>
        <w:r w:rsidR="00A108BD">
          <w:rPr>
            <w:webHidden/>
          </w:rPr>
          <w:t>5</w:t>
        </w:r>
        <w:r w:rsidR="00A108BD">
          <w:rPr>
            <w:webHidden/>
          </w:rPr>
          <w:fldChar w:fldCharType="end"/>
        </w:r>
      </w:hyperlink>
    </w:p>
    <w:p w14:paraId="0029C165" w14:textId="5522CC97" w:rsidR="00A108BD" w:rsidRDefault="00B6256F">
      <w:pPr>
        <w:pStyle w:val="TOC3"/>
        <w:rPr>
          <w:rFonts w:asciiTheme="minorHAnsi" w:eastAsiaTheme="minorEastAsia" w:hAnsiTheme="minorHAnsi" w:cstheme="minorBidi"/>
        </w:rPr>
      </w:pPr>
      <w:hyperlink w:anchor="_Toc4664084" w:history="1">
        <w:r w:rsidR="00A108BD" w:rsidRPr="0026737F">
          <w:rPr>
            <w:rStyle w:val="Hyperlink"/>
          </w:rPr>
          <w:t>Next steps</w:t>
        </w:r>
        <w:r w:rsidR="00A108BD">
          <w:rPr>
            <w:webHidden/>
          </w:rPr>
          <w:tab/>
        </w:r>
        <w:r w:rsidR="00A108BD">
          <w:rPr>
            <w:webHidden/>
          </w:rPr>
          <w:fldChar w:fldCharType="begin"/>
        </w:r>
        <w:r w:rsidR="00A108BD">
          <w:rPr>
            <w:webHidden/>
          </w:rPr>
          <w:instrText xml:space="preserve"> PAGEREF _Toc4664084 \h </w:instrText>
        </w:r>
        <w:r w:rsidR="00A108BD">
          <w:rPr>
            <w:webHidden/>
          </w:rPr>
        </w:r>
        <w:r w:rsidR="00A108BD">
          <w:rPr>
            <w:webHidden/>
          </w:rPr>
          <w:fldChar w:fldCharType="separate"/>
        </w:r>
        <w:r w:rsidR="00A108BD">
          <w:rPr>
            <w:webHidden/>
          </w:rPr>
          <w:t>6</w:t>
        </w:r>
        <w:r w:rsidR="00A108BD">
          <w:rPr>
            <w:webHidden/>
          </w:rPr>
          <w:fldChar w:fldCharType="end"/>
        </w:r>
      </w:hyperlink>
    </w:p>
    <w:p w14:paraId="5CECFEB4" w14:textId="6C41F887" w:rsidR="00A108BD" w:rsidRDefault="00B6256F">
      <w:pPr>
        <w:pStyle w:val="TOC1"/>
        <w:rPr>
          <w:rFonts w:asciiTheme="minorHAnsi" w:eastAsiaTheme="minorEastAsia" w:hAnsiTheme="minorHAnsi" w:cstheme="minorBidi"/>
          <w:b w:val="0"/>
          <w:spacing w:val="0"/>
          <w:sz w:val="22"/>
          <w:szCs w:val="22"/>
        </w:rPr>
      </w:pPr>
      <w:hyperlink w:anchor="_Toc4664085" w:history="1">
        <w:r w:rsidR="00A108BD" w:rsidRPr="0026737F">
          <w:rPr>
            <w:rStyle w:val="Hyperlink"/>
          </w:rPr>
          <w:t>Introduction</w:t>
        </w:r>
        <w:r w:rsidR="00A108BD">
          <w:rPr>
            <w:webHidden/>
          </w:rPr>
          <w:tab/>
        </w:r>
        <w:r w:rsidR="00A108BD">
          <w:rPr>
            <w:webHidden/>
          </w:rPr>
          <w:fldChar w:fldCharType="begin"/>
        </w:r>
        <w:r w:rsidR="00A108BD">
          <w:rPr>
            <w:webHidden/>
          </w:rPr>
          <w:instrText xml:space="preserve"> PAGEREF _Toc4664085 \h </w:instrText>
        </w:r>
        <w:r w:rsidR="00A108BD">
          <w:rPr>
            <w:webHidden/>
          </w:rPr>
        </w:r>
        <w:r w:rsidR="00A108BD">
          <w:rPr>
            <w:webHidden/>
          </w:rPr>
          <w:fldChar w:fldCharType="separate"/>
        </w:r>
        <w:r w:rsidR="00A108BD">
          <w:rPr>
            <w:webHidden/>
          </w:rPr>
          <w:t>7</w:t>
        </w:r>
        <w:r w:rsidR="00A108BD">
          <w:rPr>
            <w:webHidden/>
          </w:rPr>
          <w:fldChar w:fldCharType="end"/>
        </w:r>
      </w:hyperlink>
    </w:p>
    <w:p w14:paraId="0AF43662" w14:textId="03300A83" w:rsidR="00A108BD" w:rsidRDefault="00B6256F">
      <w:pPr>
        <w:pStyle w:val="TOC2"/>
        <w:rPr>
          <w:rFonts w:asciiTheme="minorHAnsi" w:eastAsiaTheme="minorEastAsia" w:hAnsiTheme="minorHAnsi" w:cstheme="minorBidi"/>
          <w:spacing w:val="0"/>
          <w:sz w:val="22"/>
          <w:szCs w:val="22"/>
        </w:rPr>
      </w:pPr>
      <w:hyperlink w:anchor="_Toc4664086" w:history="1">
        <w:r w:rsidR="00A108BD" w:rsidRPr="0026737F">
          <w:rPr>
            <w:rStyle w:val="Hyperlink"/>
          </w:rPr>
          <w:t>Legislative and policy environment</w:t>
        </w:r>
        <w:r w:rsidR="00A108BD">
          <w:rPr>
            <w:webHidden/>
          </w:rPr>
          <w:tab/>
        </w:r>
        <w:r w:rsidR="00A108BD">
          <w:rPr>
            <w:webHidden/>
          </w:rPr>
          <w:fldChar w:fldCharType="begin"/>
        </w:r>
        <w:r w:rsidR="00A108BD">
          <w:rPr>
            <w:webHidden/>
          </w:rPr>
          <w:instrText xml:space="preserve"> PAGEREF _Toc4664086 \h </w:instrText>
        </w:r>
        <w:r w:rsidR="00A108BD">
          <w:rPr>
            <w:webHidden/>
          </w:rPr>
        </w:r>
        <w:r w:rsidR="00A108BD">
          <w:rPr>
            <w:webHidden/>
          </w:rPr>
          <w:fldChar w:fldCharType="separate"/>
        </w:r>
        <w:r w:rsidR="00A108BD">
          <w:rPr>
            <w:webHidden/>
          </w:rPr>
          <w:t>8</w:t>
        </w:r>
        <w:r w:rsidR="00A108BD">
          <w:rPr>
            <w:webHidden/>
          </w:rPr>
          <w:fldChar w:fldCharType="end"/>
        </w:r>
      </w:hyperlink>
    </w:p>
    <w:p w14:paraId="55D6FA2F" w14:textId="6B87A1AB" w:rsidR="00A108BD" w:rsidRDefault="00B6256F">
      <w:pPr>
        <w:pStyle w:val="TOC1"/>
        <w:rPr>
          <w:rFonts w:asciiTheme="minorHAnsi" w:eastAsiaTheme="minorEastAsia" w:hAnsiTheme="minorHAnsi" w:cstheme="minorBidi"/>
          <w:b w:val="0"/>
          <w:spacing w:val="0"/>
          <w:sz w:val="22"/>
          <w:szCs w:val="22"/>
        </w:rPr>
      </w:pPr>
      <w:hyperlink w:anchor="_Toc4664087" w:history="1">
        <w:r w:rsidR="00A108BD" w:rsidRPr="0026737F">
          <w:rPr>
            <w:rStyle w:val="Hyperlink"/>
          </w:rPr>
          <w:t>Responses to the options paper</w:t>
        </w:r>
        <w:r w:rsidR="00A108BD">
          <w:rPr>
            <w:webHidden/>
          </w:rPr>
          <w:tab/>
        </w:r>
        <w:r w:rsidR="00A108BD">
          <w:rPr>
            <w:webHidden/>
          </w:rPr>
          <w:fldChar w:fldCharType="begin"/>
        </w:r>
        <w:r w:rsidR="00A108BD">
          <w:rPr>
            <w:webHidden/>
          </w:rPr>
          <w:instrText xml:space="preserve"> PAGEREF _Toc4664087 \h </w:instrText>
        </w:r>
        <w:r w:rsidR="00A108BD">
          <w:rPr>
            <w:webHidden/>
          </w:rPr>
        </w:r>
        <w:r w:rsidR="00A108BD">
          <w:rPr>
            <w:webHidden/>
          </w:rPr>
          <w:fldChar w:fldCharType="separate"/>
        </w:r>
        <w:r w:rsidR="00A108BD">
          <w:rPr>
            <w:webHidden/>
          </w:rPr>
          <w:t>9</w:t>
        </w:r>
        <w:r w:rsidR="00A108BD">
          <w:rPr>
            <w:webHidden/>
          </w:rPr>
          <w:fldChar w:fldCharType="end"/>
        </w:r>
      </w:hyperlink>
    </w:p>
    <w:p w14:paraId="3348B9D6" w14:textId="66026D7E" w:rsidR="00A108BD" w:rsidRDefault="00B6256F">
      <w:pPr>
        <w:pStyle w:val="TOC2"/>
        <w:rPr>
          <w:rFonts w:asciiTheme="minorHAnsi" w:eastAsiaTheme="minorEastAsia" w:hAnsiTheme="minorHAnsi" w:cstheme="minorBidi"/>
          <w:spacing w:val="0"/>
          <w:sz w:val="22"/>
          <w:szCs w:val="22"/>
        </w:rPr>
      </w:pPr>
      <w:hyperlink w:anchor="_Toc4664088" w:history="1">
        <w:r w:rsidR="00A108BD" w:rsidRPr="0026737F">
          <w:rPr>
            <w:rStyle w:val="Hyperlink"/>
          </w:rPr>
          <w:t>Summary of submissions</w:t>
        </w:r>
        <w:r w:rsidR="00A108BD">
          <w:rPr>
            <w:webHidden/>
          </w:rPr>
          <w:tab/>
        </w:r>
        <w:r w:rsidR="00A108BD">
          <w:rPr>
            <w:webHidden/>
          </w:rPr>
          <w:fldChar w:fldCharType="begin"/>
        </w:r>
        <w:r w:rsidR="00A108BD">
          <w:rPr>
            <w:webHidden/>
          </w:rPr>
          <w:instrText xml:space="preserve"> PAGEREF _Toc4664088 \h </w:instrText>
        </w:r>
        <w:r w:rsidR="00A108BD">
          <w:rPr>
            <w:webHidden/>
          </w:rPr>
        </w:r>
        <w:r w:rsidR="00A108BD">
          <w:rPr>
            <w:webHidden/>
          </w:rPr>
          <w:fldChar w:fldCharType="separate"/>
        </w:r>
        <w:r w:rsidR="00A108BD">
          <w:rPr>
            <w:webHidden/>
          </w:rPr>
          <w:t>9</w:t>
        </w:r>
        <w:r w:rsidR="00A108BD">
          <w:rPr>
            <w:webHidden/>
          </w:rPr>
          <w:fldChar w:fldCharType="end"/>
        </w:r>
      </w:hyperlink>
    </w:p>
    <w:p w14:paraId="080E1BA4" w14:textId="794EED52" w:rsidR="00A108BD" w:rsidRDefault="00B6256F">
      <w:pPr>
        <w:pStyle w:val="TOC1"/>
        <w:rPr>
          <w:rFonts w:asciiTheme="minorHAnsi" w:eastAsiaTheme="minorEastAsia" w:hAnsiTheme="minorHAnsi" w:cstheme="minorBidi"/>
          <w:b w:val="0"/>
          <w:spacing w:val="0"/>
          <w:sz w:val="22"/>
          <w:szCs w:val="22"/>
        </w:rPr>
      </w:pPr>
      <w:hyperlink w:anchor="_Toc4664089" w:history="1">
        <w:r w:rsidR="00A108BD" w:rsidRPr="0026737F">
          <w:rPr>
            <w:rStyle w:val="Hyperlink"/>
          </w:rPr>
          <w:t>ACMA planning decisions and preliminary views</w:t>
        </w:r>
        <w:r w:rsidR="00A108BD">
          <w:rPr>
            <w:webHidden/>
          </w:rPr>
          <w:tab/>
        </w:r>
        <w:r w:rsidR="00A108BD">
          <w:rPr>
            <w:webHidden/>
          </w:rPr>
          <w:fldChar w:fldCharType="begin"/>
        </w:r>
        <w:r w:rsidR="00A108BD">
          <w:rPr>
            <w:webHidden/>
          </w:rPr>
          <w:instrText xml:space="preserve"> PAGEREF _Toc4664089 \h </w:instrText>
        </w:r>
        <w:r w:rsidR="00A108BD">
          <w:rPr>
            <w:webHidden/>
          </w:rPr>
        </w:r>
        <w:r w:rsidR="00A108BD">
          <w:rPr>
            <w:webHidden/>
          </w:rPr>
          <w:fldChar w:fldCharType="separate"/>
        </w:r>
        <w:r w:rsidR="00A108BD">
          <w:rPr>
            <w:webHidden/>
          </w:rPr>
          <w:t>12</w:t>
        </w:r>
        <w:r w:rsidR="00A108BD">
          <w:rPr>
            <w:webHidden/>
          </w:rPr>
          <w:fldChar w:fldCharType="end"/>
        </w:r>
      </w:hyperlink>
    </w:p>
    <w:p w14:paraId="20470E57" w14:textId="09B93F41" w:rsidR="00A108BD" w:rsidRDefault="00B6256F">
      <w:pPr>
        <w:pStyle w:val="TOC2"/>
        <w:rPr>
          <w:rFonts w:asciiTheme="minorHAnsi" w:eastAsiaTheme="minorEastAsia" w:hAnsiTheme="minorHAnsi" w:cstheme="minorBidi"/>
          <w:spacing w:val="0"/>
          <w:sz w:val="22"/>
          <w:szCs w:val="22"/>
        </w:rPr>
      </w:pPr>
      <w:hyperlink w:anchor="_Toc4664090" w:history="1">
        <w:r w:rsidR="00A108BD" w:rsidRPr="0026737F">
          <w:rPr>
            <w:rStyle w:val="Hyperlink"/>
          </w:rPr>
          <w:t>Highest value use (HVU) of the band</w:t>
        </w:r>
        <w:r w:rsidR="00A108BD">
          <w:rPr>
            <w:webHidden/>
          </w:rPr>
          <w:tab/>
        </w:r>
        <w:r w:rsidR="00A108BD">
          <w:rPr>
            <w:webHidden/>
          </w:rPr>
          <w:fldChar w:fldCharType="begin"/>
        </w:r>
        <w:r w:rsidR="00A108BD">
          <w:rPr>
            <w:webHidden/>
          </w:rPr>
          <w:instrText xml:space="preserve"> PAGEREF _Toc4664090 \h </w:instrText>
        </w:r>
        <w:r w:rsidR="00A108BD">
          <w:rPr>
            <w:webHidden/>
          </w:rPr>
        </w:r>
        <w:r w:rsidR="00A108BD">
          <w:rPr>
            <w:webHidden/>
          </w:rPr>
          <w:fldChar w:fldCharType="separate"/>
        </w:r>
        <w:r w:rsidR="00A108BD">
          <w:rPr>
            <w:webHidden/>
          </w:rPr>
          <w:t>12</w:t>
        </w:r>
        <w:r w:rsidR="00A108BD">
          <w:rPr>
            <w:webHidden/>
          </w:rPr>
          <w:fldChar w:fldCharType="end"/>
        </w:r>
      </w:hyperlink>
    </w:p>
    <w:p w14:paraId="60FDD614" w14:textId="784A3679" w:rsidR="00A108BD" w:rsidRDefault="00B6256F">
      <w:pPr>
        <w:pStyle w:val="TOC2"/>
        <w:rPr>
          <w:rFonts w:asciiTheme="minorHAnsi" w:eastAsiaTheme="minorEastAsia" w:hAnsiTheme="minorHAnsi" w:cstheme="minorBidi"/>
          <w:spacing w:val="0"/>
          <w:sz w:val="22"/>
          <w:szCs w:val="22"/>
        </w:rPr>
      </w:pPr>
      <w:hyperlink w:anchor="_Toc4664091" w:history="1">
        <w:r w:rsidR="00A108BD" w:rsidRPr="0026737F">
          <w:rPr>
            <w:rStyle w:val="Hyperlink"/>
          </w:rPr>
          <w:t>Use cases</w:t>
        </w:r>
        <w:r w:rsidR="00A108BD">
          <w:rPr>
            <w:webHidden/>
          </w:rPr>
          <w:tab/>
        </w:r>
        <w:r w:rsidR="00A108BD">
          <w:rPr>
            <w:webHidden/>
          </w:rPr>
          <w:fldChar w:fldCharType="begin"/>
        </w:r>
        <w:r w:rsidR="00A108BD">
          <w:rPr>
            <w:webHidden/>
          </w:rPr>
          <w:instrText xml:space="preserve"> PAGEREF _Toc4664091 \h </w:instrText>
        </w:r>
        <w:r w:rsidR="00A108BD">
          <w:rPr>
            <w:webHidden/>
          </w:rPr>
        </w:r>
        <w:r w:rsidR="00A108BD">
          <w:rPr>
            <w:webHidden/>
          </w:rPr>
          <w:fldChar w:fldCharType="separate"/>
        </w:r>
        <w:r w:rsidR="00A108BD">
          <w:rPr>
            <w:webHidden/>
          </w:rPr>
          <w:t>12</w:t>
        </w:r>
        <w:r w:rsidR="00A108BD">
          <w:rPr>
            <w:webHidden/>
          </w:rPr>
          <w:fldChar w:fldCharType="end"/>
        </w:r>
      </w:hyperlink>
    </w:p>
    <w:p w14:paraId="050A9922" w14:textId="49D6AC50" w:rsidR="00A108BD" w:rsidRDefault="00B6256F">
      <w:pPr>
        <w:pStyle w:val="TOC2"/>
        <w:rPr>
          <w:rFonts w:asciiTheme="minorHAnsi" w:eastAsiaTheme="minorEastAsia" w:hAnsiTheme="minorHAnsi" w:cstheme="minorBidi"/>
          <w:spacing w:val="0"/>
          <w:sz w:val="22"/>
          <w:szCs w:val="22"/>
        </w:rPr>
      </w:pPr>
      <w:hyperlink w:anchor="_Toc4664092" w:history="1">
        <w:r w:rsidR="00A108BD" w:rsidRPr="0026737F">
          <w:rPr>
            <w:rStyle w:val="Hyperlink"/>
          </w:rPr>
          <w:t>Coexistence of wireless broadband and incumbent services</w:t>
        </w:r>
        <w:r w:rsidR="00A108BD">
          <w:rPr>
            <w:webHidden/>
          </w:rPr>
          <w:tab/>
        </w:r>
        <w:r w:rsidR="00A108BD">
          <w:rPr>
            <w:webHidden/>
          </w:rPr>
          <w:fldChar w:fldCharType="begin"/>
        </w:r>
        <w:r w:rsidR="00A108BD">
          <w:rPr>
            <w:webHidden/>
          </w:rPr>
          <w:instrText xml:space="preserve"> PAGEREF _Toc4664092 \h </w:instrText>
        </w:r>
        <w:r w:rsidR="00A108BD">
          <w:rPr>
            <w:webHidden/>
          </w:rPr>
        </w:r>
        <w:r w:rsidR="00A108BD">
          <w:rPr>
            <w:webHidden/>
          </w:rPr>
          <w:fldChar w:fldCharType="separate"/>
        </w:r>
        <w:r w:rsidR="00A108BD">
          <w:rPr>
            <w:webHidden/>
          </w:rPr>
          <w:t>13</w:t>
        </w:r>
        <w:r w:rsidR="00A108BD">
          <w:rPr>
            <w:webHidden/>
          </w:rPr>
          <w:fldChar w:fldCharType="end"/>
        </w:r>
      </w:hyperlink>
    </w:p>
    <w:p w14:paraId="02A154FE" w14:textId="3EB56836" w:rsidR="00A108BD" w:rsidRDefault="00B6256F">
      <w:pPr>
        <w:pStyle w:val="TOC3"/>
        <w:rPr>
          <w:rFonts w:asciiTheme="minorHAnsi" w:eastAsiaTheme="minorEastAsia" w:hAnsiTheme="minorHAnsi" w:cstheme="minorBidi"/>
        </w:rPr>
      </w:pPr>
      <w:hyperlink w:anchor="_Toc4664093" w:history="1">
        <w:r w:rsidR="00A108BD" w:rsidRPr="0026737F">
          <w:rPr>
            <w:rStyle w:val="Hyperlink"/>
          </w:rPr>
          <w:t>Protection of passive EESS operating in the range 23.6–24 GHz</w:t>
        </w:r>
        <w:r w:rsidR="00A108BD">
          <w:rPr>
            <w:webHidden/>
          </w:rPr>
          <w:tab/>
        </w:r>
        <w:r w:rsidR="00A108BD">
          <w:rPr>
            <w:webHidden/>
          </w:rPr>
          <w:fldChar w:fldCharType="begin"/>
        </w:r>
        <w:r w:rsidR="00A108BD">
          <w:rPr>
            <w:webHidden/>
          </w:rPr>
          <w:instrText xml:space="preserve"> PAGEREF _Toc4664093 \h </w:instrText>
        </w:r>
        <w:r w:rsidR="00A108BD">
          <w:rPr>
            <w:webHidden/>
          </w:rPr>
        </w:r>
        <w:r w:rsidR="00A108BD">
          <w:rPr>
            <w:webHidden/>
          </w:rPr>
          <w:fldChar w:fldCharType="separate"/>
        </w:r>
        <w:r w:rsidR="00A108BD">
          <w:rPr>
            <w:webHidden/>
          </w:rPr>
          <w:t>13</w:t>
        </w:r>
        <w:r w:rsidR="00A108BD">
          <w:rPr>
            <w:webHidden/>
          </w:rPr>
          <w:fldChar w:fldCharType="end"/>
        </w:r>
      </w:hyperlink>
    </w:p>
    <w:p w14:paraId="02464B20" w14:textId="476D3BE3" w:rsidR="00A108BD" w:rsidRDefault="00B6256F">
      <w:pPr>
        <w:pStyle w:val="TOC3"/>
        <w:rPr>
          <w:rFonts w:asciiTheme="minorHAnsi" w:eastAsiaTheme="minorEastAsia" w:hAnsiTheme="minorHAnsi" w:cstheme="minorBidi"/>
        </w:rPr>
      </w:pPr>
      <w:hyperlink w:anchor="_Toc4664094" w:history="1">
        <w:r w:rsidR="00A108BD" w:rsidRPr="0026737F">
          <w:rPr>
            <w:rStyle w:val="Hyperlink"/>
          </w:rPr>
          <w:t>Protection of FSS uplinks operating in the range 27–27.5 GHz</w:t>
        </w:r>
        <w:r w:rsidR="00A108BD">
          <w:rPr>
            <w:webHidden/>
          </w:rPr>
          <w:tab/>
        </w:r>
        <w:r w:rsidR="00A108BD">
          <w:rPr>
            <w:webHidden/>
          </w:rPr>
          <w:fldChar w:fldCharType="begin"/>
        </w:r>
        <w:r w:rsidR="00A108BD">
          <w:rPr>
            <w:webHidden/>
          </w:rPr>
          <w:instrText xml:space="preserve"> PAGEREF _Toc4664094 \h </w:instrText>
        </w:r>
        <w:r w:rsidR="00A108BD">
          <w:rPr>
            <w:webHidden/>
          </w:rPr>
        </w:r>
        <w:r w:rsidR="00A108BD">
          <w:rPr>
            <w:webHidden/>
          </w:rPr>
          <w:fldChar w:fldCharType="separate"/>
        </w:r>
        <w:r w:rsidR="00A108BD">
          <w:rPr>
            <w:webHidden/>
          </w:rPr>
          <w:t>14</w:t>
        </w:r>
        <w:r w:rsidR="00A108BD">
          <w:rPr>
            <w:webHidden/>
          </w:rPr>
          <w:fldChar w:fldCharType="end"/>
        </w:r>
      </w:hyperlink>
    </w:p>
    <w:p w14:paraId="5DBCBC9A" w14:textId="1991FD92" w:rsidR="00A108BD" w:rsidRDefault="00B6256F">
      <w:pPr>
        <w:pStyle w:val="TOC3"/>
        <w:rPr>
          <w:rFonts w:asciiTheme="minorHAnsi" w:eastAsiaTheme="minorEastAsia" w:hAnsiTheme="minorHAnsi" w:cstheme="minorBidi"/>
        </w:rPr>
      </w:pPr>
      <w:hyperlink w:anchor="_Toc4664095" w:history="1">
        <w:r w:rsidR="00A108BD" w:rsidRPr="0026737F">
          <w:rPr>
            <w:rStyle w:val="Hyperlink"/>
          </w:rPr>
          <w:t>Coexistence and support for existing in-band class licensed services</w:t>
        </w:r>
        <w:r w:rsidR="00A108BD">
          <w:rPr>
            <w:webHidden/>
          </w:rPr>
          <w:tab/>
        </w:r>
        <w:r w:rsidR="00A108BD">
          <w:rPr>
            <w:webHidden/>
          </w:rPr>
          <w:fldChar w:fldCharType="begin"/>
        </w:r>
        <w:r w:rsidR="00A108BD">
          <w:rPr>
            <w:webHidden/>
          </w:rPr>
          <w:instrText xml:space="preserve"> PAGEREF _Toc4664095 \h </w:instrText>
        </w:r>
        <w:r w:rsidR="00A108BD">
          <w:rPr>
            <w:webHidden/>
          </w:rPr>
        </w:r>
        <w:r w:rsidR="00A108BD">
          <w:rPr>
            <w:webHidden/>
          </w:rPr>
          <w:fldChar w:fldCharType="separate"/>
        </w:r>
        <w:r w:rsidR="00A108BD">
          <w:rPr>
            <w:webHidden/>
          </w:rPr>
          <w:t>14</w:t>
        </w:r>
        <w:r w:rsidR="00A108BD">
          <w:rPr>
            <w:webHidden/>
          </w:rPr>
          <w:fldChar w:fldCharType="end"/>
        </w:r>
      </w:hyperlink>
    </w:p>
    <w:p w14:paraId="2C9C56B4" w14:textId="1C62DC4E" w:rsidR="00A108BD" w:rsidRDefault="00B6256F">
      <w:pPr>
        <w:pStyle w:val="TOC3"/>
        <w:rPr>
          <w:rFonts w:asciiTheme="minorHAnsi" w:eastAsiaTheme="minorEastAsia" w:hAnsiTheme="minorHAnsi" w:cstheme="minorBidi"/>
        </w:rPr>
      </w:pPr>
      <w:hyperlink w:anchor="_Toc4664096" w:history="1">
        <w:r w:rsidR="00A108BD" w:rsidRPr="0026737F">
          <w:rPr>
            <w:rStyle w:val="Hyperlink"/>
          </w:rPr>
          <w:t>Coexistence with current and possible new SRS earth stations</w:t>
        </w:r>
        <w:r w:rsidR="00A108BD">
          <w:rPr>
            <w:webHidden/>
          </w:rPr>
          <w:tab/>
        </w:r>
        <w:r w:rsidR="00A108BD">
          <w:rPr>
            <w:webHidden/>
          </w:rPr>
          <w:fldChar w:fldCharType="begin"/>
        </w:r>
        <w:r w:rsidR="00A108BD">
          <w:rPr>
            <w:webHidden/>
          </w:rPr>
          <w:instrText xml:space="preserve"> PAGEREF _Toc4664096 \h </w:instrText>
        </w:r>
        <w:r w:rsidR="00A108BD">
          <w:rPr>
            <w:webHidden/>
          </w:rPr>
        </w:r>
        <w:r w:rsidR="00A108BD">
          <w:rPr>
            <w:webHidden/>
          </w:rPr>
          <w:fldChar w:fldCharType="separate"/>
        </w:r>
        <w:r w:rsidR="00A108BD">
          <w:rPr>
            <w:webHidden/>
          </w:rPr>
          <w:t>15</w:t>
        </w:r>
        <w:r w:rsidR="00A108BD">
          <w:rPr>
            <w:webHidden/>
          </w:rPr>
          <w:fldChar w:fldCharType="end"/>
        </w:r>
      </w:hyperlink>
    </w:p>
    <w:p w14:paraId="04B705C5" w14:textId="7B2F9106" w:rsidR="00A108BD" w:rsidRDefault="00B6256F">
      <w:pPr>
        <w:pStyle w:val="TOC3"/>
        <w:rPr>
          <w:rFonts w:asciiTheme="minorHAnsi" w:eastAsiaTheme="minorEastAsia" w:hAnsiTheme="minorHAnsi" w:cstheme="minorBidi"/>
        </w:rPr>
      </w:pPr>
      <w:hyperlink w:anchor="_Toc4664097" w:history="1">
        <w:r w:rsidR="00A108BD" w:rsidRPr="0026737F">
          <w:rPr>
            <w:rStyle w:val="Hyperlink"/>
          </w:rPr>
          <w:t>Support for future FSS Earth stations</w:t>
        </w:r>
        <w:r w:rsidR="00A108BD">
          <w:rPr>
            <w:webHidden/>
          </w:rPr>
          <w:tab/>
        </w:r>
        <w:r w:rsidR="00A108BD">
          <w:rPr>
            <w:webHidden/>
          </w:rPr>
          <w:fldChar w:fldCharType="begin"/>
        </w:r>
        <w:r w:rsidR="00A108BD">
          <w:rPr>
            <w:webHidden/>
          </w:rPr>
          <w:instrText xml:space="preserve"> PAGEREF _Toc4664097 \h </w:instrText>
        </w:r>
        <w:r w:rsidR="00A108BD">
          <w:rPr>
            <w:webHidden/>
          </w:rPr>
        </w:r>
        <w:r w:rsidR="00A108BD">
          <w:rPr>
            <w:webHidden/>
          </w:rPr>
          <w:fldChar w:fldCharType="separate"/>
        </w:r>
        <w:r w:rsidR="00A108BD">
          <w:rPr>
            <w:webHidden/>
          </w:rPr>
          <w:t>15</w:t>
        </w:r>
        <w:r w:rsidR="00A108BD">
          <w:rPr>
            <w:webHidden/>
          </w:rPr>
          <w:fldChar w:fldCharType="end"/>
        </w:r>
      </w:hyperlink>
    </w:p>
    <w:p w14:paraId="7C6509E4" w14:textId="465EC53E" w:rsidR="00A108BD" w:rsidRDefault="00B6256F">
      <w:pPr>
        <w:pStyle w:val="TOC2"/>
        <w:rPr>
          <w:rFonts w:asciiTheme="minorHAnsi" w:eastAsiaTheme="minorEastAsia" w:hAnsiTheme="minorHAnsi" w:cstheme="minorBidi"/>
          <w:spacing w:val="0"/>
          <w:sz w:val="22"/>
          <w:szCs w:val="22"/>
        </w:rPr>
      </w:pPr>
      <w:hyperlink w:anchor="_Toc4664098" w:history="1">
        <w:r w:rsidR="00A108BD" w:rsidRPr="0026737F">
          <w:rPr>
            <w:rStyle w:val="Hyperlink"/>
          </w:rPr>
          <w:t>Wireless broadband licensing arrangements</w:t>
        </w:r>
        <w:r w:rsidR="00A108BD">
          <w:rPr>
            <w:webHidden/>
          </w:rPr>
          <w:tab/>
        </w:r>
        <w:r w:rsidR="00A108BD">
          <w:rPr>
            <w:webHidden/>
          </w:rPr>
          <w:fldChar w:fldCharType="begin"/>
        </w:r>
        <w:r w:rsidR="00A108BD">
          <w:rPr>
            <w:webHidden/>
          </w:rPr>
          <w:instrText xml:space="preserve"> PAGEREF _Toc4664098 \h </w:instrText>
        </w:r>
        <w:r w:rsidR="00A108BD">
          <w:rPr>
            <w:webHidden/>
          </w:rPr>
        </w:r>
        <w:r w:rsidR="00A108BD">
          <w:rPr>
            <w:webHidden/>
          </w:rPr>
          <w:fldChar w:fldCharType="separate"/>
        </w:r>
        <w:r w:rsidR="00A108BD">
          <w:rPr>
            <w:webHidden/>
          </w:rPr>
          <w:t>15</w:t>
        </w:r>
        <w:r w:rsidR="00A108BD">
          <w:rPr>
            <w:webHidden/>
          </w:rPr>
          <w:fldChar w:fldCharType="end"/>
        </w:r>
      </w:hyperlink>
    </w:p>
    <w:p w14:paraId="4B3959ED" w14:textId="7E931DAB" w:rsidR="00A108BD" w:rsidRDefault="00B6256F">
      <w:pPr>
        <w:pStyle w:val="TOC2"/>
        <w:rPr>
          <w:rFonts w:asciiTheme="minorHAnsi" w:eastAsiaTheme="minorEastAsia" w:hAnsiTheme="minorHAnsi" w:cstheme="minorBidi"/>
          <w:spacing w:val="0"/>
          <w:sz w:val="22"/>
          <w:szCs w:val="22"/>
        </w:rPr>
      </w:pPr>
      <w:hyperlink w:anchor="_Toc4664099" w:history="1">
        <w:r w:rsidR="00A108BD" w:rsidRPr="0026737F">
          <w:rPr>
            <w:rStyle w:val="Hyperlink"/>
          </w:rPr>
          <w:t>Planning decisions, intentions and preliminary views</w:t>
        </w:r>
        <w:r w:rsidR="00A108BD">
          <w:rPr>
            <w:webHidden/>
          </w:rPr>
          <w:tab/>
        </w:r>
        <w:r w:rsidR="00A108BD">
          <w:rPr>
            <w:webHidden/>
          </w:rPr>
          <w:fldChar w:fldCharType="begin"/>
        </w:r>
        <w:r w:rsidR="00A108BD">
          <w:rPr>
            <w:webHidden/>
          </w:rPr>
          <w:instrText xml:space="preserve"> PAGEREF _Toc4664099 \h </w:instrText>
        </w:r>
        <w:r w:rsidR="00A108BD">
          <w:rPr>
            <w:webHidden/>
          </w:rPr>
        </w:r>
        <w:r w:rsidR="00A108BD">
          <w:rPr>
            <w:webHidden/>
          </w:rPr>
          <w:fldChar w:fldCharType="separate"/>
        </w:r>
        <w:r w:rsidR="00A108BD">
          <w:rPr>
            <w:webHidden/>
          </w:rPr>
          <w:t>17</w:t>
        </w:r>
        <w:r w:rsidR="00A108BD">
          <w:rPr>
            <w:webHidden/>
          </w:rPr>
          <w:fldChar w:fldCharType="end"/>
        </w:r>
      </w:hyperlink>
    </w:p>
    <w:p w14:paraId="723BBABA" w14:textId="58F5CD92" w:rsidR="00A108BD" w:rsidRDefault="00B6256F">
      <w:pPr>
        <w:pStyle w:val="TOC3"/>
        <w:rPr>
          <w:rFonts w:asciiTheme="minorHAnsi" w:eastAsiaTheme="minorEastAsia" w:hAnsiTheme="minorHAnsi" w:cstheme="minorBidi"/>
        </w:rPr>
      </w:pPr>
      <w:hyperlink w:anchor="_Toc4664100" w:history="1">
        <w:r w:rsidR="00A108BD" w:rsidRPr="0026737F">
          <w:rPr>
            <w:rStyle w:val="Hyperlink"/>
          </w:rPr>
          <w:t>Planning decisions</w:t>
        </w:r>
        <w:r w:rsidR="00A108BD">
          <w:rPr>
            <w:webHidden/>
          </w:rPr>
          <w:tab/>
        </w:r>
        <w:r w:rsidR="00A108BD">
          <w:rPr>
            <w:webHidden/>
          </w:rPr>
          <w:fldChar w:fldCharType="begin"/>
        </w:r>
        <w:r w:rsidR="00A108BD">
          <w:rPr>
            <w:webHidden/>
          </w:rPr>
          <w:instrText xml:space="preserve"> PAGEREF _Toc4664100 \h </w:instrText>
        </w:r>
        <w:r w:rsidR="00A108BD">
          <w:rPr>
            <w:webHidden/>
          </w:rPr>
        </w:r>
        <w:r w:rsidR="00A108BD">
          <w:rPr>
            <w:webHidden/>
          </w:rPr>
          <w:fldChar w:fldCharType="separate"/>
        </w:r>
        <w:r w:rsidR="00A108BD">
          <w:rPr>
            <w:webHidden/>
          </w:rPr>
          <w:t>18</w:t>
        </w:r>
        <w:r w:rsidR="00A108BD">
          <w:rPr>
            <w:webHidden/>
          </w:rPr>
          <w:fldChar w:fldCharType="end"/>
        </w:r>
      </w:hyperlink>
    </w:p>
    <w:p w14:paraId="78776568" w14:textId="3D06CEED" w:rsidR="00A108BD" w:rsidRDefault="00B6256F">
      <w:pPr>
        <w:pStyle w:val="TOC3"/>
        <w:rPr>
          <w:rFonts w:asciiTheme="minorHAnsi" w:eastAsiaTheme="minorEastAsia" w:hAnsiTheme="minorHAnsi" w:cstheme="minorBidi"/>
        </w:rPr>
      </w:pPr>
      <w:hyperlink w:anchor="_Toc4664101" w:history="1">
        <w:r w:rsidR="00A108BD" w:rsidRPr="0026737F">
          <w:rPr>
            <w:rStyle w:val="Hyperlink"/>
          </w:rPr>
          <w:t>Intentions</w:t>
        </w:r>
        <w:r w:rsidR="00A108BD">
          <w:rPr>
            <w:webHidden/>
          </w:rPr>
          <w:tab/>
        </w:r>
        <w:r w:rsidR="00A108BD">
          <w:rPr>
            <w:webHidden/>
          </w:rPr>
          <w:fldChar w:fldCharType="begin"/>
        </w:r>
        <w:r w:rsidR="00A108BD">
          <w:rPr>
            <w:webHidden/>
          </w:rPr>
          <w:instrText xml:space="preserve"> PAGEREF _Toc4664101 \h </w:instrText>
        </w:r>
        <w:r w:rsidR="00A108BD">
          <w:rPr>
            <w:webHidden/>
          </w:rPr>
        </w:r>
        <w:r w:rsidR="00A108BD">
          <w:rPr>
            <w:webHidden/>
          </w:rPr>
          <w:fldChar w:fldCharType="separate"/>
        </w:r>
        <w:r w:rsidR="00A108BD">
          <w:rPr>
            <w:webHidden/>
          </w:rPr>
          <w:t>18</w:t>
        </w:r>
        <w:r w:rsidR="00A108BD">
          <w:rPr>
            <w:webHidden/>
          </w:rPr>
          <w:fldChar w:fldCharType="end"/>
        </w:r>
      </w:hyperlink>
    </w:p>
    <w:p w14:paraId="177A4018" w14:textId="03FEEB6A" w:rsidR="00A108BD" w:rsidRDefault="00B6256F">
      <w:pPr>
        <w:pStyle w:val="TOC3"/>
        <w:rPr>
          <w:rFonts w:asciiTheme="minorHAnsi" w:eastAsiaTheme="minorEastAsia" w:hAnsiTheme="minorHAnsi" w:cstheme="minorBidi"/>
        </w:rPr>
      </w:pPr>
      <w:hyperlink w:anchor="_Toc4664102" w:history="1">
        <w:r w:rsidR="00A108BD" w:rsidRPr="0026737F">
          <w:rPr>
            <w:rStyle w:val="Hyperlink"/>
          </w:rPr>
          <w:t>Preliminary views</w:t>
        </w:r>
        <w:r w:rsidR="00A108BD">
          <w:rPr>
            <w:webHidden/>
          </w:rPr>
          <w:tab/>
        </w:r>
        <w:r w:rsidR="00A108BD">
          <w:rPr>
            <w:webHidden/>
          </w:rPr>
          <w:fldChar w:fldCharType="begin"/>
        </w:r>
        <w:r w:rsidR="00A108BD">
          <w:rPr>
            <w:webHidden/>
          </w:rPr>
          <w:instrText xml:space="preserve"> PAGEREF _Toc4664102 \h </w:instrText>
        </w:r>
        <w:r w:rsidR="00A108BD">
          <w:rPr>
            <w:webHidden/>
          </w:rPr>
        </w:r>
        <w:r w:rsidR="00A108BD">
          <w:rPr>
            <w:webHidden/>
          </w:rPr>
          <w:fldChar w:fldCharType="separate"/>
        </w:r>
        <w:r w:rsidR="00A108BD">
          <w:rPr>
            <w:webHidden/>
          </w:rPr>
          <w:t>19</w:t>
        </w:r>
        <w:r w:rsidR="00A108BD">
          <w:rPr>
            <w:webHidden/>
          </w:rPr>
          <w:fldChar w:fldCharType="end"/>
        </w:r>
      </w:hyperlink>
    </w:p>
    <w:p w14:paraId="47F98F31" w14:textId="3521DC27" w:rsidR="00A108BD" w:rsidRDefault="00B6256F">
      <w:pPr>
        <w:pStyle w:val="TOC1"/>
        <w:rPr>
          <w:rFonts w:asciiTheme="minorHAnsi" w:eastAsiaTheme="minorEastAsia" w:hAnsiTheme="minorHAnsi" w:cstheme="minorBidi"/>
          <w:b w:val="0"/>
          <w:spacing w:val="0"/>
          <w:sz w:val="22"/>
          <w:szCs w:val="22"/>
        </w:rPr>
      </w:pPr>
      <w:hyperlink w:anchor="_Toc4664103" w:history="1">
        <w:r w:rsidR="00A108BD" w:rsidRPr="0026737F">
          <w:rPr>
            <w:rStyle w:val="Hyperlink"/>
          </w:rPr>
          <w:t>Next steps</w:t>
        </w:r>
        <w:r w:rsidR="00A108BD">
          <w:rPr>
            <w:webHidden/>
          </w:rPr>
          <w:tab/>
        </w:r>
        <w:r w:rsidR="00A108BD">
          <w:rPr>
            <w:webHidden/>
          </w:rPr>
          <w:fldChar w:fldCharType="begin"/>
        </w:r>
        <w:r w:rsidR="00A108BD">
          <w:rPr>
            <w:webHidden/>
          </w:rPr>
          <w:instrText xml:space="preserve"> PAGEREF _Toc4664103 \h </w:instrText>
        </w:r>
        <w:r w:rsidR="00A108BD">
          <w:rPr>
            <w:webHidden/>
          </w:rPr>
        </w:r>
        <w:r w:rsidR="00A108BD">
          <w:rPr>
            <w:webHidden/>
          </w:rPr>
          <w:fldChar w:fldCharType="separate"/>
        </w:r>
        <w:r w:rsidR="00A108BD">
          <w:rPr>
            <w:webHidden/>
          </w:rPr>
          <w:t>24</w:t>
        </w:r>
        <w:r w:rsidR="00A108BD">
          <w:rPr>
            <w:webHidden/>
          </w:rPr>
          <w:fldChar w:fldCharType="end"/>
        </w:r>
      </w:hyperlink>
    </w:p>
    <w:p w14:paraId="4BF726AA" w14:textId="5A082C3D" w:rsidR="00A108BD" w:rsidRDefault="00B6256F">
      <w:pPr>
        <w:pStyle w:val="TOC1"/>
        <w:rPr>
          <w:rFonts w:asciiTheme="minorHAnsi" w:eastAsiaTheme="minorEastAsia" w:hAnsiTheme="minorHAnsi" w:cstheme="minorBidi"/>
          <w:b w:val="0"/>
          <w:spacing w:val="0"/>
          <w:sz w:val="22"/>
          <w:szCs w:val="22"/>
        </w:rPr>
      </w:pPr>
      <w:hyperlink w:anchor="_Toc4664104" w:history="1">
        <w:r w:rsidR="00A108BD" w:rsidRPr="0026737F">
          <w:rPr>
            <w:rStyle w:val="Hyperlink"/>
          </w:rPr>
          <w:t>Annex A—Working group on 26 GHz inter-service coexistence: Terms of Reference</w:t>
        </w:r>
        <w:r w:rsidR="00A108BD">
          <w:rPr>
            <w:webHidden/>
          </w:rPr>
          <w:tab/>
        </w:r>
        <w:r w:rsidR="00A108BD">
          <w:rPr>
            <w:webHidden/>
          </w:rPr>
          <w:fldChar w:fldCharType="begin"/>
        </w:r>
        <w:r w:rsidR="00A108BD">
          <w:rPr>
            <w:webHidden/>
          </w:rPr>
          <w:instrText xml:space="preserve"> PAGEREF _Toc4664104 \h </w:instrText>
        </w:r>
        <w:r w:rsidR="00A108BD">
          <w:rPr>
            <w:webHidden/>
          </w:rPr>
        </w:r>
        <w:r w:rsidR="00A108BD">
          <w:rPr>
            <w:webHidden/>
          </w:rPr>
          <w:fldChar w:fldCharType="separate"/>
        </w:r>
        <w:r w:rsidR="00A108BD">
          <w:rPr>
            <w:webHidden/>
          </w:rPr>
          <w:t>25</w:t>
        </w:r>
        <w:r w:rsidR="00A108BD">
          <w:rPr>
            <w:webHidden/>
          </w:rPr>
          <w:fldChar w:fldCharType="end"/>
        </w:r>
      </w:hyperlink>
    </w:p>
    <w:p w14:paraId="639315C2" w14:textId="145F55BE" w:rsidR="00A108BD" w:rsidRDefault="00B6256F">
      <w:pPr>
        <w:pStyle w:val="TOC2"/>
        <w:rPr>
          <w:rFonts w:asciiTheme="minorHAnsi" w:eastAsiaTheme="minorEastAsia" w:hAnsiTheme="minorHAnsi" w:cstheme="minorBidi"/>
          <w:spacing w:val="0"/>
          <w:sz w:val="22"/>
          <w:szCs w:val="22"/>
        </w:rPr>
      </w:pPr>
      <w:hyperlink w:anchor="_Toc4664105" w:history="1">
        <w:r w:rsidR="00A108BD" w:rsidRPr="0026737F">
          <w:rPr>
            <w:rStyle w:val="Hyperlink"/>
          </w:rPr>
          <w:t>Terms of Reference</w:t>
        </w:r>
        <w:r w:rsidR="00A108BD">
          <w:rPr>
            <w:webHidden/>
          </w:rPr>
          <w:tab/>
        </w:r>
        <w:r w:rsidR="00A108BD">
          <w:rPr>
            <w:webHidden/>
          </w:rPr>
          <w:fldChar w:fldCharType="begin"/>
        </w:r>
        <w:r w:rsidR="00A108BD">
          <w:rPr>
            <w:webHidden/>
          </w:rPr>
          <w:instrText xml:space="preserve"> PAGEREF _Toc4664105 \h </w:instrText>
        </w:r>
        <w:r w:rsidR="00A108BD">
          <w:rPr>
            <w:webHidden/>
          </w:rPr>
        </w:r>
        <w:r w:rsidR="00A108BD">
          <w:rPr>
            <w:webHidden/>
          </w:rPr>
          <w:fldChar w:fldCharType="separate"/>
        </w:r>
        <w:r w:rsidR="00A108BD">
          <w:rPr>
            <w:webHidden/>
          </w:rPr>
          <w:t>25</w:t>
        </w:r>
        <w:r w:rsidR="00A108BD">
          <w:rPr>
            <w:webHidden/>
          </w:rPr>
          <w:fldChar w:fldCharType="end"/>
        </w:r>
      </w:hyperlink>
    </w:p>
    <w:p w14:paraId="1CB690B1" w14:textId="4AB78FA5" w:rsidR="00A108BD" w:rsidRDefault="00B6256F">
      <w:pPr>
        <w:pStyle w:val="TOC3"/>
        <w:rPr>
          <w:rFonts w:asciiTheme="minorHAnsi" w:eastAsiaTheme="minorEastAsia" w:hAnsiTheme="minorHAnsi" w:cstheme="minorBidi"/>
        </w:rPr>
      </w:pPr>
      <w:hyperlink w:anchor="_Toc4664106" w:history="1">
        <w:r w:rsidR="00A108BD" w:rsidRPr="0026737F">
          <w:rPr>
            <w:rStyle w:val="Hyperlink"/>
          </w:rPr>
          <w:t>Function</w:t>
        </w:r>
        <w:r w:rsidR="00A108BD">
          <w:rPr>
            <w:webHidden/>
          </w:rPr>
          <w:tab/>
        </w:r>
        <w:r w:rsidR="00A108BD">
          <w:rPr>
            <w:webHidden/>
          </w:rPr>
          <w:fldChar w:fldCharType="begin"/>
        </w:r>
        <w:r w:rsidR="00A108BD">
          <w:rPr>
            <w:webHidden/>
          </w:rPr>
          <w:instrText xml:space="preserve"> PAGEREF _Toc4664106 \h </w:instrText>
        </w:r>
        <w:r w:rsidR="00A108BD">
          <w:rPr>
            <w:webHidden/>
          </w:rPr>
        </w:r>
        <w:r w:rsidR="00A108BD">
          <w:rPr>
            <w:webHidden/>
          </w:rPr>
          <w:fldChar w:fldCharType="separate"/>
        </w:r>
        <w:r w:rsidR="00A108BD">
          <w:rPr>
            <w:webHidden/>
          </w:rPr>
          <w:t>25</w:t>
        </w:r>
        <w:r w:rsidR="00A108BD">
          <w:rPr>
            <w:webHidden/>
          </w:rPr>
          <w:fldChar w:fldCharType="end"/>
        </w:r>
      </w:hyperlink>
    </w:p>
    <w:p w14:paraId="22D98848" w14:textId="31415DC6" w:rsidR="00A108BD" w:rsidRDefault="00B6256F">
      <w:pPr>
        <w:pStyle w:val="TOC3"/>
        <w:rPr>
          <w:rFonts w:asciiTheme="minorHAnsi" w:eastAsiaTheme="minorEastAsia" w:hAnsiTheme="minorHAnsi" w:cstheme="minorBidi"/>
        </w:rPr>
      </w:pPr>
      <w:hyperlink w:anchor="_Toc4664107" w:history="1">
        <w:r w:rsidR="00A108BD" w:rsidRPr="0026737F">
          <w:rPr>
            <w:rStyle w:val="Hyperlink"/>
          </w:rPr>
          <w:t>Purpose</w:t>
        </w:r>
        <w:r w:rsidR="00A108BD">
          <w:rPr>
            <w:webHidden/>
          </w:rPr>
          <w:tab/>
        </w:r>
        <w:r w:rsidR="00A108BD">
          <w:rPr>
            <w:webHidden/>
          </w:rPr>
          <w:fldChar w:fldCharType="begin"/>
        </w:r>
        <w:r w:rsidR="00A108BD">
          <w:rPr>
            <w:webHidden/>
          </w:rPr>
          <w:instrText xml:space="preserve"> PAGEREF _Toc4664107 \h </w:instrText>
        </w:r>
        <w:r w:rsidR="00A108BD">
          <w:rPr>
            <w:webHidden/>
          </w:rPr>
        </w:r>
        <w:r w:rsidR="00A108BD">
          <w:rPr>
            <w:webHidden/>
          </w:rPr>
          <w:fldChar w:fldCharType="separate"/>
        </w:r>
        <w:r w:rsidR="00A108BD">
          <w:rPr>
            <w:webHidden/>
          </w:rPr>
          <w:t>25</w:t>
        </w:r>
        <w:r w:rsidR="00A108BD">
          <w:rPr>
            <w:webHidden/>
          </w:rPr>
          <w:fldChar w:fldCharType="end"/>
        </w:r>
      </w:hyperlink>
    </w:p>
    <w:p w14:paraId="0E4DEB8E" w14:textId="1EB3D355" w:rsidR="00A108BD" w:rsidRDefault="00B6256F">
      <w:pPr>
        <w:pStyle w:val="TOC3"/>
        <w:rPr>
          <w:rFonts w:asciiTheme="minorHAnsi" w:eastAsiaTheme="minorEastAsia" w:hAnsiTheme="minorHAnsi" w:cstheme="minorBidi"/>
        </w:rPr>
      </w:pPr>
      <w:hyperlink w:anchor="_Toc4664108" w:history="1">
        <w:r w:rsidR="00A108BD" w:rsidRPr="0026737F">
          <w:rPr>
            <w:rStyle w:val="Hyperlink"/>
          </w:rPr>
          <w:t>Working methods and accountability</w:t>
        </w:r>
        <w:r w:rsidR="00A108BD">
          <w:rPr>
            <w:webHidden/>
          </w:rPr>
          <w:tab/>
        </w:r>
        <w:r w:rsidR="00A108BD">
          <w:rPr>
            <w:webHidden/>
          </w:rPr>
          <w:fldChar w:fldCharType="begin"/>
        </w:r>
        <w:r w:rsidR="00A108BD">
          <w:rPr>
            <w:webHidden/>
          </w:rPr>
          <w:instrText xml:space="preserve"> PAGEREF _Toc4664108 \h </w:instrText>
        </w:r>
        <w:r w:rsidR="00A108BD">
          <w:rPr>
            <w:webHidden/>
          </w:rPr>
        </w:r>
        <w:r w:rsidR="00A108BD">
          <w:rPr>
            <w:webHidden/>
          </w:rPr>
          <w:fldChar w:fldCharType="separate"/>
        </w:r>
        <w:r w:rsidR="00A108BD">
          <w:rPr>
            <w:webHidden/>
          </w:rPr>
          <w:t>25</w:t>
        </w:r>
        <w:r w:rsidR="00A108BD">
          <w:rPr>
            <w:webHidden/>
          </w:rPr>
          <w:fldChar w:fldCharType="end"/>
        </w:r>
      </w:hyperlink>
    </w:p>
    <w:p w14:paraId="5E525F4E" w14:textId="635E1A40" w:rsidR="00A108BD" w:rsidRDefault="00B6256F">
      <w:pPr>
        <w:pStyle w:val="TOC3"/>
        <w:rPr>
          <w:rFonts w:asciiTheme="minorHAnsi" w:eastAsiaTheme="minorEastAsia" w:hAnsiTheme="minorHAnsi" w:cstheme="minorBidi"/>
        </w:rPr>
      </w:pPr>
      <w:hyperlink w:anchor="_Toc4664109" w:history="1">
        <w:r w:rsidR="00A108BD" w:rsidRPr="0026737F">
          <w:rPr>
            <w:rStyle w:val="Hyperlink"/>
          </w:rPr>
          <w:t>Membership</w:t>
        </w:r>
        <w:r w:rsidR="00A108BD">
          <w:rPr>
            <w:webHidden/>
          </w:rPr>
          <w:tab/>
        </w:r>
        <w:r w:rsidR="00A108BD">
          <w:rPr>
            <w:webHidden/>
          </w:rPr>
          <w:fldChar w:fldCharType="begin"/>
        </w:r>
        <w:r w:rsidR="00A108BD">
          <w:rPr>
            <w:webHidden/>
          </w:rPr>
          <w:instrText xml:space="preserve"> PAGEREF _Toc4664109 \h </w:instrText>
        </w:r>
        <w:r w:rsidR="00A108BD">
          <w:rPr>
            <w:webHidden/>
          </w:rPr>
        </w:r>
        <w:r w:rsidR="00A108BD">
          <w:rPr>
            <w:webHidden/>
          </w:rPr>
          <w:fldChar w:fldCharType="separate"/>
        </w:r>
        <w:r w:rsidR="00A108BD">
          <w:rPr>
            <w:webHidden/>
          </w:rPr>
          <w:t>25</w:t>
        </w:r>
        <w:r w:rsidR="00A108BD">
          <w:rPr>
            <w:webHidden/>
          </w:rPr>
          <w:fldChar w:fldCharType="end"/>
        </w:r>
      </w:hyperlink>
    </w:p>
    <w:p w14:paraId="191F206F" w14:textId="10E606AB" w:rsidR="00A108BD" w:rsidRDefault="00B6256F">
      <w:pPr>
        <w:pStyle w:val="TOC3"/>
        <w:rPr>
          <w:rFonts w:asciiTheme="minorHAnsi" w:eastAsiaTheme="minorEastAsia" w:hAnsiTheme="minorHAnsi" w:cstheme="minorBidi"/>
        </w:rPr>
      </w:pPr>
      <w:hyperlink w:anchor="_Toc4664110" w:history="1">
        <w:r w:rsidR="00A108BD" w:rsidRPr="0026737F">
          <w:rPr>
            <w:rStyle w:val="Hyperlink"/>
          </w:rPr>
          <w:t>Review</w:t>
        </w:r>
        <w:r w:rsidR="00A108BD">
          <w:rPr>
            <w:webHidden/>
          </w:rPr>
          <w:tab/>
        </w:r>
        <w:r w:rsidR="00A108BD">
          <w:rPr>
            <w:webHidden/>
          </w:rPr>
          <w:fldChar w:fldCharType="begin"/>
        </w:r>
        <w:r w:rsidR="00A108BD">
          <w:rPr>
            <w:webHidden/>
          </w:rPr>
          <w:instrText xml:space="preserve"> PAGEREF _Toc4664110 \h </w:instrText>
        </w:r>
        <w:r w:rsidR="00A108BD">
          <w:rPr>
            <w:webHidden/>
          </w:rPr>
        </w:r>
        <w:r w:rsidR="00A108BD">
          <w:rPr>
            <w:webHidden/>
          </w:rPr>
          <w:fldChar w:fldCharType="separate"/>
        </w:r>
        <w:r w:rsidR="00A108BD">
          <w:rPr>
            <w:webHidden/>
          </w:rPr>
          <w:t>26</w:t>
        </w:r>
        <w:r w:rsidR="00A108BD">
          <w:rPr>
            <w:webHidden/>
          </w:rPr>
          <w:fldChar w:fldCharType="end"/>
        </w:r>
      </w:hyperlink>
    </w:p>
    <w:p w14:paraId="5A2C07C8" w14:textId="090FA6B6" w:rsidR="00A108BD" w:rsidRDefault="00B6256F">
      <w:pPr>
        <w:pStyle w:val="TOC3"/>
        <w:rPr>
          <w:rFonts w:asciiTheme="minorHAnsi" w:eastAsiaTheme="minorEastAsia" w:hAnsiTheme="minorHAnsi" w:cstheme="minorBidi"/>
        </w:rPr>
      </w:pPr>
      <w:hyperlink w:anchor="_Toc4664111" w:history="1">
        <w:r w:rsidR="00A108BD" w:rsidRPr="0026737F">
          <w:rPr>
            <w:rStyle w:val="Hyperlink"/>
          </w:rPr>
          <w:t>Working group cessation</w:t>
        </w:r>
        <w:r w:rsidR="00A108BD">
          <w:rPr>
            <w:webHidden/>
          </w:rPr>
          <w:tab/>
        </w:r>
        <w:r w:rsidR="00A108BD">
          <w:rPr>
            <w:webHidden/>
          </w:rPr>
          <w:fldChar w:fldCharType="begin"/>
        </w:r>
        <w:r w:rsidR="00A108BD">
          <w:rPr>
            <w:webHidden/>
          </w:rPr>
          <w:instrText xml:space="preserve"> PAGEREF _Toc4664111 \h </w:instrText>
        </w:r>
        <w:r w:rsidR="00A108BD">
          <w:rPr>
            <w:webHidden/>
          </w:rPr>
        </w:r>
        <w:r w:rsidR="00A108BD">
          <w:rPr>
            <w:webHidden/>
          </w:rPr>
          <w:fldChar w:fldCharType="separate"/>
        </w:r>
        <w:r w:rsidR="00A108BD">
          <w:rPr>
            <w:webHidden/>
          </w:rPr>
          <w:t>26</w:t>
        </w:r>
        <w:r w:rsidR="00A108BD">
          <w:rPr>
            <w:webHidden/>
          </w:rPr>
          <w:fldChar w:fldCharType="end"/>
        </w:r>
      </w:hyperlink>
    </w:p>
    <w:p w14:paraId="66336C1B" w14:textId="6D80815D" w:rsidR="00A108BD" w:rsidRDefault="00B6256F">
      <w:pPr>
        <w:pStyle w:val="TOC1"/>
        <w:rPr>
          <w:rFonts w:asciiTheme="minorHAnsi" w:eastAsiaTheme="minorEastAsia" w:hAnsiTheme="minorHAnsi" w:cstheme="minorBidi"/>
          <w:b w:val="0"/>
          <w:spacing w:val="0"/>
          <w:sz w:val="22"/>
          <w:szCs w:val="22"/>
        </w:rPr>
      </w:pPr>
      <w:hyperlink w:anchor="_Toc4664112" w:history="1">
        <w:r w:rsidR="00A108BD" w:rsidRPr="0026737F">
          <w:rPr>
            <w:rStyle w:val="Hyperlink"/>
          </w:rPr>
          <w:t>Annex B—Working group on 26 GHz inter-service coexistence: Deliberation summary</w:t>
        </w:r>
        <w:r w:rsidR="00A108BD">
          <w:rPr>
            <w:webHidden/>
          </w:rPr>
          <w:tab/>
        </w:r>
        <w:r w:rsidR="00A108BD">
          <w:rPr>
            <w:webHidden/>
          </w:rPr>
          <w:fldChar w:fldCharType="begin"/>
        </w:r>
        <w:r w:rsidR="00A108BD">
          <w:rPr>
            <w:webHidden/>
          </w:rPr>
          <w:instrText xml:space="preserve"> PAGEREF _Toc4664112 \h </w:instrText>
        </w:r>
        <w:r w:rsidR="00A108BD">
          <w:rPr>
            <w:webHidden/>
          </w:rPr>
        </w:r>
        <w:r w:rsidR="00A108BD">
          <w:rPr>
            <w:webHidden/>
          </w:rPr>
          <w:fldChar w:fldCharType="separate"/>
        </w:r>
        <w:r w:rsidR="00A108BD">
          <w:rPr>
            <w:webHidden/>
          </w:rPr>
          <w:t>27</w:t>
        </w:r>
        <w:r w:rsidR="00A108BD">
          <w:rPr>
            <w:webHidden/>
          </w:rPr>
          <w:fldChar w:fldCharType="end"/>
        </w:r>
      </w:hyperlink>
    </w:p>
    <w:p w14:paraId="5DC72997" w14:textId="40768AD5" w:rsidR="00A108BD" w:rsidRDefault="00B6256F">
      <w:pPr>
        <w:pStyle w:val="TOC2"/>
        <w:rPr>
          <w:rFonts w:asciiTheme="minorHAnsi" w:eastAsiaTheme="minorEastAsia" w:hAnsiTheme="minorHAnsi" w:cstheme="minorBidi"/>
          <w:spacing w:val="0"/>
          <w:sz w:val="22"/>
          <w:szCs w:val="22"/>
        </w:rPr>
      </w:pPr>
      <w:hyperlink w:anchor="_Toc4664113" w:history="1">
        <w:r w:rsidR="00A108BD" w:rsidRPr="0026737F">
          <w:rPr>
            <w:rStyle w:val="Hyperlink"/>
          </w:rPr>
          <w:t>Working group overview</w:t>
        </w:r>
        <w:r w:rsidR="00A108BD">
          <w:rPr>
            <w:webHidden/>
          </w:rPr>
          <w:tab/>
        </w:r>
        <w:r w:rsidR="00A108BD">
          <w:rPr>
            <w:webHidden/>
          </w:rPr>
          <w:fldChar w:fldCharType="begin"/>
        </w:r>
        <w:r w:rsidR="00A108BD">
          <w:rPr>
            <w:webHidden/>
          </w:rPr>
          <w:instrText xml:space="preserve"> PAGEREF _Toc4664113 \h </w:instrText>
        </w:r>
        <w:r w:rsidR="00A108BD">
          <w:rPr>
            <w:webHidden/>
          </w:rPr>
        </w:r>
        <w:r w:rsidR="00A108BD">
          <w:rPr>
            <w:webHidden/>
          </w:rPr>
          <w:fldChar w:fldCharType="separate"/>
        </w:r>
        <w:r w:rsidR="00A108BD">
          <w:rPr>
            <w:webHidden/>
          </w:rPr>
          <w:t>27</w:t>
        </w:r>
        <w:r w:rsidR="00A108BD">
          <w:rPr>
            <w:webHidden/>
          </w:rPr>
          <w:fldChar w:fldCharType="end"/>
        </w:r>
      </w:hyperlink>
    </w:p>
    <w:p w14:paraId="3C936145" w14:textId="2E092108" w:rsidR="00A108BD" w:rsidRDefault="00B6256F">
      <w:pPr>
        <w:pStyle w:val="TOC2"/>
        <w:rPr>
          <w:rFonts w:asciiTheme="minorHAnsi" w:eastAsiaTheme="minorEastAsia" w:hAnsiTheme="minorHAnsi" w:cstheme="minorBidi"/>
          <w:spacing w:val="0"/>
          <w:sz w:val="22"/>
          <w:szCs w:val="22"/>
        </w:rPr>
      </w:pPr>
      <w:hyperlink w:anchor="_Toc4664114" w:history="1">
        <w:r w:rsidR="00A108BD" w:rsidRPr="0026737F">
          <w:rPr>
            <w:rStyle w:val="Hyperlink"/>
          </w:rPr>
          <w:t>Sub-working group one—IMT/EESS coexistence work</w:t>
        </w:r>
        <w:r w:rsidR="00A108BD">
          <w:rPr>
            <w:webHidden/>
          </w:rPr>
          <w:tab/>
        </w:r>
        <w:r w:rsidR="00A108BD">
          <w:rPr>
            <w:webHidden/>
          </w:rPr>
          <w:fldChar w:fldCharType="begin"/>
        </w:r>
        <w:r w:rsidR="00A108BD">
          <w:rPr>
            <w:webHidden/>
          </w:rPr>
          <w:instrText xml:space="preserve"> PAGEREF _Toc4664114 \h </w:instrText>
        </w:r>
        <w:r w:rsidR="00A108BD">
          <w:rPr>
            <w:webHidden/>
          </w:rPr>
        </w:r>
        <w:r w:rsidR="00A108BD">
          <w:rPr>
            <w:webHidden/>
          </w:rPr>
          <w:fldChar w:fldCharType="separate"/>
        </w:r>
        <w:r w:rsidR="00A108BD">
          <w:rPr>
            <w:webHidden/>
          </w:rPr>
          <w:t>27</w:t>
        </w:r>
        <w:r w:rsidR="00A108BD">
          <w:rPr>
            <w:webHidden/>
          </w:rPr>
          <w:fldChar w:fldCharType="end"/>
        </w:r>
      </w:hyperlink>
    </w:p>
    <w:p w14:paraId="7D075E9E" w14:textId="03016ADF" w:rsidR="00A108BD" w:rsidRDefault="00B6256F">
      <w:pPr>
        <w:pStyle w:val="TOC3"/>
        <w:rPr>
          <w:rFonts w:asciiTheme="minorHAnsi" w:eastAsiaTheme="minorEastAsia" w:hAnsiTheme="minorHAnsi" w:cstheme="minorBidi"/>
        </w:rPr>
      </w:pPr>
      <w:hyperlink w:anchor="_Toc4664115" w:history="1">
        <w:r w:rsidR="00A108BD" w:rsidRPr="0026737F">
          <w:rPr>
            <w:rStyle w:val="Hyperlink"/>
          </w:rPr>
          <w:t>Characteristics of EESS missions</w:t>
        </w:r>
        <w:r w:rsidR="00A108BD">
          <w:rPr>
            <w:webHidden/>
          </w:rPr>
          <w:tab/>
        </w:r>
        <w:r w:rsidR="00A108BD">
          <w:rPr>
            <w:webHidden/>
          </w:rPr>
          <w:fldChar w:fldCharType="begin"/>
        </w:r>
        <w:r w:rsidR="00A108BD">
          <w:rPr>
            <w:webHidden/>
          </w:rPr>
          <w:instrText xml:space="preserve"> PAGEREF _Toc4664115 \h </w:instrText>
        </w:r>
        <w:r w:rsidR="00A108BD">
          <w:rPr>
            <w:webHidden/>
          </w:rPr>
        </w:r>
        <w:r w:rsidR="00A108BD">
          <w:rPr>
            <w:webHidden/>
          </w:rPr>
          <w:fldChar w:fldCharType="separate"/>
        </w:r>
        <w:r w:rsidR="00A108BD">
          <w:rPr>
            <w:webHidden/>
          </w:rPr>
          <w:t>27</w:t>
        </w:r>
        <w:r w:rsidR="00A108BD">
          <w:rPr>
            <w:webHidden/>
          </w:rPr>
          <w:fldChar w:fldCharType="end"/>
        </w:r>
      </w:hyperlink>
    </w:p>
    <w:p w14:paraId="1EC5C957" w14:textId="7C70C164" w:rsidR="00A108BD" w:rsidRDefault="00B6256F">
      <w:pPr>
        <w:pStyle w:val="TOC3"/>
        <w:rPr>
          <w:rFonts w:asciiTheme="minorHAnsi" w:eastAsiaTheme="minorEastAsia" w:hAnsiTheme="minorHAnsi" w:cstheme="minorBidi"/>
        </w:rPr>
      </w:pPr>
      <w:hyperlink w:anchor="_Toc4664116" w:history="1">
        <w:r w:rsidR="00A108BD" w:rsidRPr="0026737F">
          <w:rPr>
            <w:rStyle w:val="Hyperlink"/>
          </w:rPr>
          <w:t>IMT-2020 density</w:t>
        </w:r>
        <w:r w:rsidR="00A108BD">
          <w:rPr>
            <w:webHidden/>
          </w:rPr>
          <w:tab/>
        </w:r>
        <w:r w:rsidR="00A108BD">
          <w:rPr>
            <w:webHidden/>
          </w:rPr>
          <w:fldChar w:fldCharType="begin"/>
        </w:r>
        <w:r w:rsidR="00A108BD">
          <w:rPr>
            <w:webHidden/>
          </w:rPr>
          <w:instrText xml:space="preserve"> PAGEREF _Toc4664116 \h </w:instrText>
        </w:r>
        <w:r w:rsidR="00A108BD">
          <w:rPr>
            <w:webHidden/>
          </w:rPr>
        </w:r>
        <w:r w:rsidR="00A108BD">
          <w:rPr>
            <w:webHidden/>
          </w:rPr>
          <w:fldChar w:fldCharType="separate"/>
        </w:r>
        <w:r w:rsidR="00A108BD">
          <w:rPr>
            <w:webHidden/>
          </w:rPr>
          <w:t>28</w:t>
        </w:r>
        <w:r w:rsidR="00A108BD">
          <w:rPr>
            <w:webHidden/>
          </w:rPr>
          <w:fldChar w:fldCharType="end"/>
        </w:r>
      </w:hyperlink>
    </w:p>
    <w:p w14:paraId="24C9BE7D" w14:textId="597D30E0" w:rsidR="00A108BD" w:rsidRDefault="00B6256F">
      <w:pPr>
        <w:pStyle w:val="TOC3"/>
        <w:rPr>
          <w:rFonts w:asciiTheme="minorHAnsi" w:eastAsiaTheme="minorEastAsia" w:hAnsiTheme="minorHAnsi" w:cstheme="minorBidi"/>
        </w:rPr>
      </w:pPr>
      <w:hyperlink w:anchor="_Toc4664117" w:history="1">
        <w:r w:rsidR="00A108BD" w:rsidRPr="0026737F">
          <w:rPr>
            <w:rStyle w:val="Hyperlink"/>
          </w:rPr>
          <w:t>Apportionment of protection requirement</w:t>
        </w:r>
        <w:r w:rsidR="00A108BD">
          <w:rPr>
            <w:webHidden/>
          </w:rPr>
          <w:tab/>
        </w:r>
        <w:r w:rsidR="00A108BD">
          <w:rPr>
            <w:webHidden/>
          </w:rPr>
          <w:fldChar w:fldCharType="begin"/>
        </w:r>
        <w:r w:rsidR="00A108BD">
          <w:rPr>
            <w:webHidden/>
          </w:rPr>
          <w:instrText xml:space="preserve"> PAGEREF _Toc4664117 \h </w:instrText>
        </w:r>
        <w:r w:rsidR="00A108BD">
          <w:rPr>
            <w:webHidden/>
          </w:rPr>
        </w:r>
        <w:r w:rsidR="00A108BD">
          <w:rPr>
            <w:webHidden/>
          </w:rPr>
          <w:fldChar w:fldCharType="separate"/>
        </w:r>
        <w:r w:rsidR="00A108BD">
          <w:rPr>
            <w:webHidden/>
          </w:rPr>
          <w:t>28</w:t>
        </w:r>
        <w:r w:rsidR="00A108BD">
          <w:rPr>
            <w:webHidden/>
          </w:rPr>
          <w:fldChar w:fldCharType="end"/>
        </w:r>
      </w:hyperlink>
    </w:p>
    <w:p w14:paraId="6A9D7782" w14:textId="3CC77BCB" w:rsidR="00A108BD" w:rsidRDefault="00B6256F">
      <w:pPr>
        <w:pStyle w:val="TOC3"/>
        <w:rPr>
          <w:rFonts w:asciiTheme="minorHAnsi" w:eastAsiaTheme="minorEastAsia" w:hAnsiTheme="minorHAnsi" w:cstheme="minorBidi"/>
        </w:rPr>
      </w:pPr>
      <w:hyperlink w:anchor="_Toc4664118" w:history="1">
        <w:r w:rsidR="00A108BD" w:rsidRPr="0026737F">
          <w:rPr>
            <w:rStyle w:val="Hyperlink"/>
          </w:rPr>
          <w:t>IMT-2020 filtering</w:t>
        </w:r>
        <w:r w:rsidR="00A108BD">
          <w:rPr>
            <w:webHidden/>
          </w:rPr>
          <w:tab/>
        </w:r>
        <w:r w:rsidR="00A108BD">
          <w:rPr>
            <w:webHidden/>
          </w:rPr>
          <w:fldChar w:fldCharType="begin"/>
        </w:r>
        <w:r w:rsidR="00A108BD">
          <w:rPr>
            <w:webHidden/>
          </w:rPr>
          <w:instrText xml:space="preserve"> PAGEREF _Toc4664118 \h </w:instrText>
        </w:r>
        <w:r w:rsidR="00A108BD">
          <w:rPr>
            <w:webHidden/>
          </w:rPr>
        </w:r>
        <w:r w:rsidR="00A108BD">
          <w:rPr>
            <w:webHidden/>
          </w:rPr>
          <w:fldChar w:fldCharType="separate"/>
        </w:r>
        <w:r w:rsidR="00A108BD">
          <w:rPr>
            <w:webHidden/>
          </w:rPr>
          <w:t>29</w:t>
        </w:r>
        <w:r w:rsidR="00A108BD">
          <w:rPr>
            <w:webHidden/>
          </w:rPr>
          <w:fldChar w:fldCharType="end"/>
        </w:r>
      </w:hyperlink>
    </w:p>
    <w:p w14:paraId="35FE959C" w14:textId="547D7751" w:rsidR="00A108BD" w:rsidRDefault="00B6256F">
      <w:pPr>
        <w:pStyle w:val="TOC3"/>
        <w:rPr>
          <w:rFonts w:asciiTheme="minorHAnsi" w:eastAsiaTheme="minorEastAsia" w:hAnsiTheme="minorHAnsi" w:cstheme="minorBidi"/>
        </w:rPr>
      </w:pPr>
      <w:hyperlink w:anchor="_Toc4664119" w:history="1">
        <w:r w:rsidR="00A108BD" w:rsidRPr="0026737F">
          <w:rPr>
            <w:rStyle w:val="Hyperlink"/>
          </w:rPr>
          <w:t>Band licensing arrangements</w:t>
        </w:r>
        <w:r w:rsidR="00A108BD">
          <w:rPr>
            <w:webHidden/>
          </w:rPr>
          <w:tab/>
        </w:r>
        <w:r w:rsidR="00A108BD">
          <w:rPr>
            <w:webHidden/>
          </w:rPr>
          <w:fldChar w:fldCharType="begin"/>
        </w:r>
        <w:r w:rsidR="00A108BD">
          <w:rPr>
            <w:webHidden/>
          </w:rPr>
          <w:instrText xml:space="preserve"> PAGEREF _Toc4664119 \h </w:instrText>
        </w:r>
        <w:r w:rsidR="00A108BD">
          <w:rPr>
            <w:webHidden/>
          </w:rPr>
        </w:r>
        <w:r w:rsidR="00A108BD">
          <w:rPr>
            <w:webHidden/>
          </w:rPr>
          <w:fldChar w:fldCharType="separate"/>
        </w:r>
        <w:r w:rsidR="00A108BD">
          <w:rPr>
            <w:webHidden/>
          </w:rPr>
          <w:t>29</w:t>
        </w:r>
        <w:r w:rsidR="00A108BD">
          <w:rPr>
            <w:webHidden/>
          </w:rPr>
          <w:fldChar w:fldCharType="end"/>
        </w:r>
      </w:hyperlink>
    </w:p>
    <w:p w14:paraId="02BE6448" w14:textId="0FAD9B8E" w:rsidR="00A108BD" w:rsidRDefault="00B6256F">
      <w:pPr>
        <w:pStyle w:val="TOC2"/>
        <w:rPr>
          <w:rFonts w:asciiTheme="minorHAnsi" w:eastAsiaTheme="minorEastAsia" w:hAnsiTheme="minorHAnsi" w:cstheme="minorBidi"/>
          <w:spacing w:val="0"/>
          <w:sz w:val="22"/>
          <w:szCs w:val="22"/>
        </w:rPr>
      </w:pPr>
      <w:hyperlink w:anchor="_Toc4664120" w:history="1">
        <w:r w:rsidR="00A108BD" w:rsidRPr="0026737F">
          <w:rPr>
            <w:rStyle w:val="Hyperlink"/>
          </w:rPr>
          <w:t>Sub-working group two—IMT/FSS coexistence sensitivity analysis</w:t>
        </w:r>
        <w:r w:rsidR="00A108BD">
          <w:rPr>
            <w:webHidden/>
          </w:rPr>
          <w:tab/>
        </w:r>
        <w:r w:rsidR="00A108BD">
          <w:rPr>
            <w:webHidden/>
          </w:rPr>
          <w:fldChar w:fldCharType="begin"/>
        </w:r>
        <w:r w:rsidR="00A108BD">
          <w:rPr>
            <w:webHidden/>
          </w:rPr>
          <w:instrText xml:space="preserve"> PAGEREF _Toc4664120 \h </w:instrText>
        </w:r>
        <w:r w:rsidR="00A108BD">
          <w:rPr>
            <w:webHidden/>
          </w:rPr>
        </w:r>
        <w:r w:rsidR="00A108BD">
          <w:rPr>
            <w:webHidden/>
          </w:rPr>
          <w:fldChar w:fldCharType="separate"/>
        </w:r>
        <w:r w:rsidR="00A108BD">
          <w:rPr>
            <w:webHidden/>
          </w:rPr>
          <w:t>29</w:t>
        </w:r>
        <w:r w:rsidR="00A108BD">
          <w:rPr>
            <w:webHidden/>
          </w:rPr>
          <w:fldChar w:fldCharType="end"/>
        </w:r>
      </w:hyperlink>
    </w:p>
    <w:p w14:paraId="5D19D321" w14:textId="0B8EB476" w:rsidR="00A108BD" w:rsidRDefault="00B6256F">
      <w:pPr>
        <w:pStyle w:val="TOC3"/>
        <w:rPr>
          <w:rFonts w:asciiTheme="minorHAnsi" w:eastAsiaTheme="minorEastAsia" w:hAnsiTheme="minorHAnsi" w:cstheme="minorBidi"/>
        </w:rPr>
      </w:pPr>
      <w:hyperlink w:anchor="_Toc4664121" w:history="1">
        <w:r w:rsidR="00A108BD" w:rsidRPr="0026737F">
          <w:rPr>
            <w:rStyle w:val="Hyperlink"/>
          </w:rPr>
          <w:t>Overview</w:t>
        </w:r>
        <w:r w:rsidR="00A108BD">
          <w:rPr>
            <w:webHidden/>
          </w:rPr>
          <w:tab/>
        </w:r>
        <w:r w:rsidR="00A108BD">
          <w:rPr>
            <w:webHidden/>
          </w:rPr>
          <w:fldChar w:fldCharType="begin"/>
        </w:r>
        <w:r w:rsidR="00A108BD">
          <w:rPr>
            <w:webHidden/>
          </w:rPr>
          <w:instrText xml:space="preserve"> PAGEREF _Toc4664121 \h </w:instrText>
        </w:r>
        <w:r w:rsidR="00A108BD">
          <w:rPr>
            <w:webHidden/>
          </w:rPr>
        </w:r>
        <w:r w:rsidR="00A108BD">
          <w:rPr>
            <w:webHidden/>
          </w:rPr>
          <w:fldChar w:fldCharType="separate"/>
        </w:r>
        <w:r w:rsidR="00A108BD">
          <w:rPr>
            <w:webHidden/>
          </w:rPr>
          <w:t>29</w:t>
        </w:r>
        <w:r w:rsidR="00A108BD">
          <w:rPr>
            <w:webHidden/>
          </w:rPr>
          <w:fldChar w:fldCharType="end"/>
        </w:r>
      </w:hyperlink>
    </w:p>
    <w:p w14:paraId="42C582F0" w14:textId="1BDC0EAE" w:rsidR="00A108BD" w:rsidRDefault="00B6256F">
      <w:pPr>
        <w:pStyle w:val="TOC3"/>
        <w:rPr>
          <w:rFonts w:asciiTheme="minorHAnsi" w:eastAsiaTheme="minorEastAsia" w:hAnsiTheme="minorHAnsi" w:cstheme="minorBidi"/>
        </w:rPr>
      </w:pPr>
      <w:hyperlink w:anchor="_Toc4664122" w:history="1">
        <w:r w:rsidR="00A108BD" w:rsidRPr="0026737F">
          <w:rPr>
            <w:rStyle w:val="Hyperlink"/>
          </w:rPr>
          <w:t>NBN Co input</w:t>
        </w:r>
        <w:r w:rsidR="00A108BD">
          <w:rPr>
            <w:webHidden/>
          </w:rPr>
          <w:tab/>
        </w:r>
        <w:r w:rsidR="00A108BD">
          <w:rPr>
            <w:webHidden/>
          </w:rPr>
          <w:fldChar w:fldCharType="begin"/>
        </w:r>
        <w:r w:rsidR="00A108BD">
          <w:rPr>
            <w:webHidden/>
          </w:rPr>
          <w:instrText xml:space="preserve"> PAGEREF _Toc4664122 \h </w:instrText>
        </w:r>
        <w:r w:rsidR="00A108BD">
          <w:rPr>
            <w:webHidden/>
          </w:rPr>
        </w:r>
        <w:r w:rsidR="00A108BD">
          <w:rPr>
            <w:webHidden/>
          </w:rPr>
          <w:fldChar w:fldCharType="separate"/>
        </w:r>
        <w:r w:rsidR="00A108BD">
          <w:rPr>
            <w:webHidden/>
          </w:rPr>
          <w:t>30</w:t>
        </w:r>
        <w:r w:rsidR="00A108BD">
          <w:rPr>
            <w:webHidden/>
          </w:rPr>
          <w:fldChar w:fldCharType="end"/>
        </w:r>
      </w:hyperlink>
    </w:p>
    <w:p w14:paraId="2E3D1BE3" w14:textId="414C43E3" w:rsidR="00A108BD" w:rsidRDefault="00B6256F">
      <w:pPr>
        <w:pStyle w:val="TOC3"/>
        <w:rPr>
          <w:rFonts w:asciiTheme="minorHAnsi" w:eastAsiaTheme="minorEastAsia" w:hAnsiTheme="minorHAnsi" w:cstheme="minorBidi"/>
        </w:rPr>
      </w:pPr>
      <w:hyperlink w:anchor="_Toc4664123" w:history="1">
        <w:r w:rsidR="00A108BD" w:rsidRPr="0026737F">
          <w:rPr>
            <w:rStyle w:val="Hyperlink"/>
          </w:rPr>
          <w:t>Summary of responses</w:t>
        </w:r>
        <w:r w:rsidR="00A108BD">
          <w:rPr>
            <w:webHidden/>
          </w:rPr>
          <w:tab/>
        </w:r>
        <w:r w:rsidR="00A108BD">
          <w:rPr>
            <w:webHidden/>
          </w:rPr>
          <w:fldChar w:fldCharType="begin"/>
        </w:r>
        <w:r w:rsidR="00A108BD">
          <w:rPr>
            <w:webHidden/>
          </w:rPr>
          <w:instrText xml:space="preserve"> PAGEREF _Toc4664123 \h </w:instrText>
        </w:r>
        <w:r w:rsidR="00A108BD">
          <w:rPr>
            <w:webHidden/>
          </w:rPr>
        </w:r>
        <w:r w:rsidR="00A108BD">
          <w:rPr>
            <w:webHidden/>
          </w:rPr>
          <w:fldChar w:fldCharType="separate"/>
        </w:r>
        <w:r w:rsidR="00A108BD">
          <w:rPr>
            <w:webHidden/>
          </w:rPr>
          <w:t>30</w:t>
        </w:r>
        <w:r w:rsidR="00A108BD">
          <w:rPr>
            <w:webHidden/>
          </w:rPr>
          <w:fldChar w:fldCharType="end"/>
        </w:r>
      </w:hyperlink>
    </w:p>
    <w:p w14:paraId="7963A01D" w14:textId="174DE7E3" w:rsidR="00A108BD" w:rsidRDefault="00B6256F">
      <w:pPr>
        <w:pStyle w:val="TOC2"/>
        <w:rPr>
          <w:rFonts w:asciiTheme="minorHAnsi" w:eastAsiaTheme="minorEastAsia" w:hAnsiTheme="minorHAnsi" w:cstheme="minorBidi"/>
          <w:spacing w:val="0"/>
          <w:sz w:val="22"/>
          <w:szCs w:val="22"/>
        </w:rPr>
      </w:pPr>
      <w:hyperlink w:anchor="_Toc4664124" w:history="1">
        <w:r w:rsidR="00A108BD" w:rsidRPr="0026737F">
          <w:rPr>
            <w:rStyle w:val="Hyperlink"/>
          </w:rPr>
          <w:t>Potential licence conditions for IMT/FSS coexistence</w:t>
        </w:r>
        <w:r w:rsidR="00A108BD">
          <w:rPr>
            <w:webHidden/>
          </w:rPr>
          <w:tab/>
        </w:r>
        <w:r w:rsidR="00A108BD">
          <w:rPr>
            <w:webHidden/>
          </w:rPr>
          <w:fldChar w:fldCharType="begin"/>
        </w:r>
        <w:r w:rsidR="00A108BD">
          <w:rPr>
            <w:webHidden/>
          </w:rPr>
          <w:instrText xml:space="preserve"> PAGEREF _Toc4664124 \h </w:instrText>
        </w:r>
        <w:r w:rsidR="00A108BD">
          <w:rPr>
            <w:webHidden/>
          </w:rPr>
        </w:r>
        <w:r w:rsidR="00A108BD">
          <w:rPr>
            <w:webHidden/>
          </w:rPr>
          <w:fldChar w:fldCharType="separate"/>
        </w:r>
        <w:r w:rsidR="00A108BD">
          <w:rPr>
            <w:webHidden/>
          </w:rPr>
          <w:t>31</w:t>
        </w:r>
        <w:r w:rsidR="00A108BD">
          <w:rPr>
            <w:webHidden/>
          </w:rPr>
          <w:fldChar w:fldCharType="end"/>
        </w:r>
      </w:hyperlink>
    </w:p>
    <w:p w14:paraId="7E0271C4" w14:textId="387A0ED5" w:rsidR="00A108BD" w:rsidRDefault="00B6256F">
      <w:pPr>
        <w:pStyle w:val="TOC1"/>
        <w:rPr>
          <w:rFonts w:asciiTheme="minorHAnsi" w:eastAsiaTheme="minorEastAsia" w:hAnsiTheme="minorHAnsi" w:cstheme="minorBidi"/>
          <w:b w:val="0"/>
          <w:spacing w:val="0"/>
          <w:sz w:val="22"/>
          <w:szCs w:val="22"/>
        </w:rPr>
      </w:pPr>
      <w:hyperlink w:anchor="_Toc4664125" w:history="1">
        <w:r w:rsidR="00A108BD" w:rsidRPr="0026737F">
          <w:rPr>
            <w:rStyle w:val="Hyperlink"/>
          </w:rPr>
          <w:t>Annex C—Coexistence of wireless broadband with NBN satellite services</w:t>
        </w:r>
        <w:r w:rsidR="00A108BD">
          <w:rPr>
            <w:webHidden/>
          </w:rPr>
          <w:tab/>
        </w:r>
        <w:r w:rsidR="00A108BD">
          <w:rPr>
            <w:webHidden/>
          </w:rPr>
          <w:fldChar w:fldCharType="begin"/>
        </w:r>
        <w:r w:rsidR="00A108BD">
          <w:rPr>
            <w:webHidden/>
          </w:rPr>
          <w:instrText xml:space="preserve"> PAGEREF _Toc4664125 \h </w:instrText>
        </w:r>
        <w:r w:rsidR="00A108BD">
          <w:rPr>
            <w:webHidden/>
          </w:rPr>
        </w:r>
        <w:r w:rsidR="00A108BD">
          <w:rPr>
            <w:webHidden/>
          </w:rPr>
          <w:fldChar w:fldCharType="separate"/>
        </w:r>
        <w:r w:rsidR="00A108BD">
          <w:rPr>
            <w:webHidden/>
          </w:rPr>
          <w:t>32</w:t>
        </w:r>
        <w:r w:rsidR="00A108BD">
          <w:rPr>
            <w:webHidden/>
          </w:rPr>
          <w:fldChar w:fldCharType="end"/>
        </w:r>
      </w:hyperlink>
    </w:p>
    <w:p w14:paraId="3ED36882" w14:textId="0EB7FDDD" w:rsidR="00A108BD" w:rsidRDefault="00B6256F">
      <w:pPr>
        <w:pStyle w:val="TOC1"/>
        <w:rPr>
          <w:rFonts w:asciiTheme="minorHAnsi" w:eastAsiaTheme="minorEastAsia" w:hAnsiTheme="minorHAnsi" w:cstheme="minorBidi"/>
          <w:b w:val="0"/>
          <w:spacing w:val="0"/>
          <w:sz w:val="22"/>
          <w:szCs w:val="22"/>
        </w:rPr>
      </w:pPr>
      <w:hyperlink w:anchor="_Toc4664126" w:history="1">
        <w:r w:rsidR="00A108BD" w:rsidRPr="0026737F">
          <w:rPr>
            <w:rStyle w:val="Hyperlink"/>
          </w:rPr>
          <w:t>Annex D—Description of defined areas</w:t>
        </w:r>
        <w:r w:rsidR="00A108BD">
          <w:rPr>
            <w:webHidden/>
          </w:rPr>
          <w:tab/>
        </w:r>
        <w:r w:rsidR="00A108BD">
          <w:rPr>
            <w:webHidden/>
          </w:rPr>
          <w:fldChar w:fldCharType="begin"/>
        </w:r>
        <w:r w:rsidR="00A108BD">
          <w:rPr>
            <w:webHidden/>
          </w:rPr>
          <w:instrText xml:space="preserve"> PAGEREF _Toc4664126 \h </w:instrText>
        </w:r>
        <w:r w:rsidR="00A108BD">
          <w:rPr>
            <w:webHidden/>
          </w:rPr>
        </w:r>
        <w:r w:rsidR="00A108BD">
          <w:rPr>
            <w:webHidden/>
          </w:rPr>
          <w:fldChar w:fldCharType="separate"/>
        </w:r>
        <w:r w:rsidR="00A108BD">
          <w:rPr>
            <w:webHidden/>
          </w:rPr>
          <w:t>34</w:t>
        </w:r>
        <w:r w:rsidR="00A108BD">
          <w:rPr>
            <w:webHidden/>
          </w:rPr>
          <w:fldChar w:fldCharType="end"/>
        </w:r>
      </w:hyperlink>
    </w:p>
    <w:p w14:paraId="4F5D2A41" w14:textId="6D6B0924" w:rsidR="00A108BD" w:rsidRDefault="00B6256F">
      <w:pPr>
        <w:pStyle w:val="TOC1"/>
        <w:rPr>
          <w:rFonts w:asciiTheme="minorHAnsi" w:eastAsiaTheme="minorEastAsia" w:hAnsiTheme="minorHAnsi" w:cstheme="minorBidi"/>
          <w:b w:val="0"/>
          <w:spacing w:val="0"/>
          <w:sz w:val="22"/>
          <w:szCs w:val="22"/>
        </w:rPr>
      </w:pPr>
      <w:hyperlink w:anchor="_Toc4664127" w:history="1">
        <w:r w:rsidR="00A108BD" w:rsidRPr="0026737F">
          <w:rPr>
            <w:rStyle w:val="Hyperlink"/>
          </w:rPr>
          <w:t>Annex E—Protection of receiving earth stations operating in the SRS in the frequency range 25.5–27 GHz</w:t>
        </w:r>
        <w:r w:rsidR="00A108BD">
          <w:rPr>
            <w:webHidden/>
          </w:rPr>
          <w:tab/>
        </w:r>
        <w:r w:rsidR="00A108BD">
          <w:rPr>
            <w:webHidden/>
          </w:rPr>
          <w:fldChar w:fldCharType="begin"/>
        </w:r>
        <w:r w:rsidR="00A108BD">
          <w:rPr>
            <w:webHidden/>
          </w:rPr>
          <w:instrText xml:space="preserve"> PAGEREF _Toc4664127 \h </w:instrText>
        </w:r>
        <w:r w:rsidR="00A108BD">
          <w:rPr>
            <w:webHidden/>
          </w:rPr>
        </w:r>
        <w:r w:rsidR="00A108BD">
          <w:rPr>
            <w:webHidden/>
          </w:rPr>
          <w:fldChar w:fldCharType="separate"/>
        </w:r>
        <w:r w:rsidR="00A108BD">
          <w:rPr>
            <w:webHidden/>
          </w:rPr>
          <w:t>38</w:t>
        </w:r>
        <w:r w:rsidR="00A108BD">
          <w:rPr>
            <w:webHidden/>
          </w:rPr>
          <w:fldChar w:fldCharType="end"/>
        </w:r>
      </w:hyperlink>
    </w:p>
    <w:p w14:paraId="442AD016" w14:textId="3B042479" w:rsidR="00A108BD" w:rsidRDefault="00B6256F">
      <w:pPr>
        <w:pStyle w:val="TOC2"/>
        <w:rPr>
          <w:rFonts w:asciiTheme="minorHAnsi" w:eastAsiaTheme="minorEastAsia" w:hAnsiTheme="minorHAnsi" w:cstheme="minorBidi"/>
          <w:spacing w:val="0"/>
          <w:sz w:val="22"/>
          <w:szCs w:val="22"/>
        </w:rPr>
      </w:pPr>
      <w:hyperlink w:anchor="_Toc4664128" w:history="1">
        <w:r w:rsidR="00A108BD" w:rsidRPr="0026737F">
          <w:rPr>
            <w:rStyle w:val="Hyperlink"/>
          </w:rPr>
          <w:t>Coordination requirements</w:t>
        </w:r>
        <w:r w:rsidR="00A108BD">
          <w:rPr>
            <w:webHidden/>
          </w:rPr>
          <w:tab/>
        </w:r>
        <w:r w:rsidR="00A108BD">
          <w:rPr>
            <w:webHidden/>
          </w:rPr>
          <w:fldChar w:fldCharType="begin"/>
        </w:r>
        <w:r w:rsidR="00A108BD">
          <w:rPr>
            <w:webHidden/>
          </w:rPr>
          <w:instrText xml:space="preserve"> PAGEREF _Toc4664128 \h </w:instrText>
        </w:r>
        <w:r w:rsidR="00A108BD">
          <w:rPr>
            <w:webHidden/>
          </w:rPr>
        </w:r>
        <w:r w:rsidR="00A108BD">
          <w:rPr>
            <w:webHidden/>
          </w:rPr>
          <w:fldChar w:fldCharType="separate"/>
        </w:r>
        <w:r w:rsidR="00A108BD">
          <w:rPr>
            <w:webHidden/>
          </w:rPr>
          <w:t>38</w:t>
        </w:r>
        <w:r w:rsidR="00A108BD">
          <w:rPr>
            <w:webHidden/>
          </w:rPr>
          <w:fldChar w:fldCharType="end"/>
        </w:r>
      </w:hyperlink>
    </w:p>
    <w:p w14:paraId="397DB8FB" w14:textId="646384D2" w:rsidR="00A108BD" w:rsidRDefault="00B6256F">
      <w:pPr>
        <w:pStyle w:val="TOC2"/>
        <w:rPr>
          <w:rFonts w:asciiTheme="minorHAnsi" w:eastAsiaTheme="minorEastAsia" w:hAnsiTheme="minorHAnsi" w:cstheme="minorBidi"/>
          <w:spacing w:val="0"/>
          <w:sz w:val="22"/>
          <w:szCs w:val="22"/>
        </w:rPr>
      </w:pPr>
      <w:hyperlink w:anchor="_Toc4664129" w:history="1">
        <w:r w:rsidR="00A108BD" w:rsidRPr="0026737F">
          <w:rPr>
            <w:rStyle w:val="Hyperlink"/>
          </w:rPr>
          <w:t>Geographic exclusion zones</w:t>
        </w:r>
        <w:r w:rsidR="00A108BD">
          <w:rPr>
            <w:webHidden/>
          </w:rPr>
          <w:tab/>
        </w:r>
        <w:r w:rsidR="00A108BD">
          <w:rPr>
            <w:webHidden/>
          </w:rPr>
          <w:fldChar w:fldCharType="begin"/>
        </w:r>
        <w:r w:rsidR="00A108BD">
          <w:rPr>
            <w:webHidden/>
          </w:rPr>
          <w:instrText xml:space="preserve"> PAGEREF _Toc4664129 \h </w:instrText>
        </w:r>
        <w:r w:rsidR="00A108BD">
          <w:rPr>
            <w:webHidden/>
          </w:rPr>
        </w:r>
        <w:r w:rsidR="00A108BD">
          <w:rPr>
            <w:webHidden/>
          </w:rPr>
          <w:fldChar w:fldCharType="separate"/>
        </w:r>
        <w:r w:rsidR="00A108BD">
          <w:rPr>
            <w:webHidden/>
          </w:rPr>
          <w:t>38</w:t>
        </w:r>
        <w:r w:rsidR="00A108BD">
          <w:rPr>
            <w:webHidden/>
          </w:rPr>
          <w:fldChar w:fldCharType="end"/>
        </w:r>
      </w:hyperlink>
    </w:p>
    <w:p w14:paraId="272E389F" w14:textId="78F67DA5" w:rsidR="00A108BD" w:rsidRDefault="00B6256F">
      <w:pPr>
        <w:pStyle w:val="TOC1"/>
        <w:rPr>
          <w:rFonts w:asciiTheme="minorHAnsi" w:eastAsiaTheme="minorEastAsia" w:hAnsiTheme="minorHAnsi" w:cstheme="minorBidi"/>
          <w:b w:val="0"/>
          <w:spacing w:val="0"/>
          <w:sz w:val="22"/>
          <w:szCs w:val="22"/>
        </w:rPr>
      </w:pPr>
      <w:hyperlink w:anchor="_Toc4664130" w:history="1">
        <w:r w:rsidR="00A108BD" w:rsidRPr="0026737F">
          <w:rPr>
            <w:rStyle w:val="Hyperlink"/>
          </w:rPr>
          <w:t>Annex F—Areas subject to additional conditions</w:t>
        </w:r>
        <w:r w:rsidR="00A108BD">
          <w:rPr>
            <w:webHidden/>
          </w:rPr>
          <w:tab/>
        </w:r>
        <w:r w:rsidR="00A108BD">
          <w:rPr>
            <w:webHidden/>
          </w:rPr>
          <w:fldChar w:fldCharType="begin"/>
        </w:r>
        <w:r w:rsidR="00A108BD">
          <w:rPr>
            <w:webHidden/>
          </w:rPr>
          <w:instrText xml:space="preserve"> PAGEREF _Toc4664130 \h </w:instrText>
        </w:r>
        <w:r w:rsidR="00A108BD">
          <w:rPr>
            <w:webHidden/>
          </w:rPr>
        </w:r>
        <w:r w:rsidR="00A108BD">
          <w:rPr>
            <w:webHidden/>
          </w:rPr>
          <w:fldChar w:fldCharType="separate"/>
        </w:r>
        <w:r w:rsidR="00A108BD">
          <w:rPr>
            <w:webHidden/>
          </w:rPr>
          <w:t>41</w:t>
        </w:r>
        <w:r w:rsidR="00A108BD">
          <w:rPr>
            <w:webHidden/>
          </w:rPr>
          <w:fldChar w:fldCharType="end"/>
        </w:r>
      </w:hyperlink>
    </w:p>
    <w:p w14:paraId="4E0622FA" w14:textId="67C6C6B3" w:rsidR="006B3C7C" w:rsidRPr="006B3C7C" w:rsidRDefault="00457920" w:rsidP="008700E2">
      <w:pPr>
        <w:spacing w:before="120" w:after="120" w:line="240" w:lineRule="auto"/>
        <w:rPr>
          <w:rFonts w:cs="Arial"/>
        </w:rPr>
        <w:sectPr w:rsidR="006B3C7C" w:rsidRPr="006B3C7C" w:rsidSect="00C77380">
          <w:headerReference w:type="even" r:id="rId19"/>
          <w:headerReference w:type="default" r:id="rId20"/>
          <w:footerReference w:type="even" r:id="rId21"/>
          <w:footerReference w:type="default" r:id="rId22"/>
          <w:footerReference w:type="first" r:id="rId23"/>
          <w:pgSz w:w="11906" w:h="16838" w:code="9"/>
          <w:pgMar w:top="3646" w:right="3101" w:bottom="1134" w:left="1134" w:header="709" w:footer="119" w:gutter="0"/>
          <w:cols w:space="708"/>
          <w:titlePg/>
          <w:docGrid w:linePitch="360"/>
        </w:sectPr>
      </w:pPr>
      <w:r>
        <w:rPr>
          <w:rFonts w:cs="Arial"/>
        </w:rPr>
        <w:fldChar w:fldCharType="end"/>
      </w:r>
      <w:r w:rsidR="006B3C7C">
        <w:rPr>
          <w:rFonts w:cs="Arial"/>
        </w:rPr>
        <w:tab/>
      </w:r>
    </w:p>
    <w:p w14:paraId="5C78A650" w14:textId="77777777" w:rsidR="00984E8B" w:rsidRPr="00E860AF" w:rsidRDefault="00984E8B" w:rsidP="00802CA7">
      <w:pPr>
        <w:pStyle w:val="ACMAExecSummaryHeading"/>
      </w:pPr>
      <w:bookmarkStart w:id="1" w:name="_Toc441074797"/>
      <w:bookmarkStart w:id="2" w:name="_Toc494375831"/>
      <w:bookmarkStart w:id="3" w:name="_Toc494378904"/>
      <w:bookmarkStart w:id="4" w:name="_Toc495935471"/>
      <w:bookmarkStart w:id="5" w:name="_Toc495935501"/>
      <w:bookmarkStart w:id="6" w:name="_Toc4664077"/>
      <w:bookmarkStart w:id="7" w:name="_Toc441074798"/>
      <w:bookmarkEnd w:id="1"/>
      <w:r w:rsidRPr="00E860AF">
        <w:lastRenderedPageBreak/>
        <w:t xml:space="preserve">Executive </w:t>
      </w:r>
      <w:r w:rsidR="00FF6EE1" w:rsidRPr="00802CA7">
        <w:t>s</w:t>
      </w:r>
      <w:r w:rsidRPr="00802CA7">
        <w:t>ummary</w:t>
      </w:r>
      <w:bookmarkEnd w:id="2"/>
      <w:bookmarkEnd w:id="3"/>
      <w:bookmarkEnd w:id="4"/>
      <w:bookmarkEnd w:id="5"/>
      <w:bookmarkEnd w:id="6"/>
    </w:p>
    <w:p w14:paraId="31AE2C73" w14:textId="4F67D1CB" w:rsidR="00F53EC4" w:rsidRDefault="00F53EC4" w:rsidP="00DA511D">
      <w:pPr>
        <w:spacing w:before="120" w:after="120" w:line="240" w:lineRule="auto"/>
      </w:pPr>
      <w:bookmarkStart w:id="8" w:name="_Toc442879666"/>
      <w:bookmarkEnd w:id="8"/>
      <w:r>
        <w:t>The 26 GHz band, being 24.25</w:t>
      </w:r>
      <w:r w:rsidR="00B34C34">
        <w:t>–</w:t>
      </w:r>
      <w:r>
        <w:t>27.5 GHz, is</w:t>
      </w:r>
      <w:r w:rsidR="005724FD">
        <w:t xml:space="preserve"> one of the bands</w:t>
      </w:r>
      <w:r w:rsidR="00866008">
        <w:t xml:space="preserve"> </w:t>
      </w:r>
      <w:r>
        <w:t>at the forefront of the delivery of millimetre wave (</w:t>
      </w:r>
      <w:proofErr w:type="spellStart"/>
      <w:r>
        <w:t>mm</w:t>
      </w:r>
      <w:r w:rsidR="004A3D59">
        <w:t>W</w:t>
      </w:r>
      <w:r>
        <w:t>ave</w:t>
      </w:r>
      <w:proofErr w:type="spellEnd"/>
      <w:r w:rsidR="00676F1C">
        <w:rPr>
          <w:rStyle w:val="FootnoteReference"/>
        </w:rPr>
        <w:footnoteReference w:id="2"/>
      </w:r>
      <w:r>
        <w:t xml:space="preserve">) </w:t>
      </w:r>
      <w:r w:rsidR="00B34C34">
        <w:t xml:space="preserve">fifth </w:t>
      </w:r>
      <w:r>
        <w:t xml:space="preserve">generation (5G) wireless broadband services globally. </w:t>
      </w:r>
      <w:r w:rsidR="00445002">
        <w:t>Completing the replanning of the 26 GHz band is</w:t>
      </w:r>
      <w:r w:rsidR="008719E6">
        <w:t xml:space="preserve"> a significant</w:t>
      </w:r>
      <w:r w:rsidR="00445002">
        <w:t xml:space="preserve"> priority for the A</w:t>
      </w:r>
      <w:r w:rsidR="006A5F12">
        <w:t>ustralian Communications and Media Authority (A</w:t>
      </w:r>
      <w:r w:rsidR="00445002">
        <w:t>CMA</w:t>
      </w:r>
      <w:r w:rsidR="006A5F12">
        <w:t>)</w:t>
      </w:r>
      <w:r w:rsidR="00445002">
        <w:t xml:space="preserve"> and important in providing certainty to stakeholders interested in this band</w:t>
      </w:r>
      <w:r w:rsidR="0054564B">
        <w:t>.</w:t>
      </w:r>
    </w:p>
    <w:p w14:paraId="012CCF0C" w14:textId="271036E8" w:rsidR="00FF4BFB" w:rsidRDefault="000A5D74" w:rsidP="00445002">
      <w:pPr>
        <w:spacing w:before="120" w:after="120" w:line="240" w:lineRule="auto"/>
      </w:pPr>
      <w:r>
        <w:t>This paper</w:t>
      </w:r>
      <w:r w:rsidR="006F476C">
        <w:t xml:space="preserve"> follows on from the</w:t>
      </w:r>
      <w:r w:rsidR="006F476C">
        <w:rPr>
          <w:szCs w:val="21"/>
        </w:rPr>
        <w:t xml:space="preserve"> </w:t>
      </w:r>
      <w:hyperlink r:id="rId24" w:history="1">
        <w:r w:rsidR="00B34C34">
          <w:rPr>
            <w:rStyle w:val="Hyperlink"/>
            <w:szCs w:val="21"/>
          </w:rPr>
          <w:t>o</w:t>
        </w:r>
        <w:r w:rsidR="006F476C">
          <w:rPr>
            <w:rStyle w:val="Hyperlink"/>
            <w:szCs w:val="21"/>
          </w:rPr>
          <w:t>ptions paper</w:t>
        </w:r>
      </w:hyperlink>
      <w:r w:rsidR="006F476C">
        <w:rPr>
          <w:szCs w:val="20"/>
        </w:rPr>
        <w:t xml:space="preserve"> released in September 2018 and</w:t>
      </w:r>
      <w:r w:rsidR="006F476C">
        <w:t xml:space="preserve"> </w:t>
      </w:r>
      <w:r>
        <w:t>concludes the ACMA</w:t>
      </w:r>
      <w:r w:rsidR="006A5F12">
        <w:t>’s</w:t>
      </w:r>
      <w:r>
        <w:t xml:space="preserve"> </w:t>
      </w:r>
      <w:r w:rsidR="00F13BC7">
        <w:t xml:space="preserve">review </w:t>
      </w:r>
      <w:r>
        <w:t xml:space="preserve">of planning arrangements for the </w:t>
      </w:r>
      <w:r w:rsidR="00725A3B">
        <w:t>26</w:t>
      </w:r>
      <w:r w:rsidR="005C2699">
        <w:t> </w:t>
      </w:r>
      <w:r w:rsidR="00725A3B">
        <w:t xml:space="preserve">GHz </w:t>
      </w:r>
      <w:r>
        <w:t>band</w:t>
      </w:r>
      <w:r w:rsidR="00445002">
        <w:t>.</w:t>
      </w:r>
      <w:r w:rsidR="002947A5">
        <w:t xml:space="preserve"> </w:t>
      </w:r>
      <w:r w:rsidR="00DF29F3">
        <w:t xml:space="preserve">It is the culmination of a lengthy period of consultation, technical studies and engagement </w:t>
      </w:r>
      <w:r w:rsidR="00BC5023">
        <w:t>domestically and internationally</w:t>
      </w:r>
      <w:r w:rsidR="00DF29F3">
        <w:t xml:space="preserve"> on how best to facilitate the deployment of </w:t>
      </w:r>
      <w:r w:rsidR="00F53EC4">
        <w:t>5G</w:t>
      </w:r>
      <w:r w:rsidR="00DF29F3">
        <w:t xml:space="preserve"> wireless broadband services in the band</w:t>
      </w:r>
      <w:r w:rsidR="00F53EC4">
        <w:t xml:space="preserve">. </w:t>
      </w:r>
    </w:p>
    <w:p w14:paraId="5272558D" w14:textId="032CED2F" w:rsidR="0054564B" w:rsidRDefault="00F53EC4" w:rsidP="00B34C34">
      <w:pPr>
        <w:spacing w:after="120"/>
      </w:pPr>
      <w:r>
        <w:t>The</w:t>
      </w:r>
      <w:r w:rsidR="00EE4077">
        <w:t xml:space="preserve"> outcomes </w:t>
      </w:r>
      <w:r w:rsidR="0070166B">
        <w:t xml:space="preserve">of those considerations are </w:t>
      </w:r>
      <w:r w:rsidR="00EE4077">
        <w:t>detailed in this paper</w:t>
      </w:r>
      <w:r w:rsidR="0070166B">
        <w:t>. They include</w:t>
      </w:r>
      <w:r w:rsidR="00CB00A6">
        <w:t>:</w:t>
      </w:r>
    </w:p>
    <w:p w14:paraId="6004A640" w14:textId="6FCA38FD" w:rsidR="004A6299" w:rsidRDefault="003A698C" w:rsidP="004C1D45">
      <w:pPr>
        <w:pStyle w:val="ListBullet"/>
      </w:pPr>
      <w:r>
        <w:t>T</w:t>
      </w:r>
      <w:r w:rsidR="004A6299">
        <w:t xml:space="preserve">he </w:t>
      </w:r>
      <w:r w:rsidR="008B1C2D">
        <w:t xml:space="preserve">proposed </w:t>
      </w:r>
      <w:r w:rsidR="004A6299">
        <w:t>introduction of wireless broadband services in the band</w:t>
      </w:r>
      <w:r w:rsidR="00DE400E">
        <w:t>,</w:t>
      </w:r>
      <w:r w:rsidR="004A6299">
        <w:t xml:space="preserve"> along with proposed coexistence conditions</w:t>
      </w:r>
      <w:r w:rsidR="00B8380F">
        <w:t xml:space="preserve"> necessary to ensure</w:t>
      </w:r>
      <w:r w:rsidR="00DE400E">
        <w:t xml:space="preserve"> </w:t>
      </w:r>
      <w:r w:rsidR="004A6299">
        <w:t>the ongoing</w:t>
      </w:r>
      <w:r w:rsidR="00B8380F">
        <w:t>, protected</w:t>
      </w:r>
      <w:r w:rsidR="004A6299">
        <w:t xml:space="preserve"> use of the band by various incumbent </w:t>
      </w:r>
      <w:r w:rsidR="00000A15">
        <w:t>fixed</w:t>
      </w:r>
      <w:r>
        <w:t>-</w:t>
      </w:r>
      <w:r w:rsidR="00000A15">
        <w:t>satellite</w:t>
      </w:r>
      <w:r w:rsidR="007A2538">
        <w:t>, space</w:t>
      </w:r>
      <w:r>
        <w:t>-</w:t>
      </w:r>
      <w:r w:rsidR="007A2538">
        <w:t xml:space="preserve">research </w:t>
      </w:r>
      <w:r w:rsidR="004A6299">
        <w:t>and passive</w:t>
      </w:r>
      <w:r>
        <w:t>-</w:t>
      </w:r>
      <w:r w:rsidR="004A6299">
        <w:t xml:space="preserve">earth exploration </w:t>
      </w:r>
      <w:r w:rsidR="00000A15">
        <w:t xml:space="preserve">satellite </w:t>
      </w:r>
      <w:r w:rsidR="004A6299">
        <w:t>services.</w:t>
      </w:r>
    </w:p>
    <w:p w14:paraId="521B26A2" w14:textId="0E296568" w:rsidR="0054564B" w:rsidRDefault="003A698C" w:rsidP="004C1D45">
      <w:pPr>
        <w:pStyle w:val="ListBulletLast"/>
      </w:pPr>
      <w:r>
        <w:t>T</w:t>
      </w:r>
      <w:r w:rsidR="00F53EC4">
        <w:t xml:space="preserve">he identification of a suite of </w:t>
      </w:r>
      <w:r w:rsidR="008B1C2D">
        <w:t xml:space="preserve">possible </w:t>
      </w:r>
      <w:r w:rsidR="00EE4077" w:rsidRPr="0054564B">
        <w:t>spectrum</w:t>
      </w:r>
      <w:r w:rsidR="00EE4077">
        <w:t>,</w:t>
      </w:r>
      <w:r w:rsidR="00F53EC4">
        <w:t xml:space="preserve"> apparatus and class licensing measures to facilitate a broad range of wireless broadband use cases</w:t>
      </w:r>
      <w:r w:rsidR="00000A15">
        <w:t>.</w:t>
      </w:r>
    </w:p>
    <w:p w14:paraId="07A08541" w14:textId="57AE835E" w:rsidR="00EE4077" w:rsidRDefault="00D0773C" w:rsidP="00000A15">
      <w:pPr>
        <w:pStyle w:val="ListBulletLast"/>
        <w:numPr>
          <w:ilvl w:val="0"/>
          <w:numId w:val="0"/>
        </w:numPr>
      </w:pPr>
      <w:r>
        <w:t xml:space="preserve">The ACMA </w:t>
      </w:r>
      <w:r w:rsidR="00F13BC7">
        <w:t xml:space="preserve">has formed the view </w:t>
      </w:r>
      <w:r>
        <w:t>that this combination of measures</w:t>
      </w:r>
      <w:r w:rsidR="00EE4077">
        <w:t xml:space="preserve"> </w:t>
      </w:r>
      <w:r>
        <w:t xml:space="preserve">will best </w:t>
      </w:r>
      <w:r w:rsidR="00090692">
        <w:t xml:space="preserve">maximise </w:t>
      </w:r>
      <w:r w:rsidR="00EE4077">
        <w:t>the overall public benefit</w:t>
      </w:r>
      <w:r w:rsidR="006C18EF">
        <w:t xml:space="preserve"> derived</w:t>
      </w:r>
      <w:r w:rsidR="00EE4077">
        <w:t xml:space="preserve"> from use of the band.</w:t>
      </w:r>
      <w:r w:rsidR="00EE4077" w:rsidRPr="008935DC">
        <w:t xml:space="preserve"> </w:t>
      </w:r>
    </w:p>
    <w:p w14:paraId="26344FAB" w14:textId="77777777" w:rsidR="0063175C" w:rsidRPr="0045112A" w:rsidRDefault="0063175C" w:rsidP="007A2538">
      <w:pPr>
        <w:pStyle w:val="Heading2"/>
      </w:pPr>
      <w:bookmarkStart w:id="9" w:name="_Toc4664078"/>
      <w:r w:rsidRPr="0045112A">
        <w:t>Summary of ACMA considerations and conclusions</w:t>
      </w:r>
      <w:bookmarkEnd w:id="9"/>
    </w:p>
    <w:p w14:paraId="3FE11249" w14:textId="588AC584" w:rsidR="0063175C" w:rsidRPr="00DE2858" w:rsidRDefault="0063175C" w:rsidP="007A2538">
      <w:pPr>
        <w:pStyle w:val="Heading3"/>
      </w:pPr>
      <w:bookmarkStart w:id="10" w:name="_Toc4664079"/>
      <w:r w:rsidRPr="00DE2858">
        <w:t xml:space="preserve">Highest value uses </w:t>
      </w:r>
      <w:r w:rsidR="00173A63">
        <w:t xml:space="preserve">(HVU) </w:t>
      </w:r>
      <w:r w:rsidRPr="00DE2858">
        <w:t>of the band and the case for action</w:t>
      </w:r>
      <w:bookmarkEnd w:id="10"/>
    </w:p>
    <w:p w14:paraId="39D6D6B0" w14:textId="4498767C" w:rsidR="00173A63" w:rsidRPr="001E5818" w:rsidRDefault="00173A63" w:rsidP="00173A63">
      <w:pPr>
        <w:spacing w:after="80"/>
      </w:pPr>
      <w:r>
        <w:t xml:space="preserve">The </w:t>
      </w:r>
      <w:r w:rsidR="00C240F0">
        <w:t>o</w:t>
      </w:r>
      <w:r>
        <w:t xml:space="preserve">ptions paper contained a summary of the legislative and policy environment </w:t>
      </w:r>
      <w:r w:rsidR="00F14412">
        <w:t>in</w:t>
      </w:r>
      <w:r>
        <w:t xml:space="preserve"> which the ACMA determines how spectrum should be allocated. This included a description of the object of the </w:t>
      </w:r>
      <w:r w:rsidRPr="00C733CA">
        <w:rPr>
          <w:i/>
        </w:rPr>
        <w:t>Radiocommunications Act 1992</w:t>
      </w:r>
      <w:r>
        <w:t xml:space="preserve">, </w:t>
      </w:r>
      <w:r w:rsidR="00C90290">
        <w:t xml:space="preserve">which sets out that </w:t>
      </w:r>
      <w:r w:rsidRPr="00A05EC9">
        <w:t xml:space="preserve">management of the radiofrequency spectrum </w:t>
      </w:r>
      <w:r w:rsidR="00C90290">
        <w:t>should be undertaken in order to</w:t>
      </w:r>
      <w:r w:rsidRPr="00A05EC9">
        <w:t xml:space="preserve"> (among other goals)</w:t>
      </w:r>
      <w:r w:rsidRPr="001E5818">
        <w:t>:</w:t>
      </w:r>
    </w:p>
    <w:p w14:paraId="01F6EB6B" w14:textId="1D9203AD" w:rsidR="00173A63" w:rsidRPr="00A05EC9" w:rsidRDefault="00B048BB" w:rsidP="00173A63">
      <w:pPr>
        <w:pStyle w:val="ListBullet"/>
        <w:spacing w:line="240" w:lineRule="auto"/>
      </w:pPr>
      <w:r>
        <w:t>m</w:t>
      </w:r>
      <w:r w:rsidR="00173A63" w:rsidRPr="00A05EC9">
        <w:t>aximise</w:t>
      </w:r>
      <w:r w:rsidR="00C733CA">
        <w:t>—</w:t>
      </w:r>
      <w:r w:rsidR="00173A63" w:rsidRPr="00A05EC9">
        <w:t>by ensuring the efficient allocation and use of the spectrum</w:t>
      </w:r>
      <w:r w:rsidR="00C733CA">
        <w:t>—</w:t>
      </w:r>
      <w:r w:rsidR="00173A63" w:rsidRPr="00A05EC9">
        <w:t>the overall public benefit derived from using the radiofrequency spectrum</w:t>
      </w:r>
    </w:p>
    <w:p w14:paraId="78B2144D" w14:textId="05A3BBAC" w:rsidR="00173A63" w:rsidRPr="005E6D37" w:rsidRDefault="00173A63" w:rsidP="00173A63">
      <w:pPr>
        <w:pStyle w:val="ListBullet"/>
        <w:spacing w:line="240" w:lineRule="auto"/>
      </w:pPr>
      <w:r w:rsidRPr="005E6D37">
        <w:t xml:space="preserve">provide a responsive and flexible approach to meeting the needs of </w:t>
      </w:r>
      <w:r w:rsidR="00C733CA">
        <w:t xml:space="preserve">spectrum </w:t>
      </w:r>
      <w:r w:rsidRPr="005E6D37">
        <w:t>users</w:t>
      </w:r>
    </w:p>
    <w:p w14:paraId="62C1C329" w14:textId="4B8DC144" w:rsidR="00173A63" w:rsidRDefault="00173A63" w:rsidP="004D1E51">
      <w:pPr>
        <w:pStyle w:val="ListBullet"/>
        <w:spacing w:line="240" w:lineRule="auto"/>
      </w:pPr>
      <w:r w:rsidRPr="00F26E80">
        <w:t>encourage the use of efficient radiocommunic</w:t>
      </w:r>
      <w:r w:rsidRPr="00A05EC9">
        <w:t>ation technologies so that a wide range of services of an adequate quality can be provided</w:t>
      </w:r>
    </w:p>
    <w:p w14:paraId="183C3AE0" w14:textId="4F2395BF" w:rsidR="004D1E51" w:rsidRPr="00A05EC9" w:rsidRDefault="004D1E51" w:rsidP="004D1E51">
      <w:pPr>
        <w:pStyle w:val="ListBullet"/>
        <w:spacing w:line="240" w:lineRule="auto"/>
      </w:pPr>
      <w:r>
        <w:t>support the communications policy objectives of the Commonwealth Government.</w:t>
      </w:r>
    </w:p>
    <w:p w14:paraId="5AAF1968" w14:textId="77777777" w:rsidR="00C733CA" w:rsidRDefault="00C90290" w:rsidP="006F2024">
      <w:pPr>
        <w:spacing w:before="240" w:after="120" w:line="240" w:lineRule="auto"/>
      </w:pPr>
      <w:r>
        <w:t>The decisions and undertakings set out in this paper are consistent with those goals</w:t>
      </w:r>
      <w:r w:rsidR="004D1E51">
        <w:t>. Specifically</w:t>
      </w:r>
      <w:r w:rsidR="002964DE">
        <w:t>,</w:t>
      </w:r>
      <w:r w:rsidR="004D1E51">
        <w:t xml:space="preserve"> regarding the latter goal, enabling access to the band by wireless broadband services falls in line with a number of key policy objectives, including: </w:t>
      </w:r>
    </w:p>
    <w:p w14:paraId="4CE9981D" w14:textId="77777777" w:rsidR="00C733CA" w:rsidRDefault="004D1E51" w:rsidP="004C1D45">
      <w:pPr>
        <w:pStyle w:val="ListBullet"/>
      </w:pPr>
      <w:r>
        <w:t>promoting sharing through accommodation of a range of co-frequency services</w:t>
      </w:r>
    </w:p>
    <w:p w14:paraId="6FB0ABE6" w14:textId="37A66A97" w:rsidR="00C733CA" w:rsidRDefault="004D1E51" w:rsidP="004C1D45">
      <w:pPr>
        <w:pStyle w:val="ListBullet"/>
      </w:pPr>
      <w:r>
        <w:t>enhancing delivery of fast broadband services</w:t>
      </w:r>
    </w:p>
    <w:p w14:paraId="0E933C42" w14:textId="00B13EC5" w:rsidR="00C733CA" w:rsidRDefault="004D1E51" w:rsidP="004C1D45">
      <w:pPr>
        <w:pStyle w:val="ListBullet"/>
      </w:pPr>
      <w:r>
        <w:lastRenderedPageBreak/>
        <w:t>promoting the efficient use of spectrum through optimising its use</w:t>
      </w:r>
    </w:p>
    <w:p w14:paraId="793DB3B1" w14:textId="66B35C6C" w:rsidR="004D1E51" w:rsidRDefault="004D1E51" w:rsidP="004C1D45">
      <w:pPr>
        <w:pStyle w:val="ListBulletLast"/>
      </w:pPr>
      <w:r>
        <w:t>fostering competitive telecommunications markets by providing alternative delivery mechanisms for ultra-fast broadband.</w:t>
      </w:r>
    </w:p>
    <w:p w14:paraId="4F7BC930" w14:textId="67C7C135" w:rsidR="006F2024" w:rsidRDefault="004D1E51" w:rsidP="006F2024">
      <w:pPr>
        <w:spacing w:before="240" w:after="120" w:line="240" w:lineRule="auto"/>
      </w:pPr>
      <w:r>
        <w:t>T</w:t>
      </w:r>
      <w:r w:rsidR="00C90290">
        <w:t xml:space="preserve">he options </w:t>
      </w:r>
      <w:r>
        <w:t>proposed in the previous paper</w:t>
      </w:r>
      <w:r w:rsidR="00C90290">
        <w:t xml:space="preserve"> were analysed against each of </w:t>
      </w:r>
      <w:r w:rsidR="00C90290" w:rsidRPr="00A05EC9">
        <w:t xml:space="preserve">the </w:t>
      </w:r>
      <w:hyperlink r:id="rId25" w:history="1">
        <w:r w:rsidR="007C1764" w:rsidRPr="003C7197">
          <w:rPr>
            <w:rStyle w:val="Hyperlink"/>
          </w:rPr>
          <w:t>p</w:t>
        </w:r>
        <w:r w:rsidR="00C90290" w:rsidRPr="003C7197">
          <w:rPr>
            <w:rStyle w:val="Hyperlink"/>
          </w:rPr>
          <w:t xml:space="preserve">rinciples for </w:t>
        </w:r>
        <w:r w:rsidR="007C1764" w:rsidRPr="003C7197">
          <w:rPr>
            <w:rStyle w:val="Hyperlink"/>
          </w:rPr>
          <w:t>s</w:t>
        </w:r>
        <w:r w:rsidR="00C90290" w:rsidRPr="003C7197">
          <w:rPr>
            <w:rStyle w:val="Hyperlink"/>
          </w:rPr>
          <w:t xml:space="preserve">pectrum </w:t>
        </w:r>
        <w:r w:rsidR="007C1764" w:rsidRPr="003C7197">
          <w:rPr>
            <w:rStyle w:val="Hyperlink"/>
          </w:rPr>
          <w:t>m</w:t>
        </w:r>
        <w:r w:rsidR="00C90290" w:rsidRPr="003C7197">
          <w:rPr>
            <w:rStyle w:val="Hyperlink"/>
          </w:rPr>
          <w:t>anagement.</w:t>
        </w:r>
      </w:hyperlink>
      <w:r w:rsidR="00C90290">
        <w:t xml:space="preserve"> It was found that, at a high level, t</w:t>
      </w:r>
      <w:r w:rsidR="006F2024">
        <w:t>he introduction of wireless broadband services in the 26 GHz band</w:t>
      </w:r>
      <w:r w:rsidR="00C90290">
        <w:t xml:space="preserve"> would</w:t>
      </w:r>
      <w:r w:rsidR="006F2024">
        <w:t xml:space="preserve"> represent the band’s highest value use</w:t>
      </w:r>
      <w:r w:rsidR="00C90290">
        <w:t xml:space="preserve"> (HVU)</w:t>
      </w:r>
      <w:r w:rsidR="006F2024">
        <w:t xml:space="preserve">, </w:t>
      </w:r>
      <w:r w:rsidR="00CD74A9">
        <w:t>pending considerations around</w:t>
      </w:r>
      <w:r w:rsidR="00755C3D">
        <w:t xml:space="preserve"> coe</w:t>
      </w:r>
      <w:r w:rsidR="006F2024">
        <w:t xml:space="preserve">xistence between incumbent and prospective uses </w:t>
      </w:r>
      <w:r w:rsidR="00CD74A9">
        <w:t>which were ongoing at the time</w:t>
      </w:r>
      <w:r w:rsidR="006F2024">
        <w:t>.</w:t>
      </w:r>
    </w:p>
    <w:p w14:paraId="38875914" w14:textId="6EBDBC9E" w:rsidR="0063175C" w:rsidRPr="00400DC1" w:rsidRDefault="004D1E51" w:rsidP="0063175C">
      <w:pPr>
        <w:spacing w:before="240" w:after="120" w:line="240" w:lineRule="auto"/>
        <w:rPr>
          <w:highlight w:val="cyan"/>
        </w:rPr>
      </w:pPr>
      <w:r>
        <w:t>Having</w:t>
      </w:r>
      <w:r w:rsidR="00CD74A9">
        <w:t xml:space="preserve"> since</w:t>
      </w:r>
      <w:r>
        <w:t xml:space="preserve"> been satisfied that this coexistence is feasible, it follows that t</w:t>
      </w:r>
      <w:r w:rsidR="002311E3">
        <w:t>he o</w:t>
      </w:r>
      <w:r w:rsidR="006F2024">
        <w:t xml:space="preserve">verall public benefit can be further </w:t>
      </w:r>
      <w:r w:rsidR="002311E3">
        <w:t>enhanced</w:t>
      </w:r>
      <w:r w:rsidR="006F2024">
        <w:t xml:space="preserve"> by maximising the amount of wireless broadband spectrum available</w:t>
      </w:r>
      <w:r w:rsidR="007C1764">
        <w:t>—</w:t>
      </w:r>
      <w:r w:rsidR="006F2024">
        <w:t>in both frequency and geographic area</w:t>
      </w:r>
      <w:r w:rsidR="007C1764">
        <w:t xml:space="preserve">. This </w:t>
      </w:r>
      <w:r w:rsidR="002311E3">
        <w:t>can</w:t>
      </w:r>
      <w:r w:rsidR="007A2538" w:rsidRPr="007A2538">
        <w:t xml:space="preserve"> be facilitated without compromising protection of </w:t>
      </w:r>
      <w:r w:rsidR="002311E3">
        <w:t xml:space="preserve">existing </w:t>
      </w:r>
      <w:r w:rsidR="007A2538" w:rsidRPr="007A2538">
        <w:t xml:space="preserve">uses that </w:t>
      </w:r>
      <w:r w:rsidR="002311E3">
        <w:t xml:space="preserve">may </w:t>
      </w:r>
      <w:r w:rsidR="007A2538" w:rsidRPr="007A2538">
        <w:t>continue in the band</w:t>
      </w:r>
      <w:r w:rsidR="0063175C" w:rsidRPr="007A2538">
        <w:t xml:space="preserve">. </w:t>
      </w:r>
    </w:p>
    <w:p w14:paraId="52557E2C" w14:textId="77777777" w:rsidR="0063175C" w:rsidRPr="000B7D3E" w:rsidRDefault="0063175C" w:rsidP="007A2538">
      <w:pPr>
        <w:pStyle w:val="Heading3"/>
      </w:pPr>
      <w:bookmarkStart w:id="11" w:name="_Toc4664080"/>
      <w:r>
        <w:t>Coexistence of terrestrial wireless broadband with other services</w:t>
      </w:r>
      <w:bookmarkEnd w:id="11"/>
    </w:p>
    <w:p w14:paraId="07F009A7" w14:textId="28B1FA11" w:rsidR="00262255" w:rsidRDefault="002311E3" w:rsidP="00802CA7">
      <w:r>
        <w:t xml:space="preserve">Considerable discussion has focused </w:t>
      </w:r>
      <w:r w:rsidR="007931D1">
        <w:t xml:space="preserve">internationally under the </w:t>
      </w:r>
      <w:r w:rsidR="00895BAC">
        <w:t>2019 World Radiocommunication Conference (</w:t>
      </w:r>
      <w:r w:rsidR="007931D1">
        <w:t>WRC-19</w:t>
      </w:r>
      <w:r w:rsidR="00895BAC">
        <w:t>)</w:t>
      </w:r>
      <w:r w:rsidR="007931D1">
        <w:t xml:space="preserve"> study process, and domestically </w:t>
      </w:r>
      <w:r w:rsidR="00F53EC4">
        <w:t>t</w:t>
      </w:r>
      <w:r w:rsidR="007931D1">
        <w:t>hrough</w:t>
      </w:r>
      <w:r w:rsidR="00F53EC4">
        <w:t xml:space="preserve"> both</w:t>
      </w:r>
      <w:r w:rsidR="007931D1">
        <w:t xml:space="preserve"> the </w:t>
      </w:r>
      <w:r w:rsidR="00C240F0">
        <w:t>o</w:t>
      </w:r>
      <w:r w:rsidR="007931D1">
        <w:t>ptions paper and under the auspices of an ACMA-convened domestic working group</w:t>
      </w:r>
      <w:r>
        <w:t>,</w:t>
      </w:r>
      <w:r w:rsidR="00F53EC4">
        <w:t xml:space="preserve"> on </w:t>
      </w:r>
      <w:r w:rsidR="00C82CDD">
        <w:t>issues related to coexistence between new wireless broadband and incumbent satellite services in the band. Specifically, this is related to the protection of</w:t>
      </w:r>
      <w:r w:rsidR="00262255">
        <w:t>:</w:t>
      </w:r>
    </w:p>
    <w:p w14:paraId="32A74535" w14:textId="0EED98B3" w:rsidR="00262255" w:rsidRDefault="00C82CDD" w:rsidP="004C1D45">
      <w:pPr>
        <w:pStyle w:val="ListBullet"/>
      </w:pPr>
      <w:r>
        <w:t>near</w:t>
      </w:r>
      <w:r w:rsidR="00D66307">
        <w:t>by</w:t>
      </w:r>
      <w:r>
        <w:t xml:space="preserve"> passive earth exploration satellite services (</w:t>
      </w:r>
      <w:r w:rsidR="000C5D4E">
        <w:t xml:space="preserve">passive </w:t>
      </w:r>
      <w:r>
        <w:t>EESS) operating in the range 23.6</w:t>
      </w:r>
      <w:r w:rsidR="00852A19">
        <w:t>–</w:t>
      </w:r>
      <w:r>
        <w:t>24 GHz</w:t>
      </w:r>
    </w:p>
    <w:p w14:paraId="5811DC68" w14:textId="7712420C" w:rsidR="00262255" w:rsidRDefault="002311E3" w:rsidP="004C1D45">
      <w:pPr>
        <w:pStyle w:val="ListBullet"/>
      </w:pPr>
      <w:r>
        <w:t>c</w:t>
      </w:r>
      <w:r w:rsidR="00262255">
        <w:t>o-frequency space research service (SRS) earth receive stations at Tidbinbilla</w:t>
      </w:r>
      <w:r w:rsidR="00852A19">
        <w:t xml:space="preserve"> (ACT)</w:t>
      </w:r>
      <w:r w:rsidR="00262255">
        <w:t xml:space="preserve"> and New Norcia </w:t>
      </w:r>
      <w:r w:rsidR="00852A19">
        <w:t xml:space="preserve">(WA) </w:t>
      </w:r>
      <w:r w:rsidR="00262255">
        <w:t>operating in the range 25.5</w:t>
      </w:r>
      <w:r w:rsidR="00852A19">
        <w:t>–</w:t>
      </w:r>
      <w:r w:rsidR="00262255">
        <w:t>27 GHz</w:t>
      </w:r>
      <w:r w:rsidR="00C82CDD">
        <w:t xml:space="preserve"> </w:t>
      </w:r>
    </w:p>
    <w:p w14:paraId="05C1D741" w14:textId="0C79859E" w:rsidR="00895BAC" w:rsidRDefault="00C82CDD" w:rsidP="004C1D45">
      <w:pPr>
        <w:pStyle w:val="ListBulletLast"/>
      </w:pPr>
      <w:r>
        <w:t>co-</w:t>
      </w:r>
      <w:r w:rsidRPr="004C1D45">
        <w:t>frequency</w:t>
      </w:r>
      <w:r>
        <w:t xml:space="preserve"> fixed satellite service uplinks (FSS Earth-to-space) operating in the range 27</w:t>
      </w:r>
      <w:r w:rsidR="00852A19">
        <w:t>–</w:t>
      </w:r>
      <w:r>
        <w:t>27.5 GHz.</w:t>
      </w:r>
      <w:r w:rsidR="00306CF6">
        <w:t xml:space="preserve"> </w:t>
      </w:r>
    </w:p>
    <w:p w14:paraId="22AD39C2" w14:textId="081B8F88" w:rsidR="007931D1" w:rsidRDefault="00306CF6" w:rsidP="00895BAC">
      <w:pPr>
        <w:pStyle w:val="ListBulletLast"/>
        <w:numPr>
          <w:ilvl w:val="0"/>
          <w:numId w:val="0"/>
        </w:numPr>
      </w:pPr>
      <w:r>
        <w:t xml:space="preserve">Studies </w:t>
      </w:r>
      <w:r w:rsidR="0003336A">
        <w:t xml:space="preserve">undertaken by Task Group 5/1 of the International </w:t>
      </w:r>
      <w:r w:rsidR="00852A19">
        <w:t>T</w:t>
      </w:r>
      <w:r w:rsidR="0003336A">
        <w:t xml:space="preserve">elecommunications Union Radiocommunications Sector (ITU-R) </w:t>
      </w:r>
      <w:r>
        <w:t xml:space="preserve">have shown that coexistence between </w:t>
      </w:r>
      <w:r w:rsidR="00C82CDD">
        <w:t>wireless broadband</w:t>
      </w:r>
      <w:r w:rsidRPr="00306CF6">
        <w:t xml:space="preserve"> </w:t>
      </w:r>
      <w:r>
        <w:t>and incumbent services will be achievable</w:t>
      </w:r>
      <w:r w:rsidR="00C82CDD">
        <w:t xml:space="preserve">. </w:t>
      </w:r>
    </w:p>
    <w:p w14:paraId="7D1F4FA4" w14:textId="029AEB7F" w:rsidR="00400DC1" w:rsidRDefault="00E82BD0" w:rsidP="007931D1">
      <w:pPr>
        <w:spacing w:before="240" w:after="120" w:line="240" w:lineRule="auto"/>
      </w:pPr>
      <w:r>
        <w:t>T</w:t>
      </w:r>
      <w:r w:rsidR="00590B31">
        <w:t xml:space="preserve">he ACMA </w:t>
      </w:r>
      <w:r>
        <w:t xml:space="preserve">takes the </w:t>
      </w:r>
      <w:r w:rsidR="00590B31">
        <w:t xml:space="preserve">view that protection of each of these services must be assured before any decisions on allocation for wireless broadband can be made. </w:t>
      </w:r>
      <w:r w:rsidR="00400DC1" w:rsidRPr="00400DC1">
        <w:t xml:space="preserve">The </w:t>
      </w:r>
      <w:r w:rsidR="00C240F0">
        <w:t>o</w:t>
      </w:r>
      <w:r w:rsidR="00400DC1" w:rsidRPr="00400DC1">
        <w:t>ptions paper identified ‘preferred’ options that were contingent on the resolution of coexistence conditions</w:t>
      </w:r>
      <w:r w:rsidR="007A2538">
        <w:t xml:space="preserve"> </w:t>
      </w:r>
      <w:r w:rsidR="002311E3">
        <w:t xml:space="preserve">important to finalising </w:t>
      </w:r>
      <w:r w:rsidR="007A2538">
        <w:t xml:space="preserve">the </w:t>
      </w:r>
      <w:r w:rsidR="002311E3">
        <w:t xml:space="preserve">planning </w:t>
      </w:r>
      <w:r w:rsidR="007A2538">
        <w:t>boundaries for the band and the amount of spectrum that can be made available</w:t>
      </w:r>
      <w:r w:rsidR="00400DC1" w:rsidRPr="00400DC1">
        <w:t>.</w:t>
      </w:r>
    </w:p>
    <w:p w14:paraId="5178C045" w14:textId="77777777" w:rsidR="007A2538" w:rsidRPr="00802CA7" w:rsidRDefault="007A2538" w:rsidP="00802CA7">
      <w:pPr>
        <w:pStyle w:val="BodySubHeader"/>
      </w:pPr>
      <w:r w:rsidRPr="00802CA7">
        <w:t xml:space="preserve">Lower boundary </w:t>
      </w:r>
    </w:p>
    <w:p w14:paraId="52644F89" w14:textId="77777777" w:rsidR="007A2538" w:rsidRDefault="00C82CDD" w:rsidP="00802CA7">
      <w:r>
        <w:t xml:space="preserve">Regarding coexistence with passive EESS, outcomes of international and domestic studies have led the ACMA to conclude that a guard band is needed between the lower edge of the 26 GHz band (24.25 GHz) and wide-area deployments authorised under spectrum licences. </w:t>
      </w:r>
    </w:p>
    <w:p w14:paraId="13F696FC" w14:textId="50EEF960" w:rsidR="00A72981" w:rsidRDefault="00C82CDD" w:rsidP="004409EC">
      <w:pPr>
        <w:spacing w:before="240" w:after="120" w:line="240" w:lineRule="auto"/>
      </w:pPr>
      <w:r>
        <w:t xml:space="preserve">For that reason, the </w:t>
      </w:r>
      <w:r w:rsidR="003C33F2">
        <w:t xml:space="preserve">ACMA </w:t>
      </w:r>
      <w:r w:rsidR="00A85E1B">
        <w:t xml:space="preserve">proposes that </w:t>
      </w:r>
      <w:r w:rsidR="00E83E9D">
        <w:t xml:space="preserve">the </w:t>
      </w:r>
      <w:r>
        <w:t>lowe</w:t>
      </w:r>
      <w:r w:rsidR="00A85E1B">
        <w:t>st</w:t>
      </w:r>
      <w:r>
        <w:t xml:space="preserve"> edge of the band</w:t>
      </w:r>
      <w:r w:rsidR="00A85E1B">
        <w:t xml:space="preserve"> that should be made</w:t>
      </w:r>
      <w:r>
        <w:t xml:space="preserve"> available for spectrum licensing will be</w:t>
      </w:r>
      <w:r w:rsidR="00A85E1B">
        <w:t xml:space="preserve"> from</w:t>
      </w:r>
      <w:r>
        <w:t xml:space="preserve"> 25.1 GHz</w:t>
      </w:r>
      <w:r w:rsidR="002311E3">
        <w:t xml:space="preserve">. </w:t>
      </w:r>
      <w:r w:rsidR="006A5B98">
        <w:t>However,</w:t>
      </w:r>
      <w:r w:rsidR="00446EFF">
        <w:t xml:space="preserve"> access under</w:t>
      </w:r>
      <w:r>
        <w:t xml:space="preserve"> apparatus and class </w:t>
      </w:r>
      <w:r w:rsidR="00446EFF">
        <w:t xml:space="preserve">licensing within this guard band </w:t>
      </w:r>
      <w:r w:rsidR="00A85E1B">
        <w:t>(24.25</w:t>
      </w:r>
      <w:r w:rsidR="00605FDC">
        <w:t>–</w:t>
      </w:r>
      <w:r w:rsidR="00A85E1B">
        <w:t xml:space="preserve">25.1 GHz) </w:t>
      </w:r>
      <w:r w:rsidR="00446EFF">
        <w:t xml:space="preserve">will still be </w:t>
      </w:r>
      <w:r w:rsidR="000E7996">
        <w:t>permitted</w:t>
      </w:r>
      <w:r w:rsidR="00D61B2C">
        <w:t xml:space="preserve">, with additional </w:t>
      </w:r>
      <w:r w:rsidR="00A85E1B">
        <w:t xml:space="preserve">licence </w:t>
      </w:r>
      <w:r w:rsidR="00D61B2C">
        <w:t>conditions to</w:t>
      </w:r>
      <w:r w:rsidR="00446EFF">
        <w:t xml:space="preserve"> maintain protection of passive EESS</w:t>
      </w:r>
      <w:r w:rsidR="00605FDC">
        <w:t>.</w:t>
      </w:r>
      <w:r w:rsidR="004326DF">
        <w:t xml:space="preserve"> (</w:t>
      </w:r>
      <w:r w:rsidR="00605FDC">
        <w:t>S</w:t>
      </w:r>
      <w:r w:rsidR="004326DF">
        <w:t xml:space="preserve">tudies </w:t>
      </w:r>
      <w:r w:rsidR="00BD4FF3">
        <w:t xml:space="preserve">considered in the ACMA-convened domestic working group </w:t>
      </w:r>
      <w:r w:rsidR="004326DF">
        <w:t>have shown that apparatus licensing will be possible down to 24.7 GHz</w:t>
      </w:r>
      <w:r w:rsidR="00605FDC">
        <w:t>.</w:t>
      </w:r>
      <w:r w:rsidR="004326DF">
        <w:t>)</w:t>
      </w:r>
      <w:r w:rsidR="00A72981">
        <w:t xml:space="preserve"> </w:t>
      </w:r>
    </w:p>
    <w:p w14:paraId="44BF52F2" w14:textId="09BC9187" w:rsidR="007A2538" w:rsidRPr="007A2538" w:rsidRDefault="007A2538" w:rsidP="00157A9D">
      <w:pPr>
        <w:pStyle w:val="BodySubHeader"/>
        <w:keepNext/>
        <w:keepLines/>
      </w:pPr>
      <w:r w:rsidRPr="00802CA7">
        <w:lastRenderedPageBreak/>
        <w:t>Upper</w:t>
      </w:r>
      <w:r>
        <w:t xml:space="preserve"> boundary</w:t>
      </w:r>
    </w:p>
    <w:p w14:paraId="1C78599A" w14:textId="7935DCD0" w:rsidR="002653BC" w:rsidRDefault="007B701F" w:rsidP="00157A9D">
      <w:pPr>
        <w:keepNext/>
        <w:keepLines/>
      </w:pPr>
      <w:r>
        <w:t>In the 27</w:t>
      </w:r>
      <w:r w:rsidR="00605FDC">
        <w:t>–</w:t>
      </w:r>
      <w:r>
        <w:t>27.5 GHz segment, i</w:t>
      </w:r>
      <w:r w:rsidR="004B1E21">
        <w:t>nternational studies</w:t>
      </w:r>
      <w:r w:rsidR="00456D49">
        <w:t xml:space="preserve"> undertaken by Task Group 5/1 of the ITU-R</w:t>
      </w:r>
      <w:r w:rsidR="004B1E21">
        <w:t xml:space="preserve"> have shown that space-based FSS receivers can be protected from wide-area wireless broadband deployments with a considerable margin. However, the assumptions underpinning these studies are generalised and </w:t>
      </w:r>
      <w:r w:rsidR="008A6121">
        <w:t xml:space="preserve">do </w:t>
      </w:r>
      <w:r w:rsidR="005A41E8">
        <w:t>not</w:t>
      </w:r>
      <w:r w:rsidR="002653BC">
        <w:t xml:space="preserve"> </w:t>
      </w:r>
      <w:r w:rsidR="005A41E8">
        <w:t>completely</w:t>
      </w:r>
      <w:r w:rsidR="004B1E21">
        <w:t xml:space="preserve"> reflect </w:t>
      </w:r>
      <w:r w:rsidR="00105219">
        <w:t xml:space="preserve">specific </w:t>
      </w:r>
      <w:r w:rsidR="004B1E21">
        <w:t>FSS</w:t>
      </w:r>
      <w:r w:rsidR="005A41E8">
        <w:t xml:space="preserve"> </w:t>
      </w:r>
      <w:r w:rsidR="004B1E21">
        <w:t>deployment scenarios</w:t>
      </w:r>
      <w:r w:rsidR="005A41E8">
        <w:t xml:space="preserve"> such as those in Australia</w:t>
      </w:r>
      <w:r w:rsidR="002653BC">
        <w:t>. In particular</w:t>
      </w:r>
      <w:r w:rsidR="00DE400E">
        <w:t xml:space="preserve">, </w:t>
      </w:r>
      <w:r w:rsidR="00AD170F">
        <w:t>NBN Co</w:t>
      </w:r>
      <w:r w:rsidR="00605FDC">
        <w:t xml:space="preserve"> </w:t>
      </w:r>
      <w:r w:rsidR="004B1E21">
        <w:t>operate</w:t>
      </w:r>
      <w:r w:rsidR="002653BC">
        <w:t>s</w:t>
      </w:r>
      <w:r w:rsidR="004B1E21">
        <w:t xml:space="preserve"> gateway uplinks from a number of sites across Australia </w:t>
      </w:r>
      <w:r w:rsidR="00D66307">
        <w:t>with some parameters different</w:t>
      </w:r>
      <w:r w:rsidR="004B1E21">
        <w:t xml:space="preserve"> than assumed in those studies. </w:t>
      </w:r>
    </w:p>
    <w:p w14:paraId="144D7137" w14:textId="5C6F099A" w:rsidR="002653BC" w:rsidRDefault="004B1E21" w:rsidP="007931D1">
      <w:pPr>
        <w:spacing w:before="240" w:after="120" w:line="240" w:lineRule="auto"/>
      </w:pPr>
      <w:r>
        <w:t xml:space="preserve">The ACMA has </w:t>
      </w:r>
      <w:r w:rsidR="005A41E8">
        <w:t>taken in</w:t>
      </w:r>
      <w:r>
        <w:t xml:space="preserve">to account </w:t>
      </w:r>
      <w:r w:rsidR="003E7638">
        <w:t xml:space="preserve">these differences in its own </w:t>
      </w:r>
      <w:r w:rsidR="002311E3">
        <w:t>analysis, reaching a</w:t>
      </w:r>
      <w:r w:rsidR="003E7638">
        <w:t xml:space="preserve"> </w:t>
      </w:r>
      <w:r w:rsidR="00C5125A">
        <w:t>view</w:t>
      </w:r>
      <w:r w:rsidR="003E7638">
        <w:t xml:space="preserve"> that coexistence remains feasible</w:t>
      </w:r>
      <w:r w:rsidR="005A41E8">
        <w:t xml:space="preserve"> by</w:t>
      </w:r>
      <w:r w:rsidR="00D30C0D">
        <w:t xml:space="preserve"> a smaller, yet still significa</w:t>
      </w:r>
      <w:r w:rsidR="002311E3">
        <w:t>n</w:t>
      </w:r>
      <w:r w:rsidR="00C66676">
        <w:t>t</w:t>
      </w:r>
      <w:r w:rsidR="00D30C0D">
        <w:t xml:space="preserve"> margin.</w:t>
      </w:r>
      <w:r w:rsidR="002653BC">
        <w:t xml:space="preserve"> </w:t>
      </w:r>
      <w:r w:rsidR="003E7638">
        <w:t xml:space="preserve">However, </w:t>
      </w:r>
      <w:r w:rsidR="00605FDC">
        <w:t xml:space="preserve">NBN </w:t>
      </w:r>
      <w:r w:rsidR="003E7638">
        <w:t>remain</w:t>
      </w:r>
      <w:r w:rsidR="007B18F3">
        <w:t>s</w:t>
      </w:r>
      <w:r w:rsidR="003E7638">
        <w:t xml:space="preserve"> </w:t>
      </w:r>
      <w:r w:rsidR="00724722">
        <w:t xml:space="preserve">concerned that there is still a risk of interference </w:t>
      </w:r>
      <w:r w:rsidR="007B18F3">
        <w:t>to</w:t>
      </w:r>
      <w:r w:rsidR="00D66307">
        <w:t xml:space="preserve"> their satellite</w:t>
      </w:r>
      <w:r w:rsidR="00F77F89">
        <w:t>s</w:t>
      </w:r>
      <w:r w:rsidR="00D66307">
        <w:t xml:space="preserve"> </w:t>
      </w:r>
      <w:r w:rsidR="00724722">
        <w:t>due to</w:t>
      </w:r>
      <w:r w:rsidR="003E7638">
        <w:t xml:space="preserve"> the</w:t>
      </w:r>
      <w:r w:rsidR="00724722">
        <w:t xml:space="preserve"> statistical nature of studies</w:t>
      </w:r>
      <w:r w:rsidR="003E7638">
        <w:t xml:space="preserve"> and </w:t>
      </w:r>
      <w:r w:rsidR="00724722">
        <w:t>that actual</w:t>
      </w:r>
      <w:r w:rsidR="0029557E">
        <w:t xml:space="preserve"> wireless broadband</w:t>
      </w:r>
      <w:r w:rsidR="00724722">
        <w:t xml:space="preserve"> deployments may vary </w:t>
      </w:r>
      <w:r w:rsidR="00A80A41">
        <w:t>from</w:t>
      </w:r>
      <w:r w:rsidR="003E7638">
        <w:t xml:space="preserve"> the</w:t>
      </w:r>
      <w:r w:rsidR="002311E3">
        <w:t xml:space="preserve"> assumed use </w:t>
      </w:r>
      <w:r w:rsidR="000F527A">
        <w:t xml:space="preserve">which </w:t>
      </w:r>
      <w:r w:rsidR="002311E3">
        <w:t>inform</w:t>
      </w:r>
      <w:r w:rsidR="000F527A">
        <w:t>ed the</w:t>
      </w:r>
      <w:r w:rsidR="002311E3">
        <w:t xml:space="preserve"> parameters </w:t>
      </w:r>
      <w:r w:rsidR="003E7638">
        <w:t>in the studies</w:t>
      </w:r>
      <w:r w:rsidR="00A80A41">
        <w:t xml:space="preserve">. To mitigate this risk, </w:t>
      </w:r>
      <w:r w:rsidR="00AD170F">
        <w:t>NBN Co</w:t>
      </w:r>
      <w:r w:rsidR="00605FDC">
        <w:t xml:space="preserve"> has </w:t>
      </w:r>
      <w:r w:rsidR="000A1589">
        <w:t xml:space="preserve">proposed </w:t>
      </w:r>
      <w:r w:rsidR="00C5125A">
        <w:t xml:space="preserve">licence </w:t>
      </w:r>
      <w:r w:rsidR="000A1589">
        <w:t xml:space="preserve">conditions </w:t>
      </w:r>
      <w:r w:rsidR="00C5125A">
        <w:t xml:space="preserve">be imposed on licences </w:t>
      </w:r>
      <w:r w:rsidR="000A1589">
        <w:t>in</w:t>
      </w:r>
      <w:r w:rsidR="00874A0E">
        <w:t xml:space="preserve"> </w:t>
      </w:r>
      <w:r w:rsidR="000A1589">
        <w:t xml:space="preserve">the </w:t>
      </w:r>
      <w:r w:rsidR="00874A0E">
        <w:t>27</w:t>
      </w:r>
      <w:r w:rsidR="00605FDC">
        <w:t>–</w:t>
      </w:r>
      <w:r w:rsidR="00874A0E">
        <w:t xml:space="preserve">27.5 GHz </w:t>
      </w:r>
      <w:r w:rsidR="000A1589">
        <w:t xml:space="preserve">band in areas surrounding their gateway </w:t>
      </w:r>
      <w:r w:rsidR="00703BDD">
        <w:t>e</w:t>
      </w:r>
      <w:r w:rsidR="000A1589">
        <w:t xml:space="preserve">arth stations that would preclude </w:t>
      </w:r>
      <w:r w:rsidR="00874A0E">
        <w:t>mobile wireless broadband</w:t>
      </w:r>
      <w:r w:rsidR="000A1589">
        <w:t xml:space="preserve"> but permit fixed use. </w:t>
      </w:r>
    </w:p>
    <w:p w14:paraId="2A6D98C2" w14:textId="0FE5BE72" w:rsidR="00E61485" w:rsidRDefault="00E61485" w:rsidP="007931D1">
      <w:pPr>
        <w:spacing w:before="240" w:after="120" w:line="240" w:lineRule="auto"/>
      </w:pPr>
      <w:r>
        <w:t xml:space="preserve">Given </w:t>
      </w:r>
      <w:proofErr w:type="spellStart"/>
      <w:r>
        <w:t>mm</w:t>
      </w:r>
      <w:r w:rsidR="005A41E8">
        <w:t>W</w:t>
      </w:r>
      <w:r>
        <w:t>ave</w:t>
      </w:r>
      <w:proofErr w:type="spellEnd"/>
      <w:r>
        <w:t xml:space="preserve"> wireless broadband is </w:t>
      </w:r>
      <w:r w:rsidR="000A1589">
        <w:t>a new</w:t>
      </w:r>
      <w:r>
        <w:t xml:space="preserve"> technology, </w:t>
      </w:r>
      <w:r w:rsidR="000A1589">
        <w:t xml:space="preserve">sharing </w:t>
      </w:r>
      <w:r>
        <w:t>studies</w:t>
      </w:r>
      <w:r w:rsidR="00A83547">
        <w:t xml:space="preserve"> have to</w:t>
      </w:r>
      <w:r>
        <w:t xml:space="preserve"> rely on </w:t>
      </w:r>
      <w:r w:rsidR="00D66307">
        <w:t xml:space="preserve">informed </w:t>
      </w:r>
      <w:r>
        <w:t>predictions of</w:t>
      </w:r>
      <w:r w:rsidR="002311E3">
        <w:t xml:space="preserve"> </w:t>
      </w:r>
      <w:r>
        <w:t>a future wireless broadband environment</w:t>
      </w:r>
      <w:r w:rsidR="002311E3">
        <w:t>.</w:t>
      </w:r>
      <w:r>
        <w:t xml:space="preserve"> </w:t>
      </w:r>
      <w:r w:rsidR="000E7996">
        <w:t>I</w:t>
      </w:r>
      <w:r>
        <w:t>n particular</w:t>
      </w:r>
      <w:r w:rsidR="000E7996">
        <w:t xml:space="preserve">, </w:t>
      </w:r>
      <w:r>
        <w:t>device numbers and densities</w:t>
      </w:r>
      <w:r w:rsidR="000E7996">
        <w:t xml:space="preserve"> </w:t>
      </w:r>
      <w:r>
        <w:t>can only be based on ‘informed assumptions’</w:t>
      </w:r>
      <w:r w:rsidR="000E7996">
        <w:t xml:space="preserve">, and while these </w:t>
      </w:r>
      <w:r w:rsidR="000D66D3">
        <w:t xml:space="preserve">assumptions </w:t>
      </w:r>
      <w:r>
        <w:t>necessarily err on the conservative sid</w:t>
      </w:r>
      <w:r w:rsidR="000E7996">
        <w:t xml:space="preserve">e, </w:t>
      </w:r>
      <w:r w:rsidR="002311E3">
        <w:t xml:space="preserve">there is a need to </w:t>
      </w:r>
      <w:r w:rsidR="000E7996">
        <w:t>underst</w:t>
      </w:r>
      <w:r w:rsidR="006E002F">
        <w:t>and</w:t>
      </w:r>
      <w:r w:rsidR="000E7996">
        <w:t xml:space="preserve"> and mitigate</w:t>
      </w:r>
      <w:r w:rsidR="000D66D3">
        <w:t xml:space="preserve"> potential </w:t>
      </w:r>
      <w:r w:rsidR="000E7996">
        <w:t>d</w:t>
      </w:r>
      <w:r w:rsidR="000D66D3">
        <w:t>rift from these assumptions in real-life network deployments</w:t>
      </w:r>
      <w:r w:rsidR="000E7996">
        <w:t>.</w:t>
      </w:r>
    </w:p>
    <w:p w14:paraId="466CBE08" w14:textId="3BF12BA5" w:rsidR="00ED64A8" w:rsidRDefault="007873B9" w:rsidP="00663DB0">
      <w:pPr>
        <w:spacing w:before="240" w:after="120" w:line="240" w:lineRule="auto"/>
      </w:pPr>
      <w:r>
        <w:t>The ACMA</w:t>
      </w:r>
      <w:r w:rsidR="002653BC">
        <w:t xml:space="preserve"> </w:t>
      </w:r>
      <w:r w:rsidR="002C3B89">
        <w:t xml:space="preserve">continues to </w:t>
      </w:r>
      <w:r w:rsidR="000E7996">
        <w:t>hold the view that</w:t>
      </w:r>
      <w:r w:rsidR="002C3B89">
        <w:t xml:space="preserve"> internationally-agreed assumptions</w:t>
      </w:r>
      <w:r w:rsidR="000E7996">
        <w:t xml:space="preserve"> </w:t>
      </w:r>
      <w:r w:rsidR="00996306">
        <w:t xml:space="preserve">used in Task Group 5/1 studies </w:t>
      </w:r>
      <w:r w:rsidR="000E7996">
        <w:t>should be used</w:t>
      </w:r>
      <w:r w:rsidR="002653BC">
        <w:t xml:space="preserve"> in modelling wireless broadband characteristics </w:t>
      </w:r>
      <w:r w:rsidR="000A1589">
        <w:t xml:space="preserve">given that </w:t>
      </w:r>
      <w:r w:rsidR="00E84284">
        <w:t>Australia</w:t>
      </w:r>
      <w:r w:rsidR="000B291A">
        <w:t>,</w:t>
      </w:r>
      <w:r w:rsidR="00E84284">
        <w:t xml:space="preserve"> in general</w:t>
      </w:r>
      <w:r w:rsidR="000B291A">
        <w:t>,</w:t>
      </w:r>
      <w:r w:rsidR="00042B25">
        <w:t xml:space="preserve"> </w:t>
      </w:r>
      <w:r w:rsidR="001F40BD">
        <w:t xml:space="preserve">endeavours to </w:t>
      </w:r>
      <w:r w:rsidR="00042B25">
        <w:t xml:space="preserve">enacts regulatory arrangements </w:t>
      </w:r>
      <w:r w:rsidR="001F40BD">
        <w:t>that</w:t>
      </w:r>
      <w:r w:rsidR="00E84284">
        <w:t xml:space="preserve"> </w:t>
      </w:r>
      <w:r w:rsidR="00042B25">
        <w:t>al</w:t>
      </w:r>
      <w:r w:rsidR="00366A9D">
        <w:t>i</w:t>
      </w:r>
      <w:r w:rsidR="00042B25">
        <w:t xml:space="preserve">gn with international equipment standards. </w:t>
      </w:r>
      <w:r w:rsidR="00DE400E">
        <w:t>However, n</w:t>
      </w:r>
      <w:r w:rsidR="00ED64A8">
        <w:t xml:space="preserve">oting incumbent concerns, </w:t>
      </w:r>
      <w:r w:rsidR="00874A0E">
        <w:t xml:space="preserve">the </w:t>
      </w:r>
      <w:r w:rsidR="000D66D3">
        <w:t>ACMA</w:t>
      </w:r>
      <w:r w:rsidR="00874A0E">
        <w:t xml:space="preserve"> </w:t>
      </w:r>
      <w:r w:rsidR="001240EA">
        <w:t>considers it</w:t>
      </w:r>
      <w:r w:rsidR="005F257F">
        <w:t xml:space="preserve"> prudent to </w:t>
      </w:r>
      <w:r w:rsidR="001F40BD">
        <w:t>propose</w:t>
      </w:r>
      <w:r w:rsidR="005F257F">
        <w:t xml:space="preserve"> </w:t>
      </w:r>
      <w:r w:rsidR="002C3B89">
        <w:t>additional</w:t>
      </w:r>
      <w:r w:rsidR="001F40BD">
        <w:t xml:space="preserve"> licence</w:t>
      </w:r>
      <w:r w:rsidR="002C3B89">
        <w:t xml:space="preserve"> </w:t>
      </w:r>
      <w:r w:rsidR="000A1589">
        <w:t>conditions</w:t>
      </w:r>
      <w:r w:rsidR="001F40BD">
        <w:t xml:space="preserve"> for any</w:t>
      </w:r>
      <w:r w:rsidR="005F257F">
        <w:t xml:space="preserve"> wireless broadband </w:t>
      </w:r>
      <w:r w:rsidR="002C3B89">
        <w:t>licen</w:t>
      </w:r>
      <w:r w:rsidR="00432B9F">
        <w:t>c</w:t>
      </w:r>
      <w:r w:rsidR="002C3B89">
        <w:t xml:space="preserve">es </w:t>
      </w:r>
      <w:r w:rsidR="001F40BD">
        <w:t xml:space="preserve">that may be issued in the future </w:t>
      </w:r>
      <w:r w:rsidR="002C3B89">
        <w:t xml:space="preserve">in </w:t>
      </w:r>
      <w:r w:rsidR="001A1C0A">
        <w:t xml:space="preserve">NBN </w:t>
      </w:r>
      <w:r w:rsidR="002C3B89">
        <w:t>gateway footprint areas in the frequency range 27</w:t>
      </w:r>
      <w:r w:rsidR="001A1C0A">
        <w:t>–</w:t>
      </w:r>
      <w:r w:rsidR="002C3B89">
        <w:t>27.5 GHz</w:t>
      </w:r>
      <w:r w:rsidR="000A1589">
        <w:t xml:space="preserve">. </w:t>
      </w:r>
    </w:p>
    <w:p w14:paraId="79B2DA0B" w14:textId="2E243E2C" w:rsidR="003B37F5" w:rsidRDefault="003B37F5" w:rsidP="003B37F5">
      <w:pPr>
        <w:spacing w:before="240" w:after="120" w:line="240" w:lineRule="auto"/>
      </w:pPr>
      <w:r w:rsidRPr="004C6C18">
        <w:t xml:space="preserve">These additional conditions are intended to promote confidence in coexistence by acting as a safeguard against any significant divergence from the wireless broadband models studied. This ensures that the protection being afforded to </w:t>
      </w:r>
      <w:r w:rsidR="001A1C0A">
        <w:t>NBN</w:t>
      </w:r>
      <w:r w:rsidR="001A1C0A" w:rsidRPr="004C6C18">
        <w:t xml:space="preserve"> </w:t>
      </w:r>
      <w:r w:rsidRPr="004C6C18">
        <w:t>gateway uplinks won’t be compromised by a significant divergence between study assumptions and actual wide-area wireless broadband deployments.</w:t>
      </w:r>
      <w:r>
        <w:t xml:space="preserve"> </w:t>
      </w:r>
    </w:p>
    <w:p w14:paraId="1AC5C37A" w14:textId="3F71E0AC" w:rsidR="00972836" w:rsidRPr="005E6E23" w:rsidRDefault="00972836" w:rsidP="00ED64A8">
      <w:pPr>
        <w:pStyle w:val="Heading3"/>
      </w:pPr>
      <w:bookmarkStart w:id="12" w:name="_Toc4664081"/>
      <w:r>
        <w:t>Support</w:t>
      </w:r>
      <w:r w:rsidR="00ED64A8">
        <w:t>ing</w:t>
      </w:r>
      <w:r>
        <w:t xml:space="preserve"> different types of wireless broadband uses</w:t>
      </w:r>
      <w:r w:rsidR="00ED64A8">
        <w:t xml:space="preserve"> through licensing options</w:t>
      </w:r>
      <w:bookmarkEnd w:id="12"/>
      <w:r w:rsidR="00ED64A8">
        <w:t xml:space="preserve"> </w:t>
      </w:r>
    </w:p>
    <w:p w14:paraId="092D1929" w14:textId="0EC4F34A" w:rsidR="005E030C" w:rsidRDefault="00AF4449" w:rsidP="00AE52F4">
      <w:pPr>
        <w:spacing w:after="80"/>
      </w:pPr>
      <w:r>
        <w:t xml:space="preserve">The </w:t>
      </w:r>
      <w:r w:rsidR="00C240F0">
        <w:t>o</w:t>
      </w:r>
      <w:r>
        <w:t>ptions paper identified three broad categories of potential wireless broadband use:</w:t>
      </w:r>
    </w:p>
    <w:p w14:paraId="32CB8A6A" w14:textId="72D191F0" w:rsidR="005E030C" w:rsidRPr="004C1D45" w:rsidRDefault="001A1C0A" w:rsidP="00AE52F4">
      <w:pPr>
        <w:pStyle w:val="ListBullet"/>
      </w:pPr>
      <w:r w:rsidRPr="004C1D45">
        <w:t>t</w:t>
      </w:r>
      <w:r w:rsidR="00AF4449" w:rsidRPr="004C1D45">
        <w:t>ype 1</w:t>
      </w:r>
      <w:r w:rsidRPr="004C1D45">
        <w:t>—</w:t>
      </w:r>
      <w:r w:rsidR="00AF4449" w:rsidRPr="004C1D45">
        <w:t>traditional subscriber-based wide</w:t>
      </w:r>
      <w:r w:rsidR="00757B33" w:rsidRPr="004C1D45">
        <w:t>-</w:t>
      </w:r>
      <w:r w:rsidR="00AF4449" w:rsidRPr="004C1D45">
        <w:t>are</w:t>
      </w:r>
      <w:r w:rsidR="00DA4810" w:rsidRPr="004C1D45">
        <w:t>a</w:t>
      </w:r>
      <w:r w:rsidR="00AF4449" w:rsidRPr="004C1D45">
        <w:t xml:space="preserve"> mobile or fixed network operator deployments</w:t>
      </w:r>
    </w:p>
    <w:p w14:paraId="2074A909" w14:textId="545AC56C" w:rsidR="005E030C" w:rsidRDefault="00AF4449" w:rsidP="004C1D45">
      <w:pPr>
        <w:pStyle w:val="ListBullet"/>
      </w:pPr>
      <w:r w:rsidRPr="004C1D45">
        <w:t>type 2</w:t>
      </w:r>
      <w:r w:rsidR="001A1C0A" w:rsidRPr="004C1D45">
        <w:t>—</w:t>
      </w:r>
      <w:r w:rsidRPr="004C1D45">
        <w:t>smaller market/local subscriber-based networks</w:t>
      </w:r>
    </w:p>
    <w:p w14:paraId="4C94077C" w14:textId="43D9F20E" w:rsidR="005E030C" w:rsidRDefault="00AF4449" w:rsidP="004C1D45">
      <w:pPr>
        <w:pStyle w:val="ListBulletLast"/>
      </w:pPr>
      <w:r>
        <w:t>type 3</w:t>
      </w:r>
      <w:r w:rsidR="001A1C0A">
        <w:t>—</w:t>
      </w:r>
      <w:r w:rsidR="005E030C">
        <w:t xml:space="preserve"> </w:t>
      </w:r>
      <w:r w:rsidRPr="004C1D45">
        <w:t>uncoordinated</w:t>
      </w:r>
      <w:r>
        <w:t xml:space="preserve"> ad hoc deployments within the confines of private premises or property. </w:t>
      </w:r>
    </w:p>
    <w:p w14:paraId="2FE8E24F" w14:textId="51318A6A" w:rsidR="00972836" w:rsidRDefault="00972836" w:rsidP="005E030C">
      <w:r>
        <w:t xml:space="preserve">The ACMA </w:t>
      </w:r>
      <w:r w:rsidR="005E030C">
        <w:t xml:space="preserve">sought feedback </w:t>
      </w:r>
      <w:r>
        <w:t xml:space="preserve">about the appropriateness of different combinations of geographic areas, frequency ranges and licence types to best facilitate access for use cases that achieved coexistence with other uses of the band. </w:t>
      </w:r>
    </w:p>
    <w:p w14:paraId="38B08531" w14:textId="1B27D13D" w:rsidR="00452A02" w:rsidRDefault="005E030C" w:rsidP="007931D1">
      <w:pPr>
        <w:spacing w:before="240" w:after="120" w:line="240" w:lineRule="auto"/>
      </w:pPr>
      <w:r>
        <w:t>T</w:t>
      </w:r>
      <w:r w:rsidR="00266B79">
        <w:t xml:space="preserve">he ACMA </w:t>
      </w:r>
      <w:r w:rsidR="00C33CBB">
        <w:t>con</w:t>
      </w:r>
      <w:r w:rsidR="009E0C4E">
        <w:t>clude</w:t>
      </w:r>
      <w:r w:rsidR="00C33CBB">
        <w:t xml:space="preserve">s </w:t>
      </w:r>
      <w:r w:rsidR="00266B79">
        <w:t>that the</w:t>
      </w:r>
      <w:r w:rsidR="004D7997">
        <w:t xml:space="preserve"> combination of spectrum, apparatus and class licences is the best way to facilitate access to the band for the three wireless broadband user types. </w:t>
      </w:r>
      <w:r w:rsidR="009E0C4E">
        <w:t xml:space="preserve">The </w:t>
      </w:r>
      <w:r w:rsidR="00266B79">
        <w:t>guard band</w:t>
      </w:r>
      <w:r w:rsidR="00F2459F">
        <w:t xml:space="preserve"> to protect passive EESS</w:t>
      </w:r>
      <w:r w:rsidR="00266B79">
        <w:t xml:space="preserve"> with respect to spectrum licensed frequencies </w:t>
      </w:r>
      <w:r w:rsidR="009A3926">
        <w:t>is proposed to</w:t>
      </w:r>
      <w:r w:rsidR="002653BC">
        <w:t xml:space="preserve"> </w:t>
      </w:r>
      <w:r w:rsidR="00266B79">
        <w:t xml:space="preserve">extend to 25.1 GHz, which means that </w:t>
      </w:r>
      <w:r w:rsidR="00CA185B">
        <w:t>spectrum</w:t>
      </w:r>
      <w:r w:rsidR="00F23621">
        <w:t xml:space="preserve"> in the </w:t>
      </w:r>
      <w:r w:rsidR="00F23621">
        <w:lastRenderedPageBreak/>
        <w:t>24.25</w:t>
      </w:r>
      <w:r w:rsidR="001A1C0A">
        <w:t>–</w:t>
      </w:r>
      <w:r w:rsidR="00F23621">
        <w:t xml:space="preserve">25.1 GHz guard band </w:t>
      </w:r>
      <w:r w:rsidR="009A3926">
        <w:t>may</w:t>
      </w:r>
      <w:r w:rsidR="00CA185B">
        <w:t xml:space="preserve"> be used for apparatus and class licensing arrangements better optimised for types 2 and 3 uses.</w:t>
      </w:r>
      <w:r w:rsidR="00F23621">
        <w:t xml:space="preserve"> </w:t>
      </w:r>
    </w:p>
    <w:p w14:paraId="782EFB85" w14:textId="6192D5F1" w:rsidR="004326DF" w:rsidRPr="00C33CBB" w:rsidRDefault="00C33CBB" w:rsidP="00C33CBB">
      <w:pPr>
        <w:spacing w:before="240" w:after="120" w:line="240" w:lineRule="auto"/>
      </w:pPr>
      <w:r w:rsidRPr="00C33CBB">
        <w:t xml:space="preserve">No </w:t>
      </w:r>
      <w:r w:rsidR="000D66D3">
        <w:t xml:space="preserve">immediate </w:t>
      </w:r>
      <w:r w:rsidRPr="00C33CBB">
        <w:t xml:space="preserve">demand emerged from consultations </w:t>
      </w:r>
      <w:r w:rsidR="008C0D85">
        <w:t>to warrant the</w:t>
      </w:r>
      <w:r w:rsidRPr="00C33CBB">
        <w:t xml:space="preserve"> </w:t>
      </w:r>
      <w:r w:rsidR="004326DF" w:rsidRPr="00C33CBB">
        <w:t>implement</w:t>
      </w:r>
      <w:r w:rsidRPr="00C33CBB">
        <w:t xml:space="preserve">ation of </w:t>
      </w:r>
      <w:r w:rsidR="004326DF" w:rsidRPr="00C33CBB">
        <w:t>class licensing</w:t>
      </w:r>
      <w:r w:rsidR="00CE56D8" w:rsidRPr="00C33CBB">
        <w:t xml:space="preserve"> on a</w:t>
      </w:r>
      <w:r w:rsidR="004326DF" w:rsidRPr="00C33CBB">
        <w:t xml:space="preserve"> co-frequency </w:t>
      </w:r>
      <w:r w:rsidR="00CE56D8" w:rsidRPr="00C33CBB">
        <w:t xml:space="preserve">basis </w:t>
      </w:r>
      <w:r w:rsidR="004326DF" w:rsidRPr="00C33CBB">
        <w:t xml:space="preserve">with </w:t>
      </w:r>
      <w:r w:rsidR="009A3926">
        <w:t xml:space="preserve">proposed </w:t>
      </w:r>
      <w:r w:rsidR="004326DF" w:rsidRPr="00C33CBB">
        <w:t>spectrum licensed segments</w:t>
      </w:r>
      <w:r w:rsidRPr="00C33CBB">
        <w:t>.</w:t>
      </w:r>
      <w:r w:rsidR="00A81555" w:rsidRPr="00C33CBB">
        <w:t xml:space="preserve"> </w:t>
      </w:r>
      <w:r w:rsidRPr="00C33CBB">
        <w:t>However</w:t>
      </w:r>
      <w:r w:rsidR="00807AA0">
        <w:t>,</w:t>
      </w:r>
      <w:r w:rsidRPr="00C33CBB">
        <w:t xml:space="preserve"> the ACMA sees value in retaining th</w:t>
      </w:r>
      <w:r w:rsidR="009A3926">
        <w:t>is</w:t>
      </w:r>
      <w:r w:rsidRPr="00C33CBB">
        <w:t xml:space="preserve"> flexibility for innovative uses of the spectrum </w:t>
      </w:r>
      <w:r w:rsidR="009A3926">
        <w:t>that may</w:t>
      </w:r>
      <w:r w:rsidRPr="00C33CBB">
        <w:t xml:space="preserve"> emerge</w:t>
      </w:r>
      <w:r w:rsidR="000D66D3">
        <w:t xml:space="preserve"> over time</w:t>
      </w:r>
      <w:r w:rsidRPr="00C33CBB">
        <w:t xml:space="preserve">, so </w:t>
      </w:r>
      <w:r w:rsidR="00CE56D8" w:rsidRPr="00C33CBB">
        <w:t xml:space="preserve">the ACMA </w:t>
      </w:r>
      <w:r w:rsidR="009A3926">
        <w:t>is considering</w:t>
      </w:r>
      <w:r w:rsidR="00CE56D8" w:rsidRPr="00C33CBB">
        <w:t xml:space="preserve">: </w:t>
      </w:r>
    </w:p>
    <w:p w14:paraId="1883004E" w14:textId="0F550FEC" w:rsidR="00CE56D8" w:rsidRPr="00C33CBB" w:rsidRDefault="00C451F8" w:rsidP="004C1D45">
      <w:pPr>
        <w:pStyle w:val="ListBullet"/>
      </w:pPr>
      <w:r>
        <w:t>A</w:t>
      </w:r>
      <w:r w:rsidR="00CE56D8" w:rsidRPr="00C33CBB">
        <w:t>dd</w:t>
      </w:r>
      <w:r>
        <w:t>ing</w:t>
      </w:r>
      <w:r w:rsidR="00CE56D8" w:rsidRPr="00C33CBB">
        <w:t xml:space="preserve"> the frequency range 24.25</w:t>
      </w:r>
      <w:r>
        <w:t>–</w:t>
      </w:r>
      <w:r w:rsidR="00CE56D8" w:rsidRPr="00C33CBB">
        <w:t xml:space="preserve">25.1 GHz to the </w:t>
      </w:r>
      <w:r w:rsidR="009A3926" w:rsidRPr="00C451F8">
        <w:t xml:space="preserve">Radiocommunications (Low </w:t>
      </w:r>
      <w:r w:rsidR="009A3926" w:rsidRPr="004C1D45">
        <w:t>Interference</w:t>
      </w:r>
      <w:r w:rsidR="009A3926" w:rsidRPr="00C451F8">
        <w:t xml:space="preserve"> Potential Devices) Class Licence 2015</w:t>
      </w:r>
      <w:r w:rsidR="009A3926">
        <w:rPr>
          <w:i/>
        </w:rPr>
        <w:t xml:space="preserve"> </w:t>
      </w:r>
      <w:r w:rsidR="009A3926">
        <w:t>(</w:t>
      </w:r>
      <w:r w:rsidR="00CE56D8" w:rsidRPr="00C33CBB">
        <w:t>LIPD class licence</w:t>
      </w:r>
      <w:r w:rsidR="009A3926">
        <w:t>)</w:t>
      </w:r>
      <w:r w:rsidR="00CE56D8" w:rsidRPr="00C33CBB">
        <w:t xml:space="preserve"> to enable type 3 services, should </w:t>
      </w:r>
      <w:r w:rsidR="00C33CBB" w:rsidRPr="00C33CBB">
        <w:t xml:space="preserve">additional </w:t>
      </w:r>
      <w:r w:rsidR="00CE56D8" w:rsidRPr="00C33CBB">
        <w:t xml:space="preserve">demand </w:t>
      </w:r>
      <w:r w:rsidR="00C33CBB" w:rsidRPr="00C33CBB">
        <w:t>emerge</w:t>
      </w:r>
      <w:r>
        <w:t xml:space="preserve">. This would be </w:t>
      </w:r>
      <w:r w:rsidR="00CE56D8" w:rsidRPr="00C33CBB">
        <w:t>limited to indoor use</w:t>
      </w:r>
      <w:r>
        <w:t xml:space="preserve"> </w:t>
      </w:r>
      <w:r w:rsidR="00CE56D8" w:rsidRPr="00C33CBB">
        <w:t>only between 24.25 and 24.7 GHz to protect passive EESS operating in 23.6</w:t>
      </w:r>
      <w:r>
        <w:t>–</w:t>
      </w:r>
      <w:r w:rsidR="00CE56D8" w:rsidRPr="00C33CBB">
        <w:t>24 GHz</w:t>
      </w:r>
      <w:r>
        <w:t>.</w:t>
      </w:r>
    </w:p>
    <w:p w14:paraId="55547903" w14:textId="0E6BF24B" w:rsidR="00CE56D8" w:rsidRPr="00C33CBB" w:rsidRDefault="00C451F8" w:rsidP="004C1D45">
      <w:pPr>
        <w:pStyle w:val="ListBulletLast"/>
      </w:pPr>
      <w:r>
        <w:t>E</w:t>
      </w:r>
      <w:r w:rsidR="000D66D3">
        <w:t>ngag</w:t>
      </w:r>
      <w:r>
        <w:t>ing</w:t>
      </w:r>
      <w:r w:rsidR="000D66D3">
        <w:t xml:space="preserve"> further with equipment manufacturers and industry operators</w:t>
      </w:r>
      <w:r w:rsidR="00CE56D8" w:rsidRPr="00C33CBB">
        <w:t xml:space="preserve"> to provide further </w:t>
      </w:r>
      <w:r w:rsidR="00CE56D8" w:rsidRPr="004C1D45">
        <w:t>opportunity</w:t>
      </w:r>
      <w:r w:rsidR="00CE56D8" w:rsidRPr="00C33CBB">
        <w:t xml:space="preserve"> to ascertain potential </w:t>
      </w:r>
      <w:r w:rsidR="00305089" w:rsidRPr="00C33CBB">
        <w:t>demand</w:t>
      </w:r>
      <w:r w:rsidR="000D66D3">
        <w:t>. Should</w:t>
      </w:r>
      <w:r w:rsidR="00305089" w:rsidRPr="00C33CBB">
        <w:t xml:space="preserve"> demand exceed the </w:t>
      </w:r>
      <w:r w:rsidR="000D66D3">
        <w:t xml:space="preserve">proposed </w:t>
      </w:r>
      <w:r w:rsidR="00305089" w:rsidRPr="00C33CBB">
        <w:t>850 MHz (450 MHz indoor only, 400 MHz indoor/outdoor)</w:t>
      </w:r>
      <w:r w:rsidR="00C721D7">
        <w:t xml:space="preserve"> use</w:t>
      </w:r>
      <w:r w:rsidR="00305089" w:rsidRPr="00C33CBB">
        <w:t xml:space="preserve">, </w:t>
      </w:r>
      <w:r w:rsidR="000D66D3">
        <w:t xml:space="preserve">the ACMA may </w:t>
      </w:r>
      <w:r w:rsidR="00305089" w:rsidRPr="00C33CBB">
        <w:t xml:space="preserve">consider </w:t>
      </w:r>
      <w:r w:rsidR="00504734" w:rsidRPr="00C33CBB">
        <w:t xml:space="preserve">expanding </w:t>
      </w:r>
      <w:r w:rsidR="000E7996" w:rsidRPr="00C33CBB">
        <w:t xml:space="preserve">class licensing arrangements </w:t>
      </w:r>
      <w:r w:rsidR="00504734" w:rsidRPr="00C33CBB">
        <w:t>into the spectrum</w:t>
      </w:r>
      <w:r w:rsidR="000E7996" w:rsidRPr="00C33CBB">
        <w:t>-</w:t>
      </w:r>
      <w:r w:rsidR="00504734" w:rsidRPr="00C33CBB">
        <w:t xml:space="preserve">licensed segment </w:t>
      </w:r>
      <w:r w:rsidR="000E7996" w:rsidRPr="00C33CBB">
        <w:t>above 25.1 GHz</w:t>
      </w:r>
      <w:r w:rsidR="00C721D7">
        <w:t>. A</w:t>
      </w:r>
      <w:r w:rsidR="000D66D3">
        <w:t xml:space="preserve">ny further extension of the proposed class licensing arrangements </w:t>
      </w:r>
      <w:r w:rsidR="00D76C30">
        <w:t>will preferably be</w:t>
      </w:r>
      <w:r w:rsidR="00DE400E">
        <w:t xml:space="preserve"> </w:t>
      </w:r>
      <w:r w:rsidR="000D66D3">
        <w:t>finalised prior to</w:t>
      </w:r>
      <w:r w:rsidR="00E408C5">
        <w:t xml:space="preserve"> any decision by the </w:t>
      </w:r>
      <w:r w:rsidR="000242BD">
        <w:t>M</w:t>
      </w:r>
      <w:r w:rsidR="00E408C5">
        <w:t xml:space="preserve">inister </w:t>
      </w:r>
      <w:r w:rsidR="00F10DFF">
        <w:t xml:space="preserve">for Communications </w:t>
      </w:r>
      <w:r w:rsidR="00E408C5">
        <w:t>to</w:t>
      </w:r>
      <w:r w:rsidR="00D76C30">
        <w:t xml:space="preserve"> reallocate that segment</w:t>
      </w:r>
      <w:r w:rsidR="00E408C5">
        <w:t xml:space="preserve"> for spectrum </w:t>
      </w:r>
      <w:r w:rsidR="00D76C30">
        <w:t>licensing</w:t>
      </w:r>
      <w:r w:rsidR="000D66D3">
        <w:t>.</w:t>
      </w:r>
    </w:p>
    <w:p w14:paraId="6839FF4C" w14:textId="7DE1FEC0" w:rsidR="00C33CBB" w:rsidRPr="00C33CBB" w:rsidRDefault="000F069C" w:rsidP="00EE623C">
      <w:pPr>
        <w:spacing w:before="240" w:after="120" w:line="240" w:lineRule="auto"/>
      </w:pPr>
      <w:r>
        <w:t>T</w:t>
      </w:r>
      <w:r w:rsidR="00CE6A7F" w:rsidRPr="00C33CBB">
        <w:t>hese combined measure</w:t>
      </w:r>
      <w:r w:rsidR="005C0D2A">
        <w:t>s, if implemented, will</w:t>
      </w:r>
      <w:r w:rsidR="00CE6A7F" w:rsidRPr="00C33CBB">
        <w:t xml:space="preserve"> </w:t>
      </w:r>
      <w:r w:rsidR="000E7996" w:rsidRPr="00C33CBB">
        <w:t>segment the band into apparatus and spectrum licenced frequency ranges</w:t>
      </w:r>
      <w:r w:rsidR="00497259" w:rsidRPr="00C33CBB">
        <w:t xml:space="preserve"> (with the boundary between the two at 25.1 GHz)</w:t>
      </w:r>
      <w:r w:rsidR="000E7996" w:rsidRPr="00C33CBB">
        <w:t>, with the addition of some lower-frequency class licensing</w:t>
      </w:r>
      <w:r w:rsidR="00CE6A7F" w:rsidRPr="00C33CBB">
        <w:t xml:space="preserve">. </w:t>
      </w:r>
    </w:p>
    <w:p w14:paraId="679D43DD" w14:textId="5E3AD27A" w:rsidR="000E7996" w:rsidRDefault="00C33CBB" w:rsidP="00EE623C">
      <w:pPr>
        <w:spacing w:before="240" w:after="120" w:line="240" w:lineRule="auto"/>
      </w:pPr>
      <w:r w:rsidRPr="00C33CBB">
        <w:t>This</w:t>
      </w:r>
      <w:r w:rsidR="00497259" w:rsidRPr="00C33CBB">
        <w:t xml:space="preserve"> </w:t>
      </w:r>
      <w:r w:rsidR="005C0D2A">
        <w:t>proposal would see</w:t>
      </w:r>
      <w:r w:rsidR="00497259" w:rsidRPr="00C33CBB">
        <w:t xml:space="preserve"> 2.4 GHz (25.1</w:t>
      </w:r>
      <w:r w:rsidR="00F10DFF">
        <w:t>–</w:t>
      </w:r>
      <w:r w:rsidR="00497259" w:rsidRPr="00C33CBB">
        <w:t xml:space="preserve">27.5 GHz) </w:t>
      </w:r>
      <w:r w:rsidR="005C0D2A">
        <w:t>being made</w:t>
      </w:r>
      <w:r w:rsidR="00497259" w:rsidRPr="00C33CBB">
        <w:t xml:space="preserve"> available for spectrum licensing for provision of type 1 services.</w:t>
      </w:r>
    </w:p>
    <w:p w14:paraId="4EC74EA9" w14:textId="20A9F2EB" w:rsidR="002623D0" w:rsidRPr="00AF0E23" w:rsidRDefault="002623D0" w:rsidP="00AF0E23">
      <w:pPr>
        <w:pStyle w:val="Heading3"/>
      </w:pPr>
      <w:bookmarkStart w:id="13" w:name="_Toc4664082"/>
      <w:r w:rsidRPr="00AF0E23">
        <w:t xml:space="preserve">ACMA </w:t>
      </w:r>
      <w:r w:rsidR="008B1C2D" w:rsidRPr="00AF0E23">
        <w:t xml:space="preserve">planning </w:t>
      </w:r>
      <w:r w:rsidRPr="00AF0E23">
        <w:t>decisions and preliminary views</w:t>
      </w:r>
      <w:bookmarkEnd w:id="13"/>
      <w:r w:rsidRPr="00AF0E23">
        <w:t xml:space="preserve"> </w:t>
      </w:r>
    </w:p>
    <w:p w14:paraId="5985F567" w14:textId="2FE492E9" w:rsidR="000A5D74" w:rsidRDefault="00EE623C" w:rsidP="00AE52F4">
      <w:pPr>
        <w:spacing w:after="80"/>
      </w:pPr>
      <w:r>
        <w:t xml:space="preserve">Pursuant to the ACMA’s </w:t>
      </w:r>
      <w:r w:rsidR="00F731A4">
        <w:t>powers</w:t>
      </w:r>
      <w:r>
        <w:t xml:space="preserve"> under the </w:t>
      </w:r>
      <w:r>
        <w:rPr>
          <w:i/>
        </w:rPr>
        <w:t xml:space="preserve">Radiocommunications Act 1992, </w:t>
      </w:r>
      <w:r w:rsidR="00CE6A7F">
        <w:t xml:space="preserve">the necessary steps to implement </w:t>
      </w:r>
      <w:r w:rsidR="00F731A4">
        <w:t>the planning decisions</w:t>
      </w:r>
      <w:r>
        <w:t xml:space="preserve"> presented </w:t>
      </w:r>
      <w:r w:rsidR="00CE6A7F">
        <w:t xml:space="preserve">in this paper </w:t>
      </w:r>
      <w:r w:rsidR="00F731A4">
        <w:t>(and outlined above) take</w:t>
      </w:r>
      <w:r w:rsidR="00CE6A7F">
        <w:t xml:space="preserve"> the form of</w:t>
      </w:r>
      <w:r>
        <w:t xml:space="preserve"> a suite of </w:t>
      </w:r>
      <w:r w:rsidR="008564D8">
        <w:t>planning</w:t>
      </w:r>
      <w:r w:rsidR="00B42C36">
        <w:t xml:space="preserve"> </w:t>
      </w:r>
      <w:r w:rsidRPr="00B42C36">
        <w:t>decisions</w:t>
      </w:r>
      <w:r w:rsidR="008564D8">
        <w:t>, intentions</w:t>
      </w:r>
      <w:r>
        <w:t xml:space="preserve"> and</w:t>
      </w:r>
      <w:r w:rsidR="00F731A4">
        <w:t xml:space="preserve"> preliminary views</w:t>
      </w:r>
      <w:r w:rsidR="001D4626">
        <w:t>.</w:t>
      </w:r>
      <w:r>
        <w:rPr>
          <w:i/>
        </w:rPr>
        <w:t xml:space="preserve"> </w:t>
      </w:r>
      <w:r w:rsidR="001D4626">
        <w:t xml:space="preserve">These include </w:t>
      </w:r>
      <w:r w:rsidRPr="00B44AF3">
        <w:t>decisions</w:t>
      </w:r>
      <w:r>
        <w:rPr>
          <w:i/>
        </w:rPr>
        <w:t xml:space="preserve"> </w:t>
      </w:r>
      <w:r w:rsidR="00B42C36">
        <w:t>that must be made</w:t>
      </w:r>
      <w:r>
        <w:t xml:space="preserve"> by the </w:t>
      </w:r>
      <w:r w:rsidR="00F10DFF">
        <w:t xml:space="preserve">ACMA </w:t>
      </w:r>
      <w:r>
        <w:t xml:space="preserve">Authority </w:t>
      </w:r>
      <w:r w:rsidR="00B42C36">
        <w:t>in</w:t>
      </w:r>
      <w:r>
        <w:t xml:space="preserve"> exercise </w:t>
      </w:r>
      <w:r w:rsidR="00B42C36">
        <w:t xml:space="preserve">of </w:t>
      </w:r>
      <w:r>
        <w:t>its</w:t>
      </w:r>
      <w:r w:rsidR="00B42C36">
        <w:t xml:space="preserve"> statutory</w:t>
      </w:r>
      <w:r>
        <w:t xml:space="preserve"> powers to </w:t>
      </w:r>
      <w:r w:rsidR="00533C35">
        <w:t xml:space="preserve">progress </w:t>
      </w:r>
      <w:r>
        <w:t>apparatus and class licensing aspects</w:t>
      </w:r>
      <w:r w:rsidR="00533C35">
        <w:t xml:space="preserve"> of these planning decisions</w:t>
      </w:r>
      <w:r>
        <w:t xml:space="preserve"> and </w:t>
      </w:r>
      <w:r w:rsidR="00B42C36">
        <w:t>making</w:t>
      </w:r>
      <w:r>
        <w:t xml:space="preserve"> recommendations, as appropriate, to the Minister for Communications towards implementing the spectrum licence aspects.</w:t>
      </w:r>
      <w:r w:rsidR="00CE6A7F">
        <w:t xml:space="preserve"> Ultimately, </w:t>
      </w:r>
      <w:r w:rsidR="00B42C36">
        <w:t xml:space="preserve">if the ACMA and the </w:t>
      </w:r>
      <w:r w:rsidR="00F10DFF">
        <w:t>m</w:t>
      </w:r>
      <w:r w:rsidR="00B42C36">
        <w:t xml:space="preserve">inister make the relevant decisions, </w:t>
      </w:r>
      <w:r w:rsidR="00CE6A7F">
        <w:t xml:space="preserve">this combination of measures </w:t>
      </w:r>
      <w:r w:rsidR="00B42C36">
        <w:t>could</w:t>
      </w:r>
      <w:r w:rsidR="00CE6A7F">
        <w:t xml:space="preserve"> result in the following band structure</w:t>
      </w:r>
      <w:r w:rsidR="00375046">
        <w:t xml:space="preserve"> (also depicted in Figure 1)</w:t>
      </w:r>
      <w:r w:rsidR="00CE6A7F">
        <w:t>:</w:t>
      </w:r>
    </w:p>
    <w:p w14:paraId="2315BB91" w14:textId="5C7B2352" w:rsidR="00CE6A7F" w:rsidRPr="004C1D45" w:rsidRDefault="00CE6A7F" w:rsidP="004C1D45">
      <w:pPr>
        <w:pStyle w:val="ListBullet"/>
      </w:pPr>
      <w:r w:rsidRPr="004C1D45">
        <w:t>24.</w:t>
      </w:r>
      <w:r w:rsidR="00866008" w:rsidRPr="004C1D45">
        <w:t>2</w:t>
      </w:r>
      <w:r w:rsidRPr="004C1D45">
        <w:t>5</w:t>
      </w:r>
      <w:r w:rsidR="00F10DFF" w:rsidRPr="004C1D45">
        <w:t>–</w:t>
      </w:r>
      <w:r w:rsidRPr="004C1D45">
        <w:t>24.7 GHz</w:t>
      </w:r>
      <w:r w:rsidR="00F10DFF" w:rsidRPr="004C1D45">
        <w:t>—</w:t>
      </w:r>
      <w:r w:rsidRPr="004C1D45">
        <w:t xml:space="preserve">class licensed access </w:t>
      </w:r>
      <w:r w:rsidR="009771C5" w:rsidRPr="004C1D45">
        <w:t xml:space="preserve">for wireless broadband limited </w:t>
      </w:r>
      <w:r w:rsidR="009F1E92" w:rsidRPr="004C1D45">
        <w:t xml:space="preserve">to private property </w:t>
      </w:r>
      <w:r w:rsidR="009F1E92" w:rsidRPr="004C1D45">
        <w:rPr>
          <w:rStyle w:val="Hyperlink"/>
          <w:color w:val="auto"/>
          <w:u w:val="none"/>
        </w:rPr>
        <w:t xml:space="preserve">(including domestic, industrial, business, commercial and government) and restricted </w:t>
      </w:r>
      <w:r w:rsidR="009771C5" w:rsidRPr="004C1D45">
        <w:t xml:space="preserve">to </w:t>
      </w:r>
      <w:r w:rsidRPr="004C1D45">
        <w:t>indoor use only (Australia-wide)</w:t>
      </w:r>
    </w:p>
    <w:p w14:paraId="127EF225" w14:textId="5BFA1CC9" w:rsidR="00CE6A7F" w:rsidRPr="004C1D45" w:rsidRDefault="00CE6A7F" w:rsidP="004C1D45">
      <w:pPr>
        <w:pStyle w:val="ListBullet"/>
      </w:pPr>
      <w:r w:rsidRPr="004C1D45">
        <w:t>24.7</w:t>
      </w:r>
      <w:r w:rsidR="00F10DFF" w:rsidRPr="004C1D45">
        <w:t>–</w:t>
      </w:r>
      <w:r w:rsidRPr="004C1D45">
        <w:t>25.1 GHz</w:t>
      </w:r>
      <w:r w:rsidR="00F10DFF" w:rsidRPr="004C1D45">
        <w:t>—</w:t>
      </w:r>
      <w:r w:rsidR="00B44AF3" w:rsidRPr="004C1D45">
        <w:t xml:space="preserve">apparatus licensing, potentially using a new </w:t>
      </w:r>
      <w:r w:rsidR="00D10C62" w:rsidRPr="004C1D45">
        <w:t>‘</w:t>
      </w:r>
      <w:r w:rsidR="00AD43F2" w:rsidRPr="004C1D45">
        <w:t>spectrum-space</w:t>
      </w:r>
      <w:r w:rsidR="00D10C62" w:rsidRPr="004C1D45">
        <w:t>’</w:t>
      </w:r>
      <w:r w:rsidRPr="004C1D45">
        <w:t xml:space="preserve"> apparatus licen</w:t>
      </w:r>
      <w:r w:rsidR="00B44AF3" w:rsidRPr="004C1D45">
        <w:t>ce type</w:t>
      </w:r>
      <w:r w:rsidR="004C1D45" w:rsidRPr="004C1D45">
        <w:t xml:space="preserve"> </w:t>
      </w:r>
      <w:r w:rsidR="00AD43F2" w:rsidRPr="004C1D45">
        <w:rPr>
          <w:rStyle w:val="FootnoteReference"/>
          <w:vertAlign w:val="baseline"/>
        </w:rPr>
        <w:footnoteReference w:id="3"/>
      </w:r>
      <w:r w:rsidRPr="004C1D45">
        <w:t xml:space="preserve"> and co-frequency class licensing (indoor and outdoor use</w:t>
      </w:r>
      <w:r w:rsidR="009F1E92" w:rsidRPr="004C1D45">
        <w:t>)</w:t>
      </w:r>
      <w:r w:rsidR="00813E7E" w:rsidRPr="004C1D45">
        <w:t xml:space="preserve"> limited to </w:t>
      </w:r>
      <w:r w:rsidR="00866008" w:rsidRPr="004C1D45">
        <w:t>p</w:t>
      </w:r>
      <w:r w:rsidR="00A16C42" w:rsidRPr="004C1D45">
        <w:t>rivate property</w:t>
      </w:r>
      <w:r w:rsidR="009F1E92" w:rsidRPr="004C1D45">
        <w:t xml:space="preserve"> </w:t>
      </w:r>
      <w:r w:rsidR="009F1E92" w:rsidRPr="004C1D45">
        <w:rPr>
          <w:rStyle w:val="Hyperlink"/>
          <w:color w:val="auto"/>
          <w:u w:val="none"/>
        </w:rPr>
        <w:t>(including domestic, industrial, business, commercial and government)</w:t>
      </w:r>
      <w:r w:rsidR="009771C5" w:rsidRPr="004C1D45">
        <w:t xml:space="preserve"> for wireless broadband</w:t>
      </w:r>
      <w:r w:rsidRPr="004C1D45">
        <w:t xml:space="preserve"> </w:t>
      </w:r>
      <w:r w:rsidR="00813E7E" w:rsidRPr="004C1D45">
        <w:t>(</w:t>
      </w:r>
      <w:r w:rsidRPr="004C1D45">
        <w:t>Australia-wide)</w:t>
      </w:r>
    </w:p>
    <w:p w14:paraId="1E5B3490" w14:textId="0461A8E9" w:rsidR="00CE6A7F" w:rsidRDefault="00CE6A7F" w:rsidP="004C1D45">
      <w:pPr>
        <w:pStyle w:val="ListBullet"/>
      </w:pPr>
      <w:r w:rsidRPr="004C1D45">
        <w:t>25.1</w:t>
      </w:r>
      <w:r w:rsidR="0062314B" w:rsidRPr="004C1D45">
        <w:t>–</w:t>
      </w:r>
      <w:r w:rsidRPr="004C1D45">
        <w:t>27 GHz</w:t>
      </w:r>
      <w:r w:rsidR="00536C82" w:rsidRPr="004C1D45">
        <w:t>—</w:t>
      </w:r>
      <w:r w:rsidRPr="004C1D45">
        <w:t xml:space="preserve">spectrum licensing for </w:t>
      </w:r>
      <w:r w:rsidR="009771C5" w:rsidRPr="004C1D45">
        <w:t>wide</w:t>
      </w:r>
      <w:r w:rsidR="00DC294C" w:rsidRPr="004C1D45">
        <w:t>-</w:t>
      </w:r>
      <w:r w:rsidR="009771C5" w:rsidRPr="004C1D45">
        <w:t xml:space="preserve">area wireless broadband </w:t>
      </w:r>
      <w:r w:rsidRPr="004C1D45">
        <w:t>in metropolitan areas and large regional centres</w:t>
      </w:r>
      <w:r w:rsidR="009771C5" w:rsidRPr="004C1D45">
        <w:t xml:space="preserve"> (referred to as defined areas in</w:t>
      </w:r>
      <w:r w:rsidR="00427057" w:rsidRPr="004C1D45">
        <w:t xml:space="preserve"> </w:t>
      </w:r>
      <w:r w:rsidR="009771C5" w:rsidRPr="004C1D45">
        <w:t>this paper</w:t>
      </w:r>
      <w:r w:rsidR="00A5161A" w:rsidRPr="004C1D45">
        <w:t>)</w:t>
      </w:r>
      <w:r w:rsidR="00427057" w:rsidRPr="004C1D45">
        <w:t xml:space="preserve">. </w:t>
      </w:r>
      <w:r w:rsidR="006B3655" w:rsidRPr="004C1D45">
        <w:t>A</w:t>
      </w:r>
      <w:r w:rsidRPr="004C1D45">
        <w:t>pparatus licensing</w:t>
      </w:r>
      <w:r w:rsidR="006B3655" w:rsidRPr="004C1D45">
        <w:t xml:space="preserve"> (</w:t>
      </w:r>
      <w:r w:rsidR="008E17BC" w:rsidRPr="004C1D45">
        <w:t xml:space="preserve">potentially </w:t>
      </w:r>
      <w:r w:rsidR="006B3655" w:rsidRPr="004C1D45">
        <w:t>using a new spectrum-space apparatus licence type)</w:t>
      </w:r>
      <w:r w:rsidR="00427057" w:rsidRPr="004C1D45">
        <w:t xml:space="preserve"> for wireless broadband elsewhere.</w:t>
      </w:r>
      <w:r w:rsidR="00BF6637" w:rsidRPr="004C1D45">
        <w:t xml:space="preserve"> Existing SRS earth stations </w:t>
      </w:r>
      <w:r w:rsidR="00052B87" w:rsidRPr="004C1D45">
        <w:t>in the range 25.5</w:t>
      </w:r>
      <w:r w:rsidR="0062314B" w:rsidRPr="004C1D45">
        <w:t>–</w:t>
      </w:r>
      <w:r w:rsidR="00052B87" w:rsidRPr="004C1D45">
        <w:t xml:space="preserve">27 GHz will be able to </w:t>
      </w:r>
      <w:r w:rsidR="00BF6637" w:rsidRPr="004C1D45">
        <w:t>continue to operate</w:t>
      </w:r>
      <w:r w:rsidR="00052B87" w:rsidRPr="004C1D45">
        <w:t xml:space="preserve"> </w:t>
      </w:r>
      <w:r w:rsidR="004A79A8" w:rsidRPr="004C1D45">
        <w:t xml:space="preserve">with </w:t>
      </w:r>
      <w:r w:rsidR="00D26D35" w:rsidRPr="004C1D45">
        <w:t xml:space="preserve">proposed licence </w:t>
      </w:r>
      <w:r w:rsidR="00052B87" w:rsidRPr="004C1D45">
        <w:t xml:space="preserve">conditions </w:t>
      </w:r>
      <w:r w:rsidR="0019394A" w:rsidRPr="004C1D45">
        <w:t xml:space="preserve">included </w:t>
      </w:r>
      <w:r w:rsidR="00052B87" w:rsidRPr="004C1D45">
        <w:t>on</w:t>
      </w:r>
      <w:r w:rsidR="00D26D35" w:rsidRPr="004C1D45">
        <w:t xml:space="preserve"> new</w:t>
      </w:r>
      <w:r w:rsidR="00052B87" w:rsidRPr="004C1D45">
        <w:t xml:space="preserve"> wireless broadband licences to ensure coexistence</w:t>
      </w:r>
      <w:r w:rsidR="00A5161A" w:rsidRPr="004C1D45">
        <w:t>.</w:t>
      </w:r>
      <w:r w:rsidR="004409EC" w:rsidRPr="004C1D45">
        <w:rPr>
          <w:rStyle w:val="FootnoteReference"/>
          <w:vertAlign w:val="baseline"/>
        </w:rPr>
        <w:footnoteReference w:id="4"/>
      </w:r>
      <w:r w:rsidR="00A5161A" w:rsidRPr="004C1D45">
        <w:t xml:space="preserve"> </w:t>
      </w:r>
      <w:r w:rsidR="00A5161A" w:rsidRPr="004C1D45">
        <w:lastRenderedPageBreak/>
        <w:t>New SRS earth stations (if any)</w:t>
      </w:r>
      <w:r w:rsidR="00D26D35" w:rsidRPr="004C1D45">
        <w:t xml:space="preserve"> may</w:t>
      </w:r>
      <w:r w:rsidR="00A5161A" w:rsidRPr="004C1D45">
        <w:t xml:space="preserve"> also be permitted on a first-in-time coordinated basis outside of defined areas (note that ‘defined areas’ pertains to areas potentially subject to spectrum licensing)</w:t>
      </w:r>
    </w:p>
    <w:p w14:paraId="13C97821" w14:textId="50798B6C" w:rsidR="00CE6A7F" w:rsidRDefault="00CE6A7F" w:rsidP="004C1D45">
      <w:pPr>
        <w:pStyle w:val="ListBulletLast"/>
      </w:pPr>
      <w:r>
        <w:t>27</w:t>
      </w:r>
      <w:r w:rsidR="0062314B">
        <w:t>–</w:t>
      </w:r>
      <w:r>
        <w:t>27.5 GHz</w:t>
      </w:r>
      <w:r w:rsidR="0062314B">
        <w:t>—a</w:t>
      </w:r>
      <w:r>
        <w:t>s for</w:t>
      </w:r>
      <w:r w:rsidR="0062314B">
        <w:t xml:space="preserve"> the</w:t>
      </w:r>
      <w:r>
        <w:t xml:space="preserve"> 25.1</w:t>
      </w:r>
      <w:r w:rsidR="0062314B">
        <w:t>–</w:t>
      </w:r>
      <w:r>
        <w:t xml:space="preserve">27 GHz </w:t>
      </w:r>
      <w:r w:rsidR="0062314B">
        <w:t xml:space="preserve">band </w:t>
      </w:r>
      <w:r>
        <w:t xml:space="preserve">but with additional </w:t>
      </w:r>
      <w:r w:rsidR="00D26D35">
        <w:t xml:space="preserve">proposed licence </w:t>
      </w:r>
      <w:r>
        <w:t xml:space="preserve">conditions </w:t>
      </w:r>
      <w:r w:rsidR="00497259">
        <w:t>applied</w:t>
      </w:r>
      <w:r>
        <w:t xml:space="preserve"> </w:t>
      </w:r>
      <w:r w:rsidR="00D26D35">
        <w:t xml:space="preserve">to wireless broadband licences </w:t>
      </w:r>
      <w:r>
        <w:t xml:space="preserve">within </w:t>
      </w:r>
      <w:r w:rsidR="0062314B">
        <w:t xml:space="preserve">NBN </w:t>
      </w:r>
      <w:r>
        <w:t xml:space="preserve">satellite gateway uplink </w:t>
      </w:r>
      <w:r w:rsidRPr="004C1D45">
        <w:t>footprints</w:t>
      </w:r>
      <w:r>
        <w:t>.</w:t>
      </w:r>
      <w:r w:rsidR="00052B87" w:rsidRPr="00052B87">
        <w:t xml:space="preserve"> </w:t>
      </w:r>
      <w:r w:rsidR="000C36B1">
        <w:t>Existing FSS</w:t>
      </w:r>
      <w:r w:rsidR="004A79A8">
        <w:t xml:space="preserve"> earth stations</w:t>
      </w:r>
      <w:r w:rsidR="000C36B1">
        <w:t xml:space="preserve"> can continue to operate in the band. </w:t>
      </w:r>
      <w:r w:rsidR="00052B87">
        <w:t>New FSS earth stations</w:t>
      </w:r>
      <w:r w:rsidR="00DC76E1">
        <w:t xml:space="preserve"> may</w:t>
      </w:r>
      <w:r w:rsidR="00052B87">
        <w:t xml:space="preserve"> also be permitted on a first-in-time coordinated basis outside of </w:t>
      </w:r>
      <w:r w:rsidR="0084495F">
        <w:t>defined</w:t>
      </w:r>
      <w:r w:rsidR="00940DA9">
        <w:t xml:space="preserve"> </w:t>
      </w:r>
      <w:r w:rsidR="00052B87">
        <w:t>areas</w:t>
      </w:r>
      <w:r w:rsidR="0084495F">
        <w:t xml:space="preserve"> (note that ‘defined areas’ pertains to areas potentially subject to spectrum licensing)</w:t>
      </w:r>
      <w:r w:rsidR="00052B87">
        <w:t>.</w:t>
      </w:r>
    </w:p>
    <w:p w14:paraId="057A2F61" w14:textId="0F9A40BB" w:rsidR="00EB5785" w:rsidRDefault="00EB5785" w:rsidP="00EB5785">
      <w:pPr>
        <w:pStyle w:val="ACMAFigureHeader"/>
      </w:pPr>
      <w:r>
        <w:t xml:space="preserve">Planned arrangements for wireless broadband services in the </w:t>
      </w:r>
      <w:r w:rsidR="00C527B9">
        <w:br/>
      </w:r>
      <w:r>
        <w:t>26 GHz band</w:t>
      </w:r>
    </w:p>
    <w:p w14:paraId="3B784467" w14:textId="77777777" w:rsidR="00EB5785" w:rsidRDefault="00EB5785" w:rsidP="00EB5785">
      <w:pPr>
        <w:pStyle w:val="ListBullet"/>
        <w:numPr>
          <w:ilvl w:val="0"/>
          <w:numId w:val="0"/>
        </w:numPr>
        <w:spacing w:before="120" w:after="120" w:line="240" w:lineRule="auto"/>
      </w:pPr>
      <w:r>
        <w:rPr>
          <w:noProof/>
        </w:rPr>
        <w:drawing>
          <wp:inline distT="0" distB="0" distL="0" distR="0" wp14:anchorId="58CAC30A" wp14:editId="6BA9FDE8">
            <wp:extent cx="4858385" cy="1528445"/>
            <wp:effectExtent l="0" t="0" r="0" b="0"/>
            <wp:docPr id="10" name="Picture 10" descr="Planned arrangements for wireless broadband services in the &#10;26 GHz ban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58385" cy="1528445"/>
                    </a:xfrm>
                    <a:prstGeom prst="rect">
                      <a:avLst/>
                    </a:prstGeom>
                    <a:noFill/>
                    <a:ln>
                      <a:noFill/>
                    </a:ln>
                  </pic:spPr>
                </pic:pic>
              </a:graphicData>
            </a:graphic>
          </wp:inline>
        </w:drawing>
      </w:r>
    </w:p>
    <w:p w14:paraId="0FE4E4AF" w14:textId="61E698A1" w:rsidR="00EB5785" w:rsidRDefault="00EB5785" w:rsidP="001A086D">
      <w:pPr>
        <w:pStyle w:val="ListBullet"/>
        <w:numPr>
          <w:ilvl w:val="0"/>
          <w:numId w:val="12"/>
        </w:numPr>
        <w:spacing w:before="120" w:after="120" w:line="240" w:lineRule="auto"/>
      </w:pPr>
      <w:r>
        <w:t xml:space="preserve">Class-licensing for indoor use </w:t>
      </w:r>
      <w:r w:rsidR="0062314B">
        <w:t>(</w:t>
      </w:r>
      <w:r>
        <w:t>Australia-wide</w:t>
      </w:r>
      <w:r w:rsidR="0062314B">
        <w:t>).</w:t>
      </w:r>
    </w:p>
    <w:p w14:paraId="5B25C911" w14:textId="667A55FE" w:rsidR="00EB5785" w:rsidRDefault="00EB5785" w:rsidP="001A086D">
      <w:pPr>
        <w:pStyle w:val="ListBullet"/>
        <w:numPr>
          <w:ilvl w:val="0"/>
          <w:numId w:val="13"/>
        </w:numPr>
        <w:spacing w:before="120" w:after="120" w:line="240" w:lineRule="auto"/>
      </w:pPr>
      <w:r>
        <w:t xml:space="preserve">Class-licensing for indoor and outdoor use </w:t>
      </w:r>
      <w:r w:rsidR="0062314B">
        <w:t>(</w:t>
      </w:r>
      <w:r>
        <w:t>Australia-wide</w:t>
      </w:r>
      <w:r w:rsidR="0062314B">
        <w:t>).</w:t>
      </w:r>
    </w:p>
    <w:p w14:paraId="539F738E" w14:textId="7E41D4A0" w:rsidR="00EB5785" w:rsidRDefault="00EB5785" w:rsidP="001A086D">
      <w:pPr>
        <w:pStyle w:val="ListBullet"/>
        <w:numPr>
          <w:ilvl w:val="0"/>
          <w:numId w:val="14"/>
        </w:numPr>
        <w:spacing w:before="120" w:after="120" w:line="240" w:lineRule="auto"/>
      </w:pPr>
      <w:r>
        <w:t>Spectrum licensing</w:t>
      </w:r>
      <w:r w:rsidR="0062314B">
        <w:t xml:space="preserve"> </w:t>
      </w:r>
      <w:r>
        <w:t>defined areas. Includes additional conditions to protect SRS earth stations</w:t>
      </w:r>
      <w:r w:rsidR="0062314B">
        <w:t xml:space="preserve">. </w:t>
      </w:r>
    </w:p>
    <w:p w14:paraId="2720FB62" w14:textId="77777777" w:rsidR="00EB5785" w:rsidRDefault="00EB5785" w:rsidP="001A086D">
      <w:pPr>
        <w:pStyle w:val="ListBullet"/>
        <w:numPr>
          <w:ilvl w:val="0"/>
          <w:numId w:val="15"/>
        </w:numPr>
        <w:spacing w:before="120" w:after="120" w:line="240" w:lineRule="auto"/>
      </w:pPr>
      <w:r>
        <w:t>Spectrum licensing with additional FSS coexistence conditions within certain areas.</w:t>
      </w:r>
    </w:p>
    <w:p w14:paraId="3758AE8D" w14:textId="3E86F8C8" w:rsidR="00EB5785" w:rsidRDefault="00EB5785" w:rsidP="001A086D">
      <w:pPr>
        <w:pStyle w:val="ListBullet"/>
        <w:numPr>
          <w:ilvl w:val="0"/>
          <w:numId w:val="16"/>
        </w:numPr>
        <w:spacing w:before="120" w:after="120" w:line="240" w:lineRule="auto"/>
      </w:pPr>
      <w:r>
        <w:t xml:space="preserve">Apparatus licensing </w:t>
      </w:r>
      <w:r w:rsidR="0062314B">
        <w:t>(</w:t>
      </w:r>
      <w:r>
        <w:t>Australia-wide</w:t>
      </w:r>
      <w:r w:rsidR="0062314B">
        <w:t xml:space="preserve">). </w:t>
      </w:r>
    </w:p>
    <w:p w14:paraId="602D29CB" w14:textId="5B02F7D5" w:rsidR="00EB5785" w:rsidRDefault="00EB5785" w:rsidP="001A086D">
      <w:pPr>
        <w:pStyle w:val="ListBullet"/>
        <w:numPr>
          <w:ilvl w:val="0"/>
          <w:numId w:val="17"/>
        </w:numPr>
        <w:spacing w:before="120" w:after="120" w:line="240" w:lineRule="auto"/>
      </w:pPr>
      <w:r>
        <w:t xml:space="preserve">Apparatus licensing </w:t>
      </w:r>
      <w:r w:rsidR="0062314B">
        <w:t>(</w:t>
      </w:r>
      <w:r>
        <w:t>Australia-wide</w:t>
      </w:r>
      <w:r w:rsidR="0062314B">
        <w:t>,</w:t>
      </w:r>
      <w:r>
        <w:t xml:space="preserve"> except defined areas</w:t>
      </w:r>
      <w:r w:rsidR="0062314B">
        <w:t>)</w:t>
      </w:r>
      <w:r>
        <w:t>. Includes additional conditions to protect SRS earth stations.</w:t>
      </w:r>
    </w:p>
    <w:p w14:paraId="3FA93107" w14:textId="1BEA84CB" w:rsidR="00EB5785" w:rsidRDefault="00EB5785" w:rsidP="001A086D">
      <w:pPr>
        <w:pStyle w:val="ListBullet"/>
        <w:numPr>
          <w:ilvl w:val="0"/>
          <w:numId w:val="18"/>
        </w:numPr>
        <w:spacing w:before="120" w:after="120" w:line="240" w:lineRule="auto"/>
      </w:pPr>
      <w:r>
        <w:t>Apparatus licensing</w:t>
      </w:r>
      <w:r w:rsidRPr="00F440ED">
        <w:t xml:space="preserve"> </w:t>
      </w:r>
      <w:r>
        <w:t xml:space="preserve">with additional conditions to protect FSS uplinks </w:t>
      </w:r>
      <w:r w:rsidR="0062314B">
        <w:t>(</w:t>
      </w:r>
      <w:r>
        <w:t>Australia-wide except defined areas</w:t>
      </w:r>
      <w:r w:rsidR="0062314B">
        <w:t>)</w:t>
      </w:r>
      <w:r>
        <w:t>. New FSS earth stations will also be permitted, on a first-in-time coordinated basis with apparatus licensed wireless broadband services.</w:t>
      </w:r>
    </w:p>
    <w:p w14:paraId="62BEB145" w14:textId="77777777" w:rsidR="00EB5785" w:rsidRDefault="00EB5785" w:rsidP="00C721D7">
      <w:pPr>
        <w:pStyle w:val="ACMAFigureHeader"/>
        <w:numPr>
          <w:ilvl w:val="0"/>
          <w:numId w:val="0"/>
        </w:numPr>
      </w:pPr>
    </w:p>
    <w:p w14:paraId="1895543F" w14:textId="77777777" w:rsidR="00DF0B77" w:rsidRPr="005C7EAF" w:rsidRDefault="00DF0B77" w:rsidP="00D91EE4">
      <w:pPr>
        <w:pStyle w:val="Heading3"/>
      </w:pPr>
      <w:bookmarkStart w:id="14" w:name="_Toc4664083"/>
      <w:r w:rsidRPr="00D91EE4">
        <w:t>Defined</w:t>
      </w:r>
      <w:r>
        <w:t xml:space="preserve"> areas</w:t>
      </w:r>
      <w:bookmarkEnd w:id="14"/>
    </w:p>
    <w:p w14:paraId="13D82021" w14:textId="0EF50E21" w:rsidR="001B5C92" w:rsidRDefault="00DF0B77" w:rsidP="00AE52F4">
      <w:r>
        <w:t xml:space="preserve">Defined areas available for wide-area spectrum licensing </w:t>
      </w:r>
      <w:r w:rsidR="001B5C92">
        <w:t xml:space="preserve">will align with areas where type 1 users </w:t>
      </w:r>
      <w:r w:rsidR="00CD7789">
        <w:t>are expected to</w:t>
      </w:r>
      <w:r w:rsidR="001B5C92">
        <w:t xml:space="preserve"> deploy wireless broadband services. Based on submissions to the </w:t>
      </w:r>
      <w:r w:rsidR="00C240F0">
        <w:t>o</w:t>
      </w:r>
      <w:r w:rsidR="001B5C92">
        <w:t xml:space="preserve">ptions paper, the ACMA has formed the preliminary view that defined areas should consist of </w:t>
      </w:r>
      <w:r w:rsidR="00AE025B">
        <w:t>towns/cities</w:t>
      </w:r>
      <w:r w:rsidR="001B5C92">
        <w:t xml:space="preserve"> with a population over 50,000 as well as smaller </w:t>
      </w:r>
      <w:r w:rsidR="00AE025B">
        <w:t>towns/cities</w:t>
      </w:r>
      <w:r w:rsidR="001B5C92">
        <w:t xml:space="preserve"> which, due to them being either holiday </w:t>
      </w:r>
      <w:r w:rsidR="00AE025B">
        <w:t>locations</w:t>
      </w:r>
      <w:r w:rsidR="001B5C92">
        <w:t xml:space="preserve"> or having university campuses, are expected to require the deployment of high-density wireless broadband services.</w:t>
      </w:r>
    </w:p>
    <w:p w14:paraId="7EACE26F" w14:textId="68727A7E" w:rsidR="00CF3E57" w:rsidRDefault="00CF3E57" w:rsidP="00CF3E57">
      <w:pPr>
        <w:spacing w:before="120" w:after="120" w:line="240" w:lineRule="auto"/>
        <w:rPr>
          <w:b/>
        </w:rPr>
      </w:pPr>
      <w:r>
        <w:t xml:space="preserve">As detailed in Figure 1, wireless broadband services will be authorised by apparatus licences </w:t>
      </w:r>
      <w:r w:rsidRPr="006B37F4">
        <w:t>outside</w:t>
      </w:r>
      <w:r>
        <w:rPr>
          <w:i/>
        </w:rPr>
        <w:t xml:space="preserve"> </w:t>
      </w:r>
      <w:r w:rsidRPr="00CF3E57">
        <w:t xml:space="preserve">of </w:t>
      </w:r>
      <w:r>
        <w:t>defined areas.</w:t>
      </w:r>
    </w:p>
    <w:p w14:paraId="3E2DE368" w14:textId="77777777" w:rsidR="00E72446" w:rsidRDefault="00E72446" w:rsidP="00280297">
      <w:pPr>
        <w:pStyle w:val="Heading3"/>
        <w:keepLines/>
      </w:pPr>
      <w:bookmarkStart w:id="15" w:name="_Toc4664084"/>
      <w:r w:rsidRPr="00D921D4">
        <w:lastRenderedPageBreak/>
        <w:t>Next steps</w:t>
      </w:r>
      <w:bookmarkEnd w:id="15"/>
    </w:p>
    <w:p w14:paraId="0179E952" w14:textId="2203C000" w:rsidR="00E72446" w:rsidRDefault="00E72446" w:rsidP="00280297">
      <w:pPr>
        <w:keepNext/>
        <w:keepLines/>
        <w:spacing w:after="80"/>
      </w:pPr>
      <w:r>
        <w:t>To give effect to the decisions and preliminary view</w:t>
      </w:r>
      <w:r w:rsidR="00B276EB">
        <w:t>s</w:t>
      </w:r>
      <w:r>
        <w:t xml:space="preserve"> outlined above, the ACMA will</w:t>
      </w:r>
      <w:r w:rsidR="004D239B">
        <w:t>:</w:t>
      </w:r>
    </w:p>
    <w:p w14:paraId="3CF8AEC7" w14:textId="2D449910" w:rsidR="00E72446" w:rsidRPr="004C1D45" w:rsidRDefault="004D239B" w:rsidP="00280297">
      <w:pPr>
        <w:pStyle w:val="ListBullet"/>
        <w:keepNext/>
        <w:keepLines/>
      </w:pPr>
      <w:r w:rsidRPr="004C1D45">
        <w:t xml:space="preserve">Consult on </w:t>
      </w:r>
      <w:r w:rsidR="00AE025B" w:rsidRPr="004C1D45">
        <w:t>proposed amendments</w:t>
      </w:r>
      <w:r w:rsidRPr="004C1D45">
        <w:t xml:space="preserve"> to</w:t>
      </w:r>
      <w:r w:rsidR="00C53856" w:rsidRPr="004C1D45">
        <w:t xml:space="preserve"> the LIPD class licence to include new arrangements for wireless broadband in 24.25</w:t>
      </w:r>
      <w:r w:rsidR="00977046" w:rsidRPr="004C1D45">
        <w:t>–</w:t>
      </w:r>
      <w:r w:rsidR="00C53856" w:rsidRPr="004C1D45">
        <w:t>25.1 GHz</w:t>
      </w:r>
      <w:r w:rsidRPr="004C1D45">
        <w:t xml:space="preserve"> (limited to indoors in the 24.25-24.7 GHz)</w:t>
      </w:r>
      <w:r w:rsidR="00977046" w:rsidRPr="004C1D45">
        <w:t>.</w:t>
      </w:r>
    </w:p>
    <w:p w14:paraId="616011E5" w14:textId="0A0BBA25" w:rsidR="002F5AD9" w:rsidRPr="004C1D45" w:rsidRDefault="002F5AD9" w:rsidP="00280297">
      <w:pPr>
        <w:pStyle w:val="ListBullet"/>
        <w:keepNext/>
        <w:keepLines/>
      </w:pPr>
      <w:r w:rsidRPr="004C1D45">
        <w:t xml:space="preserve">Continue to work with non-traditional users </w:t>
      </w:r>
      <w:r w:rsidR="00AE025B" w:rsidRPr="004C1D45">
        <w:t xml:space="preserve">of spectrum </w:t>
      </w:r>
      <w:r w:rsidRPr="004C1D45">
        <w:t xml:space="preserve">to identify potential spectrum requirements to facilitate future type 3 use, and consider </w:t>
      </w:r>
      <w:r w:rsidR="004D239B" w:rsidRPr="004C1D45">
        <w:t>the case</w:t>
      </w:r>
      <w:r w:rsidRPr="004C1D45">
        <w:t xml:space="preserve"> of expanding class licensing into the 25.1</w:t>
      </w:r>
      <w:r w:rsidR="00977046" w:rsidRPr="004C1D45">
        <w:t>–</w:t>
      </w:r>
      <w:r w:rsidRPr="004C1D45">
        <w:t>27.5 GHz range</w:t>
      </w:r>
      <w:r w:rsidR="00977046" w:rsidRPr="004C1D45">
        <w:t>.</w:t>
      </w:r>
    </w:p>
    <w:p w14:paraId="25CA09C9" w14:textId="3B8AC8F7" w:rsidR="00C53856" w:rsidRPr="00C53856" w:rsidRDefault="004D239B" w:rsidP="004C1D45">
      <w:pPr>
        <w:pStyle w:val="ListBullet"/>
      </w:pPr>
      <w:r w:rsidRPr="004C1D45">
        <w:t>Consult on the i</w:t>
      </w:r>
      <w:r w:rsidR="00C53856" w:rsidRPr="004C1D45">
        <w:t>mplement</w:t>
      </w:r>
      <w:r w:rsidRPr="004C1D45">
        <w:t>ation</w:t>
      </w:r>
      <w:r w:rsidR="00C53856" w:rsidRPr="004C1D45">
        <w:t xml:space="preserve"> </w:t>
      </w:r>
      <w:r w:rsidRPr="004C1D45">
        <w:t xml:space="preserve">of </w:t>
      </w:r>
      <w:r w:rsidR="00C53856" w:rsidRPr="004C1D45">
        <w:t xml:space="preserve">apparatus licensing </w:t>
      </w:r>
      <w:r w:rsidRPr="004C1D45">
        <w:t xml:space="preserve">arrangements </w:t>
      </w:r>
      <w:r w:rsidR="00C53856" w:rsidRPr="004C1D45">
        <w:t xml:space="preserve">in </w:t>
      </w:r>
      <w:r w:rsidR="00AE025B" w:rsidRPr="004C1D45">
        <w:t xml:space="preserve">the </w:t>
      </w:r>
      <w:r w:rsidR="00C53856" w:rsidRPr="004C1D45">
        <w:t>24.7</w:t>
      </w:r>
      <w:r w:rsidR="00977046" w:rsidRPr="004C1D45">
        <w:t>–</w:t>
      </w:r>
      <w:r w:rsidRPr="004C1D45">
        <w:t>27.5</w:t>
      </w:r>
      <w:r w:rsidR="00C53856" w:rsidRPr="004C1D45">
        <w:t xml:space="preserve"> GHz</w:t>
      </w:r>
      <w:r w:rsidR="00AE025B" w:rsidRPr="004C1D45">
        <w:t xml:space="preserve"> range</w:t>
      </w:r>
      <w:r w:rsidR="00C53856" w:rsidRPr="004C1D45">
        <w:t xml:space="preserve"> (</w:t>
      </w:r>
      <w:r w:rsidR="00AE025B" w:rsidRPr="004C1D45">
        <w:t xml:space="preserve">with </w:t>
      </w:r>
      <w:r w:rsidR="00C53856" w:rsidRPr="004C1D45">
        <w:t>25.1</w:t>
      </w:r>
      <w:r w:rsidR="00977046" w:rsidRPr="004C1D45">
        <w:t>–</w:t>
      </w:r>
      <w:r w:rsidR="00C53856" w:rsidRPr="004C1D45">
        <w:t>27.5</w:t>
      </w:r>
      <w:r w:rsidR="00FF1177" w:rsidRPr="004C1D45">
        <w:t> </w:t>
      </w:r>
      <w:r w:rsidR="00C53856" w:rsidRPr="004C1D45">
        <w:t xml:space="preserve">GHz limited to outside </w:t>
      </w:r>
      <w:r w:rsidR="00FF1177" w:rsidRPr="004C1D45">
        <w:t xml:space="preserve">of </w:t>
      </w:r>
      <w:r w:rsidR="00C53856" w:rsidRPr="004C1D45">
        <w:t>defined areas</w:t>
      </w:r>
      <w:r w:rsidRPr="004C1D45">
        <w:t xml:space="preserve"> intended to be spectrum</w:t>
      </w:r>
      <w:r w:rsidR="00977046" w:rsidRPr="004C1D45">
        <w:t xml:space="preserve"> </w:t>
      </w:r>
      <w:r w:rsidRPr="004C1D45">
        <w:t>licensed</w:t>
      </w:r>
      <w:r w:rsidR="00C53856" w:rsidRPr="004C1D45">
        <w:t>)</w:t>
      </w:r>
      <w:r w:rsidR="00977046" w:rsidRPr="004C1D45">
        <w:t>.</w:t>
      </w:r>
    </w:p>
    <w:p w14:paraId="6673A73B" w14:textId="564C88F1" w:rsidR="00977046" w:rsidRDefault="00C53856" w:rsidP="004C1D45">
      <w:pPr>
        <w:pStyle w:val="ListBulletLast"/>
      </w:pPr>
      <w:r>
        <w:t>Commence work on spectrum licensing</w:t>
      </w:r>
      <w:r w:rsidR="00D94754">
        <w:t xml:space="preserve"> the </w:t>
      </w:r>
      <w:r w:rsidR="00C36134">
        <w:t>25.1</w:t>
      </w:r>
      <w:r w:rsidR="00977046">
        <w:t>–</w:t>
      </w:r>
      <w:r w:rsidR="00C36134">
        <w:t>27.5 GHz band within defined areas</w:t>
      </w:r>
      <w:r w:rsidR="004D239B">
        <w:t>. This will include</w:t>
      </w:r>
      <w:r w:rsidR="00C36134">
        <w:t xml:space="preserve"> </w:t>
      </w:r>
      <w:r w:rsidR="004D239B">
        <w:rPr>
          <w:lang w:eastAsia="en-US"/>
        </w:rPr>
        <w:t xml:space="preserve">consultation on a draft </w:t>
      </w:r>
      <w:r w:rsidR="008B49DF">
        <w:rPr>
          <w:lang w:eastAsia="en-US"/>
        </w:rPr>
        <w:t xml:space="preserve">reallocation </w:t>
      </w:r>
      <w:r w:rsidR="004D239B">
        <w:rPr>
          <w:lang w:eastAsia="en-US"/>
        </w:rPr>
        <w:t xml:space="preserve">recommendation to the </w:t>
      </w:r>
      <w:r w:rsidR="00AE025B">
        <w:rPr>
          <w:lang w:eastAsia="en-US"/>
        </w:rPr>
        <w:t>M</w:t>
      </w:r>
      <w:r w:rsidR="004D239B">
        <w:rPr>
          <w:lang w:eastAsia="en-US"/>
        </w:rPr>
        <w:t xml:space="preserve">inster in accordance with section 153G of the Act. </w:t>
      </w:r>
    </w:p>
    <w:p w14:paraId="7C443D4A" w14:textId="7E474BE1" w:rsidR="00CE6A7F" w:rsidRDefault="004D239B" w:rsidP="00AE52F4">
      <w:r>
        <w:rPr>
          <w:lang w:eastAsia="en-US"/>
        </w:rPr>
        <w:t xml:space="preserve">Following this consultation, and subject to any additional information obtained, the ACMA </w:t>
      </w:r>
      <w:r w:rsidR="00AE025B">
        <w:rPr>
          <w:lang w:eastAsia="en-US"/>
        </w:rPr>
        <w:t>may</w:t>
      </w:r>
      <w:r>
        <w:rPr>
          <w:lang w:eastAsia="en-US"/>
        </w:rPr>
        <w:t xml:space="preserve"> make a </w:t>
      </w:r>
      <w:r w:rsidR="005F454D">
        <w:rPr>
          <w:lang w:eastAsia="en-US"/>
        </w:rPr>
        <w:t xml:space="preserve">reallocation </w:t>
      </w:r>
      <w:r>
        <w:rPr>
          <w:lang w:eastAsia="en-US"/>
        </w:rPr>
        <w:t xml:space="preserve">recommendation to the </w:t>
      </w:r>
      <w:r w:rsidR="000242BD">
        <w:rPr>
          <w:lang w:eastAsia="en-US"/>
        </w:rPr>
        <w:t>m</w:t>
      </w:r>
      <w:r>
        <w:rPr>
          <w:lang w:eastAsia="en-US"/>
        </w:rPr>
        <w:t>inister in accordance with section 153F of the Act.</w:t>
      </w:r>
      <w:r w:rsidR="0072235F">
        <w:rPr>
          <w:lang w:eastAsia="en-US"/>
        </w:rPr>
        <w:t xml:space="preserve"> </w:t>
      </w:r>
      <w:r w:rsidR="00AE025B">
        <w:rPr>
          <w:lang w:eastAsia="en-US"/>
        </w:rPr>
        <w:t xml:space="preserve">If the </w:t>
      </w:r>
      <w:r w:rsidR="000242BD">
        <w:rPr>
          <w:lang w:eastAsia="en-US"/>
        </w:rPr>
        <w:t>m</w:t>
      </w:r>
      <w:r w:rsidR="00AE025B">
        <w:rPr>
          <w:lang w:eastAsia="en-US"/>
        </w:rPr>
        <w:t>inister decides to make</w:t>
      </w:r>
      <w:r w:rsidR="0072235F">
        <w:rPr>
          <w:lang w:eastAsia="en-US"/>
        </w:rPr>
        <w:t xml:space="preserve"> a re-allocation declaration </w:t>
      </w:r>
      <w:r w:rsidR="00AE025B">
        <w:rPr>
          <w:lang w:eastAsia="en-US"/>
        </w:rPr>
        <w:t>under section 153B of the Act,</w:t>
      </w:r>
      <w:r w:rsidR="0072235F">
        <w:rPr>
          <w:lang w:eastAsia="en-US"/>
        </w:rPr>
        <w:t xml:space="preserve"> the ACMA will commence work to progress allocation of spectrum licences in those areas subject to re-allocation. This will include establishing a Technical Liaison Group</w:t>
      </w:r>
      <w:r w:rsidR="009B023F">
        <w:rPr>
          <w:lang w:eastAsia="en-US"/>
        </w:rPr>
        <w:t xml:space="preserve"> (TLG)</w:t>
      </w:r>
      <w:r w:rsidR="0072235F">
        <w:rPr>
          <w:lang w:eastAsia="en-US"/>
        </w:rPr>
        <w:t xml:space="preserve"> for the development of the technical framework for 26 GHz spectrum licences</w:t>
      </w:r>
      <w:r w:rsidR="00523EDD">
        <w:rPr>
          <w:lang w:eastAsia="en-US"/>
        </w:rPr>
        <w:t xml:space="preserve"> and consulting on</w:t>
      </w:r>
      <w:r w:rsidR="00791BD4">
        <w:rPr>
          <w:lang w:eastAsia="en-US"/>
        </w:rPr>
        <w:t xml:space="preserve"> </w:t>
      </w:r>
      <w:r w:rsidR="00D406E0">
        <w:rPr>
          <w:lang w:eastAsia="en-US"/>
        </w:rPr>
        <w:t>the allocation process</w:t>
      </w:r>
      <w:r w:rsidR="00154D63">
        <w:rPr>
          <w:lang w:eastAsia="en-US"/>
        </w:rPr>
        <w:t xml:space="preserve">, including the </w:t>
      </w:r>
      <w:r w:rsidR="00791BD4">
        <w:rPr>
          <w:lang w:eastAsia="en-US"/>
        </w:rPr>
        <w:t>a</w:t>
      </w:r>
      <w:r w:rsidR="006237ED">
        <w:rPr>
          <w:lang w:eastAsia="en-US"/>
        </w:rPr>
        <w:t>llocation</w:t>
      </w:r>
      <w:r w:rsidR="00791BD4">
        <w:rPr>
          <w:lang w:eastAsia="en-US"/>
        </w:rPr>
        <w:t xml:space="preserve"> rules and mark</w:t>
      </w:r>
      <w:r w:rsidR="009B0056">
        <w:rPr>
          <w:lang w:eastAsia="en-US"/>
        </w:rPr>
        <w:t>et</w:t>
      </w:r>
      <w:r w:rsidR="00791BD4">
        <w:rPr>
          <w:lang w:eastAsia="en-US"/>
        </w:rPr>
        <w:t>ing plan</w:t>
      </w:r>
      <w:r w:rsidR="0072235F">
        <w:rPr>
          <w:lang w:eastAsia="en-US"/>
        </w:rPr>
        <w:t>.</w:t>
      </w:r>
    </w:p>
    <w:p w14:paraId="11F3DB7F" w14:textId="0D26512D" w:rsidR="00BE4C11" w:rsidRPr="000D76E0" w:rsidRDefault="00D26C78" w:rsidP="00AE52F4">
      <w:pPr>
        <w:pStyle w:val="Heading1"/>
      </w:pPr>
      <w:bookmarkStart w:id="16" w:name="_Toc494375832"/>
      <w:bookmarkStart w:id="17" w:name="_Toc494378905"/>
      <w:bookmarkStart w:id="18" w:name="_Toc495935476"/>
      <w:bookmarkStart w:id="19" w:name="_Toc495935506"/>
      <w:bookmarkStart w:id="20" w:name="_Toc4664085"/>
      <w:r w:rsidRPr="00AE52F4">
        <w:lastRenderedPageBreak/>
        <w:t>Introduction</w:t>
      </w:r>
      <w:bookmarkEnd w:id="7"/>
      <w:bookmarkEnd w:id="16"/>
      <w:bookmarkEnd w:id="17"/>
      <w:bookmarkEnd w:id="18"/>
      <w:bookmarkEnd w:id="19"/>
      <w:bookmarkEnd w:id="20"/>
      <w:r w:rsidR="0042762F" w:rsidRPr="00FF3C69">
        <w:t xml:space="preserve"> </w:t>
      </w:r>
    </w:p>
    <w:p w14:paraId="3537752C" w14:textId="5FE4F522" w:rsidR="005A2FC1" w:rsidRDefault="005E7C8B" w:rsidP="00AE52F4">
      <w:r>
        <w:t>In September 2018, the ACMA released an</w:t>
      </w:r>
      <w:r>
        <w:rPr>
          <w:szCs w:val="21"/>
        </w:rPr>
        <w:t xml:space="preserve"> </w:t>
      </w:r>
      <w:hyperlink r:id="rId27" w:history="1">
        <w:r w:rsidR="00C240F0">
          <w:rPr>
            <w:rStyle w:val="Hyperlink"/>
            <w:szCs w:val="21"/>
          </w:rPr>
          <w:t>o</w:t>
        </w:r>
        <w:r>
          <w:rPr>
            <w:rStyle w:val="Hyperlink"/>
            <w:szCs w:val="21"/>
          </w:rPr>
          <w:t>ptions paper</w:t>
        </w:r>
      </w:hyperlink>
      <w:r>
        <w:rPr>
          <w:szCs w:val="21"/>
        </w:rPr>
        <w:t xml:space="preserve"> </w:t>
      </w:r>
      <w:r>
        <w:t xml:space="preserve">for wireless broadband services in the </w:t>
      </w:r>
      <w:r w:rsidR="00484248">
        <w:t>frequency range 24.25</w:t>
      </w:r>
      <w:r w:rsidR="00C678EC">
        <w:t>–</w:t>
      </w:r>
      <w:r w:rsidR="00484248">
        <w:t xml:space="preserve">27.5 GHz, known as the </w:t>
      </w:r>
      <w:r w:rsidR="00BA037A">
        <w:t>‘</w:t>
      </w:r>
      <w:r>
        <w:t>26 GHz band</w:t>
      </w:r>
      <w:r w:rsidR="00BA037A">
        <w:t>’</w:t>
      </w:r>
      <w:r>
        <w:t xml:space="preserve">. </w:t>
      </w:r>
      <w:r w:rsidR="00CA58CA">
        <w:t xml:space="preserve">That paper provided significant detail on drivers for wireless broadband </w:t>
      </w:r>
      <w:r w:rsidR="00497259">
        <w:t>access to</w:t>
      </w:r>
      <w:r w:rsidR="00CA58CA">
        <w:t xml:space="preserve"> the band, international studies and trends, technical issues</w:t>
      </w:r>
      <w:r w:rsidR="00C678EC">
        <w:t>—</w:t>
      </w:r>
      <w:r w:rsidR="00CA58CA">
        <w:t>including coexistence studies with incumbent users</w:t>
      </w:r>
      <w:r w:rsidR="00C678EC">
        <w:t>—</w:t>
      </w:r>
      <w:r w:rsidR="00CA58CA">
        <w:t>where these considerations sit with respect to the legislative and policy environment, and most critically, the planning options. Much of that information has not been reproduced in this paper</w:t>
      </w:r>
      <w:r w:rsidR="00504FCD">
        <w:t>,</w:t>
      </w:r>
      <w:r w:rsidR="00CA58CA">
        <w:t xml:space="preserve"> so this should be read in conjunction with the </w:t>
      </w:r>
      <w:r w:rsidR="00C240F0">
        <w:t>o</w:t>
      </w:r>
      <w:r w:rsidR="00CA58CA">
        <w:t>ptions paper.</w:t>
      </w:r>
      <w:r w:rsidR="00426049">
        <w:t xml:space="preserve"> </w:t>
      </w:r>
    </w:p>
    <w:p w14:paraId="7DD93F70" w14:textId="6D9D01CD" w:rsidR="00426049" w:rsidRDefault="00426049" w:rsidP="00426049">
      <w:pPr>
        <w:spacing w:before="120" w:after="120" w:line="240" w:lineRule="auto"/>
      </w:pPr>
      <w:r w:rsidRPr="008F7C5E">
        <w:t xml:space="preserve">The purpose of this paper is to communicate planning decisions </w:t>
      </w:r>
      <w:r w:rsidR="00932889" w:rsidRPr="008F7C5E">
        <w:t xml:space="preserve">and preliminary views </w:t>
      </w:r>
      <w:r w:rsidRPr="008F7C5E">
        <w:t>that have been taken following consideration of responses to th</w:t>
      </w:r>
      <w:r w:rsidR="0054354E" w:rsidRPr="008F7C5E">
        <w:t xml:space="preserve">e </w:t>
      </w:r>
      <w:r w:rsidR="00C240F0">
        <w:t>o</w:t>
      </w:r>
      <w:r w:rsidR="0054354E" w:rsidRPr="008F7C5E">
        <w:t>ptions</w:t>
      </w:r>
      <w:r w:rsidRPr="008F7C5E">
        <w:t xml:space="preserve"> paper.</w:t>
      </w:r>
    </w:p>
    <w:p w14:paraId="4C4923FD" w14:textId="2F3ECC53" w:rsidR="00AE4A6B" w:rsidRDefault="00CA58CA" w:rsidP="00DA511D">
      <w:pPr>
        <w:spacing w:before="120" w:after="120" w:line="240" w:lineRule="auto"/>
      </w:pPr>
      <w:r>
        <w:t>The options were presented as</w:t>
      </w:r>
      <w:r w:rsidR="005E7C8B">
        <w:t xml:space="preserve"> a range of potential </w:t>
      </w:r>
      <w:r w:rsidR="00497259">
        <w:t>combinations of</w:t>
      </w:r>
      <w:r w:rsidR="005E7C8B">
        <w:t xml:space="preserve"> </w:t>
      </w:r>
      <w:r w:rsidR="005E7C8B" w:rsidRPr="00C678EC">
        <w:t>what</w:t>
      </w:r>
      <w:r w:rsidR="005E7C8B">
        <w:rPr>
          <w:i/>
          <w:szCs w:val="21"/>
        </w:rPr>
        <w:t xml:space="preserve"> </w:t>
      </w:r>
      <w:r w:rsidR="00484248">
        <w:t>c</w:t>
      </w:r>
      <w:r w:rsidR="005E7C8B">
        <w:t>ould be allocated</w:t>
      </w:r>
      <w:r w:rsidR="00C678EC">
        <w:t>—</w:t>
      </w:r>
      <w:r w:rsidR="005E7C8B">
        <w:t>in terms of specific frequencies and areas</w:t>
      </w:r>
      <w:r w:rsidR="00C678EC">
        <w:t>—</w:t>
      </w:r>
      <w:r w:rsidR="005E7C8B">
        <w:t xml:space="preserve">and </w:t>
      </w:r>
      <w:r w:rsidR="005E7C8B" w:rsidRPr="00C678EC">
        <w:t>how</w:t>
      </w:r>
      <w:r w:rsidR="005E7C8B">
        <w:rPr>
          <w:szCs w:val="21"/>
        </w:rPr>
        <w:t xml:space="preserve"> </w:t>
      </w:r>
      <w:r w:rsidR="005E7C8B">
        <w:t xml:space="preserve">the band </w:t>
      </w:r>
      <w:r w:rsidR="00484248">
        <w:t>c</w:t>
      </w:r>
      <w:r w:rsidR="005E7C8B">
        <w:t xml:space="preserve">ould be allocated, in terms of which licence types </w:t>
      </w:r>
      <w:r w:rsidR="00BA037A">
        <w:t>might</w:t>
      </w:r>
      <w:r w:rsidR="005E7C8B">
        <w:t xml:space="preserve"> be adopted in the band to meet a range of wireless broadband use cases.</w:t>
      </w:r>
      <w:r w:rsidR="00787F5A">
        <w:t xml:space="preserve"> </w:t>
      </w:r>
    </w:p>
    <w:p w14:paraId="56B51A92" w14:textId="2FFB6522" w:rsidR="00277461" w:rsidRPr="00CF2904" w:rsidRDefault="00AE4A6B" w:rsidP="00DA511D">
      <w:pPr>
        <w:spacing w:before="120" w:after="120" w:line="240" w:lineRule="auto"/>
        <w:rPr>
          <w:bCs/>
        </w:rPr>
      </w:pPr>
      <w:r>
        <w:t>A set of options were identified, comprising:</w:t>
      </w:r>
    </w:p>
    <w:p w14:paraId="7CC9241C" w14:textId="588C5814" w:rsidR="00277461" w:rsidRPr="001E5818" w:rsidRDefault="00C678EC" w:rsidP="00DA511D">
      <w:pPr>
        <w:pStyle w:val="ListBullet"/>
        <w:spacing w:before="120" w:after="120" w:line="240" w:lineRule="auto"/>
      </w:pPr>
      <w:r>
        <w:t>f</w:t>
      </w:r>
      <w:r w:rsidR="00D64A05">
        <w:t>requency options</w:t>
      </w:r>
      <w:r>
        <w:t>—</w:t>
      </w:r>
      <w:r w:rsidR="00D64A05">
        <w:t>all</w:t>
      </w:r>
      <w:r w:rsidR="00277461" w:rsidRPr="0055619F">
        <w:t>ocating</w:t>
      </w:r>
      <w:r w:rsidR="00277461" w:rsidRPr="001E5818">
        <w:t xml:space="preserve"> either the 24.25</w:t>
      </w:r>
      <w:r w:rsidR="00CB200E">
        <w:rPr>
          <w:rStyle w:val="FootnoteReference"/>
        </w:rPr>
        <w:footnoteReference w:id="5"/>
      </w:r>
      <w:r>
        <w:t>–</w:t>
      </w:r>
      <w:r w:rsidR="00277461" w:rsidRPr="001E5818">
        <w:t xml:space="preserve">27 GHz </w:t>
      </w:r>
      <w:r w:rsidR="00277461" w:rsidRPr="00C678EC">
        <w:t>or</w:t>
      </w:r>
      <w:r w:rsidR="00277461" w:rsidRPr="001E5818">
        <w:rPr>
          <w:i/>
        </w:rPr>
        <w:t xml:space="preserve"> </w:t>
      </w:r>
      <w:r w:rsidR="00277461" w:rsidRPr="001E5818">
        <w:t>24.25</w:t>
      </w:r>
      <w:r w:rsidR="002C504F">
        <w:rPr>
          <w:vertAlign w:val="superscript"/>
        </w:rPr>
        <w:t>4</w:t>
      </w:r>
      <w:r>
        <w:t>–</w:t>
      </w:r>
      <w:r w:rsidR="00277461" w:rsidRPr="001E5818">
        <w:t>27.5 GHz band</w:t>
      </w:r>
      <w:r w:rsidR="00612676">
        <w:t>, subject to coexistence potential between wireless broadband and fixed satellite service (FSS) uplinks in the 27</w:t>
      </w:r>
      <w:r>
        <w:t>–</w:t>
      </w:r>
      <w:r w:rsidR="00612676">
        <w:t>27.5 GHz range</w:t>
      </w:r>
      <w:r>
        <w:t xml:space="preserve"> </w:t>
      </w:r>
    </w:p>
    <w:p w14:paraId="4B7B348A" w14:textId="0A7FAD43" w:rsidR="00277461" w:rsidRPr="00A05EC9" w:rsidRDefault="00C678EC" w:rsidP="00DA511D">
      <w:pPr>
        <w:pStyle w:val="ListBullet"/>
        <w:spacing w:before="120" w:after="120" w:line="240" w:lineRule="auto"/>
      </w:pPr>
      <w:r>
        <w:t>a</w:t>
      </w:r>
      <w:r w:rsidR="00D64A05">
        <w:t>rea options</w:t>
      </w:r>
      <w:r>
        <w:t>—</w:t>
      </w:r>
      <w:r w:rsidR="00680744">
        <w:t>‘</w:t>
      </w:r>
      <w:r w:rsidR="00277461" w:rsidRPr="00A05EC9">
        <w:t>defined areas</w:t>
      </w:r>
      <w:r w:rsidR="00680744">
        <w:t>’</w:t>
      </w:r>
      <w:r w:rsidR="00E16A06">
        <w:t xml:space="preserve"> for spectrum licensing, </w:t>
      </w:r>
      <w:r w:rsidR="00680744">
        <w:t xml:space="preserve">which </w:t>
      </w:r>
      <w:r w:rsidR="0067792A">
        <w:t>would</w:t>
      </w:r>
      <w:r w:rsidR="0067792A" w:rsidRPr="00A05EC9">
        <w:t xml:space="preserve"> </w:t>
      </w:r>
      <w:r w:rsidR="00277461" w:rsidRPr="00A05EC9">
        <w:t>compris</w:t>
      </w:r>
      <w:r w:rsidR="005B742D">
        <w:t>e</w:t>
      </w:r>
      <w:r w:rsidR="00277461" w:rsidRPr="00A05EC9">
        <w:t xml:space="preserve"> either major metropolitan areas only, </w:t>
      </w:r>
      <w:r w:rsidR="00277461" w:rsidRPr="00C678EC">
        <w:t>or</w:t>
      </w:r>
      <w:r w:rsidR="00277461" w:rsidRPr="005E6D37">
        <w:t xml:space="preserve"> metro</w:t>
      </w:r>
      <w:r w:rsidR="00277461">
        <w:t>politan</w:t>
      </w:r>
      <w:r w:rsidR="00277461" w:rsidRPr="005E6D37">
        <w:t xml:space="preserve"> areas </w:t>
      </w:r>
      <w:r w:rsidR="00277461" w:rsidRPr="00C678EC">
        <w:t>and</w:t>
      </w:r>
      <w:r w:rsidR="00277461" w:rsidRPr="005E6D37">
        <w:rPr>
          <w:i/>
        </w:rPr>
        <w:t xml:space="preserve"> </w:t>
      </w:r>
      <w:r w:rsidR="00277461" w:rsidRPr="00F26E80">
        <w:t>region</w:t>
      </w:r>
      <w:r w:rsidR="00277461" w:rsidRPr="00A05EC9">
        <w:t>al centres</w:t>
      </w:r>
      <w:r w:rsidR="00277461">
        <w:t>,</w:t>
      </w:r>
      <w:r w:rsidR="00277461" w:rsidRPr="00A05EC9">
        <w:t xml:space="preserve"> </w:t>
      </w:r>
      <w:r w:rsidR="00716BBF">
        <w:t>noting that</w:t>
      </w:r>
      <w:r w:rsidR="00EF52F0">
        <w:t xml:space="preserve"> regardless of spectrum licence area definition, </w:t>
      </w:r>
      <w:r w:rsidR="00277461">
        <w:t>wireless broadband</w:t>
      </w:r>
      <w:r w:rsidR="00277461" w:rsidRPr="00A05EC9">
        <w:t xml:space="preserve"> services will be permitted access outside </w:t>
      </w:r>
      <w:r w:rsidR="00EF52F0">
        <w:t>those</w:t>
      </w:r>
      <w:r w:rsidR="00277461" w:rsidRPr="00A05EC9">
        <w:t xml:space="preserve"> areas through</w:t>
      </w:r>
      <w:r w:rsidR="00277461">
        <w:t xml:space="preserve"> </w:t>
      </w:r>
      <w:r w:rsidR="00277461" w:rsidRPr="00A05EC9">
        <w:t>apparatus licensing</w:t>
      </w:r>
    </w:p>
    <w:p w14:paraId="509B8167" w14:textId="6448AA79" w:rsidR="00277461" w:rsidRPr="00A05EC9" w:rsidRDefault="00C678EC" w:rsidP="00DA511D">
      <w:pPr>
        <w:pStyle w:val="ListBulletLast"/>
        <w:spacing w:before="120" w:after="120" w:line="240" w:lineRule="auto"/>
      </w:pPr>
      <w:r>
        <w:t>li</w:t>
      </w:r>
      <w:r w:rsidR="00D64A05">
        <w:t>censing options</w:t>
      </w:r>
      <w:r>
        <w:t>—</w:t>
      </w:r>
      <w:r w:rsidR="00D64A05">
        <w:t>var</w:t>
      </w:r>
      <w:r w:rsidR="00277461">
        <w:t>ious combinations of spectrum, apparatus and class licensing options within the defined geographical areas</w:t>
      </w:r>
      <w:r w:rsidR="00277461" w:rsidRPr="00A05EC9">
        <w:t xml:space="preserve"> to facilitate access for a number of different potential deployment models.</w:t>
      </w:r>
    </w:p>
    <w:p w14:paraId="7A2E3C45" w14:textId="1629B676" w:rsidR="00AF575A" w:rsidRDefault="000C5955" w:rsidP="00DA511D">
      <w:pPr>
        <w:spacing w:before="120" w:after="120" w:line="240" w:lineRule="auto"/>
      </w:pPr>
      <w:r>
        <w:t xml:space="preserve">A series of questions were asked </w:t>
      </w:r>
      <w:r w:rsidR="00C34D01">
        <w:t>around the suitab</w:t>
      </w:r>
      <w:r w:rsidR="00C6338F">
        <w:t xml:space="preserve">ility </w:t>
      </w:r>
      <w:r w:rsidR="00793925">
        <w:t>of the proposed options, as well as the appetite for po</w:t>
      </w:r>
      <w:r w:rsidR="004D03E1">
        <w:t xml:space="preserve">tential non-traditional </w:t>
      </w:r>
      <w:r w:rsidR="00BF4A89">
        <w:t xml:space="preserve">wireless broadband </w:t>
      </w:r>
      <w:r w:rsidR="004D03E1">
        <w:t xml:space="preserve">use cases that might </w:t>
      </w:r>
      <w:r w:rsidR="008353D2">
        <w:t xml:space="preserve">make a case for </w:t>
      </w:r>
      <w:r w:rsidR="00010337">
        <w:t>some of the more complex licensing models.</w:t>
      </w:r>
      <w:r w:rsidR="00CF3480">
        <w:t xml:space="preserve"> </w:t>
      </w:r>
    </w:p>
    <w:p w14:paraId="77CE2571" w14:textId="77777777" w:rsidR="00FA7C95" w:rsidRDefault="00CF3480" w:rsidP="00DA511D">
      <w:pPr>
        <w:spacing w:before="120" w:after="120" w:line="240" w:lineRule="auto"/>
      </w:pPr>
      <w:r>
        <w:t>A three-type model was proposed to describe different categories of use</w:t>
      </w:r>
      <w:r w:rsidR="00FA7C95">
        <w:t>:</w:t>
      </w:r>
    </w:p>
    <w:p w14:paraId="1AC3FF77" w14:textId="0D82CD63" w:rsidR="00FA7C95" w:rsidRDefault="00C678EC" w:rsidP="00C2144C">
      <w:pPr>
        <w:pStyle w:val="ListBullet"/>
      </w:pPr>
      <w:r>
        <w:t>type 1—</w:t>
      </w:r>
      <w:r w:rsidR="00627AE3">
        <w:t xml:space="preserve">wide-area </w:t>
      </w:r>
      <w:r w:rsidR="002F468B">
        <w:t xml:space="preserve">wireless broadband </w:t>
      </w:r>
      <w:r w:rsidR="00627AE3">
        <w:t xml:space="preserve">deployments </w:t>
      </w:r>
      <w:r w:rsidR="002F468B">
        <w:t xml:space="preserve">traditionally undertaken </w:t>
      </w:r>
      <w:r w:rsidR="00627AE3">
        <w:t xml:space="preserve">by </w:t>
      </w:r>
      <w:r w:rsidR="00CF3480">
        <w:t>mobile network operator</w:t>
      </w:r>
      <w:r w:rsidR="00627AE3">
        <w:t>s</w:t>
      </w:r>
      <w:r w:rsidR="00CF3480">
        <w:t xml:space="preserve"> (MNO</w:t>
      </w:r>
      <w:r w:rsidR="001A50F3">
        <w:t>s</w:t>
      </w:r>
      <w:r w:rsidR="004F0F2E">
        <w:t>)</w:t>
      </w:r>
      <w:r w:rsidR="00011AC0">
        <w:t xml:space="preserve"> or some fixed telecommunication carriers</w:t>
      </w:r>
      <w:r w:rsidR="00CF3480">
        <w:t xml:space="preserve"> </w:t>
      </w:r>
    </w:p>
    <w:p w14:paraId="0C9890C0" w14:textId="6E0DFCE5" w:rsidR="00FA7C95" w:rsidRDefault="00C678EC" w:rsidP="00C2144C">
      <w:pPr>
        <w:pStyle w:val="ListBullet"/>
      </w:pPr>
      <w:r>
        <w:t>type 2—</w:t>
      </w:r>
      <w:r w:rsidR="009F3376">
        <w:t>s</w:t>
      </w:r>
      <w:r w:rsidR="001A50F3">
        <w:t>maller</w:t>
      </w:r>
      <w:r w:rsidR="00232CE2">
        <w:t>, local area</w:t>
      </w:r>
      <w:r w:rsidR="001A50F3">
        <w:t xml:space="preserve"> market subscriber services such as </w:t>
      </w:r>
      <w:r w:rsidR="00EF22DB">
        <w:t xml:space="preserve">those provided by </w:t>
      </w:r>
      <w:r w:rsidR="001A50F3">
        <w:t xml:space="preserve">wireless internet service providers (WISPs) </w:t>
      </w:r>
      <w:r w:rsidR="00A82E29">
        <w:t xml:space="preserve">or dedicated </w:t>
      </w:r>
      <w:r w:rsidR="003C192C">
        <w:t>(e</w:t>
      </w:r>
      <w:r w:rsidR="00BF4A89">
        <w:t>.</w:t>
      </w:r>
      <w:r w:rsidR="003C192C">
        <w:t>g. government only) wireless broadband networks</w:t>
      </w:r>
      <w:r w:rsidR="00650E2F">
        <w:t xml:space="preserve"> </w:t>
      </w:r>
    </w:p>
    <w:p w14:paraId="1A0FA6E5" w14:textId="29ABC44B" w:rsidR="00FA7C95" w:rsidRDefault="00C678EC" w:rsidP="00C2144C">
      <w:pPr>
        <w:pStyle w:val="ListBulletLast"/>
      </w:pPr>
      <w:r>
        <w:t>type 3—</w:t>
      </w:r>
      <w:r w:rsidR="00650E2F">
        <w:t>private, localised deployments within</w:t>
      </w:r>
      <w:r w:rsidR="0054354E">
        <w:t xml:space="preserve"> private</w:t>
      </w:r>
      <w:r w:rsidR="00650E2F">
        <w:t xml:space="preserve"> pr</w:t>
      </w:r>
      <w:r w:rsidR="00403B1F">
        <w:t>operty</w:t>
      </w:r>
      <w:r w:rsidR="00650E2F">
        <w:t>.</w:t>
      </w:r>
      <w:r w:rsidR="00896D95">
        <w:t xml:space="preserve"> </w:t>
      </w:r>
    </w:p>
    <w:p w14:paraId="4400D094" w14:textId="6DF5F25E" w:rsidR="000C5955" w:rsidRDefault="00896D95" w:rsidP="00FA7C95">
      <w:pPr>
        <w:spacing w:before="120" w:after="120" w:line="240" w:lineRule="auto"/>
      </w:pPr>
      <w:r>
        <w:t>While all three use types might be authorised under any licence</w:t>
      </w:r>
      <w:r w:rsidR="006177F3">
        <w:t xml:space="preserve"> type</w:t>
      </w:r>
      <w:r>
        <w:t xml:space="preserve">, </w:t>
      </w:r>
      <w:r w:rsidR="00B8159A">
        <w:t xml:space="preserve">the </w:t>
      </w:r>
      <w:r w:rsidR="00F14412">
        <w:t xml:space="preserve">presented </w:t>
      </w:r>
      <w:r w:rsidR="00B8159A">
        <w:t xml:space="preserve">options </w:t>
      </w:r>
      <w:r w:rsidR="00CB200E">
        <w:t xml:space="preserve">loosely </w:t>
      </w:r>
      <w:r w:rsidR="00DD0FA3">
        <w:t>aligned</w:t>
      </w:r>
      <w:r w:rsidR="00AF575A">
        <w:t xml:space="preserve"> type 1, 2 and 3 uses</w:t>
      </w:r>
      <w:r w:rsidR="00F14412">
        <w:t xml:space="preserve"> as</w:t>
      </w:r>
      <w:r w:rsidR="00AF575A">
        <w:t xml:space="preserve"> being authorised by spectrum, apparatus and class licenses respectively.</w:t>
      </w:r>
    </w:p>
    <w:p w14:paraId="6FA0676E" w14:textId="5CB5639D" w:rsidR="004E18A3" w:rsidRDefault="00E514C0" w:rsidP="00DA511D">
      <w:pPr>
        <w:spacing w:before="120" w:after="120" w:line="240" w:lineRule="auto"/>
      </w:pPr>
      <w:r>
        <w:t>It was also noted that th</w:t>
      </w:r>
      <w:r w:rsidR="00277461">
        <w:t xml:space="preserve">e bottom frequency edge of the 26 GHz band </w:t>
      </w:r>
      <w:r w:rsidR="00010337">
        <w:t xml:space="preserve">was not yet </w:t>
      </w:r>
      <w:r w:rsidR="00CB200E">
        <w:t>settled</w:t>
      </w:r>
      <w:r w:rsidR="000E6BBB">
        <w:t xml:space="preserve">. </w:t>
      </w:r>
      <w:r w:rsidR="00277461">
        <w:t xml:space="preserve">24.25 GHz </w:t>
      </w:r>
      <w:r w:rsidR="00362A45">
        <w:t>was</w:t>
      </w:r>
      <w:r w:rsidR="000E6BBB">
        <w:t xml:space="preserve"> identified</w:t>
      </w:r>
      <w:r w:rsidR="00ED628A">
        <w:t xml:space="preserve"> as</w:t>
      </w:r>
      <w:r w:rsidR="00362A45">
        <w:t xml:space="preserve"> ‘nominally’ the lower edge of the band, subject to further consideration of </w:t>
      </w:r>
      <w:r w:rsidR="0062372E">
        <w:t>coexistence potential with passive Earth exploration satellite services (</w:t>
      </w:r>
      <w:r w:rsidR="00A77120">
        <w:t xml:space="preserve">passive </w:t>
      </w:r>
      <w:r w:rsidR="0062372E">
        <w:t>EESS)</w:t>
      </w:r>
      <w:r w:rsidR="0017426D">
        <w:t xml:space="preserve"> operating in the range 23.6</w:t>
      </w:r>
      <w:r w:rsidR="003A200F">
        <w:t>–</w:t>
      </w:r>
      <w:r w:rsidR="0017426D">
        <w:t>24 GHz</w:t>
      </w:r>
      <w:r w:rsidR="00277461">
        <w:t xml:space="preserve">. </w:t>
      </w:r>
      <w:r w:rsidR="006D7C29">
        <w:t xml:space="preserve">At the time of </w:t>
      </w:r>
      <w:r w:rsidR="00875F60">
        <w:t xml:space="preserve">writing </w:t>
      </w:r>
      <w:r w:rsidR="00875F60">
        <w:lastRenderedPageBreak/>
        <w:t xml:space="preserve">that paper, the </w:t>
      </w:r>
      <w:r w:rsidR="00875F60" w:rsidRPr="005E6D37">
        <w:t>Electronic</w:t>
      </w:r>
      <w:r w:rsidR="00875F60" w:rsidRPr="00091F55">
        <w:t xml:space="preserve"> Communication Committee of CEPT </w:t>
      </w:r>
      <w:r w:rsidR="00875F60">
        <w:t>(</w:t>
      </w:r>
      <w:r w:rsidR="00875F60" w:rsidRPr="00CF2904">
        <w:t>ECC</w:t>
      </w:r>
      <w:r w:rsidR="00875F60">
        <w:t>)</w:t>
      </w:r>
      <w:r w:rsidR="00875F60" w:rsidRPr="00CF2904">
        <w:t xml:space="preserve"> </w:t>
      </w:r>
      <w:r w:rsidR="00875F60">
        <w:t xml:space="preserve">had recently released a decision on emission limits for wireless broadband services </w:t>
      </w:r>
      <w:r w:rsidR="007F22D7">
        <w:t xml:space="preserve">operating </w:t>
      </w:r>
      <w:r w:rsidR="00875F60">
        <w:t>in the 26 GHz band</w:t>
      </w:r>
      <w:r w:rsidR="007F22D7">
        <w:t xml:space="preserve"> to protect </w:t>
      </w:r>
      <w:r w:rsidR="00A77120">
        <w:t xml:space="preserve">passive </w:t>
      </w:r>
      <w:r w:rsidR="007F22D7">
        <w:t>EESS. The ACMA subsequently established a working group</w:t>
      </w:r>
      <w:r w:rsidR="007F22D7">
        <w:rPr>
          <w:rStyle w:val="FootnoteReference"/>
        </w:rPr>
        <w:footnoteReference w:id="6"/>
      </w:r>
      <w:r w:rsidR="007F22D7">
        <w:t xml:space="preserve"> to consider the implications of this decision and other considerations to ensure that any allocation for wireless broadband in Australia would protect </w:t>
      </w:r>
      <w:r w:rsidR="00A77120">
        <w:t xml:space="preserve">passive </w:t>
      </w:r>
      <w:r w:rsidR="007F22D7">
        <w:t>EESS.</w:t>
      </w:r>
    </w:p>
    <w:p w14:paraId="1845CC1C" w14:textId="3229E3B7" w:rsidR="005E7C8B" w:rsidRDefault="00BA037A" w:rsidP="00DA511D">
      <w:pPr>
        <w:spacing w:before="120" w:after="120" w:line="240" w:lineRule="auto"/>
      </w:pPr>
      <w:r>
        <w:t>Concurrently</w:t>
      </w:r>
      <w:r w:rsidR="005E7C8B">
        <w:t xml:space="preserve">, the ACMA </w:t>
      </w:r>
      <w:r w:rsidR="008B7517">
        <w:t>has been</w:t>
      </w:r>
      <w:r w:rsidR="00504FCD">
        <w:t xml:space="preserve"> </w:t>
      </w:r>
      <w:r w:rsidR="005E7C8B">
        <w:t xml:space="preserve">considering future planning arrangements </w:t>
      </w:r>
      <w:r>
        <w:t>for</w:t>
      </w:r>
      <w:r w:rsidR="005E7C8B">
        <w:t xml:space="preserve"> the adjacent 28 GHz band. This band has a range of incumbent uses (including satellite and point-to-point services) and has significant international interest for wireless broadband use. The 28 GHz</w:t>
      </w:r>
      <w:r w:rsidR="005E7C8B">
        <w:rPr>
          <w:szCs w:val="21"/>
        </w:rPr>
        <w:t xml:space="preserve"> </w:t>
      </w:r>
      <w:hyperlink r:id="rId28" w:history="1">
        <w:r w:rsidR="003A200F">
          <w:rPr>
            <w:rStyle w:val="Hyperlink"/>
            <w:szCs w:val="21"/>
          </w:rPr>
          <w:t>s</w:t>
        </w:r>
        <w:r w:rsidR="005E7C8B">
          <w:rPr>
            <w:rStyle w:val="Hyperlink"/>
            <w:szCs w:val="21"/>
          </w:rPr>
          <w:t>pectrum planning discussion paper</w:t>
        </w:r>
      </w:hyperlink>
      <w:r w:rsidR="005E7C8B">
        <w:rPr>
          <w:szCs w:val="21"/>
        </w:rPr>
        <w:t xml:space="preserve"> </w:t>
      </w:r>
      <w:r w:rsidR="005E7C8B">
        <w:t xml:space="preserve">was released in </w:t>
      </w:r>
      <w:r w:rsidR="000D2211" w:rsidRPr="007077CA">
        <w:t>September</w:t>
      </w:r>
      <w:r w:rsidR="000D2211">
        <w:t xml:space="preserve"> </w:t>
      </w:r>
      <w:r w:rsidR="003A200F">
        <w:t xml:space="preserve">2018 </w:t>
      </w:r>
      <w:r w:rsidR="005E7C8B">
        <w:t>and close</w:t>
      </w:r>
      <w:r w:rsidR="00A77120">
        <w:t>d</w:t>
      </w:r>
      <w:r w:rsidR="005E7C8B">
        <w:t xml:space="preserve"> </w:t>
      </w:r>
      <w:r w:rsidR="00BF4A89">
        <w:t xml:space="preserve">for consultation on </w:t>
      </w:r>
      <w:r w:rsidR="005E7C8B">
        <w:t>23 November 2018.</w:t>
      </w:r>
    </w:p>
    <w:p w14:paraId="0A94B827" w14:textId="62730013" w:rsidR="00FC6CE3" w:rsidRDefault="00FC6CE3" w:rsidP="00DA511D">
      <w:pPr>
        <w:spacing w:before="120" w:after="120" w:line="240" w:lineRule="auto"/>
      </w:pPr>
      <w:r>
        <w:t xml:space="preserve">While planning of the 26 GHz band is more advanced than </w:t>
      </w:r>
      <w:r w:rsidR="00BF4A89">
        <w:t xml:space="preserve">the </w:t>
      </w:r>
      <w:r>
        <w:t>28 GHz</w:t>
      </w:r>
      <w:r w:rsidR="00BF4A89">
        <w:t xml:space="preserve"> band</w:t>
      </w:r>
      <w:r w:rsidR="00613FF2">
        <w:t>, there is a clear interrelationship between the two bands</w:t>
      </w:r>
      <w:r w:rsidR="00412BA5">
        <w:t xml:space="preserve">. The </w:t>
      </w:r>
      <w:r w:rsidR="00BF4A89" w:rsidRPr="008F7C5E">
        <w:t xml:space="preserve">planning </w:t>
      </w:r>
      <w:r w:rsidR="00412BA5" w:rsidRPr="008F7C5E">
        <w:t>decisions</w:t>
      </w:r>
      <w:r w:rsidR="00412BA5">
        <w:t xml:space="preserve"> communicated in this paper </w:t>
      </w:r>
      <w:r w:rsidR="003F4D62">
        <w:t xml:space="preserve">have been taken with that interrelationship in mind and </w:t>
      </w:r>
      <w:r w:rsidR="00A85411">
        <w:t xml:space="preserve">subsequent consideration of 28 GHz planning options will take account of 26 GHz planning decisions. </w:t>
      </w:r>
    </w:p>
    <w:p w14:paraId="333EFC07" w14:textId="77777777" w:rsidR="00A84D5C" w:rsidRPr="00A67371" w:rsidRDefault="00A84D5C" w:rsidP="00765E87">
      <w:pPr>
        <w:pStyle w:val="Heading2"/>
      </w:pPr>
      <w:bookmarkStart w:id="21" w:name="_Toc482886572"/>
      <w:bookmarkStart w:id="22" w:name="_Toc482886611"/>
      <w:bookmarkStart w:id="23" w:name="_Toc482888952"/>
      <w:bookmarkStart w:id="24" w:name="_Toc482891223"/>
      <w:bookmarkStart w:id="25" w:name="_Toc482891290"/>
      <w:bookmarkStart w:id="26" w:name="_Toc482956501"/>
      <w:bookmarkStart w:id="27" w:name="_Toc484011473"/>
      <w:bookmarkStart w:id="28" w:name="_Toc484511689"/>
      <w:bookmarkStart w:id="29" w:name="_Toc485967351"/>
      <w:bookmarkStart w:id="30" w:name="_Toc495935477"/>
      <w:bookmarkStart w:id="31" w:name="_Toc495935507"/>
      <w:bookmarkStart w:id="32" w:name="_Toc4664086"/>
      <w:bookmarkStart w:id="33" w:name="_Toc494375833"/>
      <w:bookmarkStart w:id="34" w:name="_Toc494378906"/>
      <w:bookmarkStart w:id="35" w:name="_Toc459906703"/>
      <w:bookmarkStart w:id="36" w:name="_Toc464480497"/>
      <w:r w:rsidRPr="0055309D">
        <w:t>Legislative and policy environment</w:t>
      </w:r>
      <w:bookmarkEnd w:id="21"/>
      <w:bookmarkEnd w:id="22"/>
      <w:bookmarkEnd w:id="23"/>
      <w:bookmarkEnd w:id="24"/>
      <w:bookmarkEnd w:id="25"/>
      <w:bookmarkEnd w:id="26"/>
      <w:bookmarkEnd w:id="27"/>
      <w:bookmarkEnd w:id="28"/>
      <w:bookmarkEnd w:id="29"/>
      <w:bookmarkEnd w:id="30"/>
      <w:bookmarkEnd w:id="31"/>
      <w:bookmarkEnd w:id="32"/>
      <w:r w:rsidRPr="00A67371">
        <w:t xml:space="preserve"> </w:t>
      </w:r>
      <w:bookmarkEnd w:id="33"/>
      <w:bookmarkEnd w:id="34"/>
    </w:p>
    <w:bookmarkEnd w:id="35"/>
    <w:bookmarkEnd w:id="36"/>
    <w:p w14:paraId="39EAD0A4" w14:textId="0A0A8027" w:rsidR="003336DD" w:rsidRDefault="003336DD" w:rsidP="00DA511D">
      <w:pPr>
        <w:spacing w:before="120" w:after="120" w:line="240" w:lineRule="auto"/>
        <w:rPr>
          <w:szCs w:val="20"/>
        </w:rPr>
      </w:pPr>
      <w:r>
        <w:t>The</w:t>
      </w:r>
      <w:r>
        <w:rPr>
          <w:szCs w:val="21"/>
        </w:rPr>
        <w:t xml:space="preserve"> </w:t>
      </w:r>
      <w:hyperlink r:id="rId29" w:history="1">
        <w:r w:rsidR="00C240F0">
          <w:rPr>
            <w:rStyle w:val="Hyperlink"/>
            <w:szCs w:val="21"/>
          </w:rPr>
          <w:t>o</w:t>
        </w:r>
        <w:r>
          <w:rPr>
            <w:rStyle w:val="Hyperlink"/>
            <w:szCs w:val="21"/>
          </w:rPr>
          <w:t>ptions paper</w:t>
        </w:r>
      </w:hyperlink>
      <w:r w:rsidR="002F2980">
        <w:rPr>
          <w:szCs w:val="20"/>
        </w:rPr>
        <w:t xml:space="preserve"> released in September 2018 contains a detailed breakdown of </w:t>
      </w:r>
      <w:r w:rsidR="008B3280">
        <w:rPr>
          <w:szCs w:val="20"/>
        </w:rPr>
        <w:t xml:space="preserve">the policy and legislative environment </w:t>
      </w:r>
      <w:r w:rsidR="008C453F">
        <w:rPr>
          <w:szCs w:val="20"/>
        </w:rPr>
        <w:t xml:space="preserve">in which </w:t>
      </w:r>
      <w:r w:rsidR="008B3280">
        <w:rPr>
          <w:szCs w:val="20"/>
        </w:rPr>
        <w:t>the ACMA operates in considering the allocation of spectrum for wireless broadband services. This include</w:t>
      </w:r>
      <w:r w:rsidR="00725A3B">
        <w:rPr>
          <w:szCs w:val="20"/>
        </w:rPr>
        <w:t>d</w:t>
      </w:r>
      <w:r w:rsidR="008B3280">
        <w:rPr>
          <w:szCs w:val="20"/>
        </w:rPr>
        <w:t xml:space="preserve"> descriptions of:</w:t>
      </w:r>
    </w:p>
    <w:p w14:paraId="5C2BF98A" w14:textId="4FE31C21" w:rsidR="004251E1" w:rsidRDefault="00A12AD2" w:rsidP="00DA511D">
      <w:pPr>
        <w:pStyle w:val="ListBullet"/>
        <w:spacing w:before="120" w:after="120" w:line="240" w:lineRule="auto"/>
      </w:pPr>
      <w:r>
        <w:t xml:space="preserve">the primary legislation under which the ACMA </w:t>
      </w:r>
      <w:r w:rsidR="00DB3224">
        <w:t xml:space="preserve">currently </w:t>
      </w:r>
      <w:r>
        <w:t xml:space="preserve">manages spectrum, being the </w:t>
      </w:r>
      <w:r>
        <w:rPr>
          <w:i/>
        </w:rPr>
        <w:t>Rad</w:t>
      </w:r>
      <w:r w:rsidR="00DB3224">
        <w:rPr>
          <w:i/>
        </w:rPr>
        <w:t>iocommunications Act 1992</w:t>
      </w:r>
      <w:r w:rsidR="002C504F">
        <w:rPr>
          <w:i/>
        </w:rPr>
        <w:t xml:space="preserve"> </w:t>
      </w:r>
      <w:r w:rsidR="002C504F">
        <w:t>(the Act)</w:t>
      </w:r>
    </w:p>
    <w:p w14:paraId="280D8020" w14:textId="56BAEE29" w:rsidR="00B6494C" w:rsidRDefault="00750898" w:rsidP="00DA511D">
      <w:pPr>
        <w:pStyle w:val="ListBullet"/>
        <w:spacing w:before="120" w:after="120" w:line="240" w:lineRule="auto"/>
      </w:pPr>
      <w:r>
        <w:t>the current review of that legislation being undertaken by the Department of Communications and the Arts (</w:t>
      </w:r>
      <w:proofErr w:type="spellStart"/>
      <w:r>
        <w:t>DoCA</w:t>
      </w:r>
      <w:proofErr w:type="spellEnd"/>
      <w:r>
        <w:t>)</w:t>
      </w:r>
      <w:r w:rsidR="00317542">
        <w:rPr>
          <w:rStyle w:val="FootnoteReference"/>
        </w:rPr>
        <w:footnoteReference w:id="7"/>
      </w:r>
      <w:r w:rsidR="004251E1">
        <w:t>, noting that consideration of wireless broadband in the 26 GHz band is being undertaken under the umbrella of the current legislative environment</w:t>
      </w:r>
    </w:p>
    <w:p w14:paraId="11FFD513" w14:textId="16226841" w:rsidR="00DB3224" w:rsidRDefault="005C1DAC" w:rsidP="00DA511D">
      <w:pPr>
        <w:pStyle w:val="ListBullet"/>
        <w:spacing w:before="120" w:after="120" w:line="240" w:lineRule="auto"/>
      </w:pPr>
      <w:r>
        <w:t xml:space="preserve">the </w:t>
      </w:r>
      <w:hyperlink r:id="rId30" w:anchor="principles" w:history="1">
        <w:r w:rsidR="00A95241">
          <w:rPr>
            <w:rStyle w:val="Hyperlink"/>
            <w:i/>
          </w:rPr>
          <w:t>p</w:t>
        </w:r>
        <w:r w:rsidRPr="00B32D5D">
          <w:rPr>
            <w:rStyle w:val="Hyperlink"/>
            <w:i/>
          </w:rPr>
          <w:t xml:space="preserve">rinciples for </w:t>
        </w:r>
        <w:r w:rsidR="00A95241">
          <w:rPr>
            <w:rStyle w:val="Hyperlink"/>
            <w:i/>
          </w:rPr>
          <w:t>s</w:t>
        </w:r>
        <w:r w:rsidRPr="00B32D5D">
          <w:rPr>
            <w:rStyle w:val="Hyperlink"/>
            <w:i/>
          </w:rPr>
          <w:t xml:space="preserve">pectrum </w:t>
        </w:r>
        <w:r w:rsidR="00A95241">
          <w:rPr>
            <w:rStyle w:val="Hyperlink"/>
            <w:i/>
          </w:rPr>
          <w:t>m</w:t>
        </w:r>
        <w:r w:rsidRPr="00B32D5D">
          <w:rPr>
            <w:rStyle w:val="Hyperlink"/>
            <w:i/>
          </w:rPr>
          <w:t>anagement</w:t>
        </w:r>
      </w:hyperlink>
      <w:r>
        <w:t>, which provide guidance</w:t>
      </w:r>
      <w:r w:rsidR="00305982">
        <w:t xml:space="preserve"> </w:t>
      </w:r>
      <w:r w:rsidR="003E408B">
        <w:t>when making decisions on spectrum allocation</w:t>
      </w:r>
    </w:p>
    <w:p w14:paraId="5E76271A" w14:textId="41063D36" w:rsidR="003E408B" w:rsidRDefault="003E408B" w:rsidP="00DA511D">
      <w:pPr>
        <w:pStyle w:val="ListBullet"/>
        <w:spacing w:before="120" w:after="120" w:line="240" w:lineRule="auto"/>
      </w:pPr>
      <w:r>
        <w:t>the three licence types under which spectrum access can be authorised, being</w:t>
      </w:r>
      <w:r w:rsidRPr="00A95241">
        <w:t xml:space="preserve"> apparatus, spectrum and class</w:t>
      </w:r>
      <w:r>
        <w:rPr>
          <w:i/>
        </w:rPr>
        <w:t xml:space="preserve"> </w:t>
      </w:r>
      <w:r>
        <w:t>licensing</w:t>
      </w:r>
    </w:p>
    <w:p w14:paraId="50B167F6" w14:textId="77777777" w:rsidR="001032CC" w:rsidRDefault="008E0061" w:rsidP="00DA511D">
      <w:pPr>
        <w:pStyle w:val="ListBullet"/>
        <w:spacing w:before="120" w:after="120" w:line="240" w:lineRule="auto"/>
      </w:pPr>
      <w:r>
        <w:t>key ACMA tools</w:t>
      </w:r>
      <w:r w:rsidR="000B297C">
        <w:t xml:space="preserve"> which provide transparency to industry and the public on </w:t>
      </w:r>
      <w:r w:rsidR="001032CC">
        <w:t>spectrum management and allocation programs, including:</w:t>
      </w:r>
    </w:p>
    <w:p w14:paraId="10C1E6C1" w14:textId="54A61327" w:rsidR="00676C49" w:rsidRPr="00A05EC9" w:rsidRDefault="000A3B0C" w:rsidP="004C1D45">
      <w:pPr>
        <w:pStyle w:val="ListBullet2"/>
      </w:pPr>
      <w:r>
        <w:t xml:space="preserve">the </w:t>
      </w:r>
      <w:hyperlink r:id="rId31" w:history="1">
        <w:r w:rsidR="00A95241">
          <w:rPr>
            <w:rStyle w:val="Hyperlink"/>
            <w:i/>
          </w:rPr>
          <w:t>m</w:t>
        </w:r>
        <w:r w:rsidRPr="00B32D5D">
          <w:rPr>
            <w:rStyle w:val="Hyperlink"/>
            <w:i/>
          </w:rPr>
          <w:t xml:space="preserve">obile </w:t>
        </w:r>
        <w:r w:rsidR="00A95241">
          <w:rPr>
            <w:rStyle w:val="Hyperlink"/>
            <w:i/>
          </w:rPr>
          <w:t>b</w:t>
        </w:r>
        <w:r w:rsidRPr="00B32D5D">
          <w:rPr>
            <w:rStyle w:val="Hyperlink"/>
            <w:i/>
          </w:rPr>
          <w:t xml:space="preserve">roadband </w:t>
        </w:r>
        <w:r w:rsidR="002D7628" w:rsidRPr="00B32D5D">
          <w:rPr>
            <w:rStyle w:val="Hyperlink"/>
            <w:i/>
          </w:rPr>
          <w:t xml:space="preserve">(MBB) </w:t>
        </w:r>
        <w:r w:rsidR="00A95241">
          <w:rPr>
            <w:rStyle w:val="Hyperlink"/>
            <w:i/>
          </w:rPr>
          <w:t>s</w:t>
        </w:r>
        <w:r w:rsidRPr="00B32D5D">
          <w:rPr>
            <w:rStyle w:val="Hyperlink"/>
            <w:i/>
          </w:rPr>
          <w:t>trategy</w:t>
        </w:r>
      </w:hyperlink>
      <w:r>
        <w:t xml:space="preserve">, which provides a framework </w:t>
      </w:r>
      <w:r w:rsidR="00474539">
        <w:t xml:space="preserve">for the </w:t>
      </w:r>
      <w:r w:rsidR="00474539" w:rsidRPr="004C1D45">
        <w:t>consideration</w:t>
      </w:r>
      <w:r w:rsidR="00474539">
        <w:t xml:space="preserve"> and</w:t>
      </w:r>
      <w:r w:rsidR="00981635">
        <w:t>, where deemed appropriate,</w:t>
      </w:r>
      <w:r w:rsidR="00474539">
        <w:t xml:space="preserve"> progression of </w:t>
      </w:r>
      <w:r w:rsidR="00981635">
        <w:t xml:space="preserve">frequency bands </w:t>
      </w:r>
      <w:r w:rsidR="001173D7">
        <w:t>to allocation for provision of mobile (and other wireless) broadband services</w:t>
      </w:r>
    </w:p>
    <w:p w14:paraId="28F90240" w14:textId="5F5ADCA9" w:rsidR="00B6494C" w:rsidRDefault="001173D7" w:rsidP="004C1D45">
      <w:pPr>
        <w:pStyle w:val="ListBullet2"/>
      </w:pPr>
      <w:r>
        <w:t xml:space="preserve">the </w:t>
      </w:r>
      <w:hyperlink r:id="rId32" w:history="1">
        <w:r w:rsidR="00D32F13" w:rsidRPr="00B32D5D">
          <w:rPr>
            <w:rStyle w:val="Hyperlink"/>
            <w:i/>
          </w:rPr>
          <w:t>Five-</w:t>
        </w:r>
        <w:r w:rsidR="00A95241">
          <w:rPr>
            <w:rStyle w:val="Hyperlink"/>
            <w:i/>
          </w:rPr>
          <w:t>y</w:t>
        </w:r>
        <w:r w:rsidR="00D32F13" w:rsidRPr="00B32D5D">
          <w:rPr>
            <w:rStyle w:val="Hyperlink"/>
            <w:i/>
          </w:rPr>
          <w:t>ear</w:t>
        </w:r>
        <w:r w:rsidR="002A5635" w:rsidRPr="00B32D5D">
          <w:rPr>
            <w:rStyle w:val="Hyperlink"/>
            <w:i/>
          </w:rPr>
          <w:t xml:space="preserve"> </w:t>
        </w:r>
        <w:r w:rsidR="00A95241">
          <w:rPr>
            <w:rStyle w:val="Hyperlink"/>
            <w:i/>
          </w:rPr>
          <w:t>s</w:t>
        </w:r>
        <w:r w:rsidR="002A5635" w:rsidRPr="00B32D5D">
          <w:rPr>
            <w:rStyle w:val="Hyperlink"/>
            <w:i/>
          </w:rPr>
          <w:t xml:space="preserve">pectrum </w:t>
        </w:r>
        <w:r w:rsidR="00A95241">
          <w:rPr>
            <w:rStyle w:val="Hyperlink"/>
            <w:i/>
          </w:rPr>
          <w:t>o</w:t>
        </w:r>
        <w:r w:rsidR="002A5635" w:rsidRPr="00B32D5D">
          <w:rPr>
            <w:rStyle w:val="Hyperlink"/>
            <w:i/>
          </w:rPr>
          <w:t>utlook (FYSO)</w:t>
        </w:r>
        <w:r w:rsidR="002A5635" w:rsidRPr="004C1D45">
          <w:rPr>
            <w:rStyle w:val="Hyperlink"/>
            <w:color w:val="auto"/>
            <w:u w:val="none"/>
          </w:rPr>
          <w:t>,</w:t>
        </w:r>
      </w:hyperlink>
      <w:r w:rsidR="002A5635">
        <w:t xml:space="preserve"> which sets out the ACMA’s forward work program over a </w:t>
      </w:r>
      <w:r w:rsidR="00D32F13">
        <w:t>five-year</w:t>
      </w:r>
      <w:r w:rsidR="002A5635">
        <w:t xml:space="preserve"> period</w:t>
      </w:r>
      <w:r w:rsidR="004A581B">
        <w:t>.</w:t>
      </w:r>
    </w:p>
    <w:p w14:paraId="427E0331" w14:textId="3BD03243" w:rsidR="002A5635" w:rsidRPr="00A05EC9" w:rsidRDefault="004B3374" w:rsidP="00DA511D">
      <w:pPr>
        <w:pStyle w:val="ListBullet"/>
        <w:numPr>
          <w:ilvl w:val="0"/>
          <w:numId w:val="0"/>
        </w:numPr>
        <w:spacing w:before="120" w:after="120" w:line="240" w:lineRule="auto"/>
      </w:pPr>
      <w:r>
        <w:t xml:space="preserve">Given the relatively short </w:t>
      </w:r>
      <w:r w:rsidR="00C510BC">
        <w:t xml:space="preserve">period </w:t>
      </w:r>
      <w:r w:rsidR="00192634">
        <w:t xml:space="preserve">since </w:t>
      </w:r>
      <w:r w:rsidR="00A95241">
        <w:t xml:space="preserve">the </w:t>
      </w:r>
      <w:r w:rsidR="00C240F0">
        <w:t>o</w:t>
      </w:r>
      <w:r w:rsidR="00A95241">
        <w:t xml:space="preserve">ptions </w:t>
      </w:r>
      <w:r w:rsidR="00C510BC">
        <w:t>paper</w:t>
      </w:r>
      <w:r w:rsidR="00CB0C47">
        <w:t xml:space="preserve"> was released</w:t>
      </w:r>
      <w:r w:rsidR="00A95241">
        <w:t>,</w:t>
      </w:r>
      <w:r w:rsidR="00CB0C47">
        <w:t xml:space="preserve"> very little has changed </w:t>
      </w:r>
      <w:r w:rsidR="00DC26B6">
        <w:t>in this environment</w:t>
      </w:r>
      <w:r w:rsidR="002D7628">
        <w:t xml:space="preserve">, with the exception of the status of 26 GHz planning under the MBB strategy, which is </w:t>
      </w:r>
      <w:r w:rsidR="00870A3A">
        <w:t>detailed later in this paper.</w:t>
      </w:r>
    </w:p>
    <w:p w14:paraId="39355BA2" w14:textId="18E7D291" w:rsidR="00610B88" w:rsidRPr="000D76E0" w:rsidRDefault="00CA58CA" w:rsidP="00DA511D">
      <w:pPr>
        <w:pStyle w:val="Heading1"/>
        <w:spacing w:before="120" w:after="120" w:line="240" w:lineRule="auto"/>
      </w:pPr>
      <w:bookmarkStart w:id="37" w:name="_Toc4664087"/>
      <w:r>
        <w:lastRenderedPageBreak/>
        <w:t xml:space="preserve">Responses to the </w:t>
      </w:r>
      <w:r w:rsidR="00C240F0">
        <w:t>o</w:t>
      </w:r>
      <w:r>
        <w:t>ptions paper</w:t>
      </w:r>
      <w:bookmarkEnd w:id="37"/>
    </w:p>
    <w:p w14:paraId="59FBC776" w14:textId="39F5FB7B" w:rsidR="00CA01B5" w:rsidRDefault="00CA58CA" w:rsidP="003A5B89">
      <w:r>
        <w:t xml:space="preserve">The </w:t>
      </w:r>
      <w:r w:rsidR="00C240F0">
        <w:t>o</w:t>
      </w:r>
      <w:r>
        <w:t xml:space="preserve">ptions </w:t>
      </w:r>
      <w:r w:rsidR="001215BD">
        <w:t xml:space="preserve">paper </w:t>
      </w:r>
      <w:r>
        <w:t>propose</w:t>
      </w:r>
      <w:r w:rsidR="00DE6421">
        <w:t>d</w:t>
      </w:r>
      <w:r w:rsidR="00615D34">
        <w:t xml:space="preserve"> a number of combinations of primary licensing options </w:t>
      </w:r>
      <w:r w:rsidR="000B2DB5">
        <w:t>(options 2, 3, 4 and 5</w:t>
      </w:r>
      <w:r w:rsidR="00B56694">
        <w:t xml:space="preserve">; </w:t>
      </w:r>
      <w:r w:rsidR="000B2DB5">
        <w:t xml:space="preserve">option 1 is the default ‘no change’ option) and </w:t>
      </w:r>
      <w:r w:rsidR="008215CD">
        <w:t>spectrum/defined area variants (variants a, b, c and d</w:t>
      </w:r>
      <w:r w:rsidR="00B56694">
        <w:t xml:space="preserve">; </w:t>
      </w:r>
      <w:r w:rsidR="008215CD">
        <w:t xml:space="preserve">note that ‘defined area’ pertains to areas potentially subject to spectrum licensing). The options </w:t>
      </w:r>
      <w:r w:rsidR="001215BD">
        <w:t xml:space="preserve">are reproduced in Table 1 (refer to the </w:t>
      </w:r>
      <w:hyperlink r:id="rId33" w:history="1">
        <w:r w:rsidR="00C240F0">
          <w:rPr>
            <w:rStyle w:val="Hyperlink"/>
          </w:rPr>
          <w:t>o</w:t>
        </w:r>
        <w:r w:rsidR="00D93649">
          <w:rPr>
            <w:rStyle w:val="Hyperlink"/>
          </w:rPr>
          <w:t>ptions paper</w:t>
        </w:r>
      </w:hyperlink>
      <w:r w:rsidR="00D93649">
        <w:rPr>
          <w:rStyle w:val="Hyperlink"/>
        </w:rPr>
        <w:t xml:space="preserve"> </w:t>
      </w:r>
      <w:r w:rsidR="001215BD">
        <w:t>for detailed descriptions).</w:t>
      </w:r>
      <w:r w:rsidR="00615D34">
        <w:t xml:space="preserve"> </w:t>
      </w:r>
    </w:p>
    <w:p w14:paraId="34A65FF2" w14:textId="78D9214B" w:rsidR="00BA25B1" w:rsidRPr="00A05EC9" w:rsidRDefault="00BA25B1" w:rsidP="00DA511D">
      <w:pPr>
        <w:pStyle w:val="ACMATableHeader"/>
        <w:spacing w:before="120" w:after="120"/>
      </w:pPr>
      <w:r>
        <w:t>Summary of options (</w:t>
      </w:r>
      <w:r w:rsidR="00B56694">
        <w:t>o</w:t>
      </w:r>
      <w:r w:rsidRPr="00B56694">
        <w:t>ption 1—</w:t>
      </w:r>
      <w:r w:rsidR="00B56694">
        <w:t>'n</w:t>
      </w:r>
      <w:r w:rsidRPr="00B56694">
        <w:t>o change</w:t>
      </w:r>
      <w:r w:rsidR="00B56694">
        <w:t>’</w:t>
      </w:r>
      <w:r>
        <w:t xml:space="preserve"> not included)</w:t>
      </w:r>
    </w:p>
    <w:tbl>
      <w:tblPr>
        <w:tblStyle w:val="TableGrid"/>
        <w:tblW w:w="9652" w:type="dxa"/>
        <w:tblLayout w:type="fixed"/>
        <w:tblLook w:val="04A0" w:firstRow="1" w:lastRow="0" w:firstColumn="1" w:lastColumn="0" w:noHBand="0" w:noVBand="1"/>
      </w:tblPr>
      <w:tblGrid>
        <w:gridCol w:w="2547"/>
        <w:gridCol w:w="1151"/>
        <w:gridCol w:w="1684"/>
        <w:gridCol w:w="1860"/>
        <w:gridCol w:w="2410"/>
      </w:tblGrid>
      <w:tr w:rsidR="00BA25B1" w14:paraId="58B6DFDD" w14:textId="77777777" w:rsidTr="00EE623C">
        <w:tc>
          <w:tcPr>
            <w:tcW w:w="2547" w:type="dxa"/>
            <w:vMerge w:val="restart"/>
          </w:tcPr>
          <w:p w14:paraId="6DBB9177" w14:textId="77777777" w:rsidR="00BA25B1" w:rsidRDefault="00BA25B1" w:rsidP="00DA511D">
            <w:pPr>
              <w:pStyle w:val="ListBullet"/>
              <w:numPr>
                <w:ilvl w:val="0"/>
                <w:numId w:val="0"/>
              </w:numPr>
              <w:spacing w:before="120" w:after="120" w:line="240" w:lineRule="auto"/>
            </w:pPr>
          </w:p>
        </w:tc>
        <w:tc>
          <w:tcPr>
            <w:tcW w:w="7105" w:type="dxa"/>
            <w:gridSpan w:val="4"/>
            <w:tcBorders>
              <w:bottom w:val="nil"/>
            </w:tcBorders>
          </w:tcPr>
          <w:p w14:paraId="4FC8782B" w14:textId="77777777" w:rsidR="00BA25B1" w:rsidRPr="00F456B9" w:rsidRDefault="00BA25B1" w:rsidP="00DA511D">
            <w:pPr>
              <w:pStyle w:val="ListBullet"/>
              <w:numPr>
                <w:ilvl w:val="0"/>
                <w:numId w:val="0"/>
              </w:numPr>
              <w:spacing w:before="120" w:after="120" w:line="240" w:lineRule="auto"/>
              <w:rPr>
                <w:b/>
              </w:rPr>
            </w:pPr>
            <w:r w:rsidRPr="00F456B9">
              <w:rPr>
                <w:b/>
              </w:rPr>
              <w:t>Spectrum licensing</w:t>
            </w:r>
          </w:p>
        </w:tc>
      </w:tr>
      <w:tr w:rsidR="00BA25B1" w14:paraId="12356790" w14:textId="77777777" w:rsidTr="00EE623C">
        <w:tc>
          <w:tcPr>
            <w:tcW w:w="2547" w:type="dxa"/>
            <w:vMerge/>
          </w:tcPr>
          <w:p w14:paraId="7AB6FDBE" w14:textId="77777777" w:rsidR="00BA25B1" w:rsidRDefault="00BA25B1" w:rsidP="00DA511D">
            <w:pPr>
              <w:pStyle w:val="ListBullet"/>
              <w:numPr>
                <w:ilvl w:val="0"/>
                <w:numId w:val="0"/>
              </w:numPr>
              <w:spacing w:before="120" w:after="120" w:line="240" w:lineRule="auto"/>
            </w:pPr>
          </w:p>
        </w:tc>
        <w:tc>
          <w:tcPr>
            <w:tcW w:w="1151" w:type="dxa"/>
            <w:tcBorders>
              <w:top w:val="nil"/>
              <w:bottom w:val="single" w:sz="4" w:space="0" w:color="auto"/>
            </w:tcBorders>
          </w:tcPr>
          <w:p w14:paraId="593167C5" w14:textId="3DA7A3DD" w:rsidR="00BA25B1" w:rsidRPr="00E16422" w:rsidRDefault="00BA25B1" w:rsidP="00DA511D">
            <w:pPr>
              <w:pStyle w:val="ListBullet"/>
              <w:numPr>
                <w:ilvl w:val="0"/>
                <w:numId w:val="0"/>
              </w:numPr>
              <w:spacing w:before="120" w:after="120" w:line="240" w:lineRule="auto"/>
              <w:rPr>
                <w:b/>
              </w:rPr>
            </w:pPr>
          </w:p>
        </w:tc>
        <w:tc>
          <w:tcPr>
            <w:tcW w:w="1684" w:type="dxa"/>
            <w:tcBorders>
              <w:top w:val="single" w:sz="4" w:space="0" w:color="auto"/>
            </w:tcBorders>
          </w:tcPr>
          <w:p w14:paraId="5766D33F" w14:textId="77777777" w:rsidR="00BA25B1" w:rsidRPr="00DC2752" w:rsidRDefault="00BA25B1" w:rsidP="00DA511D">
            <w:pPr>
              <w:pStyle w:val="ListBullet"/>
              <w:numPr>
                <w:ilvl w:val="0"/>
                <w:numId w:val="0"/>
              </w:numPr>
              <w:spacing w:before="120" w:after="120" w:line="240" w:lineRule="auto"/>
              <w:rPr>
                <w:b/>
              </w:rPr>
            </w:pPr>
            <w:r w:rsidRPr="00DC2752">
              <w:rPr>
                <w:b/>
              </w:rPr>
              <w:t>+ apparatus licensing in part of the band</w:t>
            </w:r>
          </w:p>
        </w:tc>
        <w:tc>
          <w:tcPr>
            <w:tcW w:w="1860" w:type="dxa"/>
            <w:tcBorders>
              <w:top w:val="single" w:sz="4" w:space="0" w:color="auto"/>
            </w:tcBorders>
          </w:tcPr>
          <w:p w14:paraId="1EC2FA32" w14:textId="77777777" w:rsidR="00BA25B1" w:rsidRPr="00DC2752" w:rsidRDefault="00BA25B1" w:rsidP="00DA511D">
            <w:pPr>
              <w:pStyle w:val="ListBullet"/>
              <w:numPr>
                <w:ilvl w:val="0"/>
                <w:numId w:val="0"/>
              </w:numPr>
              <w:spacing w:before="120" w:after="120" w:line="240" w:lineRule="auto"/>
              <w:rPr>
                <w:b/>
              </w:rPr>
            </w:pPr>
            <w:r w:rsidRPr="00DC2752">
              <w:rPr>
                <w:b/>
              </w:rPr>
              <w:t>+ co-frequency class licence (underlay across entire band)</w:t>
            </w:r>
          </w:p>
        </w:tc>
        <w:tc>
          <w:tcPr>
            <w:tcW w:w="2410" w:type="dxa"/>
            <w:tcBorders>
              <w:top w:val="single" w:sz="4" w:space="0" w:color="auto"/>
            </w:tcBorders>
          </w:tcPr>
          <w:p w14:paraId="39050FA1" w14:textId="77777777" w:rsidR="00BA25B1" w:rsidRPr="00DC2752" w:rsidRDefault="00BA25B1" w:rsidP="00DA511D">
            <w:pPr>
              <w:pStyle w:val="ListBullet"/>
              <w:numPr>
                <w:ilvl w:val="0"/>
                <w:numId w:val="0"/>
              </w:numPr>
              <w:spacing w:before="120" w:after="120" w:line="240" w:lineRule="auto"/>
              <w:rPr>
                <w:b/>
              </w:rPr>
            </w:pPr>
            <w:r w:rsidRPr="00DC2752">
              <w:rPr>
                <w:b/>
              </w:rPr>
              <w:t>+ apparatus licensing in part of the band + co-frequency class licence (entire band)</w:t>
            </w:r>
          </w:p>
        </w:tc>
      </w:tr>
      <w:tr w:rsidR="00BA25B1" w14:paraId="134AE94D" w14:textId="77777777" w:rsidTr="00EE623C">
        <w:tc>
          <w:tcPr>
            <w:tcW w:w="2547" w:type="dxa"/>
          </w:tcPr>
          <w:p w14:paraId="25D2AB26" w14:textId="77777777" w:rsidR="00BA25B1" w:rsidRPr="00AC27C6" w:rsidRDefault="00BA25B1" w:rsidP="00DA511D">
            <w:pPr>
              <w:pStyle w:val="ListBullet"/>
              <w:numPr>
                <w:ilvl w:val="0"/>
                <w:numId w:val="0"/>
              </w:numPr>
              <w:spacing w:before="120" w:after="120" w:line="240" w:lineRule="auto"/>
            </w:pPr>
            <w:r w:rsidRPr="00AC27C6">
              <w:t>24.25</w:t>
            </w:r>
            <w:r>
              <w:t>*–</w:t>
            </w:r>
            <w:r w:rsidRPr="00AC27C6">
              <w:t xml:space="preserve">27 GHz in </w:t>
            </w:r>
            <w:r>
              <w:t>metro</w:t>
            </w:r>
          </w:p>
        </w:tc>
        <w:tc>
          <w:tcPr>
            <w:tcW w:w="1151" w:type="dxa"/>
            <w:tcBorders>
              <w:top w:val="single" w:sz="4" w:space="0" w:color="auto"/>
            </w:tcBorders>
            <w:vAlign w:val="center"/>
          </w:tcPr>
          <w:p w14:paraId="1DFC8E40" w14:textId="77777777" w:rsidR="00BA25B1" w:rsidRDefault="00BA25B1" w:rsidP="00DA511D">
            <w:pPr>
              <w:pStyle w:val="ListBullet"/>
              <w:numPr>
                <w:ilvl w:val="0"/>
                <w:numId w:val="0"/>
              </w:numPr>
              <w:spacing w:before="120" w:after="120" w:line="240" w:lineRule="auto"/>
            </w:pPr>
            <w:r>
              <w:t>Option 2a</w:t>
            </w:r>
          </w:p>
        </w:tc>
        <w:tc>
          <w:tcPr>
            <w:tcW w:w="1684" w:type="dxa"/>
            <w:vAlign w:val="center"/>
          </w:tcPr>
          <w:p w14:paraId="7CE9DEA0" w14:textId="77777777" w:rsidR="00BA25B1" w:rsidRDefault="00BA25B1" w:rsidP="00DA511D">
            <w:pPr>
              <w:pStyle w:val="ListBullet"/>
              <w:numPr>
                <w:ilvl w:val="0"/>
                <w:numId w:val="0"/>
              </w:numPr>
              <w:spacing w:before="120" w:after="120" w:line="240" w:lineRule="auto"/>
            </w:pPr>
            <w:r>
              <w:t>Option 3a</w:t>
            </w:r>
          </w:p>
        </w:tc>
        <w:tc>
          <w:tcPr>
            <w:tcW w:w="1860" w:type="dxa"/>
            <w:vAlign w:val="center"/>
          </w:tcPr>
          <w:p w14:paraId="330E94DD" w14:textId="77777777" w:rsidR="00BA25B1" w:rsidRDefault="00BA25B1" w:rsidP="00DA511D">
            <w:pPr>
              <w:pStyle w:val="ListBullet"/>
              <w:numPr>
                <w:ilvl w:val="0"/>
                <w:numId w:val="0"/>
              </w:numPr>
              <w:spacing w:before="120" w:after="120" w:line="240" w:lineRule="auto"/>
            </w:pPr>
            <w:r>
              <w:t>Option 4a</w:t>
            </w:r>
          </w:p>
        </w:tc>
        <w:tc>
          <w:tcPr>
            <w:tcW w:w="2410" w:type="dxa"/>
            <w:vAlign w:val="center"/>
          </w:tcPr>
          <w:p w14:paraId="5171BC20" w14:textId="77777777" w:rsidR="00BA25B1" w:rsidRDefault="00BA25B1" w:rsidP="00DA511D">
            <w:pPr>
              <w:pStyle w:val="ListBullet"/>
              <w:numPr>
                <w:ilvl w:val="0"/>
                <w:numId w:val="0"/>
              </w:numPr>
              <w:spacing w:before="120" w:after="120" w:line="240" w:lineRule="auto"/>
            </w:pPr>
            <w:r>
              <w:t>Option 5a</w:t>
            </w:r>
          </w:p>
        </w:tc>
      </w:tr>
      <w:tr w:rsidR="00BA25B1" w14:paraId="51583BC5" w14:textId="77777777" w:rsidTr="00EE623C">
        <w:tc>
          <w:tcPr>
            <w:tcW w:w="2547" w:type="dxa"/>
          </w:tcPr>
          <w:p w14:paraId="3BE4E200" w14:textId="77777777" w:rsidR="00BA25B1" w:rsidRPr="00AC27C6" w:rsidRDefault="00BA25B1" w:rsidP="00DA511D">
            <w:pPr>
              <w:pStyle w:val="ListBullet"/>
              <w:numPr>
                <w:ilvl w:val="0"/>
                <w:numId w:val="0"/>
              </w:numPr>
              <w:spacing w:before="120" w:after="120" w:line="240" w:lineRule="auto"/>
            </w:pPr>
            <w:r w:rsidRPr="00AC27C6">
              <w:t>24.2</w:t>
            </w:r>
            <w:r>
              <w:t>5*–</w:t>
            </w:r>
            <w:r w:rsidRPr="00AC27C6">
              <w:t xml:space="preserve">27 GHz in </w:t>
            </w:r>
            <w:r>
              <w:t>metro</w:t>
            </w:r>
            <w:r w:rsidRPr="00AC27C6">
              <w:t xml:space="preserve"> + major regional centres</w:t>
            </w:r>
          </w:p>
        </w:tc>
        <w:tc>
          <w:tcPr>
            <w:tcW w:w="1151" w:type="dxa"/>
            <w:vAlign w:val="center"/>
          </w:tcPr>
          <w:p w14:paraId="56BEE839" w14:textId="77777777" w:rsidR="00BA25B1" w:rsidRDefault="00BA25B1" w:rsidP="00DA511D">
            <w:pPr>
              <w:pStyle w:val="ListBullet"/>
              <w:numPr>
                <w:ilvl w:val="0"/>
                <w:numId w:val="0"/>
              </w:numPr>
              <w:spacing w:before="120" w:after="120" w:line="240" w:lineRule="auto"/>
            </w:pPr>
            <w:r>
              <w:t>Option 2b</w:t>
            </w:r>
          </w:p>
        </w:tc>
        <w:tc>
          <w:tcPr>
            <w:tcW w:w="1684" w:type="dxa"/>
            <w:vAlign w:val="center"/>
          </w:tcPr>
          <w:p w14:paraId="74DFC4D2" w14:textId="77777777" w:rsidR="00BA25B1" w:rsidRDefault="00BA25B1" w:rsidP="00DA511D">
            <w:pPr>
              <w:pStyle w:val="ListBullet"/>
              <w:numPr>
                <w:ilvl w:val="0"/>
                <w:numId w:val="0"/>
              </w:numPr>
              <w:spacing w:before="120" w:after="120" w:line="240" w:lineRule="auto"/>
            </w:pPr>
            <w:r>
              <w:t>Option 3b</w:t>
            </w:r>
          </w:p>
        </w:tc>
        <w:tc>
          <w:tcPr>
            <w:tcW w:w="1860" w:type="dxa"/>
            <w:vAlign w:val="center"/>
          </w:tcPr>
          <w:p w14:paraId="478E9EA1" w14:textId="77777777" w:rsidR="00BA25B1" w:rsidRDefault="00BA25B1" w:rsidP="00DA511D">
            <w:pPr>
              <w:pStyle w:val="ListBullet"/>
              <w:numPr>
                <w:ilvl w:val="0"/>
                <w:numId w:val="0"/>
              </w:numPr>
              <w:spacing w:before="120" w:after="120" w:line="240" w:lineRule="auto"/>
            </w:pPr>
            <w:r>
              <w:t>Option 4b</w:t>
            </w:r>
          </w:p>
        </w:tc>
        <w:tc>
          <w:tcPr>
            <w:tcW w:w="2410" w:type="dxa"/>
            <w:vAlign w:val="center"/>
          </w:tcPr>
          <w:p w14:paraId="45686785" w14:textId="77777777" w:rsidR="00BA25B1" w:rsidRDefault="00BA25B1" w:rsidP="00DA511D">
            <w:pPr>
              <w:pStyle w:val="ListBullet"/>
              <w:numPr>
                <w:ilvl w:val="0"/>
                <w:numId w:val="0"/>
              </w:numPr>
              <w:spacing w:before="120" w:after="120" w:line="240" w:lineRule="auto"/>
            </w:pPr>
            <w:r>
              <w:t>Option 5b</w:t>
            </w:r>
          </w:p>
        </w:tc>
      </w:tr>
      <w:tr w:rsidR="00BA25B1" w14:paraId="051AD8EB" w14:textId="77777777" w:rsidTr="00EE623C">
        <w:tc>
          <w:tcPr>
            <w:tcW w:w="2547" w:type="dxa"/>
          </w:tcPr>
          <w:p w14:paraId="40F9E855" w14:textId="77777777" w:rsidR="00BA25B1" w:rsidRPr="00AC27C6" w:rsidRDefault="00BA25B1" w:rsidP="00DA511D">
            <w:pPr>
              <w:pStyle w:val="ListBullet"/>
              <w:numPr>
                <w:ilvl w:val="0"/>
                <w:numId w:val="0"/>
              </w:numPr>
              <w:spacing w:before="120" w:after="120" w:line="240" w:lineRule="auto"/>
            </w:pPr>
            <w:r w:rsidRPr="00AC27C6">
              <w:t>24.2</w:t>
            </w:r>
            <w:r>
              <w:t>5*–</w:t>
            </w:r>
            <w:r w:rsidRPr="00AC27C6">
              <w:t xml:space="preserve">27.5 GHz in </w:t>
            </w:r>
            <w:r>
              <w:t>metro</w:t>
            </w:r>
          </w:p>
        </w:tc>
        <w:tc>
          <w:tcPr>
            <w:tcW w:w="1151" w:type="dxa"/>
            <w:vAlign w:val="center"/>
          </w:tcPr>
          <w:p w14:paraId="4E52D0B5" w14:textId="77777777" w:rsidR="00BA25B1" w:rsidRDefault="00BA25B1" w:rsidP="00DA511D">
            <w:pPr>
              <w:pStyle w:val="ListBullet"/>
              <w:numPr>
                <w:ilvl w:val="0"/>
                <w:numId w:val="0"/>
              </w:numPr>
              <w:spacing w:before="120" w:after="120" w:line="240" w:lineRule="auto"/>
            </w:pPr>
            <w:r>
              <w:t>Option 2c</w:t>
            </w:r>
          </w:p>
        </w:tc>
        <w:tc>
          <w:tcPr>
            <w:tcW w:w="1684" w:type="dxa"/>
            <w:vAlign w:val="center"/>
          </w:tcPr>
          <w:p w14:paraId="5A1D82B3" w14:textId="77777777" w:rsidR="00BA25B1" w:rsidRDefault="00BA25B1" w:rsidP="00DA511D">
            <w:pPr>
              <w:pStyle w:val="ListBullet"/>
              <w:numPr>
                <w:ilvl w:val="0"/>
                <w:numId w:val="0"/>
              </w:numPr>
              <w:spacing w:before="120" w:after="120" w:line="240" w:lineRule="auto"/>
            </w:pPr>
            <w:r>
              <w:t>Option 3c</w:t>
            </w:r>
          </w:p>
        </w:tc>
        <w:tc>
          <w:tcPr>
            <w:tcW w:w="1860" w:type="dxa"/>
            <w:vAlign w:val="center"/>
          </w:tcPr>
          <w:p w14:paraId="392BE9CA" w14:textId="77777777" w:rsidR="00BA25B1" w:rsidRDefault="00BA25B1" w:rsidP="00DA511D">
            <w:pPr>
              <w:pStyle w:val="ListBullet"/>
              <w:numPr>
                <w:ilvl w:val="0"/>
                <w:numId w:val="0"/>
              </w:numPr>
              <w:spacing w:before="120" w:after="120" w:line="240" w:lineRule="auto"/>
            </w:pPr>
            <w:r>
              <w:t>Option 4c</w:t>
            </w:r>
          </w:p>
        </w:tc>
        <w:tc>
          <w:tcPr>
            <w:tcW w:w="2410" w:type="dxa"/>
            <w:vAlign w:val="center"/>
          </w:tcPr>
          <w:p w14:paraId="64B4BF46" w14:textId="77777777" w:rsidR="00BA25B1" w:rsidRDefault="00BA25B1" w:rsidP="00DA511D">
            <w:pPr>
              <w:pStyle w:val="ListBullet"/>
              <w:numPr>
                <w:ilvl w:val="0"/>
                <w:numId w:val="0"/>
              </w:numPr>
              <w:spacing w:before="120" w:after="120" w:line="240" w:lineRule="auto"/>
            </w:pPr>
            <w:r>
              <w:t>Option 5c</w:t>
            </w:r>
          </w:p>
        </w:tc>
      </w:tr>
      <w:tr w:rsidR="00BA25B1" w14:paraId="4F5FE890" w14:textId="77777777" w:rsidTr="00EE623C">
        <w:tc>
          <w:tcPr>
            <w:tcW w:w="2547" w:type="dxa"/>
          </w:tcPr>
          <w:p w14:paraId="720065D7" w14:textId="77777777" w:rsidR="00BA25B1" w:rsidRPr="00AC27C6" w:rsidRDefault="00BA25B1" w:rsidP="00DA511D">
            <w:pPr>
              <w:pStyle w:val="ListBullet"/>
              <w:numPr>
                <w:ilvl w:val="0"/>
                <w:numId w:val="0"/>
              </w:numPr>
              <w:spacing w:before="120" w:after="120" w:line="240" w:lineRule="auto"/>
            </w:pPr>
            <w:r w:rsidRPr="00AC27C6">
              <w:t>24.25</w:t>
            </w:r>
            <w:r>
              <w:t>*–</w:t>
            </w:r>
            <w:r w:rsidRPr="00AC27C6">
              <w:t xml:space="preserve">27.5 GHz in </w:t>
            </w:r>
            <w:r>
              <w:t>metro</w:t>
            </w:r>
            <w:r w:rsidRPr="00AC27C6">
              <w:t xml:space="preserve"> + major regional centres</w:t>
            </w:r>
          </w:p>
        </w:tc>
        <w:tc>
          <w:tcPr>
            <w:tcW w:w="1151" w:type="dxa"/>
            <w:vAlign w:val="center"/>
          </w:tcPr>
          <w:p w14:paraId="144FEB55" w14:textId="77777777" w:rsidR="00BA25B1" w:rsidRDefault="00BA25B1" w:rsidP="00DA511D">
            <w:pPr>
              <w:pStyle w:val="ListBullet"/>
              <w:numPr>
                <w:ilvl w:val="0"/>
                <w:numId w:val="0"/>
              </w:numPr>
              <w:spacing w:before="120" w:after="120" w:line="240" w:lineRule="auto"/>
            </w:pPr>
            <w:r>
              <w:t>Option 2d</w:t>
            </w:r>
          </w:p>
        </w:tc>
        <w:tc>
          <w:tcPr>
            <w:tcW w:w="1684" w:type="dxa"/>
            <w:vAlign w:val="center"/>
          </w:tcPr>
          <w:p w14:paraId="5903EA07" w14:textId="77777777" w:rsidR="00BA25B1" w:rsidRDefault="00BA25B1" w:rsidP="00DA511D">
            <w:pPr>
              <w:pStyle w:val="ListBullet"/>
              <w:numPr>
                <w:ilvl w:val="0"/>
                <w:numId w:val="0"/>
              </w:numPr>
              <w:spacing w:before="120" w:after="120" w:line="240" w:lineRule="auto"/>
            </w:pPr>
            <w:r>
              <w:t>Option 3d</w:t>
            </w:r>
          </w:p>
        </w:tc>
        <w:tc>
          <w:tcPr>
            <w:tcW w:w="1860" w:type="dxa"/>
            <w:vAlign w:val="center"/>
          </w:tcPr>
          <w:p w14:paraId="0635F9B2" w14:textId="77777777" w:rsidR="00BA25B1" w:rsidRDefault="00BA25B1" w:rsidP="00DA511D">
            <w:pPr>
              <w:pStyle w:val="ListBullet"/>
              <w:numPr>
                <w:ilvl w:val="0"/>
                <w:numId w:val="0"/>
              </w:numPr>
              <w:spacing w:before="120" w:after="120" w:line="240" w:lineRule="auto"/>
            </w:pPr>
            <w:r>
              <w:t>Option 4d</w:t>
            </w:r>
          </w:p>
        </w:tc>
        <w:tc>
          <w:tcPr>
            <w:tcW w:w="2410" w:type="dxa"/>
            <w:vAlign w:val="center"/>
          </w:tcPr>
          <w:p w14:paraId="5FB8CB66" w14:textId="77777777" w:rsidR="00BA25B1" w:rsidRDefault="00BA25B1" w:rsidP="00DA511D">
            <w:pPr>
              <w:pStyle w:val="ListBullet"/>
              <w:numPr>
                <w:ilvl w:val="0"/>
                <w:numId w:val="0"/>
              </w:numPr>
              <w:spacing w:before="120" w:after="120" w:line="240" w:lineRule="auto"/>
            </w:pPr>
            <w:r>
              <w:t>Option 5d</w:t>
            </w:r>
          </w:p>
        </w:tc>
      </w:tr>
    </w:tbl>
    <w:p w14:paraId="645D4B6E" w14:textId="77777777" w:rsidR="00BA25B1" w:rsidRDefault="00BA25B1" w:rsidP="00DA511D">
      <w:pPr>
        <w:pStyle w:val="ListNumber"/>
        <w:numPr>
          <w:ilvl w:val="0"/>
          <w:numId w:val="0"/>
        </w:numPr>
        <w:spacing w:before="120" w:after="120" w:line="240" w:lineRule="auto"/>
        <w:ind w:left="360" w:hanging="360"/>
      </w:pPr>
    </w:p>
    <w:p w14:paraId="55CCCFFD" w14:textId="4BDD764C" w:rsidR="00CA58CA" w:rsidRPr="00126F44" w:rsidRDefault="00CA58CA" w:rsidP="00765E87">
      <w:pPr>
        <w:pStyle w:val="Heading2"/>
      </w:pPr>
      <w:bookmarkStart w:id="38" w:name="_Toc4664088"/>
      <w:r>
        <w:t>Summary of submissions</w:t>
      </w:r>
      <w:bookmarkEnd w:id="38"/>
    </w:p>
    <w:p w14:paraId="2649BD2D" w14:textId="3CDF2817" w:rsidR="00CA01B5" w:rsidRDefault="00CA01B5" w:rsidP="00AE52F4">
      <w:pPr>
        <w:spacing w:after="80"/>
      </w:pPr>
      <w:r>
        <w:t xml:space="preserve">Consultation on the 26 GHz </w:t>
      </w:r>
      <w:hyperlink r:id="rId34" w:history="1">
        <w:r w:rsidR="00C240F0">
          <w:rPr>
            <w:rStyle w:val="Hyperlink"/>
          </w:rPr>
          <w:t>o</w:t>
        </w:r>
        <w:r>
          <w:rPr>
            <w:rStyle w:val="Hyperlink"/>
          </w:rPr>
          <w:t>ptions paper</w:t>
        </w:r>
      </w:hyperlink>
      <w:r>
        <w:t xml:space="preserve"> closed 9 November 2018.</w:t>
      </w:r>
      <w:r w:rsidR="00427FE2">
        <w:t xml:space="preserve"> </w:t>
      </w:r>
      <w:r w:rsidR="00B76167">
        <w:t>Nineteen</w:t>
      </w:r>
      <w:r>
        <w:t xml:space="preserve"> submissions</w:t>
      </w:r>
      <w:r w:rsidR="00D137D9">
        <w:rPr>
          <w:rStyle w:val="FootnoteReference"/>
        </w:rPr>
        <w:footnoteReference w:id="8"/>
      </w:r>
      <w:r>
        <w:t xml:space="preserve"> </w:t>
      </w:r>
      <w:r w:rsidR="00427FE2">
        <w:t xml:space="preserve">were </w:t>
      </w:r>
      <w:r>
        <w:t xml:space="preserve">received from </w:t>
      </w:r>
      <w:r w:rsidR="00CD64D8">
        <w:t>a range of sectors</w:t>
      </w:r>
      <w:r>
        <w:t>:</w:t>
      </w:r>
    </w:p>
    <w:p w14:paraId="4962084A" w14:textId="0CB2C30E" w:rsidR="00376C9D" w:rsidRDefault="00B40225" w:rsidP="00EF3316">
      <w:pPr>
        <w:pStyle w:val="ListBullet"/>
      </w:pPr>
      <w:r w:rsidRPr="00B56694">
        <w:rPr>
          <w:b/>
        </w:rPr>
        <w:t>M</w:t>
      </w:r>
      <w:r w:rsidR="00542E9D" w:rsidRPr="00B56694">
        <w:rPr>
          <w:b/>
        </w:rPr>
        <w:t>obile</w:t>
      </w:r>
      <w:r w:rsidR="006547C2" w:rsidRPr="00B56694">
        <w:rPr>
          <w:b/>
        </w:rPr>
        <w:t xml:space="preserve"> broadband</w:t>
      </w:r>
      <w:r w:rsidR="00CA01B5" w:rsidRPr="00B56694">
        <w:rPr>
          <w:b/>
        </w:rPr>
        <w:t xml:space="preserve"> sector</w:t>
      </w:r>
      <w:r w:rsidR="00A2064D" w:rsidRPr="00B56694">
        <w:rPr>
          <w:b/>
        </w:rPr>
        <w:t>:</w:t>
      </w:r>
      <w:r w:rsidR="006547C2">
        <w:t xml:space="preserve"> </w:t>
      </w:r>
      <w:r w:rsidR="00A2064D">
        <w:t>Responses were received from the</w:t>
      </w:r>
      <w:r w:rsidR="00CA01B5">
        <w:t xml:space="preserve"> </w:t>
      </w:r>
      <w:r w:rsidR="00F45399">
        <w:t>Australian Mobile Telecommunications Association (</w:t>
      </w:r>
      <w:r w:rsidR="00CA01B5">
        <w:t>AMTA</w:t>
      </w:r>
      <w:r w:rsidR="00F45399">
        <w:t>)</w:t>
      </w:r>
      <w:r w:rsidR="00CA01B5">
        <w:t xml:space="preserve">, Ericsson, Nokia, Optus, Qualcomm, Telstra and </w:t>
      </w:r>
      <w:r w:rsidR="00CA01B5" w:rsidRPr="00EF3316">
        <w:t>Vodafone</w:t>
      </w:r>
      <w:r w:rsidR="00A2064D">
        <w:t xml:space="preserve">. </w:t>
      </w:r>
      <w:r w:rsidR="006547C2">
        <w:t xml:space="preserve">Key themes </w:t>
      </w:r>
      <w:r w:rsidR="004F321B">
        <w:t>arising from these respondents included:</w:t>
      </w:r>
    </w:p>
    <w:p w14:paraId="3BB0D60D" w14:textId="5811DF48" w:rsidR="00AE406E" w:rsidRPr="006861B7" w:rsidRDefault="00AE406E" w:rsidP="006861B7">
      <w:pPr>
        <w:pStyle w:val="ListBullet2"/>
      </w:pPr>
      <w:r w:rsidRPr="006861B7">
        <w:t xml:space="preserve">Support option 2d (spectrum licensing only in defined areas, which include large regional centres, all the way up to 27.5 GHz) from the </w:t>
      </w:r>
      <w:r w:rsidR="00C240F0" w:rsidRPr="006861B7">
        <w:t>o</w:t>
      </w:r>
      <w:r w:rsidRPr="006861B7">
        <w:t>ptions paper, with expanded geographical areas to include additional regional centres.</w:t>
      </w:r>
    </w:p>
    <w:p w14:paraId="3A30511A" w14:textId="40AFC0B2" w:rsidR="00AE406E" w:rsidRPr="006861B7" w:rsidRDefault="00AE406E" w:rsidP="006861B7">
      <w:pPr>
        <w:pStyle w:val="ListBullet2"/>
      </w:pPr>
      <w:r w:rsidRPr="006861B7">
        <w:t>The frequency range 24.7</w:t>
      </w:r>
      <w:r w:rsidR="00B56694" w:rsidRPr="006861B7">
        <w:t>–</w:t>
      </w:r>
      <w:r w:rsidRPr="006861B7">
        <w:t xml:space="preserve">27.5 GHz should be spectrum licensed in metro areas and regional population centres. </w:t>
      </w:r>
    </w:p>
    <w:p w14:paraId="0DA5D785" w14:textId="08E5A4FF" w:rsidR="006337B4" w:rsidRDefault="000D4585" w:rsidP="006861B7">
      <w:pPr>
        <w:pStyle w:val="ListBullet2"/>
      </w:pPr>
      <w:r w:rsidRPr="006861B7">
        <w:t>A</w:t>
      </w:r>
      <w:r w:rsidR="00A2064D" w:rsidRPr="006861B7">
        <w:t>pparatus licen</w:t>
      </w:r>
      <w:r w:rsidR="00786A65" w:rsidRPr="006861B7">
        <w:t>s</w:t>
      </w:r>
      <w:r w:rsidRPr="006861B7">
        <w:t>ing</w:t>
      </w:r>
      <w:r w:rsidR="00A2064D" w:rsidRPr="006861B7">
        <w:t xml:space="preserve"> should </w:t>
      </w:r>
      <w:r w:rsidRPr="006861B7">
        <w:t xml:space="preserve">not </w:t>
      </w:r>
      <w:r w:rsidR="00A2064D" w:rsidRPr="006861B7">
        <w:t xml:space="preserve">be </w:t>
      </w:r>
      <w:r w:rsidR="00A853B8" w:rsidRPr="006861B7">
        <w:t>available</w:t>
      </w:r>
      <w:r w:rsidR="00A2064D" w:rsidRPr="006861B7">
        <w:t xml:space="preserve"> in </w:t>
      </w:r>
      <w:r w:rsidR="006337B4" w:rsidRPr="006861B7">
        <w:t>the above</w:t>
      </w:r>
      <w:r w:rsidR="00A2064D" w:rsidRPr="006861B7">
        <w:t xml:space="preserve"> </w:t>
      </w:r>
      <w:r w:rsidR="006337B4" w:rsidRPr="006861B7">
        <w:t>spectrum space</w:t>
      </w:r>
      <w:r w:rsidR="00B34B36" w:rsidRPr="006861B7">
        <w:t>, however apparatus licences should be available in this spectrum outside defined areas</w:t>
      </w:r>
      <w:r w:rsidR="00A61DF1" w:rsidRPr="006861B7">
        <w:t>.</w:t>
      </w:r>
    </w:p>
    <w:p w14:paraId="4DF80E21" w14:textId="318049F3" w:rsidR="00AE406E" w:rsidRDefault="00AE406E" w:rsidP="006861B7">
      <w:pPr>
        <w:pStyle w:val="ListBullet2"/>
      </w:pPr>
      <w:r>
        <w:t>Spectrum below 24.7 GHz could be used for apparatus and/or class licensed access.</w:t>
      </w:r>
    </w:p>
    <w:p w14:paraId="040A6C5C" w14:textId="21A1CE97" w:rsidR="00A2064D" w:rsidRPr="006861B7" w:rsidRDefault="00A2064D" w:rsidP="006861B7">
      <w:pPr>
        <w:pStyle w:val="ListBullet2"/>
      </w:pPr>
      <w:r w:rsidRPr="006861B7">
        <w:t xml:space="preserve">No underlay class licence should be made in </w:t>
      </w:r>
      <w:r w:rsidR="006337B4" w:rsidRPr="006861B7">
        <w:t>the</w:t>
      </w:r>
      <w:r w:rsidRPr="006861B7">
        <w:t xml:space="preserve"> range</w:t>
      </w:r>
      <w:r w:rsidR="00A65A89" w:rsidRPr="006861B7">
        <w:t xml:space="preserve"> 24.7</w:t>
      </w:r>
      <w:r w:rsidR="00B56694" w:rsidRPr="006861B7">
        <w:t>–</w:t>
      </w:r>
      <w:r w:rsidR="00A65A89" w:rsidRPr="006861B7">
        <w:t>27.5 GHz</w:t>
      </w:r>
      <w:r w:rsidRPr="006861B7">
        <w:t xml:space="preserve"> due to concerns about managing interference</w:t>
      </w:r>
      <w:r w:rsidR="00B25B81" w:rsidRPr="006861B7">
        <w:t xml:space="preserve"> between type 1 and </w:t>
      </w:r>
      <w:r w:rsidR="00A65A89" w:rsidRPr="006861B7">
        <w:t xml:space="preserve">type </w:t>
      </w:r>
      <w:r w:rsidR="00B25B81" w:rsidRPr="006861B7">
        <w:t>3 users</w:t>
      </w:r>
      <w:r w:rsidRPr="006861B7">
        <w:t xml:space="preserve"> and</w:t>
      </w:r>
      <w:r w:rsidR="00B25B81" w:rsidRPr="006861B7">
        <w:t xml:space="preserve"> a</w:t>
      </w:r>
      <w:r w:rsidRPr="006861B7">
        <w:t xml:space="preserve"> lack of demand</w:t>
      </w:r>
      <w:r w:rsidR="00B25B81" w:rsidRPr="006861B7">
        <w:t xml:space="preserve"> for type 3 services.</w:t>
      </w:r>
    </w:p>
    <w:p w14:paraId="56DBA1CD" w14:textId="577F2C21" w:rsidR="00A2064D" w:rsidRPr="006861B7" w:rsidRDefault="00A61DF1" w:rsidP="006861B7">
      <w:pPr>
        <w:pStyle w:val="ListBullet2"/>
      </w:pPr>
      <w:r w:rsidRPr="006861B7">
        <w:t>Wireless broadband</w:t>
      </w:r>
      <w:r w:rsidR="00A2064D" w:rsidRPr="006861B7">
        <w:t xml:space="preserve"> can coexist with satellite services in </w:t>
      </w:r>
      <w:r w:rsidR="00A65A89" w:rsidRPr="006861B7">
        <w:t xml:space="preserve">the </w:t>
      </w:r>
      <w:r w:rsidR="00A2064D" w:rsidRPr="006861B7">
        <w:t>27</w:t>
      </w:r>
      <w:r w:rsidR="00B56694" w:rsidRPr="006861B7">
        <w:t>–</w:t>
      </w:r>
      <w:r w:rsidR="00A2064D" w:rsidRPr="006861B7">
        <w:t>27.5 GHz</w:t>
      </w:r>
      <w:r w:rsidR="00A65A89" w:rsidRPr="006861B7">
        <w:t xml:space="preserve"> range</w:t>
      </w:r>
      <w:r w:rsidR="00A2064D" w:rsidRPr="006861B7">
        <w:t>.</w:t>
      </w:r>
    </w:p>
    <w:p w14:paraId="20973B24" w14:textId="7FF277FC" w:rsidR="00A2064D" w:rsidRDefault="00A2064D" w:rsidP="006861B7">
      <w:pPr>
        <w:pStyle w:val="ListBullet2"/>
      </w:pPr>
      <w:r w:rsidRPr="006861B7">
        <w:lastRenderedPageBreak/>
        <w:t xml:space="preserve">Support out-of-band emission limits in the passive services band in the range </w:t>
      </w:r>
      <w:r w:rsidR="00E20393" w:rsidRPr="006861B7">
        <w:noBreakHyphen/>
      </w:r>
      <w:r w:rsidR="00B56694" w:rsidRPr="006861B7">
        <w:t>3</w:t>
      </w:r>
      <w:r w:rsidRPr="006861B7">
        <w:t xml:space="preserve">2 to -34 </w:t>
      </w:r>
      <w:proofErr w:type="spellStart"/>
      <w:r w:rsidRPr="006861B7">
        <w:t>dBW</w:t>
      </w:r>
      <w:proofErr w:type="spellEnd"/>
      <w:r w:rsidRPr="006861B7">
        <w:t xml:space="preserve">/200 MHz for base stations and -28 to -31 </w:t>
      </w:r>
      <w:proofErr w:type="spellStart"/>
      <w:r w:rsidRPr="006861B7">
        <w:t>dBW</w:t>
      </w:r>
      <w:proofErr w:type="spellEnd"/>
      <w:r w:rsidRPr="006861B7">
        <w:t>/200 MHz for user equipment.</w:t>
      </w:r>
    </w:p>
    <w:p w14:paraId="2D8BB06B" w14:textId="4DBE3E41" w:rsidR="00E04D5D" w:rsidRDefault="00CA01B5" w:rsidP="006861B7">
      <w:pPr>
        <w:pStyle w:val="ListBullet"/>
      </w:pPr>
      <w:r w:rsidRPr="00E20393">
        <w:rPr>
          <w:b/>
        </w:rPr>
        <w:t xml:space="preserve">Fixed </w:t>
      </w:r>
      <w:r w:rsidR="00B40225" w:rsidRPr="00E20393">
        <w:rPr>
          <w:b/>
        </w:rPr>
        <w:t xml:space="preserve">wireless </w:t>
      </w:r>
      <w:r w:rsidRPr="00E20393">
        <w:rPr>
          <w:b/>
        </w:rPr>
        <w:t>broadband secto</w:t>
      </w:r>
      <w:r w:rsidR="00E20393">
        <w:rPr>
          <w:b/>
        </w:rPr>
        <w:t>r:</w:t>
      </w:r>
      <w:r>
        <w:t xml:space="preserve"> </w:t>
      </w:r>
      <w:r w:rsidR="000A4F3D">
        <w:t>Responses were received from</w:t>
      </w:r>
      <w:r>
        <w:t xml:space="preserve"> Cambium</w:t>
      </w:r>
      <w:r w:rsidR="000A4F3D">
        <w:t xml:space="preserve"> Networks</w:t>
      </w:r>
      <w:r w:rsidR="00645442">
        <w:t xml:space="preserve">, </w:t>
      </w:r>
      <w:r w:rsidR="00AD170F">
        <w:t>NBN Co</w:t>
      </w:r>
      <w:r w:rsidR="00E20393">
        <w:t xml:space="preserve"> </w:t>
      </w:r>
      <w:r w:rsidR="00645442">
        <w:t>and WISPAU</w:t>
      </w:r>
      <w:r w:rsidR="001F608A">
        <w:t xml:space="preserve">. </w:t>
      </w:r>
      <w:r w:rsidR="007E1283">
        <w:t>The key theme of these responses was</w:t>
      </w:r>
      <w:r w:rsidR="00645442">
        <w:t xml:space="preserve"> support for </w:t>
      </w:r>
      <w:r w:rsidR="00D534DA">
        <w:t>licensing arrangements</w:t>
      </w:r>
      <w:r w:rsidR="00645442">
        <w:t xml:space="preserve"> </w:t>
      </w:r>
      <w:r w:rsidR="000E7CE5">
        <w:t xml:space="preserve">suited for </w:t>
      </w:r>
      <w:r w:rsidR="00645442">
        <w:t>fixed broadband networks</w:t>
      </w:r>
      <w:r w:rsidR="00D534DA">
        <w:t>. Cambium Networks and WISPAU</w:t>
      </w:r>
      <w:r w:rsidR="007E1283">
        <w:t xml:space="preserve"> </w:t>
      </w:r>
      <w:r w:rsidR="003118E8">
        <w:t>generally</w:t>
      </w:r>
      <w:r w:rsidR="00F01856">
        <w:t xml:space="preserve"> </w:t>
      </w:r>
      <w:r w:rsidR="00812AA5">
        <w:t>s</w:t>
      </w:r>
      <w:r w:rsidR="00E04D5D">
        <w:t>upport</w:t>
      </w:r>
      <w:r w:rsidR="00D534DA">
        <w:t>ed</w:t>
      </w:r>
      <w:r w:rsidR="00812AA5">
        <w:t xml:space="preserve"> segmentation of the band to accommodate</w:t>
      </w:r>
      <w:r w:rsidR="00E04D5D">
        <w:t xml:space="preserve"> both spectrum and apparatus licen</w:t>
      </w:r>
      <w:r w:rsidR="005A630E">
        <w:t>s</w:t>
      </w:r>
      <w:r w:rsidR="00812AA5">
        <w:t>ing</w:t>
      </w:r>
      <w:r w:rsidR="003A4CBA">
        <w:t xml:space="preserve"> </w:t>
      </w:r>
      <w:r w:rsidR="000E7CE5">
        <w:t>and</w:t>
      </w:r>
      <w:r w:rsidR="00D534DA" w:rsidRPr="00D534DA">
        <w:t xml:space="preserve"> </w:t>
      </w:r>
      <w:r w:rsidR="00D534DA">
        <w:t xml:space="preserve">suggested that dynamic spectrum </w:t>
      </w:r>
      <w:r w:rsidR="00D534DA" w:rsidRPr="006861B7">
        <w:t>access</w:t>
      </w:r>
      <w:r w:rsidR="00D534DA">
        <w:t xml:space="preserve"> arrangements should be considered. Cambium Networks indicated a preference for</w:t>
      </w:r>
      <w:r w:rsidR="00AE378E">
        <w:t xml:space="preserve"> </w:t>
      </w:r>
      <w:r w:rsidR="001B18AD">
        <w:t>option 3</w:t>
      </w:r>
      <w:r w:rsidR="00E20393">
        <w:t>,</w:t>
      </w:r>
      <w:r w:rsidR="00D534DA">
        <w:t xml:space="preserve"> while WISPAU supported </w:t>
      </w:r>
      <w:r w:rsidR="001B18AD">
        <w:t>option 5</w:t>
      </w:r>
      <w:r w:rsidR="00E20393">
        <w:t>,</w:t>
      </w:r>
      <w:r w:rsidR="001E4143">
        <w:t xml:space="preserve"> which would incorporate co-frequency class licensing for type 3 services</w:t>
      </w:r>
      <w:r w:rsidR="00D87BB5">
        <w:t>.</w:t>
      </w:r>
      <w:r w:rsidR="00D534DA">
        <w:t xml:space="preserve"> </w:t>
      </w:r>
      <w:r w:rsidR="00E20393">
        <w:t xml:space="preserve">NBN </w:t>
      </w:r>
      <w:r w:rsidR="00AD170F">
        <w:t xml:space="preserve">Co </w:t>
      </w:r>
      <w:r w:rsidR="00D534DA">
        <w:t>indicated a preference for option 2d (with some additional licence conditions to protect satellite services).</w:t>
      </w:r>
    </w:p>
    <w:p w14:paraId="73743B02" w14:textId="435AA397" w:rsidR="00F12E4F" w:rsidRDefault="00CA01B5" w:rsidP="006861B7">
      <w:pPr>
        <w:pStyle w:val="ListBullet"/>
      </w:pPr>
      <w:r w:rsidRPr="00E20393">
        <w:rPr>
          <w:b/>
        </w:rPr>
        <w:t xml:space="preserve">Satellite </w:t>
      </w:r>
      <w:r w:rsidR="00D76F3B" w:rsidRPr="00E20393">
        <w:rPr>
          <w:b/>
        </w:rPr>
        <w:t xml:space="preserve">communications </w:t>
      </w:r>
      <w:r w:rsidRPr="00E20393">
        <w:rPr>
          <w:b/>
        </w:rPr>
        <w:t>secto</w:t>
      </w:r>
      <w:r w:rsidR="00E20393">
        <w:rPr>
          <w:b/>
        </w:rPr>
        <w:t>r:</w:t>
      </w:r>
      <w:r>
        <w:t xml:space="preserve"> </w:t>
      </w:r>
      <w:r w:rsidR="00D76F3B">
        <w:t xml:space="preserve">Responses were received from </w:t>
      </w:r>
      <w:r>
        <w:t>Comm</w:t>
      </w:r>
      <w:r w:rsidR="00A86ED6">
        <w:t>unication</w:t>
      </w:r>
      <w:r>
        <w:t xml:space="preserve">s </w:t>
      </w:r>
      <w:r w:rsidRPr="006861B7">
        <w:t>Alliance</w:t>
      </w:r>
      <w:r w:rsidR="00D76F3B" w:rsidRPr="006861B7">
        <w:t>’s</w:t>
      </w:r>
      <w:r w:rsidR="00D76F3B">
        <w:t xml:space="preserve"> </w:t>
      </w:r>
      <w:r w:rsidR="009A0B7D">
        <w:t>Satellite Spectrum Working Group (</w:t>
      </w:r>
      <w:r>
        <w:t>SSWG</w:t>
      </w:r>
      <w:r w:rsidR="009A0B7D">
        <w:t>)</w:t>
      </w:r>
      <w:r>
        <w:t xml:space="preserve">, IPSTAR, </w:t>
      </w:r>
      <w:r w:rsidR="00AD170F">
        <w:t>NBN Co</w:t>
      </w:r>
      <w:r>
        <w:t xml:space="preserve">, </w:t>
      </w:r>
      <w:r w:rsidR="00E01B64">
        <w:t xml:space="preserve">Optus </w:t>
      </w:r>
      <w:r>
        <w:t xml:space="preserve">and </w:t>
      </w:r>
      <w:proofErr w:type="spellStart"/>
      <w:r>
        <w:t>Viasat</w:t>
      </w:r>
      <w:proofErr w:type="spellEnd"/>
      <w:r w:rsidR="002B61F4">
        <w:t>.</w:t>
      </w:r>
      <w:r w:rsidR="008143C9">
        <w:t xml:space="preserve"> Key themes from these response</w:t>
      </w:r>
      <w:r w:rsidR="00EF457A">
        <w:t>s</w:t>
      </w:r>
      <w:r w:rsidR="008143C9">
        <w:t xml:space="preserve"> included:</w:t>
      </w:r>
    </w:p>
    <w:p w14:paraId="0972787C" w14:textId="5477E38E" w:rsidR="00D10514" w:rsidRPr="006861B7" w:rsidRDefault="00D10514" w:rsidP="006861B7">
      <w:pPr>
        <w:pStyle w:val="ListBullet2"/>
      </w:pPr>
      <w:r w:rsidRPr="006861B7">
        <w:t>Consideration of planning arrangements in the 26 and 28 GHz bands should not be made in isolation.</w:t>
      </w:r>
      <w:r w:rsidR="009474B2" w:rsidRPr="006861B7">
        <w:t xml:space="preserve"> It was also suggested </w:t>
      </w:r>
      <w:r w:rsidR="009875C9" w:rsidRPr="006861B7">
        <w:t xml:space="preserve">by some responders </w:t>
      </w:r>
      <w:r w:rsidR="009474B2" w:rsidRPr="006861B7">
        <w:t>that there should be no allocations to m</w:t>
      </w:r>
      <w:r w:rsidRPr="006861B7">
        <w:t xml:space="preserve">obile broadband in the 28 GHz band as it </w:t>
      </w:r>
      <w:r w:rsidR="009474B2" w:rsidRPr="006861B7">
        <w:t xml:space="preserve">would not be able to </w:t>
      </w:r>
      <w:r w:rsidRPr="006861B7">
        <w:t>coexist with ubiquitous satellite earth stations</w:t>
      </w:r>
      <w:r w:rsidR="009474B2" w:rsidRPr="006861B7">
        <w:t xml:space="preserve">, including very-small aperture terminals </w:t>
      </w:r>
      <w:r w:rsidRPr="006861B7">
        <w:t>(VSAT</w:t>
      </w:r>
      <w:r w:rsidR="009474B2" w:rsidRPr="006861B7">
        <w:t>s) and Earth stations in motion (</w:t>
      </w:r>
      <w:r w:rsidRPr="006861B7">
        <w:t>ESIMs).</w:t>
      </w:r>
      <w:r w:rsidR="00B5070D" w:rsidRPr="006861B7">
        <w:t xml:space="preserve"> </w:t>
      </w:r>
    </w:p>
    <w:p w14:paraId="6DB94CFC" w14:textId="243A9041" w:rsidR="00D436C3" w:rsidRPr="006861B7" w:rsidRDefault="008143C9" w:rsidP="006861B7">
      <w:pPr>
        <w:pStyle w:val="ListBullet2"/>
      </w:pPr>
      <w:r w:rsidRPr="006861B7">
        <w:t xml:space="preserve">There </w:t>
      </w:r>
      <w:r w:rsidR="00FE16F8" w:rsidRPr="006861B7">
        <w:t>was</w:t>
      </w:r>
      <w:r w:rsidRPr="006861B7">
        <w:t xml:space="preserve"> broad concern</w:t>
      </w:r>
      <w:r w:rsidR="001707D5" w:rsidRPr="006861B7">
        <w:t xml:space="preserve"> (other than from Optus)</w:t>
      </w:r>
      <w:r w:rsidR="002B61F4" w:rsidRPr="006861B7">
        <w:t xml:space="preserve"> that mobile broadband may not be able to coexist with </w:t>
      </w:r>
      <w:r w:rsidR="00642C6D" w:rsidRPr="006861B7">
        <w:t>FSS uplinks</w:t>
      </w:r>
      <w:r w:rsidR="002B61F4" w:rsidRPr="006861B7">
        <w:t xml:space="preserve"> in the range 27</w:t>
      </w:r>
      <w:r w:rsidR="00E20393" w:rsidRPr="006861B7">
        <w:t>–</w:t>
      </w:r>
      <w:r w:rsidR="002B61F4" w:rsidRPr="006861B7">
        <w:t>27.5 GHz due to ITU</w:t>
      </w:r>
      <w:r w:rsidR="00E20393" w:rsidRPr="006861B7">
        <w:noBreakHyphen/>
      </w:r>
      <w:r w:rsidR="002B61F4" w:rsidRPr="006861B7">
        <w:t>R sharing studies not considering likely 5G deployment characteristics.</w:t>
      </w:r>
      <w:r w:rsidR="00847019" w:rsidRPr="006861B7">
        <w:t xml:space="preserve"> </w:t>
      </w:r>
    </w:p>
    <w:p w14:paraId="357A02EA" w14:textId="4A6D0017" w:rsidR="002B61F4" w:rsidRPr="006861B7" w:rsidRDefault="00AD170F" w:rsidP="006861B7">
      <w:pPr>
        <w:pStyle w:val="ListBullet2"/>
      </w:pPr>
      <w:r w:rsidRPr="006861B7">
        <w:t>NBN Co</w:t>
      </w:r>
      <w:r w:rsidR="005D5FCF" w:rsidRPr="006861B7">
        <w:t xml:space="preserve">, </w:t>
      </w:r>
      <w:r w:rsidR="00E20393" w:rsidRPr="006861B7">
        <w:t xml:space="preserve">which </w:t>
      </w:r>
      <w:r w:rsidR="005D5FCF" w:rsidRPr="006861B7">
        <w:t>operate</w:t>
      </w:r>
      <w:r w:rsidR="00E20393" w:rsidRPr="006861B7">
        <w:t>s</w:t>
      </w:r>
      <w:r w:rsidR="005D5FCF" w:rsidRPr="006861B7">
        <w:t xml:space="preserve"> gateway uplink</w:t>
      </w:r>
      <w:r w:rsidR="001445EB" w:rsidRPr="006861B7">
        <w:t>s</w:t>
      </w:r>
      <w:r w:rsidR="005D5FCF" w:rsidRPr="006861B7">
        <w:t xml:space="preserve"> in the band, w</w:t>
      </w:r>
      <w:r w:rsidR="00E20393" w:rsidRPr="006861B7">
        <w:t xml:space="preserve">as </w:t>
      </w:r>
      <w:r w:rsidR="005D5FCF" w:rsidRPr="006861B7">
        <w:t xml:space="preserve">particularly concerned, submitting </w:t>
      </w:r>
      <w:r w:rsidR="00E20393" w:rsidRPr="006861B7">
        <w:t xml:space="preserve">its </w:t>
      </w:r>
      <w:r w:rsidR="005D5FCF" w:rsidRPr="006861B7">
        <w:t xml:space="preserve">own </w:t>
      </w:r>
      <w:r w:rsidR="00D436C3" w:rsidRPr="006861B7">
        <w:t xml:space="preserve">study on coexistence that </w:t>
      </w:r>
      <w:r w:rsidR="00840210" w:rsidRPr="006861B7">
        <w:t>showed different</w:t>
      </w:r>
      <w:r w:rsidR="00D436C3" w:rsidRPr="006861B7">
        <w:t xml:space="preserve"> </w:t>
      </w:r>
      <w:r w:rsidR="00764DD5" w:rsidRPr="006861B7">
        <w:t>outcome</w:t>
      </w:r>
      <w:r w:rsidR="00840210" w:rsidRPr="006861B7">
        <w:t xml:space="preserve">s </w:t>
      </w:r>
      <w:r w:rsidR="00764DD5" w:rsidRPr="006861B7">
        <w:t>than the studies undertaken by ITU-R and the ACMA.</w:t>
      </w:r>
    </w:p>
    <w:p w14:paraId="229D584A" w14:textId="7F4DA42D" w:rsidR="002B61F4" w:rsidRPr="006861B7" w:rsidRDefault="000E7CE5" w:rsidP="006861B7">
      <w:pPr>
        <w:pStyle w:val="ListBullet2"/>
      </w:pPr>
      <w:r w:rsidRPr="006861B7">
        <w:t>Of the</w:t>
      </w:r>
      <w:r w:rsidR="00645442" w:rsidRPr="006861B7">
        <w:t xml:space="preserve"> satellite sector responders who provided a view on the upper limit of </w:t>
      </w:r>
      <w:r w:rsidR="007131DF" w:rsidRPr="006861B7">
        <w:t xml:space="preserve">a </w:t>
      </w:r>
      <w:r w:rsidR="00645442" w:rsidRPr="006861B7">
        <w:t>wireless broadband allocation</w:t>
      </w:r>
      <w:r w:rsidRPr="006861B7">
        <w:t xml:space="preserve">, all </w:t>
      </w:r>
      <w:r w:rsidR="001707D5" w:rsidRPr="006861B7">
        <w:t>(</w:t>
      </w:r>
      <w:r w:rsidRPr="006861B7">
        <w:t xml:space="preserve">other than </w:t>
      </w:r>
      <w:r w:rsidR="00B012A1">
        <w:t xml:space="preserve">NBN Co and </w:t>
      </w:r>
      <w:r w:rsidRPr="006861B7">
        <w:t>Optus</w:t>
      </w:r>
      <w:r w:rsidR="001707D5" w:rsidRPr="006861B7">
        <w:t>)</w:t>
      </w:r>
      <w:r w:rsidRPr="006861B7">
        <w:t xml:space="preserve"> indicated</w:t>
      </w:r>
      <w:r w:rsidR="00645442" w:rsidRPr="006861B7">
        <w:t xml:space="preserve"> a preference of 27 GHz</w:t>
      </w:r>
      <w:r w:rsidR="001707D5" w:rsidRPr="006861B7">
        <w:t xml:space="preserve"> being the upper boundary</w:t>
      </w:r>
      <w:r w:rsidR="00E20393" w:rsidRPr="006861B7">
        <w:t xml:space="preserve">. </w:t>
      </w:r>
      <w:r w:rsidR="00B012A1">
        <w:t xml:space="preserve">NBN Co and </w:t>
      </w:r>
      <w:r w:rsidRPr="006861B7">
        <w:t>Optus</w:t>
      </w:r>
      <w:r w:rsidR="00645442" w:rsidRPr="006861B7">
        <w:t xml:space="preserve"> </w:t>
      </w:r>
      <w:r w:rsidR="00B012A1">
        <w:t xml:space="preserve">both </w:t>
      </w:r>
      <w:r w:rsidR="00645442" w:rsidRPr="006861B7">
        <w:t xml:space="preserve">preferred </w:t>
      </w:r>
      <w:r w:rsidR="00E20393" w:rsidRPr="006861B7">
        <w:t xml:space="preserve">an </w:t>
      </w:r>
      <w:r w:rsidR="00645442" w:rsidRPr="006861B7">
        <w:t>upper boundary</w:t>
      </w:r>
      <w:r w:rsidR="00A65A89" w:rsidRPr="006861B7">
        <w:t xml:space="preserve"> of</w:t>
      </w:r>
      <w:r w:rsidR="00645442" w:rsidRPr="006861B7">
        <w:t xml:space="preserve"> 27.5</w:t>
      </w:r>
      <w:r w:rsidR="001063FB" w:rsidRPr="006861B7">
        <w:t> </w:t>
      </w:r>
      <w:r w:rsidR="00645442" w:rsidRPr="006861B7">
        <w:t>GHz</w:t>
      </w:r>
      <w:r w:rsidR="002B61F4" w:rsidRPr="006861B7">
        <w:t xml:space="preserve">. </w:t>
      </w:r>
      <w:r w:rsidR="005475E4" w:rsidRPr="006861B7">
        <w:t>There was also genera</w:t>
      </w:r>
      <w:r w:rsidR="00924AC2" w:rsidRPr="006861B7">
        <w:t xml:space="preserve">l support </w:t>
      </w:r>
      <w:r w:rsidR="001707D5" w:rsidRPr="006861B7">
        <w:t>for the implementation of</w:t>
      </w:r>
      <w:r w:rsidR="00924AC2" w:rsidRPr="006861B7">
        <w:t xml:space="preserve"> licence conditions </w:t>
      </w:r>
      <w:r w:rsidR="001707D5" w:rsidRPr="006861B7">
        <w:t xml:space="preserve">and/or coordination zones </w:t>
      </w:r>
      <w:r w:rsidR="00924AC2" w:rsidRPr="006861B7">
        <w:t xml:space="preserve">to protect satellite services </w:t>
      </w:r>
      <w:r w:rsidR="002B61F4" w:rsidRPr="006861B7">
        <w:t>if a</w:t>
      </w:r>
      <w:r w:rsidR="007131DF" w:rsidRPr="006861B7">
        <w:t xml:space="preserve"> wireless</w:t>
      </w:r>
      <w:r w:rsidR="002B61F4" w:rsidRPr="006861B7">
        <w:t xml:space="preserve"> broadband allocation is made above 27 GHz</w:t>
      </w:r>
      <w:r w:rsidR="00924AC2" w:rsidRPr="006861B7">
        <w:t xml:space="preserve">. </w:t>
      </w:r>
      <w:r w:rsidR="0019303D" w:rsidRPr="006861B7">
        <w:t xml:space="preserve">NBN </w:t>
      </w:r>
      <w:r w:rsidR="00AD170F" w:rsidRPr="006861B7">
        <w:t xml:space="preserve">Co </w:t>
      </w:r>
      <w:r w:rsidR="00924AC2" w:rsidRPr="006861B7">
        <w:t xml:space="preserve">was particularly </w:t>
      </w:r>
      <w:r w:rsidR="00A65A89" w:rsidRPr="006861B7">
        <w:t>concerned about this</w:t>
      </w:r>
      <w:r w:rsidR="00924AC2" w:rsidRPr="006861B7">
        <w:t xml:space="preserve"> point and provided example </w:t>
      </w:r>
      <w:r w:rsidR="008F79A6" w:rsidRPr="006861B7">
        <w:t xml:space="preserve">wireless broadband </w:t>
      </w:r>
      <w:r w:rsidR="002B61F4" w:rsidRPr="006861B7">
        <w:t>deployment restrictions</w:t>
      </w:r>
      <w:r w:rsidR="003F2211" w:rsidRPr="006861B7">
        <w:t xml:space="preserve"> </w:t>
      </w:r>
      <w:r w:rsidR="007131DF" w:rsidRPr="006861B7">
        <w:t>to be applied within</w:t>
      </w:r>
      <w:r w:rsidR="003F2211" w:rsidRPr="006861B7">
        <w:t xml:space="preserve"> 250km </w:t>
      </w:r>
      <w:r w:rsidR="007131DF" w:rsidRPr="006861B7">
        <w:t>of their</w:t>
      </w:r>
      <w:r w:rsidR="003F2211" w:rsidRPr="006861B7">
        <w:t xml:space="preserve"> gateway earth stations</w:t>
      </w:r>
      <w:r w:rsidR="00D534DA" w:rsidRPr="006861B7">
        <w:t>.</w:t>
      </w:r>
    </w:p>
    <w:p w14:paraId="18EC615F" w14:textId="1B82F457" w:rsidR="002B61F4" w:rsidRPr="006861B7" w:rsidRDefault="0019303D" w:rsidP="006861B7">
      <w:pPr>
        <w:pStyle w:val="ListBullet2"/>
      </w:pPr>
      <w:r w:rsidRPr="006861B7">
        <w:t xml:space="preserve">NBN </w:t>
      </w:r>
      <w:r w:rsidR="00AD170F" w:rsidRPr="006861B7">
        <w:t xml:space="preserve">Co </w:t>
      </w:r>
      <w:r w:rsidR="008F79A6" w:rsidRPr="006861B7">
        <w:t>(wh</w:t>
      </w:r>
      <w:r w:rsidRPr="006861B7">
        <w:t>ich</w:t>
      </w:r>
      <w:r w:rsidR="008F79A6" w:rsidRPr="006861B7">
        <w:t xml:space="preserve"> also operate</w:t>
      </w:r>
      <w:r w:rsidRPr="006861B7">
        <w:t>s</w:t>
      </w:r>
      <w:r w:rsidR="008F79A6" w:rsidRPr="006861B7">
        <w:t xml:space="preserve"> fixed wireless broadband services) w</w:t>
      </w:r>
      <w:r w:rsidR="00A65A89" w:rsidRPr="006861B7">
        <w:t>as</w:t>
      </w:r>
      <w:r w:rsidR="008F79A6" w:rsidRPr="006861B7">
        <w:t xml:space="preserve"> of the view that</w:t>
      </w:r>
      <w:r w:rsidR="002B61F4" w:rsidRPr="006861B7">
        <w:t xml:space="preserve"> coexistence </w:t>
      </w:r>
      <w:r w:rsidR="008F79A6" w:rsidRPr="006861B7">
        <w:t>between FSS and</w:t>
      </w:r>
      <w:r w:rsidR="002B61F4" w:rsidRPr="006861B7">
        <w:t xml:space="preserve"> fixed broadband services </w:t>
      </w:r>
      <w:r w:rsidR="0075329D" w:rsidRPr="006861B7">
        <w:t xml:space="preserve">would </w:t>
      </w:r>
      <w:r w:rsidR="002B61F4" w:rsidRPr="006861B7">
        <w:t>be viable.</w:t>
      </w:r>
    </w:p>
    <w:p w14:paraId="1781E347" w14:textId="7CE4090B" w:rsidR="00F00F49" w:rsidRDefault="00CA01B5" w:rsidP="006861B7">
      <w:pPr>
        <w:pStyle w:val="ListBullet"/>
      </w:pPr>
      <w:r w:rsidRPr="0019303D">
        <w:rPr>
          <w:b/>
        </w:rPr>
        <w:t>Science sector</w:t>
      </w:r>
      <w:r w:rsidR="0019303D" w:rsidRPr="0019303D">
        <w:rPr>
          <w:b/>
        </w:rPr>
        <w:t>:</w:t>
      </w:r>
      <w:r>
        <w:t xml:space="preserve"> </w:t>
      </w:r>
      <w:r w:rsidR="00401B27">
        <w:t xml:space="preserve">Responses were received from the </w:t>
      </w:r>
      <w:r w:rsidR="00D5630F">
        <w:t xml:space="preserve">Commonwealth Scientific and </w:t>
      </w:r>
      <w:r w:rsidR="00713A9C">
        <w:t>Industrial Research Organisation (</w:t>
      </w:r>
      <w:r>
        <w:t>CSIRO</w:t>
      </w:r>
      <w:r w:rsidR="00713A9C">
        <w:t>)</w:t>
      </w:r>
      <w:r w:rsidR="00827A37">
        <w:t xml:space="preserve"> and </w:t>
      </w:r>
      <w:r w:rsidR="00444A76">
        <w:t xml:space="preserve">the </w:t>
      </w:r>
      <w:r w:rsidR="00713A9C">
        <w:t>European Space Agency (</w:t>
      </w:r>
      <w:r>
        <w:t>ESA</w:t>
      </w:r>
      <w:r w:rsidR="00713A9C">
        <w:t>)</w:t>
      </w:r>
      <w:r>
        <w:t>.</w:t>
      </w:r>
      <w:r w:rsidR="00F00F49">
        <w:t xml:space="preserve"> The key themes of these responses were that </w:t>
      </w:r>
      <w:r w:rsidR="00964999">
        <w:t>e</w:t>
      </w:r>
      <w:r w:rsidR="00F00F49">
        <w:t>arth stations operating in the space research service (SRS) in the range 25.5</w:t>
      </w:r>
      <w:r w:rsidR="0019303D">
        <w:t>–</w:t>
      </w:r>
      <w:r w:rsidR="00F00F49">
        <w:t>27 GHz at Tidbinbilla and New Norcia would need to be protected from wireless broadband services, as would</w:t>
      </w:r>
      <w:r w:rsidR="0095258E">
        <w:t xml:space="preserve"> passive EESS services operating in the 23.6</w:t>
      </w:r>
      <w:r w:rsidR="0019303D">
        <w:t>–</w:t>
      </w:r>
      <w:r w:rsidR="0095258E">
        <w:t>24 GHz range.</w:t>
      </w:r>
    </w:p>
    <w:p w14:paraId="53D21FB2" w14:textId="47FEAB9E" w:rsidR="00BA67B0" w:rsidRDefault="0095258E" w:rsidP="00DA511D">
      <w:pPr>
        <w:pStyle w:val="ListBullet"/>
        <w:numPr>
          <w:ilvl w:val="0"/>
          <w:numId w:val="0"/>
        </w:numPr>
        <w:spacing w:before="120" w:after="120" w:line="240" w:lineRule="auto"/>
      </w:pPr>
      <w:r>
        <w:t>Responses</w:t>
      </w:r>
      <w:r w:rsidR="006C6242">
        <w:t xml:space="preserve"> were also received from </w:t>
      </w:r>
      <w:r w:rsidR="00CA01B5">
        <w:t xml:space="preserve">Airbus, </w:t>
      </w:r>
      <w:r w:rsidR="006C6242">
        <w:t xml:space="preserve">the </w:t>
      </w:r>
      <w:r w:rsidR="00807011">
        <w:t>Australian Competition and Consumer Commission (</w:t>
      </w:r>
      <w:r w:rsidR="00CA01B5">
        <w:t>ACCC</w:t>
      </w:r>
      <w:r w:rsidR="00807011">
        <w:t>)</w:t>
      </w:r>
      <w:r w:rsidR="00CA01B5">
        <w:t xml:space="preserve">, </w:t>
      </w:r>
      <w:r w:rsidR="006C6242">
        <w:t xml:space="preserve">the </w:t>
      </w:r>
      <w:r w:rsidR="00CA01B5">
        <w:t>Department of Defence and Facebook.</w:t>
      </w:r>
      <w:r w:rsidR="006C6242">
        <w:t xml:space="preserve"> </w:t>
      </w:r>
      <w:r w:rsidR="00BA7D8F">
        <w:t>These responses included the following views:</w:t>
      </w:r>
    </w:p>
    <w:p w14:paraId="0B3C9272" w14:textId="533BF025" w:rsidR="00BA7D8F" w:rsidRPr="006861B7" w:rsidRDefault="00BA7D8F" w:rsidP="006861B7">
      <w:pPr>
        <w:pStyle w:val="ListBullet"/>
      </w:pPr>
      <w:r w:rsidRPr="006861B7">
        <w:t xml:space="preserve">Airbus indicated support for arrangements </w:t>
      </w:r>
      <w:r w:rsidR="00036316" w:rsidRPr="006861B7">
        <w:t>for</w:t>
      </w:r>
      <w:r w:rsidRPr="006861B7">
        <w:t xml:space="preserve"> type 3 uses</w:t>
      </w:r>
      <w:r w:rsidR="0019303D" w:rsidRPr="006861B7">
        <w:t>.</w:t>
      </w:r>
    </w:p>
    <w:p w14:paraId="69FC13EC" w14:textId="3D788CBD" w:rsidR="00BA7D8F" w:rsidRPr="006861B7" w:rsidRDefault="00BA7D8F" w:rsidP="006861B7">
      <w:pPr>
        <w:pStyle w:val="ListBullet"/>
      </w:pPr>
      <w:r w:rsidRPr="006861B7">
        <w:t>ACCC supported the ACMA’s approach to accelerate the band to the ‘preliminary replanning’ stage</w:t>
      </w:r>
      <w:r w:rsidR="0019303D" w:rsidRPr="006861B7">
        <w:t>.</w:t>
      </w:r>
    </w:p>
    <w:p w14:paraId="1F85CAB0" w14:textId="4D14C2DE" w:rsidR="00BA7D8F" w:rsidRDefault="00BA7D8F" w:rsidP="006861B7">
      <w:pPr>
        <w:pStyle w:val="ListBullet"/>
      </w:pPr>
      <w:r w:rsidRPr="006861B7">
        <w:lastRenderedPageBreak/>
        <w:t xml:space="preserve">The Department of Defence </w:t>
      </w:r>
      <w:r w:rsidR="0019303D" w:rsidRPr="006861B7">
        <w:t xml:space="preserve">took the </w:t>
      </w:r>
      <w:r w:rsidRPr="006861B7">
        <w:t>view that spectrum licensing should be restricted to areas where ubiquitous mobile broad</w:t>
      </w:r>
      <w:r w:rsidR="00AD5C7D" w:rsidRPr="006861B7">
        <w:t>band services are likely to be deployed to ensure that spectrum is not denied to other potential licensees</w:t>
      </w:r>
      <w:r w:rsidR="0019303D" w:rsidRPr="006861B7">
        <w:t>.</w:t>
      </w:r>
      <w:r w:rsidR="0019303D">
        <w:t xml:space="preserve"> </w:t>
      </w:r>
    </w:p>
    <w:p w14:paraId="17BC957A" w14:textId="6D363E69" w:rsidR="00AD5C7D" w:rsidRDefault="00AD5C7D" w:rsidP="006861B7">
      <w:pPr>
        <w:pStyle w:val="ListBulletLast"/>
      </w:pPr>
      <w:r>
        <w:t>Facebook suggested that there may be other future</w:t>
      </w:r>
      <w:r w:rsidR="0019303D">
        <w:t>-</w:t>
      </w:r>
      <w:r>
        <w:t>use cases, such as High Altitude Platform Stations (HAPS), and therefore specific details on spectrum sharing should be deferred until the specifics of deployments are better known.</w:t>
      </w:r>
    </w:p>
    <w:p w14:paraId="581EE581" w14:textId="33502370" w:rsidR="006C6242" w:rsidRPr="00302D1A" w:rsidRDefault="00BA67B0" w:rsidP="00DA511D">
      <w:pPr>
        <w:pStyle w:val="ListBullet"/>
        <w:numPr>
          <w:ilvl w:val="0"/>
          <w:numId w:val="0"/>
        </w:numPr>
        <w:spacing w:before="120" w:after="120" w:line="240" w:lineRule="auto"/>
        <w:rPr>
          <w:color w:val="0000FF"/>
          <w:u w:val="single"/>
        </w:rPr>
      </w:pPr>
      <w:r>
        <w:t xml:space="preserve">All submissions are available </w:t>
      </w:r>
      <w:r w:rsidR="006C6242">
        <w:t xml:space="preserve">on the </w:t>
      </w:r>
      <w:hyperlink r:id="rId35" w:history="1">
        <w:r w:rsidR="00302D1A">
          <w:rPr>
            <w:rStyle w:val="Hyperlink"/>
          </w:rPr>
          <w:t>ACMA website</w:t>
        </w:r>
      </w:hyperlink>
      <w:r w:rsidR="006C6242" w:rsidRPr="007077CA">
        <w:t>.</w:t>
      </w:r>
    </w:p>
    <w:p w14:paraId="333EE0F0" w14:textId="1D348002" w:rsidR="002D7DFC" w:rsidRDefault="00A86ED6" w:rsidP="00DA511D">
      <w:pPr>
        <w:spacing w:before="120" w:after="120" w:line="240" w:lineRule="auto"/>
      </w:pPr>
      <w:r>
        <w:t>S</w:t>
      </w:r>
      <w:r w:rsidR="00A3431D">
        <w:t>uggestions</w:t>
      </w:r>
      <w:r>
        <w:t xml:space="preserve"> made in submissions</w:t>
      </w:r>
      <w:r w:rsidR="002D3FD5">
        <w:t xml:space="preserve">, particularly those pertaining to </w:t>
      </w:r>
      <w:r w:rsidR="007D22D4">
        <w:t>allocation options and potential operating conditions, have been considered as part</w:t>
      </w:r>
      <w:r w:rsidR="00DD1FA1">
        <w:t xml:space="preserve"> of the </w:t>
      </w:r>
      <w:r w:rsidR="008D4754">
        <w:t xml:space="preserve">ACMA’s planning </w:t>
      </w:r>
      <w:r w:rsidR="00DD1FA1">
        <w:t>process</w:t>
      </w:r>
      <w:r w:rsidR="0019303D">
        <w:t>—</w:t>
      </w:r>
      <w:r w:rsidR="00DD1FA1">
        <w:t>see</w:t>
      </w:r>
      <w:r w:rsidR="00F83AB8">
        <w:t xml:space="preserve"> </w:t>
      </w:r>
      <w:hyperlink w:anchor="_ACMA_planning_decisions" w:history="1">
        <w:r w:rsidR="00F83AB8" w:rsidRPr="00F83AB8">
          <w:rPr>
            <w:rStyle w:val="Hyperlink"/>
          </w:rPr>
          <w:t>ACMA planning decisions and preliminary views</w:t>
        </w:r>
      </w:hyperlink>
      <w:r w:rsidR="009F1BF4">
        <w:rPr>
          <w:i/>
        </w:rPr>
        <w:t xml:space="preserve"> </w:t>
      </w:r>
      <w:r w:rsidR="00DD1FA1" w:rsidRPr="009F1BF4">
        <w:t>for</w:t>
      </w:r>
      <w:r w:rsidR="00DD1FA1">
        <w:t xml:space="preserve"> more</w:t>
      </w:r>
      <w:r w:rsidR="00C7785F">
        <w:t xml:space="preserve"> a</w:t>
      </w:r>
      <w:r w:rsidR="00DD1FA1">
        <w:t xml:space="preserve"> detailed </w:t>
      </w:r>
      <w:r w:rsidR="000E168C">
        <w:t>discussion of those considerations.</w:t>
      </w:r>
      <w:r w:rsidR="00FB08BE">
        <w:t xml:space="preserve"> </w:t>
      </w:r>
    </w:p>
    <w:p w14:paraId="181CEF67" w14:textId="1E5F96D1" w:rsidR="0061151C" w:rsidRDefault="009906AB" w:rsidP="00DA511D">
      <w:pPr>
        <w:spacing w:before="120" w:after="120" w:line="240" w:lineRule="auto"/>
      </w:pPr>
      <w:r>
        <w:t xml:space="preserve">The mobile broadband sector’s view that spectrum licensing </w:t>
      </w:r>
      <w:r w:rsidR="00290F65">
        <w:t xml:space="preserve">down to 24.7 GHz could feasibly protect passive EESS was based on a less stringent </w:t>
      </w:r>
      <w:r w:rsidR="00813F74">
        <w:t xml:space="preserve">out-of-band emission limit than the ACMA </w:t>
      </w:r>
      <w:r w:rsidR="00635C0E">
        <w:t xml:space="preserve">contemplated in the </w:t>
      </w:r>
      <w:r w:rsidR="00C240F0">
        <w:t>o</w:t>
      </w:r>
      <w:r w:rsidR="00635C0E">
        <w:t xml:space="preserve">ptions </w:t>
      </w:r>
      <w:r w:rsidR="00D6105A">
        <w:t>paper</w:t>
      </w:r>
      <w:r w:rsidR="00813F74">
        <w:t xml:space="preserve"> and therefore does not accord with the ACMA’s own studies (as </w:t>
      </w:r>
      <w:r w:rsidR="00C3496B">
        <w:t>presented to the domestic working group on 26 GHz coexis</w:t>
      </w:r>
      <w:r w:rsidR="007A2A09">
        <w:t>tence).</w:t>
      </w:r>
      <w:r w:rsidR="00470EDC">
        <w:t xml:space="preserve"> </w:t>
      </w:r>
    </w:p>
    <w:p w14:paraId="03C5C067" w14:textId="62815D8F" w:rsidR="006B2FE9" w:rsidRDefault="00354098" w:rsidP="00DA511D">
      <w:pPr>
        <w:spacing w:before="120" w:after="120" w:line="240" w:lineRule="auto"/>
      </w:pPr>
      <w:r>
        <w:t>NBN</w:t>
      </w:r>
      <w:r w:rsidR="00FA26BE">
        <w:t xml:space="preserve"> </w:t>
      </w:r>
      <w:r w:rsidR="00AD170F">
        <w:t xml:space="preserve">Co </w:t>
      </w:r>
      <w:r w:rsidR="00FA26BE">
        <w:t xml:space="preserve">contributed a </w:t>
      </w:r>
      <w:r w:rsidR="00656629">
        <w:t xml:space="preserve">study of </w:t>
      </w:r>
      <w:r>
        <w:t xml:space="preserve">its </w:t>
      </w:r>
      <w:r w:rsidR="00656629">
        <w:t xml:space="preserve">own on coexistence between wireless broadband </w:t>
      </w:r>
      <w:r w:rsidR="00705A04">
        <w:t xml:space="preserve">and </w:t>
      </w:r>
      <w:r w:rsidR="00AC2887">
        <w:t>their own FSS gateway uplinks operating in the range 27</w:t>
      </w:r>
      <w:r>
        <w:t>–</w:t>
      </w:r>
      <w:r w:rsidR="00AC2887">
        <w:t xml:space="preserve">27.5 GHz (and above). </w:t>
      </w:r>
      <w:r w:rsidR="00843790">
        <w:t>This contribution</w:t>
      </w:r>
      <w:r w:rsidR="00ED1232">
        <w:t xml:space="preserve"> was submitted both to the working group on coexistence and in </w:t>
      </w:r>
      <w:r>
        <w:t>NBN</w:t>
      </w:r>
      <w:r w:rsidR="00AD170F">
        <w:t xml:space="preserve"> Co</w:t>
      </w:r>
      <w:r>
        <w:t xml:space="preserve">’s </w:t>
      </w:r>
      <w:r w:rsidR="00ED1232">
        <w:t xml:space="preserve">response to the </w:t>
      </w:r>
      <w:r w:rsidR="00C240F0">
        <w:t>o</w:t>
      </w:r>
      <w:r w:rsidR="00ED1232">
        <w:t>ptions paper. It</w:t>
      </w:r>
      <w:r w:rsidR="00843790">
        <w:t xml:space="preserve"> challenged </w:t>
      </w:r>
      <w:r w:rsidR="003041BB">
        <w:t xml:space="preserve">aspects of </w:t>
      </w:r>
      <w:r w:rsidR="00843790">
        <w:t xml:space="preserve">the parameters, methodology and conclusions of the </w:t>
      </w:r>
      <w:r w:rsidR="0086104C">
        <w:t>work undertaken by the ACMA, both domestically and internationally</w:t>
      </w:r>
      <w:r w:rsidR="002A071F">
        <w:t>.</w:t>
      </w:r>
      <w:r w:rsidR="00D20E48">
        <w:t xml:space="preserve"> </w:t>
      </w:r>
      <w:r w:rsidR="00834C56">
        <w:t xml:space="preserve">Additional commentary on coexistence between wireless broadband services and </w:t>
      </w:r>
      <w:r>
        <w:t>NBN</w:t>
      </w:r>
      <w:r w:rsidR="00AD170F">
        <w:t xml:space="preserve"> Co</w:t>
      </w:r>
      <w:r>
        <w:t xml:space="preserve">’s </w:t>
      </w:r>
      <w:r w:rsidR="00834C56">
        <w:t>gateway uplinks is provided</w:t>
      </w:r>
      <w:r w:rsidR="002003DD">
        <w:t xml:space="preserve"> in Annex </w:t>
      </w:r>
      <w:r w:rsidR="00BB0B74">
        <w:t>C</w:t>
      </w:r>
      <w:r w:rsidR="006B2FE9">
        <w:t>.</w:t>
      </w:r>
    </w:p>
    <w:p w14:paraId="696948D5" w14:textId="17EF3163" w:rsidR="006F53B4" w:rsidRDefault="00A946A5" w:rsidP="00DA511D">
      <w:pPr>
        <w:spacing w:before="120" w:after="120" w:line="240" w:lineRule="auto"/>
      </w:pPr>
      <w:r>
        <w:t xml:space="preserve">Some broader ACMA observations on submissions </w:t>
      </w:r>
      <w:r w:rsidR="00354098">
        <w:t>were</w:t>
      </w:r>
      <w:r>
        <w:t>:</w:t>
      </w:r>
    </w:p>
    <w:p w14:paraId="1A81909D" w14:textId="5961C432" w:rsidR="00877165" w:rsidRPr="006861B7" w:rsidRDefault="00D71AD5" w:rsidP="006861B7">
      <w:pPr>
        <w:pStyle w:val="ListBullet"/>
      </w:pPr>
      <w:r w:rsidRPr="006861B7">
        <w:t xml:space="preserve">The ACMA agrees that planning decisions in the 26 and 28 GHz bands </w:t>
      </w:r>
      <w:r w:rsidR="003E411B" w:rsidRPr="006861B7">
        <w:t xml:space="preserve">should not </w:t>
      </w:r>
      <w:r w:rsidRPr="006861B7">
        <w:t>be taken independently of one another.</w:t>
      </w:r>
      <w:r w:rsidR="00877165" w:rsidRPr="006861B7">
        <w:t xml:space="preserve"> </w:t>
      </w:r>
    </w:p>
    <w:p w14:paraId="72E949C3" w14:textId="7A49CBE9" w:rsidR="00D71AD5" w:rsidRDefault="00762786" w:rsidP="006861B7">
      <w:pPr>
        <w:pStyle w:val="ListBullet"/>
      </w:pPr>
      <w:r w:rsidRPr="006861B7">
        <w:t>Some submissions indicated a preference for an allocation for type 3 use</w:t>
      </w:r>
      <w:r w:rsidR="00354098" w:rsidRPr="006861B7">
        <w:t>. T</w:t>
      </w:r>
      <w:r w:rsidRPr="006861B7">
        <w:t xml:space="preserve">here was no indication of the demand </w:t>
      </w:r>
      <w:r w:rsidR="004A0235" w:rsidRPr="006861B7">
        <w:t xml:space="preserve">for type 3 services, although </w:t>
      </w:r>
      <w:r w:rsidR="008C6452" w:rsidRPr="006861B7">
        <w:t xml:space="preserve">it is acknowledged that type 3 users are not generally represented within the pool of traditional respondents to these </w:t>
      </w:r>
      <w:r w:rsidR="00716F8F" w:rsidRPr="006861B7">
        <w:t>consultation processes.</w:t>
      </w:r>
    </w:p>
    <w:p w14:paraId="78DAC639" w14:textId="7C20A7BF" w:rsidR="005727F3" w:rsidRDefault="005727F3" w:rsidP="006861B7">
      <w:pPr>
        <w:pStyle w:val="ListBulletLast"/>
      </w:pPr>
      <w:r>
        <w:t xml:space="preserve">There is general acknowledgement that a guard band </w:t>
      </w:r>
      <w:r w:rsidR="00675512">
        <w:t>greater than the default 2</w:t>
      </w:r>
      <w:r w:rsidR="0014678D">
        <w:t>5</w:t>
      </w:r>
      <w:r w:rsidR="00675512">
        <w:t>0</w:t>
      </w:r>
      <w:r w:rsidR="00526D56">
        <w:t> </w:t>
      </w:r>
      <w:r w:rsidR="00675512" w:rsidRPr="006861B7">
        <w:t>MHz</w:t>
      </w:r>
      <w:r w:rsidR="00675512">
        <w:t xml:space="preserve"> (24</w:t>
      </w:r>
      <w:r w:rsidR="00354098">
        <w:t>–</w:t>
      </w:r>
      <w:r w:rsidR="00675512">
        <w:t xml:space="preserve">24.25 GHz) </w:t>
      </w:r>
      <w:r>
        <w:t>w</w:t>
      </w:r>
      <w:r w:rsidR="00097665">
        <w:t>ould</w:t>
      </w:r>
      <w:r>
        <w:t xml:space="preserve"> be needed between </w:t>
      </w:r>
      <w:r w:rsidR="00EE2642">
        <w:t>passive EESS and wide-area licensed wireless broadband</w:t>
      </w:r>
      <w:r w:rsidR="00675512">
        <w:t xml:space="preserve">. </w:t>
      </w:r>
      <w:r w:rsidR="002A64F8">
        <w:t xml:space="preserve">While there </w:t>
      </w:r>
      <w:r w:rsidR="00A51850">
        <w:t xml:space="preserve">were </w:t>
      </w:r>
      <w:r w:rsidR="002A64F8">
        <w:t>differing views on how large the guard band should be, t</w:t>
      </w:r>
      <w:r w:rsidR="00675512">
        <w:t xml:space="preserve">here is </w:t>
      </w:r>
      <w:r w:rsidR="002A64F8">
        <w:t xml:space="preserve">general agreement </w:t>
      </w:r>
      <w:r w:rsidR="001824F8">
        <w:t>that part of that guard band might still be usable for some non-wide area (e</w:t>
      </w:r>
      <w:r w:rsidR="005B3FEC">
        <w:t>.</w:t>
      </w:r>
      <w:r w:rsidR="001824F8">
        <w:t>g. apparatus licensed or class licenced) services. The ACMA has included this in its consideration</w:t>
      </w:r>
      <w:r w:rsidR="00CB7BA4">
        <w:t>s</w:t>
      </w:r>
      <w:r w:rsidR="001824F8">
        <w:t xml:space="preserve"> while </w:t>
      </w:r>
      <w:r w:rsidR="00785160">
        <w:t>maintaining</w:t>
      </w:r>
      <w:r w:rsidR="00143797">
        <w:t xml:space="preserve"> the default position that passive EESS services must be protected.</w:t>
      </w:r>
    </w:p>
    <w:p w14:paraId="02BEC5C3" w14:textId="4F156842" w:rsidR="00E054A2" w:rsidRPr="000D76E0" w:rsidRDefault="00E054A2" w:rsidP="00DA511D">
      <w:pPr>
        <w:pStyle w:val="Heading1"/>
        <w:spacing w:before="120" w:after="120" w:line="240" w:lineRule="auto"/>
      </w:pPr>
      <w:bookmarkStart w:id="39" w:name="_ACMA_planning_decisions"/>
      <w:bookmarkStart w:id="40" w:name="_Toc494375846"/>
      <w:bookmarkStart w:id="41" w:name="_Toc494378919"/>
      <w:bookmarkStart w:id="42" w:name="_Toc495935490"/>
      <w:bookmarkStart w:id="43" w:name="_Toc495935520"/>
      <w:bookmarkStart w:id="44" w:name="_Ref534874799"/>
      <w:bookmarkStart w:id="45" w:name="_Toc4664089"/>
      <w:bookmarkEnd w:id="39"/>
      <w:r>
        <w:lastRenderedPageBreak/>
        <w:t xml:space="preserve">ACMA </w:t>
      </w:r>
      <w:r w:rsidR="00363B33">
        <w:t xml:space="preserve">planning </w:t>
      </w:r>
      <w:r w:rsidR="00651697" w:rsidRPr="00363B33">
        <w:t>d</w:t>
      </w:r>
      <w:r w:rsidRPr="00363B33">
        <w:t>ecision</w:t>
      </w:r>
      <w:bookmarkEnd w:id="40"/>
      <w:bookmarkEnd w:id="41"/>
      <w:r w:rsidR="00651697" w:rsidRPr="00363B33">
        <w:t>s</w:t>
      </w:r>
      <w:r w:rsidR="00651697">
        <w:t xml:space="preserve"> and </w:t>
      </w:r>
      <w:bookmarkEnd w:id="42"/>
      <w:bookmarkEnd w:id="43"/>
      <w:r w:rsidR="00584558">
        <w:t>preliminary views</w:t>
      </w:r>
      <w:bookmarkEnd w:id="44"/>
      <w:bookmarkEnd w:id="45"/>
    </w:p>
    <w:p w14:paraId="352E40C4" w14:textId="4D49C4BB" w:rsidR="00453228" w:rsidRPr="00E436DC" w:rsidRDefault="00453228" w:rsidP="00E436DC">
      <w:pPr>
        <w:pStyle w:val="Heading2"/>
      </w:pPr>
      <w:bookmarkStart w:id="46" w:name="_Toc4664090"/>
      <w:bookmarkStart w:id="47" w:name="_Toc494375847"/>
      <w:bookmarkStart w:id="48" w:name="_Toc494378920"/>
      <w:bookmarkStart w:id="49" w:name="_Toc495935491"/>
      <w:bookmarkStart w:id="50" w:name="_Toc495935521"/>
      <w:r w:rsidRPr="00E436DC">
        <w:t>Highest value use (HVU) of the band</w:t>
      </w:r>
      <w:bookmarkEnd w:id="46"/>
    </w:p>
    <w:p w14:paraId="30B4FEBF" w14:textId="77777777" w:rsidR="00F91671" w:rsidRDefault="00F91671" w:rsidP="00F91671">
      <w:pPr>
        <w:spacing w:before="120" w:after="120" w:line="240" w:lineRule="auto"/>
      </w:pPr>
      <w:r>
        <w:t xml:space="preserve">When determining whether to undertake spectrum re-farming, the ACMA considers the relative incremental benefits and costs of each re-farming option, and the option which features the highest net benefit is considered the highest value use of the band. </w:t>
      </w:r>
    </w:p>
    <w:p w14:paraId="2A9DAA19" w14:textId="034D98ED" w:rsidR="00F91671" w:rsidRDefault="00F91671" w:rsidP="00F91671">
      <w:pPr>
        <w:spacing w:before="120" w:after="120" w:line="240" w:lineRule="auto"/>
      </w:pPr>
      <w:r>
        <w:t>In the 26 GHz band, the ACMA is satisfied that the introduction of wireless broadband services under all options</w:t>
      </w:r>
      <w:r w:rsidR="009D07EB">
        <w:t xml:space="preserve"> considered in the </w:t>
      </w:r>
      <w:r w:rsidR="00C240F0">
        <w:t>o</w:t>
      </w:r>
      <w:r w:rsidR="009D07EB">
        <w:t>ptions paper</w:t>
      </w:r>
      <w:r>
        <w:t xml:space="preserve"> can be achieved with</w:t>
      </w:r>
      <w:r w:rsidR="009D07EB">
        <w:t xml:space="preserve"> </w:t>
      </w:r>
      <w:r w:rsidR="004251E1">
        <w:t xml:space="preserve">no practical </w:t>
      </w:r>
      <w:r>
        <w:t>impact</w:t>
      </w:r>
      <w:r w:rsidR="004251E1">
        <w:t xml:space="preserve"> on the current operations of</w:t>
      </w:r>
      <w:r>
        <w:t xml:space="preserve"> incumbent licensees. As such, the incremental costs from the proposed reforms are </w:t>
      </w:r>
      <w:r w:rsidR="009D07EB">
        <w:t>almost</w:t>
      </w:r>
      <w:r>
        <w:t xml:space="preserve"> zero. </w:t>
      </w:r>
    </w:p>
    <w:p w14:paraId="7D934A35" w14:textId="57831B64" w:rsidR="00F91671" w:rsidRDefault="00F91671" w:rsidP="00F91671">
      <w:pPr>
        <w:spacing w:before="120" w:after="120" w:line="240" w:lineRule="auto"/>
      </w:pPr>
      <w:r>
        <w:t xml:space="preserve">Having been satisfied that coexistence between incumbent and prospective uses can be achieved, the key question is which option provides for the highest incremental benefits. The differences among the options put forward in the </w:t>
      </w:r>
      <w:r w:rsidR="00C240F0">
        <w:t>o</w:t>
      </w:r>
      <w:r>
        <w:t xml:space="preserve">ptions paper were based on differences in the licensing approaches used across varying frequencies and geographic regions. </w:t>
      </w:r>
      <w:r w:rsidR="009D07EB">
        <w:t xml:space="preserve">This analysis is described in detail in the </w:t>
      </w:r>
      <w:r w:rsidR="00C240F0">
        <w:t>o</w:t>
      </w:r>
      <w:r w:rsidR="009D07EB">
        <w:t>ptions paper.</w:t>
      </w:r>
    </w:p>
    <w:p w14:paraId="1692DE40" w14:textId="3BC7B4D0" w:rsidR="00F91671" w:rsidRDefault="00F91671" w:rsidP="00F91671">
      <w:pPr>
        <w:spacing w:before="120" w:after="120" w:line="240" w:lineRule="auto"/>
      </w:pPr>
      <w:r>
        <w:t xml:space="preserve">In order to facilitate the highest value uses of the band, the ACMA proposes: </w:t>
      </w:r>
    </w:p>
    <w:p w14:paraId="1B64EEA1" w14:textId="77705312" w:rsidR="00F91671" w:rsidRPr="00100050" w:rsidRDefault="00F91671" w:rsidP="00100050">
      <w:pPr>
        <w:pStyle w:val="ListBullet"/>
      </w:pPr>
      <w:r w:rsidRPr="00100050">
        <w:t>price-based allocation of spectrum licences for regions of Australia that feature the highest demand</w:t>
      </w:r>
      <w:r w:rsidR="001543F4" w:rsidRPr="00100050">
        <w:t>,</w:t>
      </w:r>
      <w:r w:rsidRPr="00100050">
        <w:t xml:space="preserve"> which in this case is </w:t>
      </w:r>
      <w:r w:rsidR="001543F4" w:rsidRPr="00100050">
        <w:t xml:space="preserve">the </w:t>
      </w:r>
      <w:r w:rsidRPr="00100050">
        <w:t>most densely populated regions (price-based allocations ensure the highest value users are able to gain access to the spectrum)</w:t>
      </w:r>
      <w:r w:rsidR="001543F4" w:rsidRPr="00100050">
        <w:t xml:space="preserve"> </w:t>
      </w:r>
    </w:p>
    <w:p w14:paraId="0A2364DE" w14:textId="63CA1653" w:rsidR="00F91671" w:rsidRPr="00100050" w:rsidRDefault="00F91671" w:rsidP="00100050">
      <w:pPr>
        <w:pStyle w:val="ListBullet"/>
      </w:pPr>
      <w:r w:rsidRPr="00100050">
        <w:t>apparatus licensing in non-defined areas (i.e. regional areas)</w:t>
      </w:r>
    </w:p>
    <w:p w14:paraId="0AE14BFA" w14:textId="01CD4B3F" w:rsidR="00F91671" w:rsidRPr="00B316D2" w:rsidRDefault="00F91671" w:rsidP="00100050">
      <w:pPr>
        <w:pStyle w:val="ListBullet"/>
      </w:pPr>
      <w:r w:rsidRPr="00100050">
        <w:t xml:space="preserve">apparatus licensing between 24.7 and 25.1 GHz </w:t>
      </w:r>
      <w:r w:rsidR="009D07EB" w:rsidRPr="00100050">
        <w:t>Australia</w:t>
      </w:r>
      <w:r w:rsidR="001543F4" w:rsidRPr="00100050">
        <w:t>-</w:t>
      </w:r>
      <w:r w:rsidR="009D07EB" w:rsidRPr="00100050">
        <w:t>wide</w:t>
      </w:r>
    </w:p>
    <w:p w14:paraId="002C798F" w14:textId="3BCC5547" w:rsidR="00F91671" w:rsidRDefault="00F91671" w:rsidP="00100050">
      <w:pPr>
        <w:pStyle w:val="ListBulletLast"/>
      </w:pPr>
      <w:r>
        <w:t xml:space="preserve">class licensing </w:t>
      </w:r>
      <w:r w:rsidR="009D07EB" w:rsidRPr="00100050">
        <w:t>between</w:t>
      </w:r>
      <w:r w:rsidR="009D07EB">
        <w:t xml:space="preserve"> 24.25 and 25.1 GHz, limited to indoor </w:t>
      </w:r>
      <w:r w:rsidR="000C3A76">
        <w:t xml:space="preserve">use </w:t>
      </w:r>
      <w:r w:rsidR="009D07EB">
        <w:t>only in the range 24.25</w:t>
      </w:r>
      <w:r w:rsidR="001543F4">
        <w:t>–</w:t>
      </w:r>
      <w:r w:rsidR="009D07EB">
        <w:t>24.7 GHz</w:t>
      </w:r>
      <w:r>
        <w:t>.</w:t>
      </w:r>
    </w:p>
    <w:p w14:paraId="45AE1563" w14:textId="3809ACAC" w:rsidR="00F91671" w:rsidRDefault="00F91671" w:rsidP="001543F4">
      <w:pPr>
        <w:spacing w:before="120" w:after="120" w:line="240" w:lineRule="auto"/>
      </w:pPr>
      <w:r>
        <w:t xml:space="preserve">The ACMA considers that this mix of spectrum, apparatus and class licensing provides not only for the protection of incumbent users, but also provides for the appropriate mix of potential </w:t>
      </w:r>
      <w:r w:rsidR="009D07EB">
        <w:t>wireless broadband network types.</w:t>
      </w:r>
    </w:p>
    <w:p w14:paraId="3329B1DC" w14:textId="77777777" w:rsidR="0073030C" w:rsidRDefault="0073030C" w:rsidP="00765E87">
      <w:pPr>
        <w:pStyle w:val="Heading2"/>
        <w:rPr>
          <w:b w:val="0"/>
        </w:rPr>
      </w:pPr>
      <w:bookmarkStart w:id="51" w:name="_Toc4664091"/>
      <w:r>
        <w:t>Use cases</w:t>
      </w:r>
      <w:bookmarkEnd w:id="51"/>
    </w:p>
    <w:p w14:paraId="739721C7" w14:textId="121C0EA8" w:rsidR="003C7DEF" w:rsidRDefault="003C7DEF" w:rsidP="00DA511D">
      <w:pPr>
        <w:spacing w:before="120" w:after="120" w:line="240" w:lineRule="auto"/>
      </w:pPr>
      <w:r>
        <w:t xml:space="preserve">A key theme of the </w:t>
      </w:r>
      <w:r w:rsidR="00C240F0">
        <w:t>o</w:t>
      </w:r>
      <w:r>
        <w:t xml:space="preserve">ptions paper was the scope for </w:t>
      </w:r>
      <w:r w:rsidR="0063370A">
        <w:t>multiple</w:t>
      </w:r>
      <w:r>
        <w:t xml:space="preserve"> authorisation</w:t>
      </w:r>
      <w:r w:rsidR="0063370A">
        <w:t xml:space="preserve"> regimes</w:t>
      </w:r>
      <w:r w:rsidR="00F063CC">
        <w:t xml:space="preserve">, </w:t>
      </w:r>
      <w:r w:rsidR="00982C85">
        <w:t>considering</w:t>
      </w:r>
      <w:r w:rsidR="00F063CC">
        <w:t xml:space="preserve"> both the increased potential for sharing afforded by</w:t>
      </w:r>
      <w:r w:rsidR="009F251C">
        <w:t xml:space="preserve"> 5G</w:t>
      </w:r>
      <w:r w:rsidR="00F063CC">
        <w:t xml:space="preserve"> technology and </w:t>
      </w:r>
      <w:proofErr w:type="spellStart"/>
      <w:r w:rsidR="000F68B5">
        <w:t>mm</w:t>
      </w:r>
      <w:r w:rsidR="0049083E">
        <w:t>W</w:t>
      </w:r>
      <w:r w:rsidR="000F68B5">
        <w:t>ave</w:t>
      </w:r>
      <w:proofErr w:type="spellEnd"/>
      <w:r w:rsidR="000F68B5">
        <w:t xml:space="preserve"> </w:t>
      </w:r>
      <w:r w:rsidR="00F063CC">
        <w:t xml:space="preserve">propagation </w:t>
      </w:r>
      <w:r w:rsidR="0066706E">
        <w:t>characteristics</w:t>
      </w:r>
      <w:r w:rsidR="00EC574D">
        <w:t>,</w:t>
      </w:r>
      <w:r w:rsidR="0066706E">
        <w:t xml:space="preserve"> </w:t>
      </w:r>
      <w:r w:rsidR="003D0561">
        <w:t xml:space="preserve">and the </w:t>
      </w:r>
      <w:r w:rsidR="00962578">
        <w:t>amount of spectrum available in the 26</w:t>
      </w:r>
      <w:r w:rsidR="00DE5453">
        <w:t> </w:t>
      </w:r>
      <w:r w:rsidR="00962578">
        <w:t xml:space="preserve">GHz band. </w:t>
      </w:r>
      <w:r w:rsidR="002C6866">
        <w:t>A</w:t>
      </w:r>
      <w:r w:rsidR="00AA6945">
        <w:t xml:space="preserve"> combination</w:t>
      </w:r>
      <w:r w:rsidR="000C3680">
        <w:t xml:space="preserve"> </w:t>
      </w:r>
      <w:r w:rsidR="00AA6945">
        <w:t xml:space="preserve">of the three licence types available </w:t>
      </w:r>
      <w:r w:rsidR="002C6866">
        <w:t>was proposed to</w:t>
      </w:r>
      <w:r w:rsidR="00AA6945">
        <w:t xml:space="preserve"> </w:t>
      </w:r>
      <w:r w:rsidR="000C3680">
        <w:t>optim</w:t>
      </w:r>
      <w:r w:rsidR="002C6866">
        <w:t>ise and</w:t>
      </w:r>
      <w:r w:rsidR="00EC7214">
        <w:t xml:space="preserve"> </w:t>
      </w:r>
      <w:r w:rsidR="000C3680">
        <w:t xml:space="preserve">accommodate a range of potential use </w:t>
      </w:r>
      <w:r w:rsidR="00D919FB">
        <w:t>types</w:t>
      </w:r>
      <w:r w:rsidR="00511956">
        <w:t>, as distinct from more traditional wide-area spectrum licence-only approaches to wireless broadband spectrum releases.</w:t>
      </w:r>
    </w:p>
    <w:p w14:paraId="49C02F0B" w14:textId="75CD9E6C" w:rsidR="0094684A" w:rsidRDefault="001922D7" w:rsidP="00DA511D">
      <w:pPr>
        <w:spacing w:before="120" w:after="120" w:line="240" w:lineRule="auto"/>
      </w:pPr>
      <w:r>
        <w:t xml:space="preserve">Responses to the </w:t>
      </w:r>
      <w:r w:rsidR="00C240F0">
        <w:t>o</w:t>
      </w:r>
      <w:r>
        <w:t xml:space="preserve">ptions paper showed </w:t>
      </w:r>
      <w:r w:rsidR="0073030C">
        <w:t xml:space="preserve">clear interest in </w:t>
      </w:r>
      <w:r w:rsidR="000A16EF">
        <w:t>accessing the 26 GHz band for wireless broadband services by</w:t>
      </w:r>
      <w:r w:rsidR="00043CA0">
        <w:t xml:space="preserve"> both</w:t>
      </w:r>
      <w:r w:rsidR="000A16EF">
        <w:t xml:space="preserve"> </w:t>
      </w:r>
      <w:r w:rsidR="00043CA0">
        <w:t xml:space="preserve">type 1 </w:t>
      </w:r>
      <w:r w:rsidR="00265CF3">
        <w:t>wide</w:t>
      </w:r>
      <w:r w:rsidR="00D919FB">
        <w:t>-</w:t>
      </w:r>
      <w:r w:rsidR="00265CF3">
        <w:t xml:space="preserve">area </w:t>
      </w:r>
      <w:r w:rsidR="00214D5E">
        <w:t>mobile and fixed</w:t>
      </w:r>
      <w:r w:rsidR="000A16EF">
        <w:t xml:space="preserve"> broadband sectors</w:t>
      </w:r>
      <w:r w:rsidR="00265CF3">
        <w:t xml:space="preserve"> </w:t>
      </w:r>
      <w:r w:rsidR="00E83B58">
        <w:t>users</w:t>
      </w:r>
      <w:r w:rsidR="00E161E0">
        <w:t>,</w:t>
      </w:r>
      <w:r w:rsidR="00E83B58">
        <w:t xml:space="preserve"> and </w:t>
      </w:r>
      <w:r w:rsidR="00C92594">
        <w:t xml:space="preserve">type 2 </w:t>
      </w:r>
      <w:r w:rsidR="00E83B58">
        <w:t>s</w:t>
      </w:r>
      <w:r w:rsidR="000D2DD7">
        <w:t>maller, local</w:t>
      </w:r>
      <w:r w:rsidR="00E161E0">
        <w:t>-</w:t>
      </w:r>
      <w:r w:rsidR="000D2DD7">
        <w:t>area broadband providers</w:t>
      </w:r>
      <w:r w:rsidR="00E83B58">
        <w:t xml:space="preserve">. </w:t>
      </w:r>
      <w:r w:rsidR="00091084">
        <w:t>While type 1 and 2 use types might be authorised under any of the three categories of licence, t</w:t>
      </w:r>
      <w:r w:rsidR="000D2DD7">
        <w:t xml:space="preserve">hese two types of uses </w:t>
      </w:r>
      <w:r w:rsidR="00087C01">
        <w:t>lend</w:t>
      </w:r>
      <w:r w:rsidR="000F68B5">
        <w:t xml:space="preserve"> themselves to spectrum and apparatus licensing approaches</w:t>
      </w:r>
      <w:r w:rsidR="00087C01">
        <w:t xml:space="preserve"> respectively</w:t>
      </w:r>
      <w:r w:rsidR="000F68B5">
        <w:t xml:space="preserve">. </w:t>
      </w:r>
    </w:p>
    <w:p w14:paraId="61990D60" w14:textId="169304F5" w:rsidR="0073030C" w:rsidRDefault="00EC7214" w:rsidP="00DA511D">
      <w:pPr>
        <w:spacing w:before="120" w:after="120" w:line="240" w:lineRule="auto"/>
      </w:pPr>
      <w:r>
        <w:t>While minimal direct</w:t>
      </w:r>
      <w:r w:rsidR="00235472">
        <w:t xml:space="preserve"> </w:t>
      </w:r>
      <w:r w:rsidR="00DD5CC5">
        <w:t xml:space="preserve">interest </w:t>
      </w:r>
      <w:r>
        <w:t xml:space="preserve">was expressed </w:t>
      </w:r>
      <w:r w:rsidR="00DD5CC5">
        <w:t xml:space="preserve">in </w:t>
      </w:r>
      <w:r>
        <w:t xml:space="preserve">the </w:t>
      </w:r>
      <w:r w:rsidR="00DD5CC5">
        <w:t xml:space="preserve">potential type 3 access </w:t>
      </w:r>
      <w:r>
        <w:t>option</w:t>
      </w:r>
      <w:r w:rsidR="00E161E0">
        <w:t>,</w:t>
      </w:r>
      <w:r w:rsidR="00201C65">
        <w:t xml:space="preserve"> </w:t>
      </w:r>
      <w:r>
        <w:t xml:space="preserve">the ACMA’s experience is that </w:t>
      </w:r>
      <w:r w:rsidR="00E27292">
        <w:t xml:space="preserve">these types of users </w:t>
      </w:r>
      <w:r>
        <w:t>do not always contribute to consultation processes</w:t>
      </w:r>
      <w:r w:rsidR="00E161E0">
        <w:t>,</w:t>
      </w:r>
      <w:r w:rsidR="0032653E">
        <w:t xml:space="preserve"> </w:t>
      </w:r>
      <w:r w:rsidR="002975FC">
        <w:t xml:space="preserve">or more importantly, </w:t>
      </w:r>
      <w:r>
        <w:t xml:space="preserve">may not yet be engaged in identifying </w:t>
      </w:r>
      <w:r w:rsidR="002975FC">
        <w:t xml:space="preserve">potential opportunities </w:t>
      </w:r>
      <w:r w:rsidR="00EC574D">
        <w:t>that might be</w:t>
      </w:r>
      <w:r w:rsidR="002975FC">
        <w:t xml:space="preserve"> affo</w:t>
      </w:r>
      <w:r w:rsidR="0075018E">
        <w:t>rded by 5G wireless broadband.</w:t>
      </w:r>
    </w:p>
    <w:p w14:paraId="043EBC24" w14:textId="24F5B53A" w:rsidR="00A646C4" w:rsidRDefault="00C2144C" w:rsidP="00DA511D">
      <w:pPr>
        <w:spacing w:before="120" w:after="120" w:line="240" w:lineRule="auto"/>
      </w:pPr>
      <w:r>
        <w:lastRenderedPageBreak/>
        <w:t>W</w:t>
      </w:r>
      <w:r w:rsidR="000F68B5">
        <w:t xml:space="preserve">hile </w:t>
      </w:r>
      <w:r w:rsidR="0075018E">
        <w:t xml:space="preserve">the ACMA </w:t>
      </w:r>
      <w:r w:rsidR="000F68B5">
        <w:t>intends to pursue class licensing in part of the 26</w:t>
      </w:r>
      <w:r w:rsidR="00CF2705">
        <w:t> </w:t>
      </w:r>
      <w:r w:rsidR="000F68B5">
        <w:t xml:space="preserve">GHz band, it </w:t>
      </w:r>
      <w:r w:rsidR="0075018E">
        <w:t xml:space="preserve">does not see an immediate appetite for a </w:t>
      </w:r>
      <w:r w:rsidR="003862A6">
        <w:t xml:space="preserve">class licence to be applied co-frequency with spectrum licences </w:t>
      </w:r>
      <w:r w:rsidR="00CD124E">
        <w:t>in</w:t>
      </w:r>
      <w:r w:rsidR="003862A6">
        <w:t xml:space="preserve"> defined areas. However, </w:t>
      </w:r>
      <w:r w:rsidR="008B1F07">
        <w:t xml:space="preserve">noting that there remains </w:t>
      </w:r>
      <w:r w:rsidR="00840ECF">
        <w:t>a</w:t>
      </w:r>
      <w:r w:rsidR="008B1F07">
        <w:t xml:space="preserve"> </w:t>
      </w:r>
      <w:r w:rsidR="00A34A46">
        <w:t xml:space="preserve">potential for </w:t>
      </w:r>
      <w:r w:rsidR="000F68B5">
        <w:t xml:space="preserve">additional </w:t>
      </w:r>
      <w:r w:rsidR="008B1F07">
        <w:t xml:space="preserve">demand for this type of access to materialise </w:t>
      </w:r>
      <w:r w:rsidR="00F802EB">
        <w:t>later</w:t>
      </w:r>
      <w:r w:rsidR="008B1F07">
        <w:t xml:space="preserve">, the ACMA </w:t>
      </w:r>
      <w:r w:rsidR="00A752DA">
        <w:t>wants to</w:t>
      </w:r>
      <w:r w:rsidR="00A646C4">
        <w:t xml:space="preserve"> ensure th</w:t>
      </w:r>
      <w:r w:rsidR="00EC7214">
        <w:t xml:space="preserve">at </w:t>
      </w:r>
      <w:r w:rsidR="0032653E">
        <w:t>th</w:t>
      </w:r>
      <w:r w:rsidR="00A646C4">
        <w:t xml:space="preserve">ere are </w:t>
      </w:r>
      <w:r w:rsidR="00A752DA">
        <w:t>contingencies in place</w:t>
      </w:r>
      <w:r w:rsidR="00FC5DDA">
        <w:t xml:space="preserve"> to cater for this.</w:t>
      </w:r>
      <w:r w:rsidR="008042CA">
        <w:t xml:space="preserve"> </w:t>
      </w:r>
      <w:r>
        <w:t>W</w:t>
      </w:r>
      <w:r w:rsidR="00880FBB">
        <w:t xml:space="preserve">e will </w:t>
      </w:r>
      <w:r>
        <w:t>retain scope</w:t>
      </w:r>
      <w:r w:rsidR="00880FBB">
        <w:t xml:space="preserve"> for expanding </w:t>
      </w:r>
      <w:r w:rsidR="00C3708B">
        <w:t>type 3 use</w:t>
      </w:r>
      <w:r w:rsidR="009E2BBD">
        <w:t xml:space="preserve"> through:</w:t>
      </w:r>
    </w:p>
    <w:p w14:paraId="68B42FD4" w14:textId="78FC4DAB" w:rsidR="00A646C4" w:rsidRDefault="00544083" w:rsidP="00100050">
      <w:pPr>
        <w:pStyle w:val="ListBullet"/>
      </w:pPr>
      <w:r>
        <w:t>p</w:t>
      </w:r>
      <w:r w:rsidR="000C3A76">
        <w:t xml:space="preserve">roposed amendment to the LIPD class licence to </w:t>
      </w:r>
      <w:r w:rsidR="005158E9">
        <w:t>implement</w:t>
      </w:r>
      <w:r w:rsidR="00487A05">
        <w:t xml:space="preserve"> </w:t>
      </w:r>
      <w:r w:rsidR="00F52376">
        <w:t>c</w:t>
      </w:r>
      <w:r w:rsidR="00C4721A">
        <w:t xml:space="preserve">lass licensing in the </w:t>
      </w:r>
      <w:r w:rsidR="00292C46">
        <w:t xml:space="preserve">passive EESS guard band frequencies </w:t>
      </w:r>
      <w:r w:rsidR="00292C46" w:rsidRPr="00B64E2F">
        <w:t>below</w:t>
      </w:r>
      <w:r w:rsidR="00292C46">
        <w:rPr>
          <w:i/>
        </w:rPr>
        <w:t xml:space="preserve"> </w:t>
      </w:r>
      <w:r w:rsidR="00320646">
        <w:t>those available for spectrum licensing (</w:t>
      </w:r>
      <w:r w:rsidR="006B2661">
        <w:t>totalling</w:t>
      </w:r>
      <w:r w:rsidR="00EE7959">
        <w:t xml:space="preserve"> </w:t>
      </w:r>
      <w:r w:rsidR="00E31AD1">
        <w:t>850 MHz of spectrum</w:t>
      </w:r>
      <w:r w:rsidR="00B64E2F">
        <w:t>—</w:t>
      </w:r>
      <w:r w:rsidR="00E31AD1">
        <w:t>see below discussion on frequency ranges)</w:t>
      </w:r>
    </w:p>
    <w:p w14:paraId="14F7A874" w14:textId="023C93EF" w:rsidR="004B7729" w:rsidRDefault="00F52376" w:rsidP="00100050">
      <w:pPr>
        <w:pStyle w:val="ListBulletLast"/>
      </w:pPr>
      <w:r>
        <w:t>a commitment to continue to monitor demand and developments in this sector</w:t>
      </w:r>
      <w:r w:rsidR="005F6A32">
        <w:t>,</w:t>
      </w:r>
      <w:r>
        <w:t xml:space="preserve"> and potentially expand the </w:t>
      </w:r>
      <w:r w:rsidR="003F4DD6">
        <w:t xml:space="preserve">frequency range of the </w:t>
      </w:r>
      <w:r>
        <w:t>abovementioned class licence</w:t>
      </w:r>
      <w:r w:rsidR="001C1361">
        <w:t xml:space="preserve"> into the spectrum licen</w:t>
      </w:r>
      <w:r w:rsidR="00EC73AD">
        <w:t>s</w:t>
      </w:r>
      <w:r w:rsidR="001C1361">
        <w:t>ed band</w:t>
      </w:r>
      <w:r w:rsidR="000B3A9F">
        <w:t>.</w:t>
      </w:r>
      <w:r w:rsidR="00EC7214">
        <w:t xml:space="preserve"> </w:t>
      </w:r>
    </w:p>
    <w:p w14:paraId="27E0A1FD" w14:textId="71AF59DF" w:rsidR="00EC7214" w:rsidRPr="00D921F5" w:rsidRDefault="000B3A9F" w:rsidP="004B7729">
      <w:r>
        <w:t>A</w:t>
      </w:r>
      <w:r w:rsidR="00763DEF" w:rsidRPr="00D921F5">
        <w:t xml:space="preserve">ny </w:t>
      </w:r>
      <w:r w:rsidR="003F4DD6" w:rsidRPr="00D921F5">
        <w:t xml:space="preserve">decision to enact this expansion would </w:t>
      </w:r>
      <w:r w:rsidR="004B7729">
        <w:t>preferably</w:t>
      </w:r>
      <w:r w:rsidR="00EC73AD" w:rsidRPr="00D921F5">
        <w:t xml:space="preserve"> </w:t>
      </w:r>
      <w:r w:rsidR="003F4DD6" w:rsidRPr="00D921F5">
        <w:t xml:space="preserve">be communicated prior to the finalisation of </w:t>
      </w:r>
      <w:r w:rsidR="00E279AA">
        <w:t>arrangements</w:t>
      </w:r>
      <w:r w:rsidR="003F4DD6" w:rsidRPr="00D921F5">
        <w:t xml:space="preserve"> for </w:t>
      </w:r>
      <w:r w:rsidR="00EC7214" w:rsidRPr="00D921F5">
        <w:t xml:space="preserve">any </w:t>
      </w:r>
      <w:r w:rsidR="003F4DD6" w:rsidRPr="00D921F5">
        <w:t>spectrum licenc</w:t>
      </w:r>
      <w:r w:rsidR="006D72E1" w:rsidRPr="00D921F5">
        <w:t>e</w:t>
      </w:r>
      <w:r w:rsidR="00EC7214" w:rsidRPr="00D921F5">
        <w:t xml:space="preserve"> allocation.</w:t>
      </w:r>
    </w:p>
    <w:p w14:paraId="6B3FD959" w14:textId="7595FE05" w:rsidR="00C56AF2" w:rsidRPr="00E436DC" w:rsidRDefault="009006A6" w:rsidP="00E436DC">
      <w:pPr>
        <w:pStyle w:val="Heading2"/>
      </w:pPr>
      <w:bookmarkStart w:id="52" w:name="_Toc4664092"/>
      <w:r w:rsidRPr="00E436DC">
        <w:t xml:space="preserve">Coexistence of </w:t>
      </w:r>
      <w:r w:rsidR="00C56AF2" w:rsidRPr="00E436DC">
        <w:t>wireless broadband</w:t>
      </w:r>
      <w:r w:rsidRPr="00E436DC">
        <w:t xml:space="preserve"> and incumbent services</w:t>
      </w:r>
      <w:bookmarkEnd w:id="52"/>
    </w:p>
    <w:p w14:paraId="50E9CCF5" w14:textId="21C7DD76" w:rsidR="00765332" w:rsidRPr="007D7637" w:rsidRDefault="00765332" w:rsidP="006136EE">
      <w:pPr>
        <w:pStyle w:val="Heading3"/>
      </w:pPr>
      <w:bookmarkStart w:id="53" w:name="_Toc4664093"/>
      <w:r w:rsidRPr="007D7637">
        <w:t>Protection of passive EESS</w:t>
      </w:r>
      <w:r w:rsidR="00CF708C">
        <w:t xml:space="preserve"> operating in the range 23.6</w:t>
      </w:r>
      <w:r w:rsidR="00B64E2F">
        <w:t>–</w:t>
      </w:r>
      <w:r w:rsidR="00CF708C">
        <w:t>24 GHz</w:t>
      </w:r>
      <w:bookmarkEnd w:id="53"/>
    </w:p>
    <w:p w14:paraId="5F99DD85" w14:textId="193DD196" w:rsidR="00BE41AA" w:rsidRDefault="00F06653" w:rsidP="00BE41AA">
      <w:r>
        <w:t>The</w:t>
      </w:r>
      <w:r w:rsidR="0014678D">
        <w:t xml:space="preserve"> guard band </w:t>
      </w:r>
      <w:r>
        <w:t xml:space="preserve">between passive EESS and </w:t>
      </w:r>
      <w:r w:rsidR="007F6F0D">
        <w:t>high</w:t>
      </w:r>
      <w:r w:rsidR="001A13F8">
        <w:t>-</w:t>
      </w:r>
      <w:r w:rsidR="007F6F0D">
        <w:t>density</w:t>
      </w:r>
      <w:r w:rsidR="001A13F8">
        <w:t xml:space="preserve"> outdoor</w:t>
      </w:r>
      <w:r>
        <w:t xml:space="preserve"> wireless broadband </w:t>
      </w:r>
      <w:r w:rsidR="007F6F0D">
        <w:t xml:space="preserve">services </w:t>
      </w:r>
      <w:r>
        <w:t xml:space="preserve">will </w:t>
      </w:r>
      <w:r w:rsidR="008D27C0">
        <w:t>necessarily be greater than</w:t>
      </w:r>
      <w:r w:rsidR="00B71EDD">
        <w:t xml:space="preserve"> the</w:t>
      </w:r>
      <w:r w:rsidR="008D27C0">
        <w:t xml:space="preserve"> </w:t>
      </w:r>
      <w:r w:rsidR="00E330DF">
        <w:t xml:space="preserve">default </w:t>
      </w:r>
      <w:r w:rsidR="008D27C0">
        <w:t xml:space="preserve">250 </w:t>
      </w:r>
      <w:r w:rsidR="00E330DF">
        <w:t xml:space="preserve">MHz of </w:t>
      </w:r>
      <w:r w:rsidR="00B71EDD">
        <w:t>24–24.25 GHz</w:t>
      </w:r>
      <w:r w:rsidR="008D27C0">
        <w:t xml:space="preserve">. </w:t>
      </w:r>
      <w:r w:rsidR="00BE41AA">
        <w:t xml:space="preserve">This </w:t>
      </w:r>
      <w:r w:rsidR="00B64E2F">
        <w:t xml:space="preserve">is due </w:t>
      </w:r>
      <w:r w:rsidR="00BE41AA">
        <w:t xml:space="preserve">to </w:t>
      </w:r>
      <w:r w:rsidR="004251E1">
        <w:t>a</w:t>
      </w:r>
      <w:r w:rsidR="00BE41AA">
        <w:t xml:space="preserve"> need to limit the level of unwanted</w:t>
      </w:r>
      <w:r w:rsidR="004251E1">
        <w:t xml:space="preserve"> out-of-band</w:t>
      </w:r>
      <w:r w:rsidR="00BE41AA">
        <w:t xml:space="preserve"> emissions from wireless broadband services into the adjacent passive EESS band.</w:t>
      </w:r>
    </w:p>
    <w:p w14:paraId="2CD42098" w14:textId="739E248E" w:rsidR="00BE41AA" w:rsidRDefault="00BE41AA" w:rsidP="00AE52F4">
      <w:pPr>
        <w:spacing w:after="80"/>
      </w:pPr>
      <w:r>
        <w:t>Using the conservative emission limits set down by CEPT’s ECC</w:t>
      </w:r>
      <w:r>
        <w:rPr>
          <w:rStyle w:val="FootnoteReference"/>
        </w:rPr>
        <w:footnoteReference w:id="9"/>
      </w:r>
      <w:r>
        <w:t xml:space="preserve"> (with adjustments commensurate with the lower expected deployment density and interference environment in Australia), the</w:t>
      </w:r>
      <w:r w:rsidRPr="00EA2348">
        <w:t xml:space="preserve"> </w:t>
      </w:r>
      <w:r>
        <w:t>ACMA proposes th</w:t>
      </w:r>
      <w:r w:rsidR="004251E1">
        <w:t>at</w:t>
      </w:r>
      <w:r>
        <w:t xml:space="preserve"> wireless broadband total radiated power (TRP) limits </w:t>
      </w:r>
      <w:r w:rsidRPr="00190F88">
        <w:t xml:space="preserve">of -37 </w:t>
      </w:r>
      <w:proofErr w:type="spellStart"/>
      <w:r w:rsidRPr="00190F88">
        <w:t>dBW</w:t>
      </w:r>
      <w:proofErr w:type="spellEnd"/>
      <w:r w:rsidRPr="00190F88">
        <w:t xml:space="preserve">/200 MHz for base stations and -33 </w:t>
      </w:r>
      <w:proofErr w:type="spellStart"/>
      <w:r w:rsidRPr="00190F88">
        <w:t>dBW</w:t>
      </w:r>
      <w:proofErr w:type="spellEnd"/>
      <w:r w:rsidRPr="00190F88">
        <w:t xml:space="preserve">/200 MHz for </w:t>
      </w:r>
      <w:r w:rsidR="002A41F4">
        <w:t>user equipment (</w:t>
      </w:r>
      <w:r w:rsidRPr="00190F88">
        <w:t>UE</w:t>
      </w:r>
      <w:r w:rsidR="002A41F4">
        <w:t>)</w:t>
      </w:r>
      <w:r w:rsidRPr="00190F88">
        <w:t xml:space="preserve"> into the fre</w:t>
      </w:r>
      <w:r>
        <w:t>quency range 23.6</w:t>
      </w:r>
      <w:r w:rsidR="00B64E2F">
        <w:t>–</w:t>
      </w:r>
      <w:r>
        <w:t>24 GHz</w:t>
      </w:r>
      <w:r>
        <w:rPr>
          <w:rStyle w:val="FootnoteReference"/>
        </w:rPr>
        <w:footnoteReference w:id="10"/>
      </w:r>
      <w:r w:rsidR="004251E1">
        <w:t xml:space="preserve"> will be applied</w:t>
      </w:r>
      <w:r>
        <w:t xml:space="preserve">. These limits </w:t>
      </w:r>
      <w:r w:rsidR="004251E1">
        <w:t>have been</w:t>
      </w:r>
      <w:r>
        <w:t xml:space="preserve"> based on the those set down by the ECC, but </w:t>
      </w:r>
      <w:r w:rsidR="004251E1">
        <w:t>have been</w:t>
      </w:r>
      <w:r>
        <w:t xml:space="preserve"> adjusted to account for:</w:t>
      </w:r>
    </w:p>
    <w:p w14:paraId="60F3228F" w14:textId="711DC3BF" w:rsidR="00BE41AA" w:rsidRDefault="00BE41AA" w:rsidP="00100050">
      <w:pPr>
        <w:pStyle w:val="ListBullet"/>
      </w:pPr>
      <w:r>
        <w:t xml:space="preserve">lower </w:t>
      </w:r>
      <w:r w:rsidRPr="00100050">
        <w:t>population</w:t>
      </w:r>
      <w:r>
        <w:t xml:space="preserve"> densities in Australian cities </w:t>
      </w:r>
      <w:r w:rsidR="004251E1">
        <w:t>compared to</w:t>
      </w:r>
      <w:r>
        <w:t xml:space="preserve"> Europe</w:t>
      </w:r>
    </w:p>
    <w:p w14:paraId="6A81C2C1" w14:textId="7444BCED" w:rsidR="00BE41AA" w:rsidRDefault="00BE41AA" w:rsidP="00100050">
      <w:pPr>
        <w:pStyle w:val="ListBulletLast"/>
      </w:pPr>
      <w:r>
        <w:t xml:space="preserve">a lower risk of interference to the EESS (passive) from fixed services </w:t>
      </w:r>
      <w:r w:rsidR="000B5B3B">
        <w:t xml:space="preserve">operating </w:t>
      </w:r>
      <w:r>
        <w:t>below</w:t>
      </w:r>
      <w:r w:rsidR="000B5B3B">
        <w:t xml:space="preserve"> 23.6 GHz</w:t>
      </w:r>
      <w:r>
        <w:t xml:space="preserve"> in Australia than in Europe, owing to an existing guard band between these services in Australia. </w:t>
      </w:r>
    </w:p>
    <w:p w14:paraId="0F195B28" w14:textId="46B9FE6C" w:rsidR="00BE41AA" w:rsidRDefault="00BE41AA" w:rsidP="00BE41AA">
      <w:pPr>
        <w:pStyle w:val="ListBulletLast"/>
        <w:numPr>
          <w:ilvl w:val="0"/>
          <w:numId w:val="0"/>
        </w:numPr>
      </w:pPr>
      <w:r>
        <w:t xml:space="preserve">As a matter of practice, </w:t>
      </w:r>
      <w:r w:rsidR="004251E1">
        <w:t xml:space="preserve">transmissions from </w:t>
      </w:r>
      <w:r>
        <w:t xml:space="preserve">the majority of wireless broadband devices will </w:t>
      </w:r>
      <w:r w:rsidR="004251E1">
        <w:t>be</w:t>
      </w:r>
      <w:r>
        <w:t xml:space="preserve"> </w:t>
      </w:r>
      <w:r w:rsidR="000234EE">
        <w:t>lower power than</w:t>
      </w:r>
      <w:r>
        <w:t xml:space="preserve"> the prescribed</w:t>
      </w:r>
      <w:r w:rsidR="004251E1">
        <w:t xml:space="preserve"> overall (in-band) TRP</w:t>
      </w:r>
      <w:r>
        <w:t xml:space="preserve"> limits to allow for manufacturing tolerances and variations due to temperature and ageing, which will help further mitigate interference potential into passive EESS.</w:t>
      </w:r>
      <w:r>
        <w:rPr>
          <w:rStyle w:val="FootnoteReference"/>
        </w:rPr>
        <w:footnoteReference w:id="11"/>
      </w:r>
    </w:p>
    <w:p w14:paraId="5ACAB65E" w14:textId="2D035128" w:rsidR="00BE41AA" w:rsidRDefault="004251E1" w:rsidP="00BE41AA">
      <w:r>
        <w:t xml:space="preserve">Considering </w:t>
      </w:r>
      <w:r w:rsidR="00BE41AA">
        <w:t xml:space="preserve">these proposed unwanted emission limits </w:t>
      </w:r>
      <w:r>
        <w:t>in conjunction with</w:t>
      </w:r>
      <w:r w:rsidR="00BE41AA" w:rsidRPr="00EA2348">
        <w:t xml:space="preserve"> </w:t>
      </w:r>
      <w:r w:rsidR="00BE41AA">
        <w:t xml:space="preserve">expected IMT filter </w:t>
      </w:r>
      <w:proofErr w:type="spellStart"/>
      <w:r w:rsidR="00BE41AA">
        <w:t>rolloffs</w:t>
      </w:r>
      <w:proofErr w:type="spellEnd"/>
      <w:r>
        <w:t xml:space="preserve"> results in an assessment </w:t>
      </w:r>
      <w:r w:rsidR="00BE41AA">
        <w:t xml:space="preserve">that high-density outdoor wireless broadband services will be </w:t>
      </w:r>
      <w:r>
        <w:t>able to be deployed</w:t>
      </w:r>
      <w:r w:rsidR="00BE41AA">
        <w:t xml:space="preserve"> down to 25.1 GHz</w:t>
      </w:r>
      <w:r>
        <w:t xml:space="preserve"> while still protecting passive EESS,</w:t>
      </w:r>
      <w:r w:rsidR="00BE41AA" w:rsidRPr="00EA2348">
        <w:t xml:space="preserve"> </w:t>
      </w:r>
      <w:r w:rsidR="000C3A76">
        <w:t>p</w:t>
      </w:r>
      <w:r w:rsidR="00BE41AA">
        <w:t>rovid</w:t>
      </w:r>
      <w:r>
        <w:t>ing</w:t>
      </w:r>
      <w:r w:rsidR="00BE41AA">
        <w:t xml:space="preserve"> a reasonably conservative guard band of</w:t>
      </w:r>
      <w:r w:rsidR="00786640">
        <w:t xml:space="preserve"> </w:t>
      </w:r>
      <w:r w:rsidR="00BE41AA">
        <w:t>1.1 GHz.</w:t>
      </w:r>
    </w:p>
    <w:p w14:paraId="51C1C7CB" w14:textId="2B35BD24" w:rsidR="00E454DB" w:rsidRDefault="0089723F" w:rsidP="00AE52F4">
      <w:pPr>
        <w:spacing w:after="80"/>
      </w:pPr>
      <w:r>
        <w:lastRenderedPageBreak/>
        <w:t>This is not to suggest that wireless broadband service</w:t>
      </w:r>
      <w:r w:rsidR="00707505">
        <w:t>s</w:t>
      </w:r>
      <w:r>
        <w:t xml:space="preserve"> cannot be deployed below</w:t>
      </w:r>
      <w:r w:rsidR="002362E6">
        <w:t xml:space="preserve"> 25.1</w:t>
      </w:r>
      <w:r w:rsidR="003E174F">
        <w:t> </w:t>
      </w:r>
      <w:r w:rsidR="002362E6">
        <w:t>GHz</w:t>
      </w:r>
      <w:r w:rsidR="003F4672">
        <w:t>, b</w:t>
      </w:r>
      <w:r w:rsidR="0046721E">
        <w:t>ut unconstrained wide area services cannot adequately guarantee that passive EESS ca</w:t>
      </w:r>
      <w:r w:rsidR="00A27D92">
        <w:t>n be protected</w:t>
      </w:r>
      <w:r w:rsidR="00496B8E">
        <w:t xml:space="preserve"> to the targeted level </w:t>
      </w:r>
      <w:r w:rsidR="007C6E11">
        <w:t>equivalent</w:t>
      </w:r>
      <w:r w:rsidR="00496B8E">
        <w:t xml:space="preserve"> t</w:t>
      </w:r>
      <w:r w:rsidR="007C6E11">
        <w:t>o the European levels</w:t>
      </w:r>
      <w:r w:rsidR="00A27D92">
        <w:t xml:space="preserve"> from aggregate out-of-band emissions. </w:t>
      </w:r>
      <w:r w:rsidR="00E454DB">
        <w:t xml:space="preserve">To </w:t>
      </w:r>
      <w:r w:rsidR="00BF37ED">
        <w:t>manage aggregate out-of-band emission levels</w:t>
      </w:r>
      <w:r w:rsidR="00E454DB">
        <w:t xml:space="preserve"> the ACMA </w:t>
      </w:r>
      <w:r w:rsidR="00175590">
        <w:t>proposes to</w:t>
      </w:r>
      <w:r w:rsidR="00E454DB">
        <w:t xml:space="preserve"> put in place additional </w:t>
      </w:r>
      <w:r w:rsidR="00627378">
        <w:t>restrictions</w:t>
      </w:r>
      <w:r w:rsidR="00E454DB">
        <w:t xml:space="preserve"> in the form of:</w:t>
      </w:r>
    </w:p>
    <w:p w14:paraId="236E1688" w14:textId="71E2D125" w:rsidR="00E454DB" w:rsidRDefault="00E454DB" w:rsidP="00100050">
      <w:pPr>
        <w:pStyle w:val="ListBullet"/>
      </w:pPr>
      <w:r w:rsidRPr="00100050">
        <w:t>limitations</w:t>
      </w:r>
      <w:r>
        <w:t xml:space="preserve"> on</w:t>
      </w:r>
      <w:r w:rsidR="00544083">
        <w:t xml:space="preserve"> the number of</w:t>
      </w:r>
      <w:r>
        <w:t xml:space="preserve"> </w:t>
      </w:r>
      <w:r w:rsidR="00175590">
        <w:t>outdoor base stations</w:t>
      </w:r>
      <w:r>
        <w:t xml:space="preserve"> in the range 24.7</w:t>
      </w:r>
      <w:r w:rsidR="00786640">
        <w:t>–</w:t>
      </w:r>
      <w:r>
        <w:t>25.1 GHz within a given area</w:t>
      </w:r>
      <w:r w:rsidR="003A6E4A">
        <w:t xml:space="preserve"> to limit aggregated out-of-band interference into the 23.6</w:t>
      </w:r>
      <w:r w:rsidR="00786640">
        <w:t>–</w:t>
      </w:r>
      <w:r w:rsidR="003A6E4A">
        <w:t>24 GHz range</w:t>
      </w:r>
    </w:p>
    <w:p w14:paraId="29FFE4F3" w14:textId="257E6457" w:rsidR="003A6E4A" w:rsidRDefault="00BF37ED" w:rsidP="00E454DB">
      <w:pPr>
        <w:pStyle w:val="ListBulletLast"/>
      </w:pPr>
      <w:r>
        <w:t>restrict the</w:t>
      </w:r>
      <w:r w:rsidR="003A6E4A">
        <w:t xml:space="preserve"> use </w:t>
      </w:r>
      <w:r>
        <w:t>of</w:t>
      </w:r>
      <w:r w:rsidR="003A6E4A">
        <w:t xml:space="preserve"> the range 24.25</w:t>
      </w:r>
      <w:r w:rsidR="00786640">
        <w:t>–</w:t>
      </w:r>
      <w:r w:rsidR="003A6E4A">
        <w:t>24.7 GHz</w:t>
      </w:r>
      <w:r>
        <w:t xml:space="preserve"> to indoor only</w:t>
      </w:r>
      <w:r w:rsidR="003A6E4A">
        <w:t>.</w:t>
      </w:r>
    </w:p>
    <w:p w14:paraId="7EB494BC" w14:textId="7A00F325" w:rsidR="00235995" w:rsidRPr="007D7637" w:rsidRDefault="00235995" w:rsidP="006136EE">
      <w:pPr>
        <w:pStyle w:val="Heading3"/>
      </w:pPr>
      <w:bookmarkStart w:id="54" w:name="_Toc4664094"/>
      <w:r w:rsidRPr="007D7637">
        <w:t xml:space="preserve">Protection of </w:t>
      </w:r>
      <w:r w:rsidR="006C3D50">
        <w:t>F</w:t>
      </w:r>
      <w:r w:rsidR="00AE52F4">
        <w:t>SS</w:t>
      </w:r>
      <w:r w:rsidR="006C3D50">
        <w:t xml:space="preserve"> uplinks</w:t>
      </w:r>
      <w:r w:rsidR="00CF708C">
        <w:t xml:space="preserve"> operating in the range 27</w:t>
      </w:r>
      <w:r w:rsidR="00786640">
        <w:t>–</w:t>
      </w:r>
      <w:r w:rsidR="00CF708C">
        <w:t>27.5 GHz</w:t>
      </w:r>
      <w:bookmarkEnd w:id="54"/>
    </w:p>
    <w:p w14:paraId="47E60DE4" w14:textId="117CD1E6" w:rsidR="0041768E" w:rsidRDefault="00482498" w:rsidP="007E7110">
      <w:r>
        <w:t xml:space="preserve">The ACMA is satisfied that </w:t>
      </w:r>
      <w:r w:rsidR="00F9394C">
        <w:t>wireless broadband</w:t>
      </w:r>
      <w:r w:rsidR="00CC6BA3">
        <w:t xml:space="preserve"> systems can coexist with</w:t>
      </w:r>
      <w:r w:rsidR="00604868">
        <w:t xml:space="preserve"> Fixed Satellite Service</w:t>
      </w:r>
      <w:r w:rsidR="00CC6BA3">
        <w:t xml:space="preserve"> </w:t>
      </w:r>
      <w:r w:rsidR="00604868">
        <w:t>(</w:t>
      </w:r>
      <w:r w:rsidR="004A2D6E" w:rsidRPr="00604868">
        <w:t>FSS</w:t>
      </w:r>
      <w:r w:rsidR="00604868">
        <w:t>)</w:t>
      </w:r>
      <w:r w:rsidR="004A2D6E">
        <w:t xml:space="preserve"> uplinks</w:t>
      </w:r>
      <w:r w:rsidR="007D15BE">
        <w:t>.</w:t>
      </w:r>
      <w:r w:rsidR="002935A2">
        <w:t xml:space="preserve"> </w:t>
      </w:r>
      <w:r w:rsidR="00120022">
        <w:t>To provide greater confidence and safeguard</w:t>
      </w:r>
      <w:r w:rsidR="009120C0">
        <w:t>s</w:t>
      </w:r>
      <w:r w:rsidR="00120022">
        <w:t xml:space="preserve"> </w:t>
      </w:r>
      <w:r w:rsidR="009120C0">
        <w:t>for</w:t>
      </w:r>
      <w:r w:rsidR="00120022">
        <w:t xml:space="preserve"> </w:t>
      </w:r>
      <w:r w:rsidR="002935A2">
        <w:t>coexistence</w:t>
      </w:r>
      <w:r w:rsidR="00CA53B5">
        <w:t xml:space="preserve"> </w:t>
      </w:r>
      <w:r w:rsidR="009120C0">
        <w:t>of wireless broadband</w:t>
      </w:r>
      <w:r w:rsidR="004A2D6E">
        <w:t xml:space="preserve"> within </w:t>
      </w:r>
      <w:r w:rsidR="00786640">
        <w:t xml:space="preserve">NBN </w:t>
      </w:r>
      <w:r w:rsidR="00C5222F">
        <w:t>gateway footprint</w:t>
      </w:r>
      <w:r w:rsidR="00C60782">
        <w:t xml:space="preserve"> area</w:t>
      </w:r>
      <w:r w:rsidR="00C5222F">
        <w:t>s</w:t>
      </w:r>
      <w:r w:rsidR="001602CE">
        <w:t>,</w:t>
      </w:r>
      <w:r w:rsidR="002935A2">
        <w:t xml:space="preserve"> </w:t>
      </w:r>
      <w:r w:rsidR="00E5643F">
        <w:t xml:space="preserve">additional </w:t>
      </w:r>
      <w:r w:rsidR="00F41202">
        <w:t xml:space="preserve">licence </w:t>
      </w:r>
      <w:r w:rsidR="00C5222F">
        <w:t xml:space="preserve">conditions </w:t>
      </w:r>
      <w:r w:rsidR="00CA53B5">
        <w:t>on wireless broadband</w:t>
      </w:r>
      <w:r w:rsidR="00F41202">
        <w:t xml:space="preserve"> services are being proposed</w:t>
      </w:r>
      <w:r w:rsidR="00CA53B5">
        <w:t xml:space="preserve">. </w:t>
      </w:r>
      <w:r w:rsidR="00834C56">
        <w:t>Additional commentary on coexistence between wireless broadband services and FSS uplinks is provided in Annex C.</w:t>
      </w:r>
      <w:r w:rsidR="00D7214C">
        <w:t xml:space="preserve"> </w:t>
      </w:r>
    </w:p>
    <w:p w14:paraId="4B91464B" w14:textId="597888AF" w:rsidR="00E5643F" w:rsidRDefault="00E5643F" w:rsidP="00AE52F4">
      <w:pPr>
        <w:keepNext/>
        <w:keepLines/>
        <w:spacing w:after="80"/>
      </w:pPr>
      <w:r>
        <w:t xml:space="preserve">The </w:t>
      </w:r>
      <w:r w:rsidR="00FE5825">
        <w:t xml:space="preserve">ACMA’s preliminary view is that the </w:t>
      </w:r>
      <w:r>
        <w:t xml:space="preserve">following additional </w:t>
      </w:r>
      <w:r w:rsidR="00363B33">
        <w:t xml:space="preserve">licence </w:t>
      </w:r>
      <w:r>
        <w:t xml:space="preserve">conditions </w:t>
      </w:r>
      <w:r w:rsidR="00FE5825">
        <w:t xml:space="preserve">should </w:t>
      </w:r>
      <w:r>
        <w:t xml:space="preserve">apply </w:t>
      </w:r>
      <w:r w:rsidR="00177AC6">
        <w:t xml:space="preserve">to </w:t>
      </w:r>
      <w:r>
        <w:t>spectrum and apparatus licensed services in the range 27</w:t>
      </w:r>
      <w:r w:rsidR="00786640">
        <w:t>–</w:t>
      </w:r>
      <w:r>
        <w:t xml:space="preserve">27.5 GHz operating within </w:t>
      </w:r>
      <w:r w:rsidR="00786640">
        <w:t xml:space="preserve">NBN </w:t>
      </w:r>
      <w:r>
        <w:t>FSS gateway footprint areas</w:t>
      </w:r>
      <w:r w:rsidR="005451CF">
        <w:t xml:space="preserve"> (-</w:t>
      </w:r>
      <w:r w:rsidR="00552F27">
        <w:t>3</w:t>
      </w:r>
      <w:r w:rsidR="005451CF">
        <w:t xml:space="preserve"> dB contour)</w:t>
      </w:r>
      <w:r>
        <w:t xml:space="preserve"> specified in </w:t>
      </w:r>
      <w:r w:rsidR="00786640">
        <w:br/>
      </w:r>
      <w:r>
        <w:t xml:space="preserve">Annex </w:t>
      </w:r>
      <w:r w:rsidR="00D53FA7">
        <w:t>F</w:t>
      </w:r>
      <w:r w:rsidR="00786640">
        <w:t>:</w:t>
      </w:r>
    </w:p>
    <w:p w14:paraId="4C44436E" w14:textId="7C645E0F" w:rsidR="00D615B0" w:rsidRPr="00100050" w:rsidRDefault="00786640" w:rsidP="00100050">
      <w:pPr>
        <w:pStyle w:val="ListBullet"/>
      </w:pPr>
      <w:r w:rsidRPr="00100050">
        <w:t>o</w:t>
      </w:r>
      <w:r w:rsidR="00F164A4" w:rsidRPr="00100050">
        <w:t xml:space="preserve">utdoor base stations must have mechanical </w:t>
      </w:r>
      <w:r w:rsidR="00203D2F" w:rsidRPr="00100050">
        <w:t>down tilt</w:t>
      </w:r>
      <w:r w:rsidR="00F164A4" w:rsidRPr="00100050">
        <w:t xml:space="preserve"> </w:t>
      </w:r>
      <w:r w:rsidR="00203D2F" w:rsidRPr="00100050">
        <w:t>equal</w:t>
      </w:r>
      <w:r w:rsidR="00D615B0" w:rsidRPr="00100050">
        <w:t xml:space="preserve"> t</w:t>
      </w:r>
      <w:r w:rsidR="00203D2F" w:rsidRPr="00100050">
        <w:t>o</w:t>
      </w:r>
      <w:r w:rsidR="00D615B0" w:rsidRPr="00100050">
        <w:t xml:space="preserve"> or greater than </w:t>
      </w:r>
      <w:r w:rsidR="00203D2F" w:rsidRPr="00100050">
        <w:t>0</w:t>
      </w:r>
      <w:r w:rsidR="001A13F8" w:rsidRPr="00100050">
        <w:t>°</w:t>
      </w:r>
    </w:p>
    <w:p w14:paraId="578F7598" w14:textId="4F3A104F" w:rsidR="00403B1F" w:rsidRDefault="00786640" w:rsidP="00100050">
      <w:pPr>
        <w:pStyle w:val="ListBullet"/>
      </w:pPr>
      <w:r w:rsidRPr="00100050">
        <w:t>o</w:t>
      </w:r>
      <w:r w:rsidR="00203D2F" w:rsidRPr="00100050">
        <w:t xml:space="preserve">utdoor base stations must </w:t>
      </w:r>
      <w:r w:rsidR="00F164A4" w:rsidRPr="00100050">
        <w:t xml:space="preserve">not direct antenna beams </w:t>
      </w:r>
      <w:r w:rsidR="00203D2F" w:rsidRPr="00100050">
        <w:t>(via electrical steering)</w:t>
      </w:r>
      <w:r w:rsidR="00F451B4" w:rsidRPr="00100050">
        <w:t xml:space="preserve"> to</w:t>
      </w:r>
      <w:r w:rsidR="00E521E4" w:rsidRPr="00100050">
        <w:t xml:space="preserve"> elevation </w:t>
      </w:r>
      <w:r w:rsidR="00F451B4" w:rsidRPr="00100050">
        <w:t>angles greater than</w:t>
      </w:r>
      <w:r w:rsidR="00E521E4" w:rsidRPr="00100050">
        <w:t xml:space="preserve"> </w:t>
      </w:r>
      <w:r w:rsidR="00FD7686" w:rsidRPr="00100050">
        <w:t>5</w:t>
      </w:r>
      <w:r w:rsidR="00E521E4" w:rsidRPr="00100050">
        <w:t>°</w:t>
      </w:r>
      <w:r w:rsidR="00F451B4" w:rsidRPr="00100050">
        <w:t xml:space="preserve"> above the horizon</w:t>
      </w:r>
      <w:r w:rsidR="00F164A4" w:rsidRPr="00100050">
        <w:t xml:space="preserve"> for more than 5% of time</w:t>
      </w:r>
      <w:r w:rsidR="00F164A4">
        <w:t xml:space="preserve"> </w:t>
      </w:r>
    </w:p>
    <w:p w14:paraId="45508BB4" w14:textId="3BDB34FC" w:rsidR="00FD4CA6" w:rsidRDefault="00786640" w:rsidP="00A3406F">
      <w:pPr>
        <w:pStyle w:val="ListBulletLast"/>
        <w:spacing w:after="80"/>
      </w:pPr>
      <w:r>
        <w:t>o</w:t>
      </w:r>
      <w:r w:rsidR="00403B1F">
        <w:t xml:space="preserve">utdoor fixed UEs must not direct their antenna beam (via electrical steering) to within </w:t>
      </w:r>
      <w:r w:rsidR="00D34FA2">
        <w:t>1.5</w:t>
      </w:r>
      <w:r w:rsidR="009E396D">
        <w:t>°</w:t>
      </w:r>
      <w:r w:rsidR="00403B1F">
        <w:t xml:space="preserve"> </w:t>
      </w:r>
      <w:r w:rsidR="00F41202">
        <w:t xml:space="preserve">of </w:t>
      </w:r>
      <w:r w:rsidR="00403B1F">
        <w:t xml:space="preserve">the </w:t>
      </w:r>
      <w:r w:rsidR="00F41202">
        <w:t>geostationary orbit (</w:t>
      </w:r>
      <w:r w:rsidR="00403B1F">
        <w:t>GSO</w:t>
      </w:r>
      <w:r w:rsidR="00F41202">
        <w:t>)</w:t>
      </w:r>
      <w:r w:rsidR="00403B1F">
        <w:t xml:space="preserve"> arc</w:t>
      </w:r>
    </w:p>
    <w:p w14:paraId="2830AB77" w14:textId="020DCF02" w:rsidR="00F164A4" w:rsidRDefault="00FD4CA6" w:rsidP="00F164A4">
      <w:pPr>
        <w:pStyle w:val="ListBulletLast"/>
      </w:pPr>
      <w:r>
        <w:t xml:space="preserve">reduced base station TRP </w:t>
      </w:r>
      <w:r w:rsidR="00356D88">
        <w:t xml:space="preserve">limit </w:t>
      </w:r>
      <w:r>
        <w:t xml:space="preserve">of </w:t>
      </w:r>
      <w:r w:rsidRPr="00335D0B">
        <w:rPr>
          <w:rStyle w:val="Hyperlink"/>
          <w:color w:val="auto"/>
          <w:u w:val="none"/>
        </w:rPr>
        <w:t>25 dBm/200 MHz</w:t>
      </w:r>
      <w:r w:rsidR="00403B1F">
        <w:t>.</w:t>
      </w:r>
    </w:p>
    <w:p w14:paraId="06CC1C61" w14:textId="1ED6C8DC" w:rsidR="001602CE" w:rsidRDefault="001602CE" w:rsidP="001602CE">
      <w:pPr>
        <w:pStyle w:val="ListBulletLast"/>
        <w:numPr>
          <w:ilvl w:val="0"/>
          <w:numId w:val="0"/>
        </w:numPr>
      </w:pPr>
      <w:r>
        <w:t xml:space="preserve">These additional conditions act as a safeguard </w:t>
      </w:r>
      <w:r w:rsidR="00F41202">
        <w:t xml:space="preserve">to ensure </w:t>
      </w:r>
      <w:r>
        <w:t xml:space="preserve">that </w:t>
      </w:r>
      <w:r w:rsidR="005534B8">
        <w:t xml:space="preserve">NBN </w:t>
      </w:r>
      <w:r>
        <w:t xml:space="preserve">gateway uplinks will be protected from the operation of wireless broadband deployments in that frequency segment. </w:t>
      </w:r>
      <w:r w:rsidRPr="00D53A89">
        <w:t>The effect of the conditions is to ensure that wireless broadband networks in these areas are designed an</w:t>
      </w:r>
      <w:r>
        <w:t>d</w:t>
      </w:r>
      <w:r w:rsidRPr="00D53A89">
        <w:t xml:space="preserve"> optimised to serve user equipment below the base station.</w:t>
      </w:r>
      <w:r>
        <w:t xml:space="preserve"> It should be noted that power limitations are</w:t>
      </w:r>
      <w:r w:rsidR="003E7C07">
        <w:t xml:space="preserve"> usually</w:t>
      </w:r>
      <w:r>
        <w:t xml:space="preserve"> included in all spectrum licence technical frameworks.</w:t>
      </w:r>
    </w:p>
    <w:p w14:paraId="67C12D03" w14:textId="30E466E2" w:rsidR="00834C56" w:rsidRPr="00D53A89" w:rsidRDefault="007D087E" w:rsidP="00D53A89">
      <w:pPr>
        <w:pStyle w:val="ListBulletLast"/>
        <w:numPr>
          <w:ilvl w:val="0"/>
          <w:numId w:val="0"/>
        </w:numPr>
        <w:rPr>
          <w:rFonts w:cs="Times New Roman"/>
        </w:rPr>
      </w:pPr>
      <w:r>
        <w:rPr>
          <w:rFonts w:cs="Times New Roman"/>
        </w:rPr>
        <w:t xml:space="preserve">A further condition </w:t>
      </w:r>
      <w:r w:rsidR="00552F27">
        <w:rPr>
          <w:rFonts w:cs="Times New Roman"/>
        </w:rPr>
        <w:t xml:space="preserve">that could be considered </w:t>
      </w:r>
      <w:r w:rsidR="00232094">
        <w:rPr>
          <w:rFonts w:cs="Times New Roman"/>
        </w:rPr>
        <w:t xml:space="preserve">relates to limiting the number of outdoor base stations that can be deployed </w:t>
      </w:r>
      <w:r w:rsidR="00CF5B4E">
        <w:rPr>
          <w:rFonts w:cs="Times New Roman"/>
        </w:rPr>
        <w:t xml:space="preserve">in any </w:t>
      </w:r>
      <w:r w:rsidR="000C0C86">
        <w:rPr>
          <w:rFonts w:cs="Times New Roman"/>
        </w:rPr>
        <w:t xml:space="preserve">NBN </w:t>
      </w:r>
      <w:r w:rsidR="00CF5B4E">
        <w:rPr>
          <w:rFonts w:cs="Times New Roman"/>
        </w:rPr>
        <w:t xml:space="preserve">gateway footprint area. </w:t>
      </w:r>
      <w:r w:rsidR="00E9747A">
        <w:rPr>
          <w:rFonts w:cs="Times New Roman"/>
        </w:rPr>
        <w:t xml:space="preserve">Such a condition would provide </w:t>
      </w:r>
      <w:r w:rsidR="000B5B3B">
        <w:rPr>
          <w:rFonts w:cs="Times New Roman"/>
        </w:rPr>
        <w:t>a further</w:t>
      </w:r>
      <w:r w:rsidR="00E9747A">
        <w:rPr>
          <w:rFonts w:cs="Times New Roman"/>
        </w:rPr>
        <w:t xml:space="preserve"> layer of confidence that the input assumptions to sharing studies will not vary </w:t>
      </w:r>
      <w:r w:rsidR="00B63A06">
        <w:rPr>
          <w:rFonts w:cs="Times New Roman"/>
        </w:rPr>
        <w:t xml:space="preserve">over time </w:t>
      </w:r>
      <w:r w:rsidR="00E9747A">
        <w:rPr>
          <w:rFonts w:cs="Times New Roman"/>
        </w:rPr>
        <w:t>in</w:t>
      </w:r>
      <w:r w:rsidR="003E7C07">
        <w:rPr>
          <w:rFonts w:cs="Times New Roman"/>
        </w:rPr>
        <w:t xml:space="preserve"> a</w:t>
      </w:r>
      <w:r w:rsidR="00E9747A">
        <w:rPr>
          <w:rFonts w:cs="Times New Roman"/>
        </w:rPr>
        <w:t xml:space="preserve"> manner that materially impacts the </w:t>
      </w:r>
      <w:r w:rsidR="003C1982">
        <w:rPr>
          <w:rFonts w:cs="Times New Roman"/>
        </w:rPr>
        <w:t>conclusion</w:t>
      </w:r>
      <w:r w:rsidR="00E9747A">
        <w:rPr>
          <w:rFonts w:cs="Times New Roman"/>
        </w:rPr>
        <w:t xml:space="preserve"> of those studies. </w:t>
      </w:r>
      <w:r w:rsidR="000B5B3B">
        <w:rPr>
          <w:rFonts w:cs="Times New Roman"/>
        </w:rPr>
        <w:t>While the ACMA does not currently see a need for the application of this further condition</w:t>
      </w:r>
      <w:r w:rsidR="000C0C86">
        <w:rPr>
          <w:rFonts w:cs="Times New Roman"/>
        </w:rPr>
        <w:t>,</w:t>
      </w:r>
      <w:r w:rsidR="000B5B3B">
        <w:rPr>
          <w:rFonts w:cs="Times New Roman"/>
        </w:rPr>
        <w:t xml:space="preserve"> it may be considered at a later date.</w:t>
      </w:r>
    </w:p>
    <w:p w14:paraId="1E38ECDA" w14:textId="77777777" w:rsidR="00D574EC" w:rsidRDefault="00834C56" w:rsidP="00746EE7">
      <w:r>
        <w:t>Additional commentary on coexistence between wireless broadband services and FSS uplinks is provided in Annex C.</w:t>
      </w:r>
    </w:p>
    <w:p w14:paraId="277B6A2D" w14:textId="471F7E31" w:rsidR="0088335B" w:rsidRPr="009006A6" w:rsidRDefault="00BA5135" w:rsidP="00746EE7">
      <w:pPr>
        <w:pStyle w:val="Heading3"/>
      </w:pPr>
      <w:bookmarkStart w:id="55" w:name="_Toc4664095"/>
      <w:r w:rsidRPr="009006A6">
        <w:t xml:space="preserve">Coexistence and support for </w:t>
      </w:r>
      <w:r w:rsidR="002544EE" w:rsidRPr="009006A6">
        <w:t xml:space="preserve">existing </w:t>
      </w:r>
      <w:r w:rsidR="0088335B" w:rsidRPr="009006A6">
        <w:t>in-band</w:t>
      </w:r>
      <w:r w:rsidR="00FA36AD" w:rsidRPr="009006A6">
        <w:t xml:space="preserve"> class licensed</w:t>
      </w:r>
      <w:r w:rsidR="0088335B" w:rsidRPr="009006A6">
        <w:t xml:space="preserve"> services</w:t>
      </w:r>
      <w:bookmarkEnd w:id="55"/>
    </w:p>
    <w:p w14:paraId="3303B94B" w14:textId="3048B70A" w:rsidR="00C427ED" w:rsidRDefault="003E7C07" w:rsidP="00746EE7">
      <w:r>
        <w:t>Current a</w:t>
      </w:r>
      <w:r w:rsidR="00386D9F">
        <w:t xml:space="preserve">pparatus-licensed radiodetermination uses </w:t>
      </w:r>
      <w:r w:rsidR="00386D9F" w:rsidRPr="00A05EC9">
        <w:t>are</w:t>
      </w:r>
      <w:r w:rsidR="00386D9F">
        <w:t xml:space="preserve"> generally limited to body scanning systems, which makes them </w:t>
      </w:r>
      <w:r w:rsidR="00386D9F" w:rsidRPr="00A05EC9">
        <w:t>largely confined to airport security screening areas and</w:t>
      </w:r>
      <w:r w:rsidR="000C0C86">
        <w:t xml:space="preserve"> </w:t>
      </w:r>
      <w:r w:rsidR="00386D9F" w:rsidRPr="00A05EC9">
        <w:t>operat</w:t>
      </w:r>
      <w:r w:rsidR="00386D9F">
        <w:t>ing</w:t>
      </w:r>
      <w:r w:rsidR="00386D9F" w:rsidRPr="00A05EC9">
        <w:t xml:space="preserve"> within shielded enclosures</w:t>
      </w:r>
      <w:r w:rsidR="00386D9F">
        <w:t xml:space="preserve">. </w:t>
      </w:r>
      <w:r w:rsidR="00C427ED">
        <w:t>These services occupy the entire 26</w:t>
      </w:r>
      <w:r w:rsidR="002B228C">
        <w:t> </w:t>
      </w:r>
      <w:r w:rsidR="00C427ED">
        <w:t xml:space="preserve">GHz band. </w:t>
      </w:r>
      <w:r w:rsidR="007943AC">
        <w:t xml:space="preserve">Additionally, the </w:t>
      </w:r>
      <w:r w:rsidR="00480080">
        <w:t>LIPD class licence</w:t>
      </w:r>
      <w:r w:rsidR="007943AC">
        <w:t xml:space="preserve"> permits the operation of a number of short-range radars in parts of the band, including ultra-wideband (UWB) short-range vehicle radars operating in the frequency range 22–26.5 GHz.</w:t>
      </w:r>
      <w:r w:rsidR="00C85189">
        <w:t xml:space="preserve"> </w:t>
      </w:r>
      <w:r w:rsidR="0088335B">
        <w:t xml:space="preserve">The </w:t>
      </w:r>
      <w:r w:rsidR="00C240F0">
        <w:t>o</w:t>
      </w:r>
      <w:r w:rsidR="003B5B30">
        <w:t xml:space="preserve">ptions paper provided a rationale </w:t>
      </w:r>
      <w:r w:rsidR="00154975">
        <w:t xml:space="preserve">for why the ACMA sees no issue </w:t>
      </w:r>
      <w:r w:rsidR="00213712">
        <w:t xml:space="preserve">with </w:t>
      </w:r>
      <w:r w:rsidR="00D7501F">
        <w:t>coexistence between</w:t>
      </w:r>
      <w:r w:rsidR="00EE26C0">
        <w:t xml:space="preserve"> new </w:t>
      </w:r>
      <w:r w:rsidR="00EE26C0">
        <w:lastRenderedPageBreak/>
        <w:t>wireless broadband</w:t>
      </w:r>
      <w:r>
        <w:t xml:space="preserve"> services and</w:t>
      </w:r>
      <w:r w:rsidR="00D7501F">
        <w:t xml:space="preserve"> incumbent radiodetermination services </w:t>
      </w:r>
      <w:r w:rsidR="00EE26C0">
        <w:t>that operate across the entire 26</w:t>
      </w:r>
      <w:r w:rsidR="00C72552">
        <w:t> </w:t>
      </w:r>
      <w:r w:rsidR="00EE26C0">
        <w:t>GHz band</w:t>
      </w:r>
      <w:r w:rsidR="00D7501F">
        <w:t>. This view has not changed.</w:t>
      </w:r>
    </w:p>
    <w:p w14:paraId="20BC2819" w14:textId="06EFA8B4" w:rsidR="00D046FF" w:rsidRPr="009006A6" w:rsidRDefault="00B70CDC" w:rsidP="006136EE">
      <w:pPr>
        <w:pStyle w:val="Heading3"/>
      </w:pPr>
      <w:bookmarkStart w:id="56" w:name="_Toc4664096"/>
      <w:r w:rsidRPr="009006A6">
        <w:t>Coexistence with</w:t>
      </w:r>
      <w:r w:rsidR="00D046FF" w:rsidRPr="009006A6">
        <w:t xml:space="preserve"> </w:t>
      </w:r>
      <w:r w:rsidR="002544EE" w:rsidRPr="009006A6">
        <w:t xml:space="preserve">current and possible new </w:t>
      </w:r>
      <w:r w:rsidR="00746EE7">
        <w:t>SRS</w:t>
      </w:r>
      <w:r w:rsidR="00262255" w:rsidRPr="009006A6">
        <w:t xml:space="preserve"> e</w:t>
      </w:r>
      <w:r w:rsidR="00AC13BF" w:rsidRPr="009006A6">
        <w:t>arth stations</w:t>
      </w:r>
      <w:bookmarkEnd w:id="56"/>
      <w:r w:rsidR="00AC13BF" w:rsidRPr="009006A6">
        <w:t xml:space="preserve"> </w:t>
      </w:r>
    </w:p>
    <w:p w14:paraId="79C2435E" w14:textId="77777777" w:rsidR="00B46CB4" w:rsidRDefault="001B1387" w:rsidP="00746EE7">
      <w:r>
        <w:t>Earth receive stations su</w:t>
      </w:r>
      <w:r w:rsidRPr="00A05EC9">
        <w:t xml:space="preserve">pport space research activities and are currently restricted to </w:t>
      </w:r>
      <w:r>
        <w:t xml:space="preserve">a limited number of </w:t>
      </w:r>
      <w:r w:rsidRPr="00A05EC9">
        <w:t xml:space="preserve">space communications facilities at New Norcia, WA, and Tidbinbilla, ACT. </w:t>
      </w:r>
    </w:p>
    <w:p w14:paraId="4091F713" w14:textId="3327ACED" w:rsidR="00EE26C0" w:rsidRDefault="00C85189" w:rsidP="00746EE7">
      <w:r>
        <w:t xml:space="preserve">The </w:t>
      </w:r>
      <w:r w:rsidR="00C240F0">
        <w:t>o</w:t>
      </w:r>
      <w:r w:rsidR="002132A2">
        <w:t>ptions paper suggested that</w:t>
      </w:r>
      <w:r w:rsidR="001B1387">
        <w:t xml:space="preserve"> i</w:t>
      </w:r>
      <w:r w:rsidR="001B1387" w:rsidRPr="00A05EC9">
        <w:t xml:space="preserve">nterference potential from </w:t>
      </w:r>
      <w:r w:rsidR="001B1387">
        <w:t>wireless broadband services</w:t>
      </w:r>
      <w:r w:rsidR="001B1387" w:rsidRPr="00A05EC9">
        <w:t xml:space="preserve"> </w:t>
      </w:r>
      <w:r w:rsidR="002132A2">
        <w:t>could</w:t>
      </w:r>
      <w:r w:rsidR="001B1387" w:rsidRPr="00A05EC9">
        <w:t xml:space="preserve"> be mitigated through the implementation of coordination and/or exclusion zones around those sites.</w:t>
      </w:r>
      <w:r w:rsidR="002132A2">
        <w:t xml:space="preserve"> </w:t>
      </w:r>
      <w:r w:rsidR="002001F3">
        <w:t xml:space="preserve">The ACMA proposes that </w:t>
      </w:r>
      <w:r w:rsidR="006C404A">
        <w:t>exclusion zones</w:t>
      </w:r>
      <w:r w:rsidR="00BC5C7B">
        <w:t xml:space="preserve"> in the form of HCIS areas</w:t>
      </w:r>
      <w:r w:rsidR="00F10C75">
        <w:t xml:space="preserve"> (</w:t>
      </w:r>
      <w:r w:rsidR="006C404A">
        <w:t xml:space="preserve">described in Annex </w:t>
      </w:r>
      <w:r w:rsidR="00D53FA7">
        <w:t>E</w:t>
      </w:r>
      <w:r w:rsidR="00F10C75">
        <w:t>)</w:t>
      </w:r>
      <w:r w:rsidR="006C404A">
        <w:t xml:space="preserve"> be established to ensure ongoing protection of these</w:t>
      </w:r>
      <w:r w:rsidR="00196125">
        <w:t xml:space="preserve"> two</w:t>
      </w:r>
      <w:r w:rsidR="006C404A">
        <w:t xml:space="preserve"> sites.</w:t>
      </w:r>
      <w:r w:rsidR="00AF7912">
        <w:t xml:space="preserve"> </w:t>
      </w:r>
      <w:r w:rsidR="00177AC6">
        <w:t xml:space="preserve">In addition, </w:t>
      </w:r>
      <w:r w:rsidR="00ED4774">
        <w:t xml:space="preserve">the ACMA is proposing that </w:t>
      </w:r>
      <w:r w:rsidR="00177AC6">
        <w:t xml:space="preserve">all spectrum and apparatus licensed deployments must be coordinated with space research service receive sites specified in Annex </w:t>
      </w:r>
      <w:r w:rsidR="00D53FA7">
        <w:t>E</w:t>
      </w:r>
      <w:r w:rsidR="00177AC6">
        <w:t xml:space="preserve"> and protect to a level of -156 </w:t>
      </w:r>
      <w:proofErr w:type="spellStart"/>
      <w:r w:rsidR="00177AC6">
        <w:t>dBW</w:t>
      </w:r>
      <w:proofErr w:type="spellEnd"/>
      <w:r w:rsidR="00177AC6">
        <w:t>/MHz</w:t>
      </w:r>
      <w:r w:rsidR="00E72A1D">
        <w:rPr>
          <w:rStyle w:val="FootnoteReference"/>
        </w:rPr>
        <w:footnoteReference w:id="12"/>
      </w:r>
      <w:r w:rsidR="00177AC6">
        <w:t xml:space="preserve">. </w:t>
      </w:r>
      <w:r w:rsidR="00AF7912">
        <w:t xml:space="preserve">These </w:t>
      </w:r>
      <w:r w:rsidR="00177AC6">
        <w:t xml:space="preserve">provisions </w:t>
      </w:r>
      <w:r w:rsidR="00AF7912">
        <w:t>will be codified into</w:t>
      </w:r>
      <w:r w:rsidR="00ED4774">
        <w:t xml:space="preserve"> any new</w:t>
      </w:r>
      <w:r w:rsidR="00AF7912">
        <w:t xml:space="preserve"> </w:t>
      </w:r>
      <w:r w:rsidR="003C3A05">
        <w:t>relevant apparatus and spectrum licence conditions.</w:t>
      </w:r>
    </w:p>
    <w:p w14:paraId="2780E415" w14:textId="2A66D5F0" w:rsidR="00B70CDC" w:rsidRDefault="002765C6" w:rsidP="00746EE7">
      <w:r>
        <w:t>R</w:t>
      </w:r>
      <w:r w:rsidR="00733213">
        <w:t>equests for additional Earth receive stations in the SRS will be considered on a case</w:t>
      </w:r>
      <w:r w:rsidR="000C0C86">
        <w:t>--b</w:t>
      </w:r>
      <w:r w:rsidR="00733213">
        <w:t>y</w:t>
      </w:r>
      <w:r w:rsidR="000C0C86">
        <w:t>-</w:t>
      </w:r>
      <w:r w:rsidR="00733213">
        <w:t xml:space="preserve">case basis consistent with the </w:t>
      </w:r>
      <w:r w:rsidR="00B46CB4">
        <w:t>intent</w:t>
      </w:r>
      <w:r w:rsidR="00733213">
        <w:t xml:space="preserve"> of the arrangements </w:t>
      </w:r>
      <w:r w:rsidR="003805B5">
        <w:t xml:space="preserve">outlined </w:t>
      </w:r>
      <w:r w:rsidR="00733213">
        <w:t xml:space="preserve">in this paper. This means that </w:t>
      </w:r>
      <w:r w:rsidR="003311A2">
        <w:t xml:space="preserve">request for </w:t>
      </w:r>
      <w:r w:rsidR="00876723">
        <w:t xml:space="preserve">Earth receive </w:t>
      </w:r>
      <w:r w:rsidR="003311A2">
        <w:t>station</w:t>
      </w:r>
      <w:r w:rsidR="001752A8">
        <w:t xml:space="preserve"> licences</w:t>
      </w:r>
      <w:r w:rsidR="003311A2">
        <w:t xml:space="preserve"> within spectrum licensed bands/areas would need to </w:t>
      </w:r>
      <w:r w:rsidR="00D921F5">
        <w:t xml:space="preserve">be </w:t>
      </w:r>
      <w:r w:rsidR="003311A2">
        <w:t xml:space="preserve">considered </w:t>
      </w:r>
      <w:r w:rsidR="001752A8">
        <w:t>in the context of an apparatus licence issued under s</w:t>
      </w:r>
      <w:r w:rsidR="007B59B3">
        <w:t xml:space="preserve">ubsection </w:t>
      </w:r>
      <w:r w:rsidR="001752A8">
        <w:t xml:space="preserve">105(2) </w:t>
      </w:r>
      <w:r w:rsidR="00EF146B">
        <w:t>of the Act (</w:t>
      </w:r>
      <w:r w:rsidR="000C0C86">
        <w:t>‘</w:t>
      </w:r>
      <w:r w:rsidR="001752A8">
        <w:t>special circumstances</w:t>
      </w:r>
      <w:r w:rsidR="000C0C86">
        <w:t>’</w:t>
      </w:r>
      <w:r w:rsidR="00EF146B">
        <w:t>)</w:t>
      </w:r>
      <w:r w:rsidR="001752A8">
        <w:t xml:space="preserve"> provision</w:t>
      </w:r>
      <w:r w:rsidR="003805B5">
        <w:t>s</w:t>
      </w:r>
      <w:r w:rsidR="003311A2">
        <w:t xml:space="preserve">. </w:t>
      </w:r>
      <w:r w:rsidR="003805B5">
        <w:t>Outside</w:t>
      </w:r>
      <w:r w:rsidR="003311A2">
        <w:t xml:space="preserve"> of those areas, </w:t>
      </w:r>
      <w:r w:rsidR="0035556B">
        <w:t>protected Earth receive stations would be considered on a</w:t>
      </w:r>
      <w:r w:rsidR="001752A8">
        <w:t xml:space="preserve"> normal</w:t>
      </w:r>
      <w:r w:rsidR="0035556B">
        <w:t xml:space="preserve"> first</w:t>
      </w:r>
      <w:r w:rsidR="000C0C86">
        <w:t>-</w:t>
      </w:r>
      <w:r w:rsidR="0035556B">
        <w:t>in</w:t>
      </w:r>
      <w:r w:rsidR="000C0C86">
        <w:t>-</w:t>
      </w:r>
      <w:r w:rsidR="0035556B">
        <w:t>time, coordinated basis with wireless bro</w:t>
      </w:r>
      <w:r w:rsidR="003815E4">
        <w:t>ad</w:t>
      </w:r>
      <w:r w:rsidR="0035556B">
        <w:t xml:space="preserve">band services. </w:t>
      </w:r>
      <w:r>
        <w:t xml:space="preserve">Noting that both ESA and NASA have established sites, </w:t>
      </w:r>
      <w:r w:rsidR="00BB0D38">
        <w:t xml:space="preserve">the ACMA expects there will be limited demand for </w:t>
      </w:r>
      <w:r w:rsidR="00E5651F" w:rsidRPr="001752A8">
        <w:t>further</w:t>
      </w:r>
      <w:r w:rsidR="00E5651F">
        <w:t xml:space="preserve"> such sites.</w:t>
      </w:r>
    </w:p>
    <w:p w14:paraId="3E57D36E" w14:textId="1484CD4E" w:rsidR="00AC13BF" w:rsidRPr="009006A6" w:rsidRDefault="00B70CDC" w:rsidP="00EE305E">
      <w:pPr>
        <w:pStyle w:val="Heading3"/>
      </w:pPr>
      <w:bookmarkStart w:id="57" w:name="_Toc4664097"/>
      <w:r w:rsidRPr="009006A6">
        <w:t>Support for</w:t>
      </w:r>
      <w:r w:rsidR="00E5651F" w:rsidRPr="009006A6">
        <w:t xml:space="preserve"> </w:t>
      </w:r>
      <w:r w:rsidR="00E5651F" w:rsidRPr="00746EE7">
        <w:t>future</w:t>
      </w:r>
      <w:r w:rsidR="00E5651F" w:rsidRPr="009006A6">
        <w:t xml:space="preserve"> FSS </w:t>
      </w:r>
      <w:r w:rsidR="00E5651F" w:rsidRPr="00EE305E">
        <w:t>Earth</w:t>
      </w:r>
      <w:r w:rsidR="00E5651F" w:rsidRPr="009006A6">
        <w:t xml:space="preserve"> stations</w:t>
      </w:r>
      <w:bookmarkEnd w:id="57"/>
    </w:p>
    <w:p w14:paraId="79372D84" w14:textId="13CF8B5F" w:rsidR="00110BA6" w:rsidRDefault="00E5651F" w:rsidP="007E7110">
      <w:r>
        <w:t>W</w:t>
      </w:r>
      <w:r w:rsidR="00110BA6" w:rsidRPr="00E5651F">
        <w:t xml:space="preserve">ireless broadband services will not be afforded any protection from existing transmitting FSS earth stations. New FSS earth stations will be permitted outside </w:t>
      </w:r>
      <w:r w:rsidR="009F24DD">
        <w:t xml:space="preserve">spectrum licensed </w:t>
      </w:r>
      <w:r w:rsidR="00110BA6" w:rsidRPr="00E5651F">
        <w:t>defined areas, on a first-in-time coordinated basis with apparatus licensed wireless broadband services.</w:t>
      </w:r>
    </w:p>
    <w:p w14:paraId="1C371D04" w14:textId="5F44D6DB" w:rsidR="009006A6" w:rsidRPr="00E436DC" w:rsidRDefault="00476316" w:rsidP="00E436DC">
      <w:pPr>
        <w:pStyle w:val="Heading2"/>
      </w:pPr>
      <w:bookmarkStart w:id="58" w:name="_Toc4664098"/>
      <w:r w:rsidRPr="00E436DC">
        <w:t xml:space="preserve">Wireless broadband </w:t>
      </w:r>
      <w:r w:rsidR="009006A6" w:rsidRPr="00E436DC">
        <w:t>l</w:t>
      </w:r>
      <w:r w:rsidRPr="00E436DC">
        <w:t>icensing</w:t>
      </w:r>
      <w:r w:rsidR="009006A6" w:rsidRPr="00E436DC">
        <w:t xml:space="preserve"> </w:t>
      </w:r>
      <w:r w:rsidR="00971F36" w:rsidRPr="00E436DC">
        <w:t>arrangements</w:t>
      </w:r>
      <w:bookmarkEnd w:id="58"/>
    </w:p>
    <w:p w14:paraId="457BACD1" w14:textId="40C17E6D" w:rsidR="007F3281" w:rsidRPr="00BE70E1" w:rsidRDefault="007F3281" w:rsidP="00746EE7">
      <w:r>
        <w:t>The key considerations in defining spectrum allocations for wireless broadband services is ensuring that provisions are suitable for the various user types and that wireless broadband services can coexist with incumbent space services. These two considerations are interrelated given that arrangements to protect incumbe</w:t>
      </w:r>
      <w:r w:rsidR="00876723">
        <w:t>nt</w:t>
      </w:r>
      <w:r>
        <w:t xml:space="preserve"> services will affect how suitable the spectrum is for different use types.</w:t>
      </w:r>
    </w:p>
    <w:p w14:paraId="1F2F57EA" w14:textId="7B98867D" w:rsidR="009006A6" w:rsidRDefault="00BA5582" w:rsidP="00746EE7">
      <w:pPr>
        <w:pStyle w:val="BodySubHeader"/>
      </w:pPr>
      <w:r>
        <w:t xml:space="preserve">Frequency </w:t>
      </w:r>
      <w:r w:rsidR="009006A6" w:rsidRPr="00746EE7">
        <w:t>segmentation</w:t>
      </w:r>
      <w:r w:rsidR="009006A6">
        <w:t xml:space="preserve"> of</w:t>
      </w:r>
      <w:r>
        <w:t xml:space="preserve"> the band</w:t>
      </w:r>
    </w:p>
    <w:p w14:paraId="764C5E22" w14:textId="612B52E0" w:rsidR="009006A6" w:rsidRDefault="00BA5582" w:rsidP="00746EE7">
      <w:pPr>
        <w:spacing w:after="80"/>
      </w:pPr>
      <w:r>
        <w:t>The need to protect incumbent satellite services require</w:t>
      </w:r>
      <w:r w:rsidR="00444816">
        <w:t>s</w:t>
      </w:r>
      <w:r>
        <w:t xml:space="preserve"> additional </w:t>
      </w:r>
      <w:r w:rsidR="00BB1C72">
        <w:t xml:space="preserve">restrictions </w:t>
      </w:r>
      <w:r>
        <w:t xml:space="preserve">to be applied on wireless broadband services. </w:t>
      </w:r>
      <w:r w:rsidR="00F12A87">
        <w:t>Unwanted emission limits in the range 23.6</w:t>
      </w:r>
      <w:r w:rsidR="00444816">
        <w:t>–</w:t>
      </w:r>
      <w:r w:rsidR="00F12A87">
        <w:t xml:space="preserve">24 GHz </w:t>
      </w:r>
      <w:r w:rsidR="00876723">
        <w:t xml:space="preserve">are proposed to be applied </w:t>
      </w:r>
      <w:r w:rsidR="00F12A87">
        <w:t xml:space="preserve">to all wireless broadband services throughout the 26 GHz band. </w:t>
      </w:r>
      <w:r w:rsidR="00E16A32">
        <w:t>A</w:t>
      </w:r>
      <w:r w:rsidR="00580781">
        <w:t xml:space="preserve">dditional </w:t>
      </w:r>
      <w:r w:rsidR="00BB1C72">
        <w:t>restrictions</w:t>
      </w:r>
      <w:r w:rsidR="00F12A87">
        <w:t xml:space="preserve"> to protect satellite services are also required, however these do not need </w:t>
      </w:r>
      <w:r w:rsidR="00876723">
        <w:t>to</w:t>
      </w:r>
      <w:r w:rsidR="00F12A87">
        <w:t xml:space="preserve"> be</w:t>
      </w:r>
      <w:r w:rsidR="009006A6">
        <w:t xml:space="preserve"> homogenously </w:t>
      </w:r>
      <w:r w:rsidR="00F12A87">
        <w:t>applied</w:t>
      </w:r>
      <w:r w:rsidR="009006A6">
        <w:t xml:space="preserve"> over the entire 26 GHz band</w:t>
      </w:r>
      <w:r w:rsidR="00E16A32">
        <w:t>. The additional measures are</w:t>
      </w:r>
      <w:r w:rsidR="00C502FF">
        <w:t xml:space="preserve"> </w:t>
      </w:r>
      <w:r w:rsidR="009006A6">
        <w:t>summarised below:</w:t>
      </w:r>
    </w:p>
    <w:p w14:paraId="6AC42C0B" w14:textId="539C5062" w:rsidR="009006A6" w:rsidRPr="00100050" w:rsidRDefault="009006A6" w:rsidP="00100050">
      <w:pPr>
        <w:pStyle w:val="ListBullet"/>
      </w:pPr>
      <w:r w:rsidRPr="00100050">
        <w:t>24.25</w:t>
      </w:r>
      <w:r w:rsidR="00444816" w:rsidRPr="00100050">
        <w:t>–</w:t>
      </w:r>
      <w:r w:rsidRPr="00100050">
        <w:t>25.1 GHz</w:t>
      </w:r>
      <w:r w:rsidR="00444816" w:rsidRPr="00100050">
        <w:t>:</w:t>
      </w:r>
      <w:r w:rsidRPr="00100050">
        <w:t xml:space="preserve"> </w:t>
      </w:r>
      <w:r w:rsidR="00444816" w:rsidRPr="00100050">
        <w:t>R</w:t>
      </w:r>
      <w:r w:rsidRPr="00100050">
        <w:t xml:space="preserve">equires additional </w:t>
      </w:r>
      <w:r w:rsidR="00580781" w:rsidRPr="00100050">
        <w:t>restrictions</w:t>
      </w:r>
      <w:r w:rsidRPr="00100050">
        <w:t xml:space="preserve"> to protect passive EESS. Due to practical </w:t>
      </w:r>
      <w:r w:rsidR="001A13F8" w:rsidRPr="00100050">
        <w:t xml:space="preserve">filtering </w:t>
      </w:r>
      <w:r w:rsidRPr="00100050">
        <w:t>limitations these constrain</w:t>
      </w:r>
      <w:r w:rsidR="000B5B3B" w:rsidRPr="00100050">
        <w:t>t</w:t>
      </w:r>
      <w:r w:rsidRPr="00100050">
        <w:t>s will need to be more onerous at the lower end of this frequency range</w:t>
      </w:r>
    </w:p>
    <w:p w14:paraId="02DA9F35" w14:textId="1691DD70" w:rsidR="009006A6" w:rsidRDefault="009006A6" w:rsidP="00100050">
      <w:pPr>
        <w:pStyle w:val="ListBullet"/>
      </w:pPr>
      <w:r w:rsidRPr="00100050">
        <w:t>25.1</w:t>
      </w:r>
      <w:r w:rsidR="00444816" w:rsidRPr="00100050">
        <w:t>–</w:t>
      </w:r>
      <w:r w:rsidRPr="00100050">
        <w:t>27 GHz</w:t>
      </w:r>
      <w:r w:rsidR="00444816" w:rsidRPr="00100050">
        <w:t>: N</w:t>
      </w:r>
      <w:r w:rsidRPr="00100050">
        <w:t xml:space="preserve">o additional </w:t>
      </w:r>
      <w:r w:rsidR="00580781" w:rsidRPr="00100050">
        <w:t>restrictions</w:t>
      </w:r>
      <w:r w:rsidRPr="00100050">
        <w:t xml:space="preserve"> required</w:t>
      </w:r>
    </w:p>
    <w:p w14:paraId="181A5573" w14:textId="0622C0F2" w:rsidR="009006A6" w:rsidRDefault="009006A6" w:rsidP="00100050">
      <w:pPr>
        <w:pStyle w:val="ListBulletLast"/>
      </w:pPr>
      <w:r>
        <w:lastRenderedPageBreak/>
        <w:t>27</w:t>
      </w:r>
      <w:r w:rsidR="00100050">
        <w:t>–</w:t>
      </w:r>
      <w:r>
        <w:t>27.5 GHz</w:t>
      </w:r>
      <w:r w:rsidR="00444816">
        <w:t>:</w:t>
      </w:r>
      <w:r>
        <w:t xml:space="preserve"> </w:t>
      </w:r>
      <w:r w:rsidR="00444816" w:rsidRPr="00100050">
        <w:t>A</w:t>
      </w:r>
      <w:r w:rsidRPr="00100050">
        <w:t>dditional</w:t>
      </w:r>
      <w:r>
        <w:t xml:space="preserve"> conditions proposed to safeguard </w:t>
      </w:r>
      <w:r w:rsidR="00444816">
        <w:t>NBN</w:t>
      </w:r>
      <w:r>
        <w:t xml:space="preserve"> gateway uplinks</w:t>
      </w:r>
      <w:r w:rsidR="00444816">
        <w:t xml:space="preserve">. </w:t>
      </w:r>
    </w:p>
    <w:p w14:paraId="454CE22A" w14:textId="0995BDDE" w:rsidR="009006A6" w:rsidRDefault="009006A6" w:rsidP="009006A6">
      <w:pPr>
        <w:spacing w:before="240" w:after="120" w:line="240" w:lineRule="auto"/>
      </w:pPr>
      <w:r>
        <w:t xml:space="preserve">Any additional </w:t>
      </w:r>
      <w:r w:rsidR="00580781">
        <w:t>restrictions</w:t>
      </w:r>
      <w:r>
        <w:t xml:space="preserve"> will have a greater impact on high density wireless broadband deployments such as those expected to be deployed by type 1 users, </w:t>
      </w:r>
      <w:r w:rsidR="00AD5569">
        <w:t>compared with</w:t>
      </w:r>
      <w:r>
        <w:t xml:space="preserve"> lower density deployment</w:t>
      </w:r>
      <w:r w:rsidR="00580781">
        <w:t>s</w:t>
      </w:r>
      <w:r>
        <w:t xml:space="preserve"> of type 2 and 3 users. </w:t>
      </w:r>
      <w:r w:rsidR="00AD5569">
        <w:t>T</w:t>
      </w:r>
      <w:r>
        <w:t>he proposed conditions in 27</w:t>
      </w:r>
      <w:r w:rsidR="00444816">
        <w:t>–</w:t>
      </w:r>
      <w:r>
        <w:t>27.5 GHz are expected to have no or minimal impact on wireless broadband services</w:t>
      </w:r>
      <w:r w:rsidR="00AD5569">
        <w:t xml:space="preserve">. Therefore, </w:t>
      </w:r>
      <w:r>
        <w:t>the range 25.1</w:t>
      </w:r>
      <w:r w:rsidR="00444816">
        <w:t>–</w:t>
      </w:r>
      <w:r>
        <w:t xml:space="preserve">27.5 GHz should be optimised for type 1 use through the issue of spectrum licences in defined geographical areas. </w:t>
      </w:r>
    </w:p>
    <w:p w14:paraId="318D3761" w14:textId="631C80E4" w:rsidR="009006A6" w:rsidRDefault="009006A6" w:rsidP="009006A6">
      <w:pPr>
        <w:spacing w:before="240" w:after="120" w:line="240" w:lineRule="auto"/>
      </w:pPr>
      <w:r>
        <w:t xml:space="preserve">This will provide a total of 2.4 GHz of spectrum </w:t>
      </w:r>
      <w:r w:rsidR="00876723">
        <w:t>(25.1</w:t>
      </w:r>
      <w:r w:rsidR="00444816">
        <w:t>–</w:t>
      </w:r>
      <w:r w:rsidR="00876723">
        <w:t xml:space="preserve">27.5 GHz) </w:t>
      </w:r>
      <w:r>
        <w:t>optimised for type 1 users in defined areas. Outside of defined areas</w:t>
      </w:r>
      <w:r w:rsidR="00444816">
        <w:t>,</w:t>
      </w:r>
      <w:r>
        <w:t xml:space="preserve"> the range 25.1</w:t>
      </w:r>
      <w:r w:rsidR="00444816">
        <w:t>–</w:t>
      </w:r>
      <w:r>
        <w:t>27.5 GHz will be available for apparatus licensed wireless broadband services.</w:t>
      </w:r>
    </w:p>
    <w:p w14:paraId="3683398F" w14:textId="5E11D201" w:rsidR="004D2564" w:rsidRDefault="003653E7" w:rsidP="00E21C91">
      <w:r>
        <w:t>The ACMA considers that the</w:t>
      </w:r>
      <w:r w:rsidR="00580781">
        <w:t xml:space="preserve"> additional restrictions required </w:t>
      </w:r>
      <w:r w:rsidR="004D2564">
        <w:t>below 25.1 GHz</w:t>
      </w:r>
      <w:r>
        <w:t xml:space="preserve"> will mean that th</w:t>
      </w:r>
      <w:r w:rsidR="00580781">
        <w:t>is</w:t>
      </w:r>
      <w:r>
        <w:t xml:space="preserve"> spectrum will be less suitable for type 1 users (that require densely arranged base stations)</w:t>
      </w:r>
      <w:r w:rsidR="00E21C91">
        <w:t xml:space="preserve">. </w:t>
      </w:r>
      <w:r w:rsidR="004D2564">
        <w:t>The ACMA notes also that there is 2.4 GHz of spectrum in metropolitan areas and regional centres that is being proposed for spectrum licensing</w:t>
      </w:r>
      <w:r w:rsidR="00444816">
        <w:t>—</w:t>
      </w:r>
      <w:r w:rsidR="004D2564">
        <w:t>a significant quantum of spectrum</w:t>
      </w:r>
      <w:r w:rsidR="00444816">
        <w:t>—</w:t>
      </w:r>
      <w:r w:rsidR="000B5B3B">
        <w:t xml:space="preserve">and </w:t>
      </w:r>
      <w:r w:rsidR="004D2564">
        <w:t xml:space="preserve">the utility of </w:t>
      </w:r>
      <w:r w:rsidR="000B5B3B">
        <w:t xml:space="preserve">the </w:t>
      </w:r>
      <w:r w:rsidR="004D2564">
        <w:t>24.7</w:t>
      </w:r>
      <w:r w:rsidR="00444816">
        <w:t>–</w:t>
      </w:r>
      <w:r w:rsidR="004D2564">
        <w:t xml:space="preserve">25.1 GHz </w:t>
      </w:r>
      <w:r w:rsidR="000B5B3B">
        <w:t xml:space="preserve">segment </w:t>
      </w:r>
      <w:r w:rsidR="004D2564">
        <w:t xml:space="preserve">in the hands of type 1 users is likely to be small. </w:t>
      </w:r>
    </w:p>
    <w:p w14:paraId="6343EC74" w14:textId="46B7D016" w:rsidR="004D2564" w:rsidRDefault="00AD5569" w:rsidP="004D2564">
      <w:pPr>
        <w:pStyle w:val="ListBullet"/>
        <w:numPr>
          <w:ilvl w:val="0"/>
          <w:numId w:val="0"/>
        </w:numPr>
        <w:spacing w:before="120" w:after="120" w:line="240" w:lineRule="auto"/>
      </w:pPr>
      <w:r>
        <w:t>Alternatively</w:t>
      </w:r>
      <w:r w:rsidR="004D2564">
        <w:t>, type 2 and 3 users may be able to utilise this spectrum for the provision of innovative 5G services. It is expected the 5G technologies appropriate for local deployment</w:t>
      </w:r>
      <w:r>
        <w:t xml:space="preserve"> </w:t>
      </w:r>
      <w:r w:rsidR="004D2564">
        <w:t>will facilitate access to a range of diverse vertical industries. Type 2 and 3 users</w:t>
      </w:r>
      <w:r w:rsidR="004B446A">
        <w:t xml:space="preserve"> may</w:t>
      </w:r>
      <w:r w:rsidR="00303E55">
        <w:t xml:space="preserve"> also</w:t>
      </w:r>
      <w:r w:rsidR="004D2564">
        <w:t xml:space="preserve"> </w:t>
      </w:r>
      <w:r w:rsidR="004B446A">
        <w:t>require the flexibility to support a disparate set of location</w:t>
      </w:r>
      <w:r w:rsidR="00444816">
        <w:t>-</w:t>
      </w:r>
      <w:r w:rsidR="004B446A">
        <w:t xml:space="preserve">specific business cases that do not align neatly with metro and regional centre </w:t>
      </w:r>
      <w:r w:rsidR="00303E55">
        <w:t>boundaries or</w:t>
      </w:r>
      <w:r w:rsidR="004B446A">
        <w:t xml:space="preserve"> requir</w:t>
      </w:r>
      <w:r w:rsidR="00303E55">
        <w:t>e only small</w:t>
      </w:r>
      <w:r w:rsidR="004B446A">
        <w:t xml:space="preserve"> areas within those boundaries. </w:t>
      </w:r>
    </w:p>
    <w:p w14:paraId="11926114" w14:textId="4C467870" w:rsidR="009006A6" w:rsidRDefault="009006A6" w:rsidP="00746EE7">
      <w:pPr>
        <w:spacing w:after="80"/>
      </w:pPr>
      <w:r>
        <w:t xml:space="preserve">The following arrangements will provide </w:t>
      </w:r>
      <w:r w:rsidR="005F7647">
        <w:t xml:space="preserve">spectrum </w:t>
      </w:r>
      <w:r>
        <w:t>allocations for type 2 and 3 wireless broadband users while also ensuring coexistence with passive EESS:</w:t>
      </w:r>
    </w:p>
    <w:p w14:paraId="0121BA35" w14:textId="5D23BC7E" w:rsidR="009006A6" w:rsidRPr="001C3BD1" w:rsidRDefault="00444816" w:rsidP="001C3BD1">
      <w:pPr>
        <w:pStyle w:val="ListBullet"/>
      </w:pPr>
      <w:r w:rsidRPr="001C3BD1">
        <w:t>In the range 24.7</w:t>
      </w:r>
      <w:r w:rsidR="006763C2" w:rsidRPr="001C3BD1">
        <w:t>–</w:t>
      </w:r>
      <w:r w:rsidRPr="001C3BD1">
        <w:t xml:space="preserve">25.1 GHz: </w:t>
      </w:r>
      <w:r w:rsidR="005A0A45" w:rsidRPr="001C3BD1">
        <w:t>A</w:t>
      </w:r>
      <w:r w:rsidR="009006A6" w:rsidRPr="001C3BD1">
        <w:t>pparatus licensing available Australia-wide</w:t>
      </w:r>
      <w:r w:rsidR="0039538F" w:rsidRPr="001C3BD1">
        <w:t>.</w:t>
      </w:r>
      <w:r w:rsidR="005A0A45" w:rsidRPr="001C3BD1">
        <w:t xml:space="preserve"> </w:t>
      </w:r>
      <w:r w:rsidR="0039538F" w:rsidRPr="001C3BD1">
        <w:t>T</w:t>
      </w:r>
      <w:r w:rsidR="005A0A45" w:rsidRPr="001C3BD1">
        <w:t>he ACMA proposes to adopt a policy, through an assignment instruction, to limit the number of base stations that may be assigned within a given area. This policy would limit aggregated out-of-band interference into the 23.6</w:t>
      </w:r>
      <w:r w:rsidRPr="001C3BD1">
        <w:t>–</w:t>
      </w:r>
      <w:r w:rsidR="005A0A45" w:rsidRPr="001C3BD1">
        <w:t xml:space="preserve">24 GHz range (the proposed limits are set out in Table 2). </w:t>
      </w:r>
      <w:r w:rsidR="004D2564" w:rsidRPr="001C3BD1">
        <w:t>On this basis, the ACMA considers apparatus licensing to be appropriate for this spectrum.</w:t>
      </w:r>
      <w:r w:rsidR="009006A6" w:rsidRPr="001C3BD1">
        <w:t xml:space="preserve"> </w:t>
      </w:r>
    </w:p>
    <w:p w14:paraId="05F13A1B" w14:textId="3F031001" w:rsidR="009006A6" w:rsidRDefault="009006A6" w:rsidP="001C3BD1">
      <w:pPr>
        <w:pStyle w:val="ListBullet"/>
      </w:pPr>
      <w:r w:rsidRPr="001C3BD1">
        <w:t>Class licensing for devices operated on private property</w:t>
      </w:r>
      <w:r w:rsidRPr="00AE04CE">
        <w:rPr>
          <w:rStyle w:val="FootnoteReference"/>
        </w:rPr>
        <w:footnoteReference w:id="13"/>
      </w:r>
      <w:r w:rsidRPr="001C3BD1">
        <w:t xml:space="preserve"> (with boundary power flux density (</w:t>
      </w:r>
      <w:r w:rsidR="00444816" w:rsidRPr="001C3BD1">
        <w:t>PFD</w:t>
      </w:r>
      <w:r w:rsidRPr="001C3BD1">
        <w:t xml:space="preserve">) limits specified for coexistence with co-frequency apparatus licensed services). </w:t>
      </w:r>
      <w:r w:rsidR="00ED22E9" w:rsidRPr="001C3BD1">
        <w:t>This will provide spectrum for type 3 users</w:t>
      </w:r>
      <w:r w:rsidR="005F7647" w:rsidRPr="001C3BD1">
        <w:t xml:space="preserve"> to deploy outdoor services</w:t>
      </w:r>
      <w:r w:rsidR="00ED22E9" w:rsidRPr="001C3BD1">
        <w:t>.</w:t>
      </w:r>
    </w:p>
    <w:p w14:paraId="26A68905" w14:textId="09C5C3E7" w:rsidR="00AB16DA" w:rsidRDefault="009006A6" w:rsidP="00AD64D6">
      <w:pPr>
        <w:pStyle w:val="ListBulletLast"/>
        <w:rPr>
          <w:b/>
        </w:rPr>
      </w:pPr>
      <w:r>
        <w:t>In the range 24.25</w:t>
      </w:r>
      <w:r w:rsidR="006763C2">
        <w:t>–</w:t>
      </w:r>
      <w:r>
        <w:t>24.7 GHz</w:t>
      </w:r>
      <w:r w:rsidR="006763C2">
        <w:t xml:space="preserve">: </w:t>
      </w:r>
      <w:r>
        <w:t xml:space="preserve">Class licensing </w:t>
      </w:r>
      <w:r w:rsidR="005F7647">
        <w:t xml:space="preserve">for devices operated on private property </w:t>
      </w:r>
      <w:r>
        <w:t>limited to indoor use</w:t>
      </w:r>
      <w:r w:rsidR="004D432A">
        <w:t xml:space="preserve"> to ensure protection of passive EESS</w:t>
      </w:r>
      <w:r>
        <w:t xml:space="preserve">. </w:t>
      </w:r>
    </w:p>
    <w:p w14:paraId="5DE35BCF" w14:textId="7747CD95" w:rsidR="00AB16DA" w:rsidRPr="005C7EAF" w:rsidRDefault="00BA5582" w:rsidP="00FA4DB6">
      <w:pPr>
        <w:pStyle w:val="BodySubHeader"/>
      </w:pPr>
      <w:r w:rsidRPr="00FA4DB6">
        <w:t>Geographical</w:t>
      </w:r>
      <w:r>
        <w:t xml:space="preserve"> segmentation</w:t>
      </w:r>
    </w:p>
    <w:p w14:paraId="7645E99D" w14:textId="117AFCC5" w:rsidR="00AB16DA" w:rsidRDefault="00AB16DA" w:rsidP="00FA4DB6">
      <w:r>
        <w:t>Defined areas available for wide-area spectrum licensing will include both large metro and regional centres.</w:t>
      </w:r>
      <w:r w:rsidR="00AF224E">
        <w:t xml:space="preserve"> </w:t>
      </w:r>
      <w:r w:rsidR="0075075B">
        <w:t xml:space="preserve">Submissions to the </w:t>
      </w:r>
      <w:r w:rsidR="00C240F0">
        <w:t>o</w:t>
      </w:r>
      <w:r w:rsidR="0075075B">
        <w:t>ptions paper indicated support for the defined</w:t>
      </w:r>
      <w:r w:rsidR="00AF224E">
        <w:t xml:space="preserve"> regional areas </w:t>
      </w:r>
      <w:r w:rsidR="0075075B">
        <w:t xml:space="preserve">to </w:t>
      </w:r>
      <w:r w:rsidR="00AF224E">
        <w:t xml:space="preserve">consist of </w:t>
      </w:r>
      <w:r w:rsidR="001424B3">
        <w:t>towns/cities</w:t>
      </w:r>
      <w:r w:rsidR="00AF224E">
        <w:t xml:space="preserve"> with a population over 50,000</w:t>
      </w:r>
      <w:r w:rsidR="00CD3678">
        <w:t xml:space="preserve"> as well as smaller </w:t>
      </w:r>
      <w:r w:rsidR="001424B3">
        <w:t>towns/cities</w:t>
      </w:r>
      <w:r w:rsidR="00CD3678">
        <w:t xml:space="preserve"> which</w:t>
      </w:r>
      <w:r w:rsidR="00393F33">
        <w:t>,</w:t>
      </w:r>
      <w:r w:rsidR="00CD3678">
        <w:t xml:space="preserve"> </w:t>
      </w:r>
      <w:r w:rsidR="00393F33">
        <w:t xml:space="preserve">due to them being </w:t>
      </w:r>
      <w:r w:rsidR="0075075B">
        <w:t>either</w:t>
      </w:r>
      <w:r w:rsidR="00CD3678">
        <w:t xml:space="preserve"> holiday </w:t>
      </w:r>
      <w:r w:rsidR="001424B3">
        <w:t>locations</w:t>
      </w:r>
      <w:r w:rsidR="00CD3678">
        <w:t xml:space="preserve"> or hav</w:t>
      </w:r>
      <w:r w:rsidR="00393F33">
        <w:t>ing</w:t>
      </w:r>
      <w:r w:rsidR="00CD3678">
        <w:t xml:space="preserve"> university campuses</w:t>
      </w:r>
      <w:r w:rsidR="00393F33">
        <w:t>, are expected to require the deployment of high-density wireless broadband services</w:t>
      </w:r>
      <w:r w:rsidR="00CD3678">
        <w:t>.</w:t>
      </w:r>
      <w:r w:rsidR="0075075B">
        <w:t xml:space="preserve"> The ACMA agrees </w:t>
      </w:r>
      <w:r w:rsidR="00224321">
        <w:t xml:space="preserve">and has formed the </w:t>
      </w:r>
      <w:r w:rsidR="009B0993">
        <w:t>preliminary</w:t>
      </w:r>
      <w:r w:rsidR="00224321">
        <w:t xml:space="preserve"> view </w:t>
      </w:r>
      <w:r w:rsidR="00812987">
        <w:t>that these areas proposed in submissions should be subject to spectrum licensing</w:t>
      </w:r>
      <w:r w:rsidR="0075075B">
        <w:t xml:space="preserve"> and </w:t>
      </w:r>
      <w:r w:rsidR="00CB4083">
        <w:t xml:space="preserve">we have </w:t>
      </w:r>
      <w:r w:rsidR="0075075B">
        <w:t>updated the defi</w:t>
      </w:r>
      <w:r w:rsidR="00697E15">
        <w:t>n</w:t>
      </w:r>
      <w:r w:rsidR="0075075B">
        <w:t>ed areas accordingly</w:t>
      </w:r>
      <w:r w:rsidR="00CB4083">
        <w:t>. T</w:t>
      </w:r>
      <w:r>
        <w:t xml:space="preserve">hese areas </w:t>
      </w:r>
      <w:r w:rsidR="0096143E">
        <w:t xml:space="preserve">are </w:t>
      </w:r>
      <w:r>
        <w:t xml:space="preserve">described in detail in Annex </w:t>
      </w:r>
      <w:r w:rsidR="00D53FA7">
        <w:t>D</w:t>
      </w:r>
      <w:r>
        <w:t xml:space="preserve">. </w:t>
      </w:r>
    </w:p>
    <w:p w14:paraId="71295B82" w14:textId="48F83757" w:rsidR="000D6793" w:rsidRDefault="000D6793" w:rsidP="00BA5582">
      <w:pPr>
        <w:spacing w:before="120" w:after="120" w:line="240" w:lineRule="auto"/>
      </w:pPr>
      <w:r>
        <w:t xml:space="preserve">In less densely populated regions (outside of the defined areas), it is expected that there will be less demand overall for 26 GHz spectrum. The ACMA will </w:t>
      </w:r>
      <w:r w:rsidR="00F80E94">
        <w:t xml:space="preserve">aim to </w:t>
      </w:r>
      <w:r>
        <w:t xml:space="preserve">facilitate </w:t>
      </w:r>
      <w:r>
        <w:lastRenderedPageBreak/>
        <w:t xml:space="preserve">all parties’ access to the spectrum using apparatus licensing. This </w:t>
      </w:r>
      <w:r w:rsidR="00F80E94">
        <w:t>is proposed to</w:t>
      </w:r>
      <w:r>
        <w:t xml:space="preserve"> apply to all spectrum </w:t>
      </w:r>
      <w:r w:rsidR="00B831AB">
        <w:t xml:space="preserve">from </w:t>
      </w:r>
      <w:r>
        <w:t>24.7</w:t>
      </w:r>
      <w:r w:rsidR="00B831AB">
        <w:t>–</w:t>
      </w:r>
      <w:r>
        <w:t>27.5 GHz. This approach is also consistent with the guiding principle that the spectrum be allocated to the highest value uses.</w:t>
      </w:r>
    </w:p>
    <w:p w14:paraId="7245C979" w14:textId="72A7C23D" w:rsidR="00FC3E22" w:rsidRPr="00E436DC" w:rsidRDefault="00363B33" w:rsidP="00E436DC">
      <w:pPr>
        <w:pStyle w:val="Heading2"/>
      </w:pPr>
      <w:bookmarkStart w:id="59" w:name="_Planning_decisions,_intentions"/>
      <w:bookmarkStart w:id="60" w:name="_Toc4664099"/>
      <w:bookmarkEnd w:id="59"/>
      <w:r w:rsidRPr="00E436DC">
        <w:t>Planning d</w:t>
      </w:r>
      <w:r w:rsidR="00E43377" w:rsidRPr="00E436DC">
        <w:t>ecisions</w:t>
      </w:r>
      <w:r w:rsidR="00C61787" w:rsidRPr="00E436DC">
        <w:t>, intentions</w:t>
      </w:r>
      <w:r w:rsidR="000D1BE0" w:rsidRPr="00E436DC">
        <w:t xml:space="preserve"> and preliminary views</w:t>
      </w:r>
      <w:bookmarkEnd w:id="60"/>
    </w:p>
    <w:p w14:paraId="2046061D" w14:textId="5D5FA7FC" w:rsidR="009E541C" w:rsidRDefault="003B21DD" w:rsidP="00DA511D">
      <w:pPr>
        <w:pStyle w:val="ListBullet"/>
        <w:numPr>
          <w:ilvl w:val="0"/>
          <w:numId w:val="0"/>
        </w:numPr>
        <w:spacing w:before="120" w:after="120" w:line="240" w:lineRule="auto"/>
      </w:pPr>
      <w:r>
        <w:t xml:space="preserve">This section </w:t>
      </w:r>
      <w:r w:rsidR="009E541C">
        <w:t>summarises</w:t>
      </w:r>
      <w:r>
        <w:t xml:space="preserve"> the ACMA’s </w:t>
      </w:r>
      <w:r w:rsidR="00F80E94">
        <w:t>views and proposals</w:t>
      </w:r>
      <w:r>
        <w:t xml:space="preserve"> </w:t>
      </w:r>
      <w:r w:rsidR="009E541C">
        <w:t>on how the 26 GHz ban</w:t>
      </w:r>
      <w:r w:rsidR="004729A6">
        <w:t>d</w:t>
      </w:r>
      <w:r w:rsidR="009E541C">
        <w:t xml:space="preserve"> </w:t>
      </w:r>
      <w:r w:rsidR="00F80E94">
        <w:t>should</w:t>
      </w:r>
      <w:r w:rsidR="009E541C">
        <w:t xml:space="preserve"> be structure</w:t>
      </w:r>
      <w:r w:rsidR="004729A6">
        <w:t>d</w:t>
      </w:r>
      <w:r w:rsidR="009E541C">
        <w:t xml:space="preserve"> in terms of high-level</w:t>
      </w:r>
      <w:r>
        <w:t xml:space="preserve"> frequency</w:t>
      </w:r>
      <w:r w:rsidR="00311D87">
        <w:t xml:space="preserve">, </w:t>
      </w:r>
      <w:r w:rsidR="00756E54">
        <w:t>geographic, coexistence</w:t>
      </w:r>
      <w:r>
        <w:t xml:space="preserve"> </w:t>
      </w:r>
      <w:r w:rsidR="009E541C">
        <w:t xml:space="preserve">and licensing </w:t>
      </w:r>
      <w:r>
        <w:t>arrangement</w:t>
      </w:r>
      <w:r w:rsidR="00F82CD2">
        <w:t>s</w:t>
      </w:r>
      <w:r>
        <w:t xml:space="preserve"> </w:t>
      </w:r>
      <w:r w:rsidR="0055310B">
        <w:t>for</w:t>
      </w:r>
      <w:r>
        <w:t xml:space="preserve"> the introduction of wireless broadband services in the 26 GHz band.</w:t>
      </w:r>
    </w:p>
    <w:p w14:paraId="4786ED08" w14:textId="071D60E4" w:rsidR="00E70D03" w:rsidRDefault="009E541C" w:rsidP="00DA511D">
      <w:pPr>
        <w:pStyle w:val="ListBullet"/>
        <w:numPr>
          <w:ilvl w:val="0"/>
          <w:numId w:val="0"/>
        </w:numPr>
        <w:spacing w:before="120" w:after="120" w:line="240" w:lineRule="auto"/>
      </w:pPr>
      <w:r>
        <w:t xml:space="preserve">The various arrangements for wireless broadband access described in earlier parts of this chapter are summarised at a high level in Figure </w:t>
      </w:r>
      <w:r w:rsidR="009934B8">
        <w:t>2</w:t>
      </w:r>
      <w:r>
        <w:t xml:space="preserve">. </w:t>
      </w:r>
    </w:p>
    <w:p w14:paraId="3938ADA7" w14:textId="7CEA0BD7" w:rsidR="003B21DD" w:rsidRDefault="003B21DD" w:rsidP="00DA511D">
      <w:pPr>
        <w:pStyle w:val="ListBullet"/>
        <w:numPr>
          <w:ilvl w:val="0"/>
          <w:numId w:val="0"/>
        </w:numPr>
        <w:spacing w:before="120" w:after="120" w:line="240" w:lineRule="auto"/>
      </w:pPr>
      <w:r>
        <w:t xml:space="preserve">The full suite of </w:t>
      </w:r>
      <w:r w:rsidR="00756E54">
        <w:t xml:space="preserve">definitive </w:t>
      </w:r>
      <w:r>
        <w:t xml:space="preserve">licensing provisions and conditions </w:t>
      </w:r>
      <w:r w:rsidR="00B831AB">
        <w:t xml:space="preserve">is </w:t>
      </w:r>
      <w:r>
        <w:t>not included in this paper</w:t>
      </w:r>
      <w:r w:rsidR="00B831AB">
        <w:t xml:space="preserve">—this </w:t>
      </w:r>
      <w:r>
        <w:t xml:space="preserve">will be </w:t>
      </w:r>
      <w:r w:rsidR="00AA0003">
        <w:t xml:space="preserve">developed in due course </w:t>
      </w:r>
      <w:r w:rsidR="009178A1">
        <w:t>under</w:t>
      </w:r>
      <w:r>
        <w:t xml:space="preserve"> future consultation processes</w:t>
      </w:r>
      <w:r w:rsidR="009178A1">
        <w:t xml:space="preserve"> on relevant licensing frameworks and instructions, in accordance with normal practice</w:t>
      </w:r>
      <w:r>
        <w:t xml:space="preserve">. </w:t>
      </w:r>
      <w:r w:rsidR="009B21EB">
        <w:t>However</w:t>
      </w:r>
      <w:r>
        <w:t>,</w:t>
      </w:r>
      <w:r w:rsidR="009B21EB">
        <w:t xml:space="preserve"> </w:t>
      </w:r>
      <w:r>
        <w:t>preliminary view</w:t>
      </w:r>
      <w:r w:rsidR="009B21EB">
        <w:t xml:space="preserve">s on </w:t>
      </w:r>
      <w:r w:rsidR="009178A1">
        <w:t>which</w:t>
      </w:r>
      <w:r w:rsidR="0055310B">
        <w:t xml:space="preserve"> </w:t>
      </w:r>
      <w:r w:rsidR="009B21EB">
        <w:t xml:space="preserve">licence conditions </w:t>
      </w:r>
      <w:r w:rsidR="009178A1">
        <w:t>might be appropriate</w:t>
      </w:r>
      <w:r w:rsidR="00B831AB">
        <w:t>—</w:t>
      </w:r>
      <w:r w:rsidR="009B21EB">
        <w:t>particularly those conditions which are fundamental for coexistence with existing services</w:t>
      </w:r>
      <w:r w:rsidR="00B831AB">
        <w:t>—</w:t>
      </w:r>
      <w:r w:rsidR="009178A1">
        <w:t>are included</w:t>
      </w:r>
      <w:r w:rsidR="00E70D03">
        <w:t xml:space="preserve">. It is noted that </w:t>
      </w:r>
      <w:r w:rsidR="009178A1">
        <w:t>these</w:t>
      </w:r>
      <w:r w:rsidR="00E70D03">
        <w:t xml:space="preserve"> issues</w:t>
      </w:r>
      <w:r w:rsidR="009178A1">
        <w:t xml:space="preserve"> have already </w:t>
      </w:r>
      <w:r w:rsidR="009B21EB">
        <w:t xml:space="preserve">been subject </w:t>
      </w:r>
      <w:r w:rsidR="003815E4">
        <w:t>t</w:t>
      </w:r>
      <w:r w:rsidR="009B21EB">
        <w:t xml:space="preserve">o </w:t>
      </w:r>
      <w:r w:rsidR="009178A1">
        <w:t>extensive</w:t>
      </w:r>
      <w:r w:rsidR="009B21EB">
        <w:t xml:space="preserve"> industry consultation.</w:t>
      </w:r>
    </w:p>
    <w:p w14:paraId="2F89D111" w14:textId="5526344B" w:rsidR="00483A5A" w:rsidRDefault="00483A5A" w:rsidP="00DA511D">
      <w:pPr>
        <w:pStyle w:val="ListBullet"/>
        <w:numPr>
          <w:ilvl w:val="0"/>
          <w:numId w:val="0"/>
        </w:numPr>
        <w:spacing w:before="120" w:after="120" w:line="240" w:lineRule="auto"/>
      </w:pPr>
    </w:p>
    <w:p w14:paraId="35B10726" w14:textId="636C17D7" w:rsidR="00483A5A" w:rsidRDefault="00483A5A" w:rsidP="00DA511D">
      <w:pPr>
        <w:pStyle w:val="ListBullet"/>
        <w:numPr>
          <w:ilvl w:val="0"/>
          <w:numId w:val="0"/>
        </w:numPr>
        <w:spacing w:before="120" w:after="120" w:line="240" w:lineRule="auto"/>
      </w:pPr>
    </w:p>
    <w:p w14:paraId="44DB878B" w14:textId="34EBC3AD" w:rsidR="00483A5A" w:rsidRDefault="00483A5A" w:rsidP="00DA511D">
      <w:pPr>
        <w:pStyle w:val="ListBullet"/>
        <w:numPr>
          <w:ilvl w:val="0"/>
          <w:numId w:val="0"/>
        </w:numPr>
        <w:spacing w:before="120" w:after="120" w:line="240" w:lineRule="auto"/>
      </w:pPr>
    </w:p>
    <w:p w14:paraId="53BE9811" w14:textId="51DCA44F" w:rsidR="00483A5A" w:rsidRDefault="00483A5A" w:rsidP="00DA511D">
      <w:pPr>
        <w:pStyle w:val="ListBullet"/>
        <w:numPr>
          <w:ilvl w:val="0"/>
          <w:numId w:val="0"/>
        </w:numPr>
        <w:spacing w:before="120" w:after="120" w:line="240" w:lineRule="auto"/>
      </w:pPr>
    </w:p>
    <w:p w14:paraId="18984644" w14:textId="24CC50D5" w:rsidR="00483A5A" w:rsidRDefault="00483A5A" w:rsidP="00DA511D">
      <w:pPr>
        <w:pStyle w:val="ListBullet"/>
        <w:numPr>
          <w:ilvl w:val="0"/>
          <w:numId w:val="0"/>
        </w:numPr>
        <w:spacing w:before="120" w:after="120" w:line="240" w:lineRule="auto"/>
      </w:pPr>
    </w:p>
    <w:p w14:paraId="4D45C2B6" w14:textId="084B96F6" w:rsidR="00483A5A" w:rsidRDefault="00483A5A" w:rsidP="00DA511D">
      <w:pPr>
        <w:pStyle w:val="ListBullet"/>
        <w:numPr>
          <w:ilvl w:val="0"/>
          <w:numId w:val="0"/>
        </w:numPr>
        <w:spacing w:before="120" w:after="120" w:line="240" w:lineRule="auto"/>
      </w:pPr>
    </w:p>
    <w:p w14:paraId="56EB22D9" w14:textId="15A4C39D" w:rsidR="00483A5A" w:rsidRDefault="00483A5A" w:rsidP="00DA511D">
      <w:pPr>
        <w:pStyle w:val="ListBullet"/>
        <w:numPr>
          <w:ilvl w:val="0"/>
          <w:numId w:val="0"/>
        </w:numPr>
        <w:spacing w:before="120" w:after="120" w:line="240" w:lineRule="auto"/>
      </w:pPr>
    </w:p>
    <w:p w14:paraId="6CF11D46" w14:textId="78FCEBF4" w:rsidR="00483A5A" w:rsidRDefault="00483A5A" w:rsidP="00DA511D">
      <w:pPr>
        <w:pStyle w:val="ListBullet"/>
        <w:numPr>
          <w:ilvl w:val="0"/>
          <w:numId w:val="0"/>
        </w:numPr>
        <w:spacing w:before="120" w:after="120" w:line="240" w:lineRule="auto"/>
      </w:pPr>
    </w:p>
    <w:p w14:paraId="19F4F4A4" w14:textId="6559FAF0" w:rsidR="00483A5A" w:rsidRDefault="00483A5A" w:rsidP="00DA511D">
      <w:pPr>
        <w:pStyle w:val="ListBullet"/>
        <w:numPr>
          <w:ilvl w:val="0"/>
          <w:numId w:val="0"/>
        </w:numPr>
        <w:spacing w:before="120" w:after="120" w:line="240" w:lineRule="auto"/>
      </w:pPr>
    </w:p>
    <w:p w14:paraId="47FCAE57" w14:textId="43B921B0" w:rsidR="00483A5A" w:rsidRDefault="00483A5A" w:rsidP="00DA511D">
      <w:pPr>
        <w:pStyle w:val="ListBullet"/>
        <w:numPr>
          <w:ilvl w:val="0"/>
          <w:numId w:val="0"/>
        </w:numPr>
        <w:spacing w:before="120" w:after="120" w:line="240" w:lineRule="auto"/>
      </w:pPr>
    </w:p>
    <w:p w14:paraId="304E2DDD" w14:textId="4242315B" w:rsidR="00483A5A" w:rsidRDefault="00483A5A" w:rsidP="00DA511D">
      <w:pPr>
        <w:pStyle w:val="ListBullet"/>
        <w:numPr>
          <w:ilvl w:val="0"/>
          <w:numId w:val="0"/>
        </w:numPr>
        <w:spacing w:before="120" w:after="120" w:line="240" w:lineRule="auto"/>
      </w:pPr>
    </w:p>
    <w:p w14:paraId="006C4123" w14:textId="540B7D5B" w:rsidR="00483A5A" w:rsidRDefault="00483A5A" w:rsidP="00DA511D">
      <w:pPr>
        <w:pStyle w:val="ListBullet"/>
        <w:numPr>
          <w:ilvl w:val="0"/>
          <w:numId w:val="0"/>
        </w:numPr>
        <w:spacing w:before="120" w:after="120" w:line="240" w:lineRule="auto"/>
      </w:pPr>
    </w:p>
    <w:p w14:paraId="57D4FB41" w14:textId="20B7C0D6" w:rsidR="00483A5A" w:rsidRDefault="00483A5A" w:rsidP="00DA511D">
      <w:pPr>
        <w:pStyle w:val="ListBullet"/>
        <w:numPr>
          <w:ilvl w:val="0"/>
          <w:numId w:val="0"/>
        </w:numPr>
        <w:spacing w:before="120" w:after="120" w:line="240" w:lineRule="auto"/>
      </w:pPr>
    </w:p>
    <w:p w14:paraId="446D8B83" w14:textId="398DFC27" w:rsidR="00483A5A" w:rsidRDefault="00483A5A" w:rsidP="00DA511D">
      <w:pPr>
        <w:pStyle w:val="ListBullet"/>
        <w:numPr>
          <w:ilvl w:val="0"/>
          <w:numId w:val="0"/>
        </w:numPr>
        <w:spacing w:before="120" w:after="120" w:line="240" w:lineRule="auto"/>
      </w:pPr>
    </w:p>
    <w:p w14:paraId="170F3CA9" w14:textId="3E96E6BA" w:rsidR="00483A5A" w:rsidRDefault="00483A5A" w:rsidP="00DA511D">
      <w:pPr>
        <w:pStyle w:val="ListBullet"/>
        <w:numPr>
          <w:ilvl w:val="0"/>
          <w:numId w:val="0"/>
        </w:numPr>
        <w:spacing w:before="120" w:after="120" w:line="240" w:lineRule="auto"/>
      </w:pPr>
    </w:p>
    <w:p w14:paraId="3E1E446A" w14:textId="2A335DFE" w:rsidR="00483A5A" w:rsidRDefault="00483A5A" w:rsidP="00DA511D">
      <w:pPr>
        <w:pStyle w:val="ListBullet"/>
        <w:numPr>
          <w:ilvl w:val="0"/>
          <w:numId w:val="0"/>
        </w:numPr>
        <w:spacing w:before="120" w:after="120" w:line="240" w:lineRule="auto"/>
      </w:pPr>
    </w:p>
    <w:p w14:paraId="0FA997B1" w14:textId="782D208A" w:rsidR="00483A5A" w:rsidRDefault="00483A5A" w:rsidP="00DA511D">
      <w:pPr>
        <w:pStyle w:val="ListBullet"/>
        <w:numPr>
          <w:ilvl w:val="0"/>
          <w:numId w:val="0"/>
        </w:numPr>
        <w:spacing w:before="120" w:after="120" w:line="240" w:lineRule="auto"/>
      </w:pPr>
    </w:p>
    <w:p w14:paraId="764633A8" w14:textId="7E38B907" w:rsidR="00483A5A" w:rsidRDefault="00483A5A" w:rsidP="00DA511D">
      <w:pPr>
        <w:pStyle w:val="ListBullet"/>
        <w:numPr>
          <w:ilvl w:val="0"/>
          <w:numId w:val="0"/>
        </w:numPr>
        <w:spacing w:before="120" w:after="120" w:line="240" w:lineRule="auto"/>
      </w:pPr>
    </w:p>
    <w:p w14:paraId="611F2B44" w14:textId="5820F03F" w:rsidR="00483A5A" w:rsidRDefault="00483A5A" w:rsidP="00DA511D">
      <w:pPr>
        <w:pStyle w:val="ListBullet"/>
        <w:numPr>
          <w:ilvl w:val="0"/>
          <w:numId w:val="0"/>
        </w:numPr>
        <w:spacing w:before="120" w:after="120" w:line="240" w:lineRule="auto"/>
      </w:pPr>
    </w:p>
    <w:p w14:paraId="02AD76D5" w14:textId="53B489F7" w:rsidR="00073099" w:rsidRDefault="00073099" w:rsidP="00DA511D">
      <w:pPr>
        <w:pStyle w:val="ListBullet"/>
        <w:numPr>
          <w:ilvl w:val="0"/>
          <w:numId w:val="0"/>
        </w:numPr>
        <w:spacing w:before="120" w:after="120" w:line="240" w:lineRule="auto"/>
      </w:pPr>
    </w:p>
    <w:p w14:paraId="501DB89A" w14:textId="77777777" w:rsidR="00073099" w:rsidRDefault="00073099" w:rsidP="00DA511D">
      <w:pPr>
        <w:pStyle w:val="ListBullet"/>
        <w:numPr>
          <w:ilvl w:val="0"/>
          <w:numId w:val="0"/>
        </w:numPr>
        <w:spacing w:before="120" w:after="120" w:line="240" w:lineRule="auto"/>
      </w:pPr>
    </w:p>
    <w:p w14:paraId="4F22477E" w14:textId="77777777" w:rsidR="000A2F63" w:rsidRDefault="000A2F63" w:rsidP="00280297">
      <w:pPr>
        <w:pStyle w:val="ACMAFigureHeader"/>
        <w:keepNext/>
        <w:keepLines/>
      </w:pPr>
      <w:r>
        <w:lastRenderedPageBreak/>
        <w:t>Planned arrangements for wireless broadband services in the 26 GHz band</w:t>
      </w:r>
    </w:p>
    <w:p w14:paraId="00BB4C21" w14:textId="4BF1EE3B" w:rsidR="00487FA3" w:rsidRDefault="00647A4F" w:rsidP="00280297">
      <w:pPr>
        <w:pStyle w:val="ListBullet"/>
        <w:keepNext/>
        <w:keepLines/>
        <w:numPr>
          <w:ilvl w:val="0"/>
          <w:numId w:val="0"/>
        </w:numPr>
        <w:spacing w:before="120" w:after="120" w:line="240" w:lineRule="auto"/>
      </w:pPr>
      <w:r>
        <w:rPr>
          <w:noProof/>
        </w:rPr>
        <w:drawing>
          <wp:inline distT="0" distB="0" distL="0" distR="0" wp14:anchorId="6518BEC3" wp14:editId="6CAD44C1">
            <wp:extent cx="4858385" cy="1528445"/>
            <wp:effectExtent l="0" t="0" r="0" b="0"/>
            <wp:docPr id="17" name="Picture 17" descr="Planned arrangements for wireless broadband services in the 26 GHz b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58385" cy="1528445"/>
                    </a:xfrm>
                    <a:prstGeom prst="rect">
                      <a:avLst/>
                    </a:prstGeom>
                    <a:noFill/>
                    <a:ln>
                      <a:noFill/>
                    </a:ln>
                  </pic:spPr>
                </pic:pic>
              </a:graphicData>
            </a:graphic>
          </wp:inline>
        </w:drawing>
      </w:r>
    </w:p>
    <w:p w14:paraId="28B254B2" w14:textId="39D536EF" w:rsidR="00487FA3" w:rsidRDefault="00CC0CD9" w:rsidP="00280297">
      <w:pPr>
        <w:pStyle w:val="ListBullet"/>
        <w:keepNext/>
        <w:keepLines/>
        <w:numPr>
          <w:ilvl w:val="0"/>
          <w:numId w:val="12"/>
        </w:numPr>
        <w:spacing w:before="120" w:after="120" w:line="240" w:lineRule="auto"/>
      </w:pPr>
      <w:r>
        <w:t>C</w:t>
      </w:r>
      <w:r w:rsidR="00D577CD">
        <w:t>lass-licensing for indoor use</w:t>
      </w:r>
      <w:r w:rsidR="00B831AB">
        <w:t>—</w:t>
      </w:r>
      <w:r>
        <w:t>Australia-wide</w:t>
      </w:r>
      <w:r w:rsidR="00B831AB">
        <w:t xml:space="preserve">. </w:t>
      </w:r>
    </w:p>
    <w:p w14:paraId="1D7093A9" w14:textId="43A9442B" w:rsidR="00487FA3" w:rsidRDefault="008419BF" w:rsidP="00280297">
      <w:pPr>
        <w:pStyle w:val="ListBullet"/>
        <w:keepNext/>
        <w:keepLines/>
        <w:numPr>
          <w:ilvl w:val="0"/>
          <w:numId w:val="13"/>
        </w:numPr>
        <w:spacing w:before="120" w:after="120" w:line="240" w:lineRule="auto"/>
      </w:pPr>
      <w:r>
        <w:t>C</w:t>
      </w:r>
      <w:r w:rsidR="00B1032B">
        <w:t xml:space="preserve">lass-licensing </w:t>
      </w:r>
      <w:r>
        <w:t xml:space="preserve">for </w:t>
      </w:r>
      <w:r w:rsidR="00B1032B">
        <w:t>indoor and outdoor</w:t>
      </w:r>
      <w:r>
        <w:t xml:space="preserve"> use</w:t>
      </w:r>
      <w:r w:rsidR="00B831AB">
        <w:t>—</w:t>
      </w:r>
      <w:r w:rsidR="004572DF">
        <w:t>Australia-wide</w:t>
      </w:r>
      <w:r w:rsidR="00B831AB">
        <w:t xml:space="preserve">. </w:t>
      </w:r>
    </w:p>
    <w:p w14:paraId="051A46B0" w14:textId="4FA8FB30" w:rsidR="00487FA3" w:rsidRDefault="005B4294" w:rsidP="00280297">
      <w:pPr>
        <w:pStyle w:val="ListBullet"/>
        <w:keepNext/>
        <w:keepLines/>
        <w:numPr>
          <w:ilvl w:val="0"/>
          <w:numId w:val="14"/>
        </w:numPr>
        <w:spacing w:before="120" w:after="120" w:line="240" w:lineRule="auto"/>
      </w:pPr>
      <w:r>
        <w:t>Spectrum licensing</w:t>
      </w:r>
      <w:r w:rsidR="00B831AB">
        <w:t>—</w:t>
      </w:r>
      <w:r w:rsidR="004572DF">
        <w:t xml:space="preserve">defined </w:t>
      </w:r>
      <w:r>
        <w:t>areas</w:t>
      </w:r>
      <w:r w:rsidR="00C31DA1">
        <w:t>. Includes</w:t>
      </w:r>
      <w:r w:rsidR="00FB213C">
        <w:t xml:space="preserve"> additional </w:t>
      </w:r>
      <w:r w:rsidR="00C31DA1">
        <w:t>conditions to protect SRS earth stations</w:t>
      </w:r>
      <w:r w:rsidR="00B831AB">
        <w:t xml:space="preserve">. </w:t>
      </w:r>
    </w:p>
    <w:p w14:paraId="63B80778" w14:textId="02DF5991" w:rsidR="00487FA3" w:rsidRDefault="008815F4" w:rsidP="00280297">
      <w:pPr>
        <w:pStyle w:val="ListBullet"/>
        <w:keepNext/>
        <w:keepLines/>
        <w:numPr>
          <w:ilvl w:val="0"/>
          <w:numId w:val="15"/>
        </w:numPr>
        <w:spacing w:before="120" w:after="120" w:line="240" w:lineRule="auto"/>
      </w:pPr>
      <w:r>
        <w:t>Spectrum licensing</w:t>
      </w:r>
      <w:r w:rsidR="00D3630B">
        <w:t xml:space="preserve"> with </w:t>
      </w:r>
      <w:r>
        <w:t xml:space="preserve">additional </w:t>
      </w:r>
      <w:r w:rsidR="00F25E79">
        <w:t xml:space="preserve">FSS coexistence </w:t>
      </w:r>
      <w:r w:rsidR="00354127">
        <w:t xml:space="preserve">conditions </w:t>
      </w:r>
      <w:r w:rsidR="00F25E79">
        <w:t>within</w:t>
      </w:r>
      <w:r w:rsidR="00D3630B">
        <w:t xml:space="preserve"> </w:t>
      </w:r>
      <w:r w:rsidR="00F25E79">
        <w:t xml:space="preserve">certain </w:t>
      </w:r>
      <w:r w:rsidR="00D3630B">
        <w:t>areas</w:t>
      </w:r>
      <w:r w:rsidR="000C4729">
        <w:t>.</w:t>
      </w:r>
    </w:p>
    <w:p w14:paraId="6C99DCD8" w14:textId="20B94AEA" w:rsidR="00487FA3" w:rsidRDefault="00D47E88" w:rsidP="00280297">
      <w:pPr>
        <w:pStyle w:val="ListBullet"/>
        <w:keepNext/>
        <w:keepLines/>
        <w:numPr>
          <w:ilvl w:val="0"/>
          <w:numId w:val="16"/>
        </w:numPr>
        <w:spacing w:before="120" w:after="120" w:line="240" w:lineRule="auto"/>
      </w:pPr>
      <w:r>
        <w:t>Apparatus licensing</w:t>
      </w:r>
      <w:r w:rsidR="00B831AB">
        <w:t>—</w:t>
      </w:r>
      <w:r>
        <w:t>Australia-wide</w:t>
      </w:r>
      <w:r w:rsidR="00B831AB">
        <w:t xml:space="preserve">. </w:t>
      </w:r>
    </w:p>
    <w:p w14:paraId="356DEA10" w14:textId="7F7BAAC0" w:rsidR="00487FA3" w:rsidRDefault="00D47E88" w:rsidP="00280297">
      <w:pPr>
        <w:pStyle w:val="ListBullet"/>
        <w:keepNext/>
        <w:keepLines/>
        <w:numPr>
          <w:ilvl w:val="0"/>
          <w:numId w:val="17"/>
        </w:numPr>
        <w:spacing w:before="120" w:after="120" w:line="240" w:lineRule="auto"/>
      </w:pPr>
      <w:r>
        <w:t>Appa</w:t>
      </w:r>
      <w:r w:rsidR="00C523FC">
        <w:t>ratus licensing</w:t>
      </w:r>
      <w:r w:rsidR="00B831AB">
        <w:t>—</w:t>
      </w:r>
      <w:r w:rsidR="00557245">
        <w:t>Australia-wide</w:t>
      </w:r>
      <w:r w:rsidR="00B831AB">
        <w:t>,</w:t>
      </w:r>
      <w:r w:rsidR="00557245">
        <w:t xml:space="preserve"> except</w:t>
      </w:r>
      <w:r w:rsidR="00C523FC">
        <w:t xml:space="preserve"> defined areas</w:t>
      </w:r>
      <w:r w:rsidR="00C31DA1">
        <w:t>. Includes additional conditions to protect SRS earth stations.</w:t>
      </w:r>
    </w:p>
    <w:p w14:paraId="064EC758" w14:textId="46528D59" w:rsidR="00C61787" w:rsidRDefault="00C523FC" w:rsidP="001A086D">
      <w:pPr>
        <w:pStyle w:val="ListBullet"/>
        <w:numPr>
          <w:ilvl w:val="0"/>
          <w:numId w:val="18"/>
        </w:numPr>
        <w:spacing w:before="120" w:after="120" w:line="240" w:lineRule="auto"/>
      </w:pPr>
      <w:r>
        <w:t>Apparatus licensing</w:t>
      </w:r>
      <w:r w:rsidR="00F440ED" w:rsidRPr="00F440ED">
        <w:t xml:space="preserve"> </w:t>
      </w:r>
      <w:r w:rsidR="00F440ED">
        <w:t>with additional conditions to protect FSS uplinks</w:t>
      </w:r>
      <w:r>
        <w:t xml:space="preserve"> </w:t>
      </w:r>
      <w:r w:rsidR="00CB3631">
        <w:t>–</w:t>
      </w:r>
      <w:r>
        <w:t xml:space="preserve"> </w:t>
      </w:r>
      <w:r w:rsidR="00CB3631">
        <w:t>Australia-wide except defined areas</w:t>
      </w:r>
      <w:r w:rsidR="00C72552">
        <w:t>. New FSS earth stations will also be permitted</w:t>
      </w:r>
      <w:r w:rsidR="00F80E94">
        <w:t xml:space="preserve"> (except in defined areas)</w:t>
      </w:r>
      <w:r w:rsidR="00C72552">
        <w:t xml:space="preserve"> on a first-in-time coordinated basis with apparatus licensed wireless broadband services.</w:t>
      </w:r>
    </w:p>
    <w:p w14:paraId="6F0C17A9" w14:textId="68056413" w:rsidR="00E83A11" w:rsidRDefault="00305644" w:rsidP="00DA511D">
      <w:pPr>
        <w:pStyle w:val="ListBullet"/>
        <w:numPr>
          <w:ilvl w:val="0"/>
          <w:numId w:val="0"/>
        </w:numPr>
        <w:spacing w:before="120" w:after="120" w:line="240" w:lineRule="auto"/>
      </w:pPr>
      <w:r>
        <w:t xml:space="preserve">It is intended that the arrangements </w:t>
      </w:r>
      <w:r w:rsidR="009B21EB">
        <w:t xml:space="preserve">in Figure </w:t>
      </w:r>
      <w:r w:rsidR="009934B8">
        <w:t>2</w:t>
      </w:r>
      <w:r w:rsidR="009B21EB">
        <w:t xml:space="preserve"> </w:t>
      </w:r>
      <w:r>
        <w:t xml:space="preserve">will be implemented using a combination of both the various licensing tools at the ACMA’s disposal and exercising of Ministerial powers under the </w:t>
      </w:r>
      <w:r>
        <w:rPr>
          <w:i/>
        </w:rPr>
        <w:t>Radiocommunications Act 1992.</w:t>
      </w:r>
      <w:r>
        <w:t xml:space="preserve"> The following text therefore contains a range of </w:t>
      </w:r>
      <w:r w:rsidR="00F80E94">
        <w:t xml:space="preserve">proposed </w:t>
      </w:r>
      <w:r w:rsidRPr="00B831AB">
        <w:t>decisions</w:t>
      </w:r>
      <w:r>
        <w:rPr>
          <w:i/>
        </w:rPr>
        <w:t xml:space="preserve"> </w:t>
      </w:r>
      <w:r>
        <w:t>taken by the Authority</w:t>
      </w:r>
      <w:r w:rsidR="00B831AB">
        <w:t>,</w:t>
      </w:r>
      <w:r w:rsidR="00BD3456">
        <w:t xml:space="preserve"> as well as </w:t>
      </w:r>
      <w:r w:rsidR="00BD3456" w:rsidRPr="00B831AB">
        <w:t>intentions</w:t>
      </w:r>
      <w:r w:rsidR="00BD3456">
        <w:rPr>
          <w:i/>
        </w:rPr>
        <w:t xml:space="preserve"> </w:t>
      </w:r>
      <w:r w:rsidR="00BD3456">
        <w:t xml:space="preserve">to take the necessary steps towards </w:t>
      </w:r>
      <w:r w:rsidR="00B91091">
        <w:t xml:space="preserve">making the requisite recommendations to the </w:t>
      </w:r>
      <w:r w:rsidR="000242BD">
        <w:t>m</w:t>
      </w:r>
      <w:r w:rsidR="00B91091">
        <w:t xml:space="preserve">inister </w:t>
      </w:r>
      <w:r w:rsidR="00426EC0">
        <w:t>to enable reallocation of parts of the band that are intended to be subject to spectrum licensing.</w:t>
      </w:r>
    </w:p>
    <w:p w14:paraId="43C2F4E7" w14:textId="649F8D1D" w:rsidR="001B25B2" w:rsidRDefault="00AC2F87" w:rsidP="00A715D1">
      <w:pPr>
        <w:pStyle w:val="Heading3"/>
      </w:pPr>
      <w:bookmarkStart w:id="61" w:name="_Toc4664100"/>
      <w:r w:rsidRPr="00AC2F87">
        <w:t>Planning d</w:t>
      </w:r>
      <w:r w:rsidR="001B25B2" w:rsidRPr="00AC2F87">
        <w:t>ecisions</w:t>
      </w:r>
      <w:bookmarkEnd w:id="61"/>
    </w:p>
    <w:p w14:paraId="33CB50F6" w14:textId="5320F311" w:rsidR="00C716B0" w:rsidRDefault="002D580E" w:rsidP="00746EE7">
      <w:pPr>
        <w:pStyle w:val="ListBullet"/>
        <w:numPr>
          <w:ilvl w:val="0"/>
          <w:numId w:val="0"/>
        </w:numPr>
        <w:spacing w:before="120" w:line="240" w:lineRule="auto"/>
      </w:pPr>
      <w:r>
        <w:t xml:space="preserve">The ACMA </w:t>
      </w:r>
      <w:r w:rsidR="00F80E94">
        <w:t xml:space="preserve">proposes </w:t>
      </w:r>
      <w:r>
        <w:t>to:</w:t>
      </w:r>
    </w:p>
    <w:p w14:paraId="59967741" w14:textId="70A2B8F9" w:rsidR="005111F5" w:rsidRDefault="00BC18BD" w:rsidP="001C3BD1">
      <w:pPr>
        <w:pStyle w:val="ListBullet"/>
      </w:pPr>
      <w:r>
        <w:t>Consult on a</w:t>
      </w:r>
      <w:r w:rsidR="002D580E">
        <w:t>dd</w:t>
      </w:r>
      <w:r>
        <w:t>ing</w:t>
      </w:r>
      <w:r w:rsidR="002D580E">
        <w:t xml:space="preserve"> </w:t>
      </w:r>
      <w:r w:rsidR="00CD6038">
        <w:t>24.25</w:t>
      </w:r>
      <w:r w:rsidR="00B831AB">
        <w:t>–</w:t>
      </w:r>
      <w:r w:rsidR="00CD6038">
        <w:t xml:space="preserve">25.1 GHz to the </w:t>
      </w:r>
      <w:hyperlink r:id="rId36" w:history="1">
        <w:r w:rsidR="00CD6038">
          <w:rPr>
            <w:rStyle w:val="Hyperlink"/>
          </w:rPr>
          <w:t xml:space="preserve">Low </w:t>
        </w:r>
        <w:r w:rsidR="00B831AB">
          <w:rPr>
            <w:rStyle w:val="Hyperlink"/>
          </w:rPr>
          <w:t>I</w:t>
        </w:r>
        <w:r w:rsidR="00CD6038">
          <w:rPr>
            <w:rStyle w:val="Hyperlink"/>
          </w:rPr>
          <w:t xml:space="preserve">nterference </w:t>
        </w:r>
        <w:r w:rsidR="00B831AB">
          <w:rPr>
            <w:rStyle w:val="Hyperlink"/>
          </w:rPr>
          <w:t>P</w:t>
        </w:r>
        <w:r w:rsidR="00CD6038">
          <w:rPr>
            <w:rStyle w:val="Hyperlink"/>
          </w:rPr>
          <w:t xml:space="preserve">otential </w:t>
        </w:r>
        <w:r w:rsidR="00B831AB">
          <w:rPr>
            <w:rStyle w:val="Hyperlink"/>
          </w:rPr>
          <w:t>D</w:t>
        </w:r>
        <w:r w:rsidR="00CD6038">
          <w:rPr>
            <w:rStyle w:val="Hyperlink"/>
          </w:rPr>
          <w:t xml:space="preserve">evices (LIPD) </w:t>
        </w:r>
        <w:r w:rsidR="00B831AB">
          <w:rPr>
            <w:rStyle w:val="Hyperlink"/>
          </w:rPr>
          <w:t>C</w:t>
        </w:r>
        <w:r w:rsidR="00CD6038">
          <w:rPr>
            <w:rStyle w:val="Hyperlink"/>
          </w:rPr>
          <w:t xml:space="preserve">lass </w:t>
        </w:r>
        <w:r w:rsidR="00B831AB">
          <w:rPr>
            <w:rStyle w:val="Hyperlink"/>
          </w:rPr>
          <w:t>L</w:t>
        </w:r>
        <w:r w:rsidR="00CD6038">
          <w:rPr>
            <w:rStyle w:val="Hyperlink"/>
          </w:rPr>
          <w:t>icence</w:t>
        </w:r>
      </w:hyperlink>
      <w:r w:rsidR="00CD6038">
        <w:rPr>
          <w:rStyle w:val="Hyperlink"/>
        </w:rPr>
        <w:t xml:space="preserve"> </w:t>
      </w:r>
      <w:r w:rsidR="00CD6038">
        <w:t xml:space="preserve">for the purposes of </w:t>
      </w:r>
      <w:r w:rsidR="00C95019">
        <w:t xml:space="preserve">enabling uncoordinated </w:t>
      </w:r>
      <w:r w:rsidR="00411CFC">
        <w:t xml:space="preserve">time-division duplex (TDD) </w:t>
      </w:r>
      <w:r w:rsidR="00C95019">
        <w:t xml:space="preserve">wireless </w:t>
      </w:r>
      <w:r w:rsidR="00C95019" w:rsidRPr="001C3BD1">
        <w:t>broadband</w:t>
      </w:r>
      <w:r w:rsidR="00C95019">
        <w:t xml:space="preserve"> deployments. </w:t>
      </w:r>
      <w:r w:rsidR="00196F38">
        <w:t>Class licence conditions are outlined below.</w:t>
      </w:r>
    </w:p>
    <w:p w14:paraId="05731E85" w14:textId="61575633" w:rsidR="005111F5" w:rsidRDefault="00393B84" w:rsidP="001C3BD1">
      <w:pPr>
        <w:pStyle w:val="ListBulletLast"/>
      </w:pPr>
      <w:r w:rsidRPr="001C3BD1">
        <w:t>Implement</w:t>
      </w:r>
      <w:r>
        <w:t xml:space="preserve"> apparatus licensing arrangements, including creation of appropriate coordination instructions, for TDD wireless broadband services in the frequency range 24.7</w:t>
      </w:r>
      <w:r w:rsidR="00B831AB">
        <w:t>–</w:t>
      </w:r>
      <w:r>
        <w:t>27.5 GHz</w:t>
      </w:r>
      <w:r w:rsidR="00196F38">
        <w:t xml:space="preserve"> (outside of defined areas in </w:t>
      </w:r>
      <w:r w:rsidR="00F80E94">
        <w:t xml:space="preserve">the </w:t>
      </w:r>
      <w:r w:rsidR="00196F38">
        <w:t>25.1</w:t>
      </w:r>
      <w:r w:rsidR="00B831AB">
        <w:t>–</w:t>
      </w:r>
      <w:r w:rsidR="00196F38">
        <w:t>27.5 GHz</w:t>
      </w:r>
      <w:r w:rsidR="00F80E94">
        <w:t xml:space="preserve"> range</w:t>
      </w:r>
      <w:r w:rsidR="00196F38">
        <w:t>)</w:t>
      </w:r>
      <w:r>
        <w:t>.</w:t>
      </w:r>
    </w:p>
    <w:p w14:paraId="3159A5F9" w14:textId="64B7C094" w:rsidR="001B25B2" w:rsidRPr="001B25B2" w:rsidRDefault="008B0AFD" w:rsidP="00575039">
      <w:pPr>
        <w:pStyle w:val="Heading3"/>
      </w:pPr>
      <w:bookmarkStart w:id="62" w:name="_Toc4664101"/>
      <w:r>
        <w:t>Intentions</w:t>
      </w:r>
      <w:bookmarkEnd w:id="62"/>
    </w:p>
    <w:p w14:paraId="5A37C82D" w14:textId="215F6E8E" w:rsidR="00393B84" w:rsidRDefault="00393B84" w:rsidP="00393B84">
      <w:pPr>
        <w:pStyle w:val="ListBullet"/>
        <w:numPr>
          <w:ilvl w:val="0"/>
          <w:numId w:val="0"/>
        </w:numPr>
        <w:ind w:left="295" w:hanging="295"/>
      </w:pPr>
      <w:r>
        <w:t xml:space="preserve">The ACMA </w:t>
      </w:r>
      <w:r w:rsidRPr="00B831AB">
        <w:t>intends</w:t>
      </w:r>
      <w:r>
        <w:t xml:space="preserve"> to commence work on spectrum licensing</w:t>
      </w:r>
      <w:r w:rsidR="00BE285F">
        <w:t>, including</w:t>
      </w:r>
      <w:r>
        <w:t>:</w:t>
      </w:r>
    </w:p>
    <w:p w14:paraId="290742D0" w14:textId="5FAE498F" w:rsidR="00393B84" w:rsidRDefault="00393B84" w:rsidP="001C3BD1">
      <w:pPr>
        <w:pStyle w:val="ListBullet"/>
      </w:pPr>
      <w:r>
        <w:t>Consult</w:t>
      </w:r>
      <w:r w:rsidR="00BE285F">
        <w:t>ing</w:t>
      </w:r>
      <w:r>
        <w:t xml:space="preserve"> with </w:t>
      </w:r>
      <w:r w:rsidR="00560BE4">
        <w:t xml:space="preserve">existing </w:t>
      </w:r>
      <w:r>
        <w:t xml:space="preserve">licensees operating with frequency assignments in defined areas and </w:t>
      </w:r>
      <w:r w:rsidRPr="001C3BD1">
        <w:t>operating</w:t>
      </w:r>
      <w:r>
        <w:t xml:space="preserve"> in the frequency range 25.1</w:t>
      </w:r>
      <w:r w:rsidR="00B831AB">
        <w:t>–</w:t>
      </w:r>
      <w:r>
        <w:t>27.5 GHz</w:t>
      </w:r>
      <w:r w:rsidR="00F80E94">
        <w:t>, prior to</w:t>
      </w:r>
      <w:r>
        <w:t xml:space="preserve"> making a</w:t>
      </w:r>
      <w:r w:rsidR="00F80E94">
        <w:t>ny</w:t>
      </w:r>
      <w:r>
        <w:t xml:space="preserve"> recommendation to the </w:t>
      </w:r>
      <w:r w:rsidR="000242BD">
        <w:t>m</w:t>
      </w:r>
      <w:r>
        <w:t>inister on reallocation of that range, in accordance with s</w:t>
      </w:r>
      <w:r w:rsidR="00FF479F">
        <w:t xml:space="preserve">ection </w:t>
      </w:r>
      <w:r>
        <w:t xml:space="preserve">153G of the Act. </w:t>
      </w:r>
    </w:p>
    <w:p w14:paraId="169ADE96" w14:textId="52B0F2DA" w:rsidR="00393B84" w:rsidRPr="001C3BD1" w:rsidRDefault="00393B84" w:rsidP="001C3BD1">
      <w:pPr>
        <w:pStyle w:val="ListBullet"/>
      </w:pPr>
      <w:r w:rsidRPr="001C3BD1">
        <w:t xml:space="preserve">Subject to consultation outcomes, </w:t>
      </w:r>
      <w:r w:rsidR="00196F38" w:rsidRPr="001C3BD1">
        <w:t>recommend</w:t>
      </w:r>
      <w:r w:rsidRPr="001C3BD1">
        <w:t xml:space="preserve"> to the </w:t>
      </w:r>
      <w:r w:rsidR="000242BD" w:rsidRPr="001C3BD1">
        <w:t>m</w:t>
      </w:r>
      <w:r w:rsidRPr="001C3BD1">
        <w:t>inister under s</w:t>
      </w:r>
      <w:r w:rsidR="00FF479F" w:rsidRPr="001C3BD1">
        <w:t xml:space="preserve">ection </w:t>
      </w:r>
      <w:r w:rsidRPr="001C3BD1">
        <w:t>153F of the Act that the 25.1</w:t>
      </w:r>
      <w:r w:rsidR="00B831AB" w:rsidRPr="001C3BD1">
        <w:t>–</w:t>
      </w:r>
      <w:r w:rsidRPr="001C3BD1">
        <w:t>27.5 GHz frequency range be reallocated for spectrum licencing for wireless broadband services.</w:t>
      </w:r>
    </w:p>
    <w:p w14:paraId="3676C428" w14:textId="69617840" w:rsidR="008B24C4" w:rsidRDefault="008B24C4" w:rsidP="001C3BD1">
      <w:pPr>
        <w:pStyle w:val="ListBullet"/>
      </w:pPr>
      <w:r w:rsidRPr="001C3BD1">
        <w:lastRenderedPageBreak/>
        <w:t xml:space="preserve">Subject to the </w:t>
      </w:r>
      <w:r w:rsidR="000242BD" w:rsidRPr="001C3BD1">
        <w:t>m</w:t>
      </w:r>
      <w:r w:rsidRPr="001C3BD1">
        <w:t>inister’s decision</w:t>
      </w:r>
      <w:r w:rsidR="00FF479F" w:rsidRPr="001C3BD1">
        <w:t xml:space="preserve"> to make a reallocation declaration under section 153B of the Act</w:t>
      </w:r>
      <w:r w:rsidRPr="001C3BD1">
        <w:t>, d</w:t>
      </w:r>
      <w:r w:rsidR="004666B7" w:rsidRPr="001C3BD1">
        <w:t>evelop the technical framework (</w:t>
      </w:r>
      <w:r w:rsidRPr="001C3BD1">
        <w:t>via the usual TLG process)</w:t>
      </w:r>
      <w:r w:rsidR="00A50D79" w:rsidRPr="001C3BD1">
        <w:t xml:space="preserve"> and </w:t>
      </w:r>
      <w:r w:rsidR="00FF479F" w:rsidRPr="001C3BD1">
        <w:t>legislative instruments</w:t>
      </w:r>
      <w:r w:rsidRPr="001C3BD1">
        <w:t xml:space="preserve"> for the </w:t>
      </w:r>
      <w:r w:rsidR="00FF479F" w:rsidRPr="001C3BD1">
        <w:t xml:space="preserve">allocation </w:t>
      </w:r>
      <w:r w:rsidRPr="001C3BD1">
        <w:t>of spectrum licences for wireless broadband services.</w:t>
      </w:r>
      <w:r>
        <w:t xml:space="preserve"> </w:t>
      </w:r>
    </w:p>
    <w:p w14:paraId="2B1FCD7F" w14:textId="49740E6F" w:rsidR="001B25B2" w:rsidRDefault="00B8584E" w:rsidP="001C3BD1">
      <w:pPr>
        <w:pStyle w:val="ListBulletLast"/>
      </w:pPr>
      <w:r>
        <w:t xml:space="preserve">If necessary, </w:t>
      </w:r>
      <w:r w:rsidR="00FF479F">
        <w:t xml:space="preserve">consider </w:t>
      </w:r>
      <w:r>
        <w:t>e</w:t>
      </w:r>
      <w:r w:rsidR="0003562A">
        <w:t>xercis</w:t>
      </w:r>
      <w:r w:rsidR="00FF479F">
        <w:t>ing</w:t>
      </w:r>
      <w:r w:rsidR="0003562A">
        <w:t xml:space="preserve"> </w:t>
      </w:r>
      <w:r w:rsidR="006A48A2">
        <w:t xml:space="preserve">the ACMA’s </w:t>
      </w:r>
      <w:r w:rsidR="0003562A">
        <w:t>power under s</w:t>
      </w:r>
      <w:r w:rsidR="00FF479F">
        <w:t xml:space="preserve">ubsection </w:t>
      </w:r>
      <w:r w:rsidR="0003562A">
        <w:t>105(2) of the</w:t>
      </w:r>
      <w:r w:rsidR="00FF479F">
        <w:t xml:space="preserve"> Act</w:t>
      </w:r>
      <w:r w:rsidR="00FF479F">
        <w:rPr>
          <w:i/>
        </w:rPr>
        <w:t xml:space="preserve"> </w:t>
      </w:r>
      <w:r w:rsidR="0003562A">
        <w:t>(</w:t>
      </w:r>
      <w:r w:rsidR="006A48A2">
        <w:t>‘</w:t>
      </w:r>
      <w:r w:rsidR="0003562A">
        <w:t>special circumstances</w:t>
      </w:r>
      <w:r w:rsidR="006A48A2">
        <w:t>’</w:t>
      </w:r>
      <w:r w:rsidR="0003562A">
        <w:t xml:space="preserve">) to take measures to allow continued apparatus licensing of </w:t>
      </w:r>
      <w:r w:rsidR="00C32FB9">
        <w:t xml:space="preserve">specific </w:t>
      </w:r>
      <w:r w:rsidR="0003562A">
        <w:t xml:space="preserve">incumbent </w:t>
      </w:r>
      <w:r>
        <w:t>radiodetermination serv</w:t>
      </w:r>
      <w:r w:rsidR="00190F88">
        <w:t>i</w:t>
      </w:r>
      <w:r>
        <w:t>ces overlapping the range 25.1</w:t>
      </w:r>
      <w:r w:rsidR="006A48A2">
        <w:t>–</w:t>
      </w:r>
      <w:r>
        <w:t>27.5 GHz</w:t>
      </w:r>
      <w:r w:rsidR="0003562A">
        <w:t xml:space="preserve"> in </w:t>
      </w:r>
      <w:r w:rsidR="00576FE4">
        <w:t>areas</w:t>
      </w:r>
      <w:r w:rsidR="0003562A">
        <w:t xml:space="preserve"> to be subject to spectrum licensing.</w:t>
      </w:r>
      <w:r>
        <w:rPr>
          <w:rStyle w:val="FootnoteReference"/>
        </w:rPr>
        <w:footnoteReference w:id="14"/>
      </w:r>
    </w:p>
    <w:p w14:paraId="215E91B1" w14:textId="0BF835CF" w:rsidR="00393B84" w:rsidRDefault="00393B84" w:rsidP="006A48A2">
      <w:pPr>
        <w:pStyle w:val="ListBullet"/>
        <w:numPr>
          <w:ilvl w:val="0"/>
          <w:numId w:val="0"/>
        </w:numPr>
        <w:spacing w:before="120" w:after="120" w:line="240" w:lineRule="auto"/>
      </w:pPr>
      <w:r>
        <w:t xml:space="preserve">The ACMA </w:t>
      </w:r>
      <w:r w:rsidR="00FF479F" w:rsidRPr="006A48A2">
        <w:t>intends</w:t>
      </w:r>
      <w:r>
        <w:rPr>
          <w:i/>
        </w:rPr>
        <w:t xml:space="preserve"> </w:t>
      </w:r>
      <w:r>
        <w:t>to</w:t>
      </w:r>
      <w:r w:rsidR="006A48A2">
        <w:t xml:space="preserve"> c</w:t>
      </w:r>
      <w:r>
        <w:t xml:space="preserve">ontinue to work with non-traditional users </w:t>
      </w:r>
      <w:r w:rsidR="006A48A2">
        <w:t xml:space="preserve">such as retail/commercial facilities, academic institutions, hospitals, mine sites, government facilities, factories and other industrial plants </w:t>
      </w:r>
      <w:r>
        <w:t>to identify potential spectrum requirements to facilitate future type 3 use. If demand is projected to exceed the 850 MHz already agreed for class licensed wireless broadband services (24.25</w:t>
      </w:r>
      <w:r w:rsidR="006A48A2">
        <w:t>–</w:t>
      </w:r>
      <w:r>
        <w:t>25.1 GHz), the ACMA will consider expanding these arrangements into the segment identified for spectrum licensing (25.1</w:t>
      </w:r>
      <w:r w:rsidR="006A48A2">
        <w:t>–</w:t>
      </w:r>
      <w:r>
        <w:t xml:space="preserve">27.5 GHz). </w:t>
      </w:r>
      <w:r w:rsidR="005A7CB0">
        <w:t>Any such consideration should preferably be finalised prior to a minister’s decision on reallocation of that segment for spectrum licensing.</w:t>
      </w:r>
    </w:p>
    <w:p w14:paraId="156726B4" w14:textId="0D0BF170" w:rsidR="001B25B2" w:rsidRDefault="001B25B2" w:rsidP="00575039">
      <w:pPr>
        <w:pStyle w:val="Heading3"/>
      </w:pPr>
      <w:bookmarkStart w:id="63" w:name="_Toc4664102"/>
      <w:r>
        <w:t>Preliminary views</w:t>
      </w:r>
      <w:bookmarkEnd w:id="63"/>
    </w:p>
    <w:p w14:paraId="200ED2BF" w14:textId="7A5F7052" w:rsidR="00393B84" w:rsidRDefault="002E6473" w:rsidP="00DF1CCC">
      <w:r>
        <w:t>T</w:t>
      </w:r>
      <w:r w:rsidR="00393B84">
        <w:t>he ACMA has formed</w:t>
      </w:r>
      <w:r w:rsidR="009B21EB">
        <w:t xml:space="preserve"> the following</w:t>
      </w:r>
      <w:r w:rsidR="00393B84">
        <w:t xml:space="preserve"> </w:t>
      </w:r>
      <w:r w:rsidR="00393B84" w:rsidRPr="006A48A2">
        <w:t>preliminary views</w:t>
      </w:r>
      <w:r w:rsidR="00393B84">
        <w:rPr>
          <w:i/>
        </w:rPr>
        <w:t xml:space="preserve"> </w:t>
      </w:r>
      <w:r w:rsidR="00393B84">
        <w:t xml:space="preserve">on </w:t>
      </w:r>
      <w:r w:rsidR="009004B9">
        <w:t>a range of</w:t>
      </w:r>
      <w:r w:rsidR="00393B84">
        <w:t xml:space="preserve"> provisions and conditions that </w:t>
      </w:r>
      <w:r w:rsidR="009004B9">
        <w:t>might</w:t>
      </w:r>
      <w:r w:rsidR="00393B84">
        <w:t xml:space="preserve"> apply to class, apparatus and spectrum licences</w:t>
      </w:r>
      <w:r w:rsidR="00DF1CCC">
        <w:t xml:space="preserve"> for wireless broadband services</w:t>
      </w:r>
      <w:r w:rsidR="00393B84">
        <w:t xml:space="preserve">. </w:t>
      </w:r>
      <w:r w:rsidR="004B2361">
        <w:t xml:space="preserve">Definitive conditions </w:t>
      </w:r>
      <w:r w:rsidR="00657CD1">
        <w:t>will be developed as part of standard consultative processes in the development of the relevant regulatory tools</w:t>
      </w:r>
      <w:r w:rsidR="00FF479F">
        <w:t>, including relevant legislative instruments</w:t>
      </w:r>
      <w:r w:rsidR="00657CD1">
        <w:t xml:space="preserve">. </w:t>
      </w:r>
      <w:r w:rsidR="00D50A69">
        <w:t>As such</w:t>
      </w:r>
      <w:r w:rsidR="006A48A2">
        <w:t>,</w:t>
      </w:r>
      <w:r w:rsidR="00D50A69">
        <w:t xml:space="preserve"> the following should not be viewed as definitive views of the ACMA and all are subject to variation.</w:t>
      </w:r>
    </w:p>
    <w:p w14:paraId="713B3BF8" w14:textId="4C350344" w:rsidR="00393B84" w:rsidRPr="00122989" w:rsidRDefault="00DF1CCC" w:rsidP="00746EE7">
      <w:pPr>
        <w:spacing w:after="80"/>
        <w:rPr>
          <w:b/>
        </w:rPr>
      </w:pPr>
      <w:r w:rsidRPr="00122989">
        <w:rPr>
          <w:b/>
        </w:rPr>
        <w:t>C</w:t>
      </w:r>
      <w:r w:rsidR="00393B84" w:rsidRPr="00122989">
        <w:rPr>
          <w:b/>
        </w:rPr>
        <w:t>lass licence conditions</w:t>
      </w:r>
      <w:r w:rsidR="006A48A2" w:rsidRPr="00122989">
        <w:rPr>
          <w:b/>
        </w:rPr>
        <w:t>—</w:t>
      </w:r>
      <w:r w:rsidRPr="00122989">
        <w:rPr>
          <w:b/>
        </w:rPr>
        <w:t>preliminary views</w:t>
      </w:r>
      <w:r w:rsidR="00393B84" w:rsidRPr="00122989">
        <w:rPr>
          <w:b/>
        </w:rPr>
        <w:t>:</w:t>
      </w:r>
    </w:p>
    <w:p w14:paraId="271259C1" w14:textId="140940B7" w:rsidR="00530395" w:rsidRPr="001C3BD1" w:rsidRDefault="00B80C61" w:rsidP="00746EE7">
      <w:pPr>
        <w:pStyle w:val="ListBullet"/>
        <w:rPr>
          <w:rStyle w:val="Hyperlink"/>
          <w:color w:val="auto"/>
          <w:u w:val="none"/>
        </w:rPr>
      </w:pPr>
      <w:r w:rsidRPr="00746EE7">
        <w:rPr>
          <w:rStyle w:val="Hyperlink"/>
          <w:color w:val="auto"/>
          <w:u w:val="none"/>
        </w:rPr>
        <w:t>Deployments</w:t>
      </w:r>
      <w:r w:rsidRPr="001C3BD1">
        <w:rPr>
          <w:rStyle w:val="Hyperlink"/>
          <w:color w:val="auto"/>
          <w:u w:val="none"/>
        </w:rPr>
        <w:t xml:space="preserve"> may be fixed point-to-multipoint or mobile (base station with service area) in nature</w:t>
      </w:r>
      <w:r w:rsidR="006A48A2" w:rsidRPr="001C3BD1">
        <w:rPr>
          <w:rStyle w:val="Hyperlink"/>
          <w:color w:val="auto"/>
          <w:u w:val="none"/>
        </w:rPr>
        <w:t xml:space="preserve">. </w:t>
      </w:r>
    </w:p>
    <w:p w14:paraId="654E786B" w14:textId="42045DEF" w:rsidR="00B80C61" w:rsidRPr="001C3BD1" w:rsidRDefault="00530395" w:rsidP="001C3BD1">
      <w:pPr>
        <w:pStyle w:val="ListBullet"/>
        <w:rPr>
          <w:rStyle w:val="Hyperlink"/>
          <w:color w:val="auto"/>
          <w:u w:val="none"/>
        </w:rPr>
      </w:pPr>
      <w:r w:rsidRPr="001C3BD1">
        <w:rPr>
          <w:rStyle w:val="Hyperlink"/>
          <w:color w:val="auto"/>
          <w:u w:val="none"/>
        </w:rPr>
        <w:t>Operation is permitted on an Australia-wide basis</w:t>
      </w:r>
      <w:r w:rsidR="006A48A2" w:rsidRPr="001C3BD1">
        <w:rPr>
          <w:rStyle w:val="Hyperlink"/>
          <w:color w:val="auto"/>
          <w:u w:val="none"/>
        </w:rPr>
        <w:t>.</w:t>
      </w:r>
      <w:r w:rsidRPr="001C3BD1">
        <w:rPr>
          <w:rStyle w:val="Hyperlink"/>
          <w:color w:val="auto"/>
          <w:u w:val="none"/>
        </w:rPr>
        <w:t xml:space="preserve"> </w:t>
      </w:r>
    </w:p>
    <w:p w14:paraId="6179ABAF" w14:textId="6C844A9C" w:rsidR="00530395" w:rsidRPr="001C3BD1" w:rsidRDefault="00530395" w:rsidP="001C3BD1">
      <w:pPr>
        <w:pStyle w:val="ListBullet"/>
        <w:rPr>
          <w:rStyle w:val="Hyperlink"/>
          <w:color w:val="auto"/>
          <w:u w:val="none"/>
        </w:rPr>
      </w:pPr>
      <w:r w:rsidRPr="001C3BD1">
        <w:rPr>
          <w:rStyle w:val="Hyperlink"/>
          <w:color w:val="auto"/>
          <w:u w:val="none"/>
        </w:rPr>
        <w:t>Service area</w:t>
      </w:r>
      <w:r w:rsidR="007E3A36" w:rsidRPr="001C3BD1">
        <w:rPr>
          <w:rStyle w:val="Hyperlink"/>
          <w:color w:val="auto"/>
          <w:u w:val="none"/>
        </w:rPr>
        <w:t>s will be</w:t>
      </w:r>
      <w:r w:rsidRPr="001C3BD1">
        <w:rPr>
          <w:rStyle w:val="Hyperlink"/>
          <w:color w:val="auto"/>
          <w:u w:val="none"/>
        </w:rPr>
        <w:t xml:space="preserve"> limited to private (including domestic, industrial, business, commercial and government) </w:t>
      </w:r>
      <w:r w:rsidR="00403B1F" w:rsidRPr="001C3BD1">
        <w:rPr>
          <w:rStyle w:val="Hyperlink"/>
          <w:color w:val="auto"/>
          <w:u w:val="none"/>
        </w:rPr>
        <w:t>property</w:t>
      </w:r>
      <w:r w:rsidRPr="001C3BD1">
        <w:rPr>
          <w:rStyle w:val="Hyperlink"/>
          <w:color w:val="auto"/>
          <w:u w:val="none"/>
        </w:rPr>
        <w:t>.</w:t>
      </w:r>
      <w:r w:rsidR="00AE390E" w:rsidRPr="001C3BD1">
        <w:rPr>
          <w:rStyle w:val="Hyperlink"/>
          <w:color w:val="auto"/>
          <w:u w:val="none"/>
        </w:rPr>
        <w:t xml:space="preserve"> This can be outdoors or indoors</w:t>
      </w:r>
      <w:r w:rsidR="008E45B2" w:rsidRPr="001C3BD1">
        <w:rPr>
          <w:rStyle w:val="Hyperlink"/>
          <w:color w:val="auto"/>
          <w:u w:val="none"/>
        </w:rPr>
        <w:t>, depending on frequency range</w:t>
      </w:r>
      <w:r w:rsidR="009E1C02" w:rsidRPr="001C3BD1">
        <w:rPr>
          <w:rStyle w:val="Hyperlink"/>
          <w:color w:val="auto"/>
          <w:u w:val="none"/>
        </w:rPr>
        <w:t xml:space="preserve"> (see below)</w:t>
      </w:r>
      <w:r w:rsidR="00AE390E" w:rsidRPr="001C3BD1">
        <w:rPr>
          <w:rStyle w:val="Hyperlink"/>
          <w:color w:val="auto"/>
          <w:u w:val="none"/>
        </w:rPr>
        <w:t>.</w:t>
      </w:r>
    </w:p>
    <w:p w14:paraId="7BE9584F" w14:textId="3C946F2B" w:rsidR="00530395" w:rsidRPr="001C3BD1" w:rsidRDefault="00530395" w:rsidP="001C3BD1">
      <w:pPr>
        <w:pStyle w:val="ListBullet"/>
        <w:rPr>
          <w:rStyle w:val="Hyperlink"/>
          <w:color w:val="auto"/>
          <w:u w:val="none"/>
        </w:rPr>
      </w:pPr>
      <w:r w:rsidRPr="001C3BD1">
        <w:rPr>
          <w:rStyle w:val="Hyperlink"/>
          <w:color w:val="auto"/>
          <w:u w:val="none"/>
        </w:rPr>
        <w:t xml:space="preserve">Services must not cause interference to, or claim protection from, other </w:t>
      </w:r>
      <w:r w:rsidR="007E3A36" w:rsidRPr="001C3BD1">
        <w:rPr>
          <w:rStyle w:val="Hyperlink"/>
          <w:color w:val="auto"/>
          <w:u w:val="none"/>
        </w:rPr>
        <w:t xml:space="preserve">licensed </w:t>
      </w:r>
      <w:r w:rsidRPr="001C3BD1">
        <w:rPr>
          <w:rStyle w:val="Hyperlink"/>
          <w:color w:val="auto"/>
          <w:u w:val="none"/>
        </w:rPr>
        <w:t>services (including co-frequency apparatus-licen</w:t>
      </w:r>
      <w:r w:rsidR="00574F4A" w:rsidRPr="001C3BD1">
        <w:rPr>
          <w:rStyle w:val="Hyperlink"/>
          <w:color w:val="auto"/>
          <w:u w:val="none"/>
        </w:rPr>
        <w:t>s</w:t>
      </w:r>
      <w:r w:rsidRPr="001C3BD1">
        <w:rPr>
          <w:rStyle w:val="Hyperlink"/>
          <w:color w:val="auto"/>
          <w:u w:val="none"/>
        </w:rPr>
        <w:t>ed services in the 24.7</w:t>
      </w:r>
      <w:r w:rsidR="006A48A2" w:rsidRPr="001C3BD1">
        <w:rPr>
          <w:rStyle w:val="Hyperlink"/>
          <w:color w:val="auto"/>
          <w:u w:val="none"/>
        </w:rPr>
        <w:t>–</w:t>
      </w:r>
      <w:r w:rsidRPr="001C3BD1">
        <w:rPr>
          <w:rStyle w:val="Hyperlink"/>
          <w:color w:val="auto"/>
          <w:u w:val="none"/>
        </w:rPr>
        <w:t>25.1 GHz range).</w:t>
      </w:r>
    </w:p>
    <w:p w14:paraId="63CF783E" w14:textId="25799A31" w:rsidR="00D742F1" w:rsidRPr="001C3BD1" w:rsidRDefault="00D742F1" w:rsidP="001C3BD1">
      <w:pPr>
        <w:pStyle w:val="ListBullet"/>
        <w:rPr>
          <w:rStyle w:val="Hyperlink"/>
          <w:color w:val="auto"/>
          <w:u w:val="none"/>
        </w:rPr>
      </w:pPr>
      <w:r w:rsidRPr="001C3BD1">
        <w:rPr>
          <w:rStyle w:val="Hyperlink"/>
          <w:color w:val="auto"/>
          <w:u w:val="none"/>
        </w:rPr>
        <w:t>In the range 24.25-24.7 GHz</w:t>
      </w:r>
      <w:r w:rsidR="00122989" w:rsidRPr="001C3BD1">
        <w:rPr>
          <w:rStyle w:val="Hyperlink"/>
          <w:color w:val="auto"/>
          <w:u w:val="none"/>
        </w:rPr>
        <w:t>,</w:t>
      </w:r>
      <w:r w:rsidRPr="001C3BD1">
        <w:rPr>
          <w:rStyle w:val="Hyperlink"/>
          <w:color w:val="auto"/>
          <w:u w:val="none"/>
        </w:rPr>
        <w:t xml:space="preserve"> operation is limited to indoor use only</w:t>
      </w:r>
      <w:r w:rsidR="00122989" w:rsidRPr="001C3BD1">
        <w:rPr>
          <w:rStyle w:val="Hyperlink"/>
          <w:color w:val="auto"/>
          <w:u w:val="none"/>
        </w:rPr>
        <w:t>.</w:t>
      </w:r>
    </w:p>
    <w:p w14:paraId="36EA531D" w14:textId="451D0DE9" w:rsidR="0049507F" w:rsidRDefault="0049507F" w:rsidP="001C3BD1">
      <w:pPr>
        <w:pStyle w:val="ListBullet"/>
        <w:rPr>
          <w:rStyle w:val="Hyperlink"/>
          <w:color w:val="auto"/>
          <w:u w:val="none"/>
        </w:rPr>
      </w:pPr>
      <w:r w:rsidRPr="001C3BD1">
        <w:rPr>
          <w:rStyle w:val="Hyperlink"/>
          <w:color w:val="auto"/>
          <w:u w:val="none"/>
        </w:rPr>
        <w:t>In the range 24.7</w:t>
      </w:r>
      <w:r w:rsidR="00122989" w:rsidRPr="001C3BD1">
        <w:rPr>
          <w:rStyle w:val="Hyperlink"/>
          <w:color w:val="auto"/>
          <w:u w:val="none"/>
        </w:rPr>
        <w:t>–</w:t>
      </w:r>
      <w:r w:rsidRPr="001C3BD1">
        <w:rPr>
          <w:rStyle w:val="Hyperlink"/>
          <w:color w:val="auto"/>
          <w:u w:val="none"/>
        </w:rPr>
        <w:t>25.1 GHz operation can be either indoor</w:t>
      </w:r>
      <w:r w:rsidR="00574F4A" w:rsidRPr="001C3BD1">
        <w:rPr>
          <w:rStyle w:val="Hyperlink"/>
          <w:color w:val="auto"/>
          <w:u w:val="none"/>
        </w:rPr>
        <w:t>s</w:t>
      </w:r>
      <w:r w:rsidRPr="001C3BD1">
        <w:rPr>
          <w:rStyle w:val="Hyperlink"/>
          <w:color w:val="auto"/>
          <w:u w:val="none"/>
        </w:rPr>
        <w:t xml:space="preserve"> or outdoor</w:t>
      </w:r>
      <w:r w:rsidR="00574F4A" w:rsidRPr="001C3BD1">
        <w:rPr>
          <w:rStyle w:val="Hyperlink"/>
          <w:color w:val="auto"/>
          <w:u w:val="none"/>
        </w:rPr>
        <w:t>s</w:t>
      </w:r>
      <w:r w:rsidRPr="001C3BD1">
        <w:rPr>
          <w:rStyle w:val="Hyperlink"/>
          <w:color w:val="auto"/>
          <w:u w:val="none"/>
        </w:rPr>
        <w:t>.</w:t>
      </w:r>
    </w:p>
    <w:p w14:paraId="24104812" w14:textId="20F7F281" w:rsidR="00530395" w:rsidRDefault="00FE4D86" w:rsidP="001C3BD1">
      <w:pPr>
        <w:pStyle w:val="ListBullet"/>
        <w:rPr>
          <w:rStyle w:val="Hyperlink"/>
          <w:color w:val="auto"/>
          <w:u w:val="none"/>
        </w:rPr>
      </w:pPr>
      <w:r w:rsidRPr="001C3BD1">
        <w:rPr>
          <w:rStyle w:val="Hyperlink"/>
          <w:color w:val="auto"/>
          <w:u w:val="none"/>
        </w:rPr>
        <w:t>Proposed</w:t>
      </w:r>
      <w:r>
        <w:rPr>
          <w:rStyle w:val="Hyperlink"/>
          <w:color w:val="auto"/>
          <w:u w:val="none"/>
        </w:rPr>
        <w:t xml:space="preserve"> c</w:t>
      </w:r>
      <w:r w:rsidR="00530395">
        <w:rPr>
          <w:rStyle w:val="Hyperlink"/>
          <w:color w:val="auto"/>
          <w:u w:val="none"/>
        </w:rPr>
        <w:t>onditions for indoor use:</w:t>
      </w:r>
    </w:p>
    <w:p w14:paraId="0B81BD40" w14:textId="06AB81C2" w:rsidR="00102017" w:rsidRPr="001C3BD1" w:rsidRDefault="00102017" w:rsidP="001C3BD1">
      <w:pPr>
        <w:pStyle w:val="ListBullet2"/>
        <w:rPr>
          <w:rStyle w:val="Hyperlink"/>
          <w:color w:val="auto"/>
          <w:u w:val="none"/>
        </w:rPr>
      </w:pPr>
      <w:r w:rsidRPr="001C3BD1">
        <w:rPr>
          <w:rStyle w:val="Hyperlink"/>
          <w:color w:val="auto"/>
          <w:u w:val="none"/>
        </w:rPr>
        <w:t>Base station</w:t>
      </w:r>
      <w:r w:rsidR="00EC6611" w:rsidRPr="001C3BD1">
        <w:rPr>
          <w:rStyle w:val="Hyperlink"/>
          <w:color w:val="auto"/>
          <w:u w:val="none"/>
        </w:rPr>
        <w:t xml:space="preserve"> total radiated power</w:t>
      </w:r>
      <w:r w:rsidRPr="001C3BD1">
        <w:rPr>
          <w:rStyle w:val="Hyperlink"/>
          <w:color w:val="auto"/>
          <w:u w:val="none"/>
        </w:rPr>
        <w:t xml:space="preserve"> </w:t>
      </w:r>
      <w:r w:rsidR="00EC6611" w:rsidRPr="001C3BD1">
        <w:rPr>
          <w:rStyle w:val="Hyperlink"/>
          <w:color w:val="auto"/>
          <w:u w:val="none"/>
        </w:rPr>
        <w:t>(</w:t>
      </w:r>
      <w:r w:rsidRPr="001C3BD1">
        <w:rPr>
          <w:rStyle w:val="Hyperlink"/>
          <w:color w:val="auto"/>
          <w:u w:val="none"/>
        </w:rPr>
        <w:t>TRP</w:t>
      </w:r>
      <w:r w:rsidR="00EC6611" w:rsidRPr="001C3BD1">
        <w:rPr>
          <w:rStyle w:val="Hyperlink"/>
          <w:color w:val="auto"/>
          <w:u w:val="none"/>
        </w:rPr>
        <w:t>)</w:t>
      </w:r>
      <w:r w:rsidRPr="001C3BD1">
        <w:rPr>
          <w:rStyle w:val="Hyperlink"/>
          <w:color w:val="auto"/>
          <w:u w:val="none"/>
        </w:rPr>
        <w:t xml:space="preserve"> is not to exceed </w:t>
      </w:r>
      <w:r w:rsidR="00E92329" w:rsidRPr="001C3BD1">
        <w:rPr>
          <w:rStyle w:val="Hyperlink"/>
          <w:color w:val="auto"/>
          <w:u w:val="none"/>
        </w:rPr>
        <w:t>20</w:t>
      </w:r>
      <w:r w:rsidRPr="001C3BD1">
        <w:rPr>
          <w:rStyle w:val="Hyperlink"/>
          <w:color w:val="auto"/>
          <w:u w:val="none"/>
        </w:rPr>
        <w:t xml:space="preserve"> dB</w:t>
      </w:r>
      <w:r w:rsidR="00E92329" w:rsidRPr="001C3BD1">
        <w:rPr>
          <w:rStyle w:val="Hyperlink"/>
          <w:color w:val="auto"/>
          <w:u w:val="none"/>
        </w:rPr>
        <w:t>m/200 MHz</w:t>
      </w:r>
      <w:r w:rsidR="00122989" w:rsidRPr="001C3BD1">
        <w:rPr>
          <w:rStyle w:val="Hyperlink"/>
          <w:color w:val="auto"/>
          <w:u w:val="none"/>
        </w:rPr>
        <w:t>.</w:t>
      </w:r>
    </w:p>
    <w:p w14:paraId="67BC5121" w14:textId="7C9DA858" w:rsidR="00701710" w:rsidRPr="001C3BD1" w:rsidRDefault="00701710" w:rsidP="001C3BD1">
      <w:pPr>
        <w:pStyle w:val="ListBullet2"/>
        <w:rPr>
          <w:rStyle w:val="Hyperlink"/>
          <w:color w:val="auto"/>
          <w:u w:val="none"/>
        </w:rPr>
      </w:pPr>
      <w:r w:rsidRPr="001C3BD1">
        <w:rPr>
          <w:rStyle w:val="Hyperlink"/>
          <w:color w:val="auto"/>
          <w:u w:val="none"/>
        </w:rPr>
        <w:t xml:space="preserve">User equipment TRP is not to exceed </w:t>
      </w:r>
      <w:r w:rsidR="00606867" w:rsidRPr="001C3BD1">
        <w:rPr>
          <w:rStyle w:val="Hyperlink"/>
          <w:color w:val="auto"/>
          <w:u w:val="none"/>
        </w:rPr>
        <w:t>22 dBm per occupied bandwidth</w:t>
      </w:r>
      <w:r w:rsidR="00122989" w:rsidRPr="001C3BD1">
        <w:rPr>
          <w:rStyle w:val="Hyperlink"/>
          <w:color w:val="auto"/>
          <w:u w:val="none"/>
        </w:rPr>
        <w:t xml:space="preserve">. </w:t>
      </w:r>
    </w:p>
    <w:p w14:paraId="170FD990" w14:textId="0983C516" w:rsidR="00EB2C03" w:rsidRPr="001C3BD1" w:rsidRDefault="00EB2C03" w:rsidP="001C3BD1">
      <w:pPr>
        <w:pStyle w:val="ListBullet2"/>
        <w:rPr>
          <w:rStyle w:val="Hyperlink"/>
          <w:color w:val="auto"/>
          <w:u w:val="none"/>
        </w:rPr>
      </w:pPr>
      <w:r w:rsidRPr="001C3BD1">
        <w:t>Devices are to comply with the unwanted and spurious emission limits as described in the 38 series of 3GPP specifications.</w:t>
      </w:r>
      <w:r w:rsidR="00CD27F3">
        <w:rPr>
          <w:rStyle w:val="FootnoteReference"/>
        </w:rPr>
        <w:footnoteReference w:id="15"/>
      </w:r>
      <w:r w:rsidR="001C3BD1">
        <w:t xml:space="preserve"> </w:t>
      </w:r>
    </w:p>
    <w:p w14:paraId="60F9FCD1" w14:textId="452079D9" w:rsidR="00530395" w:rsidRPr="00190F88" w:rsidRDefault="00FE4D86" w:rsidP="00335D0B">
      <w:pPr>
        <w:pStyle w:val="ListBullet"/>
        <w:rPr>
          <w:rStyle w:val="Hyperlink"/>
          <w:color w:val="auto"/>
          <w:u w:val="none"/>
        </w:rPr>
      </w:pPr>
      <w:r>
        <w:rPr>
          <w:rStyle w:val="Hyperlink"/>
          <w:color w:val="auto"/>
          <w:u w:val="none"/>
        </w:rPr>
        <w:t>Proposed c</w:t>
      </w:r>
      <w:r w:rsidR="00530395" w:rsidRPr="00190F88">
        <w:rPr>
          <w:rStyle w:val="Hyperlink"/>
          <w:color w:val="auto"/>
          <w:u w:val="none"/>
        </w:rPr>
        <w:t>onditions for outdoor use</w:t>
      </w:r>
      <w:r w:rsidR="0049507F" w:rsidRPr="00190F88">
        <w:rPr>
          <w:rStyle w:val="Hyperlink"/>
          <w:color w:val="auto"/>
          <w:u w:val="none"/>
        </w:rPr>
        <w:t xml:space="preserve"> (24.7</w:t>
      </w:r>
      <w:r w:rsidR="00122989">
        <w:rPr>
          <w:rStyle w:val="Hyperlink"/>
          <w:color w:val="auto"/>
          <w:u w:val="none"/>
        </w:rPr>
        <w:t>–</w:t>
      </w:r>
      <w:r w:rsidR="0049507F" w:rsidRPr="00190F88">
        <w:rPr>
          <w:rStyle w:val="Hyperlink"/>
          <w:color w:val="auto"/>
          <w:u w:val="none"/>
        </w:rPr>
        <w:t>25.1 GHz only)</w:t>
      </w:r>
      <w:r w:rsidR="00530395" w:rsidRPr="00190F88">
        <w:rPr>
          <w:rStyle w:val="Hyperlink"/>
          <w:color w:val="auto"/>
          <w:u w:val="none"/>
        </w:rPr>
        <w:t>:</w:t>
      </w:r>
    </w:p>
    <w:p w14:paraId="5008837B" w14:textId="09EF522D" w:rsidR="00530395" w:rsidRPr="00335D0B" w:rsidRDefault="00530395" w:rsidP="00335D0B">
      <w:pPr>
        <w:pStyle w:val="ListBullet2"/>
        <w:rPr>
          <w:rStyle w:val="Hyperlink"/>
          <w:color w:val="auto"/>
          <w:u w:val="none"/>
        </w:rPr>
      </w:pPr>
      <w:r w:rsidRPr="00335D0B">
        <w:rPr>
          <w:rStyle w:val="Hyperlink"/>
          <w:color w:val="auto"/>
          <w:u w:val="none"/>
        </w:rPr>
        <w:t>Base station TRP is not to exceed 25 dBm/200 MHz</w:t>
      </w:r>
      <w:r w:rsidR="00122989" w:rsidRPr="00335D0B">
        <w:rPr>
          <w:rStyle w:val="Hyperlink"/>
          <w:color w:val="auto"/>
          <w:u w:val="none"/>
        </w:rPr>
        <w:t xml:space="preserve">. </w:t>
      </w:r>
      <w:r w:rsidRPr="00335D0B">
        <w:rPr>
          <w:rStyle w:val="Hyperlink"/>
          <w:color w:val="auto"/>
          <w:u w:val="none"/>
        </w:rPr>
        <w:t xml:space="preserve"> </w:t>
      </w:r>
    </w:p>
    <w:p w14:paraId="086DB966" w14:textId="3D3041BE" w:rsidR="00530395" w:rsidRPr="00335D0B" w:rsidRDefault="00530395" w:rsidP="00335D0B">
      <w:pPr>
        <w:pStyle w:val="ListBullet2"/>
        <w:rPr>
          <w:rStyle w:val="Hyperlink"/>
          <w:color w:val="auto"/>
          <w:u w:val="none"/>
        </w:rPr>
      </w:pPr>
      <w:r w:rsidRPr="00335D0B">
        <w:rPr>
          <w:rStyle w:val="Hyperlink"/>
          <w:color w:val="auto"/>
          <w:u w:val="none"/>
        </w:rPr>
        <w:lastRenderedPageBreak/>
        <w:t>User equipment TRP is not to exceed 22 dBm per occupied bandwidth</w:t>
      </w:r>
      <w:r w:rsidR="00122989" w:rsidRPr="00335D0B">
        <w:rPr>
          <w:rStyle w:val="Hyperlink"/>
          <w:color w:val="auto"/>
          <w:u w:val="none"/>
        </w:rPr>
        <w:t>.</w:t>
      </w:r>
    </w:p>
    <w:p w14:paraId="7E964152" w14:textId="7F56F51B" w:rsidR="00530395" w:rsidRPr="00393B84" w:rsidRDefault="00273412" w:rsidP="00335D0B">
      <w:pPr>
        <w:pStyle w:val="ListBullet2"/>
        <w:rPr>
          <w:rStyle w:val="Hyperlink"/>
          <w:color w:val="auto"/>
          <w:u w:val="none"/>
        </w:rPr>
      </w:pPr>
      <w:r w:rsidRPr="00335D0B">
        <w:rPr>
          <w:rStyle w:val="Hyperlink"/>
          <w:color w:val="auto"/>
          <w:u w:val="none"/>
        </w:rPr>
        <w:t>The TRP is</w:t>
      </w:r>
      <w:r w:rsidR="00530395" w:rsidRPr="00335D0B">
        <w:rPr>
          <w:rStyle w:val="Hyperlink"/>
          <w:color w:val="auto"/>
          <w:u w:val="none"/>
        </w:rPr>
        <w:t xml:space="preserve"> not to exceed -37 </w:t>
      </w:r>
      <w:proofErr w:type="spellStart"/>
      <w:r w:rsidR="00530395" w:rsidRPr="00335D0B">
        <w:rPr>
          <w:rStyle w:val="Hyperlink"/>
          <w:color w:val="auto"/>
          <w:u w:val="none"/>
        </w:rPr>
        <w:t>dBW</w:t>
      </w:r>
      <w:proofErr w:type="spellEnd"/>
      <w:r w:rsidR="00530395" w:rsidRPr="00335D0B">
        <w:rPr>
          <w:rStyle w:val="Hyperlink"/>
          <w:color w:val="auto"/>
          <w:u w:val="none"/>
        </w:rPr>
        <w:t xml:space="preserve">/200 MHz for base stations and -33 </w:t>
      </w:r>
      <w:proofErr w:type="spellStart"/>
      <w:r w:rsidR="00530395" w:rsidRPr="00335D0B">
        <w:rPr>
          <w:rStyle w:val="Hyperlink"/>
          <w:color w:val="auto"/>
          <w:u w:val="none"/>
        </w:rPr>
        <w:t>dBW</w:t>
      </w:r>
      <w:proofErr w:type="spellEnd"/>
      <w:r w:rsidR="00530395" w:rsidRPr="00335D0B">
        <w:rPr>
          <w:rStyle w:val="Hyperlink"/>
          <w:color w:val="auto"/>
          <w:u w:val="none"/>
        </w:rPr>
        <w:t>/200 MHz for UE, measured anywhere in the range 23.6</w:t>
      </w:r>
      <w:r w:rsidR="00122989" w:rsidRPr="00335D0B">
        <w:rPr>
          <w:rStyle w:val="Hyperlink"/>
          <w:color w:val="auto"/>
          <w:u w:val="none"/>
        </w:rPr>
        <w:t>–</w:t>
      </w:r>
      <w:r w:rsidR="00530395" w:rsidRPr="00335D0B">
        <w:rPr>
          <w:rStyle w:val="Hyperlink"/>
          <w:color w:val="auto"/>
          <w:u w:val="none"/>
        </w:rPr>
        <w:t>24 GHz.</w:t>
      </w:r>
      <w:r w:rsidR="00393B84" w:rsidRPr="00335D0B">
        <w:rPr>
          <w:rStyle w:val="Hyperlink"/>
          <w:color w:val="auto"/>
          <w:u w:val="none"/>
        </w:rPr>
        <w:t xml:space="preserve"> </w:t>
      </w:r>
      <w:r w:rsidR="00530395" w:rsidRPr="00335D0B">
        <w:rPr>
          <w:rStyle w:val="Hyperlink"/>
          <w:color w:val="auto"/>
          <w:u w:val="none"/>
        </w:rPr>
        <w:t>To meet these limits, it is likely that a combination of additional filtering and</w:t>
      </w:r>
      <w:r w:rsidR="00A02DC5" w:rsidRPr="00335D0B">
        <w:rPr>
          <w:rStyle w:val="Hyperlink"/>
          <w:color w:val="auto"/>
          <w:u w:val="none"/>
        </w:rPr>
        <w:t>/or</w:t>
      </w:r>
      <w:r w:rsidR="00530395" w:rsidRPr="00335D0B">
        <w:rPr>
          <w:rStyle w:val="Hyperlink"/>
          <w:color w:val="auto"/>
          <w:u w:val="none"/>
        </w:rPr>
        <w:t xml:space="preserve"> reduced transmit powers need to be utilised.</w:t>
      </w:r>
    </w:p>
    <w:p w14:paraId="7C4A5CF8" w14:textId="4605F9E7" w:rsidR="00F43C1D" w:rsidRDefault="00FE4D86" w:rsidP="00335D0B">
      <w:pPr>
        <w:pStyle w:val="ListBullet"/>
        <w:rPr>
          <w:rStyle w:val="Hyperlink"/>
          <w:color w:val="auto"/>
          <w:u w:val="none"/>
        </w:rPr>
      </w:pPr>
      <w:r w:rsidRPr="00335D0B">
        <w:rPr>
          <w:rStyle w:val="Hyperlink"/>
          <w:color w:val="auto"/>
          <w:u w:val="none"/>
        </w:rPr>
        <w:t>Proposed</w:t>
      </w:r>
      <w:r>
        <w:rPr>
          <w:rStyle w:val="Hyperlink"/>
          <w:color w:val="auto"/>
          <w:u w:val="none"/>
        </w:rPr>
        <w:t xml:space="preserve"> conditions i</w:t>
      </w:r>
      <w:r w:rsidR="00530395">
        <w:rPr>
          <w:rStyle w:val="Hyperlink"/>
          <w:color w:val="auto"/>
          <w:u w:val="none"/>
        </w:rPr>
        <w:t>n the range 24.7</w:t>
      </w:r>
      <w:r w:rsidR="00122989">
        <w:rPr>
          <w:rStyle w:val="Hyperlink"/>
          <w:color w:val="auto"/>
          <w:u w:val="none"/>
        </w:rPr>
        <w:t>–</w:t>
      </w:r>
      <w:r w:rsidR="00530395">
        <w:rPr>
          <w:rStyle w:val="Hyperlink"/>
          <w:color w:val="auto"/>
          <w:u w:val="none"/>
        </w:rPr>
        <w:t>25.1 GHz</w:t>
      </w:r>
      <w:r w:rsidR="00F43C1D">
        <w:rPr>
          <w:rStyle w:val="Hyperlink"/>
          <w:color w:val="auto"/>
          <w:u w:val="none"/>
        </w:rPr>
        <w:t>:</w:t>
      </w:r>
    </w:p>
    <w:p w14:paraId="08F3A5F4" w14:textId="6E50FEBD" w:rsidR="00C8514B" w:rsidRPr="00575039" w:rsidRDefault="001B0CC8" w:rsidP="00280297">
      <w:pPr>
        <w:pStyle w:val="ListBullet2"/>
        <w:spacing w:after="240"/>
        <w:rPr>
          <w:rStyle w:val="Hyperlink"/>
          <w:b/>
          <w:color w:val="auto"/>
          <w:u w:val="none"/>
        </w:rPr>
      </w:pPr>
      <w:r w:rsidRPr="00393B84">
        <w:rPr>
          <w:rStyle w:val="Hyperlink"/>
          <w:color w:val="auto"/>
          <w:u w:val="none"/>
        </w:rPr>
        <w:t xml:space="preserve">The aggregate </w:t>
      </w:r>
      <w:r w:rsidR="00335D0B">
        <w:rPr>
          <w:rStyle w:val="Hyperlink"/>
          <w:color w:val="auto"/>
          <w:u w:val="none"/>
        </w:rPr>
        <w:t>PFD</w:t>
      </w:r>
      <w:r w:rsidR="00335D0B" w:rsidRPr="00393B84">
        <w:rPr>
          <w:rStyle w:val="Hyperlink"/>
          <w:color w:val="auto"/>
          <w:u w:val="none"/>
        </w:rPr>
        <w:t xml:space="preserve"> </w:t>
      </w:r>
      <w:r w:rsidRPr="00393B84">
        <w:rPr>
          <w:rStyle w:val="Hyperlink"/>
          <w:color w:val="auto"/>
          <w:u w:val="none"/>
        </w:rPr>
        <w:t xml:space="preserve">is not to </w:t>
      </w:r>
      <w:r w:rsidRPr="00190F88">
        <w:rPr>
          <w:rStyle w:val="Hyperlink"/>
          <w:color w:val="auto"/>
          <w:u w:val="none"/>
        </w:rPr>
        <w:t xml:space="preserve">exceed </w:t>
      </w:r>
      <w:r w:rsidR="00C229C6" w:rsidRPr="00190F88">
        <w:rPr>
          <w:rStyle w:val="Hyperlink"/>
          <w:color w:val="auto"/>
          <w:u w:val="none"/>
        </w:rPr>
        <w:t>-</w:t>
      </w:r>
      <w:r w:rsidR="00C40467" w:rsidRPr="00190F88">
        <w:rPr>
          <w:rStyle w:val="Hyperlink"/>
          <w:color w:val="auto"/>
          <w:u w:val="none"/>
        </w:rPr>
        <w:t>10</w:t>
      </w:r>
      <w:r w:rsidR="00DC422B" w:rsidRPr="00190F88">
        <w:rPr>
          <w:rStyle w:val="Hyperlink"/>
          <w:color w:val="auto"/>
          <w:u w:val="none"/>
        </w:rPr>
        <w:t>5</w:t>
      </w:r>
      <w:r w:rsidR="00C229C6" w:rsidRPr="00190F88">
        <w:rPr>
          <w:rStyle w:val="Hyperlink"/>
          <w:color w:val="auto"/>
          <w:u w:val="none"/>
        </w:rPr>
        <w:t>.</w:t>
      </w:r>
      <w:r w:rsidR="00DC422B" w:rsidRPr="00190F88">
        <w:rPr>
          <w:rStyle w:val="Hyperlink"/>
          <w:color w:val="auto"/>
          <w:u w:val="none"/>
        </w:rPr>
        <w:t>4</w:t>
      </w:r>
      <w:r w:rsidRPr="00190F88">
        <w:rPr>
          <w:rStyle w:val="Hyperlink"/>
          <w:color w:val="auto"/>
          <w:u w:val="none"/>
        </w:rPr>
        <w:t xml:space="preserve"> </w:t>
      </w:r>
      <w:proofErr w:type="spellStart"/>
      <w:r w:rsidRPr="00190F88">
        <w:rPr>
          <w:rStyle w:val="Hyperlink"/>
          <w:color w:val="auto"/>
          <w:u w:val="none"/>
        </w:rPr>
        <w:t>dBW</w:t>
      </w:r>
      <w:proofErr w:type="spellEnd"/>
      <w:r w:rsidRPr="00190F88">
        <w:rPr>
          <w:rStyle w:val="Hyperlink"/>
          <w:color w:val="auto"/>
          <w:u w:val="none"/>
        </w:rPr>
        <w:t>/MHz/m</w:t>
      </w:r>
      <w:r w:rsidRPr="00190F88">
        <w:rPr>
          <w:rStyle w:val="Hyperlink"/>
          <w:color w:val="auto"/>
          <w:u w:val="none"/>
          <w:vertAlign w:val="superscript"/>
        </w:rPr>
        <w:t>2</w:t>
      </w:r>
      <w:r w:rsidRPr="00190F88">
        <w:rPr>
          <w:rStyle w:val="Hyperlink"/>
          <w:color w:val="auto"/>
          <w:u w:val="none"/>
        </w:rPr>
        <w:t xml:space="preserve"> at the </w:t>
      </w:r>
      <w:r w:rsidR="00403B1F" w:rsidRPr="00190F88">
        <w:rPr>
          <w:rStyle w:val="Hyperlink"/>
          <w:color w:val="auto"/>
          <w:u w:val="none"/>
        </w:rPr>
        <w:t>property</w:t>
      </w:r>
      <w:r w:rsidRPr="00190F88">
        <w:rPr>
          <w:rStyle w:val="Hyperlink"/>
          <w:color w:val="auto"/>
          <w:u w:val="none"/>
        </w:rPr>
        <w:t xml:space="preserve"> boundary (measured outside in the </w:t>
      </w:r>
      <w:r w:rsidRPr="00335D0B">
        <w:rPr>
          <w:rStyle w:val="Hyperlink"/>
          <w:color w:val="auto"/>
          <w:u w:val="none"/>
        </w:rPr>
        <w:t>case</w:t>
      </w:r>
      <w:r w:rsidRPr="00190F88">
        <w:rPr>
          <w:rStyle w:val="Hyperlink"/>
          <w:color w:val="auto"/>
          <w:u w:val="none"/>
        </w:rPr>
        <w:t xml:space="preserve"> of indoor use to allow through-wall attenuation to be taken into account)</w:t>
      </w:r>
      <w:r w:rsidR="00393B84" w:rsidRPr="00190F88">
        <w:rPr>
          <w:rStyle w:val="Hyperlink"/>
          <w:color w:val="auto"/>
          <w:u w:val="none"/>
        </w:rPr>
        <w:t>.</w:t>
      </w:r>
      <w:r w:rsidR="00E57888" w:rsidRPr="00190F88">
        <w:rPr>
          <w:rStyle w:val="FootnoteReference"/>
        </w:rPr>
        <w:footnoteReference w:id="16"/>
      </w:r>
      <w:r w:rsidR="00393B84" w:rsidRPr="00190F88">
        <w:rPr>
          <w:rStyle w:val="Hyperlink"/>
          <w:color w:val="auto"/>
          <w:u w:val="none"/>
        </w:rPr>
        <w:t xml:space="preserve"> </w:t>
      </w:r>
    </w:p>
    <w:p w14:paraId="18ABC716" w14:textId="4CF3F7F7" w:rsidR="00393B84" w:rsidRPr="00122989" w:rsidRDefault="00DF1CCC" w:rsidP="00746EE7">
      <w:pPr>
        <w:spacing w:after="80"/>
        <w:rPr>
          <w:b/>
        </w:rPr>
      </w:pPr>
      <w:r w:rsidRPr="00122989">
        <w:rPr>
          <w:b/>
        </w:rPr>
        <w:t>Apparatus licence conditions</w:t>
      </w:r>
      <w:r w:rsidR="00122989" w:rsidRPr="00122989">
        <w:rPr>
          <w:b/>
        </w:rPr>
        <w:t>—</w:t>
      </w:r>
      <w:r w:rsidRPr="00122989">
        <w:rPr>
          <w:b/>
        </w:rPr>
        <w:t>preliminary views</w:t>
      </w:r>
      <w:r w:rsidR="00393B84" w:rsidRPr="00122989">
        <w:rPr>
          <w:b/>
        </w:rPr>
        <w:t>:</w:t>
      </w:r>
    </w:p>
    <w:p w14:paraId="29E6ADE2" w14:textId="467C99B1" w:rsidR="00B80C61" w:rsidRPr="00335D0B" w:rsidRDefault="00B80C61" w:rsidP="00335D0B">
      <w:pPr>
        <w:pStyle w:val="ListBullet"/>
        <w:rPr>
          <w:rStyle w:val="Hyperlink"/>
          <w:color w:val="auto"/>
          <w:u w:val="none"/>
        </w:rPr>
      </w:pPr>
      <w:r w:rsidRPr="00335D0B">
        <w:rPr>
          <w:rStyle w:val="Hyperlink"/>
          <w:color w:val="auto"/>
          <w:u w:val="none"/>
        </w:rPr>
        <w:t>Deployments may be fixed point-to-multipoint or mobile (base station with service area) in nature</w:t>
      </w:r>
      <w:r w:rsidR="00603317" w:rsidRPr="00335D0B">
        <w:rPr>
          <w:rStyle w:val="Hyperlink"/>
          <w:color w:val="auto"/>
          <w:u w:val="none"/>
        </w:rPr>
        <w:t xml:space="preserve">. </w:t>
      </w:r>
    </w:p>
    <w:p w14:paraId="7C95D802" w14:textId="1F6C4EBA" w:rsidR="00102017" w:rsidRPr="00335D0B" w:rsidRDefault="00102017" w:rsidP="00335D0B">
      <w:pPr>
        <w:pStyle w:val="ListBullet"/>
        <w:rPr>
          <w:rStyle w:val="Hyperlink"/>
          <w:color w:val="auto"/>
          <w:u w:val="none"/>
        </w:rPr>
      </w:pPr>
      <w:r w:rsidRPr="00335D0B">
        <w:rPr>
          <w:rStyle w:val="Hyperlink"/>
          <w:color w:val="auto"/>
          <w:u w:val="none"/>
        </w:rPr>
        <w:t xml:space="preserve">Base station TRP is not to exceed </w:t>
      </w:r>
      <w:r w:rsidR="001367B9">
        <w:rPr>
          <w:rStyle w:val="Hyperlink"/>
          <w:color w:val="auto"/>
          <w:u w:val="none"/>
        </w:rPr>
        <w:t>30</w:t>
      </w:r>
      <w:r w:rsidR="0004461E" w:rsidRPr="00335D0B">
        <w:rPr>
          <w:rStyle w:val="Hyperlink"/>
          <w:color w:val="auto"/>
          <w:u w:val="none"/>
        </w:rPr>
        <w:t xml:space="preserve"> dBm/200 MHz</w:t>
      </w:r>
      <w:r w:rsidR="00603317" w:rsidRPr="00335D0B">
        <w:rPr>
          <w:rStyle w:val="Hyperlink"/>
          <w:color w:val="auto"/>
          <w:u w:val="none"/>
        </w:rPr>
        <w:t>.</w:t>
      </w:r>
    </w:p>
    <w:p w14:paraId="7DD070DF" w14:textId="4F5A55DE" w:rsidR="00DA29C8" w:rsidRPr="00335D0B" w:rsidRDefault="00DA29C8" w:rsidP="00335D0B">
      <w:pPr>
        <w:pStyle w:val="ListBullet"/>
        <w:rPr>
          <w:rStyle w:val="Hyperlink"/>
          <w:color w:val="auto"/>
          <w:u w:val="none"/>
        </w:rPr>
      </w:pPr>
      <w:r w:rsidRPr="00335D0B">
        <w:rPr>
          <w:rStyle w:val="Hyperlink"/>
          <w:color w:val="auto"/>
          <w:u w:val="none"/>
        </w:rPr>
        <w:t xml:space="preserve">User equipment TRP is not to exceed </w:t>
      </w:r>
      <w:r w:rsidR="0055011D" w:rsidRPr="00335D0B">
        <w:rPr>
          <w:rStyle w:val="Hyperlink"/>
          <w:color w:val="auto"/>
          <w:u w:val="none"/>
        </w:rPr>
        <w:t>22 dBm per occupied bandwidth</w:t>
      </w:r>
      <w:r w:rsidR="00603317" w:rsidRPr="00335D0B">
        <w:rPr>
          <w:rStyle w:val="Hyperlink"/>
          <w:color w:val="auto"/>
          <w:u w:val="none"/>
        </w:rPr>
        <w:t xml:space="preserve">. </w:t>
      </w:r>
    </w:p>
    <w:p w14:paraId="2C3EB440" w14:textId="2B327F19" w:rsidR="00102017" w:rsidRPr="00335D0B" w:rsidRDefault="001B0E91" w:rsidP="00335D0B">
      <w:pPr>
        <w:pStyle w:val="ListBullet"/>
      </w:pPr>
      <w:r w:rsidRPr="00335D0B">
        <w:t>Licence</w:t>
      </w:r>
      <w:r w:rsidR="00102017" w:rsidRPr="00335D0B">
        <w:t xml:space="preserve"> bandwidth </w:t>
      </w:r>
      <w:r w:rsidR="00C45F8B" w:rsidRPr="00335D0B">
        <w:t>not to exceed</w:t>
      </w:r>
      <w:r w:rsidR="00102017" w:rsidRPr="00335D0B">
        <w:t xml:space="preserve"> </w:t>
      </w:r>
      <w:r w:rsidR="00906845" w:rsidRPr="00335D0B">
        <w:t>100 MHz in the range 24.7–24.8 GHz, 150 MHz in the range 24.8–25.1 GHz and 400 MHz in the range 25.1–27.5 GHz</w:t>
      </w:r>
      <w:r w:rsidR="00603317" w:rsidRPr="00335D0B">
        <w:t xml:space="preserve">. </w:t>
      </w:r>
    </w:p>
    <w:p w14:paraId="0F8928B0" w14:textId="57C61A36" w:rsidR="00B80C61" w:rsidRPr="00335D0B" w:rsidRDefault="00B024CC" w:rsidP="00335D0B">
      <w:pPr>
        <w:pStyle w:val="ListBullet"/>
      </w:pPr>
      <w:r w:rsidRPr="00335D0B">
        <w:t>Authorisation may be under a p</w:t>
      </w:r>
      <w:r w:rsidR="00FE4D86" w:rsidRPr="00335D0B">
        <w:t>otential n</w:t>
      </w:r>
      <w:r w:rsidR="00753779" w:rsidRPr="00335D0B">
        <w:t xml:space="preserve">ew ‘spectrum-space’ </w:t>
      </w:r>
      <w:r w:rsidR="0082548C" w:rsidRPr="00335D0B">
        <w:t xml:space="preserve">area-based </w:t>
      </w:r>
      <w:r w:rsidR="00753779" w:rsidRPr="00335D0B">
        <w:t>apparatus licence type</w:t>
      </w:r>
      <w:r w:rsidR="00DB7FDA" w:rsidRPr="00335D0B">
        <w:t xml:space="preserve">. </w:t>
      </w:r>
      <w:r w:rsidR="00176D1B" w:rsidRPr="00335D0B">
        <w:t xml:space="preserve">The ACMA is exploring the design for </w:t>
      </w:r>
      <w:r w:rsidR="00C14110" w:rsidRPr="00335D0B">
        <w:t>this potential</w:t>
      </w:r>
      <w:r w:rsidR="00176D1B" w:rsidRPr="00335D0B">
        <w:t xml:space="preserve"> new licence</w:t>
      </w:r>
      <w:r w:rsidR="005B5022" w:rsidRPr="00335D0B">
        <w:t xml:space="preserve"> type</w:t>
      </w:r>
      <w:r w:rsidR="00176D1B" w:rsidRPr="00335D0B">
        <w:t xml:space="preserve"> and considering relevant conditions</w:t>
      </w:r>
      <w:r w:rsidR="00C14110" w:rsidRPr="00335D0B">
        <w:t>.</w:t>
      </w:r>
      <w:r w:rsidR="00176D1B" w:rsidRPr="00335D0B">
        <w:t xml:space="preserve"> </w:t>
      </w:r>
      <w:r w:rsidR="00C14110" w:rsidRPr="00335D0B">
        <w:t>F</w:t>
      </w:r>
      <w:r w:rsidR="00176D1B" w:rsidRPr="00335D0B">
        <w:t xml:space="preserve">or example, </w:t>
      </w:r>
      <w:r w:rsidR="000D22A4" w:rsidRPr="00335D0B">
        <w:t xml:space="preserve">boundary conditions such as </w:t>
      </w:r>
      <w:r w:rsidR="00603317" w:rsidRPr="00335D0B">
        <w:t xml:space="preserve">PFD </w:t>
      </w:r>
      <w:r w:rsidR="000D22A4" w:rsidRPr="00335D0B">
        <w:t xml:space="preserve">limits will </w:t>
      </w:r>
      <w:r w:rsidR="00176D1B" w:rsidRPr="00335D0B">
        <w:t>need to</w:t>
      </w:r>
      <w:r w:rsidR="000D22A4" w:rsidRPr="00335D0B">
        <w:t xml:space="preserve"> be specified to ensure coexistence between adjacent service areas</w:t>
      </w:r>
      <w:r w:rsidR="00603317" w:rsidRPr="00335D0B">
        <w:t xml:space="preserve">. </w:t>
      </w:r>
    </w:p>
    <w:p w14:paraId="6637875F" w14:textId="65E866AD" w:rsidR="00530722" w:rsidRPr="00335D0B" w:rsidRDefault="00B12F17" w:rsidP="00335D0B">
      <w:pPr>
        <w:pStyle w:val="ListBullet"/>
      </w:pPr>
      <w:r w:rsidRPr="00335D0B">
        <w:t xml:space="preserve">Deployments </w:t>
      </w:r>
      <w:r w:rsidR="00050D64" w:rsidRPr="00335D0B">
        <w:t xml:space="preserve">must be coordinated with space research service receive sites specified in Annex </w:t>
      </w:r>
      <w:r w:rsidR="00D53FA7" w:rsidRPr="00335D0B">
        <w:t>E</w:t>
      </w:r>
      <w:r w:rsidR="00620E68" w:rsidRPr="00335D0B">
        <w:t xml:space="preserve"> and </w:t>
      </w:r>
      <w:r w:rsidR="00FB4AA1" w:rsidRPr="00335D0B">
        <w:t>not exceed</w:t>
      </w:r>
      <w:r w:rsidR="00620E68" w:rsidRPr="00335D0B">
        <w:t xml:space="preserve"> -156 </w:t>
      </w:r>
      <w:proofErr w:type="spellStart"/>
      <w:r w:rsidR="00620E68" w:rsidRPr="00335D0B">
        <w:t>dBW</w:t>
      </w:r>
      <w:proofErr w:type="spellEnd"/>
      <w:r w:rsidR="00620E68" w:rsidRPr="00335D0B">
        <w:t>/MHz</w:t>
      </w:r>
      <w:r w:rsidR="00FB4AA1" w:rsidRPr="00335D0B">
        <w:t xml:space="preserve"> at those sites</w:t>
      </w:r>
      <w:r w:rsidR="00603317" w:rsidRPr="00335D0B">
        <w:t>.</w:t>
      </w:r>
      <w:r w:rsidR="00050D64" w:rsidRPr="00557000">
        <w:rPr>
          <w:rStyle w:val="FootnoteReference"/>
        </w:rPr>
        <w:footnoteReference w:id="17"/>
      </w:r>
    </w:p>
    <w:p w14:paraId="661099BD" w14:textId="07848A99" w:rsidR="00AA341F" w:rsidRPr="00335D0B" w:rsidRDefault="00FB4AA1" w:rsidP="00335D0B">
      <w:pPr>
        <w:pStyle w:val="ListBullet"/>
      </w:pPr>
      <w:r w:rsidRPr="00335D0B">
        <w:t>Apparatus l</w:t>
      </w:r>
      <w:r w:rsidR="00AD44A2" w:rsidRPr="00335D0B">
        <w:t xml:space="preserve">icences will be </w:t>
      </w:r>
      <w:r w:rsidRPr="00335D0B">
        <w:t>available</w:t>
      </w:r>
      <w:r w:rsidR="00576F3C" w:rsidRPr="00335D0B">
        <w:t xml:space="preserve"> Australia-wide, except</w:t>
      </w:r>
      <w:r w:rsidR="00812AA2" w:rsidRPr="00335D0B">
        <w:t xml:space="preserve"> i</w:t>
      </w:r>
      <w:r w:rsidR="007635F6" w:rsidRPr="00335D0B">
        <w:t>n the</w:t>
      </w:r>
      <w:r w:rsidR="00C82C55" w:rsidRPr="00335D0B">
        <w:t xml:space="preserve"> defined areas </w:t>
      </w:r>
      <w:r w:rsidR="00815D01" w:rsidRPr="00335D0B">
        <w:t xml:space="preserve">specified in </w:t>
      </w:r>
      <w:r w:rsidR="00B40ACB" w:rsidRPr="00335D0B">
        <w:t xml:space="preserve">Annex </w:t>
      </w:r>
      <w:r w:rsidR="00D53FA7" w:rsidRPr="00335D0B">
        <w:t>D</w:t>
      </w:r>
      <w:r w:rsidR="007635F6" w:rsidRPr="00335D0B">
        <w:t xml:space="preserve"> in the frequency range 25.1</w:t>
      </w:r>
      <w:r w:rsidR="00603317" w:rsidRPr="00335D0B">
        <w:t>–</w:t>
      </w:r>
      <w:r w:rsidR="007635F6" w:rsidRPr="00335D0B">
        <w:t>27.5 GHz</w:t>
      </w:r>
      <w:r w:rsidR="00603317" w:rsidRPr="00335D0B">
        <w:t xml:space="preserve">. </w:t>
      </w:r>
    </w:p>
    <w:p w14:paraId="64D99B0A" w14:textId="6EAD6350" w:rsidR="007A5E1A" w:rsidRDefault="00603317" w:rsidP="00335D0B">
      <w:pPr>
        <w:pStyle w:val="ListBullet"/>
      </w:pPr>
      <w:r w:rsidRPr="00335D0B">
        <w:t>A</w:t>
      </w:r>
      <w:r w:rsidR="00AA341F" w:rsidRPr="00335D0B">
        <w:t xml:space="preserve">lthough apparatus licences may be issued </w:t>
      </w:r>
      <w:r w:rsidR="00292604" w:rsidRPr="00335D0B">
        <w:t xml:space="preserve">with </w:t>
      </w:r>
      <w:r w:rsidR="00FB4AA1" w:rsidRPr="00335D0B">
        <w:t>area boundaries</w:t>
      </w:r>
      <w:r w:rsidR="00292604" w:rsidRPr="00335D0B">
        <w:t xml:space="preserve"> overlapping</w:t>
      </w:r>
      <w:r w:rsidR="007635F6" w:rsidRPr="00335D0B">
        <w:t xml:space="preserve"> </w:t>
      </w:r>
      <w:r w:rsidR="007A5E1A" w:rsidRPr="00335D0B">
        <w:t xml:space="preserve">the exclusion zones specified in Annex </w:t>
      </w:r>
      <w:r w:rsidR="00D53FA7" w:rsidRPr="00335D0B">
        <w:t>E</w:t>
      </w:r>
      <w:r w:rsidR="00AA341F" w:rsidRPr="00335D0B">
        <w:t xml:space="preserve">, a licence condition </w:t>
      </w:r>
      <w:r w:rsidR="00700B40" w:rsidRPr="00335D0B">
        <w:t>is proposed to</w:t>
      </w:r>
      <w:r w:rsidR="00AA341F" w:rsidRPr="00335D0B">
        <w:t xml:space="preserve"> be included which specifies that no devices may be operated </w:t>
      </w:r>
      <w:r w:rsidR="00D94EAA" w:rsidRPr="00335D0B">
        <w:t>with</w:t>
      </w:r>
      <w:r w:rsidR="00AA341F" w:rsidRPr="00335D0B">
        <w:t>in the exclusion zones</w:t>
      </w:r>
      <w:r w:rsidR="007A5E1A" w:rsidRPr="00335D0B">
        <w:t>.</w:t>
      </w:r>
      <w:r w:rsidR="00AA341F" w:rsidRPr="00335D0B">
        <w:t xml:space="preserve"> All out-of-area conditions (other than those </w:t>
      </w:r>
      <w:r w:rsidR="00621D60" w:rsidRPr="00335D0B">
        <w:t xml:space="preserve">mandated </w:t>
      </w:r>
      <w:r w:rsidR="00AA341F" w:rsidRPr="00335D0B">
        <w:t xml:space="preserve">for the protection of space research service receive sites detailed in Annex </w:t>
      </w:r>
      <w:r w:rsidR="00D53FA7" w:rsidRPr="00335D0B">
        <w:t>E</w:t>
      </w:r>
      <w:r w:rsidR="00AA341F" w:rsidRPr="00335D0B">
        <w:t>) will apply at the outer HCIS boundary on the licence, even if this overlaps the exclusion zones.</w:t>
      </w:r>
      <w:r w:rsidR="00722D66" w:rsidRPr="00335D0B">
        <w:t xml:space="preserve"> </w:t>
      </w:r>
      <w:r w:rsidR="00700B40" w:rsidRPr="00335D0B">
        <w:t>It is proposed that n</w:t>
      </w:r>
      <w:r w:rsidR="00722D66" w:rsidRPr="00335D0B">
        <w:t xml:space="preserve">o licences will be </w:t>
      </w:r>
      <w:r w:rsidR="00536835" w:rsidRPr="00335D0B">
        <w:t>i</w:t>
      </w:r>
      <w:r w:rsidR="00722D66" w:rsidRPr="00335D0B">
        <w:t>ssue</w:t>
      </w:r>
      <w:r w:rsidR="006229C3" w:rsidRPr="00335D0B">
        <w:t>d</w:t>
      </w:r>
      <w:r w:rsidR="00722D66" w:rsidRPr="00335D0B">
        <w:t xml:space="preserve"> that </w:t>
      </w:r>
      <w:r w:rsidR="00536835" w:rsidRPr="00335D0B">
        <w:t>solely</w:t>
      </w:r>
      <w:r w:rsidR="00722D66" w:rsidRPr="00335D0B">
        <w:t xml:space="preserve"> overlap the </w:t>
      </w:r>
      <w:r w:rsidR="00536835" w:rsidRPr="00335D0B">
        <w:t>exclusion zones.</w:t>
      </w:r>
      <w:r w:rsidR="00536835">
        <w:t xml:space="preserve"> </w:t>
      </w:r>
    </w:p>
    <w:p w14:paraId="5A6E5CD6" w14:textId="4A118F71" w:rsidR="00A27F77" w:rsidRDefault="00A27F77" w:rsidP="00746EE7">
      <w:pPr>
        <w:pStyle w:val="ListBulletLast"/>
        <w:spacing w:after="80"/>
        <w:rPr>
          <w:rStyle w:val="Hyperlink"/>
          <w:color w:val="auto"/>
          <w:u w:val="none"/>
        </w:rPr>
      </w:pPr>
      <w:r>
        <w:rPr>
          <w:rStyle w:val="Hyperlink"/>
          <w:color w:val="auto"/>
          <w:u w:val="none"/>
        </w:rPr>
        <w:t>To protect adjacent</w:t>
      </w:r>
      <w:r w:rsidR="00621D60">
        <w:rPr>
          <w:rStyle w:val="Hyperlink"/>
          <w:color w:val="auto"/>
          <w:u w:val="none"/>
        </w:rPr>
        <w:t>-</w:t>
      </w:r>
      <w:r>
        <w:rPr>
          <w:rStyle w:val="Hyperlink"/>
          <w:color w:val="auto"/>
          <w:u w:val="none"/>
        </w:rPr>
        <w:t xml:space="preserve">band passive EESS, </w:t>
      </w:r>
      <w:r w:rsidRPr="00335D0B">
        <w:rPr>
          <w:rStyle w:val="Hyperlink"/>
          <w:color w:val="auto"/>
          <w:u w:val="none"/>
        </w:rPr>
        <w:t>the</w:t>
      </w:r>
      <w:r>
        <w:rPr>
          <w:rStyle w:val="Hyperlink"/>
          <w:color w:val="auto"/>
          <w:u w:val="none"/>
        </w:rPr>
        <w:t xml:space="preserve"> following conditions will apply:</w:t>
      </w:r>
    </w:p>
    <w:p w14:paraId="4FB45BF8" w14:textId="6E51992F" w:rsidR="00840D50" w:rsidRPr="00335D0B" w:rsidRDefault="00A27F77" w:rsidP="00335D0B">
      <w:pPr>
        <w:pStyle w:val="ListBullet2"/>
        <w:rPr>
          <w:rStyle w:val="Hyperlink"/>
          <w:color w:val="auto"/>
          <w:u w:val="none"/>
        </w:rPr>
      </w:pPr>
      <w:r w:rsidRPr="00335D0B">
        <w:rPr>
          <w:rStyle w:val="Hyperlink"/>
          <w:color w:val="auto"/>
          <w:u w:val="none"/>
        </w:rPr>
        <w:t xml:space="preserve">For </w:t>
      </w:r>
      <w:r w:rsidR="00310447" w:rsidRPr="00335D0B">
        <w:rPr>
          <w:rStyle w:val="Hyperlink"/>
          <w:color w:val="auto"/>
          <w:u w:val="none"/>
        </w:rPr>
        <w:t xml:space="preserve">outdoor </w:t>
      </w:r>
      <w:r w:rsidRPr="00335D0B">
        <w:rPr>
          <w:rStyle w:val="Hyperlink"/>
          <w:color w:val="auto"/>
          <w:u w:val="none"/>
        </w:rPr>
        <w:t xml:space="preserve">devices operating at 25.1 GHz and above, </w:t>
      </w:r>
      <w:r w:rsidR="00273412" w:rsidRPr="00335D0B">
        <w:rPr>
          <w:rStyle w:val="Hyperlink"/>
          <w:color w:val="auto"/>
          <w:u w:val="none"/>
        </w:rPr>
        <w:t>the TRP is</w:t>
      </w:r>
      <w:r w:rsidR="00840D50" w:rsidRPr="00335D0B">
        <w:rPr>
          <w:rStyle w:val="Hyperlink"/>
          <w:color w:val="auto"/>
          <w:u w:val="none"/>
        </w:rPr>
        <w:t xml:space="preserve"> not to exceed </w:t>
      </w:r>
      <w:r w:rsidR="00D605A3" w:rsidRPr="00335D0B">
        <w:rPr>
          <w:rStyle w:val="Hyperlink"/>
          <w:color w:val="auto"/>
          <w:u w:val="none"/>
        </w:rPr>
        <w:t>-37</w:t>
      </w:r>
      <w:r w:rsidR="00840D50" w:rsidRPr="00335D0B">
        <w:rPr>
          <w:rStyle w:val="Hyperlink"/>
          <w:color w:val="auto"/>
          <w:u w:val="none"/>
        </w:rPr>
        <w:t xml:space="preserve"> </w:t>
      </w:r>
      <w:proofErr w:type="spellStart"/>
      <w:r w:rsidR="00840D50" w:rsidRPr="00335D0B">
        <w:rPr>
          <w:rStyle w:val="Hyperlink"/>
          <w:color w:val="auto"/>
          <w:u w:val="none"/>
        </w:rPr>
        <w:t>dBW</w:t>
      </w:r>
      <w:proofErr w:type="spellEnd"/>
      <w:r w:rsidR="00840D50" w:rsidRPr="00335D0B">
        <w:rPr>
          <w:rStyle w:val="Hyperlink"/>
          <w:color w:val="auto"/>
          <w:u w:val="none"/>
        </w:rPr>
        <w:t>/</w:t>
      </w:r>
      <w:r w:rsidR="00D605A3" w:rsidRPr="00335D0B">
        <w:rPr>
          <w:rStyle w:val="Hyperlink"/>
          <w:color w:val="auto"/>
          <w:u w:val="none"/>
        </w:rPr>
        <w:t>200</w:t>
      </w:r>
      <w:r w:rsidR="00FF274B" w:rsidRPr="00335D0B">
        <w:rPr>
          <w:rStyle w:val="Hyperlink"/>
          <w:color w:val="auto"/>
          <w:u w:val="none"/>
        </w:rPr>
        <w:t xml:space="preserve"> </w:t>
      </w:r>
      <w:r w:rsidR="00840D50" w:rsidRPr="00335D0B">
        <w:rPr>
          <w:rStyle w:val="Hyperlink"/>
          <w:color w:val="auto"/>
          <w:u w:val="none"/>
        </w:rPr>
        <w:t xml:space="preserve">MHz </w:t>
      </w:r>
      <w:r w:rsidR="00D605A3" w:rsidRPr="00335D0B">
        <w:rPr>
          <w:rStyle w:val="Hyperlink"/>
          <w:color w:val="auto"/>
          <w:u w:val="none"/>
        </w:rPr>
        <w:t xml:space="preserve">for base stations and -33 </w:t>
      </w:r>
      <w:proofErr w:type="spellStart"/>
      <w:r w:rsidR="00D605A3" w:rsidRPr="00335D0B">
        <w:rPr>
          <w:rStyle w:val="Hyperlink"/>
          <w:color w:val="auto"/>
          <w:u w:val="none"/>
        </w:rPr>
        <w:t>dBW</w:t>
      </w:r>
      <w:proofErr w:type="spellEnd"/>
      <w:r w:rsidR="00D605A3" w:rsidRPr="00335D0B">
        <w:rPr>
          <w:rStyle w:val="Hyperlink"/>
          <w:color w:val="auto"/>
          <w:u w:val="none"/>
        </w:rPr>
        <w:t>/200</w:t>
      </w:r>
      <w:r w:rsidR="00FF274B" w:rsidRPr="00335D0B">
        <w:rPr>
          <w:rStyle w:val="Hyperlink"/>
          <w:color w:val="auto"/>
          <w:u w:val="none"/>
        </w:rPr>
        <w:t xml:space="preserve"> </w:t>
      </w:r>
      <w:r w:rsidR="00D605A3" w:rsidRPr="00335D0B">
        <w:rPr>
          <w:rStyle w:val="Hyperlink"/>
          <w:color w:val="auto"/>
          <w:u w:val="none"/>
        </w:rPr>
        <w:t>MHz for UE,</w:t>
      </w:r>
      <w:r w:rsidR="00840D50" w:rsidRPr="00335D0B">
        <w:rPr>
          <w:rStyle w:val="Hyperlink"/>
          <w:color w:val="auto"/>
          <w:u w:val="none"/>
        </w:rPr>
        <w:t xml:space="preserve"> measured anywhere in the range 23.6</w:t>
      </w:r>
      <w:r w:rsidR="00EA6D94" w:rsidRPr="00335D0B">
        <w:rPr>
          <w:rStyle w:val="Hyperlink"/>
          <w:color w:val="auto"/>
          <w:u w:val="none"/>
        </w:rPr>
        <w:t>–</w:t>
      </w:r>
      <w:r w:rsidR="00840D50" w:rsidRPr="00335D0B">
        <w:rPr>
          <w:rStyle w:val="Hyperlink"/>
          <w:color w:val="auto"/>
          <w:u w:val="none"/>
        </w:rPr>
        <w:t>24 GHz</w:t>
      </w:r>
      <w:r w:rsidR="00EA6D94" w:rsidRPr="00335D0B">
        <w:rPr>
          <w:rStyle w:val="Hyperlink"/>
          <w:color w:val="auto"/>
          <w:u w:val="none"/>
        </w:rPr>
        <w:t xml:space="preserve">. </w:t>
      </w:r>
    </w:p>
    <w:p w14:paraId="6CC8D4D5" w14:textId="597F938B" w:rsidR="00EA6D94" w:rsidRDefault="008E080F" w:rsidP="00335D0B">
      <w:pPr>
        <w:pStyle w:val="ListBullet2"/>
      </w:pPr>
      <w:r w:rsidRPr="00335D0B">
        <w:t xml:space="preserve">Higher </w:t>
      </w:r>
      <w:r w:rsidR="00B54A4E" w:rsidRPr="00335D0B">
        <w:t>TRP</w:t>
      </w:r>
      <w:r w:rsidRPr="00335D0B">
        <w:t xml:space="preserve"> levels in the range 23.6</w:t>
      </w:r>
      <w:r w:rsidR="00EA6D94" w:rsidRPr="00335D0B">
        <w:t>–</w:t>
      </w:r>
      <w:r w:rsidRPr="00335D0B">
        <w:t>24 GHz will be permissible for</w:t>
      </w:r>
      <w:r w:rsidR="00D605A3" w:rsidRPr="00335D0B">
        <w:t xml:space="preserve"> </w:t>
      </w:r>
      <w:r w:rsidR="00310447" w:rsidRPr="00335D0B">
        <w:t xml:space="preserve">outdoor </w:t>
      </w:r>
      <w:r w:rsidR="000B788C" w:rsidRPr="00335D0B">
        <w:t xml:space="preserve">apparatus licensed </w:t>
      </w:r>
      <w:r w:rsidR="00D605A3" w:rsidRPr="00335D0B">
        <w:t>devices operating below 25.1 GHz</w:t>
      </w:r>
      <w:r w:rsidR="00EA6D94" w:rsidRPr="00335D0B">
        <w:t>,</w:t>
      </w:r>
      <w:r w:rsidRPr="00335D0B">
        <w:t xml:space="preserve"> owing to filtering being unable to provide enough attenuation at these frequency offsets to meet the limit specified above 25.1 GHz. These higher limits will be offset by limiting the number of devices within the </w:t>
      </w:r>
      <w:r w:rsidR="00DE4FED" w:rsidRPr="00335D0B">
        <w:t xml:space="preserve">passive </w:t>
      </w:r>
      <w:r w:rsidRPr="00335D0B">
        <w:t>EESS footprint to</w:t>
      </w:r>
      <w:r w:rsidR="00FF274B" w:rsidRPr="00335D0B">
        <w:t xml:space="preserve"> ensure </w:t>
      </w:r>
      <w:r w:rsidR="00FF274B" w:rsidRPr="00335D0B">
        <w:lastRenderedPageBreak/>
        <w:t xml:space="preserve">that aggregate interference limits are not exceeded. </w:t>
      </w:r>
      <w:r w:rsidR="00B54A4E" w:rsidRPr="00335D0B">
        <w:t xml:space="preserve">TRP </w:t>
      </w:r>
      <w:r w:rsidR="00FF274B" w:rsidRPr="00335D0B">
        <w:t>limits and device numbers applicable for</w:t>
      </w:r>
      <w:r w:rsidR="00B54A4E" w:rsidRPr="00335D0B">
        <w:t xml:space="preserve"> outdoor</w:t>
      </w:r>
      <w:r w:rsidR="00FF274B" w:rsidRPr="00335D0B">
        <w:t xml:space="preserve"> wireless broadband services in the range 24.7</w:t>
      </w:r>
      <w:r w:rsidR="00EA6D94" w:rsidRPr="00335D0B">
        <w:t>–</w:t>
      </w:r>
      <w:r w:rsidR="00FF274B" w:rsidRPr="00335D0B">
        <w:t xml:space="preserve">25.1 GHz are </w:t>
      </w:r>
      <w:r w:rsidR="00621D60" w:rsidRPr="00335D0B">
        <w:t>detailed</w:t>
      </w:r>
      <w:r w:rsidR="00FF274B" w:rsidRPr="00335D0B">
        <w:t xml:space="preserve"> in Table 2.</w:t>
      </w:r>
    </w:p>
    <w:p w14:paraId="48213AE5" w14:textId="0F708504" w:rsidR="00AB7E02" w:rsidRDefault="00700B40" w:rsidP="00335D0B">
      <w:pPr>
        <w:pStyle w:val="ListBullet2"/>
      </w:pPr>
      <w:r>
        <w:t>It is proposed that the ACMA will generally apply</w:t>
      </w:r>
      <w:r w:rsidR="00631404">
        <w:t xml:space="preserve"> outdoor base</w:t>
      </w:r>
      <w:r w:rsidR="00A97710">
        <w:t xml:space="preserve"> </w:t>
      </w:r>
      <w:r w:rsidR="00621D60">
        <w:t>station number</w:t>
      </w:r>
      <w:r w:rsidR="00A97710">
        <w:t xml:space="preserve"> limits</w:t>
      </w:r>
      <w:r w:rsidR="00621D60">
        <w:t xml:space="preserve"> specified</w:t>
      </w:r>
      <w:r w:rsidR="00A97710">
        <w:t xml:space="preserve"> in Table 2 </w:t>
      </w:r>
      <w:r>
        <w:t xml:space="preserve">when considering </w:t>
      </w:r>
      <w:r w:rsidR="000F41B3">
        <w:t xml:space="preserve">registrations for new outdoor base </w:t>
      </w:r>
      <w:r w:rsidR="000F41B3" w:rsidRPr="00335D0B">
        <w:t>stations</w:t>
      </w:r>
      <w:r w:rsidR="000F41B3">
        <w:t xml:space="preserve"> under an </w:t>
      </w:r>
      <w:r>
        <w:t>appara</w:t>
      </w:r>
      <w:r w:rsidR="000F41B3">
        <w:t xml:space="preserve">tus </w:t>
      </w:r>
      <w:r w:rsidR="00631404">
        <w:t>licence</w:t>
      </w:r>
      <w:r w:rsidR="0037552F">
        <w:t>, on a first</w:t>
      </w:r>
      <w:r w:rsidR="00EA6D94">
        <w:t>-</w:t>
      </w:r>
      <w:r w:rsidR="00621D60">
        <w:t>come, first</w:t>
      </w:r>
      <w:r w:rsidR="00EA6D94">
        <w:t>-</w:t>
      </w:r>
      <w:r w:rsidR="00621D60">
        <w:t>served</w:t>
      </w:r>
      <w:r w:rsidR="0037552F">
        <w:t xml:space="preserve"> basis</w:t>
      </w:r>
      <w:r w:rsidR="00A97710">
        <w:t xml:space="preserve">. For example, a </w:t>
      </w:r>
      <w:r w:rsidR="00621D60">
        <w:t>prospective</w:t>
      </w:r>
      <w:r w:rsidR="00A97710">
        <w:t xml:space="preserve"> base station</w:t>
      </w:r>
      <w:r w:rsidR="00621D60">
        <w:t xml:space="preserve"> assignment</w:t>
      </w:r>
      <w:r w:rsidR="00A97710">
        <w:t xml:space="preserve"> in the range 24.7</w:t>
      </w:r>
      <w:r w:rsidR="00EA6D94">
        <w:t>–</w:t>
      </w:r>
      <w:r w:rsidR="00A97710">
        <w:t xml:space="preserve">24.8 GHz </w:t>
      </w:r>
      <w:r w:rsidR="00621D60">
        <w:t>would</w:t>
      </w:r>
      <w:r w:rsidR="00A97710">
        <w:t xml:space="preserve"> only be </w:t>
      </w:r>
      <w:r w:rsidR="00621D60">
        <w:t>made</w:t>
      </w:r>
      <w:r w:rsidR="00A97710">
        <w:t xml:space="preserve"> if there </w:t>
      </w:r>
      <w:r w:rsidR="00167B20">
        <w:t>were</w:t>
      </w:r>
      <w:r w:rsidR="00A97710">
        <w:t xml:space="preserve"> </w:t>
      </w:r>
      <w:r w:rsidR="00621D60">
        <w:t>fewer</w:t>
      </w:r>
      <w:r w:rsidR="00A97710">
        <w:t xml:space="preserve"> than 1</w:t>
      </w:r>
      <w:r w:rsidR="00A4780F">
        <w:t>3</w:t>
      </w:r>
      <w:r w:rsidR="00A97710">
        <w:t xml:space="preserve"> base stations</w:t>
      </w:r>
      <w:r w:rsidR="00167B20">
        <w:t xml:space="preserve"> </w:t>
      </w:r>
      <w:r w:rsidR="00621D60">
        <w:t>already assigned within</w:t>
      </w:r>
      <w:r w:rsidR="00167B20">
        <w:t xml:space="preserve"> this frequency range </w:t>
      </w:r>
      <w:r w:rsidR="00A97710">
        <w:t>within 9</w:t>
      </w:r>
      <w:r w:rsidR="00094C1F">
        <w:t xml:space="preserve"> </w:t>
      </w:r>
      <w:r w:rsidR="00A97710">
        <w:t>km of the proposed</w:t>
      </w:r>
      <w:r w:rsidR="00621D60">
        <w:t xml:space="preserve"> new</w:t>
      </w:r>
      <w:r w:rsidR="00A97710">
        <w:t xml:space="preserve"> base station location.</w:t>
      </w:r>
    </w:p>
    <w:p w14:paraId="14FABF45" w14:textId="1CE45C74" w:rsidR="00746EE7" w:rsidRDefault="00746EE7" w:rsidP="00746EE7">
      <w:pPr>
        <w:pStyle w:val="ListBullet2"/>
      </w:pPr>
      <w:r>
        <w:t>Indoor devices are to comply with the unwanted and spurious emission limits as described in the 38 series of 3GPP specifications.</w:t>
      </w:r>
      <w:r w:rsidR="005B6CAA">
        <w:rPr>
          <w:rStyle w:val="FootnoteReference"/>
        </w:rPr>
        <w:footnoteReference w:id="18"/>
      </w:r>
    </w:p>
    <w:p w14:paraId="72886B84" w14:textId="77777777" w:rsidR="00746EE7" w:rsidRDefault="00746EE7" w:rsidP="00746EE7">
      <w:pPr>
        <w:pStyle w:val="ListBullet"/>
      </w:pPr>
      <w:r>
        <w:t>The following additional conditions will apply for services operating within NBN gateway footprint areas specified in Annex F:</w:t>
      </w:r>
    </w:p>
    <w:p w14:paraId="121F612E" w14:textId="2B48168D" w:rsidR="00970BBC" w:rsidRDefault="00970BBC" w:rsidP="00970BBC">
      <w:pPr>
        <w:pStyle w:val="ListBullet2"/>
      </w:pPr>
      <w:r w:rsidRPr="00335D0B">
        <w:rPr>
          <w:rStyle w:val="Hyperlink"/>
          <w:color w:val="auto"/>
          <w:u w:val="none"/>
        </w:rPr>
        <w:t xml:space="preserve">Base station TRP is not to exceed 25 dBm/200 MHz.  </w:t>
      </w:r>
    </w:p>
    <w:p w14:paraId="7691A2A8" w14:textId="4DAA1CCA" w:rsidR="00746EE7" w:rsidRPr="00335D0B" w:rsidRDefault="00746EE7" w:rsidP="00746EE7">
      <w:pPr>
        <w:pStyle w:val="ListBullet2"/>
      </w:pPr>
      <w:r w:rsidRPr="00335D0B">
        <w:t xml:space="preserve">Outdoor base stations must have mechanical down tilt equal to or greater than 0°.  </w:t>
      </w:r>
    </w:p>
    <w:p w14:paraId="4C1A030A" w14:textId="77777777" w:rsidR="00746EE7" w:rsidRPr="00335D0B" w:rsidRDefault="00746EE7" w:rsidP="00746EE7">
      <w:pPr>
        <w:pStyle w:val="ListBullet2"/>
      </w:pPr>
      <w:r w:rsidRPr="00335D0B">
        <w:t xml:space="preserve">Outdoor base stations must not direct antenna beams (via electrical steering) to elevation angles greater than 5° above the horizon for more than 5% of time. </w:t>
      </w:r>
    </w:p>
    <w:p w14:paraId="1CF361CA" w14:textId="77777777" w:rsidR="00746EE7" w:rsidRPr="00335D0B" w:rsidRDefault="00746EE7" w:rsidP="00746EE7">
      <w:pPr>
        <w:pStyle w:val="ListBullet2"/>
      </w:pPr>
      <w:r w:rsidRPr="00335D0B">
        <w:t xml:space="preserve">Outdoor fixed UEs must not direct their antenna beam (via electrical steering) to within 1.5° the GSO arc.  </w:t>
      </w:r>
    </w:p>
    <w:p w14:paraId="4EF7D6DD" w14:textId="3FFB3CFA" w:rsidR="00746EE7" w:rsidRDefault="00746EE7" w:rsidP="00746EE7">
      <w:pPr>
        <w:pStyle w:val="ListBullet2"/>
      </w:pPr>
      <w:r w:rsidRPr="00335D0B">
        <w:t>Subject to further consideration, a cap on outdoor wireless broadband base stations in NBN gateway footprint areas may be included.</w:t>
      </w:r>
    </w:p>
    <w:p w14:paraId="2AC1192B" w14:textId="4CEF3F44" w:rsidR="009868C7" w:rsidRDefault="009868C7" w:rsidP="002E6473">
      <w:pPr>
        <w:pStyle w:val="ListBullet"/>
        <w:numPr>
          <w:ilvl w:val="0"/>
          <w:numId w:val="0"/>
        </w:numPr>
        <w:spacing w:before="120" w:after="120" w:line="240" w:lineRule="auto"/>
        <w:ind w:left="841"/>
      </w:pPr>
    </w:p>
    <w:p w14:paraId="689C2AD8" w14:textId="710C95CD" w:rsidR="00FF274B" w:rsidRDefault="00BD092C" w:rsidP="007E2C30">
      <w:pPr>
        <w:pStyle w:val="ACMATableHeader"/>
        <w:keepNext/>
        <w:keepLines/>
      </w:pPr>
      <w:r>
        <w:t xml:space="preserve">Additional limits </w:t>
      </w:r>
      <w:r w:rsidR="00FF274B">
        <w:t xml:space="preserve">for </w:t>
      </w:r>
      <w:r w:rsidR="00310447">
        <w:t xml:space="preserve">outdoor </w:t>
      </w:r>
      <w:r w:rsidR="0076722A">
        <w:t xml:space="preserve">apparatus licensed </w:t>
      </w:r>
      <w:r w:rsidR="00FF274B">
        <w:t xml:space="preserve">wireless broadband </w:t>
      </w:r>
      <w:r w:rsidR="00087F38">
        <w:t>base stations</w:t>
      </w:r>
      <w:r w:rsidR="00FF274B">
        <w:t xml:space="preserve"> in the</w:t>
      </w:r>
      <w:r w:rsidR="00621D60">
        <w:t xml:space="preserve"> frequency</w:t>
      </w:r>
      <w:r w:rsidR="00FF274B">
        <w:t xml:space="preserve"> range 24.7</w:t>
      </w:r>
      <w:r w:rsidR="00EA6D94">
        <w:t>–</w:t>
      </w:r>
      <w:r w:rsidR="00FF274B">
        <w:t>25.1 GHz</w:t>
      </w:r>
    </w:p>
    <w:tbl>
      <w:tblPr>
        <w:tblStyle w:val="TableGrid"/>
        <w:tblW w:w="0" w:type="auto"/>
        <w:tblCellMar>
          <w:top w:w="108" w:type="dxa"/>
          <w:bottom w:w="108" w:type="dxa"/>
        </w:tblCellMar>
        <w:tblLook w:val="04A0" w:firstRow="1" w:lastRow="0" w:firstColumn="1" w:lastColumn="0" w:noHBand="0" w:noVBand="1"/>
      </w:tblPr>
      <w:tblGrid>
        <w:gridCol w:w="2553"/>
        <w:gridCol w:w="2554"/>
        <w:gridCol w:w="2554"/>
      </w:tblGrid>
      <w:tr w:rsidR="00FF274B" w14:paraId="667E9474" w14:textId="77777777" w:rsidTr="00746EE7">
        <w:tc>
          <w:tcPr>
            <w:tcW w:w="2553" w:type="dxa"/>
          </w:tcPr>
          <w:p w14:paraId="185442A0" w14:textId="5725DFD4" w:rsidR="00FF274B" w:rsidRPr="00746EE7" w:rsidRDefault="00621D60" w:rsidP="007E2C30">
            <w:pPr>
              <w:pStyle w:val="TableHeading"/>
              <w:keepNext/>
              <w:keepLines/>
            </w:pPr>
            <w:r w:rsidRPr="00746EE7">
              <w:t>Wireless broadband operating f</w:t>
            </w:r>
            <w:r w:rsidR="00FF274B" w:rsidRPr="00746EE7">
              <w:t>requency range</w:t>
            </w:r>
          </w:p>
        </w:tc>
        <w:tc>
          <w:tcPr>
            <w:tcW w:w="2554" w:type="dxa"/>
          </w:tcPr>
          <w:p w14:paraId="738CC08D" w14:textId="1EF65764" w:rsidR="00FF274B" w:rsidRPr="00746EE7" w:rsidRDefault="00B54A4E" w:rsidP="007E2C30">
            <w:pPr>
              <w:pStyle w:val="TableHeading"/>
              <w:keepNext/>
              <w:keepLines/>
            </w:pPr>
            <w:r w:rsidRPr="00746EE7">
              <w:t>TRP</w:t>
            </w:r>
            <w:r w:rsidR="00FF274B" w:rsidRPr="00746EE7">
              <w:t xml:space="preserve"> limit in</w:t>
            </w:r>
            <w:r w:rsidR="00621D60" w:rsidRPr="00746EE7">
              <w:t>to</w:t>
            </w:r>
            <w:r w:rsidR="00FF274B" w:rsidRPr="00746EE7">
              <w:t xml:space="preserve"> the range 23.6</w:t>
            </w:r>
            <w:r w:rsidR="00EA6D94" w:rsidRPr="00746EE7">
              <w:t>–</w:t>
            </w:r>
            <w:r w:rsidR="00FF274B" w:rsidRPr="00746EE7">
              <w:t>24 GHz</w:t>
            </w:r>
          </w:p>
        </w:tc>
        <w:tc>
          <w:tcPr>
            <w:tcW w:w="2554" w:type="dxa"/>
          </w:tcPr>
          <w:p w14:paraId="79C3C58C" w14:textId="722898A6" w:rsidR="00FF274B" w:rsidRPr="00746EE7" w:rsidRDefault="00FF274B" w:rsidP="007E2C30">
            <w:pPr>
              <w:pStyle w:val="TableHeading"/>
              <w:keepNext/>
              <w:keepLines/>
            </w:pPr>
            <w:r w:rsidRPr="00746EE7">
              <w:t xml:space="preserve">Maximum number of </w:t>
            </w:r>
            <w:r w:rsidR="00273412" w:rsidRPr="00746EE7">
              <w:t xml:space="preserve">outdoor </w:t>
            </w:r>
            <w:r w:rsidR="00336F9D" w:rsidRPr="00746EE7">
              <w:t xml:space="preserve">apparatus licensed </w:t>
            </w:r>
            <w:r w:rsidRPr="00746EE7">
              <w:t xml:space="preserve">wireless broadband base stations within a </w:t>
            </w:r>
            <w:r w:rsidR="00A97710" w:rsidRPr="00746EE7">
              <w:t>9</w:t>
            </w:r>
            <w:r w:rsidRPr="00746EE7">
              <w:t>km radius</w:t>
            </w:r>
          </w:p>
        </w:tc>
      </w:tr>
      <w:tr w:rsidR="00FF274B" w14:paraId="2BA9A14B" w14:textId="77777777" w:rsidTr="00746EE7">
        <w:tc>
          <w:tcPr>
            <w:tcW w:w="2553" w:type="dxa"/>
          </w:tcPr>
          <w:p w14:paraId="21120514" w14:textId="6B835A29" w:rsidR="00FF274B" w:rsidRPr="00746EE7" w:rsidRDefault="00FF274B" w:rsidP="007E2C30">
            <w:pPr>
              <w:pStyle w:val="TableBody"/>
              <w:keepNext/>
              <w:keepLines/>
            </w:pPr>
            <w:r w:rsidRPr="00746EE7">
              <w:t>24.7</w:t>
            </w:r>
            <w:r w:rsidR="00EA6D94" w:rsidRPr="00746EE7">
              <w:t>–</w:t>
            </w:r>
            <w:r w:rsidRPr="00746EE7">
              <w:t>24.8 GHz</w:t>
            </w:r>
          </w:p>
        </w:tc>
        <w:tc>
          <w:tcPr>
            <w:tcW w:w="2554" w:type="dxa"/>
          </w:tcPr>
          <w:p w14:paraId="6146E5CC" w14:textId="60709626" w:rsidR="00FF274B" w:rsidRPr="00746EE7" w:rsidRDefault="00FF274B" w:rsidP="007E2C30">
            <w:pPr>
              <w:pStyle w:val="TableBody"/>
              <w:keepNext/>
              <w:keepLines/>
            </w:pPr>
            <w:r w:rsidRPr="00746EE7">
              <w:t xml:space="preserve">-28 </w:t>
            </w:r>
            <w:proofErr w:type="spellStart"/>
            <w:r w:rsidRPr="00746EE7">
              <w:t>dBW</w:t>
            </w:r>
            <w:proofErr w:type="spellEnd"/>
            <w:r w:rsidRPr="00746EE7">
              <w:t>/200 MHz for BS</w:t>
            </w:r>
          </w:p>
          <w:p w14:paraId="4B598910" w14:textId="5A3D1675" w:rsidR="00FF274B" w:rsidRPr="00746EE7" w:rsidRDefault="00FF274B" w:rsidP="007E2C30">
            <w:pPr>
              <w:pStyle w:val="TableBody"/>
              <w:keepNext/>
              <w:keepLines/>
            </w:pPr>
            <w:r w:rsidRPr="00746EE7">
              <w:t xml:space="preserve">-24 </w:t>
            </w:r>
            <w:proofErr w:type="spellStart"/>
            <w:r w:rsidRPr="00746EE7">
              <w:t>dBW</w:t>
            </w:r>
            <w:proofErr w:type="spellEnd"/>
            <w:r w:rsidRPr="00746EE7">
              <w:t>/200 MHz for UE</w:t>
            </w:r>
          </w:p>
        </w:tc>
        <w:tc>
          <w:tcPr>
            <w:tcW w:w="2554" w:type="dxa"/>
          </w:tcPr>
          <w:p w14:paraId="44EBF883" w14:textId="75E64C6C" w:rsidR="00FF274B" w:rsidRPr="00746EE7" w:rsidRDefault="00336F9D" w:rsidP="007E2C30">
            <w:pPr>
              <w:pStyle w:val="TableBody"/>
              <w:keepNext/>
              <w:keepLines/>
            </w:pPr>
            <w:r w:rsidRPr="00746EE7">
              <w:t>1</w:t>
            </w:r>
            <w:r w:rsidR="00A4780F" w:rsidRPr="00746EE7">
              <w:t>3</w:t>
            </w:r>
          </w:p>
        </w:tc>
      </w:tr>
      <w:tr w:rsidR="00FF274B" w14:paraId="3F1290C4" w14:textId="77777777" w:rsidTr="00746EE7">
        <w:tc>
          <w:tcPr>
            <w:tcW w:w="2553" w:type="dxa"/>
          </w:tcPr>
          <w:p w14:paraId="259D7CB6" w14:textId="2926D7FF" w:rsidR="00FF274B" w:rsidRPr="00746EE7" w:rsidRDefault="00FF274B" w:rsidP="007E2C30">
            <w:pPr>
              <w:pStyle w:val="TableBody"/>
              <w:keepNext/>
              <w:keepLines/>
            </w:pPr>
            <w:r w:rsidRPr="00746EE7">
              <w:t>24.8</w:t>
            </w:r>
            <w:r w:rsidR="00EA6D94" w:rsidRPr="00746EE7">
              <w:t>–</w:t>
            </w:r>
            <w:r w:rsidRPr="00746EE7">
              <w:t>24.9 GHz</w:t>
            </w:r>
          </w:p>
        </w:tc>
        <w:tc>
          <w:tcPr>
            <w:tcW w:w="2554" w:type="dxa"/>
          </w:tcPr>
          <w:p w14:paraId="08C6BF88" w14:textId="74935A7F" w:rsidR="00FF274B" w:rsidRPr="00746EE7" w:rsidRDefault="00FF274B" w:rsidP="007E2C30">
            <w:pPr>
              <w:pStyle w:val="TableBody"/>
              <w:keepNext/>
              <w:keepLines/>
            </w:pPr>
            <w:r w:rsidRPr="00746EE7">
              <w:t xml:space="preserve">-29 </w:t>
            </w:r>
            <w:proofErr w:type="spellStart"/>
            <w:r w:rsidRPr="00746EE7">
              <w:t>dBW</w:t>
            </w:r>
            <w:proofErr w:type="spellEnd"/>
            <w:r w:rsidRPr="00746EE7">
              <w:t>/200 MHz for BS</w:t>
            </w:r>
          </w:p>
          <w:p w14:paraId="25C60A04" w14:textId="49FB8C9F" w:rsidR="00FF274B" w:rsidRPr="00746EE7" w:rsidRDefault="00FF274B" w:rsidP="007E2C30">
            <w:pPr>
              <w:pStyle w:val="TableBody"/>
              <w:keepNext/>
              <w:keepLines/>
            </w:pPr>
            <w:r w:rsidRPr="00746EE7">
              <w:t xml:space="preserve">-25 </w:t>
            </w:r>
            <w:proofErr w:type="spellStart"/>
            <w:r w:rsidRPr="00746EE7">
              <w:t>dBW</w:t>
            </w:r>
            <w:proofErr w:type="spellEnd"/>
            <w:r w:rsidRPr="00746EE7">
              <w:t>/200 MHz for UE</w:t>
            </w:r>
          </w:p>
        </w:tc>
        <w:tc>
          <w:tcPr>
            <w:tcW w:w="2554" w:type="dxa"/>
          </w:tcPr>
          <w:p w14:paraId="397B0243" w14:textId="1F0EC166" w:rsidR="00FF274B" w:rsidRPr="00746EE7" w:rsidRDefault="00336F9D" w:rsidP="007E2C30">
            <w:pPr>
              <w:pStyle w:val="TableBody"/>
              <w:keepNext/>
              <w:keepLines/>
            </w:pPr>
            <w:r w:rsidRPr="00746EE7">
              <w:t>1</w:t>
            </w:r>
            <w:r w:rsidR="00042A31" w:rsidRPr="00746EE7">
              <w:t>6</w:t>
            </w:r>
          </w:p>
        </w:tc>
      </w:tr>
      <w:tr w:rsidR="00FF274B" w14:paraId="26755D34" w14:textId="77777777" w:rsidTr="00746EE7">
        <w:tc>
          <w:tcPr>
            <w:tcW w:w="2553" w:type="dxa"/>
          </w:tcPr>
          <w:p w14:paraId="46489388" w14:textId="52392A47" w:rsidR="00FF274B" w:rsidRPr="00746EE7" w:rsidRDefault="00FF274B" w:rsidP="007E2C30">
            <w:pPr>
              <w:pStyle w:val="TableBody"/>
              <w:keepNext/>
              <w:keepLines/>
            </w:pPr>
            <w:r w:rsidRPr="00746EE7">
              <w:t>24.9</w:t>
            </w:r>
            <w:r w:rsidR="00EA6D94" w:rsidRPr="00746EE7">
              <w:t>–</w:t>
            </w:r>
            <w:r w:rsidRPr="00746EE7">
              <w:t>25 GHz</w:t>
            </w:r>
          </w:p>
        </w:tc>
        <w:tc>
          <w:tcPr>
            <w:tcW w:w="2554" w:type="dxa"/>
          </w:tcPr>
          <w:p w14:paraId="6FBEB6A5" w14:textId="77777777" w:rsidR="00FF274B" w:rsidRPr="00746EE7" w:rsidRDefault="00FF274B" w:rsidP="007E2C30">
            <w:pPr>
              <w:pStyle w:val="TableBody"/>
              <w:keepNext/>
              <w:keepLines/>
            </w:pPr>
            <w:r w:rsidRPr="00746EE7">
              <w:t xml:space="preserve">-31 </w:t>
            </w:r>
            <w:proofErr w:type="spellStart"/>
            <w:r w:rsidRPr="00746EE7">
              <w:t>dBW</w:t>
            </w:r>
            <w:proofErr w:type="spellEnd"/>
            <w:r w:rsidRPr="00746EE7">
              <w:t>/200 MHz for BS</w:t>
            </w:r>
          </w:p>
          <w:p w14:paraId="6950AA8F" w14:textId="30C5126E" w:rsidR="00FF274B" w:rsidRPr="00746EE7" w:rsidRDefault="00FF274B" w:rsidP="007E2C30">
            <w:pPr>
              <w:pStyle w:val="TableBody"/>
              <w:keepNext/>
              <w:keepLines/>
            </w:pPr>
            <w:r w:rsidRPr="00746EE7">
              <w:t xml:space="preserve">-27 </w:t>
            </w:r>
            <w:proofErr w:type="spellStart"/>
            <w:r w:rsidRPr="00746EE7">
              <w:t>dBW</w:t>
            </w:r>
            <w:proofErr w:type="spellEnd"/>
            <w:r w:rsidRPr="00746EE7">
              <w:t>/200 MHz for UE</w:t>
            </w:r>
          </w:p>
        </w:tc>
        <w:tc>
          <w:tcPr>
            <w:tcW w:w="2554" w:type="dxa"/>
          </w:tcPr>
          <w:p w14:paraId="56AC2E34" w14:textId="141E2AC4" w:rsidR="00FF274B" w:rsidRPr="00746EE7" w:rsidRDefault="00042A31" w:rsidP="007E2C30">
            <w:pPr>
              <w:pStyle w:val="TableBody"/>
              <w:keepNext/>
              <w:keepLines/>
            </w:pPr>
            <w:r w:rsidRPr="00746EE7">
              <w:t>26</w:t>
            </w:r>
          </w:p>
        </w:tc>
      </w:tr>
      <w:tr w:rsidR="00FF274B" w14:paraId="55462148" w14:textId="77777777" w:rsidTr="00746EE7">
        <w:tc>
          <w:tcPr>
            <w:tcW w:w="2553" w:type="dxa"/>
          </w:tcPr>
          <w:p w14:paraId="7F856556" w14:textId="7617BB0F" w:rsidR="00FF274B" w:rsidRPr="00746EE7" w:rsidRDefault="00FF274B" w:rsidP="007E2C30">
            <w:pPr>
              <w:pStyle w:val="TableBody"/>
              <w:keepNext/>
              <w:keepLines/>
            </w:pPr>
            <w:r w:rsidRPr="00746EE7">
              <w:t>25</w:t>
            </w:r>
            <w:r w:rsidR="00AC7192" w:rsidRPr="00746EE7">
              <w:softHyphen/>
            </w:r>
            <w:r w:rsidR="00AC7192" w:rsidRPr="00746EE7">
              <w:softHyphen/>
              <w:t>–</w:t>
            </w:r>
            <w:r w:rsidRPr="00746EE7">
              <w:t>25.1 GHz</w:t>
            </w:r>
          </w:p>
        </w:tc>
        <w:tc>
          <w:tcPr>
            <w:tcW w:w="2554" w:type="dxa"/>
          </w:tcPr>
          <w:p w14:paraId="2028D4C6" w14:textId="77777777" w:rsidR="00FF274B" w:rsidRPr="00746EE7" w:rsidRDefault="00FF274B" w:rsidP="007E2C30">
            <w:pPr>
              <w:pStyle w:val="TableBody"/>
              <w:keepNext/>
              <w:keepLines/>
            </w:pPr>
            <w:r w:rsidRPr="00746EE7">
              <w:t xml:space="preserve">-33 </w:t>
            </w:r>
            <w:proofErr w:type="spellStart"/>
            <w:r w:rsidRPr="00746EE7">
              <w:t>dBW</w:t>
            </w:r>
            <w:proofErr w:type="spellEnd"/>
            <w:r w:rsidRPr="00746EE7">
              <w:t>/200 MHz for BS</w:t>
            </w:r>
          </w:p>
          <w:p w14:paraId="3B8D7F17" w14:textId="59C3C941" w:rsidR="00FF274B" w:rsidRPr="00746EE7" w:rsidRDefault="00FF274B" w:rsidP="007E2C30">
            <w:pPr>
              <w:pStyle w:val="TableBody"/>
              <w:keepNext/>
              <w:keepLines/>
            </w:pPr>
            <w:r w:rsidRPr="00746EE7">
              <w:t xml:space="preserve">-29 </w:t>
            </w:r>
            <w:proofErr w:type="spellStart"/>
            <w:r w:rsidRPr="00746EE7">
              <w:t>dBW</w:t>
            </w:r>
            <w:proofErr w:type="spellEnd"/>
            <w:r w:rsidRPr="00746EE7">
              <w:t>/200 MHz for UE</w:t>
            </w:r>
          </w:p>
        </w:tc>
        <w:tc>
          <w:tcPr>
            <w:tcW w:w="2554" w:type="dxa"/>
          </w:tcPr>
          <w:p w14:paraId="3E517018" w14:textId="645B6A55" w:rsidR="00FF274B" w:rsidRPr="00746EE7" w:rsidRDefault="00336F9D" w:rsidP="007E2C30">
            <w:pPr>
              <w:pStyle w:val="TableBody"/>
              <w:keepNext/>
              <w:keepLines/>
            </w:pPr>
            <w:r w:rsidRPr="00746EE7">
              <w:t>4</w:t>
            </w:r>
            <w:r w:rsidR="00042A31" w:rsidRPr="00746EE7">
              <w:t>1</w:t>
            </w:r>
          </w:p>
        </w:tc>
      </w:tr>
    </w:tbl>
    <w:p w14:paraId="4DA47997" w14:textId="5D0E4DCD" w:rsidR="00800E22" w:rsidRDefault="00800E22" w:rsidP="00746EE7">
      <w:pPr>
        <w:pStyle w:val="ListBullet2"/>
        <w:numPr>
          <w:ilvl w:val="0"/>
          <w:numId w:val="0"/>
        </w:numPr>
        <w:ind w:left="845"/>
      </w:pPr>
    </w:p>
    <w:p w14:paraId="385F2222" w14:textId="53CFD811" w:rsidR="002E6473" w:rsidRPr="00190F88" w:rsidRDefault="002E6473" w:rsidP="006C11FC">
      <w:pPr>
        <w:pStyle w:val="ListBullet2"/>
        <w:numPr>
          <w:ilvl w:val="0"/>
          <w:numId w:val="0"/>
        </w:numPr>
      </w:pPr>
    </w:p>
    <w:p w14:paraId="2354FB66" w14:textId="5A04E288" w:rsidR="002E6473" w:rsidRPr="00AC7192" w:rsidRDefault="00DF1CCC" w:rsidP="00746EE7">
      <w:pPr>
        <w:spacing w:after="80"/>
        <w:rPr>
          <w:b/>
        </w:rPr>
      </w:pPr>
      <w:r w:rsidRPr="00AC7192">
        <w:rPr>
          <w:b/>
        </w:rPr>
        <w:lastRenderedPageBreak/>
        <w:t>Spectrum licence conditions</w:t>
      </w:r>
      <w:r w:rsidR="00AC7192">
        <w:rPr>
          <w:b/>
        </w:rPr>
        <w:t>—</w:t>
      </w:r>
      <w:r w:rsidRPr="00AC7192">
        <w:rPr>
          <w:b/>
        </w:rPr>
        <w:t>preliminary views</w:t>
      </w:r>
      <w:r w:rsidR="002E6473" w:rsidRPr="00AC7192">
        <w:rPr>
          <w:b/>
        </w:rPr>
        <w:t>:</w:t>
      </w:r>
    </w:p>
    <w:p w14:paraId="1AE9E621" w14:textId="087369B4" w:rsidR="00E754AA" w:rsidRPr="00335D0B" w:rsidRDefault="001B062C" w:rsidP="00335D0B">
      <w:pPr>
        <w:pStyle w:val="ListBullet"/>
        <w:rPr>
          <w:rStyle w:val="Hyperlink"/>
          <w:color w:val="auto"/>
          <w:u w:val="none"/>
        </w:rPr>
      </w:pPr>
      <w:r w:rsidRPr="00335D0B">
        <w:rPr>
          <w:rStyle w:val="Hyperlink"/>
          <w:color w:val="auto"/>
          <w:u w:val="none"/>
        </w:rPr>
        <w:t>Deployments may be fixed point-to-multipoint or mobile (base station with service area) in nature</w:t>
      </w:r>
      <w:r w:rsidR="00AC7192" w:rsidRPr="00335D0B">
        <w:rPr>
          <w:rStyle w:val="Hyperlink"/>
          <w:color w:val="auto"/>
          <w:u w:val="none"/>
        </w:rPr>
        <w:t xml:space="preserve">. </w:t>
      </w:r>
    </w:p>
    <w:p w14:paraId="783860B0" w14:textId="4EAAE041" w:rsidR="00E754AA" w:rsidRPr="00335D0B" w:rsidRDefault="001B062C" w:rsidP="00335D0B">
      <w:pPr>
        <w:pStyle w:val="ListBullet"/>
        <w:rPr>
          <w:rStyle w:val="Hyperlink"/>
          <w:color w:val="auto"/>
          <w:u w:val="none"/>
        </w:rPr>
      </w:pPr>
      <w:r w:rsidRPr="00335D0B">
        <w:rPr>
          <w:rStyle w:val="Hyperlink"/>
          <w:color w:val="auto"/>
          <w:u w:val="none"/>
        </w:rPr>
        <w:t xml:space="preserve">Base station TRP is not to exceed </w:t>
      </w:r>
      <w:r w:rsidR="007A53F4" w:rsidRPr="00335D0B">
        <w:rPr>
          <w:rStyle w:val="Hyperlink"/>
          <w:color w:val="auto"/>
          <w:u w:val="none"/>
        </w:rPr>
        <w:t>30</w:t>
      </w:r>
      <w:r w:rsidR="00F05B83" w:rsidRPr="00335D0B">
        <w:rPr>
          <w:rStyle w:val="Hyperlink"/>
          <w:color w:val="auto"/>
          <w:u w:val="none"/>
        </w:rPr>
        <w:t xml:space="preserve"> dBm/200 MHz</w:t>
      </w:r>
      <w:r w:rsidR="00AC7192" w:rsidRPr="00335D0B">
        <w:rPr>
          <w:rStyle w:val="Hyperlink"/>
          <w:color w:val="auto"/>
          <w:u w:val="none"/>
        </w:rPr>
        <w:t xml:space="preserve">. </w:t>
      </w:r>
      <w:r w:rsidR="00DA29C8" w:rsidRPr="00335D0B">
        <w:rPr>
          <w:rStyle w:val="Hyperlink"/>
          <w:color w:val="auto"/>
          <w:u w:val="none"/>
        </w:rPr>
        <w:t xml:space="preserve"> </w:t>
      </w:r>
    </w:p>
    <w:p w14:paraId="64C1D757" w14:textId="01643D8F" w:rsidR="00620E68" w:rsidRPr="00335D0B" w:rsidRDefault="00DA29C8" w:rsidP="00335D0B">
      <w:pPr>
        <w:pStyle w:val="ListBullet"/>
        <w:rPr>
          <w:rStyle w:val="Hyperlink"/>
          <w:color w:val="auto"/>
          <w:u w:val="none"/>
        </w:rPr>
      </w:pPr>
      <w:r w:rsidRPr="00335D0B">
        <w:rPr>
          <w:rStyle w:val="Hyperlink"/>
          <w:color w:val="auto"/>
          <w:u w:val="none"/>
        </w:rPr>
        <w:t xml:space="preserve">User equipment TRP is not to exceed </w:t>
      </w:r>
      <w:r w:rsidR="00D92789" w:rsidRPr="00335D0B">
        <w:rPr>
          <w:rStyle w:val="Hyperlink"/>
          <w:color w:val="auto"/>
          <w:u w:val="none"/>
        </w:rPr>
        <w:t>22 dBm per occupied bandwidth</w:t>
      </w:r>
      <w:r w:rsidR="00AC7192" w:rsidRPr="00335D0B">
        <w:rPr>
          <w:rStyle w:val="Hyperlink"/>
          <w:color w:val="auto"/>
          <w:u w:val="none"/>
        </w:rPr>
        <w:t xml:space="preserve">. </w:t>
      </w:r>
    </w:p>
    <w:p w14:paraId="302BB49B" w14:textId="7D9A38BD" w:rsidR="00620E68" w:rsidRPr="00335D0B" w:rsidRDefault="008527AC" w:rsidP="00335D0B">
      <w:pPr>
        <w:pStyle w:val="ListBullet"/>
        <w:rPr>
          <w:rStyle w:val="Hyperlink"/>
          <w:color w:val="auto"/>
          <w:u w:val="none"/>
        </w:rPr>
      </w:pPr>
      <w:r w:rsidRPr="00335D0B">
        <w:t>Devices</w:t>
      </w:r>
      <w:r w:rsidR="00620E68" w:rsidRPr="00335D0B">
        <w:t xml:space="preserve"> must be coordinated with space research service receive sites specified in Annex </w:t>
      </w:r>
      <w:r w:rsidR="00D53FA7" w:rsidRPr="00335D0B">
        <w:t>E</w:t>
      </w:r>
      <w:r w:rsidR="00620E68" w:rsidRPr="00335D0B">
        <w:t xml:space="preserve"> and </w:t>
      </w:r>
      <w:r w:rsidR="00DB50AF" w:rsidRPr="00335D0B">
        <w:t>not exceed</w:t>
      </w:r>
      <w:r w:rsidR="00620E68" w:rsidRPr="00335D0B">
        <w:t xml:space="preserve"> -156 </w:t>
      </w:r>
      <w:proofErr w:type="spellStart"/>
      <w:r w:rsidR="00620E68" w:rsidRPr="00335D0B">
        <w:t>dBW</w:t>
      </w:r>
      <w:proofErr w:type="spellEnd"/>
      <w:r w:rsidR="00620E68" w:rsidRPr="00335D0B">
        <w:t>/MHz</w:t>
      </w:r>
      <w:r w:rsidR="00620E68" w:rsidRPr="00335D0B">
        <w:rPr>
          <w:rStyle w:val="FootnoteReference"/>
          <w:vertAlign w:val="baseline"/>
        </w:rPr>
        <w:footnoteReference w:id="19"/>
      </w:r>
      <w:r w:rsidR="00DB50AF" w:rsidRPr="00335D0B">
        <w:t xml:space="preserve"> at those sites</w:t>
      </w:r>
      <w:r w:rsidR="00AC7192" w:rsidRPr="00335D0B">
        <w:t xml:space="preserve">. </w:t>
      </w:r>
    </w:p>
    <w:p w14:paraId="7FB2F83C" w14:textId="5C54E2CC" w:rsidR="00191CB5" w:rsidRPr="00335D0B" w:rsidRDefault="001B062C" w:rsidP="00335D0B">
      <w:pPr>
        <w:pStyle w:val="ListBullet"/>
      </w:pPr>
      <w:r w:rsidRPr="00335D0B">
        <w:t xml:space="preserve">Operation is </w:t>
      </w:r>
      <w:r w:rsidR="005F7F55" w:rsidRPr="00335D0B">
        <w:t xml:space="preserve">proposed to be </w:t>
      </w:r>
      <w:r w:rsidRPr="00335D0B">
        <w:t xml:space="preserve">permitted </w:t>
      </w:r>
      <w:r w:rsidR="006C4864" w:rsidRPr="00335D0B">
        <w:t xml:space="preserve">within defined areas specified in Annex </w:t>
      </w:r>
      <w:r w:rsidR="00D53FA7" w:rsidRPr="00335D0B">
        <w:t>D</w:t>
      </w:r>
      <w:r w:rsidR="009D5FDF" w:rsidRPr="00335D0B">
        <w:t xml:space="preserve"> </w:t>
      </w:r>
      <w:r w:rsidR="00506198" w:rsidRPr="00335D0B">
        <w:t>(</w:t>
      </w:r>
      <w:r w:rsidR="00F05FFA" w:rsidRPr="00335D0B">
        <w:t>except in the</w:t>
      </w:r>
      <w:r w:rsidR="009D5FDF" w:rsidRPr="00335D0B">
        <w:t xml:space="preserve"> exclusion zones specified in Annex </w:t>
      </w:r>
      <w:r w:rsidR="00D53FA7" w:rsidRPr="00335D0B">
        <w:t>E</w:t>
      </w:r>
      <w:r w:rsidR="009D5FDF" w:rsidRPr="00335D0B">
        <w:t>)</w:t>
      </w:r>
      <w:r w:rsidR="00AC7192" w:rsidRPr="00335D0B">
        <w:t xml:space="preserve">. </w:t>
      </w:r>
    </w:p>
    <w:p w14:paraId="437BF6C1" w14:textId="52111A2B" w:rsidR="00AC7192" w:rsidRPr="00335D0B" w:rsidRDefault="00AC7192" w:rsidP="00335D0B">
      <w:pPr>
        <w:pStyle w:val="ListBullet"/>
      </w:pPr>
      <w:r w:rsidRPr="00335D0B">
        <w:t>Wireless broadband devices are not to be operated within the parts of the Canberra defined area (see Annex D) where it overlaps the Tidbinbilla exclusion zone (Annex E). All out-of-area conditions on applicable spectrum licences (other than those for the protection of space research service receive sites detailed in Annex E) will apply at the outer boundary on the licence, even where the boundary overlaps the Tidbinbilla exclusion zone.</w:t>
      </w:r>
    </w:p>
    <w:p w14:paraId="60BB81EB" w14:textId="4D39BEDC" w:rsidR="00840D50" w:rsidRPr="00335D0B" w:rsidRDefault="00B54A4E" w:rsidP="00335D0B">
      <w:pPr>
        <w:pStyle w:val="ListBullet"/>
        <w:rPr>
          <w:rStyle w:val="Hyperlink"/>
          <w:color w:val="auto"/>
          <w:u w:val="none"/>
        </w:rPr>
      </w:pPr>
      <w:r w:rsidRPr="00335D0B">
        <w:rPr>
          <w:rStyle w:val="Hyperlink"/>
          <w:color w:val="auto"/>
          <w:u w:val="none"/>
        </w:rPr>
        <w:t>The TRP for o</w:t>
      </w:r>
      <w:r w:rsidR="00273412" w:rsidRPr="00335D0B">
        <w:rPr>
          <w:rStyle w:val="Hyperlink"/>
          <w:color w:val="auto"/>
          <w:u w:val="none"/>
        </w:rPr>
        <w:t xml:space="preserve">utdoor </w:t>
      </w:r>
      <w:r w:rsidR="005E47DE" w:rsidRPr="00335D0B">
        <w:rPr>
          <w:rStyle w:val="Hyperlink"/>
          <w:color w:val="auto"/>
          <w:u w:val="none"/>
        </w:rPr>
        <w:t xml:space="preserve">deployments </w:t>
      </w:r>
      <w:r w:rsidRPr="00335D0B">
        <w:rPr>
          <w:rStyle w:val="Hyperlink"/>
          <w:color w:val="auto"/>
          <w:u w:val="none"/>
        </w:rPr>
        <w:t>is</w:t>
      </w:r>
      <w:r w:rsidR="00840D50" w:rsidRPr="00335D0B">
        <w:rPr>
          <w:rStyle w:val="Hyperlink"/>
          <w:color w:val="auto"/>
          <w:u w:val="none"/>
        </w:rPr>
        <w:t xml:space="preserve"> not to exceed </w:t>
      </w:r>
      <w:r w:rsidR="006A50ED" w:rsidRPr="00335D0B">
        <w:t>-37</w:t>
      </w:r>
      <w:r w:rsidR="00840D50" w:rsidRPr="00335D0B">
        <w:t xml:space="preserve"> </w:t>
      </w:r>
      <w:proofErr w:type="spellStart"/>
      <w:r w:rsidR="00840D50" w:rsidRPr="00335D0B">
        <w:t>dBW</w:t>
      </w:r>
      <w:proofErr w:type="spellEnd"/>
      <w:r w:rsidR="00840D50" w:rsidRPr="00335D0B">
        <w:t>/</w:t>
      </w:r>
      <w:r w:rsidR="006A50ED" w:rsidRPr="00335D0B">
        <w:t xml:space="preserve">200 MHz for base stations and -33 </w:t>
      </w:r>
      <w:proofErr w:type="spellStart"/>
      <w:r w:rsidR="006A50ED" w:rsidRPr="00335D0B">
        <w:t>dBW</w:t>
      </w:r>
      <w:proofErr w:type="spellEnd"/>
      <w:r w:rsidR="006A50ED" w:rsidRPr="00335D0B">
        <w:t>/200 MHz for UE</w:t>
      </w:r>
      <w:r w:rsidR="00840D50" w:rsidRPr="00335D0B">
        <w:t xml:space="preserve"> </w:t>
      </w:r>
      <w:r w:rsidR="00840D50" w:rsidRPr="00335D0B">
        <w:rPr>
          <w:rStyle w:val="Hyperlink"/>
          <w:color w:val="auto"/>
          <w:u w:val="none"/>
        </w:rPr>
        <w:t>measured anywhere in the range 23.6</w:t>
      </w:r>
      <w:r w:rsidR="00AC7192" w:rsidRPr="00335D0B">
        <w:rPr>
          <w:rStyle w:val="Hyperlink"/>
          <w:color w:val="auto"/>
          <w:u w:val="none"/>
        </w:rPr>
        <w:t>–</w:t>
      </w:r>
      <w:r w:rsidR="00840D50" w:rsidRPr="00335D0B">
        <w:rPr>
          <w:rStyle w:val="Hyperlink"/>
          <w:color w:val="auto"/>
          <w:u w:val="none"/>
        </w:rPr>
        <w:t>24 GHz</w:t>
      </w:r>
      <w:r w:rsidR="00AC7192" w:rsidRPr="00335D0B">
        <w:rPr>
          <w:rStyle w:val="Hyperlink"/>
          <w:color w:val="auto"/>
          <w:u w:val="none"/>
        </w:rPr>
        <w:t xml:space="preserve">. </w:t>
      </w:r>
      <w:r w:rsidR="001348BC" w:rsidRPr="00335D0B">
        <w:rPr>
          <w:rStyle w:val="Hyperlink"/>
          <w:color w:val="auto"/>
          <w:u w:val="none"/>
        </w:rPr>
        <w:t xml:space="preserve"> </w:t>
      </w:r>
    </w:p>
    <w:p w14:paraId="4C92E702" w14:textId="1114AA8B" w:rsidR="00555B3C" w:rsidRPr="00335D0B" w:rsidRDefault="00555B3C" w:rsidP="00335D0B">
      <w:pPr>
        <w:pStyle w:val="ListBullet"/>
      </w:pPr>
      <w:r w:rsidRPr="00335D0B">
        <w:t>Indoor devices are to comply with the unwanted and spurious emission limits as described in the 38 series of 3GPP specifications.</w:t>
      </w:r>
      <w:r w:rsidR="00335F5E">
        <w:rPr>
          <w:rStyle w:val="FootnoteReference"/>
        </w:rPr>
        <w:footnoteReference w:id="20"/>
      </w:r>
    </w:p>
    <w:p w14:paraId="1372FF9F" w14:textId="3B5BCAA6" w:rsidR="00E754AA" w:rsidRPr="00190F88" w:rsidRDefault="001B062C" w:rsidP="00335D0B">
      <w:pPr>
        <w:pStyle w:val="ListBullet"/>
      </w:pPr>
      <w:r w:rsidRPr="00335D0B">
        <w:t xml:space="preserve">The following additional conditions </w:t>
      </w:r>
      <w:r w:rsidR="000373D1" w:rsidRPr="00335D0B">
        <w:t xml:space="preserve">will </w:t>
      </w:r>
      <w:r w:rsidRPr="00335D0B">
        <w:t xml:space="preserve">apply for services operating within </w:t>
      </w:r>
      <w:r w:rsidR="00AC7192" w:rsidRPr="00335D0B">
        <w:t xml:space="preserve">NBN </w:t>
      </w:r>
      <w:r w:rsidRPr="00335D0B">
        <w:t xml:space="preserve">gateway footprint areas specified in Annex </w:t>
      </w:r>
      <w:r w:rsidR="00D53FA7" w:rsidRPr="00335D0B">
        <w:t>F</w:t>
      </w:r>
      <w:r w:rsidRPr="00335D0B">
        <w:t>:</w:t>
      </w:r>
    </w:p>
    <w:p w14:paraId="7ECF7A37" w14:textId="4B7A1C25" w:rsidR="00517A13" w:rsidRPr="00335D0B" w:rsidRDefault="00517A13" w:rsidP="00335D0B">
      <w:pPr>
        <w:pStyle w:val="ListBullet2"/>
        <w:rPr>
          <w:rStyle w:val="Hyperlink"/>
          <w:color w:val="auto"/>
          <w:u w:val="none"/>
        </w:rPr>
      </w:pPr>
      <w:r w:rsidRPr="00335D0B">
        <w:rPr>
          <w:rStyle w:val="Hyperlink"/>
          <w:color w:val="auto"/>
          <w:u w:val="none"/>
        </w:rPr>
        <w:t xml:space="preserve">Base station TRP is not to exceed </w:t>
      </w:r>
      <w:r w:rsidR="009B5A1C" w:rsidRPr="00335D0B">
        <w:rPr>
          <w:rStyle w:val="Hyperlink"/>
          <w:color w:val="auto"/>
          <w:u w:val="none"/>
        </w:rPr>
        <w:t>25</w:t>
      </w:r>
      <w:r w:rsidRPr="00335D0B">
        <w:rPr>
          <w:rStyle w:val="Hyperlink"/>
          <w:color w:val="auto"/>
          <w:u w:val="none"/>
        </w:rPr>
        <w:t xml:space="preserve"> dB</w:t>
      </w:r>
      <w:r w:rsidR="004F39A1" w:rsidRPr="00335D0B">
        <w:rPr>
          <w:rStyle w:val="Hyperlink"/>
          <w:color w:val="auto"/>
          <w:u w:val="none"/>
        </w:rPr>
        <w:t>m/200 MHz</w:t>
      </w:r>
      <w:r w:rsidR="00AC7192" w:rsidRPr="00335D0B">
        <w:rPr>
          <w:rStyle w:val="Hyperlink"/>
          <w:color w:val="auto"/>
          <w:u w:val="none"/>
        </w:rPr>
        <w:t xml:space="preserve">. </w:t>
      </w:r>
      <w:r w:rsidRPr="00335D0B">
        <w:rPr>
          <w:rStyle w:val="Hyperlink"/>
          <w:color w:val="auto"/>
          <w:u w:val="none"/>
        </w:rPr>
        <w:t xml:space="preserve"> </w:t>
      </w:r>
    </w:p>
    <w:p w14:paraId="1B3828FD" w14:textId="2696891D" w:rsidR="00B963A0" w:rsidRPr="00335D0B" w:rsidRDefault="00B963A0" w:rsidP="00335D0B">
      <w:pPr>
        <w:pStyle w:val="ListBullet2"/>
      </w:pPr>
      <w:r w:rsidRPr="00335D0B">
        <w:t>Outdoor base stations must have mechanical down tilt equal to or greater than 0</w:t>
      </w:r>
      <w:r w:rsidR="00AC7192" w:rsidRPr="00335D0B">
        <w:t xml:space="preserve">°. </w:t>
      </w:r>
    </w:p>
    <w:p w14:paraId="21154A5E" w14:textId="7816F6EC" w:rsidR="00F26DA7" w:rsidRPr="00335D0B" w:rsidRDefault="00F451B4" w:rsidP="00335D0B">
      <w:pPr>
        <w:pStyle w:val="ListBullet2"/>
      </w:pPr>
      <w:r w:rsidRPr="00335D0B">
        <w:t xml:space="preserve">Outdoor base stations must not direct antenna beams (via electrical steering) to elevation angles greater than </w:t>
      </w:r>
      <w:r w:rsidR="00F05FFA" w:rsidRPr="00335D0B">
        <w:t>5</w:t>
      </w:r>
      <w:r w:rsidRPr="00335D0B">
        <w:t>° above the horizon for more than 5% of time</w:t>
      </w:r>
      <w:r w:rsidR="00736BA6" w:rsidRPr="00335D0B">
        <w:t xml:space="preserve">. </w:t>
      </w:r>
      <w:r w:rsidR="00F26DA7" w:rsidRPr="00335D0B">
        <w:t xml:space="preserve"> </w:t>
      </w:r>
    </w:p>
    <w:p w14:paraId="30FDA6A1" w14:textId="6F782BE7" w:rsidR="00F26DA7" w:rsidRPr="00335D0B" w:rsidRDefault="00F26DA7" w:rsidP="00335D0B">
      <w:pPr>
        <w:pStyle w:val="ListBullet2"/>
      </w:pPr>
      <w:r w:rsidRPr="00335D0B">
        <w:t>Outdoor fixed UEs must not direct their antenna beam (via electrical steering) to within 1.5° the GSO arc</w:t>
      </w:r>
      <w:r w:rsidR="00736BA6" w:rsidRPr="00335D0B">
        <w:t xml:space="preserve">. </w:t>
      </w:r>
    </w:p>
    <w:p w14:paraId="60583726" w14:textId="45AD5427" w:rsidR="00760100" w:rsidRPr="00760100" w:rsidRDefault="004B1085" w:rsidP="00FD0543">
      <w:pPr>
        <w:pStyle w:val="ListBullet2"/>
      </w:pPr>
      <w:r w:rsidRPr="00335D0B">
        <w:t xml:space="preserve">Subject to further consideration, a cap on outdoor wireless broadband base stations in </w:t>
      </w:r>
      <w:r w:rsidR="00736BA6" w:rsidRPr="00335D0B">
        <w:t xml:space="preserve">NBN </w:t>
      </w:r>
      <w:r w:rsidRPr="00335D0B">
        <w:t>gateway footprint areas may be included.</w:t>
      </w:r>
      <w:r>
        <w:t xml:space="preserve"> </w:t>
      </w:r>
    </w:p>
    <w:p w14:paraId="1911E5E5" w14:textId="6755E184" w:rsidR="00264184" w:rsidRPr="00483A5A" w:rsidRDefault="00E054A2" w:rsidP="00483A5A">
      <w:pPr>
        <w:pStyle w:val="Heading1"/>
      </w:pPr>
      <w:bookmarkStart w:id="64" w:name="_Toc4664103"/>
      <w:r w:rsidRPr="00483A5A">
        <w:lastRenderedPageBreak/>
        <w:t xml:space="preserve">Next </w:t>
      </w:r>
      <w:r w:rsidR="00253DD3" w:rsidRPr="00483A5A">
        <w:t>s</w:t>
      </w:r>
      <w:r w:rsidRPr="00483A5A">
        <w:t>teps</w:t>
      </w:r>
      <w:bookmarkEnd w:id="47"/>
      <w:bookmarkEnd w:id="48"/>
      <w:bookmarkEnd w:id="49"/>
      <w:bookmarkEnd w:id="50"/>
      <w:bookmarkEnd w:id="64"/>
    </w:p>
    <w:p w14:paraId="1FB9E43B" w14:textId="4BE96CF4" w:rsidR="00334267" w:rsidRPr="003918F1" w:rsidRDefault="00D070B3" w:rsidP="00F26DA7">
      <w:pPr>
        <w:spacing w:before="120" w:after="120" w:line="240" w:lineRule="auto"/>
      </w:pPr>
      <w:r w:rsidRPr="003918F1">
        <w:t xml:space="preserve">To give effect to the </w:t>
      </w:r>
      <w:r w:rsidR="005F7F55">
        <w:t>p</w:t>
      </w:r>
      <w:r w:rsidR="008E17BC">
        <w:t>lanning</w:t>
      </w:r>
      <w:r w:rsidR="005F7F55">
        <w:t xml:space="preserve"> </w:t>
      </w:r>
      <w:r w:rsidRPr="003918F1">
        <w:t xml:space="preserve">decisions </w:t>
      </w:r>
      <w:r w:rsidR="006335FC" w:rsidRPr="003918F1">
        <w:t xml:space="preserve">and preliminary views </w:t>
      </w:r>
      <w:r w:rsidRPr="003918F1">
        <w:t>outlined</w:t>
      </w:r>
      <w:r w:rsidR="006335FC" w:rsidRPr="003918F1">
        <w:t xml:space="preserve"> in this paper</w:t>
      </w:r>
      <w:r w:rsidRPr="003918F1">
        <w:t xml:space="preserve">, the ACMA </w:t>
      </w:r>
      <w:r w:rsidR="00334267" w:rsidRPr="003918F1">
        <w:t xml:space="preserve">intends to proceed in accordance with the timeframe set out in Table </w:t>
      </w:r>
      <w:r w:rsidR="00C86B28">
        <w:t>3</w:t>
      </w:r>
      <w:r w:rsidR="00334267" w:rsidRPr="003918F1">
        <w:t>.</w:t>
      </w:r>
    </w:p>
    <w:p w14:paraId="08B76C51" w14:textId="4A8FB137" w:rsidR="005154AD" w:rsidRPr="003918F1" w:rsidRDefault="005154AD" w:rsidP="00DA511D">
      <w:pPr>
        <w:pStyle w:val="ACMATableHeader"/>
        <w:keepNext/>
        <w:keepLines/>
        <w:spacing w:before="120" w:after="120"/>
      </w:pPr>
      <w:bookmarkStart w:id="65" w:name="_Toc494375848"/>
      <w:bookmarkStart w:id="66" w:name="_Toc494378921"/>
      <w:r w:rsidRPr="003918F1">
        <w:t xml:space="preserve">Indicative </w:t>
      </w:r>
      <w:r w:rsidR="00253DD3" w:rsidRPr="003918F1">
        <w:t>t</w:t>
      </w:r>
      <w:r w:rsidRPr="003918F1">
        <w:t>imetable</w:t>
      </w:r>
    </w:p>
    <w:tbl>
      <w:tblPr>
        <w:tblStyle w:val="TableGrid"/>
        <w:tblW w:w="8648" w:type="dxa"/>
        <w:tblInd w:w="137" w:type="dxa"/>
        <w:tblLayout w:type="fixed"/>
        <w:tblCellMar>
          <w:top w:w="57" w:type="dxa"/>
          <w:left w:w="57" w:type="dxa"/>
          <w:bottom w:w="57" w:type="dxa"/>
          <w:right w:w="57" w:type="dxa"/>
        </w:tblCellMar>
        <w:tblLook w:val="04A0" w:firstRow="1" w:lastRow="0" w:firstColumn="1" w:lastColumn="0" w:noHBand="0" w:noVBand="1"/>
        <w:tblCaption w:val="Indicative timetable for the reallocation process"/>
        <w:tblDescription w:val="The table provides the indicative timetable which outlines the key steps in the re-allocation process. The ACMA is working towards giving the Minister a recommendation to make a spectrum reallocation declaration in May 2015, and anticipates that the Minister will make a spectrum re-allocation declaration in May 2015. However, under section 153E of the Act, the Minister has 180 days after receiving the ACMA’s recommendation to make a spectrum re-allocation declaration. If the Minister makes a spectrum re-allocation declaration in May, the ACMA is proposing to commence an auction of the 1800 megahertz band in November 2015. "/>
      </w:tblPr>
      <w:tblGrid>
        <w:gridCol w:w="6521"/>
        <w:gridCol w:w="2127"/>
      </w:tblGrid>
      <w:tr w:rsidR="007D6E05" w:rsidRPr="003918F1" w14:paraId="30613898" w14:textId="77777777" w:rsidTr="00B56F50">
        <w:trPr>
          <w:cantSplit/>
          <w:tblHeader/>
        </w:trPr>
        <w:tc>
          <w:tcPr>
            <w:tcW w:w="6521" w:type="dxa"/>
            <w:shd w:val="clear" w:color="auto" w:fill="404040" w:themeFill="text1" w:themeFillTint="BF"/>
            <w:tcMar>
              <w:top w:w="57" w:type="dxa"/>
              <w:bottom w:w="28" w:type="dxa"/>
            </w:tcMar>
          </w:tcPr>
          <w:p w14:paraId="7FC31E5D" w14:textId="7C1C4D62" w:rsidR="007D6E05" w:rsidRPr="003918F1" w:rsidRDefault="003918F1" w:rsidP="00DA511D">
            <w:pPr>
              <w:pStyle w:val="TableHeading"/>
              <w:spacing w:before="120" w:after="120" w:line="240" w:lineRule="auto"/>
              <w:rPr>
                <w:color w:val="FFFFFF" w:themeColor="background1"/>
              </w:rPr>
            </w:pPr>
            <w:r>
              <w:rPr>
                <w:color w:val="FFFFFF" w:themeColor="background1"/>
              </w:rPr>
              <w:t>Action</w:t>
            </w:r>
          </w:p>
        </w:tc>
        <w:tc>
          <w:tcPr>
            <w:tcW w:w="2127" w:type="dxa"/>
            <w:shd w:val="clear" w:color="auto" w:fill="404040" w:themeFill="text1" w:themeFillTint="BF"/>
            <w:tcMar>
              <w:top w:w="57" w:type="dxa"/>
              <w:bottom w:w="28" w:type="dxa"/>
            </w:tcMar>
          </w:tcPr>
          <w:p w14:paraId="7B70C5CD" w14:textId="160DA8C5" w:rsidR="007D6E05" w:rsidRPr="003918F1" w:rsidRDefault="00D05805" w:rsidP="00DA511D">
            <w:pPr>
              <w:pStyle w:val="TableHeading"/>
              <w:spacing w:before="120" w:after="120" w:line="240" w:lineRule="auto"/>
              <w:rPr>
                <w:color w:val="FFFFFF" w:themeColor="background1"/>
              </w:rPr>
            </w:pPr>
            <w:r>
              <w:rPr>
                <w:color w:val="FFFFFF" w:themeColor="background1"/>
              </w:rPr>
              <w:t>D</w:t>
            </w:r>
            <w:r w:rsidR="0081725F">
              <w:rPr>
                <w:color w:val="FFFFFF" w:themeColor="background1"/>
              </w:rPr>
              <w:t>ate</w:t>
            </w:r>
          </w:p>
        </w:tc>
      </w:tr>
      <w:tr w:rsidR="007D6E05" w:rsidRPr="003918F1" w14:paraId="24929003" w14:textId="77777777" w:rsidTr="00580B40">
        <w:trPr>
          <w:cantSplit/>
        </w:trPr>
        <w:tc>
          <w:tcPr>
            <w:tcW w:w="6521" w:type="dxa"/>
            <w:shd w:val="clear" w:color="auto" w:fill="FFFFFF" w:themeFill="background1"/>
            <w:tcMar>
              <w:top w:w="57" w:type="dxa"/>
              <w:bottom w:w="28" w:type="dxa"/>
            </w:tcMar>
          </w:tcPr>
          <w:p w14:paraId="47FBAF81" w14:textId="64B96A1B" w:rsidR="007D6E05" w:rsidRPr="00C77F04" w:rsidRDefault="00E763E1" w:rsidP="00DA511D">
            <w:pPr>
              <w:keepNext/>
              <w:keepLines/>
              <w:spacing w:before="120" w:after="120" w:line="240" w:lineRule="auto"/>
              <w:rPr>
                <w:rFonts w:cs="Arial"/>
                <w:szCs w:val="20"/>
              </w:rPr>
            </w:pPr>
            <w:r>
              <w:rPr>
                <w:rFonts w:cs="Arial"/>
                <w:szCs w:val="20"/>
              </w:rPr>
              <w:t xml:space="preserve">Commence </w:t>
            </w:r>
            <w:r w:rsidR="004C2C1E">
              <w:rPr>
                <w:rFonts w:cs="Arial"/>
                <w:szCs w:val="20"/>
              </w:rPr>
              <w:t xml:space="preserve">work to </w:t>
            </w:r>
            <w:r>
              <w:rPr>
                <w:rFonts w:cs="Arial"/>
                <w:szCs w:val="20"/>
              </w:rPr>
              <w:t>u</w:t>
            </w:r>
            <w:r w:rsidR="00F13A8B">
              <w:rPr>
                <w:rFonts w:cs="Arial"/>
                <w:szCs w:val="20"/>
              </w:rPr>
              <w:t>pdate</w:t>
            </w:r>
            <w:r w:rsidR="00C31CC5">
              <w:rPr>
                <w:rFonts w:cs="Arial"/>
                <w:szCs w:val="20"/>
              </w:rPr>
              <w:t xml:space="preserve"> </w:t>
            </w:r>
            <w:r w:rsidR="00F13A8B">
              <w:rPr>
                <w:rFonts w:cs="Arial"/>
                <w:szCs w:val="20"/>
              </w:rPr>
              <w:t xml:space="preserve">the </w:t>
            </w:r>
            <w:r w:rsidR="004C2C1E" w:rsidRPr="0012744B">
              <w:t>Radiocommunications (Low Interference Potential Devices) Class Licence 2015</w:t>
            </w:r>
            <w:r w:rsidR="004C2C1E">
              <w:rPr>
                <w:i/>
              </w:rPr>
              <w:t xml:space="preserve"> </w:t>
            </w:r>
            <w:r w:rsidR="00C77F04">
              <w:rPr>
                <w:rFonts w:cs="Arial"/>
                <w:szCs w:val="20"/>
              </w:rPr>
              <w:t>to include new arrangements for wireless broadband</w:t>
            </w:r>
            <w:r w:rsidR="00F4500F">
              <w:rPr>
                <w:rFonts w:cs="Arial"/>
                <w:szCs w:val="20"/>
              </w:rPr>
              <w:t xml:space="preserve"> in the frequency range 24.25</w:t>
            </w:r>
            <w:r w:rsidR="0012744B">
              <w:rPr>
                <w:rFonts w:cs="Arial"/>
                <w:szCs w:val="20"/>
              </w:rPr>
              <w:t>–</w:t>
            </w:r>
            <w:r w:rsidR="00F4500F">
              <w:rPr>
                <w:rFonts w:cs="Arial"/>
                <w:szCs w:val="20"/>
              </w:rPr>
              <w:t>25.1 GHz</w:t>
            </w:r>
          </w:p>
        </w:tc>
        <w:tc>
          <w:tcPr>
            <w:tcW w:w="2127" w:type="dxa"/>
            <w:shd w:val="clear" w:color="auto" w:fill="FFFFFF" w:themeFill="background1"/>
            <w:tcMar>
              <w:top w:w="57" w:type="dxa"/>
              <w:bottom w:w="28" w:type="dxa"/>
            </w:tcMar>
          </w:tcPr>
          <w:p w14:paraId="1D88CFA4" w14:textId="68B9425E" w:rsidR="007D6E05" w:rsidRPr="003918F1" w:rsidRDefault="00E763E1" w:rsidP="00DA511D">
            <w:pPr>
              <w:keepNext/>
              <w:keepLines/>
              <w:spacing w:before="120" w:after="120" w:line="240" w:lineRule="auto"/>
              <w:rPr>
                <w:rFonts w:cs="Arial"/>
                <w:szCs w:val="20"/>
              </w:rPr>
            </w:pPr>
            <w:r>
              <w:rPr>
                <w:rFonts w:cs="Arial"/>
                <w:szCs w:val="20"/>
              </w:rPr>
              <w:t>Q2/Q3 2019</w:t>
            </w:r>
          </w:p>
        </w:tc>
      </w:tr>
      <w:tr w:rsidR="007D6E05" w:rsidRPr="003918F1" w14:paraId="19DC153F" w14:textId="77777777" w:rsidTr="00580B40">
        <w:trPr>
          <w:cantSplit/>
        </w:trPr>
        <w:tc>
          <w:tcPr>
            <w:tcW w:w="6521" w:type="dxa"/>
            <w:shd w:val="clear" w:color="auto" w:fill="FFFFFF" w:themeFill="background1"/>
            <w:tcMar>
              <w:top w:w="57" w:type="dxa"/>
              <w:bottom w:w="28" w:type="dxa"/>
            </w:tcMar>
          </w:tcPr>
          <w:p w14:paraId="3DFBE9D5" w14:textId="372EFC2F" w:rsidR="003C549E" w:rsidRPr="003918F1" w:rsidRDefault="00B56677" w:rsidP="00DA511D">
            <w:pPr>
              <w:keepNext/>
              <w:keepLines/>
              <w:spacing w:before="120" w:after="120" w:line="240" w:lineRule="auto"/>
              <w:rPr>
                <w:rFonts w:cs="Arial"/>
                <w:szCs w:val="20"/>
              </w:rPr>
            </w:pPr>
            <w:r>
              <w:rPr>
                <w:rFonts w:cs="Arial"/>
                <w:szCs w:val="20"/>
              </w:rPr>
              <w:t xml:space="preserve">Commence development of </w:t>
            </w:r>
            <w:r w:rsidR="008F6D15">
              <w:rPr>
                <w:rFonts w:cs="Arial"/>
                <w:szCs w:val="20"/>
              </w:rPr>
              <w:t xml:space="preserve">apparatus licensing </w:t>
            </w:r>
            <w:r>
              <w:rPr>
                <w:rFonts w:cs="Arial"/>
                <w:szCs w:val="20"/>
              </w:rPr>
              <w:t>arrangements for the band (</w:t>
            </w:r>
            <w:r w:rsidR="000B611C">
              <w:rPr>
                <w:rFonts w:cs="Arial"/>
                <w:szCs w:val="20"/>
              </w:rPr>
              <w:t>consisting of</w:t>
            </w:r>
            <w:r>
              <w:rPr>
                <w:rFonts w:cs="Arial"/>
                <w:szCs w:val="20"/>
              </w:rPr>
              <w:t xml:space="preserve"> 24.7</w:t>
            </w:r>
            <w:r w:rsidR="0012744B">
              <w:rPr>
                <w:rFonts w:cs="Arial"/>
                <w:szCs w:val="20"/>
              </w:rPr>
              <w:t>–</w:t>
            </w:r>
            <w:r>
              <w:rPr>
                <w:rFonts w:cs="Arial"/>
                <w:szCs w:val="20"/>
              </w:rPr>
              <w:t>25.1 GHz Australia</w:t>
            </w:r>
            <w:r w:rsidR="0012744B">
              <w:rPr>
                <w:rFonts w:cs="Arial"/>
                <w:szCs w:val="20"/>
              </w:rPr>
              <w:t>-</w:t>
            </w:r>
            <w:r>
              <w:rPr>
                <w:rFonts w:cs="Arial"/>
                <w:szCs w:val="20"/>
              </w:rPr>
              <w:t>wide and 25.1</w:t>
            </w:r>
            <w:r w:rsidR="0012744B">
              <w:rPr>
                <w:rFonts w:cs="Arial"/>
                <w:szCs w:val="20"/>
              </w:rPr>
              <w:t>–</w:t>
            </w:r>
            <w:r>
              <w:rPr>
                <w:rFonts w:cs="Arial"/>
                <w:szCs w:val="20"/>
              </w:rPr>
              <w:t>27.5 GHz outside of defined areas)</w:t>
            </w:r>
            <w:r w:rsidR="0012744B">
              <w:rPr>
                <w:rFonts w:cs="Arial"/>
                <w:szCs w:val="20"/>
              </w:rPr>
              <w:t>,</w:t>
            </w:r>
            <w:r>
              <w:rPr>
                <w:rFonts w:cs="Arial"/>
                <w:szCs w:val="20"/>
              </w:rPr>
              <w:t xml:space="preserve"> </w:t>
            </w:r>
            <w:r w:rsidR="00641BD9">
              <w:rPr>
                <w:rFonts w:cs="Arial"/>
                <w:szCs w:val="20"/>
              </w:rPr>
              <w:t>including creation of licensing and assignment instructions</w:t>
            </w:r>
          </w:p>
        </w:tc>
        <w:tc>
          <w:tcPr>
            <w:tcW w:w="2127" w:type="dxa"/>
            <w:shd w:val="clear" w:color="auto" w:fill="FFFFFF" w:themeFill="background1"/>
            <w:tcMar>
              <w:top w:w="57" w:type="dxa"/>
              <w:bottom w:w="28" w:type="dxa"/>
            </w:tcMar>
          </w:tcPr>
          <w:p w14:paraId="0446594A" w14:textId="15FE87DF" w:rsidR="007D6E05" w:rsidRPr="003918F1" w:rsidRDefault="00B56677" w:rsidP="00DA511D">
            <w:pPr>
              <w:keepNext/>
              <w:keepLines/>
              <w:spacing w:before="120" w:after="120" w:line="240" w:lineRule="auto"/>
              <w:rPr>
                <w:rFonts w:cs="Arial"/>
                <w:szCs w:val="20"/>
              </w:rPr>
            </w:pPr>
            <w:r>
              <w:rPr>
                <w:rFonts w:cs="Arial"/>
                <w:szCs w:val="20"/>
              </w:rPr>
              <w:t>Q2/Q3 2019</w:t>
            </w:r>
          </w:p>
        </w:tc>
      </w:tr>
      <w:tr w:rsidR="00FC1623" w:rsidRPr="003918F1" w14:paraId="2886BEA6" w14:textId="77777777" w:rsidTr="00580B40">
        <w:trPr>
          <w:cantSplit/>
        </w:trPr>
        <w:tc>
          <w:tcPr>
            <w:tcW w:w="6521" w:type="dxa"/>
            <w:shd w:val="clear" w:color="auto" w:fill="FFFFFF" w:themeFill="background1"/>
            <w:tcMar>
              <w:top w:w="57" w:type="dxa"/>
              <w:bottom w:w="28" w:type="dxa"/>
            </w:tcMar>
          </w:tcPr>
          <w:p w14:paraId="742A8958" w14:textId="6BE158D0" w:rsidR="00FC1623" w:rsidRDefault="004B0B2D" w:rsidP="00DA511D">
            <w:pPr>
              <w:keepNext/>
              <w:keepLines/>
              <w:spacing w:before="120" w:after="120" w:line="240" w:lineRule="auto"/>
              <w:rPr>
                <w:rFonts w:cs="Arial"/>
                <w:szCs w:val="20"/>
              </w:rPr>
            </w:pPr>
            <w:r>
              <w:rPr>
                <w:rFonts w:cs="Arial"/>
                <w:szCs w:val="20"/>
              </w:rPr>
              <w:t>Consult</w:t>
            </w:r>
            <w:r w:rsidR="00FC1623">
              <w:rPr>
                <w:rFonts w:cs="Arial"/>
                <w:szCs w:val="20"/>
              </w:rPr>
              <w:t xml:space="preserve"> </w:t>
            </w:r>
            <w:r w:rsidR="00500E31">
              <w:rPr>
                <w:rFonts w:cs="Arial"/>
                <w:szCs w:val="20"/>
              </w:rPr>
              <w:t xml:space="preserve">on a draft recommendation to the </w:t>
            </w:r>
            <w:r w:rsidR="000242BD">
              <w:rPr>
                <w:rFonts w:cs="Arial"/>
                <w:szCs w:val="20"/>
              </w:rPr>
              <w:t>m</w:t>
            </w:r>
            <w:r w:rsidR="00500E31">
              <w:rPr>
                <w:rFonts w:cs="Arial"/>
                <w:szCs w:val="20"/>
              </w:rPr>
              <w:t>inister</w:t>
            </w:r>
            <w:r w:rsidR="002E610C">
              <w:rPr>
                <w:rFonts w:cs="Arial"/>
                <w:szCs w:val="20"/>
              </w:rPr>
              <w:t xml:space="preserve"> </w:t>
            </w:r>
            <w:r>
              <w:rPr>
                <w:rFonts w:cs="Arial"/>
                <w:szCs w:val="20"/>
              </w:rPr>
              <w:t>on potential reallocation</w:t>
            </w:r>
            <w:r w:rsidR="002E610C">
              <w:rPr>
                <w:rFonts w:cs="Arial"/>
                <w:szCs w:val="20"/>
              </w:rPr>
              <w:t xml:space="preserve"> </w:t>
            </w:r>
            <w:r w:rsidR="00F05FFA">
              <w:rPr>
                <w:rFonts w:cs="Arial"/>
                <w:szCs w:val="20"/>
              </w:rPr>
              <w:t>of the 25.1</w:t>
            </w:r>
            <w:r w:rsidR="0012744B">
              <w:rPr>
                <w:rFonts w:cs="Arial"/>
                <w:szCs w:val="20"/>
              </w:rPr>
              <w:t>–</w:t>
            </w:r>
            <w:r w:rsidR="00F05FFA">
              <w:rPr>
                <w:rFonts w:cs="Arial"/>
                <w:szCs w:val="20"/>
              </w:rPr>
              <w:t xml:space="preserve">27.5 GHz band within defined areas </w:t>
            </w:r>
            <w:r w:rsidR="002E610C">
              <w:rPr>
                <w:rFonts w:cs="Arial"/>
                <w:szCs w:val="20"/>
              </w:rPr>
              <w:t xml:space="preserve">(in accordance with </w:t>
            </w:r>
            <w:r w:rsidR="005F7F55">
              <w:rPr>
                <w:rFonts w:cs="Arial"/>
                <w:szCs w:val="20"/>
              </w:rPr>
              <w:t xml:space="preserve">section </w:t>
            </w:r>
            <w:r w:rsidR="002E610C">
              <w:rPr>
                <w:rFonts w:cs="Arial"/>
                <w:szCs w:val="20"/>
              </w:rPr>
              <w:t>153G of the Act)</w:t>
            </w:r>
          </w:p>
        </w:tc>
        <w:tc>
          <w:tcPr>
            <w:tcW w:w="2127" w:type="dxa"/>
            <w:shd w:val="clear" w:color="auto" w:fill="FFFFFF" w:themeFill="background1"/>
            <w:tcMar>
              <w:top w:w="57" w:type="dxa"/>
              <w:bottom w:w="28" w:type="dxa"/>
            </w:tcMar>
          </w:tcPr>
          <w:p w14:paraId="1EE3E9A2" w14:textId="60DF5044" w:rsidR="00FC1623" w:rsidRPr="003918F1" w:rsidRDefault="009F26C4" w:rsidP="00DA511D">
            <w:pPr>
              <w:keepNext/>
              <w:keepLines/>
              <w:spacing w:before="120" w:after="120" w:line="240" w:lineRule="auto"/>
              <w:rPr>
                <w:rFonts w:cs="Arial"/>
                <w:szCs w:val="20"/>
              </w:rPr>
            </w:pPr>
            <w:r>
              <w:rPr>
                <w:rFonts w:cs="Arial"/>
                <w:szCs w:val="20"/>
              </w:rPr>
              <w:t>Q2 2019</w:t>
            </w:r>
          </w:p>
        </w:tc>
      </w:tr>
      <w:tr w:rsidR="00FC1623" w:rsidRPr="003918F1" w14:paraId="151064BE" w14:textId="77777777" w:rsidTr="00FC1623">
        <w:trPr>
          <w:cantSplit/>
        </w:trPr>
        <w:tc>
          <w:tcPr>
            <w:tcW w:w="6521" w:type="dxa"/>
            <w:shd w:val="clear" w:color="auto" w:fill="FFFFFF" w:themeFill="background1"/>
            <w:tcMar>
              <w:top w:w="57" w:type="dxa"/>
              <w:bottom w:w="28" w:type="dxa"/>
            </w:tcMar>
          </w:tcPr>
          <w:p w14:paraId="721EECFF" w14:textId="3E9594F5" w:rsidR="00FC1623" w:rsidRDefault="002149B2" w:rsidP="00DA511D">
            <w:pPr>
              <w:keepNext/>
              <w:keepLines/>
              <w:spacing w:before="120" w:after="120" w:line="240" w:lineRule="auto"/>
              <w:rPr>
                <w:rFonts w:cs="Arial"/>
                <w:szCs w:val="20"/>
              </w:rPr>
            </w:pPr>
            <w:r>
              <w:rPr>
                <w:rFonts w:cs="Arial"/>
                <w:szCs w:val="20"/>
              </w:rPr>
              <w:t>Su</w:t>
            </w:r>
            <w:r w:rsidR="009F26C4">
              <w:rPr>
                <w:rFonts w:cs="Arial"/>
                <w:szCs w:val="20"/>
              </w:rPr>
              <w:t>b</w:t>
            </w:r>
            <w:r>
              <w:rPr>
                <w:rFonts w:cs="Arial"/>
                <w:szCs w:val="20"/>
              </w:rPr>
              <w:t>ject</w:t>
            </w:r>
            <w:r w:rsidR="009F26C4">
              <w:rPr>
                <w:rFonts w:cs="Arial"/>
                <w:szCs w:val="20"/>
              </w:rPr>
              <w:t xml:space="preserve"> to the outcome of consultation, w</w:t>
            </w:r>
            <w:r w:rsidR="004B0B2D">
              <w:rPr>
                <w:rFonts w:cs="Arial"/>
                <w:szCs w:val="20"/>
              </w:rPr>
              <w:t xml:space="preserve">rite to the </w:t>
            </w:r>
            <w:r w:rsidR="000242BD">
              <w:rPr>
                <w:rFonts w:cs="Arial"/>
                <w:szCs w:val="20"/>
              </w:rPr>
              <w:t>m</w:t>
            </w:r>
            <w:r w:rsidR="004B0B2D">
              <w:rPr>
                <w:rFonts w:cs="Arial"/>
                <w:szCs w:val="20"/>
              </w:rPr>
              <w:t xml:space="preserve">inister recommending reallocation of the </w:t>
            </w:r>
            <w:r w:rsidR="001F4C81">
              <w:rPr>
                <w:rFonts w:cs="Arial"/>
                <w:szCs w:val="20"/>
              </w:rPr>
              <w:t>25.1</w:t>
            </w:r>
            <w:r w:rsidR="0012744B">
              <w:rPr>
                <w:rFonts w:cs="Arial"/>
                <w:szCs w:val="20"/>
              </w:rPr>
              <w:t>–</w:t>
            </w:r>
            <w:r w:rsidR="001F4C81">
              <w:rPr>
                <w:rFonts w:cs="Arial"/>
                <w:szCs w:val="20"/>
              </w:rPr>
              <w:t>27.5 GHz band</w:t>
            </w:r>
            <w:r w:rsidR="00D824CD">
              <w:rPr>
                <w:rFonts w:cs="Arial"/>
                <w:szCs w:val="20"/>
              </w:rPr>
              <w:t xml:space="preserve"> within defined areas</w:t>
            </w:r>
            <w:r w:rsidR="002E610C">
              <w:rPr>
                <w:rFonts w:cs="Arial"/>
                <w:szCs w:val="20"/>
              </w:rPr>
              <w:t xml:space="preserve"> (in accordance with </w:t>
            </w:r>
            <w:r w:rsidR="005F7F55">
              <w:rPr>
                <w:rFonts w:cs="Arial"/>
                <w:szCs w:val="20"/>
              </w:rPr>
              <w:t xml:space="preserve">section </w:t>
            </w:r>
            <w:r w:rsidR="002E610C">
              <w:rPr>
                <w:rFonts w:cs="Arial"/>
                <w:szCs w:val="20"/>
              </w:rPr>
              <w:t>153F of the Act)</w:t>
            </w:r>
          </w:p>
        </w:tc>
        <w:tc>
          <w:tcPr>
            <w:tcW w:w="2127" w:type="dxa"/>
            <w:shd w:val="clear" w:color="auto" w:fill="FFFFFF" w:themeFill="background1"/>
            <w:tcMar>
              <w:top w:w="57" w:type="dxa"/>
              <w:bottom w:w="28" w:type="dxa"/>
            </w:tcMar>
          </w:tcPr>
          <w:p w14:paraId="2776D685" w14:textId="72171C43" w:rsidR="00FC1623" w:rsidRPr="003918F1" w:rsidRDefault="009F26C4" w:rsidP="00DA511D">
            <w:pPr>
              <w:keepNext/>
              <w:keepLines/>
              <w:spacing w:before="120" w:after="120" w:line="240" w:lineRule="auto"/>
              <w:rPr>
                <w:rFonts w:cs="Arial"/>
                <w:szCs w:val="20"/>
              </w:rPr>
            </w:pPr>
            <w:r>
              <w:rPr>
                <w:rFonts w:cs="Arial"/>
                <w:szCs w:val="20"/>
              </w:rPr>
              <w:t>Q3 2019</w:t>
            </w:r>
          </w:p>
        </w:tc>
      </w:tr>
      <w:tr w:rsidR="00B56677" w:rsidRPr="003918F1" w14:paraId="2F7AEA3C" w14:textId="77777777" w:rsidTr="00580B40">
        <w:trPr>
          <w:cantSplit/>
        </w:trPr>
        <w:tc>
          <w:tcPr>
            <w:tcW w:w="6521" w:type="dxa"/>
            <w:shd w:val="clear" w:color="auto" w:fill="FFFFFF" w:themeFill="background1"/>
            <w:tcMar>
              <w:top w:w="57" w:type="dxa"/>
              <w:bottom w:w="28" w:type="dxa"/>
            </w:tcMar>
          </w:tcPr>
          <w:p w14:paraId="69433F02" w14:textId="5AD324D5" w:rsidR="00B56677" w:rsidRDefault="00B56677" w:rsidP="00DA511D">
            <w:pPr>
              <w:keepNext/>
              <w:keepLines/>
              <w:spacing w:before="120" w:after="120" w:line="240" w:lineRule="auto"/>
              <w:rPr>
                <w:rFonts w:cs="Arial"/>
                <w:szCs w:val="20"/>
              </w:rPr>
            </w:pPr>
            <w:r>
              <w:rPr>
                <w:rFonts w:cs="Arial"/>
                <w:szCs w:val="20"/>
              </w:rPr>
              <w:t xml:space="preserve">Commence technical liaison group </w:t>
            </w:r>
            <w:r w:rsidR="00152EB1">
              <w:rPr>
                <w:rFonts w:cs="Arial"/>
                <w:szCs w:val="20"/>
              </w:rPr>
              <w:t xml:space="preserve">(TLG) </w:t>
            </w:r>
            <w:r>
              <w:rPr>
                <w:rFonts w:cs="Arial"/>
                <w:szCs w:val="20"/>
              </w:rPr>
              <w:t>to develop spectrum licence technical framework</w:t>
            </w:r>
            <w:r w:rsidR="008B0EF3">
              <w:rPr>
                <w:rFonts w:cs="Arial"/>
                <w:szCs w:val="20"/>
              </w:rPr>
              <w:t>*</w:t>
            </w:r>
          </w:p>
        </w:tc>
        <w:tc>
          <w:tcPr>
            <w:tcW w:w="2127" w:type="dxa"/>
            <w:shd w:val="clear" w:color="auto" w:fill="FFFFFF" w:themeFill="background1"/>
            <w:tcMar>
              <w:top w:w="57" w:type="dxa"/>
              <w:bottom w:w="28" w:type="dxa"/>
            </w:tcMar>
          </w:tcPr>
          <w:p w14:paraId="53D50DB0" w14:textId="5C951DF8" w:rsidR="00B56677" w:rsidRDefault="00B56677" w:rsidP="00DA511D">
            <w:pPr>
              <w:keepNext/>
              <w:keepLines/>
              <w:spacing w:before="120" w:after="120" w:line="240" w:lineRule="auto"/>
              <w:rPr>
                <w:rFonts w:cs="Arial"/>
                <w:szCs w:val="20"/>
              </w:rPr>
            </w:pPr>
            <w:r>
              <w:rPr>
                <w:rFonts w:cs="Arial"/>
                <w:szCs w:val="20"/>
              </w:rPr>
              <w:t>Q3 2019</w:t>
            </w:r>
          </w:p>
        </w:tc>
      </w:tr>
      <w:tr w:rsidR="00B56677" w:rsidRPr="003918F1" w14:paraId="0EFEC1F5" w14:textId="77777777" w:rsidTr="00580B40">
        <w:trPr>
          <w:cantSplit/>
        </w:trPr>
        <w:tc>
          <w:tcPr>
            <w:tcW w:w="6521" w:type="dxa"/>
            <w:shd w:val="clear" w:color="auto" w:fill="FFFFFF" w:themeFill="background1"/>
            <w:tcMar>
              <w:top w:w="57" w:type="dxa"/>
              <w:bottom w:w="28" w:type="dxa"/>
            </w:tcMar>
          </w:tcPr>
          <w:p w14:paraId="723E179C" w14:textId="4C6D68A0" w:rsidR="00B56677" w:rsidRDefault="00B56677" w:rsidP="00DA511D">
            <w:pPr>
              <w:keepNext/>
              <w:keepLines/>
              <w:spacing w:before="120" w:after="120" w:line="240" w:lineRule="auto"/>
              <w:rPr>
                <w:rFonts w:cs="Arial"/>
                <w:szCs w:val="20"/>
              </w:rPr>
            </w:pPr>
            <w:r>
              <w:rPr>
                <w:rFonts w:cs="Arial"/>
                <w:szCs w:val="20"/>
              </w:rPr>
              <w:t>Commence development of allocation procedures for apparatus licensed spectrum (24.7</w:t>
            </w:r>
            <w:r w:rsidR="0012744B">
              <w:rPr>
                <w:rFonts w:cs="Arial"/>
                <w:szCs w:val="20"/>
              </w:rPr>
              <w:t>–</w:t>
            </w:r>
            <w:r>
              <w:rPr>
                <w:rFonts w:cs="Arial"/>
                <w:szCs w:val="20"/>
              </w:rPr>
              <w:t>25.1 GHz Australia</w:t>
            </w:r>
            <w:r w:rsidR="0012744B">
              <w:rPr>
                <w:rFonts w:cs="Arial"/>
                <w:szCs w:val="20"/>
              </w:rPr>
              <w:t>-</w:t>
            </w:r>
            <w:r>
              <w:rPr>
                <w:rFonts w:cs="Arial"/>
                <w:szCs w:val="20"/>
              </w:rPr>
              <w:t>wide and 25.1</w:t>
            </w:r>
            <w:r w:rsidR="0012744B">
              <w:rPr>
                <w:rFonts w:cs="Arial"/>
                <w:szCs w:val="20"/>
              </w:rPr>
              <w:t>–</w:t>
            </w:r>
            <w:r>
              <w:rPr>
                <w:rFonts w:cs="Arial"/>
                <w:szCs w:val="20"/>
              </w:rPr>
              <w:t>27.5 GHz outside of defined areas)</w:t>
            </w:r>
          </w:p>
        </w:tc>
        <w:tc>
          <w:tcPr>
            <w:tcW w:w="2127" w:type="dxa"/>
            <w:shd w:val="clear" w:color="auto" w:fill="FFFFFF" w:themeFill="background1"/>
            <w:tcMar>
              <w:top w:w="57" w:type="dxa"/>
              <w:bottom w:w="28" w:type="dxa"/>
            </w:tcMar>
          </w:tcPr>
          <w:p w14:paraId="531CB2A8" w14:textId="32492A87" w:rsidR="00B56677" w:rsidRDefault="00B56677" w:rsidP="00DA511D">
            <w:pPr>
              <w:keepNext/>
              <w:keepLines/>
              <w:spacing w:before="120" w:after="120" w:line="240" w:lineRule="auto"/>
              <w:rPr>
                <w:rFonts w:cs="Arial"/>
                <w:szCs w:val="20"/>
              </w:rPr>
            </w:pPr>
            <w:r>
              <w:rPr>
                <w:rFonts w:cs="Arial"/>
                <w:szCs w:val="20"/>
              </w:rPr>
              <w:t>Q2/Q3 2019</w:t>
            </w:r>
            <w:r w:rsidR="00152EB1">
              <w:rPr>
                <w:rFonts w:cs="Arial"/>
                <w:szCs w:val="20"/>
              </w:rPr>
              <w:t xml:space="preserve"> (in parallel with TLG)</w:t>
            </w:r>
          </w:p>
        </w:tc>
      </w:tr>
      <w:tr w:rsidR="00B56677" w:rsidRPr="003918F1" w14:paraId="4D0A0A22" w14:textId="77777777" w:rsidTr="00580B40">
        <w:trPr>
          <w:cantSplit/>
        </w:trPr>
        <w:tc>
          <w:tcPr>
            <w:tcW w:w="6521" w:type="dxa"/>
            <w:shd w:val="clear" w:color="auto" w:fill="FFFFFF" w:themeFill="background1"/>
            <w:tcMar>
              <w:top w:w="57" w:type="dxa"/>
              <w:bottom w:w="28" w:type="dxa"/>
            </w:tcMar>
          </w:tcPr>
          <w:p w14:paraId="2FF47C7D" w14:textId="6DD7708C" w:rsidR="00B56677" w:rsidRDefault="00B56677" w:rsidP="00B56677">
            <w:pPr>
              <w:keepNext/>
              <w:keepLines/>
              <w:spacing w:before="120" w:after="120" w:line="240" w:lineRule="auto"/>
              <w:rPr>
                <w:rFonts w:cs="Arial"/>
                <w:szCs w:val="20"/>
              </w:rPr>
            </w:pPr>
            <w:r>
              <w:rPr>
                <w:rFonts w:cs="Arial"/>
                <w:szCs w:val="20"/>
              </w:rPr>
              <w:t>Make spectrum available (24.7</w:t>
            </w:r>
            <w:r w:rsidR="008B0EF3">
              <w:rPr>
                <w:rFonts w:cs="Arial"/>
                <w:szCs w:val="20"/>
              </w:rPr>
              <w:t>–</w:t>
            </w:r>
            <w:r>
              <w:rPr>
                <w:rFonts w:cs="Arial"/>
                <w:szCs w:val="20"/>
              </w:rPr>
              <w:t>25.1 GHz Australia</w:t>
            </w:r>
            <w:r w:rsidR="008B0EF3">
              <w:rPr>
                <w:rFonts w:cs="Arial"/>
                <w:szCs w:val="20"/>
              </w:rPr>
              <w:t>-</w:t>
            </w:r>
            <w:r>
              <w:rPr>
                <w:rFonts w:cs="Arial"/>
                <w:szCs w:val="20"/>
              </w:rPr>
              <w:t>wide and 25.1</w:t>
            </w:r>
            <w:r w:rsidR="008B0EF3">
              <w:rPr>
                <w:rFonts w:cs="Arial"/>
                <w:szCs w:val="20"/>
              </w:rPr>
              <w:t>–</w:t>
            </w:r>
            <w:r>
              <w:rPr>
                <w:rFonts w:cs="Arial"/>
                <w:szCs w:val="20"/>
              </w:rPr>
              <w:t>27.5 GHz outside of defined areas) for apparatus licensing</w:t>
            </w:r>
          </w:p>
        </w:tc>
        <w:tc>
          <w:tcPr>
            <w:tcW w:w="2127" w:type="dxa"/>
            <w:shd w:val="clear" w:color="auto" w:fill="FFFFFF" w:themeFill="background1"/>
            <w:tcMar>
              <w:top w:w="57" w:type="dxa"/>
              <w:bottom w:w="28" w:type="dxa"/>
            </w:tcMar>
          </w:tcPr>
          <w:p w14:paraId="51588C45" w14:textId="5D49B6A5" w:rsidR="00B56677" w:rsidRDefault="00B56677" w:rsidP="00B56677">
            <w:pPr>
              <w:keepNext/>
              <w:keepLines/>
              <w:spacing w:before="120" w:after="120" w:line="240" w:lineRule="auto"/>
              <w:rPr>
                <w:rFonts w:cs="Arial"/>
                <w:szCs w:val="20"/>
              </w:rPr>
            </w:pPr>
            <w:r>
              <w:rPr>
                <w:rFonts w:cs="Arial"/>
                <w:szCs w:val="20"/>
              </w:rPr>
              <w:t>TBD based on above</w:t>
            </w:r>
          </w:p>
        </w:tc>
      </w:tr>
      <w:tr w:rsidR="00B56677" w:rsidRPr="003918F1" w14:paraId="3B67F37C" w14:textId="77777777" w:rsidTr="00580B40">
        <w:trPr>
          <w:cantSplit/>
        </w:trPr>
        <w:tc>
          <w:tcPr>
            <w:tcW w:w="6521" w:type="dxa"/>
            <w:shd w:val="clear" w:color="auto" w:fill="FFFFFF" w:themeFill="background1"/>
            <w:tcMar>
              <w:top w:w="57" w:type="dxa"/>
              <w:bottom w:w="28" w:type="dxa"/>
            </w:tcMar>
          </w:tcPr>
          <w:p w14:paraId="73C744CE" w14:textId="70E741FE" w:rsidR="00B56677" w:rsidRPr="003918F1" w:rsidRDefault="00B56677" w:rsidP="00B56677">
            <w:pPr>
              <w:keepNext/>
              <w:keepLines/>
              <w:spacing w:before="120" w:after="120" w:line="240" w:lineRule="auto"/>
              <w:rPr>
                <w:rFonts w:cs="Arial"/>
                <w:szCs w:val="20"/>
              </w:rPr>
            </w:pPr>
            <w:r>
              <w:rPr>
                <w:rFonts w:cs="Arial"/>
                <w:szCs w:val="20"/>
              </w:rPr>
              <w:t>R</w:t>
            </w:r>
            <w:r w:rsidRPr="003918F1">
              <w:rPr>
                <w:rFonts w:cs="Arial"/>
                <w:szCs w:val="20"/>
              </w:rPr>
              <w:t xml:space="preserve">elease for public comment </w:t>
            </w:r>
            <w:r w:rsidR="005F7F55">
              <w:rPr>
                <w:rFonts w:cs="Arial"/>
                <w:szCs w:val="20"/>
              </w:rPr>
              <w:t>draft</w:t>
            </w:r>
            <w:r w:rsidRPr="003918F1">
              <w:rPr>
                <w:rFonts w:cs="Arial"/>
                <w:szCs w:val="20"/>
              </w:rPr>
              <w:t xml:space="preserve"> a</w:t>
            </w:r>
            <w:r w:rsidR="00176D1B">
              <w:rPr>
                <w:rFonts w:cs="Arial"/>
                <w:szCs w:val="20"/>
              </w:rPr>
              <w:t xml:space="preserve">llocation </w:t>
            </w:r>
            <w:r w:rsidRPr="003918F1">
              <w:rPr>
                <w:rFonts w:cs="Arial"/>
                <w:szCs w:val="20"/>
              </w:rPr>
              <w:t>rules, marketing plan and other technical instruments</w:t>
            </w:r>
            <w:r>
              <w:rPr>
                <w:rFonts w:cs="Arial"/>
                <w:szCs w:val="20"/>
              </w:rPr>
              <w:t xml:space="preserve"> for spectrum licensing</w:t>
            </w:r>
            <w:r w:rsidR="008B0EF3">
              <w:rPr>
                <w:rFonts w:cs="Arial"/>
                <w:szCs w:val="20"/>
              </w:rPr>
              <w:t>*</w:t>
            </w:r>
          </w:p>
        </w:tc>
        <w:tc>
          <w:tcPr>
            <w:tcW w:w="2127" w:type="dxa"/>
            <w:shd w:val="clear" w:color="auto" w:fill="FFFFFF" w:themeFill="background1"/>
            <w:tcMar>
              <w:top w:w="57" w:type="dxa"/>
              <w:bottom w:w="28" w:type="dxa"/>
            </w:tcMar>
          </w:tcPr>
          <w:p w14:paraId="3EA78361" w14:textId="4DCC6CEC" w:rsidR="00B56677" w:rsidRPr="003918F1" w:rsidRDefault="00B56677" w:rsidP="00B56677">
            <w:pPr>
              <w:keepNext/>
              <w:keepLines/>
              <w:spacing w:before="120" w:after="120" w:line="240" w:lineRule="auto"/>
              <w:rPr>
                <w:rFonts w:cs="Arial"/>
                <w:szCs w:val="20"/>
              </w:rPr>
            </w:pPr>
            <w:r>
              <w:rPr>
                <w:rFonts w:cs="Arial"/>
                <w:szCs w:val="20"/>
              </w:rPr>
              <w:t>Q</w:t>
            </w:r>
            <w:r w:rsidR="00191E8D">
              <w:rPr>
                <w:rFonts w:cs="Arial"/>
                <w:szCs w:val="20"/>
              </w:rPr>
              <w:t>1</w:t>
            </w:r>
            <w:r>
              <w:rPr>
                <w:rFonts w:cs="Arial"/>
                <w:szCs w:val="20"/>
              </w:rPr>
              <w:t>/Q</w:t>
            </w:r>
            <w:r w:rsidR="00191E8D">
              <w:rPr>
                <w:rFonts w:cs="Arial"/>
                <w:szCs w:val="20"/>
              </w:rPr>
              <w:t>2</w:t>
            </w:r>
            <w:r>
              <w:rPr>
                <w:rFonts w:cs="Arial"/>
                <w:szCs w:val="20"/>
              </w:rPr>
              <w:t xml:space="preserve"> 20</w:t>
            </w:r>
            <w:r w:rsidR="00191E8D">
              <w:rPr>
                <w:rFonts w:cs="Arial"/>
                <w:szCs w:val="20"/>
              </w:rPr>
              <w:t>20</w:t>
            </w:r>
          </w:p>
        </w:tc>
      </w:tr>
      <w:tr w:rsidR="00B56677" w:rsidRPr="003918F1" w14:paraId="26D52C26" w14:textId="77777777" w:rsidTr="00580B40">
        <w:trPr>
          <w:cantSplit/>
        </w:trPr>
        <w:tc>
          <w:tcPr>
            <w:tcW w:w="6521" w:type="dxa"/>
            <w:shd w:val="clear" w:color="auto" w:fill="FFFFFF" w:themeFill="background1"/>
            <w:tcMar>
              <w:top w:w="57" w:type="dxa"/>
              <w:bottom w:w="28" w:type="dxa"/>
            </w:tcMar>
          </w:tcPr>
          <w:p w14:paraId="1DF4AE52" w14:textId="72DB96EB" w:rsidR="00B56677" w:rsidRPr="003918F1" w:rsidRDefault="00B56677" w:rsidP="00B56677">
            <w:pPr>
              <w:keepNext/>
              <w:keepLines/>
              <w:spacing w:before="120" w:after="120" w:line="240" w:lineRule="auto"/>
              <w:rPr>
                <w:rFonts w:cs="Arial"/>
                <w:szCs w:val="20"/>
              </w:rPr>
            </w:pPr>
            <w:r>
              <w:rPr>
                <w:rFonts w:cs="Arial"/>
                <w:szCs w:val="20"/>
              </w:rPr>
              <w:t>C</w:t>
            </w:r>
            <w:r w:rsidRPr="003918F1">
              <w:rPr>
                <w:rFonts w:cs="Arial"/>
                <w:szCs w:val="20"/>
              </w:rPr>
              <w:t xml:space="preserve">alls for applications to participate in </w:t>
            </w:r>
            <w:r w:rsidR="00176D1B">
              <w:rPr>
                <w:rFonts w:cs="Arial"/>
                <w:szCs w:val="20"/>
              </w:rPr>
              <w:t>an allocation</w:t>
            </w:r>
            <w:r w:rsidR="008B0EF3">
              <w:rPr>
                <w:rFonts w:cs="Arial"/>
                <w:szCs w:val="20"/>
              </w:rPr>
              <w:t>*</w:t>
            </w:r>
          </w:p>
        </w:tc>
        <w:tc>
          <w:tcPr>
            <w:tcW w:w="2127" w:type="dxa"/>
            <w:shd w:val="clear" w:color="auto" w:fill="FFFFFF" w:themeFill="background1"/>
            <w:tcMar>
              <w:top w:w="57" w:type="dxa"/>
              <w:bottom w:w="28" w:type="dxa"/>
            </w:tcMar>
          </w:tcPr>
          <w:p w14:paraId="4ED04433" w14:textId="3C7A58A1" w:rsidR="00B56677" w:rsidRPr="003918F1" w:rsidRDefault="00B56677" w:rsidP="00B56677">
            <w:pPr>
              <w:keepNext/>
              <w:keepLines/>
              <w:spacing w:before="120" w:after="120" w:line="240" w:lineRule="auto"/>
              <w:rPr>
                <w:rFonts w:cs="Arial"/>
                <w:szCs w:val="20"/>
              </w:rPr>
            </w:pPr>
            <w:r>
              <w:rPr>
                <w:rFonts w:cs="Arial"/>
                <w:szCs w:val="20"/>
              </w:rPr>
              <w:t>Q</w:t>
            </w:r>
            <w:r w:rsidR="00191E8D">
              <w:rPr>
                <w:rFonts w:cs="Arial"/>
                <w:szCs w:val="20"/>
              </w:rPr>
              <w:t>2</w:t>
            </w:r>
            <w:r>
              <w:rPr>
                <w:rFonts w:cs="Arial"/>
                <w:szCs w:val="20"/>
              </w:rPr>
              <w:t>/Q</w:t>
            </w:r>
            <w:r w:rsidR="00191E8D">
              <w:rPr>
                <w:rFonts w:cs="Arial"/>
                <w:szCs w:val="20"/>
              </w:rPr>
              <w:t>3</w:t>
            </w:r>
            <w:r>
              <w:rPr>
                <w:rFonts w:cs="Arial"/>
                <w:szCs w:val="20"/>
              </w:rPr>
              <w:t xml:space="preserve"> 2020</w:t>
            </w:r>
          </w:p>
        </w:tc>
      </w:tr>
      <w:tr w:rsidR="00B56677" w:rsidRPr="002049A6" w14:paraId="608CFAEA" w14:textId="77777777" w:rsidTr="00580B40">
        <w:trPr>
          <w:cantSplit/>
        </w:trPr>
        <w:tc>
          <w:tcPr>
            <w:tcW w:w="6521" w:type="dxa"/>
            <w:shd w:val="clear" w:color="auto" w:fill="FFFFFF" w:themeFill="background1"/>
            <w:tcMar>
              <w:top w:w="57" w:type="dxa"/>
              <w:bottom w:w="28" w:type="dxa"/>
            </w:tcMar>
          </w:tcPr>
          <w:p w14:paraId="173D2467" w14:textId="6D39BA11" w:rsidR="00B56677" w:rsidRDefault="00B56677" w:rsidP="00B56677">
            <w:pPr>
              <w:keepNext/>
              <w:keepLines/>
              <w:spacing w:before="120" w:after="120" w:line="240" w:lineRule="auto"/>
              <w:rPr>
                <w:rFonts w:cs="Arial"/>
                <w:szCs w:val="20"/>
              </w:rPr>
            </w:pPr>
            <w:r>
              <w:rPr>
                <w:rFonts w:cs="Arial"/>
                <w:szCs w:val="20"/>
              </w:rPr>
              <w:t>A</w:t>
            </w:r>
            <w:r w:rsidR="00251E45">
              <w:rPr>
                <w:rFonts w:cs="Arial"/>
                <w:szCs w:val="20"/>
              </w:rPr>
              <w:t>llocation</w:t>
            </w:r>
            <w:r w:rsidR="008B0EF3">
              <w:rPr>
                <w:rFonts w:cs="Arial"/>
                <w:szCs w:val="20"/>
              </w:rPr>
              <w:t>*</w:t>
            </w:r>
          </w:p>
        </w:tc>
        <w:tc>
          <w:tcPr>
            <w:tcW w:w="2127" w:type="dxa"/>
            <w:shd w:val="clear" w:color="auto" w:fill="FFFFFF" w:themeFill="background1"/>
            <w:tcMar>
              <w:top w:w="57" w:type="dxa"/>
              <w:bottom w:w="28" w:type="dxa"/>
            </w:tcMar>
          </w:tcPr>
          <w:p w14:paraId="1FAA3A58" w14:textId="6CF5E350" w:rsidR="00B56677" w:rsidRDefault="00B56677" w:rsidP="00B56677">
            <w:pPr>
              <w:keepNext/>
              <w:keepLines/>
              <w:spacing w:before="120" w:after="120" w:line="240" w:lineRule="auto"/>
              <w:rPr>
                <w:rFonts w:cs="Arial"/>
                <w:szCs w:val="20"/>
              </w:rPr>
            </w:pPr>
            <w:r>
              <w:rPr>
                <w:rFonts w:cs="Arial"/>
                <w:szCs w:val="20"/>
              </w:rPr>
              <w:t>Q</w:t>
            </w:r>
            <w:r w:rsidR="00191E8D">
              <w:rPr>
                <w:rFonts w:cs="Arial"/>
                <w:szCs w:val="20"/>
              </w:rPr>
              <w:t>3</w:t>
            </w:r>
            <w:r>
              <w:rPr>
                <w:rFonts w:cs="Arial"/>
                <w:szCs w:val="20"/>
              </w:rPr>
              <w:t>/Q</w:t>
            </w:r>
            <w:r w:rsidR="00191E8D">
              <w:rPr>
                <w:rFonts w:cs="Arial"/>
                <w:szCs w:val="20"/>
              </w:rPr>
              <w:t>4</w:t>
            </w:r>
            <w:r>
              <w:rPr>
                <w:rFonts w:cs="Arial"/>
                <w:szCs w:val="20"/>
              </w:rPr>
              <w:t xml:space="preserve"> 2020</w:t>
            </w:r>
          </w:p>
        </w:tc>
      </w:tr>
    </w:tbl>
    <w:p w14:paraId="40406BD0" w14:textId="544497FF" w:rsidR="000414C7" w:rsidRDefault="008B0EF3" w:rsidP="008B0EF3">
      <w:pPr>
        <w:pStyle w:val="ACMANotes"/>
        <w:rPr>
          <w:lang w:eastAsia="en-US"/>
        </w:rPr>
      </w:pPr>
      <w:r>
        <w:rPr>
          <w:lang w:eastAsia="en-US"/>
        </w:rPr>
        <w:t xml:space="preserve">* Please note, </w:t>
      </w:r>
      <w:r w:rsidR="009F26C4">
        <w:rPr>
          <w:lang w:eastAsia="en-US"/>
        </w:rPr>
        <w:t xml:space="preserve">these steps are subject to the outcome of consultation in accordance with </w:t>
      </w:r>
      <w:r w:rsidR="005F7F55">
        <w:rPr>
          <w:lang w:eastAsia="en-US"/>
        </w:rPr>
        <w:t xml:space="preserve">section </w:t>
      </w:r>
      <w:r w:rsidR="009F26C4">
        <w:rPr>
          <w:lang w:eastAsia="en-US"/>
        </w:rPr>
        <w:t xml:space="preserve">153G </w:t>
      </w:r>
      <w:r w:rsidR="008609E1">
        <w:rPr>
          <w:lang w:eastAsia="en-US"/>
        </w:rPr>
        <w:t xml:space="preserve">of the Act </w:t>
      </w:r>
      <w:r w:rsidR="009F26C4">
        <w:rPr>
          <w:lang w:eastAsia="en-US"/>
        </w:rPr>
        <w:t xml:space="preserve">and contingent on the </w:t>
      </w:r>
      <w:r w:rsidR="000242BD">
        <w:rPr>
          <w:lang w:eastAsia="en-US"/>
        </w:rPr>
        <w:t>m</w:t>
      </w:r>
      <w:r w:rsidR="009F26C4">
        <w:rPr>
          <w:lang w:eastAsia="en-US"/>
        </w:rPr>
        <w:t>inister issuing a reallocation declaration.</w:t>
      </w:r>
    </w:p>
    <w:p w14:paraId="7218D5F9" w14:textId="73AFA918" w:rsidR="008863CB" w:rsidRPr="00483A5A" w:rsidRDefault="008863CB" w:rsidP="00483A5A">
      <w:pPr>
        <w:pStyle w:val="Heading1"/>
      </w:pPr>
      <w:bookmarkStart w:id="67" w:name="_Toc495935493"/>
      <w:bookmarkStart w:id="68" w:name="_Toc495935523"/>
      <w:bookmarkStart w:id="69" w:name="_Toc4664104"/>
      <w:r w:rsidRPr="00483A5A">
        <w:lastRenderedPageBreak/>
        <w:t>Annex A</w:t>
      </w:r>
      <w:r w:rsidR="00650BD6" w:rsidRPr="00483A5A">
        <w:t>—</w:t>
      </w:r>
      <w:bookmarkEnd w:id="65"/>
      <w:bookmarkEnd w:id="66"/>
      <w:bookmarkEnd w:id="67"/>
      <w:bookmarkEnd w:id="68"/>
      <w:r w:rsidR="00625CBD" w:rsidRPr="00483A5A">
        <w:t xml:space="preserve">Working </w:t>
      </w:r>
      <w:r w:rsidR="005158A8" w:rsidRPr="00483A5A">
        <w:t>g</w:t>
      </w:r>
      <w:r w:rsidR="00625CBD" w:rsidRPr="00483A5A">
        <w:t>roup on 26</w:t>
      </w:r>
      <w:r w:rsidR="00C15834" w:rsidRPr="00483A5A">
        <w:t> </w:t>
      </w:r>
      <w:r w:rsidR="00625CBD" w:rsidRPr="00483A5A">
        <w:t xml:space="preserve">GHz </w:t>
      </w:r>
      <w:r w:rsidR="005158A8" w:rsidRPr="00483A5A">
        <w:t>i</w:t>
      </w:r>
      <w:r w:rsidR="00625CBD" w:rsidRPr="00483A5A">
        <w:t>nter-</w:t>
      </w:r>
      <w:r w:rsidR="005158A8" w:rsidRPr="00483A5A">
        <w:t>s</w:t>
      </w:r>
      <w:r w:rsidR="00625CBD" w:rsidRPr="00483A5A">
        <w:t xml:space="preserve">ervice </w:t>
      </w:r>
      <w:r w:rsidR="005158A8" w:rsidRPr="00483A5A">
        <w:t>c</w:t>
      </w:r>
      <w:r w:rsidR="00625CBD" w:rsidRPr="00483A5A">
        <w:t>oexistence</w:t>
      </w:r>
      <w:r w:rsidR="005158A8" w:rsidRPr="00483A5A">
        <w:t xml:space="preserve">: </w:t>
      </w:r>
      <w:r w:rsidR="00771F01" w:rsidRPr="00483A5A">
        <w:t>Terms of Reference</w:t>
      </w:r>
      <w:bookmarkEnd w:id="69"/>
    </w:p>
    <w:p w14:paraId="1E6D5D72" w14:textId="0D4DA200" w:rsidR="00032CE2" w:rsidRPr="00032CE2" w:rsidRDefault="00032CE2" w:rsidP="00032CE2">
      <w:pPr>
        <w:rPr>
          <w:rStyle w:val="normaltextrun"/>
          <w:rFonts w:cs="Arial"/>
          <w:bCs/>
          <w:iCs/>
          <w:szCs w:val="20"/>
        </w:rPr>
      </w:pPr>
      <w:r>
        <w:rPr>
          <w:rStyle w:val="normaltextrun"/>
          <w:rFonts w:cs="Arial"/>
          <w:bCs/>
          <w:iCs/>
          <w:szCs w:val="20"/>
        </w:rPr>
        <w:t xml:space="preserve">This annex </w:t>
      </w:r>
      <w:r w:rsidR="006F6F6D">
        <w:rPr>
          <w:rStyle w:val="normaltextrun"/>
          <w:rFonts w:cs="Arial"/>
          <w:bCs/>
          <w:iCs/>
          <w:szCs w:val="20"/>
        </w:rPr>
        <w:t>contains</w:t>
      </w:r>
      <w:r>
        <w:rPr>
          <w:rStyle w:val="normaltextrun"/>
          <w:rFonts w:cs="Arial"/>
          <w:bCs/>
          <w:iCs/>
          <w:szCs w:val="20"/>
        </w:rPr>
        <w:t xml:space="preserve"> </w:t>
      </w:r>
      <w:r w:rsidR="00BF24BE">
        <w:rPr>
          <w:rStyle w:val="normaltextrun"/>
          <w:rFonts w:cs="Arial"/>
          <w:bCs/>
          <w:iCs/>
          <w:szCs w:val="20"/>
        </w:rPr>
        <w:t xml:space="preserve">the Terms of Reference for the </w:t>
      </w:r>
      <w:r w:rsidR="005158A8">
        <w:rPr>
          <w:rStyle w:val="normaltextrun"/>
          <w:rFonts w:cs="Arial"/>
          <w:bCs/>
          <w:iCs/>
          <w:szCs w:val="20"/>
        </w:rPr>
        <w:t>w</w:t>
      </w:r>
      <w:r w:rsidR="00BF24BE">
        <w:rPr>
          <w:rStyle w:val="normaltextrun"/>
          <w:rFonts w:cs="Arial"/>
          <w:bCs/>
          <w:iCs/>
          <w:szCs w:val="20"/>
        </w:rPr>
        <w:t xml:space="preserve">orking </w:t>
      </w:r>
      <w:r w:rsidR="005158A8">
        <w:rPr>
          <w:rStyle w:val="normaltextrun"/>
          <w:rFonts w:cs="Arial"/>
          <w:bCs/>
          <w:iCs/>
          <w:szCs w:val="20"/>
        </w:rPr>
        <w:t>g</w:t>
      </w:r>
      <w:r w:rsidR="00BF24BE">
        <w:rPr>
          <w:rStyle w:val="normaltextrun"/>
          <w:rFonts w:cs="Arial"/>
          <w:bCs/>
          <w:iCs/>
          <w:szCs w:val="20"/>
        </w:rPr>
        <w:t xml:space="preserve">roup on 26 GHz </w:t>
      </w:r>
      <w:r w:rsidR="005158A8">
        <w:rPr>
          <w:rStyle w:val="normaltextrun"/>
          <w:rFonts w:cs="Arial"/>
          <w:bCs/>
          <w:iCs/>
          <w:szCs w:val="20"/>
        </w:rPr>
        <w:t>i</w:t>
      </w:r>
      <w:r w:rsidR="00BF24BE">
        <w:rPr>
          <w:rStyle w:val="normaltextrun"/>
          <w:rFonts w:cs="Arial"/>
          <w:bCs/>
          <w:iCs/>
          <w:szCs w:val="20"/>
        </w:rPr>
        <w:t xml:space="preserve">nter-service </w:t>
      </w:r>
      <w:r w:rsidR="005158A8">
        <w:rPr>
          <w:rStyle w:val="normaltextrun"/>
          <w:rFonts w:cs="Arial"/>
          <w:bCs/>
          <w:iCs/>
          <w:szCs w:val="20"/>
        </w:rPr>
        <w:t>c</w:t>
      </w:r>
      <w:r w:rsidR="00BF24BE">
        <w:rPr>
          <w:rStyle w:val="normaltextrun"/>
          <w:rFonts w:cs="Arial"/>
          <w:bCs/>
          <w:iCs/>
          <w:szCs w:val="20"/>
        </w:rPr>
        <w:t>oexistence.</w:t>
      </w:r>
    </w:p>
    <w:p w14:paraId="1699AA35" w14:textId="263A1CBE" w:rsidR="0050351E" w:rsidRPr="0006428C" w:rsidRDefault="0050351E" w:rsidP="0006428C">
      <w:pPr>
        <w:pStyle w:val="Heading2"/>
        <w:rPr>
          <w:rStyle w:val="normaltextrun"/>
        </w:rPr>
      </w:pPr>
      <w:bookmarkStart w:id="70" w:name="_Toc4664105"/>
      <w:r w:rsidRPr="0006428C">
        <w:rPr>
          <w:rStyle w:val="normaltextrun"/>
        </w:rPr>
        <w:t>Terms of Reference</w:t>
      </w:r>
      <w:bookmarkEnd w:id="70"/>
    </w:p>
    <w:p w14:paraId="5C8168C5" w14:textId="054A833F" w:rsidR="00625CBD" w:rsidRPr="0006428C" w:rsidRDefault="00625CBD" w:rsidP="0006428C">
      <w:pPr>
        <w:pStyle w:val="Heading3"/>
      </w:pPr>
      <w:bookmarkStart w:id="71" w:name="_Toc4664106"/>
      <w:r w:rsidRPr="0006428C">
        <w:rPr>
          <w:rStyle w:val="normaltextrun"/>
        </w:rPr>
        <w:t>Function</w:t>
      </w:r>
      <w:bookmarkEnd w:id="71"/>
      <w:r w:rsidRPr="0006428C">
        <w:rPr>
          <w:rStyle w:val="normaltextrun"/>
        </w:rPr>
        <w:t> </w:t>
      </w:r>
      <w:r w:rsidRPr="0006428C">
        <w:rPr>
          <w:rStyle w:val="eop"/>
        </w:rPr>
        <w:t> </w:t>
      </w:r>
    </w:p>
    <w:p w14:paraId="26CCE0B4" w14:textId="2151D719" w:rsidR="00BC7159" w:rsidRDefault="00625CBD" w:rsidP="00DA511D">
      <w:pPr>
        <w:pStyle w:val="paragraph"/>
        <w:spacing w:before="120" w:beforeAutospacing="0" w:after="120" w:afterAutospacing="0"/>
        <w:textAlignment w:val="baseline"/>
        <w:rPr>
          <w:rFonts w:ascii="Arial" w:hAnsi="Arial" w:cs="Arial"/>
          <w:sz w:val="12"/>
          <w:szCs w:val="12"/>
        </w:rPr>
      </w:pPr>
      <w:r>
        <w:rPr>
          <w:rStyle w:val="normaltextrun"/>
          <w:rFonts w:ascii="Arial" w:hAnsi="Arial" w:cs="Arial"/>
          <w:sz w:val="20"/>
          <w:szCs w:val="20"/>
        </w:rPr>
        <w:t>The working group work will consider technical coexistence matters at the edges of the 26 GHz band, specifically:</w:t>
      </w:r>
      <w:r>
        <w:rPr>
          <w:rStyle w:val="eop"/>
          <w:rFonts w:ascii="Arial" w:hAnsi="Arial" w:cs="Arial"/>
          <w:sz w:val="20"/>
          <w:szCs w:val="20"/>
        </w:rPr>
        <w:t> </w:t>
      </w:r>
    </w:p>
    <w:p w14:paraId="0BC33B7E" w14:textId="27E36DC6" w:rsidR="00625CBD" w:rsidRPr="00BC7159" w:rsidRDefault="00625CBD" w:rsidP="00335D0B">
      <w:pPr>
        <w:pStyle w:val="ListBullet"/>
        <w:rPr>
          <w:rStyle w:val="eop"/>
          <w:sz w:val="12"/>
          <w:szCs w:val="12"/>
        </w:rPr>
      </w:pPr>
      <w:r>
        <w:rPr>
          <w:rStyle w:val="normaltextrun"/>
          <w:szCs w:val="20"/>
        </w:rPr>
        <w:t>Lower frequency boundary of the 26 GHz band, having regard to coexistence with passive </w:t>
      </w:r>
      <w:r w:rsidRPr="00335D0B">
        <w:rPr>
          <w:rStyle w:val="normaltextrun"/>
        </w:rPr>
        <w:t>earth</w:t>
      </w:r>
      <w:r>
        <w:rPr>
          <w:rStyle w:val="normaltextrun"/>
          <w:szCs w:val="20"/>
        </w:rPr>
        <w:t xml:space="preserve"> exploration satellite services (EESS). This work would consider possible Australian specific technical and licensing factors </w:t>
      </w:r>
      <w:r w:rsidR="00547976">
        <w:rPr>
          <w:rStyle w:val="normaltextrun"/>
          <w:szCs w:val="20"/>
        </w:rPr>
        <w:t>for</w:t>
      </w:r>
      <w:r>
        <w:rPr>
          <w:rStyle w:val="normaltextrun"/>
          <w:szCs w:val="20"/>
        </w:rPr>
        <w:t xml:space="preserve"> facilitating coexistence with EESS (passive) compared to factors influencing international conclusions.</w:t>
      </w:r>
      <w:r>
        <w:rPr>
          <w:rStyle w:val="eop"/>
          <w:szCs w:val="20"/>
        </w:rPr>
        <w:t> </w:t>
      </w:r>
    </w:p>
    <w:p w14:paraId="0893A58B" w14:textId="728E8AF9" w:rsidR="00BC7159" w:rsidRPr="00E71CBD" w:rsidRDefault="00625CBD" w:rsidP="00335D0B">
      <w:pPr>
        <w:pStyle w:val="ListBulletLast"/>
        <w:rPr>
          <w:sz w:val="12"/>
          <w:szCs w:val="12"/>
        </w:rPr>
      </w:pPr>
      <w:r>
        <w:rPr>
          <w:rStyle w:val="normaltextrun"/>
          <w:szCs w:val="20"/>
        </w:rPr>
        <w:t>Upper frequency boundary of the 26 GHz band (specifically whether it should be 27 or 27.5 GHz), having regard to coexistence with FSS (earth</w:t>
      </w:r>
      <w:r w:rsidR="005158A8">
        <w:rPr>
          <w:rStyle w:val="normaltextrun"/>
          <w:szCs w:val="20"/>
        </w:rPr>
        <w:t xml:space="preserve"> </w:t>
      </w:r>
      <w:r>
        <w:rPr>
          <w:rStyle w:val="normaltextrun"/>
          <w:szCs w:val="20"/>
        </w:rPr>
        <w:t>to</w:t>
      </w:r>
      <w:r w:rsidR="005158A8">
        <w:rPr>
          <w:rStyle w:val="normaltextrun"/>
          <w:szCs w:val="20"/>
        </w:rPr>
        <w:t xml:space="preserve"> </w:t>
      </w:r>
      <w:r>
        <w:rPr>
          <w:rStyle w:val="normaltextrun"/>
          <w:szCs w:val="20"/>
        </w:rPr>
        <w:t>space). The group would also consider the necessity for (and if required</w:t>
      </w:r>
      <w:r w:rsidR="007053C7">
        <w:rPr>
          <w:rStyle w:val="normaltextrun"/>
          <w:szCs w:val="20"/>
        </w:rPr>
        <w:t>,</w:t>
      </w:r>
      <w:r>
        <w:rPr>
          <w:rStyle w:val="normaltextrun"/>
          <w:szCs w:val="20"/>
        </w:rPr>
        <w:t xml:space="preserve"> the nature of) possible domestic regulatory </w:t>
      </w:r>
      <w:r w:rsidRPr="00335D0B">
        <w:rPr>
          <w:rStyle w:val="normaltextrun"/>
        </w:rPr>
        <w:t>arrangements</w:t>
      </w:r>
      <w:r>
        <w:rPr>
          <w:rStyle w:val="normaltextrun"/>
          <w:szCs w:val="20"/>
        </w:rPr>
        <w:t xml:space="preserve"> to facilitate coexistence between wireless broadband and FSS uplinks in the 27–27.5 GHz band (if the upper edge of the band was considered to be 27.5 GHz).</w:t>
      </w:r>
      <w:r>
        <w:rPr>
          <w:rStyle w:val="eop"/>
          <w:szCs w:val="20"/>
        </w:rPr>
        <w:t> </w:t>
      </w:r>
    </w:p>
    <w:p w14:paraId="0B7446AE" w14:textId="77777777" w:rsidR="00625CBD" w:rsidRDefault="00625CBD" w:rsidP="00373090">
      <w:pPr>
        <w:pStyle w:val="Heading3"/>
        <w:rPr>
          <w:sz w:val="12"/>
          <w:szCs w:val="12"/>
        </w:rPr>
      </w:pPr>
      <w:bookmarkStart w:id="72" w:name="_Toc4664107"/>
      <w:r w:rsidRPr="00373090">
        <w:rPr>
          <w:rStyle w:val="normaltextrun"/>
        </w:rPr>
        <w:t>Purpose</w:t>
      </w:r>
      <w:bookmarkEnd w:id="72"/>
      <w:r>
        <w:rPr>
          <w:rStyle w:val="eop"/>
          <w:b w:val="0"/>
          <w:bCs w:val="0"/>
          <w:i/>
          <w:iCs/>
          <w:szCs w:val="20"/>
        </w:rPr>
        <w:t> </w:t>
      </w:r>
    </w:p>
    <w:p w14:paraId="06C84852" w14:textId="617658E2" w:rsidR="00625CBD" w:rsidRDefault="00625CBD" w:rsidP="00DA511D">
      <w:pPr>
        <w:pStyle w:val="paragraph"/>
        <w:spacing w:before="120" w:beforeAutospacing="0" w:after="120" w:afterAutospacing="0"/>
        <w:textAlignment w:val="baseline"/>
        <w:rPr>
          <w:rStyle w:val="eop"/>
          <w:rFonts w:ascii="Arial" w:hAnsi="Arial" w:cs="Arial"/>
          <w:sz w:val="20"/>
          <w:szCs w:val="20"/>
        </w:rPr>
      </w:pPr>
      <w:r>
        <w:rPr>
          <w:rStyle w:val="normaltextrun"/>
          <w:rFonts w:ascii="Arial" w:hAnsi="Arial" w:cs="Arial"/>
          <w:sz w:val="20"/>
          <w:szCs w:val="20"/>
        </w:rPr>
        <w:t xml:space="preserve">The purpose of the working group is to inform stakeholder responses to the </w:t>
      </w:r>
      <w:r w:rsidR="00C240F0">
        <w:rPr>
          <w:rStyle w:val="normaltextrun"/>
          <w:rFonts w:ascii="Arial" w:hAnsi="Arial" w:cs="Arial"/>
          <w:sz w:val="20"/>
          <w:szCs w:val="20"/>
        </w:rPr>
        <w:t>o</w:t>
      </w:r>
      <w:r>
        <w:rPr>
          <w:rStyle w:val="normaltextrun"/>
          <w:rFonts w:ascii="Arial" w:hAnsi="Arial" w:cs="Arial"/>
          <w:sz w:val="20"/>
          <w:szCs w:val="20"/>
        </w:rPr>
        <w:t>ptions paper on 26 GHz (specifically question 2), which will ultimately assist the Authority in its deliberations. </w:t>
      </w:r>
      <w:r>
        <w:rPr>
          <w:rStyle w:val="eop"/>
          <w:rFonts w:ascii="Arial" w:hAnsi="Arial" w:cs="Arial"/>
          <w:sz w:val="20"/>
          <w:szCs w:val="20"/>
        </w:rPr>
        <w:t> </w:t>
      </w:r>
    </w:p>
    <w:p w14:paraId="4C8B33BA" w14:textId="77777777" w:rsidR="00625CBD" w:rsidRPr="00373090" w:rsidRDefault="00625CBD" w:rsidP="00373090">
      <w:pPr>
        <w:pStyle w:val="Heading3"/>
      </w:pPr>
      <w:bookmarkStart w:id="73" w:name="_Toc4664108"/>
      <w:r w:rsidRPr="00373090">
        <w:rPr>
          <w:rStyle w:val="normaltextrun"/>
        </w:rPr>
        <w:t>Working methods and accountability</w:t>
      </w:r>
      <w:bookmarkEnd w:id="73"/>
      <w:r w:rsidRPr="00373090">
        <w:rPr>
          <w:rStyle w:val="normaltextrun"/>
        </w:rPr>
        <w:t> </w:t>
      </w:r>
      <w:r w:rsidRPr="00373090">
        <w:rPr>
          <w:rStyle w:val="eop"/>
        </w:rPr>
        <w:t> </w:t>
      </w:r>
    </w:p>
    <w:p w14:paraId="134C3A6B" w14:textId="77777777" w:rsidR="00625CBD" w:rsidRDefault="00625CBD" w:rsidP="00DA511D">
      <w:pPr>
        <w:pStyle w:val="paragraph"/>
        <w:spacing w:before="120" w:beforeAutospacing="0" w:after="120" w:afterAutospacing="0"/>
        <w:textAlignment w:val="baseline"/>
        <w:rPr>
          <w:rFonts w:ascii="Arial" w:hAnsi="Arial" w:cs="Arial"/>
          <w:sz w:val="12"/>
          <w:szCs w:val="12"/>
        </w:rPr>
      </w:pPr>
      <w:r>
        <w:rPr>
          <w:rStyle w:val="normaltextrun"/>
          <w:rFonts w:ascii="Arial" w:hAnsi="Arial" w:cs="Arial"/>
          <w:sz w:val="20"/>
          <w:szCs w:val="20"/>
        </w:rPr>
        <w:t>The working group will:</w:t>
      </w:r>
      <w:r>
        <w:rPr>
          <w:rStyle w:val="eop"/>
          <w:rFonts w:ascii="Arial" w:hAnsi="Arial" w:cs="Arial"/>
          <w:sz w:val="20"/>
          <w:szCs w:val="20"/>
        </w:rPr>
        <w:t> </w:t>
      </w:r>
    </w:p>
    <w:p w14:paraId="6E69D829" w14:textId="77777777" w:rsidR="00625CBD" w:rsidRPr="00335D0B" w:rsidRDefault="00625CBD" w:rsidP="00335D0B">
      <w:pPr>
        <w:pStyle w:val="ListBullet"/>
        <w:rPr>
          <w:rStyle w:val="normaltextrun"/>
        </w:rPr>
      </w:pPr>
      <w:r w:rsidRPr="00335D0B">
        <w:rPr>
          <w:rStyle w:val="normaltextrun"/>
        </w:rPr>
        <w:t>be chaired by the Executive Manager, Spectrum Planning and Engineering Branch, ACMA </w:t>
      </w:r>
    </w:p>
    <w:p w14:paraId="6D968D0F" w14:textId="6AC0FE5C" w:rsidR="00625CBD" w:rsidRPr="00E71CBD" w:rsidRDefault="00625CBD" w:rsidP="00335D0B">
      <w:pPr>
        <w:pStyle w:val="ListBullet"/>
        <w:rPr>
          <w:rStyle w:val="normaltextrun"/>
          <w:szCs w:val="20"/>
        </w:rPr>
      </w:pPr>
      <w:r w:rsidRPr="00335D0B">
        <w:rPr>
          <w:rStyle w:val="normaltextrun"/>
        </w:rPr>
        <w:t>form two sub-working groups (chaired by ACMA officers) to separately consider the</w:t>
      </w:r>
      <w:r w:rsidR="000517B3" w:rsidRPr="00335D0B">
        <w:rPr>
          <w:rStyle w:val="normaltextrun"/>
        </w:rPr>
        <w:t xml:space="preserve"> </w:t>
      </w:r>
      <w:r w:rsidRPr="00335D0B">
        <w:rPr>
          <w:rStyle w:val="normaltextrun"/>
        </w:rPr>
        <w:t>upper and lower boundary questions</w:t>
      </w:r>
      <w:r w:rsidRPr="00E71CBD">
        <w:rPr>
          <w:rStyle w:val="normaltextrun"/>
        </w:rPr>
        <w:t> </w:t>
      </w:r>
    </w:p>
    <w:p w14:paraId="43AE7581" w14:textId="77777777" w:rsidR="00625CBD" w:rsidRPr="00E71CBD" w:rsidRDefault="00625CBD" w:rsidP="00335D0B">
      <w:pPr>
        <w:pStyle w:val="ListBulletLast"/>
        <w:rPr>
          <w:rStyle w:val="normaltextrun"/>
          <w:szCs w:val="20"/>
        </w:rPr>
      </w:pPr>
      <w:r>
        <w:rPr>
          <w:rStyle w:val="normaltextrun"/>
          <w:szCs w:val="20"/>
        </w:rPr>
        <w:t xml:space="preserve">undertake its </w:t>
      </w:r>
      <w:r w:rsidRPr="00335D0B">
        <w:rPr>
          <w:rStyle w:val="normaltextrun"/>
        </w:rPr>
        <w:t>activities</w:t>
      </w:r>
      <w:r>
        <w:rPr>
          <w:rStyle w:val="normaltextrun"/>
          <w:szCs w:val="20"/>
        </w:rPr>
        <w:t> predominantly via correspondence, although physical meetings will be held as required. It is expected that two meetings will be held—first, to set up these two groups and second, to conclude the group’s work.</w:t>
      </w:r>
      <w:r w:rsidRPr="00E71CBD">
        <w:rPr>
          <w:rStyle w:val="normaltextrun"/>
        </w:rPr>
        <w:t> </w:t>
      </w:r>
    </w:p>
    <w:p w14:paraId="56DB811F" w14:textId="3ACF886D" w:rsidR="00BC7159" w:rsidRDefault="00625CBD" w:rsidP="00DA511D">
      <w:pPr>
        <w:pStyle w:val="paragraph"/>
        <w:spacing w:before="120" w:beforeAutospacing="0" w:after="120" w:afterAutospacing="0"/>
        <w:textAlignment w:val="baseline"/>
        <w:rPr>
          <w:rFonts w:ascii="Arial" w:hAnsi="Arial" w:cs="Arial"/>
          <w:sz w:val="12"/>
          <w:szCs w:val="12"/>
        </w:rPr>
      </w:pPr>
      <w:r>
        <w:rPr>
          <w:rStyle w:val="normaltextrun"/>
          <w:rFonts w:ascii="Arial" w:hAnsi="Arial" w:cs="Arial"/>
          <w:sz w:val="20"/>
          <w:szCs w:val="20"/>
        </w:rPr>
        <w:t>The group’s deliberations should help inform individual stakeholder submissions on inter-service coexistence issues to the 26 GHz options paper.</w:t>
      </w:r>
      <w:r>
        <w:rPr>
          <w:rStyle w:val="eop"/>
          <w:rFonts w:ascii="Arial" w:hAnsi="Arial" w:cs="Arial"/>
          <w:sz w:val="20"/>
          <w:szCs w:val="20"/>
        </w:rPr>
        <w:t> </w:t>
      </w:r>
    </w:p>
    <w:p w14:paraId="78F31374" w14:textId="77777777" w:rsidR="00625CBD" w:rsidRDefault="00625CBD" w:rsidP="00373090">
      <w:pPr>
        <w:pStyle w:val="Heading3"/>
        <w:rPr>
          <w:sz w:val="12"/>
          <w:szCs w:val="12"/>
        </w:rPr>
      </w:pPr>
      <w:bookmarkStart w:id="74" w:name="_Toc4664109"/>
      <w:r w:rsidRPr="00373090">
        <w:rPr>
          <w:rStyle w:val="normaltextrun"/>
        </w:rPr>
        <w:t>Membership</w:t>
      </w:r>
      <w:bookmarkEnd w:id="74"/>
      <w:r>
        <w:rPr>
          <w:rStyle w:val="eop"/>
          <w:b w:val="0"/>
          <w:bCs w:val="0"/>
          <w:i/>
          <w:iCs/>
          <w:szCs w:val="20"/>
        </w:rPr>
        <w:t> </w:t>
      </w:r>
    </w:p>
    <w:p w14:paraId="203E503D" w14:textId="16CB7DF5" w:rsidR="00625CBD" w:rsidRDefault="00625CBD" w:rsidP="00DA511D">
      <w:pPr>
        <w:pStyle w:val="paragraph"/>
        <w:spacing w:before="120" w:beforeAutospacing="0" w:after="120" w:afterAutospacing="0"/>
        <w:textAlignment w:val="baseline"/>
        <w:rPr>
          <w:rFonts w:ascii="Arial" w:hAnsi="Arial" w:cs="Arial"/>
          <w:sz w:val="12"/>
          <w:szCs w:val="12"/>
        </w:rPr>
      </w:pPr>
      <w:r>
        <w:rPr>
          <w:rStyle w:val="normaltextrun"/>
          <w:rFonts w:ascii="Arial" w:hAnsi="Arial" w:cs="Arial"/>
          <w:sz w:val="20"/>
          <w:szCs w:val="20"/>
        </w:rPr>
        <w:t xml:space="preserve">Membership of the working group is open to all interested stakeholders, </w:t>
      </w:r>
      <w:r w:rsidR="007053C7">
        <w:rPr>
          <w:rStyle w:val="normaltextrun"/>
          <w:rFonts w:ascii="Arial" w:hAnsi="Arial" w:cs="Arial"/>
          <w:sz w:val="20"/>
          <w:szCs w:val="20"/>
        </w:rPr>
        <w:t>al</w:t>
      </w:r>
      <w:r>
        <w:rPr>
          <w:rStyle w:val="normaltextrun"/>
          <w:rFonts w:ascii="Arial" w:hAnsi="Arial" w:cs="Arial"/>
          <w:sz w:val="20"/>
          <w:szCs w:val="20"/>
        </w:rPr>
        <w:t>though attendance at physical meetings may need to be limited for capacity reasons. </w:t>
      </w:r>
      <w:r>
        <w:rPr>
          <w:rStyle w:val="eop"/>
          <w:rFonts w:ascii="Arial" w:hAnsi="Arial" w:cs="Arial"/>
          <w:sz w:val="20"/>
          <w:szCs w:val="20"/>
        </w:rPr>
        <w:t> </w:t>
      </w:r>
    </w:p>
    <w:p w14:paraId="1198FAD2" w14:textId="245C8DA7" w:rsidR="00625CBD" w:rsidRDefault="00625CBD" w:rsidP="00DA511D">
      <w:pPr>
        <w:pStyle w:val="paragraph"/>
        <w:spacing w:before="120" w:beforeAutospacing="0" w:after="120" w:afterAutospacing="0"/>
        <w:textAlignment w:val="baseline"/>
        <w:rPr>
          <w:rStyle w:val="eop"/>
          <w:rFonts w:ascii="Arial" w:hAnsi="Arial" w:cs="Arial"/>
          <w:sz w:val="20"/>
          <w:szCs w:val="20"/>
        </w:rPr>
      </w:pPr>
      <w:r>
        <w:rPr>
          <w:rStyle w:val="normaltextrun"/>
          <w:rFonts w:ascii="Arial" w:hAnsi="Arial" w:cs="Arial"/>
          <w:sz w:val="20"/>
          <w:szCs w:val="20"/>
        </w:rPr>
        <w:t>Nominations for membership should be forwarded to </w:t>
      </w:r>
      <w:hyperlink r:id="rId37" w:history="1">
        <w:r>
          <w:rPr>
            <w:rStyle w:val="normaltextrun"/>
            <w:rFonts w:ascii="Arial" w:hAnsi="Arial" w:cs="Arial"/>
            <w:color w:val="0000FF"/>
            <w:sz w:val="20"/>
            <w:szCs w:val="20"/>
            <w:u w:val="single"/>
          </w:rPr>
          <w:t>freqplan@acma.gov.au</w:t>
        </w:r>
      </w:hyperlink>
      <w:r>
        <w:rPr>
          <w:rStyle w:val="normaltextrun"/>
          <w:rFonts w:ascii="Arial" w:hAnsi="Arial" w:cs="Arial"/>
          <w:sz w:val="20"/>
          <w:szCs w:val="20"/>
        </w:rPr>
        <w:t> by </w:t>
      </w:r>
      <w:r>
        <w:rPr>
          <w:rStyle w:val="normaltextrun"/>
          <w:rFonts w:ascii="Arial" w:hAnsi="Arial" w:cs="Arial"/>
          <w:b/>
          <w:bCs/>
          <w:sz w:val="20"/>
          <w:szCs w:val="20"/>
        </w:rPr>
        <w:t>COB 26 September 2018</w:t>
      </w:r>
      <w:r>
        <w:rPr>
          <w:rStyle w:val="normaltextrun"/>
          <w:rFonts w:ascii="Arial" w:hAnsi="Arial" w:cs="Arial"/>
          <w:sz w:val="20"/>
          <w:szCs w:val="20"/>
        </w:rPr>
        <w:t>.</w:t>
      </w:r>
      <w:r>
        <w:rPr>
          <w:rStyle w:val="eop"/>
          <w:rFonts w:ascii="Arial" w:hAnsi="Arial" w:cs="Arial"/>
          <w:sz w:val="20"/>
          <w:szCs w:val="20"/>
        </w:rPr>
        <w:t> </w:t>
      </w:r>
    </w:p>
    <w:p w14:paraId="34DB08C8" w14:textId="77777777" w:rsidR="00625CBD" w:rsidRDefault="00625CBD" w:rsidP="00373090">
      <w:pPr>
        <w:pStyle w:val="Heading3"/>
        <w:rPr>
          <w:sz w:val="12"/>
          <w:szCs w:val="12"/>
        </w:rPr>
      </w:pPr>
      <w:bookmarkStart w:id="75" w:name="_Toc4664110"/>
      <w:r w:rsidRPr="00373090">
        <w:rPr>
          <w:rStyle w:val="normaltextrun"/>
        </w:rPr>
        <w:lastRenderedPageBreak/>
        <w:t>Review</w:t>
      </w:r>
      <w:bookmarkEnd w:id="75"/>
      <w:r>
        <w:rPr>
          <w:rStyle w:val="eop"/>
          <w:b w:val="0"/>
          <w:bCs w:val="0"/>
          <w:i/>
          <w:iCs/>
          <w:szCs w:val="20"/>
        </w:rPr>
        <w:t> </w:t>
      </w:r>
    </w:p>
    <w:p w14:paraId="51ECA6DD" w14:textId="295006E3" w:rsidR="00625CBD" w:rsidRDefault="00625CBD" w:rsidP="00373090">
      <w:pPr>
        <w:rPr>
          <w:rStyle w:val="eop"/>
          <w:rFonts w:cs="Arial"/>
          <w:szCs w:val="20"/>
        </w:rPr>
      </w:pPr>
      <w:r>
        <w:rPr>
          <w:rStyle w:val="normaltextrun"/>
          <w:rFonts w:cs="Arial"/>
          <w:szCs w:val="20"/>
        </w:rPr>
        <w:t>The working group’s Terms of Reference will be considered and finalised at the first meeting. </w:t>
      </w:r>
      <w:r>
        <w:rPr>
          <w:rStyle w:val="eop"/>
          <w:rFonts w:cs="Arial"/>
          <w:szCs w:val="20"/>
        </w:rPr>
        <w:t> </w:t>
      </w:r>
    </w:p>
    <w:p w14:paraId="7ECA4DB0" w14:textId="77777777" w:rsidR="00625CBD" w:rsidRPr="00373090" w:rsidRDefault="00625CBD" w:rsidP="00373090">
      <w:pPr>
        <w:pStyle w:val="Heading3"/>
      </w:pPr>
      <w:bookmarkStart w:id="76" w:name="_Toc4664111"/>
      <w:r w:rsidRPr="00373090">
        <w:rPr>
          <w:rStyle w:val="normaltextrun"/>
        </w:rPr>
        <w:t>Working group cessation</w:t>
      </w:r>
      <w:bookmarkEnd w:id="76"/>
      <w:r w:rsidRPr="00373090">
        <w:rPr>
          <w:rStyle w:val="eop"/>
        </w:rPr>
        <w:t> </w:t>
      </w:r>
    </w:p>
    <w:p w14:paraId="32135E3C" w14:textId="5779CE2C" w:rsidR="00625CBD" w:rsidRDefault="00625CBD" w:rsidP="00DA511D">
      <w:pPr>
        <w:pStyle w:val="paragraph"/>
        <w:spacing w:before="120" w:beforeAutospacing="0" w:after="120" w:afterAutospacing="0"/>
        <w:textAlignment w:val="baseline"/>
        <w:rPr>
          <w:rStyle w:val="eop"/>
          <w:rFonts w:ascii="Arial" w:hAnsi="Arial" w:cs="Arial"/>
          <w:sz w:val="20"/>
          <w:szCs w:val="20"/>
        </w:rPr>
      </w:pPr>
      <w:r>
        <w:rPr>
          <w:rStyle w:val="normaltextrun"/>
          <w:rFonts w:ascii="Arial" w:hAnsi="Arial" w:cs="Arial"/>
          <w:sz w:val="20"/>
          <w:szCs w:val="20"/>
        </w:rPr>
        <w:t>The working group will cease to operate after its report has been delivered on or before </w:t>
      </w:r>
      <w:r>
        <w:rPr>
          <w:rStyle w:val="normaltextrun"/>
          <w:rFonts w:ascii="Arial" w:hAnsi="Arial" w:cs="Arial"/>
          <w:b/>
          <w:bCs/>
          <w:sz w:val="20"/>
          <w:szCs w:val="20"/>
        </w:rPr>
        <w:t>24 October</w:t>
      </w:r>
      <w:r>
        <w:rPr>
          <w:rStyle w:val="normaltextrun"/>
          <w:rFonts w:ascii="Arial" w:hAnsi="Arial" w:cs="Arial"/>
          <w:sz w:val="20"/>
          <w:szCs w:val="20"/>
        </w:rPr>
        <w:t> </w:t>
      </w:r>
      <w:r>
        <w:rPr>
          <w:rStyle w:val="normaltextrun"/>
          <w:rFonts w:ascii="Arial" w:hAnsi="Arial" w:cs="Arial"/>
          <w:b/>
          <w:bCs/>
          <w:sz w:val="20"/>
          <w:szCs w:val="20"/>
        </w:rPr>
        <w:t>2018</w:t>
      </w:r>
      <w:r w:rsidR="007053C7" w:rsidRPr="007053C7">
        <w:rPr>
          <w:rStyle w:val="normaltextrun"/>
          <w:rFonts w:ascii="Arial" w:hAnsi="Arial" w:cs="Arial"/>
          <w:bCs/>
          <w:sz w:val="20"/>
          <w:szCs w:val="20"/>
        </w:rPr>
        <w:t>,</w:t>
      </w:r>
      <w:r w:rsidR="006F6F6D" w:rsidRPr="007053C7">
        <w:rPr>
          <w:rStyle w:val="FootnoteReference"/>
          <w:rFonts w:cs="Arial"/>
          <w:bCs/>
          <w:sz w:val="20"/>
          <w:szCs w:val="20"/>
        </w:rPr>
        <w:footnoteReference w:id="21"/>
      </w:r>
      <w:r>
        <w:rPr>
          <w:rStyle w:val="normaltextrun"/>
          <w:rFonts w:ascii="Arial" w:hAnsi="Arial" w:cs="Arial"/>
          <w:sz w:val="20"/>
          <w:szCs w:val="20"/>
        </w:rPr>
        <w:t xml:space="preserve"> or as otherwise determined by the ACMA. This means the group will run concurrently with the consultation period for the </w:t>
      </w:r>
      <w:r w:rsidR="00C240F0">
        <w:rPr>
          <w:rStyle w:val="normaltextrun"/>
          <w:rFonts w:ascii="Arial" w:hAnsi="Arial" w:cs="Arial"/>
          <w:sz w:val="20"/>
          <w:szCs w:val="20"/>
        </w:rPr>
        <w:t>o</w:t>
      </w:r>
      <w:r>
        <w:rPr>
          <w:rStyle w:val="normaltextrun"/>
          <w:rFonts w:ascii="Arial" w:hAnsi="Arial" w:cs="Arial"/>
          <w:sz w:val="20"/>
          <w:szCs w:val="20"/>
        </w:rPr>
        <w:t>ptions paper. </w:t>
      </w:r>
      <w:r>
        <w:rPr>
          <w:rStyle w:val="eop"/>
          <w:rFonts w:ascii="Arial" w:hAnsi="Arial" w:cs="Arial"/>
          <w:sz w:val="20"/>
          <w:szCs w:val="20"/>
        </w:rPr>
        <w:t> </w:t>
      </w:r>
    </w:p>
    <w:p w14:paraId="0075CBBC" w14:textId="77777777" w:rsidR="00771F01" w:rsidRDefault="00771F01" w:rsidP="00DA511D">
      <w:pPr>
        <w:pStyle w:val="paragraph"/>
        <w:spacing w:before="120" w:beforeAutospacing="0" w:after="120" w:afterAutospacing="0"/>
        <w:textAlignment w:val="baseline"/>
        <w:rPr>
          <w:rFonts w:ascii="Arial" w:hAnsi="Arial" w:cs="Arial"/>
          <w:sz w:val="12"/>
          <w:szCs w:val="12"/>
        </w:rPr>
      </w:pPr>
    </w:p>
    <w:p w14:paraId="05141029" w14:textId="2F6AE48B" w:rsidR="00625CBD" w:rsidRDefault="00625CBD" w:rsidP="00DA511D">
      <w:pPr>
        <w:spacing w:before="120" w:after="120" w:line="240" w:lineRule="auto"/>
      </w:pPr>
    </w:p>
    <w:p w14:paraId="2A49B60C" w14:textId="78830AC6" w:rsidR="00771F01" w:rsidRPr="00483A5A" w:rsidRDefault="00771F01" w:rsidP="00483A5A">
      <w:pPr>
        <w:pStyle w:val="Heading1"/>
      </w:pPr>
      <w:bookmarkStart w:id="77" w:name="_Toc4664112"/>
      <w:r w:rsidRPr="00483A5A">
        <w:lastRenderedPageBreak/>
        <w:t xml:space="preserve">Annex B—Working </w:t>
      </w:r>
      <w:r w:rsidR="007053C7" w:rsidRPr="00483A5A">
        <w:t>g</w:t>
      </w:r>
      <w:r w:rsidRPr="00483A5A">
        <w:t xml:space="preserve">roup on 26 GHz </w:t>
      </w:r>
      <w:r w:rsidR="007053C7" w:rsidRPr="00483A5A">
        <w:t>i</w:t>
      </w:r>
      <w:r w:rsidRPr="00483A5A">
        <w:t>nter-</w:t>
      </w:r>
      <w:r w:rsidR="007053C7" w:rsidRPr="00483A5A">
        <w:t>s</w:t>
      </w:r>
      <w:r w:rsidRPr="00483A5A">
        <w:t xml:space="preserve">ervice </w:t>
      </w:r>
      <w:r w:rsidR="007053C7" w:rsidRPr="00483A5A">
        <w:t>c</w:t>
      </w:r>
      <w:r w:rsidRPr="00483A5A">
        <w:t>oexistence</w:t>
      </w:r>
      <w:r w:rsidR="007053C7" w:rsidRPr="00483A5A">
        <w:t xml:space="preserve">: </w:t>
      </w:r>
      <w:r w:rsidR="002409C0" w:rsidRPr="00483A5A">
        <w:t>Deliberation summary</w:t>
      </w:r>
      <w:bookmarkEnd w:id="77"/>
    </w:p>
    <w:p w14:paraId="69D30A03" w14:textId="77777777" w:rsidR="00771F01" w:rsidRPr="0006428C" w:rsidRDefault="00771F01" w:rsidP="0006428C">
      <w:pPr>
        <w:pStyle w:val="Heading2"/>
        <w:rPr>
          <w:rStyle w:val="normaltextrun"/>
        </w:rPr>
      </w:pPr>
      <w:bookmarkStart w:id="78" w:name="_Toc4664113"/>
      <w:r w:rsidRPr="0006428C">
        <w:rPr>
          <w:rStyle w:val="normaltextrun"/>
        </w:rPr>
        <w:t>Working group overview</w:t>
      </w:r>
      <w:bookmarkEnd w:id="78"/>
    </w:p>
    <w:p w14:paraId="6033FC57" w14:textId="56414298" w:rsidR="00771F01" w:rsidRDefault="00771F01" w:rsidP="00771F01">
      <w:r>
        <w:t xml:space="preserve">The working group on 26 GHz </w:t>
      </w:r>
      <w:r w:rsidR="002409C0">
        <w:t xml:space="preserve">inter-service </w:t>
      </w:r>
      <w:r>
        <w:t xml:space="preserve">coexistence was convened by the ACMA to accompany the consultation process on options for wireless broadband in that band. The intent was to help inform stakeholder input on some of the technical issues canvassed in the 26 GHz </w:t>
      </w:r>
      <w:r w:rsidR="00C240F0">
        <w:t>o</w:t>
      </w:r>
      <w:r>
        <w:t>ptions paper.</w:t>
      </w:r>
    </w:p>
    <w:p w14:paraId="45647AFC" w14:textId="64CF2C47" w:rsidR="00771F01" w:rsidRDefault="00771F01" w:rsidP="00771F01">
      <w:r>
        <w:t>A single meeting of the group was held</w:t>
      </w:r>
      <w:r w:rsidR="005242F7">
        <w:t>,</w:t>
      </w:r>
      <w:r>
        <w:t xml:space="preserve"> and a SharePoint site was set up to house relevant study material, as well as the group</w:t>
      </w:r>
      <w:r w:rsidR="00451D5E">
        <w:t>’</w:t>
      </w:r>
      <w:r>
        <w:t>s Terms of Reference. There were two sub-working groups; one to consider coexistence between wireless broadband and passive Earth exploration satellite services (EESS) operating in the range 23.6</w:t>
      </w:r>
      <w:r w:rsidR="00451D5E">
        <w:t>–</w:t>
      </w:r>
      <w:r>
        <w:t>24 GHz</w:t>
      </w:r>
      <w:r w:rsidR="00451D5E">
        <w:t>,</w:t>
      </w:r>
      <w:r>
        <w:t xml:space="preserve"> and the other to consider the sensitivity of existing studies on coexistence between wireless broadband and fixed satellite services (FSS) in the range 27</w:t>
      </w:r>
      <w:r w:rsidR="00451D5E">
        <w:t>–</w:t>
      </w:r>
      <w:r>
        <w:t xml:space="preserve">27.5 GHz to parameter variability. </w:t>
      </w:r>
    </w:p>
    <w:p w14:paraId="3ACEE62C" w14:textId="7AE27CED" w:rsidR="00771F01" w:rsidRDefault="00771F01" w:rsidP="00771F01">
      <w:r>
        <w:t xml:space="preserve">Discussions in both groups were primed by ACMA-drafted working documents which were intended to act as a starting point for the group’s work. A single meeting was held where the Terms of Reference were described and the two documents were introduced, along with a third paper contributed by </w:t>
      </w:r>
      <w:r w:rsidR="00451D5E">
        <w:t xml:space="preserve">NBN </w:t>
      </w:r>
      <w:r w:rsidR="00AD170F">
        <w:t xml:space="preserve">Co </w:t>
      </w:r>
      <w:r>
        <w:t>which is relevant to the work of sub-working group two. The remainder of the group’s work was undertaken by correspondence.</w:t>
      </w:r>
    </w:p>
    <w:p w14:paraId="2E60EA8C" w14:textId="636ADA68" w:rsidR="00771F01" w:rsidRDefault="00771F01" w:rsidP="00771F01">
      <w:pPr>
        <w:spacing w:before="120" w:after="120" w:line="240" w:lineRule="auto"/>
        <w:rPr>
          <w:szCs w:val="20"/>
        </w:rPr>
      </w:pPr>
      <w:r>
        <w:rPr>
          <w:szCs w:val="20"/>
        </w:rPr>
        <w:t>In January 2019, the ACMA re-convened the working group to discuss potential licence conditions for wireless broadband services in the range 27</w:t>
      </w:r>
      <w:r w:rsidR="00451D5E">
        <w:rPr>
          <w:szCs w:val="20"/>
        </w:rPr>
        <w:t>–</w:t>
      </w:r>
      <w:r>
        <w:rPr>
          <w:szCs w:val="20"/>
        </w:rPr>
        <w:t xml:space="preserve">27.5 GHz to provide additional certainty of coexistence with satellite uplinks. This work was undertaken via correspondence and ran for approximately </w:t>
      </w:r>
      <w:r w:rsidR="00451D5E">
        <w:rPr>
          <w:szCs w:val="20"/>
        </w:rPr>
        <w:t>four</w:t>
      </w:r>
      <w:r>
        <w:rPr>
          <w:szCs w:val="20"/>
        </w:rPr>
        <w:t xml:space="preserve"> weeks, concluding mid-February 2019. </w:t>
      </w:r>
    </w:p>
    <w:p w14:paraId="5712B80D" w14:textId="08EAF182" w:rsidR="00771F01" w:rsidRPr="00B238AB" w:rsidRDefault="00771F01" w:rsidP="00771F01">
      <w:r>
        <w:t xml:space="preserve">This </w:t>
      </w:r>
      <w:r w:rsidR="002409C0">
        <w:t>annex</w:t>
      </w:r>
      <w:r>
        <w:t xml:space="preserve"> summarises the group’s deliberations in both the meeting and correspondence work. A significant amount of material was received that will help inform ACMA staff recommendations towards decisions on the band’s configuration. </w:t>
      </w:r>
    </w:p>
    <w:p w14:paraId="32CE6B42" w14:textId="479BA1F9" w:rsidR="0050351E" w:rsidRPr="0006428C" w:rsidRDefault="00771F01" w:rsidP="0006428C">
      <w:pPr>
        <w:pStyle w:val="Heading2"/>
        <w:rPr>
          <w:rStyle w:val="normaltextrun"/>
        </w:rPr>
      </w:pPr>
      <w:bookmarkStart w:id="79" w:name="_Toc4664114"/>
      <w:r w:rsidRPr="0006428C">
        <w:rPr>
          <w:rStyle w:val="normaltextrun"/>
        </w:rPr>
        <w:t xml:space="preserve">Sub-working group </w:t>
      </w:r>
      <w:r w:rsidR="00593FFB" w:rsidRPr="0006428C">
        <w:rPr>
          <w:rStyle w:val="normaltextrun"/>
        </w:rPr>
        <w:t>one</w:t>
      </w:r>
      <w:r w:rsidR="00451D5E" w:rsidRPr="0006428C">
        <w:rPr>
          <w:rStyle w:val="normaltextrun"/>
        </w:rPr>
        <w:t>—</w:t>
      </w:r>
      <w:r w:rsidRPr="0006428C">
        <w:rPr>
          <w:rStyle w:val="normaltextrun"/>
        </w:rPr>
        <w:t>IMT/EESS coexistence work</w:t>
      </w:r>
      <w:bookmarkEnd w:id="79"/>
    </w:p>
    <w:p w14:paraId="0591BAB1" w14:textId="2CC13E9A" w:rsidR="00771F01" w:rsidRDefault="00771F01" w:rsidP="0006428C">
      <w:r>
        <w:t xml:space="preserve">This chapter provides a summary of responses to the </w:t>
      </w:r>
      <w:r w:rsidRPr="00CB6F39">
        <w:t xml:space="preserve">EESS </w:t>
      </w:r>
      <w:r w:rsidR="009D45B2">
        <w:t>w</w:t>
      </w:r>
      <w:r w:rsidRPr="00CB6F39">
        <w:t xml:space="preserve">orking </w:t>
      </w:r>
      <w:r w:rsidR="009D45B2">
        <w:t>p</w:t>
      </w:r>
      <w:r w:rsidRPr="00CB6F39">
        <w:t>aper</w:t>
      </w:r>
      <w:r>
        <w:t>. Responses were received from AMTA, the Bureau of Meteorology (BoM), Ericsson, and Optus. The ACMA appreciates the time and effort taken to produce these responses.</w:t>
      </w:r>
    </w:p>
    <w:p w14:paraId="42B3C5DB" w14:textId="77777777" w:rsidR="00771F01" w:rsidRDefault="00771F01" w:rsidP="0006428C">
      <w:r>
        <w:t xml:space="preserve">Responses have been grouped into themes and are summarised below. </w:t>
      </w:r>
    </w:p>
    <w:p w14:paraId="05BA4D2F" w14:textId="643DAE71" w:rsidR="00771F01" w:rsidRPr="0006428C" w:rsidRDefault="00771F01" w:rsidP="0006428C">
      <w:pPr>
        <w:pStyle w:val="Heading3"/>
      </w:pPr>
      <w:bookmarkStart w:id="80" w:name="_Toc528840568"/>
      <w:bookmarkStart w:id="81" w:name="_Toc4664115"/>
      <w:r w:rsidRPr="0006428C">
        <w:t>Characteristics of EESS missions</w:t>
      </w:r>
      <w:bookmarkEnd w:id="80"/>
      <w:bookmarkEnd w:id="81"/>
    </w:p>
    <w:p w14:paraId="572FC9C2" w14:textId="5A039836" w:rsidR="00771F01" w:rsidRDefault="00771F01" w:rsidP="00771F01">
      <w:r>
        <w:t>The working paper so</w:t>
      </w:r>
      <w:r w:rsidR="00E16A32">
        <w:t>ught</w:t>
      </w:r>
      <w:r>
        <w:t xml:space="preserve"> information on whether EESS </w:t>
      </w:r>
      <w:r w:rsidR="00E16A32">
        <w:t>e</w:t>
      </w:r>
      <w:r>
        <w:t xml:space="preserve">missions gather data in urban areas, and </w:t>
      </w:r>
      <w:r w:rsidR="00E16A32">
        <w:t>to ascertain the impact on data collected in other areas should</w:t>
      </w:r>
      <w:r w:rsidR="000517B3">
        <w:t xml:space="preserve"> </w:t>
      </w:r>
      <w:r>
        <w:t>protection requirements</w:t>
      </w:r>
      <w:r w:rsidR="00FB0D5D">
        <w:t xml:space="preserve"> </w:t>
      </w:r>
      <w:r>
        <w:t>be exceeded in urban areas</w:t>
      </w:r>
      <w:r w:rsidR="00FB0D5D">
        <w:t>.</w:t>
      </w:r>
    </w:p>
    <w:p w14:paraId="5F5BEE77" w14:textId="5685358B" w:rsidR="00771F01" w:rsidRDefault="00771F01" w:rsidP="00771F01">
      <w:r>
        <w:lastRenderedPageBreak/>
        <w:t xml:space="preserve">For the first question, both BoM and Optus </w:t>
      </w:r>
      <w:r w:rsidR="00FB0D5D">
        <w:t>noted</w:t>
      </w:r>
      <w:r>
        <w:t xml:space="preserve"> that EESS data is collected over urban areas. </w:t>
      </w:r>
    </w:p>
    <w:p w14:paraId="64D84703" w14:textId="0C8B6421" w:rsidR="00771F01" w:rsidRPr="00AF4A7E" w:rsidRDefault="00771F01" w:rsidP="00771F01">
      <w:r>
        <w:t xml:space="preserve">For the second question, BoM and Optus both </w:t>
      </w:r>
      <w:r w:rsidR="00FB0D5D">
        <w:t>indicated</w:t>
      </w:r>
      <w:r>
        <w:t xml:space="preserve"> that the impact urban area interference would have on data collected in other areas will depend on the characteristics of the EESS satellite. BoM indicated that the amount of overlap between successive scans, and the sampling rate and integration time are influencing factors. Any overlap of an area where interference is received will contaminate </w:t>
      </w:r>
      <w:r w:rsidR="00FB0D5D">
        <w:t>d</w:t>
      </w:r>
      <w:r>
        <w:t>ata for an area twice the size of the instrument</w:t>
      </w:r>
      <w:r w:rsidR="00DA1A7E">
        <w:t>’</w:t>
      </w:r>
      <w:r>
        <w:t xml:space="preserve">s instantaneous field of view. </w:t>
      </w:r>
    </w:p>
    <w:p w14:paraId="58291AA0" w14:textId="77777777" w:rsidR="00771F01" w:rsidRPr="0006428C" w:rsidRDefault="00771F01" w:rsidP="0006428C">
      <w:pPr>
        <w:pStyle w:val="Heading3"/>
      </w:pPr>
      <w:bookmarkStart w:id="82" w:name="_Toc528840569"/>
      <w:bookmarkStart w:id="83" w:name="_Toc4664116"/>
      <w:r w:rsidRPr="0006428C">
        <w:t>IMT-2020 density</w:t>
      </w:r>
      <w:bookmarkEnd w:id="82"/>
      <w:bookmarkEnd w:id="83"/>
    </w:p>
    <w:p w14:paraId="3BEF527A" w14:textId="77777777" w:rsidR="00771F01" w:rsidRDefault="00771F01" w:rsidP="00771F01">
      <w:r>
        <w:t xml:space="preserve">The working paper asked a series of questions about the estimated density of IMT-2020 deployments in Australia. </w:t>
      </w:r>
    </w:p>
    <w:p w14:paraId="673BF0CE" w14:textId="77777777" w:rsidR="00771F01" w:rsidRDefault="00771F01" w:rsidP="00771F01">
      <w:r>
        <w:t>Ericsson suggested that deployment densities would not be significantly different to other developed cities. Optus indicated that since the Australian population and infrastructure densities are lower than in other countries, the results of ITU-R studies (i.e. maximum emissions in the passive band) should be scaled accordingly. Optus also indicated that the preliminary scaling of 2.7 dB in the working paper may be on the low side.</w:t>
      </w:r>
    </w:p>
    <w:p w14:paraId="0191EA8D" w14:textId="77777777" w:rsidR="00771F01" w:rsidRDefault="00771F01" w:rsidP="00771F01">
      <w:r>
        <w:t xml:space="preserve">Optus also expressed the view that, due to lower infrastructure density in Australia, emission limits for base stations should be at the lower end of the African/Arab emission limit range (which is -32 to -37 </w:t>
      </w:r>
      <w:proofErr w:type="spellStart"/>
      <w:r>
        <w:t>dBW</w:t>
      </w:r>
      <w:proofErr w:type="spellEnd"/>
      <w:r>
        <w:t>/200MHz for base stations). AMTA also agreed with this view.</w:t>
      </w:r>
    </w:p>
    <w:p w14:paraId="55DFE349" w14:textId="77777777" w:rsidR="00771F01" w:rsidRDefault="00771F01" w:rsidP="00771F01">
      <w:r>
        <w:t xml:space="preserve">BoM said that urban densities should be assumed over the entire EESS footprint. Ericsson suggested that densities will be dependent on use cases, and it is possible that in some cases suburban high-speed/low-latency deployments may require base station numbers which potentially exceed those for </w:t>
      </w:r>
      <w:proofErr w:type="spellStart"/>
      <w:r>
        <w:t>eMBB</w:t>
      </w:r>
      <w:proofErr w:type="spellEnd"/>
      <w:r>
        <w:t xml:space="preserve"> in urban areas.</w:t>
      </w:r>
    </w:p>
    <w:p w14:paraId="091F4CFA" w14:textId="30B90C26" w:rsidR="00771F01" w:rsidRDefault="00771F01" w:rsidP="00771F01">
      <w:pPr>
        <w:tabs>
          <w:tab w:val="left" w:pos="6887"/>
        </w:tabs>
      </w:pPr>
      <w:r>
        <w:t xml:space="preserve">In response to whether the ‘worst-case’ example of a footprint focused on Sydney CBD is appropriate, BoM suggested that moving the red circle (in Figure 1 of the </w:t>
      </w:r>
      <w:r w:rsidRPr="00CB6F39">
        <w:t>EESS working paper</w:t>
      </w:r>
      <w:r>
        <w:t>) approximately 4km south</w:t>
      </w:r>
      <w:r w:rsidR="009B29CE">
        <w:t>—</w:t>
      </w:r>
      <w:r>
        <w:t>to only include built-up areas (and removing the harbour)</w:t>
      </w:r>
      <w:r w:rsidR="009B29CE">
        <w:t>—</w:t>
      </w:r>
      <w:r>
        <w:t>would represent the worst</w:t>
      </w:r>
      <w:r w:rsidR="009B29CE">
        <w:t xml:space="preserve"> </w:t>
      </w:r>
      <w:r>
        <w:t xml:space="preserve">case. The ACMA notes that IMT numbers in Table 1 of the working paper are calculated using the entire area within the red circle, including areas of water. Therefore, estimated numbers in Table 1 will be the same </w:t>
      </w:r>
      <w:r w:rsidR="009B29CE">
        <w:t xml:space="preserve">as </w:t>
      </w:r>
      <w:r>
        <w:t>if the circle was relocated 4km south.</w:t>
      </w:r>
    </w:p>
    <w:p w14:paraId="10D8CF84" w14:textId="77777777" w:rsidR="00771F01" w:rsidRDefault="00771F01" w:rsidP="00771F01">
      <w:r>
        <w:t>Optus suggested that the Sydney CBD is a good example of a worst-case analysis as it includes the peak urban density, and an Australian mix of urban and suburban areas within the EESS footprint.</w:t>
      </w:r>
    </w:p>
    <w:p w14:paraId="689DB35F" w14:textId="5473A11C" w:rsidR="00771F01" w:rsidRDefault="00771F01" w:rsidP="00771F01">
      <w:r>
        <w:t xml:space="preserve">BoM posed the question of how the ACMA will monitor IMT deployment numbers (particularly user terminal numbers), to ensure that actual deployments will comply with the assumptions used in the development of protection limits. </w:t>
      </w:r>
    </w:p>
    <w:p w14:paraId="04F73B1A" w14:textId="77777777" w:rsidR="00771F01" w:rsidRPr="0006428C" w:rsidRDefault="00771F01" w:rsidP="0006428C">
      <w:pPr>
        <w:pStyle w:val="Heading3"/>
      </w:pPr>
      <w:bookmarkStart w:id="84" w:name="_Toc528840570"/>
      <w:bookmarkStart w:id="85" w:name="_Toc4664117"/>
      <w:r w:rsidRPr="0006428C">
        <w:t>Apportionment of protection requirement</w:t>
      </w:r>
      <w:bookmarkEnd w:id="84"/>
      <w:bookmarkEnd w:id="85"/>
    </w:p>
    <w:p w14:paraId="1BA30407" w14:textId="77777777" w:rsidR="00771F01" w:rsidRDefault="00771F01" w:rsidP="00771F01">
      <w:r>
        <w:t>The European emission limits assume that the passive service protection requirement is equally shared between IMT-2020 and fixed services below 23.6 GHz. The working paper considered if this apportionment is necessary in Australia.</w:t>
      </w:r>
    </w:p>
    <w:p w14:paraId="57DE4121" w14:textId="252C0C40" w:rsidR="00771F01" w:rsidRDefault="00771F01" w:rsidP="00771F01">
      <w:r>
        <w:t xml:space="preserve">BoM said that domestic arrangements for fixed services appear to offer a higher level of protection to the EESS band than the channel arrangements in Europe. BoM also queried what assurances the ACMA can give that there will be no future changes to these arrangements that may increase unwanted emissions into the EESS band.  </w:t>
      </w:r>
    </w:p>
    <w:p w14:paraId="04757EDC" w14:textId="77777777" w:rsidR="00771F01" w:rsidRPr="001C2FC9" w:rsidRDefault="00771F01" w:rsidP="00771F01">
      <w:r>
        <w:lastRenderedPageBreak/>
        <w:t>AMTA and Optus both indicated that apportionment of the protection requirement is not required, and that the ECC limit can be relaxed by 3dB.</w:t>
      </w:r>
    </w:p>
    <w:p w14:paraId="2A9078AB" w14:textId="77777777" w:rsidR="00771F01" w:rsidRDefault="00771F01" w:rsidP="00771F01">
      <w:r>
        <w:t>Both BoM and Optus agree that the interference potential is likely to be higher from IMT-2020 than fixed services. This is owing to IMT-2020 having higher anticipated device numbers and higher emission limits above the horizon.</w:t>
      </w:r>
    </w:p>
    <w:p w14:paraId="0371FB30" w14:textId="77777777" w:rsidR="00771F01" w:rsidRPr="0006428C" w:rsidRDefault="00771F01" w:rsidP="0006428C">
      <w:pPr>
        <w:pStyle w:val="Heading3"/>
      </w:pPr>
      <w:bookmarkStart w:id="86" w:name="_Toc528840571"/>
      <w:bookmarkStart w:id="87" w:name="_Toc4664118"/>
      <w:r w:rsidRPr="0006428C">
        <w:t>IMT-2020 filtering</w:t>
      </w:r>
      <w:bookmarkEnd w:id="86"/>
      <w:bookmarkEnd w:id="87"/>
    </w:p>
    <w:p w14:paraId="46BE035B" w14:textId="6E2CCB82" w:rsidR="00771F01" w:rsidRDefault="00771F01" w:rsidP="00771F01">
      <w:r>
        <w:t xml:space="preserve">Ericsson </w:t>
      </w:r>
      <w:r w:rsidR="00FB0D5D">
        <w:t>indicated</w:t>
      </w:r>
      <w:r>
        <w:t xml:space="preserve"> that the filter response in Figure 2 of the working paper is an indication of what could realistically be achieved, noting that the transition region of the slope is dependent on the bandwidth and centre frequency of the filter. Ericsson also </w:t>
      </w:r>
      <w:r w:rsidR="00FB0D5D">
        <w:t>noted</w:t>
      </w:r>
      <w:r w:rsidR="00D9550A">
        <w:t xml:space="preserve"> </w:t>
      </w:r>
      <w:r>
        <w:t>that LTCC filter technology provides similar performance</w:t>
      </w:r>
      <w:r w:rsidR="00FB0D5D">
        <w:t>, in particular</w:t>
      </w:r>
      <w:r>
        <w:t xml:space="preserve"> the PCB filter from the working paper and the LTCC filter </w:t>
      </w:r>
      <w:r w:rsidR="00FB0D5D">
        <w:t>offered</w:t>
      </w:r>
      <w:r>
        <w:t xml:space="preserve"> the most up</w:t>
      </w:r>
      <w:r w:rsidR="00593FFB">
        <w:t>-</w:t>
      </w:r>
      <w:r>
        <w:t>to</w:t>
      </w:r>
      <w:r w:rsidR="00593FFB">
        <w:t>-</w:t>
      </w:r>
      <w:r>
        <w:t>date results available, however work is still ongoing.</w:t>
      </w:r>
    </w:p>
    <w:p w14:paraId="02938644" w14:textId="77777777" w:rsidR="00771F01" w:rsidRDefault="00771F01" w:rsidP="00771F01">
      <w:r>
        <w:t>Ericsson indicated that manufacturing and temperature tolerances should be included when considering filter responses. Both AMTA, Ericsson and Optus indicated that tolerance margins should improve over time, however Ericsson noted that the production tolerances included in sensitivity analysis studies are already quite stringent.</w:t>
      </w:r>
    </w:p>
    <w:p w14:paraId="709287C3" w14:textId="77777777" w:rsidR="00771F01" w:rsidRDefault="00771F01" w:rsidP="00771F01">
      <w:r>
        <w:t>Optus suggested that a guard band of 0.5 GHz is possible based on allocation work in the 24 GHz band currently being undertaken in the US, noting that their filtering requirements are easier to achieve due to the smaller bandwidth of 1 GHz. AMTA also agreed with this view.</w:t>
      </w:r>
    </w:p>
    <w:p w14:paraId="406F325D" w14:textId="77777777" w:rsidR="00771F01" w:rsidRPr="0006428C" w:rsidRDefault="00771F01" w:rsidP="0006428C">
      <w:pPr>
        <w:pStyle w:val="Heading3"/>
      </w:pPr>
      <w:bookmarkStart w:id="88" w:name="_Toc528840572"/>
      <w:bookmarkStart w:id="89" w:name="_Toc4664119"/>
      <w:r w:rsidRPr="0006428C">
        <w:t>Band licensing arrangements</w:t>
      </w:r>
      <w:bookmarkEnd w:id="88"/>
      <w:bookmarkEnd w:id="89"/>
    </w:p>
    <w:p w14:paraId="04EBE132" w14:textId="47883B2E" w:rsidR="00771F01" w:rsidRDefault="00771F01" w:rsidP="00771F01">
      <w:r>
        <w:t>Ericsson indicated that dividing the band into class, apparatus and spectrum licensing segments is a practical compromise which will protect the passive band while offering long</w:t>
      </w:r>
      <w:r w:rsidR="00593FFB">
        <w:t>-</w:t>
      </w:r>
      <w:r>
        <w:t xml:space="preserve">term flexibility to the lower end of the 26 GHz band. Optus suggested that segmentation will introduce added complexity and spectrum inefficiency. Optus also </w:t>
      </w:r>
      <w:r w:rsidR="00FB0D5D">
        <w:t>argued</w:t>
      </w:r>
      <w:r>
        <w:t xml:space="preserve"> that splitting equipment types may have detrimental effects on the availability of equipment at viable cost.</w:t>
      </w:r>
    </w:p>
    <w:p w14:paraId="682AF29C" w14:textId="53E390BA" w:rsidR="00771F01" w:rsidRDefault="00771F01" w:rsidP="00771F01">
      <w:r>
        <w:t xml:space="preserve">Both Ericsson and Optus </w:t>
      </w:r>
      <w:r w:rsidR="00FB0D5D">
        <w:t>viewed</w:t>
      </w:r>
      <w:r>
        <w:t xml:space="preserve"> that a larger spectrum licence allocation, potentially with deployment constraints at the lower end, is preferable to a smaller allocation without constraints. </w:t>
      </w:r>
    </w:p>
    <w:p w14:paraId="731AA1F5" w14:textId="50531E6A" w:rsidR="002409C0" w:rsidRPr="00771F01" w:rsidRDefault="00771F01" w:rsidP="00771F01">
      <w:pPr>
        <w:spacing w:before="120" w:after="120" w:line="240" w:lineRule="auto"/>
        <w:rPr>
          <w:rStyle w:val="normaltextrun"/>
          <w:rFonts w:cs="Arial"/>
          <w:bCs/>
          <w:iCs/>
          <w:szCs w:val="20"/>
        </w:rPr>
      </w:pPr>
      <w:r>
        <w:t xml:space="preserve">AMTA indicated support of ‘unconstrained’ deployments of IMT-2020 above 25.1 GHz. AMTA also noted that the working group should be focussed on the lower boundary for ‘unconstrained’ outdoor deployments, and that other allocation methods (class and/or apparatus licensed) are still an open issue under consideration in the </w:t>
      </w:r>
      <w:r w:rsidR="00C240F0">
        <w:t>o</w:t>
      </w:r>
      <w:r>
        <w:t>ptions Paper.</w:t>
      </w:r>
    </w:p>
    <w:p w14:paraId="4799B900" w14:textId="0967DBAC" w:rsidR="00771F01" w:rsidRPr="0006428C" w:rsidRDefault="00771F01" w:rsidP="0006428C">
      <w:pPr>
        <w:pStyle w:val="Heading2"/>
        <w:rPr>
          <w:rStyle w:val="normaltextrun"/>
        </w:rPr>
      </w:pPr>
      <w:bookmarkStart w:id="90" w:name="_Toc4664120"/>
      <w:r w:rsidRPr="0006428C">
        <w:rPr>
          <w:rStyle w:val="normaltextrun"/>
        </w:rPr>
        <w:t xml:space="preserve">Sub-working group </w:t>
      </w:r>
      <w:r w:rsidR="00593FFB" w:rsidRPr="0006428C">
        <w:rPr>
          <w:rStyle w:val="normaltextrun"/>
        </w:rPr>
        <w:t>two—</w:t>
      </w:r>
      <w:r w:rsidRPr="0006428C">
        <w:rPr>
          <w:rStyle w:val="normaltextrun"/>
        </w:rPr>
        <w:t>IMT/FSS coexistence sensitivity analysis</w:t>
      </w:r>
      <w:bookmarkEnd w:id="90"/>
    </w:p>
    <w:p w14:paraId="4EAA3902" w14:textId="77777777" w:rsidR="00771F01" w:rsidRPr="0006428C" w:rsidRDefault="00771F01" w:rsidP="0006428C">
      <w:pPr>
        <w:pStyle w:val="Heading3"/>
      </w:pPr>
      <w:bookmarkStart w:id="91" w:name="_Toc4664121"/>
      <w:r w:rsidRPr="0006428C">
        <w:t>Overview</w:t>
      </w:r>
      <w:bookmarkEnd w:id="91"/>
    </w:p>
    <w:p w14:paraId="7359E707" w14:textId="71F5E183" w:rsidR="00771F01" w:rsidRPr="00B238AB" w:rsidRDefault="00771F01" w:rsidP="00771F01">
      <w:pPr>
        <w:rPr>
          <w:rFonts w:cs="Arial"/>
          <w:lang w:val="en-US"/>
        </w:rPr>
      </w:pPr>
      <w:r w:rsidRPr="00B238AB">
        <w:rPr>
          <w:rFonts w:cs="Arial"/>
        </w:rPr>
        <w:t>Working group two was focussed on the coexistence studies between FSS uplinks and potential wireless broadband operating in the frequency range 2</w:t>
      </w:r>
      <w:r w:rsidR="003F0E2A">
        <w:rPr>
          <w:rFonts w:cs="Arial"/>
        </w:rPr>
        <w:t>7</w:t>
      </w:r>
      <w:r w:rsidR="00593FFB">
        <w:rPr>
          <w:rFonts w:cs="Arial"/>
        </w:rPr>
        <w:t>–</w:t>
      </w:r>
      <w:r w:rsidRPr="00B238AB">
        <w:rPr>
          <w:rFonts w:cs="Arial"/>
        </w:rPr>
        <w:t xml:space="preserve">27.5 GHz. The ACMA tabled a working paper that was intended to serve </w:t>
      </w:r>
      <w:r w:rsidRPr="00B238AB">
        <w:rPr>
          <w:rFonts w:cs="Arial"/>
          <w:lang w:val="en-US"/>
        </w:rPr>
        <w:t>as an adjunct to existing international studies. The</w:t>
      </w:r>
      <w:r>
        <w:rPr>
          <w:rFonts w:cs="Arial"/>
          <w:lang w:val="en-US"/>
        </w:rPr>
        <w:t xml:space="preserve"> ACMA</w:t>
      </w:r>
      <w:r w:rsidRPr="00B238AB">
        <w:rPr>
          <w:rFonts w:cs="Arial"/>
          <w:lang w:val="en-US"/>
        </w:rPr>
        <w:t xml:space="preserve"> paper contained a sensitivity analysis which </w:t>
      </w:r>
      <w:r>
        <w:rPr>
          <w:rFonts w:cs="Arial"/>
          <w:lang w:val="en-US"/>
        </w:rPr>
        <w:t>sought</w:t>
      </w:r>
      <w:r w:rsidRPr="00B238AB">
        <w:rPr>
          <w:rFonts w:cs="Arial"/>
          <w:lang w:val="en-US"/>
        </w:rPr>
        <w:t xml:space="preserve"> to identify how much variability of the assumptions underpinning those studies could be absorbed before (additional) constraints might need to be imposed on wireless broadband licen</w:t>
      </w:r>
      <w:r>
        <w:rPr>
          <w:rFonts w:cs="Arial"/>
          <w:lang w:val="en-US"/>
        </w:rPr>
        <w:t>c</w:t>
      </w:r>
      <w:r w:rsidRPr="00B238AB">
        <w:rPr>
          <w:rFonts w:cs="Arial"/>
          <w:lang w:val="en-US"/>
        </w:rPr>
        <w:t>es if they were to be issued in the 27</w:t>
      </w:r>
      <w:r w:rsidR="00593FFB">
        <w:rPr>
          <w:rFonts w:cs="Arial"/>
          <w:lang w:val="en-US"/>
        </w:rPr>
        <w:t>–</w:t>
      </w:r>
      <w:r w:rsidRPr="00B238AB">
        <w:rPr>
          <w:rFonts w:cs="Arial"/>
          <w:lang w:val="en-US"/>
        </w:rPr>
        <w:t xml:space="preserve">27.5 GHz segment. </w:t>
      </w:r>
    </w:p>
    <w:p w14:paraId="5B00E78F" w14:textId="2B396466" w:rsidR="00771F01" w:rsidRPr="00B238AB" w:rsidRDefault="00771F01" w:rsidP="00771F01">
      <w:pPr>
        <w:rPr>
          <w:rFonts w:cs="Arial"/>
          <w:lang w:val="en-US"/>
        </w:rPr>
      </w:pPr>
      <w:r w:rsidRPr="00B238AB">
        <w:rPr>
          <w:rFonts w:cs="Arial"/>
          <w:lang w:val="en-US"/>
        </w:rPr>
        <w:lastRenderedPageBreak/>
        <w:t>The ACMA’s sensitivity analysis focused on four key parametric assumptions which might be considered susceptible to variations, being IMT device density, IMT device total radiated power (TRP), IMT device antenna configuration and satellite antenna configuration. The sensitivity analysis was based on a ‘pass’ margin of 32 dB below I/N which was based on the Australian input to TG-5/1</w:t>
      </w:r>
      <w:r w:rsidR="00593FFB">
        <w:rPr>
          <w:rFonts w:cs="Arial"/>
          <w:lang w:val="en-US"/>
        </w:rPr>
        <w:t>. T</w:t>
      </w:r>
      <w:r w:rsidRPr="00B238AB">
        <w:rPr>
          <w:rFonts w:cs="Arial"/>
          <w:lang w:val="en-US"/>
        </w:rPr>
        <w:t xml:space="preserve">his was later revised to 27 dB when taking into account some </w:t>
      </w:r>
      <w:r w:rsidR="00593FFB">
        <w:rPr>
          <w:rFonts w:cs="Arial"/>
          <w:lang w:val="en-US"/>
        </w:rPr>
        <w:t>NBN</w:t>
      </w:r>
      <w:r w:rsidRPr="00B238AB">
        <w:rPr>
          <w:rFonts w:cs="Arial"/>
          <w:lang w:val="en-US"/>
        </w:rPr>
        <w:t>-specific antenna configurations which were raised during the working group</w:t>
      </w:r>
      <w:r>
        <w:rPr>
          <w:rFonts w:cs="Arial"/>
          <w:lang w:val="en-US"/>
        </w:rPr>
        <w:t>’</w:t>
      </w:r>
      <w:r w:rsidRPr="00B238AB">
        <w:rPr>
          <w:rFonts w:cs="Arial"/>
          <w:lang w:val="en-US"/>
        </w:rPr>
        <w:t>s single meeting.</w:t>
      </w:r>
    </w:p>
    <w:p w14:paraId="4CC04811" w14:textId="77777777" w:rsidR="00771F01" w:rsidRPr="00B238AB" w:rsidRDefault="00771F01" w:rsidP="00771F01">
      <w:pPr>
        <w:rPr>
          <w:rFonts w:cs="Arial"/>
          <w:lang w:val="en-US"/>
        </w:rPr>
      </w:pPr>
      <w:r w:rsidRPr="00B238AB">
        <w:rPr>
          <w:rFonts w:cs="Arial"/>
          <w:lang w:val="en-US"/>
        </w:rPr>
        <w:t xml:space="preserve">The Terms of Reference </w:t>
      </w:r>
      <w:r>
        <w:rPr>
          <w:rFonts w:cs="Arial"/>
          <w:lang w:val="en-US"/>
        </w:rPr>
        <w:t>specified that the intent was not to question the methods or assumptions contained in studies undertaken in TG-5/1, rather to examine the extent to which parameter variability might warrant consideration of licensing constraints to ensure the FSS E-s protection criteria would continue to be met.</w:t>
      </w:r>
    </w:p>
    <w:p w14:paraId="07999C54" w14:textId="3A2C3819" w:rsidR="00771F01" w:rsidRPr="0006428C" w:rsidRDefault="00593FFB" w:rsidP="0006428C">
      <w:pPr>
        <w:pStyle w:val="Heading3"/>
      </w:pPr>
      <w:bookmarkStart w:id="92" w:name="_Toc4664122"/>
      <w:r w:rsidRPr="0006428C">
        <w:t xml:space="preserve">NBN </w:t>
      </w:r>
      <w:r w:rsidR="00AD170F" w:rsidRPr="0006428C">
        <w:t xml:space="preserve">Co </w:t>
      </w:r>
      <w:r w:rsidR="00771F01" w:rsidRPr="0006428C">
        <w:t>input</w:t>
      </w:r>
      <w:bookmarkEnd w:id="92"/>
    </w:p>
    <w:p w14:paraId="2B0F086D" w14:textId="0002A8FB" w:rsidR="00771F01" w:rsidRDefault="00593FFB" w:rsidP="00771F01">
      <w:r>
        <w:t xml:space="preserve">NBN </w:t>
      </w:r>
      <w:r w:rsidR="00771F01">
        <w:t xml:space="preserve">contributed a separate sensitivity analysis that considered the effect on coexistence by varying numerous parameters used in the TG-5/1 studies (but still evaluated using the method contributed by Australia). This was done on the basis that the international studies were more generalised than the specific beam configurations of </w:t>
      </w:r>
      <w:r>
        <w:t xml:space="preserve">NBN </w:t>
      </w:r>
      <w:r w:rsidR="00771F01">
        <w:t>satellites operating over Australia and therefore did not contain sufficient rigour for assessing coexistence within Australia.</w:t>
      </w:r>
    </w:p>
    <w:p w14:paraId="7AC30321" w14:textId="1EE0B0B6" w:rsidR="00771F01" w:rsidRDefault="00771F01" w:rsidP="00771F01">
      <w:r>
        <w:t xml:space="preserve">The </w:t>
      </w:r>
      <w:r w:rsidR="00593FFB">
        <w:t xml:space="preserve">NBN </w:t>
      </w:r>
      <w:r w:rsidR="00AD170F">
        <w:t xml:space="preserve">Co </w:t>
      </w:r>
      <w:r>
        <w:t>view was that the interference scenario should not be considered to be ergodic</w:t>
      </w:r>
      <w:r w:rsidR="00F009CF">
        <w:t>,</w:t>
      </w:r>
      <w:r>
        <w:t xml:space="preserve"> as interference into FSS uplink receivers could conceivably be dominated by a small number of wireless broadband terminals if there was a concurrence of ‘wors</w:t>
      </w:r>
      <w:r w:rsidR="008F3AB4">
        <w:t>e</w:t>
      </w:r>
      <w:r w:rsidR="00F009CF">
        <w:t>-</w:t>
      </w:r>
      <w:r>
        <w:t>case</w:t>
      </w:r>
      <w:r w:rsidR="00F009CF">
        <w:t>’</w:t>
      </w:r>
      <w:r>
        <w:t xml:space="preserve"> parameter values on those terminals. </w:t>
      </w:r>
      <w:r w:rsidR="00F009CF">
        <w:t xml:space="preserve">NBN </w:t>
      </w:r>
      <w:r w:rsidR="00AD170F">
        <w:t xml:space="preserve">Co </w:t>
      </w:r>
      <w:r w:rsidR="00F009CF">
        <w:t xml:space="preserve">was </w:t>
      </w:r>
      <w:r>
        <w:t xml:space="preserve">of the view that this concurrence was a realistic possibly and that actual wireless broadband deployments are likely to differ materially from the TG-5/1 studies. </w:t>
      </w:r>
    </w:p>
    <w:p w14:paraId="265BF869" w14:textId="2B44354A" w:rsidR="00771F01" w:rsidRDefault="00F009CF" w:rsidP="00771F01">
      <w:r>
        <w:t xml:space="preserve">NBN </w:t>
      </w:r>
      <w:r w:rsidR="00AD170F">
        <w:t xml:space="preserve">Co </w:t>
      </w:r>
      <w:r w:rsidR="00771F01">
        <w:t>therefore proposed that the baseline study needed to be revisited to reflect their wors</w:t>
      </w:r>
      <w:r w:rsidR="00983050">
        <w:t>t</w:t>
      </w:r>
      <w:r>
        <w:t>-</w:t>
      </w:r>
      <w:r w:rsidR="00771F01">
        <w:t>case scenarios, so their alternative sensitivity analysis was preceded by a ‘</w:t>
      </w:r>
      <w:proofErr w:type="spellStart"/>
      <w:r w:rsidR="00771F01">
        <w:t>rebaselining</w:t>
      </w:r>
      <w:proofErr w:type="spellEnd"/>
      <w:r w:rsidR="00771F01">
        <w:t>’ of the initial parameters. The result was that, when evaluated using these parameters, the implications for coexistence would not be as favourable and in fact would fail.</w:t>
      </w:r>
    </w:p>
    <w:p w14:paraId="31558B85" w14:textId="77777777" w:rsidR="00771F01" w:rsidRPr="0006428C" w:rsidRDefault="00771F01" w:rsidP="0006428C">
      <w:pPr>
        <w:pStyle w:val="Heading3"/>
      </w:pPr>
      <w:bookmarkStart w:id="93" w:name="_Toc4664123"/>
      <w:r w:rsidRPr="0006428C">
        <w:t>Summary of responses</w:t>
      </w:r>
      <w:bookmarkEnd w:id="93"/>
    </w:p>
    <w:p w14:paraId="39D629B6" w14:textId="77777777" w:rsidR="00771F01" w:rsidRDefault="00771F01" w:rsidP="00771F01">
      <w:r>
        <w:t xml:space="preserve">This section provides a summary of responses provided by working group members. </w:t>
      </w:r>
    </w:p>
    <w:p w14:paraId="680AEE07" w14:textId="2CE80B03" w:rsidR="00771F01" w:rsidRDefault="00771F01" w:rsidP="00771F01">
      <w:r>
        <w:t xml:space="preserve">Optus noted the significant ‘pass’ margins of the TG-5/1 studies and that even a 20dB reduction of those margins would not affect the coexistence outcome. </w:t>
      </w:r>
      <w:r w:rsidR="004B0ABB">
        <w:t>NBN</w:t>
      </w:r>
      <w:r w:rsidR="00AD170F">
        <w:t xml:space="preserve"> Co</w:t>
      </w:r>
      <w:r w:rsidR="004B0ABB">
        <w:t xml:space="preserve">’s </w:t>
      </w:r>
      <w:r>
        <w:t>follow-up reinforced the premises of their contribution to the working group but added that the ACMA’s update to the IMT/FSS sensitivity analysis working paper to take into account higher</w:t>
      </w:r>
      <w:r w:rsidR="004B0ABB">
        <w:t>-</w:t>
      </w:r>
      <w:r>
        <w:t xml:space="preserve">gain </w:t>
      </w:r>
      <w:r w:rsidR="004B0ABB">
        <w:t xml:space="preserve">NBN </w:t>
      </w:r>
      <w:r>
        <w:t xml:space="preserve">satellite antennas still did not </w:t>
      </w:r>
      <w:r w:rsidR="00983050">
        <w:t>reflect</w:t>
      </w:r>
      <w:r w:rsidR="00AE2E69">
        <w:t xml:space="preserve"> </w:t>
      </w:r>
      <w:r>
        <w:t xml:space="preserve">that satellite reception extends beyond its 3dB footprint. AMTA, in </w:t>
      </w:r>
      <w:r w:rsidR="004B0ABB">
        <w:t xml:space="preserve">its </w:t>
      </w:r>
      <w:r>
        <w:t xml:space="preserve">response, questioned why </w:t>
      </w:r>
      <w:r w:rsidR="004B0ABB">
        <w:t>NBN</w:t>
      </w:r>
      <w:r w:rsidR="00AD170F">
        <w:t xml:space="preserve"> Co</w:t>
      </w:r>
      <w:r w:rsidR="004B0ABB">
        <w:t xml:space="preserve"> </w:t>
      </w:r>
      <w:r>
        <w:t>continued to make arguments on the basis of an issue the ACMA had (in their view) addressed in the update.</w:t>
      </w:r>
    </w:p>
    <w:p w14:paraId="065A6441" w14:textId="26968ED2" w:rsidR="00771F01" w:rsidRDefault="00771F01" w:rsidP="00771F01">
      <w:r>
        <w:t>Otherwise, none of the inputs commented on the ACMA’s sensitivity analysis (either in support or to refute that analysis). Instead</w:t>
      </w:r>
      <w:r w:rsidR="004B0ABB">
        <w:t>,</w:t>
      </w:r>
      <w:r>
        <w:t xml:space="preserve"> the majority of responses contained commentary on </w:t>
      </w:r>
      <w:r w:rsidR="004B0ABB">
        <w:t>NBN</w:t>
      </w:r>
      <w:r w:rsidR="00AD170F">
        <w:t xml:space="preserve"> Co</w:t>
      </w:r>
      <w:r w:rsidR="004B0ABB">
        <w:t xml:space="preserve">’s </w:t>
      </w:r>
      <w:r>
        <w:t xml:space="preserve">contribution. </w:t>
      </w:r>
    </w:p>
    <w:p w14:paraId="518852E3" w14:textId="0EC9CCFD" w:rsidR="004D2F2F" w:rsidRDefault="00771F01" w:rsidP="006C11FC">
      <w:r>
        <w:t xml:space="preserve">Telstra disagreed that the TG-5/1 studies had failed to take account of an acceptable range of scenarios and questioned the ‘non-ergodic’ assertions that underpin </w:t>
      </w:r>
      <w:r w:rsidR="004D2F2F">
        <w:t>NBN</w:t>
      </w:r>
      <w:r w:rsidR="00AD170F">
        <w:t xml:space="preserve"> Co</w:t>
      </w:r>
      <w:r w:rsidR="004D2F2F">
        <w:t xml:space="preserve">’s </w:t>
      </w:r>
      <w:r>
        <w:t>concerns, noting that the short-term</w:t>
      </w:r>
      <w:r w:rsidR="004D2F2F">
        <w:t>,</w:t>
      </w:r>
      <w:r>
        <w:t xml:space="preserve"> worst</w:t>
      </w:r>
      <w:r w:rsidR="004D2F2F">
        <w:t>-</w:t>
      </w:r>
      <w:r>
        <w:t xml:space="preserve">case parametric assumptions that make up the </w:t>
      </w:r>
      <w:proofErr w:type="spellStart"/>
      <w:r>
        <w:t>rebaselined</w:t>
      </w:r>
      <w:proofErr w:type="spellEnd"/>
      <w:r>
        <w:t xml:space="preserve"> scenario approximates a deterministic rather than probabilistic analysis. Telstra and AMTA contested the worst</w:t>
      </w:r>
      <w:r w:rsidR="004D2F2F">
        <w:t>-</w:t>
      </w:r>
      <w:r>
        <w:t xml:space="preserve">case nature of the </w:t>
      </w:r>
      <w:proofErr w:type="spellStart"/>
      <w:r>
        <w:lastRenderedPageBreak/>
        <w:t>rebaselined</w:t>
      </w:r>
      <w:proofErr w:type="spellEnd"/>
      <w:r>
        <w:t xml:space="preserve"> parameter settings and Telstra expanding on this by questioning the providence of some of the individual parameter settings. </w:t>
      </w:r>
    </w:p>
    <w:p w14:paraId="40539A78" w14:textId="6EC9AD78" w:rsidR="00771F01" w:rsidRDefault="00771F01" w:rsidP="006C11FC">
      <w:pPr>
        <w:rPr>
          <w:rStyle w:val="normaltextrun"/>
          <w:rFonts w:cs="Arial"/>
          <w:b/>
          <w:bCs/>
          <w:iCs/>
          <w:sz w:val="28"/>
          <w:szCs w:val="28"/>
        </w:rPr>
      </w:pPr>
      <w:r>
        <w:t>The ACMA also questioned why the aggregate interference under this (apparent) short</w:t>
      </w:r>
      <w:r w:rsidR="004D2F2F">
        <w:t>-</w:t>
      </w:r>
      <w:r>
        <w:t>term scenario was not evaluated against less-stringent short-term criteria.</w:t>
      </w:r>
    </w:p>
    <w:p w14:paraId="2AC8CD8A" w14:textId="48452C6A" w:rsidR="00771F01" w:rsidRPr="0006428C" w:rsidRDefault="00771F01" w:rsidP="0006428C">
      <w:pPr>
        <w:pStyle w:val="Heading2"/>
        <w:rPr>
          <w:rStyle w:val="normaltextrun"/>
        </w:rPr>
      </w:pPr>
      <w:bookmarkStart w:id="94" w:name="_Toc4664124"/>
      <w:r w:rsidRPr="0006428C">
        <w:rPr>
          <w:rStyle w:val="normaltextrun"/>
        </w:rPr>
        <w:t>Potential licence conditions for IMT/FSS coexistence</w:t>
      </w:r>
      <w:bookmarkEnd w:id="94"/>
    </w:p>
    <w:p w14:paraId="6B13C5DE" w14:textId="77777777" w:rsidR="00771F01" w:rsidRDefault="00771F01" w:rsidP="00771F01">
      <w:pPr>
        <w:rPr>
          <w:szCs w:val="20"/>
        </w:rPr>
      </w:pPr>
      <w:r>
        <w:rPr>
          <w:szCs w:val="20"/>
        </w:rPr>
        <w:t>In January 2018, the ACMA re-convened the working group and asked for feedback and discussion on potential licence conditions</w:t>
      </w:r>
      <w:r w:rsidRPr="000457C1">
        <w:rPr>
          <w:szCs w:val="20"/>
        </w:rPr>
        <w:t xml:space="preserve"> </w:t>
      </w:r>
      <w:r>
        <w:rPr>
          <w:szCs w:val="20"/>
        </w:rPr>
        <w:t>to aid the coexistence of wireless broadband services and fixed satellite uplinks. This section provides an overview of the working group’s deliberations on this issue.</w:t>
      </w:r>
    </w:p>
    <w:p w14:paraId="709ABF4B" w14:textId="30C58A06" w:rsidR="00771F01" w:rsidRDefault="00771F01" w:rsidP="0006428C">
      <w:r>
        <w:t xml:space="preserve">To commence discussion, </w:t>
      </w:r>
      <w:r w:rsidR="00AD170F">
        <w:t xml:space="preserve">NBN Co </w:t>
      </w:r>
      <w:r>
        <w:t xml:space="preserve">provided additional detail on the licence conditions </w:t>
      </w:r>
      <w:r w:rsidR="00AD170F">
        <w:t xml:space="preserve">it </w:t>
      </w:r>
      <w:r>
        <w:t xml:space="preserve">proposed in </w:t>
      </w:r>
      <w:r w:rsidR="00AD170F">
        <w:t xml:space="preserve">its </w:t>
      </w:r>
      <w:r>
        <w:t xml:space="preserve">submission to the </w:t>
      </w:r>
      <w:r w:rsidR="00C240F0">
        <w:t>o</w:t>
      </w:r>
      <w:r>
        <w:t xml:space="preserve">ptions paper. In particular, </w:t>
      </w:r>
      <w:r w:rsidR="00AD170F">
        <w:t xml:space="preserve">NBN Co </w:t>
      </w:r>
      <w:r>
        <w:t xml:space="preserve">proposed that the following conditions be applied to wireless broadband licences within 250 km of </w:t>
      </w:r>
      <w:r w:rsidR="00AD170F">
        <w:t xml:space="preserve">its </w:t>
      </w:r>
      <w:r>
        <w:t>gateway earth stations:</w:t>
      </w:r>
    </w:p>
    <w:p w14:paraId="7BA9A4F1" w14:textId="3AC601A3" w:rsidR="00771F01" w:rsidRPr="00335D0B" w:rsidRDefault="00771F01" w:rsidP="00335D0B">
      <w:pPr>
        <w:pStyle w:val="ListBullet"/>
      </w:pPr>
      <w:r w:rsidRPr="00335D0B">
        <w:t xml:space="preserve">UE antenna boresight elevation </w:t>
      </w:r>
      <w:r w:rsidR="00952097" w:rsidRPr="00335D0B">
        <w:t xml:space="preserve">not </w:t>
      </w:r>
      <w:r w:rsidR="008C5F7A" w:rsidRPr="00335D0B">
        <w:t xml:space="preserve">to </w:t>
      </w:r>
      <w:r w:rsidRPr="00335D0B">
        <w:t>exceed 5</w:t>
      </w:r>
      <w:r w:rsidR="008C5F7A" w:rsidRPr="00335D0B">
        <w:t xml:space="preserve">°. </w:t>
      </w:r>
    </w:p>
    <w:p w14:paraId="3629A5C4" w14:textId="59399DF2" w:rsidR="00771F01" w:rsidRDefault="00771F01" w:rsidP="00335D0B">
      <w:pPr>
        <w:pStyle w:val="ListBullet"/>
      </w:pPr>
      <w:r w:rsidRPr="00335D0B">
        <w:t>UE antenna gain of at least 17 dBi</w:t>
      </w:r>
      <w:r w:rsidR="008C5F7A" w:rsidRPr="00335D0B">
        <w:t>.</w:t>
      </w:r>
      <w:r w:rsidR="008C5F7A">
        <w:t xml:space="preserve"> </w:t>
      </w:r>
    </w:p>
    <w:p w14:paraId="76C91F8D" w14:textId="126D3943" w:rsidR="00771F01" w:rsidRDefault="00771F01" w:rsidP="00335D0B">
      <w:pPr>
        <w:pStyle w:val="ListBulletLast"/>
      </w:pPr>
      <w:r>
        <w:t xml:space="preserve">BS antenna boresight </w:t>
      </w:r>
      <w:r w:rsidRPr="00335D0B">
        <w:t>elevation</w:t>
      </w:r>
      <w:r>
        <w:t xml:space="preserve"> not to exceed 0</w:t>
      </w:r>
      <w:r w:rsidR="008C5F7A" w:rsidRPr="00190F88">
        <w:t>°</w:t>
      </w:r>
      <w:r>
        <w:t>.</w:t>
      </w:r>
    </w:p>
    <w:p w14:paraId="1CCC4BC7" w14:textId="4B2997DE" w:rsidR="00771F01" w:rsidRDefault="00771F01" w:rsidP="00771F01">
      <w:r>
        <w:t xml:space="preserve">In addition, </w:t>
      </w:r>
      <w:r w:rsidR="00AD170F">
        <w:t>NBN Co</w:t>
      </w:r>
      <w:r>
        <w:t xml:space="preserve"> suggested that a maximum BS deployment density limit, in addition to the above conditions, should apply to fixed broadband services. </w:t>
      </w:r>
      <w:r w:rsidR="00AD170F">
        <w:t>NBN Co</w:t>
      </w:r>
      <w:r>
        <w:t xml:space="preserve"> was of the view that the BS density limit is not a reliable proxy for ensuring the interference contribution from UEs aligns with the scenarios studied. Based on these proposed conditions, </w:t>
      </w:r>
      <w:r w:rsidR="00AD170F">
        <w:t>NBN Co</w:t>
      </w:r>
      <w:r>
        <w:t xml:space="preserve"> maintained </w:t>
      </w:r>
      <w:r w:rsidR="008C5F7A">
        <w:t xml:space="preserve">its </w:t>
      </w:r>
      <w:r>
        <w:t>view that only fixed broadband services could be viably deployed in the range 27</w:t>
      </w:r>
      <w:r w:rsidR="008C5F7A">
        <w:t>–</w:t>
      </w:r>
      <w:r>
        <w:t>27.5 GHz.</w:t>
      </w:r>
    </w:p>
    <w:p w14:paraId="6483C5F7" w14:textId="77777777" w:rsidR="00771F01" w:rsidRDefault="00771F01" w:rsidP="00771F01">
      <w:r>
        <w:t>Telstra expressed the view that, based on existing domestic studies (which included Australia-specific characteristics) that resulted in large protection margins, wireless broadband services can coexist with fixed satellite services. Subsequently, Telstra saw no reason why additional licence conditions should be imposed on wireless broadband services.</w:t>
      </w:r>
    </w:p>
    <w:p w14:paraId="2E4E892C" w14:textId="77777777" w:rsidR="00771F01" w:rsidRDefault="00771F01" w:rsidP="0006428C">
      <w:r>
        <w:t>Optus also supported Telstra’s view and said that BS densities are not a reliable proxy for the interference contribution from UEs. This is because such a limitation would not consider factors such as:</w:t>
      </w:r>
    </w:p>
    <w:p w14:paraId="15F11ACE" w14:textId="15B403AE" w:rsidR="00771F01" w:rsidRPr="00335D0B" w:rsidRDefault="00771F01" w:rsidP="00335D0B">
      <w:pPr>
        <w:pStyle w:val="ListBullet"/>
      </w:pPr>
      <w:r w:rsidRPr="00335D0B">
        <w:t>the number of UEs and their activity factors</w:t>
      </w:r>
    </w:p>
    <w:p w14:paraId="5D9DFEB1" w14:textId="35FDF07F" w:rsidR="00771F01" w:rsidRDefault="00771F01" w:rsidP="00335D0B">
      <w:pPr>
        <w:pStyle w:val="ListBullet"/>
      </w:pPr>
      <w:r w:rsidRPr="00335D0B">
        <w:t>the base station deployment scenarios</w:t>
      </w:r>
    </w:p>
    <w:p w14:paraId="1140AC70" w14:textId="77777777" w:rsidR="00771F01" w:rsidRDefault="00771F01" w:rsidP="00771F01">
      <w:pPr>
        <w:pStyle w:val="ListBulletLast"/>
      </w:pPr>
      <w:r>
        <w:t>the power level per active device.</w:t>
      </w:r>
    </w:p>
    <w:p w14:paraId="7923F9E2" w14:textId="3A0F103A" w:rsidR="00771F01" w:rsidRDefault="00771F01" w:rsidP="00771F01">
      <w:r>
        <w:t xml:space="preserve">In addition, Optus agreed with the results of existing international and domestic </w:t>
      </w:r>
      <w:r w:rsidR="00490C61">
        <w:t>studies and</w:t>
      </w:r>
      <w:r>
        <w:t xml:space="preserve"> said that the large margins indicated in these studies would accommodate any likely variation in study assumptions. Optus also suggested that it would be more appropriate to set an interference limit that wireless broadband services need to comply with, rather than implement licence conditions which limit network design characteristics.</w:t>
      </w:r>
    </w:p>
    <w:p w14:paraId="15059DA9" w14:textId="7D315B86" w:rsidR="00703494" w:rsidRPr="0050351E" w:rsidRDefault="00771F01" w:rsidP="0006428C">
      <w:pPr>
        <w:rPr>
          <w:szCs w:val="20"/>
        </w:rPr>
      </w:pPr>
      <w:r>
        <w:t>The Bureau of Meteorology suggested that the same licence conditions proposed in the range 27</w:t>
      </w:r>
      <w:r w:rsidR="00906076">
        <w:t>-</w:t>
      </w:r>
      <w:r>
        <w:t>27.5 GHz could also be used to ensure coexistence between wireless broadband services and passive EESS in the 23.6</w:t>
      </w:r>
      <w:r w:rsidR="00906076">
        <w:t>-</w:t>
      </w:r>
      <w:r>
        <w:t>24 GHz band.</w:t>
      </w:r>
    </w:p>
    <w:p w14:paraId="47C27CF1" w14:textId="7EDB5520" w:rsidR="00B12126" w:rsidRPr="00483A5A" w:rsidRDefault="00B12126" w:rsidP="00483A5A">
      <w:pPr>
        <w:pStyle w:val="Heading1"/>
      </w:pPr>
      <w:bookmarkStart w:id="95" w:name="_Toc4664125"/>
      <w:bookmarkStart w:id="96" w:name="_Toc495935499"/>
      <w:bookmarkStart w:id="97" w:name="_Toc494375855"/>
      <w:bookmarkStart w:id="98" w:name="_Toc494378928"/>
      <w:bookmarkStart w:id="99" w:name="_Toc495935529"/>
      <w:r w:rsidRPr="00483A5A">
        <w:lastRenderedPageBreak/>
        <w:t xml:space="preserve">Annex </w:t>
      </w:r>
      <w:r w:rsidR="00D53FA7" w:rsidRPr="00483A5A">
        <w:t>C</w:t>
      </w:r>
      <w:r w:rsidR="003112C4" w:rsidRPr="00483A5A">
        <w:t>—</w:t>
      </w:r>
      <w:r w:rsidR="0020284E" w:rsidRPr="00483A5A">
        <w:t>C</w:t>
      </w:r>
      <w:r w:rsidR="00A370A8" w:rsidRPr="00483A5A">
        <w:t xml:space="preserve">oexistence of wireless broadband with </w:t>
      </w:r>
      <w:r w:rsidR="00AD170F" w:rsidRPr="00483A5A">
        <w:t>NBN</w:t>
      </w:r>
      <w:r w:rsidRPr="00483A5A">
        <w:t xml:space="preserve"> </w:t>
      </w:r>
      <w:r w:rsidR="00A370A8" w:rsidRPr="00483A5A">
        <w:t>satellite services</w:t>
      </w:r>
      <w:bookmarkEnd w:id="95"/>
      <w:r w:rsidRPr="00483A5A">
        <w:t xml:space="preserve"> </w:t>
      </w:r>
    </w:p>
    <w:p w14:paraId="2C1A4273" w14:textId="72CAE5FC" w:rsidR="008C2321" w:rsidRDefault="008C2321" w:rsidP="008C2321">
      <w:r>
        <w:t>A key issue identified in considering possible planning arrangements to support wireless broadband in the 26 GHz band has been the feasibility of coexistence of terrestrial wireless broadband with fixed satellite service uplinks (i.e. satellite receivers) in 27</w:t>
      </w:r>
      <w:r w:rsidR="008266DA">
        <w:t>–</w:t>
      </w:r>
      <w:r>
        <w:t xml:space="preserve">27.5 GHz. </w:t>
      </w:r>
      <w:r w:rsidR="00AD170F">
        <w:t>NBN Co</w:t>
      </w:r>
      <w:r>
        <w:t xml:space="preserve"> has been very active in these considerations given its use of 27</w:t>
      </w:r>
      <w:r w:rsidR="008266DA">
        <w:t>-</w:t>
      </w:r>
      <w:r>
        <w:t xml:space="preserve">27.5 GHz for gateway satellite uplinks at 10 discrete locations for the </w:t>
      </w:r>
      <w:proofErr w:type="spellStart"/>
      <w:r>
        <w:t>SkyMuster</w:t>
      </w:r>
      <w:proofErr w:type="spellEnd"/>
      <w:r>
        <w:t xml:space="preserve"> satellite system. </w:t>
      </w:r>
    </w:p>
    <w:p w14:paraId="067408BA" w14:textId="08EF9BAA" w:rsidR="008C2321" w:rsidRDefault="008C2321" w:rsidP="008C2321">
      <w:r>
        <w:t xml:space="preserve">In their submission to the </w:t>
      </w:r>
      <w:hyperlink r:id="rId38" w:history="1">
        <w:r w:rsidR="00C240F0">
          <w:rPr>
            <w:rStyle w:val="Hyperlink"/>
          </w:rPr>
          <w:t>o</w:t>
        </w:r>
        <w:r w:rsidRPr="00E57178">
          <w:rPr>
            <w:rStyle w:val="Hyperlink"/>
          </w:rPr>
          <w:t>ptions paper</w:t>
        </w:r>
      </w:hyperlink>
      <w:r>
        <w:t xml:space="preserve">, </w:t>
      </w:r>
      <w:r w:rsidR="00AD170F">
        <w:t>NBN Co</w:t>
      </w:r>
      <w:r>
        <w:t xml:space="preserve"> expressed the view that previous Australian and international studies, which concluded that wireless broadband and satellite uplinks could coexist, did not adequately account for the parameters of </w:t>
      </w:r>
      <w:r w:rsidR="00AD170F">
        <w:t>NBN Co’</w:t>
      </w:r>
      <w:r>
        <w:t xml:space="preserve">s existing high throughput satellite network or consider the full range of possible wireless broadband deployment scenarios. In support of this view, </w:t>
      </w:r>
      <w:r w:rsidR="00AD170F">
        <w:t>NBN Co</w:t>
      </w:r>
      <w:r>
        <w:t xml:space="preserve"> provided an additional study</w:t>
      </w:r>
      <w:r>
        <w:rPr>
          <w:rStyle w:val="FootnoteReference"/>
        </w:rPr>
        <w:footnoteReference w:id="22"/>
      </w:r>
      <w:r>
        <w:t xml:space="preserve"> which considered the impact that different input parameters will have on the potential coexistence of wireless broadband with satellite services. </w:t>
      </w:r>
    </w:p>
    <w:p w14:paraId="2C7F7DF8" w14:textId="7E359632" w:rsidR="008C2321" w:rsidRDefault="008C2321" w:rsidP="008C2321">
      <w:r>
        <w:t xml:space="preserve">That additional study concluded that inclusion of these </w:t>
      </w:r>
      <w:r w:rsidR="00AD170F">
        <w:t>NBN</w:t>
      </w:r>
      <w:r>
        <w:t xml:space="preserve"> parameters would erode margins to the point where coexistence between wireless broadband and satellite services would not be possible, based on the study’s assumed input parameters. </w:t>
      </w:r>
      <w:r w:rsidR="00AD170F">
        <w:t>NBN Co</w:t>
      </w:r>
      <w:r>
        <w:t xml:space="preserve"> proposed that technical licence conditions</w:t>
      </w:r>
      <w:r w:rsidR="008266DA">
        <w:t>—w</w:t>
      </w:r>
      <w:r>
        <w:t>hich would preclude mobile (but not fixed) wireless broadband in the 27</w:t>
      </w:r>
      <w:r w:rsidR="008266DA">
        <w:t>–</w:t>
      </w:r>
      <w:r>
        <w:t xml:space="preserve">27.5 GHz band in substantial areas around </w:t>
      </w:r>
      <w:r w:rsidR="00AD170F">
        <w:t>NBN Co</w:t>
      </w:r>
      <w:r>
        <w:t xml:space="preserve"> satellite gateway sites</w:t>
      </w:r>
      <w:r w:rsidR="008266DA">
        <w:t>—</w:t>
      </w:r>
      <w:r>
        <w:t xml:space="preserve">would need to be applied to ensure coexistence is achievable. </w:t>
      </w:r>
    </w:p>
    <w:p w14:paraId="321067FD" w14:textId="77777777" w:rsidR="008C2321" w:rsidRDefault="008C2321" w:rsidP="008C2321">
      <w:r>
        <w:t>In November 2015, Study Group 5 of the ITU-R established a dedicated task group, TG 5/1, to conduct sharing and compatibility studies relevant to WRC-19 agenda item 1.13. This work included studies on coexistence between wireless broadband and FSS uplinks in the 26 GHz band.</w:t>
      </w:r>
      <w:r>
        <w:rPr>
          <w:rStyle w:val="FootnoteReference"/>
        </w:rPr>
        <w:footnoteReference w:id="23"/>
      </w:r>
      <w:r>
        <w:t xml:space="preserve"> Of the 15 studies submitted for this issue, all except for one demonstrate that coexistence of wireless broadband and FSS would be possible.</w:t>
      </w:r>
    </w:p>
    <w:p w14:paraId="3A722708" w14:textId="0BC14E8A" w:rsidR="008C2321" w:rsidRPr="00A94D52" w:rsidRDefault="008C2321" w:rsidP="008C2321">
      <w:r w:rsidRPr="003D2062">
        <w:t xml:space="preserve">In the </w:t>
      </w:r>
      <w:r>
        <w:t xml:space="preserve">US, </w:t>
      </w:r>
      <w:r w:rsidRPr="003D2062">
        <w:t>the Federal Communications Commission (FCC</w:t>
      </w:r>
      <w:r>
        <w:t>) designated the frequency range 27.5–28.35 GHz on a primary basis for u</w:t>
      </w:r>
      <w:r w:rsidRPr="00EE4E71">
        <w:t xml:space="preserve">pper </w:t>
      </w:r>
      <w:r>
        <w:t>m</w:t>
      </w:r>
      <w:r w:rsidRPr="00EE4E71">
        <w:t xml:space="preserve">icrowave </w:t>
      </w:r>
      <w:r>
        <w:t>f</w:t>
      </w:r>
      <w:r w:rsidRPr="00EE4E71">
        <w:t xml:space="preserve">lexible </w:t>
      </w:r>
      <w:r>
        <w:t>u</w:t>
      </w:r>
      <w:r w:rsidRPr="00EE4E71">
        <w:t>s</w:t>
      </w:r>
      <w:r>
        <w:t xml:space="preserve">e service (UMFUS). </w:t>
      </w:r>
      <w:r w:rsidRPr="001737D0">
        <w:t>UMFUS allows for flexible fixed and mobile commercial use of the band, which includes 5G wireless broadband technologies. This allocation has been made on a shared basis with FSS uplinks (</w:t>
      </w:r>
      <w:r w:rsidR="00EA1977" w:rsidRPr="001737D0">
        <w:t>high-throughput satellites</w:t>
      </w:r>
      <w:r w:rsidR="005333F0">
        <w:t xml:space="preserve"> </w:t>
      </w:r>
      <w:r w:rsidR="00A4053A">
        <w:t>characteristics</w:t>
      </w:r>
      <w:r w:rsidR="001E73E4">
        <w:t xml:space="preserve"> where included in the consultation process</w:t>
      </w:r>
      <w:r w:rsidR="00EA1977" w:rsidRPr="001737D0">
        <w:rPr>
          <w:rStyle w:val="FootnoteReference"/>
        </w:rPr>
        <w:footnoteReference w:id="24"/>
      </w:r>
      <w:r w:rsidR="008266DA">
        <w:t xml:space="preserve">, </w:t>
      </w:r>
      <w:r w:rsidRPr="001737D0">
        <w:t xml:space="preserve">although </w:t>
      </w:r>
      <w:r w:rsidR="00AD170F">
        <w:t>NBN-</w:t>
      </w:r>
      <w:r w:rsidRPr="001737D0">
        <w:t xml:space="preserve">specific satellite </w:t>
      </w:r>
      <w:r w:rsidR="00305CDA" w:rsidRPr="001737D0">
        <w:t>characteristics</w:t>
      </w:r>
      <w:r w:rsidRPr="001737D0">
        <w:t xml:space="preserve"> where not explicitly con</w:t>
      </w:r>
      <w:r w:rsidR="00305CDA" w:rsidRPr="001737D0">
        <w:t>si</w:t>
      </w:r>
      <w:r w:rsidRPr="001737D0">
        <w:t>dered</w:t>
      </w:r>
      <w:r w:rsidR="00EA1977" w:rsidRPr="001737D0">
        <w:t>)</w:t>
      </w:r>
      <w:r w:rsidRPr="001737D0">
        <w:t>. When considering the potential aggregate interference from wireless broadband services into satellite receivers, the FCC concluded that the risk of harmful interference is low and decided against the establishment of regulatory limits on aggregate wireless broadband power levels.</w:t>
      </w:r>
      <w:r>
        <w:rPr>
          <w:rStyle w:val="FootnoteReference"/>
        </w:rPr>
        <w:footnoteReference w:id="25"/>
      </w:r>
      <w:r>
        <w:t xml:space="preserve">  </w:t>
      </w:r>
      <w:r>
        <w:lastRenderedPageBreak/>
        <w:t>While this allocation is in the adjacent 28 GHz band, the interference scenario is essentially the same as for the 26 GHz band.</w:t>
      </w:r>
    </w:p>
    <w:p w14:paraId="48503ABE" w14:textId="194A2BA2" w:rsidR="008C2321" w:rsidRDefault="008C2321" w:rsidP="008C2321">
      <w:r>
        <w:t xml:space="preserve">The sharing outcomes mooted by </w:t>
      </w:r>
      <w:r w:rsidR="00AD170F">
        <w:t>NBN Co</w:t>
      </w:r>
      <w:r>
        <w:t xml:space="preserve"> were at odds with international study outcomes and coexistence arrangements being considered elsewhere. However, the ACMA conducted its own detailed review of that study in order to gain an assurance that identifying that frequency segment for wireless broadband would</w:t>
      </w:r>
      <w:r w:rsidR="003A5D9F">
        <w:t xml:space="preserve"> </w:t>
      </w:r>
      <w:r>
        <w:t>n</w:t>
      </w:r>
      <w:r w:rsidR="003A5D9F">
        <w:t>o</w:t>
      </w:r>
      <w:r>
        <w:t xml:space="preserve">t compromise existing </w:t>
      </w:r>
      <w:r w:rsidR="00AD170F">
        <w:t xml:space="preserve">NBN </w:t>
      </w:r>
      <w:r>
        <w:t>services. In almost all cases the alternative parameters and scenarios proposed in that study w</w:t>
      </w:r>
      <w:r w:rsidR="00697434">
        <w:t>ere</w:t>
      </w:r>
      <w:r>
        <w:t xml:space="preserve"> found to be very much in the ‘worst case’ category. </w:t>
      </w:r>
      <w:r w:rsidR="003A5D9F">
        <w:t>I</w:t>
      </w:r>
      <w:r>
        <w:t xml:space="preserve">n the ACMA’s view, the likelihood of a concurrence of those conditions occurring </w:t>
      </w:r>
      <w:r w:rsidR="003A5D9F">
        <w:t>i</w:t>
      </w:r>
      <w:r w:rsidR="00F331DD">
        <w:t>s</w:t>
      </w:r>
      <w:r w:rsidR="003A5D9F">
        <w:t xml:space="preserve"> considered a low probability.</w:t>
      </w:r>
      <w:r>
        <w:t xml:space="preserve"> In conducting our own review of that input</w:t>
      </w:r>
      <w:r w:rsidR="000C173E">
        <w:t>,</w:t>
      </w:r>
      <w:r>
        <w:t xml:space="preserve"> it was impossible to recreate the </w:t>
      </w:r>
      <w:r w:rsidR="00AD170F">
        <w:t xml:space="preserve">NBN </w:t>
      </w:r>
      <w:r>
        <w:t xml:space="preserve">interference conclusions without using a scenario and set of operating parameters and conditions that could not reasonably be expected to be realised. </w:t>
      </w:r>
    </w:p>
    <w:p w14:paraId="1CA0F8AB" w14:textId="202A949E" w:rsidR="003C3631" w:rsidRDefault="008C2321" w:rsidP="008C2321">
      <w:r>
        <w:t xml:space="preserve">On the other hand, the impact of such an outcome occurring would be high, given the importance of </w:t>
      </w:r>
      <w:proofErr w:type="spellStart"/>
      <w:r>
        <w:t>SkyMuster</w:t>
      </w:r>
      <w:proofErr w:type="spellEnd"/>
      <w:r>
        <w:t xml:space="preserve"> services, so the risk profile is assessed as essentially being (very) low probability </w:t>
      </w:r>
      <w:r w:rsidR="003C3631">
        <w:t xml:space="preserve">with a </w:t>
      </w:r>
      <w:r>
        <w:t xml:space="preserve">high impact. </w:t>
      </w:r>
    </w:p>
    <w:p w14:paraId="48EA66E3" w14:textId="7A12F252" w:rsidR="008C2321" w:rsidRDefault="008C2321" w:rsidP="008C2321">
      <w:r>
        <w:t xml:space="preserve">This </w:t>
      </w:r>
      <w:r w:rsidR="003C3631">
        <w:t xml:space="preserve">analysis supports the ACMA’s conclusion that </w:t>
      </w:r>
      <w:r>
        <w:t xml:space="preserve">additional licence conditions be applied </w:t>
      </w:r>
      <w:r w:rsidR="003C3631">
        <w:t xml:space="preserve">to wireless broadband services </w:t>
      </w:r>
      <w:r>
        <w:t>in the relevant areas/frequency segments to act as a safeguard against the risk of interference. These conditions are</w:t>
      </w:r>
      <w:r w:rsidR="003C3631">
        <w:t xml:space="preserve"> not</w:t>
      </w:r>
      <w:r>
        <w:t xml:space="preserve"> expected to materially limit wireless broadband deployments but will serve to provide a ceiling on any potential ‘creep’ over and above the expected interference environment.</w:t>
      </w:r>
    </w:p>
    <w:p w14:paraId="6379E077" w14:textId="27B8B084" w:rsidR="008C2321" w:rsidRDefault="008C2321" w:rsidP="008C2321">
      <w:r>
        <w:t>Maximum power limits have historically always been specified on spectrum and apparatus licences and, as per normal practice, the ACMA will include these on wireless broadband licences across the entire 26 GHz band.</w:t>
      </w:r>
      <w:r w:rsidRPr="000D781D">
        <w:t xml:space="preserve"> </w:t>
      </w:r>
      <w:r>
        <w:t xml:space="preserve">However, to provide additional certainty that emissions above the horizon will not vary significantly from those assumed in studies, the ACMA has formed the preliminary view to include the following licence conditions on wireless broadband stations within a </w:t>
      </w:r>
      <w:r w:rsidRPr="00935610">
        <w:t>3</w:t>
      </w:r>
      <w:r>
        <w:t xml:space="preserve"> dB </w:t>
      </w:r>
      <w:r w:rsidR="00AD170F">
        <w:t xml:space="preserve">NBN </w:t>
      </w:r>
      <w:r>
        <w:t>gateway footprint and in the range 27</w:t>
      </w:r>
      <w:r w:rsidR="008266DA">
        <w:t>–</w:t>
      </w:r>
      <w:r>
        <w:t>27.5 GHz:</w:t>
      </w:r>
    </w:p>
    <w:p w14:paraId="38C15164" w14:textId="24888A58" w:rsidR="008C2321" w:rsidRPr="00335D0B" w:rsidRDefault="008C2321" w:rsidP="00335D0B">
      <w:pPr>
        <w:pStyle w:val="ListBullet"/>
      </w:pPr>
      <w:r w:rsidRPr="00335D0B">
        <w:t>Outdoor base stations</w:t>
      </w:r>
      <w:r w:rsidR="006A14C6" w:rsidRPr="00335D0B">
        <w:t xml:space="preserve"> </w:t>
      </w:r>
      <w:r w:rsidRPr="00335D0B">
        <w:t>must not direct antenna beams (via electrical steering) to elevation angles greater than 5° above the horizon for more than 5% of time</w:t>
      </w:r>
      <w:r w:rsidR="006A14C6" w:rsidRPr="00335D0B">
        <w:t xml:space="preserve">. </w:t>
      </w:r>
    </w:p>
    <w:p w14:paraId="6B5C4916" w14:textId="253023F1" w:rsidR="008C2321" w:rsidRDefault="006A14C6" w:rsidP="00335D0B">
      <w:pPr>
        <w:pStyle w:val="ListBullet"/>
      </w:pPr>
      <w:r w:rsidRPr="00335D0B">
        <w:t xml:space="preserve">Outdoor base stations </w:t>
      </w:r>
      <w:r w:rsidR="008C2321" w:rsidRPr="00335D0B">
        <w:t>must have an antenna mechanical down tilt equal to or greater than 0°</w:t>
      </w:r>
      <w:r w:rsidRPr="00335D0B">
        <w:t>.</w:t>
      </w:r>
      <w:r>
        <w:t xml:space="preserve"> </w:t>
      </w:r>
    </w:p>
    <w:p w14:paraId="4E6CB013" w14:textId="76B73A8B" w:rsidR="008C2321" w:rsidRDefault="008C2321" w:rsidP="008C2321">
      <w:pPr>
        <w:pStyle w:val="ListBulletLast"/>
      </w:pPr>
      <w:r>
        <w:t>Outdoor fixed UEs must not direct their main antenna beam within 1.5° of the GSO arc</w:t>
      </w:r>
      <w:r w:rsidR="006A14C6">
        <w:t xml:space="preserve">. </w:t>
      </w:r>
      <w:r>
        <w:t xml:space="preserve"> </w:t>
      </w:r>
    </w:p>
    <w:p w14:paraId="3AABB613" w14:textId="42DFA373" w:rsidR="008C2321" w:rsidRDefault="008C2321" w:rsidP="008C2321">
      <w:r>
        <w:t xml:space="preserve">Furthermore, subject to further consideration, a cap on wireless broadband device deployments in </w:t>
      </w:r>
      <w:r w:rsidR="00AD170F">
        <w:t xml:space="preserve">NBN </w:t>
      </w:r>
      <w:r>
        <w:t xml:space="preserve">gateway footprint areas may provide an additional safeguard against a dramatic underestimation in assumed device densities. </w:t>
      </w:r>
    </w:p>
    <w:p w14:paraId="6C5B6024" w14:textId="27A7E95B" w:rsidR="00A370A8" w:rsidRDefault="008C2321" w:rsidP="00A370A8">
      <w:pPr>
        <w:spacing w:after="0" w:line="240" w:lineRule="auto"/>
      </w:pPr>
      <w:r>
        <w:t>These preliminary views on technical coexistence conditions regarding outdoor base stations and fixed UEs, and the possibility of a cap on wireless broadband deployment number</w:t>
      </w:r>
      <w:r w:rsidR="00662D1F">
        <w:t>s</w:t>
      </w:r>
      <w:r>
        <w:t>, will be further explored as part the subsequent development of planning and licensing frameworks</w:t>
      </w:r>
      <w:r w:rsidR="001E28EC">
        <w:t>—</w:t>
      </w:r>
      <w:r>
        <w:t>such as Technical Liaison Groups (TLGs) in the case of spectrum licences.</w:t>
      </w:r>
    </w:p>
    <w:p w14:paraId="7F82716F" w14:textId="470ABE31" w:rsidR="00AA3E76" w:rsidRPr="00483A5A" w:rsidRDefault="00B621F2" w:rsidP="00483A5A">
      <w:pPr>
        <w:pStyle w:val="Heading1"/>
      </w:pPr>
      <w:bookmarkStart w:id="100" w:name="_Toc4664126"/>
      <w:r w:rsidRPr="00483A5A">
        <w:lastRenderedPageBreak/>
        <w:t xml:space="preserve">Annex </w:t>
      </w:r>
      <w:r w:rsidR="00D53FA7" w:rsidRPr="00483A5A">
        <w:t>D</w:t>
      </w:r>
      <w:r w:rsidRPr="00483A5A">
        <w:t>—</w:t>
      </w:r>
      <w:r w:rsidR="008B2734" w:rsidRPr="00483A5A">
        <w:t xml:space="preserve">Description of </w:t>
      </w:r>
      <w:bookmarkEnd w:id="96"/>
      <w:bookmarkEnd w:id="97"/>
      <w:bookmarkEnd w:id="98"/>
      <w:bookmarkEnd w:id="99"/>
      <w:r w:rsidR="00AA3E76" w:rsidRPr="00483A5A">
        <w:t>defined areas</w:t>
      </w:r>
      <w:bookmarkEnd w:id="100"/>
    </w:p>
    <w:p w14:paraId="2DF89694" w14:textId="097D9956" w:rsidR="003515B4" w:rsidRDefault="003515B4" w:rsidP="0006428C">
      <w:r>
        <w:t xml:space="preserve">The ACMA </w:t>
      </w:r>
      <w:r w:rsidR="00143DB4">
        <w:t xml:space="preserve">has </w:t>
      </w:r>
      <w:r w:rsidR="0057066B">
        <w:t xml:space="preserve">formed </w:t>
      </w:r>
      <w:r w:rsidR="00143DB4">
        <w:t xml:space="preserve">the preliminary view </w:t>
      </w:r>
      <w:r w:rsidR="00CD4C4E">
        <w:t xml:space="preserve">that the geographical areas in Table </w:t>
      </w:r>
      <w:r w:rsidR="007C745F">
        <w:t>4</w:t>
      </w:r>
      <w:r w:rsidR="00CD4C4E">
        <w:t xml:space="preserve"> and displayed in Figure </w:t>
      </w:r>
      <w:r w:rsidR="007C745F">
        <w:t>3</w:t>
      </w:r>
      <w:r w:rsidR="00CD4C4E">
        <w:t xml:space="preserve"> </w:t>
      </w:r>
      <w:r w:rsidR="00143DB4">
        <w:t>should be</w:t>
      </w:r>
      <w:r>
        <w:t xml:space="preserve"> subject to spectrum licensing in the range 25.1</w:t>
      </w:r>
      <w:r w:rsidR="001E28EC">
        <w:t>–</w:t>
      </w:r>
      <w:r>
        <w:t>27.5 GHz. These areas consist of</w:t>
      </w:r>
      <w:r w:rsidR="00CD4C4E">
        <w:t xml:space="preserve"> </w:t>
      </w:r>
      <w:r w:rsidR="001424B3">
        <w:t>towns/cities</w:t>
      </w:r>
      <w:r w:rsidR="00CD4C4E">
        <w:t xml:space="preserve"> with populations greater than 50,000, as well as </w:t>
      </w:r>
      <w:r w:rsidR="00393F33">
        <w:t>smaller</w:t>
      </w:r>
      <w:r>
        <w:t xml:space="preserve"> </w:t>
      </w:r>
      <w:r w:rsidR="001424B3">
        <w:t>towns/cities</w:t>
      </w:r>
      <w:r w:rsidR="00393F33">
        <w:t xml:space="preserve"> which are either holiday </w:t>
      </w:r>
      <w:r w:rsidR="001424B3">
        <w:t>locations</w:t>
      </w:r>
      <w:r w:rsidR="00393F33">
        <w:t xml:space="preserve"> or have university campuses. These areas align with those suggested in submissions to the </w:t>
      </w:r>
      <w:r w:rsidR="00C240F0">
        <w:t>o</w:t>
      </w:r>
      <w:r w:rsidR="00393F33">
        <w:t>ptions paper.</w:t>
      </w:r>
    </w:p>
    <w:p w14:paraId="350CAD74" w14:textId="2925F613" w:rsidR="00B621F2" w:rsidRPr="007E5E85" w:rsidRDefault="007E5E85" w:rsidP="0006428C">
      <w:pPr>
        <w:rPr>
          <w:szCs w:val="20"/>
        </w:rPr>
      </w:pPr>
      <w:r w:rsidRPr="007E5E85">
        <w:t>T</w:t>
      </w:r>
      <w:r w:rsidR="00B621F2" w:rsidRPr="007E5E85">
        <w:t>he Australian Spectrum Map Grid (ASMG) is used to define geographical areas over which spectrum licences are issued. The Hierarchical Cell Identification Scheme (HCIS) is a naming convention developed by the ACMA that applies unique ‘names’ to each of the cells that make up the ASMG. The ASMG and HCIS are described in detail in the document</w:t>
      </w:r>
      <w:r w:rsidR="00D15AEA" w:rsidRPr="007E5E85">
        <w:t>,</w:t>
      </w:r>
      <w:r w:rsidR="00B621F2" w:rsidRPr="007E5E85">
        <w:t xml:space="preserve"> </w:t>
      </w:r>
      <w:hyperlink r:id="rId39" w:history="1">
        <w:r w:rsidR="00B621F2" w:rsidRPr="007E5E85">
          <w:rPr>
            <w:rStyle w:val="Hyperlink"/>
            <w:i/>
          </w:rPr>
          <w:t>The Australian spectrum map grid 2012</w:t>
        </w:r>
      </w:hyperlink>
      <w:r w:rsidR="00B621F2" w:rsidRPr="007E5E85">
        <w:t>.</w:t>
      </w:r>
    </w:p>
    <w:p w14:paraId="42671DF9" w14:textId="0330F1E0" w:rsidR="00B621F2" w:rsidRDefault="00B621F2" w:rsidP="0006428C">
      <w:r w:rsidRPr="007E5E85">
        <w:t xml:space="preserve">The HCIS coordinates in Table </w:t>
      </w:r>
      <w:r w:rsidR="007D32A9">
        <w:t>4</w:t>
      </w:r>
      <w:r w:rsidRPr="007E5E85">
        <w:t xml:space="preserve"> can be converted into a Placemark file (viewable in Google Earth) through a facility on the </w:t>
      </w:r>
      <w:hyperlink r:id="rId40" w:history="1">
        <w:r w:rsidRPr="001E28EC">
          <w:rPr>
            <w:rStyle w:val="Hyperlink"/>
          </w:rPr>
          <w:t>ACMA website</w:t>
        </w:r>
      </w:hyperlink>
      <w:r w:rsidR="001E28EC">
        <w:t>.</w:t>
      </w:r>
      <w:r w:rsidR="001E28EC" w:rsidRPr="007E5E85">
        <w:t xml:space="preserve"> </w:t>
      </w:r>
    </w:p>
    <w:p w14:paraId="08F5A357" w14:textId="07BBD0CE" w:rsidR="00B621F2" w:rsidRPr="00DA6020" w:rsidRDefault="007E5E85" w:rsidP="00DA511D">
      <w:pPr>
        <w:pStyle w:val="ACMAFigureHeader"/>
        <w:spacing w:before="120" w:after="120"/>
        <w:rPr>
          <w:rFonts w:cs="Arial"/>
        </w:rPr>
      </w:pPr>
      <w:r>
        <w:t>Defined</w:t>
      </w:r>
      <w:r w:rsidR="00B621F2" w:rsidRPr="00DA6020">
        <w:t xml:space="preserve"> geographical area</w:t>
      </w:r>
      <w:r w:rsidR="00886F3C" w:rsidRPr="00DA6020">
        <w:t xml:space="preserve">s </w:t>
      </w:r>
      <w:r>
        <w:t>the ACMA believes should be subject to spectrum licensing in the range 25.1</w:t>
      </w:r>
      <w:r w:rsidR="001E28EC">
        <w:t>–</w:t>
      </w:r>
      <w:r>
        <w:t>27.5 GHz</w:t>
      </w:r>
    </w:p>
    <w:p w14:paraId="5287F7D4" w14:textId="51D22F3C" w:rsidR="001D018B" w:rsidRDefault="00492CD3" w:rsidP="00DA511D">
      <w:pPr>
        <w:spacing w:before="120" w:after="120" w:line="240" w:lineRule="auto"/>
      </w:pPr>
      <w:r w:rsidRPr="00492CD3">
        <w:rPr>
          <w:noProof/>
        </w:rPr>
        <w:t xml:space="preserve"> </w:t>
      </w:r>
      <w:r>
        <w:rPr>
          <w:noProof/>
        </w:rPr>
        <w:drawing>
          <wp:inline distT="0" distB="0" distL="0" distR="0" wp14:anchorId="12FCF094" wp14:editId="03753408">
            <wp:extent cx="4871085" cy="4462145"/>
            <wp:effectExtent l="0" t="0" r="5715" b="0"/>
            <wp:docPr id="12" name="Picture 12" descr="Defined geographical areas the ACMA believes should be subject to spectrum licensing in the range 25.1–27.5 GH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871085" cy="4462145"/>
                    </a:xfrm>
                    <a:prstGeom prst="rect">
                      <a:avLst/>
                    </a:prstGeom>
                  </pic:spPr>
                </pic:pic>
              </a:graphicData>
            </a:graphic>
          </wp:inline>
        </w:drawing>
      </w:r>
    </w:p>
    <w:p w14:paraId="33CD16A4" w14:textId="5DEA57B6" w:rsidR="007E5E85" w:rsidRDefault="007E5E85" w:rsidP="00DA511D">
      <w:pPr>
        <w:spacing w:before="120" w:after="120" w:line="240" w:lineRule="auto"/>
      </w:pPr>
    </w:p>
    <w:p w14:paraId="0233BB8F" w14:textId="15AF19A5" w:rsidR="007E5E85" w:rsidRDefault="007E5E85" w:rsidP="00DA511D">
      <w:pPr>
        <w:spacing w:before="120" w:after="120" w:line="240" w:lineRule="auto"/>
      </w:pPr>
    </w:p>
    <w:p w14:paraId="0511174C" w14:textId="6F6B8E78" w:rsidR="00B621F2" w:rsidRPr="00AA7C5C" w:rsidRDefault="00B621F2" w:rsidP="00DA511D">
      <w:pPr>
        <w:pStyle w:val="ACMATableHeader"/>
        <w:spacing w:before="120" w:after="120"/>
      </w:pPr>
      <w:r w:rsidRPr="00D15AEA">
        <w:lastRenderedPageBreak/>
        <w:t>HCIS</w:t>
      </w:r>
      <w:r>
        <w:t xml:space="preserve"> description of </w:t>
      </w:r>
      <w:r w:rsidR="007E5E85">
        <w:t xml:space="preserve">defined </w:t>
      </w:r>
      <w:r>
        <w:t>areas</w:t>
      </w:r>
      <w:r w:rsidR="008D3DA6">
        <w:t xml:space="preserve"> </w:t>
      </w:r>
    </w:p>
    <w:tbl>
      <w:tblPr>
        <w:tblStyle w:val="TableGrid"/>
        <w:tblW w:w="8674" w:type="dxa"/>
        <w:tblLayout w:type="fixed"/>
        <w:tblLook w:val="04A0" w:firstRow="1" w:lastRow="0" w:firstColumn="1" w:lastColumn="0" w:noHBand="0" w:noVBand="1"/>
        <w:tblCaption w:val="Table 12 "/>
        <w:tblDescription w:val="Table containing a descirption of the proposed areas for re-farming "/>
      </w:tblPr>
      <w:tblGrid>
        <w:gridCol w:w="1587"/>
        <w:gridCol w:w="7087"/>
      </w:tblGrid>
      <w:tr w:rsidR="00BB2A3C" w14:paraId="373B2FBA" w14:textId="77777777" w:rsidTr="00F07362">
        <w:trPr>
          <w:cantSplit/>
          <w:tblHeader/>
        </w:trPr>
        <w:tc>
          <w:tcPr>
            <w:tcW w:w="1587" w:type="dxa"/>
            <w:shd w:val="clear" w:color="auto" w:fill="404040" w:themeFill="text1" w:themeFillTint="BF"/>
            <w:vAlign w:val="center"/>
          </w:tcPr>
          <w:p w14:paraId="466455E4" w14:textId="0C458A4F" w:rsidR="00BB2A3C" w:rsidRPr="00C63393" w:rsidRDefault="00BB2A3C" w:rsidP="00DA511D">
            <w:pPr>
              <w:pStyle w:val="TableHeading"/>
              <w:spacing w:before="120" w:after="120" w:line="240" w:lineRule="auto"/>
              <w:rPr>
                <w:color w:val="FFFFFF" w:themeColor="background1"/>
              </w:rPr>
            </w:pPr>
            <w:r>
              <w:rPr>
                <w:color w:val="FFFFFF" w:themeColor="background1"/>
              </w:rPr>
              <w:t>City Name</w:t>
            </w:r>
          </w:p>
        </w:tc>
        <w:tc>
          <w:tcPr>
            <w:tcW w:w="7087" w:type="dxa"/>
            <w:shd w:val="clear" w:color="auto" w:fill="404040" w:themeFill="text1" w:themeFillTint="BF"/>
            <w:vAlign w:val="center"/>
          </w:tcPr>
          <w:p w14:paraId="123FDE2D" w14:textId="77777777" w:rsidR="00BB2A3C" w:rsidRPr="00C63393" w:rsidRDefault="00BB2A3C" w:rsidP="00DA511D">
            <w:pPr>
              <w:pStyle w:val="TableHeading"/>
              <w:spacing w:before="120" w:after="120" w:line="240" w:lineRule="auto"/>
              <w:rPr>
                <w:color w:val="FFFFFF" w:themeColor="background1"/>
              </w:rPr>
            </w:pPr>
            <w:r w:rsidRPr="00C63393">
              <w:rPr>
                <w:color w:val="FFFFFF" w:themeColor="background1"/>
              </w:rPr>
              <w:t>HCIS</w:t>
            </w:r>
          </w:p>
        </w:tc>
      </w:tr>
      <w:tr w:rsidR="00BB2A3C" w14:paraId="6067567F" w14:textId="77777777" w:rsidTr="00F07362">
        <w:trPr>
          <w:cantSplit/>
        </w:trPr>
        <w:tc>
          <w:tcPr>
            <w:tcW w:w="1587" w:type="dxa"/>
          </w:tcPr>
          <w:p w14:paraId="37F27B68" w14:textId="0438A756" w:rsidR="00BB2A3C" w:rsidRDefault="00BB2A3C" w:rsidP="00DA511D">
            <w:pPr>
              <w:pStyle w:val="TableBody"/>
              <w:spacing w:before="120" w:after="120"/>
            </w:pPr>
            <w:r>
              <w:t xml:space="preserve">Adelaide </w:t>
            </w:r>
          </w:p>
        </w:tc>
        <w:tc>
          <w:tcPr>
            <w:tcW w:w="7087" w:type="dxa"/>
            <w:vAlign w:val="center"/>
          </w:tcPr>
          <w:p w14:paraId="6C7505AB" w14:textId="04CD24DB" w:rsidR="00BB2A3C" w:rsidRPr="00AA7C5C" w:rsidRDefault="00BB2A3C" w:rsidP="00DA511D">
            <w:pPr>
              <w:pStyle w:val="TableBody"/>
              <w:spacing w:before="120" w:after="120"/>
            </w:pPr>
            <w:r w:rsidRPr="009F6500">
              <w:t>IW3J, IW3K, IW3L, IW3N, IW3O, IW3P, IW6B, IW6C, IW6D, IW6F, IW6G, IW6H, IW3E5, IW3E6, IW3E8, IW3E9, IW3F4, IW3F5, IW3F6, IW3F7, IW3F8, IW3F9, IW3G4, IW3G5, IW3G6, IW3G7, IW3G8, IW3G9, IW3H4, IW3H5, IW3H6, IW3H7, IW3H8, IW3H9, IW3I2, IW3I3, IW3I5, IW3I6, IW3I8, IW3I9, IW3M2, IW3M3, IW3M5, IW3M6, IW3M8, IW3M9, IW6A2, IW6A3, IW6A5, IW6A6, IW6A8, IW6A9, IW6E2, IW6E3, IW6E5, IW6E6, IW6E8, IW6E9, IW6K1, IW6K2, IW6K3, IW6K4, IW6K5, IW6K6, IW6L1, JW1E4, JW1E7, JW1I1, JW1I4, JW1I7, JW1M1, JW1M4</w:t>
            </w:r>
          </w:p>
        </w:tc>
      </w:tr>
      <w:tr w:rsidR="00F07362" w14:paraId="4D9F5A90" w14:textId="77777777" w:rsidTr="00C0742B">
        <w:trPr>
          <w:cantSplit/>
          <w:trHeight w:val="680"/>
        </w:trPr>
        <w:tc>
          <w:tcPr>
            <w:tcW w:w="1587" w:type="dxa"/>
          </w:tcPr>
          <w:p w14:paraId="5B2E990E" w14:textId="4D0B8A33" w:rsidR="00F07362" w:rsidRDefault="00F07362" w:rsidP="00F07362">
            <w:pPr>
              <w:pStyle w:val="TableBody"/>
              <w:spacing w:before="120" w:after="120"/>
            </w:pPr>
            <w:r>
              <w:t>Albany</w:t>
            </w:r>
          </w:p>
        </w:tc>
        <w:tc>
          <w:tcPr>
            <w:tcW w:w="7087" w:type="dxa"/>
          </w:tcPr>
          <w:p w14:paraId="25B28B86" w14:textId="03873E9B" w:rsidR="00F07362" w:rsidRPr="00AA7C5C" w:rsidRDefault="00F07362" w:rsidP="00F07362">
            <w:pPr>
              <w:pStyle w:val="TableBody"/>
              <w:spacing w:before="120" w:after="120"/>
            </w:pPr>
            <w:r w:rsidRPr="001B450D">
              <w:t>BW3P7, BW3P8, BW3P9, BW6D1, BW6D2, BW6D3, BW6D4, BW6D5, BW6D6, CW1M7, CW4A1, CW4A4</w:t>
            </w:r>
          </w:p>
        </w:tc>
      </w:tr>
      <w:tr w:rsidR="00F07362" w14:paraId="02B862EE" w14:textId="77777777" w:rsidTr="00C0742B">
        <w:trPr>
          <w:cantSplit/>
        </w:trPr>
        <w:tc>
          <w:tcPr>
            <w:tcW w:w="1587" w:type="dxa"/>
          </w:tcPr>
          <w:p w14:paraId="4F8114F6" w14:textId="5A2DEF2E" w:rsidR="00F07362" w:rsidRDefault="00F07362" w:rsidP="00F07362">
            <w:pPr>
              <w:pStyle w:val="TableBody"/>
              <w:spacing w:before="120" w:after="120"/>
            </w:pPr>
            <w:r>
              <w:t>Albury</w:t>
            </w:r>
          </w:p>
        </w:tc>
        <w:tc>
          <w:tcPr>
            <w:tcW w:w="7087" w:type="dxa"/>
          </w:tcPr>
          <w:p w14:paraId="260E03E6" w14:textId="69085441" w:rsidR="00F07362" w:rsidRPr="00AA7C5C" w:rsidRDefault="00F07362" w:rsidP="00F07362">
            <w:pPr>
              <w:pStyle w:val="TableBody"/>
              <w:spacing w:before="120" w:after="120"/>
            </w:pPr>
            <w:r w:rsidRPr="00F22BD9">
              <w:t>LW8D, LW5P7, LW5P8, LW5P9, LW6M7, LW9A1, LW9A4, LW9A7</w:t>
            </w:r>
          </w:p>
        </w:tc>
      </w:tr>
      <w:tr w:rsidR="00F07362" w14:paraId="619A1A62" w14:textId="77777777" w:rsidTr="00F07362">
        <w:trPr>
          <w:cantSplit/>
          <w:trHeight w:val="454"/>
        </w:trPr>
        <w:tc>
          <w:tcPr>
            <w:tcW w:w="1587" w:type="dxa"/>
          </w:tcPr>
          <w:p w14:paraId="07F7E32A" w14:textId="31E52F73" w:rsidR="00F07362" w:rsidRDefault="00F07362" w:rsidP="00F07362">
            <w:pPr>
              <w:pStyle w:val="TableBody"/>
              <w:spacing w:before="120" w:after="120"/>
            </w:pPr>
            <w:r>
              <w:t>Armidale</w:t>
            </w:r>
          </w:p>
        </w:tc>
        <w:tc>
          <w:tcPr>
            <w:tcW w:w="7087" w:type="dxa"/>
          </w:tcPr>
          <w:p w14:paraId="4BD265D9" w14:textId="69707770" w:rsidR="00F07362" w:rsidRPr="00AA7C5C" w:rsidRDefault="00F07362" w:rsidP="00F07362">
            <w:pPr>
              <w:pStyle w:val="TableBody"/>
              <w:spacing w:before="120" w:after="120"/>
            </w:pPr>
            <w:r w:rsidRPr="009B6ED5">
              <w:t>NU7G8, NU7G9, NU7K2, NU7K3</w:t>
            </w:r>
          </w:p>
        </w:tc>
      </w:tr>
      <w:tr w:rsidR="00F07362" w14:paraId="6AC19BE2" w14:textId="77777777" w:rsidTr="00C0742B">
        <w:trPr>
          <w:cantSplit/>
        </w:trPr>
        <w:tc>
          <w:tcPr>
            <w:tcW w:w="1587" w:type="dxa"/>
          </w:tcPr>
          <w:p w14:paraId="5C05FD49" w14:textId="1AA304CB" w:rsidR="00F07362" w:rsidRDefault="00F07362" w:rsidP="00F07362">
            <w:pPr>
              <w:pStyle w:val="TableBody"/>
              <w:spacing w:before="120" w:after="120"/>
            </w:pPr>
            <w:r>
              <w:t>Ballarat</w:t>
            </w:r>
          </w:p>
        </w:tc>
        <w:tc>
          <w:tcPr>
            <w:tcW w:w="7087" w:type="dxa"/>
          </w:tcPr>
          <w:p w14:paraId="6CD2B6F4" w14:textId="42E63190" w:rsidR="00F07362" w:rsidRPr="00866481" w:rsidRDefault="00F07362" w:rsidP="00F07362">
            <w:pPr>
              <w:pStyle w:val="TableBody"/>
              <w:spacing w:before="120" w:after="120"/>
            </w:pPr>
            <w:r w:rsidRPr="009B6ED5">
              <w:t>KX2L, KX2G9, KX2H7, KX2H8, KX2H9, KX2K3, KX2K6, KX2K9</w:t>
            </w:r>
          </w:p>
        </w:tc>
      </w:tr>
      <w:tr w:rsidR="00F07362" w14:paraId="3670BD18" w14:textId="77777777" w:rsidTr="00C0742B">
        <w:trPr>
          <w:cantSplit/>
        </w:trPr>
        <w:tc>
          <w:tcPr>
            <w:tcW w:w="1587" w:type="dxa"/>
          </w:tcPr>
          <w:p w14:paraId="559365DF" w14:textId="6D45A3DA" w:rsidR="00F07362" w:rsidRDefault="00F07362" w:rsidP="00F07362">
            <w:pPr>
              <w:pStyle w:val="TableBody"/>
              <w:spacing w:before="120" w:after="120"/>
            </w:pPr>
            <w:r>
              <w:t>Bathurst</w:t>
            </w:r>
          </w:p>
        </w:tc>
        <w:tc>
          <w:tcPr>
            <w:tcW w:w="7087" w:type="dxa"/>
          </w:tcPr>
          <w:p w14:paraId="12B7F64E" w14:textId="54007A60" w:rsidR="00F07362" w:rsidRPr="00AA7C5C" w:rsidRDefault="00F07362" w:rsidP="00F07362">
            <w:pPr>
              <w:pStyle w:val="TableBody"/>
              <w:spacing w:before="120" w:after="120"/>
            </w:pPr>
            <w:r w:rsidRPr="009B6ED5">
              <w:t>MV8G, MV8F3, MV8F6, MV8F9, MV8J3, MV8K1, MV8K2, MV8K3</w:t>
            </w:r>
          </w:p>
        </w:tc>
      </w:tr>
      <w:tr w:rsidR="00F07362" w14:paraId="70C83943" w14:textId="77777777" w:rsidTr="00F07362">
        <w:trPr>
          <w:cantSplit/>
        </w:trPr>
        <w:tc>
          <w:tcPr>
            <w:tcW w:w="1587" w:type="dxa"/>
          </w:tcPr>
          <w:p w14:paraId="5A4F3A13" w14:textId="13783748" w:rsidR="00F07362" w:rsidRDefault="00F07362" w:rsidP="00F07362">
            <w:pPr>
              <w:pStyle w:val="TableBody"/>
              <w:spacing w:before="120" w:after="120"/>
            </w:pPr>
            <w:r>
              <w:t>Bendigo</w:t>
            </w:r>
          </w:p>
        </w:tc>
        <w:tc>
          <w:tcPr>
            <w:tcW w:w="7087" w:type="dxa"/>
          </w:tcPr>
          <w:p w14:paraId="2C73C7E4" w14:textId="53BE6AE5" w:rsidR="00F07362" w:rsidRPr="00AA7C5C" w:rsidRDefault="00F07362" w:rsidP="00F07362">
            <w:pPr>
              <w:pStyle w:val="TableBody"/>
              <w:spacing w:before="120" w:after="120"/>
            </w:pPr>
            <w:r w:rsidRPr="009B6ED5">
              <w:t>KW9I5, KW9I6, KW9I8, KW9I9, KW9J4, KW9J5, KW9J6, KW9J7, KW9J8, KW9J9, KW9M2, KW9M3, KW9M5, KW9M6, KW9N1, KW9N2, KW9N3, KW9N4, KW9N5, KW9N6</w:t>
            </w:r>
          </w:p>
        </w:tc>
      </w:tr>
      <w:tr w:rsidR="00F07362" w14:paraId="4F3604DD" w14:textId="77777777" w:rsidTr="00F07362">
        <w:trPr>
          <w:cantSplit/>
        </w:trPr>
        <w:tc>
          <w:tcPr>
            <w:tcW w:w="1587" w:type="dxa"/>
          </w:tcPr>
          <w:p w14:paraId="4143ABE7" w14:textId="651F6B8B" w:rsidR="00F07362" w:rsidRDefault="00F07362" w:rsidP="00F07362">
            <w:pPr>
              <w:pStyle w:val="TableBody"/>
              <w:spacing w:before="120" w:after="120"/>
            </w:pPr>
            <w:r>
              <w:t>Brisbane</w:t>
            </w:r>
          </w:p>
        </w:tc>
        <w:tc>
          <w:tcPr>
            <w:tcW w:w="7087" w:type="dxa"/>
          </w:tcPr>
          <w:p w14:paraId="5C26952F" w14:textId="17D82990" w:rsidR="00F07362" w:rsidRPr="00AA7C5C" w:rsidRDefault="00371147" w:rsidP="00F07362">
            <w:pPr>
              <w:pStyle w:val="TableBody"/>
              <w:spacing w:before="120" w:after="120"/>
            </w:pPr>
            <w:r w:rsidRPr="00371147">
              <w:t>NT9, NT8C, NT8D, NT8G, NT8H, NT8K, NT8L, NT8O, NT8P, NU3A, NU3B, NU3C, NU3D, NU3F, NU3G, NU3H, NU3K, NU3L, NU3O, NU3P, NT5O4, NT5O5, NT5O6, NT5O7, NT5O8, NT5O9, NT5P4, NT5P5, NT5P6, NT5P7, NT5P8, NT5P9, NT6M4, NT6M5, NT6M6, NT6M7, NT6M8, NT6M9, NT6N4, NT6N5, NT6N6, NT6N7, NT6N8, NT6N9, NT6O4, NT6O5, NT6O6, NT6O7, NT6O8, NT6O9, NT6P4, NT6P5, NT6P6, NT6P7, NT6P8, NT6P9, NU2C1, NU2C2, NU2C3, NU2D1, NU2D2, NU2D3, NU2D5, NU2D6, NU2D8, NU2D9, NU2H2, NU2H3, NU3E1, NU3E2, NU3E3, NU3E5, NU3E6, NU3E8, NU3E9, NU3I2, NU3I3, NU3J1, NU3J2, NU3J3</w:t>
            </w:r>
            <w:r w:rsidR="00C83642">
              <w:t>, NU3N3, NU3N6</w:t>
            </w:r>
          </w:p>
        </w:tc>
      </w:tr>
      <w:tr w:rsidR="00F07362" w14:paraId="4D448192" w14:textId="77777777" w:rsidTr="00F07362">
        <w:trPr>
          <w:cantSplit/>
        </w:trPr>
        <w:tc>
          <w:tcPr>
            <w:tcW w:w="1587" w:type="dxa"/>
          </w:tcPr>
          <w:p w14:paraId="5D592921" w14:textId="7320534F" w:rsidR="00F07362" w:rsidRDefault="00F07362" w:rsidP="00F07362">
            <w:pPr>
              <w:pStyle w:val="TableBody"/>
              <w:spacing w:before="120" w:after="120"/>
            </w:pPr>
            <w:r>
              <w:t>Bunbury</w:t>
            </w:r>
          </w:p>
        </w:tc>
        <w:tc>
          <w:tcPr>
            <w:tcW w:w="7087" w:type="dxa"/>
          </w:tcPr>
          <w:p w14:paraId="408BC655" w14:textId="3AE3FDD4" w:rsidR="00F07362" w:rsidRPr="00AA7C5C" w:rsidRDefault="00F07362" w:rsidP="00F07362">
            <w:pPr>
              <w:pStyle w:val="TableBody"/>
              <w:spacing w:before="120" w:after="120"/>
            </w:pPr>
            <w:r w:rsidRPr="00257D26">
              <w:t>BV7G, BV7C4, BV7C5, BV7C6, BV7C7, BV7C8, BV7C9, BV7D4, BV7D5, BV7D7, BV7D8, BV7H1, BV7H2, BV7H4, BV7H5, BV7H7, BV7H8, BV7K1, BV7K2, BV7K3, BV7L1, BV7L2</w:t>
            </w:r>
          </w:p>
        </w:tc>
      </w:tr>
      <w:tr w:rsidR="00F07362" w14:paraId="63475B6B" w14:textId="77777777" w:rsidTr="00F07362">
        <w:trPr>
          <w:cantSplit/>
          <w:trHeight w:val="680"/>
        </w:trPr>
        <w:tc>
          <w:tcPr>
            <w:tcW w:w="1587" w:type="dxa"/>
          </w:tcPr>
          <w:p w14:paraId="1C5739F0" w14:textId="6A4E7D7D" w:rsidR="00F07362" w:rsidRDefault="00F07362" w:rsidP="00F07362">
            <w:pPr>
              <w:pStyle w:val="TableBody"/>
              <w:spacing w:before="120" w:after="120"/>
            </w:pPr>
            <w:r>
              <w:t>Bundaberg</w:t>
            </w:r>
          </w:p>
        </w:tc>
        <w:tc>
          <w:tcPr>
            <w:tcW w:w="7087" w:type="dxa"/>
          </w:tcPr>
          <w:p w14:paraId="59566AAD" w14:textId="6DDEB7CA" w:rsidR="00F07362" w:rsidRPr="00AA7C5C" w:rsidRDefault="00F07362" w:rsidP="00F07362">
            <w:pPr>
              <w:pStyle w:val="TableBody"/>
              <w:spacing w:before="120" w:after="120"/>
            </w:pPr>
            <w:r w:rsidRPr="00A9004E">
              <w:t>NS8N, NS8M2, NS8M3, NS8M5, NS8M6, NS8M8, NS8M9, NT2A2, NT2A3, NT2B1, NT2B2, NT2B3</w:t>
            </w:r>
          </w:p>
        </w:tc>
      </w:tr>
      <w:tr w:rsidR="00F07362" w14:paraId="42D7C8A2" w14:textId="77777777" w:rsidTr="00F07362">
        <w:trPr>
          <w:cantSplit/>
          <w:trHeight w:val="907"/>
        </w:trPr>
        <w:tc>
          <w:tcPr>
            <w:tcW w:w="1587" w:type="dxa"/>
          </w:tcPr>
          <w:p w14:paraId="4589F7BA" w14:textId="1CBF3286" w:rsidR="00F07362" w:rsidRDefault="00F07362" w:rsidP="00F07362">
            <w:pPr>
              <w:pStyle w:val="TableBody"/>
              <w:spacing w:before="120" w:after="120"/>
            </w:pPr>
            <w:r>
              <w:t>Cairns</w:t>
            </w:r>
          </w:p>
        </w:tc>
        <w:tc>
          <w:tcPr>
            <w:tcW w:w="7087" w:type="dxa"/>
          </w:tcPr>
          <w:p w14:paraId="58F179BA" w14:textId="404FC2CE" w:rsidR="00F07362" w:rsidRPr="00AA7C5C" w:rsidRDefault="00F07362" w:rsidP="00F07362">
            <w:pPr>
              <w:pStyle w:val="TableBody"/>
              <w:spacing w:before="120" w:after="120"/>
            </w:pPr>
            <w:r w:rsidRPr="004E3AC5">
              <w:t>LQ1O, LQ1P, LQ1K7, LQ1K8, LQ1K9, LQ1L7, LQ1L8, LQ1L9, LQ4C1, LQ4C2, LQ4C3, LQ4C4, LQ4C5, LQ4C6, LQ4D1, LQ4D2, LQ4D3, LQ4D4, LQ4D5, LQ4D6</w:t>
            </w:r>
          </w:p>
        </w:tc>
      </w:tr>
      <w:tr w:rsidR="00F07362" w14:paraId="631F4483" w14:textId="77777777" w:rsidTr="00F07362">
        <w:trPr>
          <w:cantSplit/>
          <w:trHeight w:val="907"/>
        </w:trPr>
        <w:tc>
          <w:tcPr>
            <w:tcW w:w="1587" w:type="dxa"/>
          </w:tcPr>
          <w:p w14:paraId="7E8BC80B" w14:textId="16B062D5" w:rsidR="00F07362" w:rsidRDefault="00F07362" w:rsidP="00F07362">
            <w:pPr>
              <w:pStyle w:val="TableBody"/>
              <w:spacing w:before="120" w:after="120"/>
            </w:pPr>
            <w:r>
              <w:t>Canberra</w:t>
            </w:r>
          </w:p>
        </w:tc>
        <w:tc>
          <w:tcPr>
            <w:tcW w:w="7087" w:type="dxa"/>
          </w:tcPr>
          <w:p w14:paraId="538652B1" w14:textId="2A65381E" w:rsidR="00F07362" w:rsidRPr="00AA7C5C" w:rsidRDefault="00F07362" w:rsidP="00F07362">
            <w:pPr>
              <w:pStyle w:val="TableBody"/>
              <w:spacing w:before="120" w:after="120"/>
            </w:pPr>
            <w:r w:rsidRPr="004E3AC5">
              <w:t>MW5E, MW4D6, MW4D9, MW4H3, MW4H9, MW4L3, MW5A4, MW5A5, MW5A6, MW5A7, MW5A8, MW5A9, MW5B4, MW5B7, MW5F1, MW5F4, MW5F7, MW5I1, MW5I2, MW5I3, MW5J1</w:t>
            </w:r>
          </w:p>
        </w:tc>
      </w:tr>
      <w:tr w:rsidR="00F07362" w14:paraId="799929E6" w14:textId="77777777" w:rsidTr="00F07362">
        <w:trPr>
          <w:cantSplit/>
          <w:trHeight w:val="454"/>
        </w:trPr>
        <w:tc>
          <w:tcPr>
            <w:tcW w:w="1587" w:type="dxa"/>
          </w:tcPr>
          <w:p w14:paraId="6282D391" w14:textId="422835C1" w:rsidR="00F07362" w:rsidRDefault="00F07362" w:rsidP="00F07362">
            <w:pPr>
              <w:pStyle w:val="TableBody"/>
              <w:spacing w:before="120" w:after="120"/>
            </w:pPr>
            <w:r>
              <w:t>Coffs Harbour</w:t>
            </w:r>
          </w:p>
        </w:tc>
        <w:tc>
          <w:tcPr>
            <w:tcW w:w="7087" w:type="dxa"/>
          </w:tcPr>
          <w:p w14:paraId="4FFB5FDB" w14:textId="1BA2F319" w:rsidR="00F07362" w:rsidRPr="004E3AC5" w:rsidRDefault="00F07362" w:rsidP="00F07362">
            <w:pPr>
              <w:pStyle w:val="TableBody"/>
              <w:spacing w:before="120" w:after="120"/>
            </w:pPr>
            <w:r w:rsidRPr="004E3AC5">
              <w:t>NU9A, NU9E, NU8D9, NU8H3, NU8H6, NU8H9</w:t>
            </w:r>
          </w:p>
        </w:tc>
      </w:tr>
      <w:tr w:rsidR="00F07362" w14:paraId="6C33C373" w14:textId="77777777" w:rsidTr="00F07362">
        <w:trPr>
          <w:cantSplit/>
          <w:trHeight w:val="454"/>
        </w:trPr>
        <w:tc>
          <w:tcPr>
            <w:tcW w:w="1587" w:type="dxa"/>
          </w:tcPr>
          <w:p w14:paraId="229FC72B" w14:textId="5554D295" w:rsidR="00F07362" w:rsidRDefault="00F07362" w:rsidP="00F07362">
            <w:pPr>
              <w:pStyle w:val="TableBody"/>
              <w:spacing w:before="120" w:after="120"/>
            </w:pPr>
            <w:r>
              <w:t>Darwin</w:t>
            </w:r>
          </w:p>
        </w:tc>
        <w:tc>
          <w:tcPr>
            <w:tcW w:w="7087" w:type="dxa"/>
          </w:tcPr>
          <w:p w14:paraId="66A8939C" w14:textId="321F896D" w:rsidR="00F07362" w:rsidRPr="004E3AC5" w:rsidRDefault="00F07362" w:rsidP="00F07362">
            <w:pPr>
              <w:pStyle w:val="TableBody"/>
              <w:spacing w:before="120" w:after="120"/>
            </w:pPr>
            <w:r w:rsidRPr="004E3AC5">
              <w:t>GO7C, GO7D, GO7G, GO7H, GO7K, GO7L, GO8A, GO8E, GO8I</w:t>
            </w:r>
          </w:p>
        </w:tc>
      </w:tr>
      <w:tr w:rsidR="00F07362" w14:paraId="2B566422" w14:textId="77777777" w:rsidTr="00F07362">
        <w:trPr>
          <w:cantSplit/>
          <w:trHeight w:val="680"/>
        </w:trPr>
        <w:tc>
          <w:tcPr>
            <w:tcW w:w="1587" w:type="dxa"/>
          </w:tcPr>
          <w:p w14:paraId="78F51BE9" w14:textId="514CA176" w:rsidR="00F07362" w:rsidRDefault="00F07362" w:rsidP="00F07362">
            <w:pPr>
              <w:pStyle w:val="TableBody"/>
              <w:spacing w:before="120" w:after="120"/>
            </w:pPr>
            <w:r>
              <w:lastRenderedPageBreak/>
              <w:t>H</w:t>
            </w:r>
            <w:r w:rsidR="008609E1">
              <w:t>e</w:t>
            </w:r>
            <w:r>
              <w:t>rvey Bay</w:t>
            </w:r>
          </w:p>
        </w:tc>
        <w:tc>
          <w:tcPr>
            <w:tcW w:w="7087" w:type="dxa"/>
          </w:tcPr>
          <w:p w14:paraId="6E3CBE1E" w14:textId="4D87D2AC" w:rsidR="00F07362" w:rsidRPr="00D34150" w:rsidRDefault="00F07362" w:rsidP="00F07362">
            <w:pPr>
              <w:pStyle w:val="TableBody"/>
              <w:spacing w:before="120" w:after="120"/>
            </w:pPr>
            <w:r w:rsidRPr="00D34150">
              <w:t>NT2C8, NT2C9, NT2D7, NT2D8, NT2D9, NT2G2, NT2G3, NT2G5, NT2G6, NT2H1, NT2H2, NT2H3, NT2H4, NT2H5, NT2H6</w:t>
            </w:r>
          </w:p>
        </w:tc>
      </w:tr>
      <w:tr w:rsidR="00F07362" w14:paraId="2EBE1E9D" w14:textId="77777777" w:rsidTr="00F07362">
        <w:trPr>
          <w:cantSplit/>
          <w:trHeight w:val="680"/>
        </w:trPr>
        <w:tc>
          <w:tcPr>
            <w:tcW w:w="1587" w:type="dxa"/>
          </w:tcPr>
          <w:p w14:paraId="7664B5C7" w14:textId="6EA9DD6F" w:rsidR="00F07362" w:rsidRDefault="00F07362" w:rsidP="00F07362">
            <w:pPr>
              <w:pStyle w:val="TableBody"/>
              <w:spacing w:before="120" w:after="120"/>
            </w:pPr>
            <w:r>
              <w:t>Hobart</w:t>
            </w:r>
          </w:p>
        </w:tc>
        <w:tc>
          <w:tcPr>
            <w:tcW w:w="7087" w:type="dxa"/>
          </w:tcPr>
          <w:p w14:paraId="109E94C6" w14:textId="05A0DA12" w:rsidR="00F07362" w:rsidRPr="00D34150" w:rsidRDefault="00F07362" w:rsidP="00F07362">
            <w:pPr>
              <w:pStyle w:val="TableBody"/>
              <w:spacing w:before="120" w:after="120"/>
            </w:pPr>
            <w:r w:rsidRPr="00D34150">
              <w:t>LY9N, LY9I8, LY9I9, LY9J7, LY9J8, LY9J9, LY9K7, LY9K8, LY9M2, LY9M3, LY9M5, LY9M6, LY9M8, LY9M9, LY9O1, LY9O2, LY9O4, LY9O5, LY9O7, LY9O8, LZ3A2, LZ3A3, LZ3B1, LZ3B2, LZ3B3, LZ3C1, LZ3C2</w:t>
            </w:r>
          </w:p>
        </w:tc>
      </w:tr>
      <w:tr w:rsidR="00F07362" w14:paraId="24826247" w14:textId="77777777" w:rsidTr="00F07362">
        <w:trPr>
          <w:cantSplit/>
          <w:trHeight w:val="624"/>
        </w:trPr>
        <w:tc>
          <w:tcPr>
            <w:tcW w:w="1587" w:type="dxa"/>
          </w:tcPr>
          <w:p w14:paraId="07311FA8" w14:textId="06DAAA00" w:rsidR="00F07362" w:rsidRDefault="00F07362" w:rsidP="00F07362">
            <w:pPr>
              <w:pStyle w:val="TableBody"/>
              <w:spacing w:before="120" w:after="120"/>
            </w:pPr>
            <w:r>
              <w:t>Launceston</w:t>
            </w:r>
          </w:p>
        </w:tc>
        <w:tc>
          <w:tcPr>
            <w:tcW w:w="7087" w:type="dxa"/>
          </w:tcPr>
          <w:p w14:paraId="029836FE" w14:textId="0DB88417" w:rsidR="00F07362" w:rsidRPr="00D34150" w:rsidRDefault="00F07362" w:rsidP="00F07362">
            <w:pPr>
              <w:pStyle w:val="TableBody"/>
              <w:spacing w:before="120" w:after="120"/>
            </w:pPr>
            <w:r w:rsidRPr="00EA48F9">
              <w:t>LY6E, LY5H3, LY5H6, LY5H9, LY5L3, LY5L6, LY6F1, LY6F4, LY6F7, LY6I1, LY6I2, LY6I3, LY6I4, LY6I5, LY6I6, LY6J1, LY6J4</w:t>
            </w:r>
          </w:p>
        </w:tc>
      </w:tr>
      <w:tr w:rsidR="00F07362" w14:paraId="09AF3618" w14:textId="77777777" w:rsidTr="00F07362">
        <w:trPr>
          <w:cantSplit/>
          <w:trHeight w:val="454"/>
        </w:trPr>
        <w:tc>
          <w:tcPr>
            <w:tcW w:w="1587" w:type="dxa"/>
          </w:tcPr>
          <w:p w14:paraId="14DFCE12" w14:textId="7AB021C5" w:rsidR="00F07362" w:rsidRDefault="00F07362" w:rsidP="00F07362">
            <w:pPr>
              <w:pStyle w:val="TableBody"/>
              <w:spacing w:before="120" w:after="120"/>
            </w:pPr>
            <w:r>
              <w:t>Lismore</w:t>
            </w:r>
          </w:p>
        </w:tc>
        <w:tc>
          <w:tcPr>
            <w:tcW w:w="7087" w:type="dxa"/>
          </w:tcPr>
          <w:p w14:paraId="68F13C9D" w14:textId="100AA7D7" w:rsidR="00F07362" w:rsidRPr="00D34150" w:rsidRDefault="00371147" w:rsidP="00F07362">
            <w:pPr>
              <w:pStyle w:val="TableBody"/>
              <w:spacing w:before="120" w:after="120"/>
            </w:pPr>
            <w:r w:rsidRPr="00371147">
              <w:t>NU3M3, NU3M6, NU3N1, NU3N2, NU3N4, NU3N5</w:t>
            </w:r>
          </w:p>
        </w:tc>
      </w:tr>
      <w:tr w:rsidR="00F07362" w14:paraId="22DF2606" w14:textId="77777777" w:rsidTr="00F07362">
        <w:trPr>
          <w:cantSplit/>
          <w:trHeight w:val="397"/>
        </w:trPr>
        <w:tc>
          <w:tcPr>
            <w:tcW w:w="1587" w:type="dxa"/>
          </w:tcPr>
          <w:p w14:paraId="73F2A4EA" w14:textId="453DEE86" w:rsidR="00F07362" w:rsidRDefault="00F07362" w:rsidP="00F07362">
            <w:pPr>
              <w:pStyle w:val="TableBody"/>
              <w:spacing w:before="120" w:after="120"/>
            </w:pPr>
            <w:r>
              <w:t>Mackay</w:t>
            </w:r>
          </w:p>
        </w:tc>
        <w:tc>
          <w:tcPr>
            <w:tcW w:w="7087" w:type="dxa"/>
          </w:tcPr>
          <w:p w14:paraId="3EAD8BF6" w14:textId="73F45A40" w:rsidR="00F07362" w:rsidRPr="00D34150" w:rsidRDefault="00F07362" w:rsidP="00F07362">
            <w:pPr>
              <w:pStyle w:val="TableBody"/>
              <w:spacing w:before="120" w:after="120"/>
            </w:pPr>
            <w:r w:rsidRPr="00EA48F9">
              <w:t>MR8A, MR5M7, MR5M8, MR5M9</w:t>
            </w:r>
          </w:p>
        </w:tc>
      </w:tr>
      <w:tr w:rsidR="00F07362" w14:paraId="488D9C48" w14:textId="77777777" w:rsidTr="00F07362">
        <w:trPr>
          <w:cantSplit/>
          <w:trHeight w:val="624"/>
        </w:trPr>
        <w:tc>
          <w:tcPr>
            <w:tcW w:w="1587" w:type="dxa"/>
          </w:tcPr>
          <w:p w14:paraId="482E06D6" w14:textId="003745B6" w:rsidR="00F07362" w:rsidRDefault="00F07362" w:rsidP="00F07362">
            <w:pPr>
              <w:pStyle w:val="TableBody"/>
              <w:spacing w:before="120" w:after="120"/>
            </w:pPr>
            <w:r>
              <w:t>Margaret River</w:t>
            </w:r>
          </w:p>
        </w:tc>
        <w:tc>
          <w:tcPr>
            <w:tcW w:w="7087" w:type="dxa"/>
          </w:tcPr>
          <w:p w14:paraId="28C92B44" w14:textId="6379FF5A" w:rsidR="00F07362" w:rsidRPr="00D34150" w:rsidRDefault="00F07362" w:rsidP="00F07362">
            <w:pPr>
              <w:pStyle w:val="TableBody"/>
              <w:spacing w:before="120" w:after="120"/>
            </w:pPr>
            <w:r w:rsidRPr="001453C7">
              <w:t>AV9P6, AV9P9, AW3D3, BV7M4, BV7M5, BV7M7, BV7M8, BW1A1, BW1A2</w:t>
            </w:r>
          </w:p>
        </w:tc>
      </w:tr>
      <w:tr w:rsidR="00F07362" w14:paraId="09C9BC40" w14:textId="77777777" w:rsidTr="00F07362">
        <w:trPr>
          <w:cantSplit/>
          <w:trHeight w:val="624"/>
        </w:trPr>
        <w:tc>
          <w:tcPr>
            <w:tcW w:w="1587" w:type="dxa"/>
          </w:tcPr>
          <w:p w14:paraId="6733AF6C" w14:textId="5A460E4A" w:rsidR="00F07362" w:rsidRDefault="00F07362" w:rsidP="00F07362">
            <w:pPr>
              <w:pStyle w:val="TableBody"/>
              <w:spacing w:before="120" w:after="120"/>
            </w:pPr>
            <w:r>
              <w:t>Melbourne</w:t>
            </w:r>
          </w:p>
        </w:tc>
        <w:tc>
          <w:tcPr>
            <w:tcW w:w="7087" w:type="dxa"/>
          </w:tcPr>
          <w:p w14:paraId="44DDBDDE" w14:textId="4C9F1901" w:rsidR="00F07362" w:rsidRPr="00D34150" w:rsidRDefault="00F07362" w:rsidP="00F07362">
            <w:pPr>
              <w:pStyle w:val="TableBody"/>
              <w:spacing w:before="120" w:after="120"/>
            </w:pPr>
            <w:r w:rsidRPr="00B95117">
              <w:t>KX3J, KX3K, KX3L, KX3N, KX3O, KX3P, KX6B, KX6C, KX6D, KX6F, KX6G, KX6H, KX6J, KX6K, KX6L, LX1I, LX1M, LX1N, LX1O, LX4A, LX4B, LX4C, LX4E, LX4I, KX3F7, KX3F8, KX3F9, KX3G7, KX3G8, KX3G9, KX3H4, KX3H5, KX3H6, KX3H7, KX3H8, KX3H9, KX3M6, KX3M8, KX3M9, KX6A2, KX6A3, KX6A5, KX6A6, KX6A8, KX6A9, KX6E2, KX6E3, KX6E5, KX6E6, KX6E8, KX6E9, KX6I2, KX6I3, KX6I5, KX6I6, KX6I8, KX6I9, LX1E4, LX1E7, LX1E8, LX1E9, LX1J1, LX1J4, LX1J5, LX1J6, LX1J7, LX1J8, LX1J9, LX1K4, LX1K7, LX4F1, LX4F2, LX4F4, LX4F5, LX4F7, LX4F8, LX4J1, LX4J2, LX4J4, LX4J5, LX4J7, LX4J8</w:t>
            </w:r>
          </w:p>
        </w:tc>
      </w:tr>
      <w:tr w:rsidR="00F07362" w14:paraId="03B43BC4" w14:textId="77777777" w:rsidTr="00F07362">
        <w:trPr>
          <w:cantSplit/>
          <w:trHeight w:val="680"/>
        </w:trPr>
        <w:tc>
          <w:tcPr>
            <w:tcW w:w="1587" w:type="dxa"/>
          </w:tcPr>
          <w:p w14:paraId="0447CAA1" w14:textId="0E8F1954" w:rsidR="00F07362" w:rsidRDefault="00F07362" w:rsidP="00F07362">
            <w:pPr>
              <w:pStyle w:val="TableBody"/>
              <w:spacing w:before="120" w:after="120"/>
            </w:pPr>
            <w:r>
              <w:t>Mildura</w:t>
            </w:r>
          </w:p>
        </w:tc>
        <w:tc>
          <w:tcPr>
            <w:tcW w:w="7087" w:type="dxa"/>
          </w:tcPr>
          <w:p w14:paraId="51354566" w14:textId="22CB5674" w:rsidR="00F07362" w:rsidRPr="00D34150" w:rsidRDefault="00F07362" w:rsidP="00F07362">
            <w:pPr>
              <w:pStyle w:val="TableBody"/>
              <w:spacing w:before="120" w:after="120"/>
            </w:pPr>
            <w:r w:rsidRPr="00B95117">
              <w:t>KW1A4, KW1A5, KW1A6, KW1A7, KW1A8, KW1A9, KW1E1, KW1E2, KW1E3</w:t>
            </w:r>
          </w:p>
        </w:tc>
      </w:tr>
      <w:tr w:rsidR="00F07362" w14:paraId="05D67469" w14:textId="77777777" w:rsidTr="00F07362">
        <w:trPr>
          <w:cantSplit/>
          <w:trHeight w:val="680"/>
        </w:trPr>
        <w:tc>
          <w:tcPr>
            <w:tcW w:w="1587" w:type="dxa"/>
          </w:tcPr>
          <w:p w14:paraId="11DFE038" w14:textId="09049E08" w:rsidR="00F07362" w:rsidRDefault="00F07362" w:rsidP="00F07362">
            <w:pPr>
              <w:pStyle w:val="TableBody"/>
              <w:spacing w:before="120" w:after="120"/>
            </w:pPr>
            <w:r>
              <w:t>Perth</w:t>
            </w:r>
          </w:p>
        </w:tc>
        <w:tc>
          <w:tcPr>
            <w:tcW w:w="7087" w:type="dxa"/>
          </w:tcPr>
          <w:p w14:paraId="54A98169" w14:textId="112F4DBC" w:rsidR="00F07362" w:rsidRPr="00D34150" w:rsidRDefault="00F07362" w:rsidP="00F07362">
            <w:pPr>
              <w:pStyle w:val="TableBody"/>
              <w:spacing w:before="120" w:after="120"/>
            </w:pPr>
            <w:r w:rsidRPr="005C3B52">
              <w:t>BV1I, BV1J, BV1K, BV1L, BV1M, BV1N, BV1O, BV1P, BV2I, BV2J, BV2M, BV2N, BV4A, BV4B, BV4C, BV4D, BV4E, BV4F, BV4G, BV4H, BV4I, BV4J, BV4K, BV4L, BV5A, BV5B, BV5E, BV5F, BV5I, BV5J, BV1E7, BV1E8, BV1E9, BV1F7, BV1F8, BV1F9, BV1G7, BV1G8, BV1G9, BV1H7, BV1H8, BV1H9, BV2E7, BV2E8, BV2E9, BV2F7, BV2F8, BV2F9, BV4M1, BV4M2, BV4M3, BV4N1, BV4N2, BV4N3, BV4O1, BV4O2, BV4O3, BV4P1, BV4P2, BV4P3, BV5M1, BV5M2, BV5M3, BV5N1, BV5N2, BV5N3</w:t>
            </w:r>
          </w:p>
        </w:tc>
      </w:tr>
      <w:tr w:rsidR="00F07362" w14:paraId="44346F86" w14:textId="77777777" w:rsidTr="00F07362">
        <w:trPr>
          <w:cantSplit/>
          <w:trHeight w:val="454"/>
        </w:trPr>
        <w:tc>
          <w:tcPr>
            <w:tcW w:w="1587" w:type="dxa"/>
          </w:tcPr>
          <w:p w14:paraId="51904E60" w14:textId="5EC5DAF2" w:rsidR="00F07362" w:rsidRDefault="00F07362" w:rsidP="00F07362">
            <w:pPr>
              <w:pStyle w:val="TableBody"/>
              <w:spacing w:before="120" w:after="120"/>
            </w:pPr>
            <w:r>
              <w:t>Port Macquarie</w:t>
            </w:r>
          </w:p>
        </w:tc>
        <w:tc>
          <w:tcPr>
            <w:tcW w:w="7087" w:type="dxa"/>
          </w:tcPr>
          <w:p w14:paraId="281B8E72" w14:textId="676D51D9" w:rsidR="00F07362" w:rsidRPr="00D34150" w:rsidRDefault="00F07362" w:rsidP="00F07362">
            <w:pPr>
              <w:pStyle w:val="TableBody"/>
              <w:spacing w:before="120" w:after="120"/>
            </w:pPr>
            <w:r w:rsidRPr="005C3B52">
              <w:t>NV2H, NV2L1, NV2L2, NV2L3</w:t>
            </w:r>
          </w:p>
        </w:tc>
      </w:tr>
      <w:tr w:rsidR="00F07362" w14:paraId="2333030E" w14:textId="77777777" w:rsidTr="00F07362">
        <w:trPr>
          <w:cantSplit/>
          <w:trHeight w:val="680"/>
        </w:trPr>
        <w:tc>
          <w:tcPr>
            <w:tcW w:w="1587" w:type="dxa"/>
          </w:tcPr>
          <w:p w14:paraId="576EC311" w14:textId="67E9ED29" w:rsidR="00F07362" w:rsidRDefault="00F07362" w:rsidP="00F07362">
            <w:pPr>
              <w:pStyle w:val="TableBody"/>
              <w:spacing w:before="120" w:after="120"/>
            </w:pPr>
            <w:r>
              <w:t>Rockhampton</w:t>
            </w:r>
          </w:p>
        </w:tc>
        <w:tc>
          <w:tcPr>
            <w:tcW w:w="7087" w:type="dxa"/>
          </w:tcPr>
          <w:p w14:paraId="4F3E46E8" w14:textId="143C3D5A" w:rsidR="00F07362" w:rsidRPr="00D34150" w:rsidRDefault="00F07362" w:rsidP="00F07362">
            <w:pPr>
              <w:pStyle w:val="TableBody"/>
              <w:spacing w:before="120" w:after="120"/>
            </w:pPr>
            <w:r w:rsidRPr="005C3B52">
              <w:t>MS6F, MS6G, MS6B7, MS6B8, MS6B9, MS6C7, MS6C8, MS6C9, MS6J1, MS6J2, MS6J3, MS6K1, MS6K2, MS6K3</w:t>
            </w:r>
          </w:p>
        </w:tc>
      </w:tr>
      <w:tr w:rsidR="00F07362" w14:paraId="54415206" w14:textId="77777777" w:rsidTr="00F07362">
        <w:trPr>
          <w:cantSplit/>
          <w:trHeight w:val="680"/>
        </w:trPr>
        <w:tc>
          <w:tcPr>
            <w:tcW w:w="1587" w:type="dxa"/>
          </w:tcPr>
          <w:p w14:paraId="4A1FC7AC" w14:textId="660A580C" w:rsidR="00F07362" w:rsidRDefault="00F07362" w:rsidP="00F07362">
            <w:pPr>
              <w:pStyle w:val="TableBody"/>
              <w:spacing w:before="120" w:after="120"/>
            </w:pPr>
            <w:r>
              <w:t>Shepparton-Mooroopna</w:t>
            </w:r>
          </w:p>
        </w:tc>
        <w:tc>
          <w:tcPr>
            <w:tcW w:w="7087" w:type="dxa"/>
          </w:tcPr>
          <w:p w14:paraId="403BE15C" w14:textId="35E0A099" w:rsidR="00F07362" w:rsidRPr="00D34150" w:rsidRDefault="00F07362" w:rsidP="00F07362">
            <w:pPr>
              <w:pStyle w:val="TableBody"/>
              <w:spacing w:before="120" w:after="120"/>
            </w:pPr>
            <w:r w:rsidRPr="005C3B52">
              <w:t>LW7F, LW7G1, LW7G4, LW7G7, LW7J1, LW7J2, LW7J3, LW7K1</w:t>
            </w:r>
          </w:p>
        </w:tc>
      </w:tr>
      <w:tr w:rsidR="00F07362" w14:paraId="15379ED0" w14:textId="77777777" w:rsidTr="00F07362">
        <w:trPr>
          <w:cantSplit/>
          <w:trHeight w:val="680"/>
        </w:trPr>
        <w:tc>
          <w:tcPr>
            <w:tcW w:w="1587" w:type="dxa"/>
          </w:tcPr>
          <w:p w14:paraId="173DEE63" w14:textId="057DD811" w:rsidR="00F07362" w:rsidRDefault="00F07362" w:rsidP="00F07362">
            <w:pPr>
              <w:pStyle w:val="TableBody"/>
              <w:spacing w:before="120" w:after="120"/>
            </w:pPr>
            <w:r>
              <w:t>Sunshine Coast</w:t>
            </w:r>
          </w:p>
        </w:tc>
        <w:tc>
          <w:tcPr>
            <w:tcW w:w="7087" w:type="dxa"/>
          </w:tcPr>
          <w:p w14:paraId="3DEF024A" w14:textId="47D6A66B" w:rsidR="00F07362" w:rsidRPr="00D34150" w:rsidRDefault="00F07362" w:rsidP="00F07362">
            <w:pPr>
              <w:pStyle w:val="TableBody"/>
              <w:spacing w:before="120" w:after="120"/>
            </w:pPr>
            <w:r w:rsidRPr="006A512F">
              <w:t>NT5G, NT5H, NT5K, NT5L, NT6E, NT6F, NT6G, NT6H, NT6I, NT6J, NT6K, NT6L, NT5C4, NT5C5, NT5C6, NT5C7, NT5C8, NT5C9, NT5D4, NT5D5, NT5D6, NT5D7, NT5D8, NT5D9, NT5O1, NT5O2, NT5O3, NT5P1, NT5P2, NT5P3, NT6A4, NT6A5, NT6A6, NT6A7, NT6A8, NT6A9, NT6B4, NT6B5, NT6B6, NT6B7, NT6B8, NT6B9, NT6C4, NT6C5, NT6C6, NT6C7, NT6C8, NT6C9, NT6D4, NT6D5, NT6D6, NT6D7, NT6D8, NT6D9, NT6M1, NT6M2, NT6M3, NT6N1, NT6N2, NT6N3, NT6O1, NT6O2, NT6O3, NT6P1, NT6P2, NT6P3</w:t>
            </w:r>
          </w:p>
        </w:tc>
      </w:tr>
      <w:tr w:rsidR="00F07362" w14:paraId="6E7F5026" w14:textId="77777777" w:rsidTr="00F07362">
        <w:trPr>
          <w:cantSplit/>
          <w:trHeight w:val="680"/>
        </w:trPr>
        <w:tc>
          <w:tcPr>
            <w:tcW w:w="1587" w:type="dxa"/>
          </w:tcPr>
          <w:p w14:paraId="13B948FA" w14:textId="48FBF60F" w:rsidR="00F07362" w:rsidRDefault="00F07362" w:rsidP="00F07362">
            <w:pPr>
              <w:pStyle w:val="TableBody"/>
              <w:spacing w:before="120" w:after="120"/>
            </w:pPr>
            <w:r>
              <w:lastRenderedPageBreak/>
              <w:t>Sydney</w:t>
            </w:r>
          </w:p>
        </w:tc>
        <w:tc>
          <w:tcPr>
            <w:tcW w:w="7087" w:type="dxa"/>
          </w:tcPr>
          <w:p w14:paraId="46315B10" w14:textId="54EB4A1D" w:rsidR="00F07362" w:rsidRPr="00D34150" w:rsidRDefault="0049321B" w:rsidP="00F07362">
            <w:pPr>
              <w:pStyle w:val="TableBody"/>
              <w:spacing w:before="120" w:after="120"/>
            </w:pPr>
            <w:r w:rsidRPr="0049321B">
              <w:t>NW1, MV9I, MV9J, MV9K, MV9L, MV9M, MV9N, MV9O, MV9P, MW3C, MW3D, MW3G, MW3H, MW3K, MW3L, MW3O, MW3P, MW6C, MW6D, NV4N, NV4O, NV4P, NV5M, NV5N, NV5O, NV5P, NV7B, NV7C, NV7D, NV7E, NV7F, NV7G, NV7H, NV7I, NV7J, NV7K, NV7L, NV7M, NV7N, NV7O, NV7P, MV9D6, MV9D9, MV9E4, MV9E5, MV9E6, MV9E7, MV9E8, MV9E9, MV9F4, MV9F5, MV9F6, MV9F7, MV9F8, MV9F9, MV9G4, MV9G5, MV9G6, MV9G7, MV9G8, MV9G9, MV9H3, MV9H4, MV9H5, MV9H6, MV9H7, MV9H8, MV9H9, MW3B2, MW3B3, MW3B5, MW3B6, MW3B8, MW3B9, MW3F2, MW3F3, MW3F5, MW3F6, MW3F8, MW3F9, MW3J2, MW3J3, NV4I5, NV4I6, NV4I8, NV4I9, NV4J4, NV4J5, NV4J6, NV4J7, NV4J8, NV4J9, NV4K4, NV4K5, NV4K6, NV4K7, NV4K8, NV4K9, NV4L4, NV4L5, NV4L6, NV4L7, NV4L8, NV4L9, NV4M2, NV4M3, NV4M5, NV4M6, NV4M8, NV4M9, NV5I4, NV5I5, NV5I6, NV5I7, NV5I8, NV5I9, NV5J4, NV5J5, NV5J6, NV5J7, NV5J8, NV5J9, NV5K4, NV5K5, NV5K6, NV5K7, NV5K8, NV5K9, NV5L4, NV5L5, NV5L6, NV5L7, NV5L8, NV5L9, NV7A2, NV7A3, NV7A4, NV7A5, NV7A6, NV7A7, NV7A8, NV7A9</w:t>
            </w:r>
          </w:p>
        </w:tc>
      </w:tr>
      <w:tr w:rsidR="00F07362" w14:paraId="5EDA4A59" w14:textId="77777777" w:rsidTr="00F07362">
        <w:trPr>
          <w:cantSplit/>
          <w:trHeight w:val="680"/>
        </w:trPr>
        <w:tc>
          <w:tcPr>
            <w:tcW w:w="1587" w:type="dxa"/>
          </w:tcPr>
          <w:p w14:paraId="44F297B8" w14:textId="6D5FC653" w:rsidR="00F07362" w:rsidRDefault="00F07362" w:rsidP="00F07362">
            <w:pPr>
              <w:pStyle w:val="TableBody"/>
              <w:spacing w:before="120" w:after="120"/>
            </w:pPr>
            <w:r>
              <w:t>Toowoomba</w:t>
            </w:r>
          </w:p>
        </w:tc>
        <w:tc>
          <w:tcPr>
            <w:tcW w:w="7087" w:type="dxa"/>
          </w:tcPr>
          <w:p w14:paraId="29B34E94" w14:textId="0E484D93" w:rsidR="00F07362" w:rsidRPr="00D34150" w:rsidRDefault="00F07362" w:rsidP="00F07362">
            <w:pPr>
              <w:pStyle w:val="TableBody"/>
              <w:spacing w:before="120" w:after="120"/>
            </w:pPr>
            <w:r w:rsidRPr="009C67EE">
              <w:t>NT7H, NT7L, NT8E, NT8F, NT8I, NT8J, NT7G2, NT7G3, NT7G5, NT7G6, NT7G8, NT7G9, NT7K2, NT7K3, NT7K5, NT7K6, NT7K8, NT7K9, NT7O2, NT7O3, NT7O5, NT7O6, NT7P1, NT7P2, NT7P3, NT7P4, NT7P5, NT7P6, NT8M1, NT8M2, NT8M3, NT8M4, NT8M5, NT8M6, NT8N1, NT8N2, NT8N3, NT8N4, NT8N5, NT8N6</w:t>
            </w:r>
          </w:p>
        </w:tc>
      </w:tr>
      <w:tr w:rsidR="00F07362" w14:paraId="55F3468B" w14:textId="77777777" w:rsidTr="00F07362">
        <w:trPr>
          <w:cantSplit/>
          <w:trHeight w:val="454"/>
        </w:trPr>
        <w:tc>
          <w:tcPr>
            <w:tcW w:w="1587" w:type="dxa"/>
          </w:tcPr>
          <w:p w14:paraId="64B6A384" w14:textId="06D4B7C7" w:rsidR="00F07362" w:rsidRDefault="00F07362" w:rsidP="00F07362">
            <w:pPr>
              <w:pStyle w:val="TableBody"/>
              <w:spacing w:before="120" w:after="120"/>
            </w:pPr>
            <w:r>
              <w:t>Townsville</w:t>
            </w:r>
          </w:p>
        </w:tc>
        <w:tc>
          <w:tcPr>
            <w:tcW w:w="7087" w:type="dxa"/>
          </w:tcPr>
          <w:p w14:paraId="4DABE169" w14:textId="299B09B0" w:rsidR="00F07362" w:rsidRPr="00D34150" w:rsidRDefault="00F07362" w:rsidP="00F07362">
            <w:pPr>
              <w:pStyle w:val="TableBody"/>
              <w:spacing w:before="120" w:after="120"/>
            </w:pPr>
            <w:r w:rsidRPr="009C67EE">
              <w:t>LR2C, LR2D, LR2G, LR2H</w:t>
            </w:r>
          </w:p>
        </w:tc>
      </w:tr>
      <w:tr w:rsidR="00F07362" w14:paraId="7FCFDFB8" w14:textId="77777777" w:rsidTr="00F07362">
        <w:trPr>
          <w:cantSplit/>
          <w:trHeight w:val="680"/>
        </w:trPr>
        <w:tc>
          <w:tcPr>
            <w:tcW w:w="1587" w:type="dxa"/>
          </w:tcPr>
          <w:p w14:paraId="2EFAB8F0" w14:textId="3BCF67D9" w:rsidR="00F07362" w:rsidRDefault="00F07362" w:rsidP="00F07362">
            <w:pPr>
              <w:pStyle w:val="TableBody"/>
              <w:spacing w:before="120" w:after="120"/>
            </w:pPr>
            <w:r>
              <w:t>Traralgon-Morwell</w:t>
            </w:r>
          </w:p>
        </w:tc>
        <w:tc>
          <w:tcPr>
            <w:tcW w:w="7087" w:type="dxa"/>
          </w:tcPr>
          <w:p w14:paraId="6395AB0C" w14:textId="7366DE4F" w:rsidR="00F07362" w:rsidRPr="00D34150" w:rsidRDefault="006079FC" w:rsidP="00F07362">
            <w:pPr>
              <w:pStyle w:val="TableBody"/>
              <w:spacing w:before="120" w:after="120"/>
            </w:pPr>
            <w:r>
              <w:t xml:space="preserve">LX5A6, </w:t>
            </w:r>
            <w:r w:rsidR="00335254">
              <w:t>LX</w:t>
            </w:r>
            <w:r>
              <w:t xml:space="preserve">5A8, LX5A9, </w:t>
            </w:r>
            <w:r w:rsidR="00F07362" w:rsidRPr="009C67EE">
              <w:t>LX5B4, LX5B5, LX5B6, LX5B7, LX5B8, LX5B9, LX5C4, LX5C5, LX5C7, LX5C8, LX5F1, LX5F2, LX5F3, LX5G1, LX5G2</w:t>
            </w:r>
          </w:p>
        </w:tc>
      </w:tr>
      <w:tr w:rsidR="00F07362" w14:paraId="5E997E19" w14:textId="77777777" w:rsidTr="00F07362">
        <w:trPr>
          <w:cantSplit/>
          <w:trHeight w:val="510"/>
        </w:trPr>
        <w:tc>
          <w:tcPr>
            <w:tcW w:w="1587" w:type="dxa"/>
          </w:tcPr>
          <w:p w14:paraId="23DBD561" w14:textId="25A66F94" w:rsidR="00F07362" w:rsidRDefault="00F07362" w:rsidP="00F07362">
            <w:pPr>
              <w:pStyle w:val="TableBody"/>
              <w:spacing w:before="120" w:after="120"/>
            </w:pPr>
            <w:r>
              <w:t>Tuncurry-Forster</w:t>
            </w:r>
          </w:p>
        </w:tc>
        <w:tc>
          <w:tcPr>
            <w:tcW w:w="7087" w:type="dxa"/>
          </w:tcPr>
          <w:p w14:paraId="4395A2F6" w14:textId="7D134F70" w:rsidR="00F07362" w:rsidRPr="00D34150" w:rsidRDefault="00F07362" w:rsidP="00F07362">
            <w:pPr>
              <w:pStyle w:val="TableBody"/>
              <w:spacing w:before="120" w:after="120"/>
            </w:pPr>
            <w:r w:rsidRPr="009C67EE">
              <w:t>NV5B6, NV5B9, NV5C4, NV5C5, NV5C7, NV5C8, NV5F3, NV5G1, NV5G2</w:t>
            </w:r>
          </w:p>
        </w:tc>
      </w:tr>
      <w:tr w:rsidR="00F07362" w14:paraId="4153A9EE" w14:textId="77777777" w:rsidTr="00F07362">
        <w:trPr>
          <w:cantSplit/>
          <w:trHeight w:val="454"/>
        </w:trPr>
        <w:tc>
          <w:tcPr>
            <w:tcW w:w="1587" w:type="dxa"/>
          </w:tcPr>
          <w:p w14:paraId="0A4995EF" w14:textId="10F0F3FF" w:rsidR="00F07362" w:rsidRDefault="00F07362" w:rsidP="00F07362">
            <w:pPr>
              <w:pStyle w:val="TableBody"/>
              <w:spacing w:before="120" w:after="120"/>
            </w:pPr>
            <w:r>
              <w:t>Wagga Wagga</w:t>
            </w:r>
          </w:p>
        </w:tc>
        <w:tc>
          <w:tcPr>
            <w:tcW w:w="7087" w:type="dxa"/>
          </w:tcPr>
          <w:p w14:paraId="4409A6E0" w14:textId="06CD255A" w:rsidR="00F07362" w:rsidRPr="00D34150" w:rsidRDefault="00F07362" w:rsidP="00F07362">
            <w:pPr>
              <w:pStyle w:val="TableBody"/>
              <w:spacing w:before="120" w:after="120"/>
            </w:pPr>
            <w:r w:rsidRPr="002F077C">
              <w:t>LW6B</w:t>
            </w:r>
          </w:p>
        </w:tc>
      </w:tr>
      <w:tr w:rsidR="00F07362" w14:paraId="7CC78001" w14:textId="77777777" w:rsidTr="00F07362">
        <w:trPr>
          <w:cantSplit/>
          <w:trHeight w:val="624"/>
        </w:trPr>
        <w:tc>
          <w:tcPr>
            <w:tcW w:w="1587" w:type="dxa"/>
          </w:tcPr>
          <w:p w14:paraId="2107E850" w14:textId="071EAB84" w:rsidR="00F07362" w:rsidRDefault="00F07362" w:rsidP="00F07362">
            <w:pPr>
              <w:pStyle w:val="TableBody"/>
              <w:spacing w:before="120" w:after="120"/>
            </w:pPr>
            <w:r>
              <w:t>Warrnambool</w:t>
            </w:r>
          </w:p>
        </w:tc>
        <w:tc>
          <w:tcPr>
            <w:tcW w:w="7087" w:type="dxa"/>
          </w:tcPr>
          <w:p w14:paraId="47680653" w14:textId="3EA694CF" w:rsidR="00F07362" w:rsidRPr="00D34150" w:rsidRDefault="00F07362" w:rsidP="00F07362">
            <w:pPr>
              <w:pStyle w:val="TableBody"/>
              <w:spacing w:before="120" w:after="120"/>
            </w:pPr>
            <w:r w:rsidRPr="002F077C">
              <w:t>KX4F2, KX4F3, KX4F5, KX4F6, KX4F8, KX4F9, KX4G1, KX4G2, KX4G4, KX4G5, KX4G7, KX4G8</w:t>
            </w:r>
          </w:p>
        </w:tc>
      </w:tr>
    </w:tbl>
    <w:p w14:paraId="41944B3A" w14:textId="0791E56E" w:rsidR="000B62E7" w:rsidRPr="0006428C" w:rsidRDefault="000B62E7" w:rsidP="0006428C">
      <w:pPr>
        <w:pStyle w:val="Heading1"/>
      </w:pPr>
      <w:bookmarkStart w:id="101" w:name="_Toc495935500"/>
      <w:bookmarkStart w:id="102" w:name="_Toc495935530"/>
      <w:bookmarkStart w:id="103" w:name="_Toc4664127"/>
      <w:r w:rsidRPr="0006428C">
        <w:lastRenderedPageBreak/>
        <w:t xml:space="preserve">Annex </w:t>
      </w:r>
      <w:r w:rsidR="00D53FA7" w:rsidRPr="0006428C">
        <w:t>E</w:t>
      </w:r>
      <w:r w:rsidRPr="0006428C">
        <w:t>—</w:t>
      </w:r>
      <w:bookmarkEnd w:id="101"/>
      <w:bookmarkEnd w:id="102"/>
      <w:r w:rsidR="006256FF" w:rsidRPr="0006428C">
        <w:t xml:space="preserve">Protection of receiving earth stations operating in the </w:t>
      </w:r>
      <w:r w:rsidR="0006428C" w:rsidRPr="0006428C">
        <w:t xml:space="preserve">SRS </w:t>
      </w:r>
      <w:r w:rsidR="006256FF" w:rsidRPr="0006428C">
        <w:t>in the frequency range 25.5</w:t>
      </w:r>
      <w:r w:rsidR="007045C6" w:rsidRPr="0006428C">
        <w:t>–</w:t>
      </w:r>
      <w:r w:rsidR="006256FF" w:rsidRPr="0006428C">
        <w:t>27 GHz</w:t>
      </w:r>
      <w:bookmarkEnd w:id="103"/>
    </w:p>
    <w:p w14:paraId="40C69400" w14:textId="031B6948" w:rsidR="00C93599" w:rsidRDefault="00AB57F5" w:rsidP="00DA511D">
      <w:pPr>
        <w:spacing w:before="120" w:after="120" w:line="240" w:lineRule="auto"/>
      </w:pPr>
      <w:r>
        <w:t xml:space="preserve">Receiving earth stations operating in the space research service (SRS) in the </w:t>
      </w:r>
      <w:r w:rsidRPr="00C93599">
        <w:t>frequency range 25.5</w:t>
      </w:r>
      <w:r w:rsidR="00497EC1">
        <w:t>–</w:t>
      </w:r>
      <w:r w:rsidRPr="00C93599">
        <w:t xml:space="preserve">27 GHz are to be protected from interference from co-frequency wireless broadband services. </w:t>
      </w:r>
      <w:r w:rsidR="00C93599">
        <w:t>Locations of SRS earth stations are:</w:t>
      </w:r>
    </w:p>
    <w:p w14:paraId="2E05A8BB" w14:textId="0A8AACB8" w:rsidR="00C93599" w:rsidRDefault="007074ED" w:rsidP="00C93599">
      <w:pPr>
        <w:pStyle w:val="ListBullet"/>
        <w:spacing w:before="120" w:after="120" w:line="240" w:lineRule="auto"/>
      </w:pPr>
      <w:r>
        <w:t xml:space="preserve">New Norcia Deep Space Ground Station, </w:t>
      </w:r>
      <w:proofErr w:type="spellStart"/>
      <w:r>
        <w:t>lat</w:t>
      </w:r>
      <w:proofErr w:type="spellEnd"/>
      <w:r>
        <w:t xml:space="preserve"> -31.0484/long 116.1914 degrees</w:t>
      </w:r>
    </w:p>
    <w:p w14:paraId="68D17344" w14:textId="69F35FE2" w:rsidR="007074ED" w:rsidRPr="00C93599" w:rsidRDefault="007074ED" w:rsidP="00335D0B">
      <w:pPr>
        <w:pStyle w:val="ListBulletLast"/>
      </w:pPr>
      <w:r w:rsidRPr="00335D0B">
        <w:t>Canberra</w:t>
      </w:r>
      <w:r>
        <w:t xml:space="preserve"> Deep Space Communications Complex (Tidbinbilla), </w:t>
      </w:r>
      <w:proofErr w:type="spellStart"/>
      <w:r>
        <w:t>lat</w:t>
      </w:r>
      <w:proofErr w:type="spellEnd"/>
      <w:r>
        <w:t xml:space="preserve"> -35.3951/long 148.9785 degrees.</w:t>
      </w:r>
    </w:p>
    <w:p w14:paraId="62CA29A9" w14:textId="220C1468" w:rsidR="006256FF" w:rsidRPr="00AC7B53" w:rsidRDefault="006256FF" w:rsidP="0006428C">
      <w:pPr>
        <w:pStyle w:val="Heading2"/>
      </w:pPr>
      <w:bookmarkStart w:id="104" w:name="_Toc4664128"/>
      <w:r w:rsidRPr="0006428C">
        <w:t>Coordination</w:t>
      </w:r>
      <w:r>
        <w:t xml:space="preserve"> requirements</w:t>
      </w:r>
      <w:bookmarkEnd w:id="104"/>
    </w:p>
    <w:p w14:paraId="14631DAA" w14:textId="5F300FBF" w:rsidR="00C93599" w:rsidRPr="00C93599" w:rsidRDefault="00AB57F5" w:rsidP="00DA511D">
      <w:pPr>
        <w:spacing w:before="120" w:after="120" w:line="240" w:lineRule="auto"/>
      </w:pPr>
      <w:r w:rsidRPr="00C93599">
        <w:t xml:space="preserve">All spectrum and apparatus licensed deployments are not to exceed an aggregate </w:t>
      </w:r>
      <w:r w:rsidR="005E1B0F">
        <w:t xml:space="preserve">interference </w:t>
      </w:r>
      <w:r w:rsidRPr="00C93599">
        <w:t xml:space="preserve">level of -156 </w:t>
      </w:r>
      <w:proofErr w:type="spellStart"/>
      <w:r w:rsidRPr="00C93599">
        <w:t>dBW</w:t>
      </w:r>
      <w:proofErr w:type="spellEnd"/>
      <w:r w:rsidRPr="00C93599">
        <w:t xml:space="preserve">/MHz </w:t>
      </w:r>
      <w:r w:rsidR="005E1B0F">
        <w:t xml:space="preserve">at the earth station, </w:t>
      </w:r>
      <w:r w:rsidR="00C93599" w:rsidRPr="00C93599">
        <w:t xml:space="preserve">inclusive of </w:t>
      </w:r>
      <w:r w:rsidR="006F7D23">
        <w:t xml:space="preserve">the earth station </w:t>
      </w:r>
      <w:r w:rsidR="00C93599" w:rsidRPr="00C93599">
        <w:t xml:space="preserve">antenna gain (see below). </w:t>
      </w:r>
      <w:r w:rsidR="00B35C33">
        <w:t xml:space="preserve">This requirement will apply to wireless broadband services outside the exclusion zones in Table 5. </w:t>
      </w:r>
      <w:r w:rsidR="00C93599" w:rsidRPr="00C93599">
        <w:t>The following ITU-R Recommendations are relevant</w:t>
      </w:r>
      <w:r w:rsidR="00C93599">
        <w:t xml:space="preserve"> for coordination with SRS earth stations:</w:t>
      </w:r>
    </w:p>
    <w:p w14:paraId="0DA4F950" w14:textId="30659D8D" w:rsidR="00C93599" w:rsidRPr="00C93599" w:rsidRDefault="00C93599" w:rsidP="00C93599">
      <w:pPr>
        <w:pStyle w:val="ListBullet"/>
        <w:spacing w:before="120" w:after="120" w:line="240" w:lineRule="auto"/>
      </w:pPr>
      <w:r w:rsidRPr="00C93599">
        <w:t xml:space="preserve">Recommendation ITU-R SA.609 </w:t>
      </w:r>
      <w:r w:rsidRPr="00C93599">
        <w:rPr>
          <w:i/>
        </w:rPr>
        <w:t>Protection criteria for radiocommunications links for manned and unmanned near-Earth research satellite</w:t>
      </w:r>
    </w:p>
    <w:p w14:paraId="453F96F5" w14:textId="481470AE" w:rsidR="00C93599" w:rsidRPr="007074ED" w:rsidRDefault="00C93599" w:rsidP="00335D0B">
      <w:pPr>
        <w:pStyle w:val="ListBulletLast"/>
      </w:pPr>
      <w:r w:rsidRPr="00C93599">
        <w:t xml:space="preserve">ITU-R SA.509-3 Space research earth station and radio astronomy reference antenna radiation pattern </w:t>
      </w:r>
      <w:r w:rsidRPr="00335D0B">
        <w:t>for</w:t>
      </w:r>
      <w:r w:rsidRPr="00C93599">
        <w:t xml:space="preserve"> use in interference calculations, including coordination </w:t>
      </w:r>
      <w:r w:rsidRPr="007074ED">
        <w:t>procedures, for frequencies less than 30 GHz.</w:t>
      </w:r>
    </w:p>
    <w:p w14:paraId="3A2F56E9" w14:textId="6633D0D0" w:rsidR="006256FF" w:rsidRPr="00AC7B53" w:rsidRDefault="006256FF" w:rsidP="0006428C">
      <w:pPr>
        <w:pStyle w:val="Heading2"/>
      </w:pPr>
      <w:bookmarkStart w:id="105" w:name="_Toc4664129"/>
      <w:r>
        <w:t xml:space="preserve">Geographic </w:t>
      </w:r>
      <w:r w:rsidRPr="0006428C">
        <w:t>exclusion</w:t>
      </w:r>
      <w:r>
        <w:t xml:space="preserve"> zones</w:t>
      </w:r>
      <w:bookmarkEnd w:id="105"/>
    </w:p>
    <w:p w14:paraId="366C4DFB" w14:textId="346E47AE" w:rsidR="007D0442" w:rsidRDefault="007074ED" w:rsidP="00DA511D">
      <w:pPr>
        <w:spacing w:before="120" w:after="120" w:line="240" w:lineRule="auto"/>
      </w:pPr>
      <w:r w:rsidRPr="007074ED">
        <w:t xml:space="preserve">Furthermore, exclusion </w:t>
      </w:r>
      <w:r w:rsidRPr="006256FF">
        <w:t>zones within the vicinity of the above sites shall apply to spectrum and apparatus licen</w:t>
      </w:r>
      <w:r w:rsidR="00E36F03">
        <w:t>ces</w:t>
      </w:r>
      <w:r w:rsidRPr="006256FF">
        <w:t xml:space="preserve"> in the range 25.5</w:t>
      </w:r>
      <w:r w:rsidR="00497EC1">
        <w:t>–</w:t>
      </w:r>
      <w:r w:rsidRPr="006256FF">
        <w:t>27 GHz</w:t>
      </w:r>
      <w:r w:rsidR="007D0442">
        <w:t>.</w:t>
      </w:r>
      <w:r w:rsidRPr="006256FF">
        <w:t xml:space="preserve"> </w:t>
      </w:r>
      <w:r w:rsidR="008B1C2D">
        <w:t xml:space="preserve">It is proposed that a </w:t>
      </w:r>
      <w:r w:rsidR="00E957A6">
        <w:t>licence condition will be applied to affected apparatus and spectrum licences</w:t>
      </w:r>
      <w:r w:rsidR="00497EC1">
        <w:t>,</w:t>
      </w:r>
      <w:r w:rsidR="00E957A6">
        <w:t xml:space="preserve"> which will specify that n</w:t>
      </w:r>
      <w:r w:rsidR="007D0442">
        <w:t>o device</w:t>
      </w:r>
      <w:r w:rsidR="00E36F03">
        <w:t>s</w:t>
      </w:r>
      <w:r w:rsidR="000E3AD1">
        <w:t xml:space="preserve"> </w:t>
      </w:r>
      <w:r w:rsidR="007D0442" w:rsidRPr="006256FF">
        <w:t xml:space="preserve">are to be </w:t>
      </w:r>
      <w:r w:rsidR="000E3AD1">
        <w:t>operated</w:t>
      </w:r>
      <w:r w:rsidR="007D0442" w:rsidRPr="006256FF">
        <w:t xml:space="preserve"> within the HCIS areas listed in Table</w:t>
      </w:r>
      <w:r w:rsidR="007C745F">
        <w:t xml:space="preserve"> 5</w:t>
      </w:r>
      <w:r w:rsidR="00497EC1">
        <w:t>—</w:t>
      </w:r>
      <w:r w:rsidR="00E957A6">
        <w:t xml:space="preserve">this </w:t>
      </w:r>
      <w:r w:rsidR="000E3AD1">
        <w:t>will apply</w:t>
      </w:r>
      <w:r w:rsidR="00E957A6">
        <w:t xml:space="preserve"> even if the licensed area overlaps the areas in Table </w:t>
      </w:r>
      <w:r w:rsidR="007C745F">
        <w:t>5</w:t>
      </w:r>
      <w:r w:rsidR="00E957A6">
        <w:t>.</w:t>
      </w:r>
      <w:r w:rsidR="00CF3098">
        <w:t xml:space="preserve"> The areas in Table </w:t>
      </w:r>
      <w:r w:rsidR="007C745F">
        <w:t>5</w:t>
      </w:r>
      <w:r w:rsidR="00CF3098">
        <w:t xml:space="preserve"> will not be excised from apparatus and spectrum licences </w:t>
      </w:r>
      <w:r w:rsidR="00CA401D">
        <w:t xml:space="preserve">so that any out-of-area conditions (other than </w:t>
      </w:r>
      <w:r w:rsidR="009D57FD">
        <w:t xml:space="preserve">for </w:t>
      </w:r>
      <w:r w:rsidR="00CA401D">
        <w:t xml:space="preserve">the protection </w:t>
      </w:r>
      <w:r w:rsidR="009D57FD">
        <w:t>of</w:t>
      </w:r>
      <w:r w:rsidR="00CA401D">
        <w:t xml:space="preserve"> </w:t>
      </w:r>
      <w:r w:rsidR="009D57FD">
        <w:t>space research service</w:t>
      </w:r>
      <w:r w:rsidR="00CA401D">
        <w:t xml:space="preserve"> earth stations detailed in this annex) will apply at the outer boundary of the licence, even if this </w:t>
      </w:r>
      <w:r w:rsidR="009D57FD">
        <w:t xml:space="preserve">boundary </w:t>
      </w:r>
      <w:r w:rsidR="00CA401D">
        <w:t xml:space="preserve">overlaps an area in Table </w:t>
      </w:r>
      <w:r w:rsidR="007C745F">
        <w:t>5</w:t>
      </w:r>
      <w:r w:rsidR="00CA401D">
        <w:t>.</w:t>
      </w:r>
      <w:r w:rsidR="007D0442" w:rsidRPr="006256FF">
        <w:t xml:space="preserve"> </w:t>
      </w:r>
    </w:p>
    <w:p w14:paraId="06F8E119" w14:textId="0DC648BE" w:rsidR="006256FF" w:rsidRDefault="006256FF" w:rsidP="006256FF">
      <w:pPr>
        <w:spacing w:before="120" w:after="120" w:line="240" w:lineRule="auto"/>
      </w:pPr>
      <w:r w:rsidRPr="006256FF">
        <w:t>HCIS</w:t>
      </w:r>
      <w:r w:rsidRPr="006256FF">
        <w:rPr>
          <w:rFonts w:cs="Arial"/>
        </w:rPr>
        <w:t xml:space="preserve"> is a naming convention developed by the ACMA that applies unique ‘names’ to each of the cells that make up the Australian Spectrum Map Grid (ASMG)</w:t>
      </w:r>
      <w:r w:rsidRPr="006256FF">
        <w:rPr>
          <w:rStyle w:val="FootnoteReference"/>
          <w:rFonts w:cs="Arial"/>
        </w:rPr>
        <w:footnoteReference w:id="26"/>
      </w:r>
      <w:r w:rsidRPr="006256FF">
        <w:rPr>
          <w:rFonts w:cs="Arial"/>
        </w:rPr>
        <w:t xml:space="preserve">. </w:t>
      </w:r>
      <w:r w:rsidRPr="006256FF">
        <w:t xml:space="preserve">These HCIS cells can be converted into a Placemark file (viewable in Google Earth) through a </w:t>
      </w:r>
      <w:hyperlink r:id="rId42" w:history="1">
        <w:r w:rsidRPr="00497EC1">
          <w:rPr>
            <w:rStyle w:val="Hyperlink"/>
          </w:rPr>
          <w:t>facility on the ACMA website</w:t>
        </w:r>
      </w:hyperlink>
      <w:r w:rsidR="00497EC1">
        <w:t>.</w:t>
      </w:r>
      <w:r w:rsidRPr="006256FF">
        <w:t xml:space="preserve"> </w:t>
      </w:r>
      <w:r w:rsidR="006154E3">
        <w:t xml:space="preserve">Figures </w:t>
      </w:r>
      <w:r w:rsidR="007C745F">
        <w:t>4</w:t>
      </w:r>
      <w:r w:rsidR="006154E3">
        <w:t xml:space="preserve"> and </w:t>
      </w:r>
      <w:r w:rsidR="007C745F">
        <w:t>5</w:t>
      </w:r>
      <w:r w:rsidR="006154E3">
        <w:t xml:space="preserve"> show these zones on a map for Tidbinbilla and New Norcia respectively.</w:t>
      </w:r>
    </w:p>
    <w:p w14:paraId="236414A6" w14:textId="6F0BB0C7" w:rsidR="007000B0" w:rsidRDefault="007000B0" w:rsidP="006256FF">
      <w:pPr>
        <w:spacing w:before="120" w:after="120" w:line="240" w:lineRule="auto"/>
      </w:pPr>
      <w:r>
        <w:t>These zones are informed by an analysis of potential impact from wireless broadband on SRS receivers</w:t>
      </w:r>
      <w:r w:rsidR="00485BBB">
        <w:t>,</w:t>
      </w:r>
      <w:r>
        <w:t xml:space="preserve"> taking into account a number of ‘worst case’ assumptions:</w:t>
      </w:r>
    </w:p>
    <w:p w14:paraId="3BE3C48C" w14:textId="2E74A874" w:rsidR="007000B0" w:rsidRPr="00335D0B" w:rsidRDefault="007000B0" w:rsidP="00335D0B">
      <w:pPr>
        <w:pStyle w:val="ListBullet"/>
      </w:pPr>
      <w:r w:rsidRPr="00335D0B">
        <w:t xml:space="preserve">Main-beam </w:t>
      </w:r>
      <w:r w:rsidR="0058135C" w:rsidRPr="00335D0B">
        <w:t>of wireless broadband base station</w:t>
      </w:r>
      <w:r w:rsidR="00FB3EE4" w:rsidRPr="00335D0B">
        <w:t xml:space="preserve">s </w:t>
      </w:r>
      <w:r w:rsidR="008636FD">
        <w:t>directed towards</w:t>
      </w:r>
      <w:r w:rsidR="002043D2">
        <w:t xml:space="preserve"> the</w:t>
      </w:r>
      <w:r w:rsidR="00FB3EE4" w:rsidRPr="00335D0B">
        <w:t xml:space="preserve"> receiving earth station</w:t>
      </w:r>
      <w:r w:rsidR="00BE4B0B" w:rsidRPr="00335D0B">
        <w:t xml:space="preserve">. </w:t>
      </w:r>
    </w:p>
    <w:p w14:paraId="7AC34CC5" w14:textId="6FEAD1BF" w:rsidR="00FB3EE4" w:rsidRDefault="008E6127" w:rsidP="00335D0B">
      <w:pPr>
        <w:pStyle w:val="ListBullet"/>
      </w:pPr>
      <w:r w:rsidRPr="00335D0B">
        <w:lastRenderedPageBreak/>
        <w:t>Antenna c</w:t>
      </w:r>
      <w:r w:rsidR="00FB3EE4" w:rsidRPr="00335D0B">
        <w:t>o-polarisation</w:t>
      </w:r>
      <w:r w:rsidR="00BE4B0B" w:rsidRPr="00335D0B">
        <w:t>.</w:t>
      </w:r>
      <w:r w:rsidR="00BE4B0B">
        <w:t xml:space="preserve"> </w:t>
      </w:r>
    </w:p>
    <w:p w14:paraId="3B4EC1DD" w14:textId="211D4681" w:rsidR="00FB3EE4" w:rsidRDefault="00FB3EE4" w:rsidP="004601EB">
      <w:pPr>
        <w:pStyle w:val="ListBullet"/>
      </w:pPr>
      <w:r>
        <w:t>Earth station antenna horizontal pointing directly at wireless broadband base stations at minimum elevation angle</w:t>
      </w:r>
      <w:r w:rsidR="008E6127">
        <w:t xml:space="preserve"> (and resultant gain towards horizon as per ITU-R SA.509-3)</w:t>
      </w:r>
      <w:r>
        <w:t>:</w:t>
      </w:r>
    </w:p>
    <w:p w14:paraId="5420CADA" w14:textId="4D3D4001" w:rsidR="00FB3EE4" w:rsidRPr="004601EB" w:rsidRDefault="00FB3EE4" w:rsidP="004601EB">
      <w:pPr>
        <w:pStyle w:val="ListBullet2"/>
      </w:pPr>
      <w:r w:rsidRPr="004601EB">
        <w:t>11.3° for Tidbinbilla (minimum allowable above terrain obstruction in the direction of nearby metropolitan areas)</w:t>
      </w:r>
      <w:r w:rsidR="00A158E1" w:rsidRPr="004601EB">
        <w:t>—</w:t>
      </w:r>
      <w:r w:rsidRPr="004601EB">
        <w:t xml:space="preserve">results in an off-axis gain towards </w:t>
      </w:r>
      <w:r w:rsidR="000252C3" w:rsidRPr="004601EB">
        <w:t>horizontal</w:t>
      </w:r>
      <w:r w:rsidRPr="004601EB">
        <w:t xml:space="preserve"> of 6dBi</w:t>
      </w:r>
      <w:r w:rsidR="002F4896" w:rsidRPr="004601EB">
        <w:t xml:space="preserve">. </w:t>
      </w:r>
    </w:p>
    <w:p w14:paraId="697EC3DF" w14:textId="2E0FC839" w:rsidR="00FB3EE4" w:rsidRDefault="00FB3EE4" w:rsidP="004601EB">
      <w:pPr>
        <w:pStyle w:val="ListBullet2"/>
      </w:pPr>
      <w:r w:rsidRPr="004601EB">
        <w:t>10° for New Norcia</w:t>
      </w:r>
      <w:r w:rsidR="00A158E1" w:rsidRPr="004601EB">
        <w:t>—</w:t>
      </w:r>
      <w:r w:rsidR="00E941CF" w:rsidRPr="004601EB">
        <w:t>results in an off-</w:t>
      </w:r>
      <w:r w:rsidR="000252C3" w:rsidRPr="004601EB">
        <w:t>axis gain towards horizontal of 7 dBi.</w:t>
      </w:r>
    </w:p>
    <w:p w14:paraId="0876AA5C" w14:textId="2E81020F" w:rsidR="00FB3EE4" w:rsidRPr="004601EB" w:rsidRDefault="008E6127" w:rsidP="004601EB">
      <w:pPr>
        <w:pStyle w:val="ListBullet"/>
      </w:pPr>
      <w:r w:rsidRPr="004601EB">
        <w:t>Earth station antenna height of 19m (actual)</w:t>
      </w:r>
      <w:r w:rsidR="002F4896" w:rsidRPr="004601EB">
        <w:t xml:space="preserve">. </w:t>
      </w:r>
    </w:p>
    <w:p w14:paraId="70BABD38" w14:textId="2638BAA4" w:rsidR="008E6127" w:rsidRPr="004601EB" w:rsidRDefault="008E6127" w:rsidP="004601EB">
      <w:pPr>
        <w:pStyle w:val="ListBullet"/>
      </w:pPr>
      <w:r w:rsidRPr="004601EB">
        <w:t>Wireless broadband base station antenna height of 30m (worst case)</w:t>
      </w:r>
      <w:r w:rsidR="002F4896" w:rsidRPr="004601EB">
        <w:t xml:space="preserve">. </w:t>
      </w:r>
    </w:p>
    <w:p w14:paraId="56D17F19" w14:textId="695CDA1A" w:rsidR="008E6127" w:rsidRPr="004601EB" w:rsidRDefault="008E6127" w:rsidP="004601EB">
      <w:pPr>
        <w:pStyle w:val="ListBullet"/>
      </w:pPr>
      <w:r w:rsidRPr="004601EB">
        <w:t xml:space="preserve">Earth station sensitivity of -156 </w:t>
      </w:r>
      <w:proofErr w:type="spellStart"/>
      <w:r w:rsidRPr="004601EB">
        <w:t>dBW</w:t>
      </w:r>
      <w:proofErr w:type="spellEnd"/>
      <w:r w:rsidRPr="004601EB">
        <w:t>/</w:t>
      </w:r>
      <w:proofErr w:type="spellStart"/>
      <w:r w:rsidRPr="004601EB">
        <w:t>MHz</w:t>
      </w:r>
      <w:r w:rsidR="002F4896" w:rsidRPr="004601EB">
        <w:t>.</w:t>
      </w:r>
      <w:proofErr w:type="spellEnd"/>
      <w:r w:rsidR="002F4896" w:rsidRPr="004601EB">
        <w:t xml:space="preserve"> </w:t>
      </w:r>
    </w:p>
    <w:p w14:paraId="595BAD22" w14:textId="77777777" w:rsidR="006066D1" w:rsidRDefault="008E6127" w:rsidP="004601EB">
      <w:pPr>
        <w:pStyle w:val="ListBullet"/>
      </w:pPr>
      <w:r w:rsidRPr="004601EB">
        <w:t xml:space="preserve">Wireless broadband base station </w:t>
      </w:r>
      <w:r w:rsidR="006066D1" w:rsidRPr="004601EB">
        <w:t>EIRP towards earth station</w:t>
      </w:r>
      <w:r w:rsidRPr="004601EB">
        <w:t xml:space="preserve"> of -3</w:t>
      </w:r>
      <w:r w:rsidR="006066D1" w:rsidRPr="004601EB">
        <w:t xml:space="preserve"> </w:t>
      </w:r>
      <w:proofErr w:type="spellStart"/>
      <w:r w:rsidRPr="004601EB">
        <w:t>dBW</w:t>
      </w:r>
      <w:proofErr w:type="spellEnd"/>
      <w:r w:rsidRPr="004601EB">
        <w:t>/MHz</w:t>
      </w:r>
      <w:r w:rsidR="006066D1" w:rsidRPr="004601EB">
        <w:t>, based on:</w:t>
      </w:r>
    </w:p>
    <w:p w14:paraId="7F45840C" w14:textId="2A27FDF3" w:rsidR="006066D1" w:rsidRPr="004601EB" w:rsidRDefault="008E6127" w:rsidP="004601EB">
      <w:pPr>
        <w:pStyle w:val="ListBullet2"/>
      </w:pPr>
      <w:r w:rsidRPr="004601EB">
        <w:t xml:space="preserve">64 element array, each </w:t>
      </w:r>
      <w:r w:rsidR="006066D1" w:rsidRPr="004601EB">
        <w:t xml:space="preserve">element </w:t>
      </w:r>
      <w:r w:rsidRPr="004601EB">
        <w:t xml:space="preserve">fed with </w:t>
      </w:r>
      <w:r w:rsidR="00B6346F" w:rsidRPr="004601EB">
        <w:t>7</w:t>
      </w:r>
      <w:r w:rsidR="006066D1" w:rsidRPr="004601EB">
        <w:t xml:space="preserve"> </w:t>
      </w:r>
      <w:r w:rsidRPr="004601EB">
        <w:t>dBm/200 MHz</w:t>
      </w:r>
      <w:r w:rsidR="006066D1" w:rsidRPr="004601EB">
        <w:t xml:space="preserve"> → 2</w:t>
      </w:r>
      <w:r w:rsidR="00B6346F" w:rsidRPr="004601EB">
        <w:t>5</w:t>
      </w:r>
      <w:r w:rsidR="006066D1" w:rsidRPr="004601EB">
        <w:t xml:space="preserve"> dBm total radiated power (TRP)</w:t>
      </w:r>
      <w:r w:rsidR="002F4896" w:rsidRPr="004601EB">
        <w:t xml:space="preserve">. </w:t>
      </w:r>
    </w:p>
    <w:p w14:paraId="1D4DD384" w14:textId="5B461955" w:rsidR="006066D1" w:rsidRPr="004601EB" w:rsidRDefault="006066D1" w:rsidP="004601EB">
      <w:pPr>
        <w:pStyle w:val="ListBullet2"/>
      </w:pPr>
      <w:r w:rsidRPr="004601EB">
        <w:t>Worst case (highest possible) main-beam gain of 23 dBi</w:t>
      </w:r>
      <w:r w:rsidR="002F4896" w:rsidRPr="004601EB">
        <w:t xml:space="preserve">. </w:t>
      </w:r>
    </w:p>
    <w:p w14:paraId="257C2F09" w14:textId="4F1613F3" w:rsidR="006066D1" w:rsidRDefault="006066D1" w:rsidP="004601EB">
      <w:pPr>
        <w:pStyle w:val="ListBullet2"/>
      </w:pPr>
      <w:r w:rsidRPr="004601EB">
        <w:t>Total</w:t>
      </w:r>
      <w:r w:rsidR="00471FB0" w:rsidRPr="004601EB">
        <w:t xml:space="preserve"> worst case</w:t>
      </w:r>
      <w:r w:rsidRPr="004601EB">
        <w:t xml:space="preserve"> EIRP of </w:t>
      </w:r>
      <w:r w:rsidR="00E7138C" w:rsidRPr="004601EB">
        <w:t>4</w:t>
      </w:r>
      <w:r w:rsidR="00B6346F" w:rsidRPr="004601EB">
        <w:t>8</w:t>
      </w:r>
      <w:r w:rsidR="00E7138C" w:rsidRPr="004601EB">
        <w:t xml:space="preserve"> dBm/200 MHz, rounded up to 50 dBm to provide additional assurance → -3 </w:t>
      </w:r>
      <w:proofErr w:type="spellStart"/>
      <w:r w:rsidR="00E7138C" w:rsidRPr="004601EB">
        <w:t>dBW</w:t>
      </w:r>
      <w:proofErr w:type="spellEnd"/>
      <w:r w:rsidR="00E7138C" w:rsidRPr="004601EB">
        <w:t>/</w:t>
      </w:r>
      <w:proofErr w:type="spellStart"/>
      <w:r w:rsidR="00E7138C" w:rsidRPr="004601EB">
        <w:t>MHz.</w:t>
      </w:r>
      <w:proofErr w:type="spellEnd"/>
    </w:p>
    <w:p w14:paraId="0E9D4A9C" w14:textId="5601EC4B" w:rsidR="00E7138C" w:rsidRDefault="00471FB0" w:rsidP="004601EB">
      <w:pPr>
        <w:pStyle w:val="ListBullet2"/>
      </w:pPr>
      <w:r>
        <w:t>ITU-R P.526 propagation model (diffraction) given the ‘worst case’</w:t>
      </w:r>
      <w:r w:rsidR="006154E3">
        <w:t xml:space="preserve"> (and therefore short</w:t>
      </w:r>
      <w:r w:rsidR="002F4896">
        <w:t>-</w:t>
      </w:r>
      <w:r w:rsidR="006154E3">
        <w:t>term incidence)</w:t>
      </w:r>
      <w:r>
        <w:t xml:space="preserve"> nature of many of the assumptions used. </w:t>
      </w:r>
      <w:r w:rsidR="00945FF6">
        <w:t xml:space="preserve">Scenario was also modelled using </w:t>
      </w:r>
      <w:r w:rsidR="008B1C2D">
        <w:t xml:space="preserve">Recommendation ITU-R </w:t>
      </w:r>
      <w:r w:rsidR="00945FF6">
        <w:t>P.452 for comparison (assuming 1 and 0.1% incidences) but results didn’t vary appreciably, given the frequency, power, distance and terrain factors involved.</w:t>
      </w:r>
    </w:p>
    <w:p w14:paraId="2696A54E" w14:textId="77777777" w:rsidR="0006428C" w:rsidRDefault="0006428C" w:rsidP="0006428C">
      <w:pPr>
        <w:pStyle w:val="ListBullet2"/>
        <w:numPr>
          <w:ilvl w:val="0"/>
          <w:numId w:val="0"/>
        </w:numPr>
        <w:ind w:left="845" w:hanging="544"/>
      </w:pPr>
    </w:p>
    <w:p w14:paraId="4989A698" w14:textId="5E0348B7" w:rsidR="007074ED" w:rsidRDefault="007074ED" w:rsidP="007074ED">
      <w:pPr>
        <w:pStyle w:val="ACMATableHeader"/>
        <w:keepNext/>
        <w:keepLines/>
        <w:spacing w:before="120" w:after="120"/>
      </w:pPr>
      <w:r w:rsidRPr="007074ED">
        <w:t>HCIS description of proposed exc</w:t>
      </w:r>
      <w:r w:rsidR="001F0706">
        <w:t>lusion</w:t>
      </w:r>
      <w:r w:rsidRPr="007074ED">
        <w:t xml:space="preserve"> </w:t>
      </w:r>
      <w:r w:rsidR="00730A44">
        <w:t>zones</w:t>
      </w:r>
    </w:p>
    <w:tbl>
      <w:tblPr>
        <w:tblStyle w:val="TableGrid"/>
        <w:tblW w:w="8547" w:type="dxa"/>
        <w:tblLayout w:type="fixed"/>
        <w:tblLook w:val="04A0" w:firstRow="1" w:lastRow="0" w:firstColumn="1" w:lastColumn="0" w:noHBand="0" w:noVBand="1"/>
        <w:tblCaption w:val="Table 13"/>
        <w:tblDescription w:val="HCIS description of proposed east coast earth station protection zone areas"/>
      </w:tblPr>
      <w:tblGrid>
        <w:gridCol w:w="1460"/>
        <w:gridCol w:w="7087"/>
      </w:tblGrid>
      <w:tr w:rsidR="006154E3" w:rsidRPr="007074ED" w14:paraId="04FC95BE" w14:textId="77777777" w:rsidTr="00673CF1">
        <w:trPr>
          <w:cantSplit/>
          <w:tblHeader/>
        </w:trPr>
        <w:tc>
          <w:tcPr>
            <w:tcW w:w="1460" w:type="dxa"/>
            <w:shd w:val="clear" w:color="auto" w:fill="404040" w:themeFill="text1" w:themeFillTint="BF"/>
            <w:vAlign w:val="center"/>
          </w:tcPr>
          <w:p w14:paraId="0E182FFE" w14:textId="77777777" w:rsidR="006154E3" w:rsidRPr="007074ED" w:rsidRDefault="006154E3" w:rsidP="00673CF1">
            <w:pPr>
              <w:pStyle w:val="TableHeading"/>
              <w:keepNext/>
              <w:keepLines/>
              <w:spacing w:before="120" w:after="120" w:line="240" w:lineRule="auto"/>
              <w:rPr>
                <w:color w:val="FFFFFF" w:themeColor="background1"/>
              </w:rPr>
            </w:pPr>
            <w:r w:rsidRPr="007074ED">
              <w:rPr>
                <w:color w:val="FFFFFF" w:themeColor="background1"/>
              </w:rPr>
              <w:t>Area name</w:t>
            </w:r>
          </w:p>
        </w:tc>
        <w:tc>
          <w:tcPr>
            <w:tcW w:w="7087" w:type="dxa"/>
            <w:shd w:val="clear" w:color="auto" w:fill="404040" w:themeFill="text1" w:themeFillTint="BF"/>
            <w:vAlign w:val="center"/>
          </w:tcPr>
          <w:p w14:paraId="50F5E91B" w14:textId="77777777" w:rsidR="006154E3" w:rsidRPr="007074ED" w:rsidRDefault="006154E3" w:rsidP="00673CF1">
            <w:pPr>
              <w:pStyle w:val="TableHeading"/>
              <w:keepNext/>
              <w:keepLines/>
              <w:spacing w:before="120" w:after="120" w:line="240" w:lineRule="auto"/>
              <w:rPr>
                <w:color w:val="FFFFFF" w:themeColor="background1"/>
              </w:rPr>
            </w:pPr>
            <w:r w:rsidRPr="007074ED">
              <w:rPr>
                <w:color w:val="FFFFFF" w:themeColor="background1"/>
              </w:rPr>
              <w:t>HCIS</w:t>
            </w:r>
          </w:p>
        </w:tc>
      </w:tr>
      <w:tr w:rsidR="006154E3" w:rsidRPr="007074ED" w14:paraId="325DFEDA" w14:textId="77777777" w:rsidTr="00673CF1">
        <w:trPr>
          <w:cantSplit/>
        </w:trPr>
        <w:tc>
          <w:tcPr>
            <w:tcW w:w="1460" w:type="dxa"/>
          </w:tcPr>
          <w:p w14:paraId="690940D6" w14:textId="77777777" w:rsidR="006154E3" w:rsidRPr="007074ED" w:rsidRDefault="006154E3" w:rsidP="00673CF1">
            <w:pPr>
              <w:pStyle w:val="TableBody"/>
              <w:keepNext/>
              <w:keepLines/>
              <w:spacing w:before="120" w:after="120"/>
            </w:pPr>
            <w:r>
              <w:t>New Norcia</w:t>
            </w:r>
          </w:p>
        </w:tc>
        <w:tc>
          <w:tcPr>
            <w:tcW w:w="7087" w:type="dxa"/>
            <w:vAlign w:val="center"/>
          </w:tcPr>
          <w:p w14:paraId="23092F08" w14:textId="77777777" w:rsidR="006154E3" w:rsidRPr="007074ED" w:rsidRDefault="006154E3" w:rsidP="00673CF1">
            <w:pPr>
              <w:pStyle w:val="TableBody"/>
              <w:keepNext/>
              <w:keepLines/>
              <w:spacing w:before="120" w:after="120"/>
            </w:pPr>
            <w:r>
              <w:t>BU7K, BU7L, BU7O, BU7P, BU8E, BU8F, BU8G, BU8I, BU8J, BU8K, BU8L, BU8M, BU8N, BU8O, BU8P, BV2A, BV2B</w:t>
            </w:r>
          </w:p>
        </w:tc>
      </w:tr>
      <w:tr w:rsidR="006154E3" w:rsidRPr="007D1390" w14:paraId="51608951" w14:textId="77777777" w:rsidTr="00673CF1">
        <w:trPr>
          <w:cantSplit/>
        </w:trPr>
        <w:tc>
          <w:tcPr>
            <w:tcW w:w="1460" w:type="dxa"/>
          </w:tcPr>
          <w:p w14:paraId="5B06CCD5" w14:textId="77777777" w:rsidR="006154E3" w:rsidRPr="007074ED" w:rsidRDefault="006154E3" w:rsidP="00673CF1">
            <w:pPr>
              <w:pStyle w:val="TableBody"/>
              <w:keepNext/>
              <w:keepLines/>
              <w:spacing w:before="120" w:after="120"/>
            </w:pPr>
            <w:r>
              <w:t>Tidbinbilla</w:t>
            </w:r>
          </w:p>
        </w:tc>
        <w:tc>
          <w:tcPr>
            <w:tcW w:w="7087" w:type="dxa"/>
            <w:vAlign w:val="center"/>
          </w:tcPr>
          <w:p w14:paraId="2EECE6D7" w14:textId="77777777" w:rsidR="006154E3" w:rsidRPr="007074ED" w:rsidRDefault="006154E3" w:rsidP="00673CF1">
            <w:pPr>
              <w:pStyle w:val="TableBody"/>
              <w:keepNext/>
              <w:keepLines/>
              <w:spacing w:before="120" w:after="120"/>
            </w:pPr>
            <w:r>
              <w:t>MW4H, MW4D7, MW4L2, MW4L3, MW5I1</w:t>
            </w:r>
          </w:p>
        </w:tc>
      </w:tr>
    </w:tbl>
    <w:p w14:paraId="225A0E17" w14:textId="73DB40A0" w:rsidR="006154E3" w:rsidRDefault="006154E3" w:rsidP="006154E3"/>
    <w:p w14:paraId="3D4B23C6" w14:textId="0944E0E8" w:rsidR="006154E3" w:rsidRDefault="006154E3" w:rsidP="006154E3"/>
    <w:p w14:paraId="3274CE2B" w14:textId="46160FB4" w:rsidR="006154E3" w:rsidRDefault="006154E3" w:rsidP="006154E3"/>
    <w:p w14:paraId="57653C30" w14:textId="61C2E86F" w:rsidR="006154E3" w:rsidRDefault="006154E3" w:rsidP="006154E3"/>
    <w:p w14:paraId="0D5BD2DA" w14:textId="16B4B796" w:rsidR="006154E3" w:rsidRDefault="006154E3" w:rsidP="006154E3"/>
    <w:p w14:paraId="2DF3A66C" w14:textId="7CBE4823" w:rsidR="006154E3" w:rsidRDefault="006154E3" w:rsidP="006154E3"/>
    <w:p w14:paraId="2AE2681E" w14:textId="4AC1150C" w:rsidR="00BB78D9" w:rsidRDefault="00BB78D9" w:rsidP="006154E3"/>
    <w:p w14:paraId="6C515881" w14:textId="77777777" w:rsidR="00BB78D9" w:rsidRDefault="00BB78D9" w:rsidP="006154E3"/>
    <w:p w14:paraId="593C6766" w14:textId="0574D2EA" w:rsidR="000B62E7" w:rsidRPr="006154E3" w:rsidRDefault="000B62E7" w:rsidP="00280297">
      <w:pPr>
        <w:pStyle w:val="ACMAFigureHeader"/>
        <w:keepNext/>
        <w:keepLines/>
        <w:spacing w:before="120" w:after="120"/>
        <w:rPr>
          <w:rFonts w:cs="Arial"/>
        </w:rPr>
      </w:pPr>
      <w:r w:rsidRPr="006154E3">
        <w:lastRenderedPageBreak/>
        <w:t xml:space="preserve">Proposed </w:t>
      </w:r>
      <w:r w:rsidR="006154E3" w:rsidRPr="006154E3">
        <w:t xml:space="preserve">exclusion </w:t>
      </w:r>
      <w:r w:rsidRPr="006154E3">
        <w:t>area</w:t>
      </w:r>
      <w:r w:rsidR="006154E3" w:rsidRPr="006154E3">
        <w:t xml:space="preserve"> around Canberra Deep Space Communications Complex</w:t>
      </w:r>
    </w:p>
    <w:p w14:paraId="7D579C20" w14:textId="530B6F20" w:rsidR="00DA6020" w:rsidRPr="006154E3" w:rsidRDefault="00DD3113" w:rsidP="00280297">
      <w:pPr>
        <w:keepNext/>
        <w:keepLines/>
        <w:spacing w:before="120" w:after="120" w:line="240" w:lineRule="auto"/>
        <w:jc w:val="center"/>
        <w:rPr>
          <w:noProof/>
        </w:rPr>
      </w:pPr>
      <w:r w:rsidRPr="006154E3">
        <w:rPr>
          <w:noProof/>
        </w:rPr>
        <w:drawing>
          <wp:inline distT="0" distB="0" distL="0" distR="0" wp14:anchorId="34C2A1EA" wp14:editId="4331446D">
            <wp:extent cx="3855893" cy="3769743"/>
            <wp:effectExtent l="0" t="0" r="0" b="2540"/>
            <wp:docPr id="6" name="Picture 6" descr="Proposed exclusion area around Canberra Deep Space Communications Compl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872038" cy="3785528"/>
                    </a:xfrm>
                    <a:prstGeom prst="rect">
                      <a:avLst/>
                    </a:prstGeom>
                  </pic:spPr>
                </pic:pic>
              </a:graphicData>
            </a:graphic>
          </wp:inline>
        </w:drawing>
      </w:r>
    </w:p>
    <w:p w14:paraId="392BA38C" w14:textId="1510B9CE" w:rsidR="006154E3" w:rsidRPr="006154E3" w:rsidRDefault="006154E3" w:rsidP="00280297">
      <w:pPr>
        <w:pStyle w:val="ACMAFigureHeader"/>
        <w:keepNext/>
        <w:keepLines/>
        <w:spacing w:before="120" w:after="120"/>
        <w:rPr>
          <w:rFonts w:cs="Arial"/>
        </w:rPr>
      </w:pPr>
      <w:r w:rsidRPr="006154E3">
        <w:t>Proposed e</w:t>
      </w:r>
      <w:r w:rsidR="008B1C2D">
        <w:t>xclusion</w:t>
      </w:r>
      <w:r w:rsidRPr="006154E3">
        <w:t xml:space="preserve"> area around New Norcia Deep Space Ground Station</w:t>
      </w:r>
    </w:p>
    <w:p w14:paraId="2E0CBB36" w14:textId="0760B807" w:rsidR="00B72F8C" w:rsidRPr="007D1390" w:rsidRDefault="00B72F8C" w:rsidP="006154E3">
      <w:pPr>
        <w:spacing w:before="120" w:after="120" w:line="240" w:lineRule="auto"/>
        <w:jc w:val="center"/>
        <w:rPr>
          <w:highlight w:val="yellow"/>
        </w:rPr>
      </w:pPr>
      <w:r>
        <w:rPr>
          <w:noProof/>
        </w:rPr>
        <w:drawing>
          <wp:inline distT="0" distB="0" distL="0" distR="0" wp14:anchorId="2480A6DB" wp14:editId="5A006867">
            <wp:extent cx="3907364" cy="3140765"/>
            <wp:effectExtent l="0" t="0" r="0" b="2540"/>
            <wp:docPr id="7" name="Picture 7" descr="Proposed exclusion area around New Norcia Deep Space Ground S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931982" cy="3160553"/>
                    </a:xfrm>
                    <a:prstGeom prst="rect">
                      <a:avLst/>
                    </a:prstGeom>
                  </pic:spPr>
                </pic:pic>
              </a:graphicData>
            </a:graphic>
          </wp:inline>
        </w:drawing>
      </w:r>
    </w:p>
    <w:p w14:paraId="66675F30" w14:textId="52E0E48F" w:rsidR="00D7214C" w:rsidRDefault="00D7214C" w:rsidP="0006428C">
      <w:pPr>
        <w:pStyle w:val="Heading1"/>
      </w:pPr>
      <w:bookmarkStart w:id="106" w:name="_Toc4664130"/>
      <w:r>
        <w:lastRenderedPageBreak/>
        <w:t xml:space="preserve">Annex </w:t>
      </w:r>
      <w:r w:rsidR="00D53FA7">
        <w:t>F</w:t>
      </w:r>
      <w:r>
        <w:t>—</w:t>
      </w:r>
      <w:r w:rsidR="00B72DDB" w:rsidRPr="0006428C">
        <w:t>Areas</w:t>
      </w:r>
      <w:r w:rsidR="00B72DDB">
        <w:t xml:space="preserve"> subject to additional co</w:t>
      </w:r>
      <w:r w:rsidR="00D1499F">
        <w:t>ndition</w:t>
      </w:r>
      <w:r w:rsidR="00B72DDB">
        <w:t>s</w:t>
      </w:r>
      <w:bookmarkEnd w:id="106"/>
    </w:p>
    <w:p w14:paraId="052E6CBA" w14:textId="0DA81CC7" w:rsidR="005811A6" w:rsidRDefault="003B78C1" w:rsidP="00DA511D">
      <w:pPr>
        <w:spacing w:before="120" w:after="120" w:line="240" w:lineRule="auto"/>
      </w:pPr>
      <w:r>
        <w:t>The areas where additional constrains</w:t>
      </w:r>
      <w:r w:rsidR="000B5D91">
        <w:t xml:space="preserve"> apply</w:t>
      </w:r>
      <w:r>
        <w:t xml:space="preserve"> for wireless broadband services in the range 27</w:t>
      </w:r>
      <w:r w:rsidR="00F95B91">
        <w:t>–</w:t>
      </w:r>
      <w:r>
        <w:t xml:space="preserve">27.5 GHz are provided in </w:t>
      </w:r>
      <w:r w:rsidR="005811A6">
        <w:t>Table 6</w:t>
      </w:r>
      <w:r>
        <w:t xml:space="preserve">. These areas are based on the </w:t>
      </w:r>
      <w:r w:rsidRPr="005154A0">
        <w:t>3</w:t>
      </w:r>
      <w:r w:rsidR="005154A0">
        <w:t xml:space="preserve"> </w:t>
      </w:r>
      <w:r>
        <w:t>dB footprint of satellites at longitudes of 140</w:t>
      </w:r>
      <w:r>
        <w:rPr>
          <w:rFonts w:cs="Arial"/>
        </w:rPr>
        <w:t>°E</w:t>
      </w:r>
      <w:r>
        <w:t xml:space="preserve"> and 145</w:t>
      </w:r>
      <w:r>
        <w:rPr>
          <w:rFonts w:cs="Arial"/>
        </w:rPr>
        <w:t>°E</w:t>
      </w:r>
      <w:r w:rsidR="00BB4C34">
        <w:rPr>
          <w:rFonts w:cs="Arial"/>
        </w:rPr>
        <w:t xml:space="preserve"> for beams</w:t>
      </w:r>
      <w:r>
        <w:rPr>
          <w:rFonts w:cs="Arial"/>
        </w:rPr>
        <w:t xml:space="preserve"> pointed at each of the 10 </w:t>
      </w:r>
      <w:r w:rsidR="00AD170F">
        <w:rPr>
          <w:rFonts w:cs="Arial"/>
        </w:rPr>
        <w:t xml:space="preserve">NBN </w:t>
      </w:r>
      <w:r>
        <w:rPr>
          <w:rFonts w:cs="Arial"/>
        </w:rPr>
        <w:t>gateway earth stations.</w:t>
      </w:r>
    </w:p>
    <w:p w14:paraId="27839622" w14:textId="0585A767" w:rsidR="009158F4" w:rsidRDefault="009158F4" w:rsidP="009158F4">
      <w:pPr>
        <w:spacing w:before="120" w:after="120" w:line="240" w:lineRule="auto"/>
        <w:rPr>
          <w:rFonts w:cs="Arial"/>
        </w:rPr>
      </w:pPr>
      <w:r>
        <w:rPr>
          <w:rFonts w:cs="Arial"/>
        </w:rPr>
        <w:t xml:space="preserve">Figures 6 and 7 show the 3 dB contours of </w:t>
      </w:r>
      <w:r w:rsidR="00AD170F">
        <w:rPr>
          <w:rFonts w:cs="Arial"/>
        </w:rPr>
        <w:t xml:space="preserve">NBN Co’s </w:t>
      </w:r>
      <w:r>
        <w:rPr>
          <w:rFonts w:cs="Arial"/>
        </w:rPr>
        <w:t>Geeveston and Waroona gateway footprints (noting that these are just the footprint ‘contours’ and not the HCIS cells listed in Table 6), overlaying</w:t>
      </w:r>
      <w:r w:rsidR="00742168">
        <w:rPr>
          <w:rFonts w:cs="Arial"/>
        </w:rPr>
        <w:t xml:space="preserve"> some of the</w:t>
      </w:r>
      <w:r>
        <w:rPr>
          <w:rFonts w:cs="Arial"/>
        </w:rPr>
        <w:t xml:space="preserve"> defined areas from Annex D. These are the only </w:t>
      </w:r>
      <w:r w:rsidR="00B55365">
        <w:rPr>
          <w:rFonts w:cs="Arial"/>
        </w:rPr>
        <w:t>areas where</w:t>
      </w:r>
      <w:r w:rsidR="00E76E6B">
        <w:rPr>
          <w:rFonts w:cs="Arial"/>
        </w:rPr>
        <w:t xml:space="preserve"> additional conditions will apply to spectrum licences in the 27</w:t>
      </w:r>
      <w:r w:rsidR="00773959">
        <w:rPr>
          <w:rFonts w:cs="Arial"/>
        </w:rPr>
        <w:t>–</w:t>
      </w:r>
      <w:r w:rsidR="00E76E6B">
        <w:rPr>
          <w:rFonts w:cs="Arial"/>
        </w:rPr>
        <w:t>27.5 GHz segment. Additional conditions will apply to apparatus licences in all other areas listed in Table 6 in that frequency segment.</w:t>
      </w:r>
    </w:p>
    <w:p w14:paraId="3C1263C4" w14:textId="7373CF2A" w:rsidR="001203BC" w:rsidRDefault="00042B86" w:rsidP="0043524C">
      <w:pPr>
        <w:pStyle w:val="ACMAFigureHeader"/>
      </w:pPr>
      <w:r>
        <w:t>3 dB contours (red)</w:t>
      </w:r>
      <w:r w:rsidR="00365E64">
        <w:t xml:space="preserve"> for </w:t>
      </w:r>
      <w:r w:rsidR="00AD170F">
        <w:t xml:space="preserve">NBN Co’s </w:t>
      </w:r>
      <w:r w:rsidR="00365E64">
        <w:t xml:space="preserve">Geeveston gateway footprint overlaying the </w:t>
      </w:r>
      <w:r w:rsidR="00FA3335">
        <w:t xml:space="preserve">Hobart </w:t>
      </w:r>
      <w:r>
        <w:t xml:space="preserve">defined </w:t>
      </w:r>
      <w:r w:rsidR="00523FAE">
        <w:t>area (purple)</w:t>
      </w:r>
      <w:r w:rsidR="00365E64">
        <w:t xml:space="preserve"> </w:t>
      </w:r>
    </w:p>
    <w:p w14:paraId="21E89A3B" w14:textId="71E0F94A" w:rsidR="00042B86" w:rsidRDefault="00FA3335" w:rsidP="00207E60">
      <w:pPr>
        <w:jc w:val="center"/>
      </w:pPr>
      <w:r>
        <w:rPr>
          <w:noProof/>
        </w:rPr>
        <w:drawing>
          <wp:inline distT="0" distB="0" distL="0" distR="0" wp14:anchorId="12222DEB" wp14:editId="46848569">
            <wp:extent cx="3882839" cy="3795622"/>
            <wp:effectExtent l="0" t="0" r="3810" b="0"/>
            <wp:docPr id="4" name="Picture 4" descr="3 dB contours (red) for NBN Co’s Geeveston gateway footprint overlaying the Hobart defined area (pur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889668" cy="3802297"/>
                    </a:xfrm>
                    <a:prstGeom prst="rect">
                      <a:avLst/>
                    </a:prstGeom>
                  </pic:spPr>
                </pic:pic>
              </a:graphicData>
            </a:graphic>
          </wp:inline>
        </w:drawing>
      </w:r>
    </w:p>
    <w:p w14:paraId="5EC874DB" w14:textId="52E229B3" w:rsidR="00207E60" w:rsidRDefault="00207E60">
      <w:pPr>
        <w:spacing w:after="0" w:line="240" w:lineRule="auto"/>
      </w:pPr>
      <w:r>
        <w:br w:type="page"/>
      </w:r>
    </w:p>
    <w:p w14:paraId="56D1EB2B" w14:textId="3CDF79AA" w:rsidR="009158F4" w:rsidRDefault="009158F4" w:rsidP="009158F4">
      <w:pPr>
        <w:pStyle w:val="ACMAFigureHeader"/>
      </w:pPr>
      <w:r>
        <w:lastRenderedPageBreak/>
        <w:t xml:space="preserve">3 dB contours (red) for </w:t>
      </w:r>
      <w:r w:rsidR="00AD170F">
        <w:t xml:space="preserve">NBN Co’s </w:t>
      </w:r>
      <w:r>
        <w:t>Waroona gateway footprint overlaying the Perth, Bunbury and Marg</w:t>
      </w:r>
      <w:r w:rsidR="00742168">
        <w:t>a</w:t>
      </w:r>
      <w:r>
        <w:t xml:space="preserve">ret River defined areas (purple) </w:t>
      </w:r>
    </w:p>
    <w:p w14:paraId="6F29CA29" w14:textId="5D3953F5" w:rsidR="009158F4" w:rsidRDefault="009158F4" w:rsidP="00207E60">
      <w:pPr>
        <w:jc w:val="center"/>
      </w:pPr>
      <w:r>
        <w:rPr>
          <w:noProof/>
        </w:rPr>
        <w:drawing>
          <wp:inline distT="0" distB="0" distL="0" distR="0" wp14:anchorId="7B56D104" wp14:editId="52A73636">
            <wp:extent cx="3891048" cy="3597011"/>
            <wp:effectExtent l="0" t="0" r="0" b="3810"/>
            <wp:docPr id="3" name="Picture 3" descr="3 dB contours (red) for NBN Co’s Waroona gateway footprint overlaying the Perth, Bunbury and Margaret River defined areas (purp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895621" cy="3601239"/>
                    </a:xfrm>
                    <a:prstGeom prst="rect">
                      <a:avLst/>
                    </a:prstGeom>
                  </pic:spPr>
                </pic:pic>
              </a:graphicData>
            </a:graphic>
          </wp:inline>
        </w:drawing>
      </w:r>
    </w:p>
    <w:p w14:paraId="2AB67C93" w14:textId="644B4EE4" w:rsidR="003208D2" w:rsidRDefault="00FC7B05" w:rsidP="003208D2">
      <w:pPr>
        <w:pStyle w:val="ACMATableHeader"/>
      </w:pPr>
      <w:r>
        <w:t>Areas subject to additional constraints for wireless broadband services in the range 27</w:t>
      </w:r>
      <w:r w:rsidR="00773959">
        <w:t>–</w:t>
      </w:r>
      <w:r>
        <w:t>27.5 GHz</w:t>
      </w:r>
    </w:p>
    <w:tbl>
      <w:tblPr>
        <w:tblStyle w:val="TableGrid"/>
        <w:tblW w:w="8547" w:type="dxa"/>
        <w:tblLayout w:type="fixed"/>
        <w:tblLook w:val="04A0" w:firstRow="1" w:lastRow="0" w:firstColumn="1" w:lastColumn="0" w:noHBand="0" w:noVBand="1"/>
        <w:tblCaption w:val="Table 12 "/>
        <w:tblDescription w:val="Table containing a descirption of the proposed areas for re-farming "/>
      </w:tblPr>
      <w:tblGrid>
        <w:gridCol w:w="1696"/>
        <w:gridCol w:w="6851"/>
      </w:tblGrid>
      <w:tr w:rsidR="004046ED" w14:paraId="3B6C44A7" w14:textId="77777777" w:rsidTr="004046ED">
        <w:trPr>
          <w:cantSplit/>
          <w:tblHeader/>
        </w:trPr>
        <w:tc>
          <w:tcPr>
            <w:tcW w:w="1696" w:type="dxa"/>
            <w:shd w:val="clear" w:color="auto" w:fill="404040" w:themeFill="text1" w:themeFillTint="BF"/>
            <w:vAlign w:val="center"/>
          </w:tcPr>
          <w:p w14:paraId="5BC91B35" w14:textId="611A71CB" w:rsidR="004046ED" w:rsidRPr="00C63393" w:rsidRDefault="004046ED" w:rsidP="00673CF1">
            <w:pPr>
              <w:pStyle w:val="TableHeading"/>
              <w:spacing w:before="120" w:after="120" w:line="240" w:lineRule="auto"/>
              <w:rPr>
                <w:color w:val="FFFFFF" w:themeColor="background1"/>
              </w:rPr>
            </w:pPr>
            <w:r>
              <w:rPr>
                <w:color w:val="FFFFFF" w:themeColor="background1"/>
              </w:rPr>
              <w:t>Nbn gateway</w:t>
            </w:r>
          </w:p>
        </w:tc>
        <w:tc>
          <w:tcPr>
            <w:tcW w:w="6851" w:type="dxa"/>
            <w:shd w:val="clear" w:color="auto" w:fill="404040" w:themeFill="text1" w:themeFillTint="BF"/>
            <w:vAlign w:val="center"/>
          </w:tcPr>
          <w:p w14:paraId="4D25BA63" w14:textId="77777777" w:rsidR="004046ED" w:rsidRPr="00C63393" w:rsidRDefault="004046ED" w:rsidP="00673CF1">
            <w:pPr>
              <w:pStyle w:val="TableHeading"/>
              <w:spacing w:before="120" w:after="120" w:line="240" w:lineRule="auto"/>
              <w:rPr>
                <w:color w:val="FFFFFF" w:themeColor="background1"/>
              </w:rPr>
            </w:pPr>
            <w:r w:rsidRPr="00C63393">
              <w:rPr>
                <w:color w:val="FFFFFF" w:themeColor="background1"/>
              </w:rPr>
              <w:t>HCIS</w:t>
            </w:r>
          </w:p>
        </w:tc>
      </w:tr>
      <w:tr w:rsidR="004046ED" w14:paraId="281A173D" w14:textId="77777777" w:rsidTr="004046ED">
        <w:trPr>
          <w:cantSplit/>
        </w:trPr>
        <w:tc>
          <w:tcPr>
            <w:tcW w:w="1696" w:type="dxa"/>
          </w:tcPr>
          <w:p w14:paraId="74D15C53" w14:textId="6FAE75D7" w:rsidR="004046ED" w:rsidRDefault="004046ED" w:rsidP="00673CF1">
            <w:pPr>
              <w:pStyle w:val="TableBody"/>
              <w:spacing w:before="120" w:after="120"/>
            </w:pPr>
            <w:r>
              <w:t>Bourke</w:t>
            </w:r>
          </w:p>
        </w:tc>
        <w:tc>
          <w:tcPr>
            <w:tcW w:w="6851" w:type="dxa"/>
            <w:vAlign w:val="center"/>
          </w:tcPr>
          <w:p w14:paraId="1ECFE1E7" w14:textId="1BF70522" w:rsidR="004046ED" w:rsidRPr="00AA7C5C" w:rsidRDefault="00BF204D" w:rsidP="00673CF1">
            <w:pPr>
              <w:pStyle w:val="TableBody"/>
              <w:spacing w:before="120" w:after="120"/>
            </w:pPr>
            <w:r w:rsidRPr="00BF204D">
              <w:t>LU4F, LU4G, LU4H, LU4J, LU4K, LU4L, LU4M, LU4N, LU4O, LU4P, LU5E, LU5F, LU5I, LU5J, LU5K, LU5M, LU5N, LU5O, LU7A, LU7B, LU7C, LU7D, LU7F, LU7G, LU7H, LU7J, LU7K, LU7L, LU7P, LU8A, LU8B, LU8C, LU8E, LU8F, LU8G, LU8I, LU8J, LU8M, LU4B9, LU4C5, LU4C6, LU4C7, LU4C8, LU4C9, LU4D4, LU4D5, LU4D6, LU4D7, LU4D8, LU4D9, LU4E6, LU4E9, LU4I2, LU4I3, LU4I5, LU4I6, LU4I8, LU4I9, LU5A4, LU5A5, LU5A6, LU5A7, LU5A8, LU5A9, LU5B7, LU5B8, LU5G4, LU5G7, LU5G8, LU5L7, LU5P1, LU5P4, LU5P7, LU7E2, LU7E3, LU7E5, LU7E6, LU7E8, LU7E9, LU7I3, LU7N2, LU7N3, LU7O1, LU7O2, LU7O3, LU7O4, LU7O5, LU7O6, LU7O9, LU8D1, LU8D4, LU8D7, LU8H1, LU8H4, LU8H7, LU8K1, LU8K2, LU8K3, LU8K4, LU8K5, LU8K6, LU8K7, LU8K8, LU8N1, LU8N2, LU8N3, LU8N4, LU8N5, LU8N6, LU8O1</w:t>
            </w:r>
          </w:p>
        </w:tc>
      </w:tr>
      <w:tr w:rsidR="004046ED" w14:paraId="5EA7F7B2" w14:textId="77777777" w:rsidTr="004046ED">
        <w:trPr>
          <w:cantSplit/>
        </w:trPr>
        <w:tc>
          <w:tcPr>
            <w:tcW w:w="1696" w:type="dxa"/>
          </w:tcPr>
          <w:p w14:paraId="19BA3A47" w14:textId="10C17ACF" w:rsidR="004046ED" w:rsidRDefault="004046ED" w:rsidP="00673CF1">
            <w:pPr>
              <w:pStyle w:val="TableBody"/>
              <w:spacing w:before="120" w:after="120"/>
            </w:pPr>
            <w:r>
              <w:lastRenderedPageBreak/>
              <w:t>Carnarvon</w:t>
            </w:r>
          </w:p>
        </w:tc>
        <w:tc>
          <w:tcPr>
            <w:tcW w:w="6851" w:type="dxa"/>
            <w:vAlign w:val="center"/>
          </w:tcPr>
          <w:p w14:paraId="185A6381" w14:textId="4119F003" w:rsidR="004046ED" w:rsidRPr="00AA7C5C" w:rsidRDefault="006118E4" w:rsidP="00673CF1">
            <w:pPr>
              <w:pStyle w:val="TableBody"/>
              <w:spacing w:before="120" w:after="120"/>
            </w:pPr>
            <w:r w:rsidRPr="006118E4">
              <w:t>AS8C, AS8D, AS8F, AS8G, AS8H, AS8I, AS8J, AS8K, AS8L, AS8M, AS8N, AS8O, AS8P, AS9A, AS9B, AS9E, AS9F, AS9G, AS9I, AS9J, AS9K, AS9M, AS9N, AS9O, AT1D, AT1H, AT2A, AT2B, AT2C, AT2D, AT2E, AT2F, AT2G, AT2H, AT2I, AT2J, AT2K, AT3A, AT3B, AT3E, AS5P9, AS6M7, AS6M8, AS8A9, AS8B5, AS8B6, AS8B7, AS8B8, AS8B9, AS8E2, AS8E3, AS8E4, AS8E5, AS8E6, AS8E7, AS8E8, AS8E9, AS9C4, AS9C5, AS9C7, AS9C8, AS9H4, AS9H7, AS9L1, AS9L4, AS9L7, AS9P1, AT1C2, AT1C3, AT1C5, AT1C6, AT1C8, AT1C9, AT1G2, AT1G3, AT1G5, AT1G6, AT1G8, AT1G9, AT1K3, AT1L1, AT1L2, AT1L3, AT1L4, AT1L5, AT1L6, AT1L9, AT2L1, AT2L2, AT2L3, AT2L4, AT2L5, AT2L6, AT2L7, AT2L8, AT2M3, AT2N1, AT2N2, AT2N3, AT3C1, AT3C2, AT3C3, AT3C4, AT3C5, AT3C7, AT3F1, AT3F2, AT3F3, AT3F4, AT3F5, AT3F7, AT3I1, AT3I2, AT3I3, AT3I4</w:t>
            </w:r>
          </w:p>
        </w:tc>
      </w:tr>
      <w:tr w:rsidR="004046ED" w14:paraId="1984D609" w14:textId="77777777" w:rsidTr="004046ED">
        <w:trPr>
          <w:cantSplit/>
        </w:trPr>
        <w:tc>
          <w:tcPr>
            <w:tcW w:w="1696" w:type="dxa"/>
          </w:tcPr>
          <w:p w14:paraId="741A1255" w14:textId="707BE9E2" w:rsidR="004046ED" w:rsidRDefault="004046ED" w:rsidP="00673CF1">
            <w:pPr>
              <w:pStyle w:val="TableBody"/>
              <w:spacing w:before="120" w:after="120"/>
            </w:pPr>
            <w:r>
              <w:t>Ceduna</w:t>
            </w:r>
          </w:p>
        </w:tc>
        <w:tc>
          <w:tcPr>
            <w:tcW w:w="6851" w:type="dxa"/>
            <w:vAlign w:val="bottom"/>
          </w:tcPr>
          <w:p w14:paraId="273E3BB2" w14:textId="7507F666" w:rsidR="004046ED" w:rsidRPr="00AA7C5C" w:rsidRDefault="006118E4" w:rsidP="00673CF1">
            <w:pPr>
              <w:pStyle w:val="TableBody"/>
              <w:spacing w:before="120" w:after="120"/>
            </w:pPr>
            <w:r w:rsidRPr="006118E4">
              <w:t>HV4, GV6D, GV6H, HV1F, HV1G, HV1H, HV1I, HV1J, HV1K, HV1L, HV1M, HV1N, HV1O, HV1P, HV2E, HV2I, HV2J, HV2M, HV2N, HV5A, HV5B, HV5E, HV5F, HV5I, GV3L3, GV3L6, GV3L8, GV3L9, GV3P2, GV3P3, GV3P4, GV3P5, GV3P6, GV3P7, GV3P8, GV3P9, GV6L1, GV6L2, GV6L3, GV6L4, GV6L5, GV6L6, GV6L8, GV6L9, GV6P2, GV6P3, GV6P6, HV1B8, HV1B9, HV1C7, HV1C8, HV1C9, HV1D7, HV1D8, HV1D9, HV1E5, HV1E6, HV1E7, HV1E8, HV1E9, HV2A7, HV2A8, HV2A9, HV2F1, HV2F4, HV2F5, HV2F7, HV2F8, HV2F9, HV2K1, HV2K4, HV2K7, HV2O1, HV2O2, HV2O4, HV2O5, HV2O7, HV2O8, HV5C1, HV5C2, HV5C4, HV5C5, HV5C7, HV5C8, HV5G1, HV5G4, HV5G7, HV5J1, HV5J2, HV5J3, HV5J4, HV5J5, HV5J6, HV5J7, HV5J8, HV5M1, HV5M2, HV5M3, HV5M4, HV5M5, HV5M6, HV5M7, HV5M8, HV5N1</w:t>
            </w:r>
          </w:p>
        </w:tc>
      </w:tr>
      <w:tr w:rsidR="004046ED" w14:paraId="1D664D0A" w14:textId="77777777" w:rsidTr="004046ED">
        <w:trPr>
          <w:cantSplit/>
          <w:trHeight w:val="397"/>
        </w:trPr>
        <w:tc>
          <w:tcPr>
            <w:tcW w:w="1696" w:type="dxa"/>
          </w:tcPr>
          <w:p w14:paraId="4D32D214" w14:textId="09B2FFF2" w:rsidR="004046ED" w:rsidRDefault="004046ED" w:rsidP="00673CF1">
            <w:pPr>
              <w:pStyle w:val="TableBody"/>
              <w:spacing w:before="120" w:after="120"/>
            </w:pPr>
            <w:r>
              <w:t>Geeveston</w:t>
            </w:r>
          </w:p>
        </w:tc>
        <w:tc>
          <w:tcPr>
            <w:tcW w:w="6851" w:type="dxa"/>
          </w:tcPr>
          <w:p w14:paraId="31B239F5" w14:textId="4911194B" w:rsidR="004046ED" w:rsidRPr="00AA7C5C" w:rsidRDefault="006118E4" w:rsidP="00673CF1">
            <w:pPr>
              <w:pStyle w:val="TableBody"/>
              <w:spacing w:before="120" w:after="120"/>
            </w:pPr>
            <w:r w:rsidRPr="006118E4">
              <w:t>LY8B, LY8C, LY8D, LY8E, LY8F, LY8G, LY8H, LY8I, LY8J, LY8K, LY8L, LY8M, LY8N, LY8O, LY8P, LY9A, LY9E, LY9F, LY9G, LY9I, LY9J, LY9K, LY9M, LY9N, LY9O, LY9P, LZ2A, LZ2B, LZ2C, LZ2D, LZ2E, LZ2F, LZ2G, LZ2H, LZ2I, LZ2J, LZ2K, LZ2L, LZ2N, LZ2O, LZ2P, LZ3A, LZ3B, LZ3C, LZ3D, LZ3E, LZ3F, LZ3G, LZ3H, LZ3I, LZ3J, LZ3K, LZ3L, LZ3M, LZ3N, LZ3O, LY5N9, LY5O7, LY5O8, LY5O9, LY5P7, LY5P8, LY5P9, LY6M7, LY6M8, LY6M9, LY7H9, LY7L3, LY7L5, LY7L6, LY7L8, LY7L9, LY7P2, LY7P3, LY7P5, LY7P6, LY7P8, LY7P9, LY8A6, LY8A8, LY8A9, LY9B1, LY9B2, LY9B4, LY9B5, LY9B6, LY9B7, LY9B8, LY9B9, LY9C4, LY9C7, LY9C8, LY9H4, LY9H7, LY9L1, LY9L2, LY9L4, LY9L5, LY9L7, LY9L8, LY9L9, LZ1D2, LZ1D3, LZ1D5, LZ1D6, LZ1D8, LZ1D9, LZ1H2, LZ1H3, LZ1H5, LZ1H6, LZ1H9, LZ1L3, LZ1L6, LZ2M1, LZ2M2, LZ2M3, LZ2M5, LZ2M6, LZ2M9, LZ3P1, LZ3P2, LZ3P3, LZ3P4, LZ3P5, LZ3P6, LZ3P7, LZ3P8, MZ1A1, MZ1A4, MZ1A7, MZ1E1, MZ1E4, MZ1E7, MZ1I1, MZ1I4</w:t>
            </w:r>
          </w:p>
        </w:tc>
      </w:tr>
      <w:tr w:rsidR="004046ED" w14:paraId="2A40DF56" w14:textId="77777777" w:rsidTr="004046ED">
        <w:trPr>
          <w:cantSplit/>
        </w:trPr>
        <w:tc>
          <w:tcPr>
            <w:tcW w:w="1696" w:type="dxa"/>
          </w:tcPr>
          <w:p w14:paraId="1B4190F9" w14:textId="46D53ABA" w:rsidR="004046ED" w:rsidRDefault="004046ED" w:rsidP="00673CF1">
            <w:pPr>
              <w:pStyle w:val="TableBody"/>
              <w:spacing w:before="120" w:after="120"/>
            </w:pPr>
            <w:r>
              <w:lastRenderedPageBreak/>
              <w:t>Kalgoorlie</w:t>
            </w:r>
          </w:p>
        </w:tc>
        <w:tc>
          <w:tcPr>
            <w:tcW w:w="6851" w:type="dxa"/>
            <w:vAlign w:val="center"/>
          </w:tcPr>
          <w:p w14:paraId="3D636C5C" w14:textId="734CF8C3" w:rsidR="004046ED" w:rsidRPr="00866481" w:rsidRDefault="006118E4" w:rsidP="00673CF1">
            <w:pPr>
              <w:pStyle w:val="TableBody"/>
              <w:spacing w:before="120" w:after="120"/>
            </w:pPr>
            <w:r w:rsidRPr="006118E4">
              <w:t>DU7, CU9H, CU9K, CU9L, CU9O, CU9P, CV3B, CV3C, CV3D, CV3G, CV3H, CV3L, DU8A, DU8E, DU8I, DU8M, DV1A, DV1B, DV1C, DV1D, DV1E, DV1F, DV1G, DV1H, DV1I, DV1J, CU9D3, CU9D5, CU9D6, CU9D7, CU9D8, CU9D9, CU9G3, CU9G5, CU9G6, CU9G7, CU9G8, CU9G9, CU9J3, CU9J6, CU9J8, CU9J9, CU9N2, CU9N3, CU9N5, CU9N6, CU9N7, CU9N8, CU9N9, CV3F1, CV3F2, CV3F3, CV3F5, CV3F6, CV3F8, CV3F9, CV3J3, CV3K1, CV3K2, CV3K3, CV3K4, CV3K5, CV3K6, CV3K8, CV3K9, CV3P2, CV3P3, DU4M8, DU4M9, DU4N4, DU4N5, DU4N6, DU4N7, DU4N8, DU4N9, DU4O4, DU4O5, DU4O6, DU4O7, DU4O8, DU4O9, DU4P4, DU4P5, DU4P6, DU4P7, DU4P8, DU4P9, DU5M7, DU5M8, DU8B4, DU8B7, DU8B8, DU8F1, DU8F2, DU8F4, DU8F5, DU8F7, DU8F8, DU8J1, DU8J2, DU8J4, DU8J5, DU8J7, DU8J8, DU8N1, DU8N2, DU8N4, DU8N5, DU8N7, DV1K1, DV1K2, DV1K3, DV1K4, DV1K5, DV1K6, DV1K7, DV1L1, DV1M1, DV1M2, DV2A1, DV2A2, DV2A3, DV2A4, DV2A5, DV2A6, DV2A7, DV2A8, DV2B1, DV2E1, DV2E2, DV2E4</w:t>
            </w:r>
          </w:p>
        </w:tc>
      </w:tr>
      <w:tr w:rsidR="004046ED" w14:paraId="119F60C5" w14:textId="77777777" w:rsidTr="004046ED">
        <w:trPr>
          <w:cantSplit/>
        </w:trPr>
        <w:tc>
          <w:tcPr>
            <w:tcW w:w="1696" w:type="dxa"/>
          </w:tcPr>
          <w:p w14:paraId="37DBB95F" w14:textId="0968F196" w:rsidR="004046ED" w:rsidRDefault="004046ED" w:rsidP="00673CF1">
            <w:pPr>
              <w:pStyle w:val="TableBody"/>
              <w:spacing w:before="120" w:after="120"/>
            </w:pPr>
            <w:r>
              <w:t>Moonyoonooka</w:t>
            </w:r>
          </w:p>
        </w:tc>
        <w:tc>
          <w:tcPr>
            <w:tcW w:w="6851" w:type="dxa"/>
            <w:vAlign w:val="center"/>
          </w:tcPr>
          <w:p w14:paraId="0363401E" w14:textId="4E34641E" w:rsidR="004046ED" w:rsidRPr="00AA7C5C" w:rsidRDefault="006118E4" w:rsidP="00673CF1">
            <w:pPr>
              <w:pStyle w:val="TableBody"/>
              <w:spacing w:before="120" w:after="120"/>
            </w:pPr>
            <w:r w:rsidRPr="006118E4">
              <w:t>AU2L, AU2P, AU3C, AU3D, AU3E, AU3F, AU3G, AU3H, AU3I, AU3J, AU3K, AU3L, AU3M, AU3N, AU3O, AU3P, AU6A, AU6B, AU6C, AU6D, AU6E, AU6F, AU6G, AU6H, AU6I, AU6J, AU6K, BU1A, BU1B, BU1C, BU1E, BU1F, BU1G, BU1I, BU1J, BU1K, BU1M, BU1N, BU1O, BU4A, BU4B, BU4E, AT9O6, AT9O7, AT9O8, AT9O9, AT9P4, AT9P5, AT9P6, AT9P7, AT9P8, AT9P9, AU2H6, AU2H8, AU2H9, AU2K6, AU2K9, AU2O2, AU2O3, AU2O5, AU2O6, AU2O8, AU2O9, AU3A6, AU3A8, AU3A9, AU3B2, AU3B3, AU3B4, AU3B5, AU3B6, AU3B7, AU3B8, AU3B9, AU6L1, AU6L2, AU6L3, AU6L4, AU6L5, AU6L6, BT7M4, BT7M5, BT7M6, BT7M7, BT7M8, BT7M9, BT7N4, BT7N5, BT7N6, BT7N7, BT7N8, BT7N9, BT7O7, BT7O8, BU1D4, BU1D7, BU1H1, BU1H2, BU1H4, BU1H5, BU1H7, BU1H8, BU1L1, BU1L2, BU1L4, BU1L5, BU1L7, BU1L8, BU1P1, BU1P4, BU4C1, BU4C2, BU4C3, BU4C4, BU4C5, BU4C7, BU4F1, BU4F2, BU4F3, BU4F4, BU4F5, BU4I1, BU4I2</w:t>
            </w:r>
          </w:p>
        </w:tc>
      </w:tr>
      <w:tr w:rsidR="004046ED" w14:paraId="10DF9B5D" w14:textId="77777777" w:rsidTr="004046ED">
        <w:trPr>
          <w:cantSplit/>
        </w:trPr>
        <w:tc>
          <w:tcPr>
            <w:tcW w:w="1696" w:type="dxa"/>
          </w:tcPr>
          <w:p w14:paraId="5E7305F1" w14:textId="4C54A1A3" w:rsidR="004046ED" w:rsidRDefault="004046ED" w:rsidP="00673CF1">
            <w:pPr>
              <w:pStyle w:val="TableBody"/>
              <w:spacing w:before="120" w:after="120"/>
            </w:pPr>
            <w:proofErr w:type="spellStart"/>
            <w:r>
              <w:t>Nugee</w:t>
            </w:r>
            <w:proofErr w:type="spellEnd"/>
          </w:p>
        </w:tc>
        <w:tc>
          <w:tcPr>
            <w:tcW w:w="6851" w:type="dxa"/>
          </w:tcPr>
          <w:p w14:paraId="7DB7D7D2" w14:textId="291620B4" w:rsidR="004046ED" w:rsidRPr="00AA7C5C" w:rsidRDefault="006118E4" w:rsidP="00673CF1">
            <w:pPr>
              <w:pStyle w:val="TableBody"/>
              <w:spacing w:before="120" w:after="120"/>
            </w:pPr>
            <w:r w:rsidRPr="006118E4">
              <w:t>JV2L, JV2P, JV3B, JV3C, JV3D, JV3E, JV3F, JV3G, JV3H, JV3I, JV3J, JV3K, JV3L, JV3M, JV3N, JV3O, JV3P, JV5D, JV5H, JV6A, JV6B, JV6C, JV6D, JV6E, JV6F, JV6G, JV6H, JV6I, JV6J, JV6K, JV6L, KV1E, KV1I, KV1M, KV1N, KV4A, KV4E, JU9N8, JU9N9, JU9O7, JU9O8, JU9O9, JU9P7, JV2D6, JV2D8, JV2D9, JV2G9, JV2H2, JV2H3, JV2H4, JV2H5, JV2H6, JV2H7, JV2H8, JV2H9, JV2K3, JV2K6, JV2K8, JV2K9, JV2O2, JV2O3, JV2O5, JV2O6, JV2O8, JV2O9, JV3A2, JV3A3, JV3A4, JV3A5, JV3A6, JV3A7, JV3A8, JV3A9, JV5C2, JV5C3, JV5C5, JV5C6, JV5C9, JV5G3, JV5G6, JV5L1, JV5L2, JV5L3, JV5L5, JV5L6, JV5L9, JV6M1, JV6M2, JV6M3, JV6N1, JV6N2, JV6N3, JV6N4, JV6N5, JV6N6, JV6O1, JV6O2, JV6O3, JV6O4, JV6O5, JV6O6, JV6P1, JV6P2, JV6P3, JV6P4, KV1A4, KV1A5, KV1A7, KV1A8, KV1A9, KV1F1, KV1F4, KV1F7, KV1F8, KV1J1, KV1J2, KV1J4, KV1J5, KV1J7, KV1J8, KV1J9, KV4B1, KV4B2, KV4B3, KV4B4, KV4B5, KV4B6, KV4B7, KV4B8, KV4F1, KV4F2, KV4F4, KV4F5, KV4F7, KV4I1, KV4I2, KV4I3, KV4I4, KV4I5, KV4I6, KV4I7, KV4I8, KV4J1</w:t>
            </w:r>
          </w:p>
        </w:tc>
      </w:tr>
      <w:tr w:rsidR="004046ED" w14:paraId="11F1800E" w14:textId="77777777" w:rsidTr="004046ED">
        <w:trPr>
          <w:cantSplit/>
        </w:trPr>
        <w:tc>
          <w:tcPr>
            <w:tcW w:w="1696" w:type="dxa"/>
          </w:tcPr>
          <w:p w14:paraId="6126CF52" w14:textId="347337C8" w:rsidR="004046ED" w:rsidRDefault="004046ED" w:rsidP="00673CF1">
            <w:pPr>
              <w:pStyle w:val="TableBody"/>
              <w:spacing w:before="120" w:after="120"/>
            </w:pPr>
            <w:r>
              <w:lastRenderedPageBreak/>
              <w:t>Roma</w:t>
            </w:r>
          </w:p>
        </w:tc>
        <w:tc>
          <w:tcPr>
            <w:tcW w:w="6851" w:type="dxa"/>
          </w:tcPr>
          <w:p w14:paraId="28EC7281" w14:textId="58AB42AB" w:rsidR="004046ED" w:rsidRPr="00AA7C5C" w:rsidRDefault="006118E4" w:rsidP="00673CF1">
            <w:pPr>
              <w:pStyle w:val="TableBody"/>
              <w:spacing w:before="120" w:after="120"/>
            </w:pPr>
            <w:r w:rsidRPr="006118E4">
              <w:t>MT1O, MT1P, MT2M, MT4B, MT4C, MT4D, MT4E, MT4F, MT4G, MT4H, MT4I, MT4J, MT4K, MT4L, MT4N, MT4O, MT4P, MT5A, MT5B, MT5E, MT5F, MT5I, MT5J, MT5K, MT5M, MT5N, MT5O, MT7B, MT7C, MT7D, MT7H, MT8A, MT8B, MT8E, MT1K7, MT1K8, MT1K9, MT1L7, MT1L8, MT1L9, MT1M9, MT1N2, MT1N3, MT1N4, MT1N5, MT1N6, MT1N7, MT1N8, MT1N9, MT2I7, MT2N4, MT2N5, MT2N7, MT2N8, MT2N9, MT4A2, MT4A3, MT4A4, MT4A5, MT4A6, MT4A7, MT4A8, MT4A9, MT4M1, MT4M2, MT4M3, MT4M4, MT4M5, MT4M6, MT4M8, MT4M9, MT5C1, MT5C4, MT5C7, MT5C8, MT5G1, MT5G2, MT5G4, MT5G5, MT5G6, MT5G7, MT5G8, MT5G9, MT7A2, MT7A3, MT7A6, MT7A9, MT7F1, MT7F2, MT7F3, MT7F6, MT7G1, MT7G2, MT7G3, MT7G4, MT7G5, MT7G6, MT7G8, MT7G9, MT8C1, MT8C2, MT8C4, MT8C5, MT8C7, MT8F1, MT8F2, MT8F3, MT8F4, MT8F5</w:t>
            </w:r>
          </w:p>
        </w:tc>
      </w:tr>
      <w:tr w:rsidR="004046ED" w14:paraId="46CD9D40" w14:textId="77777777" w:rsidTr="004046ED">
        <w:trPr>
          <w:cantSplit/>
        </w:trPr>
        <w:tc>
          <w:tcPr>
            <w:tcW w:w="1696" w:type="dxa"/>
          </w:tcPr>
          <w:p w14:paraId="0410402E" w14:textId="04A08DD2" w:rsidR="004046ED" w:rsidRDefault="004046ED" w:rsidP="00673CF1">
            <w:pPr>
              <w:pStyle w:val="TableBody"/>
              <w:spacing w:before="120" w:after="120"/>
            </w:pPr>
            <w:r>
              <w:t>Waroona</w:t>
            </w:r>
          </w:p>
        </w:tc>
        <w:tc>
          <w:tcPr>
            <w:tcW w:w="6851" w:type="dxa"/>
          </w:tcPr>
          <w:p w14:paraId="7E7AC467" w14:textId="4FE25A76" w:rsidR="004046ED" w:rsidRPr="00AA7C5C" w:rsidRDefault="006118E4" w:rsidP="00673CF1">
            <w:pPr>
              <w:pStyle w:val="TableBody"/>
              <w:spacing w:before="120" w:after="120"/>
            </w:pPr>
            <w:r w:rsidRPr="006118E4">
              <w:t>AV9D, AV9H, AV9L, BV4D, BV4F, BV4G, BV4H, BV4I, BV4J, BV4K, BV4L, BV4M, BV4N, BV4O, BV4P, BV5A, BV5B, BV5C, BV5E, BV5F, BV5G, BV5H, BV5I, BV5J, BV5K, BV5L, BV5M, BV5N, BV5O, BV5P, BV7A, BV7B, BV7C, BV7D, BV7E, BV7F, BV7G, BV7H, BV7I, BV7J, BV7K, BV7L, BV8A, BV8B, BV8C, BV8E, BV8F, BV8I, AV9C3, AV9C6, AV9C9, AV9G3, AV9G6, AV9G9, AV9K3, AV9P2, AV9P3, BV1P8, BV1P9, BV2M7, BV2M8, BV2M9, BV2N4, BV2N5, BV2N6, BV2N7, BV2N8, BV2N9, BV2O7, BV2O8, BV2O9, BV2P7, BV4B8, BV4B9, BV4C2, BV4C3, BV4C4, BV4C5, BV4C6, BV4C7, BV4C8, BV4C9, BV4E6, BV4E8, BV4E9, BV5D1, BV5D2, BV5D4, BV5D5, BV5D6, BV5D7, BV5D8, BV5D9, BV6A7, BV6E1, BV6E4, BV6E7, BV6E8, BV6I1, BV6I2, BV6I4, BV6I5, BV6I7, BV6M1, BV6M4, BV7M1, BV7M2, BV7M3, BV7M4, BV7M5, BV7M6, BV7N1, BV7N2, BV7N3, BV7N4, BV7N5, BV7N6, BV7O1, BV7O2, BV7O3, BV7O4, BV7O5, BV7O6, BV7P1, BV7P2, BV7P3, BV7P4, BV7P5, BV8D1, BV8D2, BV8D3, BV8D4, BV8D5, BV8D7, BV8G1, BV8G2, BV8G3, BV8G4, BV8G5, BV8G6, BV8G7, BV8G8, BV8H1, BV8J1, BV8J2, BV8J3, BV8</w:t>
            </w:r>
            <w:r>
              <w:t xml:space="preserve">J4, </w:t>
            </w:r>
            <w:r w:rsidRPr="006118E4">
              <w:t>BV8J5, BV8J7, BV8M1, BV8M2</w:t>
            </w:r>
          </w:p>
        </w:tc>
      </w:tr>
      <w:tr w:rsidR="004046ED" w14:paraId="299CFA8D" w14:textId="77777777" w:rsidTr="004046ED">
        <w:trPr>
          <w:cantSplit/>
          <w:trHeight w:val="495"/>
        </w:trPr>
        <w:tc>
          <w:tcPr>
            <w:tcW w:w="1696" w:type="dxa"/>
          </w:tcPr>
          <w:p w14:paraId="505BFEBF" w14:textId="73A94474" w:rsidR="004046ED" w:rsidRDefault="004046ED" w:rsidP="00673CF1">
            <w:pPr>
              <w:pStyle w:val="TableBody"/>
              <w:spacing w:before="120" w:after="120"/>
            </w:pPr>
            <w:r>
              <w:t>Wolumla</w:t>
            </w:r>
          </w:p>
        </w:tc>
        <w:tc>
          <w:tcPr>
            <w:tcW w:w="6851" w:type="dxa"/>
          </w:tcPr>
          <w:p w14:paraId="7448D840" w14:textId="17A6DE8B" w:rsidR="004046ED" w:rsidRPr="00AA7C5C" w:rsidRDefault="00AF48D0" w:rsidP="00673CF1">
            <w:pPr>
              <w:pStyle w:val="TableBody"/>
              <w:spacing w:before="120" w:after="120"/>
            </w:pPr>
            <w:r w:rsidRPr="00AF48D0">
              <w:t>MW8, MW5N, MW5O, MW5P, MW7L, MW9A, MW9B, MW9E, MW9F, MW9I, MW9J, MW9K, MW9M, MW9N, MW9O, MX2A, MX2B, MX2C, MX2D, MX2E, MX2F, MX2G, MX2H, MX2K, MX2L, MX3A, MX3B, MX3C, MX3E, MX3F, MX3G, MX3I, MX3J, MW5M5, MW5M6, MW5M7, MW5M8, MW5M9, MW6M1, MW6M4, MW6M5, MW6M6, MW6M7, MW6M8, MW6M9, MW6N7, MW7D3, MW7D6, MW7D8, MW7D9, MW7H2, MW7H3, MW7H5, MW7H6, MW7H7, MW7H8, MW7H9, MW7P1, MW7P2, MW7P3, MW7P5, MW7P6, MW7P8, MW7P9, MW9C7, MW9G1, MW9G2, MW9G4, MW9G5, MW9G7, MW9G8, MW9G9, MW9L7, MW9P1, MW9P4, MW9P7, MX1D2, MX1D3, MX1D5, MX1D6, MX1D9, MX1H3, MX2I2, MX2I3, MX2I6, MX2J1, MX2J2, MX2J3, MX2J4, MX2J5, MX2J6, MX2J8, MX2J9, MX2N3, MX2O1, MX2O2, MX2O3, MX2P1, MX2P2, MX2P3, MX2P5, MX2P6, MX3D1, MX3D4, MX3D7, MX3K1, MX3K2, MX3K4, MX3M1, MX3M2, MX3M3, MX3M4, MX3N1, MX3N2</w:t>
            </w:r>
          </w:p>
        </w:tc>
      </w:tr>
    </w:tbl>
    <w:p w14:paraId="77190C8A" w14:textId="15E16750" w:rsidR="00D866BF" w:rsidRPr="00D866BF" w:rsidRDefault="00D866BF" w:rsidP="00D866BF"/>
    <w:sectPr w:rsidR="00D866BF" w:rsidRPr="00D866BF" w:rsidSect="00C77380">
      <w:headerReference w:type="even" r:id="rId47"/>
      <w:headerReference w:type="default" r:id="rId48"/>
      <w:footerReference w:type="even" r:id="rId49"/>
      <w:footerReference w:type="default" r:id="rId50"/>
      <w:pgSz w:w="11906" w:h="16838" w:code="9"/>
      <w:pgMar w:top="1945" w:right="3101" w:bottom="1134" w:left="1134" w:header="709" w:footer="11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F78B0B6" w14:textId="77777777" w:rsidR="00A634A2" w:rsidRDefault="00A634A2">
      <w:r>
        <w:separator/>
      </w:r>
    </w:p>
  </w:endnote>
  <w:endnote w:type="continuationSeparator" w:id="0">
    <w:p w14:paraId="2F5B614B" w14:textId="77777777" w:rsidR="00A634A2" w:rsidRDefault="00A634A2">
      <w:r>
        <w:continuationSeparator/>
      </w:r>
    </w:p>
  </w:endnote>
  <w:endnote w:type="continuationNotice" w:id="1">
    <w:p w14:paraId="0B03DCC1" w14:textId="77777777" w:rsidR="00A634A2" w:rsidRDefault="00A634A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NeueLT Std Lt">
    <w:altName w:val="Times New Roman"/>
    <w:panose1 w:val="020B0403020202020204"/>
    <w:charset w:val="00"/>
    <w:family w:val="swiss"/>
    <w:notTrueType/>
    <w:pitch w:val="variable"/>
    <w:sig w:usb0="800000AF" w:usb1="4000204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Verdana">
    <w:panose1 w:val="020B0604030504040204"/>
    <w:charset w:val="00"/>
    <w:family w:val="swiss"/>
    <w:pitch w:val="variable"/>
    <w:sig w:usb0="A10006FF" w:usb1="4000205B" w:usb2="00000010" w:usb3="00000000" w:csb0="0000019F" w:csb1="00000000"/>
  </w:font>
  <w:font w:name="'宋体">
    <w:altName w:val="Microsoft YaHei"/>
    <w:charset w:val="86"/>
    <w:family w:val="auto"/>
    <w:pitch w:val="variable"/>
    <w:sig w:usb0="00000001" w:usb1="080E0000" w:usb2="00000010" w:usb3="00000000" w:csb0="00040000" w:csb1="00000000"/>
  </w:font>
  <w:font w:name="Futura Std Light">
    <w:altName w:val="Century Gothic"/>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F18551" w14:textId="77777777" w:rsidR="00B012A1" w:rsidRPr="00A5474E" w:rsidRDefault="00B012A1" w:rsidP="00A5474E">
    <w:pPr>
      <w:pStyle w:val="Footer"/>
    </w:pPr>
    <w:r>
      <w:rPr>
        <w:noProof/>
      </w:rPr>
      <w:drawing>
        <wp:inline distT="0" distB="0" distL="0" distR="0" wp14:anchorId="02F1C8B6" wp14:editId="10AD9815">
          <wp:extent cx="3483864" cy="249613"/>
          <wp:effectExtent l="0" t="0" r="0" b="0"/>
          <wp:docPr id="14" name="Picture 14" title="Australian communications and Media Authority tagline – communicating, facilitating, regula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CM_A4Letterhead_Strapline.jpg"/>
                  <pic:cNvPicPr/>
                </pic:nvPicPr>
                <pic:blipFill>
                  <a:blip r:embed="rId1">
                    <a:extLst>
                      <a:ext uri="{28A0092B-C50C-407E-A947-70E740481C1C}">
                        <a14:useLocalDpi xmlns:a14="http://schemas.microsoft.com/office/drawing/2010/main" val="0"/>
                      </a:ext>
                    </a:extLst>
                  </a:blip>
                  <a:stretch>
                    <a:fillRect/>
                  </a:stretch>
                </pic:blipFill>
                <pic:spPr>
                  <a:xfrm>
                    <a:off x="0" y="0"/>
                    <a:ext cx="3483864" cy="249613"/>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133A12" w14:textId="77777777" w:rsidR="00B012A1" w:rsidRDefault="00B012A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2881BE" w14:textId="77777777" w:rsidR="00B012A1" w:rsidRDefault="00B012A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826241" w14:textId="2F7E7BEC" w:rsidR="00B012A1" w:rsidRPr="00622A3B" w:rsidRDefault="00B012A1" w:rsidP="00971914">
    <w:pPr>
      <w:pStyle w:val="Footer"/>
      <w:framePr w:w="1334" w:h="357" w:hRule="exact" w:vSpace="425" w:wrap="around" w:vAnchor="page" w:hAnchor="page" w:x="1156" w:y="16166"/>
      <w:pBdr>
        <w:top w:val="single" w:sz="4" w:space="1" w:color="auto"/>
      </w:pBdr>
      <w:tabs>
        <w:tab w:val="clear" w:pos="113"/>
        <w:tab w:val="left" w:pos="284"/>
      </w:tabs>
      <w:rPr>
        <w:rFonts w:cs="Arial"/>
      </w:rPr>
    </w:pPr>
    <w:r w:rsidRPr="00622A3B">
      <w:rPr>
        <w:rFonts w:cs="Arial"/>
        <w:b/>
        <w:noProof/>
        <w:spacing w:val="-16"/>
        <w:sz w:val="20"/>
        <w:szCs w:val="20"/>
      </w:rPr>
      <w:t>a</w:t>
    </w:r>
    <w:r w:rsidRPr="00622A3B">
      <w:rPr>
        <w:rFonts w:cs="Arial"/>
        <w:b/>
        <w:noProof/>
        <w:spacing w:val="-15"/>
        <w:sz w:val="20"/>
        <w:szCs w:val="20"/>
      </w:rPr>
      <w:t>c</w:t>
    </w:r>
    <w:r w:rsidRPr="00622A3B">
      <w:rPr>
        <w:rFonts w:cs="Arial"/>
        <w:b/>
        <w:noProof/>
        <w:spacing w:val="-16"/>
        <w:sz w:val="20"/>
        <w:szCs w:val="20"/>
      </w:rPr>
      <w:t>m</w:t>
    </w:r>
    <w:r w:rsidRPr="00622A3B">
      <w:rPr>
        <w:rFonts w:cs="Arial"/>
        <w:b/>
        <w:noProof/>
        <w:spacing w:val="-14"/>
        <w:sz w:val="20"/>
        <w:szCs w:val="20"/>
      </w:rPr>
      <w:t>a</w:t>
    </w:r>
    <w:r w:rsidRPr="0094078F">
      <w:rPr>
        <w:rFonts w:cs="Arial"/>
      </w:rPr>
      <w:tab/>
    </w:r>
    <w:r>
      <w:rPr>
        <w:rFonts w:cs="Arial"/>
      </w:rPr>
      <w:t xml:space="preserve"> </w:t>
    </w:r>
    <w:r w:rsidRPr="00622A3B">
      <w:rPr>
        <w:rFonts w:cs="Arial"/>
      </w:rPr>
      <w:t>|</w:t>
    </w:r>
    <w:r>
      <w:tab/>
    </w:r>
    <w:r w:rsidRPr="002E4DDC">
      <w:rPr>
        <w:color w:val="505050"/>
      </w:rPr>
      <w:fldChar w:fldCharType="begin"/>
    </w:r>
    <w:r w:rsidRPr="002E4DDC">
      <w:rPr>
        <w:color w:val="505050"/>
      </w:rPr>
      <w:instrText xml:space="preserve"> PAGE  \* roman  \* MERGEFORMAT </w:instrText>
    </w:r>
    <w:r w:rsidRPr="002E4DDC">
      <w:rPr>
        <w:color w:val="505050"/>
      </w:rPr>
      <w:fldChar w:fldCharType="separate"/>
    </w:r>
    <w:r>
      <w:rPr>
        <w:noProof/>
        <w:color w:val="505050"/>
      </w:rPr>
      <w:t>iv</w:t>
    </w:r>
    <w:r w:rsidRPr="002E4DDC">
      <w:rPr>
        <w:color w:val="505050"/>
      </w:rPr>
      <w:fldChar w:fldCharType="end"/>
    </w:r>
  </w:p>
  <w:p w14:paraId="3D0049F4" w14:textId="77777777" w:rsidR="00B012A1" w:rsidRPr="00A5474E" w:rsidRDefault="00B012A1" w:rsidP="00A5474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0106F0" w14:textId="074FEF24" w:rsidR="00B012A1" w:rsidRPr="00622A3B" w:rsidRDefault="00B012A1" w:rsidP="00971914">
    <w:pPr>
      <w:pStyle w:val="Footer"/>
      <w:framePr w:w="1334" w:h="357" w:hRule="exact" w:vSpace="425" w:wrap="around" w:vAnchor="page" w:hAnchor="page" w:x="7335" w:y="16166"/>
      <w:pBdr>
        <w:top w:val="single" w:sz="4" w:space="1" w:color="auto"/>
      </w:pBdr>
      <w:tabs>
        <w:tab w:val="clear" w:pos="113"/>
        <w:tab w:val="left" w:pos="284"/>
      </w:tabs>
      <w:jc w:val="right"/>
      <w:rPr>
        <w:rFonts w:cs="Arial"/>
      </w:rPr>
    </w:pPr>
    <w:r w:rsidRPr="00622A3B">
      <w:rPr>
        <w:rFonts w:cs="Arial"/>
        <w:b/>
        <w:noProof/>
        <w:spacing w:val="-16"/>
        <w:sz w:val="20"/>
        <w:szCs w:val="20"/>
      </w:rPr>
      <w:t>a</w:t>
    </w:r>
    <w:r w:rsidRPr="00622A3B">
      <w:rPr>
        <w:rFonts w:cs="Arial"/>
        <w:b/>
        <w:noProof/>
        <w:spacing w:val="-15"/>
        <w:sz w:val="20"/>
        <w:szCs w:val="20"/>
      </w:rPr>
      <w:t>c</w:t>
    </w:r>
    <w:r w:rsidRPr="00622A3B">
      <w:rPr>
        <w:rFonts w:cs="Arial"/>
        <w:b/>
        <w:noProof/>
        <w:spacing w:val="-16"/>
        <w:sz w:val="20"/>
        <w:szCs w:val="20"/>
      </w:rPr>
      <w:t>m</w:t>
    </w:r>
    <w:r w:rsidRPr="00622A3B">
      <w:rPr>
        <w:rFonts w:cs="Arial"/>
        <w:b/>
        <w:noProof/>
        <w:spacing w:val="-14"/>
        <w:sz w:val="20"/>
        <w:szCs w:val="20"/>
      </w:rPr>
      <w:t>a</w:t>
    </w:r>
    <w:r w:rsidRPr="0094078F">
      <w:rPr>
        <w:rFonts w:cs="Arial"/>
      </w:rPr>
      <w:tab/>
    </w:r>
    <w:r>
      <w:rPr>
        <w:rFonts w:cs="Arial"/>
      </w:rPr>
      <w:t xml:space="preserve"> </w:t>
    </w:r>
    <w:r w:rsidRPr="00622A3B">
      <w:rPr>
        <w:rFonts w:cs="Arial"/>
      </w:rPr>
      <w:t>|</w:t>
    </w:r>
    <w:r>
      <w:tab/>
    </w:r>
    <w:r w:rsidRPr="002E4DDC">
      <w:rPr>
        <w:color w:val="505050"/>
      </w:rPr>
      <w:fldChar w:fldCharType="begin"/>
    </w:r>
    <w:r w:rsidRPr="002E4DDC">
      <w:rPr>
        <w:color w:val="505050"/>
      </w:rPr>
      <w:instrText xml:space="preserve"> PAGE  \* roman  \* MERGEFORMAT </w:instrText>
    </w:r>
    <w:r w:rsidRPr="002E4DDC">
      <w:rPr>
        <w:color w:val="505050"/>
      </w:rPr>
      <w:fldChar w:fldCharType="separate"/>
    </w:r>
    <w:r>
      <w:rPr>
        <w:noProof/>
        <w:color w:val="505050"/>
      </w:rPr>
      <w:t>v</w:t>
    </w:r>
    <w:r w:rsidRPr="002E4DDC">
      <w:rPr>
        <w:color w:val="505050"/>
      </w:rPr>
      <w:fldChar w:fldCharType="end"/>
    </w:r>
  </w:p>
  <w:p w14:paraId="737418F3" w14:textId="77777777" w:rsidR="00B012A1" w:rsidRPr="00A5474E" w:rsidRDefault="00B012A1" w:rsidP="00A5474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94128B" w14:textId="71BA6266" w:rsidR="00B012A1" w:rsidRPr="00622A3B" w:rsidRDefault="00B012A1" w:rsidP="0094078F">
    <w:pPr>
      <w:pStyle w:val="Footer"/>
      <w:framePr w:w="1334" w:h="357" w:hRule="exact" w:vSpace="425" w:wrap="around" w:vAnchor="page" w:hAnchor="page" w:x="7335" w:y="16166"/>
      <w:pBdr>
        <w:top w:val="single" w:sz="4" w:space="1" w:color="auto"/>
      </w:pBdr>
      <w:tabs>
        <w:tab w:val="clear" w:pos="113"/>
        <w:tab w:val="left" w:pos="284"/>
      </w:tabs>
      <w:jc w:val="right"/>
      <w:rPr>
        <w:rFonts w:cs="Arial"/>
      </w:rPr>
    </w:pPr>
    <w:r w:rsidRPr="00622A3B">
      <w:rPr>
        <w:rFonts w:cs="Arial"/>
        <w:b/>
        <w:noProof/>
        <w:spacing w:val="-16"/>
        <w:sz w:val="20"/>
        <w:szCs w:val="20"/>
      </w:rPr>
      <w:t>a</w:t>
    </w:r>
    <w:r w:rsidRPr="00622A3B">
      <w:rPr>
        <w:rFonts w:cs="Arial"/>
        <w:b/>
        <w:noProof/>
        <w:spacing w:val="-15"/>
        <w:sz w:val="20"/>
        <w:szCs w:val="20"/>
      </w:rPr>
      <w:t>c</w:t>
    </w:r>
    <w:r w:rsidRPr="00622A3B">
      <w:rPr>
        <w:rFonts w:cs="Arial"/>
        <w:b/>
        <w:noProof/>
        <w:spacing w:val="-16"/>
        <w:sz w:val="20"/>
        <w:szCs w:val="20"/>
      </w:rPr>
      <w:t>m</w:t>
    </w:r>
    <w:r w:rsidRPr="00622A3B">
      <w:rPr>
        <w:rFonts w:cs="Arial"/>
        <w:b/>
        <w:noProof/>
        <w:spacing w:val="-14"/>
        <w:sz w:val="20"/>
        <w:szCs w:val="20"/>
      </w:rPr>
      <w:t>a</w:t>
    </w:r>
    <w:r w:rsidRPr="0094078F">
      <w:rPr>
        <w:rFonts w:cs="Arial"/>
      </w:rPr>
      <w:tab/>
    </w:r>
    <w:r>
      <w:rPr>
        <w:rFonts w:cs="Arial"/>
      </w:rPr>
      <w:t xml:space="preserve"> </w:t>
    </w:r>
    <w:r w:rsidRPr="00622A3B">
      <w:rPr>
        <w:rFonts w:cs="Arial"/>
      </w:rPr>
      <w:t>|</w:t>
    </w:r>
    <w:r>
      <w:tab/>
    </w:r>
    <w:r w:rsidRPr="002E4DDC">
      <w:rPr>
        <w:color w:val="505050"/>
      </w:rPr>
      <w:fldChar w:fldCharType="begin"/>
    </w:r>
    <w:r w:rsidRPr="002E4DDC">
      <w:rPr>
        <w:color w:val="505050"/>
      </w:rPr>
      <w:instrText xml:space="preserve"> PAGE  \* roman  \* MERGEFORMAT </w:instrText>
    </w:r>
    <w:r w:rsidRPr="002E4DDC">
      <w:rPr>
        <w:color w:val="505050"/>
      </w:rPr>
      <w:fldChar w:fldCharType="separate"/>
    </w:r>
    <w:r>
      <w:rPr>
        <w:noProof/>
        <w:color w:val="505050"/>
      </w:rPr>
      <w:t>iii</w:t>
    </w:r>
    <w:r w:rsidRPr="002E4DDC">
      <w:rPr>
        <w:color w:val="505050"/>
      </w:rPr>
      <w:fldChar w:fldCharType="end"/>
    </w:r>
  </w:p>
  <w:p w14:paraId="329814E5" w14:textId="77777777" w:rsidR="00B012A1" w:rsidRPr="00A5474E" w:rsidRDefault="00B012A1" w:rsidP="00A5474E">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CD5F96" w14:textId="0C0C9340" w:rsidR="00B012A1" w:rsidRPr="00622A3B" w:rsidRDefault="00B012A1" w:rsidP="00B43262">
    <w:pPr>
      <w:pStyle w:val="FooterLeft"/>
      <w:framePr w:wrap="around" w:x="1141" w:y="16166"/>
      <w:tabs>
        <w:tab w:val="clear" w:pos="113"/>
        <w:tab w:val="right" w:pos="397"/>
      </w:tabs>
    </w:pPr>
    <w:r w:rsidRPr="00575AC5">
      <w:fldChar w:fldCharType="begin"/>
    </w:r>
    <w:r w:rsidRPr="00575AC5">
      <w:instrText xml:space="preserve"> PAGE  \* Arabic  \* MERGEFORMAT </w:instrText>
    </w:r>
    <w:r w:rsidRPr="00575AC5">
      <w:fldChar w:fldCharType="separate"/>
    </w:r>
    <w:r>
      <w:rPr>
        <w:noProof/>
      </w:rPr>
      <w:t>76</w:t>
    </w:r>
    <w:r w:rsidRPr="00575AC5">
      <w:fldChar w:fldCharType="end"/>
    </w:r>
    <w:r w:rsidRPr="0094078F">
      <w:tab/>
    </w:r>
    <w:r w:rsidRPr="00622A3B">
      <w:t>|</w:t>
    </w:r>
    <w:r>
      <w:tab/>
    </w:r>
    <w:r w:rsidRPr="00622A3B">
      <w:rPr>
        <w:b/>
        <w:noProof/>
        <w:spacing w:val="-16"/>
        <w:sz w:val="20"/>
        <w:szCs w:val="20"/>
      </w:rPr>
      <w:t>a</w:t>
    </w:r>
    <w:r w:rsidRPr="00622A3B">
      <w:rPr>
        <w:b/>
        <w:noProof/>
        <w:spacing w:val="-15"/>
        <w:sz w:val="20"/>
        <w:szCs w:val="20"/>
      </w:rPr>
      <w:t>c</w:t>
    </w:r>
    <w:r w:rsidRPr="00622A3B">
      <w:rPr>
        <w:b/>
        <w:noProof/>
        <w:spacing w:val="-16"/>
        <w:sz w:val="20"/>
        <w:szCs w:val="20"/>
      </w:rPr>
      <w:t>m</w:t>
    </w:r>
    <w:r w:rsidRPr="00622A3B">
      <w:rPr>
        <w:b/>
        <w:noProof/>
        <w:spacing w:val="-14"/>
        <w:sz w:val="20"/>
        <w:szCs w:val="20"/>
      </w:rPr>
      <w:t>a</w:t>
    </w:r>
  </w:p>
  <w:p w14:paraId="3AD8D5D5" w14:textId="77777777" w:rsidR="00B012A1" w:rsidRPr="00A5474E" w:rsidRDefault="00B012A1" w:rsidP="00A5474E">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FA19CC" w14:textId="1DC7AD87" w:rsidR="00B012A1" w:rsidRPr="00622A3B" w:rsidRDefault="00B012A1" w:rsidP="00447037">
    <w:pPr>
      <w:pStyle w:val="Footer"/>
      <w:framePr w:w="1440" w:h="357" w:hRule="exact" w:vSpace="425" w:wrap="around" w:vAnchor="page" w:hAnchor="page" w:x="7335" w:y="16166"/>
      <w:pBdr>
        <w:top w:val="single" w:sz="4" w:space="1" w:color="auto"/>
      </w:pBdr>
      <w:tabs>
        <w:tab w:val="clear" w:pos="113"/>
        <w:tab w:val="left" w:pos="397"/>
      </w:tabs>
      <w:jc w:val="right"/>
      <w:rPr>
        <w:rFonts w:cs="Arial"/>
      </w:rPr>
    </w:pPr>
    <w:r w:rsidRPr="00622A3B">
      <w:rPr>
        <w:rFonts w:cs="Arial"/>
        <w:b/>
        <w:noProof/>
        <w:spacing w:val="-16"/>
        <w:sz w:val="20"/>
        <w:szCs w:val="20"/>
      </w:rPr>
      <w:t>a</w:t>
    </w:r>
    <w:r w:rsidRPr="00622A3B">
      <w:rPr>
        <w:rFonts w:cs="Arial"/>
        <w:b/>
        <w:noProof/>
        <w:spacing w:val="-15"/>
        <w:sz w:val="20"/>
        <w:szCs w:val="20"/>
      </w:rPr>
      <w:t>c</w:t>
    </w:r>
    <w:r w:rsidRPr="00622A3B">
      <w:rPr>
        <w:rFonts w:cs="Arial"/>
        <w:b/>
        <w:noProof/>
        <w:spacing w:val="-16"/>
        <w:sz w:val="20"/>
        <w:szCs w:val="20"/>
      </w:rPr>
      <w:t>m</w:t>
    </w:r>
    <w:r w:rsidRPr="00622A3B">
      <w:rPr>
        <w:rFonts w:cs="Arial"/>
        <w:b/>
        <w:noProof/>
        <w:spacing w:val="-14"/>
        <w:sz w:val="20"/>
        <w:szCs w:val="20"/>
      </w:rPr>
      <w:t>a</w:t>
    </w:r>
    <w:r w:rsidRPr="0094078F">
      <w:rPr>
        <w:rFonts w:cs="Arial"/>
      </w:rPr>
      <w:tab/>
    </w:r>
    <w:r>
      <w:rPr>
        <w:rFonts w:cs="Arial"/>
      </w:rPr>
      <w:t xml:space="preserve"> </w:t>
    </w:r>
    <w:r w:rsidRPr="00622A3B">
      <w:rPr>
        <w:rFonts w:cs="Arial"/>
      </w:rPr>
      <w:t>|</w:t>
    </w:r>
    <w:r>
      <w:tab/>
    </w:r>
    <w:r w:rsidRPr="00575AC5">
      <w:rPr>
        <w:color w:val="505050"/>
      </w:rPr>
      <w:fldChar w:fldCharType="begin"/>
    </w:r>
    <w:r w:rsidRPr="00575AC5">
      <w:rPr>
        <w:color w:val="505050"/>
      </w:rPr>
      <w:instrText xml:space="preserve"> PAGE  \* Arabic  \* MERGEFORMAT </w:instrText>
    </w:r>
    <w:r w:rsidRPr="00575AC5">
      <w:rPr>
        <w:color w:val="505050"/>
      </w:rPr>
      <w:fldChar w:fldCharType="separate"/>
    </w:r>
    <w:r>
      <w:rPr>
        <w:noProof/>
        <w:color w:val="505050"/>
      </w:rPr>
      <w:t>77</w:t>
    </w:r>
    <w:r w:rsidRPr="00575AC5">
      <w:rPr>
        <w:color w:val="505050"/>
      </w:rPr>
      <w:fldChar w:fldCharType="end"/>
    </w:r>
  </w:p>
  <w:p w14:paraId="19BC9435" w14:textId="77777777" w:rsidR="00B012A1" w:rsidRPr="00A5474E" w:rsidRDefault="00B012A1" w:rsidP="00A5474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B1DE10" w14:textId="77777777" w:rsidR="00A634A2" w:rsidRDefault="00A634A2">
      <w:r>
        <w:separator/>
      </w:r>
    </w:p>
  </w:footnote>
  <w:footnote w:type="continuationSeparator" w:id="0">
    <w:p w14:paraId="14C7391B" w14:textId="77777777" w:rsidR="00A634A2" w:rsidRDefault="00A634A2">
      <w:r>
        <w:continuationSeparator/>
      </w:r>
    </w:p>
  </w:footnote>
  <w:footnote w:type="continuationNotice" w:id="1">
    <w:p w14:paraId="58920B7E" w14:textId="77777777" w:rsidR="00A634A2" w:rsidRDefault="00A634A2">
      <w:pPr>
        <w:spacing w:after="0" w:line="240" w:lineRule="auto"/>
      </w:pPr>
    </w:p>
  </w:footnote>
  <w:footnote w:id="2">
    <w:p w14:paraId="1F940228" w14:textId="27CB5A32" w:rsidR="00B012A1" w:rsidRDefault="00B012A1" w:rsidP="00074F64">
      <w:pPr>
        <w:pStyle w:val="FootnoteText"/>
        <w:spacing w:after="0" w:line="240" w:lineRule="auto"/>
      </w:pPr>
      <w:r>
        <w:rPr>
          <w:rStyle w:val="FootnoteReference"/>
        </w:rPr>
        <w:footnoteRef/>
      </w:r>
      <w:r>
        <w:t xml:space="preserve"> </w:t>
      </w:r>
      <w:proofErr w:type="spellStart"/>
      <w:r>
        <w:t>mmWaves</w:t>
      </w:r>
      <w:proofErr w:type="spellEnd"/>
      <w:r>
        <w:t xml:space="preserve"> span 30 to 300 GHz (i.e. a wavelength of 1 cm to 1 mm), however, in the current 5G context, </w:t>
      </w:r>
      <w:proofErr w:type="spellStart"/>
      <w:r>
        <w:t>mmWave</w:t>
      </w:r>
      <w:proofErr w:type="spellEnd"/>
      <w:r>
        <w:t xml:space="preserve"> bands in consideration span from around 24 GHz up to 86 GHz.</w:t>
      </w:r>
    </w:p>
  </w:footnote>
  <w:footnote w:id="3">
    <w:p w14:paraId="6B3CD489" w14:textId="3066CD9B" w:rsidR="00B012A1" w:rsidRDefault="00B012A1" w:rsidP="00157A9D">
      <w:pPr>
        <w:pStyle w:val="ListBullet"/>
        <w:numPr>
          <w:ilvl w:val="0"/>
          <w:numId w:val="0"/>
        </w:numPr>
        <w:spacing w:after="0" w:line="240" w:lineRule="auto"/>
      </w:pPr>
      <w:r>
        <w:rPr>
          <w:rStyle w:val="FootnoteReference"/>
        </w:rPr>
        <w:footnoteRef/>
      </w:r>
      <w:r>
        <w:t xml:space="preserve"> </w:t>
      </w:r>
      <w:r w:rsidRPr="00A24CF1">
        <w:t xml:space="preserve"> </w:t>
      </w:r>
      <w:r w:rsidRPr="00A24CF1">
        <w:rPr>
          <w:sz w:val="16"/>
          <w:szCs w:val="16"/>
        </w:rPr>
        <w:t xml:space="preserve">The ACMA is exploring </w:t>
      </w:r>
      <w:r>
        <w:rPr>
          <w:sz w:val="16"/>
          <w:szCs w:val="16"/>
        </w:rPr>
        <w:t xml:space="preserve">the potential to </w:t>
      </w:r>
      <w:r w:rsidRPr="00A24CF1">
        <w:rPr>
          <w:sz w:val="16"/>
          <w:szCs w:val="16"/>
        </w:rPr>
        <w:t xml:space="preserve">design a new </w:t>
      </w:r>
      <w:r>
        <w:rPr>
          <w:sz w:val="16"/>
          <w:szCs w:val="16"/>
        </w:rPr>
        <w:t>‘</w:t>
      </w:r>
      <w:r w:rsidRPr="00A24CF1">
        <w:rPr>
          <w:sz w:val="16"/>
          <w:szCs w:val="16"/>
        </w:rPr>
        <w:t>spectrum space</w:t>
      </w:r>
      <w:r>
        <w:rPr>
          <w:sz w:val="16"/>
          <w:szCs w:val="16"/>
        </w:rPr>
        <w:t>’</w:t>
      </w:r>
      <w:r w:rsidRPr="00A24CF1">
        <w:rPr>
          <w:sz w:val="16"/>
          <w:szCs w:val="16"/>
        </w:rPr>
        <w:t xml:space="preserve"> apparatus licence type</w:t>
      </w:r>
      <w:r>
        <w:rPr>
          <w:sz w:val="16"/>
          <w:szCs w:val="16"/>
        </w:rPr>
        <w:t>,</w:t>
      </w:r>
      <w:r w:rsidRPr="00A24CF1">
        <w:rPr>
          <w:sz w:val="16"/>
          <w:szCs w:val="16"/>
        </w:rPr>
        <w:t xml:space="preserve"> in response to some stakeholder interest in flexible apparatus licensing arrangements,</w:t>
      </w:r>
      <w:r>
        <w:rPr>
          <w:sz w:val="16"/>
          <w:szCs w:val="16"/>
        </w:rPr>
        <w:t xml:space="preserve"> </w:t>
      </w:r>
      <w:r w:rsidRPr="00A24CF1">
        <w:rPr>
          <w:sz w:val="16"/>
          <w:szCs w:val="16"/>
        </w:rPr>
        <w:t>to support emerging technologies and uses of the band.</w:t>
      </w:r>
    </w:p>
  </w:footnote>
  <w:footnote w:id="4">
    <w:p w14:paraId="5B84547F" w14:textId="4FB602B6" w:rsidR="00B012A1" w:rsidRDefault="00B012A1" w:rsidP="00C527B9">
      <w:pPr>
        <w:pStyle w:val="FootnoteText"/>
        <w:spacing w:after="0" w:line="240" w:lineRule="auto"/>
      </w:pPr>
      <w:r>
        <w:rPr>
          <w:rStyle w:val="FootnoteReference"/>
        </w:rPr>
        <w:footnoteRef/>
      </w:r>
      <w:r>
        <w:t xml:space="preserve"> Existing </w:t>
      </w:r>
      <w:r w:rsidRPr="00A05EC9">
        <w:t>facilities</w:t>
      </w:r>
      <w:r>
        <w:t xml:space="preserve"> are located</w:t>
      </w:r>
      <w:r w:rsidRPr="00A05EC9">
        <w:t xml:space="preserve"> at New Norcia, WA, and Tidbinbilla, ACT</w:t>
      </w:r>
      <w:r>
        <w:t>.</w:t>
      </w:r>
    </w:p>
  </w:footnote>
  <w:footnote w:id="5">
    <w:p w14:paraId="2A423D98" w14:textId="764F2DDA" w:rsidR="00B012A1" w:rsidRDefault="00B012A1" w:rsidP="00C527B9">
      <w:pPr>
        <w:pStyle w:val="FootnoteText"/>
        <w:spacing w:after="0" w:line="240" w:lineRule="auto"/>
      </w:pPr>
      <w:r>
        <w:rPr>
          <w:rStyle w:val="FootnoteReference"/>
        </w:rPr>
        <w:footnoteRef/>
      </w:r>
      <w:r>
        <w:t xml:space="preserve"> At the time of writing, the lower edge of the band available for wide-area licensing was still an open question. The starting assumption was at 24.25 GHz, however it was acknowledged that this frequency would likely be higher following completion of relevant coexistence studies.</w:t>
      </w:r>
    </w:p>
  </w:footnote>
  <w:footnote w:id="6">
    <w:p w14:paraId="6DC826E8" w14:textId="18AD2B60" w:rsidR="00B012A1" w:rsidRDefault="00B012A1" w:rsidP="00C527B9">
      <w:pPr>
        <w:pStyle w:val="FootnoteText"/>
        <w:spacing w:after="0" w:line="240" w:lineRule="auto"/>
      </w:pPr>
      <w:r>
        <w:rPr>
          <w:rStyle w:val="FootnoteReference"/>
        </w:rPr>
        <w:footnoteRef/>
      </w:r>
      <w:r>
        <w:t xml:space="preserve"> Terms of reference of the working group, and a summary of the work carried out by the group, are contained in Annex A and Annex B respectively.</w:t>
      </w:r>
    </w:p>
  </w:footnote>
  <w:footnote w:id="7">
    <w:p w14:paraId="06C26EBD" w14:textId="554FFB41" w:rsidR="00B012A1" w:rsidRDefault="00B012A1" w:rsidP="00C527B9">
      <w:pPr>
        <w:pStyle w:val="FootnoteText"/>
        <w:spacing w:after="0" w:line="240" w:lineRule="auto"/>
      </w:pPr>
      <w:r>
        <w:rPr>
          <w:rStyle w:val="FootnoteReference"/>
        </w:rPr>
        <w:footnoteRef/>
      </w:r>
      <w:r>
        <w:t xml:space="preserve"> More information about this work is available on the </w:t>
      </w:r>
      <w:proofErr w:type="spellStart"/>
      <w:r>
        <w:t>DoCA’s</w:t>
      </w:r>
      <w:proofErr w:type="spellEnd"/>
      <w:r>
        <w:t xml:space="preserve"> </w:t>
      </w:r>
      <w:hyperlink r:id="rId1" w:history="1">
        <w:r w:rsidRPr="00317542">
          <w:rPr>
            <w:rStyle w:val="Hyperlink"/>
          </w:rPr>
          <w:t>website</w:t>
        </w:r>
      </w:hyperlink>
      <w:r>
        <w:t>.</w:t>
      </w:r>
    </w:p>
  </w:footnote>
  <w:footnote w:id="8">
    <w:p w14:paraId="5464617A" w14:textId="6B4AC279" w:rsidR="00B012A1" w:rsidRDefault="00B012A1" w:rsidP="00C527B9">
      <w:pPr>
        <w:pStyle w:val="FootnoteText"/>
        <w:spacing w:after="0" w:line="240" w:lineRule="auto"/>
      </w:pPr>
      <w:r>
        <w:rPr>
          <w:rStyle w:val="FootnoteReference"/>
        </w:rPr>
        <w:footnoteRef/>
      </w:r>
      <w:r>
        <w:t xml:space="preserve"> Submissions can be viewed on the </w:t>
      </w:r>
      <w:hyperlink r:id="rId2" w:history="1">
        <w:r>
          <w:rPr>
            <w:rStyle w:val="Hyperlink"/>
          </w:rPr>
          <w:t>ACMA website</w:t>
        </w:r>
      </w:hyperlink>
      <w:r w:rsidRPr="00B56694">
        <w:rPr>
          <w:rStyle w:val="Hyperlink"/>
          <w:u w:val="none"/>
        </w:rPr>
        <w:t>.</w:t>
      </w:r>
    </w:p>
  </w:footnote>
  <w:footnote w:id="9">
    <w:p w14:paraId="2DC30DC4" w14:textId="3D83B80E" w:rsidR="00B012A1" w:rsidRDefault="00B012A1" w:rsidP="00073099">
      <w:pPr>
        <w:pStyle w:val="FootnoteText"/>
        <w:spacing w:after="0" w:line="240" w:lineRule="auto"/>
      </w:pPr>
      <w:r>
        <w:rPr>
          <w:rStyle w:val="FootnoteReference"/>
        </w:rPr>
        <w:footnoteRef/>
      </w:r>
      <w:r>
        <w:t xml:space="preserve"> See </w:t>
      </w:r>
      <w:hyperlink r:id="rId3" w:history="1">
        <w:r w:rsidRPr="00DF763A">
          <w:rPr>
            <w:rStyle w:val="Hyperlink"/>
          </w:rPr>
          <w:t>ECC/DEC/(18)06</w:t>
        </w:r>
      </w:hyperlink>
      <w:r w:rsidRPr="00B64E2F">
        <w:rPr>
          <w:rStyle w:val="Hyperlink"/>
          <w:u w:val="none"/>
        </w:rPr>
        <w:t>.</w:t>
      </w:r>
    </w:p>
  </w:footnote>
  <w:footnote w:id="10">
    <w:p w14:paraId="2EF3D4F9" w14:textId="77777777" w:rsidR="00B012A1" w:rsidRDefault="00B012A1" w:rsidP="00073099">
      <w:pPr>
        <w:pStyle w:val="FootnoteText"/>
        <w:spacing w:after="0" w:line="240" w:lineRule="auto"/>
      </w:pPr>
      <w:r>
        <w:rPr>
          <w:rStyle w:val="FootnoteReference"/>
        </w:rPr>
        <w:footnoteRef/>
      </w:r>
      <w:r>
        <w:t xml:space="preserve"> These limits are based on currently available information, noting that unwanted emission limits are expected to be included in the ITU-R Radio Regulations as an outcome of WRC-19.</w:t>
      </w:r>
    </w:p>
  </w:footnote>
  <w:footnote w:id="11">
    <w:p w14:paraId="5B3E13D8" w14:textId="346E9338" w:rsidR="00B012A1" w:rsidRDefault="00B012A1" w:rsidP="00073099">
      <w:pPr>
        <w:pStyle w:val="FootnoteText"/>
        <w:spacing w:after="0" w:line="240" w:lineRule="auto"/>
      </w:pPr>
      <w:r>
        <w:rPr>
          <w:rStyle w:val="FootnoteReference"/>
        </w:rPr>
        <w:footnoteRef/>
      </w:r>
      <w:r>
        <w:t xml:space="preserve"> For example, a GSA contribution to the ECC (document </w:t>
      </w:r>
      <w:hyperlink r:id="rId4" w:history="1">
        <w:r w:rsidRPr="00845FD3">
          <w:rPr>
            <w:rStyle w:val="Hyperlink"/>
          </w:rPr>
          <w:t>ECC(18)035</w:t>
        </w:r>
      </w:hyperlink>
      <w:r>
        <w:t xml:space="preserve">) discusses tolerances for manufacturing, ageing, and temperature variances. An example of the impact of manufacturing tolerances on filter characteristics can been seen in contribution </w:t>
      </w:r>
      <w:hyperlink r:id="rId5" w:history="1">
        <w:r w:rsidRPr="003015D5">
          <w:rPr>
            <w:rStyle w:val="Hyperlink"/>
          </w:rPr>
          <w:t>RA-1712718</w:t>
        </w:r>
      </w:hyperlink>
      <w:r>
        <w:t xml:space="preserve"> to 3GPP TSG-RAN WG4 meeting #85.</w:t>
      </w:r>
    </w:p>
  </w:footnote>
  <w:footnote w:id="12">
    <w:p w14:paraId="2BB18CB1" w14:textId="4CEFBF91" w:rsidR="00B012A1" w:rsidRDefault="00B012A1" w:rsidP="00073099">
      <w:pPr>
        <w:pStyle w:val="FootnoteText"/>
        <w:spacing w:after="0" w:line="240" w:lineRule="auto"/>
      </w:pPr>
      <w:r>
        <w:rPr>
          <w:rStyle w:val="FootnoteReference"/>
        </w:rPr>
        <w:footnoteRef/>
      </w:r>
      <w:r>
        <w:t xml:space="preserve"> See Recommendation ITU-R SA.609-2.</w:t>
      </w:r>
    </w:p>
  </w:footnote>
  <w:footnote w:id="13">
    <w:p w14:paraId="42E3279D" w14:textId="598B844E" w:rsidR="00B012A1" w:rsidRDefault="00B012A1" w:rsidP="00073099">
      <w:pPr>
        <w:pStyle w:val="FootnoteText"/>
        <w:spacing w:after="0" w:line="240" w:lineRule="auto"/>
      </w:pPr>
      <w:r>
        <w:rPr>
          <w:rStyle w:val="FootnoteReference"/>
        </w:rPr>
        <w:footnoteRef/>
      </w:r>
      <w:r>
        <w:t xml:space="preserve"> Either indoors or outdoors. </w:t>
      </w:r>
    </w:p>
  </w:footnote>
  <w:footnote w:id="14">
    <w:p w14:paraId="3EC0F515" w14:textId="6807756F" w:rsidR="00B012A1" w:rsidRDefault="00B012A1" w:rsidP="002D5169">
      <w:pPr>
        <w:pStyle w:val="FootnoteText"/>
        <w:spacing w:after="0" w:line="240" w:lineRule="auto"/>
      </w:pPr>
      <w:r>
        <w:rPr>
          <w:rStyle w:val="FootnoteReference"/>
        </w:rPr>
        <w:footnoteRef/>
      </w:r>
      <w:r>
        <w:t xml:space="preserve"> It is likely that most of these existing licences are being be replaced with the </w:t>
      </w:r>
      <w:hyperlink r:id="rId6" w:history="1">
        <w:r w:rsidRPr="00B8584E">
          <w:rPr>
            <w:rStyle w:val="Hyperlink"/>
          </w:rPr>
          <w:t>Radiocommunications (Body Scanning</w:t>
        </w:r>
        <w:r>
          <w:rPr>
            <w:rStyle w:val="Hyperlink"/>
          </w:rPr>
          <w:t>—</w:t>
        </w:r>
        <w:r w:rsidRPr="00B8584E">
          <w:rPr>
            <w:rStyle w:val="Hyperlink"/>
          </w:rPr>
          <w:t>Aviation Security) Class Licence 2018</w:t>
        </w:r>
      </w:hyperlink>
      <w:r>
        <w:t>, which would negate the need to exercise these measures.</w:t>
      </w:r>
    </w:p>
  </w:footnote>
  <w:footnote w:id="15">
    <w:p w14:paraId="2C142DE5" w14:textId="353D8943" w:rsidR="00B012A1" w:rsidRDefault="00B012A1" w:rsidP="007F1A95">
      <w:pPr>
        <w:pStyle w:val="FootnoteText"/>
        <w:spacing w:after="0" w:line="240" w:lineRule="auto"/>
      </w:pPr>
      <w:r>
        <w:rPr>
          <w:rStyle w:val="FootnoteReference"/>
        </w:rPr>
        <w:footnoteRef/>
      </w:r>
      <w:r>
        <w:t xml:space="preserve"> </w:t>
      </w:r>
      <w:r w:rsidRPr="001C3BD1">
        <w:t>Building penetration loss (calculated using Recommendation ITU-R P.2109) is considered adequate to protect passive EESS from aggregate unwanted emissions from indoor wireless broadband services within the EESS footprint.</w:t>
      </w:r>
    </w:p>
  </w:footnote>
  <w:footnote w:id="16">
    <w:p w14:paraId="6AA1E2C1" w14:textId="246E762A" w:rsidR="00B012A1" w:rsidRDefault="00B012A1" w:rsidP="007F1A95">
      <w:pPr>
        <w:pStyle w:val="FootnoteText"/>
        <w:spacing w:after="0" w:line="240" w:lineRule="auto"/>
      </w:pPr>
      <w:r>
        <w:rPr>
          <w:rStyle w:val="FootnoteReference"/>
        </w:rPr>
        <w:footnoteRef/>
      </w:r>
      <w:r>
        <w:t xml:space="preserve"> </w:t>
      </w:r>
      <w:r w:rsidRPr="00E57888">
        <w:rPr>
          <w:rStyle w:val="Hyperlink"/>
          <w:color w:val="auto"/>
          <w:u w:val="none"/>
        </w:rPr>
        <w:t xml:space="preserve">This aggregate </w:t>
      </w:r>
      <w:r>
        <w:rPr>
          <w:rStyle w:val="Hyperlink"/>
          <w:color w:val="auto"/>
          <w:u w:val="none"/>
        </w:rPr>
        <w:t>PFD</w:t>
      </w:r>
      <w:r w:rsidRPr="00E57888">
        <w:rPr>
          <w:rStyle w:val="Hyperlink"/>
          <w:color w:val="auto"/>
          <w:u w:val="none"/>
        </w:rPr>
        <w:t xml:space="preserve"> limit is based on</w:t>
      </w:r>
      <w:r>
        <w:rPr>
          <w:rStyle w:val="Hyperlink"/>
          <w:color w:val="auto"/>
          <w:u w:val="none"/>
        </w:rPr>
        <w:t xml:space="preserve"> providing a</w:t>
      </w:r>
      <w:r w:rsidRPr="00E57888">
        <w:rPr>
          <w:rStyle w:val="Hyperlink"/>
          <w:color w:val="auto"/>
          <w:u w:val="none"/>
        </w:rPr>
        <w:t xml:space="preserve"> co-frequency apparatus-licensed service providing coverage up to the (other side of the) pr</w:t>
      </w:r>
      <w:r>
        <w:rPr>
          <w:rStyle w:val="Hyperlink"/>
          <w:color w:val="auto"/>
          <w:u w:val="none"/>
        </w:rPr>
        <w:t>operty</w:t>
      </w:r>
      <w:r w:rsidRPr="00E57888">
        <w:rPr>
          <w:rStyle w:val="Hyperlink"/>
          <w:color w:val="auto"/>
          <w:u w:val="none"/>
        </w:rPr>
        <w:t xml:space="preserve"> boundary with an expectation of at least a 99% probability that the I/N from the class licenced device(s) into their service will not exceed -6 dB</w:t>
      </w:r>
      <w:r>
        <w:rPr>
          <w:rStyle w:val="Hyperlink"/>
          <w:color w:val="auto"/>
          <w:u w:val="none"/>
        </w:rPr>
        <w:t>. It was derived via a s</w:t>
      </w:r>
      <w:r w:rsidRPr="00E57888">
        <w:rPr>
          <w:rStyle w:val="Hyperlink"/>
          <w:color w:val="auto"/>
          <w:u w:val="none"/>
        </w:rPr>
        <w:t>tatistical simulation using parameters from ITU-R Working Group TG 5/1</w:t>
      </w:r>
      <w:r>
        <w:rPr>
          <w:rStyle w:val="Hyperlink"/>
          <w:color w:val="auto"/>
          <w:u w:val="none"/>
        </w:rPr>
        <w:t xml:space="preserve"> and no TDD-synchronisation between class and apparatus licensed services.</w:t>
      </w:r>
      <w:r w:rsidRPr="00BA5732">
        <w:rPr>
          <w:rStyle w:val="Hyperlink"/>
          <w:color w:val="auto"/>
          <w:u w:val="none"/>
        </w:rPr>
        <w:t xml:space="preserve"> </w:t>
      </w:r>
      <w:r w:rsidRPr="00E57888">
        <w:rPr>
          <w:rStyle w:val="Hyperlink"/>
          <w:color w:val="auto"/>
          <w:u w:val="none"/>
        </w:rPr>
        <w:t>Worst-case orientation of both class-licensed and adjacent area apparatus-licensed BS antenna arrays relative to one another</w:t>
      </w:r>
      <w:r>
        <w:rPr>
          <w:rStyle w:val="Hyperlink"/>
          <w:color w:val="auto"/>
          <w:u w:val="none"/>
        </w:rPr>
        <w:t xml:space="preserve"> was assumed</w:t>
      </w:r>
      <w:r w:rsidRPr="00E57888">
        <w:rPr>
          <w:rStyle w:val="Hyperlink"/>
          <w:color w:val="auto"/>
          <w:u w:val="none"/>
        </w:rPr>
        <w:t>.</w:t>
      </w:r>
      <w:r>
        <w:t xml:space="preserve"> </w:t>
      </w:r>
    </w:p>
  </w:footnote>
  <w:footnote w:id="17">
    <w:p w14:paraId="58EC4193" w14:textId="6954CA06" w:rsidR="00B012A1" w:rsidRPr="00620E68" w:rsidRDefault="00B012A1" w:rsidP="007F1A95">
      <w:pPr>
        <w:pStyle w:val="FootnoteText"/>
        <w:spacing w:after="0" w:line="240" w:lineRule="auto"/>
      </w:pPr>
      <w:r>
        <w:rPr>
          <w:rStyle w:val="FootnoteReference"/>
        </w:rPr>
        <w:footnoteRef/>
      </w:r>
      <w:r>
        <w:t xml:space="preserve"> Refer to Recommendation ITU-R SA.609 </w:t>
      </w:r>
      <w:r>
        <w:rPr>
          <w:i/>
        </w:rPr>
        <w:t xml:space="preserve">Protection criteria for radiocommunications links for manned and unmanned near-Earth research satellites </w:t>
      </w:r>
      <w:r>
        <w:t xml:space="preserve">and ITU-R SA.509-3 </w:t>
      </w:r>
      <w:r>
        <w:rPr>
          <w:i/>
        </w:rPr>
        <w:t xml:space="preserve">Space research earth station and radio astronomy reference antenna radiation pattern for use in interference calculations, including coordination procedures, for frequencies less than 30 GHz </w:t>
      </w:r>
      <w:r>
        <w:t>for SRS receiving station protection requirements and antenna characteristics.</w:t>
      </w:r>
    </w:p>
  </w:footnote>
  <w:footnote w:id="18">
    <w:p w14:paraId="1900129B" w14:textId="44DB650B" w:rsidR="00B012A1" w:rsidRDefault="00B012A1" w:rsidP="007E2C30">
      <w:pPr>
        <w:pStyle w:val="FootnoteText"/>
        <w:spacing w:after="0" w:line="240" w:lineRule="auto"/>
      </w:pPr>
      <w:r>
        <w:rPr>
          <w:rStyle w:val="FootnoteReference"/>
        </w:rPr>
        <w:footnoteRef/>
      </w:r>
      <w:r>
        <w:t xml:space="preserve"> </w:t>
      </w:r>
      <w:r w:rsidRPr="00AB7E02">
        <w:t xml:space="preserve">Building penetration loss (calculated using </w:t>
      </w:r>
      <w:r w:rsidRPr="00335D0B">
        <w:t>Recommendation</w:t>
      </w:r>
      <w:r w:rsidRPr="00AB7E02">
        <w:t xml:space="preserve"> ITU-R P.2109) will be adequate to protect passive EESS from aggregate unwanted emissions from indoor wireless broadband services within the EESS footprint.</w:t>
      </w:r>
    </w:p>
  </w:footnote>
  <w:footnote w:id="19">
    <w:p w14:paraId="34CFF62D" w14:textId="77777777" w:rsidR="00B012A1" w:rsidRPr="00620E68" w:rsidRDefault="00B012A1" w:rsidP="00012691">
      <w:pPr>
        <w:pStyle w:val="FootnoteText"/>
        <w:spacing w:after="0" w:line="240" w:lineRule="auto"/>
      </w:pPr>
      <w:r>
        <w:rPr>
          <w:rStyle w:val="FootnoteReference"/>
        </w:rPr>
        <w:footnoteRef/>
      </w:r>
      <w:r>
        <w:t xml:space="preserve"> Refer to Recommendation ITU-R SA.609 </w:t>
      </w:r>
      <w:r>
        <w:rPr>
          <w:i/>
        </w:rPr>
        <w:t xml:space="preserve">Protection criteria for radiocommunications links for manned and unmanned near-Earth research satellites </w:t>
      </w:r>
      <w:r>
        <w:t xml:space="preserve">and ITU-R SA.509-3 </w:t>
      </w:r>
      <w:r>
        <w:rPr>
          <w:i/>
        </w:rPr>
        <w:t xml:space="preserve">Space research earth station and radio astronomy reference antenna radiation pattern for use in interference calculations, including coordination procedures, for frequencies less than 30 GHz </w:t>
      </w:r>
      <w:r>
        <w:t>for SRS receiving station protection requirements and antenna characteristics.</w:t>
      </w:r>
    </w:p>
  </w:footnote>
  <w:footnote w:id="20">
    <w:p w14:paraId="44A769A3" w14:textId="269A99CC" w:rsidR="00B012A1" w:rsidRDefault="00B012A1" w:rsidP="00012691">
      <w:pPr>
        <w:pStyle w:val="FootnoteText"/>
        <w:spacing w:after="0" w:line="240" w:lineRule="auto"/>
      </w:pPr>
      <w:r>
        <w:rPr>
          <w:rStyle w:val="FootnoteReference"/>
        </w:rPr>
        <w:footnoteRef/>
      </w:r>
      <w:r>
        <w:t xml:space="preserve"> </w:t>
      </w:r>
      <w:r w:rsidRPr="00335D0B">
        <w:t>Building penetration loss (calculated using Recommendation ITU-R P.2109) will be adequate to protect passive EESS from aggregate unwanted emissions from indoor wireless broadband services within the EESS footprint.</w:t>
      </w:r>
    </w:p>
  </w:footnote>
  <w:footnote w:id="21">
    <w:p w14:paraId="682E4E37" w14:textId="6DB11865" w:rsidR="00B012A1" w:rsidRDefault="00B012A1" w:rsidP="00012691">
      <w:pPr>
        <w:pStyle w:val="FootnoteText"/>
        <w:spacing w:after="0" w:line="240" w:lineRule="auto"/>
      </w:pPr>
      <w:r>
        <w:rPr>
          <w:rStyle w:val="FootnoteReference"/>
        </w:rPr>
        <w:footnoteRef/>
      </w:r>
      <w:r>
        <w:t xml:space="preserve"> This group was reconvened in January 2019 for by-correspondence consideration of possible licence conditions on wireless broadband services in the 27-27.5 GHz range.</w:t>
      </w:r>
    </w:p>
  </w:footnote>
  <w:footnote w:id="22">
    <w:p w14:paraId="49C7AB04" w14:textId="77777777" w:rsidR="00B012A1" w:rsidRDefault="00B012A1" w:rsidP="00280297">
      <w:pPr>
        <w:pStyle w:val="FootnoteText"/>
        <w:spacing w:after="0"/>
      </w:pPr>
      <w:r>
        <w:rPr>
          <w:rStyle w:val="FootnoteReference"/>
        </w:rPr>
        <w:footnoteRef/>
      </w:r>
      <w:r>
        <w:t xml:space="preserve"> Available at the </w:t>
      </w:r>
      <w:hyperlink r:id="rId7" w:history="1">
        <w:r w:rsidRPr="006B12DB">
          <w:rPr>
            <w:rStyle w:val="Hyperlink"/>
          </w:rPr>
          <w:t>ACMA website</w:t>
        </w:r>
      </w:hyperlink>
      <w:r>
        <w:t>.</w:t>
      </w:r>
    </w:p>
  </w:footnote>
  <w:footnote w:id="23">
    <w:p w14:paraId="0BF894D8" w14:textId="3E01C1CB" w:rsidR="00B012A1" w:rsidRDefault="00B012A1" w:rsidP="00280297">
      <w:pPr>
        <w:pStyle w:val="FootnoteText"/>
        <w:spacing w:after="0"/>
      </w:pPr>
      <w:r>
        <w:rPr>
          <w:rStyle w:val="FootnoteReference"/>
        </w:rPr>
        <w:footnoteRef/>
      </w:r>
      <w:r>
        <w:t xml:space="preserve"> See Attachment 3 of Annex 3 of document </w:t>
      </w:r>
      <w:hyperlink r:id="rId8" w:history="1">
        <w:r w:rsidRPr="004C7F37">
          <w:rPr>
            <w:rStyle w:val="Hyperlink"/>
          </w:rPr>
          <w:t>5-1/478</w:t>
        </w:r>
      </w:hyperlink>
      <w:r w:rsidRPr="008266DA">
        <w:rPr>
          <w:rStyle w:val="Hyperlink"/>
          <w:u w:val="none"/>
        </w:rPr>
        <w:t>.</w:t>
      </w:r>
    </w:p>
  </w:footnote>
  <w:footnote w:id="24">
    <w:p w14:paraId="3607DD5F" w14:textId="6474602F" w:rsidR="00B012A1" w:rsidRDefault="00B012A1" w:rsidP="00280297">
      <w:pPr>
        <w:pStyle w:val="FootnoteText"/>
        <w:spacing w:after="0"/>
      </w:pPr>
      <w:r>
        <w:rPr>
          <w:rStyle w:val="FootnoteReference"/>
        </w:rPr>
        <w:footnoteRef/>
      </w:r>
      <w:r>
        <w:t xml:space="preserve"> For example, SES provided analysis using characteristics of its SES-15 satellite; see paragraph 289 of </w:t>
      </w:r>
      <w:hyperlink r:id="rId9" w:history="1">
        <w:r w:rsidRPr="001737D0">
          <w:rPr>
            <w:rStyle w:val="Hyperlink"/>
          </w:rPr>
          <w:t>FCC-16-89A1</w:t>
        </w:r>
      </w:hyperlink>
      <w:r>
        <w:t>.</w:t>
      </w:r>
    </w:p>
  </w:footnote>
  <w:footnote w:id="25">
    <w:p w14:paraId="5A72D485" w14:textId="30E31016" w:rsidR="00B012A1" w:rsidRDefault="00B012A1" w:rsidP="00280297">
      <w:pPr>
        <w:pStyle w:val="FootnoteText"/>
        <w:spacing w:after="0"/>
      </w:pPr>
      <w:r>
        <w:rPr>
          <w:rStyle w:val="FootnoteReference"/>
        </w:rPr>
        <w:footnoteRef/>
      </w:r>
      <w:r>
        <w:t xml:space="preserve"> See </w:t>
      </w:r>
      <w:hyperlink r:id="rId10" w:history="1">
        <w:r w:rsidRPr="00305CDA">
          <w:rPr>
            <w:rStyle w:val="Hyperlink"/>
          </w:rPr>
          <w:t>FCC-16-89A1</w:t>
        </w:r>
      </w:hyperlink>
      <w:r>
        <w:t xml:space="preserve">. </w:t>
      </w:r>
    </w:p>
  </w:footnote>
  <w:footnote w:id="26">
    <w:p w14:paraId="5DE4C1D1" w14:textId="4763FA1B" w:rsidR="00B012A1" w:rsidRDefault="00B012A1" w:rsidP="00012691">
      <w:pPr>
        <w:pStyle w:val="FootnoteText"/>
        <w:spacing w:after="0" w:line="240" w:lineRule="auto"/>
      </w:pPr>
      <w:r>
        <w:rPr>
          <w:rStyle w:val="FootnoteReference"/>
        </w:rPr>
        <w:footnoteRef/>
      </w:r>
      <w:r>
        <w:t xml:space="preserve"> </w:t>
      </w:r>
      <w:r w:rsidRPr="00190F88">
        <w:rPr>
          <w:rFonts w:cs="Arial"/>
        </w:rPr>
        <w:t xml:space="preserve">See </w:t>
      </w:r>
      <w:hyperlink r:id="rId11" w:history="1">
        <w:r w:rsidRPr="00190F88">
          <w:rPr>
            <w:rStyle w:val="Hyperlink"/>
            <w:rFonts w:cs="Arial"/>
            <w:i/>
          </w:rPr>
          <w:t>The Australian spectrum map grid 2012</w:t>
        </w:r>
      </w:hyperlink>
      <w:r w:rsidRPr="00190F88">
        <w:rPr>
          <w:rFonts w:cs="Arial"/>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957E97" w14:textId="77777777" w:rsidR="00B012A1" w:rsidRPr="00A5474E" w:rsidRDefault="00B012A1" w:rsidP="00A5474E">
    <w:pPr>
      <w:pStyle w:val="Header"/>
    </w:pPr>
    <w:r>
      <w:rPr>
        <w:noProof/>
      </w:rPr>
      <w:drawing>
        <wp:inline distT="0" distB="0" distL="0" distR="0" wp14:anchorId="177F1C9C" wp14:editId="02794FA9">
          <wp:extent cx="6388100" cy="520700"/>
          <wp:effectExtent l="0" t="0" r="0" b="12700"/>
          <wp:docPr id="13" name="Picture 13" title="Australian Communications and Media Authority logo and Government cr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cussion-paper-header-block.pdf"/>
                  <pic:cNvPicPr/>
                </pic:nvPicPr>
                <pic:blipFill>
                  <a:blip r:embed="rId1">
                    <a:extLst>
                      <a:ext uri="{28A0092B-C50C-407E-A947-70E740481C1C}">
                        <a14:useLocalDpi xmlns:a14="http://schemas.microsoft.com/office/drawing/2010/main" val="0"/>
                      </a:ext>
                    </a:extLst>
                  </a:blip>
                  <a:stretch>
                    <a:fillRect/>
                  </a:stretch>
                </pic:blipFill>
                <pic:spPr>
                  <a:xfrm>
                    <a:off x="0" y="0"/>
                    <a:ext cx="6388100" cy="520700"/>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14A434" w14:textId="77777777" w:rsidR="00B012A1" w:rsidRPr="00A5474E" w:rsidRDefault="00B012A1" w:rsidP="00594E9C">
    <w:pPr>
      <w:pStyle w:val="TOCHeading"/>
    </w:pPr>
    <w:r w:rsidRPr="0029593B">
      <w:t>Contents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F8DEBC" w14:textId="77777777" w:rsidR="00B012A1" w:rsidRDefault="00B012A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5CC788" w14:textId="77777777" w:rsidR="00B012A1" w:rsidRDefault="00B012A1">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7678" w:type="dxa"/>
      <w:tblLayout w:type="fixed"/>
      <w:tblCellMar>
        <w:left w:w="0" w:type="dxa"/>
        <w:right w:w="0" w:type="dxa"/>
      </w:tblCellMar>
      <w:tblLook w:val="01E0" w:firstRow="1" w:lastRow="1" w:firstColumn="1" w:lastColumn="1" w:noHBand="0" w:noVBand="0"/>
    </w:tblPr>
    <w:tblGrid>
      <w:gridCol w:w="7678"/>
    </w:tblGrid>
    <w:tr w:rsidR="00B012A1" w14:paraId="6DA82F2D" w14:textId="77777777" w:rsidTr="009135A5">
      <w:trPr>
        <w:trHeight w:hRule="exact" w:val="988"/>
      </w:trPr>
      <w:tc>
        <w:tcPr>
          <w:tcW w:w="7678" w:type="dxa"/>
          <w:shd w:val="clear" w:color="auto" w:fill="auto"/>
        </w:tcPr>
        <w:p w14:paraId="7DF9A7D2" w14:textId="77777777" w:rsidR="00B012A1" w:rsidRDefault="00B012A1" w:rsidP="00971914">
          <w:pPr>
            <w:pStyle w:val="Header"/>
          </w:pPr>
        </w:p>
      </w:tc>
    </w:tr>
    <w:tr w:rsidR="00B012A1" w14:paraId="34F9D7B2" w14:textId="77777777" w:rsidTr="009135A5">
      <w:tc>
        <w:tcPr>
          <w:tcW w:w="7678" w:type="dxa"/>
          <w:shd w:val="clear" w:color="auto" w:fill="auto"/>
        </w:tcPr>
        <w:p w14:paraId="6826D658" w14:textId="77777777" w:rsidR="00B012A1" w:rsidRDefault="00B012A1" w:rsidP="00971914">
          <w:pPr>
            <w:pStyle w:val="GridTable31"/>
          </w:pPr>
          <w:r>
            <w:t xml:space="preserve">Contents </w:t>
          </w:r>
          <w:r w:rsidRPr="00915B1C">
            <w:rPr>
              <w:b w:val="0"/>
              <w:spacing w:val="0"/>
              <w:sz w:val="28"/>
              <w:szCs w:val="28"/>
            </w:rPr>
            <w:t>(Continued)</w:t>
          </w:r>
        </w:p>
      </w:tc>
    </w:tr>
    <w:tr w:rsidR="00B012A1" w14:paraId="4736F239" w14:textId="77777777" w:rsidTr="009135A5">
      <w:trPr>
        <w:trHeight w:val="1220"/>
      </w:trPr>
      <w:tc>
        <w:tcPr>
          <w:tcW w:w="7678" w:type="dxa"/>
          <w:shd w:val="clear" w:color="auto" w:fill="auto"/>
        </w:tcPr>
        <w:p w14:paraId="6FD48674" w14:textId="77777777" w:rsidR="00B012A1" w:rsidRDefault="00B012A1" w:rsidP="00971914"/>
      </w:tc>
    </w:tr>
  </w:tbl>
  <w:p w14:paraId="21F745B5" w14:textId="77777777" w:rsidR="00B012A1" w:rsidRDefault="00B012A1" w:rsidP="00971914">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7678" w:type="dxa"/>
      <w:tblLayout w:type="fixed"/>
      <w:tblCellMar>
        <w:left w:w="0" w:type="dxa"/>
        <w:right w:w="0" w:type="dxa"/>
      </w:tblCellMar>
      <w:tblLook w:val="01E0" w:firstRow="1" w:lastRow="1" w:firstColumn="1" w:lastColumn="1" w:noHBand="0" w:noVBand="0"/>
    </w:tblPr>
    <w:tblGrid>
      <w:gridCol w:w="7678"/>
    </w:tblGrid>
    <w:tr w:rsidR="00B012A1" w14:paraId="7D962C68" w14:textId="77777777" w:rsidTr="009135A5">
      <w:trPr>
        <w:trHeight w:hRule="exact" w:val="988"/>
      </w:trPr>
      <w:tc>
        <w:tcPr>
          <w:tcW w:w="7678" w:type="dxa"/>
          <w:shd w:val="clear" w:color="auto" w:fill="auto"/>
        </w:tcPr>
        <w:p w14:paraId="17FDC5B3" w14:textId="77777777" w:rsidR="00B012A1" w:rsidRDefault="00B012A1" w:rsidP="00971914">
          <w:pPr>
            <w:pStyle w:val="Header"/>
          </w:pPr>
        </w:p>
      </w:tc>
    </w:tr>
    <w:tr w:rsidR="00B012A1" w14:paraId="7D03A5BA" w14:textId="77777777" w:rsidTr="009135A5">
      <w:tc>
        <w:tcPr>
          <w:tcW w:w="7678" w:type="dxa"/>
          <w:shd w:val="clear" w:color="auto" w:fill="auto"/>
        </w:tcPr>
        <w:p w14:paraId="05327D75" w14:textId="77777777" w:rsidR="00B012A1" w:rsidRDefault="00B012A1" w:rsidP="00971914">
          <w:pPr>
            <w:pStyle w:val="GridTable31"/>
          </w:pPr>
          <w:r>
            <w:t xml:space="preserve">Contents </w:t>
          </w:r>
          <w:r w:rsidRPr="00915B1C">
            <w:rPr>
              <w:b w:val="0"/>
              <w:spacing w:val="0"/>
              <w:sz w:val="28"/>
              <w:szCs w:val="28"/>
            </w:rPr>
            <w:t>(Continued)</w:t>
          </w:r>
        </w:p>
      </w:tc>
    </w:tr>
    <w:tr w:rsidR="00B012A1" w14:paraId="7B8387DA" w14:textId="77777777" w:rsidTr="009135A5">
      <w:trPr>
        <w:trHeight w:val="1220"/>
      </w:trPr>
      <w:tc>
        <w:tcPr>
          <w:tcW w:w="7678" w:type="dxa"/>
          <w:shd w:val="clear" w:color="auto" w:fill="auto"/>
        </w:tcPr>
        <w:p w14:paraId="0FF9C191" w14:textId="77777777" w:rsidR="00B012A1" w:rsidRDefault="00B012A1" w:rsidP="00971914"/>
      </w:tc>
    </w:tr>
  </w:tbl>
  <w:p w14:paraId="7FFFAE87" w14:textId="77777777" w:rsidR="00B012A1" w:rsidRPr="00A5474E" w:rsidRDefault="00B012A1" w:rsidP="00A5474E">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00A01D" w14:textId="77777777" w:rsidR="00B012A1" w:rsidRDefault="00B012A1">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D6F960" w14:textId="77777777" w:rsidR="00B012A1" w:rsidRDefault="00B012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7" type="#_x0000_t75" style="width:50.25pt;height:43.5pt;visibility:visible" o:bullet="t">
        <v:imagedata r:id="rId1" o:title=""/>
      </v:shape>
    </w:pict>
  </w:numPicBullet>
  <w:numPicBullet w:numPicBulletId="1">
    <w:pict>
      <v:shape id="_x0000_i1048" type="#_x0000_t75" style="width:50.25pt;height:43.5pt;visibility:visible" o:bullet="t">
        <v:imagedata r:id="rId2" o:title=""/>
      </v:shape>
    </w:pict>
  </w:numPicBullet>
  <w:numPicBullet w:numPicBulletId="2">
    <w:pict>
      <v:shape id="_x0000_i1049" type="#_x0000_t75" style="width:50.25pt;height:43.5pt;visibility:visible" o:bullet="t">
        <v:imagedata r:id="rId3" o:title=""/>
      </v:shape>
    </w:pict>
  </w:numPicBullet>
  <w:numPicBullet w:numPicBulletId="3">
    <w:pict>
      <v:shape id="_x0000_i1050" type="#_x0000_t75" style="width:50.25pt;height:43.5pt;visibility:visible" o:bullet="t">
        <v:imagedata r:id="rId4" o:title=""/>
      </v:shape>
    </w:pict>
  </w:numPicBullet>
  <w:numPicBullet w:numPicBulletId="4">
    <w:pict>
      <v:shape id="_x0000_i1051" type="#_x0000_t75" style="width:50.25pt;height:43.5pt;visibility:visible" o:bullet="t">
        <v:imagedata r:id="rId5" o:title=""/>
      </v:shape>
    </w:pict>
  </w:numPicBullet>
  <w:numPicBullet w:numPicBulletId="5">
    <w:pict>
      <v:shape id="_x0000_i1052" type="#_x0000_t75" style="width:50.25pt;height:43.5pt;visibility:visible" o:bullet="t">
        <v:imagedata r:id="rId6" o:title=""/>
      </v:shape>
    </w:pict>
  </w:numPicBullet>
  <w:numPicBullet w:numPicBulletId="6">
    <w:pict>
      <v:shape id="_x0000_i1053" type="#_x0000_t75" style="width:50.25pt;height:43.5pt;visibility:visible" o:bullet="t">
        <v:imagedata r:id="rId7" o:title=""/>
      </v:shape>
    </w:pict>
  </w:numPicBullet>
  <w:abstractNum w:abstractNumId="0" w15:restartNumberingAfterBreak="0">
    <w:nsid w:val="FFFFFF7C"/>
    <w:multiLevelType w:val="singleLevel"/>
    <w:tmpl w:val="FE20CE78"/>
    <w:lvl w:ilvl="0">
      <w:start w:val="1"/>
      <w:numFmt w:val="decimal"/>
      <w:lvlText w:val="%1."/>
      <w:lvlJc w:val="left"/>
      <w:pPr>
        <w:tabs>
          <w:tab w:val="num" w:pos="1492"/>
        </w:tabs>
        <w:ind w:left="1492" w:hanging="360"/>
      </w:pPr>
    </w:lvl>
  </w:abstractNum>
  <w:abstractNum w:abstractNumId="1" w15:restartNumberingAfterBreak="0">
    <w:nsid w:val="FFFFFF7F"/>
    <w:multiLevelType w:val="singleLevel"/>
    <w:tmpl w:val="703632DA"/>
    <w:lvl w:ilvl="0">
      <w:start w:val="1"/>
      <w:numFmt w:val="decimal"/>
      <w:pStyle w:val="ListNumber2"/>
      <w:lvlText w:val="%1."/>
      <w:lvlJc w:val="left"/>
      <w:pPr>
        <w:ind w:left="360" w:hanging="360"/>
      </w:pPr>
      <w:rPr>
        <w:rFonts w:hint="default"/>
      </w:rPr>
    </w:lvl>
  </w:abstractNum>
  <w:abstractNum w:abstractNumId="2" w15:restartNumberingAfterBreak="0">
    <w:nsid w:val="FFFFFF83"/>
    <w:multiLevelType w:val="singleLevel"/>
    <w:tmpl w:val="783027A4"/>
    <w:lvl w:ilvl="0">
      <w:start w:val="1"/>
      <w:numFmt w:val="bullet"/>
      <w:pStyle w:val="ListBullet2"/>
      <w:lvlText w:val="&gt;"/>
      <w:lvlJc w:val="left"/>
      <w:pPr>
        <w:tabs>
          <w:tab w:val="num" w:pos="845"/>
        </w:tabs>
        <w:ind w:left="845" w:hanging="544"/>
      </w:pPr>
      <w:rPr>
        <w:rFonts w:ascii="HelveticaNeueLT Std Lt" w:hAnsi="HelveticaNeueLT Std Lt" w:hint="default"/>
        <w:sz w:val="20"/>
      </w:rPr>
    </w:lvl>
  </w:abstractNum>
  <w:abstractNum w:abstractNumId="3" w15:restartNumberingAfterBreak="0">
    <w:nsid w:val="FFFFFF88"/>
    <w:multiLevelType w:val="singleLevel"/>
    <w:tmpl w:val="CD48D450"/>
    <w:lvl w:ilvl="0">
      <w:start w:val="1"/>
      <w:numFmt w:val="decimal"/>
      <w:pStyle w:val="ListNumber"/>
      <w:lvlText w:val="%1."/>
      <w:lvlJc w:val="left"/>
      <w:pPr>
        <w:ind w:left="360" w:hanging="360"/>
      </w:pPr>
      <w:rPr>
        <w:rFonts w:hint="default"/>
        <w:caps/>
        <w:sz w:val="20"/>
      </w:rPr>
    </w:lvl>
  </w:abstractNum>
  <w:abstractNum w:abstractNumId="4" w15:restartNumberingAfterBreak="0">
    <w:nsid w:val="FFFFFF89"/>
    <w:multiLevelType w:val="singleLevel"/>
    <w:tmpl w:val="F6B417BA"/>
    <w:lvl w:ilvl="0">
      <w:start w:val="1"/>
      <w:numFmt w:val="bullet"/>
      <w:pStyle w:val="ListBullet"/>
      <w:lvlText w:val="&gt;"/>
      <w:lvlJc w:val="left"/>
      <w:pPr>
        <w:tabs>
          <w:tab w:val="num" w:pos="295"/>
        </w:tabs>
        <w:ind w:left="295" w:hanging="295"/>
      </w:pPr>
      <w:rPr>
        <w:rFonts w:ascii="HelveticaNeueLT Std Lt" w:hAnsi="HelveticaNeueLT Std Lt" w:hint="default"/>
        <w:sz w:val="20"/>
      </w:rPr>
    </w:lvl>
  </w:abstractNum>
  <w:abstractNum w:abstractNumId="5" w15:restartNumberingAfterBreak="0">
    <w:nsid w:val="02AF1222"/>
    <w:multiLevelType w:val="hybridMultilevel"/>
    <w:tmpl w:val="BC6E3CCC"/>
    <w:lvl w:ilvl="0" w:tplc="0C09000F">
      <w:start w:val="1"/>
      <w:numFmt w:val="decimal"/>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0FA602FE"/>
    <w:multiLevelType w:val="hybridMultilevel"/>
    <w:tmpl w:val="E23EF2C0"/>
    <w:lvl w:ilvl="0" w:tplc="45B6B8E0">
      <w:start w:val="1"/>
      <w:numFmt w:val="bullet"/>
      <w:lvlText w:val=""/>
      <w:lvlPicBulletId w:val="0"/>
      <w:lvlJc w:val="left"/>
      <w:pPr>
        <w:tabs>
          <w:tab w:val="num" w:pos="720"/>
        </w:tabs>
        <w:ind w:left="720" w:hanging="360"/>
      </w:pPr>
      <w:rPr>
        <w:rFonts w:ascii="Symbol" w:hAnsi="Symbol" w:hint="default"/>
      </w:rPr>
    </w:lvl>
    <w:lvl w:ilvl="1" w:tplc="F91C6258" w:tentative="1">
      <w:start w:val="1"/>
      <w:numFmt w:val="bullet"/>
      <w:lvlText w:val=""/>
      <w:lvlJc w:val="left"/>
      <w:pPr>
        <w:tabs>
          <w:tab w:val="num" w:pos="1440"/>
        </w:tabs>
        <w:ind w:left="1440" w:hanging="360"/>
      </w:pPr>
      <w:rPr>
        <w:rFonts w:ascii="Symbol" w:hAnsi="Symbol" w:hint="default"/>
      </w:rPr>
    </w:lvl>
    <w:lvl w:ilvl="2" w:tplc="451E0D78" w:tentative="1">
      <w:start w:val="1"/>
      <w:numFmt w:val="bullet"/>
      <w:lvlText w:val=""/>
      <w:lvlJc w:val="left"/>
      <w:pPr>
        <w:tabs>
          <w:tab w:val="num" w:pos="2160"/>
        </w:tabs>
        <w:ind w:left="2160" w:hanging="360"/>
      </w:pPr>
      <w:rPr>
        <w:rFonts w:ascii="Symbol" w:hAnsi="Symbol" w:hint="default"/>
      </w:rPr>
    </w:lvl>
    <w:lvl w:ilvl="3" w:tplc="3064C9EC" w:tentative="1">
      <w:start w:val="1"/>
      <w:numFmt w:val="bullet"/>
      <w:lvlText w:val=""/>
      <w:lvlJc w:val="left"/>
      <w:pPr>
        <w:tabs>
          <w:tab w:val="num" w:pos="2880"/>
        </w:tabs>
        <w:ind w:left="2880" w:hanging="360"/>
      </w:pPr>
      <w:rPr>
        <w:rFonts w:ascii="Symbol" w:hAnsi="Symbol" w:hint="default"/>
      </w:rPr>
    </w:lvl>
    <w:lvl w:ilvl="4" w:tplc="EEC47696" w:tentative="1">
      <w:start w:val="1"/>
      <w:numFmt w:val="bullet"/>
      <w:lvlText w:val=""/>
      <w:lvlJc w:val="left"/>
      <w:pPr>
        <w:tabs>
          <w:tab w:val="num" w:pos="3600"/>
        </w:tabs>
        <w:ind w:left="3600" w:hanging="360"/>
      </w:pPr>
      <w:rPr>
        <w:rFonts w:ascii="Symbol" w:hAnsi="Symbol" w:hint="default"/>
      </w:rPr>
    </w:lvl>
    <w:lvl w:ilvl="5" w:tplc="C65C564A" w:tentative="1">
      <w:start w:val="1"/>
      <w:numFmt w:val="bullet"/>
      <w:lvlText w:val=""/>
      <w:lvlJc w:val="left"/>
      <w:pPr>
        <w:tabs>
          <w:tab w:val="num" w:pos="4320"/>
        </w:tabs>
        <w:ind w:left="4320" w:hanging="360"/>
      </w:pPr>
      <w:rPr>
        <w:rFonts w:ascii="Symbol" w:hAnsi="Symbol" w:hint="default"/>
      </w:rPr>
    </w:lvl>
    <w:lvl w:ilvl="6" w:tplc="B9208B50" w:tentative="1">
      <w:start w:val="1"/>
      <w:numFmt w:val="bullet"/>
      <w:lvlText w:val=""/>
      <w:lvlJc w:val="left"/>
      <w:pPr>
        <w:tabs>
          <w:tab w:val="num" w:pos="5040"/>
        </w:tabs>
        <w:ind w:left="5040" w:hanging="360"/>
      </w:pPr>
      <w:rPr>
        <w:rFonts w:ascii="Symbol" w:hAnsi="Symbol" w:hint="default"/>
      </w:rPr>
    </w:lvl>
    <w:lvl w:ilvl="7" w:tplc="10A633F8" w:tentative="1">
      <w:start w:val="1"/>
      <w:numFmt w:val="bullet"/>
      <w:lvlText w:val=""/>
      <w:lvlJc w:val="left"/>
      <w:pPr>
        <w:tabs>
          <w:tab w:val="num" w:pos="5760"/>
        </w:tabs>
        <w:ind w:left="5760" w:hanging="360"/>
      </w:pPr>
      <w:rPr>
        <w:rFonts w:ascii="Symbol" w:hAnsi="Symbol" w:hint="default"/>
      </w:rPr>
    </w:lvl>
    <w:lvl w:ilvl="8" w:tplc="1B6A04E4" w:tentative="1">
      <w:start w:val="1"/>
      <w:numFmt w:val="bullet"/>
      <w:lvlText w:val=""/>
      <w:lvlJc w:val="left"/>
      <w:pPr>
        <w:tabs>
          <w:tab w:val="num" w:pos="6480"/>
        </w:tabs>
        <w:ind w:left="6480" w:hanging="360"/>
      </w:pPr>
      <w:rPr>
        <w:rFonts w:ascii="Symbol" w:hAnsi="Symbol" w:hint="default"/>
      </w:rPr>
    </w:lvl>
  </w:abstractNum>
  <w:abstractNum w:abstractNumId="7" w15:restartNumberingAfterBreak="0">
    <w:nsid w:val="281D1869"/>
    <w:multiLevelType w:val="hybridMultilevel"/>
    <w:tmpl w:val="44CCDBB4"/>
    <w:lvl w:ilvl="0" w:tplc="B4DE576E">
      <w:start w:val="1"/>
      <w:numFmt w:val="decimal"/>
      <w:pStyle w:val="ACMANumberedList"/>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2E301DD4"/>
    <w:multiLevelType w:val="multilevel"/>
    <w:tmpl w:val="04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pStyle w:val="Heading4"/>
      <w:lvlText w:val="(%4)"/>
      <w:lvlJc w:val="right"/>
      <w:pPr>
        <w:ind w:left="864" w:hanging="144"/>
      </w:pPr>
    </w:lvl>
    <w:lvl w:ilvl="4">
      <w:start w:val="1"/>
      <w:numFmt w:val="decimal"/>
      <w:pStyle w:val="Heading5"/>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pStyle w:val="Heading8"/>
      <w:lvlText w:val="%8."/>
      <w:lvlJc w:val="left"/>
      <w:pPr>
        <w:ind w:left="1440" w:hanging="432"/>
      </w:pPr>
    </w:lvl>
    <w:lvl w:ilvl="8">
      <w:start w:val="1"/>
      <w:numFmt w:val="lowerRoman"/>
      <w:pStyle w:val="Heading9"/>
      <w:lvlText w:val="%9."/>
      <w:lvlJc w:val="right"/>
      <w:pPr>
        <w:ind w:left="1584" w:hanging="144"/>
      </w:pPr>
    </w:lvl>
  </w:abstractNum>
  <w:abstractNum w:abstractNumId="9" w15:restartNumberingAfterBreak="0">
    <w:nsid w:val="323254ED"/>
    <w:multiLevelType w:val="hybridMultilevel"/>
    <w:tmpl w:val="BE3E036E"/>
    <w:lvl w:ilvl="0" w:tplc="D0AAC94C">
      <w:start w:val="1"/>
      <w:numFmt w:val="bullet"/>
      <w:lvlText w:val=""/>
      <w:lvlPicBulletId w:val="1"/>
      <w:lvlJc w:val="left"/>
      <w:pPr>
        <w:tabs>
          <w:tab w:val="num" w:pos="720"/>
        </w:tabs>
        <w:ind w:left="720" w:hanging="360"/>
      </w:pPr>
      <w:rPr>
        <w:rFonts w:ascii="Symbol" w:hAnsi="Symbol" w:hint="default"/>
      </w:rPr>
    </w:lvl>
    <w:lvl w:ilvl="1" w:tplc="08668CCA" w:tentative="1">
      <w:start w:val="1"/>
      <w:numFmt w:val="bullet"/>
      <w:lvlText w:val=""/>
      <w:lvlJc w:val="left"/>
      <w:pPr>
        <w:tabs>
          <w:tab w:val="num" w:pos="1440"/>
        </w:tabs>
        <w:ind w:left="1440" w:hanging="360"/>
      </w:pPr>
      <w:rPr>
        <w:rFonts w:ascii="Symbol" w:hAnsi="Symbol" w:hint="default"/>
      </w:rPr>
    </w:lvl>
    <w:lvl w:ilvl="2" w:tplc="ADE8370E" w:tentative="1">
      <w:start w:val="1"/>
      <w:numFmt w:val="bullet"/>
      <w:lvlText w:val=""/>
      <w:lvlJc w:val="left"/>
      <w:pPr>
        <w:tabs>
          <w:tab w:val="num" w:pos="2160"/>
        </w:tabs>
        <w:ind w:left="2160" w:hanging="360"/>
      </w:pPr>
      <w:rPr>
        <w:rFonts w:ascii="Symbol" w:hAnsi="Symbol" w:hint="default"/>
      </w:rPr>
    </w:lvl>
    <w:lvl w:ilvl="3" w:tplc="86702092" w:tentative="1">
      <w:start w:val="1"/>
      <w:numFmt w:val="bullet"/>
      <w:lvlText w:val=""/>
      <w:lvlJc w:val="left"/>
      <w:pPr>
        <w:tabs>
          <w:tab w:val="num" w:pos="2880"/>
        </w:tabs>
        <w:ind w:left="2880" w:hanging="360"/>
      </w:pPr>
      <w:rPr>
        <w:rFonts w:ascii="Symbol" w:hAnsi="Symbol" w:hint="default"/>
      </w:rPr>
    </w:lvl>
    <w:lvl w:ilvl="4" w:tplc="CAE2CFD0" w:tentative="1">
      <w:start w:val="1"/>
      <w:numFmt w:val="bullet"/>
      <w:lvlText w:val=""/>
      <w:lvlJc w:val="left"/>
      <w:pPr>
        <w:tabs>
          <w:tab w:val="num" w:pos="3600"/>
        </w:tabs>
        <w:ind w:left="3600" w:hanging="360"/>
      </w:pPr>
      <w:rPr>
        <w:rFonts w:ascii="Symbol" w:hAnsi="Symbol" w:hint="default"/>
      </w:rPr>
    </w:lvl>
    <w:lvl w:ilvl="5" w:tplc="D850F21A" w:tentative="1">
      <w:start w:val="1"/>
      <w:numFmt w:val="bullet"/>
      <w:lvlText w:val=""/>
      <w:lvlJc w:val="left"/>
      <w:pPr>
        <w:tabs>
          <w:tab w:val="num" w:pos="4320"/>
        </w:tabs>
        <w:ind w:left="4320" w:hanging="360"/>
      </w:pPr>
      <w:rPr>
        <w:rFonts w:ascii="Symbol" w:hAnsi="Symbol" w:hint="default"/>
      </w:rPr>
    </w:lvl>
    <w:lvl w:ilvl="6" w:tplc="6554D772" w:tentative="1">
      <w:start w:val="1"/>
      <w:numFmt w:val="bullet"/>
      <w:lvlText w:val=""/>
      <w:lvlJc w:val="left"/>
      <w:pPr>
        <w:tabs>
          <w:tab w:val="num" w:pos="5040"/>
        </w:tabs>
        <w:ind w:left="5040" w:hanging="360"/>
      </w:pPr>
      <w:rPr>
        <w:rFonts w:ascii="Symbol" w:hAnsi="Symbol" w:hint="default"/>
      </w:rPr>
    </w:lvl>
    <w:lvl w:ilvl="7" w:tplc="BDF4B4EA" w:tentative="1">
      <w:start w:val="1"/>
      <w:numFmt w:val="bullet"/>
      <w:lvlText w:val=""/>
      <w:lvlJc w:val="left"/>
      <w:pPr>
        <w:tabs>
          <w:tab w:val="num" w:pos="5760"/>
        </w:tabs>
        <w:ind w:left="5760" w:hanging="360"/>
      </w:pPr>
      <w:rPr>
        <w:rFonts w:ascii="Symbol" w:hAnsi="Symbol" w:hint="default"/>
      </w:rPr>
    </w:lvl>
    <w:lvl w:ilvl="8" w:tplc="FEE40804"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387C2379"/>
    <w:multiLevelType w:val="hybridMultilevel"/>
    <w:tmpl w:val="243A336A"/>
    <w:lvl w:ilvl="0" w:tplc="DC76228C">
      <w:start w:val="1"/>
      <w:numFmt w:val="bullet"/>
      <w:lvlText w:val="&gt;"/>
      <w:lvlJc w:val="left"/>
      <w:pPr>
        <w:ind w:left="720" w:hanging="360"/>
      </w:pPr>
      <w:rPr>
        <w:rFonts w:ascii="Arial" w:hAnsi="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39EA7495"/>
    <w:multiLevelType w:val="hybridMultilevel"/>
    <w:tmpl w:val="6F9078D0"/>
    <w:lvl w:ilvl="0" w:tplc="61A80806">
      <w:start w:val="1"/>
      <w:numFmt w:val="bullet"/>
      <w:lvlText w:val=""/>
      <w:lvlPicBulletId w:val="2"/>
      <w:lvlJc w:val="left"/>
      <w:pPr>
        <w:tabs>
          <w:tab w:val="num" w:pos="720"/>
        </w:tabs>
        <w:ind w:left="720" w:hanging="360"/>
      </w:pPr>
      <w:rPr>
        <w:rFonts w:ascii="Symbol" w:hAnsi="Symbol" w:hint="default"/>
      </w:rPr>
    </w:lvl>
    <w:lvl w:ilvl="1" w:tplc="383A5E84" w:tentative="1">
      <w:start w:val="1"/>
      <w:numFmt w:val="bullet"/>
      <w:lvlText w:val=""/>
      <w:lvlJc w:val="left"/>
      <w:pPr>
        <w:tabs>
          <w:tab w:val="num" w:pos="1440"/>
        </w:tabs>
        <w:ind w:left="1440" w:hanging="360"/>
      </w:pPr>
      <w:rPr>
        <w:rFonts w:ascii="Symbol" w:hAnsi="Symbol" w:hint="default"/>
      </w:rPr>
    </w:lvl>
    <w:lvl w:ilvl="2" w:tplc="5524BABA" w:tentative="1">
      <w:start w:val="1"/>
      <w:numFmt w:val="bullet"/>
      <w:lvlText w:val=""/>
      <w:lvlJc w:val="left"/>
      <w:pPr>
        <w:tabs>
          <w:tab w:val="num" w:pos="2160"/>
        </w:tabs>
        <w:ind w:left="2160" w:hanging="360"/>
      </w:pPr>
      <w:rPr>
        <w:rFonts w:ascii="Symbol" w:hAnsi="Symbol" w:hint="default"/>
      </w:rPr>
    </w:lvl>
    <w:lvl w:ilvl="3" w:tplc="133E9788" w:tentative="1">
      <w:start w:val="1"/>
      <w:numFmt w:val="bullet"/>
      <w:lvlText w:val=""/>
      <w:lvlJc w:val="left"/>
      <w:pPr>
        <w:tabs>
          <w:tab w:val="num" w:pos="2880"/>
        </w:tabs>
        <w:ind w:left="2880" w:hanging="360"/>
      </w:pPr>
      <w:rPr>
        <w:rFonts w:ascii="Symbol" w:hAnsi="Symbol" w:hint="default"/>
      </w:rPr>
    </w:lvl>
    <w:lvl w:ilvl="4" w:tplc="A6B86E04" w:tentative="1">
      <w:start w:val="1"/>
      <w:numFmt w:val="bullet"/>
      <w:lvlText w:val=""/>
      <w:lvlJc w:val="left"/>
      <w:pPr>
        <w:tabs>
          <w:tab w:val="num" w:pos="3600"/>
        </w:tabs>
        <w:ind w:left="3600" w:hanging="360"/>
      </w:pPr>
      <w:rPr>
        <w:rFonts w:ascii="Symbol" w:hAnsi="Symbol" w:hint="default"/>
      </w:rPr>
    </w:lvl>
    <w:lvl w:ilvl="5" w:tplc="0E9E4652" w:tentative="1">
      <w:start w:val="1"/>
      <w:numFmt w:val="bullet"/>
      <w:lvlText w:val=""/>
      <w:lvlJc w:val="left"/>
      <w:pPr>
        <w:tabs>
          <w:tab w:val="num" w:pos="4320"/>
        </w:tabs>
        <w:ind w:left="4320" w:hanging="360"/>
      </w:pPr>
      <w:rPr>
        <w:rFonts w:ascii="Symbol" w:hAnsi="Symbol" w:hint="default"/>
      </w:rPr>
    </w:lvl>
    <w:lvl w:ilvl="6" w:tplc="4DE6DF82" w:tentative="1">
      <w:start w:val="1"/>
      <w:numFmt w:val="bullet"/>
      <w:lvlText w:val=""/>
      <w:lvlJc w:val="left"/>
      <w:pPr>
        <w:tabs>
          <w:tab w:val="num" w:pos="5040"/>
        </w:tabs>
        <w:ind w:left="5040" w:hanging="360"/>
      </w:pPr>
      <w:rPr>
        <w:rFonts w:ascii="Symbol" w:hAnsi="Symbol" w:hint="default"/>
      </w:rPr>
    </w:lvl>
    <w:lvl w:ilvl="7" w:tplc="109444B8" w:tentative="1">
      <w:start w:val="1"/>
      <w:numFmt w:val="bullet"/>
      <w:lvlText w:val=""/>
      <w:lvlJc w:val="left"/>
      <w:pPr>
        <w:tabs>
          <w:tab w:val="num" w:pos="5760"/>
        </w:tabs>
        <w:ind w:left="5760" w:hanging="360"/>
      </w:pPr>
      <w:rPr>
        <w:rFonts w:ascii="Symbol" w:hAnsi="Symbol" w:hint="default"/>
      </w:rPr>
    </w:lvl>
    <w:lvl w:ilvl="8" w:tplc="CDF4A4E4"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42C71C61"/>
    <w:multiLevelType w:val="hybridMultilevel"/>
    <w:tmpl w:val="BEB85300"/>
    <w:lvl w:ilvl="0" w:tplc="83A243B0">
      <w:start w:val="1"/>
      <w:numFmt w:val="bullet"/>
      <w:lvlText w:val=""/>
      <w:lvlPicBulletId w:val="5"/>
      <w:lvlJc w:val="left"/>
      <w:pPr>
        <w:tabs>
          <w:tab w:val="num" w:pos="720"/>
        </w:tabs>
        <w:ind w:left="720" w:hanging="360"/>
      </w:pPr>
      <w:rPr>
        <w:rFonts w:ascii="Symbol" w:hAnsi="Symbol" w:hint="default"/>
      </w:rPr>
    </w:lvl>
    <w:lvl w:ilvl="1" w:tplc="0E0AD852" w:tentative="1">
      <w:start w:val="1"/>
      <w:numFmt w:val="bullet"/>
      <w:lvlText w:val=""/>
      <w:lvlJc w:val="left"/>
      <w:pPr>
        <w:tabs>
          <w:tab w:val="num" w:pos="1440"/>
        </w:tabs>
        <w:ind w:left="1440" w:hanging="360"/>
      </w:pPr>
      <w:rPr>
        <w:rFonts w:ascii="Symbol" w:hAnsi="Symbol" w:hint="default"/>
      </w:rPr>
    </w:lvl>
    <w:lvl w:ilvl="2" w:tplc="42B82100" w:tentative="1">
      <w:start w:val="1"/>
      <w:numFmt w:val="bullet"/>
      <w:lvlText w:val=""/>
      <w:lvlJc w:val="left"/>
      <w:pPr>
        <w:tabs>
          <w:tab w:val="num" w:pos="2160"/>
        </w:tabs>
        <w:ind w:left="2160" w:hanging="360"/>
      </w:pPr>
      <w:rPr>
        <w:rFonts w:ascii="Symbol" w:hAnsi="Symbol" w:hint="default"/>
      </w:rPr>
    </w:lvl>
    <w:lvl w:ilvl="3" w:tplc="793A3E30" w:tentative="1">
      <w:start w:val="1"/>
      <w:numFmt w:val="bullet"/>
      <w:lvlText w:val=""/>
      <w:lvlJc w:val="left"/>
      <w:pPr>
        <w:tabs>
          <w:tab w:val="num" w:pos="2880"/>
        </w:tabs>
        <w:ind w:left="2880" w:hanging="360"/>
      </w:pPr>
      <w:rPr>
        <w:rFonts w:ascii="Symbol" w:hAnsi="Symbol" w:hint="default"/>
      </w:rPr>
    </w:lvl>
    <w:lvl w:ilvl="4" w:tplc="3A2C1D96" w:tentative="1">
      <w:start w:val="1"/>
      <w:numFmt w:val="bullet"/>
      <w:lvlText w:val=""/>
      <w:lvlJc w:val="left"/>
      <w:pPr>
        <w:tabs>
          <w:tab w:val="num" w:pos="3600"/>
        </w:tabs>
        <w:ind w:left="3600" w:hanging="360"/>
      </w:pPr>
      <w:rPr>
        <w:rFonts w:ascii="Symbol" w:hAnsi="Symbol" w:hint="default"/>
      </w:rPr>
    </w:lvl>
    <w:lvl w:ilvl="5" w:tplc="78363F68" w:tentative="1">
      <w:start w:val="1"/>
      <w:numFmt w:val="bullet"/>
      <w:lvlText w:val=""/>
      <w:lvlJc w:val="left"/>
      <w:pPr>
        <w:tabs>
          <w:tab w:val="num" w:pos="4320"/>
        </w:tabs>
        <w:ind w:left="4320" w:hanging="360"/>
      </w:pPr>
      <w:rPr>
        <w:rFonts w:ascii="Symbol" w:hAnsi="Symbol" w:hint="default"/>
      </w:rPr>
    </w:lvl>
    <w:lvl w:ilvl="6" w:tplc="CB18F1B2" w:tentative="1">
      <w:start w:val="1"/>
      <w:numFmt w:val="bullet"/>
      <w:lvlText w:val=""/>
      <w:lvlJc w:val="left"/>
      <w:pPr>
        <w:tabs>
          <w:tab w:val="num" w:pos="5040"/>
        </w:tabs>
        <w:ind w:left="5040" w:hanging="360"/>
      </w:pPr>
      <w:rPr>
        <w:rFonts w:ascii="Symbol" w:hAnsi="Symbol" w:hint="default"/>
      </w:rPr>
    </w:lvl>
    <w:lvl w:ilvl="7" w:tplc="C9AC4BB6" w:tentative="1">
      <w:start w:val="1"/>
      <w:numFmt w:val="bullet"/>
      <w:lvlText w:val=""/>
      <w:lvlJc w:val="left"/>
      <w:pPr>
        <w:tabs>
          <w:tab w:val="num" w:pos="5760"/>
        </w:tabs>
        <w:ind w:left="5760" w:hanging="360"/>
      </w:pPr>
      <w:rPr>
        <w:rFonts w:ascii="Symbol" w:hAnsi="Symbol" w:hint="default"/>
      </w:rPr>
    </w:lvl>
    <w:lvl w:ilvl="8" w:tplc="D38430E2"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460438F6"/>
    <w:multiLevelType w:val="hybridMultilevel"/>
    <w:tmpl w:val="EEB087E2"/>
    <w:lvl w:ilvl="0" w:tplc="8B42E24E">
      <w:start w:val="1"/>
      <w:numFmt w:val="bullet"/>
      <w:lvlText w:val=""/>
      <w:lvlPicBulletId w:val="6"/>
      <w:lvlJc w:val="left"/>
      <w:pPr>
        <w:tabs>
          <w:tab w:val="num" w:pos="720"/>
        </w:tabs>
        <w:ind w:left="720" w:hanging="360"/>
      </w:pPr>
      <w:rPr>
        <w:rFonts w:ascii="Symbol" w:hAnsi="Symbol" w:hint="default"/>
      </w:rPr>
    </w:lvl>
    <w:lvl w:ilvl="1" w:tplc="718A2620" w:tentative="1">
      <w:start w:val="1"/>
      <w:numFmt w:val="bullet"/>
      <w:lvlText w:val=""/>
      <w:lvlJc w:val="left"/>
      <w:pPr>
        <w:tabs>
          <w:tab w:val="num" w:pos="1440"/>
        </w:tabs>
        <w:ind w:left="1440" w:hanging="360"/>
      </w:pPr>
      <w:rPr>
        <w:rFonts w:ascii="Symbol" w:hAnsi="Symbol" w:hint="default"/>
      </w:rPr>
    </w:lvl>
    <w:lvl w:ilvl="2" w:tplc="049892B6" w:tentative="1">
      <w:start w:val="1"/>
      <w:numFmt w:val="bullet"/>
      <w:lvlText w:val=""/>
      <w:lvlJc w:val="left"/>
      <w:pPr>
        <w:tabs>
          <w:tab w:val="num" w:pos="2160"/>
        </w:tabs>
        <w:ind w:left="2160" w:hanging="360"/>
      </w:pPr>
      <w:rPr>
        <w:rFonts w:ascii="Symbol" w:hAnsi="Symbol" w:hint="default"/>
      </w:rPr>
    </w:lvl>
    <w:lvl w:ilvl="3" w:tplc="BA1A10A4" w:tentative="1">
      <w:start w:val="1"/>
      <w:numFmt w:val="bullet"/>
      <w:lvlText w:val=""/>
      <w:lvlJc w:val="left"/>
      <w:pPr>
        <w:tabs>
          <w:tab w:val="num" w:pos="2880"/>
        </w:tabs>
        <w:ind w:left="2880" w:hanging="360"/>
      </w:pPr>
      <w:rPr>
        <w:rFonts w:ascii="Symbol" w:hAnsi="Symbol" w:hint="default"/>
      </w:rPr>
    </w:lvl>
    <w:lvl w:ilvl="4" w:tplc="C114B828" w:tentative="1">
      <w:start w:val="1"/>
      <w:numFmt w:val="bullet"/>
      <w:lvlText w:val=""/>
      <w:lvlJc w:val="left"/>
      <w:pPr>
        <w:tabs>
          <w:tab w:val="num" w:pos="3600"/>
        </w:tabs>
        <w:ind w:left="3600" w:hanging="360"/>
      </w:pPr>
      <w:rPr>
        <w:rFonts w:ascii="Symbol" w:hAnsi="Symbol" w:hint="default"/>
      </w:rPr>
    </w:lvl>
    <w:lvl w:ilvl="5" w:tplc="76646606" w:tentative="1">
      <w:start w:val="1"/>
      <w:numFmt w:val="bullet"/>
      <w:lvlText w:val=""/>
      <w:lvlJc w:val="left"/>
      <w:pPr>
        <w:tabs>
          <w:tab w:val="num" w:pos="4320"/>
        </w:tabs>
        <w:ind w:left="4320" w:hanging="360"/>
      </w:pPr>
      <w:rPr>
        <w:rFonts w:ascii="Symbol" w:hAnsi="Symbol" w:hint="default"/>
      </w:rPr>
    </w:lvl>
    <w:lvl w:ilvl="6" w:tplc="6E7610A0" w:tentative="1">
      <w:start w:val="1"/>
      <w:numFmt w:val="bullet"/>
      <w:lvlText w:val=""/>
      <w:lvlJc w:val="left"/>
      <w:pPr>
        <w:tabs>
          <w:tab w:val="num" w:pos="5040"/>
        </w:tabs>
        <w:ind w:left="5040" w:hanging="360"/>
      </w:pPr>
      <w:rPr>
        <w:rFonts w:ascii="Symbol" w:hAnsi="Symbol" w:hint="default"/>
      </w:rPr>
    </w:lvl>
    <w:lvl w:ilvl="7" w:tplc="1E82A46E" w:tentative="1">
      <w:start w:val="1"/>
      <w:numFmt w:val="bullet"/>
      <w:lvlText w:val=""/>
      <w:lvlJc w:val="left"/>
      <w:pPr>
        <w:tabs>
          <w:tab w:val="num" w:pos="5760"/>
        </w:tabs>
        <w:ind w:left="5760" w:hanging="360"/>
      </w:pPr>
      <w:rPr>
        <w:rFonts w:ascii="Symbol" w:hAnsi="Symbol" w:hint="default"/>
      </w:rPr>
    </w:lvl>
    <w:lvl w:ilvl="8" w:tplc="880EF16C"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55AA21F0"/>
    <w:multiLevelType w:val="hybridMultilevel"/>
    <w:tmpl w:val="8F7033FA"/>
    <w:lvl w:ilvl="0" w:tplc="075A84B2">
      <w:start w:val="1"/>
      <w:numFmt w:val="decimal"/>
      <w:pStyle w:val="ACMATableHeader"/>
      <w:lvlText w:val="Table %1:"/>
      <w:lvlJc w:val="left"/>
      <w:pPr>
        <w:tabs>
          <w:tab w:val="num" w:pos="964"/>
        </w:tabs>
        <w:ind w:left="964" w:hanging="96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1CF09F3"/>
    <w:multiLevelType w:val="hybridMultilevel"/>
    <w:tmpl w:val="C94E5414"/>
    <w:lvl w:ilvl="0" w:tplc="FE84A9C6">
      <w:start w:val="1"/>
      <w:numFmt w:val="bullet"/>
      <w:lvlText w:val=""/>
      <w:lvlPicBulletId w:val="3"/>
      <w:lvlJc w:val="left"/>
      <w:pPr>
        <w:tabs>
          <w:tab w:val="num" w:pos="720"/>
        </w:tabs>
        <w:ind w:left="720" w:hanging="360"/>
      </w:pPr>
      <w:rPr>
        <w:rFonts w:ascii="Symbol" w:hAnsi="Symbol" w:hint="default"/>
      </w:rPr>
    </w:lvl>
    <w:lvl w:ilvl="1" w:tplc="B396EE38" w:tentative="1">
      <w:start w:val="1"/>
      <w:numFmt w:val="bullet"/>
      <w:lvlText w:val=""/>
      <w:lvlJc w:val="left"/>
      <w:pPr>
        <w:tabs>
          <w:tab w:val="num" w:pos="1440"/>
        </w:tabs>
        <w:ind w:left="1440" w:hanging="360"/>
      </w:pPr>
      <w:rPr>
        <w:rFonts w:ascii="Symbol" w:hAnsi="Symbol" w:hint="default"/>
      </w:rPr>
    </w:lvl>
    <w:lvl w:ilvl="2" w:tplc="6AE65960" w:tentative="1">
      <w:start w:val="1"/>
      <w:numFmt w:val="bullet"/>
      <w:lvlText w:val=""/>
      <w:lvlJc w:val="left"/>
      <w:pPr>
        <w:tabs>
          <w:tab w:val="num" w:pos="2160"/>
        </w:tabs>
        <w:ind w:left="2160" w:hanging="360"/>
      </w:pPr>
      <w:rPr>
        <w:rFonts w:ascii="Symbol" w:hAnsi="Symbol" w:hint="default"/>
      </w:rPr>
    </w:lvl>
    <w:lvl w:ilvl="3" w:tplc="08E49138" w:tentative="1">
      <w:start w:val="1"/>
      <w:numFmt w:val="bullet"/>
      <w:lvlText w:val=""/>
      <w:lvlJc w:val="left"/>
      <w:pPr>
        <w:tabs>
          <w:tab w:val="num" w:pos="2880"/>
        </w:tabs>
        <w:ind w:left="2880" w:hanging="360"/>
      </w:pPr>
      <w:rPr>
        <w:rFonts w:ascii="Symbol" w:hAnsi="Symbol" w:hint="default"/>
      </w:rPr>
    </w:lvl>
    <w:lvl w:ilvl="4" w:tplc="ABC41202" w:tentative="1">
      <w:start w:val="1"/>
      <w:numFmt w:val="bullet"/>
      <w:lvlText w:val=""/>
      <w:lvlJc w:val="left"/>
      <w:pPr>
        <w:tabs>
          <w:tab w:val="num" w:pos="3600"/>
        </w:tabs>
        <w:ind w:left="3600" w:hanging="360"/>
      </w:pPr>
      <w:rPr>
        <w:rFonts w:ascii="Symbol" w:hAnsi="Symbol" w:hint="default"/>
      </w:rPr>
    </w:lvl>
    <w:lvl w:ilvl="5" w:tplc="1658B574" w:tentative="1">
      <w:start w:val="1"/>
      <w:numFmt w:val="bullet"/>
      <w:lvlText w:val=""/>
      <w:lvlJc w:val="left"/>
      <w:pPr>
        <w:tabs>
          <w:tab w:val="num" w:pos="4320"/>
        </w:tabs>
        <w:ind w:left="4320" w:hanging="360"/>
      </w:pPr>
      <w:rPr>
        <w:rFonts w:ascii="Symbol" w:hAnsi="Symbol" w:hint="default"/>
      </w:rPr>
    </w:lvl>
    <w:lvl w:ilvl="6" w:tplc="C43CDBF2" w:tentative="1">
      <w:start w:val="1"/>
      <w:numFmt w:val="bullet"/>
      <w:lvlText w:val=""/>
      <w:lvlJc w:val="left"/>
      <w:pPr>
        <w:tabs>
          <w:tab w:val="num" w:pos="5040"/>
        </w:tabs>
        <w:ind w:left="5040" w:hanging="360"/>
      </w:pPr>
      <w:rPr>
        <w:rFonts w:ascii="Symbol" w:hAnsi="Symbol" w:hint="default"/>
      </w:rPr>
    </w:lvl>
    <w:lvl w:ilvl="7" w:tplc="5F0CAB48" w:tentative="1">
      <w:start w:val="1"/>
      <w:numFmt w:val="bullet"/>
      <w:lvlText w:val=""/>
      <w:lvlJc w:val="left"/>
      <w:pPr>
        <w:tabs>
          <w:tab w:val="num" w:pos="5760"/>
        </w:tabs>
        <w:ind w:left="5760" w:hanging="360"/>
      </w:pPr>
      <w:rPr>
        <w:rFonts w:ascii="Symbol" w:hAnsi="Symbol" w:hint="default"/>
      </w:rPr>
    </w:lvl>
    <w:lvl w:ilvl="8" w:tplc="908835DC"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63C30333"/>
    <w:multiLevelType w:val="hybridMultilevel"/>
    <w:tmpl w:val="A5FC2D54"/>
    <w:lvl w:ilvl="0" w:tplc="65EA47EC">
      <w:start w:val="1"/>
      <w:numFmt w:val="decimal"/>
      <w:pStyle w:val="Captionfigure"/>
      <w:lvlText w:val="Figure %1:"/>
      <w:lvlJc w:val="left"/>
      <w:pPr>
        <w:tabs>
          <w:tab w:val="num" w:pos="1021"/>
        </w:tabs>
        <w:ind w:left="1021" w:hanging="1021"/>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40B4FCF"/>
    <w:multiLevelType w:val="hybridMultilevel"/>
    <w:tmpl w:val="EF3EB990"/>
    <w:lvl w:ilvl="0" w:tplc="8200C772">
      <w:start w:val="1"/>
      <w:numFmt w:val="bullet"/>
      <w:lvlText w:val=""/>
      <w:lvlPicBulletId w:val="4"/>
      <w:lvlJc w:val="left"/>
      <w:pPr>
        <w:tabs>
          <w:tab w:val="num" w:pos="720"/>
        </w:tabs>
        <w:ind w:left="720" w:hanging="360"/>
      </w:pPr>
      <w:rPr>
        <w:rFonts w:ascii="Symbol" w:hAnsi="Symbol" w:hint="default"/>
      </w:rPr>
    </w:lvl>
    <w:lvl w:ilvl="1" w:tplc="00DC7846" w:tentative="1">
      <w:start w:val="1"/>
      <w:numFmt w:val="bullet"/>
      <w:lvlText w:val=""/>
      <w:lvlJc w:val="left"/>
      <w:pPr>
        <w:tabs>
          <w:tab w:val="num" w:pos="1440"/>
        </w:tabs>
        <w:ind w:left="1440" w:hanging="360"/>
      </w:pPr>
      <w:rPr>
        <w:rFonts w:ascii="Symbol" w:hAnsi="Symbol" w:hint="default"/>
      </w:rPr>
    </w:lvl>
    <w:lvl w:ilvl="2" w:tplc="A726D19A" w:tentative="1">
      <w:start w:val="1"/>
      <w:numFmt w:val="bullet"/>
      <w:lvlText w:val=""/>
      <w:lvlJc w:val="left"/>
      <w:pPr>
        <w:tabs>
          <w:tab w:val="num" w:pos="2160"/>
        </w:tabs>
        <w:ind w:left="2160" w:hanging="360"/>
      </w:pPr>
      <w:rPr>
        <w:rFonts w:ascii="Symbol" w:hAnsi="Symbol" w:hint="default"/>
      </w:rPr>
    </w:lvl>
    <w:lvl w:ilvl="3" w:tplc="BD4EEDCE" w:tentative="1">
      <w:start w:val="1"/>
      <w:numFmt w:val="bullet"/>
      <w:lvlText w:val=""/>
      <w:lvlJc w:val="left"/>
      <w:pPr>
        <w:tabs>
          <w:tab w:val="num" w:pos="2880"/>
        </w:tabs>
        <w:ind w:left="2880" w:hanging="360"/>
      </w:pPr>
      <w:rPr>
        <w:rFonts w:ascii="Symbol" w:hAnsi="Symbol" w:hint="default"/>
      </w:rPr>
    </w:lvl>
    <w:lvl w:ilvl="4" w:tplc="AB66EA56" w:tentative="1">
      <w:start w:val="1"/>
      <w:numFmt w:val="bullet"/>
      <w:lvlText w:val=""/>
      <w:lvlJc w:val="left"/>
      <w:pPr>
        <w:tabs>
          <w:tab w:val="num" w:pos="3600"/>
        </w:tabs>
        <w:ind w:left="3600" w:hanging="360"/>
      </w:pPr>
      <w:rPr>
        <w:rFonts w:ascii="Symbol" w:hAnsi="Symbol" w:hint="default"/>
      </w:rPr>
    </w:lvl>
    <w:lvl w:ilvl="5" w:tplc="7C7403FA" w:tentative="1">
      <w:start w:val="1"/>
      <w:numFmt w:val="bullet"/>
      <w:lvlText w:val=""/>
      <w:lvlJc w:val="left"/>
      <w:pPr>
        <w:tabs>
          <w:tab w:val="num" w:pos="4320"/>
        </w:tabs>
        <w:ind w:left="4320" w:hanging="360"/>
      </w:pPr>
      <w:rPr>
        <w:rFonts w:ascii="Symbol" w:hAnsi="Symbol" w:hint="default"/>
      </w:rPr>
    </w:lvl>
    <w:lvl w:ilvl="6" w:tplc="0DCED5EC" w:tentative="1">
      <w:start w:val="1"/>
      <w:numFmt w:val="bullet"/>
      <w:lvlText w:val=""/>
      <w:lvlJc w:val="left"/>
      <w:pPr>
        <w:tabs>
          <w:tab w:val="num" w:pos="5040"/>
        </w:tabs>
        <w:ind w:left="5040" w:hanging="360"/>
      </w:pPr>
      <w:rPr>
        <w:rFonts w:ascii="Symbol" w:hAnsi="Symbol" w:hint="default"/>
      </w:rPr>
    </w:lvl>
    <w:lvl w:ilvl="7" w:tplc="807ED89A" w:tentative="1">
      <w:start w:val="1"/>
      <w:numFmt w:val="bullet"/>
      <w:lvlText w:val=""/>
      <w:lvlJc w:val="left"/>
      <w:pPr>
        <w:tabs>
          <w:tab w:val="num" w:pos="5760"/>
        </w:tabs>
        <w:ind w:left="5760" w:hanging="360"/>
      </w:pPr>
      <w:rPr>
        <w:rFonts w:ascii="Symbol" w:hAnsi="Symbol" w:hint="default"/>
      </w:rPr>
    </w:lvl>
    <w:lvl w:ilvl="8" w:tplc="2DDA78EE" w:tentative="1">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65071478"/>
    <w:multiLevelType w:val="hybridMultilevel"/>
    <w:tmpl w:val="4560EABA"/>
    <w:lvl w:ilvl="0" w:tplc="01D2533A">
      <w:start w:val="1"/>
      <w:numFmt w:val="decimal"/>
      <w:pStyle w:val="ACMAFigureHeader"/>
      <w:lvlText w:val="Figure %1: "/>
      <w:lvlJc w:val="left"/>
      <w:pPr>
        <w:tabs>
          <w:tab w:val="num" w:pos="1021"/>
        </w:tabs>
        <w:ind w:left="1021" w:hanging="1021"/>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D757AE6"/>
    <w:multiLevelType w:val="hybridMultilevel"/>
    <w:tmpl w:val="4BAEE1E2"/>
    <w:lvl w:ilvl="0" w:tplc="0DA4929C">
      <w:start w:val="1"/>
      <w:numFmt w:val="decimal"/>
      <w:pStyle w:val="Caption"/>
      <w:lvlText w:val="Table %1:"/>
      <w:lvlJc w:val="left"/>
      <w:pPr>
        <w:tabs>
          <w:tab w:val="num" w:pos="964"/>
        </w:tabs>
        <w:ind w:left="964" w:hanging="964"/>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E8172D4"/>
    <w:multiLevelType w:val="multilevel"/>
    <w:tmpl w:val="D5080FD4"/>
    <w:lvl w:ilvl="0">
      <w:start w:val="1"/>
      <w:numFmt w:val="decimal"/>
      <w:pStyle w:val="BulletList1"/>
      <w:lvlText w:val=""/>
      <w:lvlJc w:val="left"/>
      <w:pPr>
        <w:tabs>
          <w:tab w:val="num" w:pos="400"/>
        </w:tabs>
        <w:ind w:left="400" w:hanging="400"/>
      </w:pPr>
      <w:rPr>
        <w:rFonts w:ascii="Symbol" w:hAnsi="Symbol" w:cs="Symbol" w:hint="default"/>
        <w:color w:val="auto"/>
      </w:rPr>
    </w:lvl>
    <w:lvl w:ilvl="1">
      <w:start w:val="1"/>
      <w:numFmt w:val="lowerLetter"/>
      <w:pStyle w:val="BulletList2"/>
      <w:lvlText w:val="–"/>
      <w:lvlJc w:val="left"/>
      <w:pPr>
        <w:tabs>
          <w:tab w:val="num" w:pos="800"/>
        </w:tabs>
        <w:ind w:left="800" w:hanging="400"/>
      </w:pPr>
      <w:rPr>
        <w:rFonts w:ascii="Arial" w:hAnsi="Arial" w:cs="Arial"/>
        <w:color w:val="4F2683"/>
      </w:rPr>
    </w:lvl>
    <w:lvl w:ilvl="2">
      <w:start w:val="1"/>
      <w:numFmt w:val="lowerRoman"/>
      <w:pStyle w:val="BulletList3"/>
      <w:lvlText w:val="–"/>
      <w:lvlJc w:val="left"/>
      <w:pPr>
        <w:tabs>
          <w:tab w:val="num" w:pos="1200"/>
        </w:tabs>
        <w:ind w:left="1200" w:hanging="400"/>
      </w:pPr>
      <w:rPr>
        <w:rFonts w:ascii="Arial" w:hAnsi="Arial" w:cs="Arial"/>
        <w:color w:val="4F2683"/>
      </w:rPr>
    </w:lvl>
    <w:lvl w:ilvl="3">
      <w:start w:val="1"/>
      <w:numFmt w:val="decimal"/>
      <w:pStyle w:val="BulletList4"/>
      <w:lvlText w:val="·"/>
      <w:lvlJc w:val="left"/>
      <w:pPr>
        <w:tabs>
          <w:tab w:val="num" w:pos="1360"/>
        </w:tabs>
        <w:ind w:left="1360" w:hanging="340"/>
      </w:pPr>
      <w:rPr>
        <w:rFonts w:ascii="Symbol" w:hAnsi="Symbol" w:cs="Symbol" w:hint="default"/>
      </w:rPr>
    </w:lvl>
    <w:lvl w:ilvl="4">
      <w:start w:val="1"/>
      <w:numFmt w:val="lowerLetter"/>
      <w:pStyle w:val="BulletList5"/>
      <w:lvlText w:val="·"/>
      <w:lvlJc w:val="left"/>
      <w:pPr>
        <w:tabs>
          <w:tab w:val="num" w:pos="1700"/>
        </w:tabs>
        <w:ind w:left="1700" w:hanging="340"/>
      </w:pPr>
      <w:rPr>
        <w:rFonts w:ascii="Symbol" w:hAnsi="Symbol" w:cs="Symbol" w:hint="default"/>
      </w:rPr>
    </w:lvl>
    <w:lvl w:ilvl="5">
      <w:start w:val="1"/>
      <w:numFmt w:val="lowerRoman"/>
      <w:pStyle w:val="BulletList6"/>
      <w:lvlText w:val="·"/>
      <w:lvlJc w:val="left"/>
      <w:pPr>
        <w:tabs>
          <w:tab w:val="num" w:pos="2040"/>
        </w:tabs>
        <w:ind w:left="2040" w:hanging="340"/>
      </w:pPr>
      <w:rPr>
        <w:rFonts w:ascii="Symbol" w:hAnsi="Symbol" w:cs="Symbol" w:hint="default"/>
      </w:rPr>
    </w:lvl>
    <w:lvl w:ilvl="6">
      <w:start w:val="1"/>
      <w:numFmt w:val="decimal"/>
      <w:pStyle w:val="BulletList7"/>
      <w:lvlText w:val="·"/>
      <w:lvlJc w:val="left"/>
      <w:pPr>
        <w:tabs>
          <w:tab w:val="num" w:pos="2380"/>
        </w:tabs>
        <w:ind w:left="2380" w:hanging="340"/>
      </w:pPr>
      <w:rPr>
        <w:rFonts w:ascii="Symbol" w:hAnsi="Symbol" w:cs="Symbol" w:hint="default"/>
      </w:rPr>
    </w:lvl>
    <w:lvl w:ilvl="7">
      <w:start w:val="1"/>
      <w:numFmt w:val="lowerLetter"/>
      <w:pStyle w:val="BulletList8"/>
      <w:lvlText w:val="·"/>
      <w:lvlJc w:val="left"/>
      <w:pPr>
        <w:tabs>
          <w:tab w:val="num" w:pos="2720"/>
        </w:tabs>
        <w:ind w:left="2720" w:hanging="340"/>
      </w:pPr>
      <w:rPr>
        <w:rFonts w:ascii="Symbol" w:hAnsi="Symbol" w:cs="Symbol" w:hint="default"/>
      </w:rPr>
    </w:lvl>
    <w:lvl w:ilvl="8">
      <w:start w:val="1"/>
      <w:numFmt w:val="lowerRoman"/>
      <w:pStyle w:val="BulletList9"/>
      <w:lvlText w:val="·"/>
      <w:lvlJc w:val="left"/>
      <w:pPr>
        <w:tabs>
          <w:tab w:val="num" w:pos="3060"/>
        </w:tabs>
        <w:ind w:left="3060" w:hanging="340"/>
      </w:pPr>
      <w:rPr>
        <w:rFonts w:ascii="Symbol" w:hAnsi="Symbol" w:cs="Symbol" w:hint="default"/>
      </w:rPr>
    </w:lvl>
  </w:abstractNum>
  <w:num w:numId="1">
    <w:abstractNumId w:val="4"/>
  </w:num>
  <w:num w:numId="2">
    <w:abstractNumId w:val="3"/>
  </w:num>
  <w:num w:numId="3">
    <w:abstractNumId w:val="1"/>
  </w:num>
  <w:num w:numId="4">
    <w:abstractNumId w:val="8"/>
  </w:num>
  <w:num w:numId="5">
    <w:abstractNumId w:val="18"/>
  </w:num>
  <w:num w:numId="6">
    <w:abstractNumId w:val="14"/>
  </w:num>
  <w:num w:numId="7">
    <w:abstractNumId w:val="16"/>
  </w:num>
  <w:num w:numId="8">
    <w:abstractNumId w:val="19"/>
  </w:num>
  <w:num w:numId="9">
    <w:abstractNumId w:val="7"/>
  </w:num>
  <w:num w:numId="10">
    <w:abstractNumId w:val="2"/>
  </w:num>
  <w:num w:numId="11">
    <w:abstractNumId w:val="4"/>
  </w:num>
  <w:num w:numId="12">
    <w:abstractNumId w:val="6"/>
  </w:num>
  <w:num w:numId="13">
    <w:abstractNumId w:val="9"/>
  </w:num>
  <w:num w:numId="14">
    <w:abstractNumId w:val="11"/>
  </w:num>
  <w:num w:numId="15">
    <w:abstractNumId w:val="15"/>
  </w:num>
  <w:num w:numId="16">
    <w:abstractNumId w:val="17"/>
  </w:num>
  <w:num w:numId="17">
    <w:abstractNumId w:val="12"/>
  </w:num>
  <w:num w:numId="18">
    <w:abstractNumId w:val="13"/>
  </w:num>
  <w:num w:numId="19">
    <w:abstractNumId w:val="20"/>
  </w:num>
  <w:num w:numId="20">
    <w:abstractNumId w:val="5"/>
  </w:num>
  <w:num w:numId="21">
    <w:abstractNumId w:val="4"/>
  </w:num>
  <w:num w:numId="22">
    <w:abstractNumId w:val="4"/>
  </w:num>
  <w:num w:numId="23">
    <w:abstractNumId w:val="2"/>
  </w:num>
  <w:num w:numId="24">
    <w:abstractNumId w:val="0"/>
  </w:num>
  <w:num w:numId="25">
    <w:abstractNumId w:val="1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oofState w:spelling="clean"/>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oNotTrackFormatting/>
  <w:defaultTabStop w:val="284"/>
  <w:evenAndOddHeaders/>
  <w:drawingGridHorizontalSpacing w:val="100"/>
  <w:displayHorizontalDrawingGridEvery w:val="2"/>
  <w:characterSpacingControl w:val="doNotCompress"/>
  <w:hdrShapeDefaults>
    <o:shapedefaults v:ext="edit" spidmax="2049">
      <o:colormru v:ext="edit" colors="red,#4d4d4f"/>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229A5"/>
    <w:rsid w:val="0000065C"/>
    <w:rsid w:val="000008F8"/>
    <w:rsid w:val="000008FD"/>
    <w:rsid w:val="00000A15"/>
    <w:rsid w:val="00000A6E"/>
    <w:rsid w:val="00002480"/>
    <w:rsid w:val="00002AE9"/>
    <w:rsid w:val="00002AF8"/>
    <w:rsid w:val="00003807"/>
    <w:rsid w:val="0000389A"/>
    <w:rsid w:val="00003DF1"/>
    <w:rsid w:val="000043A3"/>
    <w:rsid w:val="000043CF"/>
    <w:rsid w:val="000043F4"/>
    <w:rsid w:val="000047E7"/>
    <w:rsid w:val="00004F25"/>
    <w:rsid w:val="00005002"/>
    <w:rsid w:val="00006FB3"/>
    <w:rsid w:val="00007002"/>
    <w:rsid w:val="00010337"/>
    <w:rsid w:val="00010667"/>
    <w:rsid w:val="000117B5"/>
    <w:rsid w:val="000119CE"/>
    <w:rsid w:val="00011AC0"/>
    <w:rsid w:val="00011CE3"/>
    <w:rsid w:val="00011DF9"/>
    <w:rsid w:val="00012175"/>
    <w:rsid w:val="00012691"/>
    <w:rsid w:val="000129D5"/>
    <w:rsid w:val="00014396"/>
    <w:rsid w:val="000146C2"/>
    <w:rsid w:val="0001504A"/>
    <w:rsid w:val="00015A13"/>
    <w:rsid w:val="00015AE7"/>
    <w:rsid w:val="000162DA"/>
    <w:rsid w:val="000164D3"/>
    <w:rsid w:val="00016550"/>
    <w:rsid w:val="00016E21"/>
    <w:rsid w:val="0001719C"/>
    <w:rsid w:val="00017BD3"/>
    <w:rsid w:val="00017CB1"/>
    <w:rsid w:val="00017F8F"/>
    <w:rsid w:val="00020606"/>
    <w:rsid w:val="0002080C"/>
    <w:rsid w:val="00020ADC"/>
    <w:rsid w:val="00020F42"/>
    <w:rsid w:val="00021DD3"/>
    <w:rsid w:val="000227D6"/>
    <w:rsid w:val="00022A7E"/>
    <w:rsid w:val="00023357"/>
    <w:rsid w:val="000234EE"/>
    <w:rsid w:val="00023994"/>
    <w:rsid w:val="0002403D"/>
    <w:rsid w:val="000242BD"/>
    <w:rsid w:val="000246B4"/>
    <w:rsid w:val="00024735"/>
    <w:rsid w:val="00024A41"/>
    <w:rsid w:val="000252B2"/>
    <w:rsid w:val="000252C3"/>
    <w:rsid w:val="000256B7"/>
    <w:rsid w:val="00025B84"/>
    <w:rsid w:val="00025CB5"/>
    <w:rsid w:val="00026367"/>
    <w:rsid w:val="000264AD"/>
    <w:rsid w:val="00026BD7"/>
    <w:rsid w:val="00026CD7"/>
    <w:rsid w:val="00026F91"/>
    <w:rsid w:val="00027461"/>
    <w:rsid w:val="000275BE"/>
    <w:rsid w:val="0002778D"/>
    <w:rsid w:val="000278DC"/>
    <w:rsid w:val="00027AE7"/>
    <w:rsid w:val="00030A15"/>
    <w:rsid w:val="00030FF7"/>
    <w:rsid w:val="0003203E"/>
    <w:rsid w:val="0003218E"/>
    <w:rsid w:val="00032CE2"/>
    <w:rsid w:val="00032F10"/>
    <w:rsid w:val="000330DD"/>
    <w:rsid w:val="0003336A"/>
    <w:rsid w:val="00034056"/>
    <w:rsid w:val="00034622"/>
    <w:rsid w:val="0003562A"/>
    <w:rsid w:val="00035CE8"/>
    <w:rsid w:val="00036081"/>
    <w:rsid w:val="00036316"/>
    <w:rsid w:val="00036DEE"/>
    <w:rsid w:val="000373D1"/>
    <w:rsid w:val="000414C7"/>
    <w:rsid w:val="000415C9"/>
    <w:rsid w:val="00042A02"/>
    <w:rsid w:val="00042A31"/>
    <w:rsid w:val="00042B25"/>
    <w:rsid w:val="00042B86"/>
    <w:rsid w:val="00043503"/>
    <w:rsid w:val="00043CA0"/>
    <w:rsid w:val="000442F8"/>
    <w:rsid w:val="0004461E"/>
    <w:rsid w:val="00044C71"/>
    <w:rsid w:val="00044F90"/>
    <w:rsid w:val="000450DB"/>
    <w:rsid w:val="00045B16"/>
    <w:rsid w:val="000460E5"/>
    <w:rsid w:val="0004618F"/>
    <w:rsid w:val="00046B64"/>
    <w:rsid w:val="00047460"/>
    <w:rsid w:val="00047A99"/>
    <w:rsid w:val="0005011A"/>
    <w:rsid w:val="00050251"/>
    <w:rsid w:val="0005045A"/>
    <w:rsid w:val="0005076F"/>
    <w:rsid w:val="00050D64"/>
    <w:rsid w:val="0005109F"/>
    <w:rsid w:val="000517B3"/>
    <w:rsid w:val="000518F9"/>
    <w:rsid w:val="00051C1E"/>
    <w:rsid w:val="00052B87"/>
    <w:rsid w:val="000539F9"/>
    <w:rsid w:val="00054C27"/>
    <w:rsid w:val="00055047"/>
    <w:rsid w:val="00055EC3"/>
    <w:rsid w:val="0005612E"/>
    <w:rsid w:val="000563CE"/>
    <w:rsid w:val="000564DD"/>
    <w:rsid w:val="00056568"/>
    <w:rsid w:val="00057160"/>
    <w:rsid w:val="000573A8"/>
    <w:rsid w:val="000574B2"/>
    <w:rsid w:val="00057B77"/>
    <w:rsid w:val="00057EE4"/>
    <w:rsid w:val="0006079F"/>
    <w:rsid w:val="0006199F"/>
    <w:rsid w:val="00062A83"/>
    <w:rsid w:val="00063A16"/>
    <w:rsid w:val="00063DC0"/>
    <w:rsid w:val="0006428C"/>
    <w:rsid w:val="00064CE9"/>
    <w:rsid w:val="00064D64"/>
    <w:rsid w:val="00065334"/>
    <w:rsid w:val="000659B6"/>
    <w:rsid w:val="0006722A"/>
    <w:rsid w:val="00070703"/>
    <w:rsid w:val="00070CE3"/>
    <w:rsid w:val="0007167C"/>
    <w:rsid w:val="000716B5"/>
    <w:rsid w:val="00072032"/>
    <w:rsid w:val="000721E2"/>
    <w:rsid w:val="000729CA"/>
    <w:rsid w:val="00072B26"/>
    <w:rsid w:val="00072BC8"/>
    <w:rsid w:val="00072C5B"/>
    <w:rsid w:val="00073099"/>
    <w:rsid w:val="000732CF"/>
    <w:rsid w:val="0007375A"/>
    <w:rsid w:val="000746A1"/>
    <w:rsid w:val="00074F64"/>
    <w:rsid w:val="00074FF2"/>
    <w:rsid w:val="000751CD"/>
    <w:rsid w:val="00075B96"/>
    <w:rsid w:val="0007623D"/>
    <w:rsid w:val="00077337"/>
    <w:rsid w:val="00077464"/>
    <w:rsid w:val="00077596"/>
    <w:rsid w:val="00077EB6"/>
    <w:rsid w:val="0008078F"/>
    <w:rsid w:val="000811BF"/>
    <w:rsid w:val="000813EC"/>
    <w:rsid w:val="0008196A"/>
    <w:rsid w:val="000838D4"/>
    <w:rsid w:val="00083D58"/>
    <w:rsid w:val="00083ECF"/>
    <w:rsid w:val="00083FF4"/>
    <w:rsid w:val="000844D9"/>
    <w:rsid w:val="0008486C"/>
    <w:rsid w:val="00084D2D"/>
    <w:rsid w:val="00084E8F"/>
    <w:rsid w:val="000868D9"/>
    <w:rsid w:val="00087A90"/>
    <w:rsid w:val="00087C01"/>
    <w:rsid w:val="00087C66"/>
    <w:rsid w:val="00087F38"/>
    <w:rsid w:val="000904DF"/>
    <w:rsid w:val="00090692"/>
    <w:rsid w:val="00090D9B"/>
    <w:rsid w:val="00090F39"/>
    <w:rsid w:val="00091084"/>
    <w:rsid w:val="000915ED"/>
    <w:rsid w:val="00091830"/>
    <w:rsid w:val="000919E9"/>
    <w:rsid w:val="0009209D"/>
    <w:rsid w:val="000922EB"/>
    <w:rsid w:val="00092376"/>
    <w:rsid w:val="0009255F"/>
    <w:rsid w:val="000929F9"/>
    <w:rsid w:val="000934ED"/>
    <w:rsid w:val="000939B1"/>
    <w:rsid w:val="00094C1F"/>
    <w:rsid w:val="00094EE0"/>
    <w:rsid w:val="00095343"/>
    <w:rsid w:val="00095E3C"/>
    <w:rsid w:val="000960DE"/>
    <w:rsid w:val="00096380"/>
    <w:rsid w:val="000969BD"/>
    <w:rsid w:val="000969BF"/>
    <w:rsid w:val="00096B65"/>
    <w:rsid w:val="00096DEB"/>
    <w:rsid w:val="00096DF4"/>
    <w:rsid w:val="00097665"/>
    <w:rsid w:val="000A05CF"/>
    <w:rsid w:val="000A0A9A"/>
    <w:rsid w:val="000A0C22"/>
    <w:rsid w:val="000A0DD6"/>
    <w:rsid w:val="000A0E6B"/>
    <w:rsid w:val="000A1589"/>
    <w:rsid w:val="000A16EF"/>
    <w:rsid w:val="000A1B18"/>
    <w:rsid w:val="000A1B36"/>
    <w:rsid w:val="000A1D8B"/>
    <w:rsid w:val="000A21FC"/>
    <w:rsid w:val="000A237F"/>
    <w:rsid w:val="000A2772"/>
    <w:rsid w:val="000A27B9"/>
    <w:rsid w:val="000A2F47"/>
    <w:rsid w:val="000A2F63"/>
    <w:rsid w:val="000A317E"/>
    <w:rsid w:val="000A3A41"/>
    <w:rsid w:val="000A3B0C"/>
    <w:rsid w:val="000A3B32"/>
    <w:rsid w:val="000A3C43"/>
    <w:rsid w:val="000A3C80"/>
    <w:rsid w:val="000A47DC"/>
    <w:rsid w:val="000A4A51"/>
    <w:rsid w:val="000A4F3D"/>
    <w:rsid w:val="000A58B6"/>
    <w:rsid w:val="000A5D2B"/>
    <w:rsid w:val="000A5D74"/>
    <w:rsid w:val="000A5E18"/>
    <w:rsid w:val="000A64BD"/>
    <w:rsid w:val="000A664D"/>
    <w:rsid w:val="000A665A"/>
    <w:rsid w:val="000A696A"/>
    <w:rsid w:val="000A6F7E"/>
    <w:rsid w:val="000A71E7"/>
    <w:rsid w:val="000A72E6"/>
    <w:rsid w:val="000A7404"/>
    <w:rsid w:val="000A7559"/>
    <w:rsid w:val="000B017B"/>
    <w:rsid w:val="000B0C11"/>
    <w:rsid w:val="000B10F7"/>
    <w:rsid w:val="000B24B9"/>
    <w:rsid w:val="000B291A"/>
    <w:rsid w:val="000B297C"/>
    <w:rsid w:val="000B2DB5"/>
    <w:rsid w:val="000B3A9F"/>
    <w:rsid w:val="000B3F1D"/>
    <w:rsid w:val="000B54BC"/>
    <w:rsid w:val="000B5B3B"/>
    <w:rsid w:val="000B5D91"/>
    <w:rsid w:val="000B5DE3"/>
    <w:rsid w:val="000B611C"/>
    <w:rsid w:val="000B62E7"/>
    <w:rsid w:val="000B76F5"/>
    <w:rsid w:val="000B788C"/>
    <w:rsid w:val="000C035A"/>
    <w:rsid w:val="000C059F"/>
    <w:rsid w:val="000C0A57"/>
    <w:rsid w:val="000C0C86"/>
    <w:rsid w:val="000C1130"/>
    <w:rsid w:val="000C117F"/>
    <w:rsid w:val="000C173E"/>
    <w:rsid w:val="000C230C"/>
    <w:rsid w:val="000C2A63"/>
    <w:rsid w:val="000C2EC3"/>
    <w:rsid w:val="000C336C"/>
    <w:rsid w:val="000C3680"/>
    <w:rsid w:val="000C36B1"/>
    <w:rsid w:val="000C37B0"/>
    <w:rsid w:val="000C3A76"/>
    <w:rsid w:val="000C3C11"/>
    <w:rsid w:val="000C3EFA"/>
    <w:rsid w:val="000C3F3A"/>
    <w:rsid w:val="000C3F48"/>
    <w:rsid w:val="000C4729"/>
    <w:rsid w:val="000C4A02"/>
    <w:rsid w:val="000C50BB"/>
    <w:rsid w:val="000C5955"/>
    <w:rsid w:val="000C5D4E"/>
    <w:rsid w:val="000C6AB4"/>
    <w:rsid w:val="000C6F84"/>
    <w:rsid w:val="000C70DE"/>
    <w:rsid w:val="000C743F"/>
    <w:rsid w:val="000C7B39"/>
    <w:rsid w:val="000D07A7"/>
    <w:rsid w:val="000D09C5"/>
    <w:rsid w:val="000D0C42"/>
    <w:rsid w:val="000D0C67"/>
    <w:rsid w:val="000D1BE0"/>
    <w:rsid w:val="000D2211"/>
    <w:rsid w:val="000D22A4"/>
    <w:rsid w:val="000D2529"/>
    <w:rsid w:val="000D2DD7"/>
    <w:rsid w:val="000D39BB"/>
    <w:rsid w:val="000D4585"/>
    <w:rsid w:val="000D4702"/>
    <w:rsid w:val="000D5B53"/>
    <w:rsid w:val="000D64DC"/>
    <w:rsid w:val="000D668D"/>
    <w:rsid w:val="000D66D3"/>
    <w:rsid w:val="000D6793"/>
    <w:rsid w:val="000D6B69"/>
    <w:rsid w:val="000D71D9"/>
    <w:rsid w:val="000D76E0"/>
    <w:rsid w:val="000D7D30"/>
    <w:rsid w:val="000D7E8B"/>
    <w:rsid w:val="000E0261"/>
    <w:rsid w:val="000E072F"/>
    <w:rsid w:val="000E0951"/>
    <w:rsid w:val="000E168C"/>
    <w:rsid w:val="000E1AD5"/>
    <w:rsid w:val="000E2110"/>
    <w:rsid w:val="000E2122"/>
    <w:rsid w:val="000E2E66"/>
    <w:rsid w:val="000E3AD1"/>
    <w:rsid w:val="000E3E50"/>
    <w:rsid w:val="000E40C3"/>
    <w:rsid w:val="000E417A"/>
    <w:rsid w:val="000E4449"/>
    <w:rsid w:val="000E45FA"/>
    <w:rsid w:val="000E56B4"/>
    <w:rsid w:val="000E56CF"/>
    <w:rsid w:val="000E5915"/>
    <w:rsid w:val="000E5A23"/>
    <w:rsid w:val="000E5BA3"/>
    <w:rsid w:val="000E6097"/>
    <w:rsid w:val="000E695A"/>
    <w:rsid w:val="000E6BBB"/>
    <w:rsid w:val="000E6F4E"/>
    <w:rsid w:val="000E706E"/>
    <w:rsid w:val="000E74F5"/>
    <w:rsid w:val="000E7996"/>
    <w:rsid w:val="000E7CE5"/>
    <w:rsid w:val="000E7D2C"/>
    <w:rsid w:val="000E7EAC"/>
    <w:rsid w:val="000F069C"/>
    <w:rsid w:val="000F2557"/>
    <w:rsid w:val="000F28A5"/>
    <w:rsid w:val="000F2BAE"/>
    <w:rsid w:val="000F3918"/>
    <w:rsid w:val="000F41B3"/>
    <w:rsid w:val="000F470E"/>
    <w:rsid w:val="000F527A"/>
    <w:rsid w:val="000F5BAC"/>
    <w:rsid w:val="000F68B5"/>
    <w:rsid w:val="000F68DE"/>
    <w:rsid w:val="000F7234"/>
    <w:rsid w:val="00100050"/>
    <w:rsid w:val="00100578"/>
    <w:rsid w:val="00101F81"/>
    <w:rsid w:val="00101FB6"/>
    <w:rsid w:val="00102017"/>
    <w:rsid w:val="00102727"/>
    <w:rsid w:val="00102BC3"/>
    <w:rsid w:val="00102CFF"/>
    <w:rsid w:val="00102E23"/>
    <w:rsid w:val="00102F21"/>
    <w:rsid w:val="001032CC"/>
    <w:rsid w:val="00103829"/>
    <w:rsid w:val="00105219"/>
    <w:rsid w:val="00105C4F"/>
    <w:rsid w:val="00105C8A"/>
    <w:rsid w:val="00105E8D"/>
    <w:rsid w:val="001063FB"/>
    <w:rsid w:val="001103A3"/>
    <w:rsid w:val="001104B2"/>
    <w:rsid w:val="00110BA6"/>
    <w:rsid w:val="00110C88"/>
    <w:rsid w:val="00110E2B"/>
    <w:rsid w:val="00110E68"/>
    <w:rsid w:val="00111113"/>
    <w:rsid w:val="001117CF"/>
    <w:rsid w:val="00111E3D"/>
    <w:rsid w:val="00111F3C"/>
    <w:rsid w:val="00111FCE"/>
    <w:rsid w:val="00111FF9"/>
    <w:rsid w:val="0011233C"/>
    <w:rsid w:val="00112AF8"/>
    <w:rsid w:val="00113015"/>
    <w:rsid w:val="0011311C"/>
    <w:rsid w:val="00113975"/>
    <w:rsid w:val="00114B15"/>
    <w:rsid w:val="001151B9"/>
    <w:rsid w:val="00115F8B"/>
    <w:rsid w:val="00116031"/>
    <w:rsid w:val="00116570"/>
    <w:rsid w:val="001173D7"/>
    <w:rsid w:val="00117AA1"/>
    <w:rsid w:val="00120022"/>
    <w:rsid w:val="001202B6"/>
    <w:rsid w:val="00120363"/>
    <w:rsid w:val="001203BC"/>
    <w:rsid w:val="00120F2C"/>
    <w:rsid w:val="001215BD"/>
    <w:rsid w:val="00121D8C"/>
    <w:rsid w:val="00122215"/>
    <w:rsid w:val="00122355"/>
    <w:rsid w:val="0012262E"/>
    <w:rsid w:val="00122852"/>
    <w:rsid w:val="00122954"/>
    <w:rsid w:val="00122989"/>
    <w:rsid w:val="001229A5"/>
    <w:rsid w:val="00122E39"/>
    <w:rsid w:val="001233C5"/>
    <w:rsid w:val="00123AB1"/>
    <w:rsid w:val="00123CD3"/>
    <w:rsid w:val="001240EA"/>
    <w:rsid w:val="001245F4"/>
    <w:rsid w:val="0012489B"/>
    <w:rsid w:val="00124902"/>
    <w:rsid w:val="00124A92"/>
    <w:rsid w:val="00124E88"/>
    <w:rsid w:val="00125D3F"/>
    <w:rsid w:val="001260D5"/>
    <w:rsid w:val="00126897"/>
    <w:rsid w:val="00126EB3"/>
    <w:rsid w:val="0012744B"/>
    <w:rsid w:val="00127458"/>
    <w:rsid w:val="0012782C"/>
    <w:rsid w:val="00130017"/>
    <w:rsid w:val="001300B5"/>
    <w:rsid w:val="001303D1"/>
    <w:rsid w:val="00130CD4"/>
    <w:rsid w:val="00130CFA"/>
    <w:rsid w:val="00130F91"/>
    <w:rsid w:val="00131F11"/>
    <w:rsid w:val="001321BD"/>
    <w:rsid w:val="00134439"/>
    <w:rsid w:val="001344BA"/>
    <w:rsid w:val="001348BC"/>
    <w:rsid w:val="001349ED"/>
    <w:rsid w:val="00134E53"/>
    <w:rsid w:val="0013573E"/>
    <w:rsid w:val="00135E78"/>
    <w:rsid w:val="0013633D"/>
    <w:rsid w:val="001363ED"/>
    <w:rsid w:val="001367B9"/>
    <w:rsid w:val="00137424"/>
    <w:rsid w:val="001377A8"/>
    <w:rsid w:val="0013799E"/>
    <w:rsid w:val="00137B96"/>
    <w:rsid w:val="00137F89"/>
    <w:rsid w:val="00140175"/>
    <w:rsid w:val="00140318"/>
    <w:rsid w:val="00140DC4"/>
    <w:rsid w:val="00141AD9"/>
    <w:rsid w:val="00141E57"/>
    <w:rsid w:val="00142291"/>
    <w:rsid w:val="001424B3"/>
    <w:rsid w:val="00142545"/>
    <w:rsid w:val="00142662"/>
    <w:rsid w:val="001427FF"/>
    <w:rsid w:val="00142C97"/>
    <w:rsid w:val="0014339D"/>
    <w:rsid w:val="0014375F"/>
    <w:rsid w:val="00143797"/>
    <w:rsid w:val="001437F2"/>
    <w:rsid w:val="00143DB4"/>
    <w:rsid w:val="00143E4D"/>
    <w:rsid w:val="001440F3"/>
    <w:rsid w:val="00144335"/>
    <w:rsid w:val="001445EB"/>
    <w:rsid w:val="00144A81"/>
    <w:rsid w:val="00145150"/>
    <w:rsid w:val="00146104"/>
    <w:rsid w:val="0014678D"/>
    <w:rsid w:val="00146C74"/>
    <w:rsid w:val="00146CE6"/>
    <w:rsid w:val="00147819"/>
    <w:rsid w:val="00150570"/>
    <w:rsid w:val="001514C6"/>
    <w:rsid w:val="00152059"/>
    <w:rsid w:val="001524B0"/>
    <w:rsid w:val="00152903"/>
    <w:rsid w:val="00152EB1"/>
    <w:rsid w:val="001537B3"/>
    <w:rsid w:val="00154074"/>
    <w:rsid w:val="00154361"/>
    <w:rsid w:val="001543F4"/>
    <w:rsid w:val="00154435"/>
    <w:rsid w:val="00154975"/>
    <w:rsid w:val="00154AE5"/>
    <w:rsid w:val="00154D63"/>
    <w:rsid w:val="00155000"/>
    <w:rsid w:val="00155718"/>
    <w:rsid w:val="00155DC4"/>
    <w:rsid w:val="00155F94"/>
    <w:rsid w:val="0015614F"/>
    <w:rsid w:val="001564B6"/>
    <w:rsid w:val="0015682E"/>
    <w:rsid w:val="00156FB8"/>
    <w:rsid w:val="001577C2"/>
    <w:rsid w:val="00157A9D"/>
    <w:rsid w:val="00157FDE"/>
    <w:rsid w:val="001601CA"/>
    <w:rsid w:val="001602CE"/>
    <w:rsid w:val="00161613"/>
    <w:rsid w:val="0016187C"/>
    <w:rsid w:val="0016193F"/>
    <w:rsid w:val="001633C4"/>
    <w:rsid w:val="0016415B"/>
    <w:rsid w:val="0016458D"/>
    <w:rsid w:val="0016470E"/>
    <w:rsid w:val="00164B66"/>
    <w:rsid w:val="001652D4"/>
    <w:rsid w:val="0016561A"/>
    <w:rsid w:val="001659ED"/>
    <w:rsid w:val="00165AB4"/>
    <w:rsid w:val="00165EF6"/>
    <w:rsid w:val="001664FC"/>
    <w:rsid w:val="00167337"/>
    <w:rsid w:val="00167B20"/>
    <w:rsid w:val="001704ED"/>
    <w:rsid w:val="001707D5"/>
    <w:rsid w:val="0017115D"/>
    <w:rsid w:val="00171591"/>
    <w:rsid w:val="00171673"/>
    <w:rsid w:val="0017252D"/>
    <w:rsid w:val="00172BF7"/>
    <w:rsid w:val="00172D24"/>
    <w:rsid w:val="00172FFC"/>
    <w:rsid w:val="0017377F"/>
    <w:rsid w:val="001737D0"/>
    <w:rsid w:val="00173981"/>
    <w:rsid w:val="00173A63"/>
    <w:rsid w:val="001741AF"/>
    <w:rsid w:val="0017426D"/>
    <w:rsid w:val="00174695"/>
    <w:rsid w:val="001748AA"/>
    <w:rsid w:val="001748FD"/>
    <w:rsid w:val="001752A8"/>
    <w:rsid w:val="00175530"/>
    <w:rsid w:val="00175590"/>
    <w:rsid w:val="00176BDC"/>
    <w:rsid w:val="00176CB0"/>
    <w:rsid w:val="00176D1B"/>
    <w:rsid w:val="0017719D"/>
    <w:rsid w:val="00177AAB"/>
    <w:rsid w:val="00177AC6"/>
    <w:rsid w:val="0018057A"/>
    <w:rsid w:val="001813C3"/>
    <w:rsid w:val="001824A2"/>
    <w:rsid w:val="001824F8"/>
    <w:rsid w:val="001825ED"/>
    <w:rsid w:val="00182882"/>
    <w:rsid w:val="00182A56"/>
    <w:rsid w:val="00183EC1"/>
    <w:rsid w:val="00185500"/>
    <w:rsid w:val="00185750"/>
    <w:rsid w:val="00185CAB"/>
    <w:rsid w:val="00186B47"/>
    <w:rsid w:val="0018704E"/>
    <w:rsid w:val="001875B7"/>
    <w:rsid w:val="001876C7"/>
    <w:rsid w:val="00187CB3"/>
    <w:rsid w:val="00190183"/>
    <w:rsid w:val="0019050A"/>
    <w:rsid w:val="00190645"/>
    <w:rsid w:val="0019096C"/>
    <w:rsid w:val="00190C00"/>
    <w:rsid w:val="00190F88"/>
    <w:rsid w:val="001910D4"/>
    <w:rsid w:val="001910D7"/>
    <w:rsid w:val="00191223"/>
    <w:rsid w:val="00191CB5"/>
    <w:rsid w:val="00191E8D"/>
    <w:rsid w:val="001922D7"/>
    <w:rsid w:val="00192634"/>
    <w:rsid w:val="0019303D"/>
    <w:rsid w:val="001938F8"/>
    <w:rsid w:val="0019394A"/>
    <w:rsid w:val="00194B5E"/>
    <w:rsid w:val="001951BD"/>
    <w:rsid w:val="001954E1"/>
    <w:rsid w:val="00196125"/>
    <w:rsid w:val="001963BC"/>
    <w:rsid w:val="00196E1A"/>
    <w:rsid w:val="00196F38"/>
    <w:rsid w:val="00196FDE"/>
    <w:rsid w:val="0019715B"/>
    <w:rsid w:val="001976E3"/>
    <w:rsid w:val="0019771E"/>
    <w:rsid w:val="001A076C"/>
    <w:rsid w:val="001A086D"/>
    <w:rsid w:val="001A13F8"/>
    <w:rsid w:val="001A15DD"/>
    <w:rsid w:val="001A16F5"/>
    <w:rsid w:val="001A1A64"/>
    <w:rsid w:val="001A1C0A"/>
    <w:rsid w:val="001A385D"/>
    <w:rsid w:val="001A3D62"/>
    <w:rsid w:val="001A44EC"/>
    <w:rsid w:val="001A4EBD"/>
    <w:rsid w:val="001A50C3"/>
    <w:rsid w:val="001A50F3"/>
    <w:rsid w:val="001A524C"/>
    <w:rsid w:val="001A533C"/>
    <w:rsid w:val="001A55FD"/>
    <w:rsid w:val="001A57AE"/>
    <w:rsid w:val="001A6389"/>
    <w:rsid w:val="001A6890"/>
    <w:rsid w:val="001A7BCF"/>
    <w:rsid w:val="001A7ED2"/>
    <w:rsid w:val="001B03C0"/>
    <w:rsid w:val="001B05FD"/>
    <w:rsid w:val="001B062C"/>
    <w:rsid w:val="001B0CC8"/>
    <w:rsid w:val="001B0E91"/>
    <w:rsid w:val="001B1387"/>
    <w:rsid w:val="001B14FA"/>
    <w:rsid w:val="001B18AD"/>
    <w:rsid w:val="001B20CD"/>
    <w:rsid w:val="001B25B2"/>
    <w:rsid w:val="001B347A"/>
    <w:rsid w:val="001B37C1"/>
    <w:rsid w:val="001B4442"/>
    <w:rsid w:val="001B46F5"/>
    <w:rsid w:val="001B5215"/>
    <w:rsid w:val="001B54B9"/>
    <w:rsid w:val="001B54F1"/>
    <w:rsid w:val="001B58AA"/>
    <w:rsid w:val="001B5B98"/>
    <w:rsid w:val="001B5C92"/>
    <w:rsid w:val="001B60F8"/>
    <w:rsid w:val="001B6D7E"/>
    <w:rsid w:val="001B6F31"/>
    <w:rsid w:val="001B7444"/>
    <w:rsid w:val="001B7E48"/>
    <w:rsid w:val="001B7EEE"/>
    <w:rsid w:val="001C1361"/>
    <w:rsid w:val="001C17CE"/>
    <w:rsid w:val="001C19DF"/>
    <w:rsid w:val="001C1BC7"/>
    <w:rsid w:val="001C238E"/>
    <w:rsid w:val="001C36CA"/>
    <w:rsid w:val="001C3BD1"/>
    <w:rsid w:val="001C44D1"/>
    <w:rsid w:val="001C4507"/>
    <w:rsid w:val="001C4751"/>
    <w:rsid w:val="001C6495"/>
    <w:rsid w:val="001C6575"/>
    <w:rsid w:val="001C663A"/>
    <w:rsid w:val="001C6AEE"/>
    <w:rsid w:val="001C6EF1"/>
    <w:rsid w:val="001C7630"/>
    <w:rsid w:val="001C7A54"/>
    <w:rsid w:val="001C7F90"/>
    <w:rsid w:val="001D018B"/>
    <w:rsid w:val="001D10A8"/>
    <w:rsid w:val="001D196A"/>
    <w:rsid w:val="001D219E"/>
    <w:rsid w:val="001D27F0"/>
    <w:rsid w:val="001D30C8"/>
    <w:rsid w:val="001D4626"/>
    <w:rsid w:val="001D5D62"/>
    <w:rsid w:val="001D64EB"/>
    <w:rsid w:val="001D665A"/>
    <w:rsid w:val="001D6ABD"/>
    <w:rsid w:val="001D6C05"/>
    <w:rsid w:val="001D6D15"/>
    <w:rsid w:val="001D6FB2"/>
    <w:rsid w:val="001E05DF"/>
    <w:rsid w:val="001E0A90"/>
    <w:rsid w:val="001E193B"/>
    <w:rsid w:val="001E1C64"/>
    <w:rsid w:val="001E28EC"/>
    <w:rsid w:val="001E2925"/>
    <w:rsid w:val="001E2BBD"/>
    <w:rsid w:val="001E3D39"/>
    <w:rsid w:val="001E4143"/>
    <w:rsid w:val="001E46D7"/>
    <w:rsid w:val="001E4FFA"/>
    <w:rsid w:val="001E5CC7"/>
    <w:rsid w:val="001E73E4"/>
    <w:rsid w:val="001E794D"/>
    <w:rsid w:val="001E7E51"/>
    <w:rsid w:val="001F0706"/>
    <w:rsid w:val="001F070A"/>
    <w:rsid w:val="001F0CC3"/>
    <w:rsid w:val="001F0D57"/>
    <w:rsid w:val="001F1DB4"/>
    <w:rsid w:val="001F1F3F"/>
    <w:rsid w:val="001F230F"/>
    <w:rsid w:val="001F2D8B"/>
    <w:rsid w:val="001F35A6"/>
    <w:rsid w:val="001F36E2"/>
    <w:rsid w:val="001F3E51"/>
    <w:rsid w:val="001F3FAD"/>
    <w:rsid w:val="001F40BD"/>
    <w:rsid w:val="001F4C81"/>
    <w:rsid w:val="001F4E8F"/>
    <w:rsid w:val="001F5198"/>
    <w:rsid w:val="001F54CA"/>
    <w:rsid w:val="001F5903"/>
    <w:rsid w:val="001F608A"/>
    <w:rsid w:val="001F61C4"/>
    <w:rsid w:val="001F6340"/>
    <w:rsid w:val="001F6524"/>
    <w:rsid w:val="001F6627"/>
    <w:rsid w:val="001F73AF"/>
    <w:rsid w:val="001F7558"/>
    <w:rsid w:val="002001F3"/>
    <w:rsid w:val="00200331"/>
    <w:rsid w:val="002003D9"/>
    <w:rsid w:val="002003DD"/>
    <w:rsid w:val="00201C65"/>
    <w:rsid w:val="00202720"/>
    <w:rsid w:val="0020284E"/>
    <w:rsid w:val="002031CD"/>
    <w:rsid w:val="00203C42"/>
    <w:rsid w:val="00203D2F"/>
    <w:rsid w:val="002043D2"/>
    <w:rsid w:val="00204ABF"/>
    <w:rsid w:val="00205B57"/>
    <w:rsid w:val="002061EC"/>
    <w:rsid w:val="002068E8"/>
    <w:rsid w:val="00206AA4"/>
    <w:rsid w:val="00207524"/>
    <w:rsid w:val="00207685"/>
    <w:rsid w:val="00207874"/>
    <w:rsid w:val="00207AC1"/>
    <w:rsid w:val="00207E41"/>
    <w:rsid w:val="00207E60"/>
    <w:rsid w:val="00210CDD"/>
    <w:rsid w:val="002124A5"/>
    <w:rsid w:val="00212CFC"/>
    <w:rsid w:val="00212E11"/>
    <w:rsid w:val="002132A2"/>
    <w:rsid w:val="002132DA"/>
    <w:rsid w:val="002136AF"/>
    <w:rsid w:val="00213712"/>
    <w:rsid w:val="002139D8"/>
    <w:rsid w:val="00213C1C"/>
    <w:rsid w:val="00214336"/>
    <w:rsid w:val="0021435B"/>
    <w:rsid w:val="00214645"/>
    <w:rsid w:val="0021468C"/>
    <w:rsid w:val="00214801"/>
    <w:rsid w:val="002149B2"/>
    <w:rsid w:val="00214D5E"/>
    <w:rsid w:val="002157E0"/>
    <w:rsid w:val="00215EDA"/>
    <w:rsid w:val="00216A57"/>
    <w:rsid w:val="00216F98"/>
    <w:rsid w:val="00217154"/>
    <w:rsid w:val="002204EC"/>
    <w:rsid w:val="0022065F"/>
    <w:rsid w:val="002208DB"/>
    <w:rsid w:val="00221581"/>
    <w:rsid w:val="0022183C"/>
    <w:rsid w:val="00222388"/>
    <w:rsid w:val="002225FB"/>
    <w:rsid w:val="002227F0"/>
    <w:rsid w:val="00222E73"/>
    <w:rsid w:val="0022334F"/>
    <w:rsid w:val="0022401E"/>
    <w:rsid w:val="0022412C"/>
    <w:rsid w:val="00224321"/>
    <w:rsid w:val="00224697"/>
    <w:rsid w:val="00224D3C"/>
    <w:rsid w:val="00225056"/>
    <w:rsid w:val="002254CD"/>
    <w:rsid w:val="0022595F"/>
    <w:rsid w:val="002259E4"/>
    <w:rsid w:val="00226178"/>
    <w:rsid w:val="00226471"/>
    <w:rsid w:val="002267D6"/>
    <w:rsid w:val="00226819"/>
    <w:rsid w:val="00226B02"/>
    <w:rsid w:val="00226C90"/>
    <w:rsid w:val="002273C3"/>
    <w:rsid w:val="00227574"/>
    <w:rsid w:val="002276DA"/>
    <w:rsid w:val="00227FDE"/>
    <w:rsid w:val="002310DE"/>
    <w:rsid w:val="002311E3"/>
    <w:rsid w:val="00231860"/>
    <w:rsid w:val="00232094"/>
    <w:rsid w:val="00232B72"/>
    <w:rsid w:val="00232CE2"/>
    <w:rsid w:val="00232D56"/>
    <w:rsid w:val="00232D57"/>
    <w:rsid w:val="00232F0B"/>
    <w:rsid w:val="00233101"/>
    <w:rsid w:val="00233817"/>
    <w:rsid w:val="00233BDA"/>
    <w:rsid w:val="00233CD6"/>
    <w:rsid w:val="00234097"/>
    <w:rsid w:val="00234DB8"/>
    <w:rsid w:val="00235290"/>
    <w:rsid w:val="00235472"/>
    <w:rsid w:val="00235995"/>
    <w:rsid w:val="00235F01"/>
    <w:rsid w:val="00236067"/>
    <w:rsid w:val="002362E6"/>
    <w:rsid w:val="002367FF"/>
    <w:rsid w:val="002377A5"/>
    <w:rsid w:val="00237AB9"/>
    <w:rsid w:val="00237CC4"/>
    <w:rsid w:val="00240261"/>
    <w:rsid w:val="002403AA"/>
    <w:rsid w:val="002409C0"/>
    <w:rsid w:val="00240CE9"/>
    <w:rsid w:val="0024102D"/>
    <w:rsid w:val="00242370"/>
    <w:rsid w:val="00242792"/>
    <w:rsid w:val="00242E63"/>
    <w:rsid w:val="00242F83"/>
    <w:rsid w:val="002434BA"/>
    <w:rsid w:val="0024354A"/>
    <w:rsid w:val="0024594D"/>
    <w:rsid w:val="00246089"/>
    <w:rsid w:val="00246093"/>
    <w:rsid w:val="00246702"/>
    <w:rsid w:val="00246949"/>
    <w:rsid w:val="00246CFC"/>
    <w:rsid w:val="00247C59"/>
    <w:rsid w:val="00247F2E"/>
    <w:rsid w:val="0025045C"/>
    <w:rsid w:val="00250508"/>
    <w:rsid w:val="00250A2E"/>
    <w:rsid w:val="00250ADC"/>
    <w:rsid w:val="00250B07"/>
    <w:rsid w:val="00250CB7"/>
    <w:rsid w:val="00251968"/>
    <w:rsid w:val="00251E45"/>
    <w:rsid w:val="00252C55"/>
    <w:rsid w:val="00253912"/>
    <w:rsid w:val="00253DD3"/>
    <w:rsid w:val="002541F0"/>
    <w:rsid w:val="002544EE"/>
    <w:rsid w:val="002545BE"/>
    <w:rsid w:val="0025461F"/>
    <w:rsid w:val="00254B23"/>
    <w:rsid w:val="00254D85"/>
    <w:rsid w:val="00255B25"/>
    <w:rsid w:val="00255F06"/>
    <w:rsid w:val="00257112"/>
    <w:rsid w:val="00257231"/>
    <w:rsid w:val="00257553"/>
    <w:rsid w:val="00260C13"/>
    <w:rsid w:val="00260C68"/>
    <w:rsid w:val="00260FB2"/>
    <w:rsid w:val="0026115D"/>
    <w:rsid w:val="002617EA"/>
    <w:rsid w:val="00262128"/>
    <w:rsid w:val="00262255"/>
    <w:rsid w:val="002623D0"/>
    <w:rsid w:val="002640D5"/>
    <w:rsid w:val="00264184"/>
    <w:rsid w:val="00264538"/>
    <w:rsid w:val="00264FDA"/>
    <w:rsid w:val="002653BC"/>
    <w:rsid w:val="002659D0"/>
    <w:rsid w:val="00265A42"/>
    <w:rsid w:val="00265CF3"/>
    <w:rsid w:val="00266B79"/>
    <w:rsid w:val="00267463"/>
    <w:rsid w:val="00267CC6"/>
    <w:rsid w:val="0027026D"/>
    <w:rsid w:val="00270CD3"/>
    <w:rsid w:val="00270E79"/>
    <w:rsid w:val="00270E9E"/>
    <w:rsid w:val="00271532"/>
    <w:rsid w:val="0027165D"/>
    <w:rsid w:val="00272776"/>
    <w:rsid w:val="0027295A"/>
    <w:rsid w:val="00273412"/>
    <w:rsid w:val="00273ADB"/>
    <w:rsid w:val="00273CEB"/>
    <w:rsid w:val="00274A41"/>
    <w:rsid w:val="00274E44"/>
    <w:rsid w:val="002765C6"/>
    <w:rsid w:val="0027716E"/>
    <w:rsid w:val="00277461"/>
    <w:rsid w:val="00277A14"/>
    <w:rsid w:val="00277AD6"/>
    <w:rsid w:val="00277FE1"/>
    <w:rsid w:val="0028002A"/>
    <w:rsid w:val="00280297"/>
    <w:rsid w:val="0028087C"/>
    <w:rsid w:val="00280C67"/>
    <w:rsid w:val="002815EF"/>
    <w:rsid w:val="002818E5"/>
    <w:rsid w:val="00281C89"/>
    <w:rsid w:val="00281F4D"/>
    <w:rsid w:val="00282604"/>
    <w:rsid w:val="0028282F"/>
    <w:rsid w:val="00282DDC"/>
    <w:rsid w:val="002844F0"/>
    <w:rsid w:val="00284CE1"/>
    <w:rsid w:val="002859FE"/>
    <w:rsid w:val="00285F78"/>
    <w:rsid w:val="002870BD"/>
    <w:rsid w:val="0028746E"/>
    <w:rsid w:val="0028762A"/>
    <w:rsid w:val="002876C4"/>
    <w:rsid w:val="0028785E"/>
    <w:rsid w:val="00290A62"/>
    <w:rsid w:val="00290B38"/>
    <w:rsid w:val="00290B95"/>
    <w:rsid w:val="00290ED7"/>
    <w:rsid w:val="00290F65"/>
    <w:rsid w:val="00291E60"/>
    <w:rsid w:val="00292604"/>
    <w:rsid w:val="0029262F"/>
    <w:rsid w:val="0029293E"/>
    <w:rsid w:val="00292C46"/>
    <w:rsid w:val="00292F73"/>
    <w:rsid w:val="002935A2"/>
    <w:rsid w:val="0029362A"/>
    <w:rsid w:val="002938E1"/>
    <w:rsid w:val="002939A4"/>
    <w:rsid w:val="00293A1D"/>
    <w:rsid w:val="00293EAB"/>
    <w:rsid w:val="00293FFB"/>
    <w:rsid w:val="002947A5"/>
    <w:rsid w:val="002947B8"/>
    <w:rsid w:val="00294BCE"/>
    <w:rsid w:val="002951E7"/>
    <w:rsid w:val="00295288"/>
    <w:rsid w:val="0029557E"/>
    <w:rsid w:val="00295898"/>
    <w:rsid w:val="0029593B"/>
    <w:rsid w:val="00295A5C"/>
    <w:rsid w:val="002964DE"/>
    <w:rsid w:val="00296667"/>
    <w:rsid w:val="002975FC"/>
    <w:rsid w:val="00297F77"/>
    <w:rsid w:val="00297FC5"/>
    <w:rsid w:val="002A0417"/>
    <w:rsid w:val="002A071F"/>
    <w:rsid w:val="002A0DE3"/>
    <w:rsid w:val="002A1689"/>
    <w:rsid w:val="002A16D8"/>
    <w:rsid w:val="002A1BC8"/>
    <w:rsid w:val="002A2BAC"/>
    <w:rsid w:val="002A2C0D"/>
    <w:rsid w:val="002A37BB"/>
    <w:rsid w:val="002A3BC4"/>
    <w:rsid w:val="002A3EF2"/>
    <w:rsid w:val="002A41F4"/>
    <w:rsid w:val="002A4A26"/>
    <w:rsid w:val="002A4D56"/>
    <w:rsid w:val="002A5635"/>
    <w:rsid w:val="002A61DC"/>
    <w:rsid w:val="002A6485"/>
    <w:rsid w:val="002A64F8"/>
    <w:rsid w:val="002A6B63"/>
    <w:rsid w:val="002A777D"/>
    <w:rsid w:val="002A77F5"/>
    <w:rsid w:val="002A7824"/>
    <w:rsid w:val="002A795A"/>
    <w:rsid w:val="002B06D9"/>
    <w:rsid w:val="002B0DED"/>
    <w:rsid w:val="002B1164"/>
    <w:rsid w:val="002B166B"/>
    <w:rsid w:val="002B17E4"/>
    <w:rsid w:val="002B19A2"/>
    <w:rsid w:val="002B1CAF"/>
    <w:rsid w:val="002B228C"/>
    <w:rsid w:val="002B2837"/>
    <w:rsid w:val="002B381A"/>
    <w:rsid w:val="002B4A9F"/>
    <w:rsid w:val="002B4FCC"/>
    <w:rsid w:val="002B61F4"/>
    <w:rsid w:val="002B6820"/>
    <w:rsid w:val="002B7174"/>
    <w:rsid w:val="002B7408"/>
    <w:rsid w:val="002B7CFD"/>
    <w:rsid w:val="002C03DE"/>
    <w:rsid w:val="002C0DF6"/>
    <w:rsid w:val="002C1363"/>
    <w:rsid w:val="002C17BE"/>
    <w:rsid w:val="002C18E5"/>
    <w:rsid w:val="002C210F"/>
    <w:rsid w:val="002C27A8"/>
    <w:rsid w:val="002C2836"/>
    <w:rsid w:val="002C2CEC"/>
    <w:rsid w:val="002C2EF9"/>
    <w:rsid w:val="002C3366"/>
    <w:rsid w:val="002C3B89"/>
    <w:rsid w:val="002C487F"/>
    <w:rsid w:val="002C4E79"/>
    <w:rsid w:val="002C504F"/>
    <w:rsid w:val="002C5788"/>
    <w:rsid w:val="002C5FAA"/>
    <w:rsid w:val="002C6866"/>
    <w:rsid w:val="002C7E42"/>
    <w:rsid w:val="002D0D0A"/>
    <w:rsid w:val="002D14C7"/>
    <w:rsid w:val="002D15B9"/>
    <w:rsid w:val="002D181E"/>
    <w:rsid w:val="002D1C45"/>
    <w:rsid w:val="002D234E"/>
    <w:rsid w:val="002D2A2F"/>
    <w:rsid w:val="002D35A8"/>
    <w:rsid w:val="002D3600"/>
    <w:rsid w:val="002D36CF"/>
    <w:rsid w:val="002D3898"/>
    <w:rsid w:val="002D3FD5"/>
    <w:rsid w:val="002D5009"/>
    <w:rsid w:val="002D5169"/>
    <w:rsid w:val="002D5708"/>
    <w:rsid w:val="002D580E"/>
    <w:rsid w:val="002D59E1"/>
    <w:rsid w:val="002D5CDA"/>
    <w:rsid w:val="002D5CFD"/>
    <w:rsid w:val="002D6B27"/>
    <w:rsid w:val="002D7180"/>
    <w:rsid w:val="002D7481"/>
    <w:rsid w:val="002D7628"/>
    <w:rsid w:val="002D798D"/>
    <w:rsid w:val="002D7A1E"/>
    <w:rsid w:val="002D7DFC"/>
    <w:rsid w:val="002E02F7"/>
    <w:rsid w:val="002E248A"/>
    <w:rsid w:val="002E25FD"/>
    <w:rsid w:val="002E29A8"/>
    <w:rsid w:val="002E39F2"/>
    <w:rsid w:val="002E3E1C"/>
    <w:rsid w:val="002E3F57"/>
    <w:rsid w:val="002E45B9"/>
    <w:rsid w:val="002E4DDC"/>
    <w:rsid w:val="002E53C6"/>
    <w:rsid w:val="002E5770"/>
    <w:rsid w:val="002E610C"/>
    <w:rsid w:val="002E6473"/>
    <w:rsid w:val="002E728E"/>
    <w:rsid w:val="002E78B4"/>
    <w:rsid w:val="002E7D1F"/>
    <w:rsid w:val="002F0196"/>
    <w:rsid w:val="002F038B"/>
    <w:rsid w:val="002F056E"/>
    <w:rsid w:val="002F0C80"/>
    <w:rsid w:val="002F0E70"/>
    <w:rsid w:val="002F1807"/>
    <w:rsid w:val="002F1E84"/>
    <w:rsid w:val="002F2749"/>
    <w:rsid w:val="002F27FE"/>
    <w:rsid w:val="002F2980"/>
    <w:rsid w:val="002F3550"/>
    <w:rsid w:val="002F468B"/>
    <w:rsid w:val="002F4896"/>
    <w:rsid w:val="002F5311"/>
    <w:rsid w:val="002F54BD"/>
    <w:rsid w:val="002F55D0"/>
    <w:rsid w:val="002F598E"/>
    <w:rsid w:val="002F5AD9"/>
    <w:rsid w:val="002F5B33"/>
    <w:rsid w:val="002F5C46"/>
    <w:rsid w:val="002F6859"/>
    <w:rsid w:val="002F698F"/>
    <w:rsid w:val="002F7889"/>
    <w:rsid w:val="003002B2"/>
    <w:rsid w:val="003002EC"/>
    <w:rsid w:val="00300745"/>
    <w:rsid w:val="00300A49"/>
    <w:rsid w:val="0030125B"/>
    <w:rsid w:val="003015D5"/>
    <w:rsid w:val="00301935"/>
    <w:rsid w:val="00302379"/>
    <w:rsid w:val="00302480"/>
    <w:rsid w:val="00302C1B"/>
    <w:rsid w:val="00302D1A"/>
    <w:rsid w:val="00303213"/>
    <w:rsid w:val="00303282"/>
    <w:rsid w:val="003032AA"/>
    <w:rsid w:val="0030343C"/>
    <w:rsid w:val="0030368F"/>
    <w:rsid w:val="00303964"/>
    <w:rsid w:val="003039DF"/>
    <w:rsid w:val="00303E55"/>
    <w:rsid w:val="003041BB"/>
    <w:rsid w:val="00305089"/>
    <w:rsid w:val="00305404"/>
    <w:rsid w:val="00305644"/>
    <w:rsid w:val="00305982"/>
    <w:rsid w:val="00305CA7"/>
    <w:rsid w:val="00305CDA"/>
    <w:rsid w:val="00305FDF"/>
    <w:rsid w:val="00306748"/>
    <w:rsid w:val="00306CF6"/>
    <w:rsid w:val="003100E7"/>
    <w:rsid w:val="00310447"/>
    <w:rsid w:val="0031090A"/>
    <w:rsid w:val="003112C4"/>
    <w:rsid w:val="003118E8"/>
    <w:rsid w:val="0031193F"/>
    <w:rsid w:val="00311D87"/>
    <w:rsid w:val="0031384B"/>
    <w:rsid w:val="00313CB4"/>
    <w:rsid w:val="0031495D"/>
    <w:rsid w:val="00314C1A"/>
    <w:rsid w:val="00315984"/>
    <w:rsid w:val="003162F0"/>
    <w:rsid w:val="003165E6"/>
    <w:rsid w:val="00317542"/>
    <w:rsid w:val="00317706"/>
    <w:rsid w:val="00317DED"/>
    <w:rsid w:val="00317E28"/>
    <w:rsid w:val="00320646"/>
    <w:rsid w:val="003208D2"/>
    <w:rsid w:val="00320A51"/>
    <w:rsid w:val="003217F8"/>
    <w:rsid w:val="00321B39"/>
    <w:rsid w:val="00322172"/>
    <w:rsid w:val="003221CF"/>
    <w:rsid w:val="003228E7"/>
    <w:rsid w:val="00322DC8"/>
    <w:rsid w:val="00322E61"/>
    <w:rsid w:val="003233ED"/>
    <w:rsid w:val="0032356A"/>
    <w:rsid w:val="00323BEA"/>
    <w:rsid w:val="003241F6"/>
    <w:rsid w:val="003243E5"/>
    <w:rsid w:val="00324BF1"/>
    <w:rsid w:val="00324D9F"/>
    <w:rsid w:val="00325C07"/>
    <w:rsid w:val="00325DB0"/>
    <w:rsid w:val="0032653E"/>
    <w:rsid w:val="00326892"/>
    <w:rsid w:val="003272CD"/>
    <w:rsid w:val="00327948"/>
    <w:rsid w:val="0033000F"/>
    <w:rsid w:val="003300DC"/>
    <w:rsid w:val="003309B4"/>
    <w:rsid w:val="00330C26"/>
    <w:rsid w:val="00330C71"/>
    <w:rsid w:val="00330F38"/>
    <w:rsid w:val="003311A2"/>
    <w:rsid w:val="0033158C"/>
    <w:rsid w:val="00331C1C"/>
    <w:rsid w:val="00332011"/>
    <w:rsid w:val="00332119"/>
    <w:rsid w:val="00332518"/>
    <w:rsid w:val="00332925"/>
    <w:rsid w:val="003332ED"/>
    <w:rsid w:val="00333475"/>
    <w:rsid w:val="003336DD"/>
    <w:rsid w:val="00333C6D"/>
    <w:rsid w:val="00333E0A"/>
    <w:rsid w:val="00334267"/>
    <w:rsid w:val="00334BC2"/>
    <w:rsid w:val="00335210"/>
    <w:rsid w:val="00335254"/>
    <w:rsid w:val="00335D0B"/>
    <w:rsid w:val="00335EE1"/>
    <w:rsid w:val="00335F5E"/>
    <w:rsid w:val="00336125"/>
    <w:rsid w:val="003361FC"/>
    <w:rsid w:val="0033685F"/>
    <w:rsid w:val="003368DC"/>
    <w:rsid w:val="00336DA8"/>
    <w:rsid w:val="00336E17"/>
    <w:rsid w:val="00336F9D"/>
    <w:rsid w:val="00340228"/>
    <w:rsid w:val="0034166C"/>
    <w:rsid w:val="003418AD"/>
    <w:rsid w:val="00341A63"/>
    <w:rsid w:val="00342075"/>
    <w:rsid w:val="0034241D"/>
    <w:rsid w:val="0034262A"/>
    <w:rsid w:val="00342B73"/>
    <w:rsid w:val="00342C21"/>
    <w:rsid w:val="00343C2C"/>
    <w:rsid w:val="00344F33"/>
    <w:rsid w:val="003458AD"/>
    <w:rsid w:val="00345927"/>
    <w:rsid w:val="00345B8C"/>
    <w:rsid w:val="00346022"/>
    <w:rsid w:val="0034653F"/>
    <w:rsid w:val="00346A06"/>
    <w:rsid w:val="00347029"/>
    <w:rsid w:val="0034732F"/>
    <w:rsid w:val="0034754A"/>
    <w:rsid w:val="00347837"/>
    <w:rsid w:val="00350584"/>
    <w:rsid w:val="00351053"/>
    <w:rsid w:val="003513A7"/>
    <w:rsid w:val="003515B4"/>
    <w:rsid w:val="00351857"/>
    <w:rsid w:val="00351C8E"/>
    <w:rsid w:val="00351F0A"/>
    <w:rsid w:val="00352B4E"/>
    <w:rsid w:val="003538A2"/>
    <w:rsid w:val="00354098"/>
    <w:rsid w:val="00354127"/>
    <w:rsid w:val="003541B8"/>
    <w:rsid w:val="00354453"/>
    <w:rsid w:val="003546E0"/>
    <w:rsid w:val="003548DC"/>
    <w:rsid w:val="003552BD"/>
    <w:rsid w:val="0035556B"/>
    <w:rsid w:val="00356D88"/>
    <w:rsid w:val="00356FAD"/>
    <w:rsid w:val="00357616"/>
    <w:rsid w:val="0036027D"/>
    <w:rsid w:val="003606E8"/>
    <w:rsid w:val="003610E1"/>
    <w:rsid w:val="003615DD"/>
    <w:rsid w:val="00361644"/>
    <w:rsid w:val="0036220E"/>
    <w:rsid w:val="00362741"/>
    <w:rsid w:val="00362A45"/>
    <w:rsid w:val="00362AC8"/>
    <w:rsid w:val="003635D0"/>
    <w:rsid w:val="0036391D"/>
    <w:rsid w:val="00363B33"/>
    <w:rsid w:val="00363CCF"/>
    <w:rsid w:val="00364E6B"/>
    <w:rsid w:val="00365269"/>
    <w:rsid w:val="003653E7"/>
    <w:rsid w:val="00365588"/>
    <w:rsid w:val="00365E64"/>
    <w:rsid w:val="00366027"/>
    <w:rsid w:val="00366A9D"/>
    <w:rsid w:val="003671BE"/>
    <w:rsid w:val="00367243"/>
    <w:rsid w:val="00367C39"/>
    <w:rsid w:val="00371147"/>
    <w:rsid w:val="003715C2"/>
    <w:rsid w:val="00371756"/>
    <w:rsid w:val="00371938"/>
    <w:rsid w:val="00371CB4"/>
    <w:rsid w:val="00372485"/>
    <w:rsid w:val="00372D79"/>
    <w:rsid w:val="00373090"/>
    <w:rsid w:val="00373200"/>
    <w:rsid w:val="003732E4"/>
    <w:rsid w:val="00373D9F"/>
    <w:rsid w:val="003747CF"/>
    <w:rsid w:val="00374BE3"/>
    <w:rsid w:val="00374EEC"/>
    <w:rsid w:val="00375046"/>
    <w:rsid w:val="0037552F"/>
    <w:rsid w:val="0037569C"/>
    <w:rsid w:val="0037596A"/>
    <w:rsid w:val="00375E63"/>
    <w:rsid w:val="00375EF5"/>
    <w:rsid w:val="00376687"/>
    <w:rsid w:val="00376752"/>
    <w:rsid w:val="003767A5"/>
    <w:rsid w:val="003768FA"/>
    <w:rsid w:val="00376BB9"/>
    <w:rsid w:val="00376C9D"/>
    <w:rsid w:val="00377FB0"/>
    <w:rsid w:val="003800FF"/>
    <w:rsid w:val="003805B5"/>
    <w:rsid w:val="003808A5"/>
    <w:rsid w:val="00380D49"/>
    <w:rsid w:val="003815E4"/>
    <w:rsid w:val="00381AB4"/>
    <w:rsid w:val="00382907"/>
    <w:rsid w:val="00383DD5"/>
    <w:rsid w:val="00384802"/>
    <w:rsid w:val="00384E17"/>
    <w:rsid w:val="003851DB"/>
    <w:rsid w:val="00385254"/>
    <w:rsid w:val="00385477"/>
    <w:rsid w:val="00385518"/>
    <w:rsid w:val="0038619A"/>
    <w:rsid w:val="003862A6"/>
    <w:rsid w:val="00386D9F"/>
    <w:rsid w:val="003870B8"/>
    <w:rsid w:val="0038744D"/>
    <w:rsid w:val="003878D9"/>
    <w:rsid w:val="00387925"/>
    <w:rsid w:val="00387B35"/>
    <w:rsid w:val="00390377"/>
    <w:rsid w:val="00390762"/>
    <w:rsid w:val="0039105D"/>
    <w:rsid w:val="0039164C"/>
    <w:rsid w:val="003918F1"/>
    <w:rsid w:val="00391B2D"/>
    <w:rsid w:val="00392CFB"/>
    <w:rsid w:val="00392FA8"/>
    <w:rsid w:val="00393AFB"/>
    <w:rsid w:val="00393B84"/>
    <w:rsid w:val="00393C83"/>
    <w:rsid w:val="00393F1B"/>
    <w:rsid w:val="00393F33"/>
    <w:rsid w:val="00394901"/>
    <w:rsid w:val="00394DB1"/>
    <w:rsid w:val="0039504D"/>
    <w:rsid w:val="0039538F"/>
    <w:rsid w:val="00395BD4"/>
    <w:rsid w:val="00395C18"/>
    <w:rsid w:val="00396114"/>
    <w:rsid w:val="003968A4"/>
    <w:rsid w:val="003968D3"/>
    <w:rsid w:val="00397085"/>
    <w:rsid w:val="0039775F"/>
    <w:rsid w:val="00397F4A"/>
    <w:rsid w:val="003A1083"/>
    <w:rsid w:val="003A119B"/>
    <w:rsid w:val="003A14E0"/>
    <w:rsid w:val="003A1C27"/>
    <w:rsid w:val="003A1F32"/>
    <w:rsid w:val="003A200F"/>
    <w:rsid w:val="003A31EB"/>
    <w:rsid w:val="003A3532"/>
    <w:rsid w:val="003A3763"/>
    <w:rsid w:val="003A3B1F"/>
    <w:rsid w:val="003A4CBA"/>
    <w:rsid w:val="003A5B89"/>
    <w:rsid w:val="003A5D9F"/>
    <w:rsid w:val="003A5EC2"/>
    <w:rsid w:val="003A5F5B"/>
    <w:rsid w:val="003A62C6"/>
    <w:rsid w:val="003A698C"/>
    <w:rsid w:val="003A69F1"/>
    <w:rsid w:val="003A6E4A"/>
    <w:rsid w:val="003A7427"/>
    <w:rsid w:val="003A766F"/>
    <w:rsid w:val="003A7804"/>
    <w:rsid w:val="003A789A"/>
    <w:rsid w:val="003B05F3"/>
    <w:rsid w:val="003B12EC"/>
    <w:rsid w:val="003B20FA"/>
    <w:rsid w:val="003B21DD"/>
    <w:rsid w:val="003B2EDB"/>
    <w:rsid w:val="003B30DA"/>
    <w:rsid w:val="003B36DE"/>
    <w:rsid w:val="003B37F5"/>
    <w:rsid w:val="003B3BD7"/>
    <w:rsid w:val="003B3DDB"/>
    <w:rsid w:val="003B3E5E"/>
    <w:rsid w:val="003B408C"/>
    <w:rsid w:val="003B551A"/>
    <w:rsid w:val="003B5B30"/>
    <w:rsid w:val="003B637D"/>
    <w:rsid w:val="003B6DF1"/>
    <w:rsid w:val="003B6F58"/>
    <w:rsid w:val="003B7572"/>
    <w:rsid w:val="003B777B"/>
    <w:rsid w:val="003B78C1"/>
    <w:rsid w:val="003C02FF"/>
    <w:rsid w:val="003C0580"/>
    <w:rsid w:val="003C0CC6"/>
    <w:rsid w:val="003C111A"/>
    <w:rsid w:val="003C192C"/>
    <w:rsid w:val="003C1982"/>
    <w:rsid w:val="003C298C"/>
    <w:rsid w:val="003C3140"/>
    <w:rsid w:val="003C33F2"/>
    <w:rsid w:val="003C3631"/>
    <w:rsid w:val="003C3A05"/>
    <w:rsid w:val="003C451E"/>
    <w:rsid w:val="003C4890"/>
    <w:rsid w:val="003C549E"/>
    <w:rsid w:val="003C5E6F"/>
    <w:rsid w:val="003C6035"/>
    <w:rsid w:val="003C6407"/>
    <w:rsid w:val="003C69FB"/>
    <w:rsid w:val="003C6A5D"/>
    <w:rsid w:val="003C6A91"/>
    <w:rsid w:val="003C7106"/>
    <w:rsid w:val="003C7197"/>
    <w:rsid w:val="003C77E0"/>
    <w:rsid w:val="003C79FA"/>
    <w:rsid w:val="003C7CB9"/>
    <w:rsid w:val="003C7DEF"/>
    <w:rsid w:val="003D0561"/>
    <w:rsid w:val="003D0A18"/>
    <w:rsid w:val="003D1313"/>
    <w:rsid w:val="003D17D7"/>
    <w:rsid w:val="003D2678"/>
    <w:rsid w:val="003D2A3E"/>
    <w:rsid w:val="003D3388"/>
    <w:rsid w:val="003D33E9"/>
    <w:rsid w:val="003D3996"/>
    <w:rsid w:val="003D3ACB"/>
    <w:rsid w:val="003D454D"/>
    <w:rsid w:val="003D47D9"/>
    <w:rsid w:val="003D542C"/>
    <w:rsid w:val="003D6D4D"/>
    <w:rsid w:val="003D71A3"/>
    <w:rsid w:val="003D71B8"/>
    <w:rsid w:val="003D7A63"/>
    <w:rsid w:val="003D7B99"/>
    <w:rsid w:val="003D7F61"/>
    <w:rsid w:val="003E05C8"/>
    <w:rsid w:val="003E0E3D"/>
    <w:rsid w:val="003E10CD"/>
    <w:rsid w:val="003E174F"/>
    <w:rsid w:val="003E215F"/>
    <w:rsid w:val="003E282E"/>
    <w:rsid w:val="003E2B8A"/>
    <w:rsid w:val="003E3C70"/>
    <w:rsid w:val="003E408B"/>
    <w:rsid w:val="003E411B"/>
    <w:rsid w:val="003E4BF1"/>
    <w:rsid w:val="003E5A02"/>
    <w:rsid w:val="003E7638"/>
    <w:rsid w:val="003E7778"/>
    <w:rsid w:val="003E7C07"/>
    <w:rsid w:val="003F0198"/>
    <w:rsid w:val="003F0497"/>
    <w:rsid w:val="003F05AF"/>
    <w:rsid w:val="003F0932"/>
    <w:rsid w:val="003F0E2A"/>
    <w:rsid w:val="003F10CD"/>
    <w:rsid w:val="003F10EE"/>
    <w:rsid w:val="003F16F6"/>
    <w:rsid w:val="003F2211"/>
    <w:rsid w:val="003F25C3"/>
    <w:rsid w:val="003F2A34"/>
    <w:rsid w:val="003F3337"/>
    <w:rsid w:val="003F3480"/>
    <w:rsid w:val="003F35FB"/>
    <w:rsid w:val="003F4672"/>
    <w:rsid w:val="003F4696"/>
    <w:rsid w:val="003F4D62"/>
    <w:rsid w:val="003F4DC7"/>
    <w:rsid w:val="003F4DD6"/>
    <w:rsid w:val="003F51CA"/>
    <w:rsid w:val="003F5235"/>
    <w:rsid w:val="003F5B55"/>
    <w:rsid w:val="003F5D54"/>
    <w:rsid w:val="003F5F11"/>
    <w:rsid w:val="003F62B3"/>
    <w:rsid w:val="003F6478"/>
    <w:rsid w:val="003F69DB"/>
    <w:rsid w:val="003F6C6D"/>
    <w:rsid w:val="003F7690"/>
    <w:rsid w:val="003F7F41"/>
    <w:rsid w:val="00400121"/>
    <w:rsid w:val="00400763"/>
    <w:rsid w:val="00400DC1"/>
    <w:rsid w:val="004017AA"/>
    <w:rsid w:val="00401858"/>
    <w:rsid w:val="00401B27"/>
    <w:rsid w:val="004027E4"/>
    <w:rsid w:val="004028C9"/>
    <w:rsid w:val="004033B2"/>
    <w:rsid w:val="00403B1F"/>
    <w:rsid w:val="00403B8F"/>
    <w:rsid w:val="00404670"/>
    <w:rsid w:val="004046ED"/>
    <w:rsid w:val="00404883"/>
    <w:rsid w:val="00404DB1"/>
    <w:rsid w:val="00405751"/>
    <w:rsid w:val="004060BB"/>
    <w:rsid w:val="00406D84"/>
    <w:rsid w:val="00407385"/>
    <w:rsid w:val="00410146"/>
    <w:rsid w:val="0041071D"/>
    <w:rsid w:val="004117DA"/>
    <w:rsid w:val="00411839"/>
    <w:rsid w:val="00411CFC"/>
    <w:rsid w:val="00412A72"/>
    <w:rsid w:val="00412BA5"/>
    <w:rsid w:val="00413029"/>
    <w:rsid w:val="00413087"/>
    <w:rsid w:val="00413408"/>
    <w:rsid w:val="0041354E"/>
    <w:rsid w:val="004136E7"/>
    <w:rsid w:val="00413B5C"/>
    <w:rsid w:val="00414AFC"/>
    <w:rsid w:val="004151A7"/>
    <w:rsid w:val="0041527C"/>
    <w:rsid w:val="00415310"/>
    <w:rsid w:val="004154BC"/>
    <w:rsid w:val="00415C24"/>
    <w:rsid w:val="00415E18"/>
    <w:rsid w:val="0041600D"/>
    <w:rsid w:val="0041637D"/>
    <w:rsid w:val="0041684B"/>
    <w:rsid w:val="00416D16"/>
    <w:rsid w:val="0041768E"/>
    <w:rsid w:val="00417703"/>
    <w:rsid w:val="00417E3E"/>
    <w:rsid w:val="00420006"/>
    <w:rsid w:val="004200AB"/>
    <w:rsid w:val="0042013F"/>
    <w:rsid w:val="00420561"/>
    <w:rsid w:val="00420CDF"/>
    <w:rsid w:val="0042136D"/>
    <w:rsid w:val="004214FD"/>
    <w:rsid w:val="00421709"/>
    <w:rsid w:val="00421D0B"/>
    <w:rsid w:val="00421E10"/>
    <w:rsid w:val="00421FA7"/>
    <w:rsid w:val="00422354"/>
    <w:rsid w:val="00422900"/>
    <w:rsid w:val="004233C0"/>
    <w:rsid w:val="00423763"/>
    <w:rsid w:val="00423C5C"/>
    <w:rsid w:val="004251E1"/>
    <w:rsid w:val="004252A2"/>
    <w:rsid w:val="00425694"/>
    <w:rsid w:val="00425CC8"/>
    <w:rsid w:val="00425CEB"/>
    <w:rsid w:val="00426049"/>
    <w:rsid w:val="00426A59"/>
    <w:rsid w:val="00426D49"/>
    <w:rsid w:val="00426EC0"/>
    <w:rsid w:val="00427057"/>
    <w:rsid w:val="0042762F"/>
    <w:rsid w:val="00427DC7"/>
    <w:rsid w:val="00427FE2"/>
    <w:rsid w:val="00431308"/>
    <w:rsid w:val="00431556"/>
    <w:rsid w:val="00431613"/>
    <w:rsid w:val="00431792"/>
    <w:rsid w:val="00431AED"/>
    <w:rsid w:val="00431CA6"/>
    <w:rsid w:val="004326DF"/>
    <w:rsid w:val="00432821"/>
    <w:rsid w:val="0043297A"/>
    <w:rsid w:val="00432B31"/>
    <w:rsid w:val="00432B9F"/>
    <w:rsid w:val="00432EB2"/>
    <w:rsid w:val="00433222"/>
    <w:rsid w:val="00433D68"/>
    <w:rsid w:val="00434F1F"/>
    <w:rsid w:val="00434FFC"/>
    <w:rsid w:val="0043524C"/>
    <w:rsid w:val="00435DF1"/>
    <w:rsid w:val="0043714F"/>
    <w:rsid w:val="00437582"/>
    <w:rsid w:val="00437609"/>
    <w:rsid w:val="00437BCF"/>
    <w:rsid w:val="00437F49"/>
    <w:rsid w:val="0044050E"/>
    <w:rsid w:val="004406C0"/>
    <w:rsid w:val="004409EC"/>
    <w:rsid w:val="00440DEB"/>
    <w:rsid w:val="00440EB6"/>
    <w:rsid w:val="00441432"/>
    <w:rsid w:val="0044325D"/>
    <w:rsid w:val="0044334F"/>
    <w:rsid w:val="0044387A"/>
    <w:rsid w:val="004438B5"/>
    <w:rsid w:val="00443A25"/>
    <w:rsid w:val="00444816"/>
    <w:rsid w:val="00444895"/>
    <w:rsid w:val="00444A76"/>
    <w:rsid w:val="00445002"/>
    <w:rsid w:val="004456B2"/>
    <w:rsid w:val="00445D4E"/>
    <w:rsid w:val="00445EF5"/>
    <w:rsid w:val="00446008"/>
    <w:rsid w:val="00446BE2"/>
    <w:rsid w:val="00446EFF"/>
    <w:rsid w:val="00447037"/>
    <w:rsid w:val="004503CA"/>
    <w:rsid w:val="0045124D"/>
    <w:rsid w:val="00451607"/>
    <w:rsid w:val="00451627"/>
    <w:rsid w:val="00451B37"/>
    <w:rsid w:val="00451C0E"/>
    <w:rsid w:val="00451D5E"/>
    <w:rsid w:val="00451E07"/>
    <w:rsid w:val="00451F91"/>
    <w:rsid w:val="00452A02"/>
    <w:rsid w:val="00453228"/>
    <w:rsid w:val="00453F13"/>
    <w:rsid w:val="00454596"/>
    <w:rsid w:val="00454730"/>
    <w:rsid w:val="0045535A"/>
    <w:rsid w:val="0045605D"/>
    <w:rsid w:val="00456CF7"/>
    <w:rsid w:val="00456D37"/>
    <w:rsid w:val="00456D49"/>
    <w:rsid w:val="00456F00"/>
    <w:rsid w:val="004572DF"/>
    <w:rsid w:val="00457920"/>
    <w:rsid w:val="004601EB"/>
    <w:rsid w:val="00460698"/>
    <w:rsid w:val="00460DAB"/>
    <w:rsid w:val="00460E15"/>
    <w:rsid w:val="0046135B"/>
    <w:rsid w:val="004616F3"/>
    <w:rsid w:val="004621D6"/>
    <w:rsid w:val="004626F6"/>
    <w:rsid w:val="00463C0F"/>
    <w:rsid w:val="0046455D"/>
    <w:rsid w:val="00464BF0"/>
    <w:rsid w:val="00464CA4"/>
    <w:rsid w:val="004654B4"/>
    <w:rsid w:val="00465826"/>
    <w:rsid w:val="00465B9C"/>
    <w:rsid w:val="00465F1A"/>
    <w:rsid w:val="004666B7"/>
    <w:rsid w:val="00466AD4"/>
    <w:rsid w:val="00466C89"/>
    <w:rsid w:val="0046721E"/>
    <w:rsid w:val="004674DA"/>
    <w:rsid w:val="004676B3"/>
    <w:rsid w:val="004678CB"/>
    <w:rsid w:val="00470582"/>
    <w:rsid w:val="00470CBC"/>
    <w:rsid w:val="00470EDC"/>
    <w:rsid w:val="00470EFE"/>
    <w:rsid w:val="0047145A"/>
    <w:rsid w:val="004718CC"/>
    <w:rsid w:val="00471FB0"/>
    <w:rsid w:val="00472069"/>
    <w:rsid w:val="0047270D"/>
    <w:rsid w:val="004729A6"/>
    <w:rsid w:val="0047320A"/>
    <w:rsid w:val="00473246"/>
    <w:rsid w:val="00473861"/>
    <w:rsid w:val="00473D31"/>
    <w:rsid w:val="00474539"/>
    <w:rsid w:val="004751DD"/>
    <w:rsid w:val="00475453"/>
    <w:rsid w:val="0047603C"/>
    <w:rsid w:val="00476316"/>
    <w:rsid w:val="00476BDC"/>
    <w:rsid w:val="00476CC8"/>
    <w:rsid w:val="0047766B"/>
    <w:rsid w:val="00477D8F"/>
    <w:rsid w:val="00480080"/>
    <w:rsid w:val="004813A3"/>
    <w:rsid w:val="00481676"/>
    <w:rsid w:val="00481695"/>
    <w:rsid w:val="00482200"/>
    <w:rsid w:val="00482498"/>
    <w:rsid w:val="004825B3"/>
    <w:rsid w:val="004825DE"/>
    <w:rsid w:val="00482F09"/>
    <w:rsid w:val="00483172"/>
    <w:rsid w:val="00483841"/>
    <w:rsid w:val="00483970"/>
    <w:rsid w:val="00483A5A"/>
    <w:rsid w:val="00484248"/>
    <w:rsid w:val="0048476C"/>
    <w:rsid w:val="00485735"/>
    <w:rsid w:val="0048578F"/>
    <w:rsid w:val="00485BBB"/>
    <w:rsid w:val="00486621"/>
    <w:rsid w:val="0048724F"/>
    <w:rsid w:val="00487A05"/>
    <w:rsid w:val="00487FA3"/>
    <w:rsid w:val="0049083E"/>
    <w:rsid w:val="00490C61"/>
    <w:rsid w:val="004924F9"/>
    <w:rsid w:val="00492CD3"/>
    <w:rsid w:val="0049315C"/>
    <w:rsid w:val="0049321B"/>
    <w:rsid w:val="00493F22"/>
    <w:rsid w:val="0049427E"/>
    <w:rsid w:val="00494520"/>
    <w:rsid w:val="00494580"/>
    <w:rsid w:val="00494700"/>
    <w:rsid w:val="00494A5B"/>
    <w:rsid w:val="0049507F"/>
    <w:rsid w:val="00495241"/>
    <w:rsid w:val="0049526B"/>
    <w:rsid w:val="0049580A"/>
    <w:rsid w:val="00495992"/>
    <w:rsid w:val="00495A96"/>
    <w:rsid w:val="00495BB3"/>
    <w:rsid w:val="00496616"/>
    <w:rsid w:val="00496B8E"/>
    <w:rsid w:val="00496E6E"/>
    <w:rsid w:val="00497177"/>
    <w:rsid w:val="00497259"/>
    <w:rsid w:val="00497C2C"/>
    <w:rsid w:val="00497EC1"/>
    <w:rsid w:val="004A0203"/>
    <w:rsid w:val="004A0235"/>
    <w:rsid w:val="004A0315"/>
    <w:rsid w:val="004A0410"/>
    <w:rsid w:val="004A0672"/>
    <w:rsid w:val="004A07B5"/>
    <w:rsid w:val="004A097F"/>
    <w:rsid w:val="004A0B45"/>
    <w:rsid w:val="004A0D61"/>
    <w:rsid w:val="004A14CA"/>
    <w:rsid w:val="004A1654"/>
    <w:rsid w:val="004A2671"/>
    <w:rsid w:val="004A28E6"/>
    <w:rsid w:val="004A2D6E"/>
    <w:rsid w:val="004A2E63"/>
    <w:rsid w:val="004A3617"/>
    <w:rsid w:val="004A384A"/>
    <w:rsid w:val="004A389A"/>
    <w:rsid w:val="004A3D59"/>
    <w:rsid w:val="004A4671"/>
    <w:rsid w:val="004A488A"/>
    <w:rsid w:val="004A49DA"/>
    <w:rsid w:val="004A4F3D"/>
    <w:rsid w:val="004A52EA"/>
    <w:rsid w:val="004A56BB"/>
    <w:rsid w:val="004A57AC"/>
    <w:rsid w:val="004A57D9"/>
    <w:rsid w:val="004A581B"/>
    <w:rsid w:val="004A6299"/>
    <w:rsid w:val="004A66E3"/>
    <w:rsid w:val="004A6A3C"/>
    <w:rsid w:val="004A752B"/>
    <w:rsid w:val="004A798F"/>
    <w:rsid w:val="004A79A8"/>
    <w:rsid w:val="004A7B0B"/>
    <w:rsid w:val="004B021C"/>
    <w:rsid w:val="004B0A55"/>
    <w:rsid w:val="004B0ABB"/>
    <w:rsid w:val="004B0B2D"/>
    <w:rsid w:val="004B0BA2"/>
    <w:rsid w:val="004B1085"/>
    <w:rsid w:val="004B10C5"/>
    <w:rsid w:val="004B1751"/>
    <w:rsid w:val="004B1E21"/>
    <w:rsid w:val="004B2361"/>
    <w:rsid w:val="004B25CC"/>
    <w:rsid w:val="004B26BC"/>
    <w:rsid w:val="004B3374"/>
    <w:rsid w:val="004B446A"/>
    <w:rsid w:val="004B44DF"/>
    <w:rsid w:val="004B4F5A"/>
    <w:rsid w:val="004B5A9D"/>
    <w:rsid w:val="004B6754"/>
    <w:rsid w:val="004B67F8"/>
    <w:rsid w:val="004B6A32"/>
    <w:rsid w:val="004B739C"/>
    <w:rsid w:val="004B7541"/>
    <w:rsid w:val="004B76C5"/>
    <w:rsid w:val="004B7729"/>
    <w:rsid w:val="004C00FF"/>
    <w:rsid w:val="004C0253"/>
    <w:rsid w:val="004C0271"/>
    <w:rsid w:val="004C13BF"/>
    <w:rsid w:val="004C1490"/>
    <w:rsid w:val="004C17A5"/>
    <w:rsid w:val="004C19D9"/>
    <w:rsid w:val="004C1A59"/>
    <w:rsid w:val="004C1D45"/>
    <w:rsid w:val="004C2238"/>
    <w:rsid w:val="004C2C1E"/>
    <w:rsid w:val="004C2EDC"/>
    <w:rsid w:val="004C5986"/>
    <w:rsid w:val="004C5C01"/>
    <w:rsid w:val="004C690A"/>
    <w:rsid w:val="004C74DE"/>
    <w:rsid w:val="004C7518"/>
    <w:rsid w:val="004C77E3"/>
    <w:rsid w:val="004C7F37"/>
    <w:rsid w:val="004D03E1"/>
    <w:rsid w:val="004D1193"/>
    <w:rsid w:val="004D198E"/>
    <w:rsid w:val="004D1E1F"/>
    <w:rsid w:val="004D1E51"/>
    <w:rsid w:val="004D2057"/>
    <w:rsid w:val="004D239B"/>
    <w:rsid w:val="004D2496"/>
    <w:rsid w:val="004D2564"/>
    <w:rsid w:val="004D2A35"/>
    <w:rsid w:val="004D2F2F"/>
    <w:rsid w:val="004D432A"/>
    <w:rsid w:val="004D49B4"/>
    <w:rsid w:val="004D4C9F"/>
    <w:rsid w:val="004D4E9C"/>
    <w:rsid w:val="004D56FF"/>
    <w:rsid w:val="004D5D6A"/>
    <w:rsid w:val="004D5D70"/>
    <w:rsid w:val="004D6D4F"/>
    <w:rsid w:val="004D7195"/>
    <w:rsid w:val="004D7313"/>
    <w:rsid w:val="004D7997"/>
    <w:rsid w:val="004D7E1F"/>
    <w:rsid w:val="004E09ED"/>
    <w:rsid w:val="004E18A3"/>
    <w:rsid w:val="004E1977"/>
    <w:rsid w:val="004E1CB8"/>
    <w:rsid w:val="004E39D3"/>
    <w:rsid w:val="004E508A"/>
    <w:rsid w:val="004E616D"/>
    <w:rsid w:val="004E626B"/>
    <w:rsid w:val="004E69D7"/>
    <w:rsid w:val="004E6B46"/>
    <w:rsid w:val="004E7D3E"/>
    <w:rsid w:val="004F061D"/>
    <w:rsid w:val="004F0F2E"/>
    <w:rsid w:val="004F1527"/>
    <w:rsid w:val="004F186D"/>
    <w:rsid w:val="004F190F"/>
    <w:rsid w:val="004F1BDE"/>
    <w:rsid w:val="004F2CEE"/>
    <w:rsid w:val="004F2EB7"/>
    <w:rsid w:val="004F321B"/>
    <w:rsid w:val="004F356F"/>
    <w:rsid w:val="004F361F"/>
    <w:rsid w:val="004F3726"/>
    <w:rsid w:val="004F39A1"/>
    <w:rsid w:val="004F3CE6"/>
    <w:rsid w:val="004F3F65"/>
    <w:rsid w:val="004F4E78"/>
    <w:rsid w:val="004F556E"/>
    <w:rsid w:val="004F5D76"/>
    <w:rsid w:val="004F60D6"/>
    <w:rsid w:val="004F682C"/>
    <w:rsid w:val="004F7A12"/>
    <w:rsid w:val="004F7F44"/>
    <w:rsid w:val="00500283"/>
    <w:rsid w:val="0050043A"/>
    <w:rsid w:val="00500E31"/>
    <w:rsid w:val="00501A37"/>
    <w:rsid w:val="00501CD8"/>
    <w:rsid w:val="00502670"/>
    <w:rsid w:val="00502AC8"/>
    <w:rsid w:val="00503143"/>
    <w:rsid w:val="0050351E"/>
    <w:rsid w:val="005037B4"/>
    <w:rsid w:val="00503FDB"/>
    <w:rsid w:val="005042A6"/>
    <w:rsid w:val="00504466"/>
    <w:rsid w:val="00504734"/>
    <w:rsid w:val="0050474C"/>
    <w:rsid w:val="00504D8A"/>
    <w:rsid w:val="00504FCD"/>
    <w:rsid w:val="00505328"/>
    <w:rsid w:val="00505972"/>
    <w:rsid w:val="00505F98"/>
    <w:rsid w:val="00506198"/>
    <w:rsid w:val="00506576"/>
    <w:rsid w:val="00506814"/>
    <w:rsid w:val="0050682C"/>
    <w:rsid w:val="00506954"/>
    <w:rsid w:val="00507306"/>
    <w:rsid w:val="00507637"/>
    <w:rsid w:val="005079BF"/>
    <w:rsid w:val="00510E38"/>
    <w:rsid w:val="005111F5"/>
    <w:rsid w:val="005112AD"/>
    <w:rsid w:val="00511956"/>
    <w:rsid w:val="00511B6E"/>
    <w:rsid w:val="00512378"/>
    <w:rsid w:val="00512447"/>
    <w:rsid w:val="00513060"/>
    <w:rsid w:val="00514027"/>
    <w:rsid w:val="005144FA"/>
    <w:rsid w:val="005149A2"/>
    <w:rsid w:val="005154A0"/>
    <w:rsid w:val="005154AD"/>
    <w:rsid w:val="005158A8"/>
    <w:rsid w:val="005158E9"/>
    <w:rsid w:val="00515A02"/>
    <w:rsid w:val="00515CA6"/>
    <w:rsid w:val="00515E76"/>
    <w:rsid w:val="00517731"/>
    <w:rsid w:val="00517A13"/>
    <w:rsid w:val="00517C6D"/>
    <w:rsid w:val="005201BA"/>
    <w:rsid w:val="00521429"/>
    <w:rsid w:val="005219E7"/>
    <w:rsid w:val="00521B87"/>
    <w:rsid w:val="0052221D"/>
    <w:rsid w:val="00522FD2"/>
    <w:rsid w:val="005231EC"/>
    <w:rsid w:val="0052342D"/>
    <w:rsid w:val="00523E39"/>
    <w:rsid w:val="00523EDD"/>
    <w:rsid w:val="00523FAE"/>
    <w:rsid w:val="005242F7"/>
    <w:rsid w:val="00524855"/>
    <w:rsid w:val="00525167"/>
    <w:rsid w:val="00525C65"/>
    <w:rsid w:val="00525D14"/>
    <w:rsid w:val="00526020"/>
    <w:rsid w:val="005263F3"/>
    <w:rsid w:val="005264CB"/>
    <w:rsid w:val="0052696A"/>
    <w:rsid w:val="00526D56"/>
    <w:rsid w:val="005273A4"/>
    <w:rsid w:val="005275B2"/>
    <w:rsid w:val="005277DB"/>
    <w:rsid w:val="00527F0D"/>
    <w:rsid w:val="00530395"/>
    <w:rsid w:val="00530722"/>
    <w:rsid w:val="005307CD"/>
    <w:rsid w:val="00530C31"/>
    <w:rsid w:val="005312DA"/>
    <w:rsid w:val="00531A3F"/>
    <w:rsid w:val="00531B9A"/>
    <w:rsid w:val="00531BB9"/>
    <w:rsid w:val="00531C60"/>
    <w:rsid w:val="00531C78"/>
    <w:rsid w:val="00531D15"/>
    <w:rsid w:val="0053216D"/>
    <w:rsid w:val="00532F74"/>
    <w:rsid w:val="005333F0"/>
    <w:rsid w:val="00533455"/>
    <w:rsid w:val="00533974"/>
    <w:rsid w:val="00533B01"/>
    <w:rsid w:val="00533C35"/>
    <w:rsid w:val="00533E5A"/>
    <w:rsid w:val="00534094"/>
    <w:rsid w:val="00534344"/>
    <w:rsid w:val="005347A6"/>
    <w:rsid w:val="0053510C"/>
    <w:rsid w:val="00536835"/>
    <w:rsid w:val="00536B75"/>
    <w:rsid w:val="00536C82"/>
    <w:rsid w:val="00536FD9"/>
    <w:rsid w:val="00537269"/>
    <w:rsid w:val="00537604"/>
    <w:rsid w:val="005402D0"/>
    <w:rsid w:val="0054082C"/>
    <w:rsid w:val="00541891"/>
    <w:rsid w:val="005419EA"/>
    <w:rsid w:val="00541A66"/>
    <w:rsid w:val="00541C1A"/>
    <w:rsid w:val="00541FFC"/>
    <w:rsid w:val="0054222D"/>
    <w:rsid w:val="00542377"/>
    <w:rsid w:val="00542E9D"/>
    <w:rsid w:val="005430FC"/>
    <w:rsid w:val="0054354E"/>
    <w:rsid w:val="00543C87"/>
    <w:rsid w:val="00544083"/>
    <w:rsid w:val="0054501E"/>
    <w:rsid w:val="005451CF"/>
    <w:rsid w:val="0054564B"/>
    <w:rsid w:val="00545A86"/>
    <w:rsid w:val="00546101"/>
    <w:rsid w:val="00546201"/>
    <w:rsid w:val="00546554"/>
    <w:rsid w:val="005475B3"/>
    <w:rsid w:val="005475E4"/>
    <w:rsid w:val="005476EB"/>
    <w:rsid w:val="005477E0"/>
    <w:rsid w:val="00547976"/>
    <w:rsid w:val="0055011D"/>
    <w:rsid w:val="00550216"/>
    <w:rsid w:val="005503EF"/>
    <w:rsid w:val="00550CF8"/>
    <w:rsid w:val="00550E5E"/>
    <w:rsid w:val="00551782"/>
    <w:rsid w:val="00551796"/>
    <w:rsid w:val="00551874"/>
    <w:rsid w:val="00552147"/>
    <w:rsid w:val="00552571"/>
    <w:rsid w:val="00552583"/>
    <w:rsid w:val="005529BD"/>
    <w:rsid w:val="00552F27"/>
    <w:rsid w:val="0055309D"/>
    <w:rsid w:val="0055310B"/>
    <w:rsid w:val="00553356"/>
    <w:rsid w:val="005534B8"/>
    <w:rsid w:val="00553647"/>
    <w:rsid w:val="00553938"/>
    <w:rsid w:val="005540B9"/>
    <w:rsid w:val="005556A6"/>
    <w:rsid w:val="00555B3C"/>
    <w:rsid w:val="00556723"/>
    <w:rsid w:val="00556B8D"/>
    <w:rsid w:val="00557000"/>
    <w:rsid w:val="0055720E"/>
    <w:rsid w:val="00557245"/>
    <w:rsid w:val="00557523"/>
    <w:rsid w:val="00557574"/>
    <w:rsid w:val="005601D6"/>
    <w:rsid w:val="00560460"/>
    <w:rsid w:val="0056061E"/>
    <w:rsid w:val="00560BE4"/>
    <w:rsid w:val="005613F3"/>
    <w:rsid w:val="00561677"/>
    <w:rsid w:val="0056193E"/>
    <w:rsid w:val="00561CD7"/>
    <w:rsid w:val="0056244C"/>
    <w:rsid w:val="0056249E"/>
    <w:rsid w:val="005627A0"/>
    <w:rsid w:val="00562C48"/>
    <w:rsid w:val="00563652"/>
    <w:rsid w:val="00563A17"/>
    <w:rsid w:val="00563B23"/>
    <w:rsid w:val="00563EF1"/>
    <w:rsid w:val="0056453A"/>
    <w:rsid w:val="00565420"/>
    <w:rsid w:val="0056556D"/>
    <w:rsid w:val="00565D7D"/>
    <w:rsid w:val="005663E5"/>
    <w:rsid w:val="00566AB4"/>
    <w:rsid w:val="00567028"/>
    <w:rsid w:val="00567931"/>
    <w:rsid w:val="0057066B"/>
    <w:rsid w:val="00570949"/>
    <w:rsid w:val="005709C8"/>
    <w:rsid w:val="00571659"/>
    <w:rsid w:val="00571D2B"/>
    <w:rsid w:val="005724FD"/>
    <w:rsid w:val="005727F3"/>
    <w:rsid w:val="005739A2"/>
    <w:rsid w:val="00574350"/>
    <w:rsid w:val="005746D0"/>
    <w:rsid w:val="00574F4A"/>
    <w:rsid w:val="00575039"/>
    <w:rsid w:val="00575892"/>
    <w:rsid w:val="00575AC5"/>
    <w:rsid w:val="0057605D"/>
    <w:rsid w:val="00576164"/>
    <w:rsid w:val="005769A4"/>
    <w:rsid w:val="00576F28"/>
    <w:rsid w:val="00576F3C"/>
    <w:rsid w:val="00576FE4"/>
    <w:rsid w:val="00577D71"/>
    <w:rsid w:val="005801B1"/>
    <w:rsid w:val="00580781"/>
    <w:rsid w:val="00580B40"/>
    <w:rsid w:val="00580FF8"/>
    <w:rsid w:val="005811A6"/>
    <w:rsid w:val="00581347"/>
    <w:rsid w:val="0058135C"/>
    <w:rsid w:val="0058154D"/>
    <w:rsid w:val="00581AC9"/>
    <w:rsid w:val="00582AEE"/>
    <w:rsid w:val="00582B1C"/>
    <w:rsid w:val="00583697"/>
    <w:rsid w:val="00583998"/>
    <w:rsid w:val="00584558"/>
    <w:rsid w:val="005849F8"/>
    <w:rsid w:val="005853E0"/>
    <w:rsid w:val="005863B9"/>
    <w:rsid w:val="0058754F"/>
    <w:rsid w:val="00590AE7"/>
    <w:rsid w:val="00590B31"/>
    <w:rsid w:val="005910BA"/>
    <w:rsid w:val="00591211"/>
    <w:rsid w:val="00592876"/>
    <w:rsid w:val="00592E1F"/>
    <w:rsid w:val="00593537"/>
    <w:rsid w:val="005938DF"/>
    <w:rsid w:val="0059390C"/>
    <w:rsid w:val="00593964"/>
    <w:rsid w:val="00593DDE"/>
    <w:rsid w:val="00593FFB"/>
    <w:rsid w:val="00594236"/>
    <w:rsid w:val="00594E9C"/>
    <w:rsid w:val="005952D9"/>
    <w:rsid w:val="00596653"/>
    <w:rsid w:val="0059688E"/>
    <w:rsid w:val="005968F3"/>
    <w:rsid w:val="005A099B"/>
    <w:rsid w:val="005A0A45"/>
    <w:rsid w:val="005A0C91"/>
    <w:rsid w:val="005A1044"/>
    <w:rsid w:val="005A25BB"/>
    <w:rsid w:val="005A2D9C"/>
    <w:rsid w:val="005A2F1E"/>
    <w:rsid w:val="005A2FC1"/>
    <w:rsid w:val="005A319D"/>
    <w:rsid w:val="005A388B"/>
    <w:rsid w:val="005A396D"/>
    <w:rsid w:val="005A3A61"/>
    <w:rsid w:val="005A3E26"/>
    <w:rsid w:val="005A41E8"/>
    <w:rsid w:val="005A556F"/>
    <w:rsid w:val="005A55FE"/>
    <w:rsid w:val="005A59CB"/>
    <w:rsid w:val="005A60D4"/>
    <w:rsid w:val="005A627E"/>
    <w:rsid w:val="005A630E"/>
    <w:rsid w:val="005A68B5"/>
    <w:rsid w:val="005A6A11"/>
    <w:rsid w:val="005A7CB0"/>
    <w:rsid w:val="005A7D7F"/>
    <w:rsid w:val="005A7FDF"/>
    <w:rsid w:val="005B01CB"/>
    <w:rsid w:val="005B0224"/>
    <w:rsid w:val="005B04A8"/>
    <w:rsid w:val="005B0A09"/>
    <w:rsid w:val="005B11D4"/>
    <w:rsid w:val="005B1E00"/>
    <w:rsid w:val="005B2496"/>
    <w:rsid w:val="005B3847"/>
    <w:rsid w:val="005B39E7"/>
    <w:rsid w:val="005B3E21"/>
    <w:rsid w:val="005B3FEC"/>
    <w:rsid w:val="005B4294"/>
    <w:rsid w:val="005B5022"/>
    <w:rsid w:val="005B5090"/>
    <w:rsid w:val="005B5CBD"/>
    <w:rsid w:val="005B5ECE"/>
    <w:rsid w:val="005B63F2"/>
    <w:rsid w:val="005B6CAA"/>
    <w:rsid w:val="005B723F"/>
    <w:rsid w:val="005B742D"/>
    <w:rsid w:val="005B7FA0"/>
    <w:rsid w:val="005C07CB"/>
    <w:rsid w:val="005C09DB"/>
    <w:rsid w:val="005C0D2A"/>
    <w:rsid w:val="005C0D90"/>
    <w:rsid w:val="005C1DAC"/>
    <w:rsid w:val="005C2699"/>
    <w:rsid w:val="005C2E34"/>
    <w:rsid w:val="005C2F91"/>
    <w:rsid w:val="005C33BF"/>
    <w:rsid w:val="005C3413"/>
    <w:rsid w:val="005C346B"/>
    <w:rsid w:val="005C35F8"/>
    <w:rsid w:val="005C40AD"/>
    <w:rsid w:val="005C4E42"/>
    <w:rsid w:val="005C613C"/>
    <w:rsid w:val="005C74DB"/>
    <w:rsid w:val="005C789C"/>
    <w:rsid w:val="005C7EAF"/>
    <w:rsid w:val="005D003A"/>
    <w:rsid w:val="005D1008"/>
    <w:rsid w:val="005D1670"/>
    <w:rsid w:val="005D1ADF"/>
    <w:rsid w:val="005D245F"/>
    <w:rsid w:val="005D2502"/>
    <w:rsid w:val="005D297B"/>
    <w:rsid w:val="005D3423"/>
    <w:rsid w:val="005D4433"/>
    <w:rsid w:val="005D470E"/>
    <w:rsid w:val="005D47F3"/>
    <w:rsid w:val="005D49BF"/>
    <w:rsid w:val="005D4A32"/>
    <w:rsid w:val="005D4E69"/>
    <w:rsid w:val="005D5272"/>
    <w:rsid w:val="005D5C62"/>
    <w:rsid w:val="005D5FCF"/>
    <w:rsid w:val="005D673E"/>
    <w:rsid w:val="005D683B"/>
    <w:rsid w:val="005D6F4E"/>
    <w:rsid w:val="005D7737"/>
    <w:rsid w:val="005D7BB8"/>
    <w:rsid w:val="005E030C"/>
    <w:rsid w:val="005E037A"/>
    <w:rsid w:val="005E0502"/>
    <w:rsid w:val="005E087A"/>
    <w:rsid w:val="005E0E24"/>
    <w:rsid w:val="005E0FE4"/>
    <w:rsid w:val="005E106B"/>
    <w:rsid w:val="005E10A4"/>
    <w:rsid w:val="005E137C"/>
    <w:rsid w:val="005E1600"/>
    <w:rsid w:val="005E1B0F"/>
    <w:rsid w:val="005E27AC"/>
    <w:rsid w:val="005E3ACD"/>
    <w:rsid w:val="005E41D2"/>
    <w:rsid w:val="005E4708"/>
    <w:rsid w:val="005E47DE"/>
    <w:rsid w:val="005E47ED"/>
    <w:rsid w:val="005E5BC7"/>
    <w:rsid w:val="005E5CE4"/>
    <w:rsid w:val="005E5D7B"/>
    <w:rsid w:val="005E6925"/>
    <w:rsid w:val="005E707A"/>
    <w:rsid w:val="005E7226"/>
    <w:rsid w:val="005E7A57"/>
    <w:rsid w:val="005E7C8B"/>
    <w:rsid w:val="005F05EB"/>
    <w:rsid w:val="005F159C"/>
    <w:rsid w:val="005F1A1D"/>
    <w:rsid w:val="005F1AE8"/>
    <w:rsid w:val="005F24B0"/>
    <w:rsid w:val="005F257F"/>
    <w:rsid w:val="005F2E14"/>
    <w:rsid w:val="005F38E9"/>
    <w:rsid w:val="005F454D"/>
    <w:rsid w:val="005F518E"/>
    <w:rsid w:val="005F5760"/>
    <w:rsid w:val="005F5B96"/>
    <w:rsid w:val="005F63A8"/>
    <w:rsid w:val="005F6479"/>
    <w:rsid w:val="005F6504"/>
    <w:rsid w:val="005F6A32"/>
    <w:rsid w:val="005F7647"/>
    <w:rsid w:val="005F7948"/>
    <w:rsid w:val="005F7F55"/>
    <w:rsid w:val="00600D54"/>
    <w:rsid w:val="00601A1C"/>
    <w:rsid w:val="00601EE3"/>
    <w:rsid w:val="00602110"/>
    <w:rsid w:val="006026BB"/>
    <w:rsid w:val="00602767"/>
    <w:rsid w:val="006028F8"/>
    <w:rsid w:val="0060295A"/>
    <w:rsid w:val="00603317"/>
    <w:rsid w:val="00604315"/>
    <w:rsid w:val="00604316"/>
    <w:rsid w:val="00604868"/>
    <w:rsid w:val="00604A72"/>
    <w:rsid w:val="00604D6A"/>
    <w:rsid w:val="00604E26"/>
    <w:rsid w:val="0060512A"/>
    <w:rsid w:val="006052CF"/>
    <w:rsid w:val="00605403"/>
    <w:rsid w:val="00605542"/>
    <w:rsid w:val="006057B3"/>
    <w:rsid w:val="00605AEA"/>
    <w:rsid w:val="00605FDC"/>
    <w:rsid w:val="006066D1"/>
    <w:rsid w:val="00606867"/>
    <w:rsid w:val="00606BDD"/>
    <w:rsid w:val="00607088"/>
    <w:rsid w:val="00607160"/>
    <w:rsid w:val="00607262"/>
    <w:rsid w:val="006079FC"/>
    <w:rsid w:val="00607B8D"/>
    <w:rsid w:val="00607D0F"/>
    <w:rsid w:val="00610043"/>
    <w:rsid w:val="00610B88"/>
    <w:rsid w:val="00611070"/>
    <w:rsid w:val="0061151C"/>
    <w:rsid w:val="006118E4"/>
    <w:rsid w:val="00611B6E"/>
    <w:rsid w:val="00611F5C"/>
    <w:rsid w:val="00612156"/>
    <w:rsid w:val="0061226F"/>
    <w:rsid w:val="006123DB"/>
    <w:rsid w:val="00612591"/>
    <w:rsid w:val="00612676"/>
    <w:rsid w:val="0061364C"/>
    <w:rsid w:val="006136DC"/>
    <w:rsid w:val="006136EE"/>
    <w:rsid w:val="00613AF9"/>
    <w:rsid w:val="00613D6C"/>
    <w:rsid w:val="00613EFD"/>
    <w:rsid w:val="00613FF2"/>
    <w:rsid w:val="00614463"/>
    <w:rsid w:val="006147E6"/>
    <w:rsid w:val="00614814"/>
    <w:rsid w:val="006149FE"/>
    <w:rsid w:val="00614CA9"/>
    <w:rsid w:val="006154CC"/>
    <w:rsid w:val="006154E3"/>
    <w:rsid w:val="00615B4A"/>
    <w:rsid w:val="00615D34"/>
    <w:rsid w:val="00615EB3"/>
    <w:rsid w:val="00616E09"/>
    <w:rsid w:val="006177F3"/>
    <w:rsid w:val="00617BA8"/>
    <w:rsid w:val="00620E14"/>
    <w:rsid w:val="00620E68"/>
    <w:rsid w:val="00621B7A"/>
    <w:rsid w:val="00621D60"/>
    <w:rsid w:val="00622108"/>
    <w:rsid w:val="0062244C"/>
    <w:rsid w:val="006229C3"/>
    <w:rsid w:val="00622A3B"/>
    <w:rsid w:val="00622EEA"/>
    <w:rsid w:val="00622FED"/>
    <w:rsid w:val="0062314B"/>
    <w:rsid w:val="0062372E"/>
    <w:rsid w:val="006237ED"/>
    <w:rsid w:val="0062396C"/>
    <w:rsid w:val="00623FF9"/>
    <w:rsid w:val="00624602"/>
    <w:rsid w:val="006256FF"/>
    <w:rsid w:val="006259EE"/>
    <w:rsid w:val="00625CBD"/>
    <w:rsid w:val="00626C4D"/>
    <w:rsid w:val="00627378"/>
    <w:rsid w:val="00627AE3"/>
    <w:rsid w:val="00627B5B"/>
    <w:rsid w:val="00627D4E"/>
    <w:rsid w:val="006313F7"/>
    <w:rsid w:val="00631404"/>
    <w:rsid w:val="0063175C"/>
    <w:rsid w:val="00631BE4"/>
    <w:rsid w:val="00633122"/>
    <w:rsid w:val="006335FC"/>
    <w:rsid w:val="0063370A"/>
    <w:rsid w:val="00633736"/>
    <w:rsid w:val="006337B4"/>
    <w:rsid w:val="00633CF2"/>
    <w:rsid w:val="00633D5A"/>
    <w:rsid w:val="00634279"/>
    <w:rsid w:val="00634478"/>
    <w:rsid w:val="00634738"/>
    <w:rsid w:val="0063478C"/>
    <w:rsid w:val="00634C47"/>
    <w:rsid w:val="00635C0E"/>
    <w:rsid w:val="00635CA2"/>
    <w:rsid w:val="006360F1"/>
    <w:rsid w:val="006366F6"/>
    <w:rsid w:val="00636750"/>
    <w:rsid w:val="006373E4"/>
    <w:rsid w:val="00637A6A"/>
    <w:rsid w:val="00640F59"/>
    <w:rsid w:val="006411F2"/>
    <w:rsid w:val="0064121B"/>
    <w:rsid w:val="00641BD9"/>
    <w:rsid w:val="006425A9"/>
    <w:rsid w:val="0064277C"/>
    <w:rsid w:val="00642C6D"/>
    <w:rsid w:val="00643330"/>
    <w:rsid w:val="006436DD"/>
    <w:rsid w:val="00644373"/>
    <w:rsid w:val="00644589"/>
    <w:rsid w:val="006446B4"/>
    <w:rsid w:val="006450DB"/>
    <w:rsid w:val="00645442"/>
    <w:rsid w:val="00645915"/>
    <w:rsid w:val="0064599B"/>
    <w:rsid w:val="006459E4"/>
    <w:rsid w:val="00646C56"/>
    <w:rsid w:val="00647A4F"/>
    <w:rsid w:val="006504E0"/>
    <w:rsid w:val="006508B7"/>
    <w:rsid w:val="00650BD6"/>
    <w:rsid w:val="00650E2F"/>
    <w:rsid w:val="00650E64"/>
    <w:rsid w:val="00651697"/>
    <w:rsid w:val="006519C3"/>
    <w:rsid w:val="00651FAD"/>
    <w:rsid w:val="0065224C"/>
    <w:rsid w:val="00652A25"/>
    <w:rsid w:val="00652B30"/>
    <w:rsid w:val="006531D2"/>
    <w:rsid w:val="006546E1"/>
    <w:rsid w:val="006547C2"/>
    <w:rsid w:val="00654997"/>
    <w:rsid w:val="0065525E"/>
    <w:rsid w:val="00655306"/>
    <w:rsid w:val="00655AF9"/>
    <w:rsid w:val="00655EAD"/>
    <w:rsid w:val="00656032"/>
    <w:rsid w:val="00656345"/>
    <w:rsid w:val="00656629"/>
    <w:rsid w:val="006567C6"/>
    <w:rsid w:val="00656DC6"/>
    <w:rsid w:val="0065737C"/>
    <w:rsid w:val="00657CD1"/>
    <w:rsid w:val="00660121"/>
    <w:rsid w:val="00660DE1"/>
    <w:rsid w:val="00661334"/>
    <w:rsid w:val="0066228E"/>
    <w:rsid w:val="00662D1F"/>
    <w:rsid w:val="00662DE4"/>
    <w:rsid w:val="00663933"/>
    <w:rsid w:val="00663A1F"/>
    <w:rsid w:val="00663B8C"/>
    <w:rsid w:val="00663DB0"/>
    <w:rsid w:val="00664110"/>
    <w:rsid w:val="00664D17"/>
    <w:rsid w:val="00665B9F"/>
    <w:rsid w:val="0066612F"/>
    <w:rsid w:val="006661A2"/>
    <w:rsid w:val="006663C6"/>
    <w:rsid w:val="00666520"/>
    <w:rsid w:val="006665BD"/>
    <w:rsid w:val="00666E40"/>
    <w:rsid w:val="0066706E"/>
    <w:rsid w:val="0066720E"/>
    <w:rsid w:val="006673BF"/>
    <w:rsid w:val="00667B25"/>
    <w:rsid w:val="00667C5B"/>
    <w:rsid w:val="006729AE"/>
    <w:rsid w:val="0067349B"/>
    <w:rsid w:val="00673CF1"/>
    <w:rsid w:val="00674C0A"/>
    <w:rsid w:val="00674C77"/>
    <w:rsid w:val="00674F4C"/>
    <w:rsid w:val="00675512"/>
    <w:rsid w:val="006763C2"/>
    <w:rsid w:val="00676C49"/>
    <w:rsid w:val="00676F1C"/>
    <w:rsid w:val="006771EE"/>
    <w:rsid w:val="0067792A"/>
    <w:rsid w:val="0067794E"/>
    <w:rsid w:val="00677C45"/>
    <w:rsid w:val="00680486"/>
    <w:rsid w:val="00680744"/>
    <w:rsid w:val="0068085F"/>
    <w:rsid w:val="00681766"/>
    <w:rsid w:val="00682336"/>
    <w:rsid w:val="00682D31"/>
    <w:rsid w:val="00682F46"/>
    <w:rsid w:val="006830CB"/>
    <w:rsid w:val="00683835"/>
    <w:rsid w:val="00683905"/>
    <w:rsid w:val="00683BB0"/>
    <w:rsid w:val="00683D2C"/>
    <w:rsid w:val="006844BF"/>
    <w:rsid w:val="006844CE"/>
    <w:rsid w:val="00684ADF"/>
    <w:rsid w:val="00684B5E"/>
    <w:rsid w:val="00685DC2"/>
    <w:rsid w:val="006861B7"/>
    <w:rsid w:val="006862B7"/>
    <w:rsid w:val="0068675D"/>
    <w:rsid w:val="00686ABC"/>
    <w:rsid w:val="0068775B"/>
    <w:rsid w:val="00690341"/>
    <w:rsid w:val="00690B25"/>
    <w:rsid w:val="0069271A"/>
    <w:rsid w:val="00692CDE"/>
    <w:rsid w:val="00692EC6"/>
    <w:rsid w:val="00693073"/>
    <w:rsid w:val="006933A0"/>
    <w:rsid w:val="0069431F"/>
    <w:rsid w:val="00694B5B"/>
    <w:rsid w:val="00695269"/>
    <w:rsid w:val="006953C4"/>
    <w:rsid w:val="0069540B"/>
    <w:rsid w:val="00695CC0"/>
    <w:rsid w:val="00695F41"/>
    <w:rsid w:val="0069614D"/>
    <w:rsid w:val="00696396"/>
    <w:rsid w:val="00696D51"/>
    <w:rsid w:val="00696E91"/>
    <w:rsid w:val="00697323"/>
    <w:rsid w:val="00697434"/>
    <w:rsid w:val="006977FF"/>
    <w:rsid w:val="00697E15"/>
    <w:rsid w:val="00697E6B"/>
    <w:rsid w:val="00697FA1"/>
    <w:rsid w:val="006A004F"/>
    <w:rsid w:val="006A01FA"/>
    <w:rsid w:val="006A0E9E"/>
    <w:rsid w:val="006A14C6"/>
    <w:rsid w:val="006A1912"/>
    <w:rsid w:val="006A25C7"/>
    <w:rsid w:val="006A2E28"/>
    <w:rsid w:val="006A37C3"/>
    <w:rsid w:val="006A48A2"/>
    <w:rsid w:val="006A4AAD"/>
    <w:rsid w:val="006A5031"/>
    <w:rsid w:val="006A50ED"/>
    <w:rsid w:val="006A51B3"/>
    <w:rsid w:val="006A520A"/>
    <w:rsid w:val="006A5640"/>
    <w:rsid w:val="006A59BF"/>
    <w:rsid w:val="006A5B98"/>
    <w:rsid w:val="006A5F12"/>
    <w:rsid w:val="006A61AF"/>
    <w:rsid w:val="006A6841"/>
    <w:rsid w:val="006A689B"/>
    <w:rsid w:val="006A6DA2"/>
    <w:rsid w:val="006A7432"/>
    <w:rsid w:val="006A7A3B"/>
    <w:rsid w:val="006A7AB2"/>
    <w:rsid w:val="006B0647"/>
    <w:rsid w:val="006B12DB"/>
    <w:rsid w:val="006B1310"/>
    <w:rsid w:val="006B16DD"/>
    <w:rsid w:val="006B1F50"/>
    <w:rsid w:val="006B2661"/>
    <w:rsid w:val="006B288F"/>
    <w:rsid w:val="006B2FE9"/>
    <w:rsid w:val="006B3655"/>
    <w:rsid w:val="006B37F4"/>
    <w:rsid w:val="006B3C7C"/>
    <w:rsid w:val="006B4A03"/>
    <w:rsid w:val="006B503F"/>
    <w:rsid w:val="006B5717"/>
    <w:rsid w:val="006B582F"/>
    <w:rsid w:val="006B6026"/>
    <w:rsid w:val="006B66EE"/>
    <w:rsid w:val="006B6DFA"/>
    <w:rsid w:val="006B712F"/>
    <w:rsid w:val="006B7547"/>
    <w:rsid w:val="006B7C41"/>
    <w:rsid w:val="006B7E56"/>
    <w:rsid w:val="006C0C2A"/>
    <w:rsid w:val="006C0CEB"/>
    <w:rsid w:val="006C0D2A"/>
    <w:rsid w:val="006C0F78"/>
    <w:rsid w:val="006C11FC"/>
    <w:rsid w:val="006C144F"/>
    <w:rsid w:val="006C18EF"/>
    <w:rsid w:val="006C1EF3"/>
    <w:rsid w:val="006C224D"/>
    <w:rsid w:val="006C2969"/>
    <w:rsid w:val="006C2B1E"/>
    <w:rsid w:val="006C2D0C"/>
    <w:rsid w:val="006C3B1E"/>
    <w:rsid w:val="006C3C7B"/>
    <w:rsid w:val="006C3CEE"/>
    <w:rsid w:val="006C3D50"/>
    <w:rsid w:val="006C3F15"/>
    <w:rsid w:val="006C404A"/>
    <w:rsid w:val="006C47FD"/>
    <w:rsid w:val="006C4864"/>
    <w:rsid w:val="006C5587"/>
    <w:rsid w:val="006C5B10"/>
    <w:rsid w:val="006C616F"/>
    <w:rsid w:val="006C6242"/>
    <w:rsid w:val="006C642D"/>
    <w:rsid w:val="006C6E06"/>
    <w:rsid w:val="006C6ED6"/>
    <w:rsid w:val="006C70A0"/>
    <w:rsid w:val="006C73A1"/>
    <w:rsid w:val="006D0149"/>
    <w:rsid w:val="006D1898"/>
    <w:rsid w:val="006D1ED3"/>
    <w:rsid w:val="006D2422"/>
    <w:rsid w:val="006D27CB"/>
    <w:rsid w:val="006D2F08"/>
    <w:rsid w:val="006D3154"/>
    <w:rsid w:val="006D4AE0"/>
    <w:rsid w:val="006D55C0"/>
    <w:rsid w:val="006D576C"/>
    <w:rsid w:val="006D5865"/>
    <w:rsid w:val="006D5AED"/>
    <w:rsid w:val="006D63A2"/>
    <w:rsid w:val="006D6F0E"/>
    <w:rsid w:val="006D72E1"/>
    <w:rsid w:val="006D7C29"/>
    <w:rsid w:val="006D7CF1"/>
    <w:rsid w:val="006E002F"/>
    <w:rsid w:val="006E01DA"/>
    <w:rsid w:val="006E0544"/>
    <w:rsid w:val="006E1570"/>
    <w:rsid w:val="006E23CC"/>
    <w:rsid w:val="006E32C9"/>
    <w:rsid w:val="006E453C"/>
    <w:rsid w:val="006E4A1D"/>
    <w:rsid w:val="006E4B1B"/>
    <w:rsid w:val="006E51E1"/>
    <w:rsid w:val="006E5248"/>
    <w:rsid w:val="006E5445"/>
    <w:rsid w:val="006E5ABE"/>
    <w:rsid w:val="006E5D0C"/>
    <w:rsid w:val="006E6E35"/>
    <w:rsid w:val="006E6E74"/>
    <w:rsid w:val="006E74C0"/>
    <w:rsid w:val="006E7D93"/>
    <w:rsid w:val="006F1637"/>
    <w:rsid w:val="006F1981"/>
    <w:rsid w:val="006F2024"/>
    <w:rsid w:val="006F25A6"/>
    <w:rsid w:val="006F2F59"/>
    <w:rsid w:val="006F3314"/>
    <w:rsid w:val="006F3419"/>
    <w:rsid w:val="006F476C"/>
    <w:rsid w:val="006F53B4"/>
    <w:rsid w:val="006F5479"/>
    <w:rsid w:val="006F5929"/>
    <w:rsid w:val="006F6F6D"/>
    <w:rsid w:val="006F7D23"/>
    <w:rsid w:val="007000B0"/>
    <w:rsid w:val="00700877"/>
    <w:rsid w:val="00700B40"/>
    <w:rsid w:val="00700C64"/>
    <w:rsid w:val="00701060"/>
    <w:rsid w:val="00701580"/>
    <w:rsid w:val="0070166B"/>
    <w:rsid w:val="00701710"/>
    <w:rsid w:val="00701803"/>
    <w:rsid w:val="00702707"/>
    <w:rsid w:val="007029A3"/>
    <w:rsid w:val="00702D99"/>
    <w:rsid w:val="00702DC9"/>
    <w:rsid w:val="00703173"/>
    <w:rsid w:val="00703232"/>
    <w:rsid w:val="00703494"/>
    <w:rsid w:val="00703969"/>
    <w:rsid w:val="00703BDD"/>
    <w:rsid w:val="0070419B"/>
    <w:rsid w:val="007045C6"/>
    <w:rsid w:val="0070479A"/>
    <w:rsid w:val="00704B6E"/>
    <w:rsid w:val="0070538D"/>
    <w:rsid w:val="007053C7"/>
    <w:rsid w:val="00705A04"/>
    <w:rsid w:val="0070665B"/>
    <w:rsid w:val="007067E6"/>
    <w:rsid w:val="00706E4E"/>
    <w:rsid w:val="007074ED"/>
    <w:rsid w:val="00707505"/>
    <w:rsid w:val="00707766"/>
    <w:rsid w:val="007077CA"/>
    <w:rsid w:val="0070791C"/>
    <w:rsid w:val="007105E8"/>
    <w:rsid w:val="00710BCB"/>
    <w:rsid w:val="00710FC4"/>
    <w:rsid w:val="00711D33"/>
    <w:rsid w:val="00712A21"/>
    <w:rsid w:val="00712AC3"/>
    <w:rsid w:val="00712AF5"/>
    <w:rsid w:val="007131DF"/>
    <w:rsid w:val="007136AE"/>
    <w:rsid w:val="0071383C"/>
    <w:rsid w:val="00713A9C"/>
    <w:rsid w:val="00713D58"/>
    <w:rsid w:val="007141A7"/>
    <w:rsid w:val="00714DD6"/>
    <w:rsid w:val="00714F0A"/>
    <w:rsid w:val="00715708"/>
    <w:rsid w:val="00715A63"/>
    <w:rsid w:val="00715C3A"/>
    <w:rsid w:val="00716145"/>
    <w:rsid w:val="0071655F"/>
    <w:rsid w:val="00716863"/>
    <w:rsid w:val="00716A40"/>
    <w:rsid w:val="00716B8C"/>
    <w:rsid w:val="00716BBF"/>
    <w:rsid w:val="00716F54"/>
    <w:rsid w:val="00716F8F"/>
    <w:rsid w:val="007170A8"/>
    <w:rsid w:val="00717272"/>
    <w:rsid w:val="0071760A"/>
    <w:rsid w:val="007178C5"/>
    <w:rsid w:val="00720CE0"/>
    <w:rsid w:val="00720E89"/>
    <w:rsid w:val="00721032"/>
    <w:rsid w:val="00721B55"/>
    <w:rsid w:val="00721ECF"/>
    <w:rsid w:val="00722079"/>
    <w:rsid w:val="0072235F"/>
    <w:rsid w:val="00722D66"/>
    <w:rsid w:val="00723C2A"/>
    <w:rsid w:val="00724722"/>
    <w:rsid w:val="00724E75"/>
    <w:rsid w:val="00724E78"/>
    <w:rsid w:val="0072581D"/>
    <w:rsid w:val="0072592C"/>
    <w:rsid w:val="00725A3B"/>
    <w:rsid w:val="00725AEC"/>
    <w:rsid w:val="00725E63"/>
    <w:rsid w:val="00726549"/>
    <w:rsid w:val="00726CE4"/>
    <w:rsid w:val="00727CD3"/>
    <w:rsid w:val="00727FDA"/>
    <w:rsid w:val="0073030C"/>
    <w:rsid w:val="00730685"/>
    <w:rsid w:val="007306EB"/>
    <w:rsid w:val="00730A44"/>
    <w:rsid w:val="0073189F"/>
    <w:rsid w:val="0073265A"/>
    <w:rsid w:val="00732C87"/>
    <w:rsid w:val="00732DF5"/>
    <w:rsid w:val="00732DFD"/>
    <w:rsid w:val="0073308E"/>
    <w:rsid w:val="00733213"/>
    <w:rsid w:val="00734143"/>
    <w:rsid w:val="00734A23"/>
    <w:rsid w:val="00734D0E"/>
    <w:rsid w:val="00735103"/>
    <w:rsid w:val="007360E6"/>
    <w:rsid w:val="0073610B"/>
    <w:rsid w:val="007364C6"/>
    <w:rsid w:val="007367CE"/>
    <w:rsid w:val="00736BA6"/>
    <w:rsid w:val="0073719D"/>
    <w:rsid w:val="00737E47"/>
    <w:rsid w:val="00740C64"/>
    <w:rsid w:val="00740C71"/>
    <w:rsid w:val="00740DC7"/>
    <w:rsid w:val="00740EAC"/>
    <w:rsid w:val="00741D7D"/>
    <w:rsid w:val="00742168"/>
    <w:rsid w:val="007427FE"/>
    <w:rsid w:val="007430ED"/>
    <w:rsid w:val="007435A0"/>
    <w:rsid w:val="00743A7D"/>
    <w:rsid w:val="00744956"/>
    <w:rsid w:val="00745068"/>
    <w:rsid w:val="007455F5"/>
    <w:rsid w:val="00745A19"/>
    <w:rsid w:val="00745A5C"/>
    <w:rsid w:val="00745B56"/>
    <w:rsid w:val="0074605F"/>
    <w:rsid w:val="00746359"/>
    <w:rsid w:val="00746708"/>
    <w:rsid w:val="00746EE7"/>
    <w:rsid w:val="00746F42"/>
    <w:rsid w:val="00747E94"/>
    <w:rsid w:val="0075018E"/>
    <w:rsid w:val="00750210"/>
    <w:rsid w:val="0075075B"/>
    <w:rsid w:val="00750898"/>
    <w:rsid w:val="00751710"/>
    <w:rsid w:val="0075279C"/>
    <w:rsid w:val="00752FA1"/>
    <w:rsid w:val="0075329D"/>
    <w:rsid w:val="00753779"/>
    <w:rsid w:val="007541BB"/>
    <w:rsid w:val="007546C7"/>
    <w:rsid w:val="00754894"/>
    <w:rsid w:val="00754C50"/>
    <w:rsid w:val="00754EFB"/>
    <w:rsid w:val="007551F8"/>
    <w:rsid w:val="0075541C"/>
    <w:rsid w:val="00755C3D"/>
    <w:rsid w:val="00756C85"/>
    <w:rsid w:val="00756DCF"/>
    <w:rsid w:val="00756E54"/>
    <w:rsid w:val="00757642"/>
    <w:rsid w:val="00757B33"/>
    <w:rsid w:val="00757B9C"/>
    <w:rsid w:val="00757E2C"/>
    <w:rsid w:val="00760100"/>
    <w:rsid w:val="00760342"/>
    <w:rsid w:val="0076060F"/>
    <w:rsid w:val="00760CB2"/>
    <w:rsid w:val="00761603"/>
    <w:rsid w:val="00761967"/>
    <w:rsid w:val="00762577"/>
    <w:rsid w:val="00762786"/>
    <w:rsid w:val="00762DD6"/>
    <w:rsid w:val="00762DD9"/>
    <w:rsid w:val="007635F6"/>
    <w:rsid w:val="00763A70"/>
    <w:rsid w:val="00763DEF"/>
    <w:rsid w:val="00764A35"/>
    <w:rsid w:val="00764DD5"/>
    <w:rsid w:val="00765250"/>
    <w:rsid w:val="00765332"/>
    <w:rsid w:val="007657A9"/>
    <w:rsid w:val="00765C83"/>
    <w:rsid w:val="00765E87"/>
    <w:rsid w:val="00766749"/>
    <w:rsid w:val="00766B4E"/>
    <w:rsid w:val="00766BB8"/>
    <w:rsid w:val="0076722A"/>
    <w:rsid w:val="00767C1B"/>
    <w:rsid w:val="00770C0A"/>
    <w:rsid w:val="00770EF4"/>
    <w:rsid w:val="00771274"/>
    <w:rsid w:val="00771373"/>
    <w:rsid w:val="007713F8"/>
    <w:rsid w:val="007714A9"/>
    <w:rsid w:val="00771CA2"/>
    <w:rsid w:val="00771F01"/>
    <w:rsid w:val="00772C2E"/>
    <w:rsid w:val="00773959"/>
    <w:rsid w:val="00774362"/>
    <w:rsid w:val="00774F88"/>
    <w:rsid w:val="00774FDB"/>
    <w:rsid w:val="00775B7B"/>
    <w:rsid w:val="00776982"/>
    <w:rsid w:val="00776ADA"/>
    <w:rsid w:val="00776C99"/>
    <w:rsid w:val="00777336"/>
    <w:rsid w:val="007773FD"/>
    <w:rsid w:val="00777440"/>
    <w:rsid w:val="00777833"/>
    <w:rsid w:val="00777A2A"/>
    <w:rsid w:val="00777BA2"/>
    <w:rsid w:val="00777F84"/>
    <w:rsid w:val="007802FB"/>
    <w:rsid w:val="0078092B"/>
    <w:rsid w:val="00781408"/>
    <w:rsid w:val="007816FA"/>
    <w:rsid w:val="00781D45"/>
    <w:rsid w:val="00781FAD"/>
    <w:rsid w:val="007836C3"/>
    <w:rsid w:val="00784240"/>
    <w:rsid w:val="00784F7F"/>
    <w:rsid w:val="00785160"/>
    <w:rsid w:val="007851D0"/>
    <w:rsid w:val="00785388"/>
    <w:rsid w:val="00785E3A"/>
    <w:rsid w:val="00785FAE"/>
    <w:rsid w:val="007861A6"/>
    <w:rsid w:val="00786640"/>
    <w:rsid w:val="00786A65"/>
    <w:rsid w:val="007873B9"/>
    <w:rsid w:val="00787E49"/>
    <w:rsid w:val="00787F5A"/>
    <w:rsid w:val="00790FFD"/>
    <w:rsid w:val="00791BD4"/>
    <w:rsid w:val="00791DF9"/>
    <w:rsid w:val="00791FB3"/>
    <w:rsid w:val="00792675"/>
    <w:rsid w:val="0079275E"/>
    <w:rsid w:val="007931D1"/>
    <w:rsid w:val="007936D5"/>
    <w:rsid w:val="00793925"/>
    <w:rsid w:val="007943AC"/>
    <w:rsid w:val="007943EB"/>
    <w:rsid w:val="00794402"/>
    <w:rsid w:val="007947CF"/>
    <w:rsid w:val="00794A42"/>
    <w:rsid w:val="00794CBA"/>
    <w:rsid w:val="00794DF5"/>
    <w:rsid w:val="00795BD6"/>
    <w:rsid w:val="007960E6"/>
    <w:rsid w:val="00796869"/>
    <w:rsid w:val="00796C91"/>
    <w:rsid w:val="00796F25"/>
    <w:rsid w:val="0079722C"/>
    <w:rsid w:val="007A0293"/>
    <w:rsid w:val="007A18D4"/>
    <w:rsid w:val="007A2538"/>
    <w:rsid w:val="007A2997"/>
    <w:rsid w:val="007A2A09"/>
    <w:rsid w:val="007A2DDD"/>
    <w:rsid w:val="007A2E98"/>
    <w:rsid w:val="007A32E7"/>
    <w:rsid w:val="007A3BA3"/>
    <w:rsid w:val="007A3D15"/>
    <w:rsid w:val="007A4673"/>
    <w:rsid w:val="007A5201"/>
    <w:rsid w:val="007A53F4"/>
    <w:rsid w:val="007A54F0"/>
    <w:rsid w:val="007A5E1A"/>
    <w:rsid w:val="007A6CC0"/>
    <w:rsid w:val="007A7113"/>
    <w:rsid w:val="007A78F0"/>
    <w:rsid w:val="007A7FEC"/>
    <w:rsid w:val="007B0853"/>
    <w:rsid w:val="007B0AD6"/>
    <w:rsid w:val="007B11F1"/>
    <w:rsid w:val="007B1499"/>
    <w:rsid w:val="007B1675"/>
    <w:rsid w:val="007B18F3"/>
    <w:rsid w:val="007B19BE"/>
    <w:rsid w:val="007B1BBF"/>
    <w:rsid w:val="007B2960"/>
    <w:rsid w:val="007B3462"/>
    <w:rsid w:val="007B355D"/>
    <w:rsid w:val="007B3806"/>
    <w:rsid w:val="007B3D05"/>
    <w:rsid w:val="007B3E0D"/>
    <w:rsid w:val="007B4F9F"/>
    <w:rsid w:val="007B59B3"/>
    <w:rsid w:val="007B6A75"/>
    <w:rsid w:val="007B6DBF"/>
    <w:rsid w:val="007B6E50"/>
    <w:rsid w:val="007B6FE7"/>
    <w:rsid w:val="007B701F"/>
    <w:rsid w:val="007B7980"/>
    <w:rsid w:val="007B7C03"/>
    <w:rsid w:val="007C0010"/>
    <w:rsid w:val="007C0807"/>
    <w:rsid w:val="007C0B61"/>
    <w:rsid w:val="007C0CBB"/>
    <w:rsid w:val="007C0D0A"/>
    <w:rsid w:val="007C0D77"/>
    <w:rsid w:val="007C1428"/>
    <w:rsid w:val="007C1764"/>
    <w:rsid w:val="007C2564"/>
    <w:rsid w:val="007C2804"/>
    <w:rsid w:val="007C290C"/>
    <w:rsid w:val="007C2DEB"/>
    <w:rsid w:val="007C3554"/>
    <w:rsid w:val="007C3598"/>
    <w:rsid w:val="007C3CBB"/>
    <w:rsid w:val="007C5521"/>
    <w:rsid w:val="007C5D5A"/>
    <w:rsid w:val="007C607F"/>
    <w:rsid w:val="007C628F"/>
    <w:rsid w:val="007C6616"/>
    <w:rsid w:val="007C6E11"/>
    <w:rsid w:val="007C745F"/>
    <w:rsid w:val="007C7727"/>
    <w:rsid w:val="007C79DD"/>
    <w:rsid w:val="007C7A8E"/>
    <w:rsid w:val="007D0442"/>
    <w:rsid w:val="007D0458"/>
    <w:rsid w:val="007D087E"/>
    <w:rsid w:val="007D0970"/>
    <w:rsid w:val="007D0A00"/>
    <w:rsid w:val="007D1172"/>
    <w:rsid w:val="007D1390"/>
    <w:rsid w:val="007D15BE"/>
    <w:rsid w:val="007D1A97"/>
    <w:rsid w:val="007D1CF3"/>
    <w:rsid w:val="007D22D4"/>
    <w:rsid w:val="007D2CD6"/>
    <w:rsid w:val="007D3063"/>
    <w:rsid w:val="007D32A9"/>
    <w:rsid w:val="007D3650"/>
    <w:rsid w:val="007D3CEB"/>
    <w:rsid w:val="007D46CA"/>
    <w:rsid w:val="007D47A9"/>
    <w:rsid w:val="007D5C77"/>
    <w:rsid w:val="007D5E9E"/>
    <w:rsid w:val="007D64AF"/>
    <w:rsid w:val="007D69E9"/>
    <w:rsid w:val="007D6E05"/>
    <w:rsid w:val="007D6ED9"/>
    <w:rsid w:val="007D6FAE"/>
    <w:rsid w:val="007D7343"/>
    <w:rsid w:val="007D7637"/>
    <w:rsid w:val="007E000B"/>
    <w:rsid w:val="007E059D"/>
    <w:rsid w:val="007E09E3"/>
    <w:rsid w:val="007E116E"/>
    <w:rsid w:val="007E1283"/>
    <w:rsid w:val="007E28E6"/>
    <w:rsid w:val="007E2C30"/>
    <w:rsid w:val="007E3A36"/>
    <w:rsid w:val="007E3B07"/>
    <w:rsid w:val="007E3D10"/>
    <w:rsid w:val="007E4124"/>
    <w:rsid w:val="007E46BA"/>
    <w:rsid w:val="007E501D"/>
    <w:rsid w:val="007E534E"/>
    <w:rsid w:val="007E5E85"/>
    <w:rsid w:val="007E5F3A"/>
    <w:rsid w:val="007E61A1"/>
    <w:rsid w:val="007E6BBA"/>
    <w:rsid w:val="007E7110"/>
    <w:rsid w:val="007E7267"/>
    <w:rsid w:val="007E72A6"/>
    <w:rsid w:val="007E7666"/>
    <w:rsid w:val="007E7683"/>
    <w:rsid w:val="007F0405"/>
    <w:rsid w:val="007F12A1"/>
    <w:rsid w:val="007F1793"/>
    <w:rsid w:val="007F1A95"/>
    <w:rsid w:val="007F22D7"/>
    <w:rsid w:val="007F2B85"/>
    <w:rsid w:val="007F3096"/>
    <w:rsid w:val="007F3281"/>
    <w:rsid w:val="007F336B"/>
    <w:rsid w:val="007F3FB2"/>
    <w:rsid w:val="007F49FA"/>
    <w:rsid w:val="007F4E5B"/>
    <w:rsid w:val="007F54C4"/>
    <w:rsid w:val="007F5979"/>
    <w:rsid w:val="007F5988"/>
    <w:rsid w:val="007F624B"/>
    <w:rsid w:val="007F6291"/>
    <w:rsid w:val="007F6C70"/>
    <w:rsid w:val="007F6E9A"/>
    <w:rsid w:val="007F6F0D"/>
    <w:rsid w:val="007F74CF"/>
    <w:rsid w:val="007F7AF8"/>
    <w:rsid w:val="007F7E77"/>
    <w:rsid w:val="00800186"/>
    <w:rsid w:val="00800E22"/>
    <w:rsid w:val="00801917"/>
    <w:rsid w:val="00802CA7"/>
    <w:rsid w:val="0080395B"/>
    <w:rsid w:val="008042B2"/>
    <w:rsid w:val="008042CA"/>
    <w:rsid w:val="008044D4"/>
    <w:rsid w:val="00804D7F"/>
    <w:rsid w:val="008051A9"/>
    <w:rsid w:val="00806058"/>
    <w:rsid w:val="008068C0"/>
    <w:rsid w:val="0080699D"/>
    <w:rsid w:val="00807011"/>
    <w:rsid w:val="00807A4F"/>
    <w:rsid w:val="00807AA0"/>
    <w:rsid w:val="00807B1E"/>
    <w:rsid w:val="008101C2"/>
    <w:rsid w:val="00810AB4"/>
    <w:rsid w:val="00812987"/>
    <w:rsid w:val="00812AA2"/>
    <w:rsid w:val="00812AA5"/>
    <w:rsid w:val="0081300A"/>
    <w:rsid w:val="00813128"/>
    <w:rsid w:val="008134D9"/>
    <w:rsid w:val="00813E7E"/>
    <w:rsid w:val="00813F74"/>
    <w:rsid w:val="008143C9"/>
    <w:rsid w:val="008154E0"/>
    <w:rsid w:val="00815AFD"/>
    <w:rsid w:val="00815D01"/>
    <w:rsid w:val="00816CFC"/>
    <w:rsid w:val="00816D6F"/>
    <w:rsid w:val="00817173"/>
    <w:rsid w:val="0081725F"/>
    <w:rsid w:val="00817B56"/>
    <w:rsid w:val="00817E2B"/>
    <w:rsid w:val="00821164"/>
    <w:rsid w:val="008215CD"/>
    <w:rsid w:val="00821879"/>
    <w:rsid w:val="00821A88"/>
    <w:rsid w:val="00822736"/>
    <w:rsid w:val="00823643"/>
    <w:rsid w:val="00823ABE"/>
    <w:rsid w:val="0082495D"/>
    <w:rsid w:val="00824E4B"/>
    <w:rsid w:val="00824F23"/>
    <w:rsid w:val="00825341"/>
    <w:rsid w:val="0082548C"/>
    <w:rsid w:val="00826639"/>
    <w:rsid w:val="008266DA"/>
    <w:rsid w:val="008270FA"/>
    <w:rsid w:val="00827168"/>
    <w:rsid w:val="00827305"/>
    <w:rsid w:val="00827A37"/>
    <w:rsid w:val="00827BC2"/>
    <w:rsid w:val="008310F0"/>
    <w:rsid w:val="00831AC3"/>
    <w:rsid w:val="00832EE3"/>
    <w:rsid w:val="00833708"/>
    <w:rsid w:val="008338CC"/>
    <w:rsid w:val="00833C53"/>
    <w:rsid w:val="00834021"/>
    <w:rsid w:val="00834C56"/>
    <w:rsid w:val="00834D50"/>
    <w:rsid w:val="008353D2"/>
    <w:rsid w:val="00835DCD"/>
    <w:rsid w:val="0083642B"/>
    <w:rsid w:val="00840210"/>
    <w:rsid w:val="0084062E"/>
    <w:rsid w:val="00840885"/>
    <w:rsid w:val="008408FF"/>
    <w:rsid w:val="00840AEC"/>
    <w:rsid w:val="00840D50"/>
    <w:rsid w:val="00840ECF"/>
    <w:rsid w:val="00841572"/>
    <w:rsid w:val="00841945"/>
    <w:rsid w:val="008419BF"/>
    <w:rsid w:val="00842297"/>
    <w:rsid w:val="00842BE9"/>
    <w:rsid w:val="008435A7"/>
    <w:rsid w:val="00843790"/>
    <w:rsid w:val="0084382A"/>
    <w:rsid w:val="00843B37"/>
    <w:rsid w:val="008446D4"/>
    <w:rsid w:val="0084495F"/>
    <w:rsid w:val="00844E39"/>
    <w:rsid w:val="00845071"/>
    <w:rsid w:val="008450C6"/>
    <w:rsid w:val="00845D5C"/>
    <w:rsid w:val="00845FD3"/>
    <w:rsid w:val="00846A3B"/>
    <w:rsid w:val="00847019"/>
    <w:rsid w:val="00847435"/>
    <w:rsid w:val="008475C6"/>
    <w:rsid w:val="00847674"/>
    <w:rsid w:val="00847839"/>
    <w:rsid w:val="00847D94"/>
    <w:rsid w:val="00850C09"/>
    <w:rsid w:val="008518AF"/>
    <w:rsid w:val="00851921"/>
    <w:rsid w:val="00851E8E"/>
    <w:rsid w:val="00851F3F"/>
    <w:rsid w:val="00852379"/>
    <w:rsid w:val="008527AC"/>
    <w:rsid w:val="008528F6"/>
    <w:rsid w:val="00852A19"/>
    <w:rsid w:val="00852D45"/>
    <w:rsid w:val="008530D1"/>
    <w:rsid w:val="0085386D"/>
    <w:rsid w:val="00853C73"/>
    <w:rsid w:val="00853E89"/>
    <w:rsid w:val="00854831"/>
    <w:rsid w:val="00855346"/>
    <w:rsid w:val="008554EF"/>
    <w:rsid w:val="00855DCA"/>
    <w:rsid w:val="008564D8"/>
    <w:rsid w:val="00856877"/>
    <w:rsid w:val="00856DF5"/>
    <w:rsid w:val="00856EDC"/>
    <w:rsid w:val="00860300"/>
    <w:rsid w:val="00860594"/>
    <w:rsid w:val="008609E1"/>
    <w:rsid w:val="0086104C"/>
    <w:rsid w:val="008623B5"/>
    <w:rsid w:val="0086279B"/>
    <w:rsid w:val="008633EB"/>
    <w:rsid w:val="00863416"/>
    <w:rsid w:val="0086353E"/>
    <w:rsid w:val="008636FD"/>
    <w:rsid w:val="00863CE5"/>
    <w:rsid w:val="00865921"/>
    <w:rsid w:val="00866008"/>
    <w:rsid w:val="00866207"/>
    <w:rsid w:val="0086694A"/>
    <w:rsid w:val="00867626"/>
    <w:rsid w:val="00867B85"/>
    <w:rsid w:val="00867BA0"/>
    <w:rsid w:val="008700E2"/>
    <w:rsid w:val="00870A3A"/>
    <w:rsid w:val="00870ABA"/>
    <w:rsid w:val="008710E1"/>
    <w:rsid w:val="00871559"/>
    <w:rsid w:val="008716E5"/>
    <w:rsid w:val="00871738"/>
    <w:rsid w:val="008719E6"/>
    <w:rsid w:val="00871FC8"/>
    <w:rsid w:val="0087220A"/>
    <w:rsid w:val="00873249"/>
    <w:rsid w:val="00873A2C"/>
    <w:rsid w:val="00874496"/>
    <w:rsid w:val="00874603"/>
    <w:rsid w:val="00874A0E"/>
    <w:rsid w:val="00875F60"/>
    <w:rsid w:val="008763C8"/>
    <w:rsid w:val="00876723"/>
    <w:rsid w:val="0087698A"/>
    <w:rsid w:val="0087699D"/>
    <w:rsid w:val="00876CFB"/>
    <w:rsid w:val="00877165"/>
    <w:rsid w:val="008772B7"/>
    <w:rsid w:val="0087768D"/>
    <w:rsid w:val="00880B2B"/>
    <w:rsid w:val="00880FBB"/>
    <w:rsid w:val="008815F4"/>
    <w:rsid w:val="00881C34"/>
    <w:rsid w:val="00881CA9"/>
    <w:rsid w:val="008826CC"/>
    <w:rsid w:val="00882F77"/>
    <w:rsid w:val="0088335B"/>
    <w:rsid w:val="008834EE"/>
    <w:rsid w:val="00883628"/>
    <w:rsid w:val="0088383A"/>
    <w:rsid w:val="00883BFD"/>
    <w:rsid w:val="008840F0"/>
    <w:rsid w:val="00884B04"/>
    <w:rsid w:val="00885305"/>
    <w:rsid w:val="008854C3"/>
    <w:rsid w:val="00885544"/>
    <w:rsid w:val="0088634E"/>
    <w:rsid w:val="008863CB"/>
    <w:rsid w:val="008869EA"/>
    <w:rsid w:val="00886F3C"/>
    <w:rsid w:val="00887462"/>
    <w:rsid w:val="008875E2"/>
    <w:rsid w:val="008913F4"/>
    <w:rsid w:val="00891ADB"/>
    <w:rsid w:val="00891C18"/>
    <w:rsid w:val="00892487"/>
    <w:rsid w:val="008927B9"/>
    <w:rsid w:val="00893AB8"/>
    <w:rsid w:val="0089492A"/>
    <w:rsid w:val="008955FE"/>
    <w:rsid w:val="00895BAC"/>
    <w:rsid w:val="00895C2A"/>
    <w:rsid w:val="00895E88"/>
    <w:rsid w:val="008964FD"/>
    <w:rsid w:val="00896AA5"/>
    <w:rsid w:val="00896D95"/>
    <w:rsid w:val="0089711B"/>
    <w:rsid w:val="0089723F"/>
    <w:rsid w:val="008972DB"/>
    <w:rsid w:val="00897374"/>
    <w:rsid w:val="00897D73"/>
    <w:rsid w:val="008A02E7"/>
    <w:rsid w:val="008A04C8"/>
    <w:rsid w:val="008A089A"/>
    <w:rsid w:val="008A1480"/>
    <w:rsid w:val="008A185B"/>
    <w:rsid w:val="008A1EB8"/>
    <w:rsid w:val="008A2062"/>
    <w:rsid w:val="008A219C"/>
    <w:rsid w:val="008A554E"/>
    <w:rsid w:val="008A6121"/>
    <w:rsid w:val="008A684E"/>
    <w:rsid w:val="008A6913"/>
    <w:rsid w:val="008A6F20"/>
    <w:rsid w:val="008B07DE"/>
    <w:rsid w:val="008B0A9A"/>
    <w:rsid w:val="008B0AFD"/>
    <w:rsid w:val="008B0C04"/>
    <w:rsid w:val="008B0EF3"/>
    <w:rsid w:val="008B0F0E"/>
    <w:rsid w:val="008B110D"/>
    <w:rsid w:val="008B125D"/>
    <w:rsid w:val="008B1C2D"/>
    <w:rsid w:val="008B1F07"/>
    <w:rsid w:val="008B24C4"/>
    <w:rsid w:val="008B2734"/>
    <w:rsid w:val="008B2D20"/>
    <w:rsid w:val="008B2DAF"/>
    <w:rsid w:val="008B3280"/>
    <w:rsid w:val="008B3288"/>
    <w:rsid w:val="008B49DF"/>
    <w:rsid w:val="008B4AF6"/>
    <w:rsid w:val="008B4FB9"/>
    <w:rsid w:val="008B5A10"/>
    <w:rsid w:val="008B5C32"/>
    <w:rsid w:val="008B5F33"/>
    <w:rsid w:val="008B6868"/>
    <w:rsid w:val="008B68FC"/>
    <w:rsid w:val="008B6AD9"/>
    <w:rsid w:val="008B70F3"/>
    <w:rsid w:val="008B7323"/>
    <w:rsid w:val="008B7517"/>
    <w:rsid w:val="008B76DF"/>
    <w:rsid w:val="008B7757"/>
    <w:rsid w:val="008B7962"/>
    <w:rsid w:val="008B7B37"/>
    <w:rsid w:val="008C0335"/>
    <w:rsid w:val="008C05EF"/>
    <w:rsid w:val="008C0B38"/>
    <w:rsid w:val="008C0C1B"/>
    <w:rsid w:val="008C0D85"/>
    <w:rsid w:val="008C10F4"/>
    <w:rsid w:val="008C1BF9"/>
    <w:rsid w:val="008C2321"/>
    <w:rsid w:val="008C3F40"/>
    <w:rsid w:val="008C453F"/>
    <w:rsid w:val="008C5F02"/>
    <w:rsid w:val="008C5F7A"/>
    <w:rsid w:val="008C613C"/>
    <w:rsid w:val="008C6452"/>
    <w:rsid w:val="008C64B4"/>
    <w:rsid w:val="008C6596"/>
    <w:rsid w:val="008C65F7"/>
    <w:rsid w:val="008C7EF2"/>
    <w:rsid w:val="008D05D2"/>
    <w:rsid w:val="008D0B6F"/>
    <w:rsid w:val="008D1433"/>
    <w:rsid w:val="008D156A"/>
    <w:rsid w:val="008D19A9"/>
    <w:rsid w:val="008D2298"/>
    <w:rsid w:val="008D27C0"/>
    <w:rsid w:val="008D2F41"/>
    <w:rsid w:val="008D3640"/>
    <w:rsid w:val="008D3DA6"/>
    <w:rsid w:val="008D4717"/>
    <w:rsid w:val="008D4754"/>
    <w:rsid w:val="008D5914"/>
    <w:rsid w:val="008D64D4"/>
    <w:rsid w:val="008D6799"/>
    <w:rsid w:val="008D6BD6"/>
    <w:rsid w:val="008D7A73"/>
    <w:rsid w:val="008D7CAC"/>
    <w:rsid w:val="008E0061"/>
    <w:rsid w:val="008E044E"/>
    <w:rsid w:val="008E080F"/>
    <w:rsid w:val="008E10D9"/>
    <w:rsid w:val="008E17BC"/>
    <w:rsid w:val="008E2530"/>
    <w:rsid w:val="008E25CD"/>
    <w:rsid w:val="008E2EC7"/>
    <w:rsid w:val="008E3313"/>
    <w:rsid w:val="008E378E"/>
    <w:rsid w:val="008E45B2"/>
    <w:rsid w:val="008E4767"/>
    <w:rsid w:val="008E5CF3"/>
    <w:rsid w:val="008E6127"/>
    <w:rsid w:val="008E6BDB"/>
    <w:rsid w:val="008E754E"/>
    <w:rsid w:val="008E775B"/>
    <w:rsid w:val="008E7A8C"/>
    <w:rsid w:val="008E7D54"/>
    <w:rsid w:val="008E7D5B"/>
    <w:rsid w:val="008F0E75"/>
    <w:rsid w:val="008F13C0"/>
    <w:rsid w:val="008F1ABB"/>
    <w:rsid w:val="008F21EE"/>
    <w:rsid w:val="008F28A1"/>
    <w:rsid w:val="008F3AB4"/>
    <w:rsid w:val="008F3BFF"/>
    <w:rsid w:val="008F409A"/>
    <w:rsid w:val="008F4311"/>
    <w:rsid w:val="008F53E4"/>
    <w:rsid w:val="008F5D59"/>
    <w:rsid w:val="008F67F7"/>
    <w:rsid w:val="008F6D15"/>
    <w:rsid w:val="008F7292"/>
    <w:rsid w:val="008F76D3"/>
    <w:rsid w:val="008F79A6"/>
    <w:rsid w:val="008F7C5E"/>
    <w:rsid w:val="009004B9"/>
    <w:rsid w:val="009006A6"/>
    <w:rsid w:val="00900C85"/>
    <w:rsid w:val="00900F12"/>
    <w:rsid w:val="00901400"/>
    <w:rsid w:val="00901F92"/>
    <w:rsid w:val="0090271C"/>
    <w:rsid w:val="00902A03"/>
    <w:rsid w:val="00902B4C"/>
    <w:rsid w:val="00903285"/>
    <w:rsid w:val="00903728"/>
    <w:rsid w:val="0090395E"/>
    <w:rsid w:val="00906076"/>
    <w:rsid w:val="009062F4"/>
    <w:rsid w:val="0090672A"/>
    <w:rsid w:val="0090673F"/>
    <w:rsid w:val="00906845"/>
    <w:rsid w:val="00906F40"/>
    <w:rsid w:val="00906F59"/>
    <w:rsid w:val="0090731E"/>
    <w:rsid w:val="00910149"/>
    <w:rsid w:val="009105D7"/>
    <w:rsid w:val="009105DC"/>
    <w:rsid w:val="009106A2"/>
    <w:rsid w:val="00910D48"/>
    <w:rsid w:val="00910F53"/>
    <w:rsid w:val="00911048"/>
    <w:rsid w:val="00911439"/>
    <w:rsid w:val="00911A64"/>
    <w:rsid w:val="009120C0"/>
    <w:rsid w:val="00912388"/>
    <w:rsid w:val="00912A66"/>
    <w:rsid w:val="00912AEE"/>
    <w:rsid w:val="00912FB9"/>
    <w:rsid w:val="009133F8"/>
    <w:rsid w:val="009135A5"/>
    <w:rsid w:val="00913DD7"/>
    <w:rsid w:val="00913FF3"/>
    <w:rsid w:val="0091419F"/>
    <w:rsid w:val="00914262"/>
    <w:rsid w:val="0091472E"/>
    <w:rsid w:val="009150D0"/>
    <w:rsid w:val="009158F4"/>
    <w:rsid w:val="00915B1C"/>
    <w:rsid w:val="00915D91"/>
    <w:rsid w:val="00916881"/>
    <w:rsid w:val="00916A21"/>
    <w:rsid w:val="00916D9D"/>
    <w:rsid w:val="009174F3"/>
    <w:rsid w:val="00917608"/>
    <w:rsid w:val="009178A1"/>
    <w:rsid w:val="0091797D"/>
    <w:rsid w:val="009179AF"/>
    <w:rsid w:val="009206EC"/>
    <w:rsid w:val="0092199A"/>
    <w:rsid w:val="00922560"/>
    <w:rsid w:val="00922E75"/>
    <w:rsid w:val="00923648"/>
    <w:rsid w:val="00923CBA"/>
    <w:rsid w:val="0092425E"/>
    <w:rsid w:val="00924732"/>
    <w:rsid w:val="00924AC2"/>
    <w:rsid w:val="009252A9"/>
    <w:rsid w:val="00925864"/>
    <w:rsid w:val="00925D91"/>
    <w:rsid w:val="00926264"/>
    <w:rsid w:val="009265C0"/>
    <w:rsid w:val="00926703"/>
    <w:rsid w:val="009269B5"/>
    <w:rsid w:val="00927691"/>
    <w:rsid w:val="00927A5F"/>
    <w:rsid w:val="00927BDF"/>
    <w:rsid w:val="0093028D"/>
    <w:rsid w:val="00930360"/>
    <w:rsid w:val="00931CE9"/>
    <w:rsid w:val="009324B8"/>
    <w:rsid w:val="0093253D"/>
    <w:rsid w:val="00932889"/>
    <w:rsid w:val="00932BE0"/>
    <w:rsid w:val="00933FBE"/>
    <w:rsid w:val="0093478C"/>
    <w:rsid w:val="00935610"/>
    <w:rsid w:val="00935B63"/>
    <w:rsid w:val="009367DA"/>
    <w:rsid w:val="00937060"/>
    <w:rsid w:val="009371CA"/>
    <w:rsid w:val="0093752E"/>
    <w:rsid w:val="00937FD9"/>
    <w:rsid w:val="0094030A"/>
    <w:rsid w:val="0094078F"/>
    <w:rsid w:val="009408BC"/>
    <w:rsid w:val="00940D4D"/>
    <w:rsid w:val="00940DA9"/>
    <w:rsid w:val="00940DE0"/>
    <w:rsid w:val="00940FA3"/>
    <w:rsid w:val="00941075"/>
    <w:rsid w:val="00941A5D"/>
    <w:rsid w:val="00941B23"/>
    <w:rsid w:val="00941D4C"/>
    <w:rsid w:val="00941FB0"/>
    <w:rsid w:val="009426D4"/>
    <w:rsid w:val="00942B09"/>
    <w:rsid w:val="00942D8D"/>
    <w:rsid w:val="00943150"/>
    <w:rsid w:val="00943606"/>
    <w:rsid w:val="0094390F"/>
    <w:rsid w:val="00943942"/>
    <w:rsid w:val="00944946"/>
    <w:rsid w:val="00944ED1"/>
    <w:rsid w:val="00945012"/>
    <w:rsid w:val="00945FF6"/>
    <w:rsid w:val="009460C5"/>
    <w:rsid w:val="00946219"/>
    <w:rsid w:val="0094684A"/>
    <w:rsid w:val="009474B2"/>
    <w:rsid w:val="00947A03"/>
    <w:rsid w:val="00947CB2"/>
    <w:rsid w:val="00947F25"/>
    <w:rsid w:val="00950159"/>
    <w:rsid w:val="00950736"/>
    <w:rsid w:val="00950F8C"/>
    <w:rsid w:val="009517B3"/>
    <w:rsid w:val="00951C1A"/>
    <w:rsid w:val="00952097"/>
    <w:rsid w:val="0095258E"/>
    <w:rsid w:val="009534F4"/>
    <w:rsid w:val="00953C75"/>
    <w:rsid w:val="0095435F"/>
    <w:rsid w:val="009543E1"/>
    <w:rsid w:val="00954567"/>
    <w:rsid w:val="0095490B"/>
    <w:rsid w:val="00954A75"/>
    <w:rsid w:val="00954BB3"/>
    <w:rsid w:val="00955079"/>
    <w:rsid w:val="00955B9C"/>
    <w:rsid w:val="009566C2"/>
    <w:rsid w:val="009569A7"/>
    <w:rsid w:val="00957450"/>
    <w:rsid w:val="009579E4"/>
    <w:rsid w:val="00957DF9"/>
    <w:rsid w:val="009609AB"/>
    <w:rsid w:val="00960DA8"/>
    <w:rsid w:val="00960F68"/>
    <w:rsid w:val="0096143E"/>
    <w:rsid w:val="00961A9E"/>
    <w:rsid w:val="00962578"/>
    <w:rsid w:val="009629B5"/>
    <w:rsid w:val="00962B16"/>
    <w:rsid w:val="00962EE9"/>
    <w:rsid w:val="00963604"/>
    <w:rsid w:val="00964319"/>
    <w:rsid w:val="00964999"/>
    <w:rsid w:val="00965B42"/>
    <w:rsid w:val="00965F7E"/>
    <w:rsid w:val="0096692D"/>
    <w:rsid w:val="00966A6F"/>
    <w:rsid w:val="00967069"/>
    <w:rsid w:val="00967438"/>
    <w:rsid w:val="00967692"/>
    <w:rsid w:val="00970215"/>
    <w:rsid w:val="00970907"/>
    <w:rsid w:val="00970B25"/>
    <w:rsid w:val="00970BBC"/>
    <w:rsid w:val="009713CF"/>
    <w:rsid w:val="00971914"/>
    <w:rsid w:val="00971EB8"/>
    <w:rsid w:val="00971F36"/>
    <w:rsid w:val="00972227"/>
    <w:rsid w:val="00972627"/>
    <w:rsid w:val="00972836"/>
    <w:rsid w:val="0097347D"/>
    <w:rsid w:val="0097361A"/>
    <w:rsid w:val="0097411F"/>
    <w:rsid w:val="0097431F"/>
    <w:rsid w:val="00974363"/>
    <w:rsid w:val="009746F4"/>
    <w:rsid w:val="0097523E"/>
    <w:rsid w:val="00975956"/>
    <w:rsid w:val="00975D2F"/>
    <w:rsid w:val="00975F55"/>
    <w:rsid w:val="00977046"/>
    <w:rsid w:val="009771C5"/>
    <w:rsid w:val="00980071"/>
    <w:rsid w:val="00980204"/>
    <w:rsid w:val="0098032A"/>
    <w:rsid w:val="00980959"/>
    <w:rsid w:val="009815C4"/>
    <w:rsid w:val="00981635"/>
    <w:rsid w:val="00981898"/>
    <w:rsid w:val="00981B82"/>
    <w:rsid w:val="00982C85"/>
    <w:rsid w:val="00982D94"/>
    <w:rsid w:val="00983050"/>
    <w:rsid w:val="00983CE8"/>
    <w:rsid w:val="00984893"/>
    <w:rsid w:val="00984E8B"/>
    <w:rsid w:val="00984F4E"/>
    <w:rsid w:val="0098651B"/>
    <w:rsid w:val="00986678"/>
    <w:rsid w:val="009868C7"/>
    <w:rsid w:val="00986F08"/>
    <w:rsid w:val="009875C9"/>
    <w:rsid w:val="00987679"/>
    <w:rsid w:val="009906AB"/>
    <w:rsid w:val="0099074C"/>
    <w:rsid w:val="0099124A"/>
    <w:rsid w:val="00991695"/>
    <w:rsid w:val="00991873"/>
    <w:rsid w:val="00991D05"/>
    <w:rsid w:val="00992420"/>
    <w:rsid w:val="0099267F"/>
    <w:rsid w:val="00992D52"/>
    <w:rsid w:val="00992EB1"/>
    <w:rsid w:val="009934B8"/>
    <w:rsid w:val="00993FB4"/>
    <w:rsid w:val="00994499"/>
    <w:rsid w:val="00994D5A"/>
    <w:rsid w:val="00994FAF"/>
    <w:rsid w:val="00995587"/>
    <w:rsid w:val="0099577C"/>
    <w:rsid w:val="00996306"/>
    <w:rsid w:val="00996EF3"/>
    <w:rsid w:val="00997212"/>
    <w:rsid w:val="009A025A"/>
    <w:rsid w:val="009A0B7D"/>
    <w:rsid w:val="009A1872"/>
    <w:rsid w:val="009A22C2"/>
    <w:rsid w:val="009A2687"/>
    <w:rsid w:val="009A3050"/>
    <w:rsid w:val="009A3926"/>
    <w:rsid w:val="009A3F4B"/>
    <w:rsid w:val="009A40B1"/>
    <w:rsid w:val="009A4543"/>
    <w:rsid w:val="009A5018"/>
    <w:rsid w:val="009A59AE"/>
    <w:rsid w:val="009A5C76"/>
    <w:rsid w:val="009A62BB"/>
    <w:rsid w:val="009A6904"/>
    <w:rsid w:val="009B0056"/>
    <w:rsid w:val="009B023F"/>
    <w:rsid w:val="009B0681"/>
    <w:rsid w:val="009B0993"/>
    <w:rsid w:val="009B1D02"/>
    <w:rsid w:val="009B21EB"/>
    <w:rsid w:val="009B2667"/>
    <w:rsid w:val="009B29CE"/>
    <w:rsid w:val="009B3542"/>
    <w:rsid w:val="009B3CD9"/>
    <w:rsid w:val="009B4370"/>
    <w:rsid w:val="009B4707"/>
    <w:rsid w:val="009B4E9E"/>
    <w:rsid w:val="009B5A1C"/>
    <w:rsid w:val="009B5CD0"/>
    <w:rsid w:val="009B5EAE"/>
    <w:rsid w:val="009B5F6D"/>
    <w:rsid w:val="009B60B9"/>
    <w:rsid w:val="009B674F"/>
    <w:rsid w:val="009B7065"/>
    <w:rsid w:val="009B7B95"/>
    <w:rsid w:val="009C1690"/>
    <w:rsid w:val="009C18F1"/>
    <w:rsid w:val="009C19AC"/>
    <w:rsid w:val="009C1F76"/>
    <w:rsid w:val="009C2571"/>
    <w:rsid w:val="009C3AA4"/>
    <w:rsid w:val="009C3F3A"/>
    <w:rsid w:val="009C456C"/>
    <w:rsid w:val="009C5798"/>
    <w:rsid w:val="009C6881"/>
    <w:rsid w:val="009C6DBA"/>
    <w:rsid w:val="009C7038"/>
    <w:rsid w:val="009C7759"/>
    <w:rsid w:val="009C7B92"/>
    <w:rsid w:val="009D015B"/>
    <w:rsid w:val="009D043D"/>
    <w:rsid w:val="009D07EB"/>
    <w:rsid w:val="009D17C9"/>
    <w:rsid w:val="009D1D64"/>
    <w:rsid w:val="009D2010"/>
    <w:rsid w:val="009D2C26"/>
    <w:rsid w:val="009D45B2"/>
    <w:rsid w:val="009D50AB"/>
    <w:rsid w:val="009D57FD"/>
    <w:rsid w:val="009D599F"/>
    <w:rsid w:val="009D5A08"/>
    <w:rsid w:val="009D5D68"/>
    <w:rsid w:val="009D5FDF"/>
    <w:rsid w:val="009D6702"/>
    <w:rsid w:val="009D6BAF"/>
    <w:rsid w:val="009D6C71"/>
    <w:rsid w:val="009D78A7"/>
    <w:rsid w:val="009E027C"/>
    <w:rsid w:val="009E0309"/>
    <w:rsid w:val="009E0631"/>
    <w:rsid w:val="009E076C"/>
    <w:rsid w:val="009E0C4D"/>
    <w:rsid w:val="009E0C4E"/>
    <w:rsid w:val="009E0E80"/>
    <w:rsid w:val="009E16D0"/>
    <w:rsid w:val="009E1C02"/>
    <w:rsid w:val="009E2569"/>
    <w:rsid w:val="009E2BBD"/>
    <w:rsid w:val="009E2CF3"/>
    <w:rsid w:val="009E38FD"/>
    <w:rsid w:val="009E396D"/>
    <w:rsid w:val="009E3BA2"/>
    <w:rsid w:val="009E3E28"/>
    <w:rsid w:val="009E4612"/>
    <w:rsid w:val="009E52E6"/>
    <w:rsid w:val="009E53FA"/>
    <w:rsid w:val="009E541C"/>
    <w:rsid w:val="009E61CC"/>
    <w:rsid w:val="009E687D"/>
    <w:rsid w:val="009E68C0"/>
    <w:rsid w:val="009E70DD"/>
    <w:rsid w:val="009E7BEB"/>
    <w:rsid w:val="009F0BA9"/>
    <w:rsid w:val="009F0F70"/>
    <w:rsid w:val="009F1267"/>
    <w:rsid w:val="009F13D6"/>
    <w:rsid w:val="009F1770"/>
    <w:rsid w:val="009F1BF4"/>
    <w:rsid w:val="009F1E92"/>
    <w:rsid w:val="009F24DD"/>
    <w:rsid w:val="009F251C"/>
    <w:rsid w:val="009F26C4"/>
    <w:rsid w:val="009F278A"/>
    <w:rsid w:val="009F2DA9"/>
    <w:rsid w:val="009F30E3"/>
    <w:rsid w:val="009F3376"/>
    <w:rsid w:val="009F34B1"/>
    <w:rsid w:val="009F3D16"/>
    <w:rsid w:val="009F4C6B"/>
    <w:rsid w:val="009F5D7C"/>
    <w:rsid w:val="009F613D"/>
    <w:rsid w:val="009F672E"/>
    <w:rsid w:val="009F697D"/>
    <w:rsid w:val="009F7346"/>
    <w:rsid w:val="009F78A8"/>
    <w:rsid w:val="00A0057B"/>
    <w:rsid w:val="00A00A24"/>
    <w:rsid w:val="00A00AEA"/>
    <w:rsid w:val="00A01240"/>
    <w:rsid w:val="00A027FF"/>
    <w:rsid w:val="00A02AA1"/>
    <w:rsid w:val="00A02AD6"/>
    <w:rsid w:val="00A02DC5"/>
    <w:rsid w:val="00A032D5"/>
    <w:rsid w:val="00A04331"/>
    <w:rsid w:val="00A0447C"/>
    <w:rsid w:val="00A054BA"/>
    <w:rsid w:val="00A05FCA"/>
    <w:rsid w:val="00A07096"/>
    <w:rsid w:val="00A0710D"/>
    <w:rsid w:val="00A07318"/>
    <w:rsid w:val="00A07593"/>
    <w:rsid w:val="00A07BF8"/>
    <w:rsid w:val="00A108BD"/>
    <w:rsid w:val="00A10ADA"/>
    <w:rsid w:val="00A10DBF"/>
    <w:rsid w:val="00A10F47"/>
    <w:rsid w:val="00A11370"/>
    <w:rsid w:val="00A119B5"/>
    <w:rsid w:val="00A12193"/>
    <w:rsid w:val="00A12438"/>
    <w:rsid w:val="00A1255D"/>
    <w:rsid w:val="00A126FA"/>
    <w:rsid w:val="00A12879"/>
    <w:rsid w:val="00A12940"/>
    <w:rsid w:val="00A12AD2"/>
    <w:rsid w:val="00A1305C"/>
    <w:rsid w:val="00A1311B"/>
    <w:rsid w:val="00A1504A"/>
    <w:rsid w:val="00A15291"/>
    <w:rsid w:val="00A158E1"/>
    <w:rsid w:val="00A15BC1"/>
    <w:rsid w:val="00A15DA6"/>
    <w:rsid w:val="00A1621F"/>
    <w:rsid w:val="00A164A9"/>
    <w:rsid w:val="00A16C42"/>
    <w:rsid w:val="00A1728C"/>
    <w:rsid w:val="00A17752"/>
    <w:rsid w:val="00A177DC"/>
    <w:rsid w:val="00A17FE2"/>
    <w:rsid w:val="00A2064D"/>
    <w:rsid w:val="00A206BD"/>
    <w:rsid w:val="00A2174D"/>
    <w:rsid w:val="00A2189F"/>
    <w:rsid w:val="00A22086"/>
    <w:rsid w:val="00A224CE"/>
    <w:rsid w:val="00A22521"/>
    <w:rsid w:val="00A22522"/>
    <w:rsid w:val="00A22998"/>
    <w:rsid w:val="00A22FEC"/>
    <w:rsid w:val="00A23A0B"/>
    <w:rsid w:val="00A2408B"/>
    <w:rsid w:val="00A24774"/>
    <w:rsid w:val="00A24AFD"/>
    <w:rsid w:val="00A24CF1"/>
    <w:rsid w:val="00A24F5C"/>
    <w:rsid w:val="00A25137"/>
    <w:rsid w:val="00A2587E"/>
    <w:rsid w:val="00A268E5"/>
    <w:rsid w:val="00A26AC7"/>
    <w:rsid w:val="00A26AFA"/>
    <w:rsid w:val="00A27448"/>
    <w:rsid w:val="00A27544"/>
    <w:rsid w:val="00A27D92"/>
    <w:rsid w:val="00A27F77"/>
    <w:rsid w:val="00A30B22"/>
    <w:rsid w:val="00A30C08"/>
    <w:rsid w:val="00A30C6B"/>
    <w:rsid w:val="00A310E6"/>
    <w:rsid w:val="00A316ED"/>
    <w:rsid w:val="00A31AEE"/>
    <w:rsid w:val="00A32214"/>
    <w:rsid w:val="00A3292B"/>
    <w:rsid w:val="00A32EDC"/>
    <w:rsid w:val="00A32F96"/>
    <w:rsid w:val="00A335F8"/>
    <w:rsid w:val="00A33A9E"/>
    <w:rsid w:val="00A33D55"/>
    <w:rsid w:val="00A3406F"/>
    <w:rsid w:val="00A3431D"/>
    <w:rsid w:val="00A345A0"/>
    <w:rsid w:val="00A3495D"/>
    <w:rsid w:val="00A34A46"/>
    <w:rsid w:val="00A35176"/>
    <w:rsid w:val="00A353CE"/>
    <w:rsid w:val="00A35DEB"/>
    <w:rsid w:val="00A35F66"/>
    <w:rsid w:val="00A362DA"/>
    <w:rsid w:val="00A36BDD"/>
    <w:rsid w:val="00A370A8"/>
    <w:rsid w:val="00A37EE0"/>
    <w:rsid w:val="00A4053A"/>
    <w:rsid w:val="00A40871"/>
    <w:rsid w:val="00A40A4C"/>
    <w:rsid w:val="00A4117C"/>
    <w:rsid w:val="00A412AB"/>
    <w:rsid w:val="00A41728"/>
    <w:rsid w:val="00A4193E"/>
    <w:rsid w:val="00A4200E"/>
    <w:rsid w:val="00A438B3"/>
    <w:rsid w:val="00A439BD"/>
    <w:rsid w:val="00A440E0"/>
    <w:rsid w:val="00A442EF"/>
    <w:rsid w:val="00A443A2"/>
    <w:rsid w:val="00A44D2F"/>
    <w:rsid w:val="00A44F45"/>
    <w:rsid w:val="00A46318"/>
    <w:rsid w:val="00A46D65"/>
    <w:rsid w:val="00A46FAE"/>
    <w:rsid w:val="00A47256"/>
    <w:rsid w:val="00A4780F"/>
    <w:rsid w:val="00A47EB8"/>
    <w:rsid w:val="00A47FF5"/>
    <w:rsid w:val="00A505C6"/>
    <w:rsid w:val="00A50AEC"/>
    <w:rsid w:val="00A50D79"/>
    <w:rsid w:val="00A511D3"/>
    <w:rsid w:val="00A513D9"/>
    <w:rsid w:val="00A5161A"/>
    <w:rsid w:val="00A51850"/>
    <w:rsid w:val="00A51924"/>
    <w:rsid w:val="00A51D1A"/>
    <w:rsid w:val="00A52221"/>
    <w:rsid w:val="00A52564"/>
    <w:rsid w:val="00A529A3"/>
    <w:rsid w:val="00A52D94"/>
    <w:rsid w:val="00A53FC6"/>
    <w:rsid w:val="00A5418D"/>
    <w:rsid w:val="00A5474E"/>
    <w:rsid w:val="00A549C5"/>
    <w:rsid w:val="00A5640B"/>
    <w:rsid w:val="00A565F9"/>
    <w:rsid w:val="00A56D53"/>
    <w:rsid w:val="00A5733A"/>
    <w:rsid w:val="00A579AD"/>
    <w:rsid w:val="00A57A1E"/>
    <w:rsid w:val="00A57F5B"/>
    <w:rsid w:val="00A600AF"/>
    <w:rsid w:val="00A6013A"/>
    <w:rsid w:val="00A605E5"/>
    <w:rsid w:val="00A60CC3"/>
    <w:rsid w:val="00A60D81"/>
    <w:rsid w:val="00A61245"/>
    <w:rsid w:val="00A6145F"/>
    <w:rsid w:val="00A61DF1"/>
    <w:rsid w:val="00A61EF1"/>
    <w:rsid w:val="00A634A2"/>
    <w:rsid w:val="00A63C62"/>
    <w:rsid w:val="00A6423A"/>
    <w:rsid w:val="00A646C4"/>
    <w:rsid w:val="00A64E41"/>
    <w:rsid w:val="00A64F40"/>
    <w:rsid w:val="00A65411"/>
    <w:rsid w:val="00A65A89"/>
    <w:rsid w:val="00A65B52"/>
    <w:rsid w:val="00A65B95"/>
    <w:rsid w:val="00A65BC5"/>
    <w:rsid w:val="00A65EF0"/>
    <w:rsid w:val="00A66CD5"/>
    <w:rsid w:val="00A66E02"/>
    <w:rsid w:val="00A6715C"/>
    <w:rsid w:val="00A70ADF"/>
    <w:rsid w:val="00A70EE3"/>
    <w:rsid w:val="00A71466"/>
    <w:rsid w:val="00A7147E"/>
    <w:rsid w:val="00A715D1"/>
    <w:rsid w:val="00A71A14"/>
    <w:rsid w:val="00A72981"/>
    <w:rsid w:val="00A72D42"/>
    <w:rsid w:val="00A7309A"/>
    <w:rsid w:val="00A73BD7"/>
    <w:rsid w:val="00A74585"/>
    <w:rsid w:val="00A74B5E"/>
    <w:rsid w:val="00A752DA"/>
    <w:rsid w:val="00A75918"/>
    <w:rsid w:val="00A76302"/>
    <w:rsid w:val="00A76341"/>
    <w:rsid w:val="00A76B7E"/>
    <w:rsid w:val="00A77120"/>
    <w:rsid w:val="00A77859"/>
    <w:rsid w:val="00A80A41"/>
    <w:rsid w:val="00A810CC"/>
    <w:rsid w:val="00A81555"/>
    <w:rsid w:val="00A81BED"/>
    <w:rsid w:val="00A81EC4"/>
    <w:rsid w:val="00A82222"/>
    <w:rsid w:val="00A822C2"/>
    <w:rsid w:val="00A82958"/>
    <w:rsid w:val="00A82E29"/>
    <w:rsid w:val="00A82EFD"/>
    <w:rsid w:val="00A83547"/>
    <w:rsid w:val="00A83BD2"/>
    <w:rsid w:val="00A84810"/>
    <w:rsid w:val="00A84D5C"/>
    <w:rsid w:val="00A8506A"/>
    <w:rsid w:val="00A85175"/>
    <w:rsid w:val="00A85232"/>
    <w:rsid w:val="00A853B8"/>
    <w:rsid w:val="00A85411"/>
    <w:rsid w:val="00A85E1B"/>
    <w:rsid w:val="00A86ED6"/>
    <w:rsid w:val="00A9127A"/>
    <w:rsid w:val="00A9262A"/>
    <w:rsid w:val="00A926F3"/>
    <w:rsid w:val="00A92E83"/>
    <w:rsid w:val="00A93823"/>
    <w:rsid w:val="00A946A5"/>
    <w:rsid w:val="00A94FE2"/>
    <w:rsid w:val="00A95241"/>
    <w:rsid w:val="00A95719"/>
    <w:rsid w:val="00A959BD"/>
    <w:rsid w:val="00A9628A"/>
    <w:rsid w:val="00A967FD"/>
    <w:rsid w:val="00A974F4"/>
    <w:rsid w:val="00A97710"/>
    <w:rsid w:val="00AA0003"/>
    <w:rsid w:val="00AA04BB"/>
    <w:rsid w:val="00AA13C9"/>
    <w:rsid w:val="00AA1486"/>
    <w:rsid w:val="00AA1CB1"/>
    <w:rsid w:val="00AA20BB"/>
    <w:rsid w:val="00AA3143"/>
    <w:rsid w:val="00AA341F"/>
    <w:rsid w:val="00AA3E76"/>
    <w:rsid w:val="00AA430C"/>
    <w:rsid w:val="00AA521B"/>
    <w:rsid w:val="00AA57EB"/>
    <w:rsid w:val="00AA5E52"/>
    <w:rsid w:val="00AA6716"/>
    <w:rsid w:val="00AA674F"/>
    <w:rsid w:val="00AA6945"/>
    <w:rsid w:val="00AA6954"/>
    <w:rsid w:val="00AA6BA1"/>
    <w:rsid w:val="00AA710F"/>
    <w:rsid w:val="00AA7FDF"/>
    <w:rsid w:val="00AB0379"/>
    <w:rsid w:val="00AB156C"/>
    <w:rsid w:val="00AB16DA"/>
    <w:rsid w:val="00AB23A2"/>
    <w:rsid w:val="00AB3247"/>
    <w:rsid w:val="00AB4D9E"/>
    <w:rsid w:val="00AB53A8"/>
    <w:rsid w:val="00AB57F5"/>
    <w:rsid w:val="00AB66BD"/>
    <w:rsid w:val="00AB6814"/>
    <w:rsid w:val="00AB72B1"/>
    <w:rsid w:val="00AB7702"/>
    <w:rsid w:val="00AB7842"/>
    <w:rsid w:val="00AB7BB5"/>
    <w:rsid w:val="00AB7D3B"/>
    <w:rsid w:val="00AB7E02"/>
    <w:rsid w:val="00AC04BA"/>
    <w:rsid w:val="00AC07AD"/>
    <w:rsid w:val="00AC0A12"/>
    <w:rsid w:val="00AC0C41"/>
    <w:rsid w:val="00AC0E39"/>
    <w:rsid w:val="00AC13BF"/>
    <w:rsid w:val="00AC1963"/>
    <w:rsid w:val="00AC1B01"/>
    <w:rsid w:val="00AC1FD7"/>
    <w:rsid w:val="00AC2157"/>
    <w:rsid w:val="00AC26B7"/>
    <w:rsid w:val="00AC2887"/>
    <w:rsid w:val="00AC2D18"/>
    <w:rsid w:val="00AC2F87"/>
    <w:rsid w:val="00AC3317"/>
    <w:rsid w:val="00AC3550"/>
    <w:rsid w:val="00AC378F"/>
    <w:rsid w:val="00AC4496"/>
    <w:rsid w:val="00AC569E"/>
    <w:rsid w:val="00AC569F"/>
    <w:rsid w:val="00AC5A36"/>
    <w:rsid w:val="00AC5E79"/>
    <w:rsid w:val="00AC6214"/>
    <w:rsid w:val="00AC6597"/>
    <w:rsid w:val="00AC68EB"/>
    <w:rsid w:val="00AC706E"/>
    <w:rsid w:val="00AC7192"/>
    <w:rsid w:val="00AC7AC2"/>
    <w:rsid w:val="00AC7B2D"/>
    <w:rsid w:val="00AC7B53"/>
    <w:rsid w:val="00AD094D"/>
    <w:rsid w:val="00AD0E4A"/>
    <w:rsid w:val="00AD1693"/>
    <w:rsid w:val="00AD170F"/>
    <w:rsid w:val="00AD1EBB"/>
    <w:rsid w:val="00AD234E"/>
    <w:rsid w:val="00AD25E5"/>
    <w:rsid w:val="00AD2ACC"/>
    <w:rsid w:val="00AD2C60"/>
    <w:rsid w:val="00AD3082"/>
    <w:rsid w:val="00AD33A2"/>
    <w:rsid w:val="00AD38B7"/>
    <w:rsid w:val="00AD43F2"/>
    <w:rsid w:val="00AD4482"/>
    <w:rsid w:val="00AD44A2"/>
    <w:rsid w:val="00AD4AD0"/>
    <w:rsid w:val="00AD4E2E"/>
    <w:rsid w:val="00AD5039"/>
    <w:rsid w:val="00AD5436"/>
    <w:rsid w:val="00AD5569"/>
    <w:rsid w:val="00AD557A"/>
    <w:rsid w:val="00AD5C7D"/>
    <w:rsid w:val="00AD5E2A"/>
    <w:rsid w:val="00AD5EEA"/>
    <w:rsid w:val="00AD60CD"/>
    <w:rsid w:val="00AD64D6"/>
    <w:rsid w:val="00AD6C8C"/>
    <w:rsid w:val="00AD6F94"/>
    <w:rsid w:val="00AD7AD0"/>
    <w:rsid w:val="00AE025B"/>
    <w:rsid w:val="00AE03A8"/>
    <w:rsid w:val="00AE04CE"/>
    <w:rsid w:val="00AE091D"/>
    <w:rsid w:val="00AE0B0C"/>
    <w:rsid w:val="00AE1C04"/>
    <w:rsid w:val="00AE2E69"/>
    <w:rsid w:val="00AE33A3"/>
    <w:rsid w:val="00AE378E"/>
    <w:rsid w:val="00AE390E"/>
    <w:rsid w:val="00AE3B60"/>
    <w:rsid w:val="00AE3F57"/>
    <w:rsid w:val="00AE406E"/>
    <w:rsid w:val="00AE4A6B"/>
    <w:rsid w:val="00AE52F4"/>
    <w:rsid w:val="00AE53A1"/>
    <w:rsid w:val="00AE5C79"/>
    <w:rsid w:val="00AE65C2"/>
    <w:rsid w:val="00AE6D71"/>
    <w:rsid w:val="00AE7156"/>
    <w:rsid w:val="00AE7174"/>
    <w:rsid w:val="00AE7F28"/>
    <w:rsid w:val="00AF0D97"/>
    <w:rsid w:val="00AF0E23"/>
    <w:rsid w:val="00AF1566"/>
    <w:rsid w:val="00AF189B"/>
    <w:rsid w:val="00AF1E8D"/>
    <w:rsid w:val="00AF2184"/>
    <w:rsid w:val="00AF224E"/>
    <w:rsid w:val="00AF2484"/>
    <w:rsid w:val="00AF26FD"/>
    <w:rsid w:val="00AF29A1"/>
    <w:rsid w:val="00AF30AA"/>
    <w:rsid w:val="00AF328B"/>
    <w:rsid w:val="00AF34DB"/>
    <w:rsid w:val="00AF3ADE"/>
    <w:rsid w:val="00AF4449"/>
    <w:rsid w:val="00AF47C3"/>
    <w:rsid w:val="00AF48D0"/>
    <w:rsid w:val="00AF575A"/>
    <w:rsid w:val="00AF63E7"/>
    <w:rsid w:val="00AF7912"/>
    <w:rsid w:val="00B0021F"/>
    <w:rsid w:val="00B00A33"/>
    <w:rsid w:val="00B012A1"/>
    <w:rsid w:val="00B0165D"/>
    <w:rsid w:val="00B01C6F"/>
    <w:rsid w:val="00B01D6E"/>
    <w:rsid w:val="00B01DFD"/>
    <w:rsid w:val="00B024CC"/>
    <w:rsid w:val="00B03018"/>
    <w:rsid w:val="00B031F3"/>
    <w:rsid w:val="00B0320D"/>
    <w:rsid w:val="00B0349C"/>
    <w:rsid w:val="00B03712"/>
    <w:rsid w:val="00B03AD5"/>
    <w:rsid w:val="00B040DF"/>
    <w:rsid w:val="00B048BB"/>
    <w:rsid w:val="00B04904"/>
    <w:rsid w:val="00B052A4"/>
    <w:rsid w:val="00B05531"/>
    <w:rsid w:val="00B06203"/>
    <w:rsid w:val="00B06381"/>
    <w:rsid w:val="00B075A5"/>
    <w:rsid w:val="00B07CDA"/>
    <w:rsid w:val="00B1032B"/>
    <w:rsid w:val="00B10F59"/>
    <w:rsid w:val="00B11112"/>
    <w:rsid w:val="00B1117A"/>
    <w:rsid w:val="00B113E3"/>
    <w:rsid w:val="00B12126"/>
    <w:rsid w:val="00B122A7"/>
    <w:rsid w:val="00B125DE"/>
    <w:rsid w:val="00B1297B"/>
    <w:rsid w:val="00B12D2F"/>
    <w:rsid w:val="00B12F17"/>
    <w:rsid w:val="00B13139"/>
    <w:rsid w:val="00B13EEB"/>
    <w:rsid w:val="00B13FDD"/>
    <w:rsid w:val="00B1408E"/>
    <w:rsid w:val="00B142FD"/>
    <w:rsid w:val="00B144EB"/>
    <w:rsid w:val="00B147F3"/>
    <w:rsid w:val="00B14816"/>
    <w:rsid w:val="00B14C54"/>
    <w:rsid w:val="00B14D49"/>
    <w:rsid w:val="00B14E32"/>
    <w:rsid w:val="00B15018"/>
    <w:rsid w:val="00B15CEC"/>
    <w:rsid w:val="00B15D12"/>
    <w:rsid w:val="00B16BAC"/>
    <w:rsid w:val="00B1727D"/>
    <w:rsid w:val="00B17B1B"/>
    <w:rsid w:val="00B17E2D"/>
    <w:rsid w:val="00B20E46"/>
    <w:rsid w:val="00B21553"/>
    <w:rsid w:val="00B2165B"/>
    <w:rsid w:val="00B21B9D"/>
    <w:rsid w:val="00B21C9E"/>
    <w:rsid w:val="00B21E0F"/>
    <w:rsid w:val="00B22EB2"/>
    <w:rsid w:val="00B23251"/>
    <w:rsid w:val="00B2392A"/>
    <w:rsid w:val="00B23D27"/>
    <w:rsid w:val="00B2430F"/>
    <w:rsid w:val="00B24648"/>
    <w:rsid w:val="00B247AA"/>
    <w:rsid w:val="00B24F33"/>
    <w:rsid w:val="00B25228"/>
    <w:rsid w:val="00B252FE"/>
    <w:rsid w:val="00B25899"/>
    <w:rsid w:val="00B25B81"/>
    <w:rsid w:val="00B269DD"/>
    <w:rsid w:val="00B26F10"/>
    <w:rsid w:val="00B2711B"/>
    <w:rsid w:val="00B27286"/>
    <w:rsid w:val="00B27442"/>
    <w:rsid w:val="00B27472"/>
    <w:rsid w:val="00B276EB"/>
    <w:rsid w:val="00B30A69"/>
    <w:rsid w:val="00B30D79"/>
    <w:rsid w:val="00B30E7C"/>
    <w:rsid w:val="00B30F41"/>
    <w:rsid w:val="00B31167"/>
    <w:rsid w:val="00B311C3"/>
    <w:rsid w:val="00B316D2"/>
    <w:rsid w:val="00B318C6"/>
    <w:rsid w:val="00B320BF"/>
    <w:rsid w:val="00B329D8"/>
    <w:rsid w:val="00B32BB9"/>
    <w:rsid w:val="00B32D5D"/>
    <w:rsid w:val="00B3332F"/>
    <w:rsid w:val="00B334EB"/>
    <w:rsid w:val="00B336EA"/>
    <w:rsid w:val="00B33AE1"/>
    <w:rsid w:val="00B34B36"/>
    <w:rsid w:val="00B34C34"/>
    <w:rsid w:val="00B35C33"/>
    <w:rsid w:val="00B365D0"/>
    <w:rsid w:val="00B36C05"/>
    <w:rsid w:val="00B36F9E"/>
    <w:rsid w:val="00B37046"/>
    <w:rsid w:val="00B374B7"/>
    <w:rsid w:val="00B37C38"/>
    <w:rsid w:val="00B40225"/>
    <w:rsid w:val="00B4096E"/>
    <w:rsid w:val="00B40ACB"/>
    <w:rsid w:val="00B4217E"/>
    <w:rsid w:val="00B4288C"/>
    <w:rsid w:val="00B42C36"/>
    <w:rsid w:val="00B42FA9"/>
    <w:rsid w:val="00B43173"/>
    <w:rsid w:val="00B43262"/>
    <w:rsid w:val="00B435FF"/>
    <w:rsid w:val="00B43C68"/>
    <w:rsid w:val="00B44100"/>
    <w:rsid w:val="00B44182"/>
    <w:rsid w:val="00B44465"/>
    <w:rsid w:val="00B445FD"/>
    <w:rsid w:val="00B447BB"/>
    <w:rsid w:val="00B44AF3"/>
    <w:rsid w:val="00B45386"/>
    <w:rsid w:val="00B45585"/>
    <w:rsid w:val="00B459CF"/>
    <w:rsid w:val="00B45E39"/>
    <w:rsid w:val="00B460FE"/>
    <w:rsid w:val="00B46B53"/>
    <w:rsid w:val="00B46CB4"/>
    <w:rsid w:val="00B46CBA"/>
    <w:rsid w:val="00B46F94"/>
    <w:rsid w:val="00B470C2"/>
    <w:rsid w:val="00B504E8"/>
    <w:rsid w:val="00B505AE"/>
    <w:rsid w:val="00B5070D"/>
    <w:rsid w:val="00B5076C"/>
    <w:rsid w:val="00B514CD"/>
    <w:rsid w:val="00B517D7"/>
    <w:rsid w:val="00B51954"/>
    <w:rsid w:val="00B52166"/>
    <w:rsid w:val="00B527A6"/>
    <w:rsid w:val="00B52D03"/>
    <w:rsid w:val="00B54A4E"/>
    <w:rsid w:val="00B54F40"/>
    <w:rsid w:val="00B55365"/>
    <w:rsid w:val="00B5644C"/>
    <w:rsid w:val="00B56677"/>
    <w:rsid w:val="00B56694"/>
    <w:rsid w:val="00B56F50"/>
    <w:rsid w:val="00B570CC"/>
    <w:rsid w:val="00B573DA"/>
    <w:rsid w:val="00B578F1"/>
    <w:rsid w:val="00B602A5"/>
    <w:rsid w:val="00B61375"/>
    <w:rsid w:val="00B61759"/>
    <w:rsid w:val="00B61F03"/>
    <w:rsid w:val="00B621F2"/>
    <w:rsid w:val="00B6241A"/>
    <w:rsid w:val="00B62422"/>
    <w:rsid w:val="00B6256F"/>
    <w:rsid w:val="00B626E4"/>
    <w:rsid w:val="00B62DDA"/>
    <w:rsid w:val="00B62E35"/>
    <w:rsid w:val="00B62EB1"/>
    <w:rsid w:val="00B6346F"/>
    <w:rsid w:val="00B63A06"/>
    <w:rsid w:val="00B6494C"/>
    <w:rsid w:val="00B64B0E"/>
    <w:rsid w:val="00B64B83"/>
    <w:rsid w:val="00B64C30"/>
    <w:rsid w:val="00B64E2F"/>
    <w:rsid w:val="00B658F8"/>
    <w:rsid w:val="00B65B0F"/>
    <w:rsid w:val="00B66F6F"/>
    <w:rsid w:val="00B673AF"/>
    <w:rsid w:val="00B67F41"/>
    <w:rsid w:val="00B67F56"/>
    <w:rsid w:val="00B67FCF"/>
    <w:rsid w:val="00B700BE"/>
    <w:rsid w:val="00B70795"/>
    <w:rsid w:val="00B70807"/>
    <w:rsid w:val="00B70C78"/>
    <w:rsid w:val="00B70CDC"/>
    <w:rsid w:val="00B71823"/>
    <w:rsid w:val="00B71A77"/>
    <w:rsid w:val="00B71BB2"/>
    <w:rsid w:val="00B71EDD"/>
    <w:rsid w:val="00B724AB"/>
    <w:rsid w:val="00B72DDB"/>
    <w:rsid w:val="00B72F4A"/>
    <w:rsid w:val="00B72F8C"/>
    <w:rsid w:val="00B737A7"/>
    <w:rsid w:val="00B73823"/>
    <w:rsid w:val="00B739F3"/>
    <w:rsid w:val="00B74C00"/>
    <w:rsid w:val="00B76167"/>
    <w:rsid w:val="00B765EE"/>
    <w:rsid w:val="00B76693"/>
    <w:rsid w:val="00B7671C"/>
    <w:rsid w:val="00B76B94"/>
    <w:rsid w:val="00B774DC"/>
    <w:rsid w:val="00B805C4"/>
    <w:rsid w:val="00B80C61"/>
    <w:rsid w:val="00B8159A"/>
    <w:rsid w:val="00B8171F"/>
    <w:rsid w:val="00B831AB"/>
    <w:rsid w:val="00B8368A"/>
    <w:rsid w:val="00B8380F"/>
    <w:rsid w:val="00B83C27"/>
    <w:rsid w:val="00B84358"/>
    <w:rsid w:val="00B84A38"/>
    <w:rsid w:val="00B84B60"/>
    <w:rsid w:val="00B84BC3"/>
    <w:rsid w:val="00B84BDD"/>
    <w:rsid w:val="00B84C07"/>
    <w:rsid w:val="00B84DFD"/>
    <w:rsid w:val="00B84F8A"/>
    <w:rsid w:val="00B8584E"/>
    <w:rsid w:val="00B8590B"/>
    <w:rsid w:val="00B85B65"/>
    <w:rsid w:val="00B85CCD"/>
    <w:rsid w:val="00B86C3F"/>
    <w:rsid w:val="00B87390"/>
    <w:rsid w:val="00B8780A"/>
    <w:rsid w:val="00B90AE2"/>
    <w:rsid w:val="00B90EBF"/>
    <w:rsid w:val="00B91091"/>
    <w:rsid w:val="00B92557"/>
    <w:rsid w:val="00B92812"/>
    <w:rsid w:val="00B92820"/>
    <w:rsid w:val="00B93824"/>
    <w:rsid w:val="00B9563C"/>
    <w:rsid w:val="00B9592E"/>
    <w:rsid w:val="00B95D58"/>
    <w:rsid w:val="00B95F83"/>
    <w:rsid w:val="00B963A0"/>
    <w:rsid w:val="00B96D47"/>
    <w:rsid w:val="00BA037A"/>
    <w:rsid w:val="00BA076C"/>
    <w:rsid w:val="00BA0ACC"/>
    <w:rsid w:val="00BA0F2A"/>
    <w:rsid w:val="00BA166C"/>
    <w:rsid w:val="00BA1EE1"/>
    <w:rsid w:val="00BA25B1"/>
    <w:rsid w:val="00BA36BB"/>
    <w:rsid w:val="00BA43D6"/>
    <w:rsid w:val="00BA44E6"/>
    <w:rsid w:val="00BA5135"/>
    <w:rsid w:val="00BA5365"/>
    <w:rsid w:val="00BA5582"/>
    <w:rsid w:val="00BA5732"/>
    <w:rsid w:val="00BA5778"/>
    <w:rsid w:val="00BA67B0"/>
    <w:rsid w:val="00BA71B2"/>
    <w:rsid w:val="00BA72F2"/>
    <w:rsid w:val="00BA7575"/>
    <w:rsid w:val="00BA7D8F"/>
    <w:rsid w:val="00BB0792"/>
    <w:rsid w:val="00BB0B74"/>
    <w:rsid w:val="00BB0D38"/>
    <w:rsid w:val="00BB0E11"/>
    <w:rsid w:val="00BB143D"/>
    <w:rsid w:val="00BB1615"/>
    <w:rsid w:val="00BB1C72"/>
    <w:rsid w:val="00BB2A3C"/>
    <w:rsid w:val="00BB30E1"/>
    <w:rsid w:val="00BB3520"/>
    <w:rsid w:val="00BB3E40"/>
    <w:rsid w:val="00BB4437"/>
    <w:rsid w:val="00BB45A1"/>
    <w:rsid w:val="00BB4C34"/>
    <w:rsid w:val="00BB5F80"/>
    <w:rsid w:val="00BB6554"/>
    <w:rsid w:val="00BB6653"/>
    <w:rsid w:val="00BB66CE"/>
    <w:rsid w:val="00BB73F4"/>
    <w:rsid w:val="00BB7686"/>
    <w:rsid w:val="00BB7897"/>
    <w:rsid w:val="00BB78D9"/>
    <w:rsid w:val="00BB7F7F"/>
    <w:rsid w:val="00BC171D"/>
    <w:rsid w:val="00BC18BD"/>
    <w:rsid w:val="00BC23F9"/>
    <w:rsid w:val="00BC26E9"/>
    <w:rsid w:val="00BC2B2A"/>
    <w:rsid w:val="00BC3421"/>
    <w:rsid w:val="00BC43A8"/>
    <w:rsid w:val="00BC4BD2"/>
    <w:rsid w:val="00BC5023"/>
    <w:rsid w:val="00BC589C"/>
    <w:rsid w:val="00BC5C7B"/>
    <w:rsid w:val="00BC7159"/>
    <w:rsid w:val="00BC732C"/>
    <w:rsid w:val="00BC79F1"/>
    <w:rsid w:val="00BC7D35"/>
    <w:rsid w:val="00BC7DED"/>
    <w:rsid w:val="00BD0056"/>
    <w:rsid w:val="00BD0375"/>
    <w:rsid w:val="00BD092C"/>
    <w:rsid w:val="00BD2A1B"/>
    <w:rsid w:val="00BD300B"/>
    <w:rsid w:val="00BD33FD"/>
    <w:rsid w:val="00BD3456"/>
    <w:rsid w:val="00BD3793"/>
    <w:rsid w:val="00BD37C6"/>
    <w:rsid w:val="00BD48AA"/>
    <w:rsid w:val="00BD4FF3"/>
    <w:rsid w:val="00BD538C"/>
    <w:rsid w:val="00BD5EBB"/>
    <w:rsid w:val="00BD671E"/>
    <w:rsid w:val="00BD69CB"/>
    <w:rsid w:val="00BD6A7C"/>
    <w:rsid w:val="00BD7D51"/>
    <w:rsid w:val="00BE0254"/>
    <w:rsid w:val="00BE0308"/>
    <w:rsid w:val="00BE0827"/>
    <w:rsid w:val="00BE08DD"/>
    <w:rsid w:val="00BE0BFF"/>
    <w:rsid w:val="00BE0C77"/>
    <w:rsid w:val="00BE11C9"/>
    <w:rsid w:val="00BE1A45"/>
    <w:rsid w:val="00BE1C2A"/>
    <w:rsid w:val="00BE1D1F"/>
    <w:rsid w:val="00BE24D7"/>
    <w:rsid w:val="00BE2580"/>
    <w:rsid w:val="00BE266D"/>
    <w:rsid w:val="00BE285F"/>
    <w:rsid w:val="00BE3938"/>
    <w:rsid w:val="00BE41AA"/>
    <w:rsid w:val="00BE425C"/>
    <w:rsid w:val="00BE45DD"/>
    <w:rsid w:val="00BE4B0B"/>
    <w:rsid w:val="00BE4C11"/>
    <w:rsid w:val="00BE5B67"/>
    <w:rsid w:val="00BE6169"/>
    <w:rsid w:val="00BE6867"/>
    <w:rsid w:val="00BE6BFD"/>
    <w:rsid w:val="00BE70E1"/>
    <w:rsid w:val="00BE71C0"/>
    <w:rsid w:val="00BE7E35"/>
    <w:rsid w:val="00BF0A71"/>
    <w:rsid w:val="00BF0B9C"/>
    <w:rsid w:val="00BF12C5"/>
    <w:rsid w:val="00BF1A71"/>
    <w:rsid w:val="00BF204D"/>
    <w:rsid w:val="00BF24BE"/>
    <w:rsid w:val="00BF28B9"/>
    <w:rsid w:val="00BF37ED"/>
    <w:rsid w:val="00BF4654"/>
    <w:rsid w:val="00BF4A89"/>
    <w:rsid w:val="00BF5B02"/>
    <w:rsid w:val="00BF5E7D"/>
    <w:rsid w:val="00BF610C"/>
    <w:rsid w:val="00BF6637"/>
    <w:rsid w:val="00BF6785"/>
    <w:rsid w:val="00BF7538"/>
    <w:rsid w:val="00BF79FC"/>
    <w:rsid w:val="00C0060B"/>
    <w:rsid w:val="00C00858"/>
    <w:rsid w:val="00C0094D"/>
    <w:rsid w:val="00C00CFE"/>
    <w:rsid w:val="00C00F2A"/>
    <w:rsid w:val="00C01500"/>
    <w:rsid w:val="00C01DC6"/>
    <w:rsid w:val="00C0262A"/>
    <w:rsid w:val="00C0277D"/>
    <w:rsid w:val="00C02C77"/>
    <w:rsid w:val="00C02DD5"/>
    <w:rsid w:val="00C0322A"/>
    <w:rsid w:val="00C0375E"/>
    <w:rsid w:val="00C03B40"/>
    <w:rsid w:val="00C047E8"/>
    <w:rsid w:val="00C04A46"/>
    <w:rsid w:val="00C04C87"/>
    <w:rsid w:val="00C053A1"/>
    <w:rsid w:val="00C06354"/>
    <w:rsid w:val="00C06F8B"/>
    <w:rsid w:val="00C0741B"/>
    <w:rsid w:val="00C0742B"/>
    <w:rsid w:val="00C07769"/>
    <w:rsid w:val="00C07CBE"/>
    <w:rsid w:val="00C10AD5"/>
    <w:rsid w:val="00C11024"/>
    <w:rsid w:val="00C1201C"/>
    <w:rsid w:val="00C1287B"/>
    <w:rsid w:val="00C13981"/>
    <w:rsid w:val="00C13F23"/>
    <w:rsid w:val="00C14110"/>
    <w:rsid w:val="00C145A0"/>
    <w:rsid w:val="00C14F9E"/>
    <w:rsid w:val="00C15368"/>
    <w:rsid w:val="00C15834"/>
    <w:rsid w:val="00C1594D"/>
    <w:rsid w:val="00C1599E"/>
    <w:rsid w:val="00C159C1"/>
    <w:rsid w:val="00C15AFD"/>
    <w:rsid w:val="00C16198"/>
    <w:rsid w:val="00C1681C"/>
    <w:rsid w:val="00C17EC3"/>
    <w:rsid w:val="00C206F8"/>
    <w:rsid w:val="00C2083D"/>
    <w:rsid w:val="00C20B91"/>
    <w:rsid w:val="00C20BC1"/>
    <w:rsid w:val="00C210EF"/>
    <w:rsid w:val="00C213AA"/>
    <w:rsid w:val="00C2144C"/>
    <w:rsid w:val="00C229C6"/>
    <w:rsid w:val="00C22E14"/>
    <w:rsid w:val="00C233CD"/>
    <w:rsid w:val="00C234E4"/>
    <w:rsid w:val="00C237E4"/>
    <w:rsid w:val="00C23CAE"/>
    <w:rsid w:val="00C240F0"/>
    <w:rsid w:val="00C240F3"/>
    <w:rsid w:val="00C24A53"/>
    <w:rsid w:val="00C25B8D"/>
    <w:rsid w:val="00C269D8"/>
    <w:rsid w:val="00C26C86"/>
    <w:rsid w:val="00C26D7E"/>
    <w:rsid w:val="00C2714E"/>
    <w:rsid w:val="00C271A4"/>
    <w:rsid w:val="00C30169"/>
    <w:rsid w:val="00C313B6"/>
    <w:rsid w:val="00C31CC5"/>
    <w:rsid w:val="00C31DA1"/>
    <w:rsid w:val="00C328E4"/>
    <w:rsid w:val="00C32FB9"/>
    <w:rsid w:val="00C33257"/>
    <w:rsid w:val="00C335A8"/>
    <w:rsid w:val="00C336C7"/>
    <w:rsid w:val="00C33CBB"/>
    <w:rsid w:val="00C3496B"/>
    <w:rsid w:val="00C34D01"/>
    <w:rsid w:val="00C354B9"/>
    <w:rsid w:val="00C3554D"/>
    <w:rsid w:val="00C35B92"/>
    <w:rsid w:val="00C35F4E"/>
    <w:rsid w:val="00C36033"/>
    <w:rsid w:val="00C36134"/>
    <w:rsid w:val="00C36BE3"/>
    <w:rsid w:val="00C36EB7"/>
    <w:rsid w:val="00C3708B"/>
    <w:rsid w:val="00C37183"/>
    <w:rsid w:val="00C377B7"/>
    <w:rsid w:val="00C4032F"/>
    <w:rsid w:val="00C40467"/>
    <w:rsid w:val="00C40BFE"/>
    <w:rsid w:val="00C41432"/>
    <w:rsid w:val="00C41503"/>
    <w:rsid w:val="00C41A36"/>
    <w:rsid w:val="00C41E98"/>
    <w:rsid w:val="00C4200B"/>
    <w:rsid w:val="00C42348"/>
    <w:rsid w:val="00C4263A"/>
    <w:rsid w:val="00C427ED"/>
    <w:rsid w:val="00C42A61"/>
    <w:rsid w:val="00C42F64"/>
    <w:rsid w:val="00C4359D"/>
    <w:rsid w:val="00C43AC3"/>
    <w:rsid w:val="00C43DEC"/>
    <w:rsid w:val="00C44047"/>
    <w:rsid w:val="00C44A60"/>
    <w:rsid w:val="00C45155"/>
    <w:rsid w:val="00C451F8"/>
    <w:rsid w:val="00C459D4"/>
    <w:rsid w:val="00C45F8B"/>
    <w:rsid w:val="00C4689F"/>
    <w:rsid w:val="00C46D7A"/>
    <w:rsid w:val="00C46FA0"/>
    <w:rsid w:val="00C4721A"/>
    <w:rsid w:val="00C475CF"/>
    <w:rsid w:val="00C50010"/>
    <w:rsid w:val="00C501E4"/>
    <w:rsid w:val="00C502FF"/>
    <w:rsid w:val="00C50DB5"/>
    <w:rsid w:val="00C510BC"/>
    <w:rsid w:val="00C5125A"/>
    <w:rsid w:val="00C5222F"/>
    <w:rsid w:val="00C523FC"/>
    <w:rsid w:val="00C527B9"/>
    <w:rsid w:val="00C53856"/>
    <w:rsid w:val="00C54247"/>
    <w:rsid w:val="00C542E9"/>
    <w:rsid w:val="00C5498F"/>
    <w:rsid w:val="00C551AD"/>
    <w:rsid w:val="00C55235"/>
    <w:rsid w:val="00C554AE"/>
    <w:rsid w:val="00C5560D"/>
    <w:rsid w:val="00C562BC"/>
    <w:rsid w:val="00C56AF2"/>
    <w:rsid w:val="00C56BBA"/>
    <w:rsid w:val="00C56F0A"/>
    <w:rsid w:val="00C57C3F"/>
    <w:rsid w:val="00C6014A"/>
    <w:rsid w:val="00C60782"/>
    <w:rsid w:val="00C60969"/>
    <w:rsid w:val="00C616FB"/>
    <w:rsid w:val="00C61787"/>
    <w:rsid w:val="00C6338F"/>
    <w:rsid w:val="00C63F13"/>
    <w:rsid w:val="00C642A0"/>
    <w:rsid w:val="00C644F3"/>
    <w:rsid w:val="00C648E6"/>
    <w:rsid w:val="00C64CD0"/>
    <w:rsid w:val="00C6578A"/>
    <w:rsid w:val="00C66676"/>
    <w:rsid w:val="00C6684F"/>
    <w:rsid w:val="00C66F52"/>
    <w:rsid w:val="00C675CE"/>
    <w:rsid w:val="00C67672"/>
    <w:rsid w:val="00C678EC"/>
    <w:rsid w:val="00C70215"/>
    <w:rsid w:val="00C706C7"/>
    <w:rsid w:val="00C70E70"/>
    <w:rsid w:val="00C71565"/>
    <w:rsid w:val="00C716B0"/>
    <w:rsid w:val="00C721D7"/>
    <w:rsid w:val="00C72552"/>
    <w:rsid w:val="00C7282B"/>
    <w:rsid w:val="00C72898"/>
    <w:rsid w:val="00C7335D"/>
    <w:rsid w:val="00C733AD"/>
    <w:rsid w:val="00C733CA"/>
    <w:rsid w:val="00C7349A"/>
    <w:rsid w:val="00C73841"/>
    <w:rsid w:val="00C74059"/>
    <w:rsid w:val="00C74134"/>
    <w:rsid w:val="00C75E6F"/>
    <w:rsid w:val="00C75F8D"/>
    <w:rsid w:val="00C7636C"/>
    <w:rsid w:val="00C76D30"/>
    <w:rsid w:val="00C770C0"/>
    <w:rsid w:val="00C772FB"/>
    <w:rsid w:val="00C77380"/>
    <w:rsid w:val="00C77738"/>
    <w:rsid w:val="00C77820"/>
    <w:rsid w:val="00C7785F"/>
    <w:rsid w:val="00C77F04"/>
    <w:rsid w:val="00C80877"/>
    <w:rsid w:val="00C8220B"/>
    <w:rsid w:val="00C82BFA"/>
    <w:rsid w:val="00C82C42"/>
    <w:rsid w:val="00C82C55"/>
    <w:rsid w:val="00C82CDD"/>
    <w:rsid w:val="00C82D41"/>
    <w:rsid w:val="00C83310"/>
    <w:rsid w:val="00C834C8"/>
    <w:rsid w:val="00C83642"/>
    <w:rsid w:val="00C8377F"/>
    <w:rsid w:val="00C83F05"/>
    <w:rsid w:val="00C840DF"/>
    <w:rsid w:val="00C846AD"/>
    <w:rsid w:val="00C849B0"/>
    <w:rsid w:val="00C850EE"/>
    <w:rsid w:val="00C8514B"/>
    <w:rsid w:val="00C85189"/>
    <w:rsid w:val="00C8528E"/>
    <w:rsid w:val="00C852CF"/>
    <w:rsid w:val="00C85304"/>
    <w:rsid w:val="00C8550A"/>
    <w:rsid w:val="00C85677"/>
    <w:rsid w:val="00C858E3"/>
    <w:rsid w:val="00C86B28"/>
    <w:rsid w:val="00C876C5"/>
    <w:rsid w:val="00C87DBB"/>
    <w:rsid w:val="00C90290"/>
    <w:rsid w:val="00C904E9"/>
    <w:rsid w:val="00C9126C"/>
    <w:rsid w:val="00C92594"/>
    <w:rsid w:val="00C92AA3"/>
    <w:rsid w:val="00C93599"/>
    <w:rsid w:val="00C9410B"/>
    <w:rsid w:val="00C944ED"/>
    <w:rsid w:val="00C94BFF"/>
    <w:rsid w:val="00C94C60"/>
    <w:rsid w:val="00C94E91"/>
    <w:rsid w:val="00C94FA1"/>
    <w:rsid w:val="00C95019"/>
    <w:rsid w:val="00C959D1"/>
    <w:rsid w:val="00C96164"/>
    <w:rsid w:val="00C963F6"/>
    <w:rsid w:val="00C9693D"/>
    <w:rsid w:val="00C97736"/>
    <w:rsid w:val="00C97AB3"/>
    <w:rsid w:val="00C97F4B"/>
    <w:rsid w:val="00CA01B5"/>
    <w:rsid w:val="00CA0ED5"/>
    <w:rsid w:val="00CA185B"/>
    <w:rsid w:val="00CA22B0"/>
    <w:rsid w:val="00CA238A"/>
    <w:rsid w:val="00CA2921"/>
    <w:rsid w:val="00CA31CF"/>
    <w:rsid w:val="00CA345A"/>
    <w:rsid w:val="00CA36E2"/>
    <w:rsid w:val="00CA401D"/>
    <w:rsid w:val="00CA53B5"/>
    <w:rsid w:val="00CA5805"/>
    <w:rsid w:val="00CA58CA"/>
    <w:rsid w:val="00CA5FD8"/>
    <w:rsid w:val="00CA63BC"/>
    <w:rsid w:val="00CA68DA"/>
    <w:rsid w:val="00CA7AA0"/>
    <w:rsid w:val="00CA7AD7"/>
    <w:rsid w:val="00CA7CDA"/>
    <w:rsid w:val="00CB00A6"/>
    <w:rsid w:val="00CB05EA"/>
    <w:rsid w:val="00CB068C"/>
    <w:rsid w:val="00CB0C47"/>
    <w:rsid w:val="00CB0E6F"/>
    <w:rsid w:val="00CB1191"/>
    <w:rsid w:val="00CB126E"/>
    <w:rsid w:val="00CB1A9A"/>
    <w:rsid w:val="00CB1E82"/>
    <w:rsid w:val="00CB200E"/>
    <w:rsid w:val="00CB2CC1"/>
    <w:rsid w:val="00CB31D4"/>
    <w:rsid w:val="00CB333E"/>
    <w:rsid w:val="00CB3631"/>
    <w:rsid w:val="00CB3AAE"/>
    <w:rsid w:val="00CB3CD7"/>
    <w:rsid w:val="00CB4083"/>
    <w:rsid w:val="00CB4AC8"/>
    <w:rsid w:val="00CB4BA8"/>
    <w:rsid w:val="00CB4C46"/>
    <w:rsid w:val="00CB52D7"/>
    <w:rsid w:val="00CB55E5"/>
    <w:rsid w:val="00CB5A70"/>
    <w:rsid w:val="00CB5B6E"/>
    <w:rsid w:val="00CB655C"/>
    <w:rsid w:val="00CB7161"/>
    <w:rsid w:val="00CB7B2E"/>
    <w:rsid w:val="00CB7BA4"/>
    <w:rsid w:val="00CB7BC1"/>
    <w:rsid w:val="00CB7FFE"/>
    <w:rsid w:val="00CC0CD9"/>
    <w:rsid w:val="00CC0E65"/>
    <w:rsid w:val="00CC0EDC"/>
    <w:rsid w:val="00CC14CE"/>
    <w:rsid w:val="00CC1BC1"/>
    <w:rsid w:val="00CC2D91"/>
    <w:rsid w:val="00CC302A"/>
    <w:rsid w:val="00CC3066"/>
    <w:rsid w:val="00CC3A82"/>
    <w:rsid w:val="00CC3E14"/>
    <w:rsid w:val="00CC4577"/>
    <w:rsid w:val="00CC6248"/>
    <w:rsid w:val="00CC6379"/>
    <w:rsid w:val="00CC6732"/>
    <w:rsid w:val="00CC6BA3"/>
    <w:rsid w:val="00CC6C82"/>
    <w:rsid w:val="00CC6FFD"/>
    <w:rsid w:val="00CC7261"/>
    <w:rsid w:val="00CD05B7"/>
    <w:rsid w:val="00CD0908"/>
    <w:rsid w:val="00CD0C8C"/>
    <w:rsid w:val="00CD11DE"/>
    <w:rsid w:val="00CD124E"/>
    <w:rsid w:val="00CD27F3"/>
    <w:rsid w:val="00CD2937"/>
    <w:rsid w:val="00CD3539"/>
    <w:rsid w:val="00CD3678"/>
    <w:rsid w:val="00CD387F"/>
    <w:rsid w:val="00CD3EB9"/>
    <w:rsid w:val="00CD4A64"/>
    <w:rsid w:val="00CD4C4E"/>
    <w:rsid w:val="00CD57BC"/>
    <w:rsid w:val="00CD6038"/>
    <w:rsid w:val="00CD64D8"/>
    <w:rsid w:val="00CD6BF4"/>
    <w:rsid w:val="00CD70D4"/>
    <w:rsid w:val="00CD7267"/>
    <w:rsid w:val="00CD74A9"/>
    <w:rsid w:val="00CD7789"/>
    <w:rsid w:val="00CE0C14"/>
    <w:rsid w:val="00CE11D3"/>
    <w:rsid w:val="00CE1B02"/>
    <w:rsid w:val="00CE2068"/>
    <w:rsid w:val="00CE2126"/>
    <w:rsid w:val="00CE22BF"/>
    <w:rsid w:val="00CE2F5A"/>
    <w:rsid w:val="00CE32D1"/>
    <w:rsid w:val="00CE3C96"/>
    <w:rsid w:val="00CE4209"/>
    <w:rsid w:val="00CE45CA"/>
    <w:rsid w:val="00CE4F95"/>
    <w:rsid w:val="00CE5181"/>
    <w:rsid w:val="00CE51A8"/>
    <w:rsid w:val="00CE56D8"/>
    <w:rsid w:val="00CE65AC"/>
    <w:rsid w:val="00CE66E2"/>
    <w:rsid w:val="00CE6819"/>
    <w:rsid w:val="00CE6A7F"/>
    <w:rsid w:val="00CE6C20"/>
    <w:rsid w:val="00CE7C08"/>
    <w:rsid w:val="00CE7E9A"/>
    <w:rsid w:val="00CF06C6"/>
    <w:rsid w:val="00CF07C5"/>
    <w:rsid w:val="00CF091D"/>
    <w:rsid w:val="00CF1165"/>
    <w:rsid w:val="00CF124B"/>
    <w:rsid w:val="00CF15A6"/>
    <w:rsid w:val="00CF1FA7"/>
    <w:rsid w:val="00CF2002"/>
    <w:rsid w:val="00CF2541"/>
    <w:rsid w:val="00CF2705"/>
    <w:rsid w:val="00CF2908"/>
    <w:rsid w:val="00CF2F54"/>
    <w:rsid w:val="00CF3098"/>
    <w:rsid w:val="00CF316D"/>
    <w:rsid w:val="00CF3480"/>
    <w:rsid w:val="00CF369B"/>
    <w:rsid w:val="00CF3C04"/>
    <w:rsid w:val="00CF3E57"/>
    <w:rsid w:val="00CF4351"/>
    <w:rsid w:val="00CF43DA"/>
    <w:rsid w:val="00CF4A91"/>
    <w:rsid w:val="00CF5B4E"/>
    <w:rsid w:val="00CF5BA2"/>
    <w:rsid w:val="00CF6576"/>
    <w:rsid w:val="00CF6E91"/>
    <w:rsid w:val="00CF708C"/>
    <w:rsid w:val="00CF7116"/>
    <w:rsid w:val="00CF7199"/>
    <w:rsid w:val="00CF72C5"/>
    <w:rsid w:val="00D00461"/>
    <w:rsid w:val="00D0090B"/>
    <w:rsid w:val="00D00E28"/>
    <w:rsid w:val="00D013D4"/>
    <w:rsid w:val="00D014F8"/>
    <w:rsid w:val="00D01EF3"/>
    <w:rsid w:val="00D0269E"/>
    <w:rsid w:val="00D0304B"/>
    <w:rsid w:val="00D03576"/>
    <w:rsid w:val="00D03A74"/>
    <w:rsid w:val="00D03BF6"/>
    <w:rsid w:val="00D04660"/>
    <w:rsid w:val="00D046FF"/>
    <w:rsid w:val="00D04FE3"/>
    <w:rsid w:val="00D0532F"/>
    <w:rsid w:val="00D0536B"/>
    <w:rsid w:val="00D05805"/>
    <w:rsid w:val="00D05DAE"/>
    <w:rsid w:val="00D06AE7"/>
    <w:rsid w:val="00D06B3C"/>
    <w:rsid w:val="00D070B3"/>
    <w:rsid w:val="00D0773C"/>
    <w:rsid w:val="00D07ADE"/>
    <w:rsid w:val="00D104E1"/>
    <w:rsid w:val="00D10514"/>
    <w:rsid w:val="00D10C62"/>
    <w:rsid w:val="00D11191"/>
    <w:rsid w:val="00D115FD"/>
    <w:rsid w:val="00D12137"/>
    <w:rsid w:val="00D12411"/>
    <w:rsid w:val="00D137D9"/>
    <w:rsid w:val="00D1499F"/>
    <w:rsid w:val="00D14AAA"/>
    <w:rsid w:val="00D14C67"/>
    <w:rsid w:val="00D15576"/>
    <w:rsid w:val="00D15810"/>
    <w:rsid w:val="00D15AEA"/>
    <w:rsid w:val="00D15DFC"/>
    <w:rsid w:val="00D16C2D"/>
    <w:rsid w:val="00D16D4E"/>
    <w:rsid w:val="00D16FE3"/>
    <w:rsid w:val="00D17105"/>
    <w:rsid w:val="00D209EA"/>
    <w:rsid w:val="00D20E48"/>
    <w:rsid w:val="00D20E5B"/>
    <w:rsid w:val="00D20E98"/>
    <w:rsid w:val="00D20FDA"/>
    <w:rsid w:val="00D21C30"/>
    <w:rsid w:val="00D22079"/>
    <w:rsid w:val="00D221BE"/>
    <w:rsid w:val="00D22B47"/>
    <w:rsid w:val="00D231FE"/>
    <w:rsid w:val="00D23773"/>
    <w:rsid w:val="00D239DB"/>
    <w:rsid w:val="00D23B69"/>
    <w:rsid w:val="00D2446E"/>
    <w:rsid w:val="00D245A2"/>
    <w:rsid w:val="00D2493A"/>
    <w:rsid w:val="00D24A4C"/>
    <w:rsid w:val="00D24AD5"/>
    <w:rsid w:val="00D24F95"/>
    <w:rsid w:val="00D24FA5"/>
    <w:rsid w:val="00D26487"/>
    <w:rsid w:val="00D267F1"/>
    <w:rsid w:val="00D26C78"/>
    <w:rsid w:val="00D26D35"/>
    <w:rsid w:val="00D273D8"/>
    <w:rsid w:val="00D27F41"/>
    <w:rsid w:val="00D30936"/>
    <w:rsid w:val="00D30C0D"/>
    <w:rsid w:val="00D31D61"/>
    <w:rsid w:val="00D31FB2"/>
    <w:rsid w:val="00D32036"/>
    <w:rsid w:val="00D325B3"/>
    <w:rsid w:val="00D32614"/>
    <w:rsid w:val="00D32812"/>
    <w:rsid w:val="00D328BD"/>
    <w:rsid w:val="00D32CD5"/>
    <w:rsid w:val="00D32F13"/>
    <w:rsid w:val="00D333B0"/>
    <w:rsid w:val="00D336E0"/>
    <w:rsid w:val="00D34981"/>
    <w:rsid w:val="00D34FA2"/>
    <w:rsid w:val="00D34FAF"/>
    <w:rsid w:val="00D358D9"/>
    <w:rsid w:val="00D3630B"/>
    <w:rsid w:val="00D36441"/>
    <w:rsid w:val="00D365C5"/>
    <w:rsid w:val="00D36AC0"/>
    <w:rsid w:val="00D36D2E"/>
    <w:rsid w:val="00D36FEB"/>
    <w:rsid w:val="00D37485"/>
    <w:rsid w:val="00D37B90"/>
    <w:rsid w:val="00D37D5E"/>
    <w:rsid w:val="00D405A3"/>
    <w:rsid w:val="00D4064E"/>
    <w:rsid w:val="00D406E0"/>
    <w:rsid w:val="00D41442"/>
    <w:rsid w:val="00D42E68"/>
    <w:rsid w:val="00D42FEC"/>
    <w:rsid w:val="00D430DA"/>
    <w:rsid w:val="00D433AD"/>
    <w:rsid w:val="00D436C3"/>
    <w:rsid w:val="00D43871"/>
    <w:rsid w:val="00D44330"/>
    <w:rsid w:val="00D44746"/>
    <w:rsid w:val="00D44E9B"/>
    <w:rsid w:val="00D45536"/>
    <w:rsid w:val="00D4566A"/>
    <w:rsid w:val="00D45911"/>
    <w:rsid w:val="00D45B88"/>
    <w:rsid w:val="00D467DE"/>
    <w:rsid w:val="00D475CB"/>
    <w:rsid w:val="00D4778E"/>
    <w:rsid w:val="00D4799A"/>
    <w:rsid w:val="00D47AEB"/>
    <w:rsid w:val="00D47C99"/>
    <w:rsid w:val="00D47E88"/>
    <w:rsid w:val="00D50A69"/>
    <w:rsid w:val="00D50DB9"/>
    <w:rsid w:val="00D5161E"/>
    <w:rsid w:val="00D516EA"/>
    <w:rsid w:val="00D52057"/>
    <w:rsid w:val="00D52C43"/>
    <w:rsid w:val="00D52C48"/>
    <w:rsid w:val="00D534DA"/>
    <w:rsid w:val="00D53A89"/>
    <w:rsid w:val="00D53F1A"/>
    <w:rsid w:val="00D53FA7"/>
    <w:rsid w:val="00D54769"/>
    <w:rsid w:val="00D54805"/>
    <w:rsid w:val="00D552AA"/>
    <w:rsid w:val="00D55653"/>
    <w:rsid w:val="00D55F42"/>
    <w:rsid w:val="00D5601C"/>
    <w:rsid w:val="00D5630F"/>
    <w:rsid w:val="00D56EA5"/>
    <w:rsid w:val="00D5745A"/>
    <w:rsid w:val="00D574EC"/>
    <w:rsid w:val="00D577CD"/>
    <w:rsid w:val="00D577F8"/>
    <w:rsid w:val="00D577FC"/>
    <w:rsid w:val="00D57815"/>
    <w:rsid w:val="00D57C8F"/>
    <w:rsid w:val="00D605A3"/>
    <w:rsid w:val="00D60ECA"/>
    <w:rsid w:val="00D6105A"/>
    <w:rsid w:val="00D61234"/>
    <w:rsid w:val="00D61479"/>
    <w:rsid w:val="00D615B0"/>
    <w:rsid w:val="00D61B2C"/>
    <w:rsid w:val="00D620EB"/>
    <w:rsid w:val="00D6278B"/>
    <w:rsid w:val="00D63044"/>
    <w:rsid w:val="00D633B0"/>
    <w:rsid w:val="00D63957"/>
    <w:rsid w:val="00D64428"/>
    <w:rsid w:val="00D6458F"/>
    <w:rsid w:val="00D64A05"/>
    <w:rsid w:val="00D64CF7"/>
    <w:rsid w:val="00D6507F"/>
    <w:rsid w:val="00D65153"/>
    <w:rsid w:val="00D65DA0"/>
    <w:rsid w:val="00D66307"/>
    <w:rsid w:val="00D667A9"/>
    <w:rsid w:val="00D66C50"/>
    <w:rsid w:val="00D67451"/>
    <w:rsid w:val="00D70093"/>
    <w:rsid w:val="00D70360"/>
    <w:rsid w:val="00D705AC"/>
    <w:rsid w:val="00D71662"/>
    <w:rsid w:val="00D71AD5"/>
    <w:rsid w:val="00D7205D"/>
    <w:rsid w:val="00D7214C"/>
    <w:rsid w:val="00D72CCF"/>
    <w:rsid w:val="00D730BC"/>
    <w:rsid w:val="00D73912"/>
    <w:rsid w:val="00D73947"/>
    <w:rsid w:val="00D74130"/>
    <w:rsid w:val="00D742F1"/>
    <w:rsid w:val="00D74AD9"/>
    <w:rsid w:val="00D7501F"/>
    <w:rsid w:val="00D75D31"/>
    <w:rsid w:val="00D75D4D"/>
    <w:rsid w:val="00D76AD5"/>
    <w:rsid w:val="00D76C30"/>
    <w:rsid w:val="00D76F3B"/>
    <w:rsid w:val="00D775C1"/>
    <w:rsid w:val="00D7765B"/>
    <w:rsid w:val="00D77974"/>
    <w:rsid w:val="00D77EB5"/>
    <w:rsid w:val="00D811C6"/>
    <w:rsid w:val="00D813B1"/>
    <w:rsid w:val="00D816A6"/>
    <w:rsid w:val="00D824CD"/>
    <w:rsid w:val="00D8265E"/>
    <w:rsid w:val="00D827E0"/>
    <w:rsid w:val="00D82A99"/>
    <w:rsid w:val="00D82FB0"/>
    <w:rsid w:val="00D848C5"/>
    <w:rsid w:val="00D84DDE"/>
    <w:rsid w:val="00D8500B"/>
    <w:rsid w:val="00D85226"/>
    <w:rsid w:val="00D85671"/>
    <w:rsid w:val="00D866BF"/>
    <w:rsid w:val="00D8673F"/>
    <w:rsid w:val="00D86C47"/>
    <w:rsid w:val="00D87B94"/>
    <w:rsid w:val="00D87BB5"/>
    <w:rsid w:val="00D87CFC"/>
    <w:rsid w:val="00D9180C"/>
    <w:rsid w:val="00D918E5"/>
    <w:rsid w:val="00D919FB"/>
    <w:rsid w:val="00D91A1A"/>
    <w:rsid w:val="00D91EE4"/>
    <w:rsid w:val="00D91FC3"/>
    <w:rsid w:val="00D921F5"/>
    <w:rsid w:val="00D92789"/>
    <w:rsid w:val="00D928AD"/>
    <w:rsid w:val="00D92C9C"/>
    <w:rsid w:val="00D92D49"/>
    <w:rsid w:val="00D92EC1"/>
    <w:rsid w:val="00D93649"/>
    <w:rsid w:val="00D93DD7"/>
    <w:rsid w:val="00D9405E"/>
    <w:rsid w:val="00D94754"/>
    <w:rsid w:val="00D94EAA"/>
    <w:rsid w:val="00D94F85"/>
    <w:rsid w:val="00D95355"/>
    <w:rsid w:val="00D9550A"/>
    <w:rsid w:val="00D956EF"/>
    <w:rsid w:val="00D95A36"/>
    <w:rsid w:val="00D967D3"/>
    <w:rsid w:val="00D96916"/>
    <w:rsid w:val="00D96A10"/>
    <w:rsid w:val="00D96DEA"/>
    <w:rsid w:val="00D977DD"/>
    <w:rsid w:val="00DA01E2"/>
    <w:rsid w:val="00DA02FA"/>
    <w:rsid w:val="00DA0EAA"/>
    <w:rsid w:val="00DA1A7E"/>
    <w:rsid w:val="00DA1F3A"/>
    <w:rsid w:val="00DA2145"/>
    <w:rsid w:val="00DA26DE"/>
    <w:rsid w:val="00DA28F0"/>
    <w:rsid w:val="00DA29C8"/>
    <w:rsid w:val="00DA2C1A"/>
    <w:rsid w:val="00DA2CCF"/>
    <w:rsid w:val="00DA33D6"/>
    <w:rsid w:val="00DA3432"/>
    <w:rsid w:val="00DA3DB6"/>
    <w:rsid w:val="00DA3F0C"/>
    <w:rsid w:val="00DA43C4"/>
    <w:rsid w:val="00DA46F3"/>
    <w:rsid w:val="00DA4810"/>
    <w:rsid w:val="00DA48E6"/>
    <w:rsid w:val="00DA4987"/>
    <w:rsid w:val="00DA4E41"/>
    <w:rsid w:val="00DA511D"/>
    <w:rsid w:val="00DA51D6"/>
    <w:rsid w:val="00DA522F"/>
    <w:rsid w:val="00DA571C"/>
    <w:rsid w:val="00DA5DCA"/>
    <w:rsid w:val="00DA6020"/>
    <w:rsid w:val="00DA60B6"/>
    <w:rsid w:val="00DA6358"/>
    <w:rsid w:val="00DA644E"/>
    <w:rsid w:val="00DA6EBC"/>
    <w:rsid w:val="00DA7AA4"/>
    <w:rsid w:val="00DB09BC"/>
    <w:rsid w:val="00DB117A"/>
    <w:rsid w:val="00DB1504"/>
    <w:rsid w:val="00DB2E50"/>
    <w:rsid w:val="00DB3224"/>
    <w:rsid w:val="00DB34E4"/>
    <w:rsid w:val="00DB38EC"/>
    <w:rsid w:val="00DB3C08"/>
    <w:rsid w:val="00DB4C0D"/>
    <w:rsid w:val="00DB50AF"/>
    <w:rsid w:val="00DB5173"/>
    <w:rsid w:val="00DB5B39"/>
    <w:rsid w:val="00DB5D13"/>
    <w:rsid w:val="00DB6EC4"/>
    <w:rsid w:val="00DB7240"/>
    <w:rsid w:val="00DB74B3"/>
    <w:rsid w:val="00DB769C"/>
    <w:rsid w:val="00DB7760"/>
    <w:rsid w:val="00DB7873"/>
    <w:rsid w:val="00DB7DF5"/>
    <w:rsid w:val="00DB7FDA"/>
    <w:rsid w:val="00DC033E"/>
    <w:rsid w:val="00DC0661"/>
    <w:rsid w:val="00DC187B"/>
    <w:rsid w:val="00DC1EB4"/>
    <w:rsid w:val="00DC2061"/>
    <w:rsid w:val="00DC21D3"/>
    <w:rsid w:val="00DC26B6"/>
    <w:rsid w:val="00DC294C"/>
    <w:rsid w:val="00DC2C91"/>
    <w:rsid w:val="00DC3721"/>
    <w:rsid w:val="00DC3D35"/>
    <w:rsid w:val="00DC405E"/>
    <w:rsid w:val="00DC422B"/>
    <w:rsid w:val="00DC438F"/>
    <w:rsid w:val="00DC4A85"/>
    <w:rsid w:val="00DC4BD6"/>
    <w:rsid w:val="00DC5A2B"/>
    <w:rsid w:val="00DC5B84"/>
    <w:rsid w:val="00DC5BF5"/>
    <w:rsid w:val="00DC5C34"/>
    <w:rsid w:val="00DC6527"/>
    <w:rsid w:val="00DC6C8A"/>
    <w:rsid w:val="00DC76E1"/>
    <w:rsid w:val="00DC7D77"/>
    <w:rsid w:val="00DC7FCF"/>
    <w:rsid w:val="00DD0607"/>
    <w:rsid w:val="00DD0947"/>
    <w:rsid w:val="00DD0FA3"/>
    <w:rsid w:val="00DD13F3"/>
    <w:rsid w:val="00DD1B94"/>
    <w:rsid w:val="00DD1FA1"/>
    <w:rsid w:val="00DD2621"/>
    <w:rsid w:val="00DD289D"/>
    <w:rsid w:val="00DD2DAC"/>
    <w:rsid w:val="00DD3113"/>
    <w:rsid w:val="00DD53F3"/>
    <w:rsid w:val="00DD554B"/>
    <w:rsid w:val="00DD56D7"/>
    <w:rsid w:val="00DD5973"/>
    <w:rsid w:val="00DD5CC5"/>
    <w:rsid w:val="00DD623B"/>
    <w:rsid w:val="00DD73C2"/>
    <w:rsid w:val="00DD7413"/>
    <w:rsid w:val="00DD75F3"/>
    <w:rsid w:val="00DD77FE"/>
    <w:rsid w:val="00DE0D2A"/>
    <w:rsid w:val="00DE11C7"/>
    <w:rsid w:val="00DE1428"/>
    <w:rsid w:val="00DE1773"/>
    <w:rsid w:val="00DE193E"/>
    <w:rsid w:val="00DE29A0"/>
    <w:rsid w:val="00DE319B"/>
    <w:rsid w:val="00DE3DDE"/>
    <w:rsid w:val="00DE400E"/>
    <w:rsid w:val="00DE433D"/>
    <w:rsid w:val="00DE4906"/>
    <w:rsid w:val="00DE4FED"/>
    <w:rsid w:val="00DE5453"/>
    <w:rsid w:val="00DE55AC"/>
    <w:rsid w:val="00DE56E1"/>
    <w:rsid w:val="00DE5CDC"/>
    <w:rsid w:val="00DE6421"/>
    <w:rsid w:val="00DE6B23"/>
    <w:rsid w:val="00DE6CD7"/>
    <w:rsid w:val="00DF0128"/>
    <w:rsid w:val="00DF0B77"/>
    <w:rsid w:val="00DF0F54"/>
    <w:rsid w:val="00DF120D"/>
    <w:rsid w:val="00DF1481"/>
    <w:rsid w:val="00DF1CCC"/>
    <w:rsid w:val="00DF246B"/>
    <w:rsid w:val="00DF288C"/>
    <w:rsid w:val="00DF29F3"/>
    <w:rsid w:val="00DF2E99"/>
    <w:rsid w:val="00DF34FE"/>
    <w:rsid w:val="00DF4043"/>
    <w:rsid w:val="00DF41FA"/>
    <w:rsid w:val="00DF441F"/>
    <w:rsid w:val="00DF46EF"/>
    <w:rsid w:val="00DF4D7E"/>
    <w:rsid w:val="00DF4E63"/>
    <w:rsid w:val="00DF526A"/>
    <w:rsid w:val="00DF55F6"/>
    <w:rsid w:val="00DF56AA"/>
    <w:rsid w:val="00DF5B53"/>
    <w:rsid w:val="00DF64E4"/>
    <w:rsid w:val="00DF6C96"/>
    <w:rsid w:val="00DF72DF"/>
    <w:rsid w:val="00DF763A"/>
    <w:rsid w:val="00DF78E7"/>
    <w:rsid w:val="00DF79A9"/>
    <w:rsid w:val="00DF7AD6"/>
    <w:rsid w:val="00E0120E"/>
    <w:rsid w:val="00E01B64"/>
    <w:rsid w:val="00E01CC0"/>
    <w:rsid w:val="00E02A98"/>
    <w:rsid w:val="00E04D5D"/>
    <w:rsid w:val="00E054A2"/>
    <w:rsid w:val="00E05585"/>
    <w:rsid w:val="00E05A14"/>
    <w:rsid w:val="00E05D22"/>
    <w:rsid w:val="00E0601A"/>
    <w:rsid w:val="00E066D3"/>
    <w:rsid w:val="00E06E3B"/>
    <w:rsid w:val="00E06E7E"/>
    <w:rsid w:val="00E07496"/>
    <w:rsid w:val="00E07E6C"/>
    <w:rsid w:val="00E100E6"/>
    <w:rsid w:val="00E10BFF"/>
    <w:rsid w:val="00E110E0"/>
    <w:rsid w:val="00E111EE"/>
    <w:rsid w:val="00E115B0"/>
    <w:rsid w:val="00E1174B"/>
    <w:rsid w:val="00E12F52"/>
    <w:rsid w:val="00E13295"/>
    <w:rsid w:val="00E13A93"/>
    <w:rsid w:val="00E14AA6"/>
    <w:rsid w:val="00E14D10"/>
    <w:rsid w:val="00E14E3C"/>
    <w:rsid w:val="00E15371"/>
    <w:rsid w:val="00E15FC7"/>
    <w:rsid w:val="00E161E0"/>
    <w:rsid w:val="00E16422"/>
    <w:rsid w:val="00E16A06"/>
    <w:rsid w:val="00E16A32"/>
    <w:rsid w:val="00E17291"/>
    <w:rsid w:val="00E17D25"/>
    <w:rsid w:val="00E17DD3"/>
    <w:rsid w:val="00E2013A"/>
    <w:rsid w:val="00E20393"/>
    <w:rsid w:val="00E2057C"/>
    <w:rsid w:val="00E20844"/>
    <w:rsid w:val="00E20EE2"/>
    <w:rsid w:val="00E210C3"/>
    <w:rsid w:val="00E21776"/>
    <w:rsid w:val="00E21C91"/>
    <w:rsid w:val="00E22900"/>
    <w:rsid w:val="00E22FEC"/>
    <w:rsid w:val="00E24104"/>
    <w:rsid w:val="00E2425A"/>
    <w:rsid w:val="00E2469F"/>
    <w:rsid w:val="00E246AC"/>
    <w:rsid w:val="00E24A32"/>
    <w:rsid w:val="00E24CE1"/>
    <w:rsid w:val="00E25995"/>
    <w:rsid w:val="00E25AFA"/>
    <w:rsid w:val="00E2646E"/>
    <w:rsid w:val="00E26592"/>
    <w:rsid w:val="00E26785"/>
    <w:rsid w:val="00E27292"/>
    <w:rsid w:val="00E279AA"/>
    <w:rsid w:val="00E3006E"/>
    <w:rsid w:val="00E302D0"/>
    <w:rsid w:val="00E31AD1"/>
    <w:rsid w:val="00E31AF3"/>
    <w:rsid w:val="00E320E4"/>
    <w:rsid w:val="00E330DF"/>
    <w:rsid w:val="00E333B2"/>
    <w:rsid w:val="00E339C4"/>
    <w:rsid w:val="00E339EF"/>
    <w:rsid w:val="00E34230"/>
    <w:rsid w:val="00E35707"/>
    <w:rsid w:val="00E36191"/>
    <w:rsid w:val="00E36AA1"/>
    <w:rsid w:val="00E36F03"/>
    <w:rsid w:val="00E37000"/>
    <w:rsid w:val="00E37A9B"/>
    <w:rsid w:val="00E408C5"/>
    <w:rsid w:val="00E409E6"/>
    <w:rsid w:val="00E41174"/>
    <w:rsid w:val="00E41665"/>
    <w:rsid w:val="00E41695"/>
    <w:rsid w:val="00E41E2D"/>
    <w:rsid w:val="00E41ECB"/>
    <w:rsid w:val="00E43377"/>
    <w:rsid w:val="00E433FE"/>
    <w:rsid w:val="00E4340A"/>
    <w:rsid w:val="00E436DC"/>
    <w:rsid w:val="00E43C92"/>
    <w:rsid w:val="00E44029"/>
    <w:rsid w:val="00E44C4C"/>
    <w:rsid w:val="00E44C9E"/>
    <w:rsid w:val="00E450DF"/>
    <w:rsid w:val="00E454DB"/>
    <w:rsid w:val="00E46887"/>
    <w:rsid w:val="00E46FB1"/>
    <w:rsid w:val="00E47824"/>
    <w:rsid w:val="00E47BDE"/>
    <w:rsid w:val="00E503DA"/>
    <w:rsid w:val="00E51237"/>
    <w:rsid w:val="00E514C0"/>
    <w:rsid w:val="00E5209F"/>
    <w:rsid w:val="00E521E4"/>
    <w:rsid w:val="00E53EC7"/>
    <w:rsid w:val="00E5477E"/>
    <w:rsid w:val="00E548FC"/>
    <w:rsid w:val="00E54D12"/>
    <w:rsid w:val="00E54FDB"/>
    <w:rsid w:val="00E5617D"/>
    <w:rsid w:val="00E563D7"/>
    <w:rsid w:val="00E5643F"/>
    <w:rsid w:val="00E5651F"/>
    <w:rsid w:val="00E56E9E"/>
    <w:rsid w:val="00E575BE"/>
    <w:rsid w:val="00E576C7"/>
    <w:rsid w:val="00E57888"/>
    <w:rsid w:val="00E57E21"/>
    <w:rsid w:val="00E60910"/>
    <w:rsid w:val="00E61485"/>
    <w:rsid w:val="00E615B4"/>
    <w:rsid w:val="00E627A4"/>
    <w:rsid w:val="00E62DF3"/>
    <w:rsid w:val="00E62EF3"/>
    <w:rsid w:val="00E62F51"/>
    <w:rsid w:val="00E632F0"/>
    <w:rsid w:val="00E635D8"/>
    <w:rsid w:val="00E637FF"/>
    <w:rsid w:val="00E638C3"/>
    <w:rsid w:val="00E63D56"/>
    <w:rsid w:val="00E64A20"/>
    <w:rsid w:val="00E6574F"/>
    <w:rsid w:val="00E6600A"/>
    <w:rsid w:val="00E663F4"/>
    <w:rsid w:val="00E666F2"/>
    <w:rsid w:val="00E66DD4"/>
    <w:rsid w:val="00E670A3"/>
    <w:rsid w:val="00E67DA1"/>
    <w:rsid w:val="00E70AC3"/>
    <w:rsid w:val="00E70D03"/>
    <w:rsid w:val="00E7138C"/>
    <w:rsid w:val="00E71991"/>
    <w:rsid w:val="00E71CBD"/>
    <w:rsid w:val="00E72446"/>
    <w:rsid w:val="00E72A1D"/>
    <w:rsid w:val="00E7301A"/>
    <w:rsid w:val="00E731A6"/>
    <w:rsid w:val="00E7336F"/>
    <w:rsid w:val="00E737E0"/>
    <w:rsid w:val="00E73C40"/>
    <w:rsid w:val="00E748CC"/>
    <w:rsid w:val="00E75391"/>
    <w:rsid w:val="00E75415"/>
    <w:rsid w:val="00E754AA"/>
    <w:rsid w:val="00E763E1"/>
    <w:rsid w:val="00E76E6B"/>
    <w:rsid w:val="00E77227"/>
    <w:rsid w:val="00E775B1"/>
    <w:rsid w:val="00E77AC7"/>
    <w:rsid w:val="00E8051F"/>
    <w:rsid w:val="00E80626"/>
    <w:rsid w:val="00E807B8"/>
    <w:rsid w:val="00E809B8"/>
    <w:rsid w:val="00E80F0B"/>
    <w:rsid w:val="00E8152A"/>
    <w:rsid w:val="00E8185B"/>
    <w:rsid w:val="00E82BC4"/>
    <w:rsid w:val="00E82BD0"/>
    <w:rsid w:val="00E8330C"/>
    <w:rsid w:val="00E837E9"/>
    <w:rsid w:val="00E83A11"/>
    <w:rsid w:val="00E83B58"/>
    <w:rsid w:val="00E83E9D"/>
    <w:rsid w:val="00E841D7"/>
    <w:rsid w:val="00E84284"/>
    <w:rsid w:val="00E848B7"/>
    <w:rsid w:val="00E860AF"/>
    <w:rsid w:val="00E86229"/>
    <w:rsid w:val="00E8628B"/>
    <w:rsid w:val="00E866C4"/>
    <w:rsid w:val="00E86A4E"/>
    <w:rsid w:val="00E877B7"/>
    <w:rsid w:val="00E87883"/>
    <w:rsid w:val="00E878BD"/>
    <w:rsid w:val="00E878F4"/>
    <w:rsid w:val="00E87B3B"/>
    <w:rsid w:val="00E900FF"/>
    <w:rsid w:val="00E90994"/>
    <w:rsid w:val="00E91F02"/>
    <w:rsid w:val="00E92329"/>
    <w:rsid w:val="00E92F6A"/>
    <w:rsid w:val="00E935EA"/>
    <w:rsid w:val="00E93629"/>
    <w:rsid w:val="00E93663"/>
    <w:rsid w:val="00E93B5C"/>
    <w:rsid w:val="00E93F32"/>
    <w:rsid w:val="00E941CF"/>
    <w:rsid w:val="00E94313"/>
    <w:rsid w:val="00E94A67"/>
    <w:rsid w:val="00E94CEC"/>
    <w:rsid w:val="00E957A6"/>
    <w:rsid w:val="00E95807"/>
    <w:rsid w:val="00E96C63"/>
    <w:rsid w:val="00E97126"/>
    <w:rsid w:val="00E97138"/>
    <w:rsid w:val="00E9747A"/>
    <w:rsid w:val="00E97E00"/>
    <w:rsid w:val="00E97EA4"/>
    <w:rsid w:val="00EA04EF"/>
    <w:rsid w:val="00EA0C28"/>
    <w:rsid w:val="00EA17D9"/>
    <w:rsid w:val="00EA1977"/>
    <w:rsid w:val="00EA2348"/>
    <w:rsid w:val="00EA2CB1"/>
    <w:rsid w:val="00EA2F72"/>
    <w:rsid w:val="00EA3057"/>
    <w:rsid w:val="00EA3BA0"/>
    <w:rsid w:val="00EA5A95"/>
    <w:rsid w:val="00EA68E8"/>
    <w:rsid w:val="00EA6B1F"/>
    <w:rsid w:val="00EA6C2C"/>
    <w:rsid w:val="00EA6D94"/>
    <w:rsid w:val="00EA6F19"/>
    <w:rsid w:val="00EA7CE8"/>
    <w:rsid w:val="00EA7D21"/>
    <w:rsid w:val="00EB032C"/>
    <w:rsid w:val="00EB144D"/>
    <w:rsid w:val="00EB1E8F"/>
    <w:rsid w:val="00EB26D8"/>
    <w:rsid w:val="00EB272B"/>
    <w:rsid w:val="00EB2C03"/>
    <w:rsid w:val="00EB373E"/>
    <w:rsid w:val="00EB3F5C"/>
    <w:rsid w:val="00EB41DE"/>
    <w:rsid w:val="00EB43A7"/>
    <w:rsid w:val="00EB5688"/>
    <w:rsid w:val="00EB5785"/>
    <w:rsid w:val="00EB5DEE"/>
    <w:rsid w:val="00EB6088"/>
    <w:rsid w:val="00EB6DA0"/>
    <w:rsid w:val="00EB6FAF"/>
    <w:rsid w:val="00EB7090"/>
    <w:rsid w:val="00EB72E8"/>
    <w:rsid w:val="00EB7514"/>
    <w:rsid w:val="00EB77FE"/>
    <w:rsid w:val="00EC1BBE"/>
    <w:rsid w:val="00EC574D"/>
    <w:rsid w:val="00EC59F0"/>
    <w:rsid w:val="00EC59F7"/>
    <w:rsid w:val="00EC5CB5"/>
    <w:rsid w:val="00EC5CD7"/>
    <w:rsid w:val="00EC5F87"/>
    <w:rsid w:val="00EC610B"/>
    <w:rsid w:val="00EC63CB"/>
    <w:rsid w:val="00EC6611"/>
    <w:rsid w:val="00EC6FA9"/>
    <w:rsid w:val="00EC7214"/>
    <w:rsid w:val="00EC7346"/>
    <w:rsid w:val="00EC73AD"/>
    <w:rsid w:val="00EC7605"/>
    <w:rsid w:val="00EC7903"/>
    <w:rsid w:val="00EC7D10"/>
    <w:rsid w:val="00ED0284"/>
    <w:rsid w:val="00ED0878"/>
    <w:rsid w:val="00ED0BC3"/>
    <w:rsid w:val="00ED0E2C"/>
    <w:rsid w:val="00ED1232"/>
    <w:rsid w:val="00ED1B3D"/>
    <w:rsid w:val="00ED21E5"/>
    <w:rsid w:val="00ED2247"/>
    <w:rsid w:val="00ED22E9"/>
    <w:rsid w:val="00ED2657"/>
    <w:rsid w:val="00ED2B52"/>
    <w:rsid w:val="00ED2DE1"/>
    <w:rsid w:val="00ED2FC6"/>
    <w:rsid w:val="00ED4067"/>
    <w:rsid w:val="00ED453C"/>
    <w:rsid w:val="00ED46A9"/>
    <w:rsid w:val="00ED4774"/>
    <w:rsid w:val="00ED4F39"/>
    <w:rsid w:val="00ED5392"/>
    <w:rsid w:val="00ED562D"/>
    <w:rsid w:val="00ED628A"/>
    <w:rsid w:val="00ED64A8"/>
    <w:rsid w:val="00EE00FC"/>
    <w:rsid w:val="00EE0F10"/>
    <w:rsid w:val="00EE1C2D"/>
    <w:rsid w:val="00EE1E94"/>
    <w:rsid w:val="00EE20C0"/>
    <w:rsid w:val="00EE2642"/>
    <w:rsid w:val="00EE26C0"/>
    <w:rsid w:val="00EE270D"/>
    <w:rsid w:val="00EE305E"/>
    <w:rsid w:val="00EE3D10"/>
    <w:rsid w:val="00EE4077"/>
    <w:rsid w:val="00EE4AC7"/>
    <w:rsid w:val="00EE4C93"/>
    <w:rsid w:val="00EE4E0F"/>
    <w:rsid w:val="00EE554B"/>
    <w:rsid w:val="00EE5FB3"/>
    <w:rsid w:val="00EE623C"/>
    <w:rsid w:val="00EE6BE8"/>
    <w:rsid w:val="00EE7959"/>
    <w:rsid w:val="00EE7F79"/>
    <w:rsid w:val="00EF146B"/>
    <w:rsid w:val="00EF1531"/>
    <w:rsid w:val="00EF2079"/>
    <w:rsid w:val="00EF2145"/>
    <w:rsid w:val="00EF22DB"/>
    <w:rsid w:val="00EF26BB"/>
    <w:rsid w:val="00EF3316"/>
    <w:rsid w:val="00EF3924"/>
    <w:rsid w:val="00EF457A"/>
    <w:rsid w:val="00EF5035"/>
    <w:rsid w:val="00EF52F0"/>
    <w:rsid w:val="00EF597D"/>
    <w:rsid w:val="00EF6547"/>
    <w:rsid w:val="00EF715A"/>
    <w:rsid w:val="00EF71C1"/>
    <w:rsid w:val="00EF745D"/>
    <w:rsid w:val="00F004B8"/>
    <w:rsid w:val="00F009CF"/>
    <w:rsid w:val="00F00F49"/>
    <w:rsid w:val="00F01856"/>
    <w:rsid w:val="00F018ED"/>
    <w:rsid w:val="00F03931"/>
    <w:rsid w:val="00F046C3"/>
    <w:rsid w:val="00F046DB"/>
    <w:rsid w:val="00F04EB8"/>
    <w:rsid w:val="00F05B83"/>
    <w:rsid w:val="00F05FFA"/>
    <w:rsid w:val="00F063CC"/>
    <w:rsid w:val="00F06653"/>
    <w:rsid w:val="00F06E14"/>
    <w:rsid w:val="00F07362"/>
    <w:rsid w:val="00F077E9"/>
    <w:rsid w:val="00F10C75"/>
    <w:rsid w:val="00F10DFF"/>
    <w:rsid w:val="00F113DE"/>
    <w:rsid w:val="00F11627"/>
    <w:rsid w:val="00F11684"/>
    <w:rsid w:val="00F119D6"/>
    <w:rsid w:val="00F11CD1"/>
    <w:rsid w:val="00F12895"/>
    <w:rsid w:val="00F12A87"/>
    <w:rsid w:val="00F12E3F"/>
    <w:rsid w:val="00F12E4F"/>
    <w:rsid w:val="00F1358B"/>
    <w:rsid w:val="00F13A8B"/>
    <w:rsid w:val="00F13BC7"/>
    <w:rsid w:val="00F14412"/>
    <w:rsid w:val="00F14447"/>
    <w:rsid w:val="00F14FB0"/>
    <w:rsid w:val="00F15D15"/>
    <w:rsid w:val="00F15F44"/>
    <w:rsid w:val="00F164A4"/>
    <w:rsid w:val="00F174FD"/>
    <w:rsid w:val="00F179D4"/>
    <w:rsid w:val="00F206A0"/>
    <w:rsid w:val="00F20988"/>
    <w:rsid w:val="00F21092"/>
    <w:rsid w:val="00F2117A"/>
    <w:rsid w:val="00F22355"/>
    <w:rsid w:val="00F226BF"/>
    <w:rsid w:val="00F23621"/>
    <w:rsid w:val="00F23A25"/>
    <w:rsid w:val="00F23E3A"/>
    <w:rsid w:val="00F24237"/>
    <w:rsid w:val="00F2459F"/>
    <w:rsid w:val="00F24B0F"/>
    <w:rsid w:val="00F25007"/>
    <w:rsid w:val="00F253C1"/>
    <w:rsid w:val="00F25408"/>
    <w:rsid w:val="00F2576D"/>
    <w:rsid w:val="00F258DF"/>
    <w:rsid w:val="00F25E79"/>
    <w:rsid w:val="00F2622A"/>
    <w:rsid w:val="00F2632E"/>
    <w:rsid w:val="00F26AC2"/>
    <w:rsid w:val="00F26DA7"/>
    <w:rsid w:val="00F26E87"/>
    <w:rsid w:val="00F26EAB"/>
    <w:rsid w:val="00F276FF"/>
    <w:rsid w:val="00F277B2"/>
    <w:rsid w:val="00F3074E"/>
    <w:rsid w:val="00F30FD2"/>
    <w:rsid w:val="00F3138B"/>
    <w:rsid w:val="00F31452"/>
    <w:rsid w:val="00F316F8"/>
    <w:rsid w:val="00F31761"/>
    <w:rsid w:val="00F317D9"/>
    <w:rsid w:val="00F319C9"/>
    <w:rsid w:val="00F31B8E"/>
    <w:rsid w:val="00F31D83"/>
    <w:rsid w:val="00F331DD"/>
    <w:rsid w:val="00F33C56"/>
    <w:rsid w:val="00F33C6A"/>
    <w:rsid w:val="00F33CEB"/>
    <w:rsid w:val="00F347C7"/>
    <w:rsid w:val="00F34848"/>
    <w:rsid w:val="00F34D96"/>
    <w:rsid w:val="00F35787"/>
    <w:rsid w:val="00F3596F"/>
    <w:rsid w:val="00F3651C"/>
    <w:rsid w:val="00F36693"/>
    <w:rsid w:val="00F36F09"/>
    <w:rsid w:val="00F400F4"/>
    <w:rsid w:val="00F40EA4"/>
    <w:rsid w:val="00F41202"/>
    <w:rsid w:val="00F42457"/>
    <w:rsid w:val="00F42D46"/>
    <w:rsid w:val="00F43743"/>
    <w:rsid w:val="00F43BDA"/>
    <w:rsid w:val="00F43C1D"/>
    <w:rsid w:val="00F440ED"/>
    <w:rsid w:val="00F4496C"/>
    <w:rsid w:val="00F44C75"/>
    <w:rsid w:val="00F44F3A"/>
    <w:rsid w:val="00F4500F"/>
    <w:rsid w:val="00F450E6"/>
    <w:rsid w:val="00F451B4"/>
    <w:rsid w:val="00F45399"/>
    <w:rsid w:val="00F45D8F"/>
    <w:rsid w:val="00F45E60"/>
    <w:rsid w:val="00F46125"/>
    <w:rsid w:val="00F46355"/>
    <w:rsid w:val="00F4733D"/>
    <w:rsid w:val="00F4757E"/>
    <w:rsid w:val="00F478EC"/>
    <w:rsid w:val="00F5012C"/>
    <w:rsid w:val="00F5153E"/>
    <w:rsid w:val="00F51F10"/>
    <w:rsid w:val="00F52021"/>
    <w:rsid w:val="00F52109"/>
    <w:rsid w:val="00F52376"/>
    <w:rsid w:val="00F5273F"/>
    <w:rsid w:val="00F529A5"/>
    <w:rsid w:val="00F53314"/>
    <w:rsid w:val="00F536E1"/>
    <w:rsid w:val="00F537AF"/>
    <w:rsid w:val="00F538B5"/>
    <w:rsid w:val="00F53EC4"/>
    <w:rsid w:val="00F5443D"/>
    <w:rsid w:val="00F54BFB"/>
    <w:rsid w:val="00F55484"/>
    <w:rsid w:val="00F56648"/>
    <w:rsid w:val="00F567FC"/>
    <w:rsid w:val="00F56B90"/>
    <w:rsid w:val="00F57456"/>
    <w:rsid w:val="00F5780A"/>
    <w:rsid w:val="00F60472"/>
    <w:rsid w:val="00F60544"/>
    <w:rsid w:val="00F60977"/>
    <w:rsid w:val="00F60D12"/>
    <w:rsid w:val="00F60F00"/>
    <w:rsid w:val="00F614C0"/>
    <w:rsid w:val="00F6167F"/>
    <w:rsid w:val="00F623E0"/>
    <w:rsid w:val="00F62602"/>
    <w:rsid w:val="00F63224"/>
    <w:rsid w:val="00F632C6"/>
    <w:rsid w:val="00F632E7"/>
    <w:rsid w:val="00F63D93"/>
    <w:rsid w:val="00F63E9A"/>
    <w:rsid w:val="00F641F6"/>
    <w:rsid w:val="00F64DB3"/>
    <w:rsid w:val="00F65577"/>
    <w:rsid w:val="00F65B47"/>
    <w:rsid w:val="00F65B51"/>
    <w:rsid w:val="00F65D6F"/>
    <w:rsid w:val="00F65EB8"/>
    <w:rsid w:val="00F67EE1"/>
    <w:rsid w:val="00F702A6"/>
    <w:rsid w:val="00F71171"/>
    <w:rsid w:val="00F71940"/>
    <w:rsid w:val="00F72263"/>
    <w:rsid w:val="00F729FB"/>
    <w:rsid w:val="00F72B79"/>
    <w:rsid w:val="00F731A4"/>
    <w:rsid w:val="00F73DB5"/>
    <w:rsid w:val="00F74854"/>
    <w:rsid w:val="00F74E6A"/>
    <w:rsid w:val="00F7548D"/>
    <w:rsid w:val="00F75B73"/>
    <w:rsid w:val="00F75F8A"/>
    <w:rsid w:val="00F769BF"/>
    <w:rsid w:val="00F76B66"/>
    <w:rsid w:val="00F76C52"/>
    <w:rsid w:val="00F77F89"/>
    <w:rsid w:val="00F802EB"/>
    <w:rsid w:val="00F804F8"/>
    <w:rsid w:val="00F80CCD"/>
    <w:rsid w:val="00F80E94"/>
    <w:rsid w:val="00F82CD2"/>
    <w:rsid w:val="00F830B9"/>
    <w:rsid w:val="00F83848"/>
    <w:rsid w:val="00F83AB8"/>
    <w:rsid w:val="00F83BF4"/>
    <w:rsid w:val="00F841A5"/>
    <w:rsid w:val="00F842E4"/>
    <w:rsid w:val="00F846D3"/>
    <w:rsid w:val="00F84AAF"/>
    <w:rsid w:val="00F84E1B"/>
    <w:rsid w:val="00F84E82"/>
    <w:rsid w:val="00F85896"/>
    <w:rsid w:val="00F8719D"/>
    <w:rsid w:val="00F87281"/>
    <w:rsid w:val="00F87F17"/>
    <w:rsid w:val="00F904C8"/>
    <w:rsid w:val="00F904E6"/>
    <w:rsid w:val="00F908E9"/>
    <w:rsid w:val="00F91010"/>
    <w:rsid w:val="00F91671"/>
    <w:rsid w:val="00F918A1"/>
    <w:rsid w:val="00F91905"/>
    <w:rsid w:val="00F91DDE"/>
    <w:rsid w:val="00F920A5"/>
    <w:rsid w:val="00F92595"/>
    <w:rsid w:val="00F92A09"/>
    <w:rsid w:val="00F93090"/>
    <w:rsid w:val="00F93678"/>
    <w:rsid w:val="00F9394C"/>
    <w:rsid w:val="00F93DAB"/>
    <w:rsid w:val="00F94278"/>
    <w:rsid w:val="00F94752"/>
    <w:rsid w:val="00F947E5"/>
    <w:rsid w:val="00F94B10"/>
    <w:rsid w:val="00F9515B"/>
    <w:rsid w:val="00F954E6"/>
    <w:rsid w:val="00F95B91"/>
    <w:rsid w:val="00F9660C"/>
    <w:rsid w:val="00F96D9A"/>
    <w:rsid w:val="00F97039"/>
    <w:rsid w:val="00F9704D"/>
    <w:rsid w:val="00F975E9"/>
    <w:rsid w:val="00F9785F"/>
    <w:rsid w:val="00FA048E"/>
    <w:rsid w:val="00FA0818"/>
    <w:rsid w:val="00FA0F78"/>
    <w:rsid w:val="00FA115B"/>
    <w:rsid w:val="00FA1B7D"/>
    <w:rsid w:val="00FA207A"/>
    <w:rsid w:val="00FA234F"/>
    <w:rsid w:val="00FA2518"/>
    <w:rsid w:val="00FA26BE"/>
    <w:rsid w:val="00FA2C57"/>
    <w:rsid w:val="00FA3335"/>
    <w:rsid w:val="00FA36AD"/>
    <w:rsid w:val="00FA3707"/>
    <w:rsid w:val="00FA3A88"/>
    <w:rsid w:val="00FA3AFE"/>
    <w:rsid w:val="00FA4516"/>
    <w:rsid w:val="00FA459E"/>
    <w:rsid w:val="00FA4DB6"/>
    <w:rsid w:val="00FA5E1A"/>
    <w:rsid w:val="00FA657C"/>
    <w:rsid w:val="00FA67C5"/>
    <w:rsid w:val="00FA72E0"/>
    <w:rsid w:val="00FA77B7"/>
    <w:rsid w:val="00FA7C95"/>
    <w:rsid w:val="00FB08BE"/>
    <w:rsid w:val="00FB0A80"/>
    <w:rsid w:val="00FB0D5D"/>
    <w:rsid w:val="00FB13E1"/>
    <w:rsid w:val="00FB16C0"/>
    <w:rsid w:val="00FB16CE"/>
    <w:rsid w:val="00FB1F02"/>
    <w:rsid w:val="00FB213C"/>
    <w:rsid w:val="00FB2D95"/>
    <w:rsid w:val="00FB33BB"/>
    <w:rsid w:val="00FB3BDE"/>
    <w:rsid w:val="00FB3C55"/>
    <w:rsid w:val="00FB3EE4"/>
    <w:rsid w:val="00FB4063"/>
    <w:rsid w:val="00FB4AA1"/>
    <w:rsid w:val="00FB52FA"/>
    <w:rsid w:val="00FB5569"/>
    <w:rsid w:val="00FB55C6"/>
    <w:rsid w:val="00FB5D48"/>
    <w:rsid w:val="00FB6A4E"/>
    <w:rsid w:val="00FB6BB5"/>
    <w:rsid w:val="00FC07B9"/>
    <w:rsid w:val="00FC0BBE"/>
    <w:rsid w:val="00FC1623"/>
    <w:rsid w:val="00FC1EBD"/>
    <w:rsid w:val="00FC2AF6"/>
    <w:rsid w:val="00FC2D6D"/>
    <w:rsid w:val="00FC3037"/>
    <w:rsid w:val="00FC3170"/>
    <w:rsid w:val="00FC338F"/>
    <w:rsid w:val="00FC388C"/>
    <w:rsid w:val="00FC3E22"/>
    <w:rsid w:val="00FC4E21"/>
    <w:rsid w:val="00FC55BE"/>
    <w:rsid w:val="00FC5DDA"/>
    <w:rsid w:val="00FC5F6D"/>
    <w:rsid w:val="00FC68B1"/>
    <w:rsid w:val="00FC6982"/>
    <w:rsid w:val="00FC6CE3"/>
    <w:rsid w:val="00FC6D20"/>
    <w:rsid w:val="00FC7B05"/>
    <w:rsid w:val="00FD0107"/>
    <w:rsid w:val="00FD0543"/>
    <w:rsid w:val="00FD0BA2"/>
    <w:rsid w:val="00FD1A1E"/>
    <w:rsid w:val="00FD2879"/>
    <w:rsid w:val="00FD2BCE"/>
    <w:rsid w:val="00FD2C2F"/>
    <w:rsid w:val="00FD2C32"/>
    <w:rsid w:val="00FD2D9A"/>
    <w:rsid w:val="00FD3253"/>
    <w:rsid w:val="00FD3B31"/>
    <w:rsid w:val="00FD3E8F"/>
    <w:rsid w:val="00FD4842"/>
    <w:rsid w:val="00FD4CA6"/>
    <w:rsid w:val="00FD4E1E"/>
    <w:rsid w:val="00FD51BA"/>
    <w:rsid w:val="00FD5571"/>
    <w:rsid w:val="00FD595E"/>
    <w:rsid w:val="00FD6272"/>
    <w:rsid w:val="00FD695A"/>
    <w:rsid w:val="00FD6A3F"/>
    <w:rsid w:val="00FD7453"/>
    <w:rsid w:val="00FD7686"/>
    <w:rsid w:val="00FE0E8E"/>
    <w:rsid w:val="00FE0FC3"/>
    <w:rsid w:val="00FE1663"/>
    <w:rsid w:val="00FE16F8"/>
    <w:rsid w:val="00FE1823"/>
    <w:rsid w:val="00FE1AA7"/>
    <w:rsid w:val="00FE1AE8"/>
    <w:rsid w:val="00FE1DC1"/>
    <w:rsid w:val="00FE2CB3"/>
    <w:rsid w:val="00FE3594"/>
    <w:rsid w:val="00FE3836"/>
    <w:rsid w:val="00FE487A"/>
    <w:rsid w:val="00FE48EB"/>
    <w:rsid w:val="00FE4A29"/>
    <w:rsid w:val="00FE4BFB"/>
    <w:rsid w:val="00FE4C0D"/>
    <w:rsid w:val="00FE4D86"/>
    <w:rsid w:val="00FE5825"/>
    <w:rsid w:val="00FE6882"/>
    <w:rsid w:val="00FE6A91"/>
    <w:rsid w:val="00FE6B17"/>
    <w:rsid w:val="00FE6B7B"/>
    <w:rsid w:val="00FE7B09"/>
    <w:rsid w:val="00FE7CE6"/>
    <w:rsid w:val="00FF0569"/>
    <w:rsid w:val="00FF1177"/>
    <w:rsid w:val="00FF206E"/>
    <w:rsid w:val="00FF224B"/>
    <w:rsid w:val="00FF23C4"/>
    <w:rsid w:val="00FF274B"/>
    <w:rsid w:val="00FF28B3"/>
    <w:rsid w:val="00FF2BF5"/>
    <w:rsid w:val="00FF3C69"/>
    <w:rsid w:val="00FF4105"/>
    <w:rsid w:val="00FF479F"/>
    <w:rsid w:val="00FF4BFB"/>
    <w:rsid w:val="00FF5121"/>
    <w:rsid w:val="00FF518B"/>
    <w:rsid w:val="00FF5433"/>
    <w:rsid w:val="00FF5605"/>
    <w:rsid w:val="00FF5C1C"/>
    <w:rsid w:val="00FF5FF2"/>
    <w:rsid w:val="00FF62C6"/>
    <w:rsid w:val="00FF6C48"/>
    <w:rsid w:val="00FF6E0A"/>
    <w:rsid w:val="00FF6EE1"/>
    <w:rsid w:val="00FF78D7"/>
    <w:rsid w:val="00FF7992"/>
    <w:rsid w:val="00FF7BE9"/>
  </w:rsids>
  <m:mathPr>
    <m:mathFont m:val="Cambria Math"/>
    <m:brkBin m:val="before"/>
    <m:brkBinSub m:val="--"/>
    <m:smallFrac/>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colormru v:ext="edit" colors="red,#4d4d4f"/>
    </o:shapedefaults>
    <o:shapelayout v:ext="edit">
      <o:idmap v:ext="edit" data="1"/>
    </o:shapelayout>
  </w:shapeDefaults>
  <w:decimalSymbol w:val="."/>
  <w:listSeparator w:val=","/>
  <w14:docId w14:val="712C72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AU" w:eastAsia="en-AU"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49" w:unhideWhenUsed="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qFormat="1"/>
    <w:lsdException w:name="List Number 3" w:semiHidden="1" w:unhideWhenUsed="1"/>
    <w:lsdException w:name="List Number 4"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qFormat="1"/>
    <w:lsdException w:name="Plain Table 1" w:uiPriority="4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975956"/>
    <w:pPr>
      <w:spacing w:after="240" w:line="240" w:lineRule="atLeast"/>
    </w:pPr>
    <w:rPr>
      <w:rFonts w:ascii="Arial" w:hAnsi="Arial"/>
      <w:sz w:val="20"/>
    </w:rPr>
  </w:style>
  <w:style w:type="paragraph" w:styleId="Heading1">
    <w:name w:val="heading 1"/>
    <w:basedOn w:val="Normal"/>
    <w:next w:val="Normal"/>
    <w:qFormat/>
    <w:rsid w:val="00C55235"/>
    <w:pPr>
      <w:keepNext/>
      <w:pageBreakBefore/>
      <w:widowControl w:val="0"/>
      <w:spacing w:after="360" w:line="550" w:lineRule="exact"/>
      <w:outlineLvl w:val="0"/>
    </w:pPr>
    <w:rPr>
      <w:rFonts w:cs="Arial"/>
      <w:bCs/>
      <w:color w:val="323232"/>
      <w:kern w:val="32"/>
      <w:sz w:val="53"/>
      <w:szCs w:val="32"/>
    </w:rPr>
  </w:style>
  <w:style w:type="paragraph" w:styleId="Heading2">
    <w:name w:val="heading 2"/>
    <w:aliases w:val="RIS Heading 2"/>
    <w:basedOn w:val="Normal"/>
    <w:next w:val="Normal"/>
    <w:link w:val="Heading2Char"/>
    <w:qFormat/>
    <w:rsid w:val="00C55235"/>
    <w:pPr>
      <w:keepNext/>
      <w:spacing w:before="320" w:after="60"/>
      <w:outlineLvl w:val="1"/>
    </w:pPr>
    <w:rPr>
      <w:rFonts w:cs="Arial"/>
      <w:b/>
      <w:bCs/>
      <w:iCs/>
      <w:sz w:val="28"/>
      <w:szCs w:val="28"/>
    </w:rPr>
  </w:style>
  <w:style w:type="paragraph" w:styleId="Heading3">
    <w:name w:val="heading 3"/>
    <w:basedOn w:val="Normal"/>
    <w:next w:val="Normal"/>
    <w:link w:val="Heading3Char"/>
    <w:qFormat/>
    <w:rsid w:val="00C55235"/>
    <w:pPr>
      <w:keepNext/>
      <w:spacing w:before="60" w:after="60"/>
      <w:outlineLvl w:val="2"/>
    </w:pPr>
    <w:rPr>
      <w:rFonts w:cs="Arial"/>
      <w:b/>
      <w:bCs/>
      <w:szCs w:val="26"/>
    </w:rPr>
  </w:style>
  <w:style w:type="paragraph" w:styleId="Heading4">
    <w:name w:val="heading 4"/>
    <w:basedOn w:val="Normal"/>
    <w:next w:val="Normal"/>
    <w:semiHidden/>
    <w:qFormat/>
    <w:rsid w:val="00AD5436"/>
    <w:pPr>
      <w:keepNext/>
      <w:numPr>
        <w:ilvl w:val="3"/>
        <w:numId w:val="4"/>
      </w:numPr>
      <w:spacing w:before="240" w:after="60"/>
      <w:outlineLvl w:val="3"/>
    </w:pPr>
    <w:rPr>
      <w:rFonts w:ascii="Times New Roman" w:hAnsi="Times New Roman"/>
      <w:b/>
      <w:bCs/>
      <w:sz w:val="28"/>
      <w:szCs w:val="28"/>
    </w:rPr>
  </w:style>
  <w:style w:type="paragraph" w:styleId="Heading5">
    <w:name w:val="heading 5"/>
    <w:basedOn w:val="Normal"/>
    <w:next w:val="Normal"/>
    <w:semiHidden/>
    <w:qFormat/>
    <w:rsid w:val="00AD5436"/>
    <w:pPr>
      <w:numPr>
        <w:ilvl w:val="4"/>
        <w:numId w:val="4"/>
      </w:numPr>
      <w:spacing w:before="240" w:after="60"/>
      <w:outlineLvl w:val="4"/>
    </w:pPr>
    <w:rPr>
      <w:b/>
      <w:bCs/>
      <w:i/>
      <w:iCs/>
      <w:sz w:val="26"/>
      <w:szCs w:val="26"/>
    </w:rPr>
  </w:style>
  <w:style w:type="paragraph" w:styleId="Heading6">
    <w:name w:val="heading 6"/>
    <w:basedOn w:val="Normal"/>
    <w:next w:val="Normal"/>
    <w:semiHidden/>
    <w:qFormat/>
    <w:rsid w:val="00AD5436"/>
    <w:pPr>
      <w:numPr>
        <w:ilvl w:val="5"/>
        <w:numId w:val="4"/>
      </w:numPr>
      <w:spacing w:before="240" w:after="60"/>
      <w:outlineLvl w:val="5"/>
    </w:pPr>
    <w:rPr>
      <w:rFonts w:ascii="Times New Roman" w:hAnsi="Times New Roman"/>
      <w:b/>
      <w:bCs/>
      <w:sz w:val="22"/>
      <w:szCs w:val="22"/>
    </w:rPr>
  </w:style>
  <w:style w:type="paragraph" w:styleId="Heading7">
    <w:name w:val="heading 7"/>
    <w:basedOn w:val="Normal"/>
    <w:next w:val="Normal"/>
    <w:semiHidden/>
    <w:qFormat/>
    <w:rsid w:val="00AD5436"/>
    <w:pPr>
      <w:numPr>
        <w:ilvl w:val="6"/>
        <w:numId w:val="4"/>
      </w:numPr>
      <w:spacing w:before="240" w:after="60"/>
      <w:outlineLvl w:val="6"/>
    </w:pPr>
    <w:rPr>
      <w:rFonts w:ascii="Times New Roman" w:hAnsi="Times New Roman"/>
      <w:sz w:val="24"/>
    </w:rPr>
  </w:style>
  <w:style w:type="paragraph" w:styleId="Heading8">
    <w:name w:val="heading 8"/>
    <w:basedOn w:val="Normal"/>
    <w:next w:val="Normal"/>
    <w:semiHidden/>
    <w:qFormat/>
    <w:rsid w:val="00AD5436"/>
    <w:pPr>
      <w:numPr>
        <w:ilvl w:val="7"/>
        <w:numId w:val="4"/>
      </w:numPr>
      <w:spacing w:before="240" w:after="60"/>
      <w:outlineLvl w:val="7"/>
    </w:pPr>
    <w:rPr>
      <w:rFonts w:ascii="Times New Roman" w:hAnsi="Times New Roman"/>
      <w:i/>
      <w:iCs/>
      <w:sz w:val="24"/>
    </w:rPr>
  </w:style>
  <w:style w:type="paragraph" w:styleId="Heading9">
    <w:name w:val="heading 9"/>
    <w:basedOn w:val="Normal"/>
    <w:next w:val="Normal"/>
    <w:semiHidden/>
    <w:qFormat/>
    <w:rsid w:val="00AD5436"/>
    <w:pPr>
      <w:numPr>
        <w:ilvl w:val="8"/>
        <w:numId w:val="4"/>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semiHidden/>
    <w:rsid w:val="0070791C"/>
    <w:pPr>
      <w:tabs>
        <w:tab w:val="center" w:pos="4153"/>
        <w:tab w:val="right" w:pos="8306"/>
      </w:tabs>
      <w:spacing w:line="240" w:lineRule="auto"/>
    </w:pPr>
    <w:rPr>
      <w:sz w:val="16"/>
    </w:rPr>
  </w:style>
  <w:style w:type="paragraph" w:styleId="Footer">
    <w:name w:val="footer"/>
    <w:basedOn w:val="Normal"/>
    <w:link w:val="FooterChar"/>
    <w:qFormat/>
    <w:rsid w:val="0094078F"/>
    <w:pPr>
      <w:tabs>
        <w:tab w:val="right" w:pos="113"/>
      </w:tabs>
      <w:spacing w:line="240" w:lineRule="auto"/>
    </w:pPr>
    <w:rPr>
      <w:color w:val="323232"/>
      <w:sz w:val="16"/>
    </w:rPr>
  </w:style>
  <w:style w:type="character" w:customStyle="1" w:styleId="FooterChar">
    <w:name w:val="Footer Char"/>
    <w:basedOn w:val="DefaultParagraphFont"/>
    <w:link w:val="Footer"/>
    <w:rsid w:val="0094078F"/>
    <w:rPr>
      <w:rFonts w:ascii="Arial" w:hAnsi="Arial"/>
      <w:color w:val="323232"/>
      <w:sz w:val="16"/>
    </w:rPr>
  </w:style>
  <w:style w:type="paragraph" w:customStyle="1" w:styleId="ACMAReportTitle">
    <w:name w:val="ACMA_ReportTitle"/>
    <w:basedOn w:val="Normal"/>
    <w:qFormat/>
    <w:rsid w:val="00A51D1A"/>
    <w:pPr>
      <w:spacing w:after="0" w:line="560" w:lineRule="exact"/>
    </w:pPr>
    <w:rPr>
      <w:b/>
      <w:spacing w:val="-28"/>
      <w:sz w:val="53"/>
    </w:rPr>
  </w:style>
  <w:style w:type="paragraph" w:customStyle="1" w:styleId="ACMAReportSubTitle">
    <w:name w:val="ACMA_ReportSubTitle"/>
    <w:basedOn w:val="Normal"/>
    <w:qFormat/>
    <w:rsid w:val="00950159"/>
    <w:pPr>
      <w:spacing w:after="200" w:line="560" w:lineRule="exact"/>
    </w:pPr>
    <w:rPr>
      <w:color w:val="323232"/>
      <w:spacing w:val="-28"/>
      <w:sz w:val="53"/>
    </w:rPr>
  </w:style>
  <w:style w:type="table" w:styleId="TableGrid">
    <w:name w:val="Table Grid"/>
    <w:basedOn w:val="TableNormal"/>
    <w:uiPriority w:val="39"/>
    <w:rsid w:val="00226819"/>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MAReportDate">
    <w:name w:val="ACMA_ReportDate"/>
    <w:basedOn w:val="ACMAReportSubTitle"/>
    <w:qFormat/>
    <w:rsid w:val="00950159"/>
    <w:pPr>
      <w:spacing w:after="1200" w:line="240" w:lineRule="auto"/>
    </w:pPr>
    <w:rPr>
      <w:caps/>
      <w:spacing w:val="-10"/>
      <w:sz w:val="20"/>
    </w:rPr>
  </w:style>
  <w:style w:type="paragraph" w:customStyle="1" w:styleId="TableHeading">
    <w:name w:val="Table Heading"/>
    <w:basedOn w:val="Normal"/>
    <w:qFormat/>
    <w:rsid w:val="00774FDB"/>
    <w:pPr>
      <w:spacing w:after="0"/>
    </w:pPr>
    <w:rPr>
      <w:b/>
    </w:rPr>
  </w:style>
  <w:style w:type="paragraph" w:customStyle="1" w:styleId="PageNumber">
    <w:name w:val="PageNumber"/>
    <w:basedOn w:val="Normal"/>
    <w:semiHidden/>
    <w:rsid w:val="0070791C"/>
    <w:pPr>
      <w:spacing w:line="240" w:lineRule="auto"/>
    </w:pPr>
    <w:rPr>
      <w:sz w:val="16"/>
    </w:rPr>
  </w:style>
  <w:style w:type="paragraph" w:customStyle="1" w:styleId="Copyright">
    <w:name w:val="Copyright"/>
    <w:basedOn w:val="Normal"/>
    <w:semiHidden/>
    <w:rsid w:val="00454596"/>
    <w:pPr>
      <w:spacing w:line="160" w:lineRule="exact"/>
    </w:pPr>
    <w:rPr>
      <w:color w:val="4D4D4F"/>
      <w:sz w:val="13"/>
    </w:rPr>
  </w:style>
  <w:style w:type="paragraph" w:styleId="TOCHeading">
    <w:name w:val="TOC Heading"/>
    <w:basedOn w:val="Normal"/>
    <w:qFormat/>
    <w:rsid w:val="00950159"/>
    <w:pPr>
      <w:spacing w:before="1200" w:line="240" w:lineRule="auto"/>
    </w:pPr>
    <w:rPr>
      <w:b/>
      <w:color w:val="323232"/>
      <w:spacing w:val="-28"/>
      <w:sz w:val="53"/>
    </w:rPr>
  </w:style>
  <w:style w:type="paragraph" w:styleId="Caption">
    <w:name w:val="caption"/>
    <w:aliases w:val="Caption table"/>
    <w:basedOn w:val="Normal"/>
    <w:next w:val="Normal"/>
    <w:qFormat/>
    <w:rsid w:val="00E8152A"/>
    <w:pPr>
      <w:numPr>
        <w:numId w:val="8"/>
      </w:numPr>
      <w:spacing w:after="0"/>
    </w:pPr>
    <w:rPr>
      <w:b/>
      <w:bCs/>
      <w:color w:val="323232"/>
      <w:szCs w:val="20"/>
    </w:rPr>
  </w:style>
  <w:style w:type="paragraph" w:customStyle="1" w:styleId="BodySubHeader">
    <w:name w:val="BodySubHeader"/>
    <w:basedOn w:val="Normal"/>
    <w:next w:val="Normal"/>
    <w:qFormat/>
    <w:rsid w:val="00146CE6"/>
    <w:pPr>
      <w:spacing w:before="240" w:after="0"/>
    </w:pPr>
    <w:rPr>
      <w:b/>
      <w:i/>
    </w:rPr>
  </w:style>
  <w:style w:type="paragraph" w:styleId="ListBullet">
    <w:name w:val="List Bullet"/>
    <w:aliases w:val="List Bullet 1"/>
    <w:basedOn w:val="Normal"/>
    <w:link w:val="ListBulletChar"/>
    <w:uiPriority w:val="99"/>
    <w:qFormat/>
    <w:rsid w:val="00D37B90"/>
    <w:pPr>
      <w:numPr>
        <w:numId w:val="1"/>
      </w:numPr>
      <w:spacing w:after="80"/>
    </w:pPr>
  </w:style>
  <w:style w:type="paragraph" w:styleId="ListBullet2">
    <w:name w:val="List Bullet 2"/>
    <w:basedOn w:val="Normal"/>
    <w:qFormat/>
    <w:rsid w:val="00A46FAE"/>
    <w:pPr>
      <w:numPr>
        <w:numId w:val="10"/>
      </w:numPr>
      <w:spacing w:after="80"/>
    </w:pPr>
  </w:style>
  <w:style w:type="paragraph" w:styleId="ListNumber">
    <w:name w:val="List Number"/>
    <w:basedOn w:val="Normal"/>
    <w:qFormat/>
    <w:rsid w:val="00C24A53"/>
    <w:pPr>
      <w:numPr>
        <w:numId w:val="2"/>
      </w:numPr>
      <w:spacing w:after="80"/>
    </w:pPr>
  </w:style>
  <w:style w:type="paragraph" w:styleId="ListNumber2">
    <w:name w:val="List Number 2"/>
    <w:basedOn w:val="Normal"/>
    <w:qFormat/>
    <w:rsid w:val="00247C59"/>
    <w:pPr>
      <w:numPr>
        <w:numId w:val="3"/>
      </w:numPr>
      <w:spacing w:after="80"/>
    </w:pPr>
  </w:style>
  <w:style w:type="paragraph" w:customStyle="1" w:styleId="URLEmail">
    <w:name w:val="URL/Email"/>
    <w:basedOn w:val="Normal"/>
    <w:semiHidden/>
    <w:rsid w:val="00302480"/>
    <w:rPr>
      <w:color w:val="4D4D4F"/>
      <w:spacing w:val="4"/>
    </w:rPr>
  </w:style>
  <w:style w:type="paragraph" w:customStyle="1" w:styleId="ACMAExecSummaryHeading">
    <w:name w:val="ACMA_ExecSummaryHeading"/>
    <w:basedOn w:val="Normal"/>
    <w:qFormat/>
    <w:rsid w:val="00950159"/>
    <w:pPr>
      <w:spacing w:after="1440" w:line="550" w:lineRule="exact"/>
    </w:pPr>
    <w:rPr>
      <w:b/>
      <w:color w:val="323232"/>
      <w:spacing w:val="-18"/>
      <w:sz w:val="53"/>
    </w:rPr>
  </w:style>
  <w:style w:type="character" w:styleId="PageNumber0">
    <w:name w:val="page number"/>
    <w:basedOn w:val="DefaultParagraphFont"/>
    <w:semiHidden/>
    <w:rsid w:val="00542377"/>
  </w:style>
  <w:style w:type="paragraph" w:styleId="BalloonText">
    <w:name w:val="Balloon Text"/>
    <w:basedOn w:val="Normal"/>
    <w:link w:val="BalloonTextChar"/>
    <w:semiHidden/>
    <w:rsid w:val="009F4C6B"/>
    <w:pPr>
      <w:spacing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6A6DA2"/>
    <w:rPr>
      <w:rFonts w:ascii="Tahoma" w:hAnsi="Tahoma" w:cs="Tahoma"/>
      <w:sz w:val="16"/>
      <w:szCs w:val="16"/>
    </w:rPr>
  </w:style>
  <w:style w:type="paragraph" w:styleId="TOC1">
    <w:name w:val="toc 1"/>
    <w:basedOn w:val="Normal"/>
    <w:next w:val="Normal"/>
    <w:uiPriority w:val="39"/>
    <w:qFormat/>
    <w:rsid w:val="007A6CC0"/>
    <w:pPr>
      <w:tabs>
        <w:tab w:val="right" w:pos="7660"/>
      </w:tabs>
      <w:spacing w:before="280" w:after="80" w:line="320" w:lineRule="exact"/>
      <w:ind w:right="851"/>
    </w:pPr>
    <w:rPr>
      <w:b/>
      <w:noProof/>
      <w:spacing w:val="-14"/>
      <w:sz w:val="28"/>
    </w:rPr>
  </w:style>
  <w:style w:type="paragraph" w:styleId="TOC2">
    <w:name w:val="toc 2"/>
    <w:basedOn w:val="Normal"/>
    <w:next w:val="Normal"/>
    <w:uiPriority w:val="39"/>
    <w:qFormat/>
    <w:rsid w:val="007A6CC0"/>
    <w:pPr>
      <w:tabs>
        <w:tab w:val="right" w:pos="7660"/>
      </w:tabs>
      <w:spacing w:after="80" w:line="300" w:lineRule="exact"/>
      <w:ind w:left="885" w:hanging="885"/>
    </w:pPr>
    <w:rPr>
      <w:noProof/>
      <w:spacing w:val="-14"/>
      <w:sz w:val="26"/>
      <w:szCs w:val="26"/>
    </w:rPr>
  </w:style>
  <w:style w:type="paragraph" w:styleId="TableofFigures">
    <w:name w:val="table of figures"/>
    <w:basedOn w:val="Normal"/>
    <w:next w:val="Normal"/>
    <w:semiHidden/>
    <w:rsid w:val="00AD3082"/>
    <w:pPr>
      <w:tabs>
        <w:tab w:val="right" w:pos="7615"/>
      </w:tabs>
      <w:spacing w:line="320" w:lineRule="exact"/>
    </w:pPr>
    <w:rPr>
      <w:noProof/>
      <w:color w:val="808285"/>
      <w:sz w:val="28"/>
    </w:rPr>
  </w:style>
  <w:style w:type="paragraph" w:styleId="TOC3">
    <w:name w:val="toc 3"/>
    <w:basedOn w:val="Normal"/>
    <w:next w:val="Normal"/>
    <w:uiPriority w:val="39"/>
    <w:qFormat/>
    <w:rsid w:val="007A6CC0"/>
    <w:pPr>
      <w:tabs>
        <w:tab w:val="right" w:pos="7661"/>
      </w:tabs>
      <w:spacing w:after="80" w:line="240" w:lineRule="auto"/>
    </w:pPr>
    <w:rPr>
      <w:noProof/>
      <w:sz w:val="22"/>
      <w:szCs w:val="22"/>
    </w:rPr>
  </w:style>
  <w:style w:type="character" w:styleId="Hyperlink">
    <w:name w:val="Hyperlink"/>
    <w:aliases w:val="CEO_Hyperlink"/>
    <w:basedOn w:val="DefaultParagraphFont"/>
    <w:uiPriority w:val="99"/>
    <w:qFormat/>
    <w:rsid w:val="003A5F5B"/>
    <w:rPr>
      <w:color w:val="0000FF"/>
      <w:u w:val="single"/>
    </w:rPr>
  </w:style>
  <w:style w:type="character" w:styleId="FootnoteReference">
    <w:name w:val="footnote reference"/>
    <w:aliases w:val="Appel note de bas de p,Appel note de bas de p + 11 pt,Italic,Footnote,Style 12,(NECG) Footnote Reference,Style 124,o,fr,Style 3,Appel note de bas de p1,Appel note de bas de p2,Appel note de bas de p3,Footnote Reference/"/>
    <w:basedOn w:val="DefaultParagraphFont"/>
    <w:uiPriority w:val="99"/>
    <w:rsid w:val="00566AB4"/>
    <w:rPr>
      <w:rFonts w:ascii="Arial" w:hAnsi="Arial"/>
      <w:vertAlign w:val="superscript"/>
    </w:rPr>
  </w:style>
  <w:style w:type="paragraph" w:styleId="FootnoteText">
    <w:name w:val="footnote text"/>
    <w:aliases w:val="ACMA Footnote Text,footnote text,Footnote Text Char1,Footnote Text Char Char,Footnote Text Char1 Char Char,Footnote Text Char Char Char Char,Footnote Text Char1 Char Char Char Char,Footnote Text Char Char Char Char Char Char,f,fn"/>
    <w:basedOn w:val="Normal"/>
    <w:link w:val="FootnoteTextChar"/>
    <w:rsid w:val="00566AB4"/>
    <w:rPr>
      <w:sz w:val="16"/>
      <w:szCs w:val="16"/>
    </w:rPr>
  </w:style>
  <w:style w:type="paragraph" w:customStyle="1" w:styleId="TableBody">
    <w:name w:val="Table Body"/>
    <w:basedOn w:val="Normal"/>
    <w:qFormat/>
    <w:rsid w:val="00774FDB"/>
    <w:pPr>
      <w:spacing w:after="0" w:line="240" w:lineRule="auto"/>
    </w:pPr>
  </w:style>
  <w:style w:type="character" w:styleId="CommentReference">
    <w:name w:val="annotation reference"/>
    <w:basedOn w:val="DefaultParagraphFont"/>
    <w:uiPriority w:val="99"/>
    <w:semiHidden/>
    <w:rsid w:val="00EE7F79"/>
    <w:rPr>
      <w:sz w:val="16"/>
      <w:szCs w:val="16"/>
    </w:rPr>
  </w:style>
  <w:style w:type="paragraph" w:styleId="CommentText">
    <w:name w:val="annotation text"/>
    <w:basedOn w:val="Normal"/>
    <w:link w:val="CommentTextChar"/>
    <w:uiPriority w:val="49"/>
    <w:semiHidden/>
    <w:rsid w:val="00EE7F79"/>
    <w:pPr>
      <w:spacing w:line="240" w:lineRule="auto"/>
    </w:pPr>
    <w:rPr>
      <w:szCs w:val="20"/>
    </w:rPr>
  </w:style>
  <w:style w:type="character" w:customStyle="1" w:styleId="CommentTextChar">
    <w:name w:val="Comment Text Char"/>
    <w:basedOn w:val="DefaultParagraphFont"/>
    <w:link w:val="CommentText"/>
    <w:uiPriority w:val="49"/>
    <w:semiHidden/>
    <w:rsid w:val="00EE7F79"/>
    <w:rPr>
      <w:rFonts w:ascii="Arial" w:hAnsi="Arial"/>
    </w:rPr>
  </w:style>
  <w:style w:type="paragraph" w:styleId="CommentSubject">
    <w:name w:val="annotation subject"/>
    <w:basedOn w:val="CommentText"/>
    <w:next w:val="CommentText"/>
    <w:link w:val="CommentSubjectChar"/>
    <w:semiHidden/>
    <w:rsid w:val="00EE7F79"/>
    <w:rPr>
      <w:b/>
      <w:bCs/>
    </w:rPr>
  </w:style>
  <w:style w:type="character" w:customStyle="1" w:styleId="CommentSubjectChar">
    <w:name w:val="Comment Subject Char"/>
    <w:basedOn w:val="CommentTextChar"/>
    <w:link w:val="CommentSubject"/>
    <w:semiHidden/>
    <w:rsid w:val="00EE7F79"/>
    <w:rPr>
      <w:rFonts w:ascii="Arial" w:hAnsi="Arial"/>
      <w:b/>
      <w:bCs/>
    </w:rPr>
  </w:style>
  <w:style w:type="character" w:styleId="FollowedHyperlink">
    <w:name w:val="FollowedHyperlink"/>
    <w:basedOn w:val="DefaultParagraphFont"/>
    <w:semiHidden/>
    <w:rsid w:val="00F60F00"/>
    <w:rPr>
      <w:color w:val="800080" w:themeColor="followedHyperlink"/>
      <w:u w:val="single"/>
    </w:rPr>
  </w:style>
  <w:style w:type="character" w:styleId="PlaceholderText">
    <w:name w:val="Placeholder Text"/>
    <w:basedOn w:val="DefaultParagraphFont"/>
    <w:uiPriority w:val="99"/>
    <w:semiHidden/>
    <w:rsid w:val="00C97736"/>
    <w:rPr>
      <w:color w:val="808080"/>
    </w:rPr>
  </w:style>
  <w:style w:type="paragraph" w:customStyle="1" w:styleId="ACMAInstructions">
    <w:name w:val="ACMA_Instructions"/>
    <w:basedOn w:val="Normal"/>
    <w:qFormat/>
    <w:rsid w:val="00BF610C"/>
    <w:pPr>
      <w:spacing w:after="200"/>
    </w:pPr>
    <w:rPr>
      <w:rFonts w:cs="Arial"/>
      <w:b/>
      <w:vanish/>
      <w:sz w:val="24"/>
    </w:rPr>
  </w:style>
  <w:style w:type="paragraph" w:customStyle="1" w:styleId="CorporateAddresses">
    <w:name w:val="Corporate Addresses"/>
    <w:basedOn w:val="Normal"/>
    <w:semiHidden/>
    <w:rsid w:val="0005011A"/>
    <w:pPr>
      <w:spacing w:line="140" w:lineRule="exact"/>
    </w:pPr>
    <w:rPr>
      <w:color w:val="4D4D4F"/>
      <w:sz w:val="13"/>
    </w:rPr>
  </w:style>
  <w:style w:type="character" w:styleId="Strong">
    <w:name w:val="Strong"/>
    <w:basedOn w:val="DefaultParagraphFont"/>
    <w:semiHidden/>
    <w:qFormat/>
    <w:rsid w:val="0005011A"/>
    <w:rPr>
      <w:b/>
      <w:bCs/>
    </w:rPr>
  </w:style>
  <w:style w:type="paragraph" w:customStyle="1" w:styleId="ACMACorporateAddressHeader">
    <w:name w:val="ACMA_CorporateAddressHeader"/>
    <w:basedOn w:val="Normal"/>
    <w:next w:val="ACMACorporateAddresses"/>
    <w:qFormat/>
    <w:rsid w:val="00FC07B9"/>
    <w:pPr>
      <w:tabs>
        <w:tab w:val="left" w:pos="142"/>
      </w:tabs>
      <w:spacing w:before="240" w:after="0" w:line="140" w:lineRule="exact"/>
    </w:pPr>
    <w:rPr>
      <w:b/>
      <w:sz w:val="13"/>
    </w:rPr>
  </w:style>
  <w:style w:type="paragraph" w:customStyle="1" w:styleId="ACMACorporateAddresses">
    <w:name w:val="ACMA_CorporateAddresses"/>
    <w:basedOn w:val="ACMACorporateAddressHeader"/>
    <w:qFormat/>
    <w:rsid w:val="00FC07B9"/>
    <w:pPr>
      <w:spacing w:before="0" w:after="120"/>
    </w:pPr>
    <w:rPr>
      <w:b w:val="0"/>
    </w:rPr>
  </w:style>
  <w:style w:type="paragraph" w:customStyle="1" w:styleId="ACMACopyrightHeader">
    <w:name w:val="ACMA_CopyrightHeader"/>
    <w:basedOn w:val="ACMACorporateAddressHeader"/>
    <w:qFormat/>
    <w:rsid w:val="00950159"/>
    <w:pPr>
      <w:spacing w:before="3000"/>
    </w:pPr>
  </w:style>
  <w:style w:type="paragraph" w:customStyle="1" w:styleId="ACMACClogo">
    <w:name w:val="ACMA_CClogo"/>
    <w:qFormat/>
    <w:rsid w:val="00623FF9"/>
    <w:pPr>
      <w:spacing w:before="160" w:after="120"/>
    </w:pPr>
    <w:rPr>
      <w:rFonts w:ascii="Arial" w:hAnsi="Arial"/>
      <w:b/>
      <w:sz w:val="13"/>
    </w:rPr>
  </w:style>
  <w:style w:type="paragraph" w:customStyle="1" w:styleId="ListBulletLast">
    <w:name w:val="List Bullet Last"/>
    <w:basedOn w:val="ListBullet"/>
    <w:qFormat/>
    <w:rsid w:val="00D37B90"/>
    <w:pPr>
      <w:spacing w:after="240"/>
    </w:pPr>
    <w:rPr>
      <w:rFonts w:cs="Arial"/>
    </w:rPr>
  </w:style>
  <w:style w:type="paragraph" w:customStyle="1" w:styleId="ListNumberLast">
    <w:name w:val="List Number Last"/>
    <w:basedOn w:val="ListNumber"/>
    <w:qFormat/>
    <w:rsid w:val="00C16198"/>
    <w:pPr>
      <w:spacing w:after="240"/>
      <w:ind w:left="357" w:hanging="357"/>
    </w:pPr>
    <w:rPr>
      <w:rFonts w:cs="Arial"/>
    </w:rPr>
  </w:style>
  <w:style w:type="paragraph" w:customStyle="1" w:styleId="ACMATableHeader">
    <w:name w:val="ACMA_TableHeader"/>
    <w:qFormat/>
    <w:rsid w:val="003F10EE"/>
    <w:pPr>
      <w:numPr>
        <w:numId w:val="6"/>
      </w:numPr>
      <w:spacing w:after="160"/>
    </w:pPr>
    <w:rPr>
      <w:rFonts w:ascii="Arial" w:hAnsi="Arial"/>
      <w:b/>
      <w:bCs/>
      <w:color w:val="323232"/>
      <w:sz w:val="20"/>
      <w:szCs w:val="20"/>
    </w:rPr>
  </w:style>
  <w:style w:type="paragraph" w:customStyle="1" w:styleId="ACMANotes">
    <w:name w:val="ACMA_Notes"/>
    <w:qFormat/>
    <w:rsid w:val="00FF206E"/>
    <w:pPr>
      <w:spacing w:before="80"/>
    </w:pPr>
    <w:rPr>
      <w:rFonts w:ascii="Arial" w:hAnsi="Arial" w:cs="Arial"/>
      <w:i/>
      <w:sz w:val="16"/>
    </w:rPr>
  </w:style>
  <w:style w:type="paragraph" w:customStyle="1" w:styleId="ACMANormalTabbed">
    <w:name w:val="ACMA_NormalTabbed"/>
    <w:basedOn w:val="Normal"/>
    <w:qFormat/>
    <w:rsid w:val="005E7226"/>
    <w:pPr>
      <w:tabs>
        <w:tab w:val="left" w:pos="1134"/>
      </w:tabs>
    </w:pPr>
  </w:style>
  <w:style w:type="character" w:styleId="Emphasis">
    <w:name w:val="Emphasis"/>
    <w:basedOn w:val="DefaultParagraphFont"/>
    <w:qFormat/>
    <w:rsid w:val="006D576C"/>
    <w:rPr>
      <w:i/>
      <w:iCs/>
    </w:rPr>
  </w:style>
  <w:style w:type="paragraph" w:customStyle="1" w:styleId="ListNumber2Last">
    <w:name w:val="List Number 2 Last"/>
    <w:basedOn w:val="ListNumber2"/>
    <w:qFormat/>
    <w:rsid w:val="00E35707"/>
    <w:pPr>
      <w:spacing w:after="240"/>
      <w:ind w:left="907"/>
    </w:pPr>
    <w:rPr>
      <w:rFonts w:cs="Arial"/>
    </w:rPr>
  </w:style>
  <w:style w:type="paragraph" w:customStyle="1" w:styleId="ACMASpaceaftertable">
    <w:name w:val="ACMA_Space after table"/>
    <w:basedOn w:val="Normal"/>
    <w:qFormat/>
    <w:rsid w:val="00C2083D"/>
    <w:rPr>
      <w:rFonts w:cs="Arial"/>
    </w:rPr>
  </w:style>
  <w:style w:type="paragraph" w:customStyle="1" w:styleId="FooterLeft">
    <w:name w:val="Footer Left"/>
    <w:basedOn w:val="Footer"/>
    <w:qFormat/>
    <w:rsid w:val="00950159"/>
    <w:pPr>
      <w:framePr w:w="1440" w:h="357" w:hRule="exact" w:vSpace="425" w:wrap="around" w:vAnchor="page" w:hAnchor="page" w:x="935" w:y="15871"/>
      <w:pBdr>
        <w:top w:val="single" w:sz="4" w:space="1" w:color="auto"/>
      </w:pBdr>
    </w:pPr>
    <w:rPr>
      <w:rFonts w:cs="Arial"/>
    </w:rPr>
  </w:style>
  <w:style w:type="paragraph" w:customStyle="1" w:styleId="ACMAFigureHeader">
    <w:name w:val="ACMA_FigureHeader"/>
    <w:qFormat/>
    <w:rsid w:val="003F10EE"/>
    <w:pPr>
      <w:numPr>
        <w:numId w:val="5"/>
      </w:numPr>
      <w:spacing w:after="160"/>
    </w:pPr>
    <w:rPr>
      <w:rFonts w:ascii="Arial" w:hAnsi="Arial"/>
      <w:b/>
      <w:bCs/>
      <w:color w:val="323232"/>
      <w:sz w:val="20"/>
      <w:szCs w:val="20"/>
    </w:rPr>
  </w:style>
  <w:style w:type="paragraph" w:customStyle="1" w:styleId="Captionfigure">
    <w:name w:val="Caption figure"/>
    <w:basedOn w:val="Caption"/>
    <w:qFormat/>
    <w:rsid w:val="00E8152A"/>
    <w:pPr>
      <w:keepNext/>
      <w:numPr>
        <w:numId w:val="7"/>
      </w:numPr>
    </w:pPr>
    <w:rPr>
      <w:rFonts w:cs="Arial"/>
    </w:rPr>
  </w:style>
  <w:style w:type="paragraph" w:customStyle="1" w:styleId="GridTable31">
    <w:name w:val="Grid Table 31"/>
    <w:basedOn w:val="Normal"/>
    <w:qFormat/>
    <w:rsid w:val="00971914"/>
    <w:pPr>
      <w:spacing w:after="0" w:line="240" w:lineRule="auto"/>
    </w:pPr>
    <w:rPr>
      <w:b/>
      <w:color w:val="4D4D4F"/>
      <w:spacing w:val="-28"/>
      <w:sz w:val="53"/>
    </w:rPr>
  </w:style>
  <w:style w:type="character" w:customStyle="1" w:styleId="HeaderChar">
    <w:name w:val="Header Char"/>
    <w:link w:val="Header"/>
    <w:semiHidden/>
    <w:rsid w:val="00971914"/>
    <w:rPr>
      <w:rFonts w:ascii="Arial" w:hAnsi="Arial"/>
      <w:sz w:val="16"/>
    </w:rPr>
  </w:style>
  <w:style w:type="character" w:customStyle="1" w:styleId="Heading2Char">
    <w:name w:val="Heading 2 Char"/>
    <w:aliases w:val="RIS Heading 2 Char"/>
    <w:basedOn w:val="DefaultParagraphFont"/>
    <w:link w:val="Heading2"/>
    <w:rsid w:val="00C944ED"/>
    <w:rPr>
      <w:rFonts w:ascii="Arial" w:hAnsi="Arial" w:cs="Arial"/>
      <w:b/>
      <w:bCs/>
      <w:iCs/>
      <w:sz w:val="28"/>
      <w:szCs w:val="28"/>
    </w:rPr>
  </w:style>
  <w:style w:type="character" w:customStyle="1" w:styleId="Heading3Char">
    <w:name w:val="Heading 3 Char"/>
    <w:basedOn w:val="DefaultParagraphFont"/>
    <w:link w:val="Heading3"/>
    <w:rsid w:val="00C944ED"/>
    <w:rPr>
      <w:rFonts w:ascii="Arial" w:hAnsi="Arial" w:cs="Arial"/>
      <w:b/>
      <w:bCs/>
      <w:sz w:val="20"/>
      <w:szCs w:val="26"/>
    </w:rPr>
  </w:style>
  <w:style w:type="paragraph" w:customStyle="1" w:styleId="Bodysubheader0">
    <w:name w:val="Body sub header"/>
    <w:basedOn w:val="Normal"/>
    <w:next w:val="Normal"/>
    <w:rsid w:val="005D7BB8"/>
    <w:pPr>
      <w:spacing w:after="0"/>
    </w:pPr>
    <w:rPr>
      <w:b/>
      <w:i/>
    </w:rPr>
  </w:style>
  <w:style w:type="paragraph" w:customStyle="1" w:styleId="Default">
    <w:name w:val="Default"/>
    <w:rsid w:val="002D35A8"/>
    <w:pPr>
      <w:autoSpaceDE w:val="0"/>
      <w:autoSpaceDN w:val="0"/>
      <w:adjustRightInd w:val="0"/>
    </w:pPr>
    <w:rPr>
      <w:rFonts w:ascii="Calibri" w:hAnsi="Calibri" w:cs="Calibri"/>
      <w:color w:val="000000"/>
    </w:rPr>
  </w:style>
  <w:style w:type="paragraph" w:styleId="BodyText">
    <w:name w:val="Body Text"/>
    <w:basedOn w:val="Normal"/>
    <w:link w:val="BodyTextChar1"/>
    <w:autoRedefine/>
    <w:qFormat/>
    <w:rsid w:val="00DC7FCF"/>
    <w:pPr>
      <w:spacing w:before="120" w:line="320" w:lineRule="exact"/>
      <w:jc w:val="both"/>
    </w:pPr>
    <w:rPr>
      <w:rFonts w:ascii="Verdana" w:eastAsia="'宋体" w:hAnsi="Verdana" w:cs="Arial"/>
      <w:sz w:val="22"/>
      <w:szCs w:val="22"/>
    </w:rPr>
  </w:style>
  <w:style w:type="character" w:customStyle="1" w:styleId="BodyTextChar">
    <w:name w:val="Body Text Char"/>
    <w:basedOn w:val="DefaultParagraphFont"/>
    <w:semiHidden/>
    <w:rsid w:val="00DC7FCF"/>
    <w:rPr>
      <w:rFonts w:ascii="Arial" w:hAnsi="Arial"/>
      <w:sz w:val="20"/>
    </w:rPr>
  </w:style>
  <w:style w:type="character" w:customStyle="1" w:styleId="BodyTextChar1">
    <w:name w:val="Body Text Char1"/>
    <w:basedOn w:val="DefaultParagraphFont"/>
    <w:link w:val="BodyText"/>
    <w:rsid w:val="00DC7FCF"/>
    <w:rPr>
      <w:rFonts w:ascii="Verdana" w:eastAsia="'宋体" w:hAnsi="Verdana" w:cs="Arial"/>
      <w:sz w:val="22"/>
      <w:szCs w:val="22"/>
    </w:rPr>
  </w:style>
  <w:style w:type="character" w:customStyle="1" w:styleId="FootnoteTextChar">
    <w:name w:val="Footnote Text Char"/>
    <w:aliases w:val="ACMA Footnote Text Char,footnote text Char,Footnote Text Char1 Char,Footnote Text Char Char Char,Footnote Text Char1 Char Char Char,Footnote Text Char Char Char Char Char,Footnote Text Char1 Char Char Char Char Char,f Char,fn Char"/>
    <w:basedOn w:val="DefaultParagraphFont"/>
    <w:link w:val="FootnoteText"/>
    <w:rsid w:val="00465F1A"/>
    <w:rPr>
      <w:rFonts w:ascii="Arial" w:hAnsi="Arial"/>
      <w:sz w:val="16"/>
      <w:szCs w:val="16"/>
    </w:rPr>
  </w:style>
  <w:style w:type="paragraph" w:styleId="ListParagraph">
    <w:name w:val="List Paragraph"/>
    <w:basedOn w:val="Normal"/>
    <w:link w:val="ListParagraphChar"/>
    <w:uiPriority w:val="34"/>
    <w:qFormat/>
    <w:rsid w:val="00AA13C9"/>
    <w:pPr>
      <w:ind w:left="720"/>
      <w:contextualSpacing/>
    </w:pPr>
  </w:style>
  <w:style w:type="paragraph" w:styleId="NormalWeb">
    <w:name w:val="Normal (Web)"/>
    <w:basedOn w:val="Normal"/>
    <w:uiPriority w:val="99"/>
    <w:semiHidden/>
    <w:unhideWhenUsed/>
    <w:rsid w:val="00101F81"/>
    <w:pPr>
      <w:spacing w:line="240" w:lineRule="auto"/>
    </w:pPr>
    <w:rPr>
      <w:rFonts w:ascii="Times New Roman" w:hAnsi="Times New Roman"/>
      <w:sz w:val="24"/>
    </w:rPr>
  </w:style>
  <w:style w:type="paragraph" w:styleId="Revision">
    <w:name w:val="Revision"/>
    <w:hidden/>
    <w:semiHidden/>
    <w:rsid w:val="00903728"/>
    <w:rPr>
      <w:rFonts w:ascii="Arial" w:hAnsi="Arial"/>
      <w:sz w:val="20"/>
    </w:rPr>
  </w:style>
  <w:style w:type="character" w:customStyle="1" w:styleId="ListParagraphChar">
    <w:name w:val="List Paragraph Char"/>
    <w:basedOn w:val="DefaultParagraphFont"/>
    <w:link w:val="ListParagraph"/>
    <w:uiPriority w:val="34"/>
    <w:rsid w:val="005B0224"/>
    <w:rPr>
      <w:rFonts w:ascii="Arial" w:hAnsi="Arial"/>
      <w:sz w:val="20"/>
    </w:rPr>
  </w:style>
  <w:style w:type="character" w:customStyle="1" w:styleId="ListBulletChar">
    <w:name w:val="List Bullet Char"/>
    <w:aliases w:val="List Bullet 1 Char"/>
    <w:basedOn w:val="DefaultParagraphFont"/>
    <w:link w:val="ListBullet"/>
    <w:uiPriority w:val="99"/>
    <w:rsid w:val="00B621F2"/>
    <w:rPr>
      <w:rFonts w:ascii="Arial" w:hAnsi="Arial"/>
      <w:sz w:val="20"/>
    </w:rPr>
  </w:style>
  <w:style w:type="table" w:styleId="ListTable1Light">
    <w:name w:val="List Table 1 Light"/>
    <w:basedOn w:val="TableNormal"/>
    <w:uiPriority w:val="46"/>
    <w:rsid w:val="00235F01"/>
    <w:rPr>
      <w:rFonts w:ascii="Arial" w:hAnsi="Arial"/>
      <w:sz w:val="20"/>
      <w:szCs w:val="20"/>
    </w:r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ACMANumberedList">
    <w:name w:val="ACMA Numbered List"/>
    <w:rsid w:val="00FE4C0D"/>
    <w:pPr>
      <w:numPr>
        <w:numId w:val="9"/>
      </w:numPr>
      <w:spacing w:before="20" w:after="20"/>
    </w:pPr>
    <w:rPr>
      <w:szCs w:val="20"/>
      <w:lang w:eastAsia="en-US"/>
    </w:rPr>
  </w:style>
  <w:style w:type="paragraph" w:customStyle="1" w:styleId="ACMABodyText">
    <w:name w:val="ACMA Body Text"/>
    <w:link w:val="ACMABodyTextChar1"/>
    <w:rsid w:val="00FE4C0D"/>
    <w:pPr>
      <w:suppressAutoHyphens/>
      <w:spacing w:before="80" w:after="120" w:line="280" w:lineRule="atLeast"/>
    </w:pPr>
    <w:rPr>
      <w:snapToGrid w:val="0"/>
      <w:szCs w:val="20"/>
      <w:lang w:eastAsia="en-US"/>
    </w:rPr>
  </w:style>
  <w:style w:type="character" w:customStyle="1" w:styleId="ACMABodyTextChar1">
    <w:name w:val="ACMA Body Text Char1"/>
    <w:basedOn w:val="DefaultParagraphFont"/>
    <w:link w:val="ACMABodyText"/>
    <w:locked/>
    <w:rsid w:val="00FE4C0D"/>
    <w:rPr>
      <w:snapToGrid w:val="0"/>
      <w:szCs w:val="20"/>
      <w:lang w:eastAsia="en-US"/>
    </w:rPr>
  </w:style>
  <w:style w:type="character" w:customStyle="1" w:styleId="A3">
    <w:name w:val="A3"/>
    <w:uiPriority w:val="99"/>
    <w:rsid w:val="00650E64"/>
    <w:rPr>
      <w:rFonts w:cs="Futura Std Light"/>
      <w:color w:val="000000"/>
      <w:sz w:val="16"/>
      <w:szCs w:val="16"/>
    </w:rPr>
  </w:style>
  <w:style w:type="table" w:styleId="PlainTable1">
    <w:name w:val="Plain Table 1"/>
    <w:basedOn w:val="TableNormal"/>
    <w:uiPriority w:val="41"/>
    <w:rsid w:val="00BB6653"/>
    <w:rPr>
      <w:sz w:val="20"/>
      <w:szCs w:val="20"/>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BriefSubtitle">
    <w:name w:val="Brief Subtitle"/>
    <w:basedOn w:val="Normal"/>
    <w:rsid w:val="00CA01B5"/>
    <w:pPr>
      <w:spacing w:before="300" w:after="30"/>
    </w:pPr>
    <w:rPr>
      <w:b/>
      <w:color w:val="4D4D4F"/>
      <w:sz w:val="21"/>
    </w:rPr>
  </w:style>
  <w:style w:type="paragraph" w:customStyle="1" w:styleId="paragraph">
    <w:name w:val="paragraph"/>
    <w:basedOn w:val="Normal"/>
    <w:rsid w:val="00625CBD"/>
    <w:pPr>
      <w:spacing w:before="100" w:beforeAutospacing="1" w:after="100" w:afterAutospacing="1" w:line="240" w:lineRule="auto"/>
    </w:pPr>
    <w:rPr>
      <w:rFonts w:ascii="Times New Roman" w:hAnsi="Times New Roman"/>
      <w:sz w:val="24"/>
    </w:rPr>
  </w:style>
  <w:style w:type="character" w:customStyle="1" w:styleId="normaltextrun">
    <w:name w:val="normaltextrun"/>
    <w:basedOn w:val="DefaultParagraphFont"/>
    <w:rsid w:val="00625CBD"/>
  </w:style>
  <w:style w:type="character" w:customStyle="1" w:styleId="eop">
    <w:name w:val="eop"/>
    <w:basedOn w:val="DefaultParagraphFont"/>
    <w:rsid w:val="00625CBD"/>
  </w:style>
  <w:style w:type="character" w:styleId="UnresolvedMention">
    <w:name w:val="Unresolved Mention"/>
    <w:basedOn w:val="DefaultParagraphFont"/>
    <w:uiPriority w:val="99"/>
    <w:semiHidden/>
    <w:unhideWhenUsed/>
    <w:rsid w:val="00456CF7"/>
    <w:rPr>
      <w:color w:val="605E5C"/>
      <w:shd w:val="clear" w:color="auto" w:fill="E1DFDD"/>
    </w:rPr>
  </w:style>
  <w:style w:type="paragraph" w:customStyle="1" w:styleId="BulletList2">
    <w:name w:val="Bullet List 2"/>
    <w:basedOn w:val="BulletList1"/>
    <w:uiPriority w:val="99"/>
    <w:rsid w:val="007067E6"/>
    <w:pPr>
      <w:numPr>
        <w:ilvl w:val="1"/>
      </w:numPr>
      <w:tabs>
        <w:tab w:val="clear" w:pos="800"/>
        <w:tab w:val="num" w:pos="295"/>
        <w:tab w:val="num" w:pos="360"/>
        <w:tab w:val="num" w:pos="926"/>
      </w:tabs>
      <w:ind w:left="295" w:hanging="360"/>
    </w:pPr>
  </w:style>
  <w:style w:type="paragraph" w:customStyle="1" w:styleId="BulletList1">
    <w:name w:val="Bullet List 1"/>
    <w:basedOn w:val="Normal"/>
    <w:uiPriority w:val="99"/>
    <w:rsid w:val="007067E6"/>
    <w:pPr>
      <w:numPr>
        <w:numId w:val="19"/>
      </w:numPr>
      <w:spacing w:before="120" w:after="120" w:line="287" w:lineRule="auto"/>
    </w:pPr>
    <w:rPr>
      <w:rFonts w:cs="Arial"/>
      <w:szCs w:val="20"/>
      <w:lang w:val="en-GB" w:eastAsia="en-GB"/>
    </w:rPr>
  </w:style>
  <w:style w:type="paragraph" w:customStyle="1" w:styleId="BulletList3">
    <w:name w:val="Bullet List 3"/>
    <w:basedOn w:val="BulletList2"/>
    <w:uiPriority w:val="99"/>
    <w:rsid w:val="007067E6"/>
    <w:pPr>
      <w:numPr>
        <w:ilvl w:val="2"/>
      </w:numPr>
      <w:tabs>
        <w:tab w:val="clear" w:pos="1200"/>
        <w:tab w:val="num" w:pos="295"/>
        <w:tab w:val="num" w:pos="360"/>
      </w:tabs>
      <w:ind w:left="295" w:hanging="360"/>
    </w:pPr>
  </w:style>
  <w:style w:type="paragraph" w:customStyle="1" w:styleId="BulletList4">
    <w:name w:val="Bullet List 4"/>
    <w:basedOn w:val="BulletList3"/>
    <w:uiPriority w:val="99"/>
    <w:rsid w:val="007067E6"/>
    <w:pPr>
      <w:numPr>
        <w:ilvl w:val="3"/>
      </w:numPr>
      <w:tabs>
        <w:tab w:val="clear" w:pos="1360"/>
        <w:tab w:val="num" w:pos="295"/>
        <w:tab w:val="num" w:pos="360"/>
      </w:tabs>
      <w:ind w:left="295" w:hanging="295"/>
    </w:pPr>
  </w:style>
  <w:style w:type="paragraph" w:customStyle="1" w:styleId="BulletList5">
    <w:name w:val="Bullet List 5"/>
    <w:basedOn w:val="BulletList4"/>
    <w:uiPriority w:val="99"/>
    <w:rsid w:val="007067E6"/>
    <w:pPr>
      <w:numPr>
        <w:ilvl w:val="4"/>
      </w:numPr>
      <w:tabs>
        <w:tab w:val="clear" w:pos="1700"/>
        <w:tab w:val="num" w:pos="295"/>
        <w:tab w:val="num" w:pos="360"/>
      </w:tabs>
      <w:ind w:left="295" w:hanging="360"/>
    </w:pPr>
  </w:style>
  <w:style w:type="paragraph" w:customStyle="1" w:styleId="BulletList6">
    <w:name w:val="Bullet List 6"/>
    <w:basedOn w:val="BulletList5"/>
    <w:uiPriority w:val="99"/>
    <w:rsid w:val="007067E6"/>
    <w:pPr>
      <w:numPr>
        <w:ilvl w:val="5"/>
      </w:numPr>
      <w:tabs>
        <w:tab w:val="clear" w:pos="2040"/>
        <w:tab w:val="num" w:pos="295"/>
        <w:tab w:val="num" w:pos="360"/>
      </w:tabs>
      <w:ind w:left="295" w:hanging="360"/>
    </w:pPr>
  </w:style>
  <w:style w:type="paragraph" w:customStyle="1" w:styleId="BulletList7">
    <w:name w:val="Bullet List 7"/>
    <w:basedOn w:val="BulletList6"/>
    <w:uiPriority w:val="99"/>
    <w:rsid w:val="007067E6"/>
    <w:pPr>
      <w:numPr>
        <w:ilvl w:val="6"/>
      </w:numPr>
      <w:tabs>
        <w:tab w:val="clear" w:pos="2380"/>
        <w:tab w:val="num" w:pos="295"/>
        <w:tab w:val="num" w:pos="360"/>
      </w:tabs>
      <w:ind w:left="295" w:hanging="360"/>
    </w:pPr>
  </w:style>
  <w:style w:type="paragraph" w:customStyle="1" w:styleId="BulletList8">
    <w:name w:val="Bullet List 8"/>
    <w:basedOn w:val="BulletList7"/>
    <w:uiPriority w:val="99"/>
    <w:rsid w:val="007067E6"/>
    <w:pPr>
      <w:numPr>
        <w:ilvl w:val="7"/>
      </w:numPr>
      <w:tabs>
        <w:tab w:val="clear" w:pos="2720"/>
        <w:tab w:val="num" w:pos="295"/>
        <w:tab w:val="num" w:pos="360"/>
      </w:tabs>
      <w:ind w:left="295" w:hanging="360"/>
    </w:pPr>
  </w:style>
  <w:style w:type="paragraph" w:customStyle="1" w:styleId="BulletList9">
    <w:name w:val="Bullet List 9"/>
    <w:basedOn w:val="BulletList8"/>
    <w:uiPriority w:val="99"/>
    <w:rsid w:val="007067E6"/>
    <w:pPr>
      <w:numPr>
        <w:ilvl w:val="8"/>
      </w:numPr>
      <w:tabs>
        <w:tab w:val="clear" w:pos="3060"/>
        <w:tab w:val="num" w:pos="295"/>
        <w:tab w:val="num" w:pos="360"/>
      </w:tabs>
      <w:ind w:left="295"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5932159">
      <w:bodyDiv w:val="1"/>
      <w:marLeft w:val="0"/>
      <w:marRight w:val="0"/>
      <w:marTop w:val="0"/>
      <w:marBottom w:val="0"/>
      <w:divBdr>
        <w:top w:val="none" w:sz="0" w:space="0" w:color="auto"/>
        <w:left w:val="none" w:sz="0" w:space="0" w:color="auto"/>
        <w:bottom w:val="none" w:sz="0" w:space="0" w:color="auto"/>
        <w:right w:val="none" w:sz="0" w:space="0" w:color="auto"/>
      </w:divBdr>
    </w:div>
    <w:div w:id="125707696">
      <w:bodyDiv w:val="1"/>
      <w:marLeft w:val="0"/>
      <w:marRight w:val="0"/>
      <w:marTop w:val="0"/>
      <w:marBottom w:val="0"/>
      <w:divBdr>
        <w:top w:val="none" w:sz="0" w:space="0" w:color="auto"/>
        <w:left w:val="none" w:sz="0" w:space="0" w:color="auto"/>
        <w:bottom w:val="none" w:sz="0" w:space="0" w:color="auto"/>
        <w:right w:val="none" w:sz="0" w:space="0" w:color="auto"/>
      </w:divBdr>
    </w:div>
    <w:div w:id="159586353">
      <w:bodyDiv w:val="1"/>
      <w:marLeft w:val="0"/>
      <w:marRight w:val="0"/>
      <w:marTop w:val="0"/>
      <w:marBottom w:val="0"/>
      <w:divBdr>
        <w:top w:val="none" w:sz="0" w:space="0" w:color="auto"/>
        <w:left w:val="none" w:sz="0" w:space="0" w:color="auto"/>
        <w:bottom w:val="none" w:sz="0" w:space="0" w:color="auto"/>
        <w:right w:val="none" w:sz="0" w:space="0" w:color="auto"/>
      </w:divBdr>
    </w:div>
    <w:div w:id="172190698">
      <w:bodyDiv w:val="1"/>
      <w:marLeft w:val="0"/>
      <w:marRight w:val="0"/>
      <w:marTop w:val="0"/>
      <w:marBottom w:val="0"/>
      <w:divBdr>
        <w:top w:val="none" w:sz="0" w:space="0" w:color="auto"/>
        <w:left w:val="none" w:sz="0" w:space="0" w:color="auto"/>
        <w:bottom w:val="none" w:sz="0" w:space="0" w:color="auto"/>
        <w:right w:val="none" w:sz="0" w:space="0" w:color="auto"/>
      </w:divBdr>
    </w:div>
    <w:div w:id="180433438">
      <w:bodyDiv w:val="1"/>
      <w:marLeft w:val="0"/>
      <w:marRight w:val="0"/>
      <w:marTop w:val="0"/>
      <w:marBottom w:val="0"/>
      <w:divBdr>
        <w:top w:val="none" w:sz="0" w:space="0" w:color="auto"/>
        <w:left w:val="none" w:sz="0" w:space="0" w:color="auto"/>
        <w:bottom w:val="none" w:sz="0" w:space="0" w:color="auto"/>
        <w:right w:val="none" w:sz="0" w:space="0" w:color="auto"/>
      </w:divBdr>
    </w:div>
    <w:div w:id="249044959">
      <w:bodyDiv w:val="1"/>
      <w:marLeft w:val="0"/>
      <w:marRight w:val="0"/>
      <w:marTop w:val="0"/>
      <w:marBottom w:val="0"/>
      <w:divBdr>
        <w:top w:val="none" w:sz="0" w:space="0" w:color="auto"/>
        <w:left w:val="none" w:sz="0" w:space="0" w:color="auto"/>
        <w:bottom w:val="none" w:sz="0" w:space="0" w:color="auto"/>
        <w:right w:val="none" w:sz="0" w:space="0" w:color="auto"/>
      </w:divBdr>
    </w:div>
    <w:div w:id="352416141">
      <w:bodyDiv w:val="1"/>
      <w:marLeft w:val="0"/>
      <w:marRight w:val="0"/>
      <w:marTop w:val="0"/>
      <w:marBottom w:val="0"/>
      <w:divBdr>
        <w:top w:val="none" w:sz="0" w:space="0" w:color="auto"/>
        <w:left w:val="none" w:sz="0" w:space="0" w:color="auto"/>
        <w:bottom w:val="none" w:sz="0" w:space="0" w:color="auto"/>
        <w:right w:val="none" w:sz="0" w:space="0" w:color="auto"/>
      </w:divBdr>
    </w:div>
    <w:div w:id="352996085">
      <w:bodyDiv w:val="1"/>
      <w:marLeft w:val="0"/>
      <w:marRight w:val="0"/>
      <w:marTop w:val="0"/>
      <w:marBottom w:val="0"/>
      <w:divBdr>
        <w:top w:val="none" w:sz="0" w:space="0" w:color="auto"/>
        <w:left w:val="none" w:sz="0" w:space="0" w:color="auto"/>
        <w:bottom w:val="none" w:sz="0" w:space="0" w:color="auto"/>
        <w:right w:val="none" w:sz="0" w:space="0" w:color="auto"/>
      </w:divBdr>
    </w:div>
    <w:div w:id="354550010">
      <w:bodyDiv w:val="1"/>
      <w:marLeft w:val="0"/>
      <w:marRight w:val="0"/>
      <w:marTop w:val="0"/>
      <w:marBottom w:val="0"/>
      <w:divBdr>
        <w:top w:val="none" w:sz="0" w:space="0" w:color="auto"/>
        <w:left w:val="none" w:sz="0" w:space="0" w:color="auto"/>
        <w:bottom w:val="none" w:sz="0" w:space="0" w:color="auto"/>
        <w:right w:val="none" w:sz="0" w:space="0" w:color="auto"/>
      </w:divBdr>
    </w:div>
    <w:div w:id="355355284">
      <w:bodyDiv w:val="1"/>
      <w:marLeft w:val="0"/>
      <w:marRight w:val="0"/>
      <w:marTop w:val="0"/>
      <w:marBottom w:val="0"/>
      <w:divBdr>
        <w:top w:val="none" w:sz="0" w:space="0" w:color="auto"/>
        <w:left w:val="none" w:sz="0" w:space="0" w:color="auto"/>
        <w:bottom w:val="none" w:sz="0" w:space="0" w:color="auto"/>
        <w:right w:val="none" w:sz="0" w:space="0" w:color="auto"/>
      </w:divBdr>
      <w:divsChild>
        <w:div w:id="682391648">
          <w:marLeft w:val="0"/>
          <w:marRight w:val="0"/>
          <w:marTop w:val="0"/>
          <w:marBottom w:val="0"/>
          <w:divBdr>
            <w:top w:val="none" w:sz="0" w:space="0" w:color="auto"/>
            <w:left w:val="none" w:sz="0" w:space="0" w:color="auto"/>
            <w:bottom w:val="none" w:sz="0" w:space="0" w:color="auto"/>
            <w:right w:val="none" w:sz="0" w:space="0" w:color="auto"/>
          </w:divBdr>
          <w:divsChild>
            <w:div w:id="816530441">
              <w:marLeft w:val="0"/>
              <w:marRight w:val="0"/>
              <w:marTop w:val="0"/>
              <w:marBottom w:val="0"/>
              <w:divBdr>
                <w:top w:val="none" w:sz="0" w:space="0" w:color="auto"/>
                <w:left w:val="none" w:sz="0" w:space="0" w:color="auto"/>
                <w:bottom w:val="none" w:sz="0" w:space="0" w:color="auto"/>
                <w:right w:val="none" w:sz="0" w:space="0" w:color="auto"/>
              </w:divBdr>
              <w:divsChild>
                <w:div w:id="1206673386">
                  <w:marLeft w:val="0"/>
                  <w:marRight w:val="0"/>
                  <w:marTop w:val="0"/>
                  <w:marBottom w:val="0"/>
                  <w:divBdr>
                    <w:top w:val="none" w:sz="0" w:space="0" w:color="auto"/>
                    <w:left w:val="none" w:sz="0" w:space="0" w:color="auto"/>
                    <w:bottom w:val="none" w:sz="0" w:space="0" w:color="auto"/>
                    <w:right w:val="none" w:sz="0" w:space="0" w:color="auto"/>
                  </w:divBdr>
                  <w:divsChild>
                    <w:div w:id="1121341934">
                      <w:marLeft w:val="0"/>
                      <w:marRight w:val="0"/>
                      <w:marTop w:val="0"/>
                      <w:marBottom w:val="0"/>
                      <w:divBdr>
                        <w:top w:val="none" w:sz="0" w:space="0" w:color="auto"/>
                        <w:left w:val="none" w:sz="0" w:space="0" w:color="auto"/>
                        <w:bottom w:val="none" w:sz="0" w:space="0" w:color="auto"/>
                        <w:right w:val="none" w:sz="0" w:space="0" w:color="auto"/>
                      </w:divBdr>
                      <w:divsChild>
                        <w:div w:id="1165245012">
                          <w:marLeft w:val="0"/>
                          <w:marRight w:val="1200"/>
                          <w:marTop w:val="30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2120973">
      <w:bodyDiv w:val="1"/>
      <w:marLeft w:val="0"/>
      <w:marRight w:val="0"/>
      <w:marTop w:val="0"/>
      <w:marBottom w:val="0"/>
      <w:divBdr>
        <w:top w:val="none" w:sz="0" w:space="0" w:color="auto"/>
        <w:left w:val="none" w:sz="0" w:space="0" w:color="auto"/>
        <w:bottom w:val="none" w:sz="0" w:space="0" w:color="auto"/>
        <w:right w:val="none" w:sz="0" w:space="0" w:color="auto"/>
      </w:divBdr>
    </w:div>
    <w:div w:id="494422338">
      <w:bodyDiv w:val="1"/>
      <w:marLeft w:val="0"/>
      <w:marRight w:val="0"/>
      <w:marTop w:val="0"/>
      <w:marBottom w:val="0"/>
      <w:divBdr>
        <w:top w:val="none" w:sz="0" w:space="0" w:color="auto"/>
        <w:left w:val="none" w:sz="0" w:space="0" w:color="auto"/>
        <w:bottom w:val="none" w:sz="0" w:space="0" w:color="auto"/>
        <w:right w:val="none" w:sz="0" w:space="0" w:color="auto"/>
      </w:divBdr>
    </w:div>
    <w:div w:id="533422568">
      <w:bodyDiv w:val="1"/>
      <w:marLeft w:val="0"/>
      <w:marRight w:val="0"/>
      <w:marTop w:val="0"/>
      <w:marBottom w:val="0"/>
      <w:divBdr>
        <w:top w:val="none" w:sz="0" w:space="0" w:color="auto"/>
        <w:left w:val="none" w:sz="0" w:space="0" w:color="auto"/>
        <w:bottom w:val="none" w:sz="0" w:space="0" w:color="auto"/>
        <w:right w:val="none" w:sz="0" w:space="0" w:color="auto"/>
      </w:divBdr>
    </w:div>
    <w:div w:id="537549735">
      <w:bodyDiv w:val="1"/>
      <w:marLeft w:val="0"/>
      <w:marRight w:val="0"/>
      <w:marTop w:val="0"/>
      <w:marBottom w:val="0"/>
      <w:divBdr>
        <w:top w:val="none" w:sz="0" w:space="0" w:color="auto"/>
        <w:left w:val="none" w:sz="0" w:space="0" w:color="auto"/>
        <w:bottom w:val="none" w:sz="0" w:space="0" w:color="auto"/>
        <w:right w:val="none" w:sz="0" w:space="0" w:color="auto"/>
      </w:divBdr>
    </w:div>
    <w:div w:id="553858685">
      <w:bodyDiv w:val="1"/>
      <w:marLeft w:val="0"/>
      <w:marRight w:val="0"/>
      <w:marTop w:val="0"/>
      <w:marBottom w:val="0"/>
      <w:divBdr>
        <w:top w:val="none" w:sz="0" w:space="0" w:color="auto"/>
        <w:left w:val="none" w:sz="0" w:space="0" w:color="auto"/>
        <w:bottom w:val="none" w:sz="0" w:space="0" w:color="auto"/>
        <w:right w:val="none" w:sz="0" w:space="0" w:color="auto"/>
      </w:divBdr>
    </w:div>
    <w:div w:id="569311695">
      <w:bodyDiv w:val="1"/>
      <w:marLeft w:val="0"/>
      <w:marRight w:val="0"/>
      <w:marTop w:val="0"/>
      <w:marBottom w:val="0"/>
      <w:divBdr>
        <w:top w:val="none" w:sz="0" w:space="0" w:color="auto"/>
        <w:left w:val="none" w:sz="0" w:space="0" w:color="auto"/>
        <w:bottom w:val="none" w:sz="0" w:space="0" w:color="auto"/>
        <w:right w:val="none" w:sz="0" w:space="0" w:color="auto"/>
      </w:divBdr>
    </w:div>
    <w:div w:id="642320153">
      <w:bodyDiv w:val="1"/>
      <w:marLeft w:val="0"/>
      <w:marRight w:val="0"/>
      <w:marTop w:val="0"/>
      <w:marBottom w:val="0"/>
      <w:divBdr>
        <w:top w:val="none" w:sz="0" w:space="0" w:color="auto"/>
        <w:left w:val="none" w:sz="0" w:space="0" w:color="auto"/>
        <w:bottom w:val="none" w:sz="0" w:space="0" w:color="auto"/>
        <w:right w:val="none" w:sz="0" w:space="0" w:color="auto"/>
      </w:divBdr>
    </w:div>
    <w:div w:id="709840188">
      <w:bodyDiv w:val="1"/>
      <w:marLeft w:val="0"/>
      <w:marRight w:val="0"/>
      <w:marTop w:val="0"/>
      <w:marBottom w:val="0"/>
      <w:divBdr>
        <w:top w:val="none" w:sz="0" w:space="0" w:color="auto"/>
        <w:left w:val="none" w:sz="0" w:space="0" w:color="auto"/>
        <w:bottom w:val="none" w:sz="0" w:space="0" w:color="auto"/>
        <w:right w:val="none" w:sz="0" w:space="0" w:color="auto"/>
      </w:divBdr>
    </w:div>
    <w:div w:id="722755032">
      <w:bodyDiv w:val="1"/>
      <w:marLeft w:val="0"/>
      <w:marRight w:val="0"/>
      <w:marTop w:val="0"/>
      <w:marBottom w:val="0"/>
      <w:divBdr>
        <w:top w:val="none" w:sz="0" w:space="0" w:color="auto"/>
        <w:left w:val="none" w:sz="0" w:space="0" w:color="auto"/>
        <w:bottom w:val="none" w:sz="0" w:space="0" w:color="auto"/>
        <w:right w:val="none" w:sz="0" w:space="0" w:color="auto"/>
      </w:divBdr>
    </w:div>
    <w:div w:id="761490488">
      <w:bodyDiv w:val="1"/>
      <w:marLeft w:val="0"/>
      <w:marRight w:val="0"/>
      <w:marTop w:val="0"/>
      <w:marBottom w:val="0"/>
      <w:divBdr>
        <w:top w:val="none" w:sz="0" w:space="0" w:color="auto"/>
        <w:left w:val="none" w:sz="0" w:space="0" w:color="auto"/>
        <w:bottom w:val="none" w:sz="0" w:space="0" w:color="auto"/>
        <w:right w:val="none" w:sz="0" w:space="0" w:color="auto"/>
      </w:divBdr>
    </w:div>
    <w:div w:id="774910275">
      <w:bodyDiv w:val="1"/>
      <w:marLeft w:val="0"/>
      <w:marRight w:val="0"/>
      <w:marTop w:val="0"/>
      <w:marBottom w:val="0"/>
      <w:divBdr>
        <w:top w:val="none" w:sz="0" w:space="0" w:color="auto"/>
        <w:left w:val="none" w:sz="0" w:space="0" w:color="auto"/>
        <w:bottom w:val="none" w:sz="0" w:space="0" w:color="auto"/>
        <w:right w:val="none" w:sz="0" w:space="0" w:color="auto"/>
      </w:divBdr>
    </w:div>
    <w:div w:id="827936123">
      <w:bodyDiv w:val="1"/>
      <w:marLeft w:val="0"/>
      <w:marRight w:val="0"/>
      <w:marTop w:val="0"/>
      <w:marBottom w:val="0"/>
      <w:divBdr>
        <w:top w:val="none" w:sz="0" w:space="0" w:color="auto"/>
        <w:left w:val="none" w:sz="0" w:space="0" w:color="auto"/>
        <w:bottom w:val="none" w:sz="0" w:space="0" w:color="auto"/>
        <w:right w:val="none" w:sz="0" w:space="0" w:color="auto"/>
      </w:divBdr>
      <w:divsChild>
        <w:div w:id="1412896951">
          <w:marLeft w:val="0"/>
          <w:marRight w:val="0"/>
          <w:marTop w:val="0"/>
          <w:marBottom w:val="0"/>
          <w:divBdr>
            <w:top w:val="none" w:sz="0" w:space="0" w:color="auto"/>
            <w:left w:val="none" w:sz="0" w:space="0" w:color="auto"/>
            <w:bottom w:val="none" w:sz="0" w:space="0" w:color="auto"/>
            <w:right w:val="none" w:sz="0" w:space="0" w:color="auto"/>
          </w:divBdr>
          <w:divsChild>
            <w:div w:id="2081904652">
              <w:marLeft w:val="0"/>
              <w:marRight w:val="0"/>
              <w:marTop w:val="0"/>
              <w:marBottom w:val="0"/>
              <w:divBdr>
                <w:top w:val="none" w:sz="0" w:space="0" w:color="auto"/>
                <w:left w:val="none" w:sz="0" w:space="0" w:color="auto"/>
                <w:bottom w:val="none" w:sz="0" w:space="0" w:color="auto"/>
                <w:right w:val="none" w:sz="0" w:space="0" w:color="auto"/>
              </w:divBdr>
              <w:divsChild>
                <w:div w:id="183860029">
                  <w:marLeft w:val="0"/>
                  <w:marRight w:val="0"/>
                  <w:marTop w:val="0"/>
                  <w:marBottom w:val="0"/>
                  <w:divBdr>
                    <w:top w:val="none" w:sz="0" w:space="0" w:color="auto"/>
                    <w:left w:val="none" w:sz="0" w:space="0" w:color="auto"/>
                    <w:bottom w:val="none" w:sz="0" w:space="0" w:color="auto"/>
                    <w:right w:val="none" w:sz="0" w:space="0" w:color="auto"/>
                  </w:divBdr>
                  <w:divsChild>
                    <w:div w:id="1488785736">
                      <w:marLeft w:val="0"/>
                      <w:marRight w:val="0"/>
                      <w:marTop w:val="0"/>
                      <w:marBottom w:val="0"/>
                      <w:divBdr>
                        <w:top w:val="none" w:sz="0" w:space="0" w:color="auto"/>
                        <w:left w:val="none" w:sz="0" w:space="0" w:color="auto"/>
                        <w:bottom w:val="none" w:sz="0" w:space="0" w:color="auto"/>
                        <w:right w:val="none" w:sz="0" w:space="0" w:color="auto"/>
                      </w:divBdr>
                      <w:divsChild>
                        <w:div w:id="1225489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74735299">
      <w:bodyDiv w:val="1"/>
      <w:marLeft w:val="0"/>
      <w:marRight w:val="0"/>
      <w:marTop w:val="0"/>
      <w:marBottom w:val="0"/>
      <w:divBdr>
        <w:top w:val="none" w:sz="0" w:space="0" w:color="auto"/>
        <w:left w:val="none" w:sz="0" w:space="0" w:color="auto"/>
        <w:bottom w:val="none" w:sz="0" w:space="0" w:color="auto"/>
        <w:right w:val="none" w:sz="0" w:space="0" w:color="auto"/>
      </w:divBdr>
    </w:div>
    <w:div w:id="921524977">
      <w:bodyDiv w:val="1"/>
      <w:marLeft w:val="0"/>
      <w:marRight w:val="0"/>
      <w:marTop w:val="0"/>
      <w:marBottom w:val="0"/>
      <w:divBdr>
        <w:top w:val="none" w:sz="0" w:space="0" w:color="auto"/>
        <w:left w:val="none" w:sz="0" w:space="0" w:color="auto"/>
        <w:bottom w:val="none" w:sz="0" w:space="0" w:color="auto"/>
        <w:right w:val="none" w:sz="0" w:space="0" w:color="auto"/>
      </w:divBdr>
    </w:div>
    <w:div w:id="1289508083">
      <w:bodyDiv w:val="1"/>
      <w:marLeft w:val="0"/>
      <w:marRight w:val="0"/>
      <w:marTop w:val="0"/>
      <w:marBottom w:val="0"/>
      <w:divBdr>
        <w:top w:val="none" w:sz="0" w:space="0" w:color="auto"/>
        <w:left w:val="none" w:sz="0" w:space="0" w:color="auto"/>
        <w:bottom w:val="none" w:sz="0" w:space="0" w:color="auto"/>
        <w:right w:val="none" w:sz="0" w:space="0" w:color="auto"/>
      </w:divBdr>
    </w:div>
    <w:div w:id="1300112580">
      <w:bodyDiv w:val="1"/>
      <w:marLeft w:val="0"/>
      <w:marRight w:val="0"/>
      <w:marTop w:val="0"/>
      <w:marBottom w:val="0"/>
      <w:divBdr>
        <w:top w:val="none" w:sz="0" w:space="0" w:color="auto"/>
        <w:left w:val="none" w:sz="0" w:space="0" w:color="auto"/>
        <w:bottom w:val="none" w:sz="0" w:space="0" w:color="auto"/>
        <w:right w:val="none" w:sz="0" w:space="0" w:color="auto"/>
      </w:divBdr>
      <w:divsChild>
        <w:div w:id="1461461823">
          <w:marLeft w:val="0"/>
          <w:marRight w:val="0"/>
          <w:marTop w:val="0"/>
          <w:marBottom w:val="0"/>
          <w:divBdr>
            <w:top w:val="none" w:sz="0" w:space="0" w:color="auto"/>
            <w:left w:val="none" w:sz="0" w:space="0" w:color="auto"/>
            <w:bottom w:val="none" w:sz="0" w:space="0" w:color="auto"/>
            <w:right w:val="none" w:sz="0" w:space="0" w:color="auto"/>
          </w:divBdr>
          <w:divsChild>
            <w:div w:id="646007645">
              <w:marLeft w:val="0"/>
              <w:marRight w:val="0"/>
              <w:marTop w:val="0"/>
              <w:marBottom w:val="0"/>
              <w:divBdr>
                <w:top w:val="none" w:sz="0" w:space="0" w:color="auto"/>
                <w:left w:val="none" w:sz="0" w:space="0" w:color="auto"/>
                <w:bottom w:val="none" w:sz="0" w:space="0" w:color="auto"/>
                <w:right w:val="none" w:sz="0" w:space="0" w:color="auto"/>
              </w:divBdr>
              <w:divsChild>
                <w:div w:id="1354258502">
                  <w:marLeft w:val="0"/>
                  <w:marRight w:val="0"/>
                  <w:marTop w:val="0"/>
                  <w:marBottom w:val="0"/>
                  <w:divBdr>
                    <w:top w:val="none" w:sz="0" w:space="0" w:color="auto"/>
                    <w:left w:val="none" w:sz="0" w:space="0" w:color="auto"/>
                    <w:bottom w:val="none" w:sz="0" w:space="0" w:color="auto"/>
                    <w:right w:val="none" w:sz="0" w:space="0" w:color="auto"/>
                  </w:divBdr>
                  <w:divsChild>
                    <w:div w:id="1480997317">
                      <w:marLeft w:val="0"/>
                      <w:marRight w:val="0"/>
                      <w:marTop w:val="0"/>
                      <w:marBottom w:val="0"/>
                      <w:divBdr>
                        <w:top w:val="none" w:sz="0" w:space="0" w:color="auto"/>
                        <w:left w:val="none" w:sz="0" w:space="0" w:color="auto"/>
                        <w:bottom w:val="none" w:sz="0" w:space="0" w:color="auto"/>
                        <w:right w:val="none" w:sz="0" w:space="0" w:color="auto"/>
                      </w:divBdr>
                      <w:divsChild>
                        <w:div w:id="1812022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24043811">
      <w:bodyDiv w:val="1"/>
      <w:marLeft w:val="0"/>
      <w:marRight w:val="0"/>
      <w:marTop w:val="0"/>
      <w:marBottom w:val="0"/>
      <w:divBdr>
        <w:top w:val="none" w:sz="0" w:space="0" w:color="auto"/>
        <w:left w:val="none" w:sz="0" w:space="0" w:color="auto"/>
        <w:bottom w:val="none" w:sz="0" w:space="0" w:color="auto"/>
        <w:right w:val="none" w:sz="0" w:space="0" w:color="auto"/>
      </w:divBdr>
    </w:div>
    <w:div w:id="1333409759">
      <w:bodyDiv w:val="1"/>
      <w:marLeft w:val="0"/>
      <w:marRight w:val="0"/>
      <w:marTop w:val="0"/>
      <w:marBottom w:val="0"/>
      <w:divBdr>
        <w:top w:val="none" w:sz="0" w:space="0" w:color="auto"/>
        <w:left w:val="none" w:sz="0" w:space="0" w:color="auto"/>
        <w:bottom w:val="none" w:sz="0" w:space="0" w:color="auto"/>
        <w:right w:val="none" w:sz="0" w:space="0" w:color="auto"/>
      </w:divBdr>
    </w:div>
    <w:div w:id="1388528073">
      <w:bodyDiv w:val="1"/>
      <w:marLeft w:val="0"/>
      <w:marRight w:val="0"/>
      <w:marTop w:val="0"/>
      <w:marBottom w:val="0"/>
      <w:divBdr>
        <w:top w:val="none" w:sz="0" w:space="0" w:color="auto"/>
        <w:left w:val="none" w:sz="0" w:space="0" w:color="auto"/>
        <w:bottom w:val="none" w:sz="0" w:space="0" w:color="auto"/>
        <w:right w:val="none" w:sz="0" w:space="0" w:color="auto"/>
      </w:divBdr>
    </w:div>
    <w:div w:id="1438334093">
      <w:bodyDiv w:val="1"/>
      <w:marLeft w:val="0"/>
      <w:marRight w:val="0"/>
      <w:marTop w:val="0"/>
      <w:marBottom w:val="0"/>
      <w:divBdr>
        <w:top w:val="none" w:sz="0" w:space="0" w:color="auto"/>
        <w:left w:val="none" w:sz="0" w:space="0" w:color="auto"/>
        <w:bottom w:val="none" w:sz="0" w:space="0" w:color="auto"/>
        <w:right w:val="none" w:sz="0" w:space="0" w:color="auto"/>
      </w:divBdr>
    </w:div>
    <w:div w:id="1487865121">
      <w:bodyDiv w:val="1"/>
      <w:marLeft w:val="0"/>
      <w:marRight w:val="0"/>
      <w:marTop w:val="0"/>
      <w:marBottom w:val="0"/>
      <w:divBdr>
        <w:top w:val="none" w:sz="0" w:space="0" w:color="auto"/>
        <w:left w:val="none" w:sz="0" w:space="0" w:color="auto"/>
        <w:bottom w:val="none" w:sz="0" w:space="0" w:color="auto"/>
        <w:right w:val="none" w:sz="0" w:space="0" w:color="auto"/>
      </w:divBdr>
    </w:div>
    <w:div w:id="1509558910">
      <w:bodyDiv w:val="1"/>
      <w:marLeft w:val="0"/>
      <w:marRight w:val="0"/>
      <w:marTop w:val="0"/>
      <w:marBottom w:val="0"/>
      <w:divBdr>
        <w:top w:val="none" w:sz="0" w:space="0" w:color="auto"/>
        <w:left w:val="none" w:sz="0" w:space="0" w:color="auto"/>
        <w:bottom w:val="none" w:sz="0" w:space="0" w:color="auto"/>
        <w:right w:val="none" w:sz="0" w:space="0" w:color="auto"/>
      </w:divBdr>
    </w:div>
    <w:div w:id="1523977353">
      <w:bodyDiv w:val="1"/>
      <w:marLeft w:val="0"/>
      <w:marRight w:val="0"/>
      <w:marTop w:val="0"/>
      <w:marBottom w:val="0"/>
      <w:divBdr>
        <w:top w:val="none" w:sz="0" w:space="0" w:color="auto"/>
        <w:left w:val="none" w:sz="0" w:space="0" w:color="auto"/>
        <w:bottom w:val="none" w:sz="0" w:space="0" w:color="auto"/>
        <w:right w:val="none" w:sz="0" w:space="0" w:color="auto"/>
      </w:divBdr>
    </w:div>
    <w:div w:id="1537354073">
      <w:bodyDiv w:val="1"/>
      <w:marLeft w:val="0"/>
      <w:marRight w:val="0"/>
      <w:marTop w:val="0"/>
      <w:marBottom w:val="0"/>
      <w:divBdr>
        <w:top w:val="none" w:sz="0" w:space="0" w:color="auto"/>
        <w:left w:val="none" w:sz="0" w:space="0" w:color="auto"/>
        <w:bottom w:val="none" w:sz="0" w:space="0" w:color="auto"/>
        <w:right w:val="none" w:sz="0" w:space="0" w:color="auto"/>
      </w:divBdr>
    </w:div>
    <w:div w:id="1558124707">
      <w:bodyDiv w:val="1"/>
      <w:marLeft w:val="0"/>
      <w:marRight w:val="0"/>
      <w:marTop w:val="0"/>
      <w:marBottom w:val="0"/>
      <w:divBdr>
        <w:top w:val="none" w:sz="0" w:space="0" w:color="auto"/>
        <w:left w:val="none" w:sz="0" w:space="0" w:color="auto"/>
        <w:bottom w:val="none" w:sz="0" w:space="0" w:color="auto"/>
        <w:right w:val="none" w:sz="0" w:space="0" w:color="auto"/>
      </w:divBdr>
    </w:div>
    <w:div w:id="1632396814">
      <w:bodyDiv w:val="1"/>
      <w:marLeft w:val="0"/>
      <w:marRight w:val="0"/>
      <w:marTop w:val="0"/>
      <w:marBottom w:val="0"/>
      <w:divBdr>
        <w:top w:val="none" w:sz="0" w:space="0" w:color="auto"/>
        <w:left w:val="none" w:sz="0" w:space="0" w:color="auto"/>
        <w:bottom w:val="none" w:sz="0" w:space="0" w:color="auto"/>
        <w:right w:val="none" w:sz="0" w:space="0" w:color="auto"/>
      </w:divBdr>
    </w:div>
    <w:div w:id="1640762717">
      <w:bodyDiv w:val="1"/>
      <w:marLeft w:val="0"/>
      <w:marRight w:val="0"/>
      <w:marTop w:val="0"/>
      <w:marBottom w:val="0"/>
      <w:divBdr>
        <w:top w:val="none" w:sz="0" w:space="0" w:color="auto"/>
        <w:left w:val="none" w:sz="0" w:space="0" w:color="auto"/>
        <w:bottom w:val="none" w:sz="0" w:space="0" w:color="auto"/>
        <w:right w:val="none" w:sz="0" w:space="0" w:color="auto"/>
      </w:divBdr>
    </w:div>
    <w:div w:id="1649743275">
      <w:bodyDiv w:val="1"/>
      <w:marLeft w:val="0"/>
      <w:marRight w:val="0"/>
      <w:marTop w:val="0"/>
      <w:marBottom w:val="0"/>
      <w:divBdr>
        <w:top w:val="none" w:sz="0" w:space="0" w:color="auto"/>
        <w:left w:val="none" w:sz="0" w:space="0" w:color="auto"/>
        <w:bottom w:val="none" w:sz="0" w:space="0" w:color="auto"/>
        <w:right w:val="none" w:sz="0" w:space="0" w:color="auto"/>
      </w:divBdr>
      <w:divsChild>
        <w:div w:id="1917862185">
          <w:marLeft w:val="0"/>
          <w:marRight w:val="0"/>
          <w:marTop w:val="0"/>
          <w:marBottom w:val="0"/>
          <w:divBdr>
            <w:top w:val="none" w:sz="0" w:space="0" w:color="auto"/>
            <w:left w:val="none" w:sz="0" w:space="0" w:color="auto"/>
            <w:bottom w:val="none" w:sz="0" w:space="0" w:color="auto"/>
            <w:right w:val="none" w:sz="0" w:space="0" w:color="auto"/>
          </w:divBdr>
          <w:divsChild>
            <w:div w:id="1081759169">
              <w:marLeft w:val="0"/>
              <w:marRight w:val="0"/>
              <w:marTop w:val="0"/>
              <w:marBottom w:val="0"/>
              <w:divBdr>
                <w:top w:val="none" w:sz="0" w:space="0" w:color="auto"/>
                <w:left w:val="none" w:sz="0" w:space="0" w:color="auto"/>
                <w:bottom w:val="none" w:sz="0" w:space="0" w:color="auto"/>
                <w:right w:val="none" w:sz="0" w:space="0" w:color="auto"/>
              </w:divBdr>
              <w:divsChild>
                <w:div w:id="1779371584">
                  <w:marLeft w:val="0"/>
                  <w:marRight w:val="0"/>
                  <w:marTop w:val="0"/>
                  <w:marBottom w:val="0"/>
                  <w:divBdr>
                    <w:top w:val="none" w:sz="0" w:space="0" w:color="auto"/>
                    <w:left w:val="none" w:sz="0" w:space="0" w:color="auto"/>
                    <w:bottom w:val="none" w:sz="0" w:space="0" w:color="auto"/>
                    <w:right w:val="none" w:sz="0" w:space="0" w:color="auto"/>
                  </w:divBdr>
                  <w:divsChild>
                    <w:div w:id="127403778">
                      <w:marLeft w:val="0"/>
                      <w:marRight w:val="0"/>
                      <w:marTop w:val="0"/>
                      <w:marBottom w:val="0"/>
                      <w:divBdr>
                        <w:top w:val="none" w:sz="0" w:space="0" w:color="auto"/>
                        <w:left w:val="none" w:sz="0" w:space="0" w:color="auto"/>
                        <w:bottom w:val="none" w:sz="0" w:space="0" w:color="auto"/>
                        <w:right w:val="none" w:sz="0" w:space="0" w:color="auto"/>
                      </w:divBdr>
                      <w:divsChild>
                        <w:div w:id="1941793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3868770">
      <w:bodyDiv w:val="1"/>
      <w:marLeft w:val="0"/>
      <w:marRight w:val="0"/>
      <w:marTop w:val="0"/>
      <w:marBottom w:val="0"/>
      <w:divBdr>
        <w:top w:val="none" w:sz="0" w:space="0" w:color="auto"/>
        <w:left w:val="none" w:sz="0" w:space="0" w:color="auto"/>
        <w:bottom w:val="none" w:sz="0" w:space="0" w:color="auto"/>
        <w:right w:val="none" w:sz="0" w:space="0" w:color="auto"/>
      </w:divBdr>
    </w:div>
    <w:div w:id="1722896157">
      <w:bodyDiv w:val="1"/>
      <w:marLeft w:val="0"/>
      <w:marRight w:val="0"/>
      <w:marTop w:val="0"/>
      <w:marBottom w:val="0"/>
      <w:divBdr>
        <w:top w:val="none" w:sz="0" w:space="0" w:color="auto"/>
        <w:left w:val="none" w:sz="0" w:space="0" w:color="auto"/>
        <w:bottom w:val="none" w:sz="0" w:space="0" w:color="auto"/>
        <w:right w:val="none" w:sz="0" w:space="0" w:color="auto"/>
      </w:divBdr>
    </w:div>
    <w:div w:id="1828546316">
      <w:bodyDiv w:val="1"/>
      <w:marLeft w:val="0"/>
      <w:marRight w:val="0"/>
      <w:marTop w:val="0"/>
      <w:marBottom w:val="0"/>
      <w:divBdr>
        <w:top w:val="none" w:sz="0" w:space="0" w:color="auto"/>
        <w:left w:val="none" w:sz="0" w:space="0" w:color="auto"/>
        <w:bottom w:val="none" w:sz="0" w:space="0" w:color="auto"/>
        <w:right w:val="none" w:sz="0" w:space="0" w:color="auto"/>
      </w:divBdr>
    </w:div>
    <w:div w:id="1854957463">
      <w:bodyDiv w:val="1"/>
      <w:marLeft w:val="0"/>
      <w:marRight w:val="0"/>
      <w:marTop w:val="0"/>
      <w:marBottom w:val="0"/>
      <w:divBdr>
        <w:top w:val="none" w:sz="0" w:space="0" w:color="auto"/>
        <w:left w:val="none" w:sz="0" w:space="0" w:color="auto"/>
        <w:bottom w:val="none" w:sz="0" w:space="0" w:color="auto"/>
        <w:right w:val="none" w:sz="0" w:space="0" w:color="auto"/>
      </w:divBdr>
    </w:div>
    <w:div w:id="1956977846">
      <w:bodyDiv w:val="1"/>
      <w:marLeft w:val="0"/>
      <w:marRight w:val="0"/>
      <w:marTop w:val="0"/>
      <w:marBottom w:val="0"/>
      <w:divBdr>
        <w:top w:val="none" w:sz="0" w:space="0" w:color="auto"/>
        <w:left w:val="none" w:sz="0" w:space="0" w:color="auto"/>
        <w:bottom w:val="none" w:sz="0" w:space="0" w:color="auto"/>
        <w:right w:val="none" w:sz="0" w:space="0" w:color="auto"/>
      </w:divBdr>
      <w:divsChild>
        <w:div w:id="96874888">
          <w:marLeft w:val="0"/>
          <w:marRight w:val="0"/>
          <w:marTop w:val="0"/>
          <w:marBottom w:val="0"/>
          <w:divBdr>
            <w:top w:val="none" w:sz="0" w:space="0" w:color="auto"/>
            <w:left w:val="none" w:sz="0" w:space="0" w:color="auto"/>
            <w:bottom w:val="none" w:sz="0" w:space="0" w:color="auto"/>
            <w:right w:val="none" w:sz="0" w:space="0" w:color="auto"/>
          </w:divBdr>
          <w:divsChild>
            <w:div w:id="57750032">
              <w:marLeft w:val="0"/>
              <w:marRight w:val="0"/>
              <w:marTop w:val="0"/>
              <w:marBottom w:val="0"/>
              <w:divBdr>
                <w:top w:val="none" w:sz="0" w:space="0" w:color="auto"/>
                <w:left w:val="none" w:sz="0" w:space="0" w:color="auto"/>
                <w:bottom w:val="none" w:sz="0" w:space="0" w:color="auto"/>
                <w:right w:val="none" w:sz="0" w:space="0" w:color="auto"/>
              </w:divBdr>
            </w:div>
            <w:div w:id="98726033">
              <w:marLeft w:val="0"/>
              <w:marRight w:val="0"/>
              <w:marTop w:val="0"/>
              <w:marBottom w:val="0"/>
              <w:divBdr>
                <w:top w:val="none" w:sz="0" w:space="0" w:color="auto"/>
                <w:left w:val="none" w:sz="0" w:space="0" w:color="auto"/>
                <w:bottom w:val="none" w:sz="0" w:space="0" w:color="auto"/>
                <w:right w:val="none" w:sz="0" w:space="0" w:color="auto"/>
              </w:divBdr>
            </w:div>
            <w:div w:id="172915348">
              <w:marLeft w:val="0"/>
              <w:marRight w:val="0"/>
              <w:marTop w:val="0"/>
              <w:marBottom w:val="0"/>
              <w:divBdr>
                <w:top w:val="none" w:sz="0" w:space="0" w:color="auto"/>
                <w:left w:val="none" w:sz="0" w:space="0" w:color="auto"/>
                <w:bottom w:val="none" w:sz="0" w:space="0" w:color="auto"/>
                <w:right w:val="none" w:sz="0" w:space="0" w:color="auto"/>
              </w:divBdr>
            </w:div>
            <w:div w:id="321666062">
              <w:marLeft w:val="0"/>
              <w:marRight w:val="0"/>
              <w:marTop w:val="0"/>
              <w:marBottom w:val="0"/>
              <w:divBdr>
                <w:top w:val="none" w:sz="0" w:space="0" w:color="auto"/>
                <w:left w:val="none" w:sz="0" w:space="0" w:color="auto"/>
                <w:bottom w:val="none" w:sz="0" w:space="0" w:color="auto"/>
                <w:right w:val="none" w:sz="0" w:space="0" w:color="auto"/>
              </w:divBdr>
            </w:div>
            <w:div w:id="533467888">
              <w:marLeft w:val="0"/>
              <w:marRight w:val="0"/>
              <w:marTop w:val="0"/>
              <w:marBottom w:val="0"/>
              <w:divBdr>
                <w:top w:val="none" w:sz="0" w:space="0" w:color="auto"/>
                <w:left w:val="none" w:sz="0" w:space="0" w:color="auto"/>
                <w:bottom w:val="none" w:sz="0" w:space="0" w:color="auto"/>
                <w:right w:val="none" w:sz="0" w:space="0" w:color="auto"/>
              </w:divBdr>
            </w:div>
            <w:div w:id="650330726">
              <w:marLeft w:val="0"/>
              <w:marRight w:val="0"/>
              <w:marTop w:val="0"/>
              <w:marBottom w:val="0"/>
              <w:divBdr>
                <w:top w:val="none" w:sz="0" w:space="0" w:color="auto"/>
                <w:left w:val="none" w:sz="0" w:space="0" w:color="auto"/>
                <w:bottom w:val="none" w:sz="0" w:space="0" w:color="auto"/>
                <w:right w:val="none" w:sz="0" w:space="0" w:color="auto"/>
              </w:divBdr>
            </w:div>
            <w:div w:id="713039650">
              <w:marLeft w:val="0"/>
              <w:marRight w:val="0"/>
              <w:marTop w:val="0"/>
              <w:marBottom w:val="0"/>
              <w:divBdr>
                <w:top w:val="none" w:sz="0" w:space="0" w:color="auto"/>
                <w:left w:val="none" w:sz="0" w:space="0" w:color="auto"/>
                <w:bottom w:val="none" w:sz="0" w:space="0" w:color="auto"/>
                <w:right w:val="none" w:sz="0" w:space="0" w:color="auto"/>
              </w:divBdr>
            </w:div>
            <w:div w:id="870188384">
              <w:marLeft w:val="0"/>
              <w:marRight w:val="0"/>
              <w:marTop w:val="0"/>
              <w:marBottom w:val="0"/>
              <w:divBdr>
                <w:top w:val="none" w:sz="0" w:space="0" w:color="auto"/>
                <w:left w:val="none" w:sz="0" w:space="0" w:color="auto"/>
                <w:bottom w:val="none" w:sz="0" w:space="0" w:color="auto"/>
                <w:right w:val="none" w:sz="0" w:space="0" w:color="auto"/>
              </w:divBdr>
            </w:div>
            <w:div w:id="939872156">
              <w:marLeft w:val="0"/>
              <w:marRight w:val="0"/>
              <w:marTop w:val="0"/>
              <w:marBottom w:val="0"/>
              <w:divBdr>
                <w:top w:val="none" w:sz="0" w:space="0" w:color="auto"/>
                <w:left w:val="none" w:sz="0" w:space="0" w:color="auto"/>
                <w:bottom w:val="none" w:sz="0" w:space="0" w:color="auto"/>
                <w:right w:val="none" w:sz="0" w:space="0" w:color="auto"/>
              </w:divBdr>
            </w:div>
            <w:div w:id="987126644">
              <w:marLeft w:val="0"/>
              <w:marRight w:val="0"/>
              <w:marTop w:val="0"/>
              <w:marBottom w:val="0"/>
              <w:divBdr>
                <w:top w:val="none" w:sz="0" w:space="0" w:color="auto"/>
                <w:left w:val="none" w:sz="0" w:space="0" w:color="auto"/>
                <w:bottom w:val="none" w:sz="0" w:space="0" w:color="auto"/>
                <w:right w:val="none" w:sz="0" w:space="0" w:color="auto"/>
              </w:divBdr>
            </w:div>
            <w:div w:id="1020855493">
              <w:marLeft w:val="0"/>
              <w:marRight w:val="0"/>
              <w:marTop w:val="0"/>
              <w:marBottom w:val="0"/>
              <w:divBdr>
                <w:top w:val="none" w:sz="0" w:space="0" w:color="auto"/>
                <w:left w:val="none" w:sz="0" w:space="0" w:color="auto"/>
                <w:bottom w:val="none" w:sz="0" w:space="0" w:color="auto"/>
                <w:right w:val="none" w:sz="0" w:space="0" w:color="auto"/>
              </w:divBdr>
            </w:div>
            <w:div w:id="1295134675">
              <w:marLeft w:val="0"/>
              <w:marRight w:val="0"/>
              <w:marTop w:val="0"/>
              <w:marBottom w:val="0"/>
              <w:divBdr>
                <w:top w:val="none" w:sz="0" w:space="0" w:color="auto"/>
                <w:left w:val="none" w:sz="0" w:space="0" w:color="auto"/>
                <w:bottom w:val="none" w:sz="0" w:space="0" w:color="auto"/>
                <w:right w:val="none" w:sz="0" w:space="0" w:color="auto"/>
              </w:divBdr>
            </w:div>
            <w:div w:id="1645545663">
              <w:marLeft w:val="0"/>
              <w:marRight w:val="0"/>
              <w:marTop w:val="0"/>
              <w:marBottom w:val="0"/>
              <w:divBdr>
                <w:top w:val="none" w:sz="0" w:space="0" w:color="auto"/>
                <w:left w:val="none" w:sz="0" w:space="0" w:color="auto"/>
                <w:bottom w:val="none" w:sz="0" w:space="0" w:color="auto"/>
                <w:right w:val="none" w:sz="0" w:space="0" w:color="auto"/>
              </w:divBdr>
            </w:div>
            <w:div w:id="1736317801">
              <w:marLeft w:val="0"/>
              <w:marRight w:val="0"/>
              <w:marTop w:val="0"/>
              <w:marBottom w:val="0"/>
              <w:divBdr>
                <w:top w:val="none" w:sz="0" w:space="0" w:color="auto"/>
                <w:left w:val="none" w:sz="0" w:space="0" w:color="auto"/>
                <w:bottom w:val="none" w:sz="0" w:space="0" w:color="auto"/>
                <w:right w:val="none" w:sz="0" w:space="0" w:color="auto"/>
              </w:divBdr>
            </w:div>
            <w:div w:id="2099523636">
              <w:marLeft w:val="0"/>
              <w:marRight w:val="0"/>
              <w:marTop w:val="0"/>
              <w:marBottom w:val="0"/>
              <w:divBdr>
                <w:top w:val="none" w:sz="0" w:space="0" w:color="auto"/>
                <w:left w:val="none" w:sz="0" w:space="0" w:color="auto"/>
                <w:bottom w:val="none" w:sz="0" w:space="0" w:color="auto"/>
                <w:right w:val="none" w:sz="0" w:space="0" w:color="auto"/>
              </w:divBdr>
            </w:div>
          </w:divsChild>
        </w:div>
        <w:div w:id="895891823">
          <w:marLeft w:val="0"/>
          <w:marRight w:val="0"/>
          <w:marTop w:val="0"/>
          <w:marBottom w:val="0"/>
          <w:divBdr>
            <w:top w:val="none" w:sz="0" w:space="0" w:color="auto"/>
            <w:left w:val="none" w:sz="0" w:space="0" w:color="auto"/>
            <w:bottom w:val="none" w:sz="0" w:space="0" w:color="auto"/>
            <w:right w:val="none" w:sz="0" w:space="0" w:color="auto"/>
          </w:divBdr>
        </w:div>
      </w:divsChild>
    </w:div>
    <w:div w:id="2138061323">
      <w:bodyDiv w:val="1"/>
      <w:marLeft w:val="0"/>
      <w:marRight w:val="0"/>
      <w:marTop w:val="0"/>
      <w:marBottom w:val="0"/>
      <w:divBdr>
        <w:top w:val="none" w:sz="0" w:space="0" w:color="auto"/>
        <w:left w:val="none" w:sz="0" w:space="0" w:color="auto"/>
        <w:bottom w:val="none" w:sz="0" w:space="0" w:color="auto"/>
        <w:right w:val="none" w:sz="0" w:space="0" w:color="auto"/>
      </w:divBdr>
    </w:div>
    <w:div w:id="21434994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creativecommons.org/licenses/by/4.0/" TargetMode="External"/><Relationship Id="rId18" Type="http://schemas.openxmlformats.org/officeDocument/2006/relationships/footer" Target="footer3.xml"/><Relationship Id="rId26" Type="http://schemas.openxmlformats.org/officeDocument/2006/relationships/image" Target="media/image11.png"/><Relationship Id="rId39" Type="http://schemas.openxmlformats.org/officeDocument/2006/relationships/hyperlink" Target="http://www.acma.gov.au/Industry/Spectrum/Spectrum-planning/About-spectrum-planning/technical-framework-3_4-ghz" TargetMode="External"/><Relationship Id="rId3" Type="http://schemas.openxmlformats.org/officeDocument/2006/relationships/styles" Target="styles.xml"/><Relationship Id="rId21" Type="http://schemas.openxmlformats.org/officeDocument/2006/relationships/footer" Target="footer4.xml"/><Relationship Id="rId34" Type="http://schemas.openxmlformats.org/officeDocument/2006/relationships/hyperlink" Target="https://www.acma.gov.au/theACMA/options-for-wireless-broadband-in-the-26-ghz-band" TargetMode="External"/><Relationship Id="rId42" Type="http://schemas.openxmlformats.org/officeDocument/2006/relationships/hyperlink" Target="https://www.acma.gov.au/theACMA/convert-hcis-area-description-to-a-placemark" TargetMode="External"/><Relationship Id="rId47" Type="http://schemas.openxmlformats.org/officeDocument/2006/relationships/header" Target="header7.xml"/><Relationship Id="rId50" Type="http://schemas.openxmlformats.org/officeDocument/2006/relationships/footer" Target="footer8.xml"/><Relationship Id="rId7" Type="http://schemas.openxmlformats.org/officeDocument/2006/relationships/endnotes" Target="endnotes.xml"/><Relationship Id="rId12" Type="http://schemas.openxmlformats.org/officeDocument/2006/relationships/image" Target="media/image10.png"/><Relationship Id="rId17" Type="http://schemas.openxmlformats.org/officeDocument/2006/relationships/footer" Target="footer2.xml"/><Relationship Id="rId25" Type="http://schemas.openxmlformats.org/officeDocument/2006/relationships/hyperlink" Target="https://www.acma.gov.au/Industry/Spectrum/Spectrum-planning/About-spectrum-planning/australian-spectrum-management-principles-spectrum-planning-acma" TargetMode="External"/><Relationship Id="rId33" Type="http://schemas.openxmlformats.org/officeDocument/2006/relationships/hyperlink" Target="https://www.acma.gov.au/theACMA/options-for-wireless-broadband-in-the-26-ghz-band" TargetMode="External"/><Relationship Id="rId38" Type="http://schemas.openxmlformats.org/officeDocument/2006/relationships/hyperlink" Target="https://www.acma.gov.au/theACMA/options-for-wireless-broadband-in-the-26-ghz-band" TargetMode="External"/><Relationship Id="rId46"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eader" Target="header6.xml"/><Relationship Id="rId29" Type="http://schemas.openxmlformats.org/officeDocument/2006/relationships/hyperlink" Target="https://www.acma.gov.au/theACMA/options-for-wireless-broadband-in-the-26-ghz-band" TargetMode="External"/><Relationship Id="rId41"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i.creativecommons.org/l/by/3.0/88x31.png" TargetMode="External"/><Relationship Id="rId24" Type="http://schemas.openxmlformats.org/officeDocument/2006/relationships/hyperlink" Target="https://www.acma.gov.au/theACMA/options-for-wireless-broadband-in-the-26-ghz-band" TargetMode="External"/><Relationship Id="rId32" Type="http://schemas.openxmlformats.org/officeDocument/2006/relationships/hyperlink" Target="https://www.acma.gov.au/Industry/Spectrum/Spectrum-projects/5-Year-Spectrum-Outlook/five-year-spectrum-outlook" TargetMode="External"/><Relationship Id="rId37" Type="http://schemas.openxmlformats.org/officeDocument/2006/relationships/hyperlink" Target="mailto:freqplan@acma.gov.au" TargetMode="External"/><Relationship Id="rId40" Type="http://schemas.openxmlformats.org/officeDocument/2006/relationships/hyperlink" Target="https://www.acma.gov.au/theACMA/convert-hcis-area-description-to-a-placemark" TargetMode="External"/><Relationship Id="rId45"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footer" Target="footer6.xml"/><Relationship Id="rId28" Type="http://schemas.openxmlformats.org/officeDocument/2006/relationships/hyperlink" Target="https://www.acma.gov.au/theACMA/spectrum-planning-for-the-28-ghz-band" TargetMode="External"/><Relationship Id="rId36" Type="http://schemas.openxmlformats.org/officeDocument/2006/relationships/hyperlink" Target="https://www.legislation.gov.au/Details/F2018C00500/Download" TargetMode="External"/><Relationship Id="rId49" Type="http://schemas.openxmlformats.org/officeDocument/2006/relationships/footer" Target="footer7.xml"/><Relationship Id="rId10" Type="http://schemas.openxmlformats.org/officeDocument/2006/relationships/header" Target="header2.xml"/><Relationship Id="rId19" Type="http://schemas.openxmlformats.org/officeDocument/2006/relationships/header" Target="header5.xml"/><Relationship Id="rId31" Type="http://schemas.openxmlformats.org/officeDocument/2006/relationships/hyperlink" Target="https://www.acma.gov.au/Industry/Spectrum/Spectrum-projects/Mobile-broadband/mobile-broadband-strategy-and-work-plan" TargetMode="External"/><Relationship Id="rId44" Type="http://schemas.openxmlformats.org/officeDocument/2006/relationships/image" Target="media/image14.pn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mailto:info@acma.gov.au" TargetMode="External"/><Relationship Id="rId22" Type="http://schemas.openxmlformats.org/officeDocument/2006/relationships/footer" Target="footer5.xml"/><Relationship Id="rId27" Type="http://schemas.openxmlformats.org/officeDocument/2006/relationships/hyperlink" Target="https://www.acma.gov.au/theACMA/options-for-wireless-broadband-in-the-26-ghz-band" TargetMode="External"/><Relationship Id="rId30" Type="http://schemas.openxmlformats.org/officeDocument/2006/relationships/hyperlink" Target="https://www.acma.gov.au/Industry/Spectrum/Spectrum-planning/About-spectrum-planning/australian-spectrum-management-principles-spectrum-planning-acma" TargetMode="External"/><Relationship Id="rId35" Type="http://schemas.openxmlformats.org/officeDocument/2006/relationships/hyperlink" Target="https://www.acma.gov.au/theACMA/options-for-wireless-broadband-in-the-26-ghz-band" TargetMode="External"/><Relationship Id="rId43" Type="http://schemas.openxmlformats.org/officeDocument/2006/relationships/image" Target="media/image13.png"/><Relationship Id="rId48" Type="http://schemas.openxmlformats.org/officeDocument/2006/relationships/header" Target="header8.xml"/><Relationship Id="rId8" Type="http://schemas.openxmlformats.org/officeDocument/2006/relationships/header" Target="header1.xml"/><Relationship Id="rId51"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9.jpeg"/></Relationships>
</file>

<file path=word/_rels/footnotes.xml.rels><?xml version="1.0" encoding="UTF-8" standalone="yes"?>
<Relationships xmlns="http://schemas.openxmlformats.org/package/2006/relationships"><Relationship Id="rId8" Type="http://schemas.openxmlformats.org/officeDocument/2006/relationships/hyperlink" Target="https://www.itu.int/md/R15-TG5.1-C-0478/en" TargetMode="External"/><Relationship Id="rId3" Type="http://schemas.openxmlformats.org/officeDocument/2006/relationships/hyperlink" Target="https://www.ecodocdb.dk/document/3361" TargetMode="External"/><Relationship Id="rId7" Type="http://schemas.openxmlformats.org/officeDocument/2006/relationships/hyperlink" Target="https://www.acma.gov.au/-/media/Spectrum-Transformation-and-Government/Issue-for-comment/IFC-32-2018/NBN-submission-attachment-pdf.pdf" TargetMode="External"/><Relationship Id="rId2" Type="http://schemas.openxmlformats.org/officeDocument/2006/relationships/hyperlink" Target="https://www.acma.gov.au/theACMA/options-for-wireless-broadband-in-the-26-ghz-band" TargetMode="External"/><Relationship Id="rId1" Type="http://schemas.openxmlformats.org/officeDocument/2006/relationships/hyperlink" Target="https://www.communications.gov.au/what-we-do/spectrum/spectrum-reform" TargetMode="External"/><Relationship Id="rId6" Type="http://schemas.openxmlformats.org/officeDocument/2006/relationships/hyperlink" Target="https://www.legislation.gov.au/Details/F2018L01583" TargetMode="External"/><Relationship Id="rId11" Type="http://schemas.openxmlformats.org/officeDocument/2006/relationships/hyperlink" Target="http://www.acma.gov.au/Industry/Spectrum/Spectrum-planning/About-spectrum-planning/technical-framework-3_4-ghz" TargetMode="External"/><Relationship Id="rId5" Type="http://schemas.openxmlformats.org/officeDocument/2006/relationships/hyperlink" Target="ftp://ftp.3gpp.org/tsg_ran/WG4_Radio/TSGR4_85/Docs/R4-1712718.zip" TargetMode="External"/><Relationship Id="rId10" Type="http://schemas.openxmlformats.org/officeDocument/2006/relationships/hyperlink" Target="https://docs.fcc.gov/public/attachments/FCC-16-89A1.pdf" TargetMode="External"/><Relationship Id="rId4" Type="http://schemas.openxmlformats.org/officeDocument/2006/relationships/hyperlink" Target="https://www.cept.org/Documents/ecc/41429/ecc-18-035_gsa-input-on-26ghz" TargetMode="External"/><Relationship Id="rId9" Type="http://schemas.openxmlformats.org/officeDocument/2006/relationships/hyperlink" Target="https://docs.fcc.gov/public/attachments/FCC-16-89A1.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8.emf"/></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231FBE-B566-4105-BECA-A1006A732F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48</Pages>
  <Words>17211</Words>
  <Characters>98105</Characters>
  <Application>Microsoft Office Word</Application>
  <DocSecurity>0</DocSecurity>
  <Lines>817</Lines>
  <Paragraphs>230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115086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2019-04-01T03:35:00Z</dcterms:created>
  <dcterms:modified xsi:type="dcterms:W3CDTF">2019-04-01T03:35:00Z</dcterms:modified>
  <cp:category/>
</cp:coreProperties>
</file>