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15EEB34" w14:textId="65405B89" w:rsidR="00F06E14" w:rsidRPr="001E5818" w:rsidRDefault="00CB73FA" w:rsidP="0062028D">
      <w:pPr>
        <w:pStyle w:val="ACMAReportTitle"/>
        <w:spacing w:line="240" w:lineRule="auto"/>
      </w:pPr>
      <w:bookmarkStart w:id="0" w:name="_Hlk4743699"/>
      <w:bookmarkEnd w:id="0"/>
      <w:r>
        <w:t>Replanning of the</w:t>
      </w:r>
      <w:r w:rsidR="00E078B6">
        <w:t xml:space="preserve"> </w:t>
      </w:r>
      <w:r w:rsidR="00F00574" w:rsidRPr="001E5818">
        <w:t>2</w:t>
      </w:r>
      <w:r>
        <w:t>8</w:t>
      </w:r>
      <w:r w:rsidR="00F00574">
        <w:t> </w:t>
      </w:r>
      <w:r w:rsidR="00F00574" w:rsidRPr="001E5818">
        <w:t>G</w:t>
      </w:r>
      <w:bookmarkStart w:id="1" w:name="_GoBack"/>
      <w:bookmarkEnd w:id="1"/>
      <w:r w:rsidR="00F00574" w:rsidRPr="001E5818">
        <w:t>Hz</w:t>
      </w:r>
      <w:r w:rsidR="00F00574">
        <w:t> </w:t>
      </w:r>
      <w:r w:rsidR="002D673F" w:rsidRPr="001E5818">
        <w:t>band</w:t>
      </w:r>
      <w:r w:rsidR="006C14C7" w:rsidRPr="001E5818">
        <w:t xml:space="preserve"> </w:t>
      </w:r>
    </w:p>
    <w:p w14:paraId="5171E2FC" w14:textId="77777777" w:rsidR="00F06E14" w:rsidRPr="001E5818" w:rsidRDefault="002D673F" w:rsidP="0062028D">
      <w:pPr>
        <w:pStyle w:val="ACMAReportSubTitle"/>
        <w:spacing w:after="240" w:line="240" w:lineRule="auto"/>
      </w:pPr>
      <w:r w:rsidRPr="001E5818">
        <w:t>Options paper</w:t>
      </w:r>
    </w:p>
    <w:p w14:paraId="191DC720" w14:textId="5084304B" w:rsidR="00F06E14" w:rsidRPr="001E5818" w:rsidRDefault="00AC6904" w:rsidP="00BB4AB9">
      <w:pPr>
        <w:pStyle w:val="ACMAReportDate"/>
        <w:spacing w:before="120" w:after="120"/>
      </w:pPr>
      <w:r>
        <w:t>APRIL</w:t>
      </w:r>
      <w:r w:rsidR="007033ED">
        <w:t xml:space="preserve"> 2019</w:t>
      </w:r>
    </w:p>
    <w:p w14:paraId="266CC77B" w14:textId="77777777" w:rsidR="00C97736" w:rsidRPr="001E5818" w:rsidRDefault="00C97736" w:rsidP="00BB4AB9">
      <w:pPr>
        <w:spacing w:before="120" w:after="120" w:line="240" w:lineRule="auto"/>
        <w:rPr>
          <w:rFonts w:cs="Arial"/>
        </w:rPr>
      </w:pPr>
    </w:p>
    <w:p w14:paraId="362D7DA5" w14:textId="77777777" w:rsidR="00C97736" w:rsidRPr="001E5818" w:rsidRDefault="00C97736" w:rsidP="00BB4AB9">
      <w:pPr>
        <w:spacing w:before="120" w:after="120" w:line="240" w:lineRule="auto"/>
        <w:rPr>
          <w:rFonts w:cs="Arial"/>
        </w:rPr>
        <w:sectPr w:rsidR="00C97736" w:rsidRPr="001E5818" w:rsidSect="004F556E">
          <w:headerReference w:type="default" r:id="rId8"/>
          <w:footerReference w:type="default" r:id="rId9"/>
          <w:headerReference w:type="first" r:id="rId10"/>
          <w:pgSz w:w="11906" w:h="16838" w:code="9"/>
          <w:pgMar w:top="3924" w:right="1797" w:bottom="1440" w:left="1134" w:header="709" w:footer="454" w:gutter="0"/>
          <w:cols w:space="708"/>
          <w:docGrid w:linePitch="360"/>
        </w:sectPr>
      </w:pPr>
    </w:p>
    <w:p w14:paraId="0A39F31E" w14:textId="77777777" w:rsidR="0005011A" w:rsidRPr="001E5818" w:rsidRDefault="0005011A" w:rsidP="00BB4AB9">
      <w:pPr>
        <w:pStyle w:val="ACMACorporateAddressHeader"/>
        <w:spacing w:before="120" w:after="120" w:line="240" w:lineRule="auto"/>
      </w:pPr>
      <w:r w:rsidRPr="001E5818">
        <w:lastRenderedPageBreak/>
        <w:t>Canberra</w:t>
      </w:r>
    </w:p>
    <w:p w14:paraId="6C308702" w14:textId="77777777" w:rsidR="0005011A" w:rsidRPr="001E5818" w:rsidRDefault="0005011A" w:rsidP="00BB4AB9">
      <w:pPr>
        <w:pStyle w:val="ACMACorporateAddresses"/>
        <w:spacing w:before="120" w:line="240" w:lineRule="auto"/>
      </w:pPr>
      <w:r w:rsidRPr="001E5818">
        <w:t xml:space="preserve">Red Building </w:t>
      </w:r>
      <w:r w:rsidRPr="001E5818">
        <w:br/>
        <w:t>Benjamin Offices</w:t>
      </w:r>
      <w:r w:rsidRPr="001E5818">
        <w:br/>
        <w:t xml:space="preserve">Chan Street </w:t>
      </w:r>
      <w:r w:rsidRPr="001E5818">
        <w:br/>
        <w:t>Belconnen ACT</w:t>
      </w:r>
    </w:p>
    <w:p w14:paraId="1CB85203" w14:textId="77777777" w:rsidR="0005011A" w:rsidRPr="001E5818" w:rsidRDefault="0005011A" w:rsidP="00BB4AB9">
      <w:pPr>
        <w:pStyle w:val="ACMACorporateAddresses"/>
        <w:spacing w:before="120" w:line="240" w:lineRule="auto"/>
      </w:pPr>
      <w:r w:rsidRPr="001E5818">
        <w:t>PO Box 78</w:t>
      </w:r>
      <w:r w:rsidRPr="001E5818">
        <w:br/>
        <w:t>Belconnen ACT 2616</w:t>
      </w:r>
    </w:p>
    <w:p w14:paraId="662F0159" w14:textId="77777777" w:rsidR="00FE1823" w:rsidRPr="001E5818" w:rsidRDefault="0005011A" w:rsidP="00BB4AB9">
      <w:pPr>
        <w:pStyle w:val="ACMACorporateAddresses"/>
        <w:spacing w:before="120" w:line="240" w:lineRule="auto"/>
      </w:pPr>
      <w:r w:rsidRPr="001E5818">
        <w:t>T</w:t>
      </w:r>
      <w:r w:rsidR="00537604" w:rsidRPr="001E5818">
        <w:tab/>
      </w:r>
      <w:r w:rsidRPr="001E5818">
        <w:t>+61 2 6219 5555</w:t>
      </w:r>
      <w:r w:rsidRPr="001E5818">
        <w:br/>
        <w:t>F</w:t>
      </w:r>
      <w:r w:rsidR="00537604" w:rsidRPr="001E5818">
        <w:tab/>
      </w:r>
      <w:r w:rsidRPr="001E5818">
        <w:t>+61 2 6219 5353</w:t>
      </w:r>
    </w:p>
    <w:p w14:paraId="34539F61" w14:textId="77777777" w:rsidR="0005011A" w:rsidRPr="001E5818" w:rsidRDefault="0005011A" w:rsidP="00BB4AB9">
      <w:pPr>
        <w:pStyle w:val="ACMACorporateAddressHeader"/>
        <w:spacing w:before="120" w:after="120" w:line="240" w:lineRule="auto"/>
      </w:pPr>
      <w:r w:rsidRPr="001E5818">
        <w:t>Melbourne</w:t>
      </w:r>
    </w:p>
    <w:p w14:paraId="0716233C" w14:textId="77777777" w:rsidR="0005011A" w:rsidRPr="001E5818" w:rsidRDefault="0005011A" w:rsidP="00BB4AB9">
      <w:pPr>
        <w:pStyle w:val="ACMACorporateAddresses"/>
        <w:spacing w:before="120" w:line="240" w:lineRule="auto"/>
      </w:pPr>
      <w:r w:rsidRPr="001E5818">
        <w:t xml:space="preserve">Level 32 </w:t>
      </w:r>
      <w:r w:rsidRPr="001E5818">
        <w:br/>
        <w:t>Melbourne Central Tower</w:t>
      </w:r>
      <w:r w:rsidRPr="001E5818">
        <w:br/>
        <w:t xml:space="preserve">360 Elizabeth Street </w:t>
      </w:r>
      <w:r w:rsidR="008C10F4" w:rsidRPr="001E5818">
        <w:br/>
      </w:r>
      <w:r w:rsidRPr="001E5818">
        <w:t>Melbourne VIC</w:t>
      </w:r>
    </w:p>
    <w:p w14:paraId="775263D9" w14:textId="77777777" w:rsidR="0005011A" w:rsidRPr="001E5818" w:rsidRDefault="0005011A" w:rsidP="00BB4AB9">
      <w:pPr>
        <w:pStyle w:val="ACMACorporateAddresses"/>
        <w:spacing w:before="120" w:line="240" w:lineRule="auto"/>
      </w:pPr>
      <w:r w:rsidRPr="001E5818">
        <w:t>PO Box 13112</w:t>
      </w:r>
      <w:r w:rsidRPr="001E5818">
        <w:br/>
        <w:t xml:space="preserve">Law Courts </w:t>
      </w:r>
      <w:r w:rsidRPr="001E5818">
        <w:br/>
        <w:t>Melbourne VIC 8010</w:t>
      </w:r>
    </w:p>
    <w:p w14:paraId="2ECD7EBC" w14:textId="77777777" w:rsidR="0005011A" w:rsidRPr="001E5818" w:rsidRDefault="0005011A" w:rsidP="00BB4AB9">
      <w:pPr>
        <w:pStyle w:val="ACMACorporateAddresses"/>
        <w:spacing w:before="120" w:line="240" w:lineRule="auto"/>
      </w:pPr>
      <w:r w:rsidRPr="001E5818">
        <w:t>T</w:t>
      </w:r>
      <w:r w:rsidR="00140318" w:rsidRPr="001E5818">
        <w:tab/>
      </w:r>
      <w:r w:rsidRPr="001E5818">
        <w:t>+61 3 9963 6800</w:t>
      </w:r>
      <w:r w:rsidRPr="001E5818">
        <w:br/>
        <w:t>F</w:t>
      </w:r>
      <w:r w:rsidR="00140318" w:rsidRPr="001E5818">
        <w:tab/>
      </w:r>
      <w:r w:rsidRPr="001E5818">
        <w:t>+61 3 9963 6899</w:t>
      </w:r>
    </w:p>
    <w:p w14:paraId="1C83B25D" w14:textId="77777777" w:rsidR="0005011A" w:rsidRPr="001E5818" w:rsidRDefault="0005011A" w:rsidP="00BB4AB9">
      <w:pPr>
        <w:pStyle w:val="ACMACorporateAddressHeader"/>
        <w:spacing w:before="120" w:after="120" w:line="240" w:lineRule="auto"/>
      </w:pPr>
      <w:r w:rsidRPr="001E5818">
        <w:t>Sydney</w:t>
      </w:r>
    </w:p>
    <w:p w14:paraId="035E58E1" w14:textId="77777777" w:rsidR="0005011A" w:rsidRPr="001E5818" w:rsidRDefault="0005011A" w:rsidP="00BB4AB9">
      <w:pPr>
        <w:pStyle w:val="ACMACorporateAddresses"/>
        <w:spacing w:before="120" w:line="240" w:lineRule="auto"/>
      </w:pPr>
      <w:r w:rsidRPr="001E5818">
        <w:t xml:space="preserve">Level 5 </w:t>
      </w:r>
      <w:r w:rsidRPr="001E5818">
        <w:br/>
        <w:t>The Bay Centre</w:t>
      </w:r>
      <w:r w:rsidRPr="001E5818">
        <w:br/>
        <w:t xml:space="preserve">65 Pirrama Road </w:t>
      </w:r>
      <w:r w:rsidRPr="001E5818">
        <w:br/>
        <w:t>Pyrmont NSW</w:t>
      </w:r>
    </w:p>
    <w:p w14:paraId="558460F7" w14:textId="77777777" w:rsidR="0005011A" w:rsidRPr="001E5818" w:rsidRDefault="0005011A" w:rsidP="00BB4AB9">
      <w:pPr>
        <w:pStyle w:val="ACMACorporateAddresses"/>
        <w:spacing w:before="120" w:line="240" w:lineRule="auto"/>
      </w:pPr>
      <w:r w:rsidRPr="001E5818">
        <w:t>PO Box Q500</w:t>
      </w:r>
      <w:r w:rsidRPr="001E5818">
        <w:br/>
        <w:t xml:space="preserve">Queen Victoria Building </w:t>
      </w:r>
      <w:r w:rsidRPr="001E5818">
        <w:br/>
        <w:t>NSW 1230</w:t>
      </w:r>
    </w:p>
    <w:p w14:paraId="5288CA88" w14:textId="77777777" w:rsidR="0005011A" w:rsidRPr="001E5818" w:rsidRDefault="0005011A" w:rsidP="00BB4AB9">
      <w:pPr>
        <w:pStyle w:val="ACMACorporateAddresses"/>
        <w:spacing w:before="120" w:line="240" w:lineRule="auto"/>
      </w:pPr>
      <w:r w:rsidRPr="001E5818">
        <w:t>T</w:t>
      </w:r>
      <w:r w:rsidR="00140318" w:rsidRPr="001E5818">
        <w:tab/>
      </w:r>
      <w:r w:rsidRPr="001E5818">
        <w:t>+61 2 9334 7700</w:t>
      </w:r>
      <w:r w:rsidR="00140318" w:rsidRPr="001E5818">
        <w:t xml:space="preserve"> or</w:t>
      </w:r>
      <w:r w:rsidRPr="001E5818">
        <w:t xml:space="preserve"> 1800 226 667</w:t>
      </w:r>
      <w:r w:rsidRPr="001E5818">
        <w:br/>
        <w:t>F</w:t>
      </w:r>
      <w:r w:rsidR="00140318" w:rsidRPr="001E5818">
        <w:tab/>
      </w:r>
      <w:r w:rsidRPr="001E5818">
        <w:t>+61 2 9334 7799</w:t>
      </w:r>
    </w:p>
    <w:p w14:paraId="64CEA556" w14:textId="77777777" w:rsidR="00140318" w:rsidRPr="001E5818" w:rsidRDefault="00140318" w:rsidP="0062028D">
      <w:pPr>
        <w:pStyle w:val="ACMACopyrightHeader"/>
        <w:spacing w:after="120" w:line="240" w:lineRule="auto"/>
      </w:pPr>
      <w:r w:rsidRPr="001E5818">
        <w:t>Copyright notice</w:t>
      </w:r>
    </w:p>
    <w:p w14:paraId="66A9BD97" w14:textId="77777777" w:rsidR="00140318" w:rsidRPr="001E5818" w:rsidRDefault="00623FF9" w:rsidP="00BB4AB9">
      <w:pPr>
        <w:pStyle w:val="ACMACClogo"/>
        <w:spacing w:before="120"/>
      </w:pPr>
      <w:r w:rsidRPr="001E5818">
        <w:rPr>
          <w:noProof/>
        </w:rPr>
        <w:drawing>
          <wp:inline distT="0" distB="0" distL="0" distR="0" wp14:anchorId="73EED46D" wp14:editId="2C585921">
            <wp:extent cx="838200" cy="295275"/>
            <wp:effectExtent l="0" t="0" r="0" b="0"/>
            <wp:docPr id="1" name="Picture 1" title="Creative Commons logo">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1"/>
                    </pic:cNvPr>
                    <pic:cNvPicPr>
                      <a:picLocks noChangeAspect="1" noChangeArrowheads="1"/>
                    </pic:cNvPicPr>
                  </pic:nvPicPr>
                  <pic:blipFill>
                    <a:blip r:embed="rId12" cstate="print"/>
                    <a:srcRect/>
                    <a:stretch>
                      <a:fillRect/>
                    </a:stretch>
                  </pic:blipFill>
                  <pic:spPr bwMode="auto">
                    <a:xfrm>
                      <a:off x="0" y="0"/>
                      <a:ext cx="838200" cy="295275"/>
                    </a:xfrm>
                    <a:prstGeom prst="rect">
                      <a:avLst/>
                    </a:prstGeom>
                    <a:noFill/>
                  </pic:spPr>
                </pic:pic>
              </a:graphicData>
            </a:graphic>
          </wp:inline>
        </w:drawing>
      </w:r>
    </w:p>
    <w:p w14:paraId="62E10E90" w14:textId="77777777" w:rsidR="00A23982" w:rsidRDefault="005B0D57" w:rsidP="00A23982">
      <w:pPr>
        <w:pStyle w:val="ACMACorporateAddresses"/>
        <w:rPr>
          <w:rStyle w:val="Hyperlink"/>
        </w:rPr>
      </w:pPr>
      <w:hyperlink r:id="rId13" w:history="1">
        <w:r w:rsidR="00A23982">
          <w:rPr>
            <w:rStyle w:val="Hyperlink"/>
          </w:rPr>
          <w:t>https://creativecommons.org/licenses/by/4.0//</w:t>
        </w:r>
      </w:hyperlink>
    </w:p>
    <w:p w14:paraId="6EF8A26C" w14:textId="77777777" w:rsidR="00A23982" w:rsidRDefault="00A23982" w:rsidP="00A23982">
      <w:pPr>
        <w:pStyle w:val="ACMACorporateAddresses"/>
      </w:pPr>
      <w:r>
        <w:t xml:space="preserve">With the exception of coats of arms, logos, emblems, images, other third-party material or devices protected by a trademark, this content is made available under the terms of the Creative Commons Attribution 4.0 International (CC BY 4.0) licence. </w:t>
      </w:r>
    </w:p>
    <w:p w14:paraId="537BE997" w14:textId="7A3D886E" w:rsidR="00A23982" w:rsidRDefault="00A23982" w:rsidP="00A23982">
      <w:pPr>
        <w:pStyle w:val="ACMACorporateAddresses"/>
      </w:pPr>
      <w:r>
        <w:t>We request attribution as © Commonwealth of Australia (Australian Communications and Media Authority) 201</w:t>
      </w:r>
      <w:r w:rsidR="00AC6904">
        <w:t>9</w:t>
      </w:r>
      <w:r>
        <w:t>.</w:t>
      </w:r>
    </w:p>
    <w:p w14:paraId="57140639" w14:textId="77777777" w:rsidR="00140318" w:rsidRPr="001E5818" w:rsidRDefault="00140318" w:rsidP="00BB4AB9">
      <w:pPr>
        <w:pStyle w:val="ACMACorporateAddresses"/>
        <w:spacing w:before="120" w:line="240" w:lineRule="auto"/>
      </w:pPr>
      <w:r w:rsidRPr="001E5818">
        <w:t>All other rights are reserved.</w:t>
      </w:r>
    </w:p>
    <w:p w14:paraId="363FA415" w14:textId="77777777" w:rsidR="00140318" w:rsidRPr="001E5818" w:rsidRDefault="00140318" w:rsidP="00BB4AB9">
      <w:pPr>
        <w:pStyle w:val="ACMACorporateAddresses"/>
        <w:spacing w:before="120" w:line="240" w:lineRule="auto"/>
      </w:pPr>
      <w:r w:rsidRPr="001E5818">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42867845" w14:textId="77777777" w:rsidR="00140318" w:rsidRPr="001E5818" w:rsidRDefault="00140318" w:rsidP="00BB4AB9">
      <w:pPr>
        <w:pStyle w:val="ACMACorporateAddresses"/>
        <w:spacing w:before="120" w:line="240" w:lineRule="auto"/>
      </w:pPr>
      <w:r w:rsidRPr="001E5818">
        <w:t>Written enquiries may be sent to:</w:t>
      </w:r>
    </w:p>
    <w:p w14:paraId="6D0DC7C8" w14:textId="08109563" w:rsidR="00D16FE3" w:rsidRPr="001E5818" w:rsidRDefault="00140318" w:rsidP="00A23982">
      <w:pPr>
        <w:pStyle w:val="ACMACorporateAddresses"/>
        <w:spacing w:before="120" w:after="0" w:line="240" w:lineRule="auto"/>
        <w:rPr>
          <w:rStyle w:val="Hyperlink"/>
        </w:rPr>
      </w:pPr>
      <w:r w:rsidRPr="001E5818">
        <w:t xml:space="preserve">Manager, Editorial </w:t>
      </w:r>
      <w:r w:rsidR="002602C4">
        <w:t>Services</w:t>
      </w:r>
      <w:r w:rsidR="00623FF9" w:rsidRPr="001E5818">
        <w:br/>
      </w:r>
      <w:r w:rsidRPr="001E5818">
        <w:t>PO Box 13112</w:t>
      </w:r>
      <w:r w:rsidR="00623FF9" w:rsidRPr="001E5818">
        <w:br/>
      </w:r>
      <w:r w:rsidRPr="001E5818">
        <w:t>Law Courts</w:t>
      </w:r>
      <w:r w:rsidR="00623FF9" w:rsidRPr="001E5818">
        <w:br/>
      </w:r>
      <w:r w:rsidRPr="001E5818">
        <w:t>Melbourne VIC 8010</w:t>
      </w:r>
      <w:r w:rsidR="00623FF9" w:rsidRPr="001E5818">
        <w:br/>
      </w:r>
      <w:r w:rsidRPr="001E5818">
        <w:t xml:space="preserve">Email: </w:t>
      </w:r>
      <w:hyperlink r:id="rId14" w:history="1">
        <w:r w:rsidR="000A1400" w:rsidRPr="001E5818">
          <w:rPr>
            <w:rStyle w:val="Hyperlink"/>
          </w:rPr>
          <w:t>info@acma.gov.au</w:t>
        </w:r>
      </w:hyperlink>
    </w:p>
    <w:p w14:paraId="44B62357" w14:textId="77777777" w:rsidR="00D16FE3" w:rsidRPr="001E5818" w:rsidRDefault="00D16FE3" w:rsidP="00BB4AB9">
      <w:pPr>
        <w:pStyle w:val="ACMACorporateAddresses"/>
        <w:spacing w:before="120" w:line="240" w:lineRule="auto"/>
        <w:sectPr w:rsidR="00D16FE3" w:rsidRPr="001E5818">
          <w:headerReference w:type="even" r:id="rId15"/>
          <w:headerReference w:type="default" r:id="rId16"/>
          <w:footerReference w:type="even" r:id="rId17"/>
          <w:footerReference w:type="default" r:id="rId18"/>
          <w:pgSz w:w="11906" w:h="16838" w:code="9"/>
          <w:pgMar w:top="3924" w:right="1797" w:bottom="697" w:left="1134" w:header="709" w:footer="119" w:gutter="0"/>
          <w:cols w:space="708"/>
          <w:docGrid w:linePitch="360"/>
        </w:sectPr>
      </w:pPr>
    </w:p>
    <w:p w14:paraId="4B68602C" w14:textId="78CF46D8" w:rsidR="00FC119C" w:rsidRDefault="00DC2752">
      <w:pPr>
        <w:pStyle w:val="TOC1"/>
        <w:rPr>
          <w:rFonts w:asciiTheme="minorHAnsi" w:eastAsiaTheme="minorEastAsia" w:hAnsiTheme="minorHAnsi" w:cstheme="minorBidi"/>
          <w:b w:val="0"/>
          <w:spacing w:val="0"/>
          <w:sz w:val="22"/>
          <w:szCs w:val="22"/>
        </w:rPr>
      </w:pPr>
      <w:r>
        <w:rPr>
          <w:rFonts w:cs="Arial"/>
        </w:rPr>
        <w:lastRenderedPageBreak/>
        <w:fldChar w:fldCharType="begin"/>
      </w:r>
      <w:r>
        <w:rPr>
          <w:rFonts w:cs="Arial"/>
        </w:rPr>
        <w:instrText xml:space="preserve"> TOC \o "1-2" \h \z \t "ACMA_ExecSummaryHeading,1" </w:instrText>
      </w:r>
      <w:r>
        <w:rPr>
          <w:rFonts w:cs="Arial"/>
        </w:rPr>
        <w:fldChar w:fldCharType="separate"/>
      </w:r>
      <w:hyperlink w:anchor="_Toc5000058" w:history="1">
        <w:r w:rsidR="00FC119C" w:rsidRPr="00E96A65">
          <w:rPr>
            <w:rStyle w:val="Hyperlink"/>
          </w:rPr>
          <w:t>Executive summary</w:t>
        </w:r>
        <w:r w:rsidR="00FC119C">
          <w:rPr>
            <w:webHidden/>
          </w:rPr>
          <w:tab/>
        </w:r>
        <w:r w:rsidR="00FC119C">
          <w:rPr>
            <w:webHidden/>
          </w:rPr>
          <w:fldChar w:fldCharType="begin"/>
        </w:r>
        <w:r w:rsidR="00FC119C">
          <w:rPr>
            <w:webHidden/>
          </w:rPr>
          <w:instrText xml:space="preserve"> PAGEREF _Toc5000058 \h </w:instrText>
        </w:r>
        <w:r w:rsidR="00FC119C">
          <w:rPr>
            <w:webHidden/>
          </w:rPr>
        </w:r>
        <w:r w:rsidR="00FC119C">
          <w:rPr>
            <w:webHidden/>
          </w:rPr>
          <w:fldChar w:fldCharType="separate"/>
        </w:r>
        <w:r w:rsidR="00FC119C">
          <w:rPr>
            <w:webHidden/>
          </w:rPr>
          <w:t>5</w:t>
        </w:r>
        <w:r w:rsidR="00FC119C">
          <w:rPr>
            <w:webHidden/>
          </w:rPr>
          <w:fldChar w:fldCharType="end"/>
        </w:r>
      </w:hyperlink>
    </w:p>
    <w:p w14:paraId="7E3E4B3A" w14:textId="59241AB2" w:rsidR="00FC119C" w:rsidRDefault="005B0D57">
      <w:pPr>
        <w:pStyle w:val="TOC1"/>
        <w:rPr>
          <w:rFonts w:asciiTheme="minorHAnsi" w:eastAsiaTheme="minorEastAsia" w:hAnsiTheme="minorHAnsi" w:cstheme="minorBidi"/>
          <w:b w:val="0"/>
          <w:spacing w:val="0"/>
          <w:sz w:val="22"/>
          <w:szCs w:val="22"/>
        </w:rPr>
      </w:pPr>
      <w:hyperlink w:anchor="_Toc5000059" w:history="1">
        <w:r w:rsidR="00FC119C" w:rsidRPr="00E96A65">
          <w:rPr>
            <w:rStyle w:val="Hyperlink"/>
          </w:rPr>
          <w:t>Issues for comment</w:t>
        </w:r>
        <w:r w:rsidR="00FC119C">
          <w:rPr>
            <w:webHidden/>
          </w:rPr>
          <w:tab/>
        </w:r>
        <w:r w:rsidR="00FC119C">
          <w:rPr>
            <w:webHidden/>
          </w:rPr>
          <w:fldChar w:fldCharType="begin"/>
        </w:r>
        <w:r w:rsidR="00FC119C">
          <w:rPr>
            <w:webHidden/>
          </w:rPr>
          <w:instrText xml:space="preserve"> PAGEREF _Toc5000059 \h </w:instrText>
        </w:r>
        <w:r w:rsidR="00FC119C">
          <w:rPr>
            <w:webHidden/>
          </w:rPr>
        </w:r>
        <w:r w:rsidR="00FC119C">
          <w:rPr>
            <w:webHidden/>
          </w:rPr>
          <w:fldChar w:fldCharType="separate"/>
        </w:r>
        <w:r w:rsidR="00FC119C">
          <w:rPr>
            <w:webHidden/>
          </w:rPr>
          <w:t>7</w:t>
        </w:r>
        <w:r w:rsidR="00FC119C">
          <w:rPr>
            <w:webHidden/>
          </w:rPr>
          <w:fldChar w:fldCharType="end"/>
        </w:r>
      </w:hyperlink>
    </w:p>
    <w:p w14:paraId="36D8E8B5" w14:textId="20C18A2A" w:rsidR="00FC119C" w:rsidRDefault="005B0D57">
      <w:pPr>
        <w:pStyle w:val="TOC1"/>
        <w:rPr>
          <w:rFonts w:asciiTheme="minorHAnsi" w:eastAsiaTheme="minorEastAsia" w:hAnsiTheme="minorHAnsi" w:cstheme="minorBidi"/>
          <w:b w:val="0"/>
          <w:spacing w:val="0"/>
          <w:sz w:val="22"/>
          <w:szCs w:val="22"/>
        </w:rPr>
      </w:pPr>
      <w:hyperlink w:anchor="_Toc5000060" w:history="1">
        <w:r w:rsidR="00FC119C" w:rsidRPr="00E96A65">
          <w:rPr>
            <w:rStyle w:val="Hyperlink"/>
          </w:rPr>
          <w:t>Introduction</w:t>
        </w:r>
        <w:r w:rsidR="00FC119C">
          <w:rPr>
            <w:webHidden/>
          </w:rPr>
          <w:tab/>
        </w:r>
        <w:r w:rsidR="00FC119C">
          <w:rPr>
            <w:webHidden/>
          </w:rPr>
          <w:fldChar w:fldCharType="begin"/>
        </w:r>
        <w:r w:rsidR="00FC119C">
          <w:rPr>
            <w:webHidden/>
          </w:rPr>
          <w:instrText xml:space="preserve"> PAGEREF _Toc5000060 \h </w:instrText>
        </w:r>
        <w:r w:rsidR="00FC119C">
          <w:rPr>
            <w:webHidden/>
          </w:rPr>
        </w:r>
        <w:r w:rsidR="00FC119C">
          <w:rPr>
            <w:webHidden/>
          </w:rPr>
          <w:fldChar w:fldCharType="separate"/>
        </w:r>
        <w:r w:rsidR="00FC119C">
          <w:rPr>
            <w:webHidden/>
          </w:rPr>
          <w:t>8</w:t>
        </w:r>
        <w:r w:rsidR="00FC119C">
          <w:rPr>
            <w:webHidden/>
          </w:rPr>
          <w:fldChar w:fldCharType="end"/>
        </w:r>
      </w:hyperlink>
    </w:p>
    <w:p w14:paraId="3A642C50" w14:textId="1490D210" w:rsidR="00FC119C" w:rsidRDefault="005B0D57">
      <w:pPr>
        <w:pStyle w:val="TOC2"/>
        <w:rPr>
          <w:rFonts w:asciiTheme="minorHAnsi" w:eastAsiaTheme="minorEastAsia" w:hAnsiTheme="minorHAnsi" w:cstheme="minorBidi"/>
          <w:spacing w:val="0"/>
          <w:sz w:val="22"/>
          <w:szCs w:val="22"/>
        </w:rPr>
      </w:pPr>
      <w:hyperlink w:anchor="_Toc5000061" w:history="1">
        <w:r w:rsidR="00FC119C" w:rsidRPr="00E96A65">
          <w:rPr>
            <w:rStyle w:val="Hyperlink"/>
          </w:rPr>
          <w:t>Purpose of this paper</w:t>
        </w:r>
        <w:r w:rsidR="00FC119C">
          <w:rPr>
            <w:webHidden/>
          </w:rPr>
          <w:tab/>
        </w:r>
        <w:r w:rsidR="00FC119C">
          <w:rPr>
            <w:webHidden/>
          </w:rPr>
          <w:fldChar w:fldCharType="begin"/>
        </w:r>
        <w:r w:rsidR="00FC119C">
          <w:rPr>
            <w:webHidden/>
          </w:rPr>
          <w:instrText xml:space="preserve"> PAGEREF _Toc5000061 \h </w:instrText>
        </w:r>
        <w:r w:rsidR="00FC119C">
          <w:rPr>
            <w:webHidden/>
          </w:rPr>
        </w:r>
        <w:r w:rsidR="00FC119C">
          <w:rPr>
            <w:webHidden/>
          </w:rPr>
          <w:fldChar w:fldCharType="separate"/>
        </w:r>
        <w:r w:rsidR="00FC119C">
          <w:rPr>
            <w:webHidden/>
          </w:rPr>
          <w:t>8</w:t>
        </w:r>
        <w:r w:rsidR="00FC119C">
          <w:rPr>
            <w:webHidden/>
          </w:rPr>
          <w:fldChar w:fldCharType="end"/>
        </w:r>
      </w:hyperlink>
    </w:p>
    <w:p w14:paraId="3004DA9F" w14:textId="4303CABB" w:rsidR="00FC119C" w:rsidRDefault="005B0D57">
      <w:pPr>
        <w:pStyle w:val="TOC2"/>
        <w:rPr>
          <w:rFonts w:asciiTheme="minorHAnsi" w:eastAsiaTheme="minorEastAsia" w:hAnsiTheme="minorHAnsi" w:cstheme="minorBidi"/>
          <w:spacing w:val="0"/>
          <w:sz w:val="22"/>
          <w:szCs w:val="22"/>
        </w:rPr>
      </w:pPr>
      <w:hyperlink w:anchor="_Toc5000062" w:history="1">
        <w:r w:rsidR="00FC119C" w:rsidRPr="00E96A65">
          <w:rPr>
            <w:rStyle w:val="Hyperlink"/>
          </w:rPr>
          <w:t>Legislative and policy environment</w:t>
        </w:r>
        <w:r w:rsidR="00FC119C">
          <w:rPr>
            <w:webHidden/>
          </w:rPr>
          <w:tab/>
        </w:r>
        <w:r w:rsidR="00FC119C">
          <w:rPr>
            <w:webHidden/>
          </w:rPr>
          <w:fldChar w:fldCharType="begin"/>
        </w:r>
        <w:r w:rsidR="00FC119C">
          <w:rPr>
            <w:webHidden/>
          </w:rPr>
          <w:instrText xml:space="preserve"> PAGEREF _Toc5000062 \h </w:instrText>
        </w:r>
        <w:r w:rsidR="00FC119C">
          <w:rPr>
            <w:webHidden/>
          </w:rPr>
        </w:r>
        <w:r w:rsidR="00FC119C">
          <w:rPr>
            <w:webHidden/>
          </w:rPr>
          <w:fldChar w:fldCharType="separate"/>
        </w:r>
        <w:r w:rsidR="00FC119C">
          <w:rPr>
            <w:webHidden/>
          </w:rPr>
          <w:t>8</w:t>
        </w:r>
        <w:r w:rsidR="00FC119C">
          <w:rPr>
            <w:webHidden/>
          </w:rPr>
          <w:fldChar w:fldCharType="end"/>
        </w:r>
      </w:hyperlink>
    </w:p>
    <w:p w14:paraId="4543CC45" w14:textId="0D3D4DA1" w:rsidR="00FC119C" w:rsidRDefault="005B0D57">
      <w:pPr>
        <w:pStyle w:val="TOC2"/>
        <w:rPr>
          <w:rFonts w:asciiTheme="minorHAnsi" w:eastAsiaTheme="minorEastAsia" w:hAnsiTheme="minorHAnsi" w:cstheme="minorBidi"/>
          <w:spacing w:val="0"/>
          <w:sz w:val="22"/>
          <w:szCs w:val="22"/>
        </w:rPr>
      </w:pPr>
      <w:hyperlink w:anchor="_Toc5000063" w:history="1">
        <w:r w:rsidR="00FC119C" w:rsidRPr="00E96A65">
          <w:rPr>
            <w:rStyle w:val="Hyperlink"/>
          </w:rPr>
          <w:t>Issues not within the scope of this paper</w:t>
        </w:r>
        <w:r w:rsidR="00FC119C">
          <w:rPr>
            <w:webHidden/>
          </w:rPr>
          <w:tab/>
        </w:r>
        <w:r w:rsidR="00FC119C">
          <w:rPr>
            <w:webHidden/>
          </w:rPr>
          <w:fldChar w:fldCharType="begin"/>
        </w:r>
        <w:r w:rsidR="00FC119C">
          <w:rPr>
            <w:webHidden/>
          </w:rPr>
          <w:instrText xml:space="preserve"> PAGEREF _Toc5000063 \h </w:instrText>
        </w:r>
        <w:r w:rsidR="00FC119C">
          <w:rPr>
            <w:webHidden/>
          </w:rPr>
        </w:r>
        <w:r w:rsidR="00FC119C">
          <w:rPr>
            <w:webHidden/>
          </w:rPr>
          <w:fldChar w:fldCharType="separate"/>
        </w:r>
        <w:r w:rsidR="00FC119C">
          <w:rPr>
            <w:webHidden/>
          </w:rPr>
          <w:t>10</w:t>
        </w:r>
        <w:r w:rsidR="00FC119C">
          <w:rPr>
            <w:webHidden/>
          </w:rPr>
          <w:fldChar w:fldCharType="end"/>
        </w:r>
      </w:hyperlink>
    </w:p>
    <w:p w14:paraId="550049FB" w14:textId="60B87E80" w:rsidR="00FC119C" w:rsidRDefault="005B0D57">
      <w:pPr>
        <w:pStyle w:val="TOC2"/>
        <w:rPr>
          <w:rFonts w:asciiTheme="minorHAnsi" w:eastAsiaTheme="minorEastAsia" w:hAnsiTheme="minorHAnsi" w:cstheme="minorBidi"/>
          <w:spacing w:val="0"/>
          <w:sz w:val="22"/>
          <w:szCs w:val="22"/>
        </w:rPr>
      </w:pPr>
      <w:hyperlink w:anchor="_Toc5000064" w:history="1">
        <w:r w:rsidR="00FC119C" w:rsidRPr="00E96A65">
          <w:rPr>
            <w:rStyle w:val="Hyperlink"/>
          </w:rPr>
          <w:t>Next steps</w:t>
        </w:r>
        <w:r w:rsidR="00FC119C">
          <w:rPr>
            <w:webHidden/>
          </w:rPr>
          <w:tab/>
        </w:r>
        <w:r w:rsidR="00FC119C">
          <w:rPr>
            <w:webHidden/>
          </w:rPr>
          <w:fldChar w:fldCharType="begin"/>
        </w:r>
        <w:r w:rsidR="00FC119C">
          <w:rPr>
            <w:webHidden/>
          </w:rPr>
          <w:instrText xml:space="preserve"> PAGEREF _Toc5000064 \h </w:instrText>
        </w:r>
        <w:r w:rsidR="00FC119C">
          <w:rPr>
            <w:webHidden/>
          </w:rPr>
        </w:r>
        <w:r w:rsidR="00FC119C">
          <w:rPr>
            <w:webHidden/>
          </w:rPr>
          <w:fldChar w:fldCharType="separate"/>
        </w:r>
        <w:r w:rsidR="00FC119C">
          <w:rPr>
            <w:webHidden/>
          </w:rPr>
          <w:t>11</w:t>
        </w:r>
        <w:r w:rsidR="00FC119C">
          <w:rPr>
            <w:webHidden/>
          </w:rPr>
          <w:fldChar w:fldCharType="end"/>
        </w:r>
      </w:hyperlink>
    </w:p>
    <w:p w14:paraId="07231700" w14:textId="5233B601" w:rsidR="00FC119C" w:rsidRDefault="005B0D57">
      <w:pPr>
        <w:pStyle w:val="TOC1"/>
        <w:rPr>
          <w:rFonts w:asciiTheme="minorHAnsi" w:eastAsiaTheme="minorEastAsia" w:hAnsiTheme="minorHAnsi" w:cstheme="minorBidi"/>
          <w:b w:val="0"/>
          <w:spacing w:val="0"/>
          <w:sz w:val="22"/>
          <w:szCs w:val="22"/>
        </w:rPr>
      </w:pPr>
      <w:hyperlink w:anchor="_Toc5000065" w:history="1">
        <w:r w:rsidR="00FC119C" w:rsidRPr="00E96A65">
          <w:rPr>
            <w:rStyle w:val="Hyperlink"/>
          </w:rPr>
          <w:t>The process to date</w:t>
        </w:r>
        <w:r w:rsidR="00FC119C">
          <w:rPr>
            <w:webHidden/>
          </w:rPr>
          <w:tab/>
        </w:r>
        <w:r w:rsidR="00FC119C">
          <w:rPr>
            <w:webHidden/>
          </w:rPr>
          <w:fldChar w:fldCharType="begin"/>
        </w:r>
        <w:r w:rsidR="00FC119C">
          <w:rPr>
            <w:webHidden/>
          </w:rPr>
          <w:instrText xml:space="preserve"> PAGEREF _Toc5000065 \h </w:instrText>
        </w:r>
        <w:r w:rsidR="00FC119C">
          <w:rPr>
            <w:webHidden/>
          </w:rPr>
        </w:r>
        <w:r w:rsidR="00FC119C">
          <w:rPr>
            <w:webHidden/>
          </w:rPr>
          <w:fldChar w:fldCharType="separate"/>
        </w:r>
        <w:r w:rsidR="00FC119C">
          <w:rPr>
            <w:webHidden/>
          </w:rPr>
          <w:t>12</w:t>
        </w:r>
        <w:r w:rsidR="00FC119C">
          <w:rPr>
            <w:webHidden/>
          </w:rPr>
          <w:fldChar w:fldCharType="end"/>
        </w:r>
      </w:hyperlink>
    </w:p>
    <w:p w14:paraId="6836154B" w14:textId="43CEC280" w:rsidR="00FC119C" w:rsidRDefault="005B0D57">
      <w:pPr>
        <w:pStyle w:val="TOC2"/>
        <w:rPr>
          <w:rFonts w:asciiTheme="minorHAnsi" w:eastAsiaTheme="minorEastAsia" w:hAnsiTheme="minorHAnsi" w:cstheme="minorBidi"/>
          <w:spacing w:val="0"/>
          <w:sz w:val="22"/>
          <w:szCs w:val="22"/>
        </w:rPr>
      </w:pPr>
      <w:hyperlink w:anchor="_Toc5000066" w:history="1">
        <w:r w:rsidR="00FC119C" w:rsidRPr="00E96A65">
          <w:rPr>
            <w:rStyle w:val="Hyperlink"/>
          </w:rPr>
          <w:t>Consultation</w:t>
        </w:r>
        <w:r w:rsidR="00FC119C">
          <w:rPr>
            <w:webHidden/>
          </w:rPr>
          <w:tab/>
        </w:r>
        <w:r w:rsidR="00FC119C">
          <w:rPr>
            <w:webHidden/>
          </w:rPr>
          <w:fldChar w:fldCharType="begin"/>
        </w:r>
        <w:r w:rsidR="00FC119C">
          <w:rPr>
            <w:webHidden/>
          </w:rPr>
          <w:instrText xml:space="preserve"> PAGEREF _Toc5000066 \h </w:instrText>
        </w:r>
        <w:r w:rsidR="00FC119C">
          <w:rPr>
            <w:webHidden/>
          </w:rPr>
        </w:r>
        <w:r w:rsidR="00FC119C">
          <w:rPr>
            <w:webHidden/>
          </w:rPr>
          <w:fldChar w:fldCharType="separate"/>
        </w:r>
        <w:r w:rsidR="00FC119C">
          <w:rPr>
            <w:webHidden/>
          </w:rPr>
          <w:t>12</w:t>
        </w:r>
        <w:r w:rsidR="00FC119C">
          <w:rPr>
            <w:webHidden/>
          </w:rPr>
          <w:fldChar w:fldCharType="end"/>
        </w:r>
      </w:hyperlink>
    </w:p>
    <w:p w14:paraId="7DDBC438" w14:textId="0705667B" w:rsidR="00FC119C" w:rsidRDefault="005B0D57">
      <w:pPr>
        <w:pStyle w:val="TOC2"/>
        <w:rPr>
          <w:rFonts w:asciiTheme="minorHAnsi" w:eastAsiaTheme="minorEastAsia" w:hAnsiTheme="minorHAnsi" w:cstheme="minorBidi"/>
          <w:spacing w:val="0"/>
          <w:sz w:val="22"/>
          <w:szCs w:val="22"/>
        </w:rPr>
      </w:pPr>
      <w:hyperlink w:anchor="_Toc5000067" w:history="1">
        <w:r w:rsidR="00FC119C" w:rsidRPr="00E96A65">
          <w:rPr>
            <w:rStyle w:val="Hyperlink"/>
          </w:rPr>
          <w:t>Summary of submissions</w:t>
        </w:r>
        <w:r w:rsidR="00FC119C">
          <w:rPr>
            <w:webHidden/>
          </w:rPr>
          <w:tab/>
        </w:r>
        <w:r w:rsidR="00FC119C">
          <w:rPr>
            <w:webHidden/>
          </w:rPr>
          <w:fldChar w:fldCharType="begin"/>
        </w:r>
        <w:r w:rsidR="00FC119C">
          <w:rPr>
            <w:webHidden/>
          </w:rPr>
          <w:instrText xml:space="preserve"> PAGEREF _Toc5000067 \h </w:instrText>
        </w:r>
        <w:r w:rsidR="00FC119C">
          <w:rPr>
            <w:webHidden/>
          </w:rPr>
        </w:r>
        <w:r w:rsidR="00FC119C">
          <w:rPr>
            <w:webHidden/>
          </w:rPr>
          <w:fldChar w:fldCharType="separate"/>
        </w:r>
        <w:r w:rsidR="00FC119C">
          <w:rPr>
            <w:webHidden/>
          </w:rPr>
          <w:t>12</w:t>
        </w:r>
        <w:r w:rsidR="00FC119C">
          <w:rPr>
            <w:webHidden/>
          </w:rPr>
          <w:fldChar w:fldCharType="end"/>
        </w:r>
      </w:hyperlink>
    </w:p>
    <w:p w14:paraId="7303A0B6" w14:textId="31A1C9AD" w:rsidR="00FC119C" w:rsidRDefault="005B0D57">
      <w:pPr>
        <w:pStyle w:val="TOC1"/>
        <w:rPr>
          <w:rFonts w:asciiTheme="minorHAnsi" w:eastAsiaTheme="minorEastAsia" w:hAnsiTheme="minorHAnsi" w:cstheme="minorBidi"/>
          <w:b w:val="0"/>
          <w:spacing w:val="0"/>
          <w:sz w:val="22"/>
          <w:szCs w:val="22"/>
        </w:rPr>
      </w:pPr>
      <w:hyperlink w:anchor="_Toc5000068" w:history="1">
        <w:r w:rsidR="00FC119C" w:rsidRPr="00E96A65">
          <w:rPr>
            <w:rStyle w:val="Hyperlink"/>
          </w:rPr>
          <w:t>Consideration of planning issues</w:t>
        </w:r>
        <w:r w:rsidR="00FC119C">
          <w:rPr>
            <w:webHidden/>
          </w:rPr>
          <w:tab/>
        </w:r>
        <w:r w:rsidR="00FC119C">
          <w:rPr>
            <w:webHidden/>
          </w:rPr>
          <w:fldChar w:fldCharType="begin"/>
        </w:r>
        <w:r w:rsidR="00FC119C">
          <w:rPr>
            <w:webHidden/>
          </w:rPr>
          <w:instrText xml:space="preserve"> PAGEREF _Toc5000068 \h </w:instrText>
        </w:r>
        <w:r w:rsidR="00FC119C">
          <w:rPr>
            <w:webHidden/>
          </w:rPr>
        </w:r>
        <w:r w:rsidR="00FC119C">
          <w:rPr>
            <w:webHidden/>
          </w:rPr>
          <w:fldChar w:fldCharType="separate"/>
        </w:r>
        <w:r w:rsidR="00FC119C">
          <w:rPr>
            <w:webHidden/>
          </w:rPr>
          <w:t>16</w:t>
        </w:r>
        <w:r w:rsidR="00FC119C">
          <w:rPr>
            <w:webHidden/>
          </w:rPr>
          <w:fldChar w:fldCharType="end"/>
        </w:r>
      </w:hyperlink>
    </w:p>
    <w:p w14:paraId="6D39566F" w14:textId="4F16A4CD" w:rsidR="00FC119C" w:rsidRDefault="005B0D57">
      <w:pPr>
        <w:pStyle w:val="TOC2"/>
        <w:rPr>
          <w:rFonts w:asciiTheme="minorHAnsi" w:eastAsiaTheme="minorEastAsia" w:hAnsiTheme="minorHAnsi" w:cstheme="minorBidi"/>
          <w:spacing w:val="0"/>
          <w:sz w:val="22"/>
          <w:szCs w:val="22"/>
        </w:rPr>
      </w:pPr>
      <w:hyperlink w:anchor="_Toc5000069" w:history="1">
        <w:r w:rsidR="00FC119C" w:rsidRPr="00E96A65">
          <w:rPr>
            <w:rStyle w:val="Hyperlink"/>
          </w:rPr>
          <w:t>Outcome of 26 GHz band replanning process</w:t>
        </w:r>
        <w:r w:rsidR="00FC119C">
          <w:rPr>
            <w:webHidden/>
          </w:rPr>
          <w:tab/>
        </w:r>
        <w:r w:rsidR="00FC119C">
          <w:rPr>
            <w:webHidden/>
          </w:rPr>
          <w:fldChar w:fldCharType="begin"/>
        </w:r>
        <w:r w:rsidR="00FC119C">
          <w:rPr>
            <w:webHidden/>
          </w:rPr>
          <w:instrText xml:space="preserve"> PAGEREF _Toc5000069 \h </w:instrText>
        </w:r>
        <w:r w:rsidR="00FC119C">
          <w:rPr>
            <w:webHidden/>
          </w:rPr>
        </w:r>
        <w:r w:rsidR="00FC119C">
          <w:rPr>
            <w:webHidden/>
          </w:rPr>
          <w:fldChar w:fldCharType="separate"/>
        </w:r>
        <w:r w:rsidR="00FC119C">
          <w:rPr>
            <w:webHidden/>
          </w:rPr>
          <w:t>16</w:t>
        </w:r>
        <w:r w:rsidR="00FC119C">
          <w:rPr>
            <w:webHidden/>
          </w:rPr>
          <w:fldChar w:fldCharType="end"/>
        </w:r>
      </w:hyperlink>
    </w:p>
    <w:p w14:paraId="4BB5C4F4" w14:textId="2F414521" w:rsidR="00FC119C" w:rsidRDefault="005B0D57">
      <w:pPr>
        <w:pStyle w:val="TOC2"/>
        <w:rPr>
          <w:rFonts w:asciiTheme="minorHAnsi" w:eastAsiaTheme="minorEastAsia" w:hAnsiTheme="minorHAnsi" w:cstheme="minorBidi"/>
          <w:spacing w:val="0"/>
          <w:sz w:val="22"/>
          <w:szCs w:val="22"/>
        </w:rPr>
      </w:pPr>
      <w:hyperlink w:anchor="_Toc5000070" w:history="1">
        <w:r w:rsidR="00FC119C" w:rsidRPr="00E96A65">
          <w:rPr>
            <w:rStyle w:val="Hyperlink"/>
          </w:rPr>
          <w:t>Consideration of spectrum options for WWB</w:t>
        </w:r>
        <w:r w:rsidR="00FC119C">
          <w:rPr>
            <w:webHidden/>
          </w:rPr>
          <w:tab/>
        </w:r>
        <w:r w:rsidR="00FC119C">
          <w:rPr>
            <w:webHidden/>
          </w:rPr>
          <w:fldChar w:fldCharType="begin"/>
        </w:r>
        <w:r w:rsidR="00FC119C">
          <w:rPr>
            <w:webHidden/>
          </w:rPr>
          <w:instrText xml:space="preserve"> PAGEREF _Toc5000070 \h </w:instrText>
        </w:r>
        <w:r w:rsidR="00FC119C">
          <w:rPr>
            <w:webHidden/>
          </w:rPr>
        </w:r>
        <w:r w:rsidR="00FC119C">
          <w:rPr>
            <w:webHidden/>
          </w:rPr>
          <w:fldChar w:fldCharType="separate"/>
        </w:r>
        <w:r w:rsidR="00FC119C">
          <w:rPr>
            <w:webHidden/>
          </w:rPr>
          <w:t>17</w:t>
        </w:r>
        <w:r w:rsidR="00FC119C">
          <w:rPr>
            <w:webHidden/>
          </w:rPr>
          <w:fldChar w:fldCharType="end"/>
        </w:r>
      </w:hyperlink>
    </w:p>
    <w:p w14:paraId="17519C62" w14:textId="5BC764D0" w:rsidR="00FC119C" w:rsidRDefault="005B0D57">
      <w:pPr>
        <w:pStyle w:val="TOC2"/>
        <w:rPr>
          <w:rFonts w:asciiTheme="minorHAnsi" w:eastAsiaTheme="minorEastAsia" w:hAnsiTheme="minorHAnsi" w:cstheme="minorBidi"/>
          <w:spacing w:val="0"/>
          <w:sz w:val="22"/>
          <w:szCs w:val="22"/>
        </w:rPr>
      </w:pPr>
      <w:hyperlink w:anchor="_Toc5000071" w:history="1">
        <w:r w:rsidR="00FC119C" w:rsidRPr="00E96A65">
          <w:rPr>
            <w:rStyle w:val="Hyperlink"/>
          </w:rPr>
          <w:t>Consideration of spectrum options for PTP</w:t>
        </w:r>
        <w:r w:rsidR="00FC119C">
          <w:rPr>
            <w:webHidden/>
          </w:rPr>
          <w:tab/>
        </w:r>
        <w:r w:rsidR="00FC119C">
          <w:rPr>
            <w:webHidden/>
          </w:rPr>
          <w:fldChar w:fldCharType="begin"/>
        </w:r>
        <w:r w:rsidR="00FC119C">
          <w:rPr>
            <w:webHidden/>
          </w:rPr>
          <w:instrText xml:space="preserve"> PAGEREF _Toc5000071 \h </w:instrText>
        </w:r>
        <w:r w:rsidR="00FC119C">
          <w:rPr>
            <w:webHidden/>
          </w:rPr>
        </w:r>
        <w:r w:rsidR="00FC119C">
          <w:rPr>
            <w:webHidden/>
          </w:rPr>
          <w:fldChar w:fldCharType="separate"/>
        </w:r>
        <w:r w:rsidR="00FC119C">
          <w:rPr>
            <w:webHidden/>
          </w:rPr>
          <w:t>18</w:t>
        </w:r>
        <w:r w:rsidR="00FC119C">
          <w:rPr>
            <w:webHidden/>
          </w:rPr>
          <w:fldChar w:fldCharType="end"/>
        </w:r>
      </w:hyperlink>
    </w:p>
    <w:p w14:paraId="30E929FA" w14:textId="05800F4A" w:rsidR="00FC119C" w:rsidRDefault="005B0D57">
      <w:pPr>
        <w:pStyle w:val="TOC2"/>
        <w:rPr>
          <w:rFonts w:asciiTheme="minorHAnsi" w:eastAsiaTheme="minorEastAsia" w:hAnsiTheme="minorHAnsi" w:cstheme="minorBidi"/>
          <w:spacing w:val="0"/>
          <w:sz w:val="22"/>
          <w:szCs w:val="22"/>
        </w:rPr>
      </w:pPr>
      <w:hyperlink w:anchor="_Toc5000072" w:history="1">
        <w:r w:rsidR="00FC119C" w:rsidRPr="00E96A65">
          <w:rPr>
            <w:rStyle w:val="Hyperlink"/>
          </w:rPr>
          <w:t>Consideration of spectrum options for FWA</w:t>
        </w:r>
        <w:r w:rsidR="00FC119C">
          <w:rPr>
            <w:webHidden/>
          </w:rPr>
          <w:tab/>
        </w:r>
        <w:r w:rsidR="00FC119C">
          <w:rPr>
            <w:webHidden/>
          </w:rPr>
          <w:fldChar w:fldCharType="begin"/>
        </w:r>
        <w:r w:rsidR="00FC119C">
          <w:rPr>
            <w:webHidden/>
          </w:rPr>
          <w:instrText xml:space="preserve"> PAGEREF _Toc5000072 \h </w:instrText>
        </w:r>
        <w:r w:rsidR="00FC119C">
          <w:rPr>
            <w:webHidden/>
          </w:rPr>
        </w:r>
        <w:r w:rsidR="00FC119C">
          <w:rPr>
            <w:webHidden/>
          </w:rPr>
          <w:fldChar w:fldCharType="separate"/>
        </w:r>
        <w:r w:rsidR="00FC119C">
          <w:rPr>
            <w:webHidden/>
          </w:rPr>
          <w:t>20</w:t>
        </w:r>
        <w:r w:rsidR="00FC119C">
          <w:rPr>
            <w:webHidden/>
          </w:rPr>
          <w:fldChar w:fldCharType="end"/>
        </w:r>
      </w:hyperlink>
    </w:p>
    <w:p w14:paraId="7BFC3582" w14:textId="6DF024C5" w:rsidR="00FC119C" w:rsidRDefault="005B0D57">
      <w:pPr>
        <w:pStyle w:val="TOC2"/>
        <w:rPr>
          <w:rFonts w:asciiTheme="minorHAnsi" w:eastAsiaTheme="minorEastAsia" w:hAnsiTheme="minorHAnsi" w:cstheme="minorBidi"/>
          <w:spacing w:val="0"/>
          <w:sz w:val="22"/>
          <w:szCs w:val="22"/>
        </w:rPr>
      </w:pPr>
      <w:hyperlink w:anchor="_Toc5000073" w:history="1">
        <w:r w:rsidR="00FC119C" w:rsidRPr="00E96A65">
          <w:rPr>
            <w:rStyle w:val="Hyperlink"/>
          </w:rPr>
          <w:t>Consideration of spectrum options for FSS</w:t>
        </w:r>
        <w:r w:rsidR="00FC119C">
          <w:rPr>
            <w:webHidden/>
          </w:rPr>
          <w:tab/>
        </w:r>
        <w:r w:rsidR="00FC119C">
          <w:rPr>
            <w:webHidden/>
          </w:rPr>
          <w:fldChar w:fldCharType="begin"/>
        </w:r>
        <w:r w:rsidR="00FC119C">
          <w:rPr>
            <w:webHidden/>
          </w:rPr>
          <w:instrText xml:space="preserve"> PAGEREF _Toc5000073 \h </w:instrText>
        </w:r>
        <w:r w:rsidR="00FC119C">
          <w:rPr>
            <w:webHidden/>
          </w:rPr>
        </w:r>
        <w:r w:rsidR="00FC119C">
          <w:rPr>
            <w:webHidden/>
          </w:rPr>
          <w:fldChar w:fldCharType="separate"/>
        </w:r>
        <w:r w:rsidR="00FC119C">
          <w:rPr>
            <w:webHidden/>
          </w:rPr>
          <w:t>20</w:t>
        </w:r>
        <w:r w:rsidR="00FC119C">
          <w:rPr>
            <w:webHidden/>
          </w:rPr>
          <w:fldChar w:fldCharType="end"/>
        </w:r>
      </w:hyperlink>
    </w:p>
    <w:p w14:paraId="159DA654" w14:textId="0CB3A702" w:rsidR="00FC119C" w:rsidRDefault="005B0D57">
      <w:pPr>
        <w:pStyle w:val="TOC2"/>
        <w:rPr>
          <w:rFonts w:asciiTheme="minorHAnsi" w:eastAsiaTheme="minorEastAsia" w:hAnsiTheme="minorHAnsi" w:cstheme="minorBidi"/>
          <w:spacing w:val="0"/>
          <w:sz w:val="22"/>
          <w:szCs w:val="22"/>
        </w:rPr>
      </w:pPr>
      <w:hyperlink w:anchor="_Toc5000074" w:history="1">
        <w:r w:rsidR="00FC119C" w:rsidRPr="00E96A65">
          <w:rPr>
            <w:rStyle w:val="Hyperlink"/>
          </w:rPr>
          <w:t>Consideration of spectrum options for HAPS</w:t>
        </w:r>
        <w:r w:rsidR="00FC119C">
          <w:rPr>
            <w:webHidden/>
          </w:rPr>
          <w:tab/>
        </w:r>
        <w:r w:rsidR="00FC119C">
          <w:rPr>
            <w:webHidden/>
          </w:rPr>
          <w:fldChar w:fldCharType="begin"/>
        </w:r>
        <w:r w:rsidR="00FC119C">
          <w:rPr>
            <w:webHidden/>
          </w:rPr>
          <w:instrText xml:space="preserve"> PAGEREF _Toc5000074 \h </w:instrText>
        </w:r>
        <w:r w:rsidR="00FC119C">
          <w:rPr>
            <w:webHidden/>
          </w:rPr>
        </w:r>
        <w:r w:rsidR="00FC119C">
          <w:rPr>
            <w:webHidden/>
          </w:rPr>
          <w:fldChar w:fldCharType="separate"/>
        </w:r>
        <w:r w:rsidR="00FC119C">
          <w:rPr>
            <w:webHidden/>
          </w:rPr>
          <w:t>22</w:t>
        </w:r>
        <w:r w:rsidR="00FC119C">
          <w:rPr>
            <w:webHidden/>
          </w:rPr>
          <w:fldChar w:fldCharType="end"/>
        </w:r>
      </w:hyperlink>
    </w:p>
    <w:p w14:paraId="5C029FC8" w14:textId="31000D1B" w:rsidR="00FC119C" w:rsidRDefault="005B0D57">
      <w:pPr>
        <w:pStyle w:val="TOC1"/>
        <w:rPr>
          <w:rFonts w:asciiTheme="minorHAnsi" w:eastAsiaTheme="minorEastAsia" w:hAnsiTheme="minorHAnsi" w:cstheme="minorBidi"/>
          <w:b w:val="0"/>
          <w:spacing w:val="0"/>
          <w:sz w:val="22"/>
          <w:szCs w:val="22"/>
        </w:rPr>
      </w:pPr>
      <w:hyperlink w:anchor="_Toc5000075" w:history="1">
        <w:r w:rsidR="00FC119C" w:rsidRPr="00E96A65">
          <w:rPr>
            <w:rStyle w:val="Hyperlink"/>
          </w:rPr>
          <w:t>Consideration of technical issues</w:t>
        </w:r>
        <w:r w:rsidR="00FC119C">
          <w:rPr>
            <w:webHidden/>
          </w:rPr>
          <w:tab/>
        </w:r>
        <w:r w:rsidR="00FC119C">
          <w:rPr>
            <w:webHidden/>
          </w:rPr>
          <w:fldChar w:fldCharType="begin"/>
        </w:r>
        <w:r w:rsidR="00FC119C">
          <w:rPr>
            <w:webHidden/>
          </w:rPr>
          <w:instrText xml:space="preserve"> PAGEREF _Toc5000075 \h </w:instrText>
        </w:r>
        <w:r w:rsidR="00FC119C">
          <w:rPr>
            <w:webHidden/>
          </w:rPr>
        </w:r>
        <w:r w:rsidR="00FC119C">
          <w:rPr>
            <w:webHidden/>
          </w:rPr>
          <w:fldChar w:fldCharType="separate"/>
        </w:r>
        <w:r w:rsidR="00FC119C">
          <w:rPr>
            <w:webHidden/>
          </w:rPr>
          <w:t>23</w:t>
        </w:r>
        <w:r w:rsidR="00FC119C">
          <w:rPr>
            <w:webHidden/>
          </w:rPr>
          <w:fldChar w:fldCharType="end"/>
        </w:r>
      </w:hyperlink>
    </w:p>
    <w:p w14:paraId="6BB8AF7E" w14:textId="0E738DC6" w:rsidR="00FC119C" w:rsidRDefault="005B0D57">
      <w:pPr>
        <w:pStyle w:val="TOC2"/>
        <w:rPr>
          <w:rFonts w:asciiTheme="minorHAnsi" w:eastAsiaTheme="minorEastAsia" w:hAnsiTheme="minorHAnsi" w:cstheme="minorBidi"/>
          <w:spacing w:val="0"/>
          <w:sz w:val="22"/>
          <w:szCs w:val="22"/>
        </w:rPr>
      </w:pPr>
      <w:hyperlink w:anchor="_Toc5000076" w:history="1">
        <w:r w:rsidR="00FC119C" w:rsidRPr="00E96A65">
          <w:rPr>
            <w:rStyle w:val="Hyperlink"/>
          </w:rPr>
          <w:t>Sharing and coexistence between WWB/FWA and FSS</w:t>
        </w:r>
        <w:r w:rsidR="00FC119C">
          <w:rPr>
            <w:webHidden/>
          </w:rPr>
          <w:tab/>
        </w:r>
        <w:r w:rsidR="00FC119C">
          <w:rPr>
            <w:webHidden/>
          </w:rPr>
          <w:fldChar w:fldCharType="begin"/>
        </w:r>
        <w:r w:rsidR="00FC119C">
          <w:rPr>
            <w:webHidden/>
          </w:rPr>
          <w:instrText xml:space="preserve"> PAGEREF _Toc5000076 \h </w:instrText>
        </w:r>
        <w:r w:rsidR="00FC119C">
          <w:rPr>
            <w:webHidden/>
          </w:rPr>
        </w:r>
        <w:r w:rsidR="00FC119C">
          <w:rPr>
            <w:webHidden/>
          </w:rPr>
          <w:fldChar w:fldCharType="separate"/>
        </w:r>
        <w:r w:rsidR="00FC119C">
          <w:rPr>
            <w:webHidden/>
          </w:rPr>
          <w:t>23</w:t>
        </w:r>
        <w:r w:rsidR="00FC119C">
          <w:rPr>
            <w:webHidden/>
          </w:rPr>
          <w:fldChar w:fldCharType="end"/>
        </w:r>
      </w:hyperlink>
    </w:p>
    <w:p w14:paraId="27316DEF" w14:textId="5E3BE441" w:rsidR="00FC119C" w:rsidRDefault="005B0D57">
      <w:pPr>
        <w:pStyle w:val="TOC2"/>
        <w:rPr>
          <w:rFonts w:asciiTheme="minorHAnsi" w:eastAsiaTheme="minorEastAsia" w:hAnsiTheme="minorHAnsi" w:cstheme="minorBidi"/>
          <w:spacing w:val="0"/>
          <w:sz w:val="22"/>
          <w:szCs w:val="22"/>
        </w:rPr>
      </w:pPr>
      <w:hyperlink w:anchor="_Toc5000077" w:history="1">
        <w:r w:rsidR="00FC119C" w:rsidRPr="00E96A65">
          <w:rPr>
            <w:rStyle w:val="Hyperlink"/>
          </w:rPr>
          <w:t>Sharing and coexistence between PTP and FWA</w:t>
        </w:r>
        <w:r w:rsidR="00FC119C">
          <w:rPr>
            <w:webHidden/>
          </w:rPr>
          <w:tab/>
        </w:r>
        <w:r w:rsidR="00FC119C">
          <w:rPr>
            <w:webHidden/>
          </w:rPr>
          <w:fldChar w:fldCharType="begin"/>
        </w:r>
        <w:r w:rsidR="00FC119C">
          <w:rPr>
            <w:webHidden/>
          </w:rPr>
          <w:instrText xml:space="preserve"> PAGEREF _Toc5000077 \h </w:instrText>
        </w:r>
        <w:r w:rsidR="00FC119C">
          <w:rPr>
            <w:webHidden/>
          </w:rPr>
        </w:r>
        <w:r w:rsidR="00FC119C">
          <w:rPr>
            <w:webHidden/>
          </w:rPr>
          <w:fldChar w:fldCharType="separate"/>
        </w:r>
        <w:r w:rsidR="00FC119C">
          <w:rPr>
            <w:webHidden/>
          </w:rPr>
          <w:t>24</w:t>
        </w:r>
        <w:r w:rsidR="00FC119C">
          <w:rPr>
            <w:webHidden/>
          </w:rPr>
          <w:fldChar w:fldCharType="end"/>
        </w:r>
      </w:hyperlink>
    </w:p>
    <w:p w14:paraId="2E5338BA" w14:textId="48440327" w:rsidR="00FC119C" w:rsidRDefault="005B0D57">
      <w:pPr>
        <w:pStyle w:val="TOC2"/>
        <w:rPr>
          <w:rFonts w:asciiTheme="minorHAnsi" w:eastAsiaTheme="minorEastAsia" w:hAnsiTheme="minorHAnsi" w:cstheme="minorBidi"/>
          <w:spacing w:val="0"/>
          <w:sz w:val="22"/>
          <w:szCs w:val="22"/>
        </w:rPr>
      </w:pPr>
      <w:hyperlink w:anchor="_Toc5000078" w:history="1">
        <w:r w:rsidR="00FC119C" w:rsidRPr="00E96A65">
          <w:rPr>
            <w:rStyle w:val="Hyperlink"/>
          </w:rPr>
          <w:t>Sharing and coexistence between FSS and PTP</w:t>
        </w:r>
        <w:r w:rsidR="00FC119C">
          <w:rPr>
            <w:webHidden/>
          </w:rPr>
          <w:tab/>
        </w:r>
        <w:r w:rsidR="00FC119C">
          <w:rPr>
            <w:webHidden/>
          </w:rPr>
          <w:fldChar w:fldCharType="begin"/>
        </w:r>
        <w:r w:rsidR="00FC119C">
          <w:rPr>
            <w:webHidden/>
          </w:rPr>
          <w:instrText xml:space="preserve"> PAGEREF _Toc5000078 \h </w:instrText>
        </w:r>
        <w:r w:rsidR="00FC119C">
          <w:rPr>
            <w:webHidden/>
          </w:rPr>
        </w:r>
        <w:r w:rsidR="00FC119C">
          <w:rPr>
            <w:webHidden/>
          </w:rPr>
          <w:fldChar w:fldCharType="separate"/>
        </w:r>
        <w:r w:rsidR="00FC119C">
          <w:rPr>
            <w:webHidden/>
          </w:rPr>
          <w:t>24</w:t>
        </w:r>
        <w:r w:rsidR="00FC119C">
          <w:rPr>
            <w:webHidden/>
          </w:rPr>
          <w:fldChar w:fldCharType="end"/>
        </w:r>
      </w:hyperlink>
    </w:p>
    <w:p w14:paraId="49B3F550" w14:textId="73302C1A" w:rsidR="00FC119C" w:rsidRDefault="005B0D57">
      <w:pPr>
        <w:pStyle w:val="TOC1"/>
        <w:rPr>
          <w:rFonts w:asciiTheme="minorHAnsi" w:eastAsiaTheme="minorEastAsia" w:hAnsiTheme="minorHAnsi" w:cstheme="minorBidi"/>
          <w:b w:val="0"/>
          <w:spacing w:val="0"/>
          <w:sz w:val="22"/>
          <w:szCs w:val="22"/>
        </w:rPr>
      </w:pPr>
      <w:hyperlink w:anchor="_Toc5000079" w:history="1">
        <w:r w:rsidR="00FC119C" w:rsidRPr="00E96A65">
          <w:rPr>
            <w:rStyle w:val="Hyperlink"/>
          </w:rPr>
          <w:t>28 GHz band options</w:t>
        </w:r>
        <w:r w:rsidR="00FC119C">
          <w:rPr>
            <w:webHidden/>
          </w:rPr>
          <w:tab/>
        </w:r>
        <w:r w:rsidR="00FC119C">
          <w:rPr>
            <w:webHidden/>
          </w:rPr>
          <w:fldChar w:fldCharType="begin"/>
        </w:r>
        <w:r w:rsidR="00FC119C">
          <w:rPr>
            <w:webHidden/>
          </w:rPr>
          <w:instrText xml:space="preserve"> PAGEREF _Toc5000079 \h </w:instrText>
        </w:r>
        <w:r w:rsidR="00FC119C">
          <w:rPr>
            <w:webHidden/>
          </w:rPr>
        </w:r>
        <w:r w:rsidR="00FC119C">
          <w:rPr>
            <w:webHidden/>
          </w:rPr>
          <w:fldChar w:fldCharType="separate"/>
        </w:r>
        <w:r w:rsidR="00FC119C">
          <w:rPr>
            <w:webHidden/>
          </w:rPr>
          <w:t>25</w:t>
        </w:r>
        <w:r w:rsidR="00FC119C">
          <w:rPr>
            <w:webHidden/>
          </w:rPr>
          <w:fldChar w:fldCharType="end"/>
        </w:r>
      </w:hyperlink>
    </w:p>
    <w:p w14:paraId="17D6CB51" w14:textId="097B279B" w:rsidR="00FC119C" w:rsidRDefault="005B0D57">
      <w:pPr>
        <w:pStyle w:val="TOC2"/>
        <w:rPr>
          <w:rFonts w:asciiTheme="minorHAnsi" w:eastAsiaTheme="minorEastAsia" w:hAnsiTheme="minorHAnsi" w:cstheme="minorBidi"/>
          <w:spacing w:val="0"/>
          <w:sz w:val="22"/>
          <w:szCs w:val="22"/>
        </w:rPr>
      </w:pPr>
      <w:hyperlink w:anchor="_Toc5000080" w:history="1">
        <w:r w:rsidR="00FC119C" w:rsidRPr="00E96A65">
          <w:rPr>
            <w:rStyle w:val="Hyperlink"/>
          </w:rPr>
          <w:t>Option 1: All services/applications provided spectrum allocations</w:t>
        </w:r>
        <w:r w:rsidR="00FC119C">
          <w:rPr>
            <w:webHidden/>
          </w:rPr>
          <w:tab/>
        </w:r>
        <w:r w:rsidR="00FC119C">
          <w:rPr>
            <w:webHidden/>
          </w:rPr>
          <w:fldChar w:fldCharType="begin"/>
        </w:r>
        <w:r w:rsidR="00FC119C">
          <w:rPr>
            <w:webHidden/>
          </w:rPr>
          <w:instrText xml:space="preserve"> PAGEREF _Toc5000080 \h </w:instrText>
        </w:r>
        <w:r w:rsidR="00FC119C">
          <w:rPr>
            <w:webHidden/>
          </w:rPr>
        </w:r>
        <w:r w:rsidR="00FC119C">
          <w:rPr>
            <w:webHidden/>
          </w:rPr>
          <w:fldChar w:fldCharType="separate"/>
        </w:r>
        <w:r w:rsidR="00FC119C">
          <w:rPr>
            <w:webHidden/>
          </w:rPr>
          <w:t>26</w:t>
        </w:r>
        <w:r w:rsidR="00FC119C">
          <w:rPr>
            <w:webHidden/>
          </w:rPr>
          <w:fldChar w:fldCharType="end"/>
        </w:r>
      </w:hyperlink>
    </w:p>
    <w:p w14:paraId="2642A052" w14:textId="6E5F9766" w:rsidR="00FC119C" w:rsidRDefault="005B0D57">
      <w:pPr>
        <w:pStyle w:val="TOC2"/>
        <w:rPr>
          <w:rFonts w:asciiTheme="minorHAnsi" w:eastAsiaTheme="minorEastAsia" w:hAnsiTheme="minorHAnsi" w:cstheme="minorBidi"/>
          <w:spacing w:val="0"/>
          <w:sz w:val="22"/>
          <w:szCs w:val="22"/>
        </w:rPr>
      </w:pPr>
      <w:hyperlink w:anchor="_Toc5000081" w:history="1">
        <w:r w:rsidR="00FC119C" w:rsidRPr="00E96A65">
          <w:rPr>
            <w:rStyle w:val="Hyperlink"/>
          </w:rPr>
          <w:t>Option 2: FSS with support for PTP/FWA</w:t>
        </w:r>
        <w:r w:rsidR="00FC119C">
          <w:rPr>
            <w:webHidden/>
          </w:rPr>
          <w:tab/>
        </w:r>
        <w:r w:rsidR="00FC119C">
          <w:rPr>
            <w:webHidden/>
          </w:rPr>
          <w:fldChar w:fldCharType="begin"/>
        </w:r>
        <w:r w:rsidR="00FC119C">
          <w:rPr>
            <w:webHidden/>
          </w:rPr>
          <w:instrText xml:space="preserve"> PAGEREF _Toc5000081 \h </w:instrText>
        </w:r>
        <w:r w:rsidR="00FC119C">
          <w:rPr>
            <w:webHidden/>
          </w:rPr>
        </w:r>
        <w:r w:rsidR="00FC119C">
          <w:rPr>
            <w:webHidden/>
          </w:rPr>
          <w:fldChar w:fldCharType="separate"/>
        </w:r>
        <w:r w:rsidR="00FC119C">
          <w:rPr>
            <w:webHidden/>
          </w:rPr>
          <w:t>28</w:t>
        </w:r>
        <w:r w:rsidR="00FC119C">
          <w:rPr>
            <w:webHidden/>
          </w:rPr>
          <w:fldChar w:fldCharType="end"/>
        </w:r>
      </w:hyperlink>
    </w:p>
    <w:p w14:paraId="650D1E9D" w14:textId="0DE23CB1" w:rsidR="00FC119C" w:rsidRDefault="005B0D57">
      <w:pPr>
        <w:pStyle w:val="TOC2"/>
        <w:rPr>
          <w:rFonts w:asciiTheme="minorHAnsi" w:eastAsiaTheme="minorEastAsia" w:hAnsiTheme="minorHAnsi" w:cstheme="minorBidi"/>
          <w:spacing w:val="0"/>
          <w:sz w:val="22"/>
          <w:szCs w:val="22"/>
        </w:rPr>
      </w:pPr>
      <w:hyperlink w:anchor="_Toc5000082" w:history="1">
        <w:r w:rsidR="00FC119C" w:rsidRPr="00E96A65">
          <w:rPr>
            <w:rStyle w:val="Hyperlink"/>
          </w:rPr>
          <w:t>Option 3: FSS with support for FWA</w:t>
        </w:r>
        <w:r w:rsidR="00FC119C">
          <w:rPr>
            <w:webHidden/>
          </w:rPr>
          <w:tab/>
        </w:r>
        <w:r w:rsidR="00FC119C">
          <w:rPr>
            <w:webHidden/>
          </w:rPr>
          <w:fldChar w:fldCharType="begin"/>
        </w:r>
        <w:r w:rsidR="00FC119C">
          <w:rPr>
            <w:webHidden/>
          </w:rPr>
          <w:instrText xml:space="preserve"> PAGEREF _Toc5000082 \h </w:instrText>
        </w:r>
        <w:r w:rsidR="00FC119C">
          <w:rPr>
            <w:webHidden/>
          </w:rPr>
        </w:r>
        <w:r w:rsidR="00FC119C">
          <w:rPr>
            <w:webHidden/>
          </w:rPr>
          <w:fldChar w:fldCharType="separate"/>
        </w:r>
        <w:r w:rsidR="00FC119C">
          <w:rPr>
            <w:webHidden/>
          </w:rPr>
          <w:t>29</w:t>
        </w:r>
        <w:r w:rsidR="00FC119C">
          <w:rPr>
            <w:webHidden/>
          </w:rPr>
          <w:fldChar w:fldCharType="end"/>
        </w:r>
      </w:hyperlink>
    </w:p>
    <w:p w14:paraId="435C490C" w14:textId="7F69C62D" w:rsidR="00FC119C" w:rsidRDefault="005B0D57">
      <w:pPr>
        <w:pStyle w:val="TOC2"/>
        <w:rPr>
          <w:rFonts w:asciiTheme="minorHAnsi" w:eastAsiaTheme="minorEastAsia" w:hAnsiTheme="minorHAnsi" w:cstheme="minorBidi"/>
          <w:spacing w:val="0"/>
          <w:sz w:val="22"/>
          <w:szCs w:val="22"/>
        </w:rPr>
      </w:pPr>
      <w:hyperlink w:anchor="_Toc5000083" w:history="1">
        <w:r w:rsidR="00FC119C" w:rsidRPr="00E96A65">
          <w:rPr>
            <w:rStyle w:val="Hyperlink"/>
          </w:rPr>
          <w:t>Option 4: FSS only</w:t>
        </w:r>
        <w:r w:rsidR="00FC119C">
          <w:rPr>
            <w:webHidden/>
          </w:rPr>
          <w:tab/>
        </w:r>
        <w:r w:rsidR="00FC119C">
          <w:rPr>
            <w:webHidden/>
          </w:rPr>
          <w:fldChar w:fldCharType="begin"/>
        </w:r>
        <w:r w:rsidR="00FC119C">
          <w:rPr>
            <w:webHidden/>
          </w:rPr>
          <w:instrText xml:space="preserve"> PAGEREF _Toc5000083 \h </w:instrText>
        </w:r>
        <w:r w:rsidR="00FC119C">
          <w:rPr>
            <w:webHidden/>
          </w:rPr>
        </w:r>
        <w:r w:rsidR="00FC119C">
          <w:rPr>
            <w:webHidden/>
          </w:rPr>
          <w:fldChar w:fldCharType="separate"/>
        </w:r>
        <w:r w:rsidR="00FC119C">
          <w:rPr>
            <w:webHidden/>
          </w:rPr>
          <w:t>30</w:t>
        </w:r>
        <w:r w:rsidR="00FC119C">
          <w:rPr>
            <w:webHidden/>
          </w:rPr>
          <w:fldChar w:fldCharType="end"/>
        </w:r>
      </w:hyperlink>
    </w:p>
    <w:p w14:paraId="466B2D4C" w14:textId="7E1D11E9" w:rsidR="00FC119C" w:rsidRDefault="005B0D57">
      <w:pPr>
        <w:pStyle w:val="TOC2"/>
        <w:rPr>
          <w:rFonts w:asciiTheme="minorHAnsi" w:eastAsiaTheme="minorEastAsia" w:hAnsiTheme="minorHAnsi" w:cstheme="minorBidi"/>
          <w:spacing w:val="0"/>
          <w:sz w:val="22"/>
          <w:szCs w:val="22"/>
        </w:rPr>
      </w:pPr>
      <w:hyperlink w:anchor="_Toc5000084" w:history="1">
        <w:r w:rsidR="00FC119C" w:rsidRPr="00E96A65">
          <w:rPr>
            <w:rStyle w:val="Hyperlink"/>
          </w:rPr>
          <w:t>Summary of options</w:t>
        </w:r>
        <w:r w:rsidR="00FC119C">
          <w:rPr>
            <w:webHidden/>
          </w:rPr>
          <w:tab/>
        </w:r>
        <w:r w:rsidR="00FC119C">
          <w:rPr>
            <w:webHidden/>
          </w:rPr>
          <w:fldChar w:fldCharType="begin"/>
        </w:r>
        <w:r w:rsidR="00FC119C">
          <w:rPr>
            <w:webHidden/>
          </w:rPr>
          <w:instrText xml:space="preserve"> PAGEREF _Toc5000084 \h </w:instrText>
        </w:r>
        <w:r w:rsidR="00FC119C">
          <w:rPr>
            <w:webHidden/>
          </w:rPr>
        </w:r>
        <w:r w:rsidR="00FC119C">
          <w:rPr>
            <w:webHidden/>
          </w:rPr>
          <w:fldChar w:fldCharType="separate"/>
        </w:r>
        <w:r w:rsidR="00FC119C">
          <w:rPr>
            <w:webHidden/>
          </w:rPr>
          <w:t>31</w:t>
        </w:r>
        <w:r w:rsidR="00FC119C">
          <w:rPr>
            <w:webHidden/>
          </w:rPr>
          <w:fldChar w:fldCharType="end"/>
        </w:r>
      </w:hyperlink>
    </w:p>
    <w:p w14:paraId="18B59195" w14:textId="684B580C" w:rsidR="00FC119C" w:rsidRDefault="005B0D57">
      <w:pPr>
        <w:pStyle w:val="TOC1"/>
        <w:rPr>
          <w:rFonts w:asciiTheme="minorHAnsi" w:eastAsiaTheme="minorEastAsia" w:hAnsiTheme="minorHAnsi" w:cstheme="minorBidi"/>
          <w:b w:val="0"/>
          <w:spacing w:val="0"/>
          <w:sz w:val="22"/>
          <w:szCs w:val="22"/>
        </w:rPr>
      </w:pPr>
      <w:hyperlink w:anchor="_Toc5000085" w:history="1">
        <w:r w:rsidR="00FC119C" w:rsidRPr="00E96A65">
          <w:rPr>
            <w:rStyle w:val="Hyperlink"/>
          </w:rPr>
          <w:t>Assessment of options</w:t>
        </w:r>
        <w:r w:rsidR="00FC119C">
          <w:rPr>
            <w:webHidden/>
          </w:rPr>
          <w:tab/>
        </w:r>
        <w:r w:rsidR="00FC119C">
          <w:rPr>
            <w:webHidden/>
          </w:rPr>
          <w:fldChar w:fldCharType="begin"/>
        </w:r>
        <w:r w:rsidR="00FC119C">
          <w:rPr>
            <w:webHidden/>
          </w:rPr>
          <w:instrText xml:space="preserve"> PAGEREF _Toc5000085 \h </w:instrText>
        </w:r>
        <w:r w:rsidR="00FC119C">
          <w:rPr>
            <w:webHidden/>
          </w:rPr>
        </w:r>
        <w:r w:rsidR="00FC119C">
          <w:rPr>
            <w:webHidden/>
          </w:rPr>
          <w:fldChar w:fldCharType="separate"/>
        </w:r>
        <w:r w:rsidR="00FC119C">
          <w:rPr>
            <w:webHidden/>
          </w:rPr>
          <w:t>32</w:t>
        </w:r>
        <w:r w:rsidR="00FC119C">
          <w:rPr>
            <w:webHidden/>
          </w:rPr>
          <w:fldChar w:fldCharType="end"/>
        </w:r>
      </w:hyperlink>
    </w:p>
    <w:p w14:paraId="089EB3DC" w14:textId="041B757A" w:rsidR="00FC119C" w:rsidRDefault="005B0D57">
      <w:pPr>
        <w:pStyle w:val="TOC2"/>
        <w:rPr>
          <w:rFonts w:asciiTheme="minorHAnsi" w:eastAsiaTheme="minorEastAsia" w:hAnsiTheme="minorHAnsi" w:cstheme="minorBidi"/>
          <w:spacing w:val="0"/>
          <w:sz w:val="22"/>
          <w:szCs w:val="22"/>
        </w:rPr>
      </w:pPr>
      <w:hyperlink w:anchor="_Toc5000086" w:history="1">
        <w:r w:rsidR="00FC119C" w:rsidRPr="00E96A65">
          <w:rPr>
            <w:rStyle w:val="Hyperlink"/>
          </w:rPr>
          <w:t>Preferred options</w:t>
        </w:r>
        <w:r w:rsidR="00FC119C">
          <w:rPr>
            <w:webHidden/>
          </w:rPr>
          <w:tab/>
        </w:r>
        <w:r w:rsidR="00FC119C">
          <w:rPr>
            <w:webHidden/>
          </w:rPr>
          <w:fldChar w:fldCharType="begin"/>
        </w:r>
        <w:r w:rsidR="00FC119C">
          <w:rPr>
            <w:webHidden/>
          </w:rPr>
          <w:instrText xml:space="preserve"> PAGEREF _Toc5000086 \h </w:instrText>
        </w:r>
        <w:r w:rsidR="00FC119C">
          <w:rPr>
            <w:webHidden/>
          </w:rPr>
        </w:r>
        <w:r w:rsidR="00FC119C">
          <w:rPr>
            <w:webHidden/>
          </w:rPr>
          <w:fldChar w:fldCharType="separate"/>
        </w:r>
        <w:r w:rsidR="00FC119C">
          <w:rPr>
            <w:webHidden/>
          </w:rPr>
          <w:t>46</w:t>
        </w:r>
        <w:r w:rsidR="00FC119C">
          <w:rPr>
            <w:webHidden/>
          </w:rPr>
          <w:fldChar w:fldCharType="end"/>
        </w:r>
      </w:hyperlink>
    </w:p>
    <w:p w14:paraId="4B66B146" w14:textId="35F89F79" w:rsidR="00FC119C" w:rsidRDefault="005B0D57">
      <w:pPr>
        <w:pStyle w:val="TOC1"/>
        <w:rPr>
          <w:rFonts w:asciiTheme="minorHAnsi" w:eastAsiaTheme="minorEastAsia" w:hAnsiTheme="minorHAnsi" w:cstheme="minorBidi"/>
          <w:b w:val="0"/>
          <w:spacing w:val="0"/>
          <w:sz w:val="22"/>
          <w:szCs w:val="22"/>
        </w:rPr>
      </w:pPr>
      <w:hyperlink w:anchor="_Toc5000087" w:history="1">
        <w:r w:rsidR="00FC119C" w:rsidRPr="00E96A65">
          <w:rPr>
            <w:rStyle w:val="Hyperlink"/>
          </w:rPr>
          <w:t>Invitation to comment</w:t>
        </w:r>
        <w:r w:rsidR="00FC119C">
          <w:rPr>
            <w:webHidden/>
          </w:rPr>
          <w:tab/>
        </w:r>
        <w:r w:rsidR="00FC119C">
          <w:rPr>
            <w:webHidden/>
          </w:rPr>
          <w:fldChar w:fldCharType="begin"/>
        </w:r>
        <w:r w:rsidR="00FC119C">
          <w:rPr>
            <w:webHidden/>
          </w:rPr>
          <w:instrText xml:space="preserve"> PAGEREF _Toc5000087 \h </w:instrText>
        </w:r>
        <w:r w:rsidR="00FC119C">
          <w:rPr>
            <w:webHidden/>
          </w:rPr>
        </w:r>
        <w:r w:rsidR="00FC119C">
          <w:rPr>
            <w:webHidden/>
          </w:rPr>
          <w:fldChar w:fldCharType="separate"/>
        </w:r>
        <w:r w:rsidR="00FC119C">
          <w:rPr>
            <w:webHidden/>
          </w:rPr>
          <w:t>50</w:t>
        </w:r>
        <w:r w:rsidR="00FC119C">
          <w:rPr>
            <w:webHidden/>
          </w:rPr>
          <w:fldChar w:fldCharType="end"/>
        </w:r>
      </w:hyperlink>
    </w:p>
    <w:p w14:paraId="3DABA6AB" w14:textId="587C9071" w:rsidR="00FC119C" w:rsidRDefault="005B0D57">
      <w:pPr>
        <w:pStyle w:val="TOC2"/>
        <w:rPr>
          <w:rFonts w:asciiTheme="minorHAnsi" w:eastAsiaTheme="minorEastAsia" w:hAnsiTheme="minorHAnsi" w:cstheme="minorBidi"/>
          <w:spacing w:val="0"/>
          <w:sz w:val="22"/>
          <w:szCs w:val="22"/>
        </w:rPr>
      </w:pPr>
      <w:hyperlink w:anchor="_Toc5000088" w:history="1">
        <w:r w:rsidR="00FC119C" w:rsidRPr="00E96A65">
          <w:rPr>
            <w:rStyle w:val="Hyperlink"/>
          </w:rPr>
          <w:t>Making a submission</w:t>
        </w:r>
        <w:r w:rsidR="00FC119C">
          <w:rPr>
            <w:webHidden/>
          </w:rPr>
          <w:tab/>
        </w:r>
        <w:r w:rsidR="00FC119C">
          <w:rPr>
            <w:webHidden/>
          </w:rPr>
          <w:fldChar w:fldCharType="begin"/>
        </w:r>
        <w:r w:rsidR="00FC119C">
          <w:rPr>
            <w:webHidden/>
          </w:rPr>
          <w:instrText xml:space="preserve"> PAGEREF _Toc5000088 \h </w:instrText>
        </w:r>
        <w:r w:rsidR="00FC119C">
          <w:rPr>
            <w:webHidden/>
          </w:rPr>
        </w:r>
        <w:r w:rsidR="00FC119C">
          <w:rPr>
            <w:webHidden/>
          </w:rPr>
          <w:fldChar w:fldCharType="separate"/>
        </w:r>
        <w:r w:rsidR="00FC119C">
          <w:rPr>
            <w:webHidden/>
          </w:rPr>
          <w:t>50</w:t>
        </w:r>
        <w:r w:rsidR="00FC119C">
          <w:rPr>
            <w:webHidden/>
          </w:rPr>
          <w:fldChar w:fldCharType="end"/>
        </w:r>
      </w:hyperlink>
    </w:p>
    <w:p w14:paraId="7D25B899" w14:textId="32D1F724" w:rsidR="00FC119C" w:rsidRDefault="005B0D57">
      <w:pPr>
        <w:pStyle w:val="TOC1"/>
        <w:rPr>
          <w:rFonts w:asciiTheme="minorHAnsi" w:eastAsiaTheme="minorEastAsia" w:hAnsiTheme="minorHAnsi" w:cstheme="minorBidi"/>
          <w:b w:val="0"/>
          <w:spacing w:val="0"/>
          <w:sz w:val="22"/>
          <w:szCs w:val="22"/>
        </w:rPr>
      </w:pPr>
      <w:hyperlink w:anchor="_Toc5000089" w:history="1">
        <w:r w:rsidR="00FC119C" w:rsidRPr="00E96A65">
          <w:rPr>
            <w:rStyle w:val="Hyperlink"/>
          </w:rPr>
          <w:t>Glossary</w:t>
        </w:r>
        <w:r w:rsidR="00FC119C">
          <w:rPr>
            <w:webHidden/>
          </w:rPr>
          <w:tab/>
        </w:r>
        <w:r w:rsidR="00FC119C">
          <w:rPr>
            <w:webHidden/>
          </w:rPr>
          <w:fldChar w:fldCharType="begin"/>
        </w:r>
        <w:r w:rsidR="00FC119C">
          <w:rPr>
            <w:webHidden/>
          </w:rPr>
          <w:instrText xml:space="preserve"> PAGEREF _Toc5000089 \h </w:instrText>
        </w:r>
        <w:r w:rsidR="00FC119C">
          <w:rPr>
            <w:webHidden/>
          </w:rPr>
        </w:r>
        <w:r w:rsidR="00FC119C">
          <w:rPr>
            <w:webHidden/>
          </w:rPr>
          <w:fldChar w:fldCharType="separate"/>
        </w:r>
        <w:r w:rsidR="00FC119C">
          <w:rPr>
            <w:webHidden/>
          </w:rPr>
          <w:t>51</w:t>
        </w:r>
        <w:r w:rsidR="00FC119C">
          <w:rPr>
            <w:webHidden/>
          </w:rPr>
          <w:fldChar w:fldCharType="end"/>
        </w:r>
      </w:hyperlink>
    </w:p>
    <w:p w14:paraId="2B27B48D" w14:textId="239DB238" w:rsidR="00FC119C" w:rsidRDefault="005B0D57">
      <w:pPr>
        <w:pStyle w:val="TOC1"/>
        <w:rPr>
          <w:rFonts w:asciiTheme="minorHAnsi" w:eastAsiaTheme="minorEastAsia" w:hAnsiTheme="minorHAnsi" w:cstheme="minorBidi"/>
          <w:b w:val="0"/>
          <w:spacing w:val="0"/>
          <w:sz w:val="22"/>
          <w:szCs w:val="22"/>
        </w:rPr>
      </w:pPr>
      <w:hyperlink w:anchor="_Toc5000090" w:history="1">
        <w:r w:rsidR="00FC119C" w:rsidRPr="00E96A65">
          <w:rPr>
            <w:rStyle w:val="Hyperlink"/>
          </w:rPr>
          <w:t>Appendix A: Geographical area descriptions</w:t>
        </w:r>
        <w:r w:rsidR="00FC119C">
          <w:rPr>
            <w:webHidden/>
          </w:rPr>
          <w:tab/>
        </w:r>
        <w:r w:rsidR="00FC119C">
          <w:rPr>
            <w:webHidden/>
          </w:rPr>
          <w:fldChar w:fldCharType="begin"/>
        </w:r>
        <w:r w:rsidR="00FC119C">
          <w:rPr>
            <w:webHidden/>
          </w:rPr>
          <w:instrText xml:space="preserve"> PAGEREF _Toc5000090 \h </w:instrText>
        </w:r>
        <w:r w:rsidR="00FC119C">
          <w:rPr>
            <w:webHidden/>
          </w:rPr>
        </w:r>
        <w:r w:rsidR="00FC119C">
          <w:rPr>
            <w:webHidden/>
          </w:rPr>
          <w:fldChar w:fldCharType="separate"/>
        </w:r>
        <w:r w:rsidR="00FC119C">
          <w:rPr>
            <w:webHidden/>
          </w:rPr>
          <w:t>53</w:t>
        </w:r>
        <w:r w:rsidR="00FC119C">
          <w:rPr>
            <w:webHidden/>
          </w:rPr>
          <w:fldChar w:fldCharType="end"/>
        </w:r>
      </w:hyperlink>
    </w:p>
    <w:p w14:paraId="1D48572C" w14:textId="4CB4B3F3" w:rsidR="004D56FF" w:rsidRPr="001E5818" w:rsidRDefault="00DC2752" w:rsidP="00BC1FA7">
      <w:pPr>
        <w:spacing w:after="0" w:line="240" w:lineRule="auto"/>
        <w:rPr>
          <w:rFonts w:cs="Arial"/>
        </w:rPr>
        <w:sectPr w:rsidR="004D56FF" w:rsidRPr="001E5818" w:rsidSect="00C77380">
          <w:headerReference w:type="even" r:id="rId19"/>
          <w:headerReference w:type="default" r:id="rId20"/>
          <w:footerReference w:type="even" r:id="rId21"/>
          <w:footerReference w:type="default" r:id="rId22"/>
          <w:footerReference w:type="first" r:id="rId23"/>
          <w:pgSz w:w="11906" w:h="16838" w:code="9"/>
          <w:pgMar w:top="3646" w:right="3101" w:bottom="1134" w:left="1134" w:header="709" w:footer="119" w:gutter="0"/>
          <w:cols w:space="708"/>
          <w:titlePg/>
          <w:docGrid w:linePitch="360"/>
        </w:sectPr>
      </w:pPr>
      <w:r>
        <w:rPr>
          <w:rFonts w:cs="Arial"/>
          <w:noProof/>
          <w:spacing w:val="-14"/>
          <w:sz w:val="28"/>
        </w:rPr>
        <w:fldChar w:fldCharType="end"/>
      </w:r>
    </w:p>
    <w:p w14:paraId="6E9D521B" w14:textId="794BA111" w:rsidR="009D6C71" w:rsidRPr="001E5818" w:rsidRDefault="009D6C71" w:rsidP="00A23982">
      <w:pPr>
        <w:pStyle w:val="ACMAExecSummaryHeading"/>
      </w:pPr>
      <w:bookmarkStart w:id="2" w:name="_Toc519765099"/>
      <w:bookmarkStart w:id="3" w:name="_Toc5000058"/>
      <w:bookmarkStart w:id="4" w:name="_Toc521585765"/>
      <w:r w:rsidRPr="001E5818">
        <w:lastRenderedPageBreak/>
        <w:t xml:space="preserve">Executive </w:t>
      </w:r>
      <w:r w:rsidRPr="00A23982">
        <w:t>summary</w:t>
      </w:r>
      <w:bookmarkEnd w:id="2"/>
      <w:bookmarkEnd w:id="3"/>
      <w:r w:rsidR="007E7683" w:rsidRPr="001E5818">
        <w:t xml:space="preserve"> </w:t>
      </w:r>
      <w:bookmarkEnd w:id="4"/>
    </w:p>
    <w:p w14:paraId="41BC9307" w14:textId="3B9C6067" w:rsidR="0041183B" w:rsidRDefault="0041183B" w:rsidP="0041183B">
      <w:pPr>
        <w:spacing w:before="120" w:after="120" w:line="240" w:lineRule="auto"/>
      </w:pPr>
      <w:r>
        <w:t xml:space="preserve">This paper </w:t>
      </w:r>
      <w:r w:rsidR="00F92043">
        <w:t>represents</w:t>
      </w:r>
      <w:r>
        <w:t xml:space="preserve"> the next step in planning for </w:t>
      </w:r>
      <w:r w:rsidR="00FC4EE0">
        <w:t xml:space="preserve">the </w:t>
      </w:r>
      <w:r>
        <w:t>28 GHz (27.5</w:t>
      </w:r>
      <w:r w:rsidR="002602C4">
        <w:t>–</w:t>
      </w:r>
      <w:r>
        <w:t>29.5 GHz)</w:t>
      </w:r>
      <w:r w:rsidR="00FC4EE0">
        <w:t xml:space="preserve"> band</w:t>
      </w:r>
      <w:r w:rsidR="008A2930">
        <w:t xml:space="preserve">. It </w:t>
      </w:r>
      <w:r>
        <w:t>follow</w:t>
      </w:r>
      <w:r w:rsidR="00F92043">
        <w:t>s</w:t>
      </w:r>
      <w:r>
        <w:t xml:space="preserve"> from the</w:t>
      </w:r>
      <w:r w:rsidRPr="00426BF5">
        <w:t xml:space="preserve"> </w:t>
      </w:r>
      <w:hyperlink r:id="rId24" w:history="1">
        <w:r w:rsidRPr="005D3186">
          <w:rPr>
            <w:rStyle w:val="Hyperlink"/>
          </w:rPr>
          <w:t>28 GHz spectrum planning</w:t>
        </w:r>
      </w:hyperlink>
      <w:r w:rsidR="005970F2">
        <w:rPr>
          <w:rStyle w:val="Hyperlink"/>
        </w:rPr>
        <w:t xml:space="preserve"> discussion paper</w:t>
      </w:r>
      <w:r>
        <w:rPr>
          <w:i/>
        </w:rPr>
        <w:t xml:space="preserve"> </w:t>
      </w:r>
      <w:r>
        <w:rPr>
          <w:szCs w:val="20"/>
        </w:rPr>
        <w:t xml:space="preserve">released in September 2018. </w:t>
      </w:r>
      <w:r>
        <w:t xml:space="preserve">It takes into account feedback provided on the relevant services </w:t>
      </w:r>
      <w:r w:rsidR="002B510B">
        <w:t xml:space="preserve">and applications </w:t>
      </w:r>
      <w:r w:rsidR="00F92043">
        <w:t>with interests in accessing</w:t>
      </w:r>
      <w:r>
        <w:t xml:space="preserve"> the band, international trends and the outcomes from the 26 GHz replanning process. A series of future planning options in the band are identified along with currently preferred options</w:t>
      </w:r>
      <w:r w:rsidR="00220386">
        <w:t xml:space="preserve"> of the Australian Communica</w:t>
      </w:r>
      <w:r w:rsidR="00962EDA">
        <w:t>tions and Media Authority (ACMA)</w:t>
      </w:r>
      <w:r>
        <w:t>.</w:t>
      </w:r>
    </w:p>
    <w:p w14:paraId="173ABFBC" w14:textId="12593BDB" w:rsidR="006C7783" w:rsidRDefault="00B049B4" w:rsidP="005D3186">
      <w:pPr>
        <w:keepNext/>
        <w:keepLines/>
        <w:spacing w:after="120"/>
      </w:pPr>
      <w:r>
        <w:t xml:space="preserve">The 28 GHz band </w:t>
      </w:r>
      <w:r w:rsidR="0041183B">
        <w:t>is the subject of domestic and international interest for a range of applications including satellite broadband and</w:t>
      </w:r>
      <w:r w:rsidR="007542B5">
        <w:t xml:space="preserve"> </w:t>
      </w:r>
      <w:r w:rsidR="0041183B">
        <w:t xml:space="preserve">is at the forefront of global interest in </w:t>
      </w:r>
      <w:r w:rsidR="006C7783">
        <w:t xml:space="preserve">the </w:t>
      </w:r>
      <w:r w:rsidR="00542E7B">
        <w:t>use of</w:t>
      </w:r>
      <w:r w:rsidR="00F91BAA">
        <w:t xml:space="preserve"> </w:t>
      </w:r>
      <w:r w:rsidR="00D03F08">
        <w:t>millimetre wave (</w:t>
      </w:r>
      <w:proofErr w:type="spellStart"/>
      <w:r w:rsidR="00425A22">
        <w:t>mmWave</w:t>
      </w:r>
      <w:proofErr w:type="spellEnd"/>
      <w:r w:rsidR="00F92043">
        <w:rPr>
          <w:rStyle w:val="FootnoteReference"/>
        </w:rPr>
        <w:footnoteReference w:id="2"/>
      </w:r>
      <w:r w:rsidR="00D03F08">
        <w:t>)</w:t>
      </w:r>
      <w:r w:rsidR="00425A22">
        <w:t xml:space="preserve"> frequencies</w:t>
      </w:r>
      <w:r w:rsidR="0041183B">
        <w:t xml:space="preserve"> for terrestrial 5G wireless broadband.</w:t>
      </w:r>
      <w:r w:rsidR="00425A22">
        <w:t xml:space="preserve"> </w:t>
      </w:r>
      <w:r w:rsidR="007542B5">
        <w:t>The frequency range being considered internationally, in full or part, for 5G encompasses 24.25</w:t>
      </w:r>
      <w:r w:rsidR="00962EDA">
        <w:softHyphen/>
      </w:r>
      <w:r w:rsidR="00962EDA">
        <w:softHyphen/>
        <w:t>–</w:t>
      </w:r>
      <w:r w:rsidR="007542B5">
        <w:t xml:space="preserve">29.5 GHz. </w:t>
      </w:r>
      <w:r w:rsidR="00542E7B">
        <w:t xml:space="preserve">This includes the 26 GHz band (24.25 GHz to 27.5 GHz) </w:t>
      </w:r>
      <w:r w:rsidR="002B510B">
        <w:t xml:space="preserve">that </w:t>
      </w:r>
      <w:r w:rsidR="00542E7B">
        <w:t>t</w:t>
      </w:r>
      <w:r w:rsidR="00D342E6">
        <w:t xml:space="preserve">he ACMA </w:t>
      </w:r>
      <w:r w:rsidR="00542E7B">
        <w:t xml:space="preserve">has now moved </w:t>
      </w:r>
      <w:r w:rsidR="002B510B">
        <w:t>to the replanning stage</w:t>
      </w:r>
      <w:r w:rsidR="00542E7B">
        <w:t xml:space="preserve"> with the release of the paper </w:t>
      </w:r>
      <w:hyperlink r:id="rId25" w:history="1">
        <w:r w:rsidR="00542E7B" w:rsidRPr="00C930B5">
          <w:rPr>
            <w:rStyle w:val="Hyperlink"/>
            <w:i/>
          </w:rPr>
          <w:t xml:space="preserve">Future use of the 26 GHz band: </w:t>
        </w:r>
        <w:r w:rsidR="00542E7B">
          <w:rPr>
            <w:rStyle w:val="Hyperlink"/>
            <w:i/>
          </w:rPr>
          <w:t>Planning d</w:t>
        </w:r>
        <w:r w:rsidR="00542E7B" w:rsidRPr="00C930B5">
          <w:rPr>
            <w:rStyle w:val="Hyperlink"/>
            <w:i/>
          </w:rPr>
          <w:t>ecisions and preliminary views</w:t>
        </w:r>
      </w:hyperlink>
      <w:r w:rsidR="00425A22">
        <w:t xml:space="preserve">. </w:t>
      </w:r>
    </w:p>
    <w:p w14:paraId="656EFCCA" w14:textId="028DA60F" w:rsidR="00425A22" w:rsidRDefault="00542E7B" w:rsidP="005D3186">
      <w:pPr>
        <w:keepNext/>
        <w:keepLines/>
        <w:spacing w:after="120"/>
      </w:pPr>
      <w:r>
        <w:t xml:space="preserve">Due to </w:t>
      </w:r>
      <w:r w:rsidR="00D75362">
        <w:t xml:space="preserve">potential </w:t>
      </w:r>
      <w:r>
        <w:t>synergies</w:t>
      </w:r>
      <w:r w:rsidR="007C5BE1">
        <w:t xml:space="preserve"> with</w:t>
      </w:r>
      <w:r w:rsidR="006C7783">
        <w:t xml:space="preserve"> </w:t>
      </w:r>
      <w:r>
        <w:t>the 26 GHz band, t</w:t>
      </w:r>
      <w:r w:rsidR="00D342E6">
        <w:t>he ACMA consider</w:t>
      </w:r>
      <w:r>
        <w:t>s</w:t>
      </w:r>
      <w:r w:rsidR="00D342E6">
        <w:t xml:space="preserve"> it timely to </w:t>
      </w:r>
      <w:r>
        <w:t xml:space="preserve">progress its </w:t>
      </w:r>
      <w:r w:rsidR="00D342E6">
        <w:t xml:space="preserve">review </w:t>
      </w:r>
      <w:r>
        <w:t>of arrangements in</w:t>
      </w:r>
      <w:r w:rsidR="00D342E6">
        <w:t xml:space="preserve"> the 28 GHz band (27.5 GHz to 29.5 GHz) </w:t>
      </w:r>
      <w:r>
        <w:t xml:space="preserve">and investigate </w:t>
      </w:r>
      <w:r w:rsidR="00015152">
        <w:t>future</w:t>
      </w:r>
      <w:r w:rsidR="00F815ED">
        <w:t xml:space="preserve"> planning </w:t>
      </w:r>
      <w:r>
        <w:t xml:space="preserve">options </w:t>
      </w:r>
      <w:r w:rsidR="00F815ED">
        <w:t>for the band</w:t>
      </w:r>
      <w:r w:rsidR="004B197F">
        <w:t xml:space="preserve"> by moving it to the preliminary replanning stage</w:t>
      </w:r>
      <w:r w:rsidR="00D342E6">
        <w:t>.</w:t>
      </w:r>
    </w:p>
    <w:p w14:paraId="6860F061" w14:textId="1637966C" w:rsidR="007268F0" w:rsidRDefault="00D81278" w:rsidP="005D3186">
      <w:pPr>
        <w:spacing w:after="80"/>
        <w:rPr>
          <w:szCs w:val="20"/>
          <w:lang w:val="en"/>
        </w:rPr>
      </w:pPr>
      <w:r>
        <w:t xml:space="preserve">The ACMA has identified </w:t>
      </w:r>
      <w:r w:rsidR="007268F0">
        <w:t xml:space="preserve">interest in </w:t>
      </w:r>
      <w:r w:rsidR="00F815ED">
        <w:t>using</w:t>
      </w:r>
      <w:r w:rsidR="007268F0">
        <w:t xml:space="preserve"> the 28 GHz band</w:t>
      </w:r>
      <w:r w:rsidR="00F815ED">
        <w:t xml:space="preserve"> from the following</w:t>
      </w:r>
      <w:r w:rsidR="007268F0">
        <w:rPr>
          <w:szCs w:val="20"/>
          <w:lang w:val="en"/>
        </w:rPr>
        <w:t xml:space="preserve"> applications/services:</w:t>
      </w:r>
    </w:p>
    <w:p w14:paraId="69F29818" w14:textId="20A8AD8C" w:rsidR="007268F0" w:rsidRDefault="004E4B82" w:rsidP="005D3186">
      <w:pPr>
        <w:pStyle w:val="ListBullet"/>
        <w:spacing w:line="240" w:lineRule="atLeast"/>
      </w:pPr>
      <w:r>
        <w:t>w</w:t>
      </w:r>
      <w:r w:rsidR="007268F0">
        <w:t xml:space="preserve">ide-area wireless </w:t>
      </w:r>
      <w:r w:rsidR="00FC54EC">
        <w:t>b</w:t>
      </w:r>
      <w:r w:rsidR="007268F0">
        <w:t>roadband (WWB)</w:t>
      </w:r>
      <w:r w:rsidR="00D81278">
        <w:t xml:space="preserve"> services</w:t>
      </w:r>
      <w:r>
        <w:t>,</w:t>
      </w:r>
      <w:r w:rsidR="006C7783">
        <w:t xml:space="preserve"> which are </w:t>
      </w:r>
      <w:r w:rsidR="007268F0">
        <w:t xml:space="preserve">deployments traditionally undertaken by </w:t>
      </w:r>
      <w:r w:rsidR="00F815ED">
        <w:t xml:space="preserve">large </w:t>
      </w:r>
      <w:r w:rsidR="007268F0">
        <w:t>mobile network operators (MNOs) or some fixed telecommunication carriers</w:t>
      </w:r>
    </w:p>
    <w:p w14:paraId="1AC1CF46" w14:textId="7FA1EBE6" w:rsidR="007268F0" w:rsidRDefault="00FC54EC" w:rsidP="005D3186">
      <w:pPr>
        <w:pStyle w:val="ListBullet"/>
        <w:spacing w:line="240" w:lineRule="atLeast"/>
      </w:pPr>
      <w:r>
        <w:t>f</w:t>
      </w:r>
      <w:r w:rsidR="007268F0" w:rsidRPr="00BD1A91">
        <w:t>ixed wireless access</w:t>
      </w:r>
      <w:r w:rsidR="007268F0" w:rsidRPr="000D17A2">
        <w:t xml:space="preserve"> </w:t>
      </w:r>
      <w:r w:rsidR="007268F0">
        <w:t>(FWA)</w:t>
      </w:r>
      <w:r w:rsidR="00D81278">
        <w:t xml:space="preserve"> services</w:t>
      </w:r>
      <w:r w:rsidR="006C7783">
        <w:t xml:space="preserve"> which r</w:t>
      </w:r>
      <w:r w:rsidR="007268F0">
        <w:t xml:space="preserve">efers to smaller, local area subscriber services such as those provided by wireless internet service providers (WISPs) or </w:t>
      </w:r>
      <w:r w:rsidR="00542E7B">
        <w:t xml:space="preserve">other </w:t>
      </w:r>
      <w:r w:rsidR="007268F0">
        <w:t>dedicated (</w:t>
      </w:r>
      <w:r>
        <w:t>for example,</w:t>
      </w:r>
      <w:r w:rsidR="00542E7B">
        <w:t xml:space="preserve"> miners, local</w:t>
      </w:r>
      <w:r w:rsidR="007268F0">
        <w:t xml:space="preserve"> government) wireless (generally fixed) broadband networks</w:t>
      </w:r>
    </w:p>
    <w:p w14:paraId="18398241" w14:textId="194E94D2" w:rsidR="007268F0" w:rsidRDefault="00CD3E5D" w:rsidP="005D3186">
      <w:pPr>
        <w:pStyle w:val="ListBullet"/>
        <w:spacing w:line="240" w:lineRule="atLeast"/>
      </w:pPr>
      <w:r>
        <w:t>f</w:t>
      </w:r>
      <w:r w:rsidR="007268F0">
        <w:t>ixed satellite service (FSS)</w:t>
      </w:r>
      <w:r w:rsidR="006C7783">
        <w:t xml:space="preserve"> which r</w:t>
      </w:r>
      <w:r w:rsidR="007268F0">
        <w:t xml:space="preserve">efers to gateway earth stations and ubiquitous earth stations (fixed earth stations at unknown locations and </w:t>
      </w:r>
      <w:r w:rsidR="006C7783">
        <w:t>earth stations in motion (</w:t>
      </w:r>
      <w:r w:rsidR="007268F0">
        <w:t>ESIM</w:t>
      </w:r>
      <w:r w:rsidR="006C7783">
        <w:t>)</w:t>
      </w:r>
      <w:r w:rsidR="007268F0">
        <w:t>, typically authorised to operate under a class licence)</w:t>
      </w:r>
    </w:p>
    <w:p w14:paraId="7146B893" w14:textId="3C4EA371" w:rsidR="007268F0" w:rsidRDefault="00CD3E5D" w:rsidP="005D3186">
      <w:pPr>
        <w:pStyle w:val="ListBullet"/>
        <w:spacing w:line="240" w:lineRule="atLeast"/>
      </w:pPr>
      <w:r>
        <w:t>f</w:t>
      </w:r>
      <w:r w:rsidR="007268F0">
        <w:t>ixed point</w:t>
      </w:r>
      <w:r>
        <w:t>-</w:t>
      </w:r>
      <w:r w:rsidR="007268F0">
        <w:t>to</w:t>
      </w:r>
      <w:r>
        <w:t>-</w:t>
      </w:r>
      <w:r w:rsidR="007268F0">
        <w:t xml:space="preserve">point </w:t>
      </w:r>
      <w:r w:rsidR="00D81278">
        <w:t xml:space="preserve">services </w:t>
      </w:r>
      <w:r w:rsidR="007268F0">
        <w:t>(PTP)</w:t>
      </w:r>
      <w:r w:rsidR="006C7783">
        <w:t xml:space="preserve"> which are</w:t>
      </w:r>
      <w:r w:rsidR="007C5BE1">
        <w:t xml:space="preserve"> used by many different </w:t>
      </w:r>
      <w:r w:rsidR="002D752B">
        <w:t xml:space="preserve">services and </w:t>
      </w:r>
      <w:r w:rsidR="007C5BE1">
        <w:t>operators to</w:t>
      </w:r>
      <w:r w:rsidR="002D752B">
        <w:t xml:space="preserve"> backhaul data</w:t>
      </w:r>
    </w:p>
    <w:p w14:paraId="6F852762" w14:textId="7698D49C" w:rsidR="00B049B4" w:rsidRPr="00BD1A91" w:rsidRDefault="00325F4E" w:rsidP="005D3186">
      <w:pPr>
        <w:pStyle w:val="ListBullet"/>
        <w:spacing w:after="240" w:line="240" w:lineRule="atLeast"/>
      </w:pPr>
      <w:r>
        <w:t>h</w:t>
      </w:r>
      <w:r w:rsidR="00B049B4">
        <w:t>igh altitude platform stations (HAPS)</w:t>
      </w:r>
      <w:r w:rsidR="00D75362">
        <w:t xml:space="preserve"> which</w:t>
      </w:r>
      <w:r w:rsidR="002812AA">
        <w:t xml:space="preserve"> </w:t>
      </w:r>
      <w:r w:rsidR="00F92043">
        <w:t xml:space="preserve">operate </w:t>
      </w:r>
      <w:r w:rsidR="002812AA">
        <w:t>at altitudes of 20</w:t>
      </w:r>
      <w:r w:rsidR="001C3BC8">
        <w:t>–</w:t>
      </w:r>
      <w:r w:rsidR="002812AA">
        <w:t xml:space="preserve">50 </w:t>
      </w:r>
      <w:r w:rsidR="001C3BC8">
        <w:t>k</w:t>
      </w:r>
      <w:r w:rsidR="00A603A3">
        <w:t>ilometres</w:t>
      </w:r>
      <w:r w:rsidR="001C3BC8">
        <w:t xml:space="preserve"> </w:t>
      </w:r>
      <w:r w:rsidR="002812AA">
        <w:t xml:space="preserve">and </w:t>
      </w:r>
      <w:r w:rsidR="0065685E">
        <w:t xml:space="preserve">are </w:t>
      </w:r>
      <w:r w:rsidR="002812AA">
        <w:t>proposed for the provision of broadband services.</w:t>
      </w:r>
      <w:r w:rsidR="002812AA" w:rsidDel="002812AA">
        <w:t xml:space="preserve"> </w:t>
      </w:r>
    </w:p>
    <w:p w14:paraId="227FBD0E" w14:textId="7A3A8465" w:rsidR="006D3F9C" w:rsidRDefault="00556D79" w:rsidP="005D3186">
      <w:pPr>
        <w:keepNext/>
        <w:keepLines/>
        <w:spacing w:before="120" w:after="80" w:line="240" w:lineRule="auto"/>
      </w:pPr>
      <w:r>
        <w:t xml:space="preserve">This paper </w:t>
      </w:r>
      <w:r w:rsidR="00D81278">
        <w:t>analyses</w:t>
      </w:r>
      <w:r>
        <w:t xml:space="preserve"> the </w:t>
      </w:r>
      <w:r w:rsidR="00D81278">
        <w:t xml:space="preserve">different </w:t>
      </w:r>
      <w:r>
        <w:t xml:space="preserve">planning </w:t>
      </w:r>
      <w:r w:rsidR="0023438C">
        <w:t>issues</w:t>
      </w:r>
      <w:r>
        <w:t xml:space="preserve"> for each of the</w:t>
      </w:r>
      <w:r w:rsidR="0023438C">
        <w:t xml:space="preserve"> </w:t>
      </w:r>
      <w:r>
        <w:t xml:space="preserve">services </w:t>
      </w:r>
      <w:r w:rsidR="00D81278">
        <w:t>interested in using the 28 GHz band</w:t>
      </w:r>
      <w:r>
        <w:t xml:space="preserve"> </w:t>
      </w:r>
      <w:r w:rsidR="00D81278">
        <w:t>as well as</w:t>
      </w:r>
      <w:r w:rsidR="00C477EE">
        <w:t xml:space="preserve"> </w:t>
      </w:r>
      <w:r w:rsidR="00D81278">
        <w:t>any sharing and</w:t>
      </w:r>
      <w:r w:rsidR="00C477EE">
        <w:t xml:space="preserve"> </w:t>
      </w:r>
      <w:r>
        <w:t xml:space="preserve">coexistence </w:t>
      </w:r>
      <w:r w:rsidR="00D81278">
        <w:t>issues</w:t>
      </w:r>
      <w:r>
        <w:t>.</w:t>
      </w:r>
      <w:r w:rsidR="009E35DB">
        <w:t xml:space="preserve"> </w:t>
      </w:r>
      <w:r w:rsidR="006D3F9C">
        <w:t>From t</w:t>
      </w:r>
      <w:r w:rsidR="009E35DB">
        <w:t>h</w:t>
      </w:r>
      <w:r w:rsidR="00D81278">
        <w:t>is</w:t>
      </w:r>
      <w:r w:rsidR="009E35DB">
        <w:t xml:space="preserve"> analysis </w:t>
      </w:r>
      <w:r w:rsidR="006D3F9C">
        <w:t xml:space="preserve">four </w:t>
      </w:r>
      <w:r w:rsidR="00E9366E">
        <w:t xml:space="preserve">broad </w:t>
      </w:r>
      <w:r w:rsidR="00C477EE">
        <w:t xml:space="preserve">planning </w:t>
      </w:r>
      <w:r w:rsidR="006D3F9C">
        <w:t>options for the band</w:t>
      </w:r>
      <w:r w:rsidR="00D81278">
        <w:t xml:space="preserve"> </w:t>
      </w:r>
      <w:r w:rsidR="009B1705">
        <w:t>emerged</w:t>
      </w:r>
      <w:r w:rsidR="006D3F9C">
        <w:t>:</w:t>
      </w:r>
    </w:p>
    <w:p w14:paraId="2C428E94" w14:textId="7B3EE1AB" w:rsidR="006D3F9C" w:rsidRPr="0026465E" w:rsidRDefault="006D3F9C" w:rsidP="001B1339">
      <w:pPr>
        <w:pStyle w:val="ListBullet"/>
        <w:keepNext/>
        <w:keepLines/>
        <w:spacing w:line="240" w:lineRule="atLeast"/>
        <w:rPr>
          <w:szCs w:val="20"/>
        </w:rPr>
      </w:pPr>
      <w:r w:rsidRPr="008A3668">
        <w:rPr>
          <w:szCs w:val="20"/>
        </w:rPr>
        <w:t>Option 1</w:t>
      </w:r>
      <w:r w:rsidR="005970F2">
        <w:rPr>
          <w:szCs w:val="20"/>
        </w:rPr>
        <w:t>—w</w:t>
      </w:r>
      <w:r w:rsidR="001B05E2" w:rsidRPr="006274C7">
        <w:rPr>
          <w:szCs w:val="20"/>
        </w:rPr>
        <w:t>ide-area wireless broadband suitable for 5G, PTP, FWA and satellite (both gateway and ubiquitous)</w:t>
      </w:r>
    </w:p>
    <w:p w14:paraId="477FB1BC" w14:textId="36645F59" w:rsidR="001B05E2" w:rsidRPr="0026465E" w:rsidRDefault="006D3F9C" w:rsidP="00FC4EE0">
      <w:pPr>
        <w:pStyle w:val="ListBullet"/>
        <w:keepNext/>
        <w:keepLines/>
        <w:spacing w:line="240" w:lineRule="atLeast"/>
        <w:rPr>
          <w:szCs w:val="20"/>
        </w:rPr>
      </w:pPr>
      <w:r w:rsidRPr="0026465E">
        <w:rPr>
          <w:szCs w:val="20"/>
        </w:rPr>
        <w:t>Option 2</w:t>
      </w:r>
      <w:r w:rsidR="005970F2">
        <w:rPr>
          <w:szCs w:val="20"/>
        </w:rPr>
        <w:t>—</w:t>
      </w:r>
      <w:r w:rsidR="001B05E2" w:rsidRPr="006274C7">
        <w:rPr>
          <w:szCs w:val="20"/>
        </w:rPr>
        <w:t>PTP, FWA and satellite (both gateway and ubiquitous)</w:t>
      </w:r>
    </w:p>
    <w:p w14:paraId="1DB712BB" w14:textId="43AAA77B" w:rsidR="00C477EE" w:rsidRPr="0026465E" w:rsidRDefault="00C477EE" w:rsidP="00FC4EE0">
      <w:pPr>
        <w:pStyle w:val="ListBullet"/>
        <w:keepNext/>
        <w:keepLines/>
        <w:spacing w:line="240" w:lineRule="atLeast"/>
        <w:rPr>
          <w:szCs w:val="20"/>
        </w:rPr>
      </w:pPr>
      <w:r w:rsidRPr="0026465E">
        <w:rPr>
          <w:szCs w:val="20"/>
        </w:rPr>
        <w:t>Option 3</w:t>
      </w:r>
      <w:r w:rsidR="005970F2">
        <w:rPr>
          <w:szCs w:val="20"/>
        </w:rPr>
        <w:t>—</w:t>
      </w:r>
      <w:r w:rsidR="001B05E2" w:rsidRPr="006274C7">
        <w:rPr>
          <w:szCs w:val="20"/>
        </w:rPr>
        <w:t>FWA and satellite (both gateway and ubiquitous)</w:t>
      </w:r>
    </w:p>
    <w:p w14:paraId="33F321F7" w14:textId="540E2F7A" w:rsidR="00C477EE" w:rsidRPr="0026465E" w:rsidRDefault="00C477EE" w:rsidP="006D3F9C">
      <w:pPr>
        <w:pStyle w:val="ListBullet"/>
        <w:keepNext/>
        <w:keepLines/>
        <w:spacing w:line="240" w:lineRule="atLeast"/>
        <w:rPr>
          <w:szCs w:val="20"/>
        </w:rPr>
      </w:pPr>
      <w:r w:rsidRPr="0026465E">
        <w:rPr>
          <w:szCs w:val="20"/>
        </w:rPr>
        <w:t>Option 4</w:t>
      </w:r>
      <w:r w:rsidR="005970F2">
        <w:rPr>
          <w:szCs w:val="20"/>
        </w:rPr>
        <w:t>—s</w:t>
      </w:r>
      <w:r w:rsidR="001B05E2" w:rsidRPr="006274C7">
        <w:rPr>
          <w:szCs w:val="20"/>
        </w:rPr>
        <w:t>atellite (both gateway and ubiquitous) only</w:t>
      </w:r>
    </w:p>
    <w:p w14:paraId="60BEB9E4" w14:textId="1F2BD106" w:rsidR="00BC65B7" w:rsidRDefault="00C477EE" w:rsidP="00BC65B7">
      <w:pPr>
        <w:spacing w:before="240" w:after="120" w:line="240" w:lineRule="auto"/>
      </w:pPr>
      <w:r>
        <w:t xml:space="preserve">These four options were assessed against the Spectrum Management </w:t>
      </w:r>
      <w:r w:rsidR="00E06776">
        <w:t>P</w:t>
      </w:r>
      <w:r>
        <w:t>rinciples to identify</w:t>
      </w:r>
      <w:r w:rsidR="004B197F">
        <w:t xml:space="preserve"> </w:t>
      </w:r>
      <w:r>
        <w:t>preferred option</w:t>
      </w:r>
      <w:r w:rsidR="009B1705">
        <w:t>s</w:t>
      </w:r>
      <w:r>
        <w:t xml:space="preserve">. </w:t>
      </w:r>
    </w:p>
    <w:p w14:paraId="77CFF514" w14:textId="3F403BD4" w:rsidR="00BC65B7" w:rsidRDefault="00C477EE" w:rsidP="00A37173">
      <w:pPr>
        <w:spacing w:before="120" w:after="120" w:line="240" w:lineRule="auto"/>
      </w:pPr>
      <w:bookmarkStart w:id="5" w:name="_Hlk3970523"/>
      <w:r>
        <w:lastRenderedPageBreak/>
        <w:t xml:space="preserve">In assessing </w:t>
      </w:r>
      <w:r w:rsidR="00BC65B7">
        <w:t>the identified options</w:t>
      </w:r>
      <w:r>
        <w:t xml:space="preserve">, the ACMA </w:t>
      </w:r>
      <w:r w:rsidR="00D75362">
        <w:t xml:space="preserve">considered </w:t>
      </w:r>
      <w:r>
        <w:t>the out</w:t>
      </w:r>
      <w:r w:rsidR="006C7783">
        <w:t>c</w:t>
      </w:r>
      <w:r>
        <w:t>ome</w:t>
      </w:r>
      <w:r w:rsidR="00A43C0F">
        <w:t>s</w:t>
      </w:r>
      <w:r>
        <w:t xml:space="preserve"> of the 26 GHz</w:t>
      </w:r>
      <w:r w:rsidR="008C2A5E">
        <w:t xml:space="preserve"> </w:t>
      </w:r>
      <w:r w:rsidR="009B1705">
        <w:t xml:space="preserve">planning </w:t>
      </w:r>
      <w:r w:rsidR="008C2A5E">
        <w:t>process</w:t>
      </w:r>
      <w:r>
        <w:t xml:space="preserve">. </w:t>
      </w:r>
      <w:r w:rsidR="00BC65B7">
        <w:t xml:space="preserve">These </w:t>
      </w:r>
      <w:r w:rsidR="00BC65B7" w:rsidRPr="004A0EB6">
        <w:t xml:space="preserve">planning outcomes </w:t>
      </w:r>
      <w:r w:rsidR="007542B5">
        <w:t>provide arrangements for</w:t>
      </w:r>
      <w:r w:rsidR="00BC65B7" w:rsidRPr="004A0EB6">
        <w:t xml:space="preserve"> wide</w:t>
      </w:r>
      <w:r w:rsidR="00162B0A">
        <w:t>-</w:t>
      </w:r>
      <w:r w:rsidR="00BC65B7" w:rsidRPr="004A0EB6">
        <w:t>area terrestrial wireless broadband (for 5G) and some FWA</w:t>
      </w:r>
      <w:r w:rsidR="007542B5">
        <w:t xml:space="preserve"> use</w:t>
      </w:r>
      <w:r w:rsidR="00BC65B7" w:rsidRPr="004A0EB6">
        <w:t xml:space="preserve">. </w:t>
      </w:r>
      <w:r w:rsidR="007542B5">
        <w:t>Due to the substitutability</w:t>
      </w:r>
      <w:r w:rsidR="00D75362">
        <w:t xml:space="preserve"> between</w:t>
      </w:r>
      <w:r w:rsidR="007542B5">
        <w:t xml:space="preserve"> the bands, </w:t>
      </w:r>
      <w:r w:rsidR="00BC65B7" w:rsidRPr="004A0EB6">
        <w:t xml:space="preserve">the planning decisions and preliminary views made for the 26 GHz band </w:t>
      </w:r>
      <w:r w:rsidR="00D75362">
        <w:t xml:space="preserve">provide relevant </w:t>
      </w:r>
      <w:r w:rsidR="00BC65B7" w:rsidRPr="004A0EB6">
        <w:t xml:space="preserve">context </w:t>
      </w:r>
      <w:r w:rsidR="00D75362">
        <w:t xml:space="preserve">for the </w:t>
      </w:r>
      <w:r w:rsidR="00BC65B7" w:rsidRPr="004A0EB6">
        <w:t xml:space="preserve">options (and ACMA preferences) </w:t>
      </w:r>
      <w:r w:rsidR="00D75362">
        <w:t xml:space="preserve">identified for </w:t>
      </w:r>
      <w:r w:rsidR="00BC65B7" w:rsidRPr="004A0EB6">
        <w:t>the 28 GHz</w:t>
      </w:r>
      <w:r w:rsidR="007542B5">
        <w:t xml:space="preserve"> band</w:t>
      </w:r>
      <w:r w:rsidR="00BC65B7" w:rsidRPr="004A0EB6">
        <w:t>.</w:t>
      </w:r>
    </w:p>
    <w:p w14:paraId="0C983C5D" w14:textId="15EEC73F" w:rsidR="00BC65B7" w:rsidRDefault="00BC65B7" w:rsidP="00A37173">
      <w:pPr>
        <w:spacing w:before="120" w:after="120" w:line="240" w:lineRule="auto"/>
      </w:pPr>
      <w:r w:rsidRPr="00A37173">
        <w:t xml:space="preserve">Given that planning decisions in 26 GHz accommodate 2.4 GHz of spectrum suitable for wide area wireless broadband, </w:t>
      </w:r>
      <w:r>
        <w:t>the ACMA has formed the preliminary views</w:t>
      </w:r>
      <w:r w:rsidRPr="00A37173">
        <w:t xml:space="preserve"> that these applications are adequately catered for in the 26 GHz band. </w:t>
      </w:r>
    </w:p>
    <w:p w14:paraId="483F5914" w14:textId="43B2B3FF" w:rsidR="001B05E2" w:rsidRDefault="00BC65B7" w:rsidP="00A37173">
      <w:pPr>
        <w:spacing w:after="120"/>
      </w:pPr>
      <w:r>
        <w:t>The ACMA notes that w</w:t>
      </w:r>
      <w:r w:rsidRPr="00A37173">
        <w:t xml:space="preserve">hile some provision for local area FWA has been made in 26 GHz, some parts of industry are seeking access to more spectrum </w:t>
      </w:r>
      <w:r w:rsidR="00E9366E">
        <w:t xml:space="preserve">(up to 1 GHz) </w:t>
      </w:r>
      <w:r w:rsidRPr="00A37173">
        <w:t xml:space="preserve">in </w:t>
      </w:r>
      <w:r w:rsidR="00536362">
        <w:t>large population centres</w:t>
      </w:r>
      <w:r w:rsidR="005009C0">
        <w:t xml:space="preserve"> across the 26 GHz and 28 GHz bands</w:t>
      </w:r>
      <w:r w:rsidRPr="00A37173">
        <w:t xml:space="preserve">. </w:t>
      </w:r>
      <w:r w:rsidR="00E9366E">
        <w:t>In that context, the ACMA sees that there is still likely to be unmet demand for fixed wireless uses in large population centres and is exploring in the various planning options</w:t>
      </w:r>
      <w:r w:rsidR="002A6019">
        <w:t xml:space="preserve"> outlined</w:t>
      </w:r>
      <w:r w:rsidR="00E9366E">
        <w:t xml:space="preserve"> in this paper, the optimal configurations in the 28 GHz band for fixed wireless uses in and around large population centres.</w:t>
      </w:r>
    </w:p>
    <w:p w14:paraId="28C4870F" w14:textId="18CD5713" w:rsidR="00D75362" w:rsidRDefault="00E9366E" w:rsidP="007542B5">
      <w:pPr>
        <w:spacing w:after="120"/>
      </w:pPr>
      <w:r w:rsidRPr="00A37173">
        <w:t>The satellite industry has made strong arguments regarding their existing and future spectrum needs in the 28 GHz band</w:t>
      </w:r>
      <w:r w:rsidR="00B70AB9">
        <w:t xml:space="preserve"> for both gateway and ubiquitous (including </w:t>
      </w:r>
      <w:r w:rsidR="00CB2F04">
        <w:t>earth s</w:t>
      </w:r>
      <w:r w:rsidR="005009C0">
        <w:t xml:space="preserve">tations in </w:t>
      </w:r>
      <w:r w:rsidR="00CB2F04">
        <w:t>m</w:t>
      </w:r>
      <w:r w:rsidR="005009C0">
        <w:t>otion (</w:t>
      </w:r>
      <w:r w:rsidR="00B70AB9">
        <w:t>ESIM)</w:t>
      </w:r>
      <w:r w:rsidR="005009C0">
        <w:t>)</w:t>
      </w:r>
      <w:r w:rsidR="00B70AB9">
        <w:t xml:space="preserve"> uses</w:t>
      </w:r>
      <w:r w:rsidRPr="00A37173">
        <w:t>.</w:t>
      </w:r>
      <w:r w:rsidR="00CB2F04">
        <w:t xml:space="preserve"> </w:t>
      </w:r>
      <w:r>
        <w:t>The ACMA considers</w:t>
      </w:r>
      <w:r w:rsidRPr="00A37173">
        <w:t xml:space="preserve"> </w:t>
      </w:r>
      <w:r w:rsidR="005009C0">
        <w:t xml:space="preserve">these </w:t>
      </w:r>
      <w:r w:rsidRPr="00A37173">
        <w:t xml:space="preserve">arguments have merit and </w:t>
      </w:r>
      <w:r w:rsidR="005009C0">
        <w:t xml:space="preserve">has </w:t>
      </w:r>
      <w:r w:rsidRPr="00A37173">
        <w:t xml:space="preserve">reflected this in all options </w:t>
      </w:r>
      <w:r w:rsidR="000873B2">
        <w:t>by</w:t>
      </w:r>
      <w:r w:rsidRPr="00A37173">
        <w:t xml:space="preserve"> provid</w:t>
      </w:r>
      <w:r w:rsidR="000873B2">
        <w:t>ing</w:t>
      </w:r>
      <w:r w:rsidRPr="00A37173">
        <w:t xml:space="preserve"> additional spectrum for </w:t>
      </w:r>
      <w:r w:rsidR="005009C0">
        <w:t>use by satellite services</w:t>
      </w:r>
      <w:r w:rsidRPr="00A37173">
        <w:t>. Key differences between the options are the amount of spectrum</w:t>
      </w:r>
      <w:r w:rsidR="005009C0">
        <w:t xml:space="preserve"> allocated</w:t>
      </w:r>
      <w:r w:rsidRPr="00A37173">
        <w:t xml:space="preserve">, </w:t>
      </w:r>
      <w:r w:rsidR="005009C0">
        <w:t xml:space="preserve">the </w:t>
      </w:r>
      <w:r w:rsidRPr="00A37173">
        <w:t>location in the band</w:t>
      </w:r>
      <w:r w:rsidR="00EE77E3">
        <w:t xml:space="preserve"> and </w:t>
      </w:r>
      <w:r w:rsidR="00492934">
        <w:t>the level of exclusivity</w:t>
      </w:r>
      <w:r w:rsidRPr="00A37173">
        <w:t xml:space="preserve"> (</w:t>
      </w:r>
      <w:r w:rsidR="009B7F4D">
        <w:t>for example,</w:t>
      </w:r>
      <w:r w:rsidRPr="00A37173">
        <w:t xml:space="preserve"> shared or exclusive</w:t>
      </w:r>
      <w:r w:rsidR="00492934">
        <w:t xml:space="preserve"> access</w:t>
      </w:r>
      <w:r w:rsidRPr="00A37173">
        <w:t>)</w:t>
      </w:r>
      <w:r w:rsidR="00EE77E3">
        <w:t xml:space="preserve"> along with any sharing conditions</w:t>
      </w:r>
      <w:r w:rsidRPr="00A37173">
        <w:t>.</w:t>
      </w:r>
      <w:r w:rsidR="00EE77E3">
        <w:t xml:space="preserve"> </w:t>
      </w:r>
    </w:p>
    <w:p w14:paraId="54A8DB94" w14:textId="18922ECC" w:rsidR="00D75362" w:rsidRDefault="00EE77E3" w:rsidP="007542B5">
      <w:pPr>
        <w:spacing w:after="120"/>
      </w:pPr>
      <w:r>
        <w:t xml:space="preserve">The ACMA </w:t>
      </w:r>
      <w:r w:rsidR="005009C0">
        <w:t xml:space="preserve">also </w:t>
      </w:r>
      <w:r>
        <w:t>recognises that the 28 GHz band represents the uplink segment of the satellite Ka band</w:t>
      </w:r>
      <w:r w:rsidR="00D75362">
        <w:t xml:space="preserve">, so </w:t>
      </w:r>
      <w:r w:rsidR="005B3D85">
        <w:t>any change in arrangements would have implications for use of the associated downlink segment (17.7</w:t>
      </w:r>
      <w:r w:rsidR="009B7F4D">
        <w:t>–</w:t>
      </w:r>
      <w:r w:rsidR="005B3D85">
        <w:t>20.2 GHz)</w:t>
      </w:r>
      <w:r>
        <w:t xml:space="preserve">. </w:t>
      </w:r>
      <w:r w:rsidR="005B3D85">
        <w:t>While formal consideration of arrangements for the downlink segment are not within scope of this paper,</w:t>
      </w:r>
      <w:r w:rsidR="005B3D85" w:rsidRPr="005B3D85">
        <w:t xml:space="preserve"> </w:t>
      </w:r>
      <w:r w:rsidR="005B3D85">
        <w:t>the need or otherwise to perform this work has been identified for each relevant option</w:t>
      </w:r>
      <w:r w:rsidR="00D75362">
        <w:t xml:space="preserve">. The ACMA expects to undertake further work on the associated downlink segment, when the scope of </w:t>
      </w:r>
      <w:r w:rsidR="008F240B">
        <w:t xml:space="preserve">any </w:t>
      </w:r>
      <w:r w:rsidR="00D75362">
        <w:t xml:space="preserve">changes required for the uplink segment </w:t>
      </w:r>
      <w:r w:rsidR="002812AA">
        <w:t>are</w:t>
      </w:r>
      <w:r w:rsidR="00D75362">
        <w:t xml:space="preserve"> clear.</w:t>
      </w:r>
    </w:p>
    <w:p w14:paraId="748071BC" w14:textId="77777777" w:rsidR="00D75362" w:rsidRDefault="005B3D85" w:rsidP="00A37173">
      <w:pPr>
        <w:pStyle w:val="ListBullet"/>
        <w:numPr>
          <w:ilvl w:val="0"/>
          <w:numId w:val="0"/>
        </w:numPr>
        <w:spacing w:after="120"/>
      </w:pPr>
      <w:r>
        <w:t>PTP</w:t>
      </w:r>
      <w:r w:rsidR="00F26AA3">
        <w:t xml:space="preserve"> services represent a small but significant set of incumbent </w:t>
      </w:r>
      <w:r w:rsidR="00EE77E3">
        <w:t>interests</w:t>
      </w:r>
      <w:r w:rsidR="00F26AA3">
        <w:t xml:space="preserve"> in the </w:t>
      </w:r>
      <w:r w:rsidR="00B57C49">
        <w:t xml:space="preserve">28 GHz </w:t>
      </w:r>
      <w:r w:rsidR="00F26AA3">
        <w:t xml:space="preserve">band.  The options explored in the paper acknowledge the continuing need for supporting </w:t>
      </w:r>
      <w:r w:rsidR="00B57C49">
        <w:t>PTP</w:t>
      </w:r>
      <w:r w:rsidR="00F26AA3">
        <w:t xml:space="preserve"> services with </w:t>
      </w:r>
      <w:r w:rsidR="00492934">
        <w:t xml:space="preserve">wide </w:t>
      </w:r>
      <w:r w:rsidR="00F26AA3">
        <w:t xml:space="preserve">channel bandwidths.  The preferred options identified by the ACMA consider whether </w:t>
      </w:r>
      <w:r w:rsidR="00B57C49">
        <w:t>future PTP</w:t>
      </w:r>
      <w:r w:rsidR="00F26AA3">
        <w:t xml:space="preserve"> services growth </w:t>
      </w:r>
      <w:r w:rsidR="00B57C49">
        <w:t xml:space="preserve">is best supported in the 28 GHz band or if it can be adequately </w:t>
      </w:r>
      <w:r w:rsidR="00F26AA3">
        <w:t xml:space="preserve">supported in </w:t>
      </w:r>
      <w:r w:rsidR="00B64FFA">
        <w:t>other band</w:t>
      </w:r>
      <w:r w:rsidR="00B57C49">
        <w:t>s.</w:t>
      </w:r>
      <w:r w:rsidR="00492934">
        <w:t xml:space="preserve"> </w:t>
      </w:r>
    </w:p>
    <w:p w14:paraId="1D9B7045" w14:textId="3B1A191C" w:rsidR="00F6354D" w:rsidRDefault="00B57C49" w:rsidP="00A37173">
      <w:pPr>
        <w:pStyle w:val="ListBullet"/>
        <w:numPr>
          <w:ilvl w:val="0"/>
          <w:numId w:val="0"/>
        </w:numPr>
        <w:spacing w:after="120"/>
      </w:pPr>
      <w:r>
        <w:t>To inform a decision on this issue, t</w:t>
      </w:r>
      <w:r w:rsidR="004119A3">
        <w:t xml:space="preserve">he ACMA </w:t>
      </w:r>
      <w:r w:rsidR="00C32AF6">
        <w:t xml:space="preserve">will consult </w:t>
      </w:r>
      <w:r w:rsidR="004119A3">
        <w:t xml:space="preserve">with industry </w:t>
      </w:r>
      <w:r>
        <w:t xml:space="preserve">on </w:t>
      </w:r>
      <w:r w:rsidR="00C32AF6">
        <w:t xml:space="preserve">introducing </w:t>
      </w:r>
      <w:r>
        <w:t xml:space="preserve">new </w:t>
      </w:r>
      <w:r w:rsidR="00C32AF6">
        <w:t xml:space="preserve">PTP </w:t>
      </w:r>
      <w:r>
        <w:t xml:space="preserve">channel </w:t>
      </w:r>
      <w:r w:rsidR="00C32AF6">
        <w:t>arrangements to</w:t>
      </w:r>
      <w:r>
        <w:t xml:space="preserve"> the 38 GHz band</w:t>
      </w:r>
      <w:r w:rsidR="00C32AF6">
        <w:t>. This consultation will be conducted</w:t>
      </w:r>
      <w:r>
        <w:t xml:space="preserve"> </w:t>
      </w:r>
      <w:r w:rsidR="004119A3">
        <w:t xml:space="preserve">in </w:t>
      </w:r>
      <w:r w:rsidR="0007707F">
        <w:t>Q2 2019</w:t>
      </w:r>
      <w:r w:rsidR="004119A3">
        <w:t xml:space="preserve">. </w:t>
      </w:r>
      <w:r w:rsidR="00492934">
        <w:t xml:space="preserve">In the event </w:t>
      </w:r>
      <w:r w:rsidR="00704D40">
        <w:t>an option is adopted that no longer supports new PTP licences</w:t>
      </w:r>
      <w:r w:rsidR="00C32AF6">
        <w:t xml:space="preserve"> in the 28 GHz band</w:t>
      </w:r>
      <w:r w:rsidR="00704D40">
        <w:t xml:space="preserve">, the ACMA considers that existing </w:t>
      </w:r>
      <w:r w:rsidR="003E60D9">
        <w:t>licensed</w:t>
      </w:r>
      <w:r w:rsidR="00704D40">
        <w:t xml:space="preserve"> </w:t>
      </w:r>
      <w:r w:rsidR="003E60D9">
        <w:t>PTP use</w:t>
      </w:r>
      <w:r w:rsidR="00E67233">
        <w:t>r</w:t>
      </w:r>
      <w:r w:rsidR="003E60D9">
        <w:t xml:space="preserve">s could continue to operate </w:t>
      </w:r>
      <w:r w:rsidR="00E907FD">
        <w:t xml:space="preserve">under the current arrangements for a </w:t>
      </w:r>
      <w:r w:rsidR="00421671">
        <w:t xml:space="preserve">defined </w:t>
      </w:r>
      <w:r w:rsidR="00E907FD">
        <w:t xml:space="preserve">period </w:t>
      </w:r>
      <w:r w:rsidR="00533287">
        <w:t xml:space="preserve">of </w:t>
      </w:r>
      <w:r w:rsidR="00D43E09">
        <w:t>time</w:t>
      </w:r>
      <w:r w:rsidR="006A77E4">
        <w:t xml:space="preserve"> </w:t>
      </w:r>
      <w:r w:rsidR="003E60D9">
        <w:t>(i.e. be ‘grandfathered’)</w:t>
      </w:r>
      <w:r w:rsidR="006A77E4">
        <w:t>—</w:t>
      </w:r>
      <w:r w:rsidR="00BD5B58">
        <w:t>the period and conditions applicable is something that the ACMA is seeking feedback on in this paper</w:t>
      </w:r>
      <w:r w:rsidR="00E907FD">
        <w:t>.</w:t>
      </w:r>
    </w:p>
    <w:p w14:paraId="1920A2F6" w14:textId="5612656A" w:rsidR="00F6354D" w:rsidRDefault="00F6354D" w:rsidP="00A37173">
      <w:pPr>
        <w:pStyle w:val="ListBullet"/>
        <w:numPr>
          <w:ilvl w:val="0"/>
          <w:numId w:val="0"/>
        </w:numPr>
        <w:spacing w:after="120"/>
      </w:pPr>
      <w:r>
        <w:t xml:space="preserve">While </w:t>
      </w:r>
      <w:r w:rsidR="006A77E4">
        <w:t>h</w:t>
      </w:r>
      <w:r>
        <w:t xml:space="preserve">igh </w:t>
      </w:r>
      <w:r w:rsidR="006A77E4">
        <w:t>a</w:t>
      </w:r>
      <w:r>
        <w:t xml:space="preserve">ltitude </w:t>
      </w:r>
      <w:r w:rsidR="006A77E4">
        <w:t>p</w:t>
      </w:r>
      <w:r>
        <w:t xml:space="preserve">latform </w:t>
      </w:r>
      <w:r w:rsidR="006A77E4">
        <w:t>s</w:t>
      </w:r>
      <w:r>
        <w:t>tations (HAPS) have been identified as a possible application in 28 GHz band, based on the interest and evidence supplied so far, the ACMA is not contemplating use of the band by HAPS at this time. Furthermore, WRC-19 agenda item 1.14 is still investigating additional identifications for</w:t>
      </w:r>
      <w:r w:rsidDel="005E78D3">
        <w:t xml:space="preserve"> </w:t>
      </w:r>
      <w:r>
        <w:t xml:space="preserve">HAPS in a variety of bands. Moving forward the ACMA will continue to monitor international and domestic developments for HAPS, including the outcomes of WRC-19, in the 28 GHz and other bands. Consideration of possible arrangements for HAPS will be progressed under a separate consultation process as demand and spectrum options become more certain. </w:t>
      </w:r>
    </w:p>
    <w:p w14:paraId="67BAB36C" w14:textId="21531A4E" w:rsidR="007268F0" w:rsidRDefault="000873B2" w:rsidP="00141C23">
      <w:pPr>
        <w:spacing w:before="120" w:after="120" w:line="240" w:lineRule="auto"/>
      </w:pPr>
      <w:r>
        <w:t>Considering</w:t>
      </w:r>
      <w:r w:rsidR="00BC65B7">
        <w:t xml:space="preserve"> the </w:t>
      </w:r>
      <w:r w:rsidR="00A63881">
        <w:t xml:space="preserve">preliminary </w:t>
      </w:r>
      <w:r w:rsidR="00C32AF6">
        <w:t>v</w:t>
      </w:r>
      <w:r w:rsidR="00BC65B7">
        <w:t>iews above, t</w:t>
      </w:r>
      <w:r w:rsidR="00C477EE">
        <w:t xml:space="preserve">he ACMA has identified </w:t>
      </w:r>
      <w:r w:rsidR="00400F1A">
        <w:t>O</w:t>
      </w:r>
      <w:r w:rsidR="00C477EE">
        <w:t xml:space="preserve">ptions 2 and 3 as </w:t>
      </w:r>
      <w:r w:rsidR="00DB5EC4">
        <w:t xml:space="preserve">its </w:t>
      </w:r>
      <w:r w:rsidR="00C477EE">
        <w:t xml:space="preserve">preferred options </w:t>
      </w:r>
      <w:r w:rsidR="00400F1A">
        <w:t>for the 28 GHz band</w:t>
      </w:r>
      <w:r w:rsidR="00492934">
        <w:t>.</w:t>
      </w:r>
      <w:r w:rsidR="00252E4C">
        <w:t xml:space="preserve"> </w:t>
      </w:r>
      <w:r w:rsidR="003E60D9">
        <w:t xml:space="preserve">Both options provide additional spectrum for </w:t>
      </w:r>
      <w:r w:rsidR="00C32AF6">
        <w:t xml:space="preserve">FWA and </w:t>
      </w:r>
      <w:r w:rsidR="003E60D9">
        <w:t xml:space="preserve">satellite usage, with </w:t>
      </w:r>
      <w:r w:rsidR="003E60D9" w:rsidRPr="00A37173">
        <w:t>t</w:t>
      </w:r>
      <w:r w:rsidR="00492934" w:rsidRPr="00A37173">
        <w:t xml:space="preserve">he key difference </w:t>
      </w:r>
      <w:r w:rsidR="00C32AF6">
        <w:t>being</w:t>
      </w:r>
      <w:r w:rsidR="00492934" w:rsidRPr="00A37173">
        <w:t xml:space="preserve"> whether future PTP services are accommodated in the band. Feedback on th</w:t>
      </w:r>
      <w:r w:rsidR="00F6354D">
        <w:t xml:space="preserve">e issues presented in this paper </w:t>
      </w:r>
      <w:r w:rsidR="00492934" w:rsidRPr="00A37173">
        <w:t xml:space="preserve">will help inform which identified option or variant best meets the objective of maximising the overall public benefit from use of the band.   </w:t>
      </w:r>
      <w:r w:rsidR="00DB5EC4">
        <w:t xml:space="preserve"> </w:t>
      </w:r>
      <w:bookmarkEnd w:id="5"/>
    </w:p>
    <w:p w14:paraId="55420A95" w14:textId="77777777" w:rsidR="00D342E6" w:rsidRPr="001E5818" w:rsidRDefault="00D342E6" w:rsidP="00AC6904"/>
    <w:p w14:paraId="4AE94E8C" w14:textId="77777777" w:rsidR="0052285A" w:rsidRPr="001E5818" w:rsidRDefault="0052285A" w:rsidP="00E61074">
      <w:pPr>
        <w:pStyle w:val="Heading1"/>
      </w:pPr>
      <w:bookmarkStart w:id="6" w:name="_Toc482886570"/>
      <w:bookmarkStart w:id="7" w:name="_Toc482886609"/>
      <w:bookmarkStart w:id="8" w:name="_Toc482888950"/>
      <w:bookmarkStart w:id="9" w:name="_Toc482891221"/>
      <w:bookmarkStart w:id="10" w:name="_Toc482891288"/>
      <w:bookmarkStart w:id="11" w:name="_Toc482956499"/>
      <w:bookmarkStart w:id="12" w:name="_Toc484011471"/>
      <w:bookmarkStart w:id="13" w:name="_Toc484511687"/>
      <w:bookmarkStart w:id="14" w:name="_Ref499540406"/>
      <w:bookmarkStart w:id="15" w:name="_Ref505694285"/>
      <w:bookmarkStart w:id="16" w:name="_Toc519765100"/>
      <w:bookmarkStart w:id="17" w:name="_Toc521585766"/>
      <w:bookmarkStart w:id="18" w:name="_Toc5000059"/>
      <w:r w:rsidRPr="001E5818">
        <w:lastRenderedPageBreak/>
        <w:t xml:space="preserve">Issues </w:t>
      </w:r>
      <w:r w:rsidRPr="00E61074">
        <w:t>for</w:t>
      </w:r>
      <w:r w:rsidRPr="001E5818">
        <w:t xml:space="preserve"> comment</w:t>
      </w:r>
      <w:bookmarkEnd w:id="6"/>
      <w:bookmarkEnd w:id="7"/>
      <w:bookmarkEnd w:id="8"/>
      <w:bookmarkEnd w:id="9"/>
      <w:bookmarkEnd w:id="10"/>
      <w:bookmarkEnd w:id="11"/>
      <w:bookmarkEnd w:id="12"/>
      <w:bookmarkEnd w:id="13"/>
      <w:bookmarkEnd w:id="14"/>
      <w:bookmarkEnd w:id="15"/>
      <w:bookmarkEnd w:id="16"/>
      <w:bookmarkEnd w:id="17"/>
      <w:bookmarkEnd w:id="18"/>
    </w:p>
    <w:p w14:paraId="2482D30F" w14:textId="77777777" w:rsidR="00807ABA" w:rsidRDefault="00807ABA" w:rsidP="00807ABA">
      <w:pPr>
        <w:spacing w:before="120" w:after="120" w:line="240" w:lineRule="auto"/>
      </w:pPr>
      <w:r>
        <w:t xml:space="preserve">The ACMA invites comments on the issues set out in this paper. </w:t>
      </w:r>
    </w:p>
    <w:p w14:paraId="7284AE51" w14:textId="7DD0F6B6" w:rsidR="0069108F" w:rsidRDefault="00807ABA" w:rsidP="005D3186">
      <w:pPr>
        <w:spacing w:before="120" w:line="240" w:lineRule="auto"/>
        <w:rPr>
          <w:i/>
        </w:rPr>
      </w:pPr>
      <w:r>
        <w:t xml:space="preserve">Specific questions are featured in the relevant sections of this paper and collated below. Details on making a submission can be found in the </w:t>
      </w:r>
      <w:r w:rsidR="00672B86">
        <w:rPr>
          <w:i/>
        </w:rPr>
        <w:t>Invitation to comment</w:t>
      </w:r>
      <w:r>
        <w:rPr>
          <w:i/>
        </w:rPr>
        <w:t xml:space="preserve"> </w:t>
      </w:r>
      <w:r>
        <w:t>section</w:t>
      </w:r>
      <w:r>
        <w:rPr>
          <w:i/>
        </w:rPr>
        <w:t xml:space="preserve"> </w:t>
      </w:r>
      <w:r>
        <w:t>at the end of this document</w:t>
      </w:r>
      <w:r>
        <w:rPr>
          <w:i/>
        </w:rPr>
        <w:t>.</w:t>
      </w:r>
    </w:p>
    <w:p w14:paraId="100E84C9" w14:textId="14056B1B" w:rsidR="0069108F" w:rsidRPr="00A05EC9" w:rsidRDefault="0069108F" w:rsidP="00E422B1">
      <w:pPr>
        <w:pStyle w:val="ListParagraph"/>
        <w:numPr>
          <w:ilvl w:val="0"/>
          <w:numId w:val="76"/>
        </w:numPr>
        <w:shd w:val="clear" w:color="auto" w:fill="F2F2F2" w:themeFill="background1" w:themeFillShade="F2"/>
        <w:spacing w:before="120" w:after="120" w:line="240" w:lineRule="auto"/>
        <w:ind w:left="426" w:hanging="426"/>
        <w:contextualSpacing w:val="0"/>
      </w:pPr>
      <w:bookmarkStart w:id="19" w:name="_Hlk4051665"/>
      <w:r>
        <w:rPr>
          <w:b/>
        </w:rPr>
        <w:t xml:space="preserve">Do stakeholders have comments or further views on </w:t>
      </w:r>
      <w:r w:rsidR="003C381A">
        <w:rPr>
          <w:b/>
        </w:rPr>
        <w:t xml:space="preserve">the services and </w:t>
      </w:r>
      <w:r>
        <w:rPr>
          <w:b/>
        </w:rPr>
        <w:t xml:space="preserve">planning issues discussed </w:t>
      </w:r>
      <w:r w:rsidR="003C381A">
        <w:rPr>
          <w:b/>
        </w:rPr>
        <w:t>for the 28 GHz band</w:t>
      </w:r>
      <w:r w:rsidRPr="00A05EC9">
        <w:rPr>
          <w:b/>
        </w:rPr>
        <w:t>?</w:t>
      </w:r>
    </w:p>
    <w:p w14:paraId="5A4FDE35" w14:textId="6C73102D" w:rsidR="00E907FD" w:rsidRPr="00E907FD" w:rsidRDefault="005B0D57" w:rsidP="00E422B1">
      <w:pPr>
        <w:pStyle w:val="ListParagraph"/>
        <w:numPr>
          <w:ilvl w:val="0"/>
          <w:numId w:val="76"/>
        </w:numPr>
        <w:shd w:val="clear" w:color="auto" w:fill="F2F2F2" w:themeFill="background1" w:themeFillShade="F2"/>
        <w:spacing w:before="120" w:after="120" w:line="240" w:lineRule="auto"/>
        <w:ind w:left="426" w:hanging="426"/>
        <w:contextualSpacing w:val="0"/>
      </w:pPr>
      <w:r w:rsidRPr="005B0D57">
        <w:rPr>
          <w:b/>
        </w:rPr>
        <w:t>If a decision was made to remove 28 GHz PTP arrangements, what is the minimum appropriate length of time to grandfather existing PTP licences?</w:t>
      </w:r>
    </w:p>
    <w:p w14:paraId="75EC9246" w14:textId="095A6974" w:rsidR="00E422B1" w:rsidRPr="00E907FD" w:rsidRDefault="00E422B1" w:rsidP="00E422B1">
      <w:pPr>
        <w:pStyle w:val="ListParagraph"/>
        <w:numPr>
          <w:ilvl w:val="0"/>
          <w:numId w:val="76"/>
        </w:numPr>
        <w:shd w:val="clear" w:color="auto" w:fill="F2F2F2" w:themeFill="background1" w:themeFillShade="F2"/>
        <w:spacing w:before="120" w:after="120" w:line="240" w:lineRule="auto"/>
        <w:ind w:left="426" w:hanging="426"/>
        <w:contextualSpacing w:val="0"/>
      </w:pPr>
      <w:r>
        <w:rPr>
          <w:b/>
        </w:rPr>
        <w:t xml:space="preserve">Are there any other </w:t>
      </w:r>
      <w:r w:rsidR="00C110E6">
        <w:rPr>
          <w:b/>
        </w:rPr>
        <w:t>conditions</w:t>
      </w:r>
      <w:r>
        <w:rPr>
          <w:b/>
        </w:rPr>
        <w:t xml:space="preserve"> that should be considered for PTP grandfathering?</w:t>
      </w:r>
    </w:p>
    <w:p w14:paraId="1808BC9C" w14:textId="71F439F9" w:rsidR="0069108F" w:rsidRPr="00AE77AE" w:rsidRDefault="0069108F" w:rsidP="00E422B1">
      <w:pPr>
        <w:pStyle w:val="ListParagraph"/>
        <w:numPr>
          <w:ilvl w:val="0"/>
          <w:numId w:val="76"/>
        </w:numPr>
        <w:shd w:val="clear" w:color="auto" w:fill="F2F2F2" w:themeFill="background1" w:themeFillShade="F2"/>
        <w:spacing w:before="120" w:after="120" w:line="240" w:lineRule="auto"/>
        <w:ind w:left="426" w:hanging="426"/>
        <w:contextualSpacing w:val="0"/>
        <w:rPr>
          <w:b/>
        </w:rPr>
      </w:pPr>
      <w:r>
        <w:rPr>
          <w:b/>
        </w:rPr>
        <w:t>Are there any other technical issues the ACMA should consider regarding the ability for WWB, FWA, PTP and FSS to share or coexist in the 28 GHz band</w:t>
      </w:r>
      <w:r w:rsidRPr="00C76440">
        <w:rPr>
          <w:b/>
        </w:rPr>
        <w:t>?</w:t>
      </w:r>
    </w:p>
    <w:p w14:paraId="3BCC6C69" w14:textId="77777777" w:rsidR="00C110E6" w:rsidRDefault="00C110E6" w:rsidP="00C110E6">
      <w:pPr>
        <w:pStyle w:val="ListParagraph"/>
        <w:numPr>
          <w:ilvl w:val="0"/>
          <w:numId w:val="76"/>
        </w:numPr>
        <w:shd w:val="clear" w:color="auto" w:fill="F2F2F2" w:themeFill="background1" w:themeFillShade="F2"/>
        <w:spacing w:before="120" w:after="120" w:line="240" w:lineRule="auto"/>
        <w:ind w:left="426" w:hanging="426"/>
        <w:contextualSpacing w:val="0"/>
        <w:rPr>
          <w:b/>
        </w:rPr>
      </w:pPr>
      <w:r>
        <w:rPr>
          <w:b/>
        </w:rPr>
        <w:t>Do stakeholders have comments on any of the options proposed in this section or other options to propose</w:t>
      </w:r>
      <w:r w:rsidRPr="00A05EC9">
        <w:rPr>
          <w:b/>
        </w:rPr>
        <w:t>?</w:t>
      </w:r>
    </w:p>
    <w:p w14:paraId="1AE54DA6" w14:textId="72AD4B1B" w:rsidR="00342B1A" w:rsidRDefault="00342B1A" w:rsidP="00E422B1">
      <w:pPr>
        <w:pStyle w:val="ListParagraph"/>
        <w:numPr>
          <w:ilvl w:val="0"/>
          <w:numId w:val="76"/>
        </w:numPr>
        <w:shd w:val="clear" w:color="auto" w:fill="F2F2F2" w:themeFill="background1" w:themeFillShade="F2"/>
        <w:spacing w:before="120" w:after="120" w:line="240" w:lineRule="auto"/>
        <w:ind w:left="426" w:hanging="426"/>
        <w:contextualSpacing w:val="0"/>
        <w:rPr>
          <w:b/>
        </w:rPr>
      </w:pPr>
      <w:r>
        <w:rPr>
          <w:b/>
        </w:rPr>
        <w:t>Is the definition of ‘large population centres’ (as described in Appendix A), suitable for application in Options 1a, 1b, 2 and 3?</w:t>
      </w:r>
    </w:p>
    <w:p w14:paraId="60A446E4" w14:textId="77BFACDF" w:rsidR="00C110E6" w:rsidRPr="00AE77AE" w:rsidRDefault="00C110E6" w:rsidP="00BB6F4A">
      <w:pPr>
        <w:pStyle w:val="ListParagraph"/>
        <w:numPr>
          <w:ilvl w:val="0"/>
          <w:numId w:val="76"/>
        </w:numPr>
        <w:shd w:val="clear" w:color="auto" w:fill="F2F2F2" w:themeFill="background1" w:themeFillShade="F2"/>
        <w:spacing w:before="120" w:after="120" w:line="240" w:lineRule="auto"/>
        <w:ind w:left="426" w:hanging="426"/>
        <w:contextualSpacing w:val="0"/>
        <w:rPr>
          <w:b/>
        </w:rPr>
      </w:pPr>
      <w:r>
        <w:rPr>
          <w:b/>
        </w:rPr>
        <w:t>Do stakeholders have any comments on the assessment of each option against the Spectrum Management Principles</w:t>
      </w:r>
      <w:r w:rsidRPr="00A05EC9">
        <w:rPr>
          <w:b/>
        </w:rPr>
        <w:t>?</w:t>
      </w:r>
    </w:p>
    <w:p w14:paraId="07BE558C" w14:textId="50A03271" w:rsidR="00C110E6" w:rsidRPr="00BB6F4A" w:rsidRDefault="00C110E6" w:rsidP="00BB6F4A">
      <w:pPr>
        <w:pStyle w:val="ListParagraph"/>
        <w:numPr>
          <w:ilvl w:val="0"/>
          <w:numId w:val="76"/>
        </w:numPr>
        <w:shd w:val="clear" w:color="auto" w:fill="F2F2F2" w:themeFill="background1" w:themeFillShade="F2"/>
        <w:spacing w:before="120" w:after="120" w:line="240" w:lineRule="auto"/>
        <w:ind w:left="426" w:hanging="426"/>
        <w:contextualSpacing w:val="0"/>
        <w:rPr>
          <w:b/>
        </w:rPr>
      </w:pPr>
      <w:r>
        <w:rPr>
          <w:b/>
        </w:rPr>
        <w:t>Is</w:t>
      </w:r>
      <w:r w:rsidRPr="00C76440">
        <w:rPr>
          <w:b/>
        </w:rPr>
        <w:t xml:space="preserve"> there any relevant </w:t>
      </w:r>
      <w:r>
        <w:rPr>
          <w:b/>
        </w:rPr>
        <w:t>evidence</w:t>
      </w:r>
      <w:r w:rsidRPr="00C76440">
        <w:rPr>
          <w:b/>
        </w:rPr>
        <w:t xml:space="preserve"> that provide</w:t>
      </w:r>
      <w:r>
        <w:rPr>
          <w:b/>
        </w:rPr>
        <w:t>s</w:t>
      </w:r>
      <w:r w:rsidRPr="00C76440">
        <w:rPr>
          <w:b/>
        </w:rPr>
        <w:t xml:space="preserve"> an indication of the value the WWB sector places on additional spectrum in th</w:t>
      </w:r>
      <w:r>
        <w:rPr>
          <w:b/>
        </w:rPr>
        <w:t xml:space="preserve">e 28GHz </w:t>
      </w:r>
      <w:r w:rsidRPr="00C76440">
        <w:rPr>
          <w:b/>
        </w:rPr>
        <w:t>band</w:t>
      </w:r>
      <w:r w:rsidRPr="00A05EC9">
        <w:rPr>
          <w:b/>
        </w:rPr>
        <w:t>?</w:t>
      </w:r>
    </w:p>
    <w:p w14:paraId="464B44FC" w14:textId="45222A59" w:rsidR="00C110E6" w:rsidRPr="00BB6F4A" w:rsidRDefault="00C110E6" w:rsidP="00BB6F4A">
      <w:pPr>
        <w:pStyle w:val="ListParagraph"/>
        <w:numPr>
          <w:ilvl w:val="0"/>
          <w:numId w:val="76"/>
        </w:numPr>
        <w:shd w:val="clear" w:color="auto" w:fill="F2F2F2" w:themeFill="background1" w:themeFillShade="F2"/>
        <w:spacing w:before="120" w:after="120" w:line="240" w:lineRule="auto"/>
        <w:ind w:left="426" w:hanging="426"/>
        <w:contextualSpacing w:val="0"/>
        <w:rPr>
          <w:b/>
        </w:rPr>
      </w:pPr>
      <w:r>
        <w:rPr>
          <w:b/>
        </w:rPr>
        <w:t>Is</w:t>
      </w:r>
      <w:r w:rsidRPr="0069108F">
        <w:rPr>
          <w:b/>
        </w:rPr>
        <w:t xml:space="preserve"> there any relevant </w:t>
      </w:r>
      <w:r>
        <w:rPr>
          <w:b/>
        </w:rPr>
        <w:t xml:space="preserve">evidence </w:t>
      </w:r>
      <w:r w:rsidRPr="0069108F">
        <w:rPr>
          <w:b/>
        </w:rPr>
        <w:t>that provide</w:t>
      </w:r>
      <w:r>
        <w:rPr>
          <w:b/>
        </w:rPr>
        <w:t>s</w:t>
      </w:r>
      <w:r w:rsidRPr="0069108F">
        <w:rPr>
          <w:b/>
        </w:rPr>
        <w:t xml:space="preserve"> an indication of the value the FWA sector places on additional spectrum in this band?</w:t>
      </w:r>
    </w:p>
    <w:p w14:paraId="50A250F0" w14:textId="77777777" w:rsidR="00BB6F4A" w:rsidRPr="00BB6F4A" w:rsidRDefault="00BB6F4A" w:rsidP="00BB6F4A">
      <w:pPr>
        <w:pStyle w:val="ListParagraph"/>
        <w:numPr>
          <w:ilvl w:val="0"/>
          <w:numId w:val="76"/>
        </w:numPr>
        <w:shd w:val="clear" w:color="auto" w:fill="F2F2F2" w:themeFill="background1" w:themeFillShade="F2"/>
        <w:spacing w:before="120" w:after="120" w:line="240" w:lineRule="auto"/>
        <w:ind w:left="426" w:hanging="426"/>
        <w:contextualSpacing w:val="0"/>
        <w:rPr>
          <w:b/>
        </w:rPr>
      </w:pPr>
      <w:bookmarkStart w:id="20" w:name="_Toc482886571"/>
      <w:bookmarkStart w:id="21" w:name="_Toc482886610"/>
      <w:bookmarkStart w:id="22" w:name="_Toc482888951"/>
      <w:bookmarkStart w:id="23" w:name="_Toc482891222"/>
      <w:bookmarkStart w:id="24" w:name="_Toc482891289"/>
      <w:bookmarkStart w:id="25" w:name="_Toc482956500"/>
      <w:bookmarkStart w:id="26" w:name="_Toc484011472"/>
      <w:bookmarkStart w:id="27" w:name="_Toc484511688"/>
      <w:bookmarkStart w:id="28" w:name="_Toc519765101"/>
      <w:bookmarkStart w:id="29" w:name="_Toc521585767"/>
      <w:bookmarkEnd w:id="19"/>
      <w:r w:rsidRPr="0069108F">
        <w:rPr>
          <w:b/>
        </w:rPr>
        <w:t xml:space="preserve">What value do PTP operators place on having access to 112 MHz channels? If similar arrangements could be implemented in the 38 GHz band, would they be a suitable replacement for the 28 GHz band? </w:t>
      </w:r>
    </w:p>
    <w:p w14:paraId="0D930F44" w14:textId="4ABF70D2" w:rsidR="00BB6F4A" w:rsidRPr="00BB6F4A" w:rsidRDefault="00BB6F4A" w:rsidP="00BB6F4A">
      <w:pPr>
        <w:pStyle w:val="ListParagraph"/>
        <w:numPr>
          <w:ilvl w:val="0"/>
          <w:numId w:val="76"/>
        </w:numPr>
        <w:shd w:val="clear" w:color="auto" w:fill="F2F2F2" w:themeFill="background1" w:themeFillShade="F2"/>
        <w:spacing w:before="120" w:after="120" w:line="240" w:lineRule="auto"/>
        <w:ind w:left="426" w:hanging="426"/>
        <w:contextualSpacing w:val="0"/>
        <w:rPr>
          <w:b/>
        </w:rPr>
      </w:pPr>
      <w:r>
        <w:rPr>
          <w:b/>
        </w:rPr>
        <w:t>Is</w:t>
      </w:r>
      <w:r w:rsidRPr="0069108F">
        <w:rPr>
          <w:b/>
        </w:rPr>
        <w:t xml:space="preserve"> there any </w:t>
      </w:r>
      <w:r>
        <w:rPr>
          <w:b/>
        </w:rPr>
        <w:t>evidence</w:t>
      </w:r>
      <w:r w:rsidRPr="0069108F">
        <w:rPr>
          <w:b/>
        </w:rPr>
        <w:t xml:space="preserve"> that provide</w:t>
      </w:r>
      <w:r>
        <w:rPr>
          <w:b/>
        </w:rPr>
        <w:t>s</w:t>
      </w:r>
      <w:r w:rsidRPr="0069108F">
        <w:rPr>
          <w:b/>
        </w:rPr>
        <w:t xml:space="preserve"> an indication of the value the PTP sector places on maintaining access to this band?</w:t>
      </w:r>
    </w:p>
    <w:p w14:paraId="6C312ACE" w14:textId="77777777" w:rsidR="00BB6F4A" w:rsidRPr="00BB6F4A" w:rsidRDefault="00BB6F4A" w:rsidP="00BB6F4A">
      <w:pPr>
        <w:pStyle w:val="ListParagraph"/>
        <w:numPr>
          <w:ilvl w:val="0"/>
          <w:numId w:val="76"/>
        </w:numPr>
        <w:shd w:val="clear" w:color="auto" w:fill="F2F2F2" w:themeFill="background1" w:themeFillShade="F2"/>
        <w:spacing w:before="120" w:after="120" w:line="240" w:lineRule="auto"/>
        <w:ind w:left="426" w:hanging="426"/>
        <w:contextualSpacing w:val="0"/>
        <w:rPr>
          <w:b/>
        </w:rPr>
      </w:pPr>
      <w:r>
        <w:rPr>
          <w:b/>
        </w:rPr>
        <w:t xml:space="preserve">Is </w:t>
      </w:r>
      <w:r w:rsidRPr="0069108F">
        <w:rPr>
          <w:b/>
        </w:rPr>
        <w:t xml:space="preserve">there any </w:t>
      </w:r>
      <w:r>
        <w:rPr>
          <w:b/>
        </w:rPr>
        <w:t xml:space="preserve">evidence </w:t>
      </w:r>
      <w:r w:rsidRPr="0069108F">
        <w:rPr>
          <w:b/>
        </w:rPr>
        <w:t>that provide</w:t>
      </w:r>
      <w:r>
        <w:rPr>
          <w:b/>
        </w:rPr>
        <w:t>s</w:t>
      </w:r>
      <w:r w:rsidRPr="0069108F">
        <w:rPr>
          <w:b/>
        </w:rPr>
        <w:t xml:space="preserve"> an indication of the value the FSS sector places on access to this band?</w:t>
      </w:r>
    </w:p>
    <w:p w14:paraId="6790DA1B" w14:textId="6B5278C3" w:rsidR="00BB6F4A" w:rsidRPr="00BB6F4A" w:rsidRDefault="00BB6F4A" w:rsidP="00BB6F4A">
      <w:pPr>
        <w:pStyle w:val="ListParagraph"/>
        <w:numPr>
          <w:ilvl w:val="0"/>
          <w:numId w:val="76"/>
        </w:numPr>
        <w:shd w:val="clear" w:color="auto" w:fill="F2F2F2" w:themeFill="background1" w:themeFillShade="F2"/>
        <w:spacing w:before="120" w:after="120" w:line="240" w:lineRule="auto"/>
        <w:ind w:left="426" w:hanging="426"/>
        <w:contextualSpacing w:val="0"/>
        <w:rPr>
          <w:b/>
        </w:rPr>
      </w:pPr>
      <w:r>
        <w:rPr>
          <w:b/>
        </w:rPr>
        <w:t>The ACMA invites comment on its currently preferred options. Should other options be considered?</w:t>
      </w:r>
    </w:p>
    <w:p w14:paraId="557E6B05" w14:textId="6F8EF8C0" w:rsidR="0052285A" w:rsidRPr="00A05EC9" w:rsidRDefault="0052285A" w:rsidP="00E61074">
      <w:pPr>
        <w:pStyle w:val="Heading1"/>
      </w:pPr>
      <w:bookmarkStart w:id="30" w:name="_Toc5000060"/>
      <w:r w:rsidRPr="00A05EC9">
        <w:lastRenderedPageBreak/>
        <w:t>Introduction</w:t>
      </w:r>
      <w:bookmarkEnd w:id="20"/>
      <w:bookmarkEnd w:id="21"/>
      <w:bookmarkEnd w:id="22"/>
      <w:bookmarkEnd w:id="23"/>
      <w:bookmarkEnd w:id="24"/>
      <w:bookmarkEnd w:id="25"/>
      <w:bookmarkEnd w:id="26"/>
      <w:bookmarkEnd w:id="27"/>
      <w:bookmarkEnd w:id="28"/>
      <w:bookmarkEnd w:id="29"/>
      <w:bookmarkEnd w:id="30"/>
      <w:r w:rsidRPr="00A05EC9">
        <w:t xml:space="preserve"> </w:t>
      </w:r>
    </w:p>
    <w:p w14:paraId="59BCB02C" w14:textId="77777777" w:rsidR="00CA3463" w:rsidRPr="00A05EC9" w:rsidRDefault="00CA3463" w:rsidP="00CA3463">
      <w:pPr>
        <w:pStyle w:val="Heading2"/>
      </w:pPr>
      <w:bookmarkStart w:id="31" w:name="_Toc5000061"/>
      <w:r w:rsidRPr="00A05EC9">
        <w:t>Purpose of this paper</w:t>
      </w:r>
      <w:bookmarkEnd w:id="31"/>
    </w:p>
    <w:p w14:paraId="36FB9C9B" w14:textId="5CCCDD8A" w:rsidR="00CA3463" w:rsidRDefault="00CA3463" w:rsidP="00A37173">
      <w:pPr>
        <w:spacing w:after="120"/>
      </w:pPr>
      <w:r>
        <w:t xml:space="preserve">In September 2018, the ACMA released a </w:t>
      </w:r>
      <w:hyperlink r:id="rId26" w:history="1">
        <w:r w:rsidRPr="00935829">
          <w:rPr>
            <w:rStyle w:val="Hyperlink"/>
          </w:rPr>
          <w:t>discussion paper</w:t>
        </w:r>
      </w:hyperlink>
      <w:r w:rsidRPr="006C2CD5">
        <w:t xml:space="preserve"> </w:t>
      </w:r>
      <w:r w:rsidRPr="009910D8">
        <w:t>identifying</w:t>
      </w:r>
      <w:r w:rsidRPr="006C2CD5">
        <w:t xml:space="preserve"> domestic and international considerations for the </w:t>
      </w:r>
      <w:r>
        <w:t>27.5</w:t>
      </w:r>
      <w:r w:rsidR="00935829">
        <w:t>–</w:t>
      </w:r>
      <w:r>
        <w:t>29.5 GHz (</w:t>
      </w:r>
      <w:r w:rsidRPr="009910D8">
        <w:t>28 GHz</w:t>
      </w:r>
      <w:r>
        <w:t>)</w:t>
      </w:r>
      <w:r w:rsidRPr="009910D8">
        <w:t xml:space="preserve"> </w:t>
      </w:r>
      <w:r w:rsidRPr="006C2CD5">
        <w:t>band</w:t>
      </w:r>
      <w:r>
        <w:t xml:space="preserve">, and invited  comment on </w:t>
      </w:r>
      <w:r w:rsidR="00763F57">
        <w:t xml:space="preserve">possible changes in </w:t>
      </w:r>
      <w:r w:rsidR="0065685E">
        <w:t>planning arrangements</w:t>
      </w:r>
      <w:r w:rsidR="00763F57">
        <w:t xml:space="preserve"> </w:t>
      </w:r>
      <w:r>
        <w:t xml:space="preserve">for the band. The consultation closed in November 2018, with 24 submissions being received. An outcome of the September 2018 paper is that the ACMA has progressed consideration of the 28 GHz band to the </w:t>
      </w:r>
      <w:r w:rsidR="00EA4B07" w:rsidRPr="001B1339">
        <w:t>‘</w:t>
      </w:r>
      <w:r w:rsidR="0084717E">
        <w:t>p</w:t>
      </w:r>
      <w:r w:rsidRPr="005D3186">
        <w:t xml:space="preserve">reliminary </w:t>
      </w:r>
      <w:r w:rsidR="0084717E">
        <w:t>r</w:t>
      </w:r>
      <w:r w:rsidRPr="005D3186">
        <w:t>eplanning</w:t>
      </w:r>
      <w:r w:rsidR="00EA4B07">
        <w:t>’</w:t>
      </w:r>
      <w:r>
        <w:t xml:space="preserve"> stage of its </w:t>
      </w:r>
      <w:r w:rsidR="00835EDA">
        <w:t xml:space="preserve">planning </w:t>
      </w:r>
      <w:r>
        <w:t>process.</w:t>
      </w:r>
    </w:p>
    <w:p w14:paraId="69299587" w14:textId="69E4DE49" w:rsidR="00CA3463" w:rsidRPr="00A05EC9" w:rsidRDefault="00CA3463" w:rsidP="00A37173">
      <w:pPr>
        <w:spacing w:after="120"/>
      </w:pPr>
      <w:r>
        <w:t>This paper presents the next step in the ACMA’s consultation process for reviewing arrangements in a band</w:t>
      </w:r>
      <w:r>
        <w:rPr>
          <w:rStyle w:val="FootnoteReference"/>
        </w:rPr>
        <w:footnoteReference w:id="3"/>
      </w:r>
      <w:r w:rsidR="00835EDA">
        <w:t>. It</w:t>
      </w:r>
      <w:r>
        <w:t xml:space="preserve"> </w:t>
      </w:r>
      <w:r w:rsidR="00835EDA" w:rsidRPr="00A05EC9">
        <w:t xml:space="preserve">presents high-level options for replanning and allocating </w:t>
      </w:r>
      <w:r w:rsidR="00835EDA">
        <w:t xml:space="preserve">services in </w:t>
      </w:r>
      <w:r w:rsidR="00835EDA" w:rsidRPr="00A05EC9">
        <w:t>the 2</w:t>
      </w:r>
      <w:r w:rsidR="00835EDA">
        <w:t>8 </w:t>
      </w:r>
      <w:r w:rsidR="00835EDA" w:rsidRPr="00A05EC9">
        <w:t>GHz band</w:t>
      </w:r>
      <w:r w:rsidR="00835EDA">
        <w:t>, taking into account information received in submissions to the September 2018 paper</w:t>
      </w:r>
      <w:r w:rsidR="0065685E">
        <w:t xml:space="preserve"> and the outcomes of the 26 GHz band review process</w:t>
      </w:r>
      <w:r w:rsidDel="007D5E12">
        <w:t>.</w:t>
      </w:r>
      <w:r>
        <w:t xml:space="preserve"> </w:t>
      </w:r>
      <w:r w:rsidR="00873FA1">
        <w:t>Options have also been assessed against the ACMA’s Spectrum Management Principles</w:t>
      </w:r>
      <w:r w:rsidR="002D752B">
        <w:t>. This was done</w:t>
      </w:r>
      <w:r w:rsidRPr="00A05EC9">
        <w:t xml:space="preserve"> to </w:t>
      </w:r>
      <w:r w:rsidR="00835EDA">
        <w:t>determine</w:t>
      </w:r>
      <w:r w:rsidRPr="00A05EC9">
        <w:t xml:space="preserve"> which </w:t>
      </w:r>
      <w:r w:rsidR="00835EDA">
        <w:t>option</w:t>
      </w:r>
      <w:r w:rsidR="002D752B">
        <w:t xml:space="preserve"> or options</w:t>
      </w:r>
      <w:r w:rsidR="00575969">
        <w:t xml:space="preserve"> </w:t>
      </w:r>
      <w:r w:rsidRPr="00A05EC9">
        <w:t>best satisf</w:t>
      </w:r>
      <w:r w:rsidR="00575969">
        <w:t>ies</w:t>
      </w:r>
      <w:r w:rsidRPr="00A05EC9">
        <w:t xml:space="preserve"> those principles</w:t>
      </w:r>
      <w:r w:rsidR="00575969">
        <w:t xml:space="preserve"> </w:t>
      </w:r>
      <w:r w:rsidR="00DB77B5">
        <w:t>and</w:t>
      </w:r>
      <w:r w:rsidR="00575969">
        <w:t xml:space="preserve"> </w:t>
      </w:r>
      <w:r w:rsidRPr="00A05EC9">
        <w:t xml:space="preserve">inform </w:t>
      </w:r>
      <w:r w:rsidR="002D752B">
        <w:t xml:space="preserve">the </w:t>
      </w:r>
      <w:r w:rsidRPr="00A05EC9">
        <w:t>ACMA</w:t>
      </w:r>
      <w:r w:rsidR="002D752B">
        <w:t>’s</w:t>
      </w:r>
      <w:r w:rsidRPr="00A05EC9">
        <w:t xml:space="preserve"> preferred</w:t>
      </w:r>
      <w:r w:rsidR="002D752B">
        <w:t xml:space="preserve"> way forward</w:t>
      </w:r>
      <w:r w:rsidRPr="00A05EC9">
        <w:t xml:space="preserve">. </w:t>
      </w:r>
    </w:p>
    <w:p w14:paraId="7DA171E2" w14:textId="2584A2EA" w:rsidR="0052285A" w:rsidRPr="00F27DB4" w:rsidRDefault="00575969" w:rsidP="00466512">
      <w:r>
        <w:t xml:space="preserve">Comment is invited on the options, including preferred options, </w:t>
      </w:r>
      <w:r w:rsidR="002D752B">
        <w:t xml:space="preserve">presented in this paper </w:t>
      </w:r>
      <w:r>
        <w:t xml:space="preserve">to </w:t>
      </w:r>
      <w:r w:rsidR="00CA3463" w:rsidRPr="00A05EC9">
        <w:t xml:space="preserve">inform </w:t>
      </w:r>
      <w:r w:rsidR="0065685E">
        <w:t xml:space="preserve">possible </w:t>
      </w:r>
      <w:r w:rsidR="00CA3463" w:rsidRPr="00A05EC9">
        <w:t>progression of the</w:t>
      </w:r>
      <w:r w:rsidR="00CA3463">
        <w:t xml:space="preserve"> 28 GHz</w:t>
      </w:r>
      <w:r w:rsidR="00CA3463" w:rsidRPr="00A05EC9">
        <w:t xml:space="preserve"> ban</w:t>
      </w:r>
      <w:r w:rsidR="00CA3463">
        <w:t xml:space="preserve">d to the </w:t>
      </w:r>
      <w:r w:rsidR="00B75FA7">
        <w:t>‘</w:t>
      </w:r>
      <w:r w:rsidR="00CA3463" w:rsidRPr="005D3186">
        <w:t>replanning</w:t>
      </w:r>
      <w:r w:rsidR="00B75FA7">
        <w:t>’</w:t>
      </w:r>
      <w:r w:rsidR="00CA3463">
        <w:t xml:space="preserve"> stage</w:t>
      </w:r>
      <w:r w:rsidR="00CA3463" w:rsidRPr="00A05EC9">
        <w:t>.</w:t>
      </w:r>
    </w:p>
    <w:p w14:paraId="1E4E3017" w14:textId="77777777" w:rsidR="002D2B71" w:rsidRPr="00F1614D" w:rsidRDefault="002D2B71" w:rsidP="002D2B71">
      <w:pPr>
        <w:pStyle w:val="Heading2"/>
      </w:pPr>
      <w:bookmarkStart w:id="32" w:name="_Toc457809930"/>
      <w:bookmarkStart w:id="33" w:name="_Ref461109606"/>
      <w:bookmarkStart w:id="34" w:name="_Toc466017060"/>
      <w:bookmarkStart w:id="35" w:name="_Toc468438955"/>
      <w:bookmarkStart w:id="36" w:name="_Toc468705310"/>
      <w:bookmarkStart w:id="37" w:name="_Ref498078173"/>
      <w:bookmarkStart w:id="38" w:name="_Ref498436813"/>
      <w:bookmarkStart w:id="39" w:name="_Toc519765102"/>
      <w:bookmarkStart w:id="40" w:name="_Toc521585768"/>
      <w:bookmarkStart w:id="41" w:name="_Toc525132230"/>
      <w:bookmarkStart w:id="42" w:name="_Toc5000062"/>
      <w:bookmarkStart w:id="43" w:name="_Ref517343910"/>
      <w:bookmarkStart w:id="44" w:name="_Toc519765104"/>
      <w:bookmarkStart w:id="45" w:name="_Toc521585770"/>
      <w:bookmarkStart w:id="46" w:name="_Toc482886573"/>
      <w:bookmarkStart w:id="47" w:name="_Toc482886614"/>
      <w:bookmarkStart w:id="48" w:name="_Toc482888955"/>
      <w:bookmarkStart w:id="49" w:name="_Toc482891226"/>
      <w:bookmarkStart w:id="50" w:name="_Toc482891293"/>
      <w:bookmarkStart w:id="51" w:name="_Toc482956502"/>
      <w:bookmarkStart w:id="52" w:name="_Toc484011474"/>
      <w:bookmarkStart w:id="53" w:name="_Toc484511690"/>
      <w:bookmarkStart w:id="54" w:name="_Toc459906709"/>
      <w:bookmarkStart w:id="55" w:name="_Toc464480503"/>
      <w:r w:rsidRPr="00F1614D">
        <w:t>Legislative and policy environment</w:t>
      </w:r>
      <w:bookmarkEnd w:id="32"/>
      <w:bookmarkEnd w:id="33"/>
      <w:bookmarkEnd w:id="34"/>
      <w:bookmarkEnd w:id="35"/>
      <w:bookmarkEnd w:id="36"/>
      <w:bookmarkEnd w:id="37"/>
      <w:bookmarkEnd w:id="38"/>
      <w:bookmarkEnd w:id="39"/>
      <w:bookmarkEnd w:id="40"/>
      <w:bookmarkEnd w:id="41"/>
      <w:bookmarkEnd w:id="42"/>
    </w:p>
    <w:p w14:paraId="3897A3EB" w14:textId="7C915777" w:rsidR="00836FD8" w:rsidRDefault="002D2B71" w:rsidP="002D2B71">
      <w:r>
        <w:t>Managing spectrum efficiently and effectively for the benefit of all Australians is a key priority for the ACMA</w:t>
      </w:r>
      <w:r w:rsidRPr="004F5C32">
        <w:rPr>
          <w:vertAlign w:val="superscript"/>
        </w:rPr>
        <w:footnoteReference w:id="4"/>
      </w:r>
      <w:r>
        <w:t>.</w:t>
      </w:r>
      <w:r w:rsidRPr="00A30CFC">
        <w:t xml:space="preserve"> </w:t>
      </w:r>
      <w:r>
        <w:t xml:space="preserve">The ACMA draws on a range of legislative and administrative tools and overarching guidance in executing these functions. </w:t>
      </w:r>
    </w:p>
    <w:p w14:paraId="2C7845BD" w14:textId="77777777" w:rsidR="002D2B71" w:rsidRPr="00A05EC9" w:rsidRDefault="002D2B71" w:rsidP="002D2B71">
      <w:pPr>
        <w:pStyle w:val="Heading3"/>
      </w:pPr>
      <w:r w:rsidRPr="00A05EC9">
        <w:t xml:space="preserve">Guiding </w:t>
      </w:r>
      <w:r w:rsidRPr="00F1614D">
        <w:t>legislation</w:t>
      </w:r>
    </w:p>
    <w:p w14:paraId="1D18358F" w14:textId="77777777" w:rsidR="002D2B71" w:rsidRPr="00A05EC9" w:rsidRDefault="002D2B71" w:rsidP="002D2B71">
      <w:pPr>
        <w:spacing w:after="80"/>
      </w:pPr>
      <w:r w:rsidRPr="00A05EC9">
        <w:t xml:space="preserve">Section 9 of the </w:t>
      </w:r>
      <w:r w:rsidRPr="00A05EC9">
        <w:rPr>
          <w:i/>
        </w:rPr>
        <w:t>Australian Communications and Media Authority Act 2005</w:t>
      </w:r>
      <w:r w:rsidRPr="00A05EC9">
        <w:t xml:space="preserve"> (ACMA Act) sets out the spectrum management functions of the ACMA, including to:</w:t>
      </w:r>
    </w:p>
    <w:p w14:paraId="44CB76E1" w14:textId="599FB299" w:rsidR="002D2B71" w:rsidRPr="00A05EC9" w:rsidRDefault="002D2B71" w:rsidP="002D2B71">
      <w:pPr>
        <w:pStyle w:val="ListBullet"/>
      </w:pPr>
      <w:r w:rsidRPr="00A05EC9">
        <w:t xml:space="preserve">manage the radiofrequency spectrum in accordance with the </w:t>
      </w:r>
      <w:r>
        <w:t>Act</w:t>
      </w:r>
    </w:p>
    <w:p w14:paraId="4C9C7DF7" w14:textId="77777777" w:rsidR="002D2B71" w:rsidRPr="00A05EC9" w:rsidRDefault="002D2B71" w:rsidP="00A37173">
      <w:pPr>
        <w:pStyle w:val="ListBulletLast"/>
        <w:spacing w:after="120"/>
      </w:pPr>
      <w:r w:rsidRPr="00A05EC9">
        <w:t>advise and assist the radiocommunications community.</w:t>
      </w:r>
    </w:p>
    <w:p w14:paraId="2A99399C" w14:textId="2B5C108D" w:rsidR="002D2B71" w:rsidRPr="001E5818" w:rsidRDefault="002D2B71" w:rsidP="00A37173">
      <w:pPr>
        <w:spacing w:before="240" w:after="120"/>
      </w:pPr>
      <w:r w:rsidRPr="00A05EC9">
        <w:t xml:space="preserve">Consistent with the spectrum management functions set out in the ACMA Act, the object of the </w:t>
      </w:r>
      <w:r w:rsidR="002A6019" w:rsidRPr="002F3B34">
        <w:rPr>
          <w:i/>
        </w:rPr>
        <w:t>Radiocommunications Act 199</w:t>
      </w:r>
      <w:r w:rsidR="00015152" w:rsidRPr="002F3B34">
        <w:rPr>
          <w:i/>
        </w:rPr>
        <w:t>2</w:t>
      </w:r>
      <w:r w:rsidR="002A6019">
        <w:t xml:space="preserve"> (the </w:t>
      </w:r>
      <w:r w:rsidRPr="00A05EC9">
        <w:t>Act</w:t>
      </w:r>
      <w:r w:rsidR="002A6019">
        <w:t>)</w:t>
      </w:r>
      <w:r w:rsidRPr="00A05EC9">
        <w:t xml:space="preserve"> is to provide for management of the radiofrequency spectrum in order to (among other goals)</w:t>
      </w:r>
      <w:r w:rsidRPr="001E5818">
        <w:t>:</w:t>
      </w:r>
    </w:p>
    <w:p w14:paraId="5343D715" w14:textId="2C33C5AD" w:rsidR="002D2B71" w:rsidRPr="00A05EC9" w:rsidRDefault="002D2B71" w:rsidP="002D2B71">
      <w:pPr>
        <w:pStyle w:val="ListBullet"/>
      </w:pPr>
      <w:r w:rsidRPr="00A05EC9">
        <w:t>maximise</w:t>
      </w:r>
      <w:r w:rsidR="001F1C0D">
        <w:t>—</w:t>
      </w:r>
      <w:r w:rsidRPr="00A05EC9">
        <w:t>by ensuring the efficient allocation and use of the spectrum</w:t>
      </w:r>
      <w:r w:rsidR="001F1C0D">
        <w:t>—</w:t>
      </w:r>
      <w:r w:rsidRPr="00A05EC9">
        <w:t>the overall public benefit derived from using the radiofrequency spectrum</w:t>
      </w:r>
    </w:p>
    <w:p w14:paraId="6C9F306B" w14:textId="59334434" w:rsidR="002D2B71" w:rsidRPr="005E6D37" w:rsidRDefault="002D2B71" w:rsidP="002D2B71">
      <w:pPr>
        <w:pStyle w:val="ListBullet"/>
      </w:pPr>
      <w:r w:rsidRPr="005E6D37">
        <w:t>provide a responsive and flexible approach to meeting the needs of spectrum</w:t>
      </w:r>
      <w:r w:rsidR="00CF5B2F">
        <w:t xml:space="preserve"> users</w:t>
      </w:r>
    </w:p>
    <w:p w14:paraId="32117960" w14:textId="5E938859" w:rsidR="002D2B71" w:rsidRPr="00A05EC9" w:rsidRDefault="002D2B71" w:rsidP="00745AD1">
      <w:pPr>
        <w:pStyle w:val="ListBulletLast"/>
        <w:spacing w:after="80"/>
      </w:pPr>
      <w:r w:rsidRPr="00F26E80">
        <w:t>encourage the use of efficient radiocommunic</w:t>
      </w:r>
      <w:r w:rsidRPr="00A05EC9">
        <w:t xml:space="preserve">ation technologies so that a wide range of services of an adequate quality </w:t>
      </w:r>
      <w:r w:rsidRPr="006F4ED7">
        <w:t>can be provided</w:t>
      </w:r>
    </w:p>
    <w:p w14:paraId="1DF781CE" w14:textId="77777777" w:rsidR="00836FD8" w:rsidRPr="00A37173" w:rsidRDefault="00836FD8" w:rsidP="00A37173">
      <w:pPr>
        <w:pStyle w:val="ListBullet"/>
        <w:spacing w:after="120"/>
      </w:pPr>
      <w:r w:rsidRPr="00A37173">
        <w:t>support the communications policy objectives of the Commonwealth Government.</w:t>
      </w:r>
    </w:p>
    <w:p w14:paraId="1C9119A9" w14:textId="23ADCA7E" w:rsidR="00DE029B" w:rsidRDefault="00836FD8" w:rsidP="005D3186">
      <w:pPr>
        <w:pStyle w:val="ListBullet"/>
        <w:keepNext/>
        <w:keepLines/>
        <w:numPr>
          <w:ilvl w:val="0"/>
          <w:numId w:val="0"/>
        </w:numPr>
        <w:spacing w:before="240"/>
      </w:pPr>
      <w:r w:rsidRPr="00A37173">
        <w:lastRenderedPageBreak/>
        <w:t xml:space="preserve">The decisions and undertakings set out in this paper are consistent with these goals. Specifically, regarding the latter goal, enabling access to the band </w:t>
      </w:r>
      <w:r w:rsidR="002F4B4A">
        <w:t xml:space="preserve">for both </w:t>
      </w:r>
      <w:r w:rsidR="00015152">
        <w:t xml:space="preserve">terrestrial and satellite wireless broadband services </w:t>
      </w:r>
      <w:r w:rsidRPr="00A37173">
        <w:t xml:space="preserve">falls in line with a number of key government policy objectives, </w:t>
      </w:r>
      <w:r w:rsidR="00DE029B">
        <w:t>including:</w:t>
      </w:r>
      <w:r w:rsidRPr="00A37173">
        <w:t xml:space="preserve"> </w:t>
      </w:r>
      <w:bookmarkStart w:id="56" w:name="_Hlk4497305"/>
    </w:p>
    <w:p w14:paraId="0411870F" w14:textId="5D3DFD51" w:rsidR="0063533A" w:rsidRPr="001B1339" w:rsidRDefault="00836FD8" w:rsidP="005D3186">
      <w:pPr>
        <w:pStyle w:val="ListBullet"/>
        <w:keepNext/>
        <w:keepLines/>
      </w:pPr>
      <w:r w:rsidRPr="00A37173">
        <w:t xml:space="preserve">promoting sharing, enhancing </w:t>
      </w:r>
      <w:r w:rsidRPr="001B1339">
        <w:t>delivery of fast broadband services</w:t>
      </w:r>
    </w:p>
    <w:p w14:paraId="7ECC366B" w14:textId="2E2BF973" w:rsidR="0063533A" w:rsidRDefault="00836FD8" w:rsidP="005D3186">
      <w:pPr>
        <w:pStyle w:val="ListBullet"/>
        <w:keepNext/>
        <w:keepLines/>
      </w:pPr>
      <w:r w:rsidRPr="0063533A">
        <w:t>promoting the efficient use of spectrum through</w:t>
      </w:r>
      <w:r w:rsidRPr="00A37173">
        <w:t xml:space="preserve"> optimising its use</w:t>
      </w:r>
    </w:p>
    <w:p w14:paraId="78D086AC" w14:textId="4599C384" w:rsidR="00836FD8" w:rsidRPr="00A05EC9" w:rsidRDefault="00836FD8" w:rsidP="005D3186">
      <w:pPr>
        <w:pStyle w:val="ListBulletLast"/>
        <w:keepNext/>
        <w:keepLines/>
      </w:pPr>
      <w:r w:rsidRPr="00A37173">
        <w:t>fostering competitive telecommunications markets by providing alternative delivery mechanisms for ultra-fast broadband</w:t>
      </w:r>
      <w:bookmarkEnd w:id="56"/>
      <w:r w:rsidRPr="00A37173">
        <w:t>.</w:t>
      </w:r>
    </w:p>
    <w:p w14:paraId="636A1F21" w14:textId="77777777" w:rsidR="002D2B71" w:rsidRPr="00A05EC9" w:rsidRDefault="002D2B71" w:rsidP="002D2B71">
      <w:pPr>
        <w:pStyle w:val="Heading3"/>
      </w:pPr>
      <w:bookmarkStart w:id="57" w:name="_Ref517344978"/>
      <w:r w:rsidRPr="00A05EC9">
        <w:t>Principles for spectrum management</w:t>
      </w:r>
      <w:bookmarkEnd w:id="57"/>
    </w:p>
    <w:p w14:paraId="79392B39" w14:textId="02C62B25" w:rsidR="002D2B71" w:rsidRPr="00A05EC9" w:rsidRDefault="002D2B71" w:rsidP="002D2B71">
      <w:pPr>
        <w:spacing w:after="80"/>
        <w:rPr>
          <w:rFonts w:cs="Arial"/>
        </w:rPr>
      </w:pPr>
      <w:r w:rsidRPr="00A05EC9">
        <w:rPr>
          <w:rFonts w:cs="Arial"/>
        </w:rPr>
        <w:t xml:space="preserve">The ACMA is also guided by the </w:t>
      </w:r>
      <w:hyperlink r:id="rId27" w:history="1">
        <w:r w:rsidR="001B1339" w:rsidRPr="005D3186">
          <w:rPr>
            <w:rStyle w:val="Hyperlink"/>
            <w:i/>
          </w:rPr>
          <w:t>Principles for Spectrum Management</w:t>
        </w:r>
      </w:hyperlink>
      <w:r w:rsidRPr="001E5818" w:rsidDel="00DA0B78">
        <w:rPr>
          <w:rFonts w:cs="Arial"/>
        </w:rPr>
        <w:t xml:space="preserve"> </w:t>
      </w:r>
      <w:r w:rsidRPr="001E5818">
        <w:rPr>
          <w:rFonts w:cs="Arial"/>
        </w:rPr>
        <w:t>(the Principles), which are:</w:t>
      </w:r>
    </w:p>
    <w:p w14:paraId="213C1BAD" w14:textId="77777777" w:rsidR="002D2B71" w:rsidRPr="005E6D37" w:rsidRDefault="002D2B71" w:rsidP="001221AF">
      <w:pPr>
        <w:pStyle w:val="ListNumber"/>
        <w:numPr>
          <w:ilvl w:val="0"/>
          <w:numId w:val="11"/>
        </w:numPr>
      </w:pPr>
      <w:r w:rsidRPr="00F1614D">
        <w:t>Allocate spectrum to the highest</w:t>
      </w:r>
      <w:r w:rsidRPr="005E6D37">
        <w:t xml:space="preserve"> value use (HVU) or uses.</w:t>
      </w:r>
    </w:p>
    <w:p w14:paraId="19FE79F7" w14:textId="77777777" w:rsidR="002D2B71" w:rsidRPr="00F26E80" w:rsidRDefault="002D2B71" w:rsidP="001221AF">
      <w:pPr>
        <w:pStyle w:val="ListNumber"/>
        <w:numPr>
          <w:ilvl w:val="0"/>
          <w:numId w:val="11"/>
        </w:numPr>
      </w:pPr>
      <w:r w:rsidRPr="00F26E80">
        <w:t>Enable and encourage spectrum to move to its HVU.</w:t>
      </w:r>
    </w:p>
    <w:p w14:paraId="5299C276" w14:textId="77777777" w:rsidR="002D2B71" w:rsidRPr="00A05EC9" w:rsidRDefault="002D2B71" w:rsidP="001221AF">
      <w:pPr>
        <w:pStyle w:val="ListNumber"/>
        <w:numPr>
          <w:ilvl w:val="0"/>
          <w:numId w:val="11"/>
        </w:numPr>
      </w:pPr>
      <w:r w:rsidRPr="00A05EC9">
        <w:t>Use the least cost and least restrictive approach to achieving policy objectives.</w:t>
      </w:r>
    </w:p>
    <w:p w14:paraId="6FC5F883" w14:textId="77777777" w:rsidR="002D2B71" w:rsidRPr="00A05EC9" w:rsidRDefault="002D2B71" w:rsidP="001221AF">
      <w:pPr>
        <w:pStyle w:val="ListNumber"/>
        <w:numPr>
          <w:ilvl w:val="0"/>
          <w:numId w:val="11"/>
        </w:numPr>
      </w:pPr>
      <w:r w:rsidRPr="00A05EC9">
        <w:t>To the extent possible, promote both certainty and flexibility.</w:t>
      </w:r>
    </w:p>
    <w:p w14:paraId="18DBBD04" w14:textId="77777777" w:rsidR="002D2B71" w:rsidRPr="00A05EC9" w:rsidRDefault="002D2B71" w:rsidP="001221AF">
      <w:pPr>
        <w:pStyle w:val="ListNumber"/>
        <w:numPr>
          <w:ilvl w:val="0"/>
          <w:numId w:val="11"/>
        </w:numPr>
        <w:spacing w:after="240"/>
      </w:pPr>
      <w:r w:rsidRPr="00A05EC9">
        <w:t>Balance the cost of interference and the benefits of greater spectrum utilisation.</w:t>
      </w:r>
    </w:p>
    <w:p w14:paraId="40EF0D02" w14:textId="2AC6A56D" w:rsidR="002D2B71" w:rsidRPr="005E6D37" w:rsidRDefault="002D2B71" w:rsidP="002D2B71">
      <w:r w:rsidRPr="00A05EC9">
        <w:t xml:space="preserve">The ACMA adheres to the object of the Act and the Principles through a balanced application of market and regulatory mechanisms. Figure </w:t>
      </w:r>
      <w:r>
        <w:t>1</w:t>
      </w:r>
      <w:r w:rsidRPr="00A05EC9">
        <w:t xml:space="preserve"> describes the ACMA’s general approach to spectrum management decision-making. Consideration of the 2</w:t>
      </w:r>
      <w:r w:rsidR="00B56BB6">
        <w:t>8</w:t>
      </w:r>
      <w:r>
        <w:t> </w:t>
      </w:r>
      <w:r w:rsidRPr="00A05EC9">
        <w:t>GHz band was</w:t>
      </w:r>
      <w:r w:rsidR="00C47352">
        <w:t xml:space="preserve"> first</w:t>
      </w:r>
      <w:r w:rsidRPr="00A05EC9">
        <w:t xml:space="preserve"> foreshadowed in </w:t>
      </w:r>
      <w:r>
        <w:t xml:space="preserve">the ACMA’s </w:t>
      </w:r>
      <w:r w:rsidRPr="00FB1084">
        <w:rPr>
          <w:i/>
        </w:rPr>
        <w:t>Five-year spectrum outlook 2016–2020</w:t>
      </w:r>
      <w:r>
        <w:t xml:space="preserve"> (see below)</w:t>
      </w:r>
      <w:r w:rsidRPr="001E5818">
        <w:t xml:space="preserve">. In terms of the general approach, the release of this paper </w:t>
      </w:r>
      <w:r>
        <w:t>fits within</w:t>
      </w:r>
      <w:r w:rsidRPr="001E5818">
        <w:t xml:space="preserve"> the ACMA’s </w:t>
      </w:r>
      <w:r>
        <w:t xml:space="preserve">broad </w:t>
      </w:r>
      <w:r w:rsidRPr="001E5818">
        <w:t>public consultation ‘filter’. The ACMA will continue to apply the elements of its spectrum m</w:t>
      </w:r>
      <w:r w:rsidRPr="00A05EC9">
        <w:t>anagement decision framework, including the spectrum management principles, as it considers the responses to t</w:t>
      </w:r>
      <w:r w:rsidRPr="005E6D37">
        <w:t>his paper.</w:t>
      </w:r>
    </w:p>
    <w:p w14:paraId="2DD2D54D" w14:textId="77777777" w:rsidR="002D2B71" w:rsidRPr="005E6D37" w:rsidRDefault="002D2B71" w:rsidP="00FE444E">
      <w:pPr>
        <w:pStyle w:val="ACMAFigureHeader"/>
      </w:pPr>
      <w:r w:rsidRPr="005E6D37">
        <w:t xml:space="preserve">Spectrum </w:t>
      </w:r>
      <w:r w:rsidRPr="00FE444E">
        <w:t>management</w:t>
      </w:r>
      <w:r w:rsidRPr="005E6D37">
        <w:t xml:space="preserve"> decision framework</w:t>
      </w:r>
    </w:p>
    <w:p w14:paraId="0C4DC112" w14:textId="2003228C" w:rsidR="002D2B71" w:rsidRPr="005E6D37" w:rsidRDefault="002D2B71" w:rsidP="002D2B71">
      <w:pPr>
        <w:pStyle w:val="ACMAFigureHeader"/>
        <w:numPr>
          <w:ilvl w:val="0"/>
          <w:numId w:val="0"/>
        </w:numPr>
        <w:spacing w:after="0"/>
        <w:ind w:left="1021" w:hanging="1021"/>
      </w:pPr>
    </w:p>
    <w:p w14:paraId="1DF477B4" w14:textId="67D41ABF" w:rsidR="002D2B71" w:rsidRPr="00F26E80" w:rsidRDefault="0018778A" w:rsidP="002D2B71">
      <w:pPr>
        <w:pStyle w:val="ACMASpaceaftertable"/>
      </w:pPr>
      <w:r w:rsidRPr="0018778A">
        <w:rPr>
          <w:noProof/>
        </w:rPr>
        <w:drawing>
          <wp:inline distT="0" distB="0" distL="0" distR="0" wp14:anchorId="1308F4B2" wp14:editId="160C0765">
            <wp:extent cx="6373505" cy="3736216"/>
            <wp:effectExtent l="0" t="0" r="8255" b="0"/>
            <wp:docPr id="11" name="Picture 11" descr="Spectrum management decision frame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8">
                      <a:extLst>
                        <a:ext uri="{28A0092B-C50C-407E-A947-70E740481C1C}">
                          <a14:useLocalDpi xmlns:a14="http://schemas.microsoft.com/office/drawing/2010/main" val="0"/>
                        </a:ext>
                      </a:extLst>
                    </a:blip>
                    <a:srcRect l="5778" r="7675"/>
                    <a:stretch/>
                  </pic:blipFill>
                  <pic:spPr bwMode="auto">
                    <a:xfrm>
                      <a:off x="0" y="0"/>
                      <a:ext cx="6389566" cy="3745631"/>
                    </a:xfrm>
                    <a:prstGeom prst="rect">
                      <a:avLst/>
                    </a:prstGeom>
                    <a:noFill/>
                    <a:ln>
                      <a:noFill/>
                    </a:ln>
                    <a:extLst>
                      <a:ext uri="{53640926-AAD7-44D8-BBD7-CCE9431645EC}">
                        <a14:shadowObscured xmlns:a14="http://schemas.microsoft.com/office/drawing/2010/main"/>
                      </a:ext>
                    </a:extLst>
                  </pic:spPr>
                </pic:pic>
              </a:graphicData>
            </a:graphic>
          </wp:inline>
        </w:drawing>
      </w:r>
    </w:p>
    <w:p w14:paraId="46A0F5A7" w14:textId="77777777" w:rsidR="002D2B71" w:rsidRPr="00A05EC9" w:rsidRDefault="002D2B71" w:rsidP="00ED5B20">
      <w:pPr>
        <w:pStyle w:val="Heading3"/>
        <w:keepLines/>
      </w:pPr>
      <w:bookmarkStart w:id="58" w:name="_Toc466017062"/>
      <w:bookmarkStart w:id="59" w:name="_Toc468438957"/>
      <w:bookmarkStart w:id="60" w:name="_Toc468705312"/>
      <w:bookmarkStart w:id="61" w:name="_Ref517340300"/>
      <w:r w:rsidRPr="00F1614D">
        <w:lastRenderedPageBreak/>
        <w:t>Existing</w:t>
      </w:r>
      <w:r w:rsidRPr="00A05EC9">
        <w:t xml:space="preserve"> licensing regimes</w:t>
      </w:r>
      <w:bookmarkEnd w:id="58"/>
      <w:bookmarkEnd w:id="59"/>
      <w:bookmarkEnd w:id="60"/>
      <w:bookmarkEnd w:id="61"/>
    </w:p>
    <w:p w14:paraId="27FCE987" w14:textId="77777777" w:rsidR="002D2B71" w:rsidRPr="00A05EC9" w:rsidRDefault="002D2B71" w:rsidP="00ED5B20">
      <w:pPr>
        <w:keepNext/>
        <w:keepLines/>
        <w:spacing w:after="120"/>
      </w:pPr>
      <w:r w:rsidRPr="00A05EC9">
        <w:t xml:space="preserve">There are currently three licence types available to authorise access to spectrum—spectrum, apparatus and class licences. Note that this will change </w:t>
      </w:r>
      <w:r>
        <w:t>if</w:t>
      </w:r>
      <w:r w:rsidRPr="00A05EC9">
        <w:t xml:space="preserve"> the</w:t>
      </w:r>
      <w:r>
        <w:t xml:space="preserve"> proposed</w:t>
      </w:r>
      <w:r w:rsidRPr="00A05EC9">
        <w:t xml:space="preserve"> new spectrum management legislation comes into effect (see below). </w:t>
      </w:r>
    </w:p>
    <w:p w14:paraId="2C979C10" w14:textId="77777777" w:rsidR="002D2B71" w:rsidRPr="001E5818" w:rsidRDefault="002D2B71" w:rsidP="00ED5B20">
      <w:pPr>
        <w:keepNext/>
        <w:keepLines/>
        <w:spacing w:after="120"/>
      </w:pPr>
      <w:r w:rsidRPr="00A05EC9">
        <w:t xml:space="preserve">An apparatus licence authorises the use of a </w:t>
      </w:r>
      <w:r>
        <w:t xml:space="preserve">radiocommunications </w:t>
      </w:r>
      <w:r w:rsidRPr="00A05EC9">
        <w:t>device (or group of devices) operating under a particular radiocommunications service type, in a particular frequency range, and at a particular geographic location</w:t>
      </w:r>
      <w:r>
        <w:rPr>
          <w:rStyle w:val="FootnoteReference"/>
        </w:rPr>
        <w:footnoteReference w:id="5"/>
      </w:r>
      <w:r>
        <w:rPr>
          <w:rFonts w:cs="Arial"/>
          <w:szCs w:val="20"/>
        </w:rPr>
        <w:t xml:space="preserve"> </w:t>
      </w:r>
      <w:r w:rsidRPr="001E5818">
        <w:t xml:space="preserve">for a period of up to five years. </w:t>
      </w:r>
      <w:r>
        <w:t>It is typically issued ‘over-the-counter’ in accordance with coordination rules developed by the ACMA.</w:t>
      </w:r>
    </w:p>
    <w:p w14:paraId="4F4AD83F" w14:textId="77777777" w:rsidR="002D2B71" w:rsidRPr="00A05EC9" w:rsidRDefault="002D2B71" w:rsidP="006274C7">
      <w:pPr>
        <w:spacing w:after="120"/>
      </w:pPr>
      <w:r w:rsidRPr="00A05EC9">
        <w:t>A spectrum licence authorises the use of a particular frequency band within a particular geographic area for a period of up to 15 years</w:t>
      </w:r>
      <w:r w:rsidRPr="005E6D37">
        <w:t xml:space="preserve"> under the current legislative framework</w:t>
      </w:r>
      <w:r w:rsidRPr="00F26E80">
        <w:t>. The geographic area can vary in size and can comprise the</w:t>
      </w:r>
      <w:r w:rsidRPr="00A05EC9">
        <w:t xml:space="preserve"> entire country. Spectrum licences have historically been utilised for the majority of bands used to deploy commercial mobile networks. </w:t>
      </w:r>
    </w:p>
    <w:p w14:paraId="0556B8D7" w14:textId="77777777" w:rsidR="002D2B71" w:rsidRPr="005E6D37" w:rsidRDefault="002D2B71" w:rsidP="006274C7">
      <w:pPr>
        <w:spacing w:after="120"/>
      </w:pPr>
      <w:r w:rsidRPr="00A05EC9">
        <w:t xml:space="preserve">An inherent feature of spectrum licensing is technological flexibility—that is, the licensing rules, while usually optimised for an expected technology, </w:t>
      </w:r>
      <w:r>
        <w:t xml:space="preserve">generally </w:t>
      </w:r>
      <w:r w:rsidRPr="00A05EC9">
        <w:t>specify only generic technical detail and limitations</w:t>
      </w:r>
      <w:r w:rsidRPr="001E5818">
        <w:rPr>
          <w:vertAlign w:val="superscript"/>
        </w:rPr>
        <w:footnoteReference w:id="6"/>
      </w:r>
      <w:r>
        <w:t>,</w:t>
      </w:r>
      <w:r w:rsidRPr="001E5818">
        <w:t xml:space="preserve"> while not expressly mandating a particular type of technology or service. This allows a licensee to deploy any technology as long as it complies with the terms and conditions of the licence, without intervention from the regulator. It is up to the licensee to manage interference between d</w:t>
      </w:r>
      <w:r w:rsidRPr="00A05EC9">
        <w:t>evices, although the adoption of international standards mitigates the potential for interference between devices. S</w:t>
      </w:r>
      <w:r w:rsidRPr="005E6D37">
        <w:t>pectrum licences are more conducive to spectrum trading than apparatus licences, due to design features such as their longer and more certain tenure and their ability to be sub-divided.</w:t>
      </w:r>
    </w:p>
    <w:p w14:paraId="6AFDBC50" w14:textId="77777777" w:rsidR="002D2B71" w:rsidRPr="00A05EC9" w:rsidRDefault="002D2B71" w:rsidP="002D2B71">
      <w:r w:rsidRPr="00F26E80">
        <w:t>Class licen</w:t>
      </w:r>
      <w:r>
        <w:t>c</w:t>
      </w:r>
      <w:r w:rsidRPr="00F26E80">
        <w:t xml:space="preserve">es are a </w:t>
      </w:r>
      <w:r>
        <w:t>standing</w:t>
      </w:r>
      <w:r w:rsidRPr="00F26E80">
        <w:t xml:space="preserve"> authorisation to </w:t>
      </w:r>
      <w:r>
        <w:t>use</w:t>
      </w:r>
      <w:r w:rsidRPr="00F26E80">
        <w:t xml:space="preserve"> spe</w:t>
      </w:r>
      <w:r w:rsidRPr="00A05EC9">
        <w:t xml:space="preserve">ctrum without the need to apply to the ACMA for access, so long as the conditions of that licence are met. These conditions can be technical, geographic and/or pertain to the type of use or class of user. </w:t>
      </w:r>
    </w:p>
    <w:p w14:paraId="7C08EE6B" w14:textId="77777777" w:rsidR="0052285A" w:rsidRPr="00A05EC9" w:rsidRDefault="00672E7F" w:rsidP="00891823">
      <w:pPr>
        <w:pStyle w:val="Heading2"/>
        <w:keepLines/>
      </w:pPr>
      <w:bookmarkStart w:id="62" w:name="_Toc458175603"/>
      <w:bookmarkStart w:id="63" w:name="_Toc459906710"/>
      <w:bookmarkStart w:id="64" w:name="_Toc464480504"/>
      <w:bookmarkStart w:id="65" w:name="_Toc482886574"/>
      <w:bookmarkStart w:id="66" w:name="_Toc482886616"/>
      <w:bookmarkStart w:id="67" w:name="_Toc482888957"/>
      <w:bookmarkStart w:id="68" w:name="_Toc482891228"/>
      <w:bookmarkStart w:id="69" w:name="_Toc482891295"/>
      <w:bookmarkStart w:id="70" w:name="_Toc482956503"/>
      <w:bookmarkStart w:id="71" w:name="_Toc484011475"/>
      <w:bookmarkStart w:id="72" w:name="_Toc484511691"/>
      <w:bookmarkStart w:id="73" w:name="_Toc519765106"/>
      <w:bookmarkStart w:id="74" w:name="_Toc521585772"/>
      <w:bookmarkStart w:id="75" w:name="_Toc5000063"/>
      <w:bookmarkEnd w:id="43"/>
      <w:bookmarkEnd w:id="44"/>
      <w:bookmarkEnd w:id="45"/>
      <w:bookmarkEnd w:id="46"/>
      <w:bookmarkEnd w:id="47"/>
      <w:bookmarkEnd w:id="48"/>
      <w:bookmarkEnd w:id="49"/>
      <w:bookmarkEnd w:id="50"/>
      <w:bookmarkEnd w:id="51"/>
      <w:bookmarkEnd w:id="52"/>
      <w:bookmarkEnd w:id="53"/>
      <w:bookmarkEnd w:id="54"/>
      <w:bookmarkEnd w:id="55"/>
      <w:r w:rsidRPr="00A05EC9">
        <w:t>Issues not within the s</w:t>
      </w:r>
      <w:r w:rsidR="0052285A" w:rsidRPr="00A05EC9">
        <w:t>cope</w:t>
      </w:r>
      <w:bookmarkEnd w:id="62"/>
      <w:bookmarkEnd w:id="63"/>
      <w:bookmarkEnd w:id="64"/>
      <w:bookmarkEnd w:id="65"/>
      <w:bookmarkEnd w:id="66"/>
      <w:bookmarkEnd w:id="67"/>
      <w:bookmarkEnd w:id="68"/>
      <w:bookmarkEnd w:id="69"/>
      <w:bookmarkEnd w:id="70"/>
      <w:bookmarkEnd w:id="71"/>
      <w:bookmarkEnd w:id="72"/>
      <w:r w:rsidRPr="00A05EC9">
        <w:t xml:space="preserve"> of this paper</w:t>
      </w:r>
      <w:bookmarkEnd w:id="73"/>
      <w:bookmarkEnd w:id="74"/>
      <w:bookmarkEnd w:id="75"/>
    </w:p>
    <w:p w14:paraId="7DAF6A9D" w14:textId="77777777" w:rsidR="0052285A" w:rsidRPr="00A05EC9" w:rsidRDefault="0052285A" w:rsidP="00891823">
      <w:pPr>
        <w:keepNext/>
        <w:keepLines/>
        <w:spacing w:after="80"/>
      </w:pPr>
      <w:r w:rsidRPr="00A05EC9">
        <w:t>The purpose and scope of this paper is outlined above. The following issues are not</w:t>
      </w:r>
      <w:r w:rsidR="009E54F8" w:rsidRPr="00A05EC9">
        <w:t xml:space="preserve"> within the scope of this paper:</w:t>
      </w:r>
    </w:p>
    <w:p w14:paraId="4CF311B3" w14:textId="322CCDEB" w:rsidR="00015152" w:rsidRPr="00A05EC9" w:rsidRDefault="00015152" w:rsidP="00015152">
      <w:pPr>
        <w:pStyle w:val="BodySubHeader"/>
        <w:keepNext/>
        <w:keepLines/>
      </w:pPr>
      <w:r>
        <w:t>Apparatus tax arrangements</w:t>
      </w:r>
    </w:p>
    <w:p w14:paraId="025333B3" w14:textId="2C552250" w:rsidR="00015152" w:rsidRDefault="00015152" w:rsidP="002F3B34">
      <w:pPr>
        <w:spacing w:after="120"/>
      </w:pPr>
      <w:r>
        <w:t xml:space="preserve">A review of the apparatus licence tax arrangements that apply to different services is not within scope of this paper. The ACMA is </w:t>
      </w:r>
      <w:r w:rsidRPr="00015152">
        <w:t xml:space="preserve">seeking feedback from industry on its general review of apparatus licence taxes as part of </w:t>
      </w:r>
      <w:r>
        <w:t>the</w:t>
      </w:r>
      <w:r w:rsidRPr="00015152">
        <w:t xml:space="preserve"> consultation on its annual work program, the </w:t>
      </w:r>
      <w:hyperlink r:id="rId29" w:history="1">
        <w:r w:rsidR="00543038" w:rsidRPr="009822FD">
          <w:rPr>
            <w:rStyle w:val="Hyperlink"/>
          </w:rPr>
          <w:t>five-year spectrum outlook</w:t>
        </w:r>
      </w:hyperlink>
      <w:r w:rsidR="00543038">
        <w:t xml:space="preserve"> (</w:t>
      </w:r>
      <w:r w:rsidR="00862E7D" w:rsidRPr="009822FD">
        <w:rPr>
          <w:rFonts w:cs="Arial"/>
          <w:szCs w:val="20"/>
        </w:rPr>
        <w:t>FYSO</w:t>
      </w:r>
      <w:r w:rsidR="009822FD">
        <w:rPr>
          <w:rFonts w:cs="Arial"/>
          <w:szCs w:val="20"/>
        </w:rPr>
        <w:t>)</w:t>
      </w:r>
      <w:r w:rsidRPr="00015152">
        <w:t>.</w:t>
      </w:r>
      <w:r>
        <w:t xml:space="preserve"> Interested parties are invited to provide the views</w:t>
      </w:r>
      <w:r w:rsidR="00503C9C">
        <w:t xml:space="preserve"> on apparatus licence taxes in the 28 GHz band</w:t>
      </w:r>
      <w:r>
        <w:t xml:space="preserve"> </w:t>
      </w:r>
      <w:r w:rsidR="00503C9C">
        <w:t xml:space="preserve">as part of this process. </w:t>
      </w:r>
      <w:r w:rsidRPr="00015152">
        <w:t xml:space="preserve">  </w:t>
      </w:r>
    </w:p>
    <w:p w14:paraId="4D9A1108" w14:textId="701575C0" w:rsidR="0052285A" w:rsidRPr="00A05EC9" w:rsidRDefault="0052285A" w:rsidP="002F3B34">
      <w:pPr>
        <w:pStyle w:val="BodySubHeader"/>
        <w:keepNext/>
        <w:keepLines/>
        <w:spacing w:before="120"/>
      </w:pPr>
      <w:r w:rsidRPr="00A05EC9">
        <w:t>Detailed licensing and allocation options</w:t>
      </w:r>
    </w:p>
    <w:p w14:paraId="2A8C2D75" w14:textId="490869D2" w:rsidR="0052285A" w:rsidRPr="00A05EC9" w:rsidRDefault="0052285A" w:rsidP="006274C7">
      <w:pPr>
        <w:spacing w:after="120"/>
      </w:pPr>
      <w:r w:rsidRPr="00A05EC9">
        <w:t>Detailed licensing and allocation options will be considered as part of any possible re</w:t>
      </w:r>
      <w:r w:rsidR="00B11039">
        <w:t>-</w:t>
      </w:r>
      <w:r w:rsidRPr="00A05EC9">
        <w:t xml:space="preserve">farming process after </w:t>
      </w:r>
      <w:r w:rsidR="00A05E21">
        <w:t>a</w:t>
      </w:r>
      <w:r w:rsidRPr="00A05EC9">
        <w:t xml:space="preserve"> suitable planning </w:t>
      </w:r>
      <w:r w:rsidR="00A05E21">
        <w:t xml:space="preserve">option </w:t>
      </w:r>
      <w:r w:rsidRPr="00A05EC9">
        <w:t>is determined.</w:t>
      </w:r>
    </w:p>
    <w:p w14:paraId="5EB8BB44" w14:textId="1E736CDB" w:rsidR="0052285A" w:rsidRPr="00A05EC9" w:rsidRDefault="00D302BE" w:rsidP="006274C7">
      <w:pPr>
        <w:pStyle w:val="BodySubHeader"/>
        <w:spacing w:before="120" w:after="120"/>
      </w:pPr>
      <w:r w:rsidRPr="00A05EC9">
        <w:t xml:space="preserve">Other </w:t>
      </w:r>
      <w:proofErr w:type="spellStart"/>
      <w:r w:rsidR="00646B41">
        <w:t>mmWave</w:t>
      </w:r>
      <w:proofErr w:type="spellEnd"/>
      <w:r w:rsidRPr="00A05EC9">
        <w:t xml:space="preserve"> bands</w:t>
      </w:r>
    </w:p>
    <w:p w14:paraId="6FF510C4" w14:textId="4D23C049" w:rsidR="0052285A" w:rsidRPr="001E5818" w:rsidRDefault="00050388" w:rsidP="006274C7">
      <w:pPr>
        <w:spacing w:after="120"/>
      </w:pPr>
      <w:r w:rsidRPr="00A05EC9">
        <w:t>The sole focus of this paper is the 2</w:t>
      </w:r>
      <w:r w:rsidR="00AE486F">
        <w:t xml:space="preserve">8 </w:t>
      </w:r>
      <w:r w:rsidRPr="00A05EC9">
        <w:t xml:space="preserve">GHz band. The potential future use of other </w:t>
      </w:r>
      <w:proofErr w:type="spellStart"/>
      <w:r w:rsidR="00646B41">
        <w:t>mmWave</w:t>
      </w:r>
      <w:proofErr w:type="spellEnd"/>
      <w:r w:rsidRPr="00A05EC9">
        <w:t xml:space="preserve"> bands </w:t>
      </w:r>
      <w:r w:rsidR="008F3DEB">
        <w:t>such as the 2</w:t>
      </w:r>
      <w:r w:rsidR="00AE486F">
        <w:t>6</w:t>
      </w:r>
      <w:r w:rsidR="008F3DEB">
        <w:t xml:space="preserve"> GHz</w:t>
      </w:r>
      <w:r w:rsidR="002A223F">
        <w:t>, 40 GHz</w:t>
      </w:r>
      <w:r w:rsidR="008F3DEB">
        <w:t xml:space="preserve"> and 60 GHz bands </w:t>
      </w:r>
      <w:r w:rsidR="00AE486F">
        <w:t xml:space="preserve">is </w:t>
      </w:r>
      <w:r w:rsidRPr="00A05EC9">
        <w:t>outside the scope of this paper.</w:t>
      </w:r>
      <w:r w:rsidR="00B64E96">
        <w:rPr>
          <w:rStyle w:val="FootnoteReference"/>
          <w:rFonts w:cs="Arial"/>
          <w:szCs w:val="20"/>
        </w:rPr>
        <w:footnoteReference w:id="7"/>
      </w:r>
      <w:r w:rsidRPr="00A05EC9">
        <w:t xml:space="preserve"> Respondents will be able to contribute views on the relative priorities of other bands through the </w:t>
      </w:r>
      <w:hyperlink r:id="rId30" w:history="1">
        <w:r w:rsidRPr="001E5818">
          <w:rPr>
            <w:rStyle w:val="Hyperlink"/>
            <w:rFonts w:cs="Arial"/>
            <w:szCs w:val="20"/>
          </w:rPr>
          <w:t>F</w:t>
        </w:r>
        <w:r w:rsidR="00056841">
          <w:rPr>
            <w:rStyle w:val="Hyperlink"/>
            <w:rFonts w:cs="Arial"/>
            <w:szCs w:val="20"/>
          </w:rPr>
          <w:t>YSO</w:t>
        </w:r>
      </w:hyperlink>
      <w:r w:rsidRPr="001E5818">
        <w:rPr>
          <w:rFonts w:cs="Arial"/>
          <w:szCs w:val="20"/>
        </w:rPr>
        <w:t xml:space="preserve"> process.</w:t>
      </w:r>
      <w:r w:rsidR="00B64E96">
        <w:rPr>
          <w:rFonts w:cs="Arial"/>
          <w:szCs w:val="20"/>
        </w:rPr>
        <w:t xml:space="preserve"> </w:t>
      </w:r>
    </w:p>
    <w:p w14:paraId="27913314" w14:textId="77777777" w:rsidR="0052285A" w:rsidRPr="00A05EC9" w:rsidRDefault="0052285A" w:rsidP="006274C7">
      <w:pPr>
        <w:pStyle w:val="BodySubHeader"/>
        <w:spacing w:before="120" w:after="120"/>
      </w:pPr>
      <w:bookmarkStart w:id="76" w:name="_Toc459906714"/>
      <w:bookmarkStart w:id="77" w:name="_Toc464480508"/>
      <w:r w:rsidRPr="00A05EC9">
        <w:t>Engagement in international activities</w:t>
      </w:r>
    </w:p>
    <w:bookmarkEnd w:id="76"/>
    <w:bookmarkEnd w:id="77"/>
    <w:p w14:paraId="0861541F" w14:textId="15500541" w:rsidR="00050388" w:rsidRPr="00891823" w:rsidRDefault="00050388" w:rsidP="006274C7">
      <w:pPr>
        <w:spacing w:after="120"/>
        <w:rPr>
          <w:i/>
        </w:rPr>
      </w:pPr>
      <w:r w:rsidRPr="005E6D37">
        <w:lastRenderedPageBreak/>
        <w:t>I</w:t>
      </w:r>
      <w:r w:rsidR="0052285A" w:rsidRPr="005E6D37">
        <w:t xml:space="preserve">nternational developments and </w:t>
      </w:r>
      <w:r w:rsidR="0052285A" w:rsidRPr="002C6611">
        <w:t>activities are relevant to domestic considerations.</w:t>
      </w:r>
      <w:r w:rsidRPr="002C6611">
        <w:t xml:space="preserve"> In the case of the 2</w:t>
      </w:r>
      <w:r w:rsidR="00AE486F" w:rsidRPr="002C6611">
        <w:t>8</w:t>
      </w:r>
      <w:r w:rsidR="00E21460">
        <w:t> </w:t>
      </w:r>
      <w:r w:rsidRPr="002C6611">
        <w:t xml:space="preserve">GHz band, the ACMA, along with other domestic stakeholders, </w:t>
      </w:r>
      <w:r w:rsidR="004E37C9">
        <w:t>is</w:t>
      </w:r>
      <w:r w:rsidRPr="002C6611">
        <w:t xml:space="preserve"> closely involved in </w:t>
      </w:r>
      <w:r w:rsidR="00E21460">
        <w:t>and monitoring</w:t>
      </w:r>
      <w:r w:rsidR="002D752B">
        <w:t xml:space="preserve"> </w:t>
      </w:r>
      <w:r w:rsidRPr="002C6611">
        <w:t>studies being carried out in the ITU-R under WRC-19</w:t>
      </w:r>
      <w:r w:rsidR="00F30BDB">
        <w:rPr>
          <w:rStyle w:val="FootnoteReference"/>
        </w:rPr>
        <w:footnoteReference w:id="8"/>
      </w:r>
      <w:r w:rsidRPr="002C6611">
        <w:t xml:space="preserve"> agenda item 1.</w:t>
      </w:r>
      <w:r w:rsidR="009452B1" w:rsidRPr="002C6611">
        <w:t>5 and 1.14</w:t>
      </w:r>
      <w:r w:rsidRPr="002C6611">
        <w:t xml:space="preserve"> on </w:t>
      </w:r>
      <w:proofErr w:type="spellStart"/>
      <w:r w:rsidR="00646B41">
        <w:t>mmWave</w:t>
      </w:r>
      <w:proofErr w:type="spellEnd"/>
      <w:r w:rsidRPr="002C6611">
        <w:t xml:space="preserve"> bands for </w:t>
      </w:r>
      <w:r w:rsidR="00121220" w:rsidRPr="002C6611">
        <w:t>ESIM</w:t>
      </w:r>
      <w:r w:rsidR="00F35ACD">
        <w:rPr>
          <w:rStyle w:val="FootnoteReference"/>
        </w:rPr>
        <w:footnoteReference w:id="9"/>
      </w:r>
      <w:r w:rsidR="00121220" w:rsidRPr="002C6611">
        <w:t xml:space="preserve"> and </w:t>
      </w:r>
      <w:r w:rsidR="002707E4" w:rsidRPr="002C6611">
        <w:t>HAP</w:t>
      </w:r>
      <w:r w:rsidR="002C6611">
        <w:t>S</w:t>
      </w:r>
      <w:r w:rsidR="00F35ACD">
        <w:rPr>
          <w:rStyle w:val="FootnoteReference"/>
        </w:rPr>
        <w:footnoteReference w:id="10"/>
      </w:r>
      <w:r w:rsidR="002707E4" w:rsidRPr="002C6611">
        <w:t xml:space="preserve"> respectively</w:t>
      </w:r>
      <w:r w:rsidRPr="002C6611">
        <w:t xml:space="preserve">. </w:t>
      </w:r>
      <w:r w:rsidR="002D752B">
        <w:t xml:space="preserve">Where </w:t>
      </w:r>
      <w:r w:rsidR="00D03F08">
        <w:t>appropriate</w:t>
      </w:r>
      <w:r w:rsidR="002D752B">
        <w:t>, the outcome of</w:t>
      </w:r>
      <w:r w:rsidR="00D03F08">
        <w:t xml:space="preserve"> t</w:t>
      </w:r>
      <w:r w:rsidRPr="002C6611">
        <w:t>hese studies</w:t>
      </w:r>
      <w:r w:rsidR="00D03F08">
        <w:t xml:space="preserve"> and other international developments associated with these WRC-19 agenda items have been used to help</w:t>
      </w:r>
      <w:r w:rsidRPr="002C6611">
        <w:t xml:space="preserve"> inform ACMA views </w:t>
      </w:r>
      <w:r w:rsidR="002C6611">
        <w:t>in the 28 GHz band</w:t>
      </w:r>
      <w:r w:rsidR="003E0EE0" w:rsidRPr="00891823">
        <w:rPr>
          <w:i/>
        </w:rPr>
        <w:t>.</w:t>
      </w:r>
    </w:p>
    <w:p w14:paraId="18E4D22D" w14:textId="78D33908" w:rsidR="0052285A" w:rsidRPr="001E5818" w:rsidRDefault="00050388" w:rsidP="00891823">
      <w:r w:rsidRPr="00A05EC9">
        <w:t>However</w:t>
      </w:r>
      <w:r w:rsidR="009945D6">
        <w:t>,</w:t>
      </w:r>
      <w:r w:rsidRPr="00A05EC9">
        <w:t xml:space="preserve"> the scope of this paper does not extend to Australian strategies or positions on WRC-19 agenda items. These matters are dealt with separately through relevant ACMA and </w:t>
      </w:r>
      <w:r w:rsidR="003D7432" w:rsidRPr="00A05EC9">
        <w:t xml:space="preserve">Department of Communications and the Arts </w:t>
      </w:r>
      <w:r w:rsidR="003D7432">
        <w:t>(</w:t>
      </w:r>
      <w:proofErr w:type="spellStart"/>
      <w:r w:rsidRPr="00A05EC9">
        <w:t>DoCA</w:t>
      </w:r>
      <w:proofErr w:type="spellEnd"/>
      <w:r w:rsidR="003D7432">
        <w:t>)</w:t>
      </w:r>
      <w:r w:rsidRPr="00A05EC9">
        <w:t>-led preparatory process</w:t>
      </w:r>
      <w:r w:rsidRPr="005E6D37">
        <w:t xml:space="preserve">es. Stakeholders interested in these processes can </w:t>
      </w:r>
      <w:r w:rsidR="001B291A">
        <w:t>get</w:t>
      </w:r>
      <w:r w:rsidRPr="005E6D37">
        <w:t xml:space="preserve"> more information from</w:t>
      </w:r>
      <w:r w:rsidR="0052285A" w:rsidRPr="005E6D37">
        <w:t xml:space="preserve"> the </w:t>
      </w:r>
      <w:hyperlink r:id="rId31" w:history="1">
        <w:r w:rsidR="0052285A" w:rsidRPr="001E5818">
          <w:rPr>
            <w:rStyle w:val="Hyperlink"/>
            <w:rFonts w:cs="Arial"/>
          </w:rPr>
          <w:t>ACM</w:t>
        </w:r>
        <w:r w:rsidR="0052285A" w:rsidRPr="00A05EC9">
          <w:rPr>
            <w:rStyle w:val="Hyperlink"/>
            <w:rFonts w:cs="Arial"/>
          </w:rPr>
          <w:t>A website</w:t>
        </w:r>
      </w:hyperlink>
      <w:r w:rsidR="0052285A" w:rsidRPr="001E5818">
        <w:t xml:space="preserve"> or </w:t>
      </w:r>
      <w:r w:rsidRPr="001E5818">
        <w:t xml:space="preserve">by contacting </w:t>
      </w:r>
      <w:r w:rsidR="00015152">
        <w:t xml:space="preserve">either </w:t>
      </w:r>
      <w:r w:rsidRPr="001E5818">
        <w:t>the ACMA’s</w:t>
      </w:r>
      <w:r w:rsidR="0052285A" w:rsidRPr="00A05EC9">
        <w:t xml:space="preserve"> International Radiocommunications Section </w:t>
      </w:r>
      <w:r w:rsidRPr="005E6D37">
        <w:t>(</w:t>
      </w:r>
      <w:hyperlink r:id="rId32" w:history="1">
        <w:r w:rsidR="0052285A" w:rsidRPr="001E5818">
          <w:rPr>
            <w:rStyle w:val="Hyperlink"/>
            <w:rFonts w:cs="Arial"/>
          </w:rPr>
          <w:t>IRS@acma.gov.au</w:t>
        </w:r>
      </w:hyperlink>
      <w:r w:rsidRPr="001E5818">
        <w:t>)</w:t>
      </w:r>
      <w:r w:rsidR="00015152">
        <w:t xml:space="preserve"> or DOCA’s International Radiocommunications Section (</w:t>
      </w:r>
      <w:hyperlink r:id="rId33" w:history="1">
        <w:r w:rsidR="00015152" w:rsidRPr="00CE2752">
          <w:rPr>
            <w:rStyle w:val="Hyperlink"/>
          </w:rPr>
          <w:t>WRC@communications.gov.au</w:t>
        </w:r>
      </w:hyperlink>
      <w:r w:rsidR="00015152">
        <w:t>)</w:t>
      </w:r>
      <w:r w:rsidRPr="001E5818">
        <w:t>.</w:t>
      </w:r>
    </w:p>
    <w:p w14:paraId="142CFF3E" w14:textId="2599B02A" w:rsidR="00FC3A1E" w:rsidRPr="00A05EC9" w:rsidRDefault="00FC3A1E" w:rsidP="00FC3A1E">
      <w:pPr>
        <w:pStyle w:val="Heading2"/>
        <w:keepLines/>
      </w:pPr>
      <w:bookmarkStart w:id="78" w:name="_Toc5000064"/>
      <w:r>
        <w:t>Next steps</w:t>
      </w:r>
      <w:bookmarkEnd w:id="78"/>
    </w:p>
    <w:p w14:paraId="75579949" w14:textId="7DA340FE" w:rsidR="00745AD1" w:rsidRDefault="00745AD1" w:rsidP="00AF05B4">
      <w:pPr>
        <w:spacing w:after="120"/>
      </w:pPr>
      <w:r w:rsidRPr="005D3186">
        <w:t>Table 1</w:t>
      </w:r>
      <w:r w:rsidRPr="00D50C86">
        <w:t xml:space="preserve"> provides a notional timeline </w:t>
      </w:r>
      <w:r w:rsidR="00BC42BD" w:rsidRPr="00D50C86">
        <w:t>and milestones associated with</w:t>
      </w:r>
      <w:r w:rsidR="004B117E" w:rsidRPr="00D50C86">
        <w:t xml:space="preserve"> the 28 GHz band </w:t>
      </w:r>
      <w:r w:rsidR="00BC42BD" w:rsidRPr="00D50C86">
        <w:t>review process</w:t>
      </w:r>
      <w:r w:rsidR="004B117E" w:rsidRPr="00FA520E">
        <w:t>.</w:t>
      </w:r>
    </w:p>
    <w:p w14:paraId="3CA08C77" w14:textId="7A52DA66" w:rsidR="00745AD1" w:rsidRDefault="00745AD1" w:rsidP="00745AD1">
      <w:r>
        <w:t>Importantly, whether the notional timeline is achievable and/or appropriate is contingent on a variety of factors</w:t>
      </w:r>
      <w:r w:rsidR="00AF05B4">
        <w:t xml:space="preserve"> including </w:t>
      </w:r>
      <w:r>
        <w:t xml:space="preserve">feedback </w:t>
      </w:r>
      <w:r w:rsidR="00AF05B4">
        <w:t xml:space="preserve">received from stakeholders.  </w:t>
      </w:r>
      <w:r>
        <w:t xml:space="preserve"> </w:t>
      </w:r>
    </w:p>
    <w:p w14:paraId="4B184E58" w14:textId="27B18256" w:rsidR="004B117E" w:rsidRDefault="004B117E" w:rsidP="005D3186">
      <w:pPr>
        <w:pStyle w:val="ACMATableHeader"/>
        <w:numPr>
          <w:ilvl w:val="0"/>
          <w:numId w:val="78"/>
        </w:numPr>
      </w:pPr>
      <w:r>
        <w:t>Indicative timeline for progressing consideration of the 28 GHz band</w:t>
      </w:r>
    </w:p>
    <w:tbl>
      <w:tblPr>
        <w:tblStyle w:val="TableGrid"/>
        <w:tblW w:w="7950" w:type="dxa"/>
        <w:tblInd w:w="-5" w:type="dxa"/>
        <w:tblLayout w:type="fixed"/>
        <w:tblCellMar>
          <w:top w:w="57" w:type="dxa"/>
          <w:left w:w="57" w:type="dxa"/>
          <w:bottom w:w="57" w:type="dxa"/>
          <w:right w:w="57" w:type="dxa"/>
        </w:tblCellMar>
        <w:tblLook w:val="04A0" w:firstRow="1" w:lastRow="0" w:firstColumn="1" w:lastColumn="0" w:noHBand="0" w:noVBand="1"/>
        <w:tblCaption w:val="Indicative timeline for the progression of one band through the process for consideration of additional spectrum for mobile borabdand services"/>
        <w:tblDescription w:val="includes stage, milestones and indicative timings."/>
      </w:tblPr>
      <w:tblGrid>
        <w:gridCol w:w="2269"/>
        <w:gridCol w:w="4270"/>
        <w:gridCol w:w="1411"/>
      </w:tblGrid>
      <w:tr w:rsidR="004B117E" w14:paraId="14AAF6D0" w14:textId="77777777" w:rsidTr="005D3186">
        <w:trPr>
          <w:trHeight w:val="86"/>
          <w:tblHeader/>
        </w:trPr>
        <w:tc>
          <w:tcPr>
            <w:tcW w:w="2269" w:type="dxa"/>
            <w:tcBorders>
              <w:top w:val="single" w:sz="4" w:space="0" w:color="auto"/>
              <w:left w:val="single" w:sz="4" w:space="0" w:color="auto"/>
              <w:bottom w:val="single" w:sz="4" w:space="0" w:color="auto"/>
              <w:right w:val="single" w:sz="4" w:space="0" w:color="auto"/>
            </w:tcBorders>
            <w:shd w:val="clear" w:color="auto" w:fill="404040" w:themeFill="text1" w:themeFillTint="BF"/>
            <w:hideMark/>
          </w:tcPr>
          <w:p w14:paraId="7E82559D" w14:textId="77777777" w:rsidR="004B117E" w:rsidRDefault="004B117E">
            <w:pPr>
              <w:pStyle w:val="TableHeading"/>
              <w:rPr>
                <w:color w:val="FFFFFF" w:themeColor="background1"/>
              </w:rPr>
            </w:pPr>
            <w:r>
              <w:rPr>
                <w:color w:val="FFFFFF" w:themeColor="background1"/>
              </w:rPr>
              <w:t>Stage</w:t>
            </w:r>
          </w:p>
        </w:tc>
        <w:tc>
          <w:tcPr>
            <w:tcW w:w="4270" w:type="dxa"/>
            <w:tcBorders>
              <w:top w:val="single" w:sz="4" w:space="0" w:color="auto"/>
              <w:left w:val="single" w:sz="4" w:space="0" w:color="auto"/>
              <w:bottom w:val="single" w:sz="4" w:space="0" w:color="auto"/>
              <w:right w:val="single" w:sz="4" w:space="0" w:color="auto"/>
            </w:tcBorders>
            <w:shd w:val="clear" w:color="auto" w:fill="404040" w:themeFill="text1" w:themeFillTint="BF"/>
            <w:hideMark/>
          </w:tcPr>
          <w:p w14:paraId="691B6B75" w14:textId="77777777" w:rsidR="004B117E" w:rsidRDefault="004B117E">
            <w:pPr>
              <w:pStyle w:val="TableHeading"/>
              <w:rPr>
                <w:color w:val="FFFFFF" w:themeColor="background1"/>
              </w:rPr>
            </w:pPr>
            <w:r>
              <w:rPr>
                <w:color w:val="FFFFFF" w:themeColor="background1"/>
              </w:rPr>
              <w:t>Milestone</w:t>
            </w:r>
          </w:p>
        </w:tc>
        <w:tc>
          <w:tcPr>
            <w:tcW w:w="1411" w:type="dxa"/>
            <w:tcBorders>
              <w:top w:val="single" w:sz="4" w:space="0" w:color="auto"/>
              <w:left w:val="single" w:sz="4" w:space="0" w:color="auto"/>
              <w:bottom w:val="single" w:sz="4" w:space="0" w:color="auto"/>
              <w:right w:val="single" w:sz="4" w:space="0" w:color="auto"/>
            </w:tcBorders>
            <w:shd w:val="clear" w:color="auto" w:fill="404040" w:themeFill="text1" w:themeFillTint="BF"/>
            <w:hideMark/>
          </w:tcPr>
          <w:p w14:paraId="5BF6586B" w14:textId="77777777" w:rsidR="004B117E" w:rsidRDefault="004B117E">
            <w:pPr>
              <w:pStyle w:val="TableHeading"/>
              <w:rPr>
                <w:color w:val="FFFFFF" w:themeColor="background1"/>
              </w:rPr>
            </w:pPr>
            <w:r>
              <w:rPr>
                <w:color w:val="FFFFFF" w:themeColor="background1"/>
              </w:rPr>
              <w:t>Date</w:t>
            </w:r>
          </w:p>
        </w:tc>
      </w:tr>
      <w:tr w:rsidR="004B117E" w14:paraId="352B92BC" w14:textId="77777777" w:rsidTr="005D3186">
        <w:tc>
          <w:tcPr>
            <w:tcW w:w="2269"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DCB394A" w14:textId="77777777" w:rsidR="004B117E" w:rsidRDefault="004B117E">
            <w:pPr>
              <w:spacing w:after="0"/>
              <w:rPr>
                <w:rFonts w:cs="Arial"/>
                <w:b/>
                <w:sz w:val="18"/>
                <w:szCs w:val="18"/>
              </w:rPr>
            </w:pPr>
            <w:r>
              <w:rPr>
                <w:rFonts w:cs="Arial"/>
                <w:b/>
                <w:sz w:val="18"/>
                <w:szCs w:val="18"/>
              </w:rPr>
              <w:t>Stage 2—</w:t>
            </w:r>
            <w:r>
              <w:rPr>
                <w:rFonts w:cs="Arial"/>
                <w:b/>
                <w:sz w:val="18"/>
                <w:szCs w:val="18"/>
              </w:rPr>
              <w:br/>
              <w:t>Preliminary replanning</w:t>
            </w:r>
          </w:p>
        </w:tc>
        <w:tc>
          <w:tcPr>
            <w:tcW w:w="427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861C0C5" w14:textId="7F6215BA" w:rsidR="004B117E" w:rsidRDefault="004B117E">
            <w:pPr>
              <w:spacing w:after="0"/>
              <w:rPr>
                <w:rFonts w:cs="Arial"/>
                <w:sz w:val="18"/>
                <w:szCs w:val="18"/>
              </w:rPr>
            </w:pPr>
            <w:r>
              <w:rPr>
                <w:rFonts w:cs="Arial"/>
                <w:sz w:val="18"/>
                <w:szCs w:val="18"/>
              </w:rPr>
              <w:t xml:space="preserve">Release: </w:t>
            </w:r>
            <w:r>
              <w:rPr>
                <w:rFonts w:cs="Arial"/>
                <w:i/>
                <w:sz w:val="18"/>
                <w:szCs w:val="18"/>
              </w:rPr>
              <w:t>Replanning of the 28 GHz band: Options paper</w:t>
            </w:r>
            <w:r>
              <w:rPr>
                <w:rFonts w:cs="Arial"/>
                <w:sz w:val="18"/>
                <w:szCs w:val="18"/>
              </w:rPr>
              <w:t xml:space="preserve"> </w:t>
            </w:r>
          </w:p>
        </w:tc>
        <w:tc>
          <w:tcPr>
            <w:tcW w:w="141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92D2D31" w14:textId="4A57402F" w:rsidR="004B117E" w:rsidRDefault="004B117E">
            <w:pPr>
              <w:spacing w:after="0"/>
              <w:rPr>
                <w:rFonts w:cs="Arial"/>
                <w:sz w:val="18"/>
                <w:szCs w:val="18"/>
              </w:rPr>
            </w:pPr>
            <w:r>
              <w:rPr>
                <w:rFonts w:cs="Arial"/>
                <w:sz w:val="18"/>
                <w:szCs w:val="18"/>
              </w:rPr>
              <w:t>April 2019</w:t>
            </w:r>
          </w:p>
        </w:tc>
      </w:tr>
      <w:tr w:rsidR="004B117E" w14:paraId="60035670" w14:textId="77777777" w:rsidTr="005D3186">
        <w:tc>
          <w:tcPr>
            <w:tcW w:w="2269" w:type="dxa"/>
            <w:vMerge/>
            <w:tcBorders>
              <w:top w:val="single" w:sz="4" w:space="0" w:color="auto"/>
              <w:left w:val="single" w:sz="4" w:space="0" w:color="auto"/>
              <w:bottom w:val="single" w:sz="4" w:space="0" w:color="auto"/>
              <w:right w:val="single" w:sz="4" w:space="0" w:color="auto"/>
            </w:tcBorders>
            <w:vAlign w:val="center"/>
            <w:hideMark/>
          </w:tcPr>
          <w:p w14:paraId="63A8F948" w14:textId="77777777" w:rsidR="004B117E" w:rsidRDefault="004B117E">
            <w:pPr>
              <w:spacing w:after="0"/>
              <w:rPr>
                <w:rFonts w:cs="Arial"/>
                <w:b/>
                <w:sz w:val="18"/>
                <w:szCs w:val="18"/>
              </w:rPr>
            </w:pPr>
          </w:p>
        </w:tc>
        <w:tc>
          <w:tcPr>
            <w:tcW w:w="427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47027D4" w14:textId="081837B0" w:rsidR="004B117E" w:rsidRDefault="004B117E">
            <w:pPr>
              <w:spacing w:after="0"/>
              <w:rPr>
                <w:rFonts w:cs="Arial"/>
                <w:sz w:val="18"/>
                <w:szCs w:val="18"/>
              </w:rPr>
            </w:pPr>
            <w:r>
              <w:rPr>
                <w:rFonts w:cs="Arial"/>
                <w:sz w:val="18"/>
                <w:szCs w:val="18"/>
              </w:rPr>
              <w:t>Submissions due to options paper</w:t>
            </w:r>
          </w:p>
        </w:tc>
        <w:tc>
          <w:tcPr>
            <w:tcW w:w="141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DB4E6B4" w14:textId="778F7E84" w:rsidR="004B117E" w:rsidRDefault="00BC42BD">
            <w:pPr>
              <w:spacing w:after="0"/>
              <w:rPr>
                <w:rFonts w:cs="Arial"/>
                <w:sz w:val="18"/>
                <w:szCs w:val="18"/>
              </w:rPr>
            </w:pPr>
            <w:r>
              <w:rPr>
                <w:rFonts w:cs="Arial"/>
                <w:sz w:val="18"/>
                <w:szCs w:val="18"/>
              </w:rPr>
              <w:t>17</w:t>
            </w:r>
            <w:r w:rsidR="004B117E">
              <w:rPr>
                <w:rFonts w:cs="Arial"/>
                <w:sz w:val="18"/>
                <w:szCs w:val="18"/>
              </w:rPr>
              <w:t xml:space="preserve"> May 2019</w:t>
            </w:r>
          </w:p>
        </w:tc>
      </w:tr>
      <w:tr w:rsidR="00BC42BD" w14:paraId="7DCF959B" w14:textId="77777777" w:rsidTr="005D3186">
        <w:tc>
          <w:tcPr>
            <w:tcW w:w="2269" w:type="dxa"/>
            <w:vMerge/>
            <w:tcBorders>
              <w:top w:val="single" w:sz="4" w:space="0" w:color="auto"/>
              <w:left w:val="single" w:sz="4" w:space="0" w:color="auto"/>
              <w:bottom w:val="single" w:sz="4" w:space="0" w:color="auto"/>
              <w:right w:val="single" w:sz="4" w:space="0" w:color="auto"/>
            </w:tcBorders>
            <w:vAlign w:val="center"/>
          </w:tcPr>
          <w:p w14:paraId="7E830C89" w14:textId="77777777" w:rsidR="00BC42BD" w:rsidRDefault="00BC42BD" w:rsidP="00BC42BD">
            <w:pPr>
              <w:spacing w:after="0"/>
              <w:rPr>
                <w:rFonts w:cs="Arial"/>
                <w:b/>
                <w:sz w:val="18"/>
                <w:szCs w:val="18"/>
              </w:rPr>
            </w:pPr>
          </w:p>
        </w:tc>
        <w:tc>
          <w:tcPr>
            <w:tcW w:w="4270"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484EF4A" w14:textId="5DEE6F32" w:rsidR="00BC42BD" w:rsidRDefault="00BC42BD" w:rsidP="00BC42BD">
            <w:pPr>
              <w:spacing w:after="0"/>
              <w:rPr>
                <w:rFonts w:cs="Arial"/>
                <w:sz w:val="18"/>
                <w:szCs w:val="18"/>
              </w:rPr>
            </w:pPr>
            <w:r>
              <w:rPr>
                <w:rFonts w:cs="Arial"/>
                <w:sz w:val="18"/>
                <w:szCs w:val="18"/>
              </w:rPr>
              <w:t>Release: Discussion paper on new point-to-point channel arrangements for the 38 GHz band</w:t>
            </w:r>
          </w:p>
        </w:tc>
        <w:tc>
          <w:tcPr>
            <w:tcW w:w="1411"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7ADCA5BF" w14:textId="1F2CB6B2" w:rsidR="00BC42BD" w:rsidRDefault="00BC42BD" w:rsidP="00BC42BD">
            <w:pPr>
              <w:spacing w:after="0"/>
              <w:rPr>
                <w:rFonts w:cs="Arial"/>
                <w:sz w:val="18"/>
                <w:szCs w:val="18"/>
              </w:rPr>
            </w:pPr>
            <w:r>
              <w:rPr>
                <w:rFonts w:cs="Arial"/>
                <w:sz w:val="18"/>
                <w:szCs w:val="18"/>
              </w:rPr>
              <w:t>May/June 2019</w:t>
            </w:r>
          </w:p>
        </w:tc>
      </w:tr>
      <w:tr w:rsidR="004B117E" w14:paraId="719F2799" w14:textId="77777777" w:rsidTr="005D3186">
        <w:tc>
          <w:tcPr>
            <w:tcW w:w="2269" w:type="dxa"/>
            <w:vMerge/>
            <w:tcBorders>
              <w:top w:val="single" w:sz="4" w:space="0" w:color="auto"/>
              <w:left w:val="single" w:sz="4" w:space="0" w:color="auto"/>
              <w:bottom w:val="single" w:sz="4" w:space="0" w:color="auto"/>
              <w:right w:val="single" w:sz="4" w:space="0" w:color="auto"/>
            </w:tcBorders>
            <w:vAlign w:val="center"/>
            <w:hideMark/>
          </w:tcPr>
          <w:p w14:paraId="7B17F8BA" w14:textId="77777777" w:rsidR="004B117E" w:rsidRDefault="004B117E">
            <w:pPr>
              <w:spacing w:after="0"/>
              <w:rPr>
                <w:rFonts w:cs="Arial"/>
                <w:b/>
                <w:sz w:val="18"/>
                <w:szCs w:val="18"/>
              </w:rPr>
            </w:pPr>
          </w:p>
        </w:tc>
        <w:tc>
          <w:tcPr>
            <w:tcW w:w="427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1ADE2F1" w14:textId="36C7ED6F" w:rsidR="004B117E" w:rsidRDefault="004B117E">
            <w:pPr>
              <w:spacing w:after="0"/>
              <w:rPr>
                <w:rFonts w:cs="Arial"/>
                <w:sz w:val="18"/>
                <w:szCs w:val="18"/>
              </w:rPr>
            </w:pPr>
            <w:r>
              <w:rPr>
                <w:rFonts w:cs="Arial"/>
                <w:sz w:val="18"/>
                <w:szCs w:val="18"/>
              </w:rPr>
              <w:t xml:space="preserve">Release: decision paper </w:t>
            </w:r>
            <w:r w:rsidR="00BC42BD">
              <w:rPr>
                <w:rFonts w:cs="Arial"/>
                <w:sz w:val="18"/>
                <w:szCs w:val="18"/>
              </w:rPr>
              <w:t>and preliminary views paper for the 28 GHz band</w:t>
            </w:r>
          </w:p>
        </w:tc>
        <w:tc>
          <w:tcPr>
            <w:tcW w:w="1411"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6E81CA1" w14:textId="07265574" w:rsidR="004B117E" w:rsidRDefault="00BC42BD">
            <w:pPr>
              <w:spacing w:after="0"/>
              <w:rPr>
                <w:rFonts w:cs="Arial"/>
                <w:sz w:val="18"/>
                <w:szCs w:val="18"/>
              </w:rPr>
            </w:pPr>
            <w:r>
              <w:rPr>
                <w:rFonts w:cs="Arial"/>
                <w:sz w:val="18"/>
                <w:szCs w:val="18"/>
              </w:rPr>
              <w:t>Q3 2019</w:t>
            </w:r>
          </w:p>
        </w:tc>
      </w:tr>
      <w:tr w:rsidR="004B117E" w14:paraId="1F233372" w14:textId="77777777" w:rsidTr="005D3186">
        <w:tc>
          <w:tcPr>
            <w:tcW w:w="2269" w:type="dxa"/>
            <w:tcBorders>
              <w:top w:val="single" w:sz="4" w:space="0" w:color="auto"/>
              <w:left w:val="single" w:sz="4" w:space="0" w:color="auto"/>
              <w:bottom w:val="single" w:sz="4" w:space="0" w:color="auto"/>
              <w:right w:val="single" w:sz="4" w:space="0" w:color="auto"/>
            </w:tcBorders>
            <w:hideMark/>
          </w:tcPr>
          <w:p w14:paraId="01BF13FE" w14:textId="77777777" w:rsidR="004B117E" w:rsidRDefault="004B117E">
            <w:pPr>
              <w:spacing w:after="0"/>
              <w:rPr>
                <w:rFonts w:cs="Arial"/>
                <w:b/>
                <w:sz w:val="18"/>
                <w:szCs w:val="18"/>
              </w:rPr>
            </w:pPr>
            <w:r>
              <w:rPr>
                <w:rFonts w:cs="Arial"/>
                <w:b/>
                <w:sz w:val="18"/>
                <w:szCs w:val="18"/>
              </w:rPr>
              <w:t>Stage 3—</w:t>
            </w:r>
            <w:r>
              <w:rPr>
                <w:rFonts w:cs="Arial"/>
                <w:b/>
                <w:sz w:val="18"/>
                <w:szCs w:val="18"/>
              </w:rPr>
              <w:br/>
              <w:t>Re-farming</w:t>
            </w:r>
          </w:p>
        </w:tc>
        <w:tc>
          <w:tcPr>
            <w:tcW w:w="4270" w:type="dxa"/>
            <w:tcBorders>
              <w:top w:val="single" w:sz="4" w:space="0" w:color="auto"/>
              <w:left w:val="single" w:sz="4" w:space="0" w:color="auto"/>
              <w:bottom w:val="single" w:sz="4" w:space="0" w:color="auto"/>
              <w:right w:val="single" w:sz="4" w:space="0" w:color="auto"/>
            </w:tcBorders>
            <w:hideMark/>
          </w:tcPr>
          <w:p w14:paraId="1A6EB10C" w14:textId="77777777" w:rsidR="004B117E" w:rsidRDefault="004B117E">
            <w:pPr>
              <w:spacing w:after="0"/>
              <w:rPr>
                <w:rFonts w:cs="Arial"/>
                <w:sz w:val="18"/>
                <w:szCs w:val="18"/>
              </w:rPr>
            </w:pPr>
            <w:r>
              <w:rPr>
                <w:rFonts w:cs="Arial"/>
                <w:sz w:val="18"/>
                <w:szCs w:val="18"/>
              </w:rPr>
              <w:t xml:space="preserve">Commencement of </w:t>
            </w:r>
            <w:r>
              <w:rPr>
                <w:rFonts w:cs="Arial"/>
                <w:i/>
                <w:sz w:val="18"/>
                <w:szCs w:val="18"/>
              </w:rPr>
              <w:t>re-farming</w:t>
            </w:r>
            <w:r>
              <w:rPr>
                <w:rFonts w:cs="Arial"/>
                <w:sz w:val="18"/>
                <w:szCs w:val="18"/>
              </w:rPr>
              <w:t xml:space="preserve"> stage, if applicable</w:t>
            </w:r>
          </w:p>
        </w:tc>
        <w:tc>
          <w:tcPr>
            <w:tcW w:w="1411" w:type="dxa"/>
            <w:tcBorders>
              <w:top w:val="single" w:sz="4" w:space="0" w:color="auto"/>
              <w:left w:val="single" w:sz="4" w:space="0" w:color="auto"/>
              <w:bottom w:val="single" w:sz="4" w:space="0" w:color="auto"/>
              <w:right w:val="single" w:sz="4" w:space="0" w:color="auto"/>
            </w:tcBorders>
            <w:hideMark/>
          </w:tcPr>
          <w:p w14:paraId="238ACE90" w14:textId="1225F7C8" w:rsidR="004B117E" w:rsidRDefault="004B117E">
            <w:pPr>
              <w:spacing w:after="0"/>
              <w:rPr>
                <w:rFonts w:cs="Arial"/>
                <w:sz w:val="18"/>
                <w:szCs w:val="18"/>
                <w:highlight w:val="yellow"/>
              </w:rPr>
            </w:pPr>
            <w:r>
              <w:rPr>
                <w:rFonts w:cs="Arial"/>
                <w:sz w:val="18"/>
                <w:szCs w:val="18"/>
              </w:rPr>
              <w:t>Q4 201</w:t>
            </w:r>
            <w:r w:rsidR="00BC42BD">
              <w:rPr>
                <w:rFonts w:cs="Arial"/>
                <w:sz w:val="18"/>
                <w:szCs w:val="18"/>
              </w:rPr>
              <w:t>9</w:t>
            </w:r>
          </w:p>
        </w:tc>
      </w:tr>
    </w:tbl>
    <w:p w14:paraId="03159D83" w14:textId="77777777" w:rsidR="00FC3A1E" w:rsidRPr="001E5818" w:rsidRDefault="00FC3A1E" w:rsidP="00891823"/>
    <w:p w14:paraId="1D5FC292" w14:textId="62723509" w:rsidR="0052285A" w:rsidRPr="002F66C9" w:rsidRDefault="00502590" w:rsidP="00E61074">
      <w:pPr>
        <w:pStyle w:val="Heading1"/>
      </w:pPr>
      <w:bookmarkStart w:id="79" w:name="_Toc519765107"/>
      <w:bookmarkStart w:id="80" w:name="_Toc521585773"/>
      <w:bookmarkStart w:id="81" w:name="_Toc5000065"/>
      <w:r w:rsidRPr="002F66C9">
        <w:lastRenderedPageBreak/>
        <w:t>The process to date</w:t>
      </w:r>
      <w:bookmarkEnd w:id="79"/>
      <w:bookmarkEnd w:id="80"/>
      <w:bookmarkEnd w:id="81"/>
    </w:p>
    <w:p w14:paraId="7DB813AE" w14:textId="0F5C25DF" w:rsidR="0052285A" w:rsidRPr="002F66C9" w:rsidRDefault="00D302BE" w:rsidP="00F1614D">
      <w:pPr>
        <w:pStyle w:val="Heading2"/>
      </w:pPr>
      <w:bookmarkStart w:id="82" w:name="_Toc519765108"/>
      <w:bookmarkStart w:id="83" w:name="_Toc521585774"/>
      <w:bookmarkStart w:id="84" w:name="_Toc5000066"/>
      <w:bookmarkStart w:id="85" w:name="_Ref499046185"/>
      <w:bookmarkStart w:id="86" w:name="_Ref499046197"/>
      <w:bookmarkStart w:id="87" w:name="_Ref499109539"/>
      <w:r w:rsidRPr="002F66C9">
        <w:t>Consultation</w:t>
      </w:r>
      <w:bookmarkEnd w:id="82"/>
      <w:bookmarkEnd w:id="83"/>
      <w:bookmarkEnd w:id="84"/>
      <w:r w:rsidR="00CE62BC" w:rsidRPr="002F66C9">
        <w:t xml:space="preserve"> </w:t>
      </w:r>
      <w:bookmarkEnd w:id="85"/>
      <w:bookmarkEnd w:id="86"/>
      <w:bookmarkEnd w:id="87"/>
    </w:p>
    <w:p w14:paraId="191E70A2" w14:textId="77E8CA69" w:rsidR="000D147D" w:rsidRDefault="00B94C3F" w:rsidP="006274C7">
      <w:pPr>
        <w:spacing w:after="120"/>
        <w:rPr>
          <w:szCs w:val="20"/>
          <w:lang w:val="en"/>
        </w:rPr>
      </w:pPr>
      <w:r>
        <w:t>O</w:t>
      </w:r>
      <w:r w:rsidRPr="00B94C3F">
        <w:t>n 27 September 2018</w:t>
      </w:r>
      <w:r>
        <w:t>,</w:t>
      </w:r>
      <w:r w:rsidRPr="00B94C3F">
        <w:t xml:space="preserve"> the ACMA released the </w:t>
      </w:r>
      <w:hyperlink r:id="rId34" w:history="1">
        <w:r w:rsidRPr="00BF6698">
          <w:rPr>
            <w:rStyle w:val="Hyperlink"/>
          </w:rPr>
          <w:t xml:space="preserve">28 GHz discussion </w:t>
        </w:r>
        <w:r w:rsidR="00B11039" w:rsidRPr="00BF6698">
          <w:rPr>
            <w:rStyle w:val="Hyperlink"/>
          </w:rPr>
          <w:t>paper</w:t>
        </w:r>
      </w:hyperlink>
      <w:r w:rsidR="000D147D">
        <w:rPr>
          <w:szCs w:val="20"/>
          <w:lang w:val="en"/>
        </w:rPr>
        <w:t xml:space="preserve">. </w:t>
      </w:r>
      <w:r w:rsidR="000D147D" w:rsidRPr="00D26C78">
        <w:rPr>
          <w:szCs w:val="20"/>
          <w:lang w:val="en"/>
        </w:rPr>
        <w:t xml:space="preserve">The paper </w:t>
      </w:r>
      <w:r w:rsidR="000D147D">
        <w:rPr>
          <w:szCs w:val="20"/>
          <w:lang w:val="en"/>
        </w:rPr>
        <w:t>sought</w:t>
      </w:r>
      <w:r w:rsidR="000D147D" w:rsidRPr="00D26C78">
        <w:rPr>
          <w:szCs w:val="20"/>
          <w:lang w:val="en"/>
        </w:rPr>
        <w:t xml:space="preserve"> industry </w:t>
      </w:r>
      <w:r w:rsidR="000D147D">
        <w:rPr>
          <w:szCs w:val="20"/>
          <w:lang w:val="en"/>
        </w:rPr>
        <w:t>view</w:t>
      </w:r>
      <w:r w:rsidR="000D147D" w:rsidRPr="00D26C78">
        <w:rPr>
          <w:szCs w:val="20"/>
          <w:lang w:val="en"/>
        </w:rPr>
        <w:t xml:space="preserve"> on </w:t>
      </w:r>
      <w:r w:rsidR="000D147D">
        <w:rPr>
          <w:szCs w:val="20"/>
          <w:lang w:val="en"/>
        </w:rPr>
        <w:t>the potential uses of the entire 28 GHz (27.5</w:t>
      </w:r>
      <w:r w:rsidR="00AB0A9A">
        <w:rPr>
          <w:szCs w:val="20"/>
          <w:lang w:val="en"/>
        </w:rPr>
        <w:t>–</w:t>
      </w:r>
      <w:r w:rsidR="000D147D">
        <w:rPr>
          <w:szCs w:val="20"/>
          <w:lang w:val="en"/>
        </w:rPr>
        <w:t xml:space="preserve">29.5 GHz) band considering the latest international trends. </w:t>
      </w:r>
    </w:p>
    <w:p w14:paraId="24394FFC" w14:textId="5B9DFF87" w:rsidR="000D147D" w:rsidRDefault="000D147D" w:rsidP="005D3186">
      <w:pPr>
        <w:spacing w:after="80"/>
        <w:rPr>
          <w:szCs w:val="20"/>
          <w:lang w:val="en"/>
        </w:rPr>
      </w:pPr>
      <w:r>
        <w:rPr>
          <w:szCs w:val="20"/>
          <w:lang w:val="en"/>
        </w:rPr>
        <w:t xml:space="preserve">The discussion paper provided an overview </w:t>
      </w:r>
      <w:r w:rsidRPr="007D4FA4">
        <w:rPr>
          <w:szCs w:val="20"/>
          <w:lang w:val="en"/>
        </w:rPr>
        <w:t>o</w:t>
      </w:r>
      <w:r w:rsidR="00F348D8">
        <w:rPr>
          <w:szCs w:val="20"/>
          <w:lang w:val="en"/>
        </w:rPr>
        <w:t>f</w:t>
      </w:r>
      <w:r w:rsidRPr="007D4FA4">
        <w:rPr>
          <w:szCs w:val="20"/>
          <w:lang w:val="en"/>
        </w:rPr>
        <w:t xml:space="preserve"> usage </w:t>
      </w:r>
      <w:r w:rsidR="00F348D8">
        <w:rPr>
          <w:szCs w:val="20"/>
          <w:lang w:val="en"/>
        </w:rPr>
        <w:t xml:space="preserve">of the </w:t>
      </w:r>
      <w:r w:rsidR="00F348D8" w:rsidRPr="007D4FA4">
        <w:rPr>
          <w:szCs w:val="20"/>
          <w:lang w:val="en"/>
        </w:rPr>
        <w:t xml:space="preserve">band </w:t>
      </w:r>
      <w:r>
        <w:rPr>
          <w:szCs w:val="20"/>
          <w:lang w:val="en"/>
        </w:rPr>
        <w:t xml:space="preserve">at the </w:t>
      </w:r>
      <w:r w:rsidRPr="007D4FA4">
        <w:rPr>
          <w:szCs w:val="20"/>
          <w:lang w:val="en"/>
        </w:rPr>
        <w:t>national level</w:t>
      </w:r>
      <w:r>
        <w:rPr>
          <w:szCs w:val="20"/>
          <w:lang w:val="en"/>
        </w:rPr>
        <w:t xml:space="preserve"> and </w:t>
      </w:r>
      <w:r w:rsidRPr="007D4FA4">
        <w:rPr>
          <w:szCs w:val="20"/>
          <w:lang w:val="en"/>
        </w:rPr>
        <w:t>an overview</w:t>
      </w:r>
      <w:r>
        <w:rPr>
          <w:szCs w:val="20"/>
          <w:lang w:val="en"/>
        </w:rPr>
        <w:t xml:space="preserve"> of </w:t>
      </w:r>
      <w:r w:rsidRPr="007D4FA4">
        <w:rPr>
          <w:szCs w:val="20"/>
          <w:lang w:val="en"/>
        </w:rPr>
        <w:t>international trends</w:t>
      </w:r>
      <w:r>
        <w:rPr>
          <w:szCs w:val="20"/>
          <w:lang w:val="en"/>
        </w:rPr>
        <w:t xml:space="preserve">. The ACMA asked stakeholders to identify their interest in </w:t>
      </w:r>
      <w:r w:rsidRPr="003B5634">
        <w:rPr>
          <w:szCs w:val="20"/>
          <w:lang w:val="en"/>
        </w:rPr>
        <w:t>making use of the 28</w:t>
      </w:r>
      <w:r w:rsidR="00E21460">
        <w:rPr>
          <w:szCs w:val="20"/>
          <w:lang w:val="en"/>
        </w:rPr>
        <w:t> </w:t>
      </w:r>
      <w:r w:rsidRPr="003B5634">
        <w:rPr>
          <w:szCs w:val="20"/>
          <w:lang w:val="en"/>
        </w:rPr>
        <w:t>GHz band</w:t>
      </w:r>
      <w:r>
        <w:rPr>
          <w:szCs w:val="20"/>
          <w:lang w:val="en"/>
        </w:rPr>
        <w:t xml:space="preserve"> and </w:t>
      </w:r>
      <w:r w:rsidR="00F348D8">
        <w:rPr>
          <w:szCs w:val="20"/>
          <w:lang w:val="en"/>
        </w:rPr>
        <w:t xml:space="preserve">to </w:t>
      </w:r>
      <w:r>
        <w:rPr>
          <w:szCs w:val="20"/>
          <w:lang w:val="en"/>
        </w:rPr>
        <w:t>provide their view</w:t>
      </w:r>
      <w:r w:rsidR="00E21460">
        <w:rPr>
          <w:szCs w:val="20"/>
          <w:lang w:val="en"/>
        </w:rPr>
        <w:t>s</w:t>
      </w:r>
      <w:r>
        <w:rPr>
          <w:szCs w:val="20"/>
          <w:lang w:val="en"/>
        </w:rPr>
        <w:t xml:space="preserve"> on three specific questions:</w:t>
      </w:r>
    </w:p>
    <w:p w14:paraId="45BE369C" w14:textId="77777777" w:rsidR="000D147D" w:rsidRPr="00D50C86" w:rsidRDefault="000D147D" w:rsidP="00D50C86">
      <w:pPr>
        <w:pStyle w:val="ListNumber"/>
        <w:numPr>
          <w:ilvl w:val="0"/>
          <w:numId w:val="81"/>
        </w:numPr>
      </w:pPr>
      <w:r w:rsidRPr="00D50C86">
        <w:t>How</w:t>
      </w:r>
      <w:r w:rsidRPr="001360C6">
        <w:t xml:space="preserve"> </w:t>
      </w:r>
      <w:r w:rsidRPr="00D50C86">
        <w:t>much spectrum is required to provide the service?</w:t>
      </w:r>
    </w:p>
    <w:p w14:paraId="2D41E420" w14:textId="77777777" w:rsidR="000D147D" w:rsidRPr="00D50C86" w:rsidRDefault="000D147D" w:rsidP="00D50C86">
      <w:pPr>
        <w:pStyle w:val="ListNumber"/>
      </w:pPr>
      <w:r w:rsidRPr="00D50C86">
        <w:t>Is there a clear geographical delineation—for example, metropolitan or regional for the service?</w:t>
      </w:r>
    </w:p>
    <w:p w14:paraId="53D97737" w14:textId="77777777" w:rsidR="000D147D" w:rsidRDefault="000D147D" w:rsidP="005D3186">
      <w:pPr>
        <w:pStyle w:val="ListNumberLast"/>
      </w:pPr>
      <w:r w:rsidRPr="00D50C86">
        <w:t>Is there or</w:t>
      </w:r>
      <w:r w:rsidRPr="001360C6">
        <w:t xml:space="preserve"> will there be readily available equipment for the service?</w:t>
      </w:r>
    </w:p>
    <w:p w14:paraId="12679A6A" w14:textId="38AA24DE" w:rsidR="00DD2A4B" w:rsidRPr="00A748BB" w:rsidRDefault="00775434" w:rsidP="00BB4AB9">
      <w:pPr>
        <w:spacing w:before="120" w:after="120" w:line="240" w:lineRule="auto"/>
      </w:pPr>
      <w:r>
        <w:t>T</w:t>
      </w:r>
      <w:r w:rsidR="001524EA" w:rsidRPr="00091F55">
        <w:t xml:space="preserve">he following </w:t>
      </w:r>
      <w:r w:rsidR="00D50C86">
        <w:t>‘</w:t>
      </w:r>
      <w:r w:rsidR="008F7439" w:rsidRPr="005D3186">
        <w:t xml:space="preserve">Summary of </w:t>
      </w:r>
      <w:r w:rsidR="00D50C86" w:rsidRPr="005D3186">
        <w:t>s</w:t>
      </w:r>
      <w:r w:rsidR="008F7439" w:rsidRPr="005D3186">
        <w:t>ubmissions</w:t>
      </w:r>
      <w:r w:rsidR="00D50C86">
        <w:t>’</w:t>
      </w:r>
      <w:r w:rsidR="001524EA" w:rsidRPr="001E5818">
        <w:t xml:space="preserve"> section</w:t>
      </w:r>
      <w:r>
        <w:t xml:space="preserve"> contains r</w:t>
      </w:r>
      <w:r w:rsidRPr="00091F55">
        <w:t>esponses to this consultation process</w:t>
      </w:r>
      <w:r w:rsidR="001524EA" w:rsidRPr="001E5818">
        <w:t>.</w:t>
      </w:r>
    </w:p>
    <w:p w14:paraId="2B9B7F38" w14:textId="77777777" w:rsidR="0052285A" w:rsidRPr="00091F55" w:rsidRDefault="00D302BE" w:rsidP="00F1614D">
      <w:pPr>
        <w:pStyle w:val="Heading2"/>
      </w:pPr>
      <w:bookmarkStart w:id="88" w:name="_Ref498953609"/>
      <w:bookmarkStart w:id="89" w:name="_Toc519765109"/>
      <w:bookmarkStart w:id="90" w:name="_Toc521585775"/>
      <w:bookmarkStart w:id="91" w:name="_Toc5000067"/>
      <w:r w:rsidRPr="001E5818">
        <w:t>Summary of sub</w:t>
      </w:r>
      <w:r w:rsidR="00AC35B2" w:rsidRPr="00A05EC9">
        <w:t>mission</w:t>
      </w:r>
      <w:r w:rsidR="00AC35B2" w:rsidRPr="005E6D37">
        <w:t>s</w:t>
      </w:r>
      <w:bookmarkEnd w:id="88"/>
      <w:bookmarkEnd w:id="89"/>
      <w:bookmarkEnd w:id="90"/>
      <w:bookmarkEnd w:id="91"/>
    </w:p>
    <w:p w14:paraId="333D19EC" w14:textId="66E6F5E9" w:rsidR="00FB13D9" w:rsidRDefault="00FB13D9" w:rsidP="005D3186">
      <w:pPr>
        <w:spacing w:after="80"/>
        <w:rPr>
          <w:szCs w:val="20"/>
          <w:lang w:val="en"/>
        </w:rPr>
      </w:pPr>
      <w:r>
        <w:rPr>
          <w:szCs w:val="20"/>
          <w:lang w:val="en"/>
        </w:rPr>
        <w:t xml:space="preserve">The ACMA received 24 </w:t>
      </w:r>
      <w:r>
        <w:rPr>
          <w:lang w:val="en"/>
        </w:rPr>
        <w:t xml:space="preserve">submissions to the discussion paper. </w:t>
      </w:r>
      <w:r w:rsidR="00775434">
        <w:t>Full s</w:t>
      </w:r>
      <w:r w:rsidR="000840BF" w:rsidRPr="00F26E80">
        <w:t xml:space="preserve">ubmissions to </w:t>
      </w:r>
      <w:r w:rsidR="00234302">
        <w:t xml:space="preserve">the </w:t>
      </w:r>
      <w:r w:rsidR="000840BF" w:rsidRPr="00F26E80">
        <w:t>consultation process</w:t>
      </w:r>
      <w:r w:rsidR="00234302">
        <w:t xml:space="preserve"> can be found </w:t>
      </w:r>
      <w:r w:rsidR="00672B86">
        <w:t xml:space="preserve">on the </w:t>
      </w:r>
      <w:hyperlink r:id="rId35" w:history="1">
        <w:r w:rsidR="00672B86" w:rsidRPr="00672B86">
          <w:rPr>
            <w:rStyle w:val="Hyperlink"/>
          </w:rPr>
          <w:t>ACMA’s website</w:t>
        </w:r>
      </w:hyperlink>
      <w:r w:rsidR="00234302">
        <w:t>.</w:t>
      </w:r>
      <w:r w:rsidR="000840BF" w:rsidRPr="00F26E80">
        <w:t xml:space="preserve"> </w:t>
      </w:r>
      <w:r>
        <w:rPr>
          <w:szCs w:val="20"/>
          <w:lang w:val="en"/>
        </w:rPr>
        <w:t xml:space="preserve">The main applications/services </w:t>
      </w:r>
      <w:r w:rsidR="0065685E">
        <w:rPr>
          <w:szCs w:val="20"/>
          <w:lang w:val="en"/>
        </w:rPr>
        <w:t>identified in submissions as interested in using the 28 GHz band were</w:t>
      </w:r>
      <w:r>
        <w:rPr>
          <w:szCs w:val="20"/>
          <w:lang w:val="en"/>
        </w:rPr>
        <w:t>:</w:t>
      </w:r>
    </w:p>
    <w:p w14:paraId="1C1BC7F8" w14:textId="4728D1FB" w:rsidR="00D03F08" w:rsidRDefault="004A4CF5" w:rsidP="00D03F08">
      <w:pPr>
        <w:pStyle w:val="ListBullet"/>
        <w:keepNext/>
        <w:keepLines/>
        <w:spacing w:line="240" w:lineRule="atLeast"/>
      </w:pPr>
      <w:bookmarkStart w:id="92" w:name="_Hlk2351183"/>
      <w:bookmarkStart w:id="93" w:name="_Hlk2776070"/>
      <w:r>
        <w:t>w</w:t>
      </w:r>
      <w:r w:rsidR="00D03F08">
        <w:t>ide-area wireless Broadband (WWB) services which are deployments traditionally undertaken by large mobile network operators (MNOs) or some fixed telecommunication carriers</w:t>
      </w:r>
    </w:p>
    <w:p w14:paraId="70D33B86" w14:textId="6C54759B" w:rsidR="00D03F08" w:rsidRDefault="004A4CF5" w:rsidP="00D03F08">
      <w:pPr>
        <w:pStyle w:val="ListBullet"/>
        <w:keepNext/>
        <w:keepLines/>
        <w:spacing w:line="240" w:lineRule="atLeast"/>
      </w:pPr>
      <w:r>
        <w:t>f</w:t>
      </w:r>
      <w:r w:rsidR="00D03F08" w:rsidRPr="00BD1A91">
        <w:t>ixed wireless access</w:t>
      </w:r>
      <w:r w:rsidR="00D03F08" w:rsidRPr="000D17A2">
        <w:t xml:space="preserve"> </w:t>
      </w:r>
      <w:r w:rsidR="00D03F08">
        <w:t>(FWA) services which refers to smaller, local area subscriber services such as those provided by wireless internet service providers (WISPs) or other dedicated (e.g. miners, local government) wireless (generally fixed) broadband networks</w:t>
      </w:r>
    </w:p>
    <w:p w14:paraId="6DA72F8F" w14:textId="08C7C2AC" w:rsidR="001E4711" w:rsidRDefault="004A4CF5" w:rsidP="00D03F08">
      <w:pPr>
        <w:pStyle w:val="ListBullet"/>
        <w:keepNext/>
        <w:keepLines/>
        <w:spacing w:line="240" w:lineRule="atLeast"/>
      </w:pPr>
      <w:r>
        <w:t>f</w:t>
      </w:r>
      <w:r w:rsidR="00D03F08">
        <w:t>ixed satellite service (FSS) which refers to gateway earth stations</w:t>
      </w:r>
      <w:r w:rsidR="000B14C8">
        <w:t xml:space="preserve"> (FSS gateways)</w:t>
      </w:r>
      <w:r w:rsidR="00D03F08">
        <w:t xml:space="preserve"> and ubiquitous earth stations (fixed earth stations at unknown locations and earth stations in motion (ESIM), typically authorised to operate under a class licence)</w:t>
      </w:r>
    </w:p>
    <w:p w14:paraId="6F934EA1" w14:textId="7347923E" w:rsidR="0065685E" w:rsidRDefault="004A4CF5" w:rsidP="00A37173">
      <w:pPr>
        <w:pStyle w:val="ListBullet"/>
        <w:keepNext/>
        <w:keepLines/>
        <w:spacing w:line="240" w:lineRule="atLeast"/>
        <w:rPr>
          <w:szCs w:val="20"/>
          <w:lang w:val="en"/>
        </w:rPr>
      </w:pPr>
      <w:r>
        <w:t>f</w:t>
      </w:r>
      <w:r w:rsidR="00D03F08">
        <w:t xml:space="preserve">ixed </w:t>
      </w:r>
      <w:r>
        <w:t>point-to-</w:t>
      </w:r>
      <w:r w:rsidR="00D03F08">
        <w:t>point services (PTP) which are used by many different services and operators to backhaul data</w:t>
      </w:r>
    </w:p>
    <w:p w14:paraId="2C0BBC5C" w14:textId="1BC23BB4" w:rsidR="00FD2CE5" w:rsidRPr="008264BA" w:rsidRDefault="004A4CF5" w:rsidP="00A37173">
      <w:pPr>
        <w:pStyle w:val="ListBullet"/>
        <w:keepNext/>
        <w:keepLines/>
        <w:spacing w:line="240" w:lineRule="atLeast"/>
        <w:rPr>
          <w:szCs w:val="20"/>
          <w:lang w:val="en"/>
        </w:rPr>
      </w:pPr>
      <w:r>
        <w:t>h</w:t>
      </w:r>
      <w:r w:rsidR="0065685E">
        <w:t>igh altitude platform stations (HAPS) which operate at altitudes of 20-50 km and are proposed for the provision of broadband services.</w:t>
      </w:r>
      <w:bookmarkEnd w:id="92"/>
    </w:p>
    <w:bookmarkEnd w:id="93"/>
    <w:p w14:paraId="119A8CAD" w14:textId="26849CF0" w:rsidR="00014EE7" w:rsidRPr="00FA520E" w:rsidRDefault="003C6906" w:rsidP="005D3186">
      <w:pPr>
        <w:pStyle w:val="BodySubHeader"/>
      </w:pPr>
      <w:r w:rsidRPr="00FA520E">
        <w:t>FWA</w:t>
      </w:r>
    </w:p>
    <w:p w14:paraId="71139160" w14:textId="77777777" w:rsidR="00014EE7" w:rsidRDefault="00014EE7" w:rsidP="005D3186">
      <w:r>
        <w:t xml:space="preserve">The ACMA received three submissions that provided </w:t>
      </w:r>
      <w:r w:rsidRPr="003A26A7">
        <w:t xml:space="preserve">comment </w:t>
      </w:r>
      <w:r>
        <w:t>on</w:t>
      </w:r>
      <w:r w:rsidRPr="003A26A7">
        <w:t xml:space="preserve"> </w:t>
      </w:r>
      <w:r>
        <w:t xml:space="preserve">FWA </w:t>
      </w:r>
      <w:r w:rsidRPr="003A26A7">
        <w:t>application</w:t>
      </w:r>
      <w:r>
        <w:t>s</w:t>
      </w:r>
      <w:r w:rsidRPr="003A26A7">
        <w:t xml:space="preserve">.  </w:t>
      </w:r>
    </w:p>
    <w:p w14:paraId="16BD097D" w14:textId="00EE5033" w:rsidR="00014EE7" w:rsidRPr="00FA520E" w:rsidRDefault="00014EE7" w:rsidP="005D3186">
      <w:pPr>
        <w:pStyle w:val="Bodysubheader0"/>
      </w:pPr>
      <w:r w:rsidRPr="00FA520E">
        <w:rPr>
          <w:rStyle w:val="Heading3Char"/>
          <w:rFonts w:cs="Times New Roman"/>
          <w:b/>
          <w:bCs w:val="0"/>
          <w:szCs w:val="24"/>
        </w:rPr>
        <w:t>Spectrum requirements</w:t>
      </w:r>
    </w:p>
    <w:p w14:paraId="6D21AC64" w14:textId="512A7795" w:rsidR="00014EE7" w:rsidRDefault="00014EE7" w:rsidP="005D3186">
      <w:r>
        <w:t xml:space="preserve">Only one submission provided an indication of the required spectrum for FWA. The submission indicated that up to 1 GHz of spectrum </w:t>
      </w:r>
      <w:r w:rsidR="00881445">
        <w:t>sh</w:t>
      </w:r>
      <w:r>
        <w:t>ould be provide</w:t>
      </w:r>
      <w:r w:rsidR="00881445">
        <w:t>d</w:t>
      </w:r>
      <w:r>
        <w:t xml:space="preserve"> </w:t>
      </w:r>
      <w:r w:rsidR="00881445">
        <w:t>for</w:t>
      </w:r>
      <w:r>
        <w:t xml:space="preserve"> FWA service</w:t>
      </w:r>
      <w:r w:rsidR="00881445">
        <w:t>s</w:t>
      </w:r>
      <w:r>
        <w:t>.</w:t>
      </w:r>
    </w:p>
    <w:p w14:paraId="3FDF6A12" w14:textId="34360D39" w:rsidR="00014EE7" w:rsidRDefault="00014EE7" w:rsidP="005D3186">
      <w:r>
        <w:t>All three submission</w:t>
      </w:r>
      <w:r w:rsidR="00E729BD">
        <w:t>s</w:t>
      </w:r>
      <w:r>
        <w:t xml:space="preserve"> </w:t>
      </w:r>
      <w:r w:rsidR="00E8205E">
        <w:t xml:space="preserve">indicated </w:t>
      </w:r>
      <w:r>
        <w:t xml:space="preserve">that either 100 MHz (for proposed 5G equipment) or 112 MHz (for existing FWA equipment) channel widths are required to provide effective FWA services. </w:t>
      </w:r>
    </w:p>
    <w:p w14:paraId="78F5042F" w14:textId="77777777" w:rsidR="00014EE7" w:rsidRPr="00FA520E" w:rsidRDefault="00014EE7" w:rsidP="005D3186">
      <w:pPr>
        <w:pStyle w:val="BodySubHeader"/>
      </w:pPr>
      <w:r w:rsidRPr="00FA520E">
        <w:t>Geographical delineation</w:t>
      </w:r>
    </w:p>
    <w:p w14:paraId="6AAE827F" w14:textId="0E4C9316" w:rsidR="00014EE7" w:rsidRDefault="00014EE7" w:rsidP="005D3186">
      <w:r>
        <w:t>Two of the submission</w:t>
      </w:r>
      <w:r w:rsidR="00E729BD">
        <w:t>s</w:t>
      </w:r>
      <w:r>
        <w:t xml:space="preserve"> indicated that the expected deployment of FWA would be predominantly in urban and suburban locations. </w:t>
      </w:r>
      <w:r w:rsidR="00353584">
        <w:t>One</w:t>
      </w:r>
      <w:r>
        <w:t xml:space="preserve"> submission indicated that FWA should not be constricted to any location and should be considered on an Australia wide basis.</w:t>
      </w:r>
    </w:p>
    <w:p w14:paraId="43D1330E" w14:textId="77777777" w:rsidR="00014EE7" w:rsidRPr="00C930B5" w:rsidRDefault="00014EE7" w:rsidP="005D3186">
      <w:pPr>
        <w:pStyle w:val="BodySubHeader"/>
      </w:pPr>
      <w:r w:rsidRPr="00C930B5">
        <w:t xml:space="preserve">Equipment </w:t>
      </w:r>
      <w:r w:rsidRPr="00FA520E">
        <w:t>availability</w:t>
      </w:r>
    </w:p>
    <w:p w14:paraId="4BA06FA9" w14:textId="2E0AF5A3" w:rsidR="00014EE7" w:rsidRDefault="00014EE7" w:rsidP="005D3186">
      <w:r w:rsidRPr="003A26A7">
        <w:t xml:space="preserve">All three </w:t>
      </w:r>
      <w:r>
        <w:t>submissions</w:t>
      </w:r>
      <w:r w:rsidRPr="003A26A7">
        <w:t xml:space="preserve"> </w:t>
      </w:r>
      <w:r>
        <w:t>indicated</w:t>
      </w:r>
      <w:r w:rsidRPr="003A26A7">
        <w:t xml:space="preserve"> that equipment is readily available </w:t>
      </w:r>
      <w:r w:rsidR="00F348D8">
        <w:t xml:space="preserve">for </w:t>
      </w:r>
      <w:r w:rsidR="00417E9B">
        <w:t>the</w:t>
      </w:r>
      <w:r w:rsidRPr="003A26A7">
        <w:t xml:space="preserve"> 28 GHz band.</w:t>
      </w:r>
    </w:p>
    <w:p w14:paraId="64E87C7C" w14:textId="4FE690D2" w:rsidR="00014EE7" w:rsidRPr="00C930B5" w:rsidRDefault="00014EE7" w:rsidP="005D3186">
      <w:pPr>
        <w:pStyle w:val="BodySubHeader"/>
      </w:pPr>
      <w:r w:rsidRPr="00C930B5">
        <w:lastRenderedPageBreak/>
        <w:t xml:space="preserve">Sharing </w:t>
      </w:r>
      <w:r w:rsidR="00A106EE">
        <w:t>c</w:t>
      </w:r>
      <w:r w:rsidRPr="00C930B5">
        <w:t>apability</w:t>
      </w:r>
    </w:p>
    <w:p w14:paraId="45FC95EF" w14:textId="402F729A" w:rsidR="00014EE7" w:rsidRDefault="00014EE7" w:rsidP="005D3186">
      <w:r>
        <w:t>Two of the submission</w:t>
      </w:r>
      <w:r w:rsidR="00E729BD">
        <w:t>s</w:t>
      </w:r>
      <w:r>
        <w:t xml:space="preserve"> indicated that FWA should be able to share with other services, in particular </w:t>
      </w:r>
      <w:r w:rsidR="00417E9B">
        <w:t>PTP</w:t>
      </w:r>
      <w:r>
        <w:t xml:space="preserve"> services, in a coordinated manner.</w:t>
      </w:r>
    </w:p>
    <w:p w14:paraId="0610D974" w14:textId="77777777" w:rsidR="00014EE7" w:rsidRPr="00C930B5" w:rsidRDefault="00014EE7" w:rsidP="005D3186">
      <w:pPr>
        <w:pStyle w:val="BodySubHeader"/>
      </w:pPr>
      <w:r w:rsidRPr="00C930B5">
        <w:t>Licensing arrangements</w:t>
      </w:r>
    </w:p>
    <w:p w14:paraId="07D3133C" w14:textId="7BD78FAE" w:rsidR="00014EE7" w:rsidRDefault="00014EE7" w:rsidP="005D3186">
      <w:pPr>
        <w:rPr>
          <w:rFonts w:cs="Arial"/>
          <w:b/>
          <w:bCs/>
          <w:iCs/>
          <w:sz w:val="28"/>
          <w:szCs w:val="28"/>
        </w:rPr>
      </w:pPr>
      <w:r>
        <w:t xml:space="preserve">Two of the submissions preferred </w:t>
      </w:r>
      <w:r w:rsidR="00DB04E0">
        <w:t>site</w:t>
      </w:r>
      <w:r w:rsidR="00DA52E3">
        <w:t>-</w:t>
      </w:r>
      <w:r w:rsidR="00DB04E0">
        <w:t xml:space="preserve">based </w:t>
      </w:r>
      <w:r>
        <w:t>apparatus licensing arrangements where possible. One submission suggested considering dynamic spectrum licensing management where possible.</w:t>
      </w:r>
    </w:p>
    <w:p w14:paraId="4C904A6F" w14:textId="3BE9B620" w:rsidR="00014EE7" w:rsidRPr="002B360D" w:rsidRDefault="00014EE7" w:rsidP="005D3186">
      <w:pPr>
        <w:pStyle w:val="BodySubHeader"/>
      </w:pPr>
      <w:r w:rsidRPr="002B360D">
        <w:t xml:space="preserve">Fixed satellite services (FSS) </w:t>
      </w:r>
    </w:p>
    <w:p w14:paraId="53D6C662" w14:textId="77777777" w:rsidR="00014EE7" w:rsidRDefault="00014EE7" w:rsidP="005D3186">
      <w:pPr>
        <w:rPr>
          <w:rFonts w:asciiTheme="minorBidi" w:hAnsiTheme="minorBidi"/>
        </w:rPr>
      </w:pPr>
      <w:r w:rsidRPr="002B360D">
        <w:t>The ACMA received nine submissions that provided comment on FSS applications</w:t>
      </w:r>
      <w:r w:rsidRPr="003A26A7">
        <w:rPr>
          <w:rFonts w:asciiTheme="minorBidi" w:hAnsiTheme="minorBidi"/>
        </w:rPr>
        <w:t xml:space="preserve">.  </w:t>
      </w:r>
    </w:p>
    <w:p w14:paraId="7185702B" w14:textId="77777777" w:rsidR="00014EE7" w:rsidRPr="00FA520E" w:rsidRDefault="00014EE7" w:rsidP="005D3186">
      <w:pPr>
        <w:pStyle w:val="BodySubHeader"/>
      </w:pPr>
      <w:r w:rsidRPr="00FA520E">
        <w:rPr>
          <w:rStyle w:val="Heading3Char"/>
          <w:rFonts w:cs="Times New Roman"/>
          <w:b/>
          <w:bCs w:val="0"/>
          <w:szCs w:val="24"/>
        </w:rPr>
        <w:t>Spectrum requirements</w:t>
      </w:r>
    </w:p>
    <w:p w14:paraId="272D2845" w14:textId="012D2C19" w:rsidR="00014EE7" w:rsidRPr="00D643C8" w:rsidRDefault="00014EE7" w:rsidP="005D3186">
      <w:r>
        <w:t>Six of the submission</w:t>
      </w:r>
      <w:r w:rsidR="00E729BD">
        <w:t>s</w:t>
      </w:r>
      <w:r>
        <w:t xml:space="preserve"> supported the whole band being allocated to FSS </w:t>
      </w:r>
      <w:r w:rsidRPr="004C4E81">
        <w:t>on an exclusive basis for both gateway and ubiquitous</w:t>
      </w:r>
      <w:r w:rsidR="00417E9B">
        <w:t xml:space="preserve"> </w:t>
      </w:r>
      <w:r w:rsidRPr="004C4E81">
        <w:t>FSS earth stations</w:t>
      </w:r>
      <w:r>
        <w:t xml:space="preserve">. One submission </w:t>
      </w:r>
      <w:r w:rsidR="00BD1A91">
        <w:t xml:space="preserve">only </w:t>
      </w:r>
      <w:r>
        <w:t xml:space="preserve">supported the allocation of 27.5 - 29.1 GHz </w:t>
      </w:r>
      <w:r w:rsidR="00BD1A91">
        <w:t>for such use</w:t>
      </w:r>
      <w:r>
        <w:t>.</w:t>
      </w:r>
    </w:p>
    <w:p w14:paraId="0A6EA248" w14:textId="77777777" w:rsidR="00014EE7" w:rsidRPr="00C930B5" w:rsidRDefault="00014EE7" w:rsidP="005D3186">
      <w:pPr>
        <w:pStyle w:val="BodySubHeader"/>
      </w:pPr>
      <w:r w:rsidRPr="00C930B5">
        <w:t>Geographical delineation</w:t>
      </w:r>
    </w:p>
    <w:p w14:paraId="51545502" w14:textId="757E2DAD" w:rsidR="00014EE7" w:rsidRDefault="00014EE7" w:rsidP="005D3186">
      <w:r>
        <w:t xml:space="preserve">Eight responses indicated that the whole </w:t>
      </w:r>
      <w:r w:rsidR="00BD1A91">
        <w:t xml:space="preserve">of </w:t>
      </w:r>
      <w:r>
        <w:t xml:space="preserve">Australia should be considered for </w:t>
      </w:r>
      <w:r w:rsidR="00BD1A91">
        <w:t xml:space="preserve">use by the </w:t>
      </w:r>
      <w:r>
        <w:t>FSS</w:t>
      </w:r>
      <w:r w:rsidR="00BD1A91">
        <w:t>, in particular</w:t>
      </w:r>
      <w:r w:rsidR="00E729BD">
        <w:t>, for</w:t>
      </w:r>
      <w:r w:rsidR="00BD1A91">
        <w:t xml:space="preserve"> ubiquitous FSS earth stations</w:t>
      </w:r>
      <w:r>
        <w:t xml:space="preserve">. Due to the nature of </w:t>
      </w:r>
      <w:r w:rsidRPr="000E3549">
        <w:t>ubiquitous FSS earth stations</w:t>
      </w:r>
      <w:r w:rsidR="00357341">
        <w:t xml:space="preserve"> </w:t>
      </w:r>
      <w:r w:rsidR="00BD1A91">
        <w:t>(particularly mobile earth stations)</w:t>
      </w:r>
      <w:r>
        <w:t xml:space="preserve">, </w:t>
      </w:r>
      <w:r w:rsidR="00BD1A91">
        <w:t>it was</w:t>
      </w:r>
      <w:r>
        <w:t xml:space="preserve"> argued that restricting </w:t>
      </w:r>
      <w:r w:rsidR="00BD1A91">
        <w:t xml:space="preserve">use </w:t>
      </w:r>
      <w:r>
        <w:t xml:space="preserve">to particular areas </w:t>
      </w:r>
      <w:r w:rsidR="00BD1A91">
        <w:t>would</w:t>
      </w:r>
      <w:r>
        <w:t xml:space="preserve"> not </w:t>
      </w:r>
      <w:r w:rsidR="00BD1A91">
        <w:t xml:space="preserve">be </w:t>
      </w:r>
      <w:r>
        <w:t xml:space="preserve">practical. </w:t>
      </w:r>
    </w:p>
    <w:p w14:paraId="2B4E180D" w14:textId="77777777" w:rsidR="00014EE7" w:rsidRPr="00C930B5" w:rsidRDefault="00014EE7" w:rsidP="005D3186">
      <w:pPr>
        <w:pStyle w:val="BodySubHeader"/>
      </w:pPr>
      <w:r w:rsidRPr="00C930B5">
        <w:t>Equipment availability</w:t>
      </w:r>
    </w:p>
    <w:p w14:paraId="6DFD7AE5" w14:textId="4C910C3E" w:rsidR="00014EE7" w:rsidRDefault="00014EE7" w:rsidP="005D3186">
      <w:r w:rsidRPr="003A26A7">
        <w:t xml:space="preserve">All </w:t>
      </w:r>
      <w:r>
        <w:t>submissions</w:t>
      </w:r>
      <w:r w:rsidRPr="003A26A7">
        <w:t xml:space="preserve"> </w:t>
      </w:r>
      <w:r>
        <w:t>indicated</w:t>
      </w:r>
      <w:r w:rsidRPr="003A26A7">
        <w:t xml:space="preserve"> that equipment is readily available </w:t>
      </w:r>
      <w:r w:rsidR="00357341">
        <w:t xml:space="preserve">for </w:t>
      </w:r>
      <w:r w:rsidR="001111A7">
        <w:t>the</w:t>
      </w:r>
      <w:r w:rsidRPr="003A26A7">
        <w:t xml:space="preserve"> 28 GHz band</w:t>
      </w:r>
      <w:r>
        <w:t xml:space="preserve"> for </w:t>
      </w:r>
      <w:r w:rsidR="001111A7">
        <w:t xml:space="preserve">both </w:t>
      </w:r>
      <w:r>
        <w:t xml:space="preserve">gateway and </w:t>
      </w:r>
      <w:r w:rsidR="001111A7">
        <w:t>ubiquitous FSS earth station</w:t>
      </w:r>
      <w:r w:rsidR="00357341">
        <w:t>s</w:t>
      </w:r>
      <w:r w:rsidR="00306803">
        <w:t xml:space="preserve">, and equipment is being developed to support new </w:t>
      </w:r>
      <w:r w:rsidR="00357341">
        <w:t xml:space="preserve">FSS </w:t>
      </w:r>
      <w:r w:rsidR="00306803">
        <w:t>systems.</w:t>
      </w:r>
    </w:p>
    <w:p w14:paraId="30608AAB" w14:textId="5B4EA114" w:rsidR="00014EE7" w:rsidRPr="00C930B5" w:rsidRDefault="00014EE7" w:rsidP="005D3186">
      <w:pPr>
        <w:pStyle w:val="BodySubHeader"/>
      </w:pPr>
      <w:r w:rsidRPr="00C930B5">
        <w:t xml:space="preserve">Sharing </w:t>
      </w:r>
      <w:r w:rsidR="00C2461E">
        <w:t>c</w:t>
      </w:r>
      <w:r w:rsidRPr="00C930B5">
        <w:t>apability</w:t>
      </w:r>
    </w:p>
    <w:p w14:paraId="02B4961F" w14:textId="738F7605" w:rsidR="00014EE7" w:rsidRDefault="00014EE7" w:rsidP="005D3186">
      <w:r>
        <w:t>All nine submissions rejected any sharing possibilities with mobile broadband</w:t>
      </w:r>
      <w:r w:rsidR="00495747">
        <w:t xml:space="preserve"> services</w:t>
      </w:r>
      <w:r>
        <w:t>. The submission</w:t>
      </w:r>
      <w:r w:rsidR="00BF115C">
        <w:t>s</w:t>
      </w:r>
      <w:r>
        <w:t xml:space="preserve"> referred to technical studies undertaken </w:t>
      </w:r>
      <w:r w:rsidR="00357341">
        <w:t xml:space="preserve">for </w:t>
      </w:r>
      <w:r>
        <w:t xml:space="preserve">this scenario as well as the </w:t>
      </w:r>
      <w:r w:rsidR="00495747">
        <w:t xml:space="preserve">difficulty in managing interference between </w:t>
      </w:r>
      <w:r>
        <w:t xml:space="preserve">services that include </w:t>
      </w:r>
      <w:r w:rsidR="00867056">
        <w:t xml:space="preserve">ubiquitously deployed and </w:t>
      </w:r>
      <w:r w:rsidR="00495747">
        <w:t xml:space="preserve">mobile </w:t>
      </w:r>
      <w:r>
        <w:t>user</w:t>
      </w:r>
      <w:r w:rsidR="00867056">
        <w:t xml:space="preserve"> terminals</w:t>
      </w:r>
      <w:r w:rsidR="00495747">
        <w:t xml:space="preserve"> operating in the same area</w:t>
      </w:r>
      <w:r>
        <w:t xml:space="preserve">. One submission </w:t>
      </w:r>
      <w:r w:rsidR="00A258CF">
        <w:t>indicated their belief that it is feasible for FSS to share</w:t>
      </w:r>
      <w:r>
        <w:t xml:space="preserve"> with fixed broadband. </w:t>
      </w:r>
      <w:r w:rsidR="00A258CF">
        <w:t xml:space="preserve">Another </w:t>
      </w:r>
      <w:r>
        <w:t>submission suggested put</w:t>
      </w:r>
      <w:r w:rsidR="00495747">
        <w:t>ting</w:t>
      </w:r>
      <w:r>
        <w:t xml:space="preserve"> in place an embargo on </w:t>
      </w:r>
      <w:r w:rsidR="00495747">
        <w:t>new PTP services</w:t>
      </w:r>
      <w:r>
        <w:t xml:space="preserve"> in this band.  </w:t>
      </w:r>
    </w:p>
    <w:p w14:paraId="64EFC820" w14:textId="77777777" w:rsidR="00014EE7" w:rsidRPr="00C930B5" w:rsidRDefault="00014EE7" w:rsidP="005D3186">
      <w:pPr>
        <w:pStyle w:val="BodySubHeader"/>
      </w:pPr>
      <w:r w:rsidRPr="00C930B5">
        <w:t>Licensing arrangements</w:t>
      </w:r>
    </w:p>
    <w:p w14:paraId="5DDD5B8D" w14:textId="1B88C854" w:rsidR="00014EE7" w:rsidRDefault="00014EE7" w:rsidP="005D3186">
      <w:r>
        <w:t>Most submission</w:t>
      </w:r>
      <w:r w:rsidR="00E729BD">
        <w:t>s</w:t>
      </w:r>
      <w:r>
        <w:t xml:space="preserve"> supported the existing licensing arrangements</w:t>
      </w:r>
      <w:r w:rsidR="00E534C0">
        <w:t xml:space="preserve"> for gateway earth stations and extending class licence arrangements to support ubiquitous FSS earth stations across the entire 28</w:t>
      </w:r>
      <w:r w:rsidR="002D5C69">
        <w:t> </w:t>
      </w:r>
      <w:r w:rsidR="00E534C0">
        <w:t>GHz band</w:t>
      </w:r>
      <w:r>
        <w:t xml:space="preserve">. </w:t>
      </w:r>
    </w:p>
    <w:p w14:paraId="100E1E98" w14:textId="77777777" w:rsidR="00014EE7" w:rsidRPr="00435704" w:rsidRDefault="00014EE7" w:rsidP="005D3186">
      <w:pPr>
        <w:pStyle w:val="BodySubHeader"/>
      </w:pPr>
      <w:r w:rsidRPr="00946F00">
        <w:t>Additional comments</w:t>
      </w:r>
    </w:p>
    <w:p w14:paraId="08B8760E" w14:textId="08509764" w:rsidR="00014EE7" w:rsidRDefault="00D50B0D" w:rsidP="005D3186">
      <w:pPr>
        <w:spacing w:after="80"/>
      </w:pPr>
      <w:bookmarkStart w:id="94" w:name="_Hlk2845448"/>
      <w:r w:rsidRPr="00D50B0D">
        <w:t xml:space="preserve">A common theme </w:t>
      </w:r>
      <w:r w:rsidR="00B8133B">
        <w:t>of</w:t>
      </w:r>
      <w:r w:rsidR="00B8133B" w:rsidRPr="00D50B0D">
        <w:t xml:space="preserve"> </w:t>
      </w:r>
      <w:r w:rsidRPr="00D50B0D">
        <w:t xml:space="preserve">all </w:t>
      </w:r>
      <w:r w:rsidR="00B8133B">
        <w:t xml:space="preserve">the </w:t>
      </w:r>
      <w:r w:rsidRPr="00D50B0D">
        <w:t xml:space="preserve">submissions supporting FSS was that no further provision of spectrum should be made for </w:t>
      </w:r>
      <w:r w:rsidR="00B153D9">
        <w:t>WWB</w:t>
      </w:r>
      <w:r>
        <w:t>.</w:t>
      </w:r>
      <w:r w:rsidRPr="00D50B0D">
        <w:t xml:space="preserve"> </w:t>
      </w:r>
      <w:r w:rsidR="00E633C3">
        <w:t xml:space="preserve">Three </w:t>
      </w:r>
      <w:r w:rsidR="00E633C3" w:rsidRPr="002427C2">
        <w:t>reasons</w:t>
      </w:r>
      <w:r w:rsidR="00014EE7" w:rsidRPr="002427C2">
        <w:t xml:space="preserve"> </w:t>
      </w:r>
      <w:r w:rsidR="00867056">
        <w:t>were</w:t>
      </w:r>
      <w:r w:rsidR="00014EE7" w:rsidRPr="002427C2">
        <w:t xml:space="preserve"> </w:t>
      </w:r>
      <w:r w:rsidR="00014EE7">
        <w:t>provided</w:t>
      </w:r>
      <w:r w:rsidR="00014EE7" w:rsidRPr="002427C2">
        <w:t xml:space="preserve"> </w:t>
      </w:r>
      <w:r w:rsidR="00867056">
        <w:t>to support this</w:t>
      </w:r>
      <w:r w:rsidR="00014EE7">
        <w:t>:</w:t>
      </w:r>
    </w:p>
    <w:p w14:paraId="2795997B" w14:textId="3E0A489F" w:rsidR="00014EE7" w:rsidRDefault="00014EE7" w:rsidP="005D3186">
      <w:pPr>
        <w:pStyle w:val="ListBullet"/>
      </w:pPr>
      <w:r w:rsidRPr="002427C2">
        <w:t>co-exist</w:t>
      </w:r>
      <w:r w:rsidR="00353584">
        <w:t>ence</w:t>
      </w:r>
      <w:r w:rsidRPr="002427C2">
        <w:t xml:space="preserve"> </w:t>
      </w:r>
      <w:r w:rsidR="00867056">
        <w:t>between</w:t>
      </w:r>
      <w:r w:rsidRPr="002427C2">
        <w:t xml:space="preserve"> </w:t>
      </w:r>
      <w:r w:rsidR="00867056">
        <w:t xml:space="preserve">ubiquitous </w:t>
      </w:r>
      <w:r w:rsidRPr="002427C2">
        <w:t xml:space="preserve">FSS </w:t>
      </w:r>
      <w:r w:rsidR="00867056">
        <w:t xml:space="preserve">earth stations </w:t>
      </w:r>
      <w:r w:rsidRPr="002427C2">
        <w:t xml:space="preserve">and </w:t>
      </w:r>
      <w:r w:rsidR="00B153D9">
        <w:t>WWB</w:t>
      </w:r>
      <w:r w:rsidRPr="002427C2">
        <w:t xml:space="preserve"> in the same geographical area is technically impossible; </w:t>
      </w:r>
    </w:p>
    <w:p w14:paraId="18027F4C" w14:textId="706D4EF3" w:rsidR="00F0280A" w:rsidRDefault="00B153D9" w:rsidP="005D3186">
      <w:pPr>
        <w:pStyle w:val="ListBullet"/>
      </w:pPr>
      <w:r>
        <w:t>WWB</w:t>
      </w:r>
      <w:r w:rsidR="00014EE7" w:rsidRPr="002427C2">
        <w:t xml:space="preserve"> already has enough spectrum in </w:t>
      </w:r>
      <w:r w:rsidR="00867056">
        <w:t xml:space="preserve">frequency </w:t>
      </w:r>
      <w:r w:rsidR="00014EE7" w:rsidRPr="002427C2">
        <w:t xml:space="preserve">bands </w:t>
      </w:r>
      <w:r w:rsidR="00867056">
        <w:t xml:space="preserve">below 6 GHz </w:t>
      </w:r>
      <w:r w:rsidR="00014EE7" w:rsidRPr="002427C2">
        <w:t xml:space="preserve">as well as in </w:t>
      </w:r>
      <w:r w:rsidR="00353584">
        <w:t xml:space="preserve">other </w:t>
      </w:r>
      <w:proofErr w:type="spellStart"/>
      <w:r w:rsidR="00353584">
        <w:t>mm</w:t>
      </w:r>
      <w:r w:rsidR="00436CCD">
        <w:t>W</w:t>
      </w:r>
      <w:r w:rsidR="00353584">
        <w:t>ave</w:t>
      </w:r>
      <w:proofErr w:type="spellEnd"/>
      <w:r w:rsidR="00353584">
        <w:t xml:space="preserve"> bands</w:t>
      </w:r>
      <w:r w:rsidR="00014EE7" w:rsidRPr="002427C2">
        <w:t xml:space="preserve"> </w:t>
      </w:r>
      <w:r w:rsidR="00867056">
        <w:t>being considered for mobile broadband (including the 26 GHz band). H</w:t>
      </w:r>
      <w:r w:rsidR="00014EE7" w:rsidRPr="002427C2">
        <w:t xml:space="preserve">ence there is no reason to consider </w:t>
      </w:r>
      <w:r w:rsidR="00867056">
        <w:t>the 28 GHz band</w:t>
      </w:r>
      <w:r w:rsidR="00014EE7" w:rsidRPr="002427C2">
        <w:t xml:space="preserve"> for </w:t>
      </w:r>
      <w:r>
        <w:t>WWB</w:t>
      </w:r>
      <w:r w:rsidR="00014EE7" w:rsidRPr="002427C2">
        <w:t xml:space="preserve"> and restrict other services; and </w:t>
      </w:r>
    </w:p>
    <w:p w14:paraId="7A5A7F7F" w14:textId="148D6CB5" w:rsidR="00D229E8" w:rsidRDefault="00014EE7" w:rsidP="005D3186">
      <w:pPr>
        <w:pStyle w:val="ListBulletLast"/>
      </w:pPr>
      <w:r>
        <w:t xml:space="preserve">there has </w:t>
      </w:r>
      <w:r w:rsidR="00C12D2D">
        <w:t xml:space="preserve">already </w:t>
      </w:r>
      <w:r>
        <w:t xml:space="preserve">been </w:t>
      </w:r>
      <w:r w:rsidR="00646B41">
        <w:t>significant</w:t>
      </w:r>
      <w:r w:rsidR="00646B41" w:rsidRPr="002427C2">
        <w:t xml:space="preserve"> </w:t>
      </w:r>
      <w:r w:rsidRPr="002427C2">
        <w:t>investment by</w:t>
      </w:r>
      <w:r>
        <w:t xml:space="preserve"> the </w:t>
      </w:r>
      <w:r w:rsidRPr="002427C2">
        <w:t>satellite industry in</w:t>
      </w:r>
      <w:r w:rsidR="00DA6D70">
        <w:t xml:space="preserve"> the</w:t>
      </w:r>
      <w:r w:rsidRPr="002427C2">
        <w:t xml:space="preserve"> 28 GHz band.</w:t>
      </w:r>
    </w:p>
    <w:bookmarkEnd w:id="94"/>
    <w:p w14:paraId="5BE4AE21" w14:textId="4762204B" w:rsidR="00014EE7" w:rsidRDefault="00014EE7" w:rsidP="006274C7">
      <w:pPr>
        <w:pStyle w:val="Heading3"/>
        <w:spacing w:before="360" w:after="120"/>
      </w:pPr>
      <w:r w:rsidRPr="00B36662">
        <w:t xml:space="preserve">Area wide </w:t>
      </w:r>
      <w:r w:rsidR="00B153D9">
        <w:t>WWB</w:t>
      </w:r>
    </w:p>
    <w:p w14:paraId="6EF905B9" w14:textId="4D28EA9C" w:rsidR="00014EE7" w:rsidRDefault="00014EE7" w:rsidP="006274C7">
      <w:pPr>
        <w:spacing w:before="120" w:after="120"/>
      </w:pPr>
      <w:r>
        <w:t xml:space="preserve">The ACMA received seven submissions that provided </w:t>
      </w:r>
      <w:r w:rsidRPr="003A26A7">
        <w:t xml:space="preserve">comment </w:t>
      </w:r>
      <w:r>
        <w:t>on</w:t>
      </w:r>
      <w:r w:rsidRPr="003A26A7">
        <w:t xml:space="preserve"> </w:t>
      </w:r>
      <w:r>
        <w:t>a</w:t>
      </w:r>
      <w:r w:rsidRPr="00B36662">
        <w:t xml:space="preserve">rea wide </w:t>
      </w:r>
      <w:r w:rsidR="00B153D9">
        <w:t>WWB</w:t>
      </w:r>
      <w:r w:rsidRPr="003A26A7">
        <w:t>.</w:t>
      </w:r>
      <w:r>
        <w:t xml:space="preserve"> All submission</w:t>
      </w:r>
      <w:r w:rsidR="00C12D2D">
        <w:t>s</w:t>
      </w:r>
      <w:r>
        <w:t xml:space="preserve"> </w:t>
      </w:r>
      <w:r w:rsidDel="00B20AA6">
        <w:t xml:space="preserve">identified </w:t>
      </w:r>
      <w:r w:rsidR="00B20AA6">
        <w:t>5</w:t>
      </w:r>
      <w:r>
        <w:t xml:space="preserve">G as the intended </w:t>
      </w:r>
      <w:r w:rsidR="00353584">
        <w:t xml:space="preserve">technology </w:t>
      </w:r>
      <w:r>
        <w:t>standard to be considered for this band</w:t>
      </w:r>
      <w:r w:rsidR="00DA6D70">
        <w:t xml:space="preserve"> at this point in time</w:t>
      </w:r>
      <w:r>
        <w:t>.</w:t>
      </w:r>
    </w:p>
    <w:p w14:paraId="625D6CF6" w14:textId="77777777" w:rsidR="00014EE7" w:rsidRPr="00FA520E" w:rsidRDefault="00014EE7" w:rsidP="005D3186">
      <w:pPr>
        <w:pStyle w:val="BodySubHeader"/>
        <w:keepNext/>
        <w:keepLines/>
      </w:pPr>
      <w:r w:rsidRPr="00FA520E">
        <w:rPr>
          <w:rStyle w:val="Heading3Char"/>
          <w:rFonts w:cs="Times New Roman"/>
          <w:b/>
          <w:bCs w:val="0"/>
          <w:szCs w:val="24"/>
        </w:rPr>
        <w:lastRenderedPageBreak/>
        <w:t>Spectrum requirements</w:t>
      </w:r>
    </w:p>
    <w:p w14:paraId="352A02CB" w14:textId="378AE1FA" w:rsidR="00014EE7" w:rsidRPr="004C4E81" w:rsidRDefault="00014EE7" w:rsidP="005D3186">
      <w:pPr>
        <w:keepNext/>
        <w:keepLines/>
      </w:pPr>
      <w:r>
        <w:t>All seven submission</w:t>
      </w:r>
      <w:r w:rsidR="00DA6D70">
        <w:t>s</w:t>
      </w:r>
      <w:r>
        <w:t xml:space="preserve"> supported an allocation be</w:t>
      </w:r>
      <w:r w:rsidR="00DA6D70">
        <w:t>ing</w:t>
      </w:r>
      <w:r>
        <w:t xml:space="preserve"> made available from 27.5 GHz to 28.35</w:t>
      </w:r>
      <w:r w:rsidR="00C12D2D">
        <w:t> </w:t>
      </w:r>
      <w:r>
        <w:t xml:space="preserve">GHz for </w:t>
      </w:r>
      <w:r w:rsidR="00DA6D70">
        <w:t xml:space="preserve">area wide </w:t>
      </w:r>
      <w:r w:rsidR="00B153D9">
        <w:t>WWB</w:t>
      </w:r>
      <w:r>
        <w:t>. Four of the</w:t>
      </w:r>
      <w:r w:rsidR="00DA6D70">
        <w:t>se</w:t>
      </w:r>
      <w:r>
        <w:t xml:space="preserve"> submission</w:t>
      </w:r>
      <w:r w:rsidR="00DA6D70">
        <w:t>s</w:t>
      </w:r>
      <w:r>
        <w:t xml:space="preserve"> </w:t>
      </w:r>
      <w:r w:rsidR="00DA6D70">
        <w:t xml:space="preserve">also </w:t>
      </w:r>
      <w:r>
        <w:t xml:space="preserve">supported an allocation for </w:t>
      </w:r>
      <w:r w:rsidR="00DA6D70">
        <w:t xml:space="preserve">area wide </w:t>
      </w:r>
      <w:r w:rsidR="00B153D9">
        <w:t>WWB</w:t>
      </w:r>
      <w:r w:rsidR="00DA6D70">
        <w:t xml:space="preserve"> in</w:t>
      </w:r>
      <w:r>
        <w:t xml:space="preserve"> the </w:t>
      </w:r>
      <w:r w:rsidR="00DA6D70">
        <w:t xml:space="preserve">28.35-29.5 GHz frequency </w:t>
      </w:r>
      <w:r w:rsidDel="00DA6D70">
        <w:t>band</w:t>
      </w:r>
      <w:r>
        <w:t xml:space="preserve">. </w:t>
      </w:r>
      <w:r w:rsidR="00DA6D70">
        <w:t>While o</w:t>
      </w:r>
      <w:r>
        <w:t xml:space="preserve">ne </w:t>
      </w:r>
      <w:r w:rsidR="00DA6D70">
        <w:t>also</w:t>
      </w:r>
      <w:r>
        <w:t xml:space="preserve"> supported an allocation in the 28.5 GHz to 29.1 GHz</w:t>
      </w:r>
      <w:r w:rsidR="00DA6D70">
        <w:t xml:space="preserve"> frequency range</w:t>
      </w:r>
      <w:r>
        <w:t>.</w:t>
      </w:r>
    </w:p>
    <w:p w14:paraId="2313ABBF" w14:textId="77777777" w:rsidR="00014EE7" w:rsidRPr="00C930B5" w:rsidRDefault="00014EE7" w:rsidP="005D3186">
      <w:pPr>
        <w:pStyle w:val="BodySubHeader"/>
      </w:pPr>
      <w:r w:rsidRPr="00C930B5">
        <w:t>Geographical delineation</w:t>
      </w:r>
    </w:p>
    <w:p w14:paraId="44B08DD0" w14:textId="660C1706" w:rsidR="00014EE7" w:rsidRDefault="00014EE7" w:rsidP="005D3186">
      <w:r>
        <w:t xml:space="preserve">Six responses provided feedback on geographical </w:t>
      </w:r>
      <w:r w:rsidR="00E42D16">
        <w:t xml:space="preserve">options </w:t>
      </w:r>
      <w:r>
        <w:t>for</w:t>
      </w:r>
      <w:r w:rsidR="00E42D16">
        <w:t xml:space="preserve"> area wide </w:t>
      </w:r>
      <w:r w:rsidR="00B153D9">
        <w:t>WWB</w:t>
      </w:r>
      <w:r>
        <w:t xml:space="preserve">. All the responses indicated that the focus would be in </w:t>
      </w:r>
      <w:r w:rsidR="00353584">
        <w:t>m</w:t>
      </w:r>
      <w:r>
        <w:t>etropolitan areas to begin with and five of the submission</w:t>
      </w:r>
      <w:r w:rsidR="00C12D2D">
        <w:t>s</w:t>
      </w:r>
      <w:r>
        <w:t xml:space="preserve"> indicated regional hotspots should be consider</w:t>
      </w:r>
      <w:r w:rsidR="00C12D2D">
        <w:t>ed</w:t>
      </w:r>
      <w:r>
        <w:t xml:space="preserve"> for expansion in the future. Two submissions indicated support for an Australia</w:t>
      </w:r>
      <w:r w:rsidR="00E42D16">
        <w:t>-</w:t>
      </w:r>
      <w:r>
        <w:t>wide allocation.</w:t>
      </w:r>
    </w:p>
    <w:p w14:paraId="443D2CB8" w14:textId="77777777" w:rsidR="00014EE7" w:rsidRPr="00C930B5" w:rsidRDefault="00014EE7" w:rsidP="005D3186">
      <w:pPr>
        <w:pStyle w:val="BodySubHeader"/>
      </w:pPr>
      <w:r w:rsidRPr="00C930B5">
        <w:t>Equipment availability</w:t>
      </w:r>
    </w:p>
    <w:p w14:paraId="79E9659C" w14:textId="0F153080" w:rsidR="00014EE7" w:rsidRDefault="00014EE7" w:rsidP="005D3186">
      <w:r w:rsidRPr="003A26A7">
        <w:t xml:space="preserve">All </w:t>
      </w:r>
      <w:r>
        <w:t>submissions</w:t>
      </w:r>
      <w:r w:rsidRPr="003A26A7">
        <w:t xml:space="preserve"> </w:t>
      </w:r>
      <w:r>
        <w:t>indicated</w:t>
      </w:r>
      <w:r w:rsidRPr="003A26A7">
        <w:t xml:space="preserve"> that equipment </w:t>
      </w:r>
      <w:r>
        <w:t>would be</w:t>
      </w:r>
      <w:r w:rsidRPr="003A26A7">
        <w:t xml:space="preserve"> readily available </w:t>
      </w:r>
      <w:r w:rsidR="00B8133B">
        <w:t>for the</w:t>
      </w:r>
      <w:r w:rsidR="00B8133B" w:rsidRPr="003A26A7">
        <w:t xml:space="preserve"> </w:t>
      </w:r>
      <w:r w:rsidRPr="003A26A7">
        <w:t>28 GHz band</w:t>
      </w:r>
      <w:r>
        <w:t xml:space="preserve"> for 5G services</w:t>
      </w:r>
      <w:r w:rsidRPr="003A26A7">
        <w:t>.</w:t>
      </w:r>
    </w:p>
    <w:p w14:paraId="09EBF88D" w14:textId="43A1D906" w:rsidR="00014EE7" w:rsidRPr="00C930B5" w:rsidRDefault="00014EE7" w:rsidP="005D3186">
      <w:pPr>
        <w:pStyle w:val="BodySubHeader"/>
      </w:pPr>
      <w:r w:rsidRPr="00C930B5">
        <w:t xml:space="preserve">Sharing </w:t>
      </w:r>
      <w:r w:rsidR="00260922">
        <w:t>c</w:t>
      </w:r>
      <w:r w:rsidRPr="00C930B5">
        <w:t>apability</w:t>
      </w:r>
    </w:p>
    <w:p w14:paraId="0414C8B5" w14:textId="0C886B51" w:rsidR="004D2A44" w:rsidRPr="00C930B5" w:rsidRDefault="00F06E9A" w:rsidP="005D3186">
      <w:r>
        <w:t xml:space="preserve">One submission supported sharing between area wide </w:t>
      </w:r>
      <w:r w:rsidR="00B153D9">
        <w:t>WWB</w:t>
      </w:r>
      <w:r>
        <w:t xml:space="preserve"> and FSS gateways communicating with satellites in </w:t>
      </w:r>
      <w:r w:rsidR="00B8133B">
        <w:t xml:space="preserve">the </w:t>
      </w:r>
      <w:r>
        <w:t>geostationary orbit (GSO).</w:t>
      </w:r>
      <w:r w:rsidR="00BF115C">
        <w:t xml:space="preserve"> </w:t>
      </w:r>
      <w:r>
        <w:t>However, they believed further study is required to determine compatibility with FSS gateways communicating with satellites in non-GSO</w:t>
      </w:r>
      <w:r w:rsidR="004D2A44">
        <w:t xml:space="preserve">. </w:t>
      </w:r>
      <w:r w:rsidR="00B359AF">
        <w:t xml:space="preserve">Three submissions </w:t>
      </w:r>
      <w:r w:rsidR="004D2A44">
        <w:t xml:space="preserve">believe that sharing between </w:t>
      </w:r>
      <w:r w:rsidR="00107EBB">
        <w:t xml:space="preserve">ubiquitous </w:t>
      </w:r>
      <w:r w:rsidR="004D2A44">
        <w:t xml:space="preserve">FSS and </w:t>
      </w:r>
      <w:r w:rsidR="00B153D9">
        <w:t>WWB</w:t>
      </w:r>
      <w:r w:rsidR="00107EBB">
        <w:t xml:space="preserve"> could be</w:t>
      </w:r>
      <w:r w:rsidR="004D2A44">
        <w:t xml:space="preserve"> feasible </w:t>
      </w:r>
      <w:r w:rsidR="00107EBB">
        <w:t xml:space="preserve">with different combinations of </w:t>
      </w:r>
      <w:r w:rsidR="004D2A44" w:rsidRPr="00C930B5">
        <w:t>appropriate band segmentation</w:t>
      </w:r>
      <w:r w:rsidR="00B359AF" w:rsidRPr="00C930B5">
        <w:t xml:space="preserve">, </w:t>
      </w:r>
      <w:r w:rsidR="00107EBB" w:rsidRPr="00C930B5">
        <w:t>geographical segmentation (e.g. limiting ubiquitous FSS earth stations to regional/remote areas)</w:t>
      </w:r>
      <w:r w:rsidR="00B359AF" w:rsidRPr="00C930B5">
        <w:t xml:space="preserve"> and </w:t>
      </w:r>
      <w:r w:rsidR="00107EBB" w:rsidRPr="00C930B5">
        <w:t xml:space="preserve">defining </w:t>
      </w:r>
      <w:r w:rsidR="00B359AF" w:rsidRPr="00C930B5">
        <w:t xml:space="preserve">appropriate </w:t>
      </w:r>
      <w:r w:rsidR="00107EBB" w:rsidRPr="00C930B5">
        <w:t>protection</w:t>
      </w:r>
      <w:r w:rsidR="00B359AF" w:rsidRPr="00C930B5">
        <w:t xml:space="preserve"> level</w:t>
      </w:r>
      <w:r w:rsidR="00107EBB" w:rsidRPr="00C930B5">
        <w:t>s</w:t>
      </w:r>
      <w:r w:rsidR="00B359AF" w:rsidRPr="00C930B5">
        <w:t xml:space="preserve">. </w:t>
      </w:r>
    </w:p>
    <w:p w14:paraId="35C37200" w14:textId="77777777" w:rsidR="00014EE7" w:rsidRPr="00C930B5" w:rsidRDefault="00014EE7" w:rsidP="005D3186">
      <w:pPr>
        <w:pStyle w:val="BodySubHeader"/>
      </w:pPr>
      <w:r w:rsidRPr="00C930B5">
        <w:t>Licensing arrangements</w:t>
      </w:r>
    </w:p>
    <w:p w14:paraId="0B1BDB1F" w14:textId="7C0315D8" w:rsidR="008A3668" w:rsidRDefault="00390D87" w:rsidP="005D3186">
      <w:r>
        <w:t>All submission</w:t>
      </w:r>
      <w:r w:rsidR="00B8133B">
        <w:t>s</w:t>
      </w:r>
      <w:r>
        <w:t xml:space="preserve"> supported licensing arrangements that </w:t>
      </w:r>
      <w:r w:rsidR="009851A3">
        <w:t xml:space="preserve">would </w:t>
      </w:r>
      <w:r>
        <w:t xml:space="preserve">provide exclusive use of the spectrum in </w:t>
      </w:r>
      <w:r w:rsidR="009851A3">
        <w:t>major population area</w:t>
      </w:r>
      <w:r w:rsidR="00B8133B">
        <w:t>s</w:t>
      </w:r>
      <w:r w:rsidR="009851A3">
        <w:t xml:space="preserve">, </w:t>
      </w:r>
      <w:r w:rsidR="00672B86">
        <w:t>i.e.</w:t>
      </w:r>
      <w:r w:rsidR="009851A3">
        <w:t xml:space="preserve"> spectrum licensing. Three submissions proposed apparatus licensing of areas outside major populations.</w:t>
      </w:r>
    </w:p>
    <w:p w14:paraId="25F9299E" w14:textId="78AC7545" w:rsidR="00014EE7" w:rsidRPr="00777F84" w:rsidRDefault="00014EE7" w:rsidP="006274C7">
      <w:pPr>
        <w:pStyle w:val="Heading3"/>
        <w:spacing w:before="360" w:after="120"/>
      </w:pPr>
      <w:r w:rsidRPr="001D0BCA">
        <w:t xml:space="preserve">Fixed </w:t>
      </w:r>
      <w:r w:rsidR="00107EBB">
        <w:t>PTP</w:t>
      </w:r>
    </w:p>
    <w:p w14:paraId="25F10069" w14:textId="125484C1" w:rsidR="00014EE7" w:rsidRDefault="00014EE7" w:rsidP="006274C7">
      <w:pPr>
        <w:spacing w:before="120" w:after="120"/>
      </w:pPr>
      <w:r>
        <w:t xml:space="preserve">The ACMA received two submissions that provided </w:t>
      </w:r>
      <w:r w:rsidRPr="003A26A7">
        <w:t xml:space="preserve">comment </w:t>
      </w:r>
      <w:r>
        <w:t>on</w:t>
      </w:r>
      <w:r w:rsidRPr="003A26A7">
        <w:t xml:space="preserve"> </w:t>
      </w:r>
      <w:r w:rsidR="00107EBB">
        <w:t>PTP</w:t>
      </w:r>
      <w:r>
        <w:t xml:space="preserve"> </w:t>
      </w:r>
      <w:r w:rsidRPr="003A26A7">
        <w:t>application</w:t>
      </w:r>
      <w:r>
        <w:t>s</w:t>
      </w:r>
      <w:r w:rsidRPr="003A26A7">
        <w:t xml:space="preserve">.  </w:t>
      </w:r>
    </w:p>
    <w:p w14:paraId="29A98101" w14:textId="77777777" w:rsidR="00014EE7" w:rsidRPr="00FA520E" w:rsidRDefault="00014EE7" w:rsidP="005D3186">
      <w:pPr>
        <w:pStyle w:val="BodySubHeader"/>
      </w:pPr>
      <w:r w:rsidRPr="00FA520E">
        <w:rPr>
          <w:rStyle w:val="Heading3Char"/>
          <w:rFonts w:cs="Times New Roman"/>
          <w:b/>
          <w:bCs w:val="0"/>
          <w:szCs w:val="24"/>
        </w:rPr>
        <w:t>Spectrum requirements</w:t>
      </w:r>
    </w:p>
    <w:p w14:paraId="66C6DA6E" w14:textId="4F759A2F" w:rsidR="00014EE7" w:rsidRDefault="00014EE7" w:rsidP="005D3186">
      <w:r>
        <w:t xml:space="preserve">Both submissions supported maintaining the existing spectrum allocation for </w:t>
      </w:r>
      <w:r w:rsidR="00107EBB">
        <w:t>PTP</w:t>
      </w:r>
      <w:r>
        <w:t xml:space="preserve"> services.</w:t>
      </w:r>
    </w:p>
    <w:p w14:paraId="75B68A58" w14:textId="77777777" w:rsidR="00014EE7" w:rsidRPr="00C930B5" w:rsidRDefault="00014EE7" w:rsidP="005D3186">
      <w:pPr>
        <w:pStyle w:val="BodySubHeader"/>
      </w:pPr>
      <w:r w:rsidRPr="00C930B5">
        <w:t>Geographical delineation</w:t>
      </w:r>
    </w:p>
    <w:p w14:paraId="76E650BF" w14:textId="67D95D89" w:rsidR="00014EE7" w:rsidRDefault="00014EE7" w:rsidP="005D3186">
      <w:r>
        <w:t xml:space="preserve">One submission identified </w:t>
      </w:r>
      <w:r w:rsidR="00107EBB">
        <w:t xml:space="preserve">that </w:t>
      </w:r>
      <w:r>
        <w:t xml:space="preserve">the propagation </w:t>
      </w:r>
      <w:r w:rsidR="00107EBB">
        <w:t xml:space="preserve">characteristics </w:t>
      </w:r>
      <w:r w:rsidR="00B8133B">
        <w:t>of</w:t>
      </w:r>
      <w:r>
        <w:t xml:space="preserve"> the 28 GHz band</w:t>
      </w:r>
      <w:r w:rsidR="00107EBB">
        <w:t xml:space="preserve"> </w:t>
      </w:r>
      <w:r w:rsidR="00BE4733">
        <w:t xml:space="preserve">will </w:t>
      </w:r>
      <w:r w:rsidR="00107EBB">
        <w:t>limit the distance that can be covered by a PTP service</w:t>
      </w:r>
      <w:r>
        <w:t xml:space="preserve">. Considering these limitations, the submission suggested that fixed </w:t>
      </w:r>
      <w:r w:rsidR="00BE4733">
        <w:t>PTP in this band</w:t>
      </w:r>
      <w:r>
        <w:t xml:space="preserve"> will only be viable in </w:t>
      </w:r>
      <w:r w:rsidR="00DB04E0">
        <w:t xml:space="preserve">urban and suburban </w:t>
      </w:r>
      <w:r>
        <w:t xml:space="preserve">areas. The other submission indicated that deployment of </w:t>
      </w:r>
      <w:r w:rsidR="00107EBB">
        <w:t>P</w:t>
      </w:r>
      <w:r w:rsidR="00BE4733">
        <w:t>T</w:t>
      </w:r>
      <w:r w:rsidR="00107EBB">
        <w:t>P</w:t>
      </w:r>
      <w:r>
        <w:t xml:space="preserve"> services will be constrained to urban</w:t>
      </w:r>
      <w:r w:rsidR="00F0280A">
        <w:t xml:space="preserve"> and suburban</w:t>
      </w:r>
      <w:r>
        <w:t xml:space="preserve"> </w:t>
      </w:r>
      <w:r w:rsidR="00F0280A">
        <w:t>areas of major cities as well as</w:t>
      </w:r>
      <w:r w:rsidR="00BE4733">
        <w:t xml:space="preserve"> </w:t>
      </w:r>
      <w:r>
        <w:t xml:space="preserve">large population </w:t>
      </w:r>
      <w:r w:rsidR="00F0280A">
        <w:t xml:space="preserve">centres in </w:t>
      </w:r>
      <w:r>
        <w:t xml:space="preserve">rural areas. </w:t>
      </w:r>
    </w:p>
    <w:p w14:paraId="7CB4961C" w14:textId="77777777" w:rsidR="00014EE7" w:rsidRPr="00C930B5" w:rsidRDefault="00014EE7" w:rsidP="005D3186">
      <w:pPr>
        <w:pStyle w:val="BodySubHeader"/>
      </w:pPr>
      <w:r w:rsidRPr="00C930B5">
        <w:t>Equipment availability</w:t>
      </w:r>
    </w:p>
    <w:p w14:paraId="36EFB193" w14:textId="5F797C0B" w:rsidR="00014EE7" w:rsidRDefault="00014EE7" w:rsidP="005D3186">
      <w:r>
        <w:t>Both</w:t>
      </w:r>
      <w:r w:rsidRPr="003A26A7">
        <w:t xml:space="preserve"> </w:t>
      </w:r>
      <w:r>
        <w:t>submissions</w:t>
      </w:r>
      <w:r w:rsidRPr="003A26A7">
        <w:t xml:space="preserve"> </w:t>
      </w:r>
      <w:r>
        <w:t>indicated</w:t>
      </w:r>
      <w:r w:rsidRPr="003A26A7">
        <w:t xml:space="preserve"> that </w:t>
      </w:r>
      <w:r w:rsidR="00107EBB">
        <w:t xml:space="preserve">PTP </w:t>
      </w:r>
      <w:r w:rsidRPr="003A26A7">
        <w:t xml:space="preserve">equipment is readily available </w:t>
      </w:r>
      <w:r w:rsidR="00107EBB">
        <w:t xml:space="preserve">in </w:t>
      </w:r>
      <w:r w:rsidR="002B3ADC">
        <w:t>for the</w:t>
      </w:r>
      <w:r w:rsidR="002B3ADC" w:rsidRPr="003A26A7">
        <w:t xml:space="preserve"> </w:t>
      </w:r>
      <w:r w:rsidRPr="003A26A7">
        <w:t>28 GHz band.</w:t>
      </w:r>
    </w:p>
    <w:p w14:paraId="247C228E" w14:textId="330F9EE9" w:rsidR="00014EE7" w:rsidRPr="00C930B5" w:rsidRDefault="00014EE7" w:rsidP="005D3186">
      <w:pPr>
        <w:pStyle w:val="BodySubHeader"/>
      </w:pPr>
      <w:r w:rsidRPr="00C930B5">
        <w:t xml:space="preserve">Sharing </w:t>
      </w:r>
      <w:r w:rsidR="00260922">
        <w:t>c</w:t>
      </w:r>
      <w:r w:rsidRPr="00C930B5">
        <w:t>apability</w:t>
      </w:r>
    </w:p>
    <w:p w14:paraId="4946665F" w14:textId="3D01615F" w:rsidR="00014EE7" w:rsidRDefault="00014EE7" w:rsidP="005D3186">
      <w:pPr>
        <w:rPr>
          <w:rFonts w:asciiTheme="minorBidi" w:hAnsiTheme="minorBidi"/>
        </w:rPr>
      </w:pPr>
      <w:r w:rsidRPr="003525E9">
        <w:t>Only one submission comment</w:t>
      </w:r>
      <w:r w:rsidR="00B90F72">
        <w:t>ed</w:t>
      </w:r>
      <w:r w:rsidRPr="003525E9">
        <w:t xml:space="preserve"> on </w:t>
      </w:r>
      <w:r w:rsidR="00D03F08">
        <w:t xml:space="preserve">the </w:t>
      </w:r>
      <w:r w:rsidRPr="003525E9">
        <w:t>sharing capabilit</w:t>
      </w:r>
      <w:r w:rsidR="00D03F08">
        <w:t>ies</w:t>
      </w:r>
      <w:r w:rsidRPr="003525E9">
        <w:t xml:space="preserve"> of </w:t>
      </w:r>
      <w:r w:rsidR="00BE4733">
        <w:t>PTP</w:t>
      </w:r>
      <w:r w:rsidRPr="003525E9">
        <w:t xml:space="preserve"> services. The view </w:t>
      </w:r>
      <w:r w:rsidR="002B3ADC">
        <w:t xml:space="preserve">expressed </w:t>
      </w:r>
      <w:r w:rsidRPr="003525E9">
        <w:t xml:space="preserve">was that coexistence </w:t>
      </w:r>
      <w:r w:rsidR="00122FA6" w:rsidDel="00B20AA6">
        <w:t xml:space="preserve">with </w:t>
      </w:r>
      <w:r w:rsidR="00B20AA6">
        <w:t>non</w:t>
      </w:r>
      <w:r w:rsidR="00122FA6">
        <w:t xml:space="preserve"> PTP </w:t>
      </w:r>
      <w:r w:rsidRPr="003525E9">
        <w:t>service</w:t>
      </w:r>
      <w:r w:rsidR="00122FA6">
        <w:t>s</w:t>
      </w:r>
      <w:r w:rsidRPr="003525E9">
        <w:t xml:space="preserve"> requires conservative criteria and leads to inefficient use of spectrum</w:t>
      </w:r>
      <w:r>
        <w:rPr>
          <w:rFonts w:asciiTheme="minorBidi" w:hAnsiTheme="minorBidi"/>
        </w:rPr>
        <w:t xml:space="preserve">. </w:t>
      </w:r>
    </w:p>
    <w:p w14:paraId="2F8BAFB4" w14:textId="1D07E664" w:rsidR="00A179F8" w:rsidRPr="00C930B5" w:rsidRDefault="00014EE7" w:rsidP="005D3186">
      <w:pPr>
        <w:pStyle w:val="BodySubHeader"/>
      </w:pPr>
      <w:r w:rsidRPr="00C930B5">
        <w:t>Licensing arrangements</w:t>
      </w:r>
    </w:p>
    <w:p w14:paraId="0D0DC3C1" w14:textId="79014C61" w:rsidR="00014EE7" w:rsidRDefault="00E02514" w:rsidP="005D3186">
      <w:r>
        <w:t>O</w:t>
      </w:r>
      <w:r w:rsidR="00014EE7">
        <w:t xml:space="preserve">ne submission </w:t>
      </w:r>
      <w:r w:rsidR="002B3ADC">
        <w:t xml:space="preserve">expressed </w:t>
      </w:r>
      <w:r>
        <w:t>the view</w:t>
      </w:r>
      <w:r w:rsidR="00D03F08">
        <w:t xml:space="preserve"> </w:t>
      </w:r>
      <w:r w:rsidR="002B3ADC">
        <w:t>that</w:t>
      </w:r>
      <w:r w:rsidR="00014EE7">
        <w:t xml:space="preserve"> the current licensing fees are extremely high and should be reduced. The submission suggested looking at alternative solutions, for example class licensing or discounting single users, to help improve the take up of this band for </w:t>
      </w:r>
      <w:r w:rsidR="00BE4733">
        <w:t>PTP</w:t>
      </w:r>
      <w:r w:rsidR="002B3ADC">
        <w:t xml:space="preserve"> services</w:t>
      </w:r>
      <w:r w:rsidR="00014EE7">
        <w:t>.</w:t>
      </w:r>
    </w:p>
    <w:p w14:paraId="641B86FF" w14:textId="740FAE40" w:rsidR="00014EE7" w:rsidRPr="00777F84" w:rsidRDefault="00014EE7" w:rsidP="006274C7">
      <w:pPr>
        <w:pStyle w:val="Heading3"/>
        <w:spacing w:before="120" w:after="120"/>
      </w:pPr>
      <w:r>
        <w:lastRenderedPageBreak/>
        <w:t xml:space="preserve">Other </w:t>
      </w:r>
      <w:r w:rsidR="00B20AA6">
        <w:t xml:space="preserve">submissions </w:t>
      </w:r>
    </w:p>
    <w:p w14:paraId="0F16D435" w14:textId="77777777" w:rsidR="00014EE7" w:rsidRDefault="00014EE7" w:rsidP="006274C7">
      <w:pPr>
        <w:spacing w:before="120" w:after="120"/>
      </w:pPr>
      <w:r>
        <w:t xml:space="preserve">The ACMA received two submissions that provided </w:t>
      </w:r>
      <w:r w:rsidRPr="003A26A7">
        <w:t xml:space="preserve">comment </w:t>
      </w:r>
      <w:r>
        <w:t>on</w:t>
      </w:r>
      <w:r w:rsidRPr="003A26A7">
        <w:t xml:space="preserve"> </w:t>
      </w:r>
      <w:r>
        <w:t xml:space="preserve">other </w:t>
      </w:r>
      <w:r w:rsidRPr="003A26A7">
        <w:t>application</w:t>
      </w:r>
      <w:r>
        <w:t>s that should be considered in this band</w:t>
      </w:r>
      <w:r w:rsidRPr="003A26A7">
        <w:t>.</w:t>
      </w:r>
    </w:p>
    <w:p w14:paraId="641A20F4" w14:textId="1F616216" w:rsidR="00014EE7" w:rsidRDefault="00BF115C" w:rsidP="006274C7">
      <w:pPr>
        <w:spacing w:before="120" w:after="120"/>
      </w:pPr>
      <w:r>
        <w:t xml:space="preserve">The submission from the Department of Defence indicated that while they do not have any </w:t>
      </w:r>
      <w:r w:rsidR="00C83B89">
        <w:t>immediate</w:t>
      </w:r>
      <w:r w:rsidR="00BE4733">
        <w:t xml:space="preserve"> plans</w:t>
      </w:r>
      <w:r w:rsidR="00C83B89">
        <w:t xml:space="preserve">, </w:t>
      </w:r>
      <w:r w:rsidR="00C414D8">
        <w:t>this may change in the</w:t>
      </w:r>
      <w:r w:rsidR="00C83B89">
        <w:t xml:space="preserve"> future </w:t>
      </w:r>
      <w:r w:rsidR="00C414D8">
        <w:t xml:space="preserve">so </w:t>
      </w:r>
      <w:r w:rsidR="00C414D8" w:rsidRPr="00E3531D">
        <w:t xml:space="preserve">they </w:t>
      </w:r>
      <w:r w:rsidR="0065685E">
        <w:t xml:space="preserve">do </w:t>
      </w:r>
      <w:r w:rsidR="00C414D8" w:rsidRPr="00AC6904">
        <w:t>not support exclusion of FSS systems from all</w:t>
      </w:r>
      <w:r w:rsidR="00E02514">
        <w:t>,</w:t>
      </w:r>
      <w:r w:rsidR="00C414D8" w:rsidRPr="00AC6904">
        <w:t xml:space="preserve"> or portions of</w:t>
      </w:r>
      <w:r w:rsidR="00E02514">
        <w:t>,</w:t>
      </w:r>
      <w:r w:rsidR="00C414D8" w:rsidRPr="00AC6904">
        <w:t xml:space="preserve"> the 28 GHz band</w:t>
      </w:r>
      <w:r w:rsidR="00C414D8" w:rsidRPr="008361A7">
        <w:rPr>
          <w:i/>
          <w:iCs/>
        </w:rPr>
        <w:t>.</w:t>
      </w:r>
    </w:p>
    <w:p w14:paraId="16FFBF2E" w14:textId="7950216A" w:rsidR="00014EE7" w:rsidRDefault="00C83B89" w:rsidP="006274C7">
      <w:pPr>
        <w:spacing w:before="120" w:after="120"/>
        <w:rPr>
          <w:rFonts w:asciiTheme="minorBidi" w:hAnsiTheme="minorBidi"/>
        </w:rPr>
      </w:pPr>
      <w:r>
        <w:t xml:space="preserve">One submission highlighted the WRC-19 agenda item 1.14 currently under consideration. </w:t>
      </w:r>
      <w:r w:rsidR="00345B46" w:rsidRPr="00793699">
        <w:t xml:space="preserve">In the 28 GHz band, the </w:t>
      </w:r>
      <w:r w:rsidR="00D03F08">
        <w:t>f</w:t>
      </w:r>
      <w:r w:rsidR="00345B46">
        <w:t>requency range</w:t>
      </w:r>
      <w:r w:rsidR="00345B46" w:rsidRPr="00793699">
        <w:t xml:space="preserve"> 27.9</w:t>
      </w:r>
      <w:r w:rsidR="00345B46">
        <w:t xml:space="preserve"> GHz to </w:t>
      </w:r>
      <w:r w:rsidR="00345B46" w:rsidRPr="00793699">
        <w:t>28.2 GHz may be used by HAPS in the HAPS-to-ground direction in 23 countries in Regions 1 and</w:t>
      </w:r>
      <w:r w:rsidR="00D03F08">
        <w:t xml:space="preserve"> 3</w:t>
      </w:r>
      <w:r w:rsidR="00345B46" w:rsidRPr="00793699">
        <w:t>. Australia is not currently part of th</w:t>
      </w:r>
      <w:r w:rsidR="00D03F08">
        <w:t>ese</w:t>
      </w:r>
      <w:r w:rsidR="00345B46" w:rsidRPr="00793699">
        <w:t xml:space="preserve"> </w:t>
      </w:r>
      <w:r w:rsidR="00315C1F">
        <w:t>arrangement</w:t>
      </w:r>
      <w:r w:rsidR="00D03F08">
        <w:t>s</w:t>
      </w:r>
      <w:r w:rsidR="00B47931">
        <w:t xml:space="preserve">. The submission </w:t>
      </w:r>
      <w:r>
        <w:t>indicated that access to th</w:t>
      </w:r>
      <w:r w:rsidR="00D03F08">
        <w:t>e 27.9</w:t>
      </w:r>
      <w:r w:rsidR="00260922">
        <w:t>–</w:t>
      </w:r>
      <w:r w:rsidR="00D03F08">
        <w:t>28.2 GHz</w:t>
      </w:r>
      <w:r>
        <w:t xml:space="preserve"> band should be considered in the replanning of the band</w:t>
      </w:r>
      <w:r w:rsidR="00B47931">
        <w:t xml:space="preserve"> should Australia </w:t>
      </w:r>
      <w:r w:rsidR="00315C1F">
        <w:t>be included in international arrangements for HAPS</w:t>
      </w:r>
      <w:r>
        <w:t>.</w:t>
      </w:r>
    </w:p>
    <w:p w14:paraId="3FB6997F" w14:textId="77777777" w:rsidR="009E65E4" w:rsidRPr="00A05EC9" w:rsidRDefault="009E65E4" w:rsidP="005E0B35"/>
    <w:p w14:paraId="787F1112" w14:textId="5257BA5D" w:rsidR="0052285A" w:rsidRPr="00A05EC9" w:rsidRDefault="00081019" w:rsidP="00E61074">
      <w:pPr>
        <w:pStyle w:val="Heading1"/>
      </w:pPr>
      <w:bookmarkStart w:id="95" w:name="_Toc5000068"/>
      <w:r>
        <w:lastRenderedPageBreak/>
        <w:t xml:space="preserve">Consideration of </w:t>
      </w:r>
      <w:r w:rsidR="00E02514">
        <w:t>p</w:t>
      </w:r>
      <w:r w:rsidR="00394704">
        <w:t xml:space="preserve">lanning </w:t>
      </w:r>
      <w:r w:rsidR="00803DD1">
        <w:t>i</w:t>
      </w:r>
      <w:r>
        <w:t>ssues</w:t>
      </w:r>
      <w:bookmarkEnd w:id="95"/>
    </w:p>
    <w:p w14:paraId="0B9DA882" w14:textId="6C4A6E23" w:rsidR="001461CE" w:rsidRDefault="00B94422" w:rsidP="005D3186">
      <w:pPr>
        <w:spacing w:after="80"/>
      </w:pPr>
      <w:bookmarkStart w:id="96" w:name="_Ref498952106"/>
      <w:r>
        <w:t xml:space="preserve">In </w:t>
      </w:r>
      <w:r w:rsidR="002D5648">
        <w:t>determining</w:t>
      </w:r>
      <w:r>
        <w:t xml:space="preserve"> </w:t>
      </w:r>
      <w:r w:rsidR="005E3D62">
        <w:t>and assessing</w:t>
      </w:r>
      <w:r>
        <w:t xml:space="preserve"> </w:t>
      </w:r>
      <w:r w:rsidR="002D5648">
        <w:t>possible options for the</w:t>
      </w:r>
      <w:r w:rsidR="00F0280A">
        <w:t xml:space="preserve"> 28 GHz</w:t>
      </w:r>
      <w:r w:rsidR="002D5648">
        <w:t xml:space="preserve"> band the following issues have been considered</w:t>
      </w:r>
      <w:r w:rsidR="00F0280A">
        <w:t>:</w:t>
      </w:r>
    </w:p>
    <w:p w14:paraId="3E9DBD2E" w14:textId="1B13E75C" w:rsidR="00F0280A" w:rsidRDefault="00F0280A" w:rsidP="00F0280A">
      <w:pPr>
        <w:pStyle w:val="ListBullet"/>
        <w:keepNext/>
        <w:keepLines/>
        <w:spacing w:line="240" w:lineRule="atLeast"/>
      </w:pPr>
      <w:r>
        <w:t xml:space="preserve">the outcomes of the </w:t>
      </w:r>
      <w:hyperlink r:id="rId36" w:history="1">
        <w:r w:rsidR="00F102A9" w:rsidRPr="00C930B5">
          <w:rPr>
            <w:rStyle w:val="Hyperlink"/>
            <w:i/>
          </w:rPr>
          <w:t xml:space="preserve">Future use of the 26 GHz band: </w:t>
        </w:r>
        <w:r w:rsidR="00F102A9">
          <w:rPr>
            <w:rStyle w:val="Hyperlink"/>
            <w:i/>
          </w:rPr>
          <w:t>Planning d</w:t>
        </w:r>
        <w:r w:rsidR="00F102A9" w:rsidRPr="00C930B5">
          <w:rPr>
            <w:rStyle w:val="Hyperlink"/>
            <w:i/>
          </w:rPr>
          <w:t>ecisions and preliminary views</w:t>
        </w:r>
      </w:hyperlink>
    </w:p>
    <w:p w14:paraId="636E634C" w14:textId="6C49BF86" w:rsidR="00F0280A" w:rsidRDefault="00632E45" w:rsidP="00F0280A">
      <w:pPr>
        <w:pStyle w:val="ListBullet"/>
        <w:keepNext/>
        <w:keepLines/>
        <w:spacing w:line="240" w:lineRule="atLeast"/>
      </w:pPr>
      <w:r>
        <w:t>spectrum arrangements</w:t>
      </w:r>
      <w:r w:rsidR="00F0280A">
        <w:t xml:space="preserve"> </w:t>
      </w:r>
      <w:r w:rsidR="00C21FB7">
        <w:t xml:space="preserve">for </w:t>
      </w:r>
      <w:r w:rsidR="00571386">
        <w:t xml:space="preserve">services in the band or with an interest in gaining access to the band, including </w:t>
      </w:r>
      <w:r w:rsidR="00B153D9">
        <w:t>WWB</w:t>
      </w:r>
      <w:r w:rsidR="00571386">
        <w:t xml:space="preserve">, PTP, FWA, FSS </w:t>
      </w:r>
      <w:r w:rsidR="0065685E">
        <w:t xml:space="preserve">(both </w:t>
      </w:r>
      <w:r w:rsidR="00571386">
        <w:t xml:space="preserve">gateway and </w:t>
      </w:r>
      <w:r w:rsidR="00B5204E">
        <w:t>ubiquitous</w:t>
      </w:r>
      <w:r w:rsidR="00571386">
        <w:t xml:space="preserve"> earth stations</w:t>
      </w:r>
      <w:r w:rsidR="0065685E">
        <w:t>)</w:t>
      </w:r>
      <w:r w:rsidR="00571386">
        <w:t xml:space="preserve"> and HAPs</w:t>
      </w:r>
      <w:r w:rsidR="00505170">
        <w:t>.</w:t>
      </w:r>
    </w:p>
    <w:p w14:paraId="259A33F7" w14:textId="0441A2C0" w:rsidR="00C21FB7" w:rsidRPr="00A05EC9" w:rsidRDefault="00C21FB7" w:rsidP="00C930B5">
      <w:pPr>
        <w:spacing w:before="240"/>
      </w:pPr>
      <w:r>
        <w:t>These issues are discussed further below.</w:t>
      </w:r>
    </w:p>
    <w:p w14:paraId="650D62E2" w14:textId="12181E90" w:rsidR="0084779E" w:rsidRPr="00A05EC9" w:rsidRDefault="0065685E" w:rsidP="00E422B1">
      <w:pPr>
        <w:pStyle w:val="ListParagraph"/>
        <w:numPr>
          <w:ilvl w:val="0"/>
          <w:numId w:val="79"/>
        </w:numPr>
        <w:shd w:val="clear" w:color="auto" w:fill="F2F2F2" w:themeFill="background1" w:themeFillShade="F2"/>
        <w:spacing w:before="120" w:after="120" w:line="240" w:lineRule="auto"/>
        <w:contextualSpacing w:val="0"/>
      </w:pPr>
      <w:bookmarkStart w:id="97" w:name="_Hlk3988432"/>
      <w:bookmarkStart w:id="98" w:name="_Hlk3988363"/>
      <w:r>
        <w:rPr>
          <w:b/>
        </w:rPr>
        <w:t>Do stakeholders have comments or further views on the services and planning issues discussed for the 28 GHz band</w:t>
      </w:r>
      <w:r w:rsidRPr="00A05EC9">
        <w:rPr>
          <w:b/>
        </w:rPr>
        <w:t>?</w:t>
      </w:r>
      <w:bookmarkEnd w:id="97"/>
    </w:p>
    <w:p w14:paraId="66E22CF0" w14:textId="447F62BD" w:rsidR="001461CE" w:rsidRDefault="004A21F5" w:rsidP="00F1614D">
      <w:pPr>
        <w:pStyle w:val="Heading2"/>
      </w:pPr>
      <w:bookmarkStart w:id="99" w:name="_Toc5000069"/>
      <w:bookmarkEnd w:id="98"/>
      <w:r>
        <w:t xml:space="preserve">Outcome of 26 GHz </w:t>
      </w:r>
      <w:r w:rsidR="00DF1E68">
        <w:t xml:space="preserve">band replanning </w:t>
      </w:r>
      <w:r w:rsidR="00E85D35">
        <w:t>process</w:t>
      </w:r>
      <w:bookmarkEnd w:id="99"/>
    </w:p>
    <w:p w14:paraId="5D178E43" w14:textId="1B1AE46A" w:rsidR="00C83C7A" w:rsidRDefault="00001058" w:rsidP="006274C7">
      <w:pPr>
        <w:spacing w:before="120" w:after="120" w:line="240" w:lineRule="auto"/>
      </w:pPr>
      <w:r>
        <w:t>Following a</w:t>
      </w:r>
      <w:r w:rsidR="00ED6B92" w:rsidRPr="00ED6B92" w:rsidDel="00B20AA6">
        <w:t xml:space="preserve"> </w:t>
      </w:r>
      <w:r w:rsidR="00ED6B92" w:rsidRPr="00ED6B92">
        <w:t>period of consultation, technical studies and engagement within international forums</w:t>
      </w:r>
      <w:r>
        <w:t xml:space="preserve">, the ACMA released </w:t>
      </w:r>
      <w:r w:rsidR="007A319F">
        <w:t xml:space="preserve">the </w:t>
      </w:r>
      <w:r w:rsidR="007A319F" w:rsidRPr="001521F3">
        <w:rPr>
          <w:i/>
        </w:rPr>
        <w:t>Wireless broadband in the 26 GHz band—Options paper</w:t>
      </w:r>
      <w:r w:rsidR="007D5F75">
        <w:t xml:space="preserve"> </w:t>
      </w:r>
      <w:r w:rsidR="00022222">
        <w:t xml:space="preserve">in September 2018. </w:t>
      </w:r>
      <w:r w:rsidR="007A319F">
        <w:t xml:space="preserve">The outcomes of this consultation have been released in parallel to this discussion paper and are </w:t>
      </w:r>
      <w:r w:rsidR="006C7B71">
        <w:t>detailed in</w:t>
      </w:r>
      <w:r w:rsidR="004D3882">
        <w:t xml:space="preserve"> the paper</w:t>
      </w:r>
      <w:r w:rsidR="006C7B71">
        <w:t xml:space="preserve"> </w:t>
      </w:r>
      <w:hyperlink r:id="rId37" w:history="1">
        <w:r w:rsidR="006C7B71" w:rsidRPr="00C930B5">
          <w:rPr>
            <w:rStyle w:val="Hyperlink"/>
            <w:i/>
          </w:rPr>
          <w:t xml:space="preserve">Future use of the 26 GHz band: </w:t>
        </w:r>
        <w:r w:rsidR="00F102A9">
          <w:rPr>
            <w:rStyle w:val="Hyperlink"/>
            <w:i/>
          </w:rPr>
          <w:t>Planning d</w:t>
        </w:r>
        <w:r w:rsidR="006C7B71" w:rsidRPr="00C930B5">
          <w:rPr>
            <w:rStyle w:val="Hyperlink"/>
            <w:i/>
          </w:rPr>
          <w:t>ecisions and preliminary views</w:t>
        </w:r>
      </w:hyperlink>
      <w:r w:rsidR="007A319F">
        <w:t xml:space="preserve">. </w:t>
      </w:r>
    </w:p>
    <w:p w14:paraId="46DE7962" w14:textId="745B3E09" w:rsidR="00E86CFB" w:rsidRPr="001A2BCE" w:rsidRDefault="006C7B71" w:rsidP="005D3186">
      <w:pPr>
        <w:spacing w:before="120" w:after="80" w:line="240" w:lineRule="auto"/>
      </w:pPr>
      <w:r>
        <w:t xml:space="preserve">A summary of the proposed arrangements for the 26 GHz band is illustrated </w:t>
      </w:r>
      <w:r w:rsidRPr="001A2BCE">
        <w:t>in Figure 2, this</w:t>
      </w:r>
      <w:r w:rsidRPr="001A2BCE" w:rsidDel="006C7B71">
        <w:t xml:space="preserve"> </w:t>
      </w:r>
      <w:r w:rsidR="00C83C7A" w:rsidRPr="001A2BCE">
        <w:t>includes</w:t>
      </w:r>
      <w:r w:rsidR="00E86CFB" w:rsidRPr="001A2BCE">
        <w:t>:</w:t>
      </w:r>
    </w:p>
    <w:p w14:paraId="31CFBE7D" w14:textId="33050A53" w:rsidR="003207AD" w:rsidRPr="001A2BCE" w:rsidRDefault="003207AD" w:rsidP="00AC6904">
      <w:pPr>
        <w:pStyle w:val="ListBulletLast"/>
        <w:spacing w:after="0" w:line="240" w:lineRule="atLeast"/>
      </w:pPr>
      <w:r w:rsidRPr="001A2BCE">
        <w:t>24.25</w:t>
      </w:r>
      <w:r w:rsidR="00505170">
        <w:t>–</w:t>
      </w:r>
      <w:r w:rsidRPr="001A2BCE">
        <w:t>24.7 GHz</w:t>
      </w:r>
      <w:r w:rsidR="00505170">
        <w:t>—</w:t>
      </w:r>
      <w:r w:rsidRPr="001A2BCE">
        <w:t xml:space="preserve">class licensed access for wireless broadband limited to private property </w:t>
      </w:r>
      <w:r w:rsidRPr="001A2BCE">
        <w:rPr>
          <w:rStyle w:val="Hyperlink"/>
          <w:color w:val="auto"/>
          <w:u w:val="none"/>
        </w:rPr>
        <w:t xml:space="preserve">and restricted </w:t>
      </w:r>
      <w:r w:rsidRPr="001A2BCE">
        <w:t>to indoor use only (Australia-wide);</w:t>
      </w:r>
    </w:p>
    <w:p w14:paraId="09CB903D" w14:textId="729D74C9" w:rsidR="003207AD" w:rsidRPr="001A2BCE" w:rsidRDefault="003207AD" w:rsidP="00AC6904">
      <w:pPr>
        <w:pStyle w:val="ListBulletLast"/>
        <w:spacing w:after="0" w:line="240" w:lineRule="atLeast"/>
      </w:pPr>
      <w:r w:rsidRPr="001A2BCE">
        <w:t>24.7</w:t>
      </w:r>
      <w:r w:rsidR="00505170">
        <w:t>–</w:t>
      </w:r>
      <w:r w:rsidRPr="001A2BCE">
        <w:t>25.1 GHz</w:t>
      </w:r>
      <w:r w:rsidR="00505170">
        <w:t>—</w:t>
      </w:r>
      <w:r w:rsidRPr="001A2BCE">
        <w:t>apparatus licensing, potentially using a new ‘spectrum-space’ apparatus licence type</w:t>
      </w:r>
      <w:r w:rsidRPr="001A2BCE">
        <w:rPr>
          <w:rStyle w:val="FootnoteReference"/>
        </w:rPr>
        <w:footnoteReference w:id="11"/>
      </w:r>
      <w:r w:rsidRPr="001A2BCE">
        <w:t xml:space="preserve"> </w:t>
      </w:r>
      <w:r w:rsidR="00CE3286" w:rsidRPr="001A2BCE">
        <w:t xml:space="preserve">(suitable for FWA use) </w:t>
      </w:r>
      <w:r w:rsidRPr="001A2BCE">
        <w:t>and co-frequency class licensing (indoor and outdoor use) limited to private property for wireless broadband (Australia-wide);</w:t>
      </w:r>
    </w:p>
    <w:p w14:paraId="61692AEE" w14:textId="27FCBAB3" w:rsidR="003207AD" w:rsidRDefault="003207AD" w:rsidP="00AC6904">
      <w:pPr>
        <w:pStyle w:val="ListBulletLast"/>
        <w:spacing w:after="0" w:line="240" w:lineRule="atLeast"/>
      </w:pPr>
      <w:r w:rsidRPr="001A2BCE">
        <w:t>25.1</w:t>
      </w:r>
      <w:r w:rsidR="00505170">
        <w:t>–</w:t>
      </w:r>
      <w:r w:rsidRPr="001A2BCE">
        <w:t>27 GHz</w:t>
      </w:r>
      <w:r w:rsidR="00505170">
        <w:t>—</w:t>
      </w:r>
      <w:r w:rsidRPr="001A2BCE">
        <w:t xml:space="preserve">spectrum licensing for </w:t>
      </w:r>
      <w:r w:rsidR="00CE3286" w:rsidRPr="001A2BCE">
        <w:t>WWB</w:t>
      </w:r>
      <w:r w:rsidRPr="001A2BCE">
        <w:t xml:space="preserve"> in </w:t>
      </w:r>
      <w:r w:rsidR="00D47A60" w:rsidRPr="001A2BCE">
        <w:t xml:space="preserve">defined areas (referred to as large population centres in this paper and detailed in </w:t>
      </w:r>
      <w:r w:rsidR="00D47A60" w:rsidRPr="001A2BCE">
        <w:rPr>
          <w:i/>
        </w:rPr>
        <w:t>Appendix A</w:t>
      </w:r>
      <w:r w:rsidR="00D47A60" w:rsidRPr="001A2BCE">
        <w:t>)</w:t>
      </w:r>
      <w:r w:rsidRPr="001A2BCE">
        <w:t>. Apparatus licensing, (</w:t>
      </w:r>
      <w:r w:rsidR="00BB432B" w:rsidRPr="001A2BCE">
        <w:t xml:space="preserve">potentially </w:t>
      </w:r>
      <w:r w:rsidRPr="001A2BCE">
        <w:t>using a new spectrum-space apparatus licence type</w:t>
      </w:r>
      <w:r w:rsidR="00CE3286" w:rsidRPr="001A2BCE">
        <w:t xml:space="preserve"> (suitable for FWA use)</w:t>
      </w:r>
      <w:r w:rsidRPr="001A2BCE">
        <w:t>, if the ACMA is able to determine</w:t>
      </w:r>
      <w:r>
        <w:t xml:space="preserve"> such a licence type), for wireless broadband elsewhere. Existing </w:t>
      </w:r>
      <w:r w:rsidR="00D03F08">
        <w:t>Space Research Service (</w:t>
      </w:r>
      <w:r>
        <w:t>SRS</w:t>
      </w:r>
      <w:r w:rsidR="00D03F08">
        <w:t>)</w:t>
      </w:r>
      <w:r>
        <w:t xml:space="preserve"> earth stations in the range 25.5-27 GHz will be able to continue to operate with proposed licence conditions included on new wireless broadband licences to ensure coexistence.</w:t>
      </w:r>
      <w:r>
        <w:rPr>
          <w:rStyle w:val="FootnoteReference"/>
        </w:rPr>
        <w:footnoteReference w:id="12"/>
      </w:r>
      <w:r w:rsidRPr="00A5161A">
        <w:t xml:space="preserve"> </w:t>
      </w:r>
      <w:r>
        <w:t xml:space="preserve">New SRS earth stations (if any) may also be permitted on a first-in-time coordinated basis outside of </w:t>
      </w:r>
      <w:r w:rsidR="00D47A60">
        <w:t xml:space="preserve">large </w:t>
      </w:r>
      <w:r w:rsidR="00503C9C">
        <w:t>population</w:t>
      </w:r>
      <w:r w:rsidR="00D47A60">
        <w:t xml:space="preserve"> centres</w:t>
      </w:r>
      <w:r>
        <w:t>; and</w:t>
      </w:r>
    </w:p>
    <w:p w14:paraId="6A26C6D0" w14:textId="28CA52C6" w:rsidR="00EF1770" w:rsidRDefault="003207AD" w:rsidP="00AC6904">
      <w:pPr>
        <w:pStyle w:val="ListBulletLast"/>
        <w:spacing w:after="0" w:line="240" w:lineRule="atLeast"/>
      </w:pPr>
      <w:r>
        <w:t>27</w:t>
      </w:r>
      <w:r w:rsidR="00505170">
        <w:t>–</w:t>
      </w:r>
      <w:r>
        <w:t>27.5 GHz</w:t>
      </w:r>
      <w:r w:rsidR="00505170">
        <w:t>—</w:t>
      </w:r>
      <w:r w:rsidR="004D3882">
        <w:t>same as</w:t>
      </w:r>
      <w:r>
        <w:t xml:space="preserve"> 25.1</w:t>
      </w:r>
      <w:r w:rsidR="00505170">
        <w:t>–</w:t>
      </w:r>
      <w:r>
        <w:t xml:space="preserve">27 GHz but with additional proposed licence conditions applied to wireless broadband licences within </w:t>
      </w:r>
      <w:r w:rsidR="00C36DCA">
        <w:t>NBN Co</w:t>
      </w:r>
      <w:r>
        <w:t xml:space="preserve"> satellite gateway uplink footprints.</w:t>
      </w:r>
      <w:r w:rsidRPr="00052B87">
        <w:t xml:space="preserve"> </w:t>
      </w:r>
      <w:r>
        <w:t xml:space="preserve">Existing FSS </w:t>
      </w:r>
      <w:r w:rsidR="008D358A">
        <w:t>gateways</w:t>
      </w:r>
      <w:r>
        <w:t xml:space="preserve"> can continue to operate in the band. New FSS </w:t>
      </w:r>
      <w:r w:rsidR="008D358A">
        <w:t>gateways</w:t>
      </w:r>
      <w:r>
        <w:t xml:space="preserve"> may also be permitted on a first-in-time coordinated basis outside of </w:t>
      </w:r>
      <w:r w:rsidR="004D3882">
        <w:t xml:space="preserve">large </w:t>
      </w:r>
      <w:r w:rsidR="00503C9C">
        <w:t>population</w:t>
      </w:r>
      <w:r w:rsidR="004D3882">
        <w:t xml:space="preserve"> centres (this relates to areas proposed for spectrum licensing)</w:t>
      </w:r>
      <w:r>
        <w:t>.</w:t>
      </w:r>
    </w:p>
    <w:p w14:paraId="39E41523" w14:textId="3B3687A6" w:rsidR="00EF1770" w:rsidRDefault="00AC6904">
      <w:pPr>
        <w:spacing w:after="0" w:line="240" w:lineRule="auto"/>
      </w:pPr>
      <w:r>
        <w:br w:type="page"/>
      </w:r>
    </w:p>
    <w:p w14:paraId="32C4A5C3" w14:textId="77777777" w:rsidR="00AC5DB0" w:rsidRDefault="00AC5DB0" w:rsidP="00FA520E">
      <w:pPr>
        <w:pStyle w:val="ACMAFigureHeader"/>
      </w:pPr>
      <w:r>
        <w:lastRenderedPageBreak/>
        <w:t>Proposed wireless broadband arrangements for the 26 GHz band</w:t>
      </w:r>
    </w:p>
    <w:p w14:paraId="01B13D9D" w14:textId="2B243A27" w:rsidR="00AC5DB0" w:rsidRDefault="00AC5DB0" w:rsidP="00AC5DB0">
      <w:pPr>
        <w:pStyle w:val="ListBullet"/>
        <w:numPr>
          <w:ilvl w:val="0"/>
          <w:numId w:val="0"/>
        </w:numPr>
        <w:spacing w:before="120" w:after="120"/>
      </w:pPr>
      <w:r>
        <w:rPr>
          <w:noProof/>
        </w:rPr>
        <w:drawing>
          <wp:inline distT="0" distB="0" distL="0" distR="0" wp14:anchorId="1B289D29" wp14:editId="00E94E6F">
            <wp:extent cx="4858385" cy="1528445"/>
            <wp:effectExtent l="0" t="0" r="0" b="0"/>
            <wp:docPr id="17" name="Picture 17" descr="Proposed wireless broadband arrangements for the 26 GHz b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858385" cy="1528445"/>
                    </a:xfrm>
                    <a:prstGeom prst="rect">
                      <a:avLst/>
                    </a:prstGeom>
                    <a:noFill/>
                    <a:ln>
                      <a:noFill/>
                    </a:ln>
                  </pic:spPr>
                </pic:pic>
              </a:graphicData>
            </a:graphic>
          </wp:inline>
        </w:drawing>
      </w:r>
    </w:p>
    <w:p w14:paraId="07956876" w14:textId="356B1339" w:rsidR="00AC5DB0" w:rsidRDefault="00AC5DB0" w:rsidP="001221AF">
      <w:pPr>
        <w:pStyle w:val="ListBullet"/>
        <w:numPr>
          <w:ilvl w:val="0"/>
          <w:numId w:val="17"/>
        </w:numPr>
        <w:spacing w:before="120" w:after="120"/>
      </w:pPr>
      <w:r>
        <w:t xml:space="preserve">Class-licensing for indoor </w:t>
      </w:r>
      <w:r w:rsidR="001F5888">
        <w:t xml:space="preserve">wireless broadband </w:t>
      </w:r>
      <w:r>
        <w:t>use – Australia-wide</w:t>
      </w:r>
    </w:p>
    <w:p w14:paraId="09D521BB" w14:textId="6BD9D35F" w:rsidR="00AC5DB0" w:rsidRDefault="00AC5DB0" w:rsidP="001221AF">
      <w:pPr>
        <w:pStyle w:val="ListBullet"/>
        <w:numPr>
          <w:ilvl w:val="0"/>
          <w:numId w:val="18"/>
        </w:numPr>
        <w:spacing w:before="120" w:after="120"/>
      </w:pPr>
      <w:r>
        <w:t>Class-licensing for indoor and outdoor</w:t>
      </w:r>
      <w:r w:rsidR="001F5888">
        <w:t xml:space="preserve"> wireless broadband</w:t>
      </w:r>
      <w:r>
        <w:t xml:space="preserve"> use – Australia-wide</w:t>
      </w:r>
    </w:p>
    <w:p w14:paraId="507BC982" w14:textId="39F2993B" w:rsidR="00AC5DB0" w:rsidRDefault="00AC5DB0" w:rsidP="001221AF">
      <w:pPr>
        <w:pStyle w:val="ListBullet"/>
        <w:numPr>
          <w:ilvl w:val="0"/>
          <w:numId w:val="19"/>
        </w:numPr>
        <w:spacing w:before="120" w:after="120"/>
      </w:pPr>
      <w:r>
        <w:t xml:space="preserve">Spectrum licensing – </w:t>
      </w:r>
      <w:r w:rsidR="004D3882">
        <w:t xml:space="preserve">inside large </w:t>
      </w:r>
      <w:r w:rsidR="00503C9C">
        <w:t xml:space="preserve">population </w:t>
      </w:r>
      <w:r w:rsidR="004D3882">
        <w:t>centres</w:t>
      </w:r>
      <w:r w:rsidR="00DE573B">
        <w:t>. Includes additional conditions to protect SRS earth stations</w:t>
      </w:r>
      <w:r w:rsidR="001F5888">
        <w:t xml:space="preserve">. </w:t>
      </w:r>
    </w:p>
    <w:p w14:paraId="37EE4EDB" w14:textId="74620A49" w:rsidR="00AC5DB0" w:rsidRDefault="00AC5DB0" w:rsidP="001221AF">
      <w:pPr>
        <w:pStyle w:val="ListBullet"/>
        <w:numPr>
          <w:ilvl w:val="0"/>
          <w:numId w:val="20"/>
        </w:numPr>
        <w:spacing w:before="120" w:after="120"/>
      </w:pPr>
      <w:r>
        <w:t>Spectrum licensing</w:t>
      </w:r>
      <w:r w:rsidR="00F135A0">
        <w:t xml:space="preserve"> </w:t>
      </w:r>
      <w:r>
        <w:t xml:space="preserve">– </w:t>
      </w:r>
      <w:r w:rsidR="004D3882">
        <w:t xml:space="preserve">inside large </w:t>
      </w:r>
      <w:r w:rsidR="00503C9C">
        <w:t>population</w:t>
      </w:r>
      <w:r w:rsidR="009C7E32">
        <w:t xml:space="preserve"> </w:t>
      </w:r>
      <w:r w:rsidR="004D3882">
        <w:t>centres</w:t>
      </w:r>
      <w:r w:rsidR="00F135A0">
        <w:t>. Includes arrangements to protect existing FSS uplinks</w:t>
      </w:r>
    </w:p>
    <w:p w14:paraId="4C53F735" w14:textId="0A768AE6" w:rsidR="00AC5DB0" w:rsidRDefault="00AC5DB0" w:rsidP="001221AF">
      <w:pPr>
        <w:pStyle w:val="ListBullet"/>
        <w:numPr>
          <w:ilvl w:val="0"/>
          <w:numId w:val="21"/>
        </w:numPr>
        <w:spacing w:before="120" w:after="120"/>
      </w:pPr>
      <w:r>
        <w:t xml:space="preserve">Apparatus licensing </w:t>
      </w:r>
      <w:r w:rsidR="001F5888">
        <w:t xml:space="preserve">for wireless broadband use </w:t>
      </w:r>
      <w:r>
        <w:t>– Australia-wide</w:t>
      </w:r>
    </w:p>
    <w:p w14:paraId="4C3F8950" w14:textId="684F63E6" w:rsidR="00AC5DB0" w:rsidRDefault="00AC5DB0" w:rsidP="001221AF">
      <w:pPr>
        <w:pStyle w:val="ListBullet"/>
        <w:numPr>
          <w:ilvl w:val="0"/>
          <w:numId w:val="22"/>
        </w:numPr>
        <w:spacing w:before="120" w:after="120"/>
      </w:pPr>
      <w:r>
        <w:t xml:space="preserve">Apparatus licensing </w:t>
      </w:r>
      <w:r w:rsidR="001F5888">
        <w:t xml:space="preserve">for wireless broadband use </w:t>
      </w:r>
      <w:r>
        <w:t xml:space="preserve">– </w:t>
      </w:r>
      <w:r w:rsidR="001F5888">
        <w:t xml:space="preserve">outside large </w:t>
      </w:r>
      <w:r w:rsidR="00503C9C">
        <w:t>population</w:t>
      </w:r>
      <w:r w:rsidR="001F5888">
        <w:t xml:space="preserve"> centres</w:t>
      </w:r>
      <w:r w:rsidR="00DE573B">
        <w:t>. Includes additional conditions to protect SRS earth stations</w:t>
      </w:r>
    </w:p>
    <w:p w14:paraId="3C83B2D5" w14:textId="48B850A3" w:rsidR="00AC5DB0" w:rsidRDefault="00AC5DB0" w:rsidP="001221AF">
      <w:pPr>
        <w:pStyle w:val="ListBullet"/>
        <w:numPr>
          <w:ilvl w:val="0"/>
          <w:numId w:val="23"/>
        </w:numPr>
        <w:spacing w:before="120" w:after="120"/>
      </w:pPr>
      <w:r>
        <w:t>Apparatus licensing</w:t>
      </w:r>
      <w:r w:rsidRPr="00F440ED">
        <w:t xml:space="preserve"> </w:t>
      </w:r>
      <w:r w:rsidR="004D3882">
        <w:t>for</w:t>
      </w:r>
      <w:r>
        <w:t xml:space="preserve"> </w:t>
      </w:r>
      <w:r w:rsidR="001F5888">
        <w:t xml:space="preserve">wireless broadband use and </w:t>
      </w:r>
      <w:r>
        <w:t xml:space="preserve">FSS uplinks </w:t>
      </w:r>
      <w:r w:rsidR="001F5888">
        <w:t xml:space="preserve">on a first-in-time coordinated basis </w:t>
      </w:r>
      <w:r>
        <w:t>–</w:t>
      </w:r>
      <w:r w:rsidR="004D3882">
        <w:t xml:space="preserve"> outside large </w:t>
      </w:r>
      <w:r w:rsidR="00503C9C">
        <w:t xml:space="preserve">population </w:t>
      </w:r>
      <w:r w:rsidR="004D3882">
        <w:t>centres</w:t>
      </w:r>
    </w:p>
    <w:p w14:paraId="39070C36" w14:textId="1F05C4B9" w:rsidR="003F5EFE" w:rsidRDefault="00D0664C" w:rsidP="00F1614D">
      <w:pPr>
        <w:pStyle w:val="Heading2"/>
      </w:pPr>
      <w:bookmarkStart w:id="100" w:name="_Toc5000070"/>
      <w:r>
        <w:t xml:space="preserve">Consideration of spectrum options for </w:t>
      </w:r>
      <w:bookmarkEnd w:id="96"/>
      <w:r w:rsidR="00B153D9">
        <w:t>WWB</w:t>
      </w:r>
      <w:bookmarkEnd w:id="100"/>
    </w:p>
    <w:p w14:paraId="0475B025" w14:textId="4447B821" w:rsidR="00596B65" w:rsidRDefault="00596B65" w:rsidP="006274C7">
      <w:pPr>
        <w:spacing w:after="120"/>
      </w:pPr>
      <w:r>
        <w:t xml:space="preserve">A wide range of views were expressed in </w:t>
      </w:r>
      <w:r w:rsidR="00D03F08">
        <w:t>submissions</w:t>
      </w:r>
      <w:r>
        <w:t xml:space="preserve"> about future use of </w:t>
      </w:r>
      <w:r w:rsidR="00D03F08">
        <w:t xml:space="preserve">the </w:t>
      </w:r>
      <w:r>
        <w:t>28GHz</w:t>
      </w:r>
      <w:r w:rsidR="00D03F08">
        <w:t xml:space="preserve"> band</w:t>
      </w:r>
      <w:r>
        <w:t xml:space="preserve"> for WWB.</w:t>
      </w:r>
    </w:p>
    <w:p w14:paraId="5017E1A5" w14:textId="392305ED" w:rsidR="00C531D6" w:rsidRDefault="00F21562" w:rsidP="005D3186">
      <w:pPr>
        <w:spacing w:after="80"/>
      </w:pPr>
      <w:r>
        <w:t>To assess the</w:t>
      </w:r>
      <w:r w:rsidR="003A43FF">
        <w:t xml:space="preserve"> merits of a</w:t>
      </w:r>
      <w:r>
        <w:t xml:space="preserve"> potential allocation for </w:t>
      </w:r>
      <w:r w:rsidR="00B153D9">
        <w:t>WWB</w:t>
      </w:r>
      <w:r w:rsidR="00C531D6">
        <w:t xml:space="preserve"> in the 28 GHz band, the ACMA has considered the following</w:t>
      </w:r>
      <w:r w:rsidR="00596B65">
        <w:t xml:space="preserve"> evidence</w:t>
      </w:r>
      <w:r w:rsidR="00C531D6">
        <w:t>:</w:t>
      </w:r>
    </w:p>
    <w:p w14:paraId="0C559C92" w14:textId="20409BF0" w:rsidR="00437ABD" w:rsidRDefault="00F50B99" w:rsidP="00946F00">
      <w:pPr>
        <w:pStyle w:val="ListBullet"/>
      </w:pPr>
      <w:r>
        <w:t>i</w:t>
      </w:r>
      <w:r w:rsidR="00437ABD">
        <w:t>nternational trends</w:t>
      </w:r>
    </w:p>
    <w:p w14:paraId="524D14BD" w14:textId="609D3064" w:rsidR="00EE4C65" w:rsidRDefault="00F50B99" w:rsidP="00946F00">
      <w:pPr>
        <w:pStyle w:val="ListBullet"/>
      </w:pPr>
      <w:r>
        <w:t>d</w:t>
      </w:r>
      <w:r w:rsidR="002B56E0">
        <w:t xml:space="preserve">omestic </w:t>
      </w:r>
      <w:r w:rsidR="00EE4C65">
        <w:t xml:space="preserve">spectrum </w:t>
      </w:r>
      <w:r w:rsidR="00154883">
        <w:t>provision</w:t>
      </w:r>
      <w:r w:rsidR="002B56E0">
        <w:t>s</w:t>
      </w:r>
      <w:r w:rsidR="00154883">
        <w:t xml:space="preserve"> </w:t>
      </w:r>
      <w:r w:rsidR="00EE4C65">
        <w:t xml:space="preserve">for </w:t>
      </w:r>
      <w:r w:rsidR="00B153D9">
        <w:t>WWB</w:t>
      </w:r>
      <w:r w:rsidR="00AA6B66">
        <w:t xml:space="preserve"> in the 26 GHz band</w:t>
      </w:r>
    </w:p>
    <w:p w14:paraId="68F14F11" w14:textId="09565FCC" w:rsidR="003A43FF" w:rsidRDefault="00F50B99" w:rsidP="00946F00">
      <w:pPr>
        <w:pStyle w:val="ListBullet"/>
      </w:pPr>
      <w:r>
        <w:t>o</w:t>
      </w:r>
      <w:r w:rsidR="003A43FF">
        <w:t xml:space="preserve">ther </w:t>
      </w:r>
      <w:proofErr w:type="spellStart"/>
      <w:r w:rsidR="003A43FF">
        <w:t>mmWave</w:t>
      </w:r>
      <w:proofErr w:type="spellEnd"/>
      <w:r w:rsidR="003A43FF">
        <w:t xml:space="preserve"> spectrum options being considered for </w:t>
      </w:r>
      <w:r w:rsidR="00B153D9">
        <w:t>WWB</w:t>
      </w:r>
      <w:r w:rsidR="003A43FF">
        <w:t xml:space="preserve"> under WRC-19 agenda item 1.13. </w:t>
      </w:r>
    </w:p>
    <w:p w14:paraId="1F456589" w14:textId="51A5C510" w:rsidR="007358F5" w:rsidRDefault="007C4709" w:rsidP="00A37173">
      <w:pPr>
        <w:spacing w:before="240" w:after="120"/>
      </w:pPr>
      <w:r>
        <w:t>Internationally, there has been no chan</w:t>
      </w:r>
      <w:r w:rsidR="002B3862">
        <w:t>g</w:t>
      </w:r>
      <w:r>
        <w:t xml:space="preserve">e </w:t>
      </w:r>
      <w:r w:rsidR="00F00C16">
        <w:t xml:space="preserve">to the information on </w:t>
      </w:r>
      <w:r w:rsidR="001E45BF">
        <w:t xml:space="preserve">proposed </w:t>
      </w:r>
      <w:r w:rsidR="002B3862">
        <w:t xml:space="preserve">arrangements in other countries </w:t>
      </w:r>
      <w:r w:rsidR="00EA1481">
        <w:t>or</w:t>
      </w:r>
      <w:r w:rsidR="00D243D8">
        <w:t xml:space="preserve"> </w:t>
      </w:r>
      <w:r w:rsidR="00EA1481">
        <w:t xml:space="preserve">to </w:t>
      </w:r>
      <w:r w:rsidR="008B4F36">
        <w:t>i</w:t>
      </w:r>
      <w:r w:rsidR="000103AF">
        <w:t xml:space="preserve">nternational trends in the 28 GHz band since the </w:t>
      </w:r>
      <w:r w:rsidR="00EA1481">
        <w:t xml:space="preserve">release of the </w:t>
      </w:r>
      <w:hyperlink r:id="rId39" w:history="1">
        <w:r w:rsidR="000103AF" w:rsidRPr="000103AF">
          <w:rPr>
            <w:rStyle w:val="Hyperlink"/>
          </w:rPr>
          <w:t xml:space="preserve">September 2018 </w:t>
        </w:r>
        <w:r w:rsidR="001B0608">
          <w:rPr>
            <w:rStyle w:val="Hyperlink"/>
          </w:rPr>
          <w:t xml:space="preserve">consultation </w:t>
        </w:r>
        <w:r w:rsidR="000103AF" w:rsidRPr="000103AF">
          <w:rPr>
            <w:rStyle w:val="Hyperlink"/>
          </w:rPr>
          <w:t>paper</w:t>
        </w:r>
      </w:hyperlink>
      <w:r w:rsidR="001B0608">
        <w:t>.</w:t>
      </w:r>
      <w:r w:rsidR="00154883">
        <w:t xml:space="preserve"> </w:t>
      </w:r>
      <w:r w:rsidR="00EA1481">
        <w:t>As such</w:t>
      </w:r>
      <w:r w:rsidR="00D243D8">
        <w:t>,</w:t>
      </w:r>
      <w:r w:rsidR="00EA1481">
        <w:t xml:space="preserve"> the information detailed in that paper has been used to inform the development of options.</w:t>
      </w:r>
      <w:r w:rsidR="001B0608">
        <w:t xml:space="preserve"> </w:t>
      </w:r>
      <w:r w:rsidR="009D37AD">
        <w:t xml:space="preserve">In line with WRC-19 </w:t>
      </w:r>
      <w:r w:rsidR="002B3862">
        <w:t>a</w:t>
      </w:r>
      <w:r w:rsidR="009D37AD">
        <w:t xml:space="preserve">genda </w:t>
      </w:r>
      <w:r w:rsidR="002B3862">
        <w:t>i</w:t>
      </w:r>
      <w:r w:rsidR="009D37AD" w:rsidRPr="00D15335">
        <w:t>tem 1.</w:t>
      </w:r>
      <w:r w:rsidR="00854810" w:rsidRPr="00D15335">
        <w:t>1</w:t>
      </w:r>
      <w:r w:rsidR="00854810">
        <w:t>3</w:t>
      </w:r>
      <w:r w:rsidR="00CE44A1" w:rsidRPr="00D15335">
        <w:t xml:space="preserve">, </w:t>
      </w:r>
      <w:r w:rsidR="00A24264">
        <w:t>many</w:t>
      </w:r>
      <w:r w:rsidR="00A24264" w:rsidRPr="00D15335">
        <w:t xml:space="preserve"> </w:t>
      </w:r>
      <w:r w:rsidR="00CE44A1" w:rsidRPr="00D15335">
        <w:t xml:space="preserve">countries are </w:t>
      </w:r>
      <w:r w:rsidR="000103AF">
        <w:t xml:space="preserve">considering or have decided to </w:t>
      </w:r>
      <w:r w:rsidR="006F4485">
        <w:t>allocat</w:t>
      </w:r>
      <w:r w:rsidR="00B70D5C">
        <w:t>e</w:t>
      </w:r>
      <w:r w:rsidR="00D15335">
        <w:t xml:space="preserve"> spectrum in t</w:t>
      </w:r>
      <w:r w:rsidR="009240F7" w:rsidRPr="00D15335">
        <w:t xml:space="preserve">he 26 </w:t>
      </w:r>
      <w:r w:rsidR="009240F7">
        <w:t>GH</w:t>
      </w:r>
      <w:r w:rsidR="00D15335">
        <w:t xml:space="preserve">z </w:t>
      </w:r>
      <w:r w:rsidR="000103AF">
        <w:t xml:space="preserve">band for </w:t>
      </w:r>
      <w:r w:rsidR="00B153D9">
        <w:t>WWB</w:t>
      </w:r>
      <w:r w:rsidR="000103AF">
        <w:t xml:space="preserve">. The USA, Korea and Japan </w:t>
      </w:r>
      <w:r w:rsidR="001B0608">
        <w:t xml:space="preserve">have continued with their allocation in both the 26 GHz and 28 GHz bands for </w:t>
      </w:r>
      <w:r w:rsidR="00B153D9">
        <w:t>WWB</w:t>
      </w:r>
      <w:r w:rsidR="001B0608">
        <w:t xml:space="preserve"> as previously indicated.</w:t>
      </w:r>
      <w:r w:rsidR="00435704">
        <w:t xml:space="preserve"> This suggest</w:t>
      </w:r>
      <w:r w:rsidR="00E50202">
        <w:t>s</w:t>
      </w:r>
      <w:r w:rsidR="00435704">
        <w:t xml:space="preserve"> a viable equipment ecosystem will develop across the entire 24.25</w:t>
      </w:r>
      <w:r w:rsidR="00F50B99">
        <w:t>–</w:t>
      </w:r>
      <w:r w:rsidR="00435704">
        <w:t>29.5 GHz frequency range.</w:t>
      </w:r>
      <w:r w:rsidR="001B0608">
        <w:t xml:space="preserve"> </w:t>
      </w:r>
    </w:p>
    <w:p w14:paraId="404CCFEE" w14:textId="4E96524B" w:rsidR="00507D22" w:rsidRDefault="00941F5E" w:rsidP="00A37173">
      <w:pPr>
        <w:spacing w:after="120"/>
      </w:pPr>
      <w:r>
        <w:t xml:space="preserve">As </w:t>
      </w:r>
      <w:r w:rsidR="00B70D5C">
        <w:t>a result of the</w:t>
      </w:r>
      <w:r>
        <w:t xml:space="preserve"> 26 GHz </w:t>
      </w:r>
      <w:r w:rsidR="00B70D5C">
        <w:t xml:space="preserve">band </w:t>
      </w:r>
      <w:r>
        <w:t>process,</w:t>
      </w:r>
      <w:r w:rsidR="00D94BA7">
        <w:t xml:space="preserve"> </w:t>
      </w:r>
      <w:r w:rsidR="00DD3EAA">
        <w:t xml:space="preserve">the ACMA will shortly commence work towards facilitating </w:t>
      </w:r>
      <w:r w:rsidR="00671A5D">
        <w:t>2.</w:t>
      </w:r>
      <w:r w:rsidR="007B6752">
        <w:t>4</w:t>
      </w:r>
      <w:r w:rsidR="002D5C69">
        <w:t> </w:t>
      </w:r>
      <w:r w:rsidR="00671A5D">
        <w:t xml:space="preserve">GHz </w:t>
      </w:r>
      <w:r w:rsidR="00D94BA7">
        <w:t>of spectrum</w:t>
      </w:r>
      <w:r>
        <w:t xml:space="preserve"> </w:t>
      </w:r>
      <w:r w:rsidR="00644489">
        <w:t xml:space="preserve">for issue </w:t>
      </w:r>
      <w:r w:rsidR="00DD3EAA">
        <w:t>via</w:t>
      </w:r>
      <w:r w:rsidR="00644489">
        <w:t xml:space="preserve"> spectrum licences </w:t>
      </w:r>
      <w:r>
        <w:t xml:space="preserve">in </w:t>
      </w:r>
      <w:r w:rsidR="005664F9">
        <w:t>large</w:t>
      </w:r>
      <w:r w:rsidR="00644489">
        <w:t xml:space="preserve"> population centres. </w:t>
      </w:r>
      <w:r w:rsidR="002F37A7">
        <w:t xml:space="preserve">This is expected to be of primary interest to operators wishing to deploy </w:t>
      </w:r>
      <w:r w:rsidR="00B153D9">
        <w:t>WWB</w:t>
      </w:r>
      <w:r w:rsidR="002F37A7">
        <w:t xml:space="preserve"> services</w:t>
      </w:r>
      <w:r w:rsidR="00F60E47">
        <w:t xml:space="preserve"> and </w:t>
      </w:r>
      <w:r w:rsidR="00F135A0">
        <w:t>is a significant amount of spectrum</w:t>
      </w:r>
      <w:r w:rsidR="002F37A7">
        <w:t>.</w:t>
      </w:r>
      <w:r w:rsidR="00644489" w:rsidRPr="00644489">
        <w:t xml:space="preserve"> </w:t>
      </w:r>
      <w:r w:rsidR="00644489">
        <w:t>In addition</w:t>
      </w:r>
      <w:r w:rsidR="002F37A7">
        <w:t>,</w:t>
      </w:r>
      <w:r w:rsidR="00644489">
        <w:t xml:space="preserve"> </w:t>
      </w:r>
      <w:r w:rsidR="00DD3EAA">
        <w:t>the ACMA will work towards providing</w:t>
      </w:r>
      <w:r w:rsidR="00644489">
        <w:t xml:space="preserve"> 2.4 GHz of apparatus licen</w:t>
      </w:r>
      <w:r w:rsidR="00E50202">
        <w:t>s</w:t>
      </w:r>
      <w:r w:rsidR="00644489">
        <w:t xml:space="preserve">ed spectrum outside of </w:t>
      </w:r>
      <w:r w:rsidR="00D47A60">
        <w:t xml:space="preserve">large </w:t>
      </w:r>
      <w:r w:rsidR="00503C9C">
        <w:t xml:space="preserve">population </w:t>
      </w:r>
      <w:r w:rsidR="00D47A60">
        <w:t>centres</w:t>
      </w:r>
      <w:r w:rsidR="00644489">
        <w:t xml:space="preserve"> and another 400 MHz of apparatus licensed spectrum Australia-wide for localised wireless broadband deployments.</w:t>
      </w:r>
      <w:r w:rsidR="0058157D">
        <w:t xml:space="preserve"> </w:t>
      </w:r>
      <w:r w:rsidR="00F60E47">
        <w:t xml:space="preserve">These arrangements are also expected to be of interest to WWB operators. </w:t>
      </w:r>
    </w:p>
    <w:p w14:paraId="73C9B28F" w14:textId="15A44A57" w:rsidR="002F37A7" w:rsidRDefault="002F37A7" w:rsidP="00A37173">
      <w:pPr>
        <w:spacing w:after="120"/>
      </w:pPr>
      <w:r>
        <w:t xml:space="preserve">Under WRC-19 agenda item 1.13, numerous other </w:t>
      </w:r>
      <w:proofErr w:type="spellStart"/>
      <w:r>
        <w:t>mmWave</w:t>
      </w:r>
      <w:proofErr w:type="spellEnd"/>
      <w:r>
        <w:t xml:space="preserve"> bands are also being considered for </w:t>
      </w:r>
      <w:r w:rsidR="00B153D9">
        <w:t>WWB</w:t>
      </w:r>
      <w:r>
        <w:t xml:space="preserve">. </w:t>
      </w:r>
      <w:r w:rsidR="006B0039">
        <w:t xml:space="preserve">This could result in the identification of significant amounts of additional spectrum for </w:t>
      </w:r>
      <w:r w:rsidR="00B153D9">
        <w:t>WWB</w:t>
      </w:r>
      <w:r w:rsidR="006B0039">
        <w:t xml:space="preserve"> beyond the 26/28 GHz band. In particular, </w:t>
      </w:r>
      <w:r>
        <w:t xml:space="preserve">there is strong interest </w:t>
      </w:r>
      <w:r w:rsidR="006B0039">
        <w:t xml:space="preserve">internationally and domestically </w:t>
      </w:r>
      <w:r>
        <w:t xml:space="preserve">in </w:t>
      </w:r>
      <w:r w:rsidR="006B0039">
        <w:t xml:space="preserve">identifying </w:t>
      </w:r>
      <w:r>
        <w:t xml:space="preserve">all or part of </w:t>
      </w:r>
      <w:r w:rsidR="006B0039">
        <w:t>the 37</w:t>
      </w:r>
      <w:r w:rsidR="00F50B99">
        <w:t>–</w:t>
      </w:r>
      <w:r w:rsidR="006B0039">
        <w:t xml:space="preserve">43.5 GHz </w:t>
      </w:r>
      <w:r w:rsidR="00164080">
        <w:t>band as well as the 66</w:t>
      </w:r>
      <w:r w:rsidR="00F50B99">
        <w:t>–</w:t>
      </w:r>
      <w:r w:rsidR="00164080">
        <w:t xml:space="preserve">71 GHz bands </w:t>
      </w:r>
      <w:r w:rsidR="006B0039">
        <w:t xml:space="preserve">for </w:t>
      </w:r>
      <w:r w:rsidR="00B153D9">
        <w:t>WWB</w:t>
      </w:r>
      <w:r w:rsidR="006B0039">
        <w:t xml:space="preserve">. Europe has </w:t>
      </w:r>
      <w:r w:rsidR="00164080">
        <w:lastRenderedPageBreak/>
        <w:t>signalled that, in addition to the 26 GHz band, it “</w:t>
      </w:r>
      <w:r w:rsidR="00164080">
        <w:rPr>
          <w:lang w:val="en-GB"/>
        </w:rPr>
        <w:t xml:space="preserve">considers the </w:t>
      </w:r>
      <w:r w:rsidR="00164080" w:rsidRPr="00D67A03">
        <w:rPr>
          <w:lang w:val="en-GB"/>
        </w:rPr>
        <w:t>bands 40.5</w:t>
      </w:r>
      <w:r w:rsidR="00F50B99">
        <w:rPr>
          <w:lang w:val="en-GB"/>
        </w:rPr>
        <w:t>–</w:t>
      </w:r>
      <w:r w:rsidR="00164080" w:rsidRPr="00D67A03">
        <w:rPr>
          <w:lang w:val="en-GB"/>
        </w:rPr>
        <w:t xml:space="preserve">43.5 GHz </w:t>
      </w:r>
      <w:r w:rsidR="00164080">
        <w:rPr>
          <w:lang w:val="en-GB"/>
        </w:rPr>
        <w:t>and 66</w:t>
      </w:r>
      <w:r w:rsidR="00F50B99">
        <w:rPr>
          <w:lang w:val="en-GB"/>
        </w:rPr>
        <w:t>–</w:t>
      </w:r>
      <w:r w:rsidR="00164080">
        <w:rPr>
          <w:lang w:val="en-GB"/>
        </w:rPr>
        <w:t>71 GHz have good potential for future harmonisation in Europe”</w:t>
      </w:r>
      <w:r w:rsidR="00164080">
        <w:rPr>
          <w:rStyle w:val="FootnoteReference"/>
          <w:lang w:val="en-GB"/>
        </w:rPr>
        <w:footnoteReference w:id="13"/>
      </w:r>
      <w:r w:rsidR="006B0039">
        <w:t xml:space="preserve">. The USA has also announced plans to auction </w:t>
      </w:r>
      <w:r w:rsidR="00164080">
        <w:t xml:space="preserve">the </w:t>
      </w:r>
      <w:r w:rsidR="00164080" w:rsidRPr="00164080">
        <w:t>37.6</w:t>
      </w:r>
      <w:r w:rsidR="00F50B99">
        <w:t>–</w:t>
      </w:r>
      <w:r w:rsidR="00164080" w:rsidRPr="00164080">
        <w:t>38.6 GHz, 38.6</w:t>
      </w:r>
      <w:r w:rsidR="00F50B99">
        <w:t>–</w:t>
      </w:r>
      <w:r w:rsidR="00164080" w:rsidRPr="00164080">
        <w:t>40 GHz</w:t>
      </w:r>
      <w:r w:rsidR="006B0039">
        <w:t xml:space="preserve"> and 47.2</w:t>
      </w:r>
      <w:r w:rsidR="00F50B99">
        <w:t>–</w:t>
      </w:r>
      <w:r w:rsidR="006B0039">
        <w:t>48.2 GHz frequency ranges in 2019</w:t>
      </w:r>
      <w:r w:rsidR="00B8221D">
        <w:rPr>
          <w:rStyle w:val="FootnoteReference"/>
        </w:rPr>
        <w:footnoteReference w:id="14"/>
      </w:r>
      <w:r w:rsidR="00B8221D">
        <w:t xml:space="preserve">, </w:t>
      </w:r>
      <w:r w:rsidR="00596B65">
        <w:t xml:space="preserve">and </w:t>
      </w:r>
      <w:r w:rsidR="00B8221D">
        <w:t>has already released arrangements for unlicensed use of the 66</w:t>
      </w:r>
      <w:r w:rsidR="00F50B99">
        <w:t>–</w:t>
      </w:r>
      <w:r w:rsidR="00B8221D">
        <w:t xml:space="preserve">71 GHz band. </w:t>
      </w:r>
    </w:p>
    <w:p w14:paraId="5B164EC0" w14:textId="45F204F6" w:rsidR="00B8221D" w:rsidRDefault="00B8221D" w:rsidP="003F5EFE">
      <w:r>
        <w:t>The ACMA recently consulted on class licensed arrangements</w:t>
      </w:r>
      <w:r w:rsidR="009C0B02">
        <w:t xml:space="preserve"> in the 66</w:t>
      </w:r>
      <w:r w:rsidR="00F50B99">
        <w:t>–</w:t>
      </w:r>
      <w:r w:rsidR="009C0B02">
        <w:t>71 GHz band</w:t>
      </w:r>
      <w:r>
        <w:t xml:space="preserve"> to support 5G and other data communication systems</w:t>
      </w:r>
      <w:r>
        <w:rPr>
          <w:rStyle w:val="FootnoteReference"/>
        </w:rPr>
        <w:footnoteReference w:id="15"/>
      </w:r>
      <w:r>
        <w:t>. Submissions to this process are currently being reviewed. The 37</w:t>
      </w:r>
      <w:r w:rsidR="00F50B99">
        <w:t>–</w:t>
      </w:r>
      <w:r>
        <w:t>43.5 GHz band is currently in the monitoring stage of the ACMA</w:t>
      </w:r>
      <w:r w:rsidR="00F50B99">
        <w:t>’</w:t>
      </w:r>
      <w:r>
        <w:t xml:space="preserve">s process for considering new spectrum for </w:t>
      </w:r>
      <w:r w:rsidR="00A24264">
        <w:t xml:space="preserve">wireless </w:t>
      </w:r>
      <w:r>
        <w:t xml:space="preserve">broadband.   </w:t>
      </w:r>
    </w:p>
    <w:p w14:paraId="44499EEC" w14:textId="4FE5E9BF" w:rsidR="0074396B" w:rsidRPr="00F26E80" w:rsidRDefault="00D0664C" w:rsidP="00F1614D">
      <w:pPr>
        <w:pStyle w:val="Heading2"/>
      </w:pPr>
      <w:bookmarkStart w:id="101" w:name="_Toc5000071"/>
      <w:r>
        <w:t xml:space="preserve">Consideration of spectrum options for </w:t>
      </w:r>
      <w:r w:rsidR="003A0C8F">
        <w:t>P</w:t>
      </w:r>
      <w:r w:rsidR="00D45AE9">
        <w:t>TP</w:t>
      </w:r>
      <w:bookmarkEnd w:id="101"/>
    </w:p>
    <w:p w14:paraId="08207CF1" w14:textId="70B53552" w:rsidR="00CF3160" w:rsidRDefault="00435704" w:rsidP="00A37173">
      <w:pPr>
        <w:spacing w:after="120"/>
      </w:pPr>
      <w:r>
        <w:t xml:space="preserve">There is </w:t>
      </w:r>
      <w:r w:rsidR="006161E0">
        <w:t xml:space="preserve">336 MHz </w:t>
      </w:r>
      <w:r w:rsidR="002304F9">
        <w:t xml:space="preserve">of </w:t>
      </w:r>
      <w:r>
        <w:t xml:space="preserve">paired </w:t>
      </w:r>
      <w:r w:rsidR="00192093">
        <w:t xml:space="preserve">spectrum available </w:t>
      </w:r>
      <w:r>
        <w:t xml:space="preserve">for PTP use </w:t>
      </w:r>
      <w:r w:rsidR="006161E0">
        <w:t>in the 28 GHz band.</w:t>
      </w:r>
      <w:r w:rsidR="00CB234A">
        <w:t xml:space="preserve"> </w:t>
      </w:r>
      <w:r w:rsidR="00CE5997">
        <w:t xml:space="preserve">While </w:t>
      </w:r>
      <w:r w:rsidR="000D5B99">
        <w:t xml:space="preserve">arrangements </w:t>
      </w:r>
      <w:r>
        <w:t xml:space="preserve">for PTP </w:t>
      </w:r>
      <w:r w:rsidR="000D5B99">
        <w:t xml:space="preserve">in </w:t>
      </w:r>
      <w:r w:rsidR="00CE5997">
        <w:t xml:space="preserve">the band </w:t>
      </w:r>
      <w:r w:rsidR="000D5B99">
        <w:t>include</w:t>
      </w:r>
      <w:r w:rsidR="00CE5997">
        <w:t xml:space="preserve"> channel bandwidths of 28 MHz, 56</w:t>
      </w:r>
      <w:r w:rsidR="00937B92">
        <w:t> </w:t>
      </w:r>
      <w:r w:rsidR="00CE5997">
        <w:t xml:space="preserve">MHz and 112 MHz, </w:t>
      </w:r>
      <w:r w:rsidR="00A24264">
        <w:t xml:space="preserve">the </w:t>
      </w:r>
      <w:r w:rsidR="00005715">
        <w:t>majority of</w:t>
      </w:r>
      <w:r w:rsidR="002D7A60">
        <w:t xml:space="preserve"> </w:t>
      </w:r>
      <w:r w:rsidR="00B065D6">
        <w:t>licences</w:t>
      </w:r>
      <w:r w:rsidR="002D7A60">
        <w:t xml:space="preserve"> use </w:t>
      </w:r>
      <w:r w:rsidR="00CE5997">
        <w:t>112 MHz channels</w:t>
      </w:r>
      <w:r w:rsidR="00937B92">
        <w:t xml:space="preserve">. </w:t>
      </w:r>
      <w:r>
        <w:t>Proponents of PTP</w:t>
      </w:r>
      <w:r w:rsidR="00CB234A">
        <w:t xml:space="preserve"> </w:t>
      </w:r>
      <w:r>
        <w:t xml:space="preserve">use in the band </w:t>
      </w:r>
      <w:r w:rsidR="005B06CE">
        <w:t xml:space="preserve">(see </w:t>
      </w:r>
      <w:r w:rsidR="00690AF1">
        <w:t>‘</w:t>
      </w:r>
      <w:r w:rsidRPr="005D3186">
        <w:t>Summary of</w:t>
      </w:r>
      <w:r w:rsidR="005B06CE" w:rsidRPr="005D3186">
        <w:t xml:space="preserve"> </w:t>
      </w:r>
      <w:r w:rsidR="00690AF1">
        <w:t>s</w:t>
      </w:r>
      <w:r w:rsidR="000D5B99" w:rsidRPr="005D3186">
        <w:t>ubmissions</w:t>
      </w:r>
      <w:r w:rsidR="00690AF1">
        <w:t>’</w:t>
      </w:r>
      <w:r w:rsidR="005B06CE">
        <w:t>)</w:t>
      </w:r>
      <w:r w:rsidR="000D5B99">
        <w:t xml:space="preserve"> </w:t>
      </w:r>
      <w:r w:rsidR="00D63F21">
        <w:t xml:space="preserve">expressed the </w:t>
      </w:r>
      <w:r w:rsidR="00671A5D">
        <w:t xml:space="preserve">desire </w:t>
      </w:r>
      <w:r w:rsidR="00D63F21">
        <w:t>to maintain</w:t>
      </w:r>
      <w:r w:rsidR="00760891">
        <w:t xml:space="preserve"> existing</w:t>
      </w:r>
      <w:r w:rsidR="00192093">
        <w:t xml:space="preserve"> arrangements in </w:t>
      </w:r>
      <w:r w:rsidR="00D63F21">
        <w:t>this band</w:t>
      </w:r>
      <w:r>
        <w:t xml:space="preserve"> due to the </w:t>
      </w:r>
      <w:r w:rsidR="00760891">
        <w:t>112 MHz</w:t>
      </w:r>
      <w:r>
        <w:t xml:space="preserve"> channel sizes</w:t>
      </w:r>
      <w:r w:rsidR="00A24264">
        <w:t xml:space="preserve"> that are unavailable </w:t>
      </w:r>
      <w:r w:rsidR="009C0B02">
        <w:t>elsewhere</w:t>
      </w:r>
      <w:r>
        <w:t xml:space="preserve">. </w:t>
      </w:r>
      <w:r w:rsidR="00760891">
        <w:t xml:space="preserve">These channels are used to </w:t>
      </w:r>
      <w:r w:rsidR="001E7C9F">
        <w:t>support</w:t>
      </w:r>
      <w:r w:rsidR="00760891">
        <w:t xml:space="preserve"> backhaul for </w:t>
      </w:r>
      <w:r w:rsidR="001E7C9F">
        <w:t>high data rates</w:t>
      </w:r>
      <w:r w:rsidR="001E7C9F" w:rsidRPr="000D5B99">
        <w:t xml:space="preserve"> </w:t>
      </w:r>
      <w:r w:rsidR="001E7C9F">
        <w:t xml:space="preserve">services. </w:t>
      </w:r>
      <w:r>
        <w:t>P</w:t>
      </w:r>
      <w:r w:rsidR="00192093">
        <w:t xml:space="preserve">roponents of </w:t>
      </w:r>
      <w:r w:rsidR="00D63F21">
        <w:t>other service</w:t>
      </w:r>
      <w:r w:rsidR="00192093">
        <w:t>s</w:t>
      </w:r>
      <w:r w:rsidR="00D63F21">
        <w:t xml:space="preserve"> </w:t>
      </w:r>
      <w:r w:rsidR="004C41C0">
        <w:t>suggested</w:t>
      </w:r>
      <w:r w:rsidR="00D2768E">
        <w:t xml:space="preserve"> that given the </w:t>
      </w:r>
      <w:r>
        <w:t>limited number of PTP</w:t>
      </w:r>
      <w:r w:rsidR="00D2768E">
        <w:t xml:space="preserve"> assignments</w:t>
      </w:r>
      <w:r w:rsidR="004C41C0">
        <w:t xml:space="preserve">, </w:t>
      </w:r>
      <w:r w:rsidR="00320ED2">
        <w:t xml:space="preserve">spectrum requirements for PTP </w:t>
      </w:r>
      <w:r w:rsidR="004C41C0">
        <w:t>c</w:t>
      </w:r>
      <w:r w:rsidR="00192093">
        <w:t>ould be</w:t>
      </w:r>
      <w:r w:rsidR="004C41C0">
        <w:t xml:space="preserve"> </w:t>
      </w:r>
      <w:r w:rsidR="00320ED2">
        <w:t>accommodated in</w:t>
      </w:r>
      <w:r>
        <w:t xml:space="preserve"> </w:t>
      </w:r>
      <w:r w:rsidR="00320ED2">
        <w:t xml:space="preserve">other </w:t>
      </w:r>
      <w:r>
        <w:t>band</w:t>
      </w:r>
      <w:r w:rsidR="00320ED2">
        <w:t>s</w:t>
      </w:r>
      <w:r w:rsidR="001177F8">
        <w:t>,</w:t>
      </w:r>
      <w:r w:rsidR="004C41C0">
        <w:t xml:space="preserve"> and the spectrum made available </w:t>
      </w:r>
      <w:r w:rsidR="00192093">
        <w:t>for</w:t>
      </w:r>
      <w:r w:rsidR="004C41C0">
        <w:t xml:space="preserve"> </w:t>
      </w:r>
      <w:r w:rsidR="001177F8">
        <w:t>other services</w:t>
      </w:r>
      <w:r>
        <w:t xml:space="preserve"> such as FSS and </w:t>
      </w:r>
      <w:r w:rsidR="00B153D9">
        <w:t>WWB</w:t>
      </w:r>
      <w:r w:rsidR="0045178B">
        <w:t>.</w:t>
      </w:r>
    </w:p>
    <w:p w14:paraId="376D97A5" w14:textId="01A671CE" w:rsidR="00320ED2" w:rsidRDefault="002A7750" w:rsidP="00B11477">
      <w:pPr>
        <w:spacing w:after="120"/>
      </w:pPr>
      <w:r>
        <w:t>As of 5 March 2019</w:t>
      </w:r>
      <w:r w:rsidR="00690AF1">
        <w:t>,</w:t>
      </w:r>
      <w:r>
        <w:t xml:space="preserve"> there were 22 PTP licences held by 11 licensees in the 28 GHz band. Licences are mainly held by local councils and WISPs. </w:t>
      </w:r>
      <w:r w:rsidR="00B065D6">
        <w:t xml:space="preserve">Due to the current limited usage of the 28 GHz PTP arrangements the ACMA has investigated </w:t>
      </w:r>
      <w:r w:rsidR="00320ED2">
        <w:t xml:space="preserve">whether arrangements in other bands </w:t>
      </w:r>
      <w:r w:rsidR="00760891">
        <w:t xml:space="preserve">would be </w:t>
      </w:r>
      <w:r w:rsidR="00320ED2">
        <w:t>sufficient to accommodate future</w:t>
      </w:r>
      <w:r w:rsidR="00503C9C">
        <w:t xml:space="preserve"> growth and demand for</w:t>
      </w:r>
      <w:r w:rsidR="00320ED2">
        <w:t xml:space="preserve"> PTP use</w:t>
      </w:r>
      <w:r w:rsidR="00B065D6">
        <w:t xml:space="preserve">. This included </w:t>
      </w:r>
      <w:r w:rsidR="00320ED2">
        <w:t>consider</w:t>
      </w:r>
      <w:r w:rsidR="00B065D6">
        <w:t>ation of</w:t>
      </w:r>
      <w:r w:rsidR="00320ED2">
        <w:t xml:space="preserve"> existing arrangements in the </w:t>
      </w:r>
      <w:r w:rsidR="00CD159B">
        <w:t xml:space="preserve">following bands nearby in frequency: </w:t>
      </w:r>
      <w:r w:rsidR="00320ED2">
        <w:t>18 GHz, 22 GHz, 31 GHz</w:t>
      </w:r>
      <w:r w:rsidR="00CD159B">
        <w:t xml:space="preserve"> and</w:t>
      </w:r>
      <w:r w:rsidR="00320ED2">
        <w:t xml:space="preserve"> 38 GHz. </w:t>
      </w:r>
      <w:r w:rsidR="00320ED2" w:rsidRPr="00A37173">
        <w:t xml:space="preserve">Table </w:t>
      </w:r>
      <w:r w:rsidR="00AF05B4">
        <w:t>2</w:t>
      </w:r>
      <w:r w:rsidR="00320ED2">
        <w:t xml:space="preserve"> summarises arrangements and existing use in these bands</w:t>
      </w:r>
      <w:r w:rsidR="005B5922">
        <w:t>.</w:t>
      </w:r>
      <w:r w:rsidR="00B034FD">
        <w:rPr>
          <w:rStyle w:val="FootnoteReference"/>
        </w:rPr>
        <w:footnoteReference w:id="16"/>
      </w:r>
      <w:r w:rsidR="005B5922">
        <w:t xml:space="preserve"> The assessment was based on whether these PTP bands could support new services in 28 MHz, 56 MHz and 112 MHz channel bandwidth</w:t>
      </w:r>
      <w:r w:rsidR="00C72414">
        <w:t>s</w:t>
      </w:r>
      <w:r w:rsidR="005B5922">
        <w:t xml:space="preserve"> currently defined in the 28 GHz band</w:t>
      </w:r>
      <w:r w:rsidR="00803DD1">
        <w:t>.</w:t>
      </w:r>
    </w:p>
    <w:p w14:paraId="346606E9" w14:textId="69F853F0" w:rsidR="005B5922" w:rsidRDefault="001A2BCE" w:rsidP="00B11477">
      <w:pPr>
        <w:spacing w:after="120"/>
      </w:pPr>
      <w:r>
        <w:t>Review of Table 2 indicates t</w:t>
      </w:r>
      <w:r w:rsidR="005B5922">
        <w:t>here are</w:t>
      </w:r>
      <w:r w:rsidR="009E3A51">
        <w:t xml:space="preserve"> arrangements in place in the 18 GHz and 22 GHz bands to support</w:t>
      </w:r>
      <w:r w:rsidR="005B5922">
        <w:t xml:space="preserve"> </w:t>
      </w:r>
      <w:r w:rsidR="009E3A51">
        <w:t xml:space="preserve">28 MHz and 56 MHz </w:t>
      </w:r>
      <w:r w:rsidR="005B5922">
        <w:t>channel</w:t>
      </w:r>
      <w:r w:rsidR="00E04DFD">
        <w:t>s</w:t>
      </w:r>
      <w:r w:rsidR="009E3A51">
        <w:t>. Comparison of the number of assignments in the 18 GHz and 22 GHz bands also suggest there is reasonable room for growth in the 22 GHz band. In addition, the lower frequency</w:t>
      </w:r>
      <w:r w:rsidR="00004B21">
        <w:t xml:space="preserve"> of the 18 GHz and 22 GHz bands</w:t>
      </w:r>
      <w:r w:rsidR="009E3A51">
        <w:t xml:space="preserve"> ensures that similar or larger path lengths should be achievable when compared to the 28 GHz band.</w:t>
      </w:r>
      <w:r w:rsidR="002D7A60">
        <w:t xml:space="preserve"> </w:t>
      </w:r>
      <w:r>
        <w:t>It is also noted t</w:t>
      </w:r>
      <w:r w:rsidR="002D7A60">
        <w:t>here are also options for 28 MHz channels in the 38 GHz band.</w:t>
      </w:r>
    </w:p>
    <w:p w14:paraId="7B9E3844" w14:textId="25E6A734" w:rsidR="00803DD1" w:rsidRDefault="001A2BCE" w:rsidP="00B11477">
      <w:pPr>
        <w:spacing w:after="120"/>
      </w:pPr>
      <w:r>
        <w:t>Unfortunately,</w:t>
      </w:r>
      <w:r w:rsidR="00E04DFD">
        <w:t xml:space="preserve"> t</w:t>
      </w:r>
      <w:r w:rsidR="008E13DB">
        <w:t xml:space="preserve">here </w:t>
      </w:r>
      <w:r w:rsidR="001E7C9F">
        <w:t>are no equivalent arrangements in place in other bands to support the larger 112 MHz channel</w:t>
      </w:r>
      <w:r w:rsidR="00E04DFD">
        <w:t xml:space="preserve">s available </w:t>
      </w:r>
      <w:r w:rsidR="001E7C9F">
        <w:t xml:space="preserve">in the 28 GHz band. For this reason, the ACMA </w:t>
      </w:r>
      <w:r w:rsidR="005B5922">
        <w:t xml:space="preserve">has </w:t>
      </w:r>
      <w:r>
        <w:t xml:space="preserve">also </w:t>
      </w:r>
      <w:r w:rsidR="001E7C9F">
        <w:t xml:space="preserve">investigated options to introduce channel bandwidths larger than 100 MHz into existing PTP bands. </w:t>
      </w:r>
      <w:r w:rsidR="0073752C">
        <w:t>The 18 GHz and 22 GHz band</w:t>
      </w:r>
      <w:r w:rsidR="000D5B99">
        <w:t>s</w:t>
      </w:r>
      <w:r w:rsidR="0073752C">
        <w:t xml:space="preserve"> were deemed unsuitable as there </w:t>
      </w:r>
      <w:r w:rsidR="009C4425">
        <w:t>are</w:t>
      </w:r>
      <w:r>
        <w:t xml:space="preserve"> already</w:t>
      </w:r>
      <w:r w:rsidR="009C4425">
        <w:t xml:space="preserve"> </w:t>
      </w:r>
      <w:r w:rsidR="0073752C">
        <w:t xml:space="preserve">a large number of assignments which would </w:t>
      </w:r>
      <w:r w:rsidR="00205178">
        <w:t xml:space="preserve">restrict the </w:t>
      </w:r>
      <w:r w:rsidR="00004B21">
        <w:t xml:space="preserve">availability </w:t>
      </w:r>
      <w:r w:rsidR="00205178">
        <w:t xml:space="preserve">of </w:t>
      </w:r>
      <w:r w:rsidR="00004B21">
        <w:t xml:space="preserve">any channels </w:t>
      </w:r>
      <w:r w:rsidR="00A24264">
        <w:t>greater than</w:t>
      </w:r>
      <w:r w:rsidR="00AF05B4">
        <w:t xml:space="preserve"> </w:t>
      </w:r>
      <w:r w:rsidR="00004B21">
        <w:t xml:space="preserve">100 MHz in bandwidth. </w:t>
      </w:r>
      <w:r w:rsidR="00F05F38">
        <w:t xml:space="preserve">The 31 GHz band </w:t>
      </w:r>
      <w:r w:rsidR="00004B21">
        <w:t>is</w:t>
      </w:r>
      <w:r w:rsidR="00F05F38">
        <w:t xml:space="preserve"> deemed unsuitable as </w:t>
      </w:r>
      <w:r w:rsidR="00004B21">
        <w:t>it is not large enough</w:t>
      </w:r>
      <w:r w:rsidR="00884944">
        <w:t xml:space="preserve"> to provide multiple </w:t>
      </w:r>
      <w:r w:rsidR="00004B21">
        <w:t xml:space="preserve">channels </w:t>
      </w:r>
      <w:r w:rsidR="00A24264">
        <w:t>greater than</w:t>
      </w:r>
      <w:r w:rsidR="00E04DFD">
        <w:t xml:space="preserve"> </w:t>
      </w:r>
      <w:r w:rsidR="00004B21">
        <w:t xml:space="preserve">100 </w:t>
      </w:r>
      <w:proofErr w:type="spellStart"/>
      <w:r w:rsidR="00004B21">
        <w:t>MHz</w:t>
      </w:r>
      <w:r w:rsidR="00884944">
        <w:t>.</w:t>
      </w:r>
      <w:proofErr w:type="spellEnd"/>
      <w:r w:rsidR="00F53E39">
        <w:t xml:space="preserve"> </w:t>
      </w:r>
      <w:r>
        <w:t>However, t</w:t>
      </w:r>
      <w:r w:rsidR="00F53E39">
        <w:t>he 38</w:t>
      </w:r>
      <w:r w:rsidR="002D5C69">
        <w:t> </w:t>
      </w:r>
      <w:r w:rsidR="00F53E39">
        <w:t xml:space="preserve">GHz </w:t>
      </w:r>
      <w:r w:rsidR="0059290F">
        <w:t>band</w:t>
      </w:r>
      <w:r w:rsidR="00F53E39">
        <w:t xml:space="preserve"> </w:t>
      </w:r>
      <w:r w:rsidR="00097437">
        <w:t xml:space="preserve">could be </w:t>
      </w:r>
      <w:r>
        <w:t xml:space="preserve">considered </w:t>
      </w:r>
      <w:r w:rsidR="00097437">
        <w:t>an option</w:t>
      </w:r>
      <w:r w:rsidR="007B3494">
        <w:t xml:space="preserve"> as</w:t>
      </w:r>
      <w:r w:rsidR="005664F9">
        <w:t xml:space="preserve"> </w:t>
      </w:r>
      <w:r w:rsidR="00307DE6">
        <w:t xml:space="preserve">it </w:t>
      </w:r>
      <w:r w:rsidR="00937B92">
        <w:t>has</w:t>
      </w:r>
      <w:r w:rsidR="00307DE6">
        <w:t xml:space="preserve"> enough spectrum to </w:t>
      </w:r>
      <w:r w:rsidR="00090A99">
        <w:t xml:space="preserve">accommodate </w:t>
      </w:r>
      <w:r w:rsidR="00DE67EB">
        <w:t xml:space="preserve">multiple </w:t>
      </w:r>
      <w:r w:rsidR="007B3876">
        <w:t xml:space="preserve">paired </w:t>
      </w:r>
      <w:r w:rsidR="00090A99">
        <w:t>112</w:t>
      </w:r>
      <w:r w:rsidR="00F102A9">
        <w:t> </w:t>
      </w:r>
      <w:r w:rsidR="00090A99">
        <w:t>MHz channels</w:t>
      </w:r>
      <w:r>
        <w:t>. Also</w:t>
      </w:r>
      <w:r w:rsidR="00090A99">
        <w:t xml:space="preserve"> </w:t>
      </w:r>
      <w:r w:rsidR="002D3D48">
        <w:t xml:space="preserve">based on </w:t>
      </w:r>
      <w:r>
        <w:t>the current level of use</w:t>
      </w:r>
      <w:r w:rsidR="002D3D48">
        <w:t xml:space="preserve">, </w:t>
      </w:r>
      <w:r>
        <w:t>it appears to have</w:t>
      </w:r>
      <w:r w:rsidR="00090A99">
        <w:t xml:space="preserve"> sufficient capacity</w:t>
      </w:r>
      <w:r w:rsidR="00097437">
        <w:t xml:space="preserve"> </w:t>
      </w:r>
      <w:r w:rsidR="002D3D48">
        <w:t xml:space="preserve">to supports </w:t>
      </w:r>
      <w:r w:rsidR="000D0E55">
        <w:t>new assignments.</w:t>
      </w:r>
      <w:r w:rsidR="009D2995">
        <w:t xml:space="preserve"> </w:t>
      </w:r>
    </w:p>
    <w:p w14:paraId="21BB297A" w14:textId="0A21E72A" w:rsidR="0015455B" w:rsidRDefault="004A49D9" w:rsidP="00803DD1">
      <w:pPr>
        <w:rPr>
          <w:rFonts w:cs="Arial"/>
        </w:rPr>
      </w:pPr>
      <w:r>
        <w:t xml:space="preserve">It is acknowledged that the 38 GHz band will not support the same maximum path lengths as 28 GHz. However, </w:t>
      </w:r>
      <w:r w:rsidR="00103F01">
        <w:t xml:space="preserve">the difference </w:t>
      </w:r>
      <w:r w:rsidR="002A7F7B">
        <w:t xml:space="preserve">does not appear to be significant and it is expected that most </w:t>
      </w:r>
      <w:r w:rsidR="0025468F">
        <w:t xml:space="preserve">intended </w:t>
      </w:r>
      <w:r w:rsidR="002A7F7B">
        <w:t xml:space="preserve">path lengths could be accommodated in the 38 GHz band. For example, the current maximum path lengths for licences in the 28 GHz and 38 GHz bands are 8.9 km and 6.6 km respectively, </w:t>
      </w:r>
      <w:r w:rsidR="005664F9">
        <w:t>while</w:t>
      </w:r>
      <w:r w:rsidR="002A7F7B">
        <w:t xml:space="preserve"> the average </w:t>
      </w:r>
      <w:r w:rsidR="002A7F7B">
        <w:lastRenderedPageBreak/>
        <w:t xml:space="preserve">path length in </w:t>
      </w:r>
      <w:r w:rsidR="005664F9">
        <w:t xml:space="preserve">the </w:t>
      </w:r>
      <w:r w:rsidR="002A7F7B">
        <w:t xml:space="preserve">28 GHz band is 3km. </w:t>
      </w:r>
      <w:r w:rsidR="00B03725">
        <w:t>This average distance is expected to be an achievable within the 38 GHz band, while some longer distance</w:t>
      </w:r>
      <w:r w:rsidR="0097125F">
        <w:t>s</w:t>
      </w:r>
      <w:r w:rsidR="00B03725">
        <w:t xml:space="preserve"> may require multiple hops.</w:t>
      </w:r>
    </w:p>
    <w:p w14:paraId="1A61B84A" w14:textId="45CEA1FA" w:rsidR="00CF3160" w:rsidRDefault="004D66FE" w:rsidP="00A37173">
      <w:pPr>
        <w:pStyle w:val="ACMATableHeader"/>
        <w:spacing w:before="120" w:after="120"/>
      </w:pPr>
      <w:r>
        <w:t xml:space="preserve">Summary of 18 GHz to 50 GHz </w:t>
      </w:r>
      <w:r w:rsidR="00A24264">
        <w:t xml:space="preserve">point to point </w:t>
      </w:r>
      <w:r>
        <w:t>bands</w:t>
      </w:r>
    </w:p>
    <w:tbl>
      <w:tblPr>
        <w:tblStyle w:val="TableGrid"/>
        <w:tblW w:w="9067" w:type="dxa"/>
        <w:tblLayout w:type="fixed"/>
        <w:tblLook w:val="04A0" w:firstRow="1" w:lastRow="0" w:firstColumn="1" w:lastColumn="0" w:noHBand="0" w:noVBand="1"/>
      </w:tblPr>
      <w:tblGrid>
        <w:gridCol w:w="1150"/>
        <w:gridCol w:w="1646"/>
        <w:gridCol w:w="2161"/>
        <w:gridCol w:w="2565"/>
        <w:gridCol w:w="1545"/>
      </w:tblGrid>
      <w:tr w:rsidR="002D7A60" w14:paraId="5CCEB5D6" w14:textId="77777777" w:rsidTr="005D3186">
        <w:tc>
          <w:tcPr>
            <w:tcW w:w="1150" w:type="dxa"/>
            <w:shd w:val="clear" w:color="auto" w:fill="404040" w:themeFill="text1" w:themeFillTint="BF"/>
          </w:tcPr>
          <w:p w14:paraId="6251287E" w14:textId="5346BE67" w:rsidR="005B5922" w:rsidRPr="005D3186" w:rsidRDefault="005B5922" w:rsidP="005D3186">
            <w:pPr>
              <w:pStyle w:val="TableHeading"/>
              <w:rPr>
                <w:b w:val="0"/>
                <w:color w:val="FFFFFF" w:themeColor="background1"/>
              </w:rPr>
            </w:pPr>
            <w:r w:rsidRPr="005D3186">
              <w:rPr>
                <w:color w:val="FFFFFF" w:themeColor="background1"/>
              </w:rPr>
              <w:t>Band (GHz)</w:t>
            </w:r>
          </w:p>
        </w:tc>
        <w:tc>
          <w:tcPr>
            <w:tcW w:w="1646" w:type="dxa"/>
            <w:shd w:val="clear" w:color="auto" w:fill="404040" w:themeFill="text1" w:themeFillTint="BF"/>
          </w:tcPr>
          <w:p w14:paraId="5E8B53A5" w14:textId="4DD71C8B" w:rsidR="005B5922" w:rsidRPr="005D3186" w:rsidRDefault="005B5922" w:rsidP="005D3186">
            <w:pPr>
              <w:pStyle w:val="TableHeading"/>
              <w:rPr>
                <w:b w:val="0"/>
                <w:color w:val="FFFFFF" w:themeColor="background1"/>
              </w:rPr>
            </w:pPr>
            <w:r w:rsidRPr="005D3186">
              <w:rPr>
                <w:color w:val="FFFFFF" w:themeColor="background1"/>
              </w:rPr>
              <w:t>Frequency Range (GHz)</w:t>
            </w:r>
          </w:p>
        </w:tc>
        <w:tc>
          <w:tcPr>
            <w:tcW w:w="2161" w:type="dxa"/>
            <w:shd w:val="clear" w:color="auto" w:fill="404040" w:themeFill="text1" w:themeFillTint="BF"/>
          </w:tcPr>
          <w:p w14:paraId="2214D409" w14:textId="48546D16" w:rsidR="005B5922" w:rsidRPr="005D3186" w:rsidRDefault="005B5922" w:rsidP="005D3186">
            <w:pPr>
              <w:pStyle w:val="TableHeading"/>
              <w:rPr>
                <w:b w:val="0"/>
                <w:color w:val="FFFFFF" w:themeColor="background1"/>
              </w:rPr>
            </w:pPr>
            <w:r w:rsidRPr="005D3186">
              <w:rPr>
                <w:color w:val="FFFFFF" w:themeColor="background1"/>
              </w:rPr>
              <w:t>Channel bandwidths supported that are &gt;25 MHz (MHz)</w:t>
            </w:r>
          </w:p>
        </w:tc>
        <w:tc>
          <w:tcPr>
            <w:tcW w:w="2565" w:type="dxa"/>
            <w:shd w:val="clear" w:color="auto" w:fill="404040" w:themeFill="text1" w:themeFillTint="BF"/>
          </w:tcPr>
          <w:p w14:paraId="141710C0" w14:textId="3444D0FE" w:rsidR="005B5922" w:rsidRPr="005D3186" w:rsidRDefault="005B5922" w:rsidP="005D3186">
            <w:pPr>
              <w:pStyle w:val="TableHeading"/>
              <w:rPr>
                <w:b w:val="0"/>
                <w:color w:val="FFFFFF" w:themeColor="background1"/>
              </w:rPr>
            </w:pPr>
            <w:r w:rsidRPr="005D3186">
              <w:rPr>
                <w:color w:val="FFFFFF" w:themeColor="background1"/>
              </w:rPr>
              <w:t>Number of channel pairs for each channel bandwidth supported</w:t>
            </w:r>
          </w:p>
        </w:tc>
        <w:tc>
          <w:tcPr>
            <w:tcW w:w="1545" w:type="dxa"/>
            <w:shd w:val="clear" w:color="auto" w:fill="404040" w:themeFill="text1" w:themeFillTint="BF"/>
          </w:tcPr>
          <w:p w14:paraId="53EA410F" w14:textId="0B2B2503" w:rsidR="005B5922" w:rsidRPr="005D3186" w:rsidRDefault="005B5922" w:rsidP="005D3186">
            <w:pPr>
              <w:pStyle w:val="TableHeading"/>
              <w:rPr>
                <w:b w:val="0"/>
                <w:color w:val="FFFFFF" w:themeColor="background1"/>
              </w:rPr>
            </w:pPr>
            <w:r w:rsidRPr="005D3186">
              <w:rPr>
                <w:color w:val="FFFFFF" w:themeColor="background1"/>
              </w:rPr>
              <w:t>Number of assignments</w:t>
            </w:r>
          </w:p>
        </w:tc>
      </w:tr>
      <w:tr w:rsidR="005B5922" w14:paraId="7EE025A7" w14:textId="77777777" w:rsidTr="005D3186">
        <w:tc>
          <w:tcPr>
            <w:tcW w:w="1150" w:type="dxa"/>
            <w:vAlign w:val="center"/>
          </w:tcPr>
          <w:p w14:paraId="01CA3B85" w14:textId="58489F88" w:rsidR="005B5922" w:rsidRPr="00AF1AC4" w:rsidRDefault="005B5922" w:rsidP="005D3186">
            <w:pPr>
              <w:pStyle w:val="TableBody"/>
            </w:pPr>
            <w:r w:rsidRPr="00AF1AC4">
              <w:t>18</w:t>
            </w:r>
          </w:p>
        </w:tc>
        <w:tc>
          <w:tcPr>
            <w:tcW w:w="1646" w:type="dxa"/>
            <w:vAlign w:val="center"/>
          </w:tcPr>
          <w:p w14:paraId="465A1D3B" w14:textId="6ED9C48B" w:rsidR="005B5922" w:rsidRPr="008C2FA3" w:rsidRDefault="005B5922" w:rsidP="005D3186">
            <w:pPr>
              <w:pStyle w:val="TableBody"/>
            </w:pPr>
            <w:r w:rsidRPr="003A2411">
              <w:t>17.7</w:t>
            </w:r>
            <w:r w:rsidRPr="008C2FA3">
              <w:t>–19.7</w:t>
            </w:r>
          </w:p>
        </w:tc>
        <w:tc>
          <w:tcPr>
            <w:tcW w:w="2161" w:type="dxa"/>
            <w:vAlign w:val="center"/>
          </w:tcPr>
          <w:p w14:paraId="0A2037F5" w14:textId="704ECA1C" w:rsidR="005B5922" w:rsidRPr="005D3186" w:rsidRDefault="005B5922" w:rsidP="005D3186">
            <w:pPr>
              <w:pStyle w:val="TableBody"/>
            </w:pPr>
            <w:r w:rsidRPr="005D3186">
              <w:t>27.5</w:t>
            </w:r>
            <w:r w:rsidR="00004B21" w:rsidRPr="005D3186">
              <w:t>,</w:t>
            </w:r>
            <w:r w:rsidRPr="005D3186">
              <w:t xml:space="preserve"> 55</w:t>
            </w:r>
          </w:p>
        </w:tc>
        <w:tc>
          <w:tcPr>
            <w:tcW w:w="2565" w:type="dxa"/>
            <w:vAlign w:val="center"/>
          </w:tcPr>
          <w:p w14:paraId="110F5C1E" w14:textId="622F5DF9" w:rsidR="005B5922" w:rsidRPr="005D3186" w:rsidRDefault="005B5922" w:rsidP="005D3186">
            <w:pPr>
              <w:pStyle w:val="TableBody"/>
            </w:pPr>
            <w:r w:rsidRPr="005D3186">
              <w:t>10</w:t>
            </w:r>
            <w:r w:rsidR="00004B21" w:rsidRPr="005D3186">
              <w:t>,</w:t>
            </w:r>
            <w:r w:rsidRPr="005D3186">
              <w:t xml:space="preserve"> 5</w:t>
            </w:r>
          </w:p>
        </w:tc>
        <w:tc>
          <w:tcPr>
            <w:tcW w:w="1545" w:type="dxa"/>
            <w:vAlign w:val="center"/>
          </w:tcPr>
          <w:p w14:paraId="5E3A551D" w14:textId="56331555" w:rsidR="005B5922" w:rsidRPr="005D3186" w:rsidRDefault="005B5922" w:rsidP="005D3186">
            <w:pPr>
              <w:pStyle w:val="TableBody"/>
            </w:pPr>
            <w:r w:rsidRPr="005D3186">
              <w:t>16860</w:t>
            </w:r>
          </w:p>
        </w:tc>
      </w:tr>
      <w:tr w:rsidR="005B5922" w14:paraId="74A11AC7" w14:textId="77777777" w:rsidTr="005D3186">
        <w:tc>
          <w:tcPr>
            <w:tcW w:w="1150" w:type="dxa"/>
            <w:vAlign w:val="center"/>
          </w:tcPr>
          <w:p w14:paraId="6F2D3601" w14:textId="3DCAD8A6" w:rsidR="005B5922" w:rsidRPr="00AF1AC4" w:rsidRDefault="005B5922" w:rsidP="005D3186">
            <w:pPr>
              <w:pStyle w:val="TableBody"/>
            </w:pPr>
            <w:r w:rsidRPr="00AF1AC4">
              <w:t>22</w:t>
            </w:r>
          </w:p>
        </w:tc>
        <w:tc>
          <w:tcPr>
            <w:tcW w:w="1646" w:type="dxa"/>
            <w:vAlign w:val="center"/>
          </w:tcPr>
          <w:p w14:paraId="347DC16B" w14:textId="02BE9910" w:rsidR="005B5922" w:rsidRPr="008C2FA3" w:rsidRDefault="005B5922" w:rsidP="005D3186">
            <w:pPr>
              <w:pStyle w:val="TableBody"/>
            </w:pPr>
            <w:r w:rsidRPr="003A2411">
              <w:t>21.2</w:t>
            </w:r>
            <w:r w:rsidRPr="008C2FA3">
              <w:t>–23.6</w:t>
            </w:r>
          </w:p>
        </w:tc>
        <w:tc>
          <w:tcPr>
            <w:tcW w:w="2161" w:type="dxa"/>
            <w:vAlign w:val="center"/>
          </w:tcPr>
          <w:p w14:paraId="577205DA" w14:textId="52BB2AE6" w:rsidR="005B5922" w:rsidRPr="005D3186" w:rsidRDefault="005B5922" w:rsidP="005D3186">
            <w:pPr>
              <w:pStyle w:val="TableBody"/>
            </w:pPr>
            <w:r w:rsidRPr="005D3186">
              <w:t>28</w:t>
            </w:r>
            <w:r w:rsidR="00004B21" w:rsidRPr="005D3186">
              <w:t>,</w:t>
            </w:r>
            <w:r w:rsidRPr="005D3186">
              <w:t xml:space="preserve"> 56</w:t>
            </w:r>
          </w:p>
        </w:tc>
        <w:tc>
          <w:tcPr>
            <w:tcW w:w="2565" w:type="dxa"/>
            <w:vAlign w:val="center"/>
          </w:tcPr>
          <w:p w14:paraId="4C57702F" w14:textId="1956CB6E" w:rsidR="005B5922" w:rsidRPr="005D3186" w:rsidRDefault="005B5922" w:rsidP="005D3186">
            <w:pPr>
              <w:pStyle w:val="TableBody"/>
            </w:pPr>
            <w:r w:rsidRPr="005D3186">
              <w:t>11</w:t>
            </w:r>
            <w:r w:rsidR="00004B21" w:rsidRPr="005D3186">
              <w:t>,</w:t>
            </w:r>
            <w:r w:rsidRPr="005D3186">
              <w:t xml:space="preserve"> 5</w:t>
            </w:r>
          </w:p>
        </w:tc>
        <w:tc>
          <w:tcPr>
            <w:tcW w:w="1545" w:type="dxa"/>
            <w:vAlign w:val="center"/>
          </w:tcPr>
          <w:p w14:paraId="51779BCE" w14:textId="36E54C8A" w:rsidR="005B5922" w:rsidRPr="005D3186" w:rsidRDefault="005B5922" w:rsidP="005D3186">
            <w:pPr>
              <w:pStyle w:val="TableBody"/>
            </w:pPr>
            <w:r w:rsidRPr="005D3186">
              <w:t>4314</w:t>
            </w:r>
          </w:p>
        </w:tc>
      </w:tr>
      <w:tr w:rsidR="005B5922" w14:paraId="4E9AB069" w14:textId="77777777" w:rsidTr="005D3186">
        <w:tc>
          <w:tcPr>
            <w:tcW w:w="1150" w:type="dxa"/>
            <w:vAlign w:val="center"/>
          </w:tcPr>
          <w:p w14:paraId="55CD16A7" w14:textId="2A624BFA" w:rsidR="005B5922" w:rsidRPr="00AF1AC4" w:rsidRDefault="005B5922" w:rsidP="005D3186">
            <w:pPr>
              <w:pStyle w:val="TableBody"/>
            </w:pPr>
            <w:r w:rsidRPr="00AF1AC4">
              <w:t>28</w:t>
            </w:r>
          </w:p>
        </w:tc>
        <w:tc>
          <w:tcPr>
            <w:tcW w:w="1646" w:type="dxa"/>
            <w:vAlign w:val="center"/>
          </w:tcPr>
          <w:p w14:paraId="37EAF416" w14:textId="31F0C98D" w:rsidR="005B5922" w:rsidRPr="008C2FA3" w:rsidRDefault="005B5922" w:rsidP="005D3186">
            <w:pPr>
              <w:pStyle w:val="TableBody"/>
            </w:pPr>
            <w:r w:rsidRPr="003A2411">
              <w:t>27.5</w:t>
            </w:r>
            <w:r w:rsidRPr="008C2FA3">
              <w:t>–29.5</w:t>
            </w:r>
          </w:p>
        </w:tc>
        <w:tc>
          <w:tcPr>
            <w:tcW w:w="2161" w:type="dxa"/>
            <w:vAlign w:val="center"/>
          </w:tcPr>
          <w:p w14:paraId="4BA2CDA7" w14:textId="3244CA6A" w:rsidR="005B5922" w:rsidRPr="005D3186" w:rsidRDefault="005B5922" w:rsidP="005D3186">
            <w:pPr>
              <w:pStyle w:val="TableBody"/>
            </w:pPr>
            <w:r w:rsidRPr="005D3186">
              <w:t>28</w:t>
            </w:r>
            <w:r w:rsidR="00004B21" w:rsidRPr="005D3186">
              <w:t>,</w:t>
            </w:r>
            <w:r w:rsidRPr="005D3186">
              <w:t xml:space="preserve"> 56</w:t>
            </w:r>
            <w:r w:rsidR="00004B21" w:rsidRPr="005D3186">
              <w:t>,</w:t>
            </w:r>
            <w:r w:rsidRPr="005D3186">
              <w:t xml:space="preserve"> 112</w:t>
            </w:r>
          </w:p>
        </w:tc>
        <w:tc>
          <w:tcPr>
            <w:tcW w:w="2565" w:type="dxa"/>
            <w:vAlign w:val="center"/>
          </w:tcPr>
          <w:p w14:paraId="3FB85B75" w14:textId="16D11206" w:rsidR="005B5922" w:rsidRPr="005D3186" w:rsidRDefault="005B5922" w:rsidP="005D3186">
            <w:pPr>
              <w:pStyle w:val="TableBody"/>
            </w:pPr>
            <w:r w:rsidRPr="005D3186">
              <w:t>12</w:t>
            </w:r>
            <w:r w:rsidR="00004B21" w:rsidRPr="005D3186">
              <w:t>,</w:t>
            </w:r>
            <w:r w:rsidRPr="005D3186">
              <w:t xml:space="preserve"> 6</w:t>
            </w:r>
            <w:r w:rsidR="00004B21" w:rsidRPr="005D3186">
              <w:t>,</w:t>
            </w:r>
            <w:r w:rsidRPr="005D3186">
              <w:t xml:space="preserve"> 3</w:t>
            </w:r>
          </w:p>
        </w:tc>
        <w:tc>
          <w:tcPr>
            <w:tcW w:w="1545" w:type="dxa"/>
            <w:vAlign w:val="center"/>
          </w:tcPr>
          <w:p w14:paraId="7CCC8F19" w14:textId="71358A35" w:rsidR="005B5922" w:rsidRPr="005D3186" w:rsidRDefault="005B5922" w:rsidP="005D3186">
            <w:pPr>
              <w:pStyle w:val="TableBody"/>
            </w:pPr>
            <w:r w:rsidRPr="005D3186">
              <w:t>72</w:t>
            </w:r>
          </w:p>
        </w:tc>
      </w:tr>
      <w:tr w:rsidR="005B5922" w14:paraId="7BC9C7A4" w14:textId="77777777" w:rsidTr="005D3186">
        <w:trPr>
          <w:trHeight w:val="22"/>
        </w:trPr>
        <w:tc>
          <w:tcPr>
            <w:tcW w:w="1150" w:type="dxa"/>
            <w:vAlign w:val="center"/>
          </w:tcPr>
          <w:p w14:paraId="351058BF" w14:textId="7EF85F08" w:rsidR="005B5922" w:rsidRPr="00AF1AC4" w:rsidRDefault="005B5922" w:rsidP="005D3186">
            <w:pPr>
              <w:pStyle w:val="TableBody"/>
            </w:pPr>
            <w:r w:rsidRPr="00AF1AC4">
              <w:t>31*</w:t>
            </w:r>
          </w:p>
        </w:tc>
        <w:tc>
          <w:tcPr>
            <w:tcW w:w="1646" w:type="dxa"/>
            <w:vAlign w:val="center"/>
          </w:tcPr>
          <w:p w14:paraId="4F296A55" w14:textId="717E4A1B" w:rsidR="005B5922" w:rsidRPr="008C2FA3" w:rsidRDefault="005B5922" w:rsidP="005D3186">
            <w:pPr>
              <w:pStyle w:val="TableBody"/>
            </w:pPr>
            <w:r w:rsidRPr="003A2411">
              <w:t>31.0</w:t>
            </w:r>
            <w:r w:rsidRPr="008C2FA3">
              <w:t>–31.3</w:t>
            </w:r>
          </w:p>
        </w:tc>
        <w:tc>
          <w:tcPr>
            <w:tcW w:w="2161" w:type="dxa"/>
            <w:vAlign w:val="center"/>
          </w:tcPr>
          <w:p w14:paraId="02E12725" w14:textId="2C07D700" w:rsidR="005B5922" w:rsidRPr="005D3186" w:rsidRDefault="005B5922" w:rsidP="005D3186">
            <w:pPr>
              <w:pStyle w:val="TableBody"/>
            </w:pPr>
            <w:r w:rsidRPr="005D3186">
              <w:t>25</w:t>
            </w:r>
            <w:r w:rsidR="00004B21" w:rsidRPr="005D3186">
              <w:t>,</w:t>
            </w:r>
            <w:r w:rsidRPr="005D3186">
              <w:t xml:space="preserve"> 50</w:t>
            </w:r>
          </w:p>
        </w:tc>
        <w:tc>
          <w:tcPr>
            <w:tcW w:w="2565" w:type="dxa"/>
            <w:vAlign w:val="center"/>
          </w:tcPr>
          <w:p w14:paraId="12A77396" w14:textId="6A14C737" w:rsidR="005B5922" w:rsidRPr="005D3186" w:rsidRDefault="005B5922" w:rsidP="005D3186">
            <w:pPr>
              <w:pStyle w:val="TableBody"/>
            </w:pPr>
            <w:r w:rsidRPr="005D3186">
              <w:t>6</w:t>
            </w:r>
            <w:r w:rsidR="00004B21" w:rsidRPr="005D3186">
              <w:t>,</w:t>
            </w:r>
            <w:r w:rsidRPr="005D3186">
              <w:t xml:space="preserve"> 3</w:t>
            </w:r>
          </w:p>
        </w:tc>
        <w:tc>
          <w:tcPr>
            <w:tcW w:w="1545" w:type="dxa"/>
            <w:vAlign w:val="center"/>
          </w:tcPr>
          <w:p w14:paraId="4349A849" w14:textId="67ED6DE3" w:rsidR="005B5922" w:rsidRPr="005D3186" w:rsidRDefault="005B5922" w:rsidP="005D3186">
            <w:pPr>
              <w:pStyle w:val="TableBody"/>
            </w:pPr>
            <w:r w:rsidRPr="005D3186">
              <w:t>0</w:t>
            </w:r>
          </w:p>
        </w:tc>
      </w:tr>
      <w:tr w:rsidR="005B5922" w14:paraId="5EF696E5" w14:textId="77777777" w:rsidTr="005D3186">
        <w:tc>
          <w:tcPr>
            <w:tcW w:w="1150" w:type="dxa"/>
            <w:vAlign w:val="center"/>
          </w:tcPr>
          <w:p w14:paraId="638D488A" w14:textId="7BE58C3A" w:rsidR="005B5922" w:rsidRPr="00AF1AC4" w:rsidRDefault="005B5922" w:rsidP="005D3186">
            <w:pPr>
              <w:pStyle w:val="TableBody"/>
            </w:pPr>
            <w:r w:rsidRPr="00AF1AC4">
              <w:t>38</w:t>
            </w:r>
          </w:p>
        </w:tc>
        <w:tc>
          <w:tcPr>
            <w:tcW w:w="1646" w:type="dxa"/>
            <w:vAlign w:val="center"/>
          </w:tcPr>
          <w:p w14:paraId="3E24C6E6" w14:textId="03B75E89" w:rsidR="005B5922" w:rsidRPr="008C2FA3" w:rsidRDefault="005B5922" w:rsidP="005D3186">
            <w:pPr>
              <w:pStyle w:val="TableBody"/>
            </w:pPr>
            <w:r w:rsidRPr="003A2411">
              <w:t>37.0</w:t>
            </w:r>
            <w:r w:rsidRPr="008C2FA3">
              <w:t>–39.5</w:t>
            </w:r>
          </w:p>
        </w:tc>
        <w:tc>
          <w:tcPr>
            <w:tcW w:w="2161" w:type="dxa"/>
            <w:vAlign w:val="center"/>
          </w:tcPr>
          <w:p w14:paraId="23EF4D8F" w14:textId="25CC9944" w:rsidR="005B5922" w:rsidRPr="005D3186" w:rsidRDefault="005B5922" w:rsidP="005D3186">
            <w:pPr>
              <w:pStyle w:val="TableBody"/>
            </w:pPr>
            <w:r w:rsidRPr="005D3186">
              <w:t>28</w:t>
            </w:r>
          </w:p>
        </w:tc>
        <w:tc>
          <w:tcPr>
            <w:tcW w:w="2565" w:type="dxa"/>
            <w:vAlign w:val="center"/>
          </w:tcPr>
          <w:p w14:paraId="2E7F1EEC" w14:textId="63746E6C" w:rsidR="005B5922" w:rsidRPr="005D3186" w:rsidRDefault="005B5922" w:rsidP="005D3186">
            <w:pPr>
              <w:pStyle w:val="TableBody"/>
            </w:pPr>
            <w:r w:rsidRPr="005D3186">
              <w:t>10</w:t>
            </w:r>
          </w:p>
        </w:tc>
        <w:tc>
          <w:tcPr>
            <w:tcW w:w="1545" w:type="dxa"/>
            <w:vAlign w:val="center"/>
          </w:tcPr>
          <w:p w14:paraId="5DD21182" w14:textId="2C4C7438" w:rsidR="005B5922" w:rsidRPr="005D3186" w:rsidRDefault="005B5922" w:rsidP="005D3186">
            <w:pPr>
              <w:pStyle w:val="TableBody"/>
            </w:pPr>
            <w:r w:rsidRPr="005D3186">
              <w:t>1124</w:t>
            </w:r>
          </w:p>
        </w:tc>
      </w:tr>
    </w:tbl>
    <w:p w14:paraId="01097639" w14:textId="24EDFE7B" w:rsidR="00DE67EB" w:rsidRPr="00946F00" w:rsidRDefault="00DE67EB">
      <w:pPr>
        <w:pStyle w:val="ListBullet"/>
        <w:numPr>
          <w:ilvl w:val="0"/>
          <w:numId w:val="0"/>
        </w:numPr>
        <w:spacing w:before="120"/>
        <w:ind w:left="295" w:hanging="295"/>
        <w:rPr>
          <w:i/>
          <w:sz w:val="16"/>
          <w:szCs w:val="16"/>
        </w:rPr>
      </w:pPr>
      <w:r w:rsidRPr="00170536">
        <w:rPr>
          <w:i/>
          <w:sz w:val="16"/>
          <w:szCs w:val="16"/>
        </w:rPr>
        <w:t>N</w:t>
      </w:r>
      <w:r w:rsidRPr="00946F00">
        <w:rPr>
          <w:i/>
          <w:sz w:val="16"/>
          <w:szCs w:val="16"/>
        </w:rPr>
        <w:t>ote</w:t>
      </w:r>
      <w:r>
        <w:rPr>
          <w:i/>
          <w:sz w:val="16"/>
          <w:szCs w:val="16"/>
        </w:rPr>
        <w:t>: source of data from RRL as at 1 February 2019</w:t>
      </w:r>
    </w:p>
    <w:p w14:paraId="7D07C9DC" w14:textId="3C0C59DE" w:rsidR="005B5922" w:rsidRPr="00A37173" w:rsidRDefault="005B5922" w:rsidP="005D3186">
      <w:pPr>
        <w:pStyle w:val="ACMANotes"/>
      </w:pPr>
      <w:r w:rsidRPr="00A37173">
        <w:t xml:space="preserve">* </w:t>
      </w:r>
      <w:r w:rsidR="00DE67EB" w:rsidRPr="00A37173">
        <w:t>no new assignments are allowed in this band</w:t>
      </w:r>
      <w:r w:rsidRPr="00A37173">
        <w:t xml:space="preserve">. </w:t>
      </w:r>
    </w:p>
    <w:p w14:paraId="2932569E" w14:textId="77777777" w:rsidR="005B5922" w:rsidRDefault="005B5922" w:rsidP="003A0C8F">
      <w:pPr>
        <w:pStyle w:val="ListBullet"/>
        <w:numPr>
          <w:ilvl w:val="0"/>
          <w:numId w:val="0"/>
        </w:numPr>
      </w:pPr>
    </w:p>
    <w:p w14:paraId="2E16F946" w14:textId="165F5659" w:rsidR="00A1057F" w:rsidRDefault="007B3876" w:rsidP="00A37173">
      <w:pPr>
        <w:pStyle w:val="ListBullet"/>
        <w:numPr>
          <w:ilvl w:val="0"/>
          <w:numId w:val="0"/>
        </w:numPr>
        <w:spacing w:after="120"/>
      </w:pPr>
      <w:r w:rsidRPr="00F83D6B">
        <w:rPr>
          <w:rFonts w:cs="Times New Roman"/>
        </w:rPr>
        <w:t xml:space="preserve">In </w:t>
      </w:r>
      <w:r w:rsidR="00F1110F" w:rsidRPr="00F83D6B">
        <w:rPr>
          <w:rFonts w:cs="Times New Roman"/>
        </w:rPr>
        <w:t>determin</w:t>
      </w:r>
      <w:r w:rsidR="00F1110F" w:rsidRPr="00F83D6B">
        <w:t xml:space="preserve">ing if the </w:t>
      </w:r>
      <w:r w:rsidR="00F1110F" w:rsidRPr="00F83D6B">
        <w:rPr>
          <w:rFonts w:cs="Times New Roman"/>
        </w:rPr>
        <w:t>38 GHz band is</w:t>
      </w:r>
      <w:r w:rsidR="00734D68" w:rsidRPr="00F83D6B">
        <w:rPr>
          <w:rFonts w:cs="Times New Roman"/>
        </w:rPr>
        <w:t xml:space="preserve"> </w:t>
      </w:r>
      <w:r w:rsidR="0059290F" w:rsidRPr="00F83D6B">
        <w:rPr>
          <w:rFonts w:cs="Times New Roman"/>
        </w:rPr>
        <w:t xml:space="preserve">a </w:t>
      </w:r>
      <w:r w:rsidR="00733D7E">
        <w:rPr>
          <w:rFonts w:cs="Times New Roman"/>
        </w:rPr>
        <w:t xml:space="preserve">viable </w:t>
      </w:r>
      <w:r w:rsidR="00734D68" w:rsidRPr="00F83D6B">
        <w:rPr>
          <w:rFonts w:cs="Times New Roman"/>
        </w:rPr>
        <w:t>option</w:t>
      </w:r>
      <w:r w:rsidR="00BB3B4D">
        <w:rPr>
          <w:rFonts w:cs="Times New Roman"/>
        </w:rPr>
        <w:t xml:space="preserve"> for supporting wider </w:t>
      </w:r>
      <w:r w:rsidR="00A9584D">
        <w:rPr>
          <w:rFonts w:cs="Times New Roman"/>
        </w:rPr>
        <w:t xml:space="preserve">PTP </w:t>
      </w:r>
      <w:r w:rsidR="00BB3B4D">
        <w:rPr>
          <w:rFonts w:cs="Times New Roman"/>
        </w:rPr>
        <w:t>channels</w:t>
      </w:r>
      <w:r w:rsidR="004A49D9">
        <w:rPr>
          <w:rFonts w:cs="Times New Roman"/>
        </w:rPr>
        <w:t>,</w:t>
      </w:r>
      <w:r w:rsidR="00734D68" w:rsidRPr="00F83D6B">
        <w:rPr>
          <w:rFonts w:cs="Times New Roman"/>
        </w:rPr>
        <w:t xml:space="preserve"> </w:t>
      </w:r>
      <w:r w:rsidR="00F83D6B">
        <w:rPr>
          <w:rFonts w:cs="Times New Roman"/>
        </w:rPr>
        <w:t xml:space="preserve">the ACMA investigated whether there were international harmonised arrangements for 112 MHz channel bandwidths in the band and performed a scan for equipment availability.  </w:t>
      </w:r>
    </w:p>
    <w:p w14:paraId="0C8C81AE" w14:textId="2CB25A47" w:rsidR="00764DF0" w:rsidRDefault="00764DF0" w:rsidP="005D3186">
      <w:pPr>
        <w:spacing w:after="80"/>
      </w:pPr>
      <w:r>
        <w:t>ITU</w:t>
      </w:r>
      <w:r w:rsidR="000D5B99">
        <w:t>-R</w:t>
      </w:r>
      <w:r>
        <w:t xml:space="preserve"> Recommendation F.749 specifies </w:t>
      </w:r>
      <w:r w:rsidR="00F83D6B">
        <w:t xml:space="preserve">a harmonised </w:t>
      </w:r>
      <w:r>
        <w:t xml:space="preserve">channel plan for </w:t>
      </w:r>
      <w:r w:rsidR="00F83D6B">
        <w:t xml:space="preserve">PTP in </w:t>
      </w:r>
      <w:r>
        <w:t>the 36</w:t>
      </w:r>
      <w:r w:rsidR="009F40E1">
        <w:t>–</w:t>
      </w:r>
      <w:r>
        <w:t xml:space="preserve">40.5 GHz band.  </w:t>
      </w:r>
      <w:r w:rsidR="00BB3B4D">
        <w:t>This</w:t>
      </w:r>
      <w:r w:rsidR="000D5B99">
        <w:t xml:space="preserve"> recommendation provides</w:t>
      </w:r>
      <w:r w:rsidDel="00BB3B4D">
        <w:t xml:space="preserve"> </w:t>
      </w:r>
      <w:r w:rsidR="000D5B99">
        <w:t>arrangements for</w:t>
      </w:r>
      <w:r>
        <w:t xml:space="preserve"> 3.5, 7, 14, 28, 56, and 112 MHz</w:t>
      </w:r>
      <w:r w:rsidR="000D5B99">
        <w:t xml:space="preserve"> channel bandwidths</w:t>
      </w:r>
      <w:r>
        <w:t>. CEPT</w:t>
      </w:r>
      <w:r w:rsidR="00FB3E12">
        <w:rPr>
          <w:rStyle w:val="FootnoteReference"/>
        </w:rPr>
        <w:footnoteReference w:id="17"/>
      </w:r>
      <w:r>
        <w:t xml:space="preserve"> </w:t>
      </w:r>
      <w:r w:rsidR="00F83D6B">
        <w:t xml:space="preserve">Recommendation </w:t>
      </w:r>
      <w:r>
        <w:t xml:space="preserve">T/R 12-01 </w:t>
      </w:r>
      <w:r w:rsidR="00F83D6B">
        <w:t xml:space="preserve">defines </w:t>
      </w:r>
      <w:r>
        <w:t>the same channel plan</w:t>
      </w:r>
      <w:r w:rsidR="00A9584D">
        <w:t>. These plans</w:t>
      </w:r>
      <w:r>
        <w:t xml:space="preserve"> </w:t>
      </w:r>
      <w:r w:rsidR="00937B92">
        <w:t xml:space="preserve">provide </w:t>
      </w:r>
      <w:r w:rsidR="00D1502A">
        <w:t xml:space="preserve">for up to </w:t>
      </w:r>
      <w:r>
        <w:t xml:space="preserve">10 </w:t>
      </w:r>
      <w:r w:rsidR="00D1502A">
        <w:t xml:space="preserve">paired 112 MHz </w:t>
      </w:r>
      <w:r>
        <w:t xml:space="preserve">channels within the 38 GHz band. The following two reports </w:t>
      </w:r>
      <w:r w:rsidR="006E69A6">
        <w:t xml:space="preserve">from CEPT </w:t>
      </w:r>
      <w:r>
        <w:t xml:space="preserve">are also </w:t>
      </w:r>
      <w:r w:rsidR="006E69A6">
        <w:t>relevant</w:t>
      </w:r>
      <w:r>
        <w:t>:</w:t>
      </w:r>
    </w:p>
    <w:p w14:paraId="055798FA" w14:textId="74F43A23" w:rsidR="00764DF0" w:rsidRDefault="00764DF0" w:rsidP="00AC6904">
      <w:pPr>
        <w:pStyle w:val="ListBulletLast"/>
        <w:spacing w:after="0"/>
      </w:pPr>
      <w:r>
        <w:t>ETSI TS 101 785: "Fixed Radio Systems; Point-to-point equipment; Parameters for packet data radio systems for transmission of digital signals operating in the frequency range 23, 26, 28 or 38 GHz"</w:t>
      </w:r>
      <w:r w:rsidR="00A9584D">
        <w:t>;</w:t>
      </w:r>
    </w:p>
    <w:p w14:paraId="3277DBB3" w14:textId="696338ED" w:rsidR="00764DF0" w:rsidRDefault="00764DF0" w:rsidP="00C930B5">
      <w:pPr>
        <w:pStyle w:val="ListBulletLast"/>
      </w:pPr>
      <w:r>
        <w:t xml:space="preserve">ETSI EN 301 785 V1.1.1 (2001-02) </w:t>
      </w:r>
      <w:r w:rsidR="00A9584D">
        <w:t>“</w:t>
      </w:r>
      <w:r>
        <w:t>European Standard (Telecommunications series) Fixed Radio Systems; Point-to-point equipment; Parameters for packet data radio systems for transmission of digital signals operating in the frequency range 23, 26, 28 or 38 GHz</w:t>
      </w:r>
      <w:r w:rsidR="00A9584D">
        <w:t>”.</w:t>
      </w:r>
    </w:p>
    <w:p w14:paraId="37031847" w14:textId="43163F56" w:rsidR="00DE4662" w:rsidRDefault="00764DF0" w:rsidP="00A37173">
      <w:pPr>
        <w:spacing w:after="120"/>
      </w:pPr>
      <w:r>
        <w:t xml:space="preserve">The ACMA </w:t>
      </w:r>
      <w:r w:rsidR="00D1502A">
        <w:t xml:space="preserve">has also been </w:t>
      </w:r>
      <w:r>
        <w:t xml:space="preserve">able to identify at least two companies that provide equipment with 112 MHz channel capability for </w:t>
      </w:r>
      <w:r w:rsidR="00D1502A">
        <w:t>PTP</w:t>
      </w:r>
      <w:r w:rsidR="005A0453">
        <w:t xml:space="preserve"> </w:t>
      </w:r>
      <w:r w:rsidR="00CE5997">
        <w:t>in the 38 GHz band.</w:t>
      </w:r>
    </w:p>
    <w:p w14:paraId="4162262D" w14:textId="79D636F8" w:rsidR="003709CA" w:rsidRDefault="00A9584D" w:rsidP="00A37173">
      <w:pPr>
        <w:spacing w:after="120"/>
      </w:pPr>
      <w:bookmarkStart w:id="102" w:name="_Hlk3462652"/>
      <w:r>
        <w:t>When considering whether the 38 GHz band is suitable long-term option for wide bandwidth PTP channels, it is important to note that a</w:t>
      </w:r>
      <w:r w:rsidR="009C0B02">
        <w:t>ll or part of the 37</w:t>
      </w:r>
      <w:r w:rsidR="0057651F">
        <w:t>–</w:t>
      </w:r>
      <w:r w:rsidR="009C0B02">
        <w:t xml:space="preserve">43.5 GHz band is being considered internationally for </w:t>
      </w:r>
      <w:r w:rsidR="00E50202">
        <w:t>WW</w:t>
      </w:r>
      <w:r w:rsidR="009C0B02">
        <w:t xml:space="preserve">B. </w:t>
      </w:r>
      <w:r>
        <w:t>When assessing options for WWB, t</w:t>
      </w:r>
      <w:r w:rsidR="00E51680">
        <w:t xml:space="preserve">he ACMA </w:t>
      </w:r>
      <w:r w:rsidR="00F6354D">
        <w:t>will</w:t>
      </w:r>
      <w:r w:rsidR="00E51680">
        <w:t xml:space="preserve"> take into account </w:t>
      </w:r>
      <w:r>
        <w:t xml:space="preserve">any </w:t>
      </w:r>
      <w:r w:rsidR="00E51680">
        <w:t>e</w:t>
      </w:r>
      <w:r w:rsidR="009C0B02">
        <w:t>xisting and planned use of the 37</w:t>
      </w:r>
      <w:r w:rsidR="0057651F">
        <w:t>–</w:t>
      </w:r>
      <w:r w:rsidR="009C0B02">
        <w:t xml:space="preserve">40.5 </w:t>
      </w:r>
      <w:r w:rsidR="00E51680">
        <w:t>G</w:t>
      </w:r>
      <w:r w:rsidR="009C0B02">
        <w:t>Hz portion of the band</w:t>
      </w:r>
      <w:r>
        <w:t>. This includes use</w:t>
      </w:r>
      <w:r w:rsidR="009C0B02">
        <w:t xml:space="preserve"> by PTP</w:t>
      </w:r>
      <w:r w:rsidR="00E51680">
        <w:t xml:space="preserve"> as well as other stakeholders (including</w:t>
      </w:r>
      <w:r w:rsidR="009C0B02">
        <w:t xml:space="preserve"> Defence and</w:t>
      </w:r>
      <w:r w:rsidR="00E51680">
        <w:t xml:space="preserve"> </w:t>
      </w:r>
      <w:r w:rsidR="0057651F">
        <w:t xml:space="preserve">the </w:t>
      </w:r>
      <w:r w:rsidR="00E51680">
        <w:t>satellite industry).</w:t>
      </w:r>
      <w:r w:rsidR="00E271D7">
        <w:t xml:space="preserve"> This includes consideration of the long-term benefits of such use</w:t>
      </w:r>
      <w:r w:rsidR="00E51680">
        <w:t xml:space="preserve"> </w:t>
      </w:r>
      <w:r w:rsidR="00E271D7">
        <w:t xml:space="preserve">and whether </w:t>
      </w:r>
      <w:r w:rsidR="00E50202">
        <w:t>WW</w:t>
      </w:r>
      <w:r w:rsidR="00E271D7">
        <w:t>B use of the adjacent 40.5</w:t>
      </w:r>
      <w:r w:rsidR="0057651F">
        <w:t>–</w:t>
      </w:r>
      <w:r w:rsidR="00E271D7">
        <w:t xml:space="preserve">43.5 GHz frequency </w:t>
      </w:r>
      <w:r w:rsidR="00E50202">
        <w:t xml:space="preserve">range </w:t>
      </w:r>
      <w:r w:rsidR="00E271D7">
        <w:t>(which is currently unused) would be more appropriate.</w:t>
      </w:r>
    </w:p>
    <w:p w14:paraId="3AC88128" w14:textId="245C4204" w:rsidR="004B5F09" w:rsidRDefault="007B3494" w:rsidP="00AC6904">
      <w:bookmarkStart w:id="103" w:name="_Hlk3971049"/>
      <w:r>
        <w:t>T</w:t>
      </w:r>
      <w:r w:rsidR="00DE4662">
        <w:t>he ACMA</w:t>
      </w:r>
      <w:r w:rsidR="00D1502A">
        <w:t xml:space="preserve"> intends to </w:t>
      </w:r>
      <w:r w:rsidR="00FA70DC">
        <w:t xml:space="preserve">further investigate </w:t>
      </w:r>
      <w:r w:rsidR="00DE4662">
        <w:t xml:space="preserve">the inclusion of </w:t>
      </w:r>
      <w:r w:rsidR="005450D0">
        <w:t xml:space="preserve">a </w:t>
      </w:r>
      <w:r w:rsidR="00DE4662">
        <w:t>112 MHz channel arrangement</w:t>
      </w:r>
      <w:r w:rsidR="00D1502A">
        <w:t>s into the 38</w:t>
      </w:r>
      <w:r w:rsidR="002D5C69">
        <w:t> </w:t>
      </w:r>
      <w:r w:rsidR="00D1502A">
        <w:t>GHz band</w:t>
      </w:r>
      <w:r w:rsidR="00DE4662">
        <w:t xml:space="preserve">. </w:t>
      </w:r>
      <w:r w:rsidR="00FA70DC">
        <w:t>This will be done in a separate discussion paper</w:t>
      </w:r>
      <w:r w:rsidR="00766E64">
        <w:t xml:space="preserve"> to be </w:t>
      </w:r>
      <w:r w:rsidR="00766E64" w:rsidRPr="00766E64">
        <w:t>released in Q2 2019</w:t>
      </w:r>
      <w:r w:rsidR="00FA70DC" w:rsidRPr="00766E64">
        <w:t xml:space="preserve">. </w:t>
      </w:r>
      <w:r w:rsidR="007A3E61" w:rsidRPr="00766E64">
        <w:t xml:space="preserve">The ACMA </w:t>
      </w:r>
      <w:r w:rsidRPr="00766E64">
        <w:t>considers</w:t>
      </w:r>
      <w:r w:rsidR="007A3E61" w:rsidRPr="00766E64">
        <w:t xml:space="preserve"> that a decision on the viability of the band can be made </w:t>
      </w:r>
      <w:r w:rsidR="0026465E">
        <w:t>by</w:t>
      </w:r>
      <w:r w:rsidR="0026465E" w:rsidRPr="006274C7">
        <w:t xml:space="preserve"> </w:t>
      </w:r>
      <w:r w:rsidR="0026465E">
        <w:t>early Q3</w:t>
      </w:r>
      <w:r w:rsidR="00E04DFD" w:rsidRPr="006274C7">
        <w:t xml:space="preserve"> of </w:t>
      </w:r>
      <w:r w:rsidR="007A3E61" w:rsidRPr="006274C7">
        <w:t>2019</w:t>
      </w:r>
      <w:r w:rsidR="007A3E61" w:rsidRPr="00766E64">
        <w:t xml:space="preserve"> and</w:t>
      </w:r>
      <w:r w:rsidR="00FA70DC" w:rsidRPr="00766E64">
        <w:t xml:space="preserve"> </w:t>
      </w:r>
      <w:r w:rsidRPr="00766E64">
        <w:t xml:space="preserve">inform </w:t>
      </w:r>
      <w:r w:rsidR="00FA70DC" w:rsidRPr="00766E64">
        <w:t>decisions made for the 28 GHz band.</w:t>
      </w:r>
      <w:r w:rsidR="007A3E61" w:rsidRPr="00766E64">
        <w:t xml:space="preserve"> </w:t>
      </w:r>
      <w:r w:rsidR="00BB3B4D" w:rsidRPr="00766E64">
        <w:t xml:space="preserve">In the event that 38 GHz is </w:t>
      </w:r>
      <w:r w:rsidR="009C0B02" w:rsidRPr="00766E64">
        <w:t>considered</w:t>
      </w:r>
      <w:r w:rsidR="00BB3B4D" w:rsidRPr="00766E64">
        <w:t xml:space="preserve"> a viable band for </w:t>
      </w:r>
      <w:r w:rsidR="009C0B02" w:rsidRPr="00766E64">
        <w:t>PTP</w:t>
      </w:r>
      <w:r w:rsidR="00F57DAF" w:rsidRPr="00766E64">
        <w:t xml:space="preserve"> services</w:t>
      </w:r>
      <w:r w:rsidR="00BB3B4D" w:rsidRPr="00766E64">
        <w:t xml:space="preserve"> requiring channel bandwidths above 100 MHz, </w:t>
      </w:r>
      <w:r w:rsidR="00E271D7" w:rsidRPr="00766E64">
        <w:t>the ACMA will be able</w:t>
      </w:r>
      <w:r w:rsidR="00E271D7">
        <w:t xml:space="preserve"> to investigate </w:t>
      </w:r>
      <w:r w:rsidR="00BB3B4D">
        <w:t xml:space="preserve">different </w:t>
      </w:r>
      <w:r w:rsidR="00E271D7">
        <w:t xml:space="preserve">planning </w:t>
      </w:r>
      <w:r w:rsidR="00BB3B4D">
        <w:t xml:space="preserve">options in the 28 GHz band. For example, it may be possible to cease support for </w:t>
      </w:r>
      <w:r w:rsidR="005664F9">
        <w:t xml:space="preserve">new </w:t>
      </w:r>
      <w:r w:rsidR="00BB3B4D">
        <w:t xml:space="preserve">28 GHz </w:t>
      </w:r>
      <w:r w:rsidR="009C0B02">
        <w:t xml:space="preserve">PTP </w:t>
      </w:r>
      <w:r w:rsidR="005664F9">
        <w:t xml:space="preserve">services to </w:t>
      </w:r>
      <w:r w:rsidR="00BB3B4D">
        <w:t xml:space="preserve">create additional flexibility in replanning options for the band.   </w:t>
      </w:r>
    </w:p>
    <w:p w14:paraId="3FAFE3CB" w14:textId="2A07CED1" w:rsidR="008F1321" w:rsidRDefault="008F1321" w:rsidP="00AC6904">
      <w:bookmarkStart w:id="104" w:name="_Hlk4071788"/>
      <w:r>
        <w:t>I</w:t>
      </w:r>
      <w:r w:rsidR="00353774">
        <w:t>f</w:t>
      </w:r>
      <w:r>
        <w:t xml:space="preserve"> a decision is made to cease support for new 28 GHz PTP services, the ACMA would grandfather existing </w:t>
      </w:r>
      <w:r w:rsidR="00AD7D88">
        <w:t xml:space="preserve">PTP </w:t>
      </w:r>
      <w:r>
        <w:t>licence</w:t>
      </w:r>
      <w:r w:rsidR="00AD7D88">
        <w:t>s</w:t>
      </w:r>
      <w:r>
        <w:t xml:space="preserve"> for a minimum period of time. During this period PTP licence would be provided </w:t>
      </w:r>
      <w:r>
        <w:lastRenderedPageBreak/>
        <w:t xml:space="preserve">ongoing protection provided no significant changes are made to the technical characteristics of their systems. The </w:t>
      </w:r>
      <w:r w:rsidR="005049A0">
        <w:t xml:space="preserve">ACMA is seeking industry input in determining an appropriate </w:t>
      </w:r>
      <w:r w:rsidR="000E1142">
        <w:t xml:space="preserve">minimum </w:t>
      </w:r>
      <w:r w:rsidR="005049A0">
        <w:t xml:space="preserve">period </w:t>
      </w:r>
      <w:r w:rsidR="00862E7D">
        <w:t xml:space="preserve">of time </w:t>
      </w:r>
      <w:r w:rsidR="005049A0">
        <w:t xml:space="preserve">for the grandfathering </w:t>
      </w:r>
      <w:r w:rsidR="00855333">
        <w:t>arrangements</w:t>
      </w:r>
      <w:r w:rsidR="00862E7D">
        <w:t xml:space="preserve"> to apply for.</w:t>
      </w:r>
      <w:r w:rsidR="005049A0">
        <w:t xml:space="preserve"> </w:t>
      </w:r>
      <w:r w:rsidR="00862E7D">
        <w:t>This should provide</w:t>
      </w:r>
      <w:r w:rsidR="005049A0">
        <w:t xml:space="preserve"> </w:t>
      </w:r>
      <w:r w:rsidR="00E907FD">
        <w:t>a reasonable period of time for licensees to recoup their investment</w:t>
      </w:r>
      <w:r w:rsidR="00805657">
        <w:t xml:space="preserve"> (for example, seven years)</w:t>
      </w:r>
      <w:r w:rsidR="00E907FD">
        <w:t xml:space="preserve">. </w:t>
      </w:r>
      <w:r w:rsidR="000744D6">
        <w:t xml:space="preserve">Depending on developments in the </w:t>
      </w:r>
      <w:r w:rsidR="00862E7D">
        <w:t xml:space="preserve">28 GHz </w:t>
      </w:r>
      <w:r w:rsidR="000744D6">
        <w:t xml:space="preserve">band, the ACMA could </w:t>
      </w:r>
      <w:r w:rsidR="00862E7D">
        <w:t xml:space="preserve">change </w:t>
      </w:r>
      <w:r w:rsidR="000744D6">
        <w:t xml:space="preserve">arrangements </w:t>
      </w:r>
      <w:r w:rsidR="00862E7D">
        <w:t xml:space="preserve">for grandfathered PTP licences </w:t>
      </w:r>
      <w:r w:rsidR="000744D6">
        <w:t xml:space="preserve">at any point </w:t>
      </w:r>
      <w:r w:rsidR="00862E7D">
        <w:t>after this</w:t>
      </w:r>
      <w:r w:rsidR="000744D6">
        <w:t xml:space="preserve"> period</w:t>
      </w:r>
      <w:r w:rsidR="00862E7D">
        <w:t xml:space="preserve"> ends</w:t>
      </w:r>
      <w:r w:rsidR="00E907FD">
        <w:t xml:space="preserve">. </w:t>
      </w:r>
    </w:p>
    <w:bookmarkEnd w:id="104"/>
    <w:p w14:paraId="6E135357" w14:textId="2AC40C7B" w:rsidR="005049A0" w:rsidRPr="00E907FD" w:rsidRDefault="005B0D57" w:rsidP="005049A0">
      <w:pPr>
        <w:pStyle w:val="ListParagraph"/>
        <w:numPr>
          <w:ilvl w:val="0"/>
          <w:numId w:val="79"/>
        </w:numPr>
        <w:shd w:val="clear" w:color="auto" w:fill="F2F2F2" w:themeFill="background1" w:themeFillShade="F2"/>
        <w:spacing w:before="120" w:after="120" w:line="240" w:lineRule="auto"/>
        <w:contextualSpacing w:val="0"/>
      </w:pPr>
      <w:r w:rsidRPr="005B0D57">
        <w:rPr>
          <w:b/>
        </w:rPr>
        <w:t>If a decision was made to remove 28 GHz PTP arrangements, what is the minimum appropriate length of time to grandfather existing PTP licences?</w:t>
      </w:r>
    </w:p>
    <w:p w14:paraId="5DA6B6A8" w14:textId="77777777" w:rsidR="00E907FD" w:rsidRPr="00E907FD" w:rsidRDefault="00E907FD" w:rsidP="005049A0">
      <w:pPr>
        <w:pStyle w:val="ListParagraph"/>
        <w:numPr>
          <w:ilvl w:val="0"/>
          <w:numId w:val="79"/>
        </w:numPr>
        <w:shd w:val="clear" w:color="auto" w:fill="F2F2F2" w:themeFill="background1" w:themeFillShade="F2"/>
        <w:spacing w:before="120" w:after="120" w:line="240" w:lineRule="auto"/>
        <w:ind w:left="426" w:hanging="426"/>
        <w:contextualSpacing w:val="0"/>
      </w:pPr>
      <w:r w:rsidRPr="005049A0">
        <w:rPr>
          <w:b/>
        </w:rPr>
        <w:t xml:space="preserve">Are there any other </w:t>
      </w:r>
      <w:r w:rsidR="00494B25" w:rsidRPr="005049A0">
        <w:rPr>
          <w:b/>
        </w:rPr>
        <w:t>conditions</w:t>
      </w:r>
      <w:r w:rsidRPr="005049A0">
        <w:rPr>
          <w:b/>
        </w:rPr>
        <w:t xml:space="preserve"> that should be considered for PTP grandfathering?</w:t>
      </w:r>
    </w:p>
    <w:p w14:paraId="0892A328" w14:textId="30940D21" w:rsidR="003E7B07" w:rsidRPr="00A05EC9" w:rsidRDefault="00D0664C" w:rsidP="00F1614D">
      <w:pPr>
        <w:pStyle w:val="Heading2"/>
      </w:pPr>
      <w:bookmarkStart w:id="105" w:name="_Toc5000072"/>
      <w:bookmarkEnd w:id="102"/>
      <w:bookmarkEnd w:id="103"/>
      <w:r>
        <w:t xml:space="preserve">Consideration of spectrum options for </w:t>
      </w:r>
      <w:r w:rsidR="00D45AE9">
        <w:t>FWA</w:t>
      </w:r>
      <w:bookmarkEnd w:id="105"/>
    </w:p>
    <w:p w14:paraId="4F6D9FD3" w14:textId="7949FB93" w:rsidR="004B5F09" w:rsidRDefault="001C375F" w:rsidP="00A37173">
      <w:pPr>
        <w:spacing w:after="120"/>
      </w:pPr>
      <w:bookmarkStart w:id="106" w:name="_Hlk3468151"/>
      <w:r>
        <w:t>One of the outcome</w:t>
      </w:r>
      <w:r w:rsidR="00FA5FA5">
        <w:t>s</w:t>
      </w:r>
      <w:r>
        <w:t xml:space="preserve"> from the </w:t>
      </w:r>
      <w:hyperlink r:id="rId40" w:history="1">
        <w:r w:rsidR="00720A07" w:rsidRPr="00720A07">
          <w:rPr>
            <w:rStyle w:val="Hyperlink"/>
          </w:rPr>
          <w:t xml:space="preserve">Future use of the </w:t>
        </w:r>
        <w:r w:rsidRPr="00720A07">
          <w:rPr>
            <w:rStyle w:val="Hyperlink"/>
          </w:rPr>
          <w:t>3.6 GHz</w:t>
        </w:r>
        <w:r w:rsidR="00720A07" w:rsidRPr="00720A07">
          <w:rPr>
            <w:rStyle w:val="Hyperlink"/>
          </w:rPr>
          <w:t xml:space="preserve"> band</w:t>
        </w:r>
      </w:hyperlink>
      <w:r>
        <w:t xml:space="preserve"> process was that the ACMA</w:t>
      </w:r>
      <w:r w:rsidR="000409BF">
        <w:t xml:space="preserve"> </w:t>
      </w:r>
      <w:r w:rsidR="00720A07">
        <w:t xml:space="preserve">committed to </w:t>
      </w:r>
      <w:r w:rsidR="000409BF">
        <w:t>investigat</w:t>
      </w:r>
      <w:r w:rsidR="00720A07">
        <w:t>ing</w:t>
      </w:r>
      <w:r w:rsidR="000409BF">
        <w:t xml:space="preserve"> </w:t>
      </w:r>
      <w:r w:rsidR="00720A07">
        <w:t xml:space="preserve">the </w:t>
      </w:r>
      <w:r w:rsidR="00720A07">
        <w:rPr>
          <w:lang w:eastAsia="en-US"/>
        </w:rPr>
        <w:t xml:space="preserve">possibility of apparatus licensed point-to-multipoint arrangements in part of the 28 GHz band </w:t>
      </w:r>
      <w:r w:rsidR="00AD56FB">
        <w:t>to support</w:t>
      </w:r>
      <w:r w:rsidR="00AD56FB" w:rsidRPr="00AD56FB">
        <w:t xml:space="preserve"> </w:t>
      </w:r>
      <w:r w:rsidR="00AD56FB">
        <w:t>wireless internet service providers (WISPs)</w:t>
      </w:r>
      <w:r w:rsidR="00720A07">
        <w:t xml:space="preserve"> and other prospective </w:t>
      </w:r>
      <w:r w:rsidR="00720A07">
        <w:rPr>
          <w:lang w:eastAsia="en-US"/>
        </w:rPr>
        <w:t>site-based wireless broadband operators</w:t>
      </w:r>
      <w:r w:rsidR="00D13C61">
        <w:t xml:space="preserve">. </w:t>
      </w:r>
      <w:r w:rsidR="005B06CE">
        <w:t>One</w:t>
      </w:r>
      <w:r w:rsidR="004B5F09">
        <w:t xml:space="preserve"> respondent </w:t>
      </w:r>
      <w:r w:rsidR="005B06CE">
        <w:t>to the</w:t>
      </w:r>
      <w:r w:rsidR="00EB355A">
        <w:t xml:space="preserve"> consultation indicated </w:t>
      </w:r>
      <w:r w:rsidR="004F7BF2">
        <w:t>in the order of 800 MHz to</w:t>
      </w:r>
      <w:r w:rsidR="004B5F09" w:rsidRPr="004B5F09">
        <w:t xml:space="preserve"> 1 GHz </w:t>
      </w:r>
      <w:r w:rsidR="00AD56FB">
        <w:t xml:space="preserve">is </w:t>
      </w:r>
      <w:r w:rsidR="0097672D">
        <w:t xml:space="preserve">preferred </w:t>
      </w:r>
      <w:r w:rsidR="004B5F09" w:rsidRPr="004B5F09">
        <w:t xml:space="preserve">for FWA use, to support multiple operators and </w:t>
      </w:r>
      <w:r w:rsidR="00AD56FB">
        <w:t xml:space="preserve">allow operators to </w:t>
      </w:r>
      <w:r w:rsidR="004B5F09" w:rsidRPr="004B5F09">
        <w:t xml:space="preserve">provide </w:t>
      </w:r>
      <w:r w:rsidR="00AD56FB">
        <w:t xml:space="preserve">a </w:t>
      </w:r>
      <w:r w:rsidR="004B5F09" w:rsidRPr="004B5F09">
        <w:t>competitive service.</w:t>
      </w:r>
      <w:r w:rsidR="004B5F09">
        <w:t xml:space="preserve"> </w:t>
      </w:r>
    </w:p>
    <w:p w14:paraId="7B461939" w14:textId="00455E98" w:rsidR="00A942B9" w:rsidRDefault="004F7BF2" w:rsidP="00A37173">
      <w:pPr>
        <w:spacing w:after="120"/>
      </w:pPr>
      <w:r>
        <w:t>One of</w:t>
      </w:r>
      <w:r w:rsidR="00EB355A">
        <w:t xml:space="preserve"> </w:t>
      </w:r>
      <w:r>
        <w:t xml:space="preserve">the planning outcomes </w:t>
      </w:r>
      <w:r w:rsidR="00EB355A">
        <w:t>of the</w:t>
      </w:r>
      <w:r w:rsidR="00137798">
        <w:t xml:space="preserve"> 26 GHz band process</w:t>
      </w:r>
      <w:r>
        <w:t xml:space="preserve"> is</w:t>
      </w:r>
      <w:r w:rsidR="00EB355A">
        <w:t xml:space="preserve"> to mak</w:t>
      </w:r>
      <w:r w:rsidR="008A2EF4">
        <w:t>e</w:t>
      </w:r>
      <w:r w:rsidR="005664F9">
        <w:t xml:space="preserve"> </w:t>
      </w:r>
      <w:r w:rsidR="00137798">
        <w:t xml:space="preserve">a total of 2.8 GHz of </w:t>
      </w:r>
      <w:r w:rsidR="00170536">
        <w:t xml:space="preserve">apparatus licensed </w:t>
      </w:r>
      <w:r w:rsidR="00137798">
        <w:t xml:space="preserve">spectrum for </w:t>
      </w:r>
      <w:r w:rsidR="00170536">
        <w:t xml:space="preserve">wireless broadband </w:t>
      </w:r>
      <w:r w:rsidR="00137798">
        <w:t xml:space="preserve">use outside of </w:t>
      </w:r>
      <w:r w:rsidR="00BD77FE">
        <w:t>large</w:t>
      </w:r>
      <w:r w:rsidR="00137798">
        <w:t xml:space="preserve"> population centres</w:t>
      </w:r>
      <w:r w:rsidR="005664F9">
        <w:t>.</w:t>
      </w:r>
      <w:r w:rsidR="008A2EF4">
        <w:t xml:space="preserve"> </w:t>
      </w:r>
      <w:r>
        <w:t>H</w:t>
      </w:r>
      <w:r w:rsidR="00137798">
        <w:t>owever, only 400</w:t>
      </w:r>
      <w:r w:rsidR="002D5C69">
        <w:t> </w:t>
      </w:r>
      <w:r w:rsidR="00137798">
        <w:t xml:space="preserve">MHz of </w:t>
      </w:r>
      <w:r w:rsidR="00170536">
        <w:t xml:space="preserve">apparatus licensed </w:t>
      </w:r>
      <w:r w:rsidR="00137798">
        <w:t>spectrum</w:t>
      </w:r>
      <w:r w:rsidR="00FB27DF">
        <w:t xml:space="preserve"> </w:t>
      </w:r>
      <w:r>
        <w:t xml:space="preserve">is planned for wireless broadband use </w:t>
      </w:r>
      <w:r w:rsidR="001C0090">
        <w:t xml:space="preserve">within </w:t>
      </w:r>
      <w:r w:rsidR="005664F9">
        <w:t>large</w:t>
      </w:r>
      <w:r w:rsidR="00137798">
        <w:t xml:space="preserve"> population</w:t>
      </w:r>
      <w:r w:rsidR="001C0090">
        <w:t xml:space="preserve"> centres</w:t>
      </w:r>
      <w:r w:rsidR="00137798">
        <w:t>.</w:t>
      </w:r>
      <w:r>
        <w:t xml:space="preserve"> </w:t>
      </w:r>
      <w:r w:rsidR="008F19CD">
        <w:t>Recognising</w:t>
      </w:r>
      <w:r w:rsidR="000F38B1">
        <w:t xml:space="preserve"> the preference from FWA proponents to have access to the order of </w:t>
      </w:r>
      <w:r w:rsidR="00BD77FE">
        <w:t xml:space="preserve">800 MHz to </w:t>
      </w:r>
      <w:r w:rsidR="000F38B1">
        <w:t>1 GHz of spectrum</w:t>
      </w:r>
      <w:r w:rsidR="00B87392">
        <w:t xml:space="preserve">, </w:t>
      </w:r>
      <w:r w:rsidR="00986BCB">
        <w:t xml:space="preserve">further consideration should be given to the identification of </w:t>
      </w:r>
      <w:r w:rsidR="000F38B1">
        <w:t xml:space="preserve">additional </w:t>
      </w:r>
      <w:r w:rsidR="00BD77FE">
        <w:t>400</w:t>
      </w:r>
      <w:r w:rsidR="00BC594E">
        <w:t>–</w:t>
      </w:r>
      <w:r w:rsidR="00BD77FE">
        <w:t xml:space="preserve">600 MHz of </w:t>
      </w:r>
      <w:r w:rsidR="000F38B1">
        <w:t xml:space="preserve">spectrum for FWA </w:t>
      </w:r>
      <w:r w:rsidR="00170536">
        <w:t>only</w:t>
      </w:r>
      <w:r w:rsidR="000F38B1">
        <w:t xml:space="preserve"> use </w:t>
      </w:r>
      <w:r w:rsidR="00986BCB">
        <w:t xml:space="preserve">within </w:t>
      </w:r>
      <w:r w:rsidR="006D543E">
        <w:t xml:space="preserve">large population </w:t>
      </w:r>
      <w:r w:rsidR="002160B3">
        <w:t>centres, as defined in Appendix A,</w:t>
      </w:r>
      <w:r w:rsidR="00986BCB">
        <w:t xml:space="preserve"> </w:t>
      </w:r>
      <w:r w:rsidR="00B87392">
        <w:t>in the 28 GHz</w:t>
      </w:r>
      <w:r w:rsidR="001C0090">
        <w:t xml:space="preserve"> band</w:t>
      </w:r>
      <w:r w:rsidR="000F38B1">
        <w:t xml:space="preserve">. </w:t>
      </w:r>
    </w:p>
    <w:p w14:paraId="456CE42C" w14:textId="20A7B27D" w:rsidR="000C05BB" w:rsidRDefault="009E07B8" w:rsidP="005D3186">
      <w:pPr>
        <w:spacing w:after="80"/>
      </w:pPr>
      <w:r>
        <w:t xml:space="preserve">The </w:t>
      </w:r>
      <w:r w:rsidR="00190835">
        <w:t xml:space="preserve">ACMA has identified </w:t>
      </w:r>
      <w:r w:rsidR="00C872C1">
        <w:t>two</w:t>
      </w:r>
      <w:r w:rsidR="00190835">
        <w:t xml:space="preserve"> possibl</w:t>
      </w:r>
      <w:r w:rsidR="00DA5698">
        <w:t>e</w:t>
      </w:r>
      <w:r w:rsidR="00190835">
        <w:t xml:space="preserve"> </w:t>
      </w:r>
      <w:r w:rsidR="00050004">
        <w:t>options</w:t>
      </w:r>
      <w:r w:rsidR="00190835">
        <w:t xml:space="preserve"> for </w:t>
      </w:r>
      <w:r w:rsidR="00986BCB">
        <w:t xml:space="preserve">additional </w:t>
      </w:r>
      <w:r w:rsidR="00DA5698">
        <w:t>FWA</w:t>
      </w:r>
      <w:r w:rsidR="00986BCB">
        <w:t xml:space="preserve"> spectrum in the 28 GHz band</w:t>
      </w:r>
      <w:r w:rsidR="000C05BB">
        <w:t>:</w:t>
      </w:r>
    </w:p>
    <w:p w14:paraId="606F8D4C" w14:textId="27FA91BB" w:rsidR="00E420A9" w:rsidRDefault="009E095B" w:rsidP="00C930B5">
      <w:pPr>
        <w:pStyle w:val="ListBullet"/>
      </w:pPr>
      <w:r>
        <w:t xml:space="preserve">If the </w:t>
      </w:r>
      <w:r w:rsidR="005B06CE">
        <w:t xml:space="preserve">arrangements for </w:t>
      </w:r>
      <w:r w:rsidR="00986BCB">
        <w:t>PTP</w:t>
      </w:r>
      <w:r w:rsidR="005B06CE">
        <w:t xml:space="preserve"> </w:t>
      </w:r>
      <w:r w:rsidR="00986BCB">
        <w:t>services</w:t>
      </w:r>
      <w:r>
        <w:t xml:space="preserve"> </w:t>
      </w:r>
      <w:r w:rsidR="00986BCB">
        <w:t xml:space="preserve">are </w:t>
      </w:r>
      <w:r>
        <w:t xml:space="preserve">retained in the 28 GHz band, </w:t>
      </w:r>
      <w:r w:rsidR="00BA634B">
        <w:t>FWA</w:t>
      </w:r>
      <w:r w:rsidR="00131FA6">
        <w:t xml:space="preserve"> </w:t>
      </w:r>
      <w:r w:rsidR="00986BCB">
        <w:t xml:space="preserve">could </w:t>
      </w:r>
      <w:r w:rsidR="00131FA6">
        <w:t>share th</w:t>
      </w:r>
      <w:r w:rsidR="00E654F7">
        <w:t xml:space="preserve">e spectrum allocation </w:t>
      </w:r>
      <w:r w:rsidR="00986BCB">
        <w:t xml:space="preserve">on a </w:t>
      </w:r>
      <w:r w:rsidR="00E654F7">
        <w:t xml:space="preserve">co-primary </w:t>
      </w:r>
      <w:r w:rsidR="000111F2">
        <w:t>basis</w:t>
      </w:r>
      <w:r w:rsidR="00986BCB">
        <w:t xml:space="preserve">. This would make </w:t>
      </w:r>
      <w:r w:rsidR="00170536">
        <w:t xml:space="preserve">up to </w:t>
      </w:r>
      <w:r w:rsidR="00986BCB">
        <w:t xml:space="preserve">six </w:t>
      </w:r>
      <w:r w:rsidR="00FB27DF">
        <w:t xml:space="preserve">additional </w:t>
      </w:r>
      <w:r w:rsidR="00986BCB">
        <w:t>112 MHz (or 100 MHz) channels available for FWA use;</w:t>
      </w:r>
    </w:p>
    <w:p w14:paraId="416F2050" w14:textId="004AA7D1" w:rsidR="00D0664C" w:rsidRDefault="000111F2" w:rsidP="005D3186">
      <w:pPr>
        <w:pStyle w:val="ListBulletLast"/>
      </w:pPr>
      <w:r>
        <w:t xml:space="preserve">If the </w:t>
      </w:r>
      <w:r w:rsidR="00986BCB">
        <w:t>arrangements for PTP</w:t>
      </w:r>
      <w:r>
        <w:t xml:space="preserve"> </w:t>
      </w:r>
      <w:r w:rsidR="00986BCB">
        <w:t>services</w:t>
      </w:r>
      <w:r w:rsidR="00DC6629">
        <w:t xml:space="preserve"> </w:t>
      </w:r>
      <w:r w:rsidR="00986BCB">
        <w:t xml:space="preserve">are </w:t>
      </w:r>
      <w:r w:rsidR="00DC6629">
        <w:t xml:space="preserve">not retained in the 28 GHz band, </w:t>
      </w:r>
      <w:r w:rsidR="00185E72">
        <w:t xml:space="preserve">FWA </w:t>
      </w:r>
      <w:r w:rsidR="00A26E59">
        <w:t xml:space="preserve">could </w:t>
      </w:r>
      <w:r w:rsidR="00185E72">
        <w:t xml:space="preserve">be </w:t>
      </w:r>
      <w:r w:rsidR="00126ADB">
        <w:t>identif</w:t>
      </w:r>
      <w:r w:rsidR="00FB27DF">
        <w:t>ied</w:t>
      </w:r>
      <w:r w:rsidR="00126ADB">
        <w:t xml:space="preserve"> </w:t>
      </w:r>
      <w:r w:rsidR="008F19CD">
        <w:t xml:space="preserve">in </w:t>
      </w:r>
      <w:r w:rsidR="00185E72">
        <w:t xml:space="preserve">a dedicated block of spectrum </w:t>
      </w:r>
      <w:r w:rsidR="00C872C1">
        <w:t>at the lower end of the band</w:t>
      </w:r>
      <w:r w:rsidR="0063309D">
        <w:t>.</w:t>
      </w:r>
      <w:r w:rsidR="00A26E59">
        <w:t xml:space="preserve"> This would minimise the number of frequency boundaries </w:t>
      </w:r>
      <w:r w:rsidR="00BD77FE">
        <w:t xml:space="preserve">(which introduce inefficiencies) </w:t>
      </w:r>
      <w:r w:rsidR="00A26E59">
        <w:t>shared with other services, such as the FSS</w:t>
      </w:r>
      <w:r w:rsidR="008F19CD">
        <w:t>.</w:t>
      </w:r>
      <w:r w:rsidR="0063309D">
        <w:t xml:space="preserve"> </w:t>
      </w:r>
      <w:r w:rsidR="00A26E59">
        <w:t xml:space="preserve">An allocation in the order of 400-600 MHz would provide FWA </w:t>
      </w:r>
      <w:r w:rsidR="00D959F2">
        <w:t>operators</w:t>
      </w:r>
      <w:r w:rsidR="00A26E59">
        <w:t xml:space="preserve"> access to a total of 800</w:t>
      </w:r>
      <w:r w:rsidR="00BC594E">
        <w:t>–</w:t>
      </w:r>
      <w:r w:rsidR="00A26E59">
        <w:t xml:space="preserve">1000 MHz of spectrum across the 26 GHz and 28 GHz bands in </w:t>
      </w:r>
      <w:r w:rsidR="00D47A60">
        <w:t xml:space="preserve">large </w:t>
      </w:r>
      <w:r w:rsidR="00503C9C">
        <w:t xml:space="preserve">population </w:t>
      </w:r>
      <w:r w:rsidR="00D47A60">
        <w:t>centres</w:t>
      </w:r>
      <w:r w:rsidR="00A26E59">
        <w:t xml:space="preserve">.  </w:t>
      </w:r>
    </w:p>
    <w:p w14:paraId="5F378596" w14:textId="24280519" w:rsidR="00D0664C" w:rsidRPr="00A05EC9" w:rsidRDefault="00D0664C" w:rsidP="00D0664C">
      <w:pPr>
        <w:pStyle w:val="Heading2"/>
      </w:pPr>
      <w:bookmarkStart w:id="107" w:name="_Toc5000073"/>
      <w:bookmarkEnd w:id="106"/>
      <w:r>
        <w:t>Consideration of spectrum options for FSS</w:t>
      </w:r>
      <w:bookmarkEnd w:id="107"/>
    </w:p>
    <w:p w14:paraId="7BF9A887" w14:textId="2867CCDD" w:rsidR="00F966A5" w:rsidRDefault="00387B9E" w:rsidP="00A37173">
      <w:pPr>
        <w:spacing w:after="120"/>
      </w:pPr>
      <w:r>
        <w:t>Access to sufficient spectrum is a</w:t>
      </w:r>
      <w:r w:rsidR="001B1CF3">
        <w:t xml:space="preserve"> critical component to </w:t>
      </w:r>
      <w:r>
        <w:t xml:space="preserve">meet the capacity requirements </w:t>
      </w:r>
      <w:r w:rsidR="001B1CF3">
        <w:t xml:space="preserve">of </w:t>
      </w:r>
      <w:r>
        <w:t xml:space="preserve">new </w:t>
      </w:r>
      <w:r w:rsidR="00EF2FC4">
        <w:t xml:space="preserve">broadband </w:t>
      </w:r>
      <w:r>
        <w:t>satellite systems</w:t>
      </w:r>
      <w:r w:rsidR="001B1CF3">
        <w:t xml:space="preserve">. </w:t>
      </w:r>
      <w:bookmarkStart w:id="108" w:name="_Hlk3453404"/>
      <w:r w:rsidR="001B1CF3">
        <w:t xml:space="preserve">As </w:t>
      </w:r>
      <w:r>
        <w:t xml:space="preserve">the capacity requirements for terrestrial </w:t>
      </w:r>
      <w:r w:rsidR="00BD38E9">
        <w:t xml:space="preserve">mobile broadband </w:t>
      </w:r>
      <w:r>
        <w:t xml:space="preserve">services continues to </w:t>
      </w:r>
      <w:r w:rsidR="001B1CF3">
        <w:t xml:space="preserve">grow, so </w:t>
      </w:r>
      <w:r w:rsidR="004F7BF2">
        <w:t xml:space="preserve">too </w:t>
      </w:r>
      <w:r w:rsidR="004C52BE">
        <w:t>do</w:t>
      </w:r>
      <w:r w:rsidR="001B1CF3">
        <w:t xml:space="preserve"> the </w:t>
      </w:r>
      <w:r>
        <w:t xml:space="preserve">capacity requirements for </w:t>
      </w:r>
      <w:r w:rsidR="004F7BF2">
        <w:t xml:space="preserve">satellite </w:t>
      </w:r>
      <w:r>
        <w:t xml:space="preserve">broadband </w:t>
      </w:r>
      <w:r w:rsidR="008A2F6D">
        <w:t xml:space="preserve">and other </w:t>
      </w:r>
      <w:r>
        <w:t>services delivered via satellite</w:t>
      </w:r>
      <w:r w:rsidR="00F966A5">
        <w:t>. This is reflected by the increasing number of h</w:t>
      </w:r>
      <w:r w:rsidR="00F966A5" w:rsidRPr="00F42072">
        <w:t>igh-throughput satellite</w:t>
      </w:r>
      <w:r w:rsidR="00F966A5">
        <w:t xml:space="preserve"> (HTS) and very h</w:t>
      </w:r>
      <w:r w:rsidR="00F966A5" w:rsidRPr="00F42072">
        <w:t>igh-throughput satellite</w:t>
      </w:r>
      <w:r w:rsidR="00F966A5">
        <w:t xml:space="preserve"> (VHTS) systems either being deployed or in development. </w:t>
      </w:r>
      <w:r w:rsidR="008A2F6D">
        <w:t>Access to spectrum in the Ka</w:t>
      </w:r>
      <w:r w:rsidR="00EF2FC4">
        <w:t xml:space="preserve"> band</w:t>
      </w:r>
      <w:r w:rsidR="008A2F6D">
        <w:t xml:space="preserve"> (which includes the </w:t>
      </w:r>
      <w:r w:rsidR="00E271D7">
        <w:t>17.7</w:t>
      </w:r>
      <w:r w:rsidR="00D10CDC">
        <w:t>–</w:t>
      </w:r>
      <w:r w:rsidR="00E271D7">
        <w:t xml:space="preserve">20.2 GHz frequency range for downlinks and </w:t>
      </w:r>
      <w:r w:rsidR="00467DEF">
        <w:t xml:space="preserve">the </w:t>
      </w:r>
      <w:r w:rsidR="008A2F6D">
        <w:t>27</w:t>
      </w:r>
      <w:r w:rsidR="00D10CDC">
        <w:t>–</w:t>
      </w:r>
      <w:r w:rsidR="00EF2FC4">
        <w:t>30</w:t>
      </w:r>
      <w:r w:rsidR="008A2F6D">
        <w:t xml:space="preserve"> GHz frequency range</w:t>
      </w:r>
      <w:r w:rsidR="00EF2FC4">
        <w:t xml:space="preserve"> for uplinks</w:t>
      </w:r>
      <w:r w:rsidR="008A2F6D">
        <w:t>)</w:t>
      </w:r>
      <w:r w:rsidR="00D71678">
        <w:t xml:space="preserve"> </w:t>
      </w:r>
      <w:r w:rsidR="008A2F6D">
        <w:t>is important for these satellite systems due to the large amount of spectrum available and the increasing level of congestion in lower frequency bands.</w:t>
      </w:r>
      <w:r w:rsidR="00D71678">
        <w:t xml:space="preserve"> </w:t>
      </w:r>
    </w:p>
    <w:bookmarkEnd w:id="108"/>
    <w:p w14:paraId="7433B48E" w14:textId="1CEB4481" w:rsidR="00AF495B" w:rsidRDefault="00AF495B" w:rsidP="00A37173">
      <w:pPr>
        <w:spacing w:after="120"/>
      </w:pPr>
      <w:r>
        <w:t xml:space="preserve">While this paper focuses on a portion of the Ka band used for FSS uplinks, it is important to acknowledge there is also a </w:t>
      </w:r>
      <w:r w:rsidR="00011AE4">
        <w:t>relationship</w:t>
      </w:r>
      <w:r>
        <w:t xml:space="preserve"> with the downlink segments. For example, any change in arrangements for ubiquitous FSS</w:t>
      </w:r>
      <w:r w:rsidR="00321F23">
        <w:t xml:space="preserve"> earth stations</w:t>
      </w:r>
      <w:r w:rsidR="00BB6F4A">
        <w:t xml:space="preserve"> (ubiquitous FSS)</w:t>
      </w:r>
      <w:r>
        <w:t xml:space="preserve"> in the 28 GHz band would logically have implications for </w:t>
      </w:r>
      <w:r w:rsidR="00467DEF">
        <w:t>similar use</w:t>
      </w:r>
      <w:r w:rsidR="00321F23">
        <w:t xml:space="preserve"> in</w:t>
      </w:r>
      <w:r>
        <w:t xml:space="preserve"> the downlink segment. Formal consideration of </w:t>
      </w:r>
      <w:r w:rsidR="00321F23">
        <w:t xml:space="preserve">arrangements for FSS in the downlink segment of the Ka band is not within scope of this consultation paper. This is because it requires detailed assessment of the spectrum in question and associated incumbent services. </w:t>
      </w:r>
      <w:r w:rsidR="00467DEF">
        <w:t>However, t</w:t>
      </w:r>
      <w:r w:rsidR="002812AA">
        <w:t>he ACMA expects to undertake further work on the associated downlink segment, when the scope of changes required for the uplink segment are clear</w:t>
      </w:r>
      <w:r w:rsidR="00321F23">
        <w:t xml:space="preserve">. </w:t>
      </w:r>
    </w:p>
    <w:p w14:paraId="6777F15A" w14:textId="7BAFD69D" w:rsidR="008A2F6D" w:rsidRDefault="008A2F6D" w:rsidP="00A37173">
      <w:pPr>
        <w:spacing w:after="120"/>
      </w:pPr>
      <w:r>
        <w:lastRenderedPageBreak/>
        <w:t>In Australia, the FSS currently use</w:t>
      </w:r>
      <w:r w:rsidR="00467DEF">
        <w:t>s</w:t>
      </w:r>
      <w:r>
        <w:t xml:space="preserve"> the 28 GHz band for a combination of </w:t>
      </w:r>
      <w:r w:rsidR="00BB6F4A">
        <w:t xml:space="preserve">FSS </w:t>
      </w:r>
      <w:r>
        <w:t>gateway</w:t>
      </w:r>
      <w:r w:rsidR="00BB6F4A">
        <w:t>s</w:t>
      </w:r>
      <w:r>
        <w:t xml:space="preserve"> (across the entire band) and ubiquitous</w:t>
      </w:r>
      <w:r w:rsidR="009F2CBF">
        <w:t xml:space="preserve"> FSS</w:t>
      </w:r>
      <w:r>
        <w:t xml:space="preserve"> (currently limited to the 28.5</w:t>
      </w:r>
      <w:r w:rsidR="00BA14DF">
        <w:t>–</w:t>
      </w:r>
      <w:r>
        <w:t xml:space="preserve">29.1 GHz </w:t>
      </w:r>
      <w:r w:rsidR="009F2CBF">
        <w:t>segment of the 28 GHz band</w:t>
      </w:r>
      <w:r w:rsidR="00EF2FC4">
        <w:t xml:space="preserve"> – noting that 29</w:t>
      </w:r>
      <w:r w:rsidR="00B92E04">
        <w:t>.</w:t>
      </w:r>
      <w:r w:rsidR="00EF2FC4">
        <w:t>5</w:t>
      </w:r>
      <w:r w:rsidR="00BA14DF">
        <w:t>–</w:t>
      </w:r>
      <w:r w:rsidR="00EF2FC4">
        <w:t xml:space="preserve">30 GHz is also available for ubiquitous </w:t>
      </w:r>
      <w:r w:rsidR="00321F23">
        <w:t>FSS</w:t>
      </w:r>
      <w:r w:rsidR="00467DEF">
        <w:t>,</w:t>
      </w:r>
      <w:r w:rsidR="00EF2FC4">
        <w:t xml:space="preserve"> but which is outside of scope of the 28 GHz band review</w:t>
      </w:r>
      <w:r>
        <w:t xml:space="preserve">). </w:t>
      </w:r>
    </w:p>
    <w:p w14:paraId="2BC0AF2A" w14:textId="23C931D5" w:rsidR="00D42F6F" w:rsidRDefault="000B14C8" w:rsidP="00A37173">
      <w:pPr>
        <w:spacing w:after="120"/>
      </w:pPr>
      <w:r>
        <w:t>FSS g</w:t>
      </w:r>
      <w:r w:rsidR="00F966A5">
        <w:t>ateway</w:t>
      </w:r>
      <w:r>
        <w:t>s</w:t>
      </w:r>
      <w:r w:rsidR="00F966A5">
        <w:t xml:space="preserve"> form an important part of </w:t>
      </w:r>
      <w:r w:rsidR="008A2F6D">
        <w:t xml:space="preserve">any </w:t>
      </w:r>
      <w:r w:rsidR="00F966A5">
        <w:t>satellite system</w:t>
      </w:r>
      <w:r w:rsidR="008A2F6D">
        <w:t xml:space="preserve"> for data backhaul</w:t>
      </w:r>
      <w:r w:rsidR="00F966A5">
        <w:t xml:space="preserve">. As of </w:t>
      </w:r>
      <w:r w:rsidR="00467DEF">
        <w:t xml:space="preserve">the </w:t>
      </w:r>
      <w:r w:rsidR="00F40837">
        <w:t>5 March 2019</w:t>
      </w:r>
      <w:r w:rsidR="00F966A5">
        <w:t xml:space="preserve"> there </w:t>
      </w:r>
      <w:r w:rsidR="00F40837">
        <w:t>were</w:t>
      </w:r>
      <w:r w:rsidR="00F966A5">
        <w:t xml:space="preserve"> </w:t>
      </w:r>
      <w:r w:rsidR="00A61B7B">
        <w:t xml:space="preserve">68 </w:t>
      </w:r>
      <w:r>
        <w:t xml:space="preserve">FSS </w:t>
      </w:r>
      <w:r w:rsidR="00F966A5">
        <w:t>gateway</w:t>
      </w:r>
      <w:r w:rsidR="00A61B7B">
        <w:t xml:space="preserve"> licences </w:t>
      </w:r>
      <w:r w:rsidR="00F966A5">
        <w:t xml:space="preserve">operating at </w:t>
      </w:r>
      <w:r w:rsidR="00F40837">
        <w:t>21</w:t>
      </w:r>
      <w:r w:rsidR="00F966A5">
        <w:t xml:space="preserve"> locations in Australia</w:t>
      </w:r>
      <w:r w:rsidR="00467DEF">
        <w:t xml:space="preserve">, most of these </w:t>
      </w:r>
      <w:r w:rsidR="00364BF9">
        <w:t>belonging to</w:t>
      </w:r>
      <w:r w:rsidR="00467DEF">
        <w:t xml:space="preserve"> NBN Co</w:t>
      </w:r>
      <w:r w:rsidR="00F966A5">
        <w:t>. This number is expected to increase as t</w:t>
      </w:r>
      <w:r w:rsidR="004C52BE">
        <w:t xml:space="preserve">he satellite </w:t>
      </w:r>
      <w:r w:rsidR="001B1CF3">
        <w:t xml:space="preserve">industry </w:t>
      </w:r>
      <w:r w:rsidR="00F966A5">
        <w:t>deplo</w:t>
      </w:r>
      <w:r w:rsidR="00B819A4">
        <w:t>y more</w:t>
      </w:r>
      <w:r w:rsidR="00F966A5">
        <w:t xml:space="preserve"> services. For example, </w:t>
      </w:r>
      <w:proofErr w:type="spellStart"/>
      <w:r w:rsidR="00F966A5">
        <w:t>Viasat</w:t>
      </w:r>
      <w:proofErr w:type="spellEnd"/>
      <w:r w:rsidR="00F966A5">
        <w:t xml:space="preserve"> has announced it is considering Australia to host the infrastructure (including </w:t>
      </w:r>
      <w:r>
        <w:t xml:space="preserve">FSS </w:t>
      </w:r>
      <w:r w:rsidR="00F966A5">
        <w:t>gateway</w:t>
      </w:r>
      <w:r>
        <w:t>s</w:t>
      </w:r>
      <w:r w:rsidR="00F966A5">
        <w:t>) for its next generation satellite</w:t>
      </w:r>
      <w:r w:rsidR="008A2F6D">
        <w:rPr>
          <w:rStyle w:val="FootnoteReference"/>
        </w:rPr>
        <w:footnoteReference w:id="18"/>
      </w:r>
      <w:r w:rsidR="001C0090">
        <w:t>.</w:t>
      </w:r>
      <w:r w:rsidR="00F966A5">
        <w:t xml:space="preserve"> This would require the deployment of hundreds of earth stations along the east coast of Australia</w:t>
      </w:r>
      <w:r w:rsidR="008B1E85">
        <w:t xml:space="preserve"> and access to most</w:t>
      </w:r>
      <w:r w:rsidR="001C0090">
        <w:t>,</w:t>
      </w:r>
      <w:r w:rsidR="008B1E85">
        <w:t xml:space="preserve"> if not all</w:t>
      </w:r>
      <w:r w:rsidR="001C0090">
        <w:t>,</w:t>
      </w:r>
      <w:r w:rsidR="008B1E85">
        <w:t xml:space="preserve"> of the 28</w:t>
      </w:r>
      <w:r w:rsidR="00DE4A93">
        <w:t> </w:t>
      </w:r>
      <w:r w:rsidR="008B1E85">
        <w:t>GHz band at each site</w:t>
      </w:r>
      <w:r w:rsidR="00F966A5">
        <w:t xml:space="preserve">. </w:t>
      </w:r>
      <w:r w:rsidR="00A46302">
        <w:t xml:space="preserve">Other satellite operators, such as </w:t>
      </w:r>
      <w:proofErr w:type="spellStart"/>
      <w:r w:rsidR="00A46302">
        <w:t>OneWeb</w:t>
      </w:r>
      <w:proofErr w:type="spellEnd"/>
      <w:r w:rsidR="00A46302">
        <w:t xml:space="preserve">, have also expressed interest in deploying new </w:t>
      </w:r>
      <w:r>
        <w:t xml:space="preserve">FSS </w:t>
      </w:r>
      <w:r w:rsidR="00A46302">
        <w:t>gateway</w:t>
      </w:r>
      <w:r>
        <w:t>s</w:t>
      </w:r>
      <w:r w:rsidR="00A46302">
        <w:t xml:space="preserve"> in Australia that require access to the most</w:t>
      </w:r>
      <w:r w:rsidR="001C0090">
        <w:t>,</w:t>
      </w:r>
      <w:r w:rsidR="00A46302">
        <w:t xml:space="preserve"> if not all</w:t>
      </w:r>
      <w:r w:rsidR="001C0090">
        <w:t>,</w:t>
      </w:r>
      <w:r w:rsidR="00A46302">
        <w:t xml:space="preserve"> of the 28 GHz band. </w:t>
      </w:r>
    </w:p>
    <w:p w14:paraId="651EAA48" w14:textId="5EA3BB4C" w:rsidR="00F966A5" w:rsidRDefault="00D42F6F" w:rsidP="00A37173">
      <w:pPr>
        <w:spacing w:after="120"/>
      </w:pPr>
      <w:r>
        <w:t xml:space="preserve">To cater for the needs of next generation satellite systems, the ACMA has developed options in this paper that provide access </w:t>
      </w:r>
      <w:r w:rsidR="008B1E85">
        <w:t xml:space="preserve">to the </w:t>
      </w:r>
      <w:r>
        <w:t xml:space="preserve">entire </w:t>
      </w:r>
      <w:r w:rsidR="008B1E85">
        <w:t xml:space="preserve">28 GHz band for </w:t>
      </w:r>
      <w:r>
        <w:t xml:space="preserve">existing and new </w:t>
      </w:r>
      <w:r w:rsidR="00467DEF">
        <w:t xml:space="preserve">FSS </w:t>
      </w:r>
      <w:r w:rsidR="008B1E85">
        <w:t>gateway</w:t>
      </w:r>
      <w:r w:rsidR="00467DEF">
        <w:t>s</w:t>
      </w:r>
      <w:r w:rsidR="00D71678">
        <w:t>, particularly in regional and remote areas</w:t>
      </w:r>
      <w:r w:rsidR="008B1E85">
        <w:t>.</w:t>
      </w:r>
      <w:r>
        <w:t xml:space="preserve"> </w:t>
      </w:r>
      <w:r w:rsidR="003C410F">
        <w:t xml:space="preserve"> </w:t>
      </w:r>
      <w:r w:rsidR="00D56ACE">
        <w:t>A</w:t>
      </w:r>
      <w:r w:rsidR="003C410F">
        <w:t xml:space="preserve">ll options </w:t>
      </w:r>
      <w:r w:rsidR="00467DEF">
        <w:t xml:space="preserve">also </w:t>
      </w:r>
      <w:r w:rsidR="003C410F">
        <w:t xml:space="preserve">ensure that existing </w:t>
      </w:r>
      <w:r w:rsidR="000B14C8">
        <w:t xml:space="preserve">FSS </w:t>
      </w:r>
      <w:r w:rsidR="003C410F">
        <w:t>gateway</w:t>
      </w:r>
      <w:r w:rsidR="000B14C8">
        <w:t>s</w:t>
      </w:r>
      <w:r w:rsidR="003C410F">
        <w:t xml:space="preserve"> can continue operating in the band.</w:t>
      </w:r>
    </w:p>
    <w:p w14:paraId="6E3865FC" w14:textId="1BED3BAC" w:rsidR="00D71678" w:rsidRDefault="009F2CBF" w:rsidP="00A37173">
      <w:pPr>
        <w:spacing w:after="120"/>
        <w:rPr>
          <w:rFonts w:ascii="Calibri" w:hAnsi="Calibri" w:cs="Calibri"/>
          <w:sz w:val="22"/>
          <w:szCs w:val="22"/>
        </w:rPr>
      </w:pPr>
      <w:r>
        <w:t>Ubiquitous FSS use of the 28 GHz band can be divided into two types: fixed and mobile</w:t>
      </w:r>
      <w:r w:rsidR="003C410F">
        <w:t xml:space="preserve"> (typically referred to as </w:t>
      </w:r>
      <w:r w:rsidR="0062407B">
        <w:t>e</w:t>
      </w:r>
      <w:r w:rsidR="003C410F">
        <w:t xml:space="preserve">arth </w:t>
      </w:r>
      <w:r w:rsidR="0062407B">
        <w:t>s</w:t>
      </w:r>
      <w:r w:rsidR="003C410F">
        <w:t xml:space="preserve">tations in </w:t>
      </w:r>
      <w:r w:rsidR="0062407B">
        <w:t>m</w:t>
      </w:r>
      <w:r w:rsidR="003C410F">
        <w:t>otion (</w:t>
      </w:r>
      <w:r w:rsidR="00384562">
        <w:t>ESIM</w:t>
      </w:r>
      <w:r w:rsidR="003C410F">
        <w:t>))</w:t>
      </w:r>
      <w:r>
        <w:t xml:space="preserve">. </w:t>
      </w:r>
      <w:r w:rsidR="00277390">
        <w:t>U</w:t>
      </w:r>
      <w:r w:rsidR="006D418D">
        <w:t xml:space="preserve">biquitous FSS </w:t>
      </w:r>
      <w:r w:rsidR="00A46302">
        <w:t xml:space="preserve">is supported by </w:t>
      </w:r>
      <w:r w:rsidR="00EF2FC4">
        <w:t>apparatus/</w:t>
      </w:r>
      <w:r w:rsidR="00A46302">
        <w:t xml:space="preserve">class licensing arrangements </w:t>
      </w:r>
      <w:r w:rsidR="00B54B39">
        <w:t>in the 28.5</w:t>
      </w:r>
      <w:r w:rsidR="00C25133">
        <w:t>–</w:t>
      </w:r>
      <w:r w:rsidR="00B54B39">
        <w:t xml:space="preserve">29.1 GHz </w:t>
      </w:r>
      <w:r w:rsidR="00277390">
        <w:t>(</w:t>
      </w:r>
      <w:r w:rsidR="004D3A00">
        <w:t>and 29.5-30</w:t>
      </w:r>
      <w:r w:rsidR="00B54B39">
        <w:t xml:space="preserve"> GHz</w:t>
      </w:r>
      <w:r w:rsidR="00277390">
        <w:t>)</w:t>
      </w:r>
      <w:r w:rsidR="00B54B39">
        <w:t xml:space="preserve"> segment of the 28 GHz band</w:t>
      </w:r>
      <w:r w:rsidR="00A46302">
        <w:t>. It</w:t>
      </w:r>
      <w:r w:rsidR="00B54B39">
        <w:t xml:space="preserve"> </w:t>
      </w:r>
      <w:r w:rsidR="006D418D">
        <w:t xml:space="preserve">is </w:t>
      </w:r>
      <w:r w:rsidR="00BB6F4A">
        <w:t xml:space="preserve">used </w:t>
      </w:r>
      <w:r w:rsidR="006D418D">
        <w:t xml:space="preserve">extensively by </w:t>
      </w:r>
      <w:r>
        <w:t xml:space="preserve">NBN </w:t>
      </w:r>
      <w:r w:rsidR="003C410F">
        <w:t>C</w:t>
      </w:r>
      <w:r w:rsidR="006D418D">
        <w:t xml:space="preserve">o as part of their </w:t>
      </w:r>
      <w:r w:rsidR="004C52BE">
        <w:t>S</w:t>
      </w:r>
      <w:r w:rsidR="006D418D">
        <w:t>ky</w:t>
      </w:r>
      <w:r w:rsidR="004C52BE">
        <w:t xml:space="preserve"> M</w:t>
      </w:r>
      <w:r w:rsidR="006D418D">
        <w:t xml:space="preserve">uster </w:t>
      </w:r>
      <w:r>
        <w:t xml:space="preserve">satellite </w:t>
      </w:r>
      <w:r w:rsidR="006D418D">
        <w:t>network</w:t>
      </w:r>
      <w:r w:rsidR="00A46302">
        <w:t xml:space="preserve"> which</w:t>
      </w:r>
      <w:r w:rsidR="006D418D">
        <w:t xml:space="preserve"> </w:t>
      </w:r>
      <w:r w:rsidR="0096167F">
        <w:t>provides broadband access to the Australian public</w:t>
      </w:r>
      <w:r w:rsidR="004D409C">
        <w:t xml:space="preserve"> </w:t>
      </w:r>
      <w:r w:rsidR="004D409C">
        <w:rPr>
          <w:lang w:val="en"/>
        </w:rPr>
        <w:t xml:space="preserve">in regional and remote </w:t>
      </w:r>
      <w:r w:rsidR="00AC3CD7">
        <w:rPr>
          <w:lang w:val="en"/>
        </w:rPr>
        <w:t>areas</w:t>
      </w:r>
      <w:r w:rsidR="0096167F">
        <w:t xml:space="preserve">. </w:t>
      </w:r>
      <w:r w:rsidR="00384562">
        <w:t xml:space="preserve">NBN </w:t>
      </w:r>
      <w:r w:rsidR="00011AE4">
        <w:t>C</w:t>
      </w:r>
      <w:r w:rsidR="00384562">
        <w:t>o</w:t>
      </w:r>
      <w:r w:rsidR="003C410F">
        <w:t xml:space="preserve">’s submission to the </w:t>
      </w:r>
      <w:r w:rsidR="00B54B39">
        <w:t>September 2018 paper</w:t>
      </w:r>
      <w:r w:rsidR="00134219">
        <w:t xml:space="preserve"> </w:t>
      </w:r>
      <w:r w:rsidR="00B54B39">
        <w:t xml:space="preserve">indicated </w:t>
      </w:r>
      <w:r w:rsidR="00134219">
        <w:t xml:space="preserve">the </w:t>
      </w:r>
      <w:r w:rsidR="00B54B39">
        <w:t xml:space="preserve">use of the </w:t>
      </w:r>
      <w:r w:rsidR="00134219">
        <w:t xml:space="preserve">current 600 MHz of class </w:t>
      </w:r>
      <w:r w:rsidR="00B54B39">
        <w:t>licensed</w:t>
      </w:r>
      <w:r w:rsidR="00134219">
        <w:t xml:space="preserve"> spectrum is </w:t>
      </w:r>
      <w:r w:rsidR="00B54B39">
        <w:t>intensive</w:t>
      </w:r>
      <w:r w:rsidR="00134219">
        <w:t xml:space="preserve"> and </w:t>
      </w:r>
      <w:r w:rsidR="00B54B39">
        <w:t xml:space="preserve">is expected to increase over time. To </w:t>
      </w:r>
      <w:r w:rsidR="00A46302">
        <w:t>meet this demand</w:t>
      </w:r>
      <w:r w:rsidR="003709CA">
        <w:t xml:space="preserve"> </w:t>
      </w:r>
      <w:r w:rsidR="00A46302">
        <w:t xml:space="preserve">and provide certainty for the design of future satellites, </w:t>
      </w:r>
      <w:r w:rsidR="00384562">
        <w:t xml:space="preserve">NBN </w:t>
      </w:r>
      <w:r w:rsidR="00D56ACE">
        <w:t>C</w:t>
      </w:r>
      <w:r w:rsidR="00384562">
        <w:t>o</w:t>
      </w:r>
      <w:r w:rsidR="00A46302">
        <w:t xml:space="preserve"> state</w:t>
      </w:r>
      <w:r w:rsidR="00BB6F4A">
        <w:t>d</w:t>
      </w:r>
      <w:r w:rsidR="00A46302">
        <w:t xml:space="preserve"> </w:t>
      </w:r>
      <w:r w:rsidR="00134219">
        <w:t xml:space="preserve">that </w:t>
      </w:r>
      <w:r w:rsidR="00A46302">
        <w:t xml:space="preserve">access to the entire 28 GHz band </w:t>
      </w:r>
      <w:r w:rsidR="00134219">
        <w:t>is required.</w:t>
      </w:r>
      <w:r w:rsidR="00D71678">
        <w:t xml:space="preserve"> This sentiment was supported by the joint submission from </w:t>
      </w:r>
      <w:r w:rsidR="003709CA">
        <w:t xml:space="preserve">the </w:t>
      </w:r>
      <w:r w:rsidR="003709CA" w:rsidRPr="003709CA">
        <w:t>Asia-Pacific Satellite Communications Council</w:t>
      </w:r>
      <w:r w:rsidR="003709CA">
        <w:t xml:space="preserve">, </w:t>
      </w:r>
      <w:r w:rsidR="003709CA" w:rsidRPr="003709CA">
        <w:t>Asia Video Industry Association</w:t>
      </w:r>
      <w:r w:rsidR="003709CA">
        <w:t xml:space="preserve">, </w:t>
      </w:r>
      <w:r w:rsidR="003709CA" w:rsidRPr="003709CA">
        <w:t>Global VSAT</w:t>
      </w:r>
      <w:r w:rsidR="003709CA">
        <w:rPr>
          <w:rStyle w:val="FootnoteReference"/>
        </w:rPr>
        <w:footnoteReference w:id="19"/>
      </w:r>
      <w:r w:rsidR="003709CA" w:rsidRPr="003709CA">
        <w:t xml:space="preserve"> Forum</w:t>
      </w:r>
      <w:r w:rsidR="003709CA">
        <w:t xml:space="preserve"> and </w:t>
      </w:r>
      <w:r w:rsidR="003709CA" w:rsidRPr="003709CA">
        <w:t>EMEA</w:t>
      </w:r>
      <w:r w:rsidR="005273DE">
        <w:rPr>
          <w:rStyle w:val="FootnoteReference"/>
        </w:rPr>
        <w:footnoteReference w:id="20"/>
      </w:r>
      <w:r w:rsidR="003709CA" w:rsidRPr="003709CA">
        <w:t xml:space="preserve"> Satellite Operators’ Association</w:t>
      </w:r>
      <w:r w:rsidR="003709CA">
        <w:t xml:space="preserve"> </w:t>
      </w:r>
      <w:r w:rsidR="00D71678">
        <w:t>to the September 2018 paper</w:t>
      </w:r>
      <w:r w:rsidR="009C4A4F">
        <w:t xml:space="preserve"> (which extended to consideration of </w:t>
      </w:r>
      <w:r w:rsidR="00384562">
        <w:t>ESIM</w:t>
      </w:r>
      <w:r w:rsidR="009C4A4F">
        <w:t xml:space="preserve"> as well)</w:t>
      </w:r>
      <w:r w:rsidR="00D71678">
        <w:t>.</w:t>
      </w:r>
      <w:r w:rsidR="00156E23">
        <w:t xml:space="preserve"> The joint submission also pointed out t</w:t>
      </w:r>
      <w:r w:rsidR="00DC4944">
        <w:t>hat</w:t>
      </w:r>
      <w:r w:rsidR="00156E23">
        <w:t xml:space="preserve"> some satellite operators were planning to</w:t>
      </w:r>
      <w:r w:rsidR="00DC4944">
        <w:t xml:space="preserve"> </w:t>
      </w:r>
      <w:r w:rsidR="00BB6F4A">
        <w:t>move</w:t>
      </w:r>
      <w:r w:rsidR="00DC4944">
        <w:t xml:space="preserve"> the operational frequency of </w:t>
      </w:r>
      <w:r w:rsidR="00156E23">
        <w:t>their gateway</w:t>
      </w:r>
      <w:r w:rsidR="00DC4944">
        <w:t xml:space="preserve">s </w:t>
      </w:r>
      <w:r w:rsidR="00156E23">
        <w:t xml:space="preserve">to the 40/50 GHz band to </w:t>
      </w:r>
      <w:r w:rsidR="00DC4944">
        <w:t xml:space="preserve">provide more spectrum in the 28 GHz band to </w:t>
      </w:r>
      <w:r w:rsidR="00156E23">
        <w:t xml:space="preserve">accommodate </w:t>
      </w:r>
      <w:r w:rsidR="00BB6F4A">
        <w:t xml:space="preserve">demand for </w:t>
      </w:r>
      <w:r w:rsidR="00156E23">
        <w:t>ubiquitous</w:t>
      </w:r>
      <w:r w:rsidR="00BB6F4A">
        <w:t xml:space="preserve"> FSS</w:t>
      </w:r>
      <w:r w:rsidR="00156E23">
        <w:t xml:space="preserve">. </w:t>
      </w:r>
    </w:p>
    <w:p w14:paraId="5A34E1AA" w14:textId="3B4DE51D" w:rsidR="00A83F13" w:rsidRDefault="00010FEE" w:rsidP="00A37173">
      <w:pPr>
        <w:spacing w:after="120"/>
      </w:pPr>
      <w:r>
        <w:t>ESIM networks include the provision of services to aeronautical, maritime and terrestrial terminals. E</w:t>
      </w:r>
      <w:r w:rsidR="00893C65">
        <w:t>SIM use is currently supported under class licensing arrangements in Australia</w:t>
      </w:r>
      <w:r w:rsidR="002F2565">
        <w:t xml:space="preserve"> for both NGSO</w:t>
      </w:r>
      <w:r w:rsidR="00671C0B">
        <w:rPr>
          <w:rStyle w:val="FootnoteReference"/>
        </w:rPr>
        <w:footnoteReference w:id="21"/>
      </w:r>
      <w:r w:rsidR="002F2565">
        <w:t xml:space="preserve"> and GSO</w:t>
      </w:r>
      <w:r w:rsidR="00671C0B">
        <w:rPr>
          <w:rStyle w:val="FootnoteReference"/>
        </w:rPr>
        <w:footnoteReference w:id="22"/>
      </w:r>
      <w:r w:rsidR="002F2565">
        <w:t xml:space="preserve"> systems. Supported ESIM frequency bands are the same as those for fixed earth stations as provided for in the </w:t>
      </w:r>
      <w:hyperlink r:id="rId41" w:history="1">
        <w:r w:rsidR="002F2565" w:rsidRPr="002F2565">
          <w:rPr>
            <w:rStyle w:val="Hyperlink"/>
          </w:rPr>
          <w:t>Communications with Space Objects Class Licence</w:t>
        </w:r>
      </w:hyperlink>
      <w:r w:rsidR="002F2565">
        <w:t>. That is, earth station transmitters in</w:t>
      </w:r>
      <w:r w:rsidR="00893C65">
        <w:t xml:space="preserve"> the </w:t>
      </w:r>
      <w:r w:rsidR="004D3A00">
        <w:t>28.5</w:t>
      </w:r>
      <w:r w:rsidR="00172129">
        <w:t>–</w:t>
      </w:r>
      <w:r w:rsidR="004D3A00">
        <w:t>29.1 GHz and 29.5</w:t>
      </w:r>
      <w:r w:rsidR="00172129">
        <w:t>–</w:t>
      </w:r>
      <w:r w:rsidR="004D3A00">
        <w:t xml:space="preserve">30 GHz </w:t>
      </w:r>
      <w:r w:rsidR="00893C65">
        <w:t>band</w:t>
      </w:r>
      <w:r w:rsidR="002F2565">
        <w:t xml:space="preserve">s and earth station receivers in the </w:t>
      </w:r>
      <w:r w:rsidR="002F2565" w:rsidRPr="002F2565">
        <w:t xml:space="preserve">17.7–18.2 GHz, 18.8–19.3 GHz, 19.7–20.2 GHz </w:t>
      </w:r>
      <w:r w:rsidR="002F2565">
        <w:t xml:space="preserve">bands </w:t>
      </w:r>
      <w:r w:rsidR="00C17A2A">
        <w:rPr>
          <w:rStyle w:val="FootnoteReference"/>
        </w:rPr>
        <w:footnoteReference w:id="23"/>
      </w:r>
      <w:r w:rsidR="00893C65">
        <w:t>.</w:t>
      </w:r>
      <w:r w:rsidR="004D3A00">
        <w:t xml:space="preserve"> ESIM </w:t>
      </w:r>
      <w:r w:rsidR="002F2565">
        <w:t xml:space="preserve">NGSO use and ESIM </w:t>
      </w:r>
      <w:r w:rsidR="00435AF5">
        <w:t xml:space="preserve">GSO </w:t>
      </w:r>
      <w:r w:rsidR="004D3A00">
        <w:t xml:space="preserve">use of 28.5-29.1 GHz </w:t>
      </w:r>
      <w:r w:rsidR="00435AF5" w:rsidRPr="00435AF5">
        <w:t>17.7–18.2 GHz</w:t>
      </w:r>
      <w:r w:rsidR="00435AF5">
        <w:t xml:space="preserve"> and</w:t>
      </w:r>
      <w:r w:rsidR="00435AF5" w:rsidRPr="00435AF5">
        <w:t xml:space="preserve"> 18.8–19.3 GHz</w:t>
      </w:r>
      <w:r w:rsidR="00435AF5">
        <w:t xml:space="preserve"> bands</w:t>
      </w:r>
      <w:r w:rsidR="004D3A00">
        <w:t xml:space="preserve"> is under interim arrangements to be reviewed pending the outcomes of the WRC-19.</w:t>
      </w:r>
      <w:r w:rsidR="00893C65">
        <w:t xml:space="preserve"> WRC-19 agenda Item 1.5 is considering a further identification for ESIM in the </w:t>
      </w:r>
      <w:r w:rsidR="00A83F13">
        <w:t>17.7</w:t>
      </w:r>
      <w:r w:rsidR="00175A0C">
        <w:t>–</w:t>
      </w:r>
      <w:r w:rsidR="00A83F13">
        <w:t>19.7 GH</w:t>
      </w:r>
      <w:r w:rsidR="00BA2489">
        <w:t>s</w:t>
      </w:r>
      <w:r w:rsidR="00A83F13">
        <w:t xml:space="preserve"> and </w:t>
      </w:r>
      <w:r w:rsidR="00893C65">
        <w:t>27.5</w:t>
      </w:r>
      <w:r w:rsidR="00175A0C">
        <w:t>–</w:t>
      </w:r>
      <w:r w:rsidR="00893C65">
        <w:t>29.5 GHz band</w:t>
      </w:r>
      <w:r w:rsidR="00A83F13">
        <w:t>s</w:t>
      </w:r>
      <w:r w:rsidR="00893C65">
        <w:t xml:space="preserve">. Such an </w:t>
      </w:r>
      <w:r w:rsidR="00A83F13">
        <w:t>identification</w:t>
      </w:r>
      <w:r w:rsidR="00893C65">
        <w:t xml:space="preserve"> </w:t>
      </w:r>
      <w:r w:rsidR="00A83F13">
        <w:t>w</w:t>
      </w:r>
      <w:r w:rsidR="00893C65">
        <w:t xml:space="preserve">ould </w:t>
      </w:r>
      <w:r w:rsidR="00A83F13">
        <w:t xml:space="preserve">further </w:t>
      </w:r>
      <w:r w:rsidR="00893C65">
        <w:t>assist in providing global economies of scale for use and equipment</w:t>
      </w:r>
      <w:r w:rsidR="00A83F13">
        <w:t xml:space="preserve"> in the band</w:t>
      </w:r>
      <w:r w:rsidR="00893C65">
        <w:t>.</w:t>
      </w:r>
      <w:r w:rsidR="00A83F13">
        <w:t xml:space="preserve"> While Australia supports the </w:t>
      </w:r>
      <w:r w:rsidR="00A83F13" w:rsidRPr="00446E03">
        <w:t xml:space="preserve">development of appropriate technical and operational requirements </w:t>
      </w:r>
      <w:r w:rsidR="00A83F13">
        <w:t>to facilitate ESIM use internationally, no decision has been made regarding domestic use of the 17.7</w:t>
      </w:r>
      <w:r w:rsidR="00175A0C">
        <w:t>–</w:t>
      </w:r>
      <w:r w:rsidR="00A83F13">
        <w:t>19.7 GH</w:t>
      </w:r>
      <w:r w:rsidR="00BA2489">
        <w:t>z</w:t>
      </w:r>
      <w:r w:rsidR="00A83F13">
        <w:t xml:space="preserve"> and 27.5</w:t>
      </w:r>
      <w:r w:rsidR="00175A0C">
        <w:t>–</w:t>
      </w:r>
      <w:r w:rsidR="00A83F13">
        <w:t xml:space="preserve">29.5 GHz bands.  </w:t>
      </w:r>
      <w:r w:rsidR="0098254B">
        <w:t xml:space="preserve"> </w:t>
      </w:r>
    </w:p>
    <w:p w14:paraId="27A3CE85" w14:textId="77777777" w:rsidR="008D358A" w:rsidRDefault="00A83F13" w:rsidP="00DB2602">
      <w:r>
        <w:t>G</w:t>
      </w:r>
      <w:r w:rsidR="0098254B">
        <w:t xml:space="preserve">iven </w:t>
      </w:r>
      <w:r w:rsidR="00AC3CD7">
        <w:t xml:space="preserve">the </w:t>
      </w:r>
      <w:r w:rsidR="00C54261">
        <w:t xml:space="preserve">mobile </w:t>
      </w:r>
      <w:r w:rsidR="0098254B">
        <w:t xml:space="preserve">nature of these services, </w:t>
      </w:r>
      <w:r>
        <w:t>unless exclusive access to spectrum is given for FSS use, measures to manage interference with other services needs to be considered</w:t>
      </w:r>
      <w:r w:rsidR="0098254B">
        <w:t xml:space="preserve">. While aeronautical and </w:t>
      </w:r>
      <w:r w:rsidR="0098254B">
        <w:lastRenderedPageBreak/>
        <w:t>mar</w:t>
      </w:r>
      <w:r>
        <w:t>i</w:t>
      </w:r>
      <w:r w:rsidR="0098254B">
        <w:t xml:space="preserve">time services </w:t>
      </w:r>
      <w:r w:rsidR="009C4A4F">
        <w:t xml:space="preserve">could, if required, use techniques such as ceasing operation at defined separation </w:t>
      </w:r>
      <w:r w:rsidR="0098254B">
        <w:t>distance</w:t>
      </w:r>
      <w:r w:rsidR="0031035A">
        <w:t xml:space="preserve"> (or altitude)</w:t>
      </w:r>
      <w:r w:rsidR="0098254B">
        <w:t xml:space="preserve"> to help mitigate interference</w:t>
      </w:r>
      <w:r w:rsidR="009C4A4F">
        <w:t xml:space="preserve"> with other services</w:t>
      </w:r>
      <w:r w:rsidR="0098254B">
        <w:t>,</w:t>
      </w:r>
      <w:r w:rsidR="009C4A4F">
        <w:t xml:space="preserve"> it </w:t>
      </w:r>
      <w:r w:rsidR="008D358A">
        <w:t>is un</w:t>
      </w:r>
      <w:r w:rsidR="00BA2489">
        <w:t xml:space="preserve">likely to be </w:t>
      </w:r>
      <w:r w:rsidR="009C4A4F">
        <w:t>practical for</w:t>
      </w:r>
      <w:r w:rsidR="0098254B">
        <w:t xml:space="preserve"> terrestrial ESIM </w:t>
      </w:r>
      <w:r w:rsidR="009C4A4F">
        <w:t xml:space="preserve">to operate in the same geographical area as </w:t>
      </w:r>
      <w:r w:rsidR="00B153D9">
        <w:t>WWB</w:t>
      </w:r>
      <w:r w:rsidR="00233FA6">
        <w:t xml:space="preserve"> or FWA services</w:t>
      </w:r>
      <w:r w:rsidR="0098254B">
        <w:t xml:space="preserve">. </w:t>
      </w:r>
      <w:r w:rsidR="00E943F9">
        <w:t xml:space="preserve">It is acknowledged that satellite operators would prefer no limitations on the geographical or in frequency operation of </w:t>
      </w:r>
      <w:r w:rsidR="00384562">
        <w:t>ESIM</w:t>
      </w:r>
      <w:r w:rsidR="00E943F9">
        <w:t xml:space="preserve"> as it increases complexity of service delivery and may deny access to some areas. However, this needs to be balanced against </w:t>
      </w:r>
      <w:r w:rsidR="00010FEE">
        <w:t>the spectrum needs of other services</w:t>
      </w:r>
      <w:r w:rsidR="00DC4944">
        <w:t>.</w:t>
      </w:r>
      <w:r w:rsidR="00FF53F7">
        <w:t xml:space="preserve"> </w:t>
      </w:r>
    </w:p>
    <w:p w14:paraId="0DD8C3D0" w14:textId="30719BEF" w:rsidR="00AF495B" w:rsidRPr="00A05EC9" w:rsidRDefault="00D56ACE" w:rsidP="00DB2602">
      <w:r>
        <w:t xml:space="preserve">Noting </w:t>
      </w:r>
      <w:r w:rsidR="0098254B" w:rsidRPr="00A05EC9">
        <w:t xml:space="preserve">the </w:t>
      </w:r>
      <w:r w:rsidR="00B27B13">
        <w:t>level of international interest</w:t>
      </w:r>
      <w:r w:rsidR="008219DA">
        <w:t>, development of new satellite systems</w:t>
      </w:r>
      <w:r w:rsidR="00B27B13">
        <w:t xml:space="preserve"> and </w:t>
      </w:r>
      <w:r w:rsidR="008219DA">
        <w:t xml:space="preserve">the </w:t>
      </w:r>
      <w:r w:rsidR="0098254B" w:rsidRPr="00A05EC9">
        <w:t>likely emergence of a</w:t>
      </w:r>
      <w:r w:rsidR="00010FEE">
        <w:t>n ESIM</w:t>
      </w:r>
      <w:r w:rsidR="0098254B" w:rsidRPr="00A05EC9">
        <w:t xml:space="preserve"> </w:t>
      </w:r>
      <w:r w:rsidR="0098254B">
        <w:t xml:space="preserve">ecosystem </w:t>
      </w:r>
      <w:r w:rsidR="0098254B" w:rsidRPr="00A05EC9">
        <w:t xml:space="preserve">in this band internationally, the ACMA is of the view that </w:t>
      </w:r>
      <w:r w:rsidR="00B27B13">
        <w:t xml:space="preserve">options for both fixed ubiquitous FSS and </w:t>
      </w:r>
      <w:r w:rsidR="00384562">
        <w:t>ESIM</w:t>
      </w:r>
      <w:r w:rsidR="00B27B13">
        <w:t xml:space="preserve"> should be considered in the 28 GHz band</w:t>
      </w:r>
      <w:r w:rsidR="00FF53F7">
        <w:t>.</w:t>
      </w:r>
      <w:r w:rsidR="00B27B13" w:rsidDel="00011AE4">
        <w:t xml:space="preserve"> </w:t>
      </w:r>
    </w:p>
    <w:p w14:paraId="2BB419BD" w14:textId="6864F4AD" w:rsidR="00B8635F" w:rsidRPr="00A05EC9" w:rsidRDefault="00B8635F" w:rsidP="00B8635F">
      <w:pPr>
        <w:pStyle w:val="Heading2"/>
      </w:pPr>
      <w:bookmarkStart w:id="109" w:name="_Toc5000074"/>
      <w:r>
        <w:t>Consideration of spectrum options for HAPS</w:t>
      </w:r>
      <w:bookmarkEnd w:id="109"/>
    </w:p>
    <w:p w14:paraId="0AE8AC8D" w14:textId="365B5297" w:rsidR="00321F23" w:rsidRDefault="00503137" w:rsidP="00A37173">
      <w:pPr>
        <w:spacing w:after="120"/>
      </w:pPr>
      <w:bookmarkStart w:id="110" w:name="_Hlk3791090"/>
      <w:r>
        <w:t xml:space="preserve">WRC-19 agenda item 1.14 is considering </w:t>
      </w:r>
      <w:r w:rsidR="00D16669">
        <w:t>additional</w:t>
      </w:r>
      <w:r>
        <w:t xml:space="preserve"> </w:t>
      </w:r>
      <w:r w:rsidR="005E78D3">
        <w:t>identifications for</w:t>
      </w:r>
      <w:r w:rsidDel="005E78D3">
        <w:t xml:space="preserve"> </w:t>
      </w:r>
      <w:r w:rsidR="00D442E8">
        <w:t xml:space="preserve">HAPS </w:t>
      </w:r>
      <w:r w:rsidR="00E3531D">
        <w:t>both regionally and on a global basis</w:t>
      </w:r>
      <w:r>
        <w:t>. This includes option</w:t>
      </w:r>
      <w:r w:rsidR="007130CE">
        <w:t>s</w:t>
      </w:r>
      <w:r w:rsidDel="007130CE">
        <w:t xml:space="preserve"> </w:t>
      </w:r>
      <w:r w:rsidR="00423434">
        <w:t>for deletion or modification of</w:t>
      </w:r>
      <w:r>
        <w:t xml:space="preserve"> </w:t>
      </w:r>
      <w:r>
        <w:rPr>
          <w:b/>
        </w:rPr>
        <w:t xml:space="preserve">No 5.537A </w:t>
      </w:r>
      <w:r>
        <w:t xml:space="preserve">of the </w:t>
      </w:r>
      <w:r w:rsidR="00D16669">
        <w:t>ITU-R Radio Regulations</w:t>
      </w:r>
      <w:r w:rsidR="00A60511">
        <w:t xml:space="preserve"> (RR)</w:t>
      </w:r>
      <w:r>
        <w:t xml:space="preserve">, which </w:t>
      </w:r>
      <w:r w:rsidR="00423434">
        <w:t xml:space="preserve">currently </w:t>
      </w:r>
      <w:r>
        <w:t>identifies the 27.9</w:t>
      </w:r>
      <w:r w:rsidR="00E73290">
        <w:t>–</w:t>
      </w:r>
      <w:r>
        <w:t>28.2 GHz frequency range for use by HAPS</w:t>
      </w:r>
      <w:r w:rsidR="00423434">
        <w:t xml:space="preserve"> in a number of countries</w:t>
      </w:r>
      <w:r>
        <w:t xml:space="preserve">. </w:t>
      </w:r>
      <w:r w:rsidR="00E0644B">
        <w:t xml:space="preserve">Australia </w:t>
      </w:r>
      <w:r w:rsidR="00FC7FDB">
        <w:t xml:space="preserve">is not currently part of </w:t>
      </w:r>
      <w:r w:rsidR="00FC7FDB">
        <w:rPr>
          <w:b/>
        </w:rPr>
        <w:t xml:space="preserve">No 5.537A </w:t>
      </w:r>
      <w:r w:rsidR="00FC7FDB">
        <w:t xml:space="preserve">of the RR and is still considering </w:t>
      </w:r>
      <w:r w:rsidR="00D442E8">
        <w:t>its position</w:t>
      </w:r>
      <w:r w:rsidR="00CF72D8">
        <w:t xml:space="preserve"> on this agenda item</w:t>
      </w:r>
      <w:r w:rsidR="00D442E8">
        <w:t xml:space="preserve">. </w:t>
      </w:r>
      <w:bookmarkEnd w:id="110"/>
    </w:p>
    <w:p w14:paraId="024BB405" w14:textId="5EA424DB" w:rsidR="006F4ED7" w:rsidRDefault="006F4ED7" w:rsidP="006F4ED7">
      <w:pPr>
        <w:pStyle w:val="ListBullet"/>
        <w:numPr>
          <w:ilvl w:val="0"/>
          <w:numId w:val="0"/>
        </w:numPr>
      </w:pPr>
      <w:bookmarkStart w:id="111" w:name="_Hlk3790399"/>
      <w:r>
        <w:t>While High Altitude Platform Stations (HAPS) have been identified as a possible application in 28 GHz band, based on the interest and evidence supplied so far, the ACMA is not contemplating use of the band by HAPS at this time. Furthermore, WRC-19 agenda item 1.14 is still investigating additional identifications for</w:t>
      </w:r>
      <w:r w:rsidDel="005E78D3">
        <w:t xml:space="preserve"> </w:t>
      </w:r>
      <w:r>
        <w:t xml:space="preserve">HAPS in a variety of bands. Moving forward the ACMA will continue to monitor international and domestic developments for HAPS, including the outcomes of WRC-19, in the 28 GHz and other bands. Consideration of possible arrangements for HAPS will be progressed under a separate consultation process as demand and spectrum options become more certain. </w:t>
      </w:r>
    </w:p>
    <w:p w14:paraId="75F76696" w14:textId="77777777" w:rsidR="006F4ED7" w:rsidRDefault="006F4ED7" w:rsidP="00C930B5"/>
    <w:p w14:paraId="6B73D26B" w14:textId="2CCC7EFE" w:rsidR="00172BAF" w:rsidRPr="00A05EC9" w:rsidRDefault="00172BAF" w:rsidP="00172BAF">
      <w:pPr>
        <w:pStyle w:val="Heading1"/>
      </w:pPr>
      <w:bookmarkStart w:id="112" w:name="_Toc5000075"/>
      <w:bookmarkEnd w:id="111"/>
      <w:r>
        <w:lastRenderedPageBreak/>
        <w:t xml:space="preserve">Consideration of </w:t>
      </w:r>
      <w:r w:rsidR="00522D79">
        <w:t>t</w:t>
      </w:r>
      <w:r>
        <w:t xml:space="preserve">echnical </w:t>
      </w:r>
      <w:r w:rsidR="00803DD1">
        <w:t>i</w:t>
      </w:r>
      <w:r>
        <w:t>ssues</w:t>
      </w:r>
      <w:bookmarkEnd w:id="112"/>
    </w:p>
    <w:p w14:paraId="685A3E22" w14:textId="372BD12D" w:rsidR="00172BAF" w:rsidRDefault="001D5078" w:rsidP="00172BAF">
      <w:r>
        <w:t xml:space="preserve">As </w:t>
      </w:r>
      <w:r w:rsidR="00730ADA">
        <w:t xml:space="preserve">arrangements for </w:t>
      </w:r>
      <w:r>
        <w:t xml:space="preserve">multiple services are being considered in the </w:t>
      </w:r>
      <w:r w:rsidR="00730ADA">
        <w:t xml:space="preserve">28 GHz </w:t>
      </w:r>
      <w:r>
        <w:t xml:space="preserve">band, the potential for and issues associated with </w:t>
      </w:r>
      <w:r w:rsidR="00510F72">
        <w:t>sharing and</w:t>
      </w:r>
      <w:r>
        <w:t xml:space="preserve"> coexistence </w:t>
      </w:r>
      <w:r w:rsidR="00730ADA">
        <w:t xml:space="preserve">between these services </w:t>
      </w:r>
      <w:r>
        <w:t>need to be considered</w:t>
      </w:r>
      <w:r w:rsidR="00730ADA">
        <w:t xml:space="preserve"> </w:t>
      </w:r>
      <w:r w:rsidR="00E02C50">
        <w:t xml:space="preserve">when determining and assessing possible options for the </w:t>
      </w:r>
      <w:r w:rsidR="00730ADA">
        <w:t>band</w:t>
      </w:r>
      <w:r w:rsidR="00E02C50">
        <w:t>.</w:t>
      </w:r>
    </w:p>
    <w:p w14:paraId="5430A76D" w14:textId="4F66CAF8" w:rsidR="0084779E" w:rsidRPr="00510F72" w:rsidRDefault="0084779E" w:rsidP="00E422B1">
      <w:pPr>
        <w:pStyle w:val="ListParagraph"/>
        <w:numPr>
          <w:ilvl w:val="0"/>
          <w:numId w:val="79"/>
        </w:numPr>
        <w:shd w:val="clear" w:color="auto" w:fill="F2F2F2" w:themeFill="background1" w:themeFillShade="F2"/>
        <w:spacing w:before="120" w:after="120" w:line="240" w:lineRule="auto"/>
        <w:ind w:left="426" w:hanging="426"/>
        <w:contextualSpacing w:val="0"/>
        <w:rPr>
          <w:b/>
        </w:rPr>
      </w:pPr>
      <w:bookmarkStart w:id="113" w:name="_Hlk3988661"/>
      <w:r>
        <w:rPr>
          <w:b/>
        </w:rPr>
        <w:t>Are there any other technical issues the ACMA should consider regarding the ability for WWB, FWA, PTP and FSS to share or coexist</w:t>
      </w:r>
      <w:r w:rsidR="00510F72">
        <w:rPr>
          <w:b/>
        </w:rPr>
        <w:t xml:space="preserve"> </w:t>
      </w:r>
      <w:r>
        <w:rPr>
          <w:b/>
        </w:rPr>
        <w:t>in the 28 GHz band</w:t>
      </w:r>
      <w:r w:rsidRPr="00C76440">
        <w:rPr>
          <w:b/>
        </w:rPr>
        <w:t>?</w:t>
      </w:r>
    </w:p>
    <w:p w14:paraId="7CAEFDEF" w14:textId="5F54A3D7" w:rsidR="00910571" w:rsidRPr="00F26E80" w:rsidRDefault="003D0F7F" w:rsidP="00910571">
      <w:pPr>
        <w:pStyle w:val="Heading2"/>
      </w:pPr>
      <w:bookmarkStart w:id="114" w:name="_Toc5000076"/>
      <w:bookmarkEnd w:id="113"/>
      <w:r>
        <w:t>Sharing and c</w:t>
      </w:r>
      <w:r w:rsidR="00910571">
        <w:t>oexist</w:t>
      </w:r>
      <w:r w:rsidR="00CA3B87">
        <w:t xml:space="preserve">ence between </w:t>
      </w:r>
      <w:r w:rsidR="00B153D9">
        <w:t>WWB</w:t>
      </w:r>
      <w:r w:rsidR="000611EE">
        <w:t>/FWA</w:t>
      </w:r>
      <w:r w:rsidR="00CA3B87">
        <w:t xml:space="preserve"> and FSS</w:t>
      </w:r>
      <w:bookmarkEnd w:id="114"/>
    </w:p>
    <w:p w14:paraId="557D3412" w14:textId="4846FF49" w:rsidR="003D4A1B" w:rsidRDefault="00655221" w:rsidP="005D3186">
      <w:pPr>
        <w:spacing w:after="80"/>
      </w:pPr>
      <w:r>
        <w:t>Sharing and</w:t>
      </w:r>
      <w:r w:rsidR="00CA3FB1">
        <w:t xml:space="preserve"> coexistence between </w:t>
      </w:r>
      <w:r w:rsidR="00B153D9">
        <w:t>WWB</w:t>
      </w:r>
      <w:r w:rsidR="000611EE">
        <w:t>/FWA</w:t>
      </w:r>
      <w:r w:rsidR="00CA3FB1">
        <w:t xml:space="preserve"> and FSS</w:t>
      </w:r>
      <w:r w:rsidR="0055306C">
        <w:t xml:space="preserve"> has been extensively </w:t>
      </w:r>
      <w:r>
        <w:t xml:space="preserve">studied </w:t>
      </w:r>
      <w:r w:rsidR="0055306C">
        <w:t>both domestically and internationally.</w:t>
      </w:r>
      <w:r w:rsidR="0055306C" w:rsidDel="00C0475F">
        <w:t xml:space="preserve"> </w:t>
      </w:r>
      <w:r w:rsidR="003D4A1B">
        <w:t xml:space="preserve">There are </w:t>
      </w:r>
      <w:r w:rsidR="00535ACC">
        <w:t xml:space="preserve">three </w:t>
      </w:r>
      <w:r w:rsidR="00C52857">
        <w:t>coexis</w:t>
      </w:r>
      <w:r w:rsidR="00612D87">
        <w:t>tence scenarios</w:t>
      </w:r>
      <w:r w:rsidR="00535ACC">
        <w:t xml:space="preserve"> that needed to </w:t>
      </w:r>
      <w:r w:rsidR="00605B92">
        <w:t xml:space="preserve">be </w:t>
      </w:r>
      <w:r w:rsidR="00535ACC">
        <w:t>considered</w:t>
      </w:r>
      <w:r w:rsidR="00F45B86">
        <w:t xml:space="preserve"> in the context of the 28 GHz band</w:t>
      </w:r>
      <w:r w:rsidR="00535ACC">
        <w:t>:</w:t>
      </w:r>
    </w:p>
    <w:p w14:paraId="612808AD" w14:textId="446600A6" w:rsidR="00535ACC" w:rsidRDefault="00B153D9" w:rsidP="00C930B5">
      <w:pPr>
        <w:pStyle w:val="ListBullet"/>
      </w:pPr>
      <w:r>
        <w:t>WWB</w:t>
      </w:r>
      <w:r w:rsidR="000611EE">
        <w:t>/FWA</w:t>
      </w:r>
      <w:r w:rsidR="00535ACC">
        <w:t xml:space="preserve"> and </w:t>
      </w:r>
      <w:r w:rsidR="00E02C50">
        <w:t xml:space="preserve">FSS </w:t>
      </w:r>
      <w:r w:rsidR="00535ACC">
        <w:t>gateways</w:t>
      </w:r>
    </w:p>
    <w:p w14:paraId="7D47DF2F" w14:textId="11A46432" w:rsidR="00BA0355" w:rsidRDefault="00B153D9" w:rsidP="003D0F7F">
      <w:pPr>
        <w:pStyle w:val="ListBullet"/>
      </w:pPr>
      <w:r>
        <w:t>WWB</w:t>
      </w:r>
      <w:r w:rsidR="000611EE">
        <w:t>/FWA</w:t>
      </w:r>
      <w:r w:rsidR="00535ACC">
        <w:t xml:space="preserve"> and ubiquitous FSS</w:t>
      </w:r>
      <w:r w:rsidR="003D0F7F">
        <w:t xml:space="preserve"> (both fixed and ESIM)</w:t>
      </w:r>
    </w:p>
    <w:p w14:paraId="43056E7E" w14:textId="494D9AD2" w:rsidR="00DE63CE" w:rsidRDefault="00BA0355" w:rsidP="003D0F7F">
      <w:pPr>
        <w:pStyle w:val="ListBullet"/>
      </w:pPr>
      <w:r>
        <w:t>WWB/FWA and FSS satellite receivers</w:t>
      </w:r>
      <w:r w:rsidR="003D0F7F">
        <w:t>.</w:t>
      </w:r>
    </w:p>
    <w:p w14:paraId="078BB974" w14:textId="5CC4077D" w:rsidR="00612D87" w:rsidRDefault="00930102" w:rsidP="00A37173">
      <w:pPr>
        <w:pStyle w:val="CommentText"/>
        <w:spacing w:before="240" w:after="120"/>
      </w:pPr>
      <w:r>
        <w:t xml:space="preserve">Sharing studies conducted by </w:t>
      </w:r>
      <w:r w:rsidR="00C0475F">
        <w:t xml:space="preserve">Task Group 5/1 of </w:t>
      </w:r>
      <w:r>
        <w:t>the ITU-R suggest separation distance</w:t>
      </w:r>
      <w:r w:rsidR="00C0475F">
        <w:t>s o</w:t>
      </w:r>
      <w:r w:rsidR="00DE63CE">
        <w:t>f</w:t>
      </w:r>
      <w:r w:rsidR="00C0475F">
        <w:t xml:space="preserve"> less than 100m up to about 10</w:t>
      </w:r>
      <w:r w:rsidR="00D107A9">
        <w:t xml:space="preserve"> km</w:t>
      </w:r>
      <w:r w:rsidR="00C0475F">
        <w:t xml:space="preserve"> </w:t>
      </w:r>
      <w:r>
        <w:t xml:space="preserve">(depending on the scenario) </w:t>
      </w:r>
      <w:r w:rsidR="00211BC7">
        <w:t>are</w:t>
      </w:r>
      <w:r>
        <w:t xml:space="preserve"> required to enable</w:t>
      </w:r>
      <w:r w:rsidR="00612D87">
        <w:t xml:space="preserve"> </w:t>
      </w:r>
      <w:r w:rsidR="00B153D9">
        <w:t>WWB</w:t>
      </w:r>
      <w:r w:rsidR="000611EE">
        <w:t>/FWA</w:t>
      </w:r>
      <w:r w:rsidR="00612D87">
        <w:t xml:space="preserve"> and </w:t>
      </w:r>
      <w:r w:rsidR="00E02C50">
        <w:t xml:space="preserve">FSS </w:t>
      </w:r>
      <w:r w:rsidR="008D358A">
        <w:t>gateways</w:t>
      </w:r>
      <w:r>
        <w:t xml:space="preserve"> to share the same frequency. G</w:t>
      </w:r>
      <w:r w:rsidR="00612D87">
        <w:t xml:space="preserve">iven the fixed </w:t>
      </w:r>
      <w:r>
        <w:t xml:space="preserve">and known </w:t>
      </w:r>
      <w:r w:rsidR="00612D87">
        <w:t xml:space="preserve">location of </w:t>
      </w:r>
      <w:r>
        <w:t xml:space="preserve">FSS </w:t>
      </w:r>
      <w:r w:rsidR="008D358A">
        <w:t xml:space="preserve">gateways </w:t>
      </w:r>
      <w:r w:rsidR="006947C8">
        <w:t>along with the fact they only transmit in the 28 GHz band</w:t>
      </w:r>
      <w:r w:rsidR="00EA47C8">
        <w:t xml:space="preserve">, </w:t>
      </w:r>
      <w:r>
        <w:t xml:space="preserve">it is considered that sharing </w:t>
      </w:r>
      <w:r w:rsidR="006947C8">
        <w:t xml:space="preserve">would be possible </w:t>
      </w:r>
      <w:r w:rsidR="00EA47C8">
        <w:t>with appropriate coordination procedures</w:t>
      </w:r>
      <w:r w:rsidR="00211BC7">
        <w:t>.</w:t>
      </w:r>
      <w:r w:rsidR="00156FEC">
        <w:t xml:space="preserve"> </w:t>
      </w:r>
      <w:r w:rsidR="00211BC7">
        <w:t>I</w:t>
      </w:r>
      <w:r w:rsidR="00156FEC">
        <w:t xml:space="preserve">n some </w:t>
      </w:r>
      <w:r w:rsidR="00E3531D">
        <w:t>cases,</w:t>
      </w:r>
      <w:r w:rsidR="00211BC7">
        <w:t xml:space="preserve"> sharing could be improved</w:t>
      </w:r>
      <w:r w:rsidR="00156FEC">
        <w:t xml:space="preserve"> by taking advantage of terrain</w:t>
      </w:r>
      <w:r w:rsidR="00211BC7">
        <w:t>,</w:t>
      </w:r>
      <w:r w:rsidR="00156FEC">
        <w:t xml:space="preserve"> local clutter </w:t>
      </w:r>
      <w:r w:rsidR="00211BC7">
        <w:t xml:space="preserve">and other measures </w:t>
      </w:r>
      <w:r w:rsidR="00156FEC">
        <w:t>to improve site shielding</w:t>
      </w:r>
      <w:r w:rsidR="00EA47C8">
        <w:t>.</w:t>
      </w:r>
    </w:p>
    <w:p w14:paraId="01CE1154" w14:textId="5B4DEBF0" w:rsidR="00211BC7" w:rsidRDefault="00211BC7" w:rsidP="00A37173">
      <w:pPr>
        <w:pStyle w:val="CommentText"/>
        <w:spacing w:after="120"/>
      </w:pPr>
      <w:r>
        <w:t>In Australia, ubiquitous FSS are typically authorised for operation under a class licence</w:t>
      </w:r>
      <w:r w:rsidR="00EE04C1">
        <w:t>. This means there is</w:t>
      </w:r>
      <w:r w:rsidR="005522A6">
        <w:t xml:space="preserve"> no requirement to register or coordinate individual terminals. </w:t>
      </w:r>
      <w:r w:rsidR="00EE04C1">
        <w:t>For this reason, sharing with WWB/FWA (which also has ubiquitous fixed/mobile user terminals) in the same area is difficult to manage, even though the required separation distance to enable sharing can be quite small. Interfe</w:t>
      </w:r>
      <w:r w:rsidR="00DF0ABF">
        <w:t>re</w:t>
      </w:r>
      <w:r w:rsidR="00EE04C1">
        <w:t xml:space="preserve">nce to and from </w:t>
      </w:r>
      <w:r w:rsidR="00DF0ABF">
        <w:t>ubiquitous</w:t>
      </w:r>
      <w:r w:rsidR="00EE04C1">
        <w:t xml:space="preserve"> FSS is usually managed </w:t>
      </w:r>
      <w:r w:rsidR="00B86ECD">
        <w:t>by the planning arrangements put in place. This includes defining segments of the spectrum for use by ubiquitous FSS only</w:t>
      </w:r>
      <w:r w:rsidR="00B86ECD" w:rsidDel="005522A6">
        <w:t>.</w:t>
      </w:r>
    </w:p>
    <w:p w14:paraId="54D8A94D" w14:textId="05830108" w:rsidR="00943312" w:rsidRDefault="00B86ECD" w:rsidP="00A37173">
      <w:pPr>
        <w:pStyle w:val="CommentText"/>
        <w:spacing w:after="120"/>
      </w:pPr>
      <w:r>
        <w:t xml:space="preserve">Using this approach one </w:t>
      </w:r>
      <w:r w:rsidR="003C0835">
        <w:t>option</w:t>
      </w:r>
      <w:r>
        <w:t xml:space="preserve"> could be to allocate</w:t>
      </w:r>
      <w:r w:rsidR="00FE1B0E">
        <w:t xml:space="preserve"> </w:t>
      </w:r>
      <w:r>
        <w:t>large population centres</w:t>
      </w:r>
      <w:r w:rsidR="00FE1B0E">
        <w:t xml:space="preserve"> to WWB</w:t>
      </w:r>
      <w:r w:rsidR="003C0188">
        <w:t>/FWA</w:t>
      </w:r>
      <w:r>
        <w:t xml:space="preserve"> (were demand for these services is greatest) </w:t>
      </w:r>
      <w:r w:rsidR="00FE1B0E">
        <w:t>and regional/</w:t>
      </w:r>
      <w:r w:rsidR="007A5251">
        <w:t>r</w:t>
      </w:r>
      <w:r w:rsidR="00FE1B0E">
        <w:t>emote areas to ubiquitous FSS</w:t>
      </w:r>
      <w:r w:rsidR="003C0835">
        <w:t>.</w:t>
      </w:r>
      <w:r>
        <w:t xml:space="preserve"> The geographical separation of the services then helps to manage interference. I</w:t>
      </w:r>
      <w:r w:rsidR="007A5251">
        <w:t>n s</w:t>
      </w:r>
      <w:r w:rsidR="00FE1B0E">
        <w:t>ome instance</w:t>
      </w:r>
      <w:r>
        <w:t>, if suitable conditions are put in place,</w:t>
      </w:r>
      <w:r w:rsidR="00FE1B0E">
        <w:t xml:space="preserve"> c</w:t>
      </w:r>
      <w:r w:rsidR="00943312">
        <w:t xml:space="preserve">oexistence </w:t>
      </w:r>
      <w:r w:rsidR="001E1984">
        <w:t>in the same geograph</w:t>
      </w:r>
      <w:r>
        <w:t xml:space="preserve">ical area using the same frequency </w:t>
      </w:r>
      <w:r w:rsidR="00943312">
        <w:t xml:space="preserve">may </w:t>
      </w:r>
      <w:r>
        <w:t xml:space="preserve">also </w:t>
      </w:r>
      <w:r w:rsidR="00943312">
        <w:t>be possible</w:t>
      </w:r>
      <w:r w:rsidR="00FE1B0E">
        <w:t>.</w:t>
      </w:r>
      <w:r w:rsidR="00943312">
        <w:t xml:space="preserve"> </w:t>
      </w:r>
      <w:r w:rsidR="00FE1B0E">
        <w:t>F</w:t>
      </w:r>
      <w:r w:rsidR="00943312">
        <w:t>or example</w:t>
      </w:r>
      <w:r w:rsidR="007A5251">
        <w:t>,</w:t>
      </w:r>
      <w:r w:rsidR="00943312">
        <w:t xml:space="preserve"> </w:t>
      </w:r>
      <w:r w:rsidR="00FE1B0E">
        <w:t xml:space="preserve">fixed ubiquitous FSS </w:t>
      </w:r>
      <w:r w:rsidR="00E141D1">
        <w:t xml:space="preserve">could </w:t>
      </w:r>
      <w:r w:rsidR="00EE0EF3">
        <w:t>take</w:t>
      </w:r>
      <w:r w:rsidR="00751FDD">
        <w:t xml:space="preserve"> </w:t>
      </w:r>
      <w:r w:rsidR="00FE1B0E">
        <w:t>advantage of local shielding or deploy</w:t>
      </w:r>
      <w:r w:rsidR="00751FDD">
        <w:t>ed</w:t>
      </w:r>
      <w:r w:rsidR="00FE1B0E">
        <w:t xml:space="preserve"> additional site shielding to reduce </w:t>
      </w:r>
      <w:r>
        <w:t>the risk of interference. Alternatively,</w:t>
      </w:r>
      <w:r w:rsidR="005522A6">
        <w:t xml:space="preserve"> limit</w:t>
      </w:r>
      <w:r>
        <w:t>s could be placed on</w:t>
      </w:r>
      <w:r w:rsidR="005522A6">
        <w:t xml:space="preserve"> </w:t>
      </w:r>
      <w:r>
        <w:t xml:space="preserve">the transmit </w:t>
      </w:r>
      <w:r w:rsidR="005522A6">
        <w:t xml:space="preserve">power </w:t>
      </w:r>
      <w:r>
        <w:t>and/</w:t>
      </w:r>
      <w:r w:rsidR="005522A6">
        <w:t>or antenna elevation</w:t>
      </w:r>
      <w:r>
        <w:t xml:space="preserve"> of terminals</w:t>
      </w:r>
      <w:r w:rsidR="00FE1B0E">
        <w:t xml:space="preserve">. </w:t>
      </w:r>
    </w:p>
    <w:p w14:paraId="63E2DBBF" w14:textId="336926F2" w:rsidR="001353BC" w:rsidRDefault="00FE1B0E" w:rsidP="00A37173">
      <w:pPr>
        <w:pStyle w:val="CommentText"/>
        <w:spacing w:after="120"/>
      </w:pPr>
      <w:r>
        <w:t>For ESIM</w:t>
      </w:r>
      <w:r w:rsidR="007A5251">
        <w:t>s,</w:t>
      </w:r>
      <w:r>
        <w:t xml:space="preserve"> enabling </w:t>
      </w:r>
      <w:r w:rsidR="004279EC">
        <w:t xml:space="preserve">coexistence between </w:t>
      </w:r>
      <w:r w:rsidR="00B153D9">
        <w:t>WWB</w:t>
      </w:r>
      <w:r w:rsidR="000611EE">
        <w:t>/FWA</w:t>
      </w:r>
      <w:r w:rsidR="004279EC">
        <w:t xml:space="preserve"> and mobile ubiquitous FSS is</w:t>
      </w:r>
      <w:r w:rsidR="007A5251">
        <w:t xml:space="preserve"> more complex</w:t>
      </w:r>
      <w:r w:rsidR="004279EC">
        <w:t xml:space="preserve">. The </w:t>
      </w:r>
      <w:r>
        <w:t xml:space="preserve">mobile </w:t>
      </w:r>
      <w:r w:rsidR="004279EC">
        <w:t xml:space="preserve">nature of </w:t>
      </w:r>
      <w:r w:rsidR="000611EE">
        <w:t>terminals</w:t>
      </w:r>
      <w:r>
        <w:t xml:space="preserve"> typically limits or removes the ability of </w:t>
      </w:r>
      <w:r w:rsidR="00E65304">
        <w:t>operators</w:t>
      </w:r>
      <w:r>
        <w:t xml:space="preserve"> </w:t>
      </w:r>
      <w:r w:rsidR="00751FDD">
        <w:t>taking</w:t>
      </w:r>
      <w:r>
        <w:t xml:space="preserve"> </w:t>
      </w:r>
      <w:r w:rsidR="00E65304">
        <w:t>advantage</w:t>
      </w:r>
      <w:r>
        <w:t xml:space="preserve"> of site </w:t>
      </w:r>
      <w:r w:rsidR="00E65304">
        <w:t>shielding</w:t>
      </w:r>
      <w:r w:rsidR="004279EC">
        <w:t xml:space="preserve">. </w:t>
      </w:r>
      <w:r w:rsidR="00E65304">
        <w:t>In this case</w:t>
      </w:r>
      <w:r w:rsidR="001353BC">
        <w:t>,</w:t>
      </w:r>
      <w:r w:rsidR="00E65304">
        <w:t xml:space="preserve"> the most practical option for sharing is to segregate use of the band by frequency </w:t>
      </w:r>
      <w:r w:rsidR="00F95756">
        <w:t>and/</w:t>
      </w:r>
      <w:r w:rsidR="00E65304">
        <w:t>or geograph</w:t>
      </w:r>
      <w:r w:rsidR="00751FDD">
        <w:t>y</w:t>
      </w:r>
      <w:r w:rsidR="004279EC" w:rsidDel="00E65304">
        <w:t>.</w:t>
      </w:r>
      <w:r w:rsidR="004279EC">
        <w:t xml:space="preserve"> </w:t>
      </w:r>
      <w:r w:rsidR="00E65304">
        <w:t>This is considered the only practical option for sharing between terrestrial ESIM and WWB</w:t>
      </w:r>
      <w:r w:rsidR="000611EE">
        <w:t>/FWA</w:t>
      </w:r>
      <w:r w:rsidR="00E65304">
        <w:t xml:space="preserve">. </w:t>
      </w:r>
    </w:p>
    <w:p w14:paraId="58590B8D" w14:textId="0B486D6E" w:rsidR="001E1984" w:rsidRDefault="004279EC" w:rsidP="00A37173">
      <w:pPr>
        <w:pStyle w:val="CommentText"/>
        <w:spacing w:after="120"/>
      </w:pPr>
      <w:r>
        <w:t xml:space="preserve">For aeronautical and maritime </w:t>
      </w:r>
      <w:r w:rsidR="00E65304">
        <w:t>ESIM</w:t>
      </w:r>
      <w:r>
        <w:t xml:space="preserve">, </w:t>
      </w:r>
      <w:r w:rsidR="00E65304">
        <w:t xml:space="preserve">a more nuanced approach could be </w:t>
      </w:r>
      <w:r w:rsidR="00F95756">
        <w:t>considered</w:t>
      </w:r>
      <w:r w:rsidR="00751FDD">
        <w:t>.</w:t>
      </w:r>
      <w:r w:rsidR="00E65304">
        <w:t xml:space="preserve"> </w:t>
      </w:r>
      <w:r w:rsidR="00751FDD">
        <w:t>F</w:t>
      </w:r>
      <w:r>
        <w:t xml:space="preserve">actors such as limiting </w:t>
      </w:r>
      <w:r w:rsidR="00F95756">
        <w:t xml:space="preserve">ESIM </w:t>
      </w:r>
      <w:r>
        <w:t xml:space="preserve">use to </w:t>
      </w:r>
      <w:r w:rsidR="00E65304">
        <w:t xml:space="preserve">defined </w:t>
      </w:r>
      <w:r>
        <w:t>heights above ground</w:t>
      </w:r>
      <w:r w:rsidR="00E65304">
        <w:t xml:space="preserve"> level </w:t>
      </w:r>
      <w:r>
        <w:t xml:space="preserve">and </w:t>
      </w:r>
      <w:r w:rsidR="00E65304">
        <w:t xml:space="preserve">defined </w:t>
      </w:r>
      <w:r>
        <w:t xml:space="preserve">distance from </w:t>
      </w:r>
      <w:r w:rsidR="00F95756">
        <w:t xml:space="preserve">the </w:t>
      </w:r>
      <w:r>
        <w:t xml:space="preserve">shore </w:t>
      </w:r>
      <w:r w:rsidR="00E65304">
        <w:t xml:space="preserve">respectively </w:t>
      </w:r>
      <w:r>
        <w:t>could be implemented.</w:t>
      </w:r>
      <w:r w:rsidR="00E65304">
        <w:t xml:space="preserve"> Alternatively, geographical restrictions could be placed on </w:t>
      </w:r>
      <w:r w:rsidR="00F95756">
        <w:t xml:space="preserve">the deployment of </w:t>
      </w:r>
      <w:r w:rsidR="00E65304">
        <w:t xml:space="preserve">WWB around airports and </w:t>
      </w:r>
      <w:r w:rsidR="00AD7D88">
        <w:t xml:space="preserve">maritime </w:t>
      </w:r>
      <w:r w:rsidR="00E65304">
        <w:t>ports.</w:t>
      </w:r>
      <w:r>
        <w:t xml:space="preserve"> </w:t>
      </w:r>
      <w:r w:rsidR="00F95756">
        <w:t>F</w:t>
      </w:r>
      <w:r w:rsidR="005262D8">
        <w:t xml:space="preserve">urther consideration will need to be undertaken to determine </w:t>
      </w:r>
      <w:r w:rsidR="00F57DAF">
        <w:t xml:space="preserve">whether </w:t>
      </w:r>
      <w:r w:rsidR="00AA1672">
        <w:t xml:space="preserve">such </w:t>
      </w:r>
      <w:r w:rsidR="005262D8">
        <w:t xml:space="preserve">arrangements </w:t>
      </w:r>
      <w:r w:rsidR="00AA1672">
        <w:t>are viable</w:t>
      </w:r>
      <w:r w:rsidR="00F95756">
        <w:t xml:space="preserve"> and if so, what separation distances would be appropriate</w:t>
      </w:r>
      <w:r w:rsidR="005262D8">
        <w:t>.</w:t>
      </w:r>
      <w:r>
        <w:t xml:space="preserve">  </w:t>
      </w:r>
    </w:p>
    <w:p w14:paraId="1EA5065A" w14:textId="1693EE21" w:rsidR="001E1984" w:rsidRDefault="001353BC" w:rsidP="00A37173">
      <w:pPr>
        <w:pStyle w:val="CommentText"/>
        <w:spacing w:after="120"/>
      </w:pPr>
      <w:r w:rsidRPr="00A179F8">
        <w:t xml:space="preserve">Where </w:t>
      </w:r>
      <w:r w:rsidR="00F57DAF">
        <w:t>coexistence between WWB</w:t>
      </w:r>
      <w:r w:rsidR="000611EE">
        <w:t>/FWA</w:t>
      </w:r>
      <w:r w:rsidR="00F57DAF">
        <w:t xml:space="preserve"> and ubiquitous</w:t>
      </w:r>
      <w:r>
        <w:t xml:space="preserve"> </w:t>
      </w:r>
      <w:r w:rsidR="00751FDD">
        <w:t>FSS</w:t>
      </w:r>
      <w:r>
        <w:t xml:space="preserve"> </w:t>
      </w:r>
      <w:r w:rsidR="00751FDD">
        <w:t>is being contemplated</w:t>
      </w:r>
      <w:r w:rsidR="00F57DAF">
        <w:t>,</w:t>
      </w:r>
      <w:r w:rsidR="00730ADA">
        <w:t xml:space="preserve"> </w:t>
      </w:r>
      <w:r w:rsidR="000E26FA">
        <w:t>t</w:t>
      </w:r>
      <w:r w:rsidR="005262D8">
        <w:t xml:space="preserve">here </w:t>
      </w:r>
      <w:r w:rsidR="00730ADA">
        <w:t>would be</w:t>
      </w:r>
      <w:r w:rsidR="005262D8">
        <w:t xml:space="preserve"> </w:t>
      </w:r>
      <w:r w:rsidR="000E26FA">
        <w:t xml:space="preserve">a </w:t>
      </w:r>
      <w:r w:rsidR="008613FE">
        <w:t xml:space="preserve">need </w:t>
      </w:r>
      <w:r w:rsidR="00612D87">
        <w:t>to define who is responsible for managing interference</w:t>
      </w:r>
      <w:r w:rsidR="000E26FA">
        <w:t xml:space="preserve"> and any associated costs or risks involved. F</w:t>
      </w:r>
      <w:r w:rsidR="008613FE">
        <w:t>or example</w:t>
      </w:r>
      <w:r w:rsidR="000E26FA">
        <w:t>, sh</w:t>
      </w:r>
      <w:r w:rsidR="008613FE">
        <w:t>ould the</w:t>
      </w:r>
      <w:r w:rsidR="00612D87">
        <w:t xml:space="preserve"> onus be on</w:t>
      </w:r>
      <w:r w:rsidR="00F57DAF">
        <w:t xml:space="preserve"> FSS or WWB</w:t>
      </w:r>
      <w:r w:rsidR="000611EE">
        <w:t>/FWA</w:t>
      </w:r>
      <w:r w:rsidR="00F57DAF">
        <w:t xml:space="preserve"> operators</w:t>
      </w:r>
      <w:r w:rsidR="000E26FA">
        <w:t xml:space="preserve">, and should this be different for different </w:t>
      </w:r>
      <w:r w:rsidR="00751FDD">
        <w:t xml:space="preserve">frequencies or </w:t>
      </w:r>
      <w:r w:rsidR="000E26FA">
        <w:t>geographic areas (i.e. Metro versus remote)</w:t>
      </w:r>
      <w:r w:rsidR="00F57DAF">
        <w:t>?</w:t>
      </w:r>
      <w:r w:rsidR="000E26FA">
        <w:t xml:space="preserve"> For instance, it could be that fixed ubiquitous FSS are supported in </w:t>
      </w:r>
      <w:r w:rsidR="00751FDD">
        <w:t>large population centres</w:t>
      </w:r>
      <w:r w:rsidR="000E26FA">
        <w:t xml:space="preserve"> on the basis that FSS operators take practical </w:t>
      </w:r>
      <w:r w:rsidR="000E26FA">
        <w:lastRenderedPageBreak/>
        <w:t xml:space="preserve">measures to minimise interference to other existing or prospective service (such as </w:t>
      </w:r>
      <w:r w:rsidR="00751FDD">
        <w:t xml:space="preserve">appropriately locating terminals and </w:t>
      </w:r>
      <w:r w:rsidR="000E26FA">
        <w:t xml:space="preserve">using site shielding). </w:t>
      </w:r>
      <w:r w:rsidR="00751FDD">
        <w:t>Alternatively,</w:t>
      </w:r>
      <w:r w:rsidR="000E26FA">
        <w:t xml:space="preserve"> in regional and remote areas, WWB</w:t>
      </w:r>
      <w:r w:rsidR="000611EE">
        <w:t>/FWA</w:t>
      </w:r>
      <w:r w:rsidR="000E26FA">
        <w:t xml:space="preserve"> </w:t>
      </w:r>
      <w:r w:rsidR="00751FDD">
        <w:t xml:space="preserve">could </w:t>
      </w:r>
      <w:r w:rsidR="000E26FA">
        <w:t xml:space="preserve">operate on the basis that they cannot claim protection from ubiquitous FSS. </w:t>
      </w:r>
      <w:r w:rsidR="00751FDD">
        <w:t xml:space="preserve">This type of use may work at mines or other locations </w:t>
      </w:r>
      <w:r w:rsidR="001C0090">
        <w:t xml:space="preserve">where </w:t>
      </w:r>
      <w:r w:rsidR="00751FDD">
        <w:t xml:space="preserve">an operator controls access to a site. </w:t>
      </w:r>
    </w:p>
    <w:p w14:paraId="009AEC33" w14:textId="77777777" w:rsidR="003C0188" w:rsidRDefault="003C0188" w:rsidP="003C0188">
      <w:pPr>
        <w:spacing w:after="120"/>
        <w:rPr>
          <w:rFonts w:ascii="Calibri" w:hAnsi="Calibri"/>
        </w:rPr>
      </w:pPr>
      <w:r>
        <w:t xml:space="preserve">The ability of WWB and FWA to share spectrum with FSS satellite receivers has been studied internationally by Task Group 5/1 of the ITU-R and domestically within an industry working group formed by the ACMA. As stated in the paper </w:t>
      </w:r>
      <w:hyperlink r:id="rId42" w:history="1">
        <w:r>
          <w:rPr>
            <w:rStyle w:val="Hyperlink"/>
            <w:i/>
            <w:iCs/>
          </w:rPr>
          <w:t>Future use of the 26 GHz band: Planning decisions and preliminary views</w:t>
        </w:r>
      </w:hyperlink>
      <w:r>
        <w:t xml:space="preserve">, based on these studies, the ACMA is of the view that sharing is possible. However incumbent satellite operators were concerned that the (internationally agreed) parameters and assumptions that underpinned these studies might not be accurate estimates of actual WWB/FWA deployments. To safeguard against any potential divergence between assumed and actual operating conditions, the ACMA has proposed additional licence conditions for WWB or FWA use within satellite footprint areas in frequency segments that overlap with FSS. These additional conditions will be further refined within the technical liaison group that will be formed to develop spectrum licensing arrangements for access to the 26 GHz band. It is expected that any FSS satellite coexistence arrangements developed for the 26 GHz band will also be applicable to the 28 GHz band. </w:t>
      </w:r>
    </w:p>
    <w:p w14:paraId="3E995EEA" w14:textId="07EE334D" w:rsidR="00CA3B87" w:rsidRPr="00F26E80" w:rsidRDefault="003D0F7F" w:rsidP="00CA3B87">
      <w:pPr>
        <w:pStyle w:val="Heading2"/>
      </w:pPr>
      <w:bookmarkStart w:id="115" w:name="_Toc5000077"/>
      <w:r>
        <w:t xml:space="preserve">Sharing and </w:t>
      </w:r>
      <w:r w:rsidR="00477BFC" w:rsidRPr="00A05EC9" w:rsidDel="003D0F7F">
        <w:t xml:space="preserve">coexistence </w:t>
      </w:r>
      <w:r w:rsidR="00CA3B87">
        <w:t>between P</w:t>
      </w:r>
      <w:r w:rsidR="001D5078">
        <w:t>T</w:t>
      </w:r>
      <w:r w:rsidR="00CA3B87">
        <w:t xml:space="preserve">P and </w:t>
      </w:r>
      <w:r w:rsidR="00656FEE">
        <w:t>FWA</w:t>
      </w:r>
      <w:bookmarkEnd w:id="115"/>
    </w:p>
    <w:p w14:paraId="5E7BC97F" w14:textId="12FBDB83" w:rsidR="00DE63CE" w:rsidRDefault="005A219B" w:rsidP="00A37173">
      <w:pPr>
        <w:spacing w:after="120"/>
      </w:pPr>
      <w:r>
        <w:t>Sharing</w:t>
      </w:r>
      <w:r w:rsidR="00DE63CE">
        <w:t xml:space="preserve"> between PTP and FWA has been extensively considered internationally (noting similar conclusions can be drawn </w:t>
      </w:r>
      <w:r w:rsidR="00655221">
        <w:t xml:space="preserve">for sharing between </w:t>
      </w:r>
      <w:r w:rsidR="00DE63CE">
        <w:t xml:space="preserve">PTP and WWB). Deterministic sharing </w:t>
      </w:r>
      <w:r w:rsidR="00DE63CE" w:rsidRPr="00DE63CE">
        <w:t xml:space="preserve">studies conducted by Task Group 5/1 of the ITU-R suggest separation distances </w:t>
      </w:r>
      <w:r w:rsidR="00DE63CE">
        <w:t>ranging from 2.6</w:t>
      </w:r>
      <w:r w:rsidR="00933FE2">
        <w:t>–</w:t>
      </w:r>
      <w:r w:rsidR="00DE63CE">
        <w:t xml:space="preserve">70 </w:t>
      </w:r>
      <w:r w:rsidR="00933FE2">
        <w:t xml:space="preserve">kilometres </w:t>
      </w:r>
      <w:r w:rsidR="00DE63CE">
        <w:t>for the co-channel case and 0.9</w:t>
      </w:r>
      <w:r w:rsidR="00933FE2">
        <w:t>–</w:t>
      </w:r>
      <w:r w:rsidR="00DE63CE">
        <w:t xml:space="preserve">12 </w:t>
      </w:r>
      <w:r w:rsidR="00933FE2">
        <w:t xml:space="preserve">kilometres </w:t>
      </w:r>
      <w:r w:rsidR="00DE63CE">
        <w:t>for adjacent channel case</w:t>
      </w:r>
      <w:r w:rsidR="00DE63CE" w:rsidRPr="00DE63CE">
        <w:t xml:space="preserve"> (depending on the scenario) are required to enable </w:t>
      </w:r>
      <w:r w:rsidR="00DE63CE">
        <w:t xml:space="preserve">PTP </w:t>
      </w:r>
      <w:r w:rsidR="00DE63CE" w:rsidRPr="00DE63CE">
        <w:t xml:space="preserve">and </w:t>
      </w:r>
      <w:r w:rsidR="00DE63CE">
        <w:t xml:space="preserve">FWA </w:t>
      </w:r>
      <w:r w:rsidR="00DE63CE" w:rsidRPr="00DE63CE">
        <w:t xml:space="preserve">to share the same frequency. </w:t>
      </w:r>
      <w:r w:rsidR="00C27031">
        <w:t xml:space="preserve">It is noted that the upper end of these separation distances is based on worst case assumptions, such as main beam-coupling, which can be easily mitigated via appropriate network design and base station placement. </w:t>
      </w:r>
      <w:r w:rsidR="00367651">
        <w:t>In practice the ACMA expects required separation distance to be much smaller.</w:t>
      </w:r>
    </w:p>
    <w:p w14:paraId="12D5BF9E" w14:textId="7B1EBE67" w:rsidR="00AA1672" w:rsidRDefault="008B3957" w:rsidP="00910571">
      <w:r w:rsidRPr="00A05EC9">
        <w:t xml:space="preserve">The ACMA </w:t>
      </w:r>
      <w:r w:rsidR="001353BC">
        <w:t xml:space="preserve">considers </w:t>
      </w:r>
      <w:r w:rsidRPr="00A05EC9">
        <w:t xml:space="preserve">that coexistence </w:t>
      </w:r>
      <w:r w:rsidR="00C80631">
        <w:t xml:space="preserve">between PTP and FWA </w:t>
      </w:r>
      <w:r w:rsidR="003671E0">
        <w:t>is</w:t>
      </w:r>
      <w:r w:rsidRPr="00A05EC9">
        <w:t xml:space="preserve"> achievable through </w:t>
      </w:r>
      <w:r w:rsidDel="00851663">
        <w:t xml:space="preserve">the </w:t>
      </w:r>
      <w:r w:rsidR="00851663">
        <w:t>development</w:t>
      </w:r>
      <w:r w:rsidR="001D5078">
        <w:t xml:space="preserve"> of </w:t>
      </w:r>
      <w:r w:rsidR="00DD3D38">
        <w:t>appropriate</w:t>
      </w:r>
      <w:r w:rsidR="001D5078">
        <w:t xml:space="preserve"> coordination procedures</w:t>
      </w:r>
      <w:r w:rsidRPr="00A05EC9">
        <w:t>.</w:t>
      </w:r>
      <w:r w:rsidR="00DD3D38">
        <w:t xml:space="preserve"> Similar arrangements have </w:t>
      </w:r>
      <w:r w:rsidR="00505BE0">
        <w:t xml:space="preserve">been </w:t>
      </w:r>
      <w:r w:rsidR="00DD3D38">
        <w:t>successfully implemented</w:t>
      </w:r>
      <w:r w:rsidR="00C80631">
        <w:t xml:space="preserve"> between PTP and FWA (and WWB)</w:t>
      </w:r>
      <w:r w:rsidR="00DD3D38">
        <w:t xml:space="preserve"> in </w:t>
      </w:r>
      <w:r w:rsidR="00505BE0">
        <w:t xml:space="preserve">other bands, including </w:t>
      </w:r>
      <w:r w:rsidR="00DD3D38">
        <w:t>the 18</w:t>
      </w:r>
      <w:r w:rsidR="00C80631">
        <w:t>0</w:t>
      </w:r>
      <w:r w:rsidR="00DD3D38">
        <w:t>0 MHz</w:t>
      </w:r>
      <w:r w:rsidR="00730ADA">
        <w:t xml:space="preserve"> and</w:t>
      </w:r>
      <w:r w:rsidR="00DD3D38">
        <w:t xml:space="preserve"> 2.1 GHz </w:t>
      </w:r>
      <w:r w:rsidR="00730ADA">
        <w:t>bands</w:t>
      </w:r>
      <w:r w:rsidR="00DD3D38">
        <w:t xml:space="preserve">. </w:t>
      </w:r>
      <w:r w:rsidR="0043480E">
        <w:t xml:space="preserve">The ability of these services to share is expected to improve in </w:t>
      </w:r>
      <w:proofErr w:type="spellStart"/>
      <w:r w:rsidR="0043480E">
        <w:t>mmWave</w:t>
      </w:r>
      <w:proofErr w:type="spellEnd"/>
      <w:r w:rsidR="0043480E">
        <w:t xml:space="preserve"> bands due to propagation characteristics at these frequencies.</w:t>
      </w:r>
    </w:p>
    <w:p w14:paraId="06959ECE" w14:textId="21E5314F" w:rsidR="00CA3B87" w:rsidRPr="00F26E80" w:rsidRDefault="003D0F7F" w:rsidP="00CA3B87">
      <w:pPr>
        <w:pStyle w:val="Heading2"/>
      </w:pPr>
      <w:bookmarkStart w:id="116" w:name="_Toc5000078"/>
      <w:r>
        <w:t>Sharing and c</w:t>
      </w:r>
      <w:r w:rsidR="00CA3B87">
        <w:t>oexistence between FSS and P</w:t>
      </w:r>
      <w:r w:rsidR="001D5078">
        <w:t>T</w:t>
      </w:r>
      <w:r w:rsidR="00CA3B87">
        <w:t>P</w:t>
      </w:r>
      <w:bookmarkEnd w:id="116"/>
    </w:p>
    <w:p w14:paraId="1895AB8D" w14:textId="4199CEFD" w:rsidR="00D032D9" w:rsidRDefault="003D1C20" w:rsidP="00A37173">
      <w:pPr>
        <w:spacing w:after="120"/>
      </w:pPr>
      <w:r>
        <w:t>The ability for FSS gateways and PTP to share is well established. Arrangements supporting such use have been in place in numerous bands for decades now. In this case the highly direction nature of both FSS gateway and PTP antennas help improve the ability of the services to share and help minimise any spectrum denial caused to prospective future service deployments.</w:t>
      </w:r>
      <w:r w:rsidR="009A4C19">
        <w:t xml:space="preserve"> </w:t>
      </w:r>
      <w:r>
        <w:t xml:space="preserve">The same can also be said for the ability of PTP to share with FSS satellite receivers. </w:t>
      </w:r>
    </w:p>
    <w:p w14:paraId="65B2FE6F" w14:textId="184F91A2" w:rsidR="00655221" w:rsidRDefault="003D1C20" w:rsidP="005D3186">
      <w:pPr>
        <w:spacing w:after="80"/>
      </w:pPr>
      <w:r>
        <w:t>Regarding PTP and ubiquitous FSS</w:t>
      </w:r>
      <w:r w:rsidR="00655221">
        <w:t>:</w:t>
      </w:r>
    </w:p>
    <w:p w14:paraId="5B8D59E3" w14:textId="6320ECAE" w:rsidR="00655221" w:rsidRDefault="00803DD1" w:rsidP="00655221">
      <w:pPr>
        <w:pStyle w:val="ListBullet"/>
      </w:pPr>
      <w:r>
        <w:t>s</w:t>
      </w:r>
      <w:r w:rsidR="00655221">
        <w:t>haring between is possible under segregated spectrum and</w:t>
      </w:r>
      <w:r w:rsidR="004477FC">
        <w:t>/or</w:t>
      </w:r>
      <w:r w:rsidR="00655221">
        <w:t xml:space="preserve"> geographical arrangements</w:t>
      </w:r>
    </w:p>
    <w:p w14:paraId="58BE3E3E" w14:textId="6C304CCB" w:rsidR="00655221" w:rsidRDefault="00803DD1" w:rsidP="00E3531D">
      <w:pPr>
        <w:pStyle w:val="ListBullet"/>
      </w:pPr>
      <w:r>
        <w:t>c</w:t>
      </w:r>
      <w:r w:rsidR="00655221">
        <w:t xml:space="preserve">oexistence (i.e. same frequency and same geographic area) </w:t>
      </w:r>
      <w:r w:rsidR="006023B4">
        <w:t>may be</w:t>
      </w:r>
      <w:r w:rsidR="00655221">
        <w:t xml:space="preserve"> possible if appropriate conditions for use are put in place</w:t>
      </w:r>
      <w:r w:rsidR="003D1C20">
        <w:t xml:space="preserve">, as discussed in the </w:t>
      </w:r>
      <w:r w:rsidR="00960DFD">
        <w:t>‘</w:t>
      </w:r>
      <w:r w:rsidR="00F2242C" w:rsidRPr="005D3186">
        <w:t>Sharing and coexistence between WWB/FWA</w:t>
      </w:r>
      <w:r w:rsidR="00960DFD">
        <w:t>’</w:t>
      </w:r>
      <w:r w:rsidR="00F2242C">
        <w:rPr>
          <w:i/>
        </w:rPr>
        <w:t xml:space="preserve"> </w:t>
      </w:r>
      <w:r w:rsidR="00F2242C">
        <w:t>section. It is noted that f</w:t>
      </w:r>
      <w:r w:rsidR="008E0E7B">
        <w:t xml:space="preserve">urther analysis and consultation with stakeholders will be required to determine appropriate arrangements to manage the risk of interference and </w:t>
      </w:r>
      <w:r w:rsidR="00503C9C">
        <w:t xml:space="preserve">develop and </w:t>
      </w:r>
      <w:r w:rsidR="008E0E7B">
        <w:t>associated resolution issues.</w:t>
      </w:r>
    </w:p>
    <w:p w14:paraId="0D775C4F" w14:textId="31817687" w:rsidR="0052285A" w:rsidRPr="00A05EC9" w:rsidRDefault="00725999" w:rsidP="00E61074">
      <w:pPr>
        <w:pStyle w:val="Heading1"/>
      </w:pPr>
      <w:bookmarkStart w:id="117" w:name="_Toc482886588"/>
      <w:bookmarkStart w:id="118" w:name="_Toc482886630"/>
      <w:bookmarkStart w:id="119" w:name="_Toc482888971"/>
      <w:bookmarkStart w:id="120" w:name="_Toc482891242"/>
      <w:bookmarkStart w:id="121" w:name="_Toc482891309"/>
      <w:bookmarkStart w:id="122" w:name="_Toc482956517"/>
      <w:bookmarkStart w:id="123" w:name="_Toc484011490"/>
      <w:bookmarkStart w:id="124" w:name="_Toc484511706"/>
      <w:bookmarkStart w:id="125" w:name="_Ref498420399"/>
      <w:bookmarkStart w:id="126" w:name="_Ref498436527"/>
      <w:bookmarkStart w:id="127" w:name="_Ref498952581"/>
      <w:bookmarkStart w:id="128" w:name="_Toc5000079"/>
      <w:bookmarkStart w:id="129" w:name="_Ref517342491"/>
      <w:bookmarkStart w:id="130" w:name="_Toc519765119"/>
      <w:bookmarkStart w:id="131" w:name="_Toc521585785"/>
      <w:r w:rsidRPr="00A05EC9">
        <w:lastRenderedPageBreak/>
        <w:t>2</w:t>
      </w:r>
      <w:r w:rsidR="00CE0F7D">
        <w:t>8</w:t>
      </w:r>
      <w:r w:rsidRPr="00A05EC9">
        <w:t xml:space="preserve"> GHz band</w:t>
      </w:r>
      <w:r w:rsidR="0052285A" w:rsidRPr="00A05EC9">
        <w:t xml:space="preserve"> options</w:t>
      </w:r>
      <w:bookmarkEnd w:id="117"/>
      <w:bookmarkEnd w:id="118"/>
      <w:bookmarkEnd w:id="119"/>
      <w:bookmarkEnd w:id="120"/>
      <w:bookmarkEnd w:id="121"/>
      <w:bookmarkEnd w:id="122"/>
      <w:bookmarkEnd w:id="123"/>
      <w:bookmarkEnd w:id="124"/>
      <w:bookmarkEnd w:id="125"/>
      <w:bookmarkEnd w:id="126"/>
      <w:bookmarkEnd w:id="127"/>
      <w:bookmarkEnd w:id="128"/>
      <w:r w:rsidR="0052285A" w:rsidRPr="00A05EC9">
        <w:t xml:space="preserve"> </w:t>
      </w:r>
      <w:bookmarkEnd w:id="129"/>
      <w:bookmarkEnd w:id="130"/>
      <w:bookmarkEnd w:id="131"/>
    </w:p>
    <w:p w14:paraId="371D072F" w14:textId="7979B917" w:rsidR="007F1C7A" w:rsidRPr="00A05EC9" w:rsidRDefault="009B24C5" w:rsidP="005D3186">
      <w:pPr>
        <w:spacing w:after="80"/>
      </w:pPr>
      <w:r>
        <w:t>The ACMA has identified a</w:t>
      </w:r>
      <w:r w:rsidR="007F1C7A" w:rsidRPr="00A05EC9">
        <w:t xml:space="preserve"> number of options for replanning the 2</w:t>
      </w:r>
      <w:r w:rsidR="00AD1035">
        <w:t>8</w:t>
      </w:r>
      <w:r w:rsidR="007F1C7A" w:rsidRPr="00A05EC9">
        <w:t xml:space="preserve"> GHz band</w:t>
      </w:r>
      <w:r>
        <w:t xml:space="preserve">. </w:t>
      </w:r>
      <w:r w:rsidR="007F1C7A" w:rsidRPr="00A05EC9">
        <w:t>E</w:t>
      </w:r>
      <w:r w:rsidR="00D15B5F" w:rsidRPr="00A05EC9">
        <w:t>ach option</w:t>
      </w:r>
      <w:r w:rsidR="007F1C7A" w:rsidRPr="00A05EC9">
        <w:t xml:space="preserve"> is essentially a different combination of a handful of key independent variables, which can be grouped broadly by:</w:t>
      </w:r>
    </w:p>
    <w:p w14:paraId="1A6933E4" w14:textId="0124C2FB" w:rsidR="00CD0FD1" w:rsidRDefault="00FB1930" w:rsidP="007548C4">
      <w:pPr>
        <w:pStyle w:val="ListBullet"/>
      </w:pPr>
      <w:r>
        <w:t>t</w:t>
      </w:r>
      <w:r w:rsidR="00CD0FD1">
        <w:t>he services</w:t>
      </w:r>
      <w:r w:rsidR="00876144">
        <w:t xml:space="preserve"> or applications</w:t>
      </w:r>
      <w:r w:rsidR="00CD0FD1">
        <w:t xml:space="preserve"> that will be allocated</w:t>
      </w:r>
      <w:r w:rsidR="005A642B">
        <w:t xml:space="preserve">, this is </w:t>
      </w:r>
      <w:r w:rsidR="00C907BA">
        <w:t xml:space="preserve">limited to consideration of </w:t>
      </w:r>
      <w:r w:rsidR="002E09D2">
        <w:t xml:space="preserve">WWB, FWA, </w:t>
      </w:r>
      <w:r w:rsidR="005A642B">
        <w:t>ubiquitous FSS</w:t>
      </w:r>
      <w:r w:rsidR="00E3531D">
        <w:t>,</w:t>
      </w:r>
      <w:r w:rsidR="005A642B">
        <w:t xml:space="preserve"> FSS gateway</w:t>
      </w:r>
      <w:r w:rsidR="00F2242C">
        <w:t>s</w:t>
      </w:r>
      <w:r w:rsidR="005A642B">
        <w:t xml:space="preserve"> </w:t>
      </w:r>
      <w:r w:rsidR="002E09D2">
        <w:t>and PTP</w:t>
      </w:r>
    </w:p>
    <w:p w14:paraId="6FA970A9" w14:textId="7A58BCA5" w:rsidR="007F1C7A" w:rsidRPr="00A05EC9" w:rsidRDefault="00684FCF" w:rsidP="007548C4">
      <w:pPr>
        <w:pStyle w:val="ListBullet"/>
      </w:pPr>
      <w:r>
        <w:t>t</w:t>
      </w:r>
      <w:r w:rsidR="007F1C7A" w:rsidRPr="00A05EC9">
        <w:t>he geographic area(s) within which the band will be allocated</w:t>
      </w:r>
    </w:p>
    <w:p w14:paraId="5253F463" w14:textId="7546C74A" w:rsidR="007F1C7A" w:rsidRDefault="0036393B" w:rsidP="005D3186">
      <w:pPr>
        <w:pStyle w:val="ListBulletLast"/>
      </w:pPr>
      <w:r>
        <w:t xml:space="preserve">the </w:t>
      </w:r>
      <w:r w:rsidR="00684FCF">
        <w:t>f</w:t>
      </w:r>
      <w:r w:rsidR="007F1C7A" w:rsidRPr="00A05EC9">
        <w:t>requency range(s) to be allocated</w:t>
      </w:r>
      <w:r w:rsidR="002225F7">
        <w:t>.</w:t>
      </w:r>
    </w:p>
    <w:p w14:paraId="5F2C974A" w14:textId="0C1BEEE4" w:rsidR="00AF05B4" w:rsidRPr="00F2242C" w:rsidRDefault="00AF05B4" w:rsidP="005D3186">
      <w:r>
        <w:t xml:space="preserve">This section </w:t>
      </w:r>
      <w:r w:rsidR="00F2242C">
        <w:t xml:space="preserve">provides a description of </w:t>
      </w:r>
      <w:r>
        <w:t xml:space="preserve">the </w:t>
      </w:r>
      <w:r w:rsidR="00F2242C">
        <w:t xml:space="preserve">planning </w:t>
      </w:r>
      <w:r>
        <w:t xml:space="preserve">options </w:t>
      </w:r>
      <w:r w:rsidR="00F2242C" w:rsidRPr="00F2242C">
        <w:t>proposed for the 28 GHz band.</w:t>
      </w:r>
      <w:r w:rsidRPr="00F2242C">
        <w:t xml:space="preserve"> Table 3 </w:t>
      </w:r>
      <w:r w:rsidR="00F2242C" w:rsidRPr="00F2242C">
        <w:t xml:space="preserve">also </w:t>
      </w:r>
      <w:r w:rsidRPr="00F2242C">
        <w:t>provides a high-level summary</w:t>
      </w:r>
      <w:r w:rsidR="00F2242C" w:rsidRPr="00F2242C">
        <w:t xml:space="preserve"> of these options</w:t>
      </w:r>
      <w:r w:rsidRPr="00F2242C">
        <w:t xml:space="preserve"> for comparison purposes. </w:t>
      </w:r>
    </w:p>
    <w:p w14:paraId="02894F9E" w14:textId="4F51187D" w:rsidR="00C907BA" w:rsidRPr="00F2242C" w:rsidRDefault="00AF05B4" w:rsidP="005D3186">
      <w:pPr>
        <w:spacing w:after="80"/>
      </w:pPr>
      <w:r w:rsidRPr="00F2242C">
        <w:t>When reading this section, i</w:t>
      </w:r>
      <w:r w:rsidR="00A9212C" w:rsidRPr="00F2242C">
        <w:t>t should be noted</w:t>
      </w:r>
      <w:r w:rsidR="00C907BA" w:rsidRPr="00F2242C">
        <w:t xml:space="preserve"> that:</w:t>
      </w:r>
      <w:r w:rsidR="00A65016" w:rsidRPr="00F2242C">
        <w:t xml:space="preserve"> </w:t>
      </w:r>
    </w:p>
    <w:p w14:paraId="71DA7EFB" w14:textId="3949FF41" w:rsidR="00F2242C" w:rsidRDefault="005E5356" w:rsidP="007548C4">
      <w:pPr>
        <w:pStyle w:val="ListBullet"/>
      </w:pPr>
      <w:r w:rsidRPr="00F2242C">
        <w:t xml:space="preserve">the term ‘large population centres’ is defined in </w:t>
      </w:r>
      <w:r w:rsidRPr="005D3186">
        <w:t>Appendix A</w:t>
      </w:r>
      <w:r w:rsidRPr="00F2242C">
        <w:t xml:space="preserve">. These areas mirror those </w:t>
      </w:r>
      <w:r w:rsidR="000B6AE7" w:rsidRPr="00F2242C">
        <w:t>identified</w:t>
      </w:r>
      <w:r w:rsidRPr="00F2242C">
        <w:t xml:space="preserve"> </w:t>
      </w:r>
      <w:r w:rsidR="000B6AE7" w:rsidRPr="00F2242C">
        <w:t xml:space="preserve">for spectrum licensing </w:t>
      </w:r>
      <w:r w:rsidRPr="00F2242C">
        <w:t xml:space="preserve">in the paper </w:t>
      </w:r>
      <w:hyperlink r:id="rId43" w:history="1">
        <w:r w:rsidRPr="00F2242C">
          <w:rPr>
            <w:rStyle w:val="Hyperlink"/>
            <w:i/>
          </w:rPr>
          <w:t>Future use of the 26 GHz band: Decisions and preliminary views</w:t>
        </w:r>
      </w:hyperlink>
    </w:p>
    <w:p w14:paraId="27120BEB" w14:textId="66D222A0" w:rsidR="0036393B" w:rsidRDefault="00A65016" w:rsidP="007548C4">
      <w:pPr>
        <w:pStyle w:val="ListBullet"/>
      </w:pPr>
      <w:r w:rsidRPr="00F2242C">
        <w:t>the frequency ranges and geographic boundaries</w:t>
      </w:r>
      <w:r w:rsidR="00EE3420" w:rsidRPr="00F2242C">
        <w:t xml:space="preserve"> of these options</w:t>
      </w:r>
      <w:r w:rsidRPr="00F2242C">
        <w:t xml:space="preserve">, while indicative of the ACMA’s thinking, may vary as a result of </w:t>
      </w:r>
      <w:r w:rsidR="00A11B4B" w:rsidRPr="00F2242C">
        <w:t>information provided in submissions</w:t>
      </w:r>
      <w:r w:rsidR="00A11B4B">
        <w:t xml:space="preserve"> to this paper</w:t>
      </w:r>
    </w:p>
    <w:p w14:paraId="55E54968" w14:textId="26872EF1" w:rsidR="002E09D2" w:rsidRDefault="00446321" w:rsidP="007548C4">
      <w:pPr>
        <w:pStyle w:val="ListBullet"/>
      </w:pPr>
      <w:r>
        <w:t>t</w:t>
      </w:r>
      <w:r w:rsidR="002E09D2">
        <w:t xml:space="preserve">he existing arrangements for body scanners defined in the </w:t>
      </w:r>
      <w:hyperlink r:id="rId44" w:history="1">
        <w:r w:rsidR="002E09D2" w:rsidRPr="005D3186">
          <w:rPr>
            <w:rStyle w:val="Hyperlink"/>
          </w:rPr>
          <w:t>Radiocommunications (Low Interference Potential Devices) Class Licence 2015</w:t>
        </w:r>
      </w:hyperlink>
      <w:r w:rsidR="002E09D2" w:rsidRPr="002E09D2">
        <w:t xml:space="preserve"> </w:t>
      </w:r>
      <w:r w:rsidR="002E09D2">
        <w:t xml:space="preserve">are considered to be appropriate and therefore are maintained under all options </w:t>
      </w:r>
      <w:r w:rsidR="00B963E7">
        <w:t>considered</w:t>
      </w:r>
      <w:r w:rsidR="002E09D2">
        <w:t xml:space="preserve"> for the 28 GHz band</w:t>
      </w:r>
    </w:p>
    <w:p w14:paraId="763180B2" w14:textId="2B208CB9" w:rsidR="000C18EB" w:rsidRDefault="00446321" w:rsidP="007548C4">
      <w:pPr>
        <w:pStyle w:val="ListBullet"/>
      </w:pPr>
      <w:r>
        <w:t>t</w:t>
      </w:r>
      <w:r w:rsidR="000C18EB">
        <w:t xml:space="preserve">he </w:t>
      </w:r>
      <w:r w:rsidR="002E09D2">
        <w:t xml:space="preserve">existing </w:t>
      </w:r>
      <w:r w:rsidR="00784CC5">
        <w:t>arrangements</w:t>
      </w:r>
      <w:r w:rsidR="002E09D2">
        <w:t xml:space="preserve"> </w:t>
      </w:r>
      <w:r w:rsidR="000C18EB">
        <w:t xml:space="preserve">in the frequency range 28.5 GHz to 29.1 GHz </w:t>
      </w:r>
      <w:r w:rsidR="002E09D2">
        <w:t xml:space="preserve">for the </w:t>
      </w:r>
      <w:r w:rsidR="000C18EB">
        <w:t xml:space="preserve">FSS </w:t>
      </w:r>
      <w:r w:rsidR="002E09D2">
        <w:t>are</w:t>
      </w:r>
      <w:r w:rsidR="000C18EB">
        <w:t xml:space="preserve"> considered to be appropriate </w:t>
      </w:r>
      <w:r w:rsidR="00784CC5">
        <w:t xml:space="preserve">and therefore are maintained under all options </w:t>
      </w:r>
      <w:r w:rsidR="00B963E7">
        <w:t>considered for the 28 GHz band</w:t>
      </w:r>
    </w:p>
    <w:p w14:paraId="69C771A5" w14:textId="70564C74" w:rsidR="005709D2" w:rsidRDefault="00A11B4B" w:rsidP="007548C4">
      <w:pPr>
        <w:pStyle w:val="ListBullet"/>
      </w:pPr>
      <w:r>
        <w:t xml:space="preserve">this paper is limited to considering options and arrangements </w:t>
      </w:r>
      <w:r w:rsidR="00D54B87">
        <w:t>for</w:t>
      </w:r>
      <w:r>
        <w:t xml:space="preserve"> the</w:t>
      </w:r>
      <w:r w:rsidR="000B6AE7">
        <w:t xml:space="preserve"> </w:t>
      </w:r>
      <w:r w:rsidR="00BB2F56">
        <w:t>FSS</w:t>
      </w:r>
      <w:r w:rsidR="00D54B87">
        <w:t xml:space="preserve"> uplink</w:t>
      </w:r>
      <w:r w:rsidR="000B6AE7">
        <w:t xml:space="preserve"> in the 27.5</w:t>
      </w:r>
      <w:r w:rsidR="001A16F8">
        <w:t>–</w:t>
      </w:r>
      <w:r w:rsidR="000B6AE7">
        <w:t>29.5</w:t>
      </w:r>
      <w:r w:rsidR="00B71CD1">
        <w:t> </w:t>
      </w:r>
      <w:r w:rsidR="000B6AE7">
        <w:t>GHz band</w:t>
      </w:r>
      <w:r>
        <w:t>.</w:t>
      </w:r>
      <w:r w:rsidR="00D54B87">
        <w:t xml:space="preserve"> </w:t>
      </w:r>
      <w:r w:rsidR="00BB2F56">
        <w:t>O</w:t>
      </w:r>
      <w:r w:rsidR="00D54B87">
        <w:t xml:space="preserve">ptions for the </w:t>
      </w:r>
      <w:r w:rsidR="00032059">
        <w:t xml:space="preserve">associated </w:t>
      </w:r>
      <w:r w:rsidR="00D54B87">
        <w:t>FSS downlink segment (17.7</w:t>
      </w:r>
      <w:r w:rsidR="001A16F8">
        <w:t>–</w:t>
      </w:r>
      <w:r w:rsidR="006F4ED7">
        <w:t>20.2</w:t>
      </w:r>
      <w:r w:rsidR="00D54B87">
        <w:t xml:space="preserve"> GHz band) </w:t>
      </w:r>
      <w:r w:rsidR="00BB2F56">
        <w:t xml:space="preserve">are </w:t>
      </w:r>
      <w:r w:rsidR="00D54B87">
        <w:t xml:space="preserve">not included. </w:t>
      </w:r>
      <w:r w:rsidR="002812AA">
        <w:t>The ACMA expects to undertake further work on the associated downlink segment, when the scope of changes required for the uplink segment are clear</w:t>
      </w:r>
    </w:p>
    <w:p w14:paraId="6CB53DED" w14:textId="61FDA43E" w:rsidR="00510F72" w:rsidRDefault="00803DD1" w:rsidP="007548C4">
      <w:pPr>
        <w:pStyle w:val="ListBullet"/>
      </w:pPr>
      <w:r>
        <w:t>w</w:t>
      </w:r>
      <w:r w:rsidR="006F4ED7">
        <w:t xml:space="preserve">hile </w:t>
      </w:r>
      <w:r w:rsidR="001A16F8">
        <w:t>h</w:t>
      </w:r>
      <w:r w:rsidR="006F4ED7">
        <w:t xml:space="preserve">igh </w:t>
      </w:r>
      <w:r w:rsidR="001A16F8">
        <w:t>a</w:t>
      </w:r>
      <w:r w:rsidR="006F4ED7">
        <w:t xml:space="preserve">ltitude </w:t>
      </w:r>
      <w:r w:rsidR="001A16F8">
        <w:t>p</w:t>
      </w:r>
      <w:r w:rsidR="006F4ED7">
        <w:t xml:space="preserve">latform </w:t>
      </w:r>
      <w:r w:rsidR="001A16F8">
        <w:t>s</w:t>
      </w:r>
      <w:r w:rsidR="006F4ED7">
        <w:t>tations (HAPS) have been identified as a possible application in 28</w:t>
      </w:r>
      <w:r w:rsidR="00B71CD1">
        <w:t> </w:t>
      </w:r>
      <w:r w:rsidR="006F4ED7">
        <w:t>GHz band, based on the interest and evidence supplied so far, the ACMA is not contemplating use of the band by HAPS at this time. Furthermore, WRC-19 agenda item 1.14 is still investigating additional identifications for</w:t>
      </w:r>
      <w:r w:rsidR="006F4ED7" w:rsidDel="005E78D3">
        <w:t xml:space="preserve"> </w:t>
      </w:r>
      <w:r w:rsidR="006F4ED7">
        <w:t xml:space="preserve">HAPS in a variety of bands. </w:t>
      </w:r>
      <w:r w:rsidR="00F6354D">
        <w:t>T</w:t>
      </w:r>
      <w:r w:rsidR="006F4ED7">
        <w:t xml:space="preserve">he ACMA monitor international and domestic developments for HAPS, including the outcomes of WRC-19, in the 28 GHz and other bands. Consideration of possible arrangements for HAPS will be progressed under a separate consultation process as demand and spectrum options become more certain. </w:t>
      </w:r>
    </w:p>
    <w:p w14:paraId="07660CC7" w14:textId="77777777" w:rsidR="00347DE7" w:rsidRDefault="00347DE7">
      <w:pPr>
        <w:pStyle w:val="ListParagraph"/>
        <w:numPr>
          <w:ilvl w:val="0"/>
          <w:numId w:val="79"/>
        </w:numPr>
        <w:shd w:val="clear" w:color="auto" w:fill="F2F2F2" w:themeFill="background1" w:themeFillShade="F2"/>
        <w:spacing w:before="240" w:after="120" w:line="240" w:lineRule="auto"/>
        <w:ind w:left="426" w:hanging="426"/>
        <w:contextualSpacing w:val="0"/>
        <w:rPr>
          <w:b/>
        </w:rPr>
      </w:pPr>
      <w:r>
        <w:rPr>
          <w:b/>
        </w:rPr>
        <w:t>Do stakeholders have comments on any of the options proposed in this section or other options to propose</w:t>
      </w:r>
      <w:r w:rsidRPr="00A05EC9">
        <w:rPr>
          <w:b/>
        </w:rPr>
        <w:t>?</w:t>
      </w:r>
    </w:p>
    <w:p w14:paraId="773EF2D4" w14:textId="516DDE9F" w:rsidR="00347DE7" w:rsidRDefault="00347DE7">
      <w:pPr>
        <w:pStyle w:val="ListParagraph"/>
        <w:numPr>
          <w:ilvl w:val="0"/>
          <w:numId w:val="79"/>
        </w:numPr>
        <w:shd w:val="clear" w:color="auto" w:fill="F2F2F2" w:themeFill="background1" w:themeFillShade="F2"/>
        <w:spacing w:before="120" w:after="120" w:line="240" w:lineRule="auto"/>
        <w:ind w:left="426" w:hanging="426"/>
        <w:contextualSpacing w:val="0"/>
        <w:rPr>
          <w:b/>
        </w:rPr>
      </w:pPr>
      <w:r>
        <w:rPr>
          <w:b/>
        </w:rPr>
        <w:t>Is the definition of ‘large population centres’ (as described in Appendix A), suitable for application in Options 1a, 1b, 2 and 3?</w:t>
      </w:r>
    </w:p>
    <w:p w14:paraId="158F30FF" w14:textId="5445A1E7" w:rsidR="00713BBE" w:rsidRDefault="00713BBE" w:rsidP="005D3186">
      <w:pPr>
        <w:pStyle w:val="Heading2"/>
        <w:keepLines/>
        <w:widowControl w:val="0"/>
      </w:pPr>
      <w:bookmarkStart w:id="132" w:name="_Toc5000080"/>
      <w:r w:rsidRPr="00A05EC9">
        <w:lastRenderedPageBreak/>
        <w:t>Option</w:t>
      </w:r>
      <w:r>
        <w:t xml:space="preserve"> 1: </w:t>
      </w:r>
      <w:r w:rsidR="002F692D">
        <w:t xml:space="preserve">All services/applications </w:t>
      </w:r>
      <w:r w:rsidR="002E09D2">
        <w:t>provided</w:t>
      </w:r>
      <w:r w:rsidR="002F692D">
        <w:t xml:space="preserve"> spectrum allocations</w:t>
      </w:r>
      <w:bookmarkEnd w:id="132"/>
    </w:p>
    <w:p w14:paraId="07F770EA" w14:textId="169D6558" w:rsidR="00CC4601" w:rsidRDefault="00A96F90" w:rsidP="005D3186">
      <w:pPr>
        <w:keepNext/>
        <w:keepLines/>
        <w:widowControl w:val="0"/>
      </w:pPr>
      <w:r>
        <w:t>Option 1</w:t>
      </w:r>
      <w:r w:rsidR="002F692D">
        <w:t xml:space="preserve"> provides </w:t>
      </w:r>
      <w:r w:rsidR="00D54B87">
        <w:t xml:space="preserve">arrangements </w:t>
      </w:r>
      <w:r w:rsidR="002E09D2">
        <w:t xml:space="preserve">for access to all or part of the 28 GHz band </w:t>
      </w:r>
      <w:r w:rsidR="002F692D">
        <w:t>for all services/uses identified as having an interest in the band</w:t>
      </w:r>
      <w:r w:rsidR="002B118C">
        <w:t>.</w:t>
      </w:r>
      <w:r w:rsidR="002F692D">
        <w:t xml:space="preserve"> </w:t>
      </w:r>
      <w:r w:rsidR="00876144">
        <w:t>This includes WWB, FWA, FSS (</w:t>
      </w:r>
      <w:r>
        <w:t xml:space="preserve">both </w:t>
      </w:r>
      <w:r w:rsidR="00876144">
        <w:t xml:space="preserve">gateways and ubiquitous) and PTP. Different combinations of frequency and geographical segregation have been used to </w:t>
      </w:r>
      <w:r>
        <w:t xml:space="preserve">develop </w:t>
      </w:r>
      <w:r w:rsidR="00E369A2">
        <w:t>t</w:t>
      </w:r>
      <w:r w:rsidR="00876144">
        <w:t xml:space="preserve">wo sub-options for </w:t>
      </w:r>
      <w:r w:rsidR="00876144" w:rsidRPr="00AD7D88">
        <w:t>consideration</w:t>
      </w:r>
      <w:r w:rsidR="00BA0355" w:rsidRPr="00AD7D88">
        <w:t>.</w:t>
      </w:r>
      <w:r w:rsidR="00F61225" w:rsidRPr="00AD7D88">
        <w:t xml:space="preserve"> </w:t>
      </w:r>
      <w:r w:rsidRPr="00AD7D88">
        <w:t xml:space="preserve">These are referred to as Option 1a and Option 1b and </w:t>
      </w:r>
      <w:r w:rsidR="00F61225" w:rsidRPr="00AD7D88">
        <w:t>are de</w:t>
      </w:r>
      <w:r w:rsidRPr="00AD7D88">
        <w:t xml:space="preserve">scribed </w:t>
      </w:r>
      <w:r w:rsidR="00167A92" w:rsidRPr="00AD7D88">
        <w:t xml:space="preserve">in detail </w:t>
      </w:r>
      <w:r w:rsidRPr="00AD7D88">
        <w:t>below. Refer also to Figures 3 and 4 for an illustration of Option 1a and Option 1b respectively</w:t>
      </w:r>
      <w:r w:rsidR="00F61225" w:rsidRPr="00AD7D88">
        <w:t>.</w:t>
      </w:r>
    </w:p>
    <w:p w14:paraId="4E9753B0" w14:textId="592FDBE5" w:rsidR="004151E3" w:rsidRPr="00AC6904" w:rsidRDefault="002F692D" w:rsidP="005D3186">
      <w:pPr>
        <w:pStyle w:val="Heading3"/>
        <w:keepLines/>
        <w:widowControl w:val="0"/>
      </w:pPr>
      <w:r w:rsidRPr="00AC6904">
        <w:t>Option 1a</w:t>
      </w:r>
    </w:p>
    <w:p w14:paraId="0C1053DF" w14:textId="173A52DB" w:rsidR="0085490C" w:rsidRDefault="00134930" w:rsidP="005D3186">
      <w:pPr>
        <w:pStyle w:val="ACMAFigureHeader"/>
        <w:keepNext/>
        <w:keepLines/>
        <w:widowControl w:val="0"/>
      </w:pPr>
      <w:r>
        <w:t xml:space="preserve">Illustration of </w:t>
      </w:r>
      <w:r w:rsidR="00B1547A">
        <w:t>Option 1a</w:t>
      </w:r>
      <w:r w:rsidR="00E3531D">
        <w:rPr>
          <w:rStyle w:val="FootnoteReference"/>
        </w:rPr>
        <w:footnoteReference w:id="24"/>
      </w:r>
      <w:r w:rsidR="00B1547A">
        <w:t xml:space="preserve"> </w:t>
      </w:r>
    </w:p>
    <w:p w14:paraId="478EF105" w14:textId="6A67E7A4" w:rsidR="0085490C" w:rsidRDefault="002621AE" w:rsidP="005D3186">
      <w:pPr>
        <w:pStyle w:val="ACMAFigureHeader"/>
        <w:keepNext/>
        <w:keepLines/>
        <w:widowControl w:val="0"/>
        <w:numPr>
          <w:ilvl w:val="0"/>
          <w:numId w:val="0"/>
        </w:numPr>
      </w:pPr>
      <w:r>
        <w:rPr>
          <w:noProof/>
        </w:rPr>
        <w:drawing>
          <wp:inline distT="0" distB="0" distL="0" distR="0" wp14:anchorId="21BD7321" wp14:editId="66417443">
            <wp:extent cx="6102350" cy="954702"/>
            <wp:effectExtent l="0" t="0" r="0" b="0"/>
            <wp:docPr id="15" name="Picture 15" descr="Illustration of Option 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04690" cy="955068"/>
                    </a:xfrm>
                    <a:prstGeom prst="rect">
                      <a:avLst/>
                    </a:prstGeom>
                    <a:noFill/>
                  </pic:spPr>
                </pic:pic>
              </a:graphicData>
            </a:graphic>
          </wp:inline>
        </w:drawing>
      </w:r>
    </w:p>
    <w:p w14:paraId="0801C6B6" w14:textId="3517D7E7" w:rsidR="00B1547A" w:rsidRPr="00AC6904" w:rsidRDefault="00455490" w:rsidP="005D3186">
      <w:pPr>
        <w:pStyle w:val="ACMANotes"/>
        <w:keepNext/>
        <w:keepLines/>
        <w:widowControl w:val="0"/>
      </w:pPr>
      <w:r w:rsidRPr="00AC6904">
        <w:t xml:space="preserve">* </w:t>
      </w:r>
      <w:r w:rsidR="005A642B" w:rsidRPr="00AC6904">
        <w:t>Ubiquitous</w:t>
      </w:r>
      <w:r w:rsidRPr="00AC6904">
        <w:t xml:space="preserve"> FFS use would be on a ‘no interference’ basis </w:t>
      </w:r>
      <w:r w:rsidR="005A642B" w:rsidRPr="00AC6904">
        <w:t xml:space="preserve">and </w:t>
      </w:r>
      <w:r w:rsidR="00E33BF8">
        <w:t>w</w:t>
      </w:r>
      <w:r w:rsidR="005A642B" w:rsidRPr="00AC6904">
        <w:t>ould</w:t>
      </w:r>
      <w:r w:rsidR="00E33BF8">
        <w:t xml:space="preserve"> likely</w:t>
      </w:r>
      <w:r w:rsidR="005A642B" w:rsidRPr="00AC6904">
        <w:t xml:space="preserve"> include additional restrictions on service deployment to help manage interference.</w:t>
      </w:r>
    </w:p>
    <w:p w14:paraId="6E616301" w14:textId="4BA4E116" w:rsidR="00EC08C8" w:rsidRPr="00AC6904" w:rsidRDefault="004151E3" w:rsidP="005D3186">
      <w:pPr>
        <w:pStyle w:val="BodySubHeader"/>
        <w:widowControl w:val="0"/>
      </w:pPr>
      <w:r w:rsidRPr="00AC6904">
        <w:t>27.5</w:t>
      </w:r>
      <w:r w:rsidR="003E3C27">
        <w:t>–</w:t>
      </w:r>
      <w:r w:rsidRPr="00AC6904">
        <w:t>28.1 GHz</w:t>
      </w:r>
      <w:r w:rsidR="00BA0355" w:rsidRPr="00AC6904">
        <w:t xml:space="preserve"> </w:t>
      </w:r>
    </w:p>
    <w:p w14:paraId="2E0617DF" w14:textId="518D28E6" w:rsidR="004151E3" w:rsidRPr="00FA520E" w:rsidRDefault="004A6A41" w:rsidP="005D3186">
      <w:pPr>
        <w:pStyle w:val="ListBullet"/>
        <w:widowControl w:val="0"/>
      </w:pPr>
      <w:r>
        <w:t>R</w:t>
      </w:r>
      <w:r w:rsidR="00BA0355">
        <w:t xml:space="preserve">e-allocate (or designate) </w:t>
      </w:r>
      <w:r>
        <w:t xml:space="preserve">the frequency range </w:t>
      </w:r>
      <w:r w:rsidR="00BA0355">
        <w:t xml:space="preserve">for the issue of spectrum licences in </w:t>
      </w:r>
      <w:r w:rsidR="00BA0355" w:rsidRPr="00EC08C8">
        <w:t xml:space="preserve">large </w:t>
      </w:r>
      <w:r w:rsidR="00BA0355" w:rsidRPr="00FA520E">
        <w:t>population centres. This is expected to be of primary interest to operators wishing to deploy WWB services but can also be used to deploy other services such as FSS</w:t>
      </w:r>
      <w:r w:rsidR="00F61225" w:rsidRPr="00C27FF1">
        <w:t xml:space="preserve">. </w:t>
      </w:r>
      <w:r w:rsidR="00CC4601" w:rsidRPr="00C27FF1">
        <w:t>T</w:t>
      </w:r>
      <w:r w:rsidR="00F61225" w:rsidRPr="00C27FF1">
        <w:t xml:space="preserve">he </w:t>
      </w:r>
      <w:r w:rsidR="007E6A16" w:rsidRPr="00C27FF1">
        <w:t xml:space="preserve">ACMA expects that given the sharing scenario is the same, the </w:t>
      </w:r>
      <w:r w:rsidR="00F61225" w:rsidRPr="00C27FF1">
        <w:t>same technical framework implemented for the 26</w:t>
      </w:r>
      <w:r w:rsidR="002D5C69" w:rsidRPr="00C27FF1">
        <w:t> </w:t>
      </w:r>
      <w:r w:rsidR="00F61225" w:rsidRPr="00C27FF1">
        <w:t xml:space="preserve">GHz band would </w:t>
      </w:r>
      <w:r w:rsidR="00CC4601" w:rsidRPr="00C27FF1">
        <w:t xml:space="preserve">also </w:t>
      </w:r>
      <w:r w:rsidR="00F61225" w:rsidRPr="00C27FF1">
        <w:t>be adopted for this band</w:t>
      </w:r>
      <w:r w:rsidR="00CC4601" w:rsidRPr="00C27FF1">
        <w:t xml:space="preserve">. This includes implementing the same measures to </w:t>
      </w:r>
      <w:r w:rsidR="00724790" w:rsidRPr="00C27FF1">
        <w:t>achieve coexistence with</w:t>
      </w:r>
      <w:r w:rsidR="00CC4601" w:rsidRPr="00C27FF1">
        <w:t xml:space="preserve"> FSS satellite receivers</w:t>
      </w:r>
      <w:r w:rsidR="00C27FF1">
        <w:t>.</w:t>
      </w:r>
    </w:p>
    <w:p w14:paraId="1D6C2FFA" w14:textId="2F66D234" w:rsidR="004A6A41" w:rsidRDefault="004A6A41" w:rsidP="005D3186">
      <w:pPr>
        <w:pStyle w:val="ListBullet"/>
        <w:widowControl w:val="0"/>
      </w:pPr>
      <w:r w:rsidRPr="00C27FF1">
        <w:t xml:space="preserve">Maintain the </w:t>
      </w:r>
      <w:r w:rsidR="00EC08C8" w:rsidRPr="00C27FF1">
        <w:t xml:space="preserve">existing site-based apparatus licensed arrangements for FSS </w:t>
      </w:r>
      <w:r w:rsidR="002E56DE" w:rsidRPr="00C27FF1">
        <w:t>gateway</w:t>
      </w:r>
      <w:r w:rsidR="008D640B" w:rsidRPr="00C27FF1">
        <w:t>s</w:t>
      </w:r>
      <w:r w:rsidR="002E56DE" w:rsidRPr="00C27FF1">
        <w:t xml:space="preserve"> </w:t>
      </w:r>
      <w:r w:rsidRPr="00C27FF1">
        <w:t>outside of those areas</w:t>
      </w:r>
      <w:r>
        <w:t xml:space="preserve"> re-allocated (or designated) for the issue of spectrum licences</w:t>
      </w:r>
      <w:r w:rsidR="00C27FF1">
        <w:t>.</w:t>
      </w:r>
      <w:r w:rsidR="00EC08C8">
        <w:t xml:space="preserve"> </w:t>
      </w:r>
    </w:p>
    <w:p w14:paraId="7E9B2D7D" w14:textId="706E0CA6" w:rsidR="00EC08C8" w:rsidRDefault="004A6A41" w:rsidP="005D3186">
      <w:pPr>
        <w:pStyle w:val="ListBulletLast"/>
        <w:widowControl w:val="0"/>
      </w:pPr>
      <w:r>
        <w:t>Introduce</w:t>
      </w:r>
      <w:r w:rsidR="00923858" w:rsidDel="007E6A16">
        <w:t xml:space="preserve"> </w:t>
      </w:r>
      <w:r w:rsidR="00923858">
        <w:t>a</w:t>
      </w:r>
      <w:r w:rsidR="00EC08C8">
        <w:t xml:space="preserve">rrangements </w:t>
      </w:r>
      <w:r w:rsidR="00923858">
        <w:t xml:space="preserve">to support </w:t>
      </w:r>
      <w:r w:rsidR="00EC08C8">
        <w:t xml:space="preserve">ubiquitous FSS </w:t>
      </w:r>
      <w:r w:rsidRPr="00394261">
        <w:t xml:space="preserve">outside of those </w:t>
      </w:r>
      <w:r w:rsidR="007E6A16" w:rsidRPr="00AC6904">
        <w:t xml:space="preserve">populated </w:t>
      </w:r>
      <w:r w:rsidRPr="00394261">
        <w:t>areas re-allocated (or designated) for the issue of spectrum licences</w:t>
      </w:r>
      <w:r w:rsidR="00EC08C8">
        <w:t>.</w:t>
      </w:r>
      <w:r w:rsidR="00923858">
        <w:t xml:space="preserve"> </w:t>
      </w:r>
    </w:p>
    <w:p w14:paraId="7E3483E8" w14:textId="0F92A9BC" w:rsidR="00EC08C8" w:rsidRPr="00AC6904" w:rsidRDefault="004151E3" w:rsidP="005D3186">
      <w:pPr>
        <w:pStyle w:val="BodySubHeader"/>
        <w:widowControl w:val="0"/>
      </w:pPr>
      <w:bookmarkStart w:id="133" w:name="_Hlk3303524"/>
      <w:r w:rsidRPr="00AC6904">
        <w:t>28.1</w:t>
      </w:r>
      <w:r w:rsidR="003E3C27">
        <w:t>–</w:t>
      </w:r>
      <w:r w:rsidRPr="00AC6904">
        <w:t xml:space="preserve">28.5 </w:t>
      </w:r>
      <w:r w:rsidR="00EC08C8" w:rsidRPr="00AC6904">
        <w:t xml:space="preserve">GHz </w:t>
      </w:r>
      <w:r w:rsidRPr="00AC6904">
        <w:t>and 29.1</w:t>
      </w:r>
      <w:r w:rsidR="003E3C27">
        <w:t>–</w:t>
      </w:r>
      <w:r w:rsidRPr="00AC6904">
        <w:t>29.5 GHz</w:t>
      </w:r>
    </w:p>
    <w:p w14:paraId="742F7770" w14:textId="23314448" w:rsidR="0063135B" w:rsidRPr="00FA520E" w:rsidRDefault="004A6A41" w:rsidP="005D3186">
      <w:pPr>
        <w:pStyle w:val="ListBullet"/>
        <w:widowControl w:val="0"/>
      </w:pPr>
      <w:r w:rsidRPr="00FA520E">
        <w:t>Maintain t</w:t>
      </w:r>
      <w:r w:rsidR="00EC08C8" w:rsidRPr="00FA520E">
        <w:t xml:space="preserve">he </w:t>
      </w:r>
      <w:r w:rsidR="004151E3" w:rsidRPr="00FA520E">
        <w:t xml:space="preserve">existing </w:t>
      </w:r>
      <w:r w:rsidR="00EC08C8" w:rsidRPr="00FA520E">
        <w:t xml:space="preserve">site-based apparatus licensed arrangements for PTP and FSS </w:t>
      </w:r>
      <w:r w:rsidR="00FD4C18" w:rsidRPr="00C27FF1">
        <w:t>gateway</w:t>
      </w:r>
      <w:r w:rsidR="008D640B" w:rsidRPr="00C27FF1">
        <w:t>s</w:t>
      </w:r>
      <w:r w:rsidR="00FD4C18" w:rsidRPr="00C27FF1">
        <w:t xml:space="preserve"> </w:t>
      </w:r>
      <w:r w:rsidR="00EC08C8" w:rsidRPr="00C27FF1">
        <w:t>Australia-wide</w:t>
      </w:r>
      <w:r w:rsidR="00C27FF1">
        <w:t>.</w:t>
      </w:r>
    </w:p>
    <w:p w14:paraId="72855644" w14:textId="316D885A" w:rsidR="007853A6" w:rsidRDefault="004A6A41" w:rsidP="005D3186">
      <w:pPr>
        <w:pStyle w:val="ListBullet"/>
      </w:pPr>
      <w:r w:rsidRPr="00C27FF1">
        <w:t xml:space="preserve">Introduce </w:t>
      </w:r>
      <w:r w:rsidR="00347DE7" w:rsidRPr="00C27FF1">
        <w:t>a</w:t>
      </w:r>
      <w:r w:rsidR="00EC08C8" w:rsidRPr="00C27FF1">
        <w:t xml:space="preserve">pparatus licensed arrangements for localised or site-based FWA services </w:t>
      </w:r>
      <w:r w:rsidR="0063135B" w:rsidRPr="00C27FF1">
        <w:t>Australia-wide</w:t>
      </w:r>
      <w:r w:rsidR="00CC4601" w:rsidRPr="00C27FF1">
        <w:t>. The same arrangements as developed for FWA (Type 2 use) in the 26 GHz band would be adopted in</w:t>
      </w:r>
      <w:r w:rsidR="00CC4601">
        <w:t xml:space="preserve"> this case</w:t>
      </w:r>
      <w:r w:rsidR="00C27FF1">
        <w:t>.</w:t>
      </w:r>
    </w:p>
    <w:p w14:paraId="122F1A2F" w14:textId="5214C55A" w:rsidR="0063135B" w:rsidRPr="00394261" w:rsidRDefault="0063135B" w:rsidP="005D3186">
      <w:pPr>
        <w:pStyle w:val="ListBulletLast"/>
      </w:pPr>
      <w:r w:rsidRPr="00394261">
        <w:t xml:space="preserve">Introduce arrangements to support </w:t>
      </w:r>
      <w:r w:rsidR="004A6A41" w:rsidRPr="00394261">
        <w:t xml:space="preserve">limited deployments of </w:t>
      </w:r>
      <w:r w:rsidRPr="00394261">
        <w:t xml:space="preserve">ubiquitous FSS </w:t>
      </w:r>
      <w:r w:rsidR="004A6A41" w:rsidRPr="00AC6904">
        <w:t>Australia-wide</w:t>
      </w:r>
      <w:r w:rsidRPr="00394261">
        <w:t>, on a ‘no interference’ basis with licensed PTP and FWA services</w:t>
      </w:r>
      <w:r w:rsidR="004A6A41" w:rsidRPr="00AC6904">
        <w:t>.</w:t>
      </w:r>
      <w:r w:rsidR="00455490" w:rsidRPr="00AC6904">
        <w:t xml:space="preserve"> This could also include restrictions on </w:t>
      </w:r>
      <w:r w:rsidR="005A642B" w:rsidRPr="00AC6904">
        <w:t>deployments, similar to the variation proposed for Option 1b (refer to the discussion under Option 1b for details)</w:t>
      </w:r>
      <w:r w:rsidR="00C27FF1">
        <w:t>.</w:t>
      </w:r>
      <w:r w:rsidR="00455490" w:rsidRPr="00AC6904">
        <w:t xml:space="preserve"> </w:t>
      </w:r>
    </w:p>
    <w:bookmarkEnd w:id="133"/>
    <w:p w14:paraId="6132162C" w14:textId="1F413ED6" w:rsidR="00923858" w:rsidRPr="0091477B" w:rsidRDefault="00923858" w:rsidP="005D3186">
      <w:pPr>
        <w:pStyle w:val="BodySubHeader"/>
      </w:pPr>
      <w:r w:rsidRPr="0091477B">
        <w:t>28.5</w:t>
      </w:r>
      <w:r w:rsidR="003E3C27">
        <w:t>–</w:t>
      </w:r>
      <w:r>
        <w:t>29.1</w:t>
      </w:r>
      <w:r w:rsidRPr="0091477B">
        <w:t xml:space="preserve"> GHz</w:t>
      </w:r>
    </w:p>
    <w:p w14:paraId="6A525386" w14:textId="1859C0B7" w:rsidR="00923858" w:rsidRDefault="004A6A41" w:rsidP="005D3186">
      <w:pPr>
        <w:pStyle w:val="ListBullet"/>
      </w:pPr>
      <w:r>
        <w:t xml:space="preserve">Maintain </w:t>
      </w:r>
      <w:r w:rsidRPr="00FA520E">
        <w:t>the</w:t>
      </w:r>
      <w:r>
        <w:t xml:space="preserve"> </w:t>
      </w:r>
      <w:r w:rsidR="00923858">
        <w:t xml:space="preserve">existing site-based apparatus licensed arrangements for FSS </w:t>
      </w:r>
      <w:r w:rsidR="00FD4C18">
        <w:t>gateway</w:t>
      </w:r>
      <w:r w:rsidR="008D640B">
        <w:t>s</w:t>
      </w:r>
      <w:r w:rsidR="00FD4C18">
        <w:t xml:space="preserve"> </w:t>
      </w:r>
      <w:r w:rsidR="0063135B">
        <w:t>Australia-wide</w:t>
      </w:r>
      <w:r w:rsidR="00C27FF1">
        <w:t>.</w:t>
      </w:r>
    </w:p>
    <w:p w14:paraId="35378F9F" w14:textId="049A3F20" w:rsidR="0063135B" w:rsidRPr="00EC08C8" w:rsidRDefault="004A6A41" w:rsidP="005D3186">
      <w:pPr>
        <w:pStyle w:val="ListBulletLast"/>
      </w:pPr>
      <w:r>
        <w:t>Maintain t</w:t>
      </w:r>
      <w:r w:rsidR="0063135B">
        <w:t>he existing arrangements for ubiquitous FSS Australia-wide.</w:t>
      </w:r>
      <w:r w:rsidR="00CC4601">
        <w:t xml:space="preserve"> </w:t>
      </w:r>
    </w:p>
    <w:p w14:paraId="36A8791B" w14:textId="77777777" w:rsidR="00EC08C8" w:rsidRPr="00AC6904" w:rsidRDefault="004151E3" w:rsidP="005D3186">
      <w:pPr>
        <w:keepNext/>
        <w:keepLines/>
        <w:spacing w:after="0" w:line="240" w:lineRule="auto"/>
        <w:rPr>
          <w:b/>
        </w:rPr>
      </w:pPr>
      <w:r w:rsidRPr="00AC6904">
        <w:rPr>
          <w:b/>
        </w:rPr>
        <w:lastRenderedPageBreak/>
        <w:t xml:space="preserve">Option 1b </w:t>
      </w:r>
    </w:p>
    <w:p w14:paraId="4AFE61BC" w14:textId="77E50059" w:rsidR="00B1547A" w:rsidRDefault="00134930" w:rsidP="005D3186">
      <w:pPr>
        <w:pStyle w:val="ACMAFigureHeader"/>
        <w:keepNext/>
        <w:keepLines/>
      </w:pPr>
      <w:r>
        <w:t xml:space="preserve">Illustration of </w:t>
      </w:r>
      <w:r w:rsidR="00B1547A">
        <w:t>Option 1b</w:t>
      </w:r>
      <w:r w:rsidR="00E3531D">
        <w:rPr>
          <w:rStyle w:val="FootnoteReference"/>
        </w:rPr>
        <w:footnoteReference w:id="25"/>
      </w:r>
    </w:p>
    <w:p w14:paraId="0DD5EED5" w14:textId="63ACDAEC" w:rsidR="003D212D" w:rsidRDefault="003D212D" w:rsidP="005D3186">
      <w:pPr>
        <w:keepNext/>
        <w:keepLines/>
      </w:pPr>
      <w:r>
        <w:rPr>
          <w:noProof/>
        </w:rPr>
        <w:drawing>
          <wp:inline distT="0" distB="0" distL="0" distR="0" wp14:anchorId="1A41E26B" wp14:editId="2F88DBBF">
            <wp:extent cx="5850000" cy="1207143"/>
            <wp:effectExtent l="0" t="0" r="0" b="0"/>
            <wp:docPr id="19" name="Picture 19" descr="Illustration of Option 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850000" cy="1207143"/>
                    </a:xfrm>
                    <a:prstGeom prst="rect">
                      <a:avLst/>
                    </a:prstGeom>
                    <a:noFill/>
                  </pic:spPr>
                </pic:pic>
              </a:graphicData>
            </a:graphic>
          </wp:inline>
        </w:drawing>
      </w:r>
    </w:p>
    <w:p w14:paraId="7C09492C" w14:textId="727AB24B" w:rsidR="005A642B" w:rsidRPr="008C2FA3" w:rsidRDefault="005A642B" w:rsidP="005D3186">
      <w:pPr>
        <w:pStyle w:val="ACMANotes"/>
        <w:keepNext/>
        <w:keepLines/>
      </w:pPr>
      <w:r w:rsidRPr="00FA520E">
        <w:t>*</w:t>
      </w:r>
      <w:r w:rsidR="008F738A" w:rsidRPr="00FA520E">
        <w:t xml:space="preserve"> This is a possible variation</w:t>
      </w:r>
      <w:r w:rsidR="008F738A" w:rsidRPr="00AF1AC4">
        <w:t xml:space="preserve"> where</w:t>
      </w:r>
      <w:r w:rsidRPr="00AF1AC4">
        <w:t xml:space="preserve"> </w:t>
      </w:r>
      <w:r w:rsidR="008F738A" w:rsidRPr="00AF1AC4">
        <w:t>u</w:t>
      </w:r>
      <w:r w:rsidRPr="00AF1AC4">
        <w:t>biquitous FFS use would be on a ‘no interference’ basis and could include additional restrictions on service deployment to help manage interference.</w:t>
      </w:r>
    </w:p>
    <w:p w14:paraId="30908415" w14:textId="526C3731" w:rsidR="00781024" w:rsidRDefault="00781024" w:rsidP="005D3186">
      <w:pPr>
        <w:pStyle w:val="ACMANotes"/>
        <w:keepNext/>
        <w:keepLines/>
      </w:pPr>
      <w:r w:rsidRPr="00EA183F">
        <w:t xml:space="preserve">** This is a possible variation that could be considered. If adopted PTP/FWA outside of large population centres would be on a ‘no protection’ basis </w:t>
      </w:r>
      <w:r w:rsidR="007E6A16" w:rsidRPr="00EA183F">
        <w:t xml:space="preserve">with respect </w:t>
      </w:r>
      <w:r w:rsidRPr="00EA183F">
        <w:t>to ubiquitous FSS use.</w:t>
      </w:r>
    </w:p>
    <w:p w14:paraId="1C8E400C" w14:textId="77777777" w:rsidR="00EA183F" w:rsidRPr="00FA520E" w:rsidRDefault="00EA183F" w:rsidP="005D3186">
      <w:pPr>
        <w:pStyle w:val="ACMANotes"/>
      </w:pPr>
    </w:p>
    <w:p w14:paraId="13694C5A" w14:textId="77BDB8F6" w:rsidR="0063135B" w:rsidRDefault="0063135B" w:rsidP="005D3186">
      <w:pPr>
        <w:spacing w:after="80"/>
      </w:pPr>
      <w:r>
        <w:t xml:space="preserve">The same arrangements as defined for Option 1a apply under Option 1b with the following </w:t>
      </w:r>
      <w:r w:rsidR="004A6A41">
        <w:t>changes to</w:t>
      </w:r>
      <w:r>
        <w:t xml:space="preserve"> the </w:t>
      </w:r>
      <w:r w:rsidRPr="0063135B">
        <w:t>28.1</w:t>
      </w:r>
      <w:r w:rsidR="00EA183F">
        <w:t>–</w:t>
      </w:r>
      <w:r w:rsidRPr="0063135B">
        <w:t>28.5 GHz and 29.1</w:t>
      </w:r>
      <w:r w:rsidR="00EA183F">
        <w:t>–</w:t>
      </w:r>
      <w:r w:rsidRPr="0063135B">
        <w:t xml:space="preserve">29.5 GHz </w:t>
      </w:r>
      <w:r>
        <w:t>frequency ranges:</w:t>
      </w:r>
    </w:p>
    <w:p w14:paraId="50096133" w14:textId="70E79587" w:rsidR="0063135B" w:rsidRPr="0091477B" w:rsidRDefault="0063135B" w:rsidP="005D3186">
      <w:pPr>
        <w:pStyle w:val="BodySubHeader"/>
      </w:pPr>
      <w:r w:rsidRPr="0091477B">
        <w:t>28.1</w:t>
      </w:r>
      <w:r w:rsidR="003E3C27">
        <w:t>–</w:t>
      </w:r>
      <w:r w:rsidRPr="0091477B">
        <w:t>28.5 GHz and 29.1</w:t>
      </w:r>
      <w:r w:rsidR="003E3C27">
        <w:t>–</w:t>
      </w:r>
      <w:r w:rsidRPr="0091477B">
        <w:t>29.5 GHz</w:t>
      </w:r>
    </w:p>
    <w:p w14:paraId="76C43587" w14:textId="7F604CA8" w:rsidR="004A6A41" w:rsidRPr="00EA183F" w:rsidRDefault="004A6A41" w:rsidP="005D3186">
      <w:pPr>
        <w:pStyle w:val="ListBullet"/>
      </w:pPr>
      <w:r w:rsidRPr="00FA520E">
        <w:t xml:space="preserve">Maintain the existing site-based apparatus licensed arrangements for FSS </w:t>
      </w:r>
      <w:r w:rsidR="002E56DE" w:rsidRPr="00FA520E">
        <w:t>gateway</w:t>
      </w:r>
      <w:r w:rsidR="008D640B" w:rsidRPr="00FA520E">
        <w:t>s</w:t>
      </w:r>
      <w:r w:rsidR="002E56DE" w:rsidRPr="00EA183F">
        <w:t xml:space="preserve"> </w:t>
      </w:r>
      <w:r w:rsidRPr="00EA183F">
        <w:t>Australia-wide</w:t>
      </w:r>
      <w:r w:rsidR="00EA183F" w:rsidRPr="00EA183F">
        <w:t>.</w:t>
      </w:r>
    </w:p>
    <w:p w14:paraId="4632E504" w14:textId="2C69C989" w:rsidR="004A6A41" w:rsidRPr="00FA520E" w:rsidRDefault="004A6A41" w:rsidP="005D3186">
      <w:pPr>
        <w:pStyle w:val="ListBullet"/>
      </w:pPr>
      <w:r w:rsidRPr="00EA183F">
        <w:t xml:space="preserve">Maintain the existing site-based apparatus licensed arrangements for PTP in </w:t>
      </w:r>
      <w:r w:rsidR="006A2D81" w:rsidRPr="00EA183F">
        <w:t>large</w:t>
      </w:r>
      <w:r w:rsidRPr="00EA183F">
        <w:t xml:space="preserve"> population centres</w:t>
      </w:r>
      <w:r w:rsidR="00167A92" w:rsidRPr="00EA183F">
        <w:t xml:space="preserve">. </w:t>
      </w:r>
      <w:bookmarkStart w:id="134" w:name="_Hlk4071235"/>
      <w:r w:rsidR="00167A92" w:rsidRPr="00EA183F">
        <w:t xml:space="preserve">Existing PTP licences outside these </w:t>
      </w:r>
      <w:r w:rsidR="00AD7D88" w:rsidRPr="00EA183F">
        <w:t>centres</w:t>
      </w:r>
      <w:r w:rsidR="00167A92" w:rsidRPr="00EA183F">
        <w:t xml:space="preserve"> would be grandfathered </w:t>
      </w:r>
      <w:r w:rsidR="000744D6" w:rsidRPr="00EA183F">
        <w:t xml:space="preserve">for a minimum period </w:t>
      </w:r>
      <w:r w:rsidR="00862E7D" w:rsidRPr="00EA183F">
        <w:t>of time (</w:t>
      </w:r>
      <w:r w:rsidR="00855333" w:rsidRPr="00EA183F">
        <w:t>to be determined</w:t>
      </w:r>
      <w:r w:rsidR="00862E7D" w:rsidRPr="00EA183F">
        <w:t>)</w:t>
      </w:r>
      <w:r w:rsidR="000744D6" w:rsidRPr="00EA183F">
        <w:t xml:space="preserve"> during which they would be provided</w:t>
      </w:r>
      <w:r w:rsidR="00167A92" w:rsidRPr="00EA183F">
        <w:t xml:space="preserve"> ongoing protection</w:t>
      </w:r>
      <w:r w:rsidR="00EA183F">
        <w:t>.</w:t>
      </w:r>
      <w:bookmarkEnd w:id="134"/>
    </w:p>
    <w:p w14:paraId="2988A7E4" w14:textId="71655406" w:rsidR="004A6A41" w:rsidRDefault="004A6A41" w:rsidP="005D3186">
      <w:pPr>
        <w:pStyle w:val="ListBullet"/>
      </w:pPr>
      <w:r w:rsidRPr="00EA183F">
        <w:t xml:space="preserve">Introduce </w:t>
      </w:r>
      <w:r w:rsidR="00CC4601" w:rsidRPr="00EA183F">
        <w:t>a</w:t>
      </w:r>
      <w:r w:rsidRPr="00EA183F">
        <w:t xml:space="preserve">pparatus licensed arrangements for localised or site-based FWA services in </w:t>
      </w:r>
      <w:r w:rsidR="006A2D81" w:rsidRPr="00EA183F">
        <w:t>large</w:t>
      </w:r>
      <w:r w:rsidRPr="00EA183F">
        <w:t xml:space="preserve"> population</w:t>
      </w:r>
      <w:r>
        <w:t xml:space="preserve"> centres</w:t>
      </w:r>
      <w:r w:rsidR="00CC4601">
        <w:t>. The same arrangements as developed for FWA (Type 2 use) in the 26 GHz band would be adopted in this case</w:t>
      </w:r>
      <w:r w:rsidR="00EA183F">
        <w:t>.</w:t>
      </w:r>
    </w:p>
    <w:p w14:paraId="086C3592" w14:textId="2C746925" w:rsidR="00367651" w:rsidRPr="00367651" w:rsidRDefault="00367651" w:rsidP="005D3186">
      <w:pPr>
        <w:pStyle w:val="ListBulletLast"/>
      </w:pPr>
      <w:r>
        <w:t xml:space="preserve">Introduce arrangements to support ubiquitous </w:t>
      </w:r>
      <w:r w:rsidRPr="00367651">
        <w:t xml:space="preserve">FSS outside of </w:t>
      </w:r>
      <w:r w:rsidRPr="0091477B">
        <w:t>large population centres</w:t>
      </w:r>
      <w:r w:rsidRPr="00367651">
        <w:t xml:space="preserve">. </w:t>
      </w:r>
    </w:p>
    <w:p w14:paraId="508B96D2" w14:textId="0D265EA7" w:rsidR="00A64733" w:rsidRDefault="00C14A9D" w:rsidP="005D3186">
      <w:r w:rsidRPr="00367651">
        <w:t>A</w:t>
      </w:r>
      <w:r>
        <w:t xml:space="preserve"> variation to </w:t>
      </w:r>
      <w:r w:rsidR="00EA183F">
        <w:t xml:space="preserve">Option </w:t>
      </w:r>
      <w:r>
        <w:t xml:space="preserve">1b </w:t>
      </w:r>
      <w:r w:rsidR="005E5356">
        <w:t>c</w:t>
      </w:r>
      <w:r>
        <w:t>ould be to permit ubiquitous FSS</w:t>
      </w:r>
      <w:r w:rsidR="005E5356">
        <w:t>, PTP and FWA</w:t>
      </w:r>
      <w:r>
        <w:t xml:space="preserve"> (in 28.1</w:t>
      </w:r>
      <w:r w:rsidR="00A81244">
        <w:t>–</w:t>
      </w:r>
      <w:r>
        <w:t xml:space="preserve">28.5 </w:t>
      </w:r>
      <w:r w:rsidR="005E5356">
        <w:t xml:space="preserve">GHz </w:t>
      </w:r>
      <w:r>
        <w:t>and 29.1</w:t>
      </w:r>
      <w:r w:rsidR="00A81244">
        <w:t>–</w:t>
      </w:r>
      <w:r>
        <w:t xml:space="preserve">29.5 GHz) </w:t>
      </w:r>
      <w:r w:rsidR="005E5356">
        <w:t>to operate Australia-wide</w:t>
      </w:r>
      <w:r>
        <w:t xml:space="preserve"> but with varying primacy</w:t>
      </w:r>
      <w:r w:rsidR="007C2C81">
        <w:t xml:space="preserve">, as discussed in the </w:t>
      </w:r>
      <w:r w:rsidR="00A81244">
        <w:t>‘</w:t>
      </w:r>
      <w:r w:rsidR="007C2C81" w:rsidRPr="005D3186">
        <w:t xml:space="preserve">Consideration of </w:t>
      </w:r>
      <w:r w:rsidR="00A81244">
        <w:t>t</w:t>
      </w:r>
      <w:r w:rsidR="007C2C81" w:rsidRPr="005D3186">
        <w:t xml:space="preserve">echnical </w:t>
      </w:r>
      <w:r w:rsidR="00A81244">
        <w:t>i</w:t>
      </w:r>
      <w:r w:rsidR="007C2C81" w:rsidRPr="005D3186">
        <w:t>ssues</w:t>
      </w:r>
      <w:r w:rsidR="00A81244">
        <w:t>’</w:t>
      </w:r>
      <w:r w:rsidR="007C2C81">
        <w:t xml:space="preserve"> section of this paper</w:t>
      </w:r>
      <w:r>
        <w:t xml:space="preserve">. </w:t>
      </w:r>
    </w:p>
    <w:p w14:paraId="5F6F026E" w14:textId="4274D1B2" w:rsidR="00180E4A" w:rsidRDefault="007C2C81" w:rsidP="005D3186">
      <w:r>
        <w:t>Under this approach</w:t>
      </w:r>
      <w:r w:rsidR="00C14A9D">
        <w:t xml:space="preserve">, </w:t>
      </w:r>
      <w:r w:rsidR="005E5356">
        <w:t>PTP and FWA</w:t>
      </w:r>
      <w:r w:rsidR="00C14A9D">
        <w:t xml:space="preserve"> would have primacy in </w:t>
      </w:r>
      <w:r>
        <w:t xml:space="preserve">large </w:t>
      </w:r>
      <w:r w:rsidR="00C14A9D">
        <w:t>populations centres</w:t>
      </w:r>
      <w:r>
        <w:t>.</w:t>
      </w:r>
      <w:r w:rsidR="00C14A9D">
        <w:t xml:space="preserve"> </w:t>
      </w:r>
      <w:r>
        <w:t>U</w:t>
      </w:r>
      <w:r w:rsidR="00C14A9D">
        <w:t xml:space="preserve">biquitous FSS </w:t>
      </w:r>
      <w:r>
        <w:t xml:space="preserve">would be </w:t>
      </w:r>
      <w:r w:rsidR="00C14A9D">
        <w:t>permitted</w:t>
      </w:r>
      <w:r>
        <w:t xml:space="preserve"> to operate</w:t>
      </w:r>
      <w:r w:rsidR="00C14A9D">
        <w:t xml:space="preserve"> </w:t>
      </w:r>
      <w:r>
        <w:t xml:space="preserve">in these </w:t>
      </w:r>
      <w:r w:rsidR="00C14A9D">
        <w:t xml:space="preserve">on a </w:t>
      </w:r>
      <w:r>
        <w:t>‘</w:t>
      </w:r>
      <w:r w:rsidR="00C14A9D">
        <w:t>no interference basis</w:t>
      </w:r>
      <w:r>
        <w:t xml:space="preserve">’ and may also be subject to other deployment restrictions to minimise the risk of interference. This could include, for example, </w:t>
      </w:r>
      <w:r w:rsidR="00896230">
        <w:t xml:space="preserve">limiting </w:t>
      </w:r>
      <w:r w:rsidR="00E32442">
        <w:t>terrestrial</w:t>
      </w:r>
      <w:r w:rsidR="00896230">
        <w:t xml:space="preserve"> deployments to </w:t>
      </w:r>
      <w:r>
        <w:t xml:space="preserve">fixed ubiquitous </w:t>
      </w:r>
      <w:r w:rsidR="00896230">
        <w:t xml:space="preserve">FSS </w:t>
      </w:r>
      <w:r>
        <w:t>and meeting minimum levels of</w:t>
      </w:r>
      <w:r w:rsidR="00613C97">
        <w:t xml:space="preserve"> off-</w:t>
      </w:r>
      <w:r>
        <w:t>axis radiated power.</w:t>
      </w:r>
      <w:r w:rsidR="00896230">
        <w:t xml:space="preserve"> </w:t>
      </w:r>
      <w:r w:rsidR="00455490">
        <w:t xml:space="preserve">For aeronautical and maritime ESIM use, further discussion would be required to determine whether </w:t>
      </w:r>
      <w:r w:rsidR="005A642B">
        <w:t xml:space="preserve">operation within defined separation distances (including altitude) would be required or if restrictions on FWA deployments in and around airports and </w:t>
      </w:r>
      <w:r w:rsidR="00AD7D88">
        <w:t xml:space="preserve">maritime </w:t>
      </w:r>
      <w:r w:rsidR="005A642B">
        <w:t>port</w:t>
      </w:r>
      <w:r w:rsidR="00AD7D88">
        <w:t>s</w:t>
      </w:r>
      <w:r w:rsidR="005A642B">
        <w:t xml:space="preserve"> should be imposed to manage interference. </w:t>
      </w:r>
    </w:p>
    <w:p w14:paraId="047F1359" w14:textId="54C5D9CC" w:rsidR="00C14A9D" w:rsidRDefault="007C2C81" w:rsidP="005D3186">
      <w:r>
        <w:t>O</w:t>
      </w:r>
      <w:r w:rsidR="00C14A9D">
        <w:t xml:space="preserve">utside of </w:t>
      </w:r>
      <w:r>
        <w:t xml:space="preserve">large populations centres </w:t>
      </w:r>
      <w:r w:rsidR="00C14A9D">
        <w:t xml:space="preserve">ubiquitous FSS </w:t>
      </w:r>
      <w:r w:rsidR="005A642B">
        <w:t xml:space="preserve">(both fixed and ESIM) </w:t>
      </w:r>
      <w:r>
        <w:t xml:space="preserve">would have </w:t>
      </w:r>
      <w:r w:rsidR="00C14A9D">
        <w:t xml:space="preserve">priority </w:t>
      </w:r>
      <w:r>
        <w:t>and no restrictions on deployment. While PTP and FWA could operate</w:t>
      </w:r>
      <w:r w:rsidR="006E57D8">
        <w:t>,</w:t>
      </w:r>
      <w:r>
        <w:t xml:space="preserve"> it would be on a ‘no protection’ basis.</w:t>
      </w:r>
      <w:r w:rsidR="009C3F1C">
        <w:t xml:space="preserve"> </w:t>
      </w:r>
    </w:p>
    <w:p w14:paraId="195F0510" w14:textId="4E439E60" w:rsidR="00167A92" w:rsidRDefault="007C2C81" w:rsidP="00FA520E">
      <w:r>
        <w:t>If this variation is adopted,</w:t>
      </w:r>
      <w:r w:rsidR="00F61225">
        <w:t xml:space="preserve"> it is acknowledged that</w:t>
      </w:r>
      <w:r>
        <w:t xml:space="preserve"> </w:t>
      </w:r>
      <w:r w:rsidR="009C3F1C">
        <w:t xml:space="preserve">further work would be required to determine the </w:t>
      </w:r>
      <w:r>
        <w:t>exact</w:t>
      </w:r>
      <w:r w:rsidR="009C3F1C">
        <w:t xml:space="preserve"> nature of any conditions that might apply to PTP, FWA and ubiquitous FSS. </w:t>
      </w:r>
      <w:r w:rsidR="00F61225">
        <w:t xml:space="preserve">This work would be conducted as part of the ACMA usual process of developing technical arrangements for access to a band and would include a public consultation process.  </w:t>
      </w:r>
    </w:p>
    <w:p w14:paraId="55F290F3" w14:textId="4E17A4BA" w:rsidR="00955708" w:rsidRDefault="00955708" w:rsidP="00955708">
      <w:pPr>
        <w:pStyle w:val="Heading2"/>
      </w:pPr>
      <w:bookmarkStart w:id="135" w:name="_Toc5000081"/>
      <w:r w:rsidRPr="00A05EC9">
        <w:lastRenderedPageBreak/>
        <w:t>Option</w:t>
      </w:r>
      <w:r>
        <w:t xml:space="preserve"> 2: </w:t>
      </w:r>
      <w:r w:rsidR="004151E3">
        <w:t>FSS</w:t>
      </w:r>
      <w:r w:rsidR="004151E3" w:rsidDel="001B7B8B">
        <w:t xml:space="preserve"> </w:t>
      </w:r>
      <w:r w:rsidR="004151E3">
        <w:t xml:space="preserve">with support for </w:t>
      </w:r>
      <w:r w:rsidR="00CC4601">
        <w:t>PTP</w:t>
      </w:r>
      <w:r w:rsidR="00275375">
        <w:t>/FWA</w:t>
      </w:r>
      <w:bookmarkEnd w:id="135"/>
    </w:p>
    <w:p w14:paraId="3527CD95" w14:textId="5A2ADA23" w:rsidR="00A96F90" w:rsidRDefault="009D06CD" w:rsidP="00AC6904">
      <w:pPr>
        <w:spacing w:after="360"/>
      </w:pPr>
      <w:r>
        <w:t>Option 2</w:t>
      </w:r>
      <w:r w:rsidR="00641668">
        <w:t xml:space="preserve"> </w:t>
      </w:r>
      <w:r w:rsidR="00A96F90">
        <w:t>provides arrangements for</w:t>
      </w:r>
      <w:r w:rsidR="000F4EE0" w:rsidDel="00A96F90">
        <w:t xml:space="preserve"> </w:t>
      </w:r>
      <w:r w:rsidR="000F4EE0">
        <w:t>FSS (both gateway</w:t>
      </w:r>
      <w:r w:rsidR="00A96F90">
        <w:t>s and ubiquitous</w:t>
      </w:r>
      <w:r w:rsidR="000F4EE0">
        <w:t xml:space="preserve">) across the entire 28 GHz band </w:t>
      </w:r>
      <w:r w:rsidR="00A96F90">
        <w:t>as well as support for PTP and FWA</w:t>
      </w:r>
      <w:r w:rsidR="002951ED">
        <w:t xml:space="preserve"> </w:t>
      </w:r>
      <w:r w:rsidR="000F4EE0">
        <w:t xml:space="preserve">in </w:t>
      </w:r>
      <w:r w:rsidR="00A96F90">
        <w:t xml:space="preserve">the </w:t>
      </w:r>
      <w:r w:rsidR="00101B82">
        <w:t>2</w:t>
      </w:r>
      <w:r w:rsidR="000F4EE0">
        <w:t>8.1</w:t>
      </w:r>
      <w:r w:rsidR="00102C69">
        <w:t>–</w:t>
      </w:r>
      <w:r w:rsidR="000F4EE0">
        <w:t xml:space="preserve">28.5 </w:t>
      </w:r>
      <w:r w:rsidR="00A96F90">
        <w:t xml:space="preserve">GHz </w:t>
      </w:r>
      <w:r w:rsidR="000F4EE0">
        <w:t>and 29</w:t>
      </w:r>
      <w:r w:rsidR="00101B82">
        <w:t>.1</w:t>
      </w:r>
      <w:r w:rsidR="00102C69">
        <w:t>–</w:t>
      </w:r>
      <w:r w:rsidR="00101B82">
        <w:t>29.5 GHz</w:t>
      </w:r>
      <w:r w:rsidR="00A96F90">
        <w:t xml:space="preserve"> </w:t>
      </w:r>
      <w:r w:rsidR="00A96F90" w:rsidRPr="00AD7D88">
        <w:t>frequency ranges</w:t>
      </w:r>
      <w:r w:rsidR="00101B82" w:rsidRPr="00AD7D88">
        <w:t>.</w:t>
      </w:r>
      <w:r w:rsidR="00101B82" w:rsidRPr="00AD7D88" w:rsidDel="00A96F90">
        <w:t xml:space="preserve"> </w:t>
      </w:r>
      <w:r w:rsidR="00EA41B6" w:rsidRPr="00AD7D88">
        <w:t xml:space="preserve">Noting there are possible variations to this option, the baseline approach to </w:t>
      </w:r>
      <w:r w:rsidR="00BB796D" w:rsidRPr="00AD7D88">
        <w:t>Option 2 is illustrated in Figure 5 and described in more detail below.</w:t>
      </w:r>
    </w:p>
    <w:p w14:paraId="16F13E51" w14:textId="7ED2EAF1" w:rsidR="00167A92" w:rsidRDefault="00134930" w:rsidP="00167A92">
      <w:pPr>
        <w:pStyle w:val="ACMAFigureHeader"/>
      </w:pPr>
      <w:r>
        <w:t xml:space="preserve">Illustration of </w:t>
      </w:r>
      <w:r w:rsidR="00167A92">
        <w:t>Option 2</w:t>
      </w:r>
      <w:r w:rsidR="00E3531D">
        <w:rPr>
          <w:rStyle w:val="FootnoteReference"/>
        </w:rPr>
        <w:footnoteReference w:id="26"/>
      </w:r>
      <w:r w:rsidR="00E3531D">
        <w:t xml:space="preserve"> </w:t>
      </w:r>
    </w:p>
    <w:p w14:paraId="4D4E0B6D" w14:textId="00E0E2C6" w:rsidR="00360E2F" w:rsidRDefault="00360E2F" w:rsidP="00510F72">
      <w:pPr>
        <w:spacing w:after="120"/>
      </w:pPr>
      <w:r>
        <w:rPr>
          <w:noProof/>
        </w:rPr>
        <w:drawing>
          <wp:inline distT="0" distB="0" distL="0" distR="0" wp14:anchorId="04F1759E" wp14:editId="05743115">
            <wp:extent cx="5850000" cy="1207143"/>
            <wp:effectExtent l="0" t="0" r="0" b="0"/>
            <wp:docPr id="20" name="Picture 20" descr="Illustration of Optio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850000" cy="1207143"/>
                    </a:xfrm>
                    <a:prstGeom prst="rect">
                      <a:avLst/>
                    </a:prstGeom>
                    <a:noFill/>
                  </pic:spPr>
                </pic:pic>
              </a:graphicData>
            </a:graphic>
          </wp:inline>
        </w:drawing>
      </w:r>
    </w:p>
    <w:p w14:paraId="28D4744F" w14:textId="129006DE" w:rsidR="006A2D81" w:rsidRDefault="006A2D81" w:rsidP="005D3186">
      <w:pPr>
        <w:pStyle w:val="ACMANotes"/>
      </w:pPr>
      <w:r w:rsidRPr="0091477B">
        <w:t xml:space="preserve">* </w:t>
      </w:r>
      <w:r w:rsidR="00E33BF8" w:rsidRPr="00E33BF8">
        <w:t xml:space="preserve">This is a possible variation to </w:t>
      </w:r>
      <w:r w:rsidR="00E33BF8">
        <w:t>O</w:t>
      </w:r>
      <w:r w:rsidR="00E33BF8" w:rsidRPr="00E33BF8">
        <w:t xml:space="preserve">ption </w:t>
      </w:r>
      <w:r w:rsidR="00E33BF8">
        <w:t xml:space="preserve">2 </w:t>
      </w:r>
      <w:r w:rsidR="00E33BF8" w:rsidRPr="00E33BF8">
        <w:t>that could be considered</w:t>
      </w:r>
      <w:r w:rsidR="00E33BF8">
        <w:t>. If adopted u</w:t>
      </w:r>
      <w:r w:rsidRPr="0091477B">
        <w:t>biquitous F</w:t>
      </w:r>
      <w:r w:rsidR="00E33BF8">
        <w:t>S</w:t>
      </w:r>
      <w:r w:rsidRPr="0091477B">
        <w:t>S use</w:t>
      </w:r>
      <w:r>
        <w:t xml:space="preserve"> inside</w:t>
      </w:r>
      <w:r w:rsidR="00E33BF8">
        <w:t xml:space="preserve"> large population centres </w:t>
      </w:r>
      <w:r w:rsidRPr="0091477B">
        <w:t>would be on a ‘no interference’ basis and could include additional restrictions on service deployment</w:t>
      </w:r>
      <w:r w:rsidR="00E33BF8">
        <w:t>s</w:t>
      </w:r>
      <w:r w:rsidRPr="0091477B">
        <w:t xml:space="preserve"> to manage interference.</w:t>
      </w:r>
    </w:p>
    <w:p w14:paraId="6A2BDEC4" w14:textId="46BAB630" w:rsidR="00E33BF8" w:rsidRPr="0091477B" w:rsidRDefault="00E33BF8" w:rsidP="005D3186">
      <w:pPr>
        <w:pStyle w:val="ACMANotes"/>
      </w:pPr>
      <w:r w:rsidRPr="0091477B">
        <w:t>*</w:t>
      </w:r>
      <w:r>
        <w:t>*</w:t>
      </w:r>
      <w:r w:rsidRPr="0091477B">
        <w:t xml:space="preserve"> </w:t>
      </w:r>
      <w:r w:rsidRPr="00E33BF8">
        <w:t xml:space="preserve">This is a possible variation to </w:t>
      </w:r>
      <w:r>
        <w:t>O</w:t>
      </w:r>
      <w:r w:rsidRPr="00E33BF8">
        <w:t xml:space="preserve">ption </w:t>
      </w:r>
      <w:r>
        <w:t xml:space="preserve">2 </w:t>
      </w:r>
      <w:r w:rsidRPr="00E33BF8">
        <w:t>that could be considered</w:t>
      </w:r>
      <w:r>
        <w:t>. If adopted PTP/FWA</w:t>
      </w:r>
      <w:r w:rsidRPr="0091477B">
        <w:t xml:space="preserve"> </w:t>
      </w:r>
      <w:r>
        <w:t xml:space="preserve">outside of large population centres </w:t>
      </w:r>
      <w:r w:rsidRPr="0091477B">
        <w:t>would be on a ‘</w:t>
      </w:r>
      <w:r>
        <w:t>no protection’</w:t>
      </w:r>
      <w:r w:rsidRPr="0091477B">
        <w:t xml:space="preserve"> basis </w:t>
      </w:r>
      <w:r>
        <w:t>to ubiquitous FSS use.</w:t>
      </w:r>
    </w:p>
    <w:p w14:paraId="2F593577" w14:textId="37D5B8FD" w:rsidR="00167A92" w:rsidRPr="0091477B" w:rsidRDefault="00167A92" w:rsidP="005D3186">
      <w:pPr>
        <w:pStyle w:val="BodySubHeader"/>
      </w:pPr>
      <w:r w:rsidRPr="0091477B">
        <w:t>27.5</w:t>
      </w:r>
      <w:r w:rsidR="003E3C27">
        <w:t>–</w:t>
      </w:r>
      <w:r w:rsidRPr="0091477B">
        <w:t>28.1 GHz</w:t>
      </w:r>
    </w:p>
    <w:p w14:paraId="1674BE8F" w14:textId="1D268965" w:rsidR="00167A92" w:rsidRDefault="00167A92" w:rsidP="005D3186">
      <w:pPr>
        <w:pStyle w:val="ListBullet"/>
      </w:pPr>
      <w:r w:rsidRPr="00FA520E">
        <w:t>Maintain</w:t>
      </w:r>
      <w:r>
        <w:t xml:space="preserve"> the existing site-based apparatus licensed arrangements for FSS </w:t>
      </w:r>
      <w:r w:rsidR="002E56DE">
        <w:t>gateway</w:t>
      </w:r>
      <w:r w:rsidR="008D640B">
        <w:t>s</w:t>
      </w:r>
      <w:r w:rsidR="002E56DE">
        <w:t xml:space="preserve"> </w:t>
      </w:r>
      <w:r w:rsidR="00CC04C6">
        <w:t>Australia</w:t>
      </w:r>
      <w:r>
        <w:t>-wide</w:t>
      </w:r>
      <w:r w:rsidR="00102C69">
        <w:t>.</w:t>
      </w:r>
    </w:p>
    <w:p w14:paraId="17BF3DC2" w14:textId="08F284F7" w:rsidR="00167A92" w:rsidRDefault="00167A92" w:rsidP="005D3186">
      <w:pPr>
        <w:pStyle w:val="ListBulletLast"/>
      </w:pPr>
      <w:r>
        <w:t xml:space="preserve">Introduce arrangements to support ubiquitous FSS Australia-wide. </w:t>
      </w:r>
    </w:p>
    <w:p w14:paraId="2A25E7D2" w14:textId="24FE3F6A" w:rsidR="00167A92" w:rsidRPr="0091477B" w:rsidRDefault="00167A92" w:rsidP="005D3186">
      <w:pPr>
        <w:pStyle w:val="BodySubHeader"/>
      </w:pPr>
      <w:r w:rsidRPr="0091477B">
        <w:t>28.1</w:t>
      </w:r>
      <w:r w:rsidR="003E3C27">
        <w:t>–</w:t>
      </w:r>
      <w:r w:rsidRPr="0091477B">
        <w:t>-28.5 GHz and 29.1</w:t>
      </w:r>
      <w:r w:rsidR="003E3C27">
        <w:t>–</w:t>
      </w:r>
      <w:r w:rsidRPr="0091477B">
        <w:t>29.5 GHz</w:t>
      </w:r>
    </w:p>
    <w:p w14:paraId="0B3B37F6" w14:textId="48D384AC" w:rsidR="00167A92" w:rsidRPr="00FA520E" w:rsidRDefault="00167A92" w:rsidP="005D3186">
      <w:pPr>
        <w:pStyle w:val="ListBullet"/>
      </w:pPr>
      <w:r w:rsidRPr="00FA520E">
        <w:t xml:space="preserve">Maintain the existing site-based apparatus licensed arrangements for FSS </w:t>
      </w:r>
      <w:r w:rsidR="002E56DE" w:rsidRPr="00FA520E">
        <w:t>gateway</w:t>
      </w:r>
      <w:r w:rsidR="008D640B" w:rsidRPr="00FA520E">
        <w:t>s</w:t>
      </w:r>
      <w:r w:rsidR="002E56DE" w:rsidRPr="00102C69">
        <w:t xml:space="preserve"> </w:t>
      </w:r>
      <w:r w:rsidRPr="00102C69">
        <w:t>Australia-wide</w:t>
      </w:r>
      <w:r w:rsidR="00AF391F">
        <w:t>.</w:t>
      </w:r>
    </w:p>
    <w:p w14:paraId="79DE9595" w14:textId="7595990A" w:rsidR="00167A92" w:rsidRPr="00FA520E" w:rsidRDefault="00167A92" w:rsidP="005D3186">
      <w:pPr>
        <w:pStyle w:val="ListBullet"/>
      </w:pPr>
      <w:r w:rsidRPr="00102C69">
        <w:t xml:space="preserve">Maintain the existing site-based apparatus licensed arrangements for PTP in </w:t>
      </w:r>
      <w:r w:rsidR="006A2D81" w:rsidRPr="00102C69">
        <w:t>large</w:t>
      </w:r>
      <w:r w:rsidRPr="00102C69">
        <w:t xml:space="preserve"> population centres. Existing PTP licences outside these areas would be </w:t>
      </w:r>
      <w:bookmarkStart w:id="136" w:name="_Hlk4073798"/>
      <w:r w:rsidRPr="00102C69">
        <w:t xml:space="preserve">grandfathered </w:t>
      </w:r>
      <w:r w:rsidR="008F1321" w:rsidRPr="00102C69">
        <w:t>for a minimum period</w:t>
      </w:r>
      <w:r w:rsidR="00862E7D" w:rsidRPr="00102C69">
        <w:t xml:space="preserve"> of time</w:t>
      </w:r>
      <w:r w:rsidR="008F1321" w:rsidRPr="00102C69">
        <w:t xml:space="preserve"> </w:t>
      </w:r>
      <w:r w:rsidR="00862E7D" w:rsidRPr="00102C69">
        <w:t>(</w:t>
      </w:r>
      <w:r w:rsidR="00855333" w:rsidRPr="00102C69">
        <w:t>to be determined</w:t>
      </w:r>
      <w:r w:rsidR="00862E7D" w:rsidRPr="00102C69">
        <w:t>)</w:t>
      </w:r>
      <w:r w:rsidR="008F1321" w:rsidRPr="00102C69">
        <w:t xml:space="preserve"> during which they would be</w:t>
      </w:r>
      <w:r w:rsidRPr="00102C69">
        <w:t xml:space="preserve"> </w:t>
      </w:r>
      <w:r w:rsidR="007E6016" w:rsidRPr="00102C69">
        <w:t>provided</w:t>
      </w:r>
      <w:r w:rsidR="001359B2" w:rsidRPr="00102C69">
        <w:t xml:space="preserve"> </w:t>
      </w:r>
      <w:r w:rsidRPr="00102C69">
        <w:t>ongoing protection</w:t>
      </w:r>
      <w:r w:rsidR="00AF391F">
        <w:t>.</w:t>
      </w:r>
      <w:bookmarkEnd w:id="136"/>
    </w:p>
    <w:p w14:paraId="6B1D5E53" w14:textId="071D1DAE" w:rsidR="00167A92" w:rsidRDefault="00167A92" w:rsidP="005D3186">
      <w:pPr>
        <w:pStyle w:val="ListBullet"/>
      </w:pPr>
      <w:r w:rsidRPr="00102C69">
        <w:t xml:space="preserve">Introduce apparatus licensed arrangements for localised or site-based FWA services in </w:t>
      </w:r>
      <w:r w:rsidR="006A2D81" w:rsidRPr="00102C69">
        <w:t>large</w:t>
      </w:r>
      <w:r w:rsidRPr="00102C69">
        <w:t xml:space="preserve"> population</w:t>
      </w:r>
      <w:r>
        <w:t xml:space="preserve"> centres. </w:t>
      </w:r>
      <w:r w:rsidR="00E32442">
        <w:t>Similar</w:t>
      </w:r>
      <w:r>
        <w:t xml:space="preserve"> arrangements as developed for FWA (Type 2 use) in the 26 GHz band </w:t>
      </w:r>
      <w:r w:rsidR="00E32442">
        <w:t>c</w:t>
      </w:r>
      <w:r>
        <w:t>ould be adopted in this case</w:t>
      </w:r>
      <w:r w:rsidR="00AF391F">
        <w:t>.</w:t>
      </w:r>
    </w:p>
    <w:p w14:paraId="591F2C8D" w14:textId="5AE3A702" w:rsidR="00367651" w:rsidRPr="00367651" w:rsidRDefault="00367651" w:rsidP="005D3186">
      <w:pPr>
        <w:pStyle w:val="ListBulletLast"/>
      </w:pPr>
      <w:r>
        <w:t xml:space="preserve">Introduce arrangements to support ubiquitous </w:t>
      </w:r>
      <w:r w:rsidRPr="00367651">
        <w:t xml:space="preserve">FSS outside of </w:t>
      </w:r>
      <w:r w:rsidRPr="0091477B">
        <w:t>large population centres</w:t>
      </w:r>
      <w:r w:rsidRPr="00367651">
        <w:t xml:space="preserve">. </w:t>
      </w:r>
    </w:p>
    <w:p w14:paraId="7A676308" w14:textId="722D95DD" w:rsidR="00167A92" w:rsidRPr="0091477B" w:rsidRDefault="00167A92" w:rsidP="005D3186">
      <w:pPr>
        <w:pStyle w:val="BodySubHeader"/>
      </w:pPr>
      <w:r w:rsidRPr="0091477B">
        <w:t>28.5</w:t>
      </w:r>
      <w:r w:rsidR="003E3C27">
        <w:t>–</w:t>
      </w:r>
      <w:r>
        <w:t>29.1</w:t>
      </w:r>
      <w:r w:rsidRPr="0091477B">
        <w:t xml:space="preserve"> GHz</w:t>
      </w:r>
    </w:p>
    <w:p w14:paraId="6B4F1FEA" w14:textId="59DB3599" w:rsidR="00167A92" w:rsidRDefault="00167A92" w:rsidP="005D3186">
      <w:pPr>
        <w:pStyle w:val="ListBullet"/>
      </w:pPr>
      <w:r>
        <w:t xml:space="preserve">Maintain the </w:t>
      </w:r>
      <w:r w:rsidRPr="00FA520E">
        <w:t>existing</w:t>
      </w:r>
      <w:r>
        <w:t xml:space="preserve"> site-based apparatus licensed arrangements for FSS </w:t>
      </w:r>
      <w:r w:rsidR="002E56DE">
        <w:t>gateway</w:t>
      </w:r>
      <w:r w:rsidR="008D640B">
        <w:t>s</w:t>
      </w:r>
      <w:r w:rsidR="002E56DE">
        <w:t xml:space="preserve"> </w:t>
      </w:r>
      <w:r>
        <w:t>Australia-wide</w:t>
      </w:r>
      <w:r w:rsidR="00AF391F">
        <w:t>.</w:t>
      </w:r>
    </w:p>
    <w:p w14:paraId="55885782" w14:textId="6A8AE92A" w:rsidR="00167A92" w:rsidRPr="00EC08C8" w:rsidRDefault="00167A92" w:rsidP="005D3186">
      <w:pPr>
        <w:pStyle w:val="ListBulletLast"/>
      </w:pPr>
      <w:r>
        <w:t xml:space="preserve">Maintain the existing arrangements for ubiquitous FSS Australia-wide. </w:t>
      </w:r>
    </w:p>
    <w:p w14:paraId="06BB4283" w14:textId="373F8DC0" w:rsidR="00167A92" w:rsidRDefault="00CC04C6" w:rsidP="00167A92">
      <w:r>
        <w:t>As per</w:t>
      </w:r>
      <w:r w:rsidR="00167A92">
        <w:t xml:space="preserve"> Option 1b, a possible variation to Option 2 could be to permit ubiquitous FSS, PTP and FWA (in 28.1</w:t>
      </w:r>
      <w:r w:rsidR="00AF391F">
        <w:t>–</w:t>
      </w:r>
      <w:r w:rsidR="00167A92">
        <w:t>28.5 GHz and 29.1</w:t>
      </w:r>
      <w:r w:rsidR="00AF391F">
        <w:t>–</w:t>
      </w:r>
      <w:r w:rsidR="00167A92">
        <w:t xml:space="preserve">29.5 GHz) to operate Australia-wide but with varying primacy. </w:t>
      </w:r>
      <w:r w:rsidR="00B1547A">
        <w:t>Refer to Option</w:t>
      </w:r>
      <w:r w:rsidR="002D5C69">
        <w:t> </w:t>
      </w:r>
      <w:r w:rsidR="00B1547A">
        <w:t>1b for further discussion on this variation.</w:t>
      </w:r>
    </w:p>
    <w:p w14:paraId="5F483C89" w14:textId="5258CAA6" w:rsidR="00A72B68" w:rsidRDefault="00A72B68" w:rsidP="005D3186">
      <w:pPr>
        <w:pStyle w:val="Heading2"/>
        <w:keepLines/>
      </w:pPr>
      <w:bookmarkStart w:id="137" w:name="_Toc5000082"/>
      <w:r w:rsidRPr="00A05EC9">
        <w:lastRenderedPageBreak/>
        <w:t>Option</w:t>
      </w:r>
      <w:r>
        <w:t xml:space="preserve"> </w:t>
      </w:r>
      <w:r w:rsidR="00A1250B">
        <w:t>3</w:t>
      </w:r>
      <w:r>
        <w:t>: FSS</w:t>
      </w:r>
      <w:r w:rsidR="00DB2D82">
        <w:t xml:space="preserve"> </w:t>
      </w:r>
      <w:r w:rsidR="004151E3">
        <w:t xml:space="preserve">with support for </w:t>
      </w:r>
      <w:r w:rsidR="004E32F3" w:rsidDel="00275375">
        <w:t>FWA</w:t>
      </w:r>
      <w:bookmarkEnd w:id="137"/>
    </w:p>
    <w:p w14:paraId="11D2EC58" w14:textId="1C2DC2B6" w:rsidR="00BB796D" w:rsidRDefault="00BB796D" w:rsidP="005D3186">
      <w:pPr>
        <w:keepNext/>
        <w:keepLines/>
        <w:spacing w:after="120"/>
      </w:pPr>
      <w:r>
        <w:t>Option 3 provides arrangements for FSS (both gateways and ubiquitous) across the entire 28 GHz band as well as support for FWA in the 27.5</w:t>
      </w:r>
      <w:r w:rsidR="00A538CC">
        <w:t>–</w:t>
      </w:r>
      <w:r>
        <w:t>27.9</w:t>
      </w:r>
      <w:r w:rsidR="001D5683">
        <w:t>/28.1</w:t>
      </w:r>
      <w:r>
        <w:t xml:space="preserve"> GHz frequency range. Under this option the current PTP arrangements in the band would be removed. </w:t>
      </w:r>
      <w:r w:rsidR="00AD7D88">
        <w:t xml:space="preserve">Existing PTP licences would </w:t>
      </w:r>
      <w:r w:rsidR="00E32442">
        <w:t xml:space="preserve">then </w:t>
      </w:r>
      <w:r w:rsidR="00AD7D88">
        <w:t xml:space="preserve">be grandfathered for a minimum </w:t>
      </w:r>
      <w:r w:rsidR="00855333">
        <w:t xml:space="preserve">period </w:t>
      </w:r>
      <w:r w:rsidR="00862E7D">
        <w:t>of time (</w:t>
      </w:r>
      <w:r w:rsidR="00855333">
        <w:t>to be determined</w:t>
      </w:r>
      <w:r w:rsidR="00862E7D">
        <w:t>)</w:t>
      </w:r>
      <w:r w:rsidR="00855333">
        <w:t xml:space="preserve"> </w:t>
      </w:r>
      <w:r w:rsidR="00AD7D88">
        <w:t>during which they would be provided ongoing protection.</w:t>
      </w:r>
    </w:p>
    <w:p w14:paraId="60EDE0E5" w14:textId="7C7D6300" w:rsidR="00BB796D" w:rsidRPr="00B963E7" w:rsidRDefault="00BB796D" w:rsidP="005D3186">
      <w:pPr>
        <w:keepNext/>
        <w:keepLines/>
      </w:pPr>
      <w:bookmarkStart w:id="138" w:name="_Hlk3970922"/>
      <w:r>
        <w:t xml:space="preserve">Adoption of this option is predicated on </w:t>
      </w:r>
      <w:r w:rsidR="00AD7D88">
        <w:t xml:space="preserve">the existing </w:t>
      </w:r>
      <w:r>
        <w:t xml:space="preserve">112 MHz </w:t>
      </w:r>
      <w:r w:rsidR="00AD7D88">
        <w:t xml:space="preserve">PTP </w:t>
      </w:r>
      <w:r>
        <w:t xml:space="preserve">channel arrangements in the 28 GHz band being </w:t>
      </w:r>
      <w:r w:rsidR="00AD7D88">
        <w:t>supported</w:t>
      </w:r>
      <w:r>
        <w:t xml:space="preserve"> in another band. As discussed in the </w:t>
      </w:r>
      <w:r w:rsidR="00A538CC">
        <w:t>‘</w:t>
      </w:r>
      <w:r w:rsidRPr="005D3186">
        <w:t>Consideration of spectrum options for PTP</w:t>
      </w:r>
      <w:r w:rsidR="00A538CC">
        <w:t>’</w:t>
      </w:r>
      <w:r>
        <w:t xml:space="preserve"> section of this paper, the ACMA intends to consult on introducing 112 MHz channel arrangements into the 38 GHz band. A decision on </w:t>
      </w:r>
      <w:r w:rsidR="00125AD1">
        <w:t>changes to the 38 GHz band could be made</w:t>
      </w:r>
      <w:r>
        <w:t xml:space="preserve"> </w:t>
      </w:r>
      <w:r w:rsidR="00EA10CE">
        <w:t>early</w:t>
      </w:r>
      <w:r>
        <w:t xml:space="preserve"> </w:t>
      </w:r>
      <w:r w:rsidR="00EA10CE">
        <w:t xml:space="preserve">Q3 </w:t>
      </w:r>
      <w:r>
        <w:t xml:space="preserve">2019 and </w:t>
      </w:r>
      <w:r w:rsidR="00125AD1">
        <w:t>w</w:t>
      </w:r>
      <w:r>
        <w:t xml:space="preserve">ould feed into any decisions </w:t>
      </w:r>
      <w:r w:rsidRPr="00B963E7">
        <w:t>made for the 28 GHz band</w:t>
      </w:r>
      <w:r w:rsidR="00125AD1" w:rsidRPr="00B963E7">
        <w:t>, including the viability of adopting Option 3</w:t>
      </w:r>
      <w:r w:rsidRPr="00B963E7">
        <w:t>.</w:t>
      </w:r>
    </w:p>
    <w:bookmarkEnd w:id="138"/>
    <w:p w14:paraId="40C061F3" w14:textId="2900EAF7" w:rsidR="00BB796D" w:rsidRDefault="00125AD1" w:rsidP="00BB796D">
      <w:pPr>
        <w:spacing w:after="360"/>
      </w:pPr>
      <w:r w:rsidRPr="00B963E7">
        <w:t>O</w:t>
      </w:r>
      <w:r w:rsidR="00BB796D" w:rsidRPr="00B963E7">
        <w:t>ption 3 is illustrated in Figure 6 and</w:t>
      </w:r>
      <w:r w:rsidR="00BB796D">
        <w:t xml:space="preserve"> described in more detail below.</w:t>
      </w:r>
    </w:p>
    <w:p w14:paraId="33852E51" w14:textId="41BC8A43" w:rsidR="00DE5199" w:rsidRDefault="00134930" w:rsidP="00DE5199">
      <w:pPr>
        <w:pStyle w:val="ACMAFigureHeader"/>
      </w:pPr>
      <w:r>
        <w:t>Illustration of Option 3</w:t>
      </w:r>
      <w:r w:rsidR="00AD7D88">
        <w:rPr>
          <w:rStyle w:val="FootnoteReference"/>
        </w:rPr>
        <w:footnoteReference w:id="27"/>
      </w:r>
    </w:p>
    <w:p w14:paraId="54DC02D5" w14:textId="6AF7E782" w:rsidR="00E33BF8" w:rsidRDefault="00B05597" w:rsidP="00B11477">
      <w:pPr>
        <w:pStyle w:val="ACMAFigureHeader"/>
        <w:numPr>
          <w:ilvl w:val="0"/>
          <w:numId w:val="0"/>
        </w:numPr>
        <w:spacing w:after="120"/>
      </w:pPr>
      <w:r w:rsidRPr="00B05597">
        <w:rPr>
          <w:noProof/>
        </w:rPr>
        <w:drawing>
          <wp:inline distT="0" distB="0" distL="0" distR="0" wp14:anchorId="774B5F89" wp14:editId="0D59CED0">
            <wp:extent cx="5849620" cy="1175385"/>
            <wp:effectExtent l="0" t="0" r="0" b="5715"/>
            <wp:docPr id="4" name="Picture 4" descr="Illustration of Optio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849620" cy="1175385"/>
                    </a:xfrm>
                    <a:prstGeom prst="rect">
                      <a:avLst/>
                    </a:prstGeom>
                    <a:noFill/>
                    <a:ln>
                      <a:noFill/>
                    </a:ln>
                  </pic:spPr>
                </pic:pic>
              </a:graphicData>
            </a:graphic>
          </wp:inline>
        </w:drawing>
      </w:r>
    </w:p>
    <w:p w14:paraId="51F06612" w14:textId="0CE60832" w:rsidR="00E33BF8" w:rsidRDefault="00E33BF8" w:rsidP="005D3186">
      <w:pPr>
        <w:pStyle w:val="ACMANotes"/>
      </w:pPr>
      <w:r w:rsidRPr="0091477B">
        <w:t xml:space="preserve">* </w:t>
      </w:r>
      <w:r w:rsidRPr="00E33BF8">
        <w:t xml:space="preserve">This is a possible variation to </w:t>
      </w:r>
      <w:r>
        <w:t>O</w:t>
      </w:r>
      <w:r w:rsidRPr="00E33BF8">
        <w:t xml:space="preserve">ption </w:t>
      </w:r>
      <w:r>
        <w:t xml:space="preserve">3 </w:t>
      </w:r>
      <w:r w:rsidRPr="00E33BF8">
        <w:t>that could be considered</w:t>
      </w:r>
      <w:r>
        <w:t>. If adopted u</w:t>
      </w:r>
      <w:r w:rsidRPr="0091477B">
        <w:t>biquitous F</w:t>
      </w:r>
      <w:r>
        <w:t>S</w:t>
      </w:r>
      <w:r w:rsidRPr="0091477B">
        <w:t>S use</w:t>
      </w:r>
      <w:r>
        <w:t xml:space="preserve"> inside large population centres </w:t>
      </w:r>
      <w:r w:rsidRPr="0091477B">
        <w:t>would be on a ‘no interference’ basis and could include additional restrictions on service deployment</w:t>
      </w:r>
      <w:r>
        <w:t>s</w:t>
      </w:r>
      <w:r w:rsidRPr="0091477B">
        <w:t xml:space="preserve"> to manage interference.</w:t>
      </w:r>
    </w:p>
    <w:p w14:paraId="0E88962F" w14:textId="77777777" w:rsidR="00E33BF8" w:rsidRPr="0091477B" w:rsidRDefault="00E33BF8" w:rsidP="005D3186">
      <w:pPr>
        <w:pStyle w:val="ACMANotes"/>
      </w:pPr>
      <w:r w:rsidRPr="0091477B">
        <w:t>*</w:t>
      </w:r>
      <w:r>
        <w:t>*</w:t>
      </w:r>
      <w:r w:rsidRPr="0091477B">
        <w:t xml:space="preserve"> </w:t>
      </w:r>
      <w:r w:rsidRPr="00E33BF8">
        <w:t xml:space="preserve">This is a possible variation to </w:t>
      </w:r>
      <w:r>
        <w:t>O</w:t>
      </w:r>
      <w:r w:rsidRPr="00E33BF8">
        <w:t xml:space="preserve">ption </w:t>
      </w:r>
      <w:r>
        <w:t xml:space="preserve">2 </w:t>
      </w:r>
      <w:r w:rsidRPr="00E33BF8">
        <w:t>that could be considered</w:t>
      </w:r>
      <w:r>
        <w:t>. If adopted PTP/FWA</w:t>
      </w:r>
      <w:r w:rsidRPr="0091477B">
        <w:t xml:space="preserve"> </w:t>
      </w:r>
      <w:r>
        <w:t xml:space="preserve">outside of large population centres </w:t>
      </w:r>
      <w:r w:rsidRPr="0091477B">
        <w:t>would be on a ‘</w:t>
      </w:r>
      <w:r>
        <w:t>no protection’</w:t>
      </w:r>
      <w:r w:rsidRPr="0091477B">
        <w:t xml:space="preserve"> basis </w:t>
      </w:r>
      <w:r>
        <w:t>to ubiquitous FSS use.</w:t>
      </w:r>
    </w:p>
    <w:p w14:paraId="07A66988" w14:textId="2FB005A2" w:rsidR="00CC04C6" w:rsidRPr="0091477B" w:rsidRDefault="00CC04C6" w:rsidP="005D3186">
      <w:pPr>
        <w:pStyle w:val="BodySubHeader"/>
      </w:pPr>
      <w:r w:rsidRPr="0091477B">
        <w:t>27.5</w:t>
      </w:r>
      <w:r w:rsidR="00A538CC">
        <w:t>–</w:t>
      </w:r>
      <w:r w:rsidRPr="0091477B">
        <w:t>2</w:t>
      </w:r>
      <w:r>
        <w:t>7</w:t>
      </w:r>
      <w:r w:rsidRPr="0091477B">
        <w:t>.</w:t>
      </w:r>
      <w:r>
        <w:t>9</w:t>
      </w:r>
      <w:r w:rsidR="001D5683">
        <w:t>/28.1</w:t>
      </w:r>
      <w:r w:rsidRPr="0091477B">
        <w:t xml:space="preserve"> GHz</w:t>
      </w:r>
    </w:p>
    <w:p w14:paraId="4E1931A6" w14:textId="0ED4E6AE" w:rsidR="00CC04C6" w:rsidRPr="00FA520E" w:rsidRDefault="00CC04C6" w:rsidP="005D3186">
      <w:pPr>
        <w:pStyle w:val="ListBullet"/>
      </w:pPr>
      <w:r>
        <w:t xml:space="preserve">Introduce </w:t>
      </w:r>
      <w:r w:rsidRPr="00FA520E">
        <w:t xml:space="preserve">apparatus licensed arrangements for localised or site-based FWA services in </w:t>
      </w:r>
      <w:r w:rsidR="006A2D81" w:rsidRPr="00FA520E">
        <w:t>large</w:t>
      </w:r>
      <w:r w:rsidRPr="003E3C27">
        <w:t xml:space="preserve"> population centres. </w:t>
      </w:r>
      <w:r w:rsidR="00E32442" w:rsidRPr="003E3C27">
        <w:t>Similar</w:t>
      </w:r>
      <w:r w:rsidRPr="003E3C27">
        <w:t xml:space="preserve"> arrangements as developed for FWA (Type 2 use) in the 26 GHz band </w:t>
      </w:r>
      <w:r w:rsidR="00E32442" w:rsidRPr="003E3C27">
        <w:t>c</w:t>
      </w:r>
      <w:r w:rsidRPr="003E3C27">
        <w:t>ould be adopted in this case</w:t>
      </w:r>
      <w:r w:rsidR="00A538CC">
        <w:t>.</w:t>
      </w:r>
    </w:p>
    <w:p w14:paraId="162B4905" w14:textId="18A257FC" w:rsidR="00CC04C6" w:rsidRDefault="00CC04C6" w:rsidP="005D3186">
      <w:pPr>
        <w:pStyle w:val="ListBullet"/>
      </w:pPr>
      <w:r w:rsidRPr="003E3C27">
        <w:t>Maintain the existing</w:t>
      </w:r>
      <w:r>
        <w:t xml:space="preserve"> site-based apparatus licensed arrangements for FSS </w:t>
      </w:r>
      <w:r w:rsidR="002E56DE">
        <w:t>gateway</w:t>
      </w:r>
      <w:r w:rsidR="008D640B">
        <w:t>s</w:t>
      </w:r>
      <w:r w:rsidR="002E56DE">
        <w:t xml:space="preserve"> </w:t>
      </w:r>
      <w:r>
        <w:t>Australia-wide</w:t>
      </w:r>
      <w:r w:rsidR="00A538CC">
        <w:t>.</w:t>
      </w:r>
      <w:r>
        <w:t xml:space="preserve"> </w:t>
      </w:r>
    </w:p>
    <w:p w14:paraId="159D0AA7" w14:textId="6E1FF09C" w:rsidR="00CC04C6" w:rsidRDefault="00CC04C6" w:rsidP="005D3186">
      <w:pPr>
        <w:pStyle w:val="ListBulletLast"/>
      </w:pPr>
      <w:r>
        <w:t xml:space="preserve">Introduce arrangements to support ubiquitous FSS </w:t>
      </w:r>
      <w:r w:rsidRPr="00367651">
        <w:t>outside of</w:t>
      </w:r>
      <w:r>
        <w:t xml:space="preserve"> </w:t>
      </w:r>
      <w:r w:rsidR="006A2D81" w:rsidRPr="00AC6904">
        <w:t>large</w:t>
      </w:r>
      <w:r w:rsidRPr="00AC6904">
        <w:t xml:space="preserve"> population centres</w:t>
      </w:r>
      <w:r>
        <w:t xml:space="preserve">. </w:t>
      </w:r>
    </w:p>
    <w:p w14:paraId="44AE673C" w14:textId="41B02BF6" w:rsidR="00CC04C6" w:rsidRPr="0091477B" w:rsidRDefault="00CC04C6" w:rsidP="005D3186">
      <w:pPr>
        <w:pStyle w:val="BodySubHeader"/>
      </w:pPr>
      <w:r w:rsidRPr="0091477B">
        <w:t>2</w:t>
      </w:r>
      <w:r>
        <w:t>7.9</w:t>
      </w:r>
      <w:r w:rsidR="001D5683">
        <w:t>/28.1</w:t>
      </w:r>
      <w:r w:rsidR="00A538CC">
        <w:t>–</w:t>
      </w:r>
      <w:r w:rsidRPr="0091477B">
        <w:t>28.5 GHz and 29.1</w:t>
      </w:r>
      <w:r w:rsidR="00A538CC">
        <w:t>–</w:t>
      </w:r>
      <w:r w:rsidRPr="0091477B">
        <w:t>29.5 GHz</w:t>
      </w:r>
    </w:p>
    <w:p w14:paraId="71BB35F8" w14:textId="1E9346A0" w:rsidR="00CC04C6" w:rsidRPr="00FA520E" w:rsidRDefault="00CC04C6" w:rsidP="005D3186">
      <w:pPr>
        <w:pStyle w:val="ListBullet"/>
      </w:pPr>
      <w:r>
        <w:t xml:space="preserve">Maintain the existing site-based </w:t>
      </w:r>
      <w:r w:rsidRPr="00FA520E">
        <w:t xml:space="preserve">apparatus licensed arrangements for FSS </w:t>
      </w:r>
      <w:r w:rsidR="002E56DE" w:rsidRPr="00FA520E">
        <w:t>gateway</w:t>
      </w:r>
      <w:r w:rsidR="008D640B" w:rsidRPr="00A538CC">
        <w:t>s</w:t>
      </w:r>
      <w:r w:rsidR="002E56DE" w:rsidRPr="00A538CC">
        <w:t xml:space="preserve"> </w:t>
      </w:r>
      <w:r w:rsidRPr="00A538CC">
        <w:t>Australia-wide</w:t>
      </w:r>
      <w:r w:rsidR="00A538CC">
        <w:t>.</w:t>
      </w:r>
    </w:p>
    <w:p w14:paraId="64D31FB9" w14:textId="13091BD4" w:rsidR="000744D6" w:rsidRDefault="00CC04C6" w:rsidP="005D3186">
      <w:pPr>
        <w:pStyle w:val="ListBullet"/>
      </w:pPr>
      <w:r w:rsidRPr="00A538CC">
        <w:t xml:space="preserve">Retire the existing site-based apparatus licensed arrangements for PTP Australia-wide. </w:t>
      </w:r>
      <w:r w:rsidR="000744D6" w:rsidRPr="00A538CC">
        <w:t xml:space="preserve">Existing PTP licences would be grandfathered for a minimum </w:t>
      </w:r>
      <w:r w:rsidR="00855333" w:rsidRPr="00A538CC">
        <w:t xml:space="preserve">period </w:t>
      </w:r>
      <w:r w:rsidR="00862E7D" w:rsidRPr="00A538CC">
        <w:t>of time (</w:t>
      </w:r>
      <w:r w:rsidR="00855333" w:rsidRPr="00A538CC">
        <w:t>to be determined</w:t>
      </w:r>
      <w:r w:rsidR="00862E7D" w:rsidRPr="00A538CC">
        <w:t>)</w:t>
      </w:r>
      <w:r w:rsidR="00855333" w:rsidRPr="00A538CC">
        <w:t xml:space="preserve"> </w:t>
      </w:r>
      <w:r w:rsidR="000744D6" w:rsidRPr="00A538CC">
        <w:t>during which they would be provided ongoing</w:t>
      </w:r>
      <w:r w:rsidR="000744D6">
        <w:t xml:space="preserve"> protection</w:t>
      </w:r>
      <w:r w:rsidR="00A538CC">
        <w:t>.</w:t>
      </w:r>
      <w:r w:rsidR="000744D6">
        <w:t xml:space="preserve"> </w:t>
      </w:r>
    </w:p>
    <w:p w14:paraId="3DDFCE63" w14:textId="5A5E7047" w:rsidR="00CC04C6" w:rsidRPr="00AC6904" w:rsidRDefault="00CC04C6" w:rsidP="005D3186">
      <w:pPr>
        <w:pStyle w:val="ListBulletLast"/>
      </w:pPr>
      <w:r w:rsidRPr="00AC6904">
        <w:t xml:space="preserve">Introduce arrangements to support ubiquitous FSS Australia-wide. </w:t>
      </w:r>
    </w:p>
    <w:p w14:paraId="4DFD874D" w14:textId="66152875" w:rsidR="00CC04C6" w:rsidRPr="0091477B" w:rsidRDefault="00CC04C6" w:rsidP="005D3186">
      <w:pPr>
        <w:pStyle w:val="BodySubHeader"/>
      </w:pPr>
      <w:r w:rsidRPr="0091477B">
        <w:t>28.5</w:t>
      </w:r>
      <w:r w:rsidR="00A538CC">
        <w:t>–</w:t>
      </w:r>
      <w:r>
        <w:t>29.1</w:t>
      </w:r>
      <w:r w:rsidRPr="0091477B">
        <w:t xml:space="preserve"> GH</w:t>
      </w:r>
      <w:r w:rsidR="00A538CC">
        <w:t>z</w:t>
      </w:r>
    </w:p>
    <w:p w14:paraId="123C7EED" w14:textId="54BE0637" w:rsidR="00CC04C6" w:rsidRDefault="00CC04C6" w:rsidP="005D3186">
      <w:pPr>
        <w:pStyle w:val="ListBullet"/>
      </w:pPr>
      <w:r>
        <w:t xml:space="preserve">Maintain the existing site-based apparatus licensed arrangements for FSS </w:t>
      </w:r>
      <w:r w:rsidR="002E56DE">
        <w:t>gateway</w:t>
      </w:r>
      <w:r w:rsidR="008D640B">
        <w:t>s</w:t>
      </w:r>
      <w:r w:rsidR="002E56DE">
        <w:t xml:space="preserve"> </w:t>
      </w:r>
      <w:r>
        <w:t>Australia-wide</w:t>
      </w:r>
      <w:r w:rsidR="00A538CC">
        <w:t>.</w:t>
      </w:r>
    </w:p>
    <w:p w14:paraId="35DDF76E" w14:textId="74064B4D" w:rsidR="00CC04C6" w:rsidRPr="00EC08C8" w:rsidRDefault="00CC04C6" w:rsidP="005D3186">
      <w:pPr>
        <w:pStyle w:val="ListBulletLast"/>
      </w:pPr>
      <w:r>
        <w:t xml:space="preserve">Maintain the existing arrangements for ubiquitous FSS Australia-wide. </w:t>
      </w:r>
    </w:p>
    <w:p w14:paraId="5CE971B6" w14:textId="1DAFC1BF" w:rsidR="00510F72" w:rsidRDefault="00CC04C6" w:rsidP="005D3186">
      <w:pPr>
        <w:rPr>
          <w:rFonts w:cs="Arial"/>
          <w:b/>
          <w:bCs/>
          <w:iCs/>
          <w:sz w:val="28"/>
          <w:szCs w:val="28"/>
        </w:rPr>
      </w:pPr>
      <w:r>
        <w:t>As per Option 1b, a possible variation to Option 3 could be to permit ubiquitous FSS and FWA (in 27.5</w:t>
      </w:r>
      <w:r w:rsidR="00A538CC">
        <w:t>–</w:t>
      </w:r>
      <w:r>
        <w:t>27.9</w:t>
      </w:r>
      <w:r w:rsidR="008D640B">
        <w:t>/28.1</w:t>
      </w:r>
      <w:r>
        <w:t xml:space="preserve"> GHz) to operate Australia-wide but with varying primacy. Refer to Option 1b for further discussion on this variation.</w:t>
      </w:r>
    </w:p>
    <w:p w14:paraId="72F50943" w14:textId="638E15DC" w:rsidR="00A1250B" w:rsidRDefault="00A1250B" w:rsidP="005D3186">
      <w:pPr>
        <w:pStyle w:val="Heading2"/>
        <w:keepLines/>
      </w:pPr>
      <w:bookmarkStart w:id="139" w:name="_Toc5000083"/>
      <w:r w:rsidRPr="00A05EC9">
        <w:lastRenderedPageBreak/>
        <w:t>Option</w:t>
      </w:r>
      <w:r>
        <w:t xml:space="preserve"> 4: FSS</w:t>
      </w:r>
      <w:r w:rsidR="00DB2D82">
        <w:t xml:space="preserve"> only</w:t>
      </w:r>
      <w:bookmarkEnd w:id="139"/>
    </w:p>
    <w:p w14:paraId="714396DC" w14:textId="13F16A19" w:rsidR="00F67CF8" w:rsidRDefault="00F67CF8" w:rsidP="005D3186">
      <w:pPr>
        <w:keepNext/>
        <w:keepLines/>
        <w:spacing w:after="120"/>
      </w:pPr>
      <w:r>
        <w:t xml:space="preserve">Option 4 provides arrangements for FSS (both gateways and ubiquitous) across the entire 28 GHz band Australia-wide. Under this option the current PTP arrangements in the band would be removed. </w:t>
      </w:r>
      <w:r w:rsidR="00AD7D88">
        <w:t>Existing PTP licences would</w:t>
      </w:r>
      <w:r w:rsidR="00E32442">
        <w:t xml:space="preserve"> then</w:t>
      </w:r>
      <w:r w:rsidR="00AD7D88">
        <w:t xml:space="preserve"> be grandfathered for a minimum </w:t>
      </w:r>
      <w:r w:rsidR="00855333">
        <w:t xml:space="preserve">period </w:t>
      </w:r>
      <w:r w:rsidR="00862E7D">
        <w:t>of time (</w:t>
      </w:r>
      <w:r w:rsidR="00855333">
        <w:t>to be determined</w:t>
      </w:r>
      <w:r w:rsidR="00862E7D">
        <w:t>)</w:t>
      </w:r>
      <w:r w:rsidR="00855333">
        <w:t xml:space="preserve"> </w:t>
      </w:r>
      <w:r w:rsidR="00AD7D88">
        <w:t>during which they would be provided ongoing protection.</w:t>
      </w:r>
    </w:p>
    <w:p w14:paraId="48FF633E" w14:textId="37C10758" w:rsidR="00F67CF8" w:rsidRPr="00B963E7" w:rsidRDefault="00F67CF8" w:rsidP="005D3186">
      <w:pPr>
        <w:keepNext/>
        <w:keepLines/>
        <w:spacing w:after="120"/>
      </w:pPr>
      <w:r>
        <w:t xml:space="preserve">Adoption of this option is </w:t>
      </w:r>
      <w:r w:rsidR="00AD7D88">
        <w:t>predicated on the existing 112 MHz PTP channel arrangements in the 28 GHz band being supported in another band</w:t>
      </w:r>
      <w:r>
        <w:t xml:space="preserve">. As discussed in the </w:t>
      </w:r>
      <w:r w:rsidR="00BA3D8D">
        <w:t>‘</w:t>
      </w:r>
      <w:r w:rsidRPr="005D3186">
        <w:t>Consideration of spectrum options for PTP</w:t>
      </w:r>
      <w:r w:rsidR="00BA3D8D">
        <w:t>’</w:t>
      </w:r>
      <w:r>
        <w:t xml:space="preserve"> section of this paper, the ACMA intends to consult on introducing 112 MHz channel arrangements into the 38 GHz band. A decision </w:t>
      </w:r>
      <w:r w:rsidRPr="00B963E7">
        <w:t xml:space="preserve">on changes to the 38 GHz band could be made </w:t>
      </w:r>
      <w:r w:rsidR="00EA10CE" w:rsidRPr="00B963E7">
        <w:t xml:space="preserve">early Q3 </w:t>
      </w:r>
      <w:r w:rsidRPr="00B963E7">
        <w:t xml:space="preserve">2019 and </w:t>
      </w:r>
      <w:r w:rsidR="00EA10CE" w:rsidRPr="00B963E7">
        <w:t xml:space="preserve">would </w:t>
      </w:r>
      <w:r w:rsidR="00987E7B" w:rsidRPr="00B963E7">
        <w:t>inform</w:t>
      </w:r>
      <w:r w:rsidRPr="00B963E7">
        <w:t xml:space="preserve"> any decisions made for the 28 GHz band.</w:t>
      </w:r>
      <w:r w:rsidR="0050150D" w:rsidRPr="00B963E7">
        <w:t xml:space="preserve"> </w:t>
      </w:r>
    </w:p>
    <w:p w14:paraId="088F1BF7" w14:textId="3F1615FF" w:rsidR="00F67CF8" w:rsidRDefault="00F67CF8" w:rsidP="00F67CF8">
      <w:pPr>
        <w:spacing w:after="360"/>
      </w:pPr>
      <w:r w:rsidRPr="00B963E7">
        <w:t>Option 4 is illustrated in Figure 7 and described</w:t>
      </w:r>
      <w:r>
        <w:t xml:space="preserve"> in more detail below.</w:t>
      </w:r>
    </w:p>
    <w:p w14:paraId="46AE2B8E" w14:textId="77058EE5" w:rsidR="00DE5199" w:rsidRDefault="00F67CF8" w:rsidP="00DE5199">
      <w:pPr>
        <w:pStyle w:val="ACMAFigureHeader"/>
      </w:pPr>
      <w:r>
        <w:t xml:space="preserve">Illustration of </w:t>
      </w:r>
      <w:r w:rsidR="00EC2F3D" w:rsidDel="00F67CF8">
        <w:t xml:space="preserve">Option 4 </w:t>
      </w:r>
    </w:p>
    <w:p w14:paraId="501618CF" w14:textId="26B30F60" w:rsidR="00157D09" w:rsidRDefault="00372F21" w:rsidP="00955708">
      <w:r w:rsidRPr="00372F21">
        <w:rPr>
          <w:noProof/>
        </w:rPr>
        <w:drawing>
          <wp:inline distT="0" distB="0" distL="0" distR="0" wp14:anchorId="1D284ED7" wp14:editId="073E0FB2">
            <wp:extent cx="5849620" cy="1168400"/>
            <wp:effectExtent l="0" t="0" r="0" b="0"/>
            <wp:docPr id="2" name="Picture 2" descr="Illustration of Optio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849620" cy="1168400"/>
                    </a:xfrm>
                    <a:prstGeom prst="rect">
                      <a:avLst/>
                    </a:prstGeom>
                    <a:noFill/>
                    <a:ln>
                      <a:noFill/>
                    </a:ln>
                  </pic:spPr>
                </pic:pic>
              </a:graphicData>
            </a:graphic>
          </wp:inline>
        </w:drawing>
      </w:r>
    </w:p>
    <w:p w14:paraId="58ECAC5B" w14:textId="79999330" w:rsidR="00F67CF8" w:rsidRPr="0091477B" w:rsidRDefault="00F67CF8" w:rsidP="005D3186">
      <w:pPr>
        <w:pStyle w:val="BodySubHeader"/>
      </w:pPr>
      <w:r w:rsidRPr="0091477B">
        <w:t>27.5</w:t>
      </w:r>
      <w:r w:rsidR="004E338A">
        <w:t>–</w:t>
      </w:r>
      <w:r>
        <w:t>28.1</w:t>
      </w:r>
      <w:r w:rsidRPr="0091477B">
        <w:t xml:space="preserve"> GHz</w:t>
      </w:r>
    </w:p>
    <w:p w14:paraId="441F148D" w14:textId="13B086CF" w:rsidR="00F67CF8" w:rsidRDefault="00F67CF8" w:rsidP="005D3186">
      <w:pPr>
        <w:pStyle w:val="ListBullet"/>
      </w:pPr>
      <w:r>
        <w:t xml:space="preserve">Maintain </w:t>
      </w:r>
      <w:r w:rsidRPr="00FA520E">
        <w:t>the</w:t>
      </w:r>
      <w:r>
        <w:t xml:space="preserve"> existing site-based apparatus licensed arrangements for FSS </w:t>
      </w:r>
      <w:r w:rsidR="002E56DE">
        <w:t>gateway</w:t>
      </w:r>
      <w:r w:rsidR="008D640B">
        <w:t>s</w:t>
      </w:r>
      <w:r w:rsidR="002E56DE">
        <w:t xml:space="preserve"> </w:t>
      </w:r>
      <w:r>
        <w:t>Australia-wide</w:t>
      </w:r>
      <w:r w:rsidR="004E338A">
        <w:t>.</w:t>
      </w:r>
      <w:r>
        <w:t xml:space="preserve"> </w:t>
      </w:r>
    </w:p>
    <w:p w14:paraId="2F7B1109" w14:textId="3083BE50" w:rsidR="00367651" w:rsidRPr="0091477B" w:rsidRDefault="00367651" w:rsidP="005D3186">
      <w:pPr>
        <w:pStyle w:val="ListBulletLast"/>
      </w:pPr>
      <w:r w:rsidRPr="0091477B">
        <w:t xml:space="preserve">Introduce arrangements to support ubiquitous FSS Australia-wide. </w:t>
      </w:r>
    </w:p>
    <w:p w14:paraId="5E7A7BF6" w14:textId="0C603070" w:rsidR="00F67CF8" w:rsidRPr="0091477B" w:rsidRDefault="00F67CF8" w:rsidP="005D3186">
      <w:pPr>
        <w:pStyle w:val="BodySubHeader"/>
      </w:pPr>
      <w:r>
        <w:t>28.1</w:t>
      </w:r>
      <w:r w:rsidR="004E338A">
        <w:t>–</w:t>
      </w:r>
      <w:r w:rsidRPr="0091477B">
        <w:t>28.5 GHz and 29.1</w:t>
      </w:r>
      <w:r w:rsidR="004E338A">
        <w:t>–</w:t>
      </w:r>
      <w:r w:rsidRPr="0091477B">
        <w:t>29.5 GHz</w:t>
      </w:r>
    </w:p>
    <w:p w14:paraId="1BF27EC9" w14:textId="612EFEF8" w:rsidR="00F67CF8" w:rsidRPr="00FA520E" w:rsidRDefault="00F67CF8" w:rsidP="005D3186">
      <w:pPr>
        <w:pStyle w:val="ListBullet"/>
      </w:pPr>
      <w:r>
        <w:t xml:space="preserve">Maintain the existing site-based apparatus licensed arrangements for FSS </w:t>
      </w:r>
      <w:r w:rsidR="002E56DE">
        <w:t>gateway</w:t>
      </w:r>
      <w:r w:rsidR="008D640B">
        <w:t>s</w:t>
      </w:r>
      <w:r w:rsidR="002E56DE">
        <w:t xml:space="preserve"> </w:t>
      </w:r>
      <w:r>
        <w:t>Australia-</w:t>
      </w:r>
      <w:r w:rsidRPr="00FA520E">
        <w:t>wide</w:t>
      </w:r>
      <w:r w:rsidR="004E338A">
        <w:t>.</w:t>
      </w:r>
    </w:p>
    <w:p w14:paraId="40F6A682" w14:textId="62F85878" w:rsidR="00F67CF8" w:rsidRDefault="00F67CF8" w:rsidP="005D3186">
      <w:pPr>
        <w:pStyle w:val="ListBullet"/>
      </w:pPr>
      <w:r w:rsidRPr="004E338A">
        <w:t>Retire the</w:t>
      </w:r>
      <w:r>
        <w:t xml:space="preserve"> existing site-based apparatus licensed arrangements for PTP Australia-wide. Existing PTP licences would be grandfathered and </w:t>
      </w:r>
      <w:r w:rsidR="007E6016">
        <w:t xml:space="preserve">provided </w:t>
      </w:r>
      <w:r>
        <w:t>ongoing protection</w:t>
      </w:r>
      <w:r w:rsidR="004E338A">
        <w:t>.</w:t>
      </w:r>
    </w:p>
    <w:p w14:paraId="2F4EF8C3" w14:textId="4928C7EC" w:rsidR="00367651" w:rsidRPr="0091477B" w:rsidRDefault="00367651" w:rsidP="005D3186">
      <w:pPr>
        <w:pStyle w:val="ListBulletLast"/>
      </w:pPr>
      <w:r w:rsidRPr="0091477B">
        <w:t xml:space="preserve">Introduce arrangements to support ubiquitous FSS Australia-wide. </w:t>
      </w:r>
    </w:p>
    <w:p w14:paraId="35386525" w14:textId="3F094B51" w:rsidR="00F67CF8" w:rsidRPr="0091477B" w:rsidRDefault="00F67CF8" w:rsidP="005D3186">
      <w:pPr>
        <w:pStyle w:val="BodySubHeader"/>
      </w:pPr>
      <w:r w:rsidRPr="0091477B">
        <w:t>28.5</w:t>
      </w:r>
      <w:r w:rsidR="004E338A">
        <w:t>–</w:t>
      </w:r>
      <w:r>
        <w:t>29.1</w:t>
      </w:r>
      <w:r w:rsidRPr="0091477B">
        <w:t xml:space="preserve"> GHz</w:t>
      </w:r>
    </w:p>
    <w:p w14:paraId="4F8D03FF" w14:textId="629B2CAE" w:rsidR="00F67CF8" w:rsidRDefault="00F67CF8" w:rsidP="005D3186">
      <w:pPr>
        <w:pStyle w:val="ListBullet"/>
      </w:pPr>
      <w:r>
        <w:t xml:space="preserve">Maintain </w:t>
      </w:r>
      <w:r w:rsidRPr="00FA520E">
        <w:t>the</w:t>
      </w:r>
      <w:r>
        <w:t xml:space="preserve"> existing site-based apparatus licensed arrangements for FSS </w:t>
      </w:r>
      <w:r w:rsidR="002E56DE">
        <w:t>gateway</w:t>
      </w:r>
      <w:r w:rsidR="008D640B">
        <w:t>s</w:t>
      </w:r>
      <w:r w:rsidR="002E56DE">
        <w:t xml:space="preserve"> </w:t>
      </w:r>
      <w:r>
        <w:t>Australia-wide</w:t>
      </w:r>
      <w:r w:rsidR="004E338A">
        <w:t>.</w:t>
      </w:r>
    </w:p>
    <w:p w14:paraId="6FDF3962" w14:textId="3C8A7FCD" w:rsidR="00F67CF8" w:rsidRPr="00EC08C8" w:rsidRDefault="00F67CF8" w:rsidP="005D3186">
      <w:pPr>
        <w:pStyle w:val="ListBulletLast"/>
      </w:pPr>
      <w:r>
        <w:t xml:space="preserve">Maintain the existing arrangements for ubiquitous FSS Australia-wide. </w:t>
      </w:r>
    </w:p>
    <w:p w14:paraId="76557CD6" w14:textId="77777777" w:rsidR="004A25E9" w:rsidRDefault="004A25E9">
      <w:pPr>
        <w:spacing w:after="0" w:line="240" w:lineRule="auto"/>
        <w:rPr>
          <w:rFonts w:cs="Arial"/>
          <w:b/>
          <w:bCs/>
          <w:iCs/>
          <w:sz w:val="28"/>
          <w:szCs w:val="28"/>
        </w:rPr>
      </w:pPr>
      <w:r>
        <w:br w:type="page"/>
      </w:r>
    </w:p>
    <w:p w14:paraId="261A1BCC" w14:textId="77777777" w:rsidR="00DC6607" w:rsidRDefault="00DC6607" w:rsidP="004839D9">
      <w:pPr>
        <w:pStyle w:val="Heading2"/>
        <w:sectPr w:rsidR="00DC6607" w:rsidSect="0025303E">
          <w:headerReference w:type="even" r:id="rId50"/>
          <w:headerReference w:type="default" r:id="rId51"/>
          <w:footerReference w:type="even" r:id="rId52"/>
          <w:footerReference w:type="default" r:id="rId53"/>
          <w:pgSz w:w="11906" w:h="16838" w:code="9"/>
          <w:pgMar w:top="1945" w:right="1560" w:bottom="1134" w:left="1134" w:header="709" w:footer="119" w:gutter="0"/>
          <w:cols w:space="708"/>
          <w:docGrid w:linePitch="360"/>
        </w:sectPr>
      </w:pPr>
    </w:p>
    <w:p w14:paraId="6A29149C" w14:textId="68170B7A" w:rsidR="006E1CE6" w:rsidRPr="00912366" w:rsidRDefault="007853A6" w:rsidP="00AF1AC4">
      <w:pPr>
        <w:pStyle w:val="Heading2"/>
        <w:spacing w:before="0" w:after="120"/>
      </w:pPr>
      <w:bookmarkStart w:id="140" w:name="_Toc5000084"/>
      <w:r w:rsidRPr="00912366">
        <w:lastRenderedPageBreak/>
        <w:t>Summary of option</w:t>
      </w:r>
      <w:r w:rsidR="006E1CE6" w:rsidRPr="00912366">
        <w:t>s</w:t>
      </w:r>
      <w:bookmarkEnd w:id="140"/>
    </w:p>
    <w:p w14:paraId="57202CB2" w14:textId="32B2A558" w:rsidR="0015455B" w:rsidRPr="009076FC" w:rsidRDefault="0015455B" w:rsidP="00AF1AC4">
      <w:pPr>
        <w:pStyle w:val="ACMATableHeader"/>
        <w:spacing w:after="60"/>
      </w:pPr>
      <w:bookmarkStart w:id="141" w:name="_Hlk4490151"/>
      <w:r>
        <w:t>Summary of options</w:t>
      </w:r>
    </w:p>
    <w:tbl>
      <w:tblPr>
        <w:tblStyle w:val="TableGrid"/>
        <w:tblW w:w="15876" w:type="dxa"/>
        <w:tblInd w:w="-572" w:type="dxa"/>
        <w:tblLayout w:type="fixed"/>
        <w:tblLook w:val="04A0" w:firstRow="1" w:lastRow="0" w:firstColumn="1" w:lastColumn="0" w:noHBand="0" w:noVBand="1"/>
      </w:tblPr>
      <w:tblGrid>
        <w:gridCol w:w="1129"/>
        <w:gridCol w:w="2410"/>
        <w:gridCol w:w="3124"/>
        <w:gridCol w:w="1843"/>
        <w:gridCol w:w="3543"/>
        <w:gridCol w:w="3827"/>
      </w:tblGrid>
      <w:tr w:rsidR="006E1CE6" w14:paraId="7F6286F3" w14:textId="77777777" w:rsidTr="005D3186">
        <w:trPr>
          <w:trHeight w:val="261"/>
        </w:trPr>
        <w:tc>
          <w:tcPr>
            <w:tcW w:w="1129" w:type="dxa"/>
            <w:shd w:val="clear" w:color="auto" w:fill="404040" w:themeFill="text1" w:themeFillTint="BF"/>
            <w:vAlign w:val="center"/>
          </w:tcPr>
          <w:p w14:paraId="4ECAEF33" w14:textId="77777777" w:rsidR="006E1CE6" w:rsidRPr="005D3186" w:rsidRDefault="006E1CE6" w:rsidP="006E1CE6">
            <w:pPr>
              <w:spacing w:after="0"/>
              <w:rPr>
                <w:b/>
                <w:color w:val="FFFFFF" w:themeColor="background1"/>
              </w:rPr>
            </w:pPr>
            <w:r w:rsidRPr="005D3186">
              <w:rPr>
                <w:b/>
                <w:color w:val="FFFFFF" w:themeColor="background1"/>
              </w:rPr>
              <w:t>Option</w:t>
            </w:r>
          </w:p>
        </w:tc>
        <w:tc>
          <w:tcPr>
            <w:tcW w:w="2410" w:type="dxa"/>
            <w:shd w:val="clear" w:color="auto" w:fill="404040" w:themeFill="text1" w:themeFillTint="BF"/>
            <w:vAlign w:val="center"/>
          </w:tcPr>
          <w:p w14:paraId="5A474620" w14:textId="5289326B" w:rsidR="006E1CE6" w:rsidRPr="005D3186" w:rsidRDefault="006E1CE6" w:rsidP="006E1CE6">
            <w:pPr>
              <w:spacing w:after="0"/>
              <w:rPr>
                <w:b/>
                <w:color w:val="FFFFFF" w:themeColor="background1"/>
                <w:vertAlign w:val="superscript"/>
              </w:rPr>
            </w:pPr>
            <w:r w:rsidRPr="005D3186">
              <w:rPr>
                <w:b/>
                <w:color w:val="FFFFFF" w:themeColor="background1"/>
              </w:rPr>
              <w:t>FSS (Gateway)</w:t>
            </w:r>
          </w:p>
        </w:tc>
        <w:tc>
          <w:tcPr>
            <w:tcW w:w="3124" w:type="dxa"/>
            <w:shd w:val="clear" w:color="auto" w:fill="404040" w:themeFill="text1" w:themeFillTint="BF"/>
            <w:vAlign w:val="center"/>
          </w:tcPr>
          <w:p w14:paraId="7B5A2837" w14:textId="23CCCCF7" w:rsidR="006E1CE6" w:rsidRPr="005D3186" w:rsidRDefault="006E1CE6" w:rsidP="006E1CE6">
            <w:pPr>
              <w:spacing w:after="0"/>
              <w:rPr>
                <w:b/>
                <w:color w:val="FFFFFF" w:themeColor="background1"/>
                <w:vertAlign w:val="superscript"/>
              </w:rPr>
            </w:pPr>
            <w:r w:rsidRPr="005D3186">
              <w:rPr>
                <w:b/>
                <w:color w:val="FFFFFF" w:themeColor="background1"/>
              </w:rPr>
              <w:t>FSS (ubiquitous)</w:t>
            </w:r>
          </w:p>
        </w:tc>
        <w:tc>
          <w:tcPr>
            <w:tcW w:w="1843" w:type="dxa"/>
            <w:shd w:val="clear" w:color="auto" w:fill="404040" w:themeFill="text1" w:themeFillTint="BF"/>
            <w:vAlign w:val="center"/>
          </w:tcPr>
          <w:p w14:paraId="4CC5CA14" w14:textId="452DF86C" w:rsidR="006E1CE6" w:rsidRPr="005D3186" w:rsidRDefault="006E1CE6" w:rsidP="006E1CE6">
            <w:pPr>
              <w:spacing w:after="0"/>
              <w:rPr>
                <w:b/>
                <w:color w:val="FFFFFF" w:themeColor="background1"/>
              </w:rPr>
            </w:pPr>
            <w:r w:rsidRPr="005D3186">
              <w:rPr>
                <w:b/>
                <w:color w:val="FFFFFF" w:themeColor="background1"/>
              </w:rPr>
              <w:t>W</w:t>
            </w:r>
            <w:r w:rsidR="00F60E47" w:rsidRPr="005D3186">
              <w:rPr>
                <w:b/>
                <w:color w:val="FFFFFF" w:themeColor="background1"/>
              </w:rPr>
              <w:t>W</w:t>
            </w:r>
            <w:r w:rsidRPr="005D3186">
              <w:rPr>
                <w:b/>
                <w:color w:val="FFFFFF" w:themeColor="background1"/>
              </w:rPr>
              <w:t>B</w:t>
            </w:r>
          </w:p>
        </w:tc>
        <w:tc>
          <w:tcPr>
            <w:tcW w:w="3543" w:type="dxa"/>
            <w:shd w:val="clear" w:color="auto" w:fill="404040" w:themeFill="text1" w:themeFillTint="BF"/>
            <w:vAlign w:val="center"/>
          </w:tcPr>
          <w:p w14:paraId="5AE64418" w14:textId="79D3DBCF" w:rsidR="006E1CE6" w:rsidRPr="005D3186" w:rsidRDefault="006E1CE6" w:rsidP="006E1CE6">
            <w:pPr>
              <w:spacing w:after="0"/>
              <w:rPr>
                <w:b/>
                <w:color w:val="FFFFFF" w:themeColor="background1"/>
              </w:rPr>
            </w:pPr>
            <w:r w:rsidRPr="005D3186">
              <w:rPr>
                <w:b/>
                <w:color w:val="FFFFFF" w:themeColor="background1"/>
              </w:rPr>
              <w:t xml:space="preserve">FWA </w:t>
            </w:r>
          </w:p>
        </w:tc>
        <w:tc>
          <w:tcPr>
            <w:tcW w:w="3827" w:type="dxa"/>
            <w:shd w:val="clear" w:color="auto" w:fill="404040" w:themeFill="text1" w:themeFillTint="BF"/>
            <w:vAlign w:val="center"/>
          </w:tcPr>
          <w:p w14:paraId="4ECF3CF6" w14:textId="58587148" w:rsidR="006E1CE6" w:rsidRPr="005D3186" w:rsidRDefault="006E1CE6" w:rsidP="006E1CE6">
            <w:pPr>
              <w:spacing w:after="0"/>
              <w:rPr>
                <w:b/>
                <w:color w:val="FFFFFF" w:themeColor="background1"/>
                <w:vertAlign w:val="superscript"/>
              </w:rPr>
            </w:pPr>
            <w:r w:rsidRPr="005D3186">
              <w:rPr>
                <w:b/>
                <w:color w:val="FFFFFF" w:themeColor="background1"/>
              </w:rPr>
              <w:t>PTP</w:t>
            </w:r>
          </w:p>
        </w:tc>
      </w:tr>
      <w:tr w:rsidR="006E1CE6" w14:paraId="39C8F792" w14:textId="77777777" w:rsidTr="00AF1AC4">
        <w:trPr>
          <w:trHeight w:val="512"/>
        </w:trPr>
        <w:tc>
          <w:tcPr>
            <w:tcW w:w="1129" w:type="dxa"/>
          </w:tcPr>
          <w:p w14:paraId="01E01377" w14:textId="77777777" w:rsidR="006E1CE6" w:rsidRPr="00AC6904" w:rsidRDefault="006E1CE6" w:rsidP="005D3186">
            <w:pPr>
              <w:pStyle w:val="TableBody"/>
              <w:spacing w:after="60"/>
            </w:pPr>
            <w:r w:rsidRPr="00AC6904">
              <w:t>Option 1a</w:t>
            </w:r>
          </w:p>
        </w:tc>
        <w:tc>
          <w:tcPr>
            <w:tcW w:w="2410" w:type="dxa"/>
            <w:tcMar>
              <w:left w:w="57" w:type="dxa"/>
              <w:right w:w="57" w:type="dxa"/>
            </w:tcMar>
          </w:tcPr>
          <w:p w14:paraId="0C576106" w14:textId="760DE946" w:rsidR="006E1CE6" w:rsidRPr="00AC6904" w:rsidRDefault="006E1CE6" w:rsidP="005D3186">
            <w:pPr>
              <w:pStyle w:val="TableBody"/>
              <w:spacing w:after="60"/>
              <w:rPr>
                <w:u w:val="single"/>
              </w:rPr>
            </w:pPr>
            <w:r w:rsidRPr="00AC6904">
              <w:rPr>
                <w:u w:val="single"/>
              </w:rPr>
              <w:t>27.5</w:t>
            </w:r>
            <w:r w:rsidR="000E5C12">
              <w:rPr>
                <w:u w:val="single"/>
              </w:rPr>
              <w:t>–</w:t>
            </w:r>
            <w:r w:rsidRPr="00AC6904">
              <w:rPr>
                <w:u w:val="single"/>
              </w:rPr>
              <w:t>28.1 GHz</w:t>
            </w:r>
          </w:p>
          <w:p w14:paraId="0F31DDC7" w14:textId="77777777" w:rsidR="006E1CE6" w:rsidRPr="00AC6904" w:rsidRDefault="006E1CE6" w:rsidP="005D3186">
            <w:pPr>
              <w:pStyle w:val="TableBody"/>
              <w:spacing w:after="60"/>
            </w:pPr>
            <w:r w:rsidRPr="00AC6904">
              <w:t xml:space="preserve">Allocation outside spectrum licensed areas </w:t>
            </w:r>
          </w:p>
          <w:p w14:paraId="0715E76A" w14:textId="0EBB0903" w:rsidR="006E1CE6" w:rsidRPr="00AC6904" w:rsidRDefault="006E1CE6" w:rsidP="005D3186">
            <w:pPr>
              <w:pStyle w:val="TableBody"/>
              <w:spacing w:after="60"/>
              <w:rPr>
                <w:u w:val="single"/>
              </w:rPr>
            </w:pPr>
            <w:r w:rsidRPr="00AC6904">
              <w:rPr>
                <w:u w:val="single"/>
              </w:rPr>
              <w:t>28.1</w:t>
            </w:r>
            <w:r w:rsidR="000E5C12">
              <w:rPr>
                <w:u w:val="single"/>
              </w:rPr>
              <w:t>–</w:t>
            </w:r>
            <w:r w:rsidRPr="00AC6904">
              <w:rPr>
                <w:u w:val="single"/>
              </w:rPr>
              <w:t>29.5 GHz</w:t>
            </w:r>
          </w:p>
          <w:p w14:paraId="6E5B86B7" w14:textId="77777777" w:rsidR="006E1CE6" w:rsidRPr="00AC6904" w:rsidRDefault="006E1CE6" w:rsidP="005D3186">
            <w:pPr>
              <w:pStyle w:val="TableBody"/>
              <w:spacing w:after="60"/>
            </w:pPr>
            <w:r w:rsidRPr="00AC6904">
              <w:t xml:space="preserve">Allocation Australia-wide </w:t>
            </w:r>
          </w:p>
        </w:tc>
        <w:tc>
          <w:tcPr>
            <w:tcW w:w="3124" w:type="dxa"/>
            <w:tcMar>
              <w:left w:w="57" w:type="dxa"/>
              <w:right w:w="57" w:type="dxa"/>
            </w:tcMar>
          </w:tcPr>
          <w:p w14:paraId="484BFB53" w14:textId="38555ED4" w:rsidR="006E1CE6" w:rsidRPr="00AC6904" w:rsidRDefault="006E1CE6" w:rsidP="005D3186">
            <w:pPr>
              <w:pStyle w:val="TableBody"/>
              <w:spacing w:after="60"/>
              <w:rPr>
                <w:u w:val="single"/>
              </w:rPr>
            </w:pPr>
            <w:r w:rsidRPr="00AC6904">
              <w:rPr>
                <w:u w:val="single"/>
              </w:rPr>
              <w:t>27.5</w:t>
            </w:r>
            <w:r w:rsidR="000E5C12">
              <w:rPr>
                <w:u w:val="single"/>
              </w:rPr>
              <w:t>–</w:t>
            </w:r>
            <w:r w:rsidRPr="00AC6904">
              <w:rPr>
                <w:u w:val="single"/>
              </w:rPr>
              <w:t xml:space="preserve"> 28.1 GHz</w:t>
            </w:r>
          </w:p>
          <w:p w14:paraId="25F5837C" w14:textId="77777777" w:rsidR="006E1CE6" w:rsidRPr="00AC6904" w:rsidRDefault="006E1CE6" w:rsidP="005D3186">
            <w:pPr>
              <w:pStyle w:val="TableBody"/>
              <w:spacing w:after="60"/>
            </w:pPr>
            <w:r w:rsidRPr="00AC6904">
              <w:t>Allocation outside spectrum licensed areas</w:t>
            </w:r>
          </w:p>
          <w:p w14:paraId="56C1E7D7" w14:textId="7CBCBD4E" w:rsidR="006E1CE6" w:rsidRPr="00AC6904" w:rsidRDefault="006E1CE6" w:rsidP="005D3186">
            <w:pPr>
              <w:pStyle w:val="TableBody"/>
              <w:spacing w:after="60"/>
              <w:rPr>
                <w:u w:val="single"/>
              </w:rPr>
            </w:pPr>
            <w:r w:rsidRPr="00AC6904">
              <w:rPr>
                <w:u w:val="single"/>
              </w:rPr>
              <w:t>28.1</w:t>
            </w:r>
            <w:r w:rsidR="000E5C12">
              <w:rPr>
                <w:u w:val="single"/>
              </w:rPr>
              <w:t>–</w:t>
            </w:r>
            <w:r w:rsidRPr="00AC6904">
              <w:rPr>
                <w:u w:val="single"/>
              </w:rPr>
              <w:t>28.5 GHz &amp; 29.1</w:t>
            </w:r>
            <w:r w:rsidR="000E5C12">
              <w:rPr>
                <w:u w:val="single"/>
              </w:rPr>
              <w:t>–</w:t>
            </w:r>
            <w:r w:rsidRPr="00AC6904">
              <w:rPr>
                <w:u w:val="single"/>
              </w:rPr>
              <w:t>29.5 GHz</w:t>
            </w:r>
          </w:p>
          <w:p w14:paraId="67E7FAFF" w14:textId="77777777" w:rsidR="006E1CE6" w:rsidRPr="00AC6904" w:rsidRDefault="006E1CE6" w:rsidP="005D3186">
            <w:pPr>
              <w:pStyle w:val="TableBody"/>
              <w:spacing w:after="60"/>
            </w:pPr>
            <w:r w:rsidRPr="00AC6904">
              <w:t xml:space="preserve">Allocation Australia-wide (restrictions apply) </w:t>
            </w:r>
          </w:p>
          <w:p w14:paraId="4994E4F3" w14:textId="6FB75AF6" w:rsidR="006E1CE6" w:rsidRPr="00AC6904" w:rsidRDefault="006E1CE6" w:rsidP="005D3186">
            <w:pPr>
              <w:pStyle w:val="TableBody"/>
              <w:spacing w:after="60"/>
              <w:rPr>
                <w:u w:val="single"/>
              </w:rPr>
            </w:pPr>
            <w:r w:rsidRPr="00AC6904">
              <w:rPr>
                <w:u w:val="single"/>
              </w:rPr>
              <w:t>28.</w:t>
            </w:r>
            <w:r w:rsidR="0077069B">
              <w:rPr>
                <w:u w:val="single"/>
              </w:rPr>
              <w:t>5</w:t>
            </w:r>
            <w:r w:rsidR="000E5C12">
              <w:rPr>
                <w:u w:val="single"/>
              </w:rPr>
              <w:t>–</w:t>
            </w:r>
            <w:r w:rsidRPr="00AC6904">
              <w:rPr>
                <w:u w:val="single"/>
              </w:rPr>
              <w:t>29.1 GHz</w:t>
            </w:r>
          </w:p>
          <w:p w14:paraId="70200FB9" w14:textId="77777777" w:rsidR="006E1CE6" w:rsidRPr="00AC6904" w:rsidRDefault="006E1CE6" w:rsidP="005D3186">
            <w:pPr>
              <w:pStyle w:val="TableBody"/>
              <w:spacing w:after="60"/>
            </w:pPr>
            <w:r w:rsidRPr="00AC6904">
              <w:t xml:space="preserve">Allocation Australia-wide </w:t>
            </w:r>
          </w:p>
        </w:tc>
        <w:tc>
          <w:tcPr>
            <w:tcW w:w="1843" w:type="dxa"/>
            <w:tcMar>
              <w:left w:w="57" w:type="dxa"/>
              <w:right w:w="57" w:type="dxa"/>
            </w:tcMar>
          </w:tcPr>
          <w:p w14:paraId="1908170F" w14:textId="6829727F" w:rsidR="006E1CE6" w:rsidRPr="00AC6904" w:rsidRDefault="006E1CE6" w:rsidP="005D3186">
            <w:pPr>
              <w:pStyle w:val="TableBody"/>
              <w:spacing w:after="60"/>
              <w:rPr>
                <w:u w:val="single"/>
              </w:rPr>
            </w:pPr>
            <w:r w:rsidRPr="00AC6904">
              <w:rPr>
                <w:u w:val="single"/>
              </w:rPr>
              <w:t>27.5</w:t>
            </w:r>
            <w:r w:rsidR="000E5C12">
              <w:rPr>
                <w:u w:val="single"/>
              </w:rPr>
              <w:t>–</w:t>
            </w:r>
            <w:r w:rsidRPr="00AC6904">
              <w:rPr>
                <w:u w:val="single"/>
              </w:rPr>
              <w:t xml:space="preserve"> 28.1 GHz</w:t>
            </w:r>
          </w:p>
          <w:p w14:paraId="66694ED2" w14:textId="6E4A5DB6" w:rsidR="006E1CE6" w:rsidRPr="00AC6904" w:rsidRDefault="00A936DB" w:rsidP="005D3186">
            <w:pPr>
              <w:pStyle w:val="TableBody"/>
              <w:spacing w:after="60"/>
            </w:pPr>
            <w:r>
              <w:t>Possible use</w:t>
            </w:r>
            <w:r w:rsidR="006E1CE6" w:rsidRPr="00AC6904">
              <w:t xml:space="preserve"> inside </w:t>
            </w:r>
            <w:r w:rsidR="007D5E56">
              <w:t>areas re-allocated/ designated for spectrum licensing</w:t>
            </w:r>
          </w:p>
          <w:p w14:paraId="7101CD37" w14:textId="77777777" w:rsidR="006E1CE6" w:rsidRPr="00AC6904" w:rsidRDefault="006E1CE6" w:rsidP="005D3186">
            <w:pPr>
              <w:pStyle w:val="TableBody"/>
              <w:spacing w:after="60"/>
            </w:pPr>
          </w:p>
        </w:tc>
        <w:tc>
          <w:tcPr>
            <w:tcW w:w="3543" w:type="dxa"/>
            <w:tcMar>
              <w:left w:w="57" w:type="dxa"/>
              <w:right w:w="57" w:type="dxa"/>
            </w:tcMar>
          </w:tcPr>
          <w:p w14:paraId="6D2AABA4" w14:textId="22AD72CD" w:rsidR="006E1CE6" w:rsidRPr="00AC6904" w:rsidRDefault="006E1CE6" w:rsidP="005D3186">
            <w:pPr>
              <w:pStyle w:val="TableBody"/>
              <w:spacing w:after="60"/>
              <w:rPr>
                <w:u w:val="single"/>
              </w:rPr>
            </w:pPr>
            <w:r w:rsidRPr="00AC6904">
              <w:rPr>
                <w:u w:val="single"/>
              </w:rPr>
              <w:t>28.1</w:t>
            </w:r>
            <w:r w:rsidR="000E5C12">
              <w:rPr>
                <w:u w:val="single"/>
              </w:rPr>
              <w:t>–</w:t>
            </w:r>
            <w:r w:rsidRPr="00AC6904">
              <w:rPr>
                <w:u w:val="single"/>
              </w:rPr>
              <w:t>28.5 GHz &amp; 29.1</w:t>
            </w:r>
            <w:r w:rsidR="000E5C12">
              <w:rPr>
                <w:u w:val="single"/>
              </w:rPr>
              <w:t>–</w:t>
            </w:r>
            <w:r w:rsidRPr="00AC6904">
              <w:rPr>
                <w:u w:val="single"/>
              </w:rPr>
              <w:t>29.5 GHz</w:t>
            </w:r>
          </w:p>
          <w:p w14:paraId="1907ABBD" w14:textId="77777777" w:rsidR="006E1CE6" w:rsidRPr="00AC6904" w:rsidRDefault="006E1CE6" w:rsidP="005D3186">
            <w:pPr>
              <w:pStyle w:val="TableBody"/>
              <w:spacing w:after="60"/>
            </w:pPr>
            <w:r w:rsidRPr="00AC6904">
              <w:t xml:space="preserve">Allocation Australia-wide </w:t>
            </w:r>
          </w:p>
        </w:tc>
        <w:tc>
          <w:tcPr>
            <w:tcW w:w="3827" w:type="dxa"/>
            <w:tcMar>
              <w:left w:w="57" w:type="dxa"/>
              <w:right w:w="57" w:type="dxa"/>
            </w:tcMar>
          </w:tcPr>
          <w:p w14:paraId="5654408F" w14:textId="45CC27ED" w:rsidR="006E1CE6" w:rsidRPr="00AC6904" w:rsidRDefault="006E1CE6" w:rsidP="005D3186">
            <w:pPr>
              <w:pStyle w:val="TableBody"/>
              <w:spacing w:after="60"/>
              <w:rPr>
                <w:u w:val="single"/>
              </w:rPr>
            </w:pPr>
            <w:r w:rsidRPr="00AC6904">
              <w:rPr>
                <w:u w:val="single"/>
              </w:rPr>
              <w:t>28.1</w:t>
            </w:r>
            <w:r w:rsidR="000E5C12">
              <w:rPr>
                <w:u w:val="single"/>
              </w:rPr>
              <w:t>–</w:t>
            </w:r>
            <w:r w:rsidRPr="00AC6904">
              <w:rPr>
                <w:u w:val="single"/>
              </w:rPr>
              <w:t>28.5 GHz &amp; 29.1</w:t>
            </w:r>
            <w:r w:rsidR="000E5C12">
              <w:rPr>
                <w:u w:val="single"/>
              </w:rPr>
              <w:t>–</w:t>
            </w:r>
            <w:r w:rsidRPr="00AC6904">
              <w:rPr>
                <w:u w:val="single"/>
              </w:rPr>
              <w:t>29.5 GHz</w:t>
            </w:r>
          </w:p>
          <w:p w14:paraId="793D920D" w14:textId="77777777" w:rsidR="006E1CE6" w:rsidRPr="00AC6904" w:rsidRDefault="006E1CE6" w:rsidP="005D3186">
            <w:pPr>
              <w:pStyle w:val="TableBody"/>
              <w:spacing w:after="60"/>
            </w:pPr>
            <w:r w:rsidRPr="00AC6904">
              <w:t xml:space="preserve">Allocation Australia-wide </w:t>
            </w:r>
          </w:p>
          <w:p w14:paraId="4A18F056" w14:textId="77777777" w:rsidR="006E1CE6" w:rsidRPr="00AC6904" w:rsidRDefault="006E1CE6" w:rsidP="005D3186">
            <w:pPr>
              <w:pStyle w:val="TableBody"/>
              <w:spacing w:after="60"/>
            </w:pPr>
          </w:p>
        </w:tc>
      </w:tr>
      <w:tr w:rsidR="006E1CE6" w14:paraId="1BA4D0A7" w14:textId="77777777" w:rsidTr="00AF1AC4">
        <w:trPr>
          <w:trHeight w:val="512"/>
        </w:trPr>
        <w:tc>
          <w:tcPr>
            <w:tcW w:w="1129" w:type="dxa"/>
          </w:tcPr>
          <w:p w14:paraId="6DCE7E31" w14:textId="77777777" w:rsidR="006E1CE6" w:rsidRPr="00AC6904" w:rsidRDefault="006E1CE6" w:rsidP="005D3186">
            <w:pPr>
              <w:pStyle w:val="TableBody"/>
              <w:spacing w:after="60"/>
            </w:pPr>
            <w:r w:rsidRPr="00AC6904">
              <w:t>Option 1b</w:t>
            </w:r>
          </w:p>
        </w:tc>
        <w:tc>
          <w:tcPr>
            <w:tcW w:w="2410" w:type="dxa"/>
            <w:tcMar>
              <w:left w:w="57" w:type="dxa"/>
              <w:right w:w="57" w:type="dxa"/>
            </w:tcMar>
          </w:tcPr>
          <w:p w14:paraId="25CC1C0F" w14:textId="442486D7" w:rsidR="006E1CE6" w:rsidRPr="00AC6904" w:rsidRDefault="006E1CE6" w:rsidP="005D3186">
            <w:pPr>
              <w:pStyle w:val="TableBody"/>
              <w:spacing w:after="60"/>
              <w:rPr>
                <w:u w:val="single"/>
              </w:rPr>
            </w:pPr>
            <w:r w:rsidRPr="00AC6904">
              <w:rPr>
                <w:u w:val="single"/>
              </w:rPr>
              <w:t>27.5</w:t>
            </w:r>
            <w:r w:rsidR="000E5C12">
              <w:rPr>
                <w:u w:val="single"/>
              </w:rPr>
              <w:t>–</w:t>
            </w:r>
            <w:r w:rsidRPr="00AC6904">
              <w:rPr>
                <w:u w:val="single"/>
              </w:rPr>
              <w:t>28.1 GHz</w:t>
            </w:r>
          </w:p>
          <w:p w14:paraId="225D217A" w14:textId="77777777" w:rsidR="006E1CE6" w:rsidRPr="00AC6904" w:rsidRDefault="006E1CE6" w:rsidP="005D3186">
            <w:pPr>
              <w:pStyle w:val="TableBody"/>
              <w:spacing w:after="60"/>
            </w:pPr>
            <w:r w:rsidRPr="00AC6904">
              <w:t xml:space="preserve">Allocation outside spectrum licensed areas </w:t>
            </w:r>
          </w:p>
          <w:p w14:paraId="69D9F75F" w14:textId="4855B47B" w:rsidR="006E1CE6" w:rsidRPr="00AC6904" w:rsidRDefault="006E1CE6" w:rsidP="005D3186">
            <w:pPr>
              <w:pStyle w:val="TableBody"/>
              <w:spacing w:after="60"/>
              <w:rPr>
                <w:u w:val="single"/>
              </w:rPr>
            </w:pPr>
            <w:r w:rsidRPr="00AC6904">
              <w:rPr>
                <w:u w:val="single"/>
              </w:rPr>
              <w:t>28.1</w:t>
            </w:r>
            <w:r w:rsidR="000E5C12">
              <w:rPr>
                <w:u w:val="single"/>
              </w:rPr>
              <w:t>–</w:t>
            </w:r>
            <w:r w:rsidRPr="00AC6904">
              <w:rPr>
                <w:u w:val="single"/>
              </w:rPr>
              <w:t>29.5 GHz</w:t>
            </w:r>
          </w:p>
          <w:p w14:paraId="69F3DE3C" w14:textId="77777777" w:rsidR="006E1CE6" w:rsidRPr="00AC6904" w:rsidRDefault="006E1CE6" w:rsidP="005D3186">
            <w:pPr>
              <w:pStyle w:val="TableBody"/>
              <w:spacing w:after="60"/>
            </w:pPr>
            <w:r w:rsidRPr="00AC6904">
              <w:t xml:space="preserve">Allocation Australia-wide </w:t>
            </w:r>
          </w:p>
        </w:tc>
        <w:tc>
          <w:tcPr>
            <w:tcW w:w="3124" w:type="dxa"/>
            <w:tcMar>
              <w:left w:w="57" w:type="dxa"/>
              <w:right w:w="57" w:type="dxa"/>
            </w:tcMar>
          </w:tcPr>
          <w:p w14:paraId="4BA1A51F" w14:textId="1AF9AC60" w:rsidR="006E1CE6" w:rsidRPr="00AC6904" w:rsidRDefault="006E1CE6" w:rsidP="005D3186">
            <w:pPr>
              <w:pStyle w:val="TableBody"/>
              <w:spacing w:after="60"/>
              <w:rPr>
                <w:u w:val="single"/>
              </w:rPr>
            </w:pPr>
            <w:r w:rsidRPr="00AC6904">
              <w:rPr>
                <w:u w:val="single"/>
              </w:rPr>
              <w:t>27.5</w:t>
            </w:r>
            <w:r w:rsidR="000E5C12">
              <w:rPr>
                <w:u w:val="single"/>
              </w:rPr>
              <w:t>–</w:t>
            </w:r>
            <w:r w:rsidRPr="00AC6904">
              <w:rPr>
                <w:u w:val="single"/>
              </w:rPr>
              <w:t xml:space="preserve"> 28.1 GHz</w:t>
            </w:r>
          </w:p>
          <w:p w14:paraId="134883BC" w14:textId="77777777" w:rsidR="006E1CE6" w:rsidRPr="00AC6904" w:rsidRDefault="006E1CE6" w:rsidP="005D3186">
            <w:pPr>
              <w:pStyle w:val="TableBody"/>
              <w:spacing w:after="60"/>
            </w:pPr>
            <w:r w:rsidRPr="00AC6904">
              <w:t>Allocation outside spectrum licensed areas</w:t>
            </w:r>
          </w:p>
          <w:p w14:paraId="5FF2853B" w14:textId="51A91C4D" w:rsidR="006E1CE6" w:rsidRPr="00AC6904" w:rsidRDefault="006E1CE6" w:rsidP="005D3186">
            <w:pPr>
              <w:pStyle w:val="TableBody"/>
              <w:spacing w:after="60"/>
              <w:rPr>
                <w:u w:val="single"/>
              </w:rPr>
            </w:pPr>
            <w:r w:rsidRPr="00AC6904">
              <w:rPr>
                <w:u w:val="single"/>
              </w:rPr>
              <w:t>28.1</w:t>
            </w:r>
            <w:r w:rsidR="000E5C12">
              <w:rPr>
                <w:u w:val="single"/>
              </w:rPr>
              <w:t>–</w:t>
            </w:r>
            <w:r w:rsidRPr="00AC6904">
              <w:rPr>
                <w:u w:val="single"/>
              </w:rPr>
              <w:t>28.5 GHz &amp; 29.1</w:t>
            </w:r>
            <w:r w:rsidR="000E5C12">
              <w:rPr>
                <w:u w:val="single"/>
              </w:rPr>
              <w:t>–</w:t>
            </w:r>
            <w:r w:rsidRPr="00AC6904">
              <w:rPr>
                <w:u w:val="single"/>
              </w:rPr>
              <w:t>29.5 GHz</w:t>
            </w:r>
          </w:p>
          <w:p w14:paraId="75EE22A3" w14:textId="1D78E613" w:rsidR="006E1CE6" w:rsidRPr="00AC6904" w:rsidRDefault="006E1CE6" w:rsidP="005D3186">
            <w:pPr>
              <w:pStyle w:val="TableBody"/>
              <w:spacing w:after="60"/>
            </w:pPr>
            <w:r w:rsidRPr="00AC6904">
              <w:t xml:space="preserve">Allocation inside </w:t>
            </w:r>
            <w:r w:rsidR="006A2D81">
              <w:t>large pop. centres</w:t>
            </w:r>
            <w:r w:rsidRPr="00AC6904">
              <w:t xml:space="preserve"> (restrictions apply)** </w:t>
            </w:r>
          </w:p>
          <w:p w14:paraId="4BB3D13B" w14:textId="68290295" w:rsidR="006E1CE6" w:rsidRPr="00AC6904" w:rsidRDefault="006E1CE6" w:rsidP="005D3186">
            <w:pPr>
              <w:pStyle w:val="TableBody"/>
              <w:spacing w:after="60"/>
            </w:pPr>
            <w:r w:rsidRPr="00AC6904">
              <w:t>Allocation outside</w:t>
            </w:r>
            <w:r>
              <w:t xml:space="preserve"> </w:t>
            </w:r>
            <w:r w:rsidR="006A2D81">
              <w:t>large pop. centres</w:t>
            </w:r>
            <w:r w:rsidRPr="00AC6904">
              <w:t xml:space="preserve"> (no restrictions apply) </w:t>
            </w:r>
          </w:p>
          <w:p w14:paraId="4C6EB4C0" w14:textId="5FAFA9E3" w:rsidR="006E1CE6" w:rsidRPr="00AC6904" w:rsidRDefault="006E1CE6" w:rsidP="005D3186">
            <w:pPr>
              <w:pStyle w:val="TableBody"/>
              <w:spacing w:after="60"/>
              <w:rPr>
                <w:u w:val="single"/>
              </w:rPr>
            </w:pPr>
            <w:r w:rsidRPr="00AC6904">
              <w:rPr>
                <w:u w:val="single"/>
              </w:rPr>
              <w:t>28.</w:t>
            </w:r>
            <w:r w:rsidR="0077069B">
              <w:rPr>
                <w:u w:val="single"/>
              </w:rPr>
              <w:t>5</w:t>
            </w:r>
            <w:r w:rsidR="000E5C12">
              <w:rPr>
                <w:u w:val="single"/>
              </w:rPr>
              <w:t>–</w:t>
            </w:r>
            <w:r w:rsidRPr="00AC6904">
              <w:rPr>
                <w:u w:val="single"/>
              </w:rPr>
              <w:t>29.1 GHz</w:t>
            </w:r>
          </w:p>
          <w:p w14:paraId="4E190E4E" w14:textId="77777777" w:rsidR="006E1CE6" w:rsidRPr="00AC6904" w:rsidRDefault="006E1CE6" w:rsidP="005D3186">
            <w:pPr>
              <w:pStyle w:val="TableBody"/>
              <w:spacing w:after="60"/>
            </w:pPr>
            <w:r w:rsidRPr="00AC6904">
              <w:t>Allocation Australia-wide</w:t>
            </w:r>
          </w:p>
        </w:tc>
        <w:tc>
          <w:tcPr>
            <w:tcW w:w="1843" w:type="dxa"/>
            <w:tcMar>
              <w:left w:w="57" w:type="dxa"/>
              <w:right w:w="57" w:type="dxa"/>
            </w:tcMar>
          </w:tcPr>
          <w:p w14:paraId="32469709" w14:textId="7115433A" w:rsidR="006E1CE6" w:rsidRPr="00AC6904" w:rsidRDefault="006E1CE6" w:rsidP="005D3186">
            <w:pPr>
              <w:pStyle w:val="TableBody"/>
              <w:spacing w:after="60"/>
              <w:rPr>
                <w:u w:val="single"/>
              </w:rPr>
            </w:pPr>
            <w:r w:rsidRPr="00AC6904">
              <w:rPr>
                <w:u w:val="single"/>
              </w:rPr>
              <w:t>27.5</w:t>
            </w:r>
            <w:r w:rsidR="000E5C12">
              <w:rPr>
                <w:u w:val="single"/>
              </w:rPr>
              <w:t>–</w:t>
            </w:r>
            <w:r w:rsidRPr="00AC6904">
              <w:rPr>
                <w:u w:val="single"/>
              </w:rPr>
              <w:t xml:space="preserve"> 28.1 GHz</w:t>
            </w:r>
          </w:p>
          <w:p w14:paraId="591CFFCC" w14:textId="294BFFC2" w:rsidR="006E1CE6" w:rsidRPr="00AC6904" w:rsidRDefault="007D5E56" w:rsidP="005D3186">
            <w:pPr>
              <w:pStyle w:val="TableBody"/>
              <w:spacing w:after="60"/>
            </w:pPr>
            <w:r>
              <w:t>Possible use</w:t>
            </w:r>
            <w:r w:rsidRPr="0091477B">
              <w:t xml:space="preserve"> inside </w:t>
            </w:r>
            <w:r>
              <w:t>areas re-allocated/ designated for spectrum licensing</w:t>
            </w:r>
          </w:p>
        </w:tc>
        <w:tc>
          <w:tcPr>
            <w:tcW w:w="3543" w:type="dxa"/>
            <w:tcMar>
              <w:left w:w="57" w:type="dxa"/>
              <w:right w:w="57" w:type="dxa"/>
            </w:tcMar>
          </w:tcPr>
          <w:p w14:paraId="488E128B" w14:textId="2122914D" w:rsidR="006E1CE6" w:rsidRPr="00AC6904" w:rsidRDefault="006E1CE6" w:rsidP="005D3186">
            <w:pPr>
              <w:pStyle w:val="TableBody"/>
              <w:spacing w:after="60"/>
              <w:rPr>
                <w:u w:val="single"/>
              </w:rPr>
            </w:pPr>
            <w:r w:rsidRPr="00AC6904">
              <w:rPr>
                <w:u w:val="single"/>
              </w:rPr>
              <w:t>28.1</w:t>
            </w:r>
            <w:r w:rsidR="000E5C12">
              <w:rPr>
                <w:u w:val="single"/>
              </w:rPr>
              <w:t>–</w:t>
            </w:r>
            <w:r w:rsidRPr="00AC6904">
              <w:rPr>
                <w:u w:val="single"/>
              </w:rPr>
              <w:t>28.5 GHz &amp; 29.1</w:t>
            </w:r>
            <w:r w:rsidR="000E5C12">
              <w:rPr>
                <w:u w:val="single"/>
              </w:rPr>
              <w:t>–</w:t>
            </w:r>
            <w:r w:rsidRPr="00AC6904">
              <w:rPr>
                <w:u w:val="single"/>
              </w:rPr>
              <w:t>29.5 GHz</w:t>
            </w:r>
          </w:p>
          <w:p w14:paraId="0D6A4BBF" w14:textId="4A65EB49" w:rsidR="006E1CE6" w:rsidRPr="00AC6904" w:rsidRDefault="006E1CE6" w:rsidP="005D3186">
            <w:pPr>
              <w:pStyle w:val="TableBody"/>
              <w:spacing w:after="60"/>
            </w:pPr>
            <w:r w:rsidRPr="00AC6904">
              <w:t xml:space="preserve">Allocation inside </w:t>
            </w:r>
            <w:r w:rsidR="006A2D81">
              <w:t>large population centres</w:t>
            </w:r>
          </w:p>
          <w:p w14:paraId="41E88B6B" w14:textId="15B76C4F" w:rsidR="006E1CE6" w:rsidRPr="00AC6904" w:rsidRDefault="006E1CE6" w:rsidP="005D3186">
            <w:pPr>
              <w:pStyle w:val="TableBody"/>
              <w:spacing w:after="60"/>
            </w:pPr>
            <w:r w:rsidRPr="00AC6904">
              <w:t xml:space="preserve">Allocation outside </w:t>
            </w:r>
            <w:r w:rsidR="006A2D81">
              <w:t>large population centres</w:t>
            </w:r>
            <w:r w:rsidR="006A2D81" w:rsidRPr="006A2D81">
              <w:t xml:space="preserve"> </w:t>
            </w:r>
            <w:r w:rsidRPr="00AC6904">
              <w:t>on a no protection basis from ubiquitous FSS**</w:t>
            </w:r>
          </w:p>
        </w:tc>
        <w:tc>
          <w:tcPr>
            <w:tcW w:w="3827" w:type="dxa"/>
            <w:tcMar>
              <w:left w:w="57" w:type="dxa"/>
              <w:right w:w="57" w:type="dxa"/>
            </w:tcMar>
          </w:tcPr>
          <w:p w14:paraId="11396815" w14:textId="492A35E6" w:rsidR="006E1CE6" w:rsidRPr="00AC6904" w:rsidRDefault="006E1CE6" w:rsidP="005D3186">
            <w:pPr>
              <w:pStyle w:val="TableBody"/>
              <w:spacing w:after="60"/>
              <w:rPr>
                <w:u w:val="single"/>
              </w:rPr>
            </w:pPr>
            <w:r w:rsidRPr="00AC6904">
              <w:rPr>
                <w:u w:val="single"/>
              </w:rPr>
              <w:t>28.1</w:t>
            </w:r>
            <w:r w:rsidR="000E5C12">
              <w:rPr>
                <w:u w:val="single"/>
              </w:rPr>
              <w:t>–</w:t>
            </w:r>
            <w:r w:rsidRPr="00AC6904">
              <w:rPr>
                <w:u w:val="single"/>
              </w:rPr>
              <w:t>28.5 GHz &amp; 29.1</w:t>
            </w:r>
            <w:r w:rsidR="000E5C12">
              <w:rPr>
                <w:u w:val="single"/>
              </w:rPr>
              <w:t>–</w:t>
            </w:r>
            <w:r w:rsidRPr="00AC6904">
              <w:rPr>
                <w:u w:val="single"/>
              </w:rPr>
              <w:t>29.5 GHz</w:t>
            </w:r>
          </w:p>
          <w:p w14:paraId="625AA9CB" w14:textId="73A94A91" w:rsidR="006E1CE6" w:rsidRPr="00AC6904" w:rsidRDefault="006E1CE6" w:rsidP="005D3186">
            <w:pPr>
              <w:pStyle w:val="TableBody"/>
              <w:spacing w:after="60"/>
            </w:pPr>
            <w:r w:rsidRPr="00AC6904">
              <w:t xml:space="preserve">Allocation inside </w:t>
            </w:r>
            <w:r w:rsidR="006A2D81">
              <w:t>large population centres</w:t>
            </w:r>
          </w:p>
          <w:p w14:paraId="4B30CB7A" w14:textId="5DAB9A2E" w:rsidR="006E1CE6" w:rsidRPr="00AC6904" w:rsidRDefault="006A2D81" w:rsidP="005D3186">
            <w:pPr>
              <w:pStyle w:val="TableBody"/>
              <w:spacing w:after="60"/>
            </w:pPr>
            <w:r>
              <w:t>Grandfather e</w:t>
            </w:r>
            <w:r w:rsidR="006E1CE6" w:rsidRPr="00AC6904">
              <w:t xml:space="preserve">xisting licences outside </w:t>
            </w:r>
            <w:r>
              <w:t>large population centres</w:t>
            </w:r>
            <w:r w:rsidR="006E1CE6" w:rsidRPr="00AC6904">
              <w:t xml:space="preserve"> </w:t>
            </w:r>
          </w:p>
          <w:p w14:paraId="29FAF564" w14:textId="6B72C154" w:rsidR="006E1CE6" w:rsidRPr="00AC6904" w:rsidRDefault="006E1CE6" w:rsidP="005D3186">
            <w:pPr>
              <w:pStyle w:val="TableBody"/>
              <w:spacing w:after="60"/>
            </w:pPr>
            <w:r w:rsidRPr="00AC6904">
              <w:t xml:space="preserve">Allocation outside </w:t>
            </w:r>
            <w:r w:rsidR="006A2D81">
              <w:t>large population centres</w:t>
            </w:r>
            <w:r w:rsidR="006A2D81" w:rsidRPr="006A2D81">
              <w:t xml:space="preserve"> </w:t>
            </w:r>
            <w:r w:rsidRPr="00AC6904">
              <w:t>for new licences on a no protection basis from ubiquitous FSS**</w:t>
            </w:r>
          </w:p>
        </w:tc>
      </w:tr>
      <w:tr w:rsidR="006E1CE6" w14:paraId="67D9BBAD" w14:textId="77777777" w:rsidTr="00AF1AC4">
        <w:trPr>
          <w:trHeight w:val="512"/>
        </w:trPr>
        <w:tc>
          <w:tcPr>
            <w:tcW w:w="1129" w:type="dxa"/>
          </w:tcPr>
          <w:p w14:paraId="1CE5498C" w14:textId="77777777" w:rsidR="006E1CE6" w:rsidRPr="00AC6904" w:rsidRDefault="006E1CE6" w:rsidP="005D3186">
            <w:pPr>
              <w:pStyle w:val="TableBody"/>
              <w:spacing w:after="60"/>
            </w:pPr>
            <w:r w:rsidRPr="00AC6904">
              <w:t>Option 2</w:t>
            </w:r>
          </w:p>
        </w:tc>
        <w:tc>
          <w:tcPr>
            <w:tcW w:w="2410" w:type="dxa"/>
            <w:tcMar>
              <w:left w:w="57" w:type="dxa"/>
              <w:right w:w="57" w:type="dxa"/>
            </w:tcMar>
          </w:tcPr>
          <w:p w14:paraId="23434026" w14:textId="73629982" w:rsidR="006E1CE6" w:rsidRPr="00AC6904" w:rsidRDefault="006E1CE6" w:rsidP="005D3186">
            <w:pPr>
              <w:pStyle w:val="TableBody"/>
              <w:spacing w:after="60"/>
              <w:rPr>
                <w:u w:val="single"/>
              </w:rPr>
            </w:pPr>
            <w:r w:rsidRPr="00AC6904">
              <w:rPr>
                <w:u w:val="single"/>
              </w:rPr>
              <w:t>27.5</w:t>
            </w:r>
            <w:r w:rsidR="000E5C12">
              <w:rPr>
                <w:u w:val="single"/>
              </w:rPr>
              <w:t>–</w:t>
            </w:r>
            <w:r w:rsidRPr="00AC6904">
              <w:rPr>
                <w:u w:val="single"/>
              </w:rPr>
              <w:t>29.5 GHz</w:t>
            </w:r>
          </w:p>
          <w:p w14:paraId="6600C5CC" w14:textId="77777777" w:rsidR="006E1CE6" w:rsidRPr="00AC6904" w:rsidRDefault="006E1CE6" w:rsidP="005D3186">
            <w:pPr>
              <w:pStyle w:val="TableBody"/>
              <w:spacing w:after="60"/>
            </w:pPr>
            <w:r w:rsidRPr="00AC6904">
              <w:t xml:space="preserve">Allocation Australia-wide </w:t>
            </w:r>
          </w:p>
        </w:tc>
        <w:tc>
          <w:tcPr>
            <w:tcW w:w="3124" w:type="dxa"/>
            <w:tcMar>
              <w:left w:w="57" w:type="dxa"/>
              <w:right w:w="57" w:type="dxa"/>
            </w:tcMar>
          </w:tcPr>
          <w:p w14:paraId="46B114B3" w14:textId="52CA5ADD" w:rsidR="006E1CE6" w:rsidRPr="00AC6904" w:rsidRDefault="006E1CE6" w:rsidP="005D3186">
            <w:pPr>
              <w:pStyle w:val="TableBody"/>
              <w:spacing w:after="60"/>
              <w:rPr>
                <w:u w:val="single"/>
              </w:rPr>
            </w:pPr>
            <w:r w:rsidRPr="00AC6904">
              <w:rPr>
                <w:u w:val="single"/>
              </w:rPr>
              <w:t>27.5</w:t>
            </w:r>
            <w:r w:rsidR="000E5C12">
              <w:rPr>
                <w:u w:val="single"/>
              </w:rPr>
              <w:t>–</w:t>
            </w:r>
            <w:r w:rsidRPr="00AC6904">
              <w:rPr>
                <w:u w:val="single"/>
              </w:rPr>
              <w:t xml:space="preserve"> 28.1 GHz &amp; 28.5</w:t>
            </w:r>
            <w:r w:rsidR="000E5C12">
              <w:rPr>
                <w:u w:val="single"/>
              </w:rPr>
              <w:t>–</w:t>
            </w:r>
            <w:r w:rsidRPr="00AC6904">
              <w:rPr>
                <w:u w:val="single"/>
              </w:rPr>
              <w:t>29.1 GHz</w:t>
            </w:r>
          </w:p>
          <w:p w14:paraId="1273FEF5" w14:textId="77777777" w:rsidR="006E1CE6" w:rsidRPr="00AC6904" w:rsidRDefault="006E1CE6" w:rsidP="005D3186">
            <w:pPr>
              <w:pStyle w:val="TableBody"/>
              <w:spacing w:after="60"/>
            </w:pPr>
            <w:r w:rsidRPr="00AC6904">
              <w:t>Allocation Australia-wide</w:t>
            </w:r>
          </w:p>
          <w:p w14:paraId="0708AE03" w14:textId="57CACC19" w:rsidR="006E1CE6" w:rsidRPr="00AC6904" w:rsidRDefault="006E1CE6" w:rsidP="005D3186">
            <w:pPr>
              <w:pStyle w:val="TableBody"/>
              <w:spacing w:after="60"/>
              <w:rPr>
                <w:u w:val="single"/>
              </w:rPr>
            </w:pPr>
            <w:r w:rsidRPr="00AC6904">
              <w:rPr>
                <w:u w:val="single"/>
              </w:rPr>
              <w:t>28.1</w:t>
            </w:r>
            <w:r w:rsidR="000E5C12">
              <w:rPr>
                <w:u w:val="single"/>
              </w:rPr>
              <w:t>–</w:t>
            </w:r>
            <w:r w:rsidRPr="00AC6904">
              <w:rPr>
                <w:u w:val="single"/>
              </w:rPr>
              <w:t>28.5 GHz &amp; 29.1</w:t>
            </w:r>
            <w:r w:rsidR="000E5C12">
              <w:rPr>
                <w:u w:val="single"/>
              </w:rPr>
              <w:t>–</w:t>
            </w:r>
            <w:r w:rsidRPr="00AC6904">
              <w:rPr>
                <w:u w:val="single"/>
              </w:rPr>
              <w:t>29.5 GHz</w:t>
            </w:r>
          </w:p>
          <w:p w14:paraId="7308549F" w14:textId="79D8AA34" w:rsidR="006E1CE6" w:rsidRPr="00AC6904" w:rsidRDefault="006E1CE6" w:rsidP="005D3186">
            <w:pPr>
              <w:pStyle w:val="TableBody"/>
              <w:spacing w:after="60"/>
            </w:pPr>
            <w:r w:rsidRPr="00AC6904">
              <w:t xml:space="preserve">Allocation inside </w:t>
            </w:r>
            <w:r w:rsidR="006A2D81">
              <w:t>large pop. centres</w:t>
            </w:r>
            <w:r w:rsidR="006A2D81" w:rsidRPr="0091477B">
              <w:t xml:space="preserve"> </w:t>
            </w:r>
            <w:r w:rsidRPr="00AC6904">
              <w:t>(restrictions apply)**</w:t>
            </w:r>
          </w:p>
          <w:p w14:paraId="21A3460F" w14:textId="6D42598E" w:rsidR="006E1CE6" w:rsidRPr="00AC6904" w:rsidRDefault="006E1CE6" w:rsidP="005D3186">
            <w:pPr>
              <w:pStyle w:val="TableBody"/>
              <w:spacing w:after="60"/>
            </w:pPr>
            <w:r w:rsidRPr="00AC6904">
              <w:t>Allocation outside</w:t>
            </w:r>
            <w:r w:rsidR="006A2D81">
              <w:t xml:space="preserve"> large pop. centres</w:t>
            </w:r>
            <w:r w:rsidRPr="00AC6904">
              <w:t xml:space="preserve"> (no restrictions apply) </w:t>
            </w:r>
          </w:p>
        </w:tc>
        <w:tc>
          <w:tcPr>
            <w:tcW w:w="1843" w:type="dxa"/>
            <w:tcMar>
              <w:left w:w="57" w:type="dxa"/>
              <w:right w:w="57" w:type="dxa"/>
            </w:tcMar>
          </w:tcPr>
          <w:p w14:paraId="0FC36F51" w14:textId="77777777" w:rsidR="006E1CE6" w:rsidRPr="00AC6904" w:rsidRDefault="006E1CE6" w:rsidP="005D3186">
            <w:pPr>
              <w:pStyle w:val="TableBody"/>
              <w:spacing w:after="60"/>
            </w:pPr>
            <w:r w:rsidRPr="00AC6904">
              <w:t>No allocation</w:t>
            </w:r>
          </w:p>
          <w:p w14:paraId="57921CF0" w14:textId="77777777" w:rsidR="006E1CE6" w:rsidRPr="00AC6904" w:rsidRDefault="006E1CE6" w:rsidP="005D3186">
            <w:pPr>
              <w:pStyle w:val="TableBody"/>
              <w:spacing w:after="60"/>
            </w:pPr>
          </w:p>
        </w:tc>
        <w:tc>
          <w:tcPr>
            <w:tcW w:w="3543" w:type="dxa"/>
            <w:tcMar>
              <w:left w:w="57" w:type="dxa"/>
              <w:right w:w="57" w:type="dxa"/>
            </w:tcMar>
          </w:tcPr>
          <w:p w14:paraId="1B6D0AF7" w14:textId="45328A27" w:rsidR="006E1CE6" w:rsidRPr="00AC6904" w:rsidRDefault="006E1CE6" w:rsidP="005D3186">
            <w:pPr>
              <w:pStyle w:val="TableBody"/>
              <w:spacing w:after="60"/>
              <w:rPr>
                <w:u w:val="single"/>
              </w:rPr>
            </w:pPr>
            <w:r w:rsidRPr="00AC6904">
              <w:rPr>
                <w:u w:val="single"/>
              </w:rPr>
              <w:t>28.1</w:t>
            </w:r>
            <w:r w:rsidR="000E5C12">
              <w:rPr>
                <w:u w:val="single"/>
              </w:rPr>
              <w:t>–</w:t>
            </w:r>
            <w:r w:rsidRPr="00AC6904">
              <w:rPr>
                <w:u w:val="single"/>
              </w:rPr>
              <w:t>28.5 GHz &amp; 29.1</w:t>
            </w:r>
            <w:r w:rsidR="000E5C12">
              <w:rPr>
                <w:u w:val="single"/>
              </w:rPr>
              <w:t>–</w:t>
            </w:r>
            <w:r w:rsidRPr="00AC6904">
              <w:rPr>
                <w:u w:val="single"/>
              </w:rPr>
              <w:t>29.5 GHz</w:t>
            </w:r>
          </w:p>
          <w:p w14:paraId="414A6F29" w14:textId="6AD3982C" w:rsidR="006E1CE6" w:rsidRPr="00AC6904" w:rsidRDefault="006E1CE6" w:rsidP="005D3186">
            <w:pPr>
              <w:pStyle w:val="TableBody"/>
              <w:spacing w:after="60"/>
            </w:pPr>
            <w:r w:rsidRPr="00AC6904">
              <w:t xml:space="preserve">Allocation inside </w:t>
            </w:r>
            <w:r w:rsidR="006A2D81">
              <w:t>large population centres</w:t>
            </w:r>
          </w:p>
          <w:p w14:paraId="5F975208" w14:textId="164FB287" w:rsidR="006E1CE6" w:rsidRPr="00AC6904" w:rsidRDefault="006E1CE6" w:rsidP="005D3186">
            <w:pPr>
              <w:pStyle w:val="TableBody"/>
              <w:spacing w:after="60"/>
            </w:pPr>
            <w:r w:rsidRPr="00AC6904">
              <w:t xml:space="preserve">Allocation outside </w:t>
            </w:r>
            <w:r w:rsidR="006A2D81">
              <w:t>large population centres</w:t>
            </w:r>
            <w:r w:rsidR="006A2D81" w:rsidRPr="006A2D81">
              <w:t xml:space="preserve"> </w:t>
            </w:r>
            <w:r w:rsidRPr="00AC6904">
              <w:t>on a no protection basis from ubiquitous FSS**</w:t>
            </w:r>
          </w:p>
        </w:tc>
        <w:tc>
          <w:tcPr>
            <w:tcW w:w="3827" w:type="dxa"/>
            <w:tcMar>
              <w:left w:w="57" w:type="dxa"/>
              <w:right w:w="57" w:type="dxa"/>
            </w:tcMar>
          </w:tcPr>
          <w:p w14:paraId="4B32EA73" w14:textId="503914E4" w:rsidR="006E1CE6" w:rsidRPr="00AC6904" w:rsidRDefault="006E1CE6" w:rsidP="005D3186">
            <w:pPr>
              <w:pStyle w:val="TableBody"/>
              <w:spacing w:after="60"/>
              <w:rPr>
                <w:u w:val="single"/>
              </w:rPr>
            </w:pPr>
            <w:r w:rsidRPr="00AC6904">
              <w:rPr>
                <w:u w:val="single"/>
              </w:rPr>
              <w:t>28.1</w:t>
            </w:r>
            <w:r w:rsidR="000E5C12">
              <w:rPr>
                <w:u w:val="single"/>
              </w:rPr>
              <w:t>–</w:t>
            </w:r>
            <w:r w:rsidRPr="00AC6904">
              <w:rPr>
                <w:u w:val="single"/>
              </w:rPr>
              <w:t>28.5 GHz &amp; 29.1</w:t>
            </w:r>
            <w:r w:rsidR="000E5C12">
              <w:rPr>
                <w:u w:val="single"/>
              </w:rPr>
              <w:t>–</w:t>
            </w:r>
            <w:r w:rsidRPr="00AC6904">
              <w:rPr>
                <w:u w:val="single"/>
              </w:rPr>
              <w:t>29.5 GHz</w:t>
            </w:r>
          </w:p>
          <w:p w14:paraId="7B592D0B" w14:textId="0A7DEE60" w:rsidR="006E1CE6" w:rsidRPr="00AC6904" w:rsidRDefault="006E1CE6" w:rsidP="005D3186">
            <w:pPr>
              <w:pStyle w:val="TableBody"/>
              <w:spacing w:after="60"/>
            </w:pPr>
            <w:r w:rsidRPr="00AC6904">
              <w:t xml:space="preserve">Allocation inside </w:t>
            </w:r>
            <w:r w:rsidR="00D47A60">
              <w:t xml:space="preserve">large </w:t>
            </w:r>
            <w:r w:rsidR="00503C9C">
              <w:t>population</w:t>
            </w:r>
            <w:r w:rsidR="00D47A60">
              <w:t xml:space="preserve"> centres</w:t>
            </w:r>
          </w:p>
          <w:p w14:paraId="35F8AE14" w14:textId="77777777" w:rsidR="006A2D81" w:rsidRPr="0091477B" w:rsidRDefault="006A2D81" w:rsidP="005D3186">
            <w:pPr>
              <w:pStyle w:val="TableBody"/>
              <w:spacing w:after="60"/>
            </w:pPr>
            <w:r>
              <w:t>Grandfather e</w:t>
            </w:r>
            <w:r w:rsidRPr="0091477B">
              <w:t xml:space="preserve">xisting licences outside </w:t>
            </w:r>
            <w:r>
              <w:t>large population centres</w:t>
            </w:r>
            <w:r w:rsidRPr="0091477B">
              <w:t xml:space="preserve"> </w:t>
            </w:r>
          </w:p>
          <w:p w14:paraId="5CC40AA8" w14:textId="203B0AB0" w:rsidR="006E1CE6" w:rsidRPr="00AC6904" w:rsidRDefault="006A2D81" w:rsidP="005D3186">
            <w:pPr>
              <w:pStyle w:val="TableBody"/>
              <w:spacing w:after="60"/>
            </w:pPr>
            <w:r w:rsidRPr="0091477B">
              <w:t xml:space="preserve">Allocation outside </w:t>
            </w:r>
            <w:r>
              <w:t>large population centres</w:t>
            </w:r>
            <w:r w:rsidRPr="006A2D81">
              <w:t xml:space="preserve"> </w:t>
            </w:r>
            <w:r w:rsidRPr="0091477B">
              <w:t>for new licences on a no protection basis from ubiquitous FSS**</w:t>
            </w:r>
          </w:p>
        </w:tc>
      </w:tr>
      <w:tr w:rsidR="006E1CE6" w14:paraId="53C4D946" w14:textId="77777777" w:rsidTr="00AF1AC4">
        <w:trPr>
          <w:trHeight w:val="512"/>
        </w:trPr>
        <w:tc>
          <w:tcPr>
            <w:tcW w:w="1129" w:type="dxa"/>
          </w:tcPr>
          <w:p w14:paraId="2701C43A" w14:textId="77777777" w:rsidR="006E1CE6" w:rsidRPr="00AC6904" w:rsidRDefault="006E1CE6" w:rsidP="005D3186">
            <w:pPr>
              <w:pStyle w:val="TableBody"/>
              <w:spacing w:after="60"/>
            </w:pPr>
            <w:r w:rsidRPr="00AC6904">
              <w:t>Option 3</w:t>
            </w:r>
          </w:p>
        </w:tc>
        <w:tc>
          <w:tcPr>
            <w:tcW w:w="2410" w:type="dxa"/>
            <w:tcMar>
              <w:left w:w="57" w:type="dxa"/>
              <w:right w:w="57" w:type="dxa"/>
            </w:tcMar>
          </w:tcPr>
          <w:p w14:paraId="09D19986" w14:textId="38E35614" w:rsidR="006E1CE6" w:rsidRPr="00AC6904" w:rsidRDefault="006E1CE6" w:rsidP="005D3186">
            <w:pPr>
              <w:pStyle w:val="TableBody"/>
              <w:spacing w:after="60"/>
              <w:rPr>
                <w:u w:val="single"/>
              </w:rPr>
            </w:pPr>
            <w:r w:rsidRPr="00AC6904">
              <w:rPr>
                <w:u w:val="single"/>
              </w:rPr>
              <w:t>27.5</w:t>
            </w:r>
            <w:r w:rsidR="000E5C12">
              <w:rPr>
                <w:u w:val="single"/>
              </w:rPr>
              <w:t>–</w:t>
            </w:r>
            <w:r w:rsidRPr="00AC6904">
              <w:rPr>
                <w:u w:val="single"/>
              </w:rPr>
              <w:t>29.5 GHz</w:t>
            </w:r>
          </w:p>
          <w:p w14:paraId="48FB62DA" w14:textId="77777777" w:rsidR="006E1CE6" w:rsidRPr="00AC6904" w:rsidRDefault="006E1CE6" w:rsidP="005D3186">
            <w:pPr>
              <w:pStyle w:val="TableBody"/>
              <w:spacing w:after="60"/>
            </w:pPr>
            <w:r w:rsidRPr="00AC6904">
              <w:t xml:space="preserve">Allocation Australia-wide </w:t>
            </w:r>
          </w:p>
        </w:tc>
        <w:tc>
          <w:tcPr>
            <w:tcW w:w="3124" w:type="dxa"/>
            <w:tcMar>
              <w:left w:w="57" w:type="dxa"/>
              <w:right w:w="57" w:type="dxa"/>
            </w:tcMar>
          </w:tcPr>
          <w:p w14:paraId="6F0C0F5F" w14:textId="046A22A6" w:rsidR="006E1CE6" w:rsidRPr="00AC6904" w:rsidRDefault="006E1CE6" w:rsidP="005D3186">
            <w:pPr>
              <w:pStyle w:val="TableBody"/>
              <w:spacing w:after="60"/>
              <w:rPr>
                <w:u w:val="single"/>
              </w:rPr>
            </w:pPr>
            <w:r w:rsidRPr="00AC6904">
              <w:rPr>
                <w:u w:val="single"/>
              </w:rPr>
              <w:t>27.5</w:t>
            </w:r>
            <w:r w:rsidR="000E5C12">
              <w:rPr>
                <w:u w:val="single"/>
              </w:rPr>
              <w:t>–</w:t>
            </w:r>
            <w:r w:rsidRPr="00AC6904">
              <w:rPr>
                <w:u w:val="single"/>
              </w:rPr>
              <w:t>29.5 GHz</w:t>
            </w:r>
          </w:p>
          <w:p w14:paraId="3CB6A8F9" w14:textId="77777777" w:rsidR="006E1CE6" w:rsidRPr="00AC6904" w:rsidRDefault="006E1CE6" w:rsidP="005D3186">
            <w:pPr>
              <w:pStyle w:val="TableBody"/>
              <w:spacing w:after="60"/>
            </w:pPr>
            <w:r w:rsidRPr="00AC6904">
              <w:t xml:space="preserve">Allocation Australia-wide </w:t>
            </w:r>
          </w:p>
        </w:tc>
        <w:tc>
          <w:tcPr>
            <w:tcW w:w="1843" w:type="dxa"/>
            <w:tcMar>
              <w:left w:w="57" w:type="dxa"/>
              <w:right w:w="57" w:type="dxa"/>
            </w:tcMar>
          </w:tcPr>
          <w:p w14:paraId="467D1CDE" w14:textId="77777777" w:rsidR="006E1CE6" w:rsidRPr="00AC6904" w:rsidRDefault="006E1CE6" w:rsidP="005D3186">
            <w:pPr>
              <w:pStyle w:val="TableBody"/>
              <w:spacing w:after="60"/>
            </w:pPr>
            <w:r w:rsidRPr="00AC6904">
              <w:t>No allocation</w:t>
            </w:r>
          </w:p>
          <w:p w14:paraId="48C94445" w14:textId="77777777" w:rsidR="006E1CE6" w:rsidRPr="00AC6904" w:rsidRDefault="006E1CE6" w:rsidP="005D3186">
            <w:pPr>
              <w:pStyle w:val="TableBody"/>
              <w:spacing w:after="60"/>
            </w:pPr>
          </w:p>
        </w:tc>
        <w:tc>
          <w:tcPr>
            <w:tcW w:w="3543" w:type="dxa"/>
            <w:tcMar>
              <w:left w:w="57" w:type="dxa"/>
              <w:right w:w="57" w:type="dxa"/>
            </w:tcMar>
          </w:tcPr>
          <w:p w14:paraId="6C4CD9D0" w14:textId="76BFE490" w:rsidR="006E1CE6" w:rsidRPr="00AC6904" w:rsidRDefault="006E1CE6" w:rsidP="005D3186">
            <w:pPr>
              <w:pStyle w:val="TableBody"/>
              <w:spacing w:after="60"/>
              <w:rPr>
                <w:u w:val="single"/>
              </w:rPr>
            </w:pPr>
            <w:r w:rsidRPr="00AC6904">
              <w:rPr>
                <w:u w:val="single"/>
              </w:rPr>
              <w:t>27.5</w:t>
            </w:r>
            <w:r w:rsidR="000E5C12">
              <w:rPr>
                <w:u w:val="single"/>
              </w:rPr>
              <w:t>–</w:t>
            </w:r>
            <w:r w:rsidRPr="00AC6904">
              <w:rPr>
                <w:u w:val="single"/>
              </w:rPr>
              <w:t xml:space="preserve"> 27.9/28.1 GHz</w:t>
            </w:r>
          </w:p>
          <w:p w14:paraId="5B4CFD18" w14:textId="1C2E7E57" w:rsidR="006E1CE6" w:rsidRPr="00AC6904" w:rsidRDefault="006E1CE6" w:rsidP="005D3186">
            <w:pPr>
              <w:pStyle w:val="TableBody"/>
              <w:spacing w:after="60"/>
            </w:pPr>
            <w:r w:rsidRPr="00AC6904">
              <w:t xml:space="preserve">Allocation inside </w:t>
            </w:r>
            <w:r w:rsidR="00D47A60">
              <w:t xml:space="preserve">large </w:t>
            </w:r>
            <w:r w:rsidR="00503C9C">
              <w:t>population</w:t>
            </w:r>
            <w:r w:rsidR="00D47A60">
              <w:t xml:space="preserve"> centres</w:t>
            </w:r>
          </w:p>
          <w:p w14:paraId="3396575D" w14:textId="3EB1A28D" w:rsidR="006E1CE6" w:rsidRPr="00AC6904" w:rsidRDefault="006E1CE6" w:rsidP="005D3186">
            <w:pPr>
              <w:pStyle w:val="TableBody"/>
              <w:spacing w:after="60"/>
            </w:pPr>
            <w:r w:rsidRPr="00AC6904">
              <w:t xml:space="preserve">Allocation outside </w:t>
            </w:r>
            <w:r w:rsidR="00D47A60">
              <w:t xml:space="preserve">large </w:t>
            </w:r>
            <w:r w:rsidR="00503C9C">
              <w:t xml:space="preserve">population </w:t>
            </w:r>
            <w:r w:rsidR="00D47A60">
              <w:t xml:space="preserve">centres </w:t>
            </w:r>
            <w:r w:rsidRPr="00AC6904">
              <w:t>on a no protection basis from ubiquitous FSS**</w:t>
            </w:r>
          </w:p>
        </w:tc>
        <w:tc>
          <w:tcPr>
            <w:tcW w:w="3827" w:type="dxa"/>
            <w:tcMar>
              <w:left w:w="57" w:type="dxa"/>
              <w:right w:w="57" w:type="dxa"/>
            </w:tcMar>
          </w:tcPr>
          <w:p w14:paraId="29A255DD" w14:textId="3CEA90E5" w:rsidR="00337DC8" w:rsidRPr="00AC6904" w:rsidRDefault="006E1CE6" w:rsidP="005D3186">
            <w:pPr>
              <w:pStyle w:val="TableBody"/>
              <w:spacing w:after="60"/>
            </w:pPr>
            <w:r w:rsidRPr="00AC6904">
              <w:t>No allocation</w:t>
            </w:r>
            <w:r w:rsidR="00337DC8">
              <w:t>, e</w:t>
            </w:r>
            <w:r w:rsidR="00337DC8" w:rsidRPr="0091477B">
              <w:t>xisting licences grandfathered</w:t>
            </w:r>
          </w:p>
        </w:tc>
      </w:tr>
      <w:tr w:rsidR="006E1CE6" w14:paraId="5BD9B865" w14:textId="77777777" w:rsidTr="005D3186">
        <w:trPr>
          <w:trHeight w:val="273"/>
        </w:trPr>
        <w:tc>
          <w:tcPr>
            <w:tcW w:w="1129" w:type="dxa"/>
          </w:tcPr>
          <w:p w14:paraId="41D0320A" w14:textId="77777777" w:rsidR="006E1CE6" w:rsidRPr="00AC6904" w:rsidRDefault="006E1CE6" w:rsidP="005D3186">
            <w:pPr>
              <w:pStyle w:val="TableBody"/>
              <w:spacing w:after="60"/>
            </w:pPr>
            <w:r w:rsidRPr="00AC6904">
              <w:t>Option 4</w:t>
            </w:r>
          </w:p>
        </w:tc>
        <w:tc>
          <w:tcPr>
            <w:tcW w:w="2410" w:type="dxa"/>
            <w:tcMar>
              <w:left w:w="57" w:type="dxa"/>
              <w:right w:w="57" w:type="dxa"/>
            </w:tcMar>
          </w:tcPr>
          <w:p w14:paraId="6B1C7AC7" w14:textId="3AB0533C" w:rsidR="006E1CE6" w:rsidRPr="00AC6904" w:rsidRDefault="006E1CE6" w:rsidP="005D3186">
            <w:pPr>
              <w:pStyle w:val="TableBody"/>
              <w:spacing w:after="60"/>
              <w:rPr>
                <w:u w:val="single"/>
              </w:rPr>
            </w:pPr>
            <w:r w:rsidRPr="00AC6904">
              <w:rPr>
                <w:u w:val="single"/>
              </w:rPr>
              <w:t>27.5</w:t>
            </w:r>
            <w:r w:rsidR="000E5C12">
              <w:rPr>
                <w:u w:val="single"/>
              </w:rPr>
              <w:t>–</w:t>
            </w:r>
            <w:r w:rsidRPr="00AC6904">
              <w:rPr>
                <w:u w:val="single"/>
              </w:rPr>
              <w:t>29.5 GHz</w:t>
            </w:r>
          </w:p>
          <w:p w14:paraId="3E9F19A2" w14:textId="77777777" w:rsidR="006E1CE6" w:rsidRPr="00AC6904" w:rsidRDefault="006E1CE6" w:rsidP="005D3186">
            <w:pPr>
              <w:pStyle w:val="TableBody"/>
              <w:spacing w:after="60"/>
            </w:pPr>
            <w:r w:rsidRPr="00AC6904">
              <w:t>Allocation Australia-wide</w:t>
            </w:r>
          </w:p>
        </w:tc>
        <w:tc>
          <w:tcPr>
            <w:tcW w:w="3124" w:type="dxa"/>
            <w:tcMar>
              <w:left w:w="57" w:type="dxa"/>
              <w:right w:w="57" w:type="dxa"/>
            </w:tcMar>
          </w:tcPr>
          <w:p w14:paraId="78A720B5" w14:textId="1976066E" w:rsidR="006E1CE6" w:rsidRPr="00AC6904" w:rsidRDefault="006E1CE6" w:rsidP="005D3186">
            <w:pPr>
              <w:pStyle w:val="TableBody"/>
              <w:spacing w:after="60"/>
              <w:rPr>
                <w:u w:val="single"/>
              </w:rPr>
            </w:pPr>
            <w:r w:rsidRPr="00AC6904">
              <w:rPr>
                <w:u w:val="single"/>
              </w:rPr>
              <w:t>27.5</w:t>
            </w:r>
            <w:r w:rsidR="000E5C12">
              <w:rPr>
                <w:u w:val="single"/>
              </w:rPr>
              <w:t>–</w:t>
            </w:r>
            <w:r w:rsidRPr="00AC6904">
              <w:rPr>
                <w:u w:val="single"/>
              </w:rPr>
              <w:t>29.5 GHz</w:t>
            </w:r>
          </w:p>
          <w:p w14:paraId="3E9EBD2F" w14:textId="77777777" w:rsidR="006E1CE6" w:rsidRPr="00AC6904" w:rsidRDefault="006E1CE6" w:rsidP="005D3186">
            <w:pPr>
              <w:pStyle w:val="TableBody"/>
              <w:spacing w:after="60"/>
            </w:pPr>
            <w:r w:rsidRPr="00AC6904">
              <w:t>Allocation Australia-wide</w:t>
            </w:r>
          </w:p>
        </w:tc>
        <w:tc>
          <w:tcPr>
            <w:tcW w:w="1843" w:type="dxa"/>
            <w:tcMar>
              <w:left w:w="57" w:type="dxa"/>
              <w:right w:w="57" w:type="dxa"/>
            </w:tcMar>
          </w:tcPr>
          <w:p w14:paraId="6ACC909C" w14:textId="77777777" w:rsidR="006E1CE6" w:rsidRPr="00AC6904" w:rsidRDefault="006E1CE6" w:rsidP="005D3186">
            <w:pPr>
              <w:pStyle w:val="TableBody"/>
              <w:spacing w:after="60"/>
            </w:pPr>
            <w:r w:rsidRPr="00AC6904">
              <w:t>No allocation</w:t>
            </w:r>
          </w:p>
          <w:p w14:paraId="44D49706" w14:textId="77777777" w:rsidR="006E1CE6" w:rsidRPr="00AC6904" w:rsidRDefault="006E1CE6" w:rsidP="005D3186">
            <w:pPr>
              <w:pStyle w:val="TableBody"/>
              <w:spacing w:after="60"/>
            </w:pPr>
          </w:p>
        </w:tc>
        <w:tc>
          <w:tcPr>
            <w:tcW w:w="3543" w:type="dxa"/>
            <w:tcMar>
              <w:left w:w="57" w:type="dxa"/>
              <w:right w:w="57" w:type="dxa"/>
            </w:tcMar>
          </w:tcPr>
          <w:p w14:paraId="2AB29FD1" w14:textId="77777777" w:rsidR="006E1CE6" w:rsidRPr="00AC6904" w:rsidRDefault="006E1CE6" w:rsidP="005D3186">
            <w:pPr>
              <w:pStyle w:val="TableBody"/>
              <w:spacing w:after="60"/>
            </w:pPr>
            <w:r w:rsidRPr="00AC6904">
              <w:t>No allocation</w:t>
            </w:r>
          </w:p>
          <w:p w14:paraId="21A9D837" w14:textId="77777777" w:rsidR="006E1CE6" w:rsidRPr="00AC6904" w:rsidRDefault="006E1CE6" w:rsidP="005D3186">
            <w:pPr>
              <w:pStyle w:val="TableBody"/>
              <w:spacing w:after="60"/>
            </w:pPr>
          </w:p>
        </w:tc>
        <w:tc>
          <w:tcPr>
            <w:tcW w:w="3827" w:type="dxa"/>
            <w:tcMar>
              <w:left w:w="57" w:type="dxa"/>
              <w:right w:w="57" w:type="dxa"/>
            </w:tcMar>
          </w:tcPr>
          <w:p w14:paraId="08F937AE" w14:textId="09C1ED48" w:rsidR="006E1CE6" w:rsidRPr="00AC6904" w:rsidRDefault="00337DC8" w:rsidP="005D3186">
            <w:pPr>
              <w:pStyle w:val="TableBody"/>
              <w:spacing w:after="60"/>
            </w:pPr>
            <w:r w:rsidRPr="0091477B">
              <w:t>No allocation</w:t>
            </w:r>
            <w:r>
              <w:t>, e</w:t>
            </w:r>
            <w:r w:rsidRPr="0091477B">
              <w:t>xisting licences grandfathered</w:t>
            </w:r>
          </w:p>
        </w:tc>
      </w:tr>
    </w:tbl>
    <w:p w14:paraId="3E33B163" w14:textId="6061B103" w:rsidR="00DC6607" w:rsidRPr="00AF1AC4" w:rsidRDefault="00AF1AC4" w:rsidP="00AF1AC4">
      <w:pPr>
        <w:sectPr w:rsidR="00DC6607" w:rsidRPr="00AF1AC4" w:rsidSect="005D3186">
          <w:pgSz w:w="16838" w:h="11906" w:orient="landscape" w:code="9"/>
          <w:pgMar w:top="709" w:right="1945" w:bottom="0" w:left="1134" w:header="0" w:footer="0" w:gutter="0"/>
          <w:cols w:space="708"/>
          <w:docGrid w:linePitch="360"/>
        </w:sectPr>
      </w:pPr>
      <w:bookmarkStart w:id="142" w:name="_Ref517344931"/>
      <w:bookmarkStart w:id="143" w:name="_Toc519765122"/>
      <w:bookmarkStart w:id="144" w:name="_Toc521585788"/>
      <w:bookmarkStart w:id="145" w:name="_Toc525132250"/>
      <w:bookmarkEnd w:id="141"/>
      <w:r w:rsidRPr="00AF1AC4">
        <w:t>** This is a possible variant to the option that could be considered</w:t>
      </w:r>
    </w:p>
    <w:p w14:paraId="6138A20F" w14:textId="52A9266B" w:rsidR="0089520D" w:rsidRPr="00A05EC9" w:rsidRDefault="0089520D" w:rsidP="00AC6904">
      <w:pPr>
        <w:pStyle w:val="Heading1"/>
      </w:pPr>
      <w:bookmarkStart w:id="146" w:name="_Toc5000085"/>
      <w:r w:rsidRPr="00A05EC9">
        <w:lastRenderedPageBreak/>
        <w:t>Assessment of options</w:t>
      </w:r>
      <w:bookmarkEnd w:id="142"/>
      <w:bookmarkEnd w:id="143"/>
      <w:bookmarkEnd w:id="144"/>
      <w:bookmarkEnd w:id="145"/>
      <w:bookmarkEnd w:id="146"/>
    </w:p>
    <w:p w14:paraId="54ADF815" w14:textId="05970829" w:rsidR="0089520D" w:rsidRPr="00A05EC9" w:rsidRDefault="0089520D" w:rsidP="00A37173">
      <w:pPr>
        <w:rPr>
          <w:rFonts w:cs="Arial"/>
          <w:szCs w:val="20"/>
        </w:rPr>
      </w:pPr>
      <w:r w:rsidRPr="00A05EC9">
        <w:t xml:space="preserve">An assessment of each of the identified options against the </w:t>
      </w:r>
      <w:hyperlink r:id="rId54" w:history="1">
        <w:r w:rsidRPr="00CF2904">
          <w:rPr>
            <w:rStyle w:val="Hyperlink"/>
          </w:rPr>
          <w:t>Principles for Spectrum Management</w:t>
        </w:r>
      </w:hyperlink>
      <w:r w:rsidRPr="001E5818">
        <w:t xml:space="preserve"> (as described in </w:t>
      </w:r>
      <w:r w:rsidRPr="00D94C44">
        <w:t xml:space="preserve">the </w:t>
      </w:r>
      <w:bookmarkStart w:id="147" w:name="_Hlk4489386"/>
      <w:r w:rsidR="009B3969">
        <w:t>‘</w:t>
      </w:r>
      <w:r w:rsidR="00D94C44" w:rsidRPr="005D3186">
        <w:t>Legislative and policy environment</w:t>
      </w:r>
      <w:bookmarkEnd w:id="147"/>
      <w:r w:rsidR="009B3969">
        <w:t>’</w:t>
      </w:r>
      <w:r w:rsidRPr="002F3B34">
        <w:rPr>
          <w:i/>
        </w:rPr>
        <w:t xml:space="preserve"> </w:t>
      </w:r>
      <w:r w:rsidRPr="001E5818">
        <w:t xml:space="preserve">chapter), </w:t>
      </w:r>
      <w:r w:rsidRPr="00A05EC9">
        <w:t xml:space="preserve">is contained </w:t>
      </w:r>
      <w:r w:rsidRPr="005E6D37">
        <w:t>below</w:t>
      </w:r>
      <w:r w:rsidRPr="00895DFC">
        <w:t>. This analysis is informed by both ACM</w:t>
      </w:r>
      <w:r w:rsidRPr="00A05EC9">
        <w:t xml:space="preserve">A analysis and responses to the </w:t>
      </w:r>
      <w:r w:rsidR="00BD5D58" w:rsidRPr="005D3186">
        <w:t>September 2018</w:t>
      </w:r>
      <w:r w:rsidRPr="005D3186">
        <w:t xml:space="preserve"> paper</w:t>
      </w:r>
      <w:r w:rsidRPr="00A05EC9">
        <w:t xml:space="preserve">. The Principles are: </w:t>
      </w:r>
    </w:p>
    <w:p w14:paraId="31132747" w14:textId="77777777" w:rsidR="0089520D" w:rsidRPr="004224E5" w:rsidRDefault="0089520D" w:rsidP="00C930B5">
      <w:pPr>
        <w:pStyle w:val="ListNumber"/>
        <w:numPr>
          <w:ilvl w:val="0"/>
          <w:numId w:val="38"/>
        </w:numPr>
      </w:pPr>
      <w:r w:rsidRPr="00A05EC9">
        <w:t xml:space="preserve">Allocate </w:t>
      </w:r>
      <w:r w:rsidRPr="004224E5">
        <w:t>spectrum to the highest value use (HVU) or uses.</w:t>
      </w:r>
    </w:p>
    <w:p w14:paraId="46D6ACFA" w14:textId="77777777" w:rsidR="0089520D" w:rsidRPr="004224E5" w:rsidRDefault="0089520D" w:rsidP="0089520D">
      <w:pPr>
        <w:pStyle w:val="ListNumber"/>
      </w:pPr>
      <w:r w:rsidRPr="004224E5">
        <w:t>Enable and encourage spectrum to move to its HVU.</w:t>
      </w:r>
    </w:p>
    <w:p w14:paraId="34B6D906" w14:textId="77777777" w:rsidR="0089520D" w:rsidRPr="004224E5" w:rsidRDefault="0089520D" w:rsidP="0089520D">
      <w:pPr>
        <w:pStyle w:val="ListNumber"/>
      </w:pPr>
      <w:r w:rsidRPr="004224E5">
        <w:t>Use the least cost and least restrictive approach to achieving policy objectives.</w:t>
      </w:r>
    </w:p>
    <w:p w14:paraId="65B08BBA" w14:textId="77777777" w:rsidR="0089520D" w:rsidRPr="004224E5" w:rsidRDefault="0089520D" w:rsidP="0089520D">
      <w:pPr>
        <w:pStyle w:val="ListNumber"/>
      </w:pPr>
      <w:r w:rsidRPr="004224E5">
        <w:t>To the extent possible, promote both certainty and flexibility.</w:t>
      </w:r>
    </w:p>
    <w:p w14:paraId="40ED4286" w14:textId="77777777" w:rsidR="0089520D" w:rsidRPr="00B963E7" w:rsidRDefault="0089520D" w:rsidP="0089520D">
      <w:pPr>
        <w:pStyle w:val="ListNumber"/>
        <w:spacing w:after="240"/>
      </w:pPr>
      <w:r w:rsidRPr="00B963E7">
        <w:t>Balance the cost of interference and the benefits of greater spectrum utilisation.</w:t>
      </w:r>
    </w:p>
    <w:p w14:paraId="691DF45B" w14:textId="79452F4F" w:rsidR="007070CE" w:rsidRDefault="007070CE" w:rsidP="0069108F">
      <w:pPr>
        <w:spacing w:after="360"/>
      </w:pPr>
      <w:r w:rsidRPr="00B963E7">
        <w:t xml:space="preserve">Table </w:t>
      </w:r>
      <w:r w:rsidR="00AF05B4" w:rsidRPr="00B963E7">
        <w:t>4</w:t>
      </w:r>
      <w:r w:rsidRPr="00B963E7">
        <w:t xml:space="preserve"> sum</w:t>
      </w:r>
      <w:r>
        <w:t xml:space="preserve">marise the assessment of </w:t>
      </w:r>
      <w:r w:rsidRPr="00A05EC9">
        <w:t>the different options against each of the Principles</w:t>
      </w:r>
      <w:r>
        <w:t>. The subsequent discussion explores th</w:t>
      </w:r>
      <w:r w:rsidR="00322A43">
        <w:t>e</w:t>
      </w:r>
      <w:r>
        <w:t xml:space="preserve"> assessment </w:t>
      </w:r>
      <w:r w:rsidR="00322A43">
        <w:t xml:space="preserve">of each option </w:t>
      </w:r>
      <w:r>
        <w:t xml:space="preserve">against </w:t>
      </w:r>
      <w:r w:rsidR="00322A43">
        <w:t xml:space="preserve">the </w:t>
      </w:r>
      <w:r>
        <w:t>Principle</w:t>
      </w:r>
      <w:r w:rsidR="00322A43">
        <w:t>s</w:t>
      </w:r>
      <w:r>
        <w:t xml:space="preserve"> in more detail.</w:t>
      </w:r>
    </w:p>
    <w:p w14:paraId="20746559" w14:textId="29748D86" w:rsidR="0069108F" w:rsidRDefault="0069108F" w:rsidP="00E422B1">
      <w:pPr>
        <w:pStyle w:val="ListParagraph"/>
        <w:numPr>
          <w:ilvl w:val="0"/>
          <w:numId w:val="79"/>
        </w:numPr>
        <w:shd w:val="clear" w:color="auto" w:fill="F2F2F2" w:themeFill="background1" w:themeFillShade="F2"/>
        <w:spacing w:before="120" w:after="120" w:line="240" w:lineRule="auto"/>
        <w:ind w:left="426" w:hanging="426"/>
        <w:contextualSpacing w:val="0"/>
      </w:pPr>
      <w:bookmarkStart w:id="148" w:name="_Hlk3989768"/>
      <w:r>
        <w:rPr>
          <w:b/>
        </w:rPr>
        <w:t>Do stakeholders have any comments on the discussion and outcomes of the assessment of each option against the Principles</w:t>
      </w:r>
      <w:r w:rsidRPr="00A05EC9">
        <w:rPr>
          <w:b/>
        </w:rPr>
        <w:t>?</w:t>
      </w:r>
    </w:p>
    <w:bookmarkEnd w:id="148"/>
    <w:p w14:paraId="3CEF1F78" w14:textId="77777777" w:rsidR="0069108F" w:rsidRDefault="0069108F" w:rsidP="0089520D"/>
    <w:p w14:paraId="71A8BED1" w14:textId="77777777" w:rsidR="007070CE" w:rsidRDefault="007070CE">
      <w:pPr>
        <w:spacing w:after="0" w:line="240" w:lineRule="auto"/>
      </w:pPr>
      <w:r>
        <w:br w:type="page"/>
      </w:r>
    </w:p>
    <w:p w14:paraId="63A83246" w14:textId="77777777" w:rsidR="007070CE" w:rsidRDefault="007070CE" w:rsidP="007070CE">
      <w:pPr>
        <w:pStyle w:val="ACMATableHeader"/>
        <w:sectPr w:rsidR="007070CE" w:rsidSect="0025303E">
          <w:pgSz w:w="11906" w:h="16838" w:code="9"/>
          <w:pgMar w:top="1945" w:right="1560" w:bottom="1134" w:left="1134" w:header="709" w:footer="119" w:gutter="0"/>
          <w:cols w:space="708"/>
          <w:docGrid w:linePitch="360"/>
        </w:sectPr>
      </w:pPr>
    </w:p>
    <w:p w14:paraId="3DB3499C" w14:textId="6784907E" w:rsidR="007070CE" w:rsidRPr="00A05EC9" w:rsidRDefault="007070CE" w:rsidP="007070CE">
      <w:pPr>
        <w:pStyle w:val="ACMATableHeader"/>
      </w:pPr>
      <w:r>
        <w:lastRenderedPageBreak/>
        <w:t xml:space="preserve">Summary of assessment of options </w:t>
      </w:r>
      <w:r w:rsidRPr="00A05EC9">
        <w:t>against Spectrum Management Principle</w:t>
      </w:r>
      <w:r>
        <w:t>s</w:t>
      </w:r>
    </w:p>
    <w:tbl>
      <w:tblPr>
        <w:tblStyle w:val="TableGrid"/>
        <w:tblW w:w="15452" w:type="dxa"/>
        <w:tblInd w:w="-431" w:type="dxa"/>
        <w:tblLook w:val="04A0" w:firstRow="1" w:lastRow="0" w:firstColumn="1" w:lastColumn="0" w:noHBand="0" w:noVBand="1"/>
      </w:tblPr>
      <w:tblGrid>
        <w:gridCol w:w="1271"/>
        <w:gridCol w:w="2836"/>
        <w:gridCol w:w="2836"/>
        <w:gridCol w:w="2836"/>
        <w:gridCol w:w="2836"/>
        <w:gridCol w:w="2837"/>
      </w:tblGrid>
      <w:tr w:rsidR="007070CE" w:rsidRPr="00102A63" w14:paraId="6F041E70" w14:textId="77777777" w:rsidTr="00AE5456">
        <w:trPr>
          <w:trHeight w:val="480"/>
          <w:tblHeader/>
        </w:trPr>
        <w:tc>
          <w:tcPr>
            <w:tcW w:w="1271" w:type="dxa"/>
            <w:shd w:val="clear" w:color="auto" w:fill="404040" w:themeFill="text1" w:themeFillTint="BF"/>
          </w:tcPr>
          <w:p w14:paraId="221BB360" w14:textId="77777777" w:rsidR="007070CE" w:rsidRPr="00102A63" w:rsidRDefault="007070CE" w:rsidP="007070CE">
            <w:pPr>
              <w:spacing w:before="120" w:after="120" w:line="240" w:lineRule="auto"/>
              <w:jc w:val="center"/>
              <w:rPr>
                <w:rFonts w:cs="Arial"/>
                <w:szCs w:val="20"/>
              </w:rPr>
            </w:pPr>
            <w:bookmarkStart w:id="149" w:name="_Hlk3819643"/>
          </w:p>
        </w:tc>
        <w:tc>
          <w:tcPr>
            <w:tcW w:w="2836" w:type="dxa"/>
            <w:shd w:val="clear" w:color="auto" w:fill="404040" w:themeFill="text1" w:themeFillTint="BF"/>
          </w:tcPr>
          <w:p w14:paraId="1BBD2B37" w14:textId="19526597" w:rsidR="007070CE" w:rsidRPr="006846EC" w:rsidRDefault="007070CE" w:rsidP="007070CE">
            <w:pPr>
              <w:pStyle w:val="TableHeading"/>
              <w:rPr>
                <w:color w:val="FFFFFF" w:themeColor="background1"/>
              </w:rPr>
            </w:pPr>
            <w:r w:rsidRPr="00D90CBA">
              <w:rPr>
                <w:color w:val="FFFFFF" w:themeColor="background1"/>
              </w:rPr>
              <w:t xml:space="preserve">Option </w:t>
            </w:r>
            <w:r>
              <w:rPr>
                <w:color w:val="FFFFFF" w:themeColor="background1"/>
              </w:rPr>
              <w:t xml:space="preserve">1a—All services </w:t>
            </w:r>
          </w:p>
        </w:tc>
        <w:tc>
          <w:tcPr>
            <w:tcW w:w="2836" w:type="dxa"/>
            <w:shd w:val="clear" w:color="auto" w:fill="404040" w:themeFill="text1" w:themeFillTint="BF"/>
          </w:tcPr>
          <w:p w14:paraId="6A501337" w14:textId="6A938994" w:rsidR="007070CE" w:rsidRPr="006846EC" w:rsidRDefault="007070CE" w:rsidP="007070CE">
            <w:pPr>
              <w:pStyle w:val="TableHeading"/>
              <w:rPr>
                <w:color w:val="FFFFFF" w:themeColor="background1"/>
              </w:rPr>
            </w:pPr>
            <w:r w:rsidRPr="00D90CBA">
              <w:rPr>
                <w:color w:val="FFFFFF" w:themeColor="background1"/>
              </w:rPr>
              <w:t xml:space="preserve">Option </w:t>
            </w:r>
            <w:r>
              <w:rPr>
                <w:color w:val="FFFFFF" w:themeColor="background1"/>
              </w:rPr>
              <w:t>1</w:t>
            </w:r>
            <w:r w:rsidR="00AE5456">
              <w:rPr>
                <w:color w:val="FFFFFF" w:themeColor="background1"/>
              </w:rPr>
              <w:t>b</w:t>
            </w:r>
            <w:r>
              <w:rPr>
                <w:color w:val="FFFFFF" w:themeColor="background1"/>
              </w:rPr>
              <w:t xml:space="preserve">—All services </w:t>
            </w:r>
          </w:p>
        </w:tc>
        <w:tc>
          <w:tcPr>
            <w:tcW w:w="2836" w:type="dxa"/>
            <w:shd w:val="clear" w:color="auto" w:fill="404040" w:themeFill="text1" w:themeFillTint="BF"/>
          </w:tcPr>
          <w:p w14:paraId="432F9F71" w14:textId="4F3C2865" w:rsidR="007070CE" w:rsidRPr="006846EC" w:rsidRDefault="007070CE" w:rsidP="007070CE">
            <w:pPr>
              <w:pStyle w:val="TableHeading"/>
              <w:rPr>
                <w:color w:val="FFFFFF" w:themeColor="background1"/>
              </w:rPr>
            </w:pPr>
            <w:r w:rsidRPr="006846EC">
              <w:rPr>
                <w:color w:val="FFFFFF" w:themeColor="background1"/>
              </w:rPr>
              <w:t xml:space="preserve">Option </w:t>
            </w:r>
            <w:r>
              <w:rPr>
                <w:color w:val="FFFFFF" w:themeColor="background1"/>
              </w:rPr>
              <w:t>2—FSS/PTP/FWA</w:t>
            </w:r>
          </w:p>
        </w:tc>
        <w:tc>
          <w:tcPr>
            <w:tcW w:w="2836" w:type="dxa"/>
            <w:shd w:val="clear" w:color="auto" w:fill="404040" w:themeFill="text1" w:themeFillTint="BF"/>
          </w:tcPr>
          <w:p w14:paraId="15049050" w14:textId="77777777" w:rsidR="007070CE" w:rsidRPr="006846EC" w:rsidRDefault="007070CE" w:rsidP="007070CE">
            <w:pPr>
              <w:pStyle w:val="TableHeading"/>
              <w:rPr>
                <w:color w:val="FFFFFF" w:themeColor="background1"/>
              </w:rPr>
            </w:pPr>
            <w:r w:rsidRPr="006846EC">
              <w:rPr>
                <w:color w:val="FFFFFF" w:themeColor="background1"/>
              </w:rPr>
              <w:t xml:space="preserve">Option </w:t>
            </w:r>
            <w:r>
              <w:rPr>
                <w:color w:val="FFFFFF" w:themeColor="background1"/>
              </w:rPr>
              <w:t>3—FSS/FWA</w:t>
            </w:r>
          </w:p>
        </w:tc>
        <w:tc>
          <w:tcPr>
            <w:tcW w:w="2837" w:type="dxa"/>
            <w:shd w:val="clear" w:color="auto" w:fill="404040" w:themeFill="text1" w:themeFillTint="BF"/>
          </w:tcPr>
          <w:p w14:paraId="6B2113DE" w14:textId="77777777" w:rsidR="007070CE" w:rsidRPr="006846EC" w:rsidRDefault="007070CE" w:rsidP="007070CE">
            <w:pPr>
              <w:pStyle w:val="TableHeading"/>
              <w:rPr>
                <w:color w:val="FFFFFF" w:themeColor="background1"/>
              </w:rPr>
            </w:pPr>
            <w:r w:rsidRPr="006846EC">
              <w:rPr>
                <w:color w:val="FFFFFF" w:themeColor="background1"/>
              </w:rPr>
              <w:t xml:space="preserve">Option </w:t>
            </w:r>
            <w:r>
              <w:rPr>
                <w:color w:val="FFFFFF" w:themeColor="background1"/>
              </w:rPr>
              <w:t xml:space="preserve">4—FSS </w:t>
            </w:r>
          </w:p>
        </w:tc>
      </w:tr>
      <w:tr w:rsidR="00A42DD2" w:rsidRPr="00102A63" w14:paraId="60085F42" w14:textId="77777777" w:rsidTr="00AE5456">
        <w:trPr>
          <w:trHeight w:val="480"/>
        </w:trPr>
        <w:tc>
          <w:tcPr>
            <w:tcW w:w="1271" w:type="dxa"/>
          </w:tcPr>
          <w:p w14:paraId="0C109305" w14:textId="77777777" w:rsidR="00A42DD2" w:rsidRPr="000129FD" w:rsidRDefault="00A42DD2" w:rsidP="00A42DD2">
            <w:pPr>
              <w:spacing w:before="120" w:after="120" w:line="240" w:lineRule="auto"/>
              <w:jc w:val="center"/>
              <w:rPr>
                <w:rFonts w:cs="Arial"/>
                <w:b/>
                <w:szCs w:val="20"/>
              </w:rPr>
            </w:pPr>
            <w:r>
              <w:rPr>
                <w:rFonts w:cs="Arial"/>
                <w:b/>
                <w:szCs w:val="20"/>
              </w:rPr>
              <w:t>Principle 1</w:t>
            </w:r>
          </w:p>
        </w:tc>
        <w:tc>
          <w:tcPr>
            <w:tcW w:w="2836" w:type="dxa"/>
            <w:tcMar>
              <w:left w:w="28" w:type="dxa"/>
              <w:right w:w="28" w:type="dxa"/>
            </w:tcMar>
          </w:tcPr>
          <w:p w14:paraId="33E2E9E5" w14:textId="0AF9C069" w:rsidR="00A42DD2" w:rsidRPr="001124F2" w:rsidRDefault="00A42DD2" w:rsidP="00A42DD2">
            <w:pPr>
              <w:pStyle w:val="ListBullet"/>
              <w:rPr>
                <w:sz w:val="18"/>
                <w:szCs w:val="18"/>
              </w:rPr>
            </w:pPr>
            <w:r>
              <w:rPr>
                <w:sz w:val="18"/>
                <w:szCs w:val="18"/>
              </w:rPr>
              <w:t>Provides arrangements for W</w:t>
            </w:r>
            <w:r w:rsidR="00F60E47">
              <w:rPr>
                <w:sz w:val="18"/>
                <w:szCs w:val="18"/>
              </w:rPr>
              <w:t>W</w:t>
            </w:r>
            <w:r>
              <w:rPr>
                <w:sz w:val="18"/>
                <w:szCs w:val="18"/>
              </w:rPr>
              <w:t>B, FWA, PTP and FSS</w:t>
            </w:r>
          </w:p>
          <w:p w14:paraId="51D9326F" w14:textId="13D0B837" w:rsidR="00A42DD2" w:rsidRPr="00AE5456" w:rsidRDefault="00A42DD2" w:rsidP="00A42DD2">
            <w:pPr>
              <w:pStyle w:val="ListBullet"/>
              <w:rPr>
                <w:sz w:val="18"/>
                <w:szCs w:val="18"/>
              </w:rPr>
            </w:pPr>
            <w:r>
              <w:rPr>
                <w:sz w:val="18"/>
                <w:szCs w:val="18"/>
              </w:rPr>
              <w:t>A</w:t>
            </w:r>
            <w:r w:rsidRPr="00985502">
              <w:rPr>
                <w:sz w:val="18"/>
                <w:szCs w:val="18"/>
              </w:rPr>
              <w:t xml:space="preserve"> considerable </w:t>
            </w:r>
            <w:r w:rsidR="008F240B">
              <w:rPr>
                <w:sz w:val="18"/>
                <w:szCs w:val="18"/>
              </w:rPr>
              <w:t>amount of spectrum has been identified for</w:t>
            </w:r>
            <w:r w:rsidRPr="00985502">
              <w:rPr>
                <w:sz w:val="18"/>
                <w:szCs w:val="18"/>
              </w:rPr>
              <w:t xml:space="preserve"> WWB </w:t>
            </w:r>
            <w:r w:rsidR="008F240B">
              <w:rPr>
                <w:sz w:val="18"/>
                <w:szCs w:val="18"/>
              </w:rPr>
              <w:t xml:space="preserve">use </w:t>
            </w:r>
            <w:r w:rsidRPr="00985502">
              <w:rPr>
                <w:sz w:val="18"/>
                <w:szCs w:val="18"/>
              </w:rPr>
              <w:t xml:space="preserve">in </w:t>
            </w:r>
            <w:r w:rsidR="004273B4">
              <w:rPr>
                <w:sz w:val="18"/>
                <w:szCs w:val="18"/>
              </w:rPr>
              <w:t xml:space="preserve">the </w:t>
            </w:r>
            <w:r w:rsidRPr="00985502">
              <w:rPr>
                <w:sz w:val="18"/>
                <w:szCs w:val="18"/>
              </w:rPr>
              <w:t>26 GHz band</w:t>
            </w:r>
            <w:r>
              <w:rPr>
                <w:sz w:val="18"/>
                <w:szCs w:val="18"/>
              </w:rPr>
              <w:t xml:space="preserve">, questionable if </w:t>
            </w:r>
            <w:r w:rsidR="000A5017">
              <w:rPr>
                <w:sz w:val="18"/>
                <w:szCs w:val="18"/>
              </w:rPr>
              <w:t xml:space="preserve">providing </w:t>
            </w:r>
            <w:r>
              <w:rPr>
                <w:sz w:val="18"/>
                <w:szCs w:val="18"/>
              </w:rPr>
              <w:t xml:space="preserve">more </w:t>
            </w:r>
            <w:r w:rsidR="000A5017">
              <w:rPr>
                <w:sz w:val="18"/>
                <w:szCs w:val="18"/>
              </w:rPr>
              <w:t>represents HVU</w:t>
            </w:r>
            <w:r>
              <w:rPr>
                <w:sz w:val="18"/>
                <w:szCs w:val="18"/>
              </w:rPr>
              <w:t xml:space="preserve"> </w:t>
            </w:r>
            <w:r w:rsidR="000A5017">
              <w:rPr>
                <w:sz w:val="18"/>
                <w:szCs w:val="18"/>
              </w:rPr>
              <w:t xml:space="preserve">of </w:t>
            </w:r>
            <w:r>
              <w:rPr>
                <w:sz w:val="18"/>
                <w:szCs w:val="18"/>
              </w:rPr>
              <w:t>28 GHz</w:t>
            </w:r>
          </w:p>
        </w:tc>
        <w:tc>
          <w:tcPr>
            <w:tcW w:w="2836" w:type="dxa"/>
            <w:tcMar>
              <w:left w:w="28" w:type="dxa"/>
              <w:right w:w="28" w:type="dxa"/>
            </w:tcMar>
          </w:tcPr>
          <w:p w14:paraId="0E501CA0" w14:textId="77777777" w:rsidR="00A42DD2" w:rsidRPr="001124F2" w:rsidRDefault="00A42DD2" w:rsidP="00A42DD2">
            <w:pPr>
              <w:pStyle w:val="ListBullet"/>
              <w:rPr>
                <w:sz w:val="18"/>
                <w:szCs w:val="18"/>
              </w:rPr>
            </w:pPr>
            <w:r>
              <w:rPr>
                <w:sz w:val="18"/>
                <w:szCs w:val="18"/>
              </w:rPr>
              <w:t>Provides arrangements for WWB, FWA, PTP and FSS</w:t>
            </w:r>
          </w:p>
          <w:p w14:paraId="2544B3EF" w14:textId="4937C449" w:rsidR="00A42DD2" w:rsidRPr="00AE5456" w:rsidRDefault="008F240B" w:rsidP="00A42DD2">
            <w:pPr>
              <w:pStyle w:val="ListBullet"/>
              <w:rPr>
                <w:sz w:val="18"/>
                <w:szCs w:val="18"/>
              </w:rPr>
            </w:pPr>
            <w:r>
              <w:rPr>
                <w:sz w:val="18"/>
                <w:szCs w:val="18"/>
              </w:rPr>
              <w:t>A</w:t>
            </w:r>
            <w:r w:rsidRPr="00985502">
              <w:rPr>
                <w:sz w:val="18"/>
                <w:szCs w:val="18"/>
              </w:rPr>
              <w:t xml:space="preserve"> considerable </w:t>
            </w:r>
            <w:r>
              <w:rPr>
                <w:sz w:val="18"/>
                <w:szCs w:val="18"/>
              </w:rPr>
              <w:t>amount of spectrum has been identified for</w:t>
            </w:r>
            <w:r w:rsidRPr="00985502">
              <w:rPr>
                <w:sz w:val="18"/>
                <w:szCs w:val="18"/>
              </w:rPr>
              <w:t xml:space="preserve"> WWB </w:t>
            </w:r>
            <w:r>
              <w:rPr>
                <w:sz w:val="18"/>
                <w:szCs w:val="18"/>
              </w:rPr>
              <w:t xml:space="preserve">use </w:t>
            </w:r>
            <w:r w:rsidRPr="00985502">
              <w:rPr>
                <w:sz w:val="18"/>
                <w:szCs w:val="18"/>
              </w:rPr>
              <w:t xml:space="preserve">in </w:t>
            </w:r>
            <w:r w:rsidR="004273B4">
              <w:rPr>
                <w:sz w:val="18"/>
                <w:szCs w:val="18"/>
              </w:rPr>
              <w:t xml:space="preserve">the </w:t>
            </w:r>
            <w:r w:rsidRPr="00985502">
              <w:rPr>
                <w:sz w:val="18"/>
                <w:szCs w:val="18"/>
              </w:rPr>
              <w:t>26 GHz band</w:t>
            </w:r>
            <w:r>
              <w:rPr>
                <w:sz w:val="18"/>
                <w:szCs w:val="18"/>
              </w:rPr>
              <w:t>, questionable if providing more represents HVU of 28 GHz</w:t>
            </w:r>
          </w:p>
        </w:tc>
        <w:tc>
          <w:tcPr>
            <w:tcW w:w="2836" w:type="dxa"/>
            <w:tcMar>
              <w:left w:w="28" w:type="dxa"/>
              <w:right w:w="28" w:type="dxa"/>
            </w:tcMar>
          </w:tcPr>
          <w:p w14:paraId="4A905B17" w14:textId="77777777" w:rsidR="00A42DD2" w:rsidRDefault="00A42DD2" w:rsidP="00A42DD2">
            <w:pPr>
              <w:pStyle w:val="ListBullet"/>
              <w:rPr>
                <w:sz w:val="18"/>
                <w:szCs w:val="18"/>
              </w:rPr>
            </w:pPr>
            <w:r>
              <w:rPr>
                <w:sz w:val="18"/>
                <w:szCs w:val="18"/>
              </w:rPr>
              <w:t>Provides arrangements for FWA, PTP and FSS</w:t>
            </w:r>
          </w:p>
          <w:p w14:paraId="4069ED84" w14:textId="1F03514E" w:rsidR="00A42DD2" w:rsidRPr="00AE5456" w:rsidRDefault="00A42DD2" w:rsidP="00A42DD2">
            <w:pPr>
              <w:pStyle w:val="ListBullet"/>
              <w:rPr>
                <w:sz w:val="18"/>
                <w:szCs w:val="18"/>
              </w:rPr>
            </w:pPr>
            <w:r>
              <w:rPr>
                <w:sz w:val="18"/>
                <w:szCs w:val="18"/>
              </w:rPr>
              <w:t>Satisfies Principle if arrangements for 28 GHz PTP cannot be supported in other bands</w:t>
            </w:r>
          </w:p>
        </w:tc>
        <w:tc>
          <w:tcPr>
            <w:tcW w:w="2836" w:type="dxa"/>
            <w:tcMar>
              <w:left w:w="28" w:type="dxa"/>
              <w:right w:w="28" w:type="dxa"/>
            </w:tcMar>
          </w:tcPr>
          <w:p w14:paraId="51CA7790" w14:textId="77777777" w:rsidR="00A42DD2" w:rsidRDefault="00A42DD2" w:rsidP="00A42DD2">
            <w:pPr>
              <w:pStyle w:val="ListBullet"/>
              <w:rPr>
                <w:sz w:val="18"/>
                <w:szCs w:val="18"/>
              </w:rPr>
            </w:pPr>
            <w:r>
              <w:rPr>
                <w:sz w:val="18"/>
                <w:szCs w:val="18"/>
              </w:rPr>
              <w:t>Provides arrangements for FWA, and FSS</w:t>
            </w:r>
          </w:p>
          <w:p w14:paraId="68D9065D" w14:textId="5F59B8CF" w:rsidR="00A42DD2" w:rsidRPr="00AE5456" w:rsidRDefault="00A42DD2" w:rsidP="00A42DD2">
            <w:pPr>
              <w:pStyle w:val="ListBullet"/>
              <w:rPr>
                <w:sz w:val="18"/>
                <w:szCs w:val="18"/>
              </w:rPr>
            </w:pPr>
            <w:r>
              <w:rPr>
                <w:sz w:val="18"/>
                <w:szCs w:val="18"/>
              </w:rPr>
              <w:t>Satisfies Principle if arrangements for 28 GHz PTP can be supported in other bands</w:t>
            </w:r>
          </w:p>
        </w:tc>
        <w:tc>
          <w:tcPr>
            <w:tcW w:w="2837" w:type="dxa"/>
            <w:tcMar>
              <w:left w:w="28" w:type="dxa"/>
              <w:right w:w="28" w:type="dxa"/>
            </w:tcMar>
          </w:tcPr>
          <w:p w14:paraId="63B19AA4" w14:textId="77777777" w:rsidR="00A42DD2" w:rsidRDefault="00A42DD2" w:rsidP="00A42DD2">
            <w:pPr>
              <w:pStyle w:val="ListBullet"/>
              <w:rPr>
                <w:sz w:val="18"/>
                <w:szCs w:val="18"/>
              </w:rPr>
            </w:pPr>
            <w:r>
              <w:rPr>
                <w:sz w:val="18"/>
                <w:szCs w:val="18"/>
              </w:rPr>
              <w:t xml:space="preserve">Provides arrangements for FSS </w:t>
            </w:r>
          </w:p>
          <w:p w14:paraId="763B67C1" w14:textId="2F867BBE" w:rsidR="00A42DD2" w:rsidRPr="00AE5456" w:rsidRDefault="00A42DD2" w:rsidP="00A42DD2">
            <w:pPr>
              <w:pStyle w:val="ListBullet"/>
              <w:rPr>
                <w:sz w:val="18"/>
                <w:szCs w:val="18"/>
              </w:rPr>
            </w:pPr>
            <w:r>
              <w:rPr>
                <w:sz w:val="18"/>
                <w:szCs w:val="18"/>
              </w:rPr>
              <w:t xml:space="preserve">Partially satisfies Principle as no arrangements for FWA or PTP are provided </w:t>
            </w:r>
          </w:p>
        </w:tc>
      </w:tr>
      <w:tr w:rsidR="00A42DD2" w:rsidRPr="00102A63" w14:paraId="68A5D9EE" w14:textId="77777777" w:rsidTr="00AE5456">
        <w:trPr>
          <w:trHeight w:val="480"/>
        </w:trPr>
        <w:tc>
          <w:tcPr>
            <w:tcW w:w="1271" w:type="dxa"/>
          </w:tcPr>
          <w:p w14:paraId="3C3B4277" w14:textId="77777777" w:rsidR="00A42DD2" w:rsidRPr="009B460A" w:rsidRDefault="00A42DD2" w:rsidP="00A42DD2">
            <w:pPr>
              <w:spacing w:before="120" w:after="120" w:line="240" w:lineRule="auto"/>
              <w:jc w:val="center"/>
              <w:rPr>
                <w:rFonts w:cs="Arial"/>
                <w:b/>
                <w:szCs w:val="20"/>
              </w:rPr>
            </w:pPr>
            <w:r>
              <w:rPr>
                <w:rFonts w:cs="Arial"/>
                <w:b/>
                <w:szCs w:val="20"/>
              </w:rPr>
              <w:t>Principle 2</w:t>
            </w:r>
          </w:p>
        </w:tc>
        <w:tc>
          <w:tcPr>
            <w:tcW w:w="2836" w:type="dxa"/>
            <w:tcMar>
              <w:left w:w="28" w:type="dxa"/>
              <w:right w:w="28" w:type="dxa"/>
            </w:tcMar>
          </w:tcPr>
          <w:p w14:paraId="46216EF2" w14:textId="77777777" w:rsidR="00A934FF" w:rsidRDefault="00A934FF" w:rsidP="00A42DD2">
            <w:pPr>
              <w:pStyle w:val="ListBullet"/>
              <w:rPr>
                <w:sz w:val="18"/>
                <w:szCs w:val="18"/>
              </w:rPr>
            </w:pPr>
            <w:r>
              <w:rPr>
                <w:sz w:val="18"/>
                <w:szCs w:val="18"/>
              </w:rPr>
              <w:t>May not</w:t>
            </w:r>
            <w:r w:rsidRPr="00AE5456">
              <w:rPr>
                <w:sz w:val="18"/>
                <w:szCs w:val="18"/>
              </w:rPr>
              <w:t xml:space="preserve"> satisfy</w:t>
            </w:r>
            <w:r>
              <w:rPr>
                <w:sz w:val="18"/>
                <w:szCs w:val="18"/>
              </w:rPr>
              <w:t xml:space="preserve"> Principle in areas subject to spectrum licensing as this is not optimal for use by multiple different licensees and services </w:t>
            </w:r>
          </w:p>
          <w:p w14:paraId="4871A0C1" w14:textId="077EE036" w:rsidR="00A42DD2" w:rsidRPr="00A934FF" w:rsidRDefault="00DB30AF" w:rsidP="00A934FF">
            <w:pPr>
              <w:pStyle w:val="ListBullet"/>
              <w:rPr>
                <w:sz w:val="18"/>
                <w:szCs w:val="18"/>
              </w:rPr>
            </w:pPr>
            <w:r>
              <w:rPr>
                <w:sz w:val="18"/>
                <w:szCs w:val="18"/>
              </w:rPr>
              <w:t xml:space="preserve">Satisfies </w:t>
            </w:r>
            <w:r w:rsidR="00A42DD2">
              <w:rPr>
                <w:sz w:val="18"/>
                <w:szCs w:val="18"/>
              </w:rPr>
              <w:t>Principle outside of areas subject to spectrum licensing as it enables FWA, PTP and FSS use</w:t>
            </w:r>
          </w:p>
        </w:tc>
        <w:tc>
          <w:tcPr>
            <w:tcW w:w="2836" w:type="dxa"/>
            <w:tcMar>
              <w:left w:w="28" w:type="dxa"/>
              <w:right w:w="28" w:type="dxa"/>
            </w:tcMar>
          </w:tcPr>
          <w:p w14:paraId="535563CB" w14:textId="77777777" w:rsidR="00A934FF" w:rsidRDefault="00A934FF" w:rsidP="00A934FF">
            <w:pPr>
              <w:pStyle w:val="ListBullet"/>
              <w:rPr>
                <w:sz w:val="18"/>
                <w:szCs w:val="18"/>
              </w:rPr>
            </w:pPr>
            <w:r>
              <w:rPr>
                <w:sz w:val="18"/>
                <w:szCs w:val="18"/>
              </w:rPr>
              <w:t>May not</w:t>
            </w:r>
            <w:r w:rsidRPr="00AE5456">
              <w:rPr>
                <w:sz w:val="18"/>
                <w:szCs w:val="18"/>
              </w:rPr>
              <w:t xml:space="preserve"> satisfy</w:t>
            </w:r>
            <w:r>
              <w:rPr>
                <w:sz w:val="18"/>
                <w:szCs w:val="18"/>
              </w:rPr>
              <w:t xml:space="preserve"> Principle in areas subject to spectrum licensing as this is not optimal for use by multiple different licensees and services </w:t>
            </w:r>
          </w:p>
          <w:p w14:paraId="015EE51B" w14:textId="0DE25038" w:rsidR="00A42DD2" w:rsidRPr="00AE5456" w:rsidRDefault="00A934FF" w:rsidP="00A934FF">
            <w:pPr>
              <w:pStyle w:val="ListBullet"/>
              <w:rPr>
                <w:sz w:val="18"/>
                <w:szCs w:val="18"/>
              </w:rPr>
            </w:pPr>
            <w:r>
              <w:rPr>
                <w:sz w:val="18"/>
                <w:szCs w:val="18"/>
              </w:rPr>
              <w:t>Satisfies Principle outside of areas subject to spectrum licensing as it enables FWA, PTP and FSS use</w:t>
            </w:r>
          </w:p>
        </w:tc>
        <w:tc>
          <w:tcPr>
            <w:tcW w:w="2836" w:type="dxa"/>
            <w:tcMar>
              <w:left w:w="28" w:type="dxa"/>
              <w:right w:w="28" w:type="dxa"/>
            </w:tcMar>
          </w:tcPr>
          <w:p w14:paraId="363EC0C3" w14:textId="77777777" w:rsidR="00A42DD2" w:rsidRDefault="00A42DD2" w:rsidP="00A42DD2">
            <w:pPr>
              <w:pStyle w:val="ListBullet"/>
              <w:rPr>
                <w:sz w:val="18"/>
                <w:szCs w:val="18"/>
              </w:rPr>
            </w:pPr>
            <w:r>
              <w:rPr>
                <w:sz w:val="18"/>
                <w:szCs w:val="18"/>
              </w:rPr>
              <w:t xml:space="preserve">Enables FWA, PTP and FSS use </w:t>
            </w:r>
          </w:p>
          <w:p w14:paraId="2075CFAF" w14:textId="1209AE99" w:rsidR="00A42DD2" w:rsidRDefault="00A42DD2" w:rsidP="00A42DD2">
            <w:pPr>
              <w:pStyle w:val="ListBullet"/>
              <w:rPr>
                <w:sz w:val="18"/>
                <w:szCs w:val="18"/>
              </w:rPr>
            </w:pPr>
            <w:r>
              <w:rPr>
                <w:sz w:val="18"/>
                <w:szCs w:val="18"/>
              </w:rPr>
              <w:t>Satisfies Principle if arrangements for 28 GHz PTP cannot be supported in other bands</w:t>
            </w:r>
          </w:p>
          <w:p w14:paraId="4ECAAC24" w14:textId="6BABBB56" w:rsidR="00A42DD2" w:rsidRPr="00AE5456" w:rsidRDefault="00A42DD2" w:rsidP="00E14E71">
            <w:pPr>
              <w:pStyle w:val="ListBullet"/>
              <w:numPr>
                <w:ilvl w:val="0"/>
                <w:numId w:val="0"/>
              </w:numPr>
              <w:rPr>
                <w:sz w:val="18"/>
                <w:szCs w:val="18"/>
              </w:rPr>
            </w:pPr>
          </w:p>
        </w:tc>
        <w:tc>
          <w:tcPr>
            <w:tcW w:w="2836" w:type="dxa"/>
            <w:tcMar>
              <w:left w:w="28" w:type="dxa"/>
              <w:right w:w="28" w:type="dxa"/>
            </w:tcMar>
          </w:tcPr>
          <w:p w14:paraId="29B2E1DE" w14:textId="77777777" w:rsidR="00A42DD2" w:rsidRDefault="00A42DD2" w:rsidP="00A42DD2">
            <w:pPr>
              <w:pStyle w:val="ListBullet"/>
              <w:rPr>
                <w:sz w:val="18"/>
                <w:szCs w:val="18"/>
              </w:rPr>
            </w:pPr>
            <w:r>
              <w:rPr>
                <w:sz w:val="18"/>
                <w:szCs w:val="18"/>
              </w:rPr>
              <w:t xml:space="preserve">Enables FWA and FSS use </w:t>
            </w:r>
          </w:p>
          <w:p w14:paraId="503AD272" w14:textId="4E8FC0E3" w:rsidR="00A42DD2" w:rsidRPr="00AE5456" w:rsidRDefault="00A42DD2" w:rsidP="00A42DD2">
            <w:pPr>
              <w:pStyle w:val="ListBullet"/>
              <w:rPr>
                <w:sz w:val="18"/>
                <w:szCs w:val="18"/>
              </w:rPr>
            </w:pPr>
            <w:r>
              <w:rPr>
                <w:sz w:val="18"/>
                <w:szCs w:val="18"/>
              </w:rPr>
              <w:t>Satisfies Principle if arrangements for 28 GHz PTP can be supported in other bands</w:t>
            </w:r>
          </w:p>
        </w:tc>
        <w:tc>
          <w:tcPr>
            <w:tcW w:w="2837" w:type="dxa"/>
            <w:tcMar>
              <w:left w:w="28" w:type="dxa"/>
              <w:right w:w="28" w:type="dxa"/>
            </w:tcMar>
          </w:tcPr>
          <w:p w14:paraId="7EA3B00D" w14:textId="017153D6" w:rsidR="00A42DD2" w:rsidRPr="00AE5456" w:rsidRDefault="00A42DD2" w:rsidP="00A42DD2">
            <w:pPr>
              <w:pStyle w:val="ListBullet"/>
              <w:rPr>
                <w:sz w:val="18"/>
                <w:szCs w:val="18"/>
              </w:rPr>
            </w:pPr>
            <w:r w:rsidRPr="00AA19B3">
              <w:rPr>
                <w:sz w:val="18"/>
                <w:szCs w:val="18"/>
              </w:rPr>
              <w:t>Partially satisfies Principle as it enables FSS use of the entire band. However, it does not enable FWA</w:t>
            </w:r>
            <w:r>
              <w:rPr>
                <w:sz w:val="18"/>
                <w:szCs w:val="18"/>
              </w:rPr>
              <w:t xml:space="preserve"> use and results in removal of PTP</w:t>
            </w:r>
            <w:r w:rsidRPr="00AA19B3">
              <w:rPr>
                <w:sz w:val="18"/>
                <w:szCs w:val="18"/>
              </w:rPr>
              <w:t xml:space="preserve"> </w:t>
            </w:r>
            <w:r>
              <w:rPr>
                <w:sz w:val="18"/>
                <w:szCs w:val="18"/>
              </w:rPr>
              <w:t>arrangements</w:t>
            </w:r>
          </w:p>
        </w:tc>
      </w:tr>
      <w:tr w:rsidR="00D429FC" w:rsidRPr="00102A63" w14:paraId="1D78AF37" w14:textId="77777777" w:rsidTr="005D3186">
        <w:trPr>
          <w:trHeight w:val="633"/>
        </w:trPr>
        <w:tc>
          <w:tcPr>
            <w:tcW w:w="1271" w:type="dxa"/>
          </w:tcPr>
          <w:p w14:paraId="3DA67F5D" w14:textId="77777777" w:rsidR="00D429FC" w:rsidRPr="00A5459D" w:rsidRDefault="00D429FC" w:rsidP="00D429FC">
            <w:pPr>
              <w:spacing w:before="120" w:after="120" w:line="240" w:lineRule="auto"/>
              <w:jc w:val="center"/>
              <w:rPr>
                <w:rFonts w:cs="Arial"/>
                <w:b/>
                <w:szCs w:val="20"/>
              </w:rPr>
            </w:pPr>
            <w:bookmarkStart w:id="150" w:name="_Hlk4510623"/>
            <w:r>
              <w:rPr>
                <w:rFonts w:cs="Arial"/>
                <w:b/>
                <w:szCs w:val="20"/>
              </w:rPr>
              <w:t>Principle 3</w:t>
            </w:r>
          </w:p>
        </w:tc>
        <w:tc>
          <w:tcPr>
            <w:tcW w:w="2836" w:type="dxa"/>
            <w:tcMar>
              <w:left w:w="28" w:type="dxa"/>
              <w:right w:w="28" w:type="dxa"/>
            </w:tcMar>
          </w:tcPr>
          <w:p w14:paraId="41B35FC3" w14:textId="77777777" w:rsidR="00D429FC" w:rsidRPr="00AE5456" w:rsidRDefault="00D429FC" w:rsidP="00D429FC">
            <w:pPr>
              <w:pStyle w:val="ListBullet"/>
              <w:rPr>
                <w:sz w:val="18"/>
                <w:szCs w:val="18"/>
              </w:rPr>
            </w:pPr>
            <w:r w:rsidRPr="00AE5456">
              <w:rPr>
                <w:sz w:val="18"/>
                <w:szCs w:val="18"/>
              </w:rPr>
              <w:t>Higher cost</w:t>
            </w:r>
            <w:r>
              <w:rPr>
                <w:sz w:val="18"/>
                <w:szCs w:val="18"/>
              </w:rPr>
              <w:t>s</w:t>
            </w:r>
            <w:r w:rsidRPr="00AE5456">
              <w:rPr>
                <w:sz w:val="18"/>
                <w:szCs w:val="18"/>
              </w:rPr>
              <w:t xml:space="preserve"> </w:t>
            </w:r>
            <w:r>
              <w:rPr>
                <w:sz w:val="18"/>
                <w:szCs w:val="18"/>
              </w:rPr>
              <w:t>for areas subject to</w:t>
            </w:r>
            <w:r w:rsidRPr="00AE5456">
              <w:rPr>
                <w:sz w:val="18"/>
                <w:szCs w:val="18"/>
              </w:rPr>
              <w:t xml:space="preserve"> spectrum licensing </w:t>
            </w:r>
          </w:p>
          <w:p w14:paraId="14D4C372" w14:textId="77777777" w:rsidR="003E50CD" w:rsidRDefault="00D429FC" w:rsidP="001B4678">
            <w:pPr>
              <w:pStyle w:val="ListBullet"/>
              <w:rPr>
                <w:sz w:val="18"/>
                <w:szCs w:val="18"/>
              </w:rPr>
            </w:pPr>
            <w:r>
              <w:rPr>
                <w:sz w:val="18"/>
                <w:szCs w:val="18"/>
              </w:rPr>
              <w:t>Spectrum licensing provides least restrictive use of spectrum for single licensees providing services over large areas. However, use of spectrum by multiple different licensees and services is be</w:t>
            </w:r>
            <w:r w:rsidR="00516E80">
              <w:rPr>
                <w:sz w:val="18"/>
                <w:szCs w:val="18"/>
              </w:rPr>
              <w:t>tter</w:t>
            </w:r>
            <w:r>
              <w:rPr>
                <w:sz w:val="18"/>
                <w:szCs w:val="18"/>
              </w:rPr>
              <w:t xml:space="preserve"> supported by apparatus and class licence regimes.</w:t>
            </w:r>
            <w:r w:rsidR="001B4678">
              <w:rPr>
                <w:sz w:val="18"/>
                <w:szCs w:val="18"/>
              </w:rPr>
              <w:t xml:space="preserve"> </w:t>
            </w:r>
          </w:p>
          <w:p w14:paraId="028BA3CB" w14:textId="7BB928EC" w:rsidR="001B4678" w:rsidRPr="00AE5456" w:rsidRDefault="003E50CD" w:rsidP="003E50CD">
            <w:pPr>
              <w:pStyle w:val="ListBullet"/>
              <w:rPr>
                <w:sz w:val="18"/>
                <w:szCs w:val="18"/>
              </w:rPr>
            </w:pPr>
            <w:r>
              <w:rPr>
                <w:sz w:val="18"/>
                <w:szCs w:val="18"/>
              </w:rPr>
              <w:t>I</w:t>
            </w:r>
            <w:r w:rsidR="001B4678">
              <w:rPr>
                <w:sz w:val="18"/>
                <w:szCs w:val="18"/>
              </w:rPr>
              <w:t>n line with Government policy objectives of promoting sharing and fostering a competitive telecommunications market</w:t>
            </w:r>
            <w:r w:rsidR="001B4678" w:rsidRPr="00AE5456">
              <w:rPr>
                <w:sz w:val="18"/>
                <w:szCs w:val="18"/>
              </w:rPr>
              <w:t xml:space="preserve"> </w:t>
            </w:r>
          </w:p>
        </w:tc>
        <w:tc>
          <w:tcPr>
            <w:tcW w:w="2836" w:type="dxa"/>
            <w:tcMar>
              <w:left w:w="28" w:type="dxa"/>
              <w:right w:w="28" w:type="dxa"/>
            </w:tcMar>
          </w:tcPr>
          <w:p w14:paraId="2F874D17" w14:textId="77777777" w:rsidR="00D429FC" w:rsidRPr="00AE5456" w:rsidRDefault="00D429FC" w:rsidP="00D429FC">
            <w:pPr>
              <w:pStyle w:val="ListBullet"/>
              <w:rPr>
                <w:sz w:val="18"/>
                <w:szCs w:val="18"/>
              </w:rPr>
            </w:pPr>
            <w:r w:rsidRPr="00AE5456">
              <w:rPr>
                <w:sz w:val="18"/>
                <w:szCs w:val="18"/>
              </w:rPr>
              <w:t>Higher cost</w:t>
            </w:r>
            <w:r>
              <w:rPr>
                <w:sz w:val="18"/>
                <w:szCs w:val="18"/>
              </w:rPr>
              <w:t>s</w:t>
            </w:r>
            <w:r w:rsidRPr="00AE5456">
              <w:rPr>
                <w:sz w:val="18"/>
                <w:szCs w:val="18"/>
              </w:rPr>
              <w:t xml:space="preserve"> </w:t>
            </w:r>
            <w:r>
              <w:rPr>
                <w:sz w:val="18"/>
                <w:szCs w:val="18"/>
              </w:rPr>
              <w:t>for areas subject to</w:t>
            </w:r>
            <w:r w:rsidRPr="00AE5456">
              <w:rPr>
                <w:sz w:val="18"/>
                <w:szCs w:val="18"/>
              </w:rPr>
              <w:t xml:space="preserve"> spectrum licensing </w:t>
            </w:r>
          </w:p>
          <w:p w14:paraId="54CE2BE6" w14:textId="77777777" w:rsidR="003E50CD" w:rsidRDefault="00D429FC" w:rsidP="00D429FC">
            <w:pPr>
              <w:pStyle w:val="ListBullet"/>
              <w:rPr>
                <w:sz w:val="18"/>
                <w:szCs w:val="18"/>
              </w:rPr>
            </w:pPr>
            <w:r>
              <w:rPr>
                <w:sz w:val="18"/>
                <w:szCs w:val="18"/>
              </w:rPr>
              <w:t>Spectrum licensing provides least restrictive use of spectrum for single licensees providing services over large areas. However, use of spectrum by multiple different licensees and services is be</w:t>
            </w:r>
            <w:r w:rsidR="00516E80">
              <w:rPr>
                <w:sz w:val="18"/>
                <w:szCs w:val="18"/>
              </w:rPr>
              <w:t>tter</w:t>
            </w:r>
            <w:r>
              <w:rPr>
                <w:sz w:val="18"/>
                <w:szCs w:val="18"/>
              </w:rPr>
              <w:t xml:space="preserve"> supported by apparatus and class licence regimes.</w:t>
            </w:r>
            <w:r w:rsidR="001B4678">
              <w:rPr>
                <w:sz w:val="18"/>
                <w:szCs w:val="18"/>
              </w:rPr>
              <w:t xml:space="preserve"> </w:t>
            </w:r>
          </w:p>
          <w:p w14:paraId="3B3FC63A" w14:textId="6725E0E3" w:rsidR="00D429FC" w:rsidRPr="00AE5456" w:rsidRDefault="003E50CD" w:rsidP="00D429FC">
            <w:pPr>
              <w:pStyle w:val="ListBullet"/>
              <w:rPr>
                <w:sz w:val="18"/>
                <w:szCs w:val="18"/>
              </w:rPr>
            </w:pPr>
            <w:r>
              <w:rPr>
                <w:sz w:val="18"/>
                <w:szCs w:val="18"/>
              </w:rPr>
              <w:t>I</w:t>
            </w:r>
            <w:r w:rsidR="001B4678">
              <w:rPr>
                <w:sz w:val="18"/>
                <w:szCs w:val="18"/>
              </w:rPr>
              <w:t>n line with Government policy objectives of promoting sharing and fostering a competitive telecommunications market</w:t>
            </w:r>
          </w:p>
        </w:tc>
        <w:tc>
          <w:tcPr>
            <w:tcW w:w="2836" w:type="dxa"/>
            <w:tcMar>
              <w:left w:w="28" w:type="dxa"/>
              <w:right w:w="28" w:type="dxa"/>
            </w:tcMar>
          </w:tcPr>
          <w:p w14:paraId="55FE800B" w14:textId="14DDCD46" w:rsidR="00D429FC" w:rsidRPr="00983FDF" w:rsidRDefault="00D429FC" w:rsidP="00D429FC">
            <w:pPr>
              <w:pStyle w:val="ListBullet"/>
              <w:rPr>
                <w:sz w:val="18"/>
                <w:szCs w:val="18"/>
              </w:rPr>
            </w:pPr>
            <w:r w:rsidRPr="00983FDF">
              <w:rPr>
                <w:sz w:val="18"/>
                <w:szCs w:val="18"/>
              </w:rPr>
              <w:t xml:space="preserve">Less cost </w:t>
            </w:r>
            <w:r>
              <w:rPr>
                <w:sz w:val="18"/>
                <w:szCs w:val="18"/>
              </w:rPr>
              <w:t xml:space="preserve">approach </w:t>
            </w:r>
            <w:r w:rsidRPr="00983FDF">
              <w:rPr>
                <w:sz w:val="18"/>
                <w:szCs w:val="18"/>
              </w:rPr>
              <w:t>than Option 1.</w:t>
            </w:r>
            <w:r>
              <w:rPr>
                <w:sz w:val="18"/>
                <w:szCs w:val="18"/>
              </w:rPr>
              <w:t xml:space="preserve"> </w:t>
            </w:r>
            <w:r w:rsidRPr="00983FDF">
              <w:rPr>
                <w:sz w:val="18"/>
                <w:szCs w:val="18"/>
              </w:rPr>
              <w:t>Similar cost to Options 3 and 4 as implementation is via apparatus and class licensing regimes</w:t>
            </w:r>
          </w:p>
          <w:p w14:paraId="63222A88" w14:textId="77777777" w:rsidR="003E50CD" w:rsidRDefault="00D429FC" w:rsidP="00D429FC">
            <w:pPr>
              <w:pStyle w:val="ListBullet"/>
              <w:rPr>
                <w:sz w:val="18"/>
                <w:szCs w:val="18"/>
              </w:rPr>
            </w:pPr>
            <w:r>
              <w:rPr>
                <w:sz w:val="18"/>
                <w:szCs w:val="18"/>
              </w:rPr>
              <w:t>Use of spectrum by multiple different licensees and services is be</w:t>
            </w:r>
            <w:r w:rsidR="005D74DE">
              <w:rPr>
                <w:sz w:val="18"/>
                <w:szCs w:val="18"/>
              </w:rPr>
              <w:t>tter</w:t>
            </w:r>
            <w:r>
              <w:rPr>
                <w:sz w:val="18"/>
                <w:szCs w:val="18"/>
              </w:rPr>
              <w:t xml:space="preserve"> supported by apparatus and class licence regimes</w:t>
            </w:r>
            <w:r w:rsidR="003E50CD">
              <w:rPr>
                <w:sz w:val="18"/>
                <w:szCs w:val="18"/>
              </w:rPr>
              <w:t xml:space="preserve">. </w:t>
            </w:r>
          </w:p>
          <w:p w14:paraId="1F82F965" w14:textId="30C69C91" w:rsidR="00D429FC" w:rsidRDefault="003E50CD" w:rsidP="00D429FC">
            <w:pPr>
              <w:pStyle w:val="ListBullet"/>
              <w:rPr>
                <w:sz w:val="18"/>
                <w:szCs w:val="18"/>
              </w:rPr>
            </w:pPr>
            <w:r>
              <w:rPr>
                <w:sz w:val="18"/>
                <w:szCs w:val="18"/>
              </w:rPr>
              <w:t>In line with Government policy objectives of promoting sharing and fostering a competitive telecommunications market</w:t>
            </w:r>
          </w:p>
          <w:p w14:paraId="125C9104" w14:textId="0A6AFFEF" w:rsidR="00D429FC" w:rsidRPr="00AE5456" w:rsidRDefault="00D429FC" w:rsidP="00D429FC">
            <w:pPr>
              <w:pStyle w:val="ListBullet"/>
              <w:rPr>
                <w:sz w:val="18"/>
                <w:szCs w:val="18"/>
              </w:rPr>
            </w:pPr>
            <w:r>
              <w:rPr>
                <w:sz w:val="18"/>
                <w:szCs w:val="18"/>
              </w:rPr>
              <w:t>Least restrictive option if 28</w:t>
            </w:r>
            <w:r w:rsidR="00D613A6">
              <w:rPr>
                <w:sz w:val="18"/>
                <w:szCs w:val="18"/>
              </w:rPr>
              <w:t> </w:t>
            </w:r>
            <w:r>
              <w:rPr>
                <w:sz w:val="18"/>
                <w:szCs w:val="18"/>
              </w:rPr>
              <w:t>GHz PTP cannot be supported in other bands</w:t>
            </w:r>
          </w:p>
        </w:tc>
        <w:tc>
          <w:tcPr>
            <w:tcW w:w="2836" w:type="dxa"/>
            <w:tcMar>
              <w:left w:w="28" w:type="dxa"/>
              <w:right w:w="28" w:type="dxa"/>
            </w:tcMar>
          </w:tcPr>
          <w:p w14:paraId="5C96217A" w14:textId="630A1FB4" w:rsidR="00D429FC" w:rsidRPr="00983FDF" w:rsidRDefault="00D429FC" w:rsidP="00D429FC">
            <w:pPr>
              <w:pStyle w:val="ListBullet"/>
              <w:rPr>
                <w:sz w:val="18"/>
                <w:szCs w:val="18"/>
              </w:rPr>
            </w:pPr>
            <w:r w:rsidRPr="00983FDF">
              <w:rPr>
                <w:sz w:val="18"/>
                <w:szCs w:val="18"/>
              </w:rPr>
              <w:t xml:space="preserve">Less cost </w:t>
            </w:r>
            <w:r>
              <w:rPr>
                <w:sz w:val="18"/>
                <w:szCs w:val="18"/>
              </w:rPr>
              <w:t xml:space="preserve">approach </w:t>
            </w:r>
            <w:r w:rsidRPr="00983FDF">
              <w:rPr>
                <w:sz w:val="18"/>
                <w:szCs w:val="18"/>
              </w:rPr>
              <w:t xml:space="preserve">than Option 1. Similar cost to Options 2 and </w:t>
            </w:r>
            <w:r w:rsidR="003C4E7D">
              <w:rPr>
                <w:sz w:val="18"/>
                <w:szCs w:val="18"/>
              </w:rPr>
              <w:t>4</w:t>
            </w:r>
            <w:r w:rsidRPr="00983FDF">
              <w:rPr>
                <w:sz w:val="18"/>
                <w:szCs w:val="18"/>
              </w:rPr>
              <w:t xml:space="preserve"> as implementation is via apparatus and class licensing regimes</w:t>
            </w:r>
          </w:p>
          <w:p w14:paraId="068F2010" w14:textId="77777777" w:rsidR="00D429FC" w:rsidRPr="00801F73" w:rsidRDefault="00D429FC" w:rsidP="00D429FC">
            <w:pPr>
              <w:pStyle w:val="ListBullet"/>
              <w:rPr>
                <w:b/>
                <w:sz w:val="18"/>
                <w:szCs w:val="18"/>
              </w:rPr>
            </w:pPr>
            <w:r>
              <w:rPr>
                <w:sz w:val="18"/>
                <w:szCs w:val="18"/>
              </w:rPr>
              <w:t>Incumbent PTP grandfathered</w:t>
            </w:r>
          </w:p>
          <w:p w14:paraId="50C4905F" w14:textId="77777777" w:rsidR="003E50CD" w:rsidRPr="002F3B34" w:rsidRDefault="00D429FC" w:rsidP="00D429FC">
            <w:pPr>
              <w:pStyle w:val="ListBullet"/>
              <w:rPr>
                <w:b/>
                <w:sz w:val="18"/>
                <w:szCs w:val="18"/>
              </w:rPr>
            </w:pPr>
            <w:r>
              <w:rPr>
                <w:sz w:val="18"/>
                <w:szCs w:val="18"/>
              </w:rPr>
              <w:t>Use of spectrum by multiple different licensees and services is be</w:t>
            </w:r>
            <w:r w:rsidR="005D74DE">
              <w:rPr>
                <w:sz w:val="18"/>
                <w:szCs w:val="18"/>
              </w:rPr>
              <w:t>tter</w:t>
            </w:r>
            <w:r>
              <w:rPr>
                <w:sz w:val="18"/>
                <w:szCs w:val="18"/>
              </w:rPr>
              <w:t xml:space="preserve"> supported by apparatus and class licence regimes.</w:t>
            </w:r>
            <w:r w:rsidR="003E50CD">
              <w:rPr>
                <w:sz w:val="18"/>
                <w:szCs w:val="18"/>
              </w:rPr>
              <w:t xml:space="preserve"> </w:t>
            </w:r>
          </w:p>
          <w:p w14:paraId="3BCDB804" w14:textId="1FE36B4C" w:rsidR="00D429FC" w:rsidRPr="00801F73" w:rsidRDefault="003E50CD" w:rsidP="00D429FC">
            <w:pPr>
              <w:pStyle w:val="ListBullet"/>
              <w:rPr>
                <w:b/>
                <w:sz w:val="18"/>
                <w:szCs w:val="18"/>
              </w:rPr>
            </w:pPr>
            <w:r>
              <w:rPr>
                <w:sz w:val="18"/>
                <w:szCs w:val="18"/>
              </w:rPr>
              <w:t>In line with Government policy objectives of promoting sharing and fostering a competitive telecommunications market</w:t>
            </w:r>
          </w:p>
          <w:p w14:paraId="5B411786" w14:textId="601BE668" w:rsidR="00D429FC" w:rsidRPr="00AE5456" w:rsidRDefault="00D429FC" w:rsidP="00D429FC">
            <w:pPr>
              <w:pStyle w:val="ListBullet"/>
              <w:rPr>
                <w:b/>
                <w:sz w:val="18"/>
                <w:szCs w:val="18"/>
              </w:rPr>
            </w:pPr>
            <w:r>
              <w:rPr>
                <w:sz w:val="18"/>
                <w:szCs w:val="18"/>
              </w:rPr>
              <w:t xml:space="preserve">Least restrictive option if 28 GHz PTP can be supported in other bands </w:t>
            </w:r>
          </w:p>
        </w:tc>
        <w:tc>
          <w:tcPr>
            <w:tcW w:w="2837" w:type="dxa"/>
            <w:tcMar>
              <w:left w:w="28" w:type="dxa"/>
              <w:right w:w="28" w:type="dxa"/>
            </w:tcMar>
          </w:tcPr>
          <w:p w14:paraId="7F42E325" w14:textId="77777777" w:rsidR="00D429FC" w:rsidRPr="00AE5456" w:rsidRDefault="00D429FC" w:rsidP="00D429FC">
            <w:pPr>
              <w:pStyle w:val="ListBullet"/>
              <w:rPr>
                <w:sz w:val="18"/>
                <w:szCs w:val="18"/>
              </w:rPr>
            </w:pPr>
            <w:r>
              <w:rPr>
                <w:sz w:val="18"/>
                <w:szCs w:val="18"/>
              </w:rPr>
              <w:t xml:space="preserve">Less cost approach than Option 1. </w:t>
            </w:r>
            <w:r w:rsidRPr="00AE5456">
              <w:rPr>
                <w:sz w:val="18"/>
                <w:szCs w:val="18"/>
              </w:rPr>
              <w:t xml:space="preserve">Similar cost to </w:t>
            </w:r>
            <w:r>
              <w:rPr>
                <w:sz w:val="18"/>
                <w:szCs w:val="18"/>
              </w:rPr>
              <w:t>O</w:t>
            </w:r>
            <w:r w:rsidRPr="00AE5456">
              <w:rPr>
                <w:sz w:val="18"/>
                <w:szCs w:val="18"/>
              </w:rPr>
              <w:t xml:space="preserve">ptions </w:t>
            </w:r>
            <w:r>
              <w:rPr>
                <w:sz w:val="18"/>
                <w:szCs w:val="18"/>
              </w:rPr>
              <w:t>2</w:t>
            </w:r>
            <w:r w:rsidRPr="00AE5456">
              <w:rPr>
                <w:sz w:val="18"/>
                <w:szCs w:val="18"/>
              </w:rPr>
              <w:t xml:space="preserve"> </w:t>
            </w:r>
            <w:r>
              <w:rPr>
                <w:sz w:val="18"/>
                <w:szCs w:val="18"/>
              </w:rPr>
              <w:t>and 3 as implementation is via</w:t>
            </w:r>
            <w:r w:rsidRPr="00AE5456">
              <w:rPr>
                <w:sz w:val="18"/>
                <w:szCs w:val="18"/>
              </w:rPr>
              <w:t xml:space="preserve"> apparatus and class licensing regime</w:t>
            </w:r>
            <w:r>
              <w:rPr>
                <w:sz w:val="18"/>
                <w:szCs w:val="18"/>
              </w:rPr>
              <w:t>s</w:t>
            </w:r>
          </w:p>
          <w:p w14:paraId="4410F5C2" w14:textId="700FD6FF" w:rsidR="00D429FC" w:rsidRDefault="00D429FC" w:rsidP="00D429FC">
            <w:pPr>
              <w:pStyle w:val="ListBullet"/>
              <w:rPr>
                <w:sz w:val="18"/>
                <w:szCs w:val="18"/>
              </w:rPr>
            </w:pPr>
            <w:r>
              <w:rPr>
                <w:sz w:val="18"/>
                <w:szCs w:val="18"/>
              </w:rPr>
              <w:t>Incumbent PTP grandfathered</w:t>
            </w:r>
          </w:p>
          <w:p w14:paraId="3AA31566" w14:textId="7C961FA2" w:rsidR="00D429FC" w:rsidRPr="00AE5456" w:rsidRDefault="00D429FC" w:rsidP="00D429FC">
            <w:pPr>
              <w:pStyle w:val="ListBullet"/>
              <w:rPr>
                <w:sz w:val="18"/>
                <w:szCs w:val="18"/>
              </w:rPr>
            </w:pPr>
            <w:r>
              <w:rPr>
                <w:sz w:val="18"/>
                <w:szCs w:val="18"/>
              </w:rPr>
              <w:t>More restrictive than Options 1a, 1b, 2 and 3 as only provides arrangements for FSS</w:t>
            </w:r>
            <w:r w:rsidR="003E50CD">
              <w:rPr>
                <w:sz w:val="18"/>
                <w:szCs w:val="18"/>
              </w:rPr>
              <w:t xml:space="preserve">. This is not in line with the Government policy objective of promote sharing </w:t>
            </w:r>
          </w:p>
        </w:tc>
      </w:tr>
      <w:bookmarkEnd w:id="149"/>
      <w:bookmarkEnd w:id="150"/>
    </w:tbl>
    <w:p w14:paraId="3DC0B187" w14:textId="4840FCB4" w:rsidR="00A42DD2" w:rsidRDefault="00A42DD2">
      <w:pPr>
        <w:spacing w:after="0" w:line="240" w:lineRule="auto"/>
      </w:pPr>
    </w:p>
    <w:tbl>
      <w:tblPr>
        <w:tblStyle w:val="TableGrid"/>
        <w:tblW w:w="15452" w:type="dxa"/>
        <w:tblInd w:w="-431" w:type="dxa"/>
        <w:tblLook w:val="04A0" w:firstRow="1" w:lastRow="0" w:firstColumn="1" w:lastColumn="0" w:noHBand="0" w:noVBand="1"/>
      </w:tblPr>
      <w:tblGrid>
        <w:gridCol w:w="1271"/>
        <w:gridCol w:w="2836"/>
        <w:gridCol w:w="2836"/>
        <w:gridCol w:w="2836"/>
        <w:gridCol w:w="2836"/>
        <w:gridCol w:w="2837"/>
      </w:tblGrid>
      <w:tr w:rsidR="002644EF" w:rsidRPr="006846EC" w14:paraId="50520499" w14:textId="77777777" w:rsidTr="00E14658">
        <w:trPr>
          <w:trHeight w:val="480"/>
          <w:tblHeader/>
        </w:trPr>
        <w:tc>
          <w:tcPr>
            <w:tcW w:w="1271" w:type="dxa"/>
            <w:shd w:val="clear" w:color="auto" w:fill="404040" w:themeFill="text1" w:themeFillTint="BF"/>
          </w:tcPr>
          <w:p w14:paraId="76DC9926" w14:textId="77777777" w:rsidR="002644EF" w:rsidRPr="00102A63" w:rsidRDefault="002644EF" w:rsidP="00E14658">
            <w:pPr>
              <w:spacing w:before="120" w:after="120" w:line="240" w:lineRule="auto"/>
              <w:jc w:val="center"/>
              <w:rPr>
                <w:rFonts w:cs="Arial"/>
                <w:szCs w:val="20"/>
              </w:rPr>
            </w:pPr>
          </w:p>
        </w:tc>
        <w:tc>
          <w:tcPr>
            <w:tcW w:w="2836" w:type="dxa"/>
            <w:shd w:val="clear" w:color="auto" w:fill="404040" w:themeFill="text1" w:themeFillTint="BF"/>
          </w:tcPr>
          <w:p w14:paraId="07EC3733" w14:textId="77777777" w:rsidR="002644EF" w:rsidRPr="006846EC" w:rsidRDefault="002644EF" w:rsidP="00E14658">
            <w:pPr>
              <w:pStyle w:val="TableHeading"/>
              <w:rPr>
                <w:color w:val="FFFFFF" w:themeColor="background1"/>
              </w:rPr>
            </w:pPr>
            <w:r w:rsidRPr="00D90CBA">
              <w:rPr>
                <w:color w:val="FFFFFF" w:themeColor="background1"/>
              </w:rPr>
              <w:t xml:space="preserve">Option </w:t>
            </w:r>
            <w:r>
              <w:rPr>
                <w:color w:val="FFFFFF" w:themeColor="background1"/>
              </w:rPr>
              <w:t xml:space="preserve">1a—All services </w:t>
            </w:r>
          </w:p>
        </w:tc>
        <w:tc>
          <w:tcPr>
            <w:tcW w:w="2836" w:type="dxa"/>
            <w:shd w:val="clear" w:color="auto" w:fill="404040" w:themeFill="text1" w:themeFillTint="BF"/>
          </w:tcPr>
          <w:p w14:paraId="0C0E64B1" w14:textId="77777777" w:rsidR="002644EF" w:rsidRPr="006846EC" w:rsidRDefault="002644EF" w:rsidP="00E14658">
            <w:pPr>
              <w:pStyle w:val="TableHeading"/>
              <w:rPr>
                <w:color w:val="FFFFFF" w:themeColor="background1"/>
              </w:rPr>
            </w:pPr>
            <w:r w:rsidRPr="00D90CBA">
              <w:rPr>
                <w:color w:val="FFFFFF" w:themeColor="background1"/>
              </w:rPr>
              <w:t xml:space="preserve">Option </w:t>
            </w:r>
            <w:r>
              <w:rPr>
                <w:color w:val="FFFFFF" w:themeColor="background1"/>
              </w:rPr>
              <w:t xml:space="preserve">1b—All services </w:t>
            </w:r>
          </w:p>
        </w:tc>
        <w:tc>
          <w:tcPr>
            <w:tcW w:w="2836" w:type="dxa"/>
            <w:shd w:val="clear" w:color="auto" w:fill="404040" w:themeFill="text1" w:themeFillTint="BF"/>
          </w:tcPr>
          <w:p w14:paraId="1F398084" w14:textId="77777777" w:rsidR="002644EF" w:rsidRPr="006846EC" w:rsidRDefault="002644EF" w:rsidP="00E14658">
            <w:pPr>
              <w:pStyle w:val="TableHeading"/>
              <w:rPr>
                <w:color w:val="FFFFFF" w:themeColor="background1"/>
              </w:rPr>
            </w:pPr>
            <w:r w:rsidRPr="006846EC">
              <w:rPr>
                <w:color w:val="FFFFFF" w:themeColor="background1"/>
              </w:rPr>
              <w:t xml:space="preserve">Option </w:t>
            </w:r>
            <w:r>
              <w:rPr>
                <w:color w:val="FFFFFF" w:themeColor="background1"/>
              </w:rPr>
              <w:t>2—FSS/PTP/FWA</w:t>
            </w:r>
          </w:p>
        </w:tc>
        <w:tc>
          <w:tcPr>
            <w:tcW w:w="2836" w:type="dxa"/>
            <w:shd w:val="clear" w:color="auto" w:fill="404040" w:themeFill="text1" w:themeFillTint="BF"/>
          </w:tcPr>
          <w:p w14:paraId="7C0413DA" w14:textId="77777777" w:rsidR="002644EF" w:rsidRPr="006846EC" w:rsidRDefault="002644EF" w:rsidP="00E14658">
            <w:pPr>
              <w:pStyle w:val="TableHeading"/>
              <w:rPr>
                <w:color w:val="FFFFFF" w:themeColor="background1"/>
              </w:rPr>
            </w:pPr>
            <w:r w:rsidRPr="006846EC">
              <w:rPr>
                <w:color w:val="FFFFFF" w:themeColor="background1"/>
              </w:rPr>
              <w:t xml:space="preserve">Option </w:t>
            </w:r>
            <w:r>
              <w:rPr>
                <w:color w:val="FFFFFF" w:themeColor="background1"/>
              </w:rPr>
              <w:t>3—FSS/FWA</w:t>
            </w:r>
          </w:p>
        </w:tc>
        <w:tc>
          <w:tcPr>
            <w:tcW w:w="2837" w:type="dxa"/>
            <w:shd w:val="clear" w:color="auto" w:fill="404040" w:themeFill="text1" w:themeFillTint="BF"/>
          </w:tcPr>
          <w:p w14:paraId="437A9279" w14:textId="77777777" w:rsidR="002644EF" w:rsidRPr="006846EC" w:rsidRDefault="002644EF" w:rsidP="00E14658">
            <w:pPr>
              <w:pStyle w:val="TableHeading"/>
              <w:rPr>
                <w:color w:val="FFFFFF" w:themeColor="background1"/>
              </w:rPr>
            </w:pPr>
            <w:r w:rsidRPr="006846EC">
              <w:rPr>
                <w:color w:val="FFFFFF" w:themeColor="background1"/>
              </w:rPr>
              <w:t xml:space="preserve">Option </w:t>
            </w:r>
            <w:r>
              <w:rPr>
                <w:color w:val="FFFFFF" w:themeColor="background1"/>
              </w:rPr>
              <w:t xml:space="preserve">4—FSS </w:t>
            </w:r>
          </w:p>
        </w:tc>
      </w:tr>
      <w:tr w:rsidR="002644EF" w:rsidRPr="00AE5456" w14:paraId="055857DE" w14:textId="77777777" w:rsidTr="00E14658">
        <w:trPr>
          <w:trHeight w:val="480"/>
        </w:trPr>
        <w:tc>
          <w:tcPr>
            <w:tcW w:w="1271" w:type="dxa"/>
          </w:tcPr>
          <w:p w14:paraId="758736D9" w14:textId="77777777" w:rsidR="002644EF" w:rsidRPr="000129FD" w:rsidRDefault="002644EF" w:rsidP="00E14658">
            <w:pPr>
              <w:spacing w:before="120" w:after="120" w:line="240" w:lineRule="auto"/>
              <w:jc w:val="center"/>
              <w:rPr>
                <w:rFonts w:cs="Arial"/>
                <w:b/>
                <w:szCs w:val="20"/>
              </w:rPr>
            </w:pPr>
            <w:r>
              <w:rPr>
                <w:rFonts w:cs="Arial"/>
                <w:b/>
                <w:szCs w:val="20"/>
              </w:rPr>
              <w:t>Principle 4</w:t>
            </w:r>
          </w:p>
        </w:tc>
        <w:tc>
          <w:tcPr>
            <w:tcW w:w="2836" w:type="dxa"/>
            <w:tcMar>
              <w:left w:w="28" w:type="dxa"/>
              <w:right w:w="28" w:type="dxa"/>
            </w:tcMar>
          </w:tcPr>
          <w:p w14:paraId="5F5017CB" w14:textId="77777777" w:rsidR="002644EF" w:rsidRDefault="002644EF" w:rsidP="00E14658">
            <w:pPr>
              <w:pStyle w:val="ListBullet"/>
              <w:rPr>
                <w:sz w:val="18"/>
                <w:szCs w:val="18"/>
              </w:rPr>
            </w:pPr>
            <w:r>
              <w:rPr>
                <w:sz w:val="18"/>
                <w:szCs w:val="18"/>
              </w:rPr>
              <w:t xml:space="preserve">Spectrum licensing provides greatest certainty due to licence tenure and rights afforded </w:t>
            </w:r>
          </w:p>
          <w:p w14:paraId="1EADB56B" w14:textId="77777777" w:rsidR="002644EF" w:rsidRDefault="002644EF" w:rsidP="00E14658">
            <w:pPr>
              <w:pStyle w:val="ListBullet"/>
              <w:rPr>
                <w:sz w:val="18"/>
                <w:szCs w:val="18"/>
              </w:rPr>
            </w:pPr>
            <w:r>
              <w:rPr>
                <w:sz w:val="18"/>
                <w:szCs w:val="18"/>
              </w:rPr>
              <w:t>In areas not subject to spectrum licensing, apparatus licensing provides certainty via the technical arrangements put in place for use of the band. This provides use of spectrum in an interference managed environment</w:t>
            </w:r>
          </w:p>
          <w:p w14:paraId="09158837" w14:textId="002B6CCC" w:rsidR="002644EF" w:rsidRDefault="002644EF" w:rsidP="00E14658">
            <w:pPr>
              <w:pStyle w:val="ListBullet"/>
              <w:rPr>
                <w:sz w:val="18"/>
                <w:szCs w:val="18"/>
              </w:rPr>
            </w:pPr>
            <w:r>
              <w:rPr>
                <w:sz w:val="18"/>
                <w:szCs w:val="18"/>
              </w:rPr>
              <w:t xml:space="preserve">For ubiquitous FSS, certainty is provided by limiting use to those areas and portions of the band only allocated to the FSS. Further flexibility via shared </w:t>
            </w:r>
            <w:r w:rsidR="00526AC3">
              <w:rPr>
                <w:sz w:val="18"/>
                <w:szCs w:val="18"/>
              </w:rPr>
              <w:t xml:space="preserve">use </w:t>
            </w:r>
            <w:r>
              <w:rPr>
                <w:sz w:val="18"/>
                <w:szCs w:val="18"/>
              </w:rPr>
              <w:t>may be supported, if deployment restrictions are placed on ubiquitous FSS</w:t>
            </w:r>
          </w:p>
          <w:p w14:paraId="1A175E41" w14:textId="1CF974B3" w:rsidR="002644EF" w:rsidRDefault="002644EF" w:rsidP="00E14658">
            <w:pPr>
              <w:pStyle w:val="ListBullet"/>
              <w:rPr>
                <w:sz w:val="18"/>
                <w:szCs w:val="18"/>
              </w:rPr>
            </w:pPr>
            <w:r>
              <w:rPr>
                <w:sz w:val="18"/>
                <w:szCs w:val="18"/>
              </w:rPr>
              <w:t xml:space="preserve">Spectrum licences are inherently flexible in how they can be used. They are typically not </w:t>
            </w:r>
            <w:r w:rsidR="008F240B">
              <w:rPr>
                <w:sz w:val="18"/>
                <w:szCs w:val="18"/>
              </w:rPr>
              <w:t xml:space="preserve">used </w:t>
            </w:r>
            <w:r>
              <w:rPr>
                <w:sz w:val="18"/>
                <w:szCs w:val="18"/>
              </w:rPr>
              <w:t>to support multiple services and operators</w:t>
            </w:r>
          </w:p>
          <w:p w14:paraId="0D87A6E7" w14:textId="77777777" w:rsidR="002644EF" w:rsidRPr="00AE5456" w:rsidRDefault="002644EF" w:rsidP="00E14658">
            <w:pPr>
              <w:pStyle w:val="ListBullet"/>
              <w:rPr>
                <w:sz w:val="18"/>
                <w:szCs w:val="18"/>
              </w:rPr>
            </w:pPr>
            <w:r>
              <w:rPr>
                <w:sz w:val="18"/>
                <w:szCs w:val="18"/>
              </w:rPr>
              <w:t xml:space="preserve">In areas not subject to spectrum licensing, flexibility is provided by implementing shared arrangements for FWA, PTP and FSS, as appropriate. </w:t>
            </w:r>
          </w:p>
        </w:tc>
        <w:tc>
          <w:tcPr>
            <w:tcW w:w="2836" w:type="dxa"/>
            <w:tcMar>
              <w:left w:w="28" w:type="dxa"/>
              <w:right w:w="28" w:type="dxa"/>
            </w:tcMar>
          </w:tcPr>
          <w:p w14:paraId="281AA3BE" w14:textId="77777777" w:rsidR="002644EF" w:rsidRDefault="002644EF" w:rsidP="00E14658">
            <w:pPr>
              <w:pStyle w:val="ListBullet"/>
              <w:rPr>
                <w:sz w:val="18"/>
                <w:szCs w:val="18"/>
              </w:rPr>
            </w:pPr>
            <w:r>
              <w:rPr>
                <w:sz w:val="18"/>
                <w:szCs w:val="18"/>
              </w:rPr>
              <w:t xml:space="preserve">Spectrum licensing provides greatest certainty due to licence tenure and rights afforded </w:t>
            </w:r>
          </w:p>
          <w:p w14:paraId="21086FDD" w14:textId="77777777" w:rsidR="002644EF" w:rsidRDefault="002644EF" w:rsidP="00E14658">
            <w:pPr>
              <w:pStyle w:val="ListBullet"/>
              <w:rPr>
                <w:sz w:val="18"/>
                <w:szCs w:val="18"/>
              </w:rPr>
            </w:pPr>
            <w:r>
              <w:rPr>
                <w:sz w:val="18"/>
                <w:szCs w:val="18"/>
              </w:rPr>
              <w:t>In areas not subject to spectrum licensing, apparatus licensing provides certainty via the technical arrangements put in place for use of the band. This provides use of spectrum in an interference managed environment</w:t>
            </w:r>
          </w:p>
          <w:p w14:paraId="5BB841D5" w14:textId="35086837" w:rsidR="002644EF" w:rsidRDefault="002644EF" w:rsidP="00E14658">
            <w:pPr>
              <w:pStyle w:val="ListBullet"/>
              <w:rPr>
                <w:sz w:val="18"/>
                <w:szCs w:val="18"/>
              </w:rPr>
            </w:pPr>
            <w:r>
              <w:rPr>
                <w:sz w:val="18"/>
                <w:szCs w:val="18"/>
              </w:rPr>
              <w:t>For ubiquitous FSS, certainty is provided by limiting use to those areas and portions of the band only allocated to the FSS. Further flexibility via shared use may be supported, if deployment restrictions are placed on ubiquitous FSS</w:t>
            </w:r>
          </w:p>
          <w:p w14:paraId="46C26C55" w14:textId="28FEBF69" w:rsidR="002644EF" w:rsidRDefault="002644EF" w:rsidP="00E14658">
            <w:pPr>
              <w:pStyle w:val="ListBullet"/>
              <w:rPr>
                <w:sz w:val="18"/>
                <w:szCs w:val="18"/>
              </w:rPr>
            </w:pPr>
            <w:r>
              <w:rPr>
                <w:sz w:val="18"/>
                <w:szCs w:val="18"/>
              </w:rPr>
              <w:t xml:space="preserve">Spectrum licences are inherently flexible in how they can be used. They are typically not </w:t>
            </w:r>
            <w:r w:rsidR="008F240B">
              <w:rPr>
                <w:sz w:val="18"/>
                <w:szCs w:val="18"/>
              </w:rPr>
              <w:t xml:space="preserve">used </w:t>
            </w:r>
            <w:r>
              <w:rPr>
                <w:sz w:val="18"/>
                <w:szCs w:val="18"/>
              </w:rPr>
              <w:t>to support multiple services and operators</w:t>
            </w:r>
          </w:p>
          <w:p w14:paraId="2BC2DE8F" w14:textId="77777777" w:rsidR="002644EF" w:rsidRPr="00AE5456" w:rsidRDefault="002644EF" w:rsidP="00E14658">
            <w:pPr>
              <w:pStyle w:val="ListBullet"/>
              <w:rPr>
                <w:sz w:val="18"/>
                <w:szCs w:val="18"/>
              </w:rPr>
            </w:pPr>
            <w:r>
              <w:rPr>
                <w:sz w:val="18"/>
                <w:szCs w:val="18"/>
              </w:rPr>
              <w:t>In areas not subject to spectrum licensing, flexibility is provided by implementing shared arrangements for FWA, PTP and FSS, as appropriate</w:t>
            </w:r>
          </w:p>
        </w:tc>
        <w:tc>
          <w:tcPr>
            <w:tcW w:w="2836" w:type="dxa"/>
            <w:tcMar>
              <w:left w:w="28" w:type="dxa"/>
              <w:right w:w="28" w:type="dxa"/>
            </w:tcMar>
          </w:tcPr>
          <w:p w14:paraId="6DE0DA14" w14:textId="77777777" w:rsidR="002644EF" w:rsidRDefault="002644EF" w:rsidP="00E14658">
            <w:pPr>
              <w:pStyle w:val="ListBullet"/>
              <w:rPr>
                <w:sz w:val="18"/>
                <w:szCs w:val="18"/>
              </w:rPr>
            </w:pPr>
            <w:r>
              <w:rPr>
                <w:sz w:val="18"/>
                <w:szCs w:val="18"/>
              </w:rPr>
              <w:t>Apparatus licensing provides certainty via the technical arrangements put in place for use of the band. This provides use of spectrum in an interference managed environment</w:t>
            </w:r>
          </w:p>
          <w:p w14:paraId="74167611" w14:textId="77777777" w:rsidR="002644EF" w:rsidRDefault="002644EF" w:rsidP="002644EF">
            <w:pPr>
              <w:pStyle w:val="ListBullet"/>
              <w:rPr>
                <w:sz w:val="18"/>
                <w:szCs w:val="18"/>
              </w:rPr>
            </w:pPr>
            <w:r>
              <w:rPr>
                <w:sz w:val="18"/>
                <w:szCs w:val="18"/>
              </w:rPr>
              <w:t>For ubiquitous FSS, certainty is provided by limiting use to those areas and portions of the band only allocated to the FSS. Further flexibility via shared use may be supported, if deployment restrictions are placed on ubiquitous FSS</w:t>
            </w:r>
          </w:p>
          <w:p w14:paraId="3C5C994E" w14:textId="77777777" w:rsidR="002644EF" w:rsidRPr="00AE5456" w:rsidRDefault="002644EF" w:rsidP="00E14658">
            <w:pPr>
              <w:pStyle w:val="ListBullet"/>
              <w:rPr>
                <w:sz w:val="18"/>
                <w:szCs w:val="18"/>
              </w:rPr>
            </w:pPr>
            <w:r>
              <w:rPr>
                <w:sz w:val="18"/>
                <w:szCs w:val="18"/>
              </w:rPr>
              <w:t>Flexibility is provided by implementing shared arrangements for FWA, PTP and FSS, as appropriate</w:t>
            </w:r>
          </w:p>
        </w:tc>
        <w:tc>
          <w:tcPr>
            <w:tcW w:w="2836" w:type="dxa"/>
            <w:tcMar>
              <w:left w:w="28" w:type="dxa"/>
              <w:right w:w="28" w:type="dxa"/>
            </w:tcMar>
          </w:tcPr>
          <w:p w14:paraId="47722B17" w14:textId="77777777" w:rsidR="002644EF" w:rsidRDefault="002644EF" w:rsidP="00E14658">
            <w:pPr>
              <w:pStyle w:val="ListBullet"/>
              <w:rPr>
                <w:sz w:val="18"/>
                <w:szCs w:val="18"/>
              </w:rPr>
            </w:pPr>
            <w:r>
              <w:rPr>
                <w:sz w:val="18"/>
                <w:szCs w:val="18"/>
              </w:rPr>
              <w:t>Apparatus licensing provides certainty via the technical arrangements put in place for use of the band. This provides use of spectrum in an interference managed environment</w:t>
            </w:r>
          </w:p>
          <w:p w14:paraId="6921F98B" w14:textId="77777777" w:rsidR="002644EF" w:rsidRDefault="002644EF" w:rsidP="002644EF">
            <w:pPr>
              <w:pStyle w:val="ListBullet"/>
              <w:rPr>
                <w:sz w:val="18"/>
                <w:szCs w:val="18"/>
              </w:rPr>
            </w:pPr>
            <w:r>
              <w:rPr>
                <w:sz w:val="18"/>
                <w:szCs w:val="18"/>
              </w:rPr>
              <w:t>For ubiquitous FSS, certainty is provided by limiting use to those areas and portions of the band only allocated to the FSS. Further flexibility via shared use may be supported, if deployment restrictions are placed on ubiquitous FSS</w:t>
            </w:r>
          </w:p>
          <w:p w14:paraId="50C204D2" w14:textId="77777777" w:rsidR="002644EF" w:rsidRPr="00AE5456" w:rsidRDefault="002644EF" w:rsidP="00E14658">
            <w:pPr>
              <w:pStyle w:val="ListBullet"/>
              <w:rPr>
                <w:sz w:val="18"/>
                <w:szCs w:val="18"/>
              </w:rPr>
            </w:pPr>
            <w:r>
              <w:rPr>
                <w:sz w:val="18"/>
                <w:szCs w:val="18"/>
              </w:rPr>
              <w:t>Flexibility is provided by implementing shared arrangements for FWA and FSS, as appropriate</w:t>
            </w:r>
          </w:p>
        </w:tc>
        <w:tc>
          <w:tcPr>
            <w:tcW w:w="2837" w:type="dxa"/>
            <w:tcMar>
              <w:left w:w="28" w:type="dxa"/>
              <w:right w:w="28" w:type="dxa"/>
            </w:tcMar>
          </w:tcPr>
          <w:p w14:paraId="3E3FCFB9" w14:textId="77777777" w:rsidR="002644EF" w:rsidRDefault="002644EF" w:rsidP="00E14658">
            <w:pPr>
              <w:pStyle w:val="ListBullet"/>
              <w:rPr>
                <w:sz w:val="18"/>
                <w:szCs w:val="18"/>
              </w:rPr>
            </w:pPr>
            <w:r>
              <w:rPr>
                <w:sz w:val="18"/>
                <w:szCs w:val="18"/>
              </w:rPr>
              <w:t xml:space="preserve">This option maximises certainty for the FSS </w:t>
            </w:r>
          </w:p>
          <w:p w14:paraId="3110B81C" w14:textId="7CE028BC" w:rsidR="00364BF9" w:rsidRDefault="00364BF9" w:rsidP="00364BF9">
            <w:pPr>
              <w:pStyle w:val="ListBullet"/>
              <w:rPr>
                <w:sz w:val="18"/>
                <w:szCs w:val="18"/>
              </w:rPr>
            </w:pPr>
            <w:r>
              <w:rPr>
                <w:sz w:val="18"/>
                <w:szCs w:val="18"/>
              </w:rPr>
              <w:t>Apparatus licensing provides certainty via the technical arrangements put in place for use of the band. This provides use of spectrum in an interference managed environment</w:t>
            </w:r>
          </w:p>
          <w:p w14:paraId="6973E415" w14:textId="0963E351" w:rsidR="002644EF" w:rsidRDefault="002644EF" w:rsidP="00E14658">
            <w:pPr>
              <w:pStyle w:val="ListBullet"/>
              <w:rPr>
                <w:sz w:val="18"/>
                <w:szCs w:val="18"/>
              </w:rPr>
            </w:pPr>
            <w:r>
              <w:rPr>
                <w:sz w:val="18"/>
                <w:szCs w:val="18"/>
              </w:rPr>
              <w:t>Certainty provided for ubiquitous FSS us</w:t>
            </w:r>
            <w:r w:rsidR="003E50CD">
              <w:rPr>
                <w:sz w:val="18"/>
                <w:szCs w:val="18"/>
              </w:rPr>
              <w:t>e</w:t>
            </w:r>
            <w:r>
              <w:rPr>
                <w:sz w:val="18"/>
                <w:szCs w:val="18"/>
              </w:rPr>
              <w:t xml:space="preserve"> of the entire 28 GHz band Australia-wide as there are only arrangements in place to support FSS </w:t>
            </w:r>
          </w:p>
          <w:p w14:paraId="1E01F8A2" w14:textId="77777777" w:rsidR="002644EF" w:rsidRDefault="002644EF" w:rsidP="00E14658">
            <w:pPr>
              <w:pStyle w:val="ListBullet"/>
              <w:rPr>
                <w:sz w:val="18"/>
                <w:szCs w:val="18"/>
              </w:rPr>
            </w:pPr>
            <w:r>
              <w:rPr>
                <w:sz w:val="18"/>
                <w:szCs w:val="18"/>
              </w:rPr>
              <w:t xml:space="preserve">This option maximises flexibility for the FSS as it does not need to contend for spectrum with any other service </w:t>
            </w:r>
          </w:p>
          <w:p w14:paraId="4CAC341F" w14:textId="77777777" w:rsidR="002644EF" w:rsidRPr="00AE5456" w:rsidRDefault="002644EF" w:rsidP="00E14658">
            <w:pPr>
              <w:pStyle w:val="ListBullet"/>
              <w:rPr>
                <w:sz w:val="18"/>
                <w:szCs w:val="18"/>
              </w:rPr>
            </w:pPr>
            <w:r>
              <w:rPr>
                <w:sz w:val="18"/>
                <w:szCs w:val="18"/>
              </w:rPr>
              <w:t>This option does not provide flexibility for use of the band by services other than the FSS</w:t>
            </w:r>
          </w:p>
        </w:tc>
      </w:tr>
    </w:tbl>
    <w:p w14:paraId="72B37066" w14:textId="71DA4096" w:rsidR="00A42DD2" w:rsidRDefault="00A42DD2">
      <w:pPr>
        <w:spacing w:after="0" w:line="240" w:lineRule="auto"/>
      </w:pPr>
    </w:p>
    <w:p w14:paraId="5CECBCB7" w14:textId="6B3845FE" w:rsidR="002644EF" w:rsidRDefault="002644EF">
      <w:pPr>
        <w:spacing w:after="0" w:line="240" w:lineRule="auto"/>
      </w:pPr>
      <w:r>
        <w:br w:type="page"/>
      </w:r>
    </w:p>
    <w:tbl>
      <w:tblPr>
        <w:tblStyle w:val="TableGrid"/>
        <w:tblW w:w="15452" w:type="dxa"/>
        <w:tblInd w:w="-431" w:type="dxa"/>
        <w:tblLook w:val="04A0" w:firstRow="1" w:lastRow="0" w:firstColumn="1" w:lastColumn="0" w:noHBand="0" w:noVBand="1"/>
      </w:tblPr>
      <w:tblGrid>
        <w:gridCol w:w="1271"/>
        <w:gridCol w:w="2836"/>
        <w:gridCol w:w="2836"/>
        <w:gridCol w:w="2836"/>
        <w:gridCol w:w="2836"/>
        <w:gridCol w:w="2837"/>
      </w:tblGrid>
      <w:tr w:rsidR="002644EF" w:rsidRPr="006846EC" w14:paraId="7A4A30C1" w14:textId="77777777" w:rsidTr="00E14658">
        <w:trPr>
          <w:trHeight w:val="480"/>
          <w:tblHeader/>
        </w:trPr>
        <w:tc>
          <w:tcPr>
            <w:tcW w:w="1271" w:type="dxa"/>
            <w:shd w:val="clear" w:color="auto" w:fill="404040" w:themeFill="text1" w:themeFillTint="BF"/>
          </w:tcPr>
          <w:p w14:paraId="7E9163D3" w14:textId="77777777" w:rsidR="002644EF" w:rsidRPr="00102A63" w:rsidRDefault="002644EF" w:rsidP="00E14658">
            <w:pPr>
              <w:spacing w:before="120" w:after="120" w:line="240" w:lineRule="auto"/>
              <w:jc w:val="center"/>
              <w:rPr>
                <w:rFonts w:cs="Arial"/>
                <w:szCs w:val="20"/>
              </w:rPr>
            </w:pPr>
          </w:p>
        </w:tc>
        <w:tc>
          <w:tcPr>
            <w:tcW w:w="2836" w:type="dxa"/>
            <w:shd w:val="clear" w:color="auto" w:fill="404040" w:themeFill="text1" w:themeFillTint="BF"/>
          </w:tcPr>
          <w:p w14:paraId="2AAF8B71" w14:textId="77777777" w:rsidR="002644EF" w:rsidRPr="006846EC" w:rsidRDefault="002644EF" w:rsidP="00E14658">
            <w:pPr>
              <w:pStyle w:val="TableHeading"/>
              <w:rPr>
                <w:color w:val="FFFFFF" w:themeColor="background1"/>
              </w:rPr>
            </w:pPr>
            <w:r w:rsidRPr="00D90CBA">
              <w:rPr>
                <w:color w:val="FFFFFF" w:themeColor="background1"/>
              </w:rPr>
              <w:t xml:space="preserve">Option </w:t>
            </w:r>
            <w:r>
              <w:rPr>
                <w:color w:val="FFFFFF" w:themeColor="background1"/>
              </w:rPr>
              <w:t xml:space="preserve">1a—All services </w:t>
            </w:r>
          </w:p>
        </w:tc>
        <w:tc>
          <w:tcPr>
            <w:tcW w:w="2836" w:type="dxa"/>
            <w:shd w:val="clear" w:color="auto" w:fill="404040" w:themeFill="text1" w:themeFillTint="BF"/>
          </w:tcPr>
          <w:p w14:paraId="2B853635" w14:textId="77777777" w:rsidR="002644EF" w:rsidRPr="006846EC" w:rsidRDefault="002644EF" w:rsidP="00E14658">
            <w:pPr>
              <w:pStyle w:val="TableHeading"/>
              <w:rPr>
                <w:color w:val="FFFFFF" w:themeColor="background1"/>
              </w:rPr>
            </w:pPr>
            <w:r w:rsidRPr="00D90CBA">
              <w:rPr>
                <w:color w:val="FFFFFF" w:themeColor="background1"/>
              </w:rPr>
              <w:t xml:space="preserve">Option </w:t>
            </w:r>
            <w:r>
              <w:rPr>
                <w:color w:val="FFFFFF" w:themeColor="background1"/>
              </w:rPr>
              <w:t xml:space="preserve">1b—All services </w:t>
            </w:r>
          </w:p>
        </w:tc>
        <w:tc>
          <w:tcPr>
            <w:tcW w:w="2836" w:type="dxa"/>
            <w:shd w:val="clear" w:color="auto" w:fill="404040" w:themeFill="text1" w:themeFillTint="BF"/>
          </w:tcPr>
          <w:p w14:paraId="307D6606" w14:textId="77777777" w:rsidR="002644EF" w:rsidRPr="006846EC" w:rsidRDefault="002644EF" w:rsidP="00E14658">
            <w:pPr>
              <w:pStyle w:val="TableHeading"/>
              <w:rPr>
                <w:color w:val="FFFFFF" w:themeColor="background1"/>
              </w:rPr>
            </w:pPr>
            <w:r w:rsidRPr="006846EC">
              <w:rPr>
                <w:color w:val="FFFFFF" w:themeColor="background1"/>
              </w:rPr>
              <w:t xml:space="preserve">Option </w:t>
            </w:r>
            <w:r>
              <w:rPr>
                <w:color w:val="FFFFFF" w:themeColor="background1"/>
              </w:rPr>
              <w:t>2—FSS/PTP/FWA</w:t>
            </w:r>
          </w:p>
        </w:tc>
        <w:tc>
          <w:tcPr>
            <w:tcW w:w="2836" w:type="dxa"/>
            <w:shd w:val="clear" w:color="auto" w:fill="404040" w:themeFill="text1" w:themeFillTint="BF"/>
          </w:tcPr>
          <w:p w14:paraId="55BFB4B1" w14:textId="77777777" w:rsidR="002644EF" w:rsidRPr="006846EC" w:rsidRDefault="002644EF" w:rsidP="00E14658">
            <w:pPr>
              <w:pStyle w:val="TableHeading"/>
              <w:rPr>
                <w:color w:val="FFFFFF" w:themeColor="background1"/>
              </w:rPr>
            </w:pPr>
            <w:r w:rsidRPr="006846EC">
              <w:rPr>
                <w:color w:val="FFFFFF" w:themeColor="background1"/>
              </w:rPr>
              <w:t xml:space="preserve">Option </w:t>
            </w:r>
            <w:r>
              <w:rPr>
                <w:color w:val="FFFFFF" w:themeColor="background1"/>
              </w:rPr>
              <w:t>3—FSS/FWA</w:t>
            </w:r>
          </w:p>
        </w:tc>
        <w:tc>
          <w:tcPr>
            <w:tcW w:w="2837" w:type="dxa"/>
            <w:shd w:val="clear" w:color="auto" w:fill="404040" w:themeFill="text1" w:themeFillTint="BF"/>
          </w:tcPr>
          <w:p w14:paraId="3683D334" w14:textId="77777777" w:rsidR="002644EF" w:rsidRPr="006846EC" w:rsidRDefault="002644EF" w:rsidP="00E14658">
            <w:pPr>
              <w:pStyle w:val="TableHeading"/>
              <w:rPr>
                <w:color w:val="FFFFFF" w:themeColor="background1"/>
              </w:rPr>
            </w:pPr>
            <w:r w:rsidRPr="006846EC">
              <w:rPr>
                <w:color w:val="FFFFFF" w:themeColor="background1"/>
              </w:rPr>
              <w:t xml:space="preserve">Option </w:t>
            </w:r>
            <w:r>
              <w:rPr>
                <w:color w:val="FFFFFF" w:themeColor="background1"/>
              </w:rPr>
              <w:t xml:space="preserve">4—FSS </w:t>
            </w:r>
          </w:p>
        </w:tc>
      </w:tr>
      <w:tr w:rsidR="002644EF" w:rsidRPr="00AE5456" w14:paraId="7219C7C2" w14:textId="77777777" w:rsidTr="00E14658">
        <w:trPr>
          <w:trHeight w:val="480"/>
        </w:trPr>
        <w:tc>
          <w:tcPr>
            <w:tcW w:w="1271" w:type="dxa"/>
          </w:tcPr>
          <w:p w14:paraId="055FA53D" w14:textId="77777777" w:rsidR="002644EF" w:rsidRPr="009B460A" w:rsidRDefault="002644EF" w:rsidP="00E14658">
            <w:pPr>
              <w:spacing w:before="120" w:after="120" w:line="240" w:lineRule="auto"/>
              <w:jc w:val="center"/>
              <w:rPr>
                <w:rFonts w:cs="Arial"/>
                <w:b/>
                <w:szCs w:val="20"/>
              </w:rPr>
            </w:pPr>
            <w:r>
              <w:rPr>
                <w:rFonts w:cs="Arial"/>
                <w:b/>
                <w:szCs w:val="20"/>
              </w:rPr>
              <w:t>Principle 5</w:t>
            </w:r>
          </w:p>
        </w:tc>
        <w:tc>
          <w:tcPr>
            <w:tcW w:w="2836" w:type="dxa"/>
            <w:tcMar>
              <w:left w:w="28" w:type="dxa"/>
              <w:right w:w="28" w:type="dxa"/>
            </w:tcMar>
          </w:tcPr>
          <w:p w14:paraId="329A9944" w14:textId="6B91920A" w:rsidR="005D7863" w:rsidRDefault="005D7863" w:rsidP="005D7863">
            <w:pPr>
              <w:pStyle w:val="ListBullet"/>
              <w:rPr>
                <w:sz w:val="18"/>
                <w:szCs w:val="18"/>
              </w:rPr>
            </w:pPr>
            <w:r>
              <w:rPr>
                <w:sz w:val="18"/>
                <w:szCs w:val="18"/>
              </w:rPr>
              <w:t>The mix of spectrum and apparatus licensing arrangements result in best balance between increased spectrum utilisation and interference management for W</w:t>
            </w:r>
            <w:r w:rsidR="00F60E47">
              <w:rPr>
                <w:sz w:val="18"/>
                <w:szCs w:val="18"/>
              </w:rPr>
              <w:t>W</w:t>
            </w:r>
            <w:r>
              <w:rPr>
                <w:sz w:val="18"/>
                <w:szCs w:val="18"/>
              </w:rPr>
              <w:t xml:space="preserve">B, FSS gateways, FWA and PTP </w:t>
            </w:r>
          </w:p>
          <w:p w14:paraId="6FF690A1" w14:textId="78AA3EE5" w:rsidR="005D7863" w:rsidRDefault="005D7863" w:rsidP="005D7863">
            <w:pPr>
              <w:pStyle w:val="ListBullet"/>
              <w:rPr>
                <w:sz w:val="18"/>
                <w:szCs w:val="18"/>
              </w:rPr>
            </w:pPr>
            <w:r>
              <w:rPr>
                <w:sz w:val="18"/>
                <w:szCs w:val="18"/>
              </w:rPr>
              <w:t>Spectrum licence arrangements for W</w:t>
            </w:r>
            <w:r w:rsidR="00F60E47">
              <w:rPr>
                <w:sz w:val="18"/>
                <w:szCs w:val="18"/>
              </w:rPr>
              <w:t>W</w:t>
            </w:r>
            <w:r>
              <w:rPr>
                <w:sz w:val="18"/>
                <w:szCs w:val="18"/>
              </w:rPr>
              <w:t xml:space="preserve">B come at the expense of </w:t>
            </w:r>
            <w:r w:rsidR="000B3E5A">
              <w:rPr>
                <w:sz w:val="18"/>
                <w:szCs w:val="18"/>
              </w:rPr>
              <w:t>reduced</w:t>
            </w:r>
            <w:r>
              <w:rPr>
                <w:sz w:val="18"/>
                <w:szCs w:val="18"/>
              </w:rPr>
              <w:t xml:space="preserve"> access to spectrum</w:t>
            </w:r>
            <w:r w:rsidR="001652F5">
              <w:rPr>
                <w:sz w:val="18"/>
                <w:szCs w:val="18"/>
              </w:rPr>
              <w:t xml:space="preserve"> in large population centres</w:t>
            </w:r>
            <w:r>
              <w:rPr>
                <w:sz w:val="18"/>
                <w:szCs w:val="18"/>
              </w:rPr>
              <w:t xml:space="preserve"> for the FSS</w:t>
            </w:r>
          </w:p>
          <w:p w14:paraId="4152CCC2" w14:textId="6617BA59" w:rsidR="002644EF" w:rsidRPr="00AE5456" w:rsidRDefault="005D7863" w:rsidP="005D7863">
            <w:pPr>
              <w:pStyle w:val="ListBullet"/>
              <w:rPr>
                <w:sz w:val="18"/>
                <w:szCs w:val="18"/>
              </w:rPr>
            </w:pPr>
            <w:r>
              <w:rPr>
                <w:sz w:val="18"/>
                <w:szCs w:val="18"/>
              </w:rPr>
              <w:t xml:space="preserve">Further spectrum utilisation by ubiquitous FSS </w:t>
            </w:r>
            <w:r w:rsidR="001652F5">
              <w:rPr>
                <w:sz w:val="18"/>
                <w:szCs w:val="18"/>
              </w:rPr>
              <w:t>is</w:t>
            </w:r>
            <w:r>
              <w:rPr>
                <w:sz w:val="18"/>
                <w:szCs w:val="18"/>
              </w:rPr>
              <w:t xml:space="preserve"> supported in bands used by FWA and PTP if deployment restrictions are placed on ubiquitous FSS</w:t>
            </w:r>
          </w:p>
        </w:tc>
        <w:tc>
          <w:tcPr>
            <w:tcW w:w="2836" w:type="dxa"/>
            <w:tcMar>
              <w:left w:w="28" w:type="dxa"/>
              <w:right w:w="28" w:type="dxa"/>
            </w:tcMar>
          </w:tcPr>
          <w:p w14:paraId="30D9B7E0" w14:textId="434C79C5" w:rsidR="005D7863" w:rsidRDefault="005D7863" w:rsidP="005D7863">
            <w:pPr>
              <w:pStyle w:val="ListBullet"/>
              <w:rPr>
                <w:sz w:val="18"/>
                <w:szCs w:val="18"/>
              </w:rPr>
            </w:pPr>
            <w:r>
              <w:rPr>
                <w:sz w:val="18"/>
                <w:szCs w:val="18"/>
              </w:rPr>
              <w:t>The mix of spectrum and apparatus licensing arrangements result in best balance between increased spectrum utilisation and interference management for W</w:t>
            </w:r>
            <w:r w:rsidR="00F60E47">
              <w:rPr>
                <w:sz w:val="18"/>
                <w:szCs w:val="18"/>
              </w:rPr>
              <w:t>W</w:t>
            </w:r>
            <w:r>
              <w:rPr>
                <w:sz w:val="18"/>
                <w:szCs w:val="18"/>
              </w:rPr>
              <w:t xml:space="preserve">B, FSS gateways, FWA and PTP </w:t>
            </w:r>
          </w:p>
          <w:p w14:paraId="38FB4148" w14:textId="77777777" w:rsidR="006548AB" w:rsidRDefault="006548AB" w:rsidP="006548AB">
            <w:pPr>
              <w:pStyle w:val="ListBullet"/>
              <w:rPr>
                <w:sz w:val="18"/>
                <w:szCs w:val="18"/>
              </w:rPr>
            </w:pPr>
            <w:r>
              <w:rPr>
                <w:sz w:val="18"/>
                <w:szCs w:val="18"/>
              </w:rPr>
              <w:t>Spectrum licence arrangements for WWB come at the expense of reduced access to spectrum in large population centres for the FSS</w:t>
            </w:r>
          </w:p>
          <w:p w14:paraId="2085FFC7" w14:textId="16196FB6" w:rsidR="002644EF" w:rsidRPr="00AE5456" w:rsidRDefault="005D7863" w:rsidP="005D7863">
            <w:pPr>
              <w:pStyle w:val="ListBullet"/>
              <w:rPr>
                <w:sz w:val="18"/>
                <w:szCs w:val="18"/>
              </w:rPr>
            </w:pPr>
            <w:r>
              <w:rPr>
                <w:sz w:val="18"/>
                <w:szCs w:val="18"/>
              </w:rPr>
              <w:t>Further spectrum utilisation by ubiquitous FSS may be supported in bands used by FWA and PTP if deployment restrictions are placed on ubiquitous FSS</w:t>
            </w:r>
            <w:r w:rsidR="001652F5">
              <w:rPr>
                <w:sz w:val="18"/>
                <w:szCs w:val="18"/>
              </w:rPr>
              <w:t>. Similarly, greater use of areas and frequencies allocated to FSS only could be supported if FWA and PTP operate on a ‘no protection’ basis’</w:t>
            </w:r>
          </w:p>
        </w:tc>
        <w:tc>
          <w:tcPr>
            <w:tcW w:w="2836" w:type="dxa"/>
            <w:tcMar>
              <w:left w:w="28" w:type="dxa"/>
              <w:right w:w="28" w:type="dxa"/>
            </w:tcMar>
          </w:tcPr>
          <w:p w14:paraId="0293A104" w14:textId="74F740D0" w:rsidR="005D7863" w:rsidRDefault="005D7863" w:rsidP="005D7863">
            <w:pPr>
              <w:pStyle w:val="ListBullet"/>
              <w:rPr>
                <w:sz w:val="18"/>
                <w:szCs w:val="18"/>
              </w:rPr>
            </w:pPr>
            <w:r>
              <w:rPr>
                <w:sz w:val="18"/>
                <w:szCs w:val="18"/>
              </w:rPr>
              <w:t xml:space="preserve">The apparatus licensing arrangements result </w:t>
            </w:r>
            <w:r w:rsidR="00674387">
              <w:rPr>
                <w:sz w:val="18"/>
                <w:szCs w:val="18"/>
              </w:rPr>
              <w:t xml:space="preserve">in a </w:t>
            </w:r>
            <w:r>
              <w:rPr>
                <w:sz w:val="18"/>
                <w:szCs w:val="18"/>
              </w:rPr>
              <w:t xml:space="preserve">good balance between increased spectrum utilisation and interference management for FSS gateways, FWA and PTP </w:t>
            </w:r>
          </w:p>
          <w:p w14:paraId="4FB22BD7" w14:textId="037A6946" w:rsidR="002644EF" w:rsidRPr="00AE5456" w:rsidRDefault="005D7863" w:rsidP="00E14658">
            <w:pPr>
              <w:pStyle w:val="ListBullet"/>
              <w:rPr>
                <w:sz w:val="18"/>
                <w:szCs w:val="18"/>
              </w:rPr>
            </w:pPr>
            <w:r>
              <w:rPr>
                <w:sz w:val="18"/>
                <w:szCs w:val="18"/>
              </w:rPr>
              <w:t>Further spectrum utilisation by ubiquitous FSS may be supported in bands used by FWA and PTP if deployment restrictions are placed on ubiquitous FSS</w:t>
            </w:r>
            <w:r w:rsidR="001652F5">
              <w:rPr>
                <w:sz w:val="18"/>
                <w:szCs w:val="18"/>
              </w:rPr>
              <w:t>. Similarly, greater use of areas and frequencies allocated to FSS only could be supported if FWA and PTP operate on a ‘no protection’ basis’</w:t>
            </w:r>
          </w:p>
        </w:tc>
        <w:tc>
          <w:tcPr>
            <w:tcW w:w="2836" w:type="dxa"/>
            <w:tcMar>
              <w:left w:w="28" w:type="dxa"/>
              <w:right w:w="28" w:type="dxa"/>
            </w:tcMar>
          </w:tcPr>
          <w:p w14:paraId="048B4744" w14:textId="5F6D5319" w:rsidR="005D7863" w:rsidRDefault="005D7863" w:rsidP="005D7863">
            <w:pPr>
              <w:pStyle w:val="ListBullet"/>
              <w:rPr>
                <w:sz w:val="18"/>
                <w:szCs w:val="18"/>
              </w:rPr>
            </w:pPr>
            <w:r>
              <w:rPr>
                <w:sz w:val="18"/>
                <w:szCs w:val="18"/>
              </w:rPr>
              <w:t xml:space="preserve">The apparatus licensing arrangements result in good balance between increased spectrum utilisation and interference management for FSS gateways, FWA and PTP </w:t>
            </w:r>
          </w:p>
          <w:p w14:paraId="0148B9F1" w14:textId="281FF54D" w:rsidR="002644EF" w:rsidRPr="00AE5456" w:rsidRDefault="005D7863" w:rsidP="005D7863">
            <w:pPr>
              <w:pStyle w:val="ListBullet"/>
              <w:rPr>
                <w:sz w:val="18"/>
                <w:szCs w:val="18"/>
              </w:rPr>
            </w:pPr>
            <w:r>
              <w:rPr>
                <w:sz w:val="18"/>
                <w:szCs w:val="18"/>
              </w:rPr>
              <w:t>Further spectrum utilisation by ubiquitous FSS may be supported in bands used by FWA if deployment restrictions are placed on ubiquitous FSS</w:t>
            </w:r>
            <w:r w:rsidR="001652F5">
              <w:rPr>
                <w:sz w:val="18"/>
                <w:szCs w:val="18"/>
              </w:rPr>
              <w:t>. Similarly, greater use of areas and frequencies allocated to FSS only could be supported if FWA operate on a ‘no protection’ basis’</w:t>
            </w:r>
          </w:p>
        </w:tc>
        <w:tc>
          <w:tcPr>
            <w:tcW w:w="2837" w:type="dxa"/>
            <w:tcMar>
              <w:left w:w="28" w:type="dxa"/>
              <w:right w:w="28" w:type="dxa"/>
            </w:tcMar>
          </w:tcPr>
          <w:p w14:paraId="5E11F611" w14:textId="44C7E8C8" w:rsidR="002644EF" w:rsidRPr="00AE5456" w:rsidRDefault="005D7863" w:rsidP="00E14658">
            <w:pPr>
              <w:pStyle w:val="ListBullet"/>
              <w:rPr>
                <w:sz w:val="18"/>
                <w:szCs w:val="18"/>
              </w:rPr>
            </w:pPr>
            <w:r>
              <w:rPr>
                <w:sz w:val="18"/>
                <w:szCs w:val="18"/>
              </w:rPr>
              <w:t>Only provides support for FSS, consequently results in worst balance between spectrum utilisation and interference management</w:t>
            </w:r>
          </w:p>
        </w:tc>
      </w:tr>
    </w:tbl>
    <w:p w14:paraId="68E207EC" w14:textId="77777777" w:rsidR="002644EF" w:rsidRDefault="002644EF">
      <w:pPr>
        <w:spacing w:after="0" w:line="240" w:lineRule="auto"/>
      </w:pPr>
    </w:p>
    <w:p w14:paraId="62D17CA5" w14:textId="490F4C60" w:rsidR="002644EF" w:rsidRDefault="002644EF">
      <w:pPr>
        <w:spacing w:after="0" w:line="240" w:lineRule="auto"/>
      </w:pPr>
    </w:p>
    <w:p w14:paraId="6AF1E2D4" w14:textId="77777777" w:rsidR="002644EF" w:rsidRDefault="002644EF">
      <w:pPr>
        <w:spacing w:after="0" w:line="240" w:lineRule="auto"/>
      </w:pPr>
    </w:p>
    <w:p w14:paraId="266903BA" w14:textId="77777777" w:rsidR="007070CE" w:rsidRDefault="007070CE" w:rsidP="0089520D">
      <w:pPr>
        <w:sectPr w:rsidR="007070CE" w:rsidSect="005D3186">
          <w:pgSz w:w="16838" w:h="11906" w:orient="landscape" w:code="9"/>
          <w:pgMar w:top="1134" w:right="1945" w:bottom="1135" w:left="1134" w:header="709" w:footer="119" w:gutter="0"/>
          <w:cols w:space="708"/>
          <w:docGrid w:linePitch="360"/>
        </w:sectPr>
      </w:pPr>
    </w:p>
    <w:p w14:paraId="49D54D2E" w14:textId="38631D3A" w:rsidR="0089520D" w:rsidRDefault="0089520D" w:rsidP="0089520D">
      <w:pPr>
        <w:pStyle w:val="Heading3"/>
      </w:pPr>
      <w:bookmarkStart w:id="151" w:name="_Hlk4489431"/>
      <w:r w:rsidRPr="00A05EC9">
        <w:lastRenderedPageBreak/>
        <w:t>Principle 1</w:t>
      </w:r>
      <w:r>
        <w:t>—</w:t>
      </w:r>
      <w:r w:rsidRPr="00A05EC9">
        <w:t>Allocate spectrum to the highest value use (HVU) or uses</w:t>
      </w:r>
    </w:p>
    <w:bookmarkEnd w:id="151"/>
    <w:p w14:paraId="30F0BF11" w14:textId="679CA350" w:rsidR="00F5246D" w:rsidRDefault="0050070C" w:rsidP="005D3186">
      <w:r>
        <w:t>In determining the highest value use or uses of the 28 GHz band, the ACMA consider</w:t>
      </w:r>
      <w:r w:rsidR="00F52242">
        <w:t>s</w:t>
      </w:r>
      <w:r>
        <w:t xml:space="preserve"> the use or combination of uses that maximise the total economic value derived from using the spectrum. </w:t>
      </w:r>
      <w:r w:rsidR="005445CC">
        <w:t xml:space="preserve">This is typically measured using </w:t>
      </w:r>
      <w:r w:rsidR="005445CC" w:rsidRPr="00C569A0">
        <w:t>the Total Welfare Standard (TWS), under which the impact that a regulatory proposal has on the public interest is measured as the sum of the effects on consumers, producers and government, as well as the broader social impacts on the community.</w:t>
      </w:r>
      <w:r w:rsidR="005445CC">
        <w:t xml:space="preserve"> </w:t>
      </w:r>
    </w:p>
    <w:p w14:paraId="16B3EACB" w14:textId="15AC9212" w:rsidR="006E51F3" w:rsidRPr="00A37173" w:rsidRDefault="005445CC" w:rsidP="005D3186">
      <w:pPr>
        <w:spacing w:after="80"/>
      </w:pPr>
      <w:r>
        <w:t xml:space="preserve">The following analysis </w:t>
      </w:r>
      <w:r w:rsidR="0050070C">
        <w:t>assess</w:t>
      </w:r>
      <w:r w:rsidR="00BA7070">
        <w:t>es</w:t>
      </w:r>
      <w:r w:rsidR="0050070C">
        <w:t xml:space="preserve"> the </w:t>
      </w:r>
      <w:r>
        <w:t>replanning options put forward in this paper and focuses on the potential for each use case to increase economic value under the TWS.</w:t>
      </w:r>
      <w:r w:rsidR="006E51F3">
        <w:t xml:space="preserve"> </w:t>
      </w:r>
      <w:r w:rsidR="006E51F3" w:rsidRPr="00A37173">
        <w:t>It is noted that the ACMA’s contentions about the highest value use of the 28</w:t>
      </w:r>
      <w:r w:rsidR="00D613A6">
        <w:t> </w:t>
      </w:r>
      <w:r w:rsidR="006E51F3" w:rsidRPr="00A37173">
        <w:t>GHz band are largely based on the outcomes of other planning initiatives and in some cases anecdotal evidence, particularly:</w:t>
      </w:r>
    </w:p>
    <w:p w14:paraId="0F43232C" w14:textId="33AD43F3" w:rsidR="006E51F3" w:rsidRPr="00A37173" w:rsidRDefault="00803DD1" w:rsidP="005D3186">
      <w:pPr>
        <w:pStyle w:val="ListBullet"/>
      </w:pPr>
      <w:r>
        <w:t>t</w:t>
      </w:r>
      <w:r w:rsidR="006E51F3" w:rsidRPr="00A37173">
        <w:t xml:space="preserve">he marginal incremental value of further WWB is </w:t>
      </w:r>
      <w:r w:rsidR="00E14E71" w:rsidRPr="00A37173">
        <w:t>considered to be</w:t>
      </w:r>
      <w:r w:rsidR="006E51F3" w:rsidRPr="00A37173">
        <w:t xml:space="preserve"> minimal, given the </w:t>
      </w:r>
      <w:r w:rsidR="008432D2">
        <w:t>identification of spectrum</w:t>
      </w:r>
      <w:r w:rsidR="006E51F3" w:rsidRPr="00A37173">
        <w:t xml:space="preserve"> in the 26 GHz band and the range of other </w:t>
      </w:r>
      <w:proofErr w:type="spellStart"/>
      <w:r w:rsidR="006E51F3" w:rsidRPr="00A37173">
        <w:t>mmWave</w:t>
      </w:r>
      <w:proofErr w:type="spellEnd"/>
      <w:r w:rsidR="006E51F3" w:rsidRPr="00A37173">
        <w:t xml:space="preserve"> bands being considered for use by WWB services</w:t>
      </w:r>
    </w:p>
    <w:p w14:paraId="1DA91605" w14:textId="19149D38" w:rsidR="006E51F3" w:rsidRPr="00A37173" w:rsidRDefault="00803DD1" w:rsidP="005D3186">
      <w:pPr>
        <w:pStyle w:val="ListBullet"/>
      </w:pPr>
      <w:r>
        <w:t>t</w:t>
      </w:r>
      <w:r w:rsidR="006E51F3" w:rsidRPr="00A37173">
        <w:t>he potential utility of spectrum being made available for FWA across the 26</w:t>
      </w:r>
      <w:r w:rsidR="008432D2">
        <w:t> </w:t>
      </w:r>
      <w:r w:rsidR="006E51F3" w:rsidRPr="00A37173">
        <w:t>GHz and 28 GHz bands</w:t>
      </w:r>
    </w:p>
    <w:p w14:paraId="7ABE78C8" w14:textId="46E01BF3" w:rsidR="006E51F3" w:rsidRPr="00A37173" w:rsidRDefault="00803DD1" w:rsidP="005D3186">
      <w:pPr>
        <w:pStyle w:val="ListBullet"/>
      </w:pPr>
      <w:r>
        <w:t>i</w:t>
      </w:r>
      <w:r w:rsidR="006E51F3" w:rsidRPr="00A37173">
        <w:t>ncreasing demand for access to large bandwidth channels by PTP services and whether arrangements in other bands would be suitable to accommodate this</w:t>
      </w:r>
    </w:p>
    <w:p w14:paraId="3F4D8FC2" w14:textId="0AD678DE" w:rsidR="00425209" w:rsidRDefault="00803DD1" w:rsidP="005D3186">
      <w:pPr>
        <w:pStyle w:val="ListBullet"/>
      </w:pPr>
      <w:r>
        <w:t>t</w:t>
      </w:r>
      <w:r w:rsidR="006E51F3" w:rsidRPr="00A37173">
        <w:t>he potential utility of spectrum being made available for FSS</w:t>
      </w:r>
    </w:p>
    <w:p w14:paraId="782C8EFB" w14:textId="536E089F" w:rsidR="006E51F3" w:rsidRPr="00A37173" w:rsidRDefault="006E51F3" w:rsidP="005D3186">
      <w:pPr>
        <w:pStyle w:val="ListBulletLast"/>
      </w:pPr>
      <w:r w:rsidRPr="00A37173">
        <w:t>the potential high incremental costs of displacing existing services from the 28 GHz band.</w:t>
      </w:r>
    </w:p>
    <w:p w14:paraId="7834317E" w14:textId="097D757A" w:rsidR="00431282" w:rsidRPr="00AC6904" w:rsidRDefault="00C210D4" w:rsidP="005D3186">
      <w:pPr>
        <w:pStyle w:val="BodySubHeader"/>
      </w:pPr>
      <w:r w:rsidRPr="00AC6904">
        <w:t>WWB</w:t>
      </w:r>
    </w:p>
    <w:p w14:paraId="682EFAD3" w14:textId="37584A1C" w:rsidR="0050070C" w:rsidRDefault="007C49DB" w:rsidP="008659C6">
      <w:pPr>
        <w:spacing w:after="120"/>
      </w:pPr>
      <w:r>
        <w:t xml:space="preserve">The </w:t>
      </w:r>
      <w:r w:rsidR="00E817C2">
        <w:t xml:space="preserve">social and economic </w:t>
      </w:r>
      <w:r>
        <w:t xml:space="preserve">benefits of </w:t>
      </w:r>
      <w:r w:rsidR="00B153D9">
        <w:t>WWB</w:t>
      </w:r>
      <w:r>
        <w:t xml:space="preserve"> have been clearly </w:t>
      </w:r>
      <w:r w:rsidR="00E817C2">
        <w:t xml:space="preserve">articulated </w:t>
      </w:r>
      <w:r w:rsidR="00916373">
        <w:t xml:space="preserve">in numerous papers, including those produced </w:t>
      </w:r>
      <w:r w:rsidR="00E817C2">
        <w:t xml:space="preserve">by </w:t>
      </w:r>
      <w:r w:rsidR="00FA45C5">
        <w:t>the Australian Mobile Telecommunications Association (</w:t>
      </w:r>
      <w:r w:rsidR="00916373">
        <w:t>AMTA</w:t>
      </w:r>
      <w:r w:rsidR="00FA45C5">
        <w:t>)</w:t>
      </w:r>
      <w:r w:rsidR="00916373">
        <w:rPr>
          <w:rStyle w:val="FootnoteReference"/>
        </w:rPr>
        <w:footnoteReference w:id="28"/>
      </w:r>
      <w:r w:rsidR="00916373">
        <w:rPr>
          <w:vertAlign w:val="superscript"/>
        </w:rPr>
        <w:t>,</w:t>
      </w:r>
      <w:r w:rsidR="00916373">
        <w:rPr>
          <w:rStyle w:val="FootnoteReference"/>
        </w:rPr>
        <w:footnoteReference w:id="29"/>
      </w:r>
      <w:r w:rsidR="00916373">
        <w:t xml:space="preserve"> and the Department of Communications and Arts</w:t>
      </w:r>
      <w:r w:rsidR="00916373">
        <w:rPr>
          <w:rStyle w:val="FootnoteReference"/>
        </w:rPr>
        <w:footnoteReference w:id="30"/>
      </w:r>
      <w:r>
        <w:t>.</w:t>
      </w:r>
      <w:r w:rsidR="00E817C2">
        <w:t xml:space="preserve"> </w:t>
      </w:r>
      <w:r w:rsidR="008659C6">
        <w:t xml:space="preserve">To realise these benefits and to continue to deliver new and evolving services, </w:t>
      </w:r>
      <w:r w:rsidR="00916373">
        <w:t>a</w:t>
      </w:r>
      <w:r>
        <w:t xml:space="preserve">ccess to </w:t>
      </w:r>
      <w:r w:rsidR="00BF5F8D">
        <w:t xml:space="preserve">sufficient </w:t>
      </w:r>
      <w:r>
        <w:t xml:space="preserve">spectrum is </w:t>
      </w:r>
      <w:r w:rsidR="008659C6">
        <w:t>required by WWB operators</w:t>
      </w:r>
      <w:r>
        <w:t>.</w:t>
      </w:r>
      <w:r w:rsidR="00BF5F8D">
        <w:t xml:space="preserve"> </w:t>
      </w:r>
      <w:r w:rsidR="0050070C">
        <w:t xml:space="preserve">Therefore, </w:t>
      </w:r>
      <w:r w:rsidR="00F639E0">
        <w:t>in part</w:t>
      </w:r>
      <w:r w:rsidR="002225F7">
        <w:t>,</w:t>
      </w:r>
      <w:r w:rsidR="0050070C">
        <w:t xml:space="preserve"> determining whether WWB should be allocated spectrum in the 28 GHz band hinges on whether </w:t>
      </w:r>
      <w:r w:rsidR="00F04673">
        <w:t xml:space="preserve">the </w:t>
      </w:r>
      <w:r w:rsidR="00F639E0">
        <w:t xml:space="preserve">net </w:t>
      </w:r>
      <w:r w:rsidR="00F04673">
        <w:t xml:space="preserve">increment value </w:t>
      </w:r>
      <w:r w:rsidR="00F639E0">
        <w:t xml:space="preserve">of </w:t>
      </w:r>
      <w:r w:rsidR="0050070C">
        <w:t>WWB</w:t>
      </w:r>
      <w:r w:rsidR="00F639E0">
        <w:t xml:space="preserve"> in this spectrum</w:t>
      </w:r>
      <w:r w:rsidR="0050070C">
        <w:t xml:space="preserve"> </w:t>
      </w:r>
      <w:r w:rsidR="00F639E0">
        <w:t>is likely to be greater than other services</w:t>
      </w:r>
      <w:r w:rsidR="0050070C">
        <w:t>.</w:t>
      </w:r>
    </w:p>
    <w:p w14:paraId="16CAFAA6" w14:textId="3BEF2C71" w:rsidR="0050070C" w:rsidRDefault="0050070C" w:rsidP="008659C6">
      <w:pPr>
        <w:spacing w:after="120"/>
      </w:pPr>
      <w:r>
        <w:t>As detailed</w:t>
      </w:r>
      <w:r w:rsidR="00BF5F8D">
        <w:t xml:space="preserve"> in the </w:t>
      </w:r>
      <w:r>
        <w:rPr>
          <w:i/>
        </w:rPr>
        <w:t xml:space="preserve">Outcomes of the 26 GHz band replanning process </w:t>
      </w:r>
      <w:r w:rsidR="00BF5F8D">
        <w:t>section of this paper</w:t>
      </w:r>
      <w:r>
        <w:t>,</w:t>
      </w:r>
      <w:r w:rsidR="00BF5F8D">
        <w:t xml:space="preserve"> </w:t>
      </w:r>
      <w:r w:rsidR="000138EB">
        <w:t xml:space="preserve">the ACMA has flagged a planning decision that </w:t>
      </w:r>
      <w:r w:rsidR="00BF5F8D">
        <w:t xml:space="preserve">2.4 GHz of spectrum </w:t>
      </w:r>
      <w:r w:rsidR="000138EB">
        <w:t>should be</w:t>
      </w:r>
      <w:r w:rsidR="00BF5F8D">
        <w:t xml:space="preserve"> identified for spectrum licensing in the 26 GHz band</w:t>
      </w:r>
      <w:r w:rsidR="000138EB">
        <w:t xml:space="preserve"> within large </w:t>
      </w:r>
      <w:r w:rsidR="006548AB">
        <w:t>population centres</w:t>
      </w:r>
      <w:r>
        <w:t>. This is expected to</w:t>
      </w:r>
      <w:r w:rsidR="00BF5F8D">
        <w:t xml:space="preserve"> be of primary interest to WWB operators</w:t>
      </w:r>
      <w:r w:rsidR="00781F8C">
        <w:t xml:space="preserve"> and </w:t>
      </w:r>
      <w:r>
        <w:t xml:space="preserve">the spectrum is </w:t>
      </w:r>
      <w:r w:rsidR="00781F8C">
        <w:t>considered substitutable to the 28 GHz band</w:t>
      </w:r>
      <w:r>
        <w:t>. As a result of this allocation, t</w:t>
      </w:r>
      <w:r w:rsidR="00BF5F8D">
        <w:t xml:space="preserve">he ACMA </w:t>
      </w:r>
      <w:r w:rsidR="00F639E0">
        <w:t>contends</w:t>
      </w:r>
      <w:r w:rsidR="00F639E0" w:rsidDel="00BF5F8D">
        <w:t xml:space="preserve"> </w:t>
      </w:r>
      <w:r w:rsidR="00797A22" w:rsidDel="00BF5F8D">
        <w:t xml:space="preserve">that </w:t>
      </w:r>
      <w:r w:rsidR="00C76440">
        <w:t xml:space="preserve">a significant amount of </w:t>
      </w:r>
      <w:r w:rsidR="007C49DB">
        <w:t xml:space="preserve">spectrum </w:t>
      </w:r>
      <w:r w:rsidR="00BF5F8D">
        <w:t xml:space="preserve">has </w:t>
      </w:r>
      <w:r w:rsidR="00FA45C5">
        <w:t xml:space="preserve">already </w:t>
      </w:r>
      <w:r w:rsidR="00BF5F8D">
        <w:t xml:space="preserve">been made available </w:t>
      </w:r>
      <w:r w:rsidR="00781F8C">
        <w:t xml:space="preserve">for WWB use in the </w:t>
      </w:r>
      <w:r w:rsidR="00FA45C5">
        <w:t xml:space="preserve">24.25-29.5 GHz frequency range – particularly </w:t>
      </w:r>
      <w:r w:rsidR="00BF618D">
        <w:t xml:space="preserve">when access to more spectrum for WBB is weighed against a combination of alternative uses (on a shared basis) </w:t>
      </w:r>
      <w:r w:rsidR="00FA45C5">
        <w:t xml:space="preserve">such as </w:t>
      </w:r>
      <w:r w:rsidR="00BF618D">
        <w:t>FWA, FSS gateways and (possibly) ubiquitous FSS.</w:t>
      </w:r>
      <w:r w:rsidR="00781F8C">
        <w:t xml:space="preserve"> </w:t>
      </w:r>
      <w:r w:rsidR="00C51F4A">
        <w:t xml:space="preserve">It is further noted that </w:t>
      </w:r>
      <w:r w:rsidR="00781F8C">
        <w:t xml:space="preserve">numerous other </w:t>
      </w:r>
      <w:proofErr w:type="spellStart"/>
      <w:r w:rsidR="00781F8C">
        <w:t>mmWave</w:t>
      </w:r>
      <w:proofErr w:type="spellEnd"/>
      <w:r w:rsidR="00781F8C">
        <w:t xml:space="preserve"> bands </w:t>
      </w:r>
      <w:r w:rsidR="00C51F4A">
        <w:t xml:space="preserve">are </w:t>
      </w:r>
      <w:r w:rsidR="00781F8C">
        <w:t>under active consideration for WWB use</w:t>
      </w:r>
      <w:r w:rsidR="00C51F4A">
        <w:t xml:space="preserve"> which will help to meet future growth and capacity demands</w:t>
      </w:r>
      <w:r w:rsidR="00781F8C">
        <w:t xml:space="preserve">. </w:t>
      </w:r>
      <w:r>
        <w:t xml:space="preserve">Refer to the </w:t>
      </w:r>
      <w:r w:rsidR="003E132C">
        <w:t>‘</w:t>
      </w:r>
      <w:r w:rsidRPr="005D3186">
        <w:t>Consideration of spectrum options for WWB</w:t>
      </w:r>
      <w:r w:rsidR="003E132C">
        <w:t>’</w:t>
      </w:r>
      <w:r>
        <w:rPr>
          <w:i/>
        </w:rPr>
        <w:t xml:space="preserve"> </w:t>
      </w:r>
      <w:r>
        <w:t xml:space="preserve">section of this paper for further discussion. </w:t>
      </w:r>
    </w:p>
    <w:p w14:paraId="765D4C5D" w14:textId="67CCDA2D" w:rsidR="00BF5F8D" w:rsidRDefault="00F639E0" w:rsidP="00DB2602">
      <w:r>
        <w:lastRenderedPageBreak/>
        <w:t xml:space="preserve">If the ACMA’s contention is correct that </w:t>
      </w:r>
      <w:r w:rsidR="008F240B">
        <w:t xml:space="preserve">a suitable amount of spectrum for </w:t>
      </w:r>
      <w:r w:rsidR="0050070C" w:rsidRPr="002B5EE9">
        <w:t xml:space="preserve">WWB </w:t>
      </w:r>
      <w:r w:rsidR="008F240B">
        <w:t xml:space="preserve">use </w:t>
      </w:r>
      <w:r w:rsidR="0050070C" w:rsidRPr="002B5EE9">
        <w:t xml:space="preserve">has already been </w:t>
      </w:r>
      <w:r w:rsidR="008F240B">
        <w:t xml:space="preserve">identified </w:t>
      </w:r>
      <w:r w:rsidR="0050070C">
        <w:t>in the 26 GHz band</w:t>
      </w:r>
      <w:r w:rsidR="0050070C" w:rsidRPr="002B5EE9">
        <w:t xml:space="preserve">, neither sub-option 1a or 1b </w:t>
      </w:r>
      <w:r w:rsidR="0050070C">
        <w:t xml:space="preserve">are expected to maximise economic value under the TWS and therefore these options are not </w:t>
      </w:r>
      <w:r w:rsidR="0050070C" w:rsidRPr="002B5EE9">
        <w:t xml:space="preserve">considered </w:t>
      </w:r>
      <w:r w:rsidR="0050070C">
        <w:t xml:space="preserve">to be </w:t>
      </w:r>
      <w:r w:rsidR="0050070C" w:rsidRPr="002B5EE9">
        <w:t>the highest value use</w:t>
      </w:r>
      <w:r w:rsidR="0050070C">
        <w:t>s</w:t>
      </w:r>
      <w:r w:rsidR="0050070C" w:rsidRPr="002B5EE9">
        <w:t xml:space="preserve"> of the band.</w:t>
      </w:r>
    </w:p>
    <w:p w14:paraId="69B1AC2F" w14:textId="77777777" w:rsidR="00E32442" w:rsidRPr="00E32442" w:rsidRDefault="00E32442" w:rsidP="00E32442">
      <w:pPr>
        <w:pStyle w:val="ListParagraph"/>
        <w:numPr>
          <w:ilvl w:val="0"/>
          <w:numId w:val="79"/>
        </w:numPr>
        <w:shd w:val="clear" w:color="auto" w:fill="F2F2F2" w:themeFill="background1" w:themeFillShade="F2"/>
        <w:spacing w:before="120" w:after="120" w:line="240" w:lineRule="auto"/>
        <w:ind w:left="426" w:hanging="426"/>
        <w:contextualSpacing w:val="0"/>
        <w:rPr>
          <w:b/>
        </w:rPr>
      </w:pPr>
      <w:r>
        <w:rPr>
          <w:b/>
        </w:rPr>
        <w:t>Is</w:t>
      </w:r>
      <w:r w:rsidRPr="00C76440">
        <w:rPr>
          <w:b/>
        </w:rPr>
        <w:t xml:space="preserve"> there any relevant </w:t>
      </w:r>
      <w:r>
        <w:rPr>
          <w:b/>
        </w:rPr>
        <w:t>evidence</w:t>
      </w:r>
      <w:r w:rsidRPr="00C76440">
        <w:rPr>
          <w:b/>
        </w:rPr>
        <w:t xml:space="preserve"> that provide</w:t>
      </w:r>
      <w:r>
        <w:rPr>
          <w:b/>
        </w:rPr>
        <w:t>s</w:t>
      </w:r>
      <w:r w:rsidRPr="00C76440">
        <w:rPr>
          <w:b/>
        </w:rPr>
        <w:t xml:space="preserve"> an indication of the value the WWB sector</w:t>
      </w:r>
      <w:r>
        <w:rPr>
          <w:b/>
        </w:rPr>
        <w:t xml:space="preserve"> </w:t>
      </w:r>
      <w:r w:rsidRPr="00C76440">
        <w:rPr>
          <w:b/>
        </w:rPr>
        <w:t>places on additional spectrum in th</w:t>
      </w:r>
      <w:r>
        <w:rPr>
          <w:b/>
        </w:rPr>
        <w:t xml:space="preserve">e 28GHz </w:t>
      </w:r>
      <w:r w:rsidRPr="00C76440">
        <w:rPr>
          <w:b/>
        </w:rPr>
        <w:t>band</w:t>
      </w:r>
      <w:r w:rsidRPr="00A05EC9">
        <w:rPr>
          <w:b/>
        </w:rPr>
        <w:t>?</w:t>
      </w:r>
    </w:p>
    <w:p w14:paraId="7032609E" w14:textId="77777777" w:rsidR="009964F1" w:rsidRPr="0091477B" w:rsidRDefault="009964F1" w:rsidP="005D3186">
      <w:pPr>
        <w:pStyle w:val="BodySubHeader"/>
      </w:pPr>
      <w:r>
        <w:t>FWA</w:t>
      </w:r>
    </w:p>
    <w:p w14:paraId="0159916F" w14:textId="3F8802B6" w:rsidR="00EC010B" w:rsidRDefault="009964F1" w:rsidP="005D3186">
      <w:r>
        <w:t>Any allocation for FWA use in the 28 GHz band needs to consider the spectrum requirements of WISPs, local governments, miners, utility companies and other localised or site-based wireless broadband operators. In submissions to the September 2018 paper, it was suggested that a minimum allocation in the order of 800-1000 MHz would be necessary to support multiple FWA operators and allow each to provide a competitive service</w:t>
      </w:r>
      <w:r w:rsidR="0070784B">
        <w:t xml:space="preserve"> in the 26 GHz and/or 28 GHz bands</w:t>
      </w:r>
      <w:r>
        <w:t xml:space="preserve">. </w:t>
      </w:r>
      <w:r w:rsidR="00EC010B">
        <w:t xml:space="preserve">Due to the substitutability of spectrum in the 26 GHz and 28 GHz bands, such an allocation could be made </w:t>
      </w:r>
      <w:r w:rsidR="000138EB">
        <w:t xml:space="preserve">in </w:t>
      </w:r>
      <w:r w:rsidR="00EC010B">
        <w:t xml:space="preserve">either band. Provided that the allocation of spectrum to FWA is not at the expense of a higher value use case, the ACMA </w:t>
      </w:r>
      <w:r w:rsidR="00F639E0">
        <w:t xml:space="preserve">contends </w:t>
      </w:r>
      <w:r w:rsidR="00EC010B">
        <w:t xml:space="preserve">the quantum of spectrum between 800–1000 MHz </w:t>
      </w:r>
      <w:r w:rsidR="002225F7">
        <w:t>is</w:t>
      </w:r>
      <w:r w:rsidR="00EC010B">
        <w:t xml:space="preserve"> a reasonable </w:t>
      </w:r>
      <w:r w:rsidR="00CA5FA1">
        <w:t xml:space="preserve">estimate </w:t>
      </w:r>
      <w:r w:rsidR="00EC010B">
        <w:t xml:space="preserve">across the 26 GHz and 28 GHz bands, particularly in large population centres where demand for FWA spectrum is expected to be highest. </w:t>
      </w:r>
      <w:r w:rsidR="00BF618D">
        <w:t xml:space="preserve">Given arrangements could be put in place to support sharing between FWA and other services such as PTP, FSS gateways and (possibly) ubiquitous FSS, </w:t>
      </w:r>
      <w:r w:rsidR="009C04D3">
        <w:t>the</w:t>
      </w:r>
      <w:r w:rsidR="00BF618D">
        <w:t xml:space="preserve"> combined use case </w:t>
      </w:r>
      <w:r w:rsidR="009C04D3">
        <w:t>provide</w:t>
      </w:r>
      <w:r w:rsidR="00E0583F">
        <w:t>s</w:t>
      </w:r>
      <w:r w:rsidR="009C04D3">
        <w:t xml:space="preserve"> </w:t>
      </w:r>
      <w:r w:rsidR="00BF618D">
        <w:t xml:space="preserve">a good argument for being the HVU. </w:t>
      </w:r>
      <w:r w:rsidR="00CB3F05">
        <w:t xml:space="preserve"> </w:t>
      </w:r>
    </w:p>
    <w:p w14:paraId="4CFD5375" w14:textId="19C9B568" w:rsidR="009964F1" w:rsidRDefault="009C04D3" w:rsidP="005D3186">
      <w:r>
        <w:t xml:space="preserve">As detailed in the </w:t>
      </w:r>
      <w:r w:rsidR="00F62F9D">
        <w:t>‘</w:t>
      </w:r>
      <w:r w:rsidRPr="005D3186">
        <w:t>Outcomes of the 26 GHz band replanning process</w:t>
      </w:r>
      <w:r w:rsidR="00F62F9D" w:rsidRPr="005D3186">
        <w:t>’</w:t>
      </w:r>
      <w:r>
        <w:rPr>
          <w:i/>
        </w:rPr>
        <w:t xml:space="preserve"> </w:t>
      </w:r>
      <w:r>
        <w:t xml:space="preserve">section of this paper, the ACMA has flagged a planning decision for FWA use which </w:t>
      </w:r>
      <w:r w:rsidR="009964F1">
        <w:t>include</w:t>
      </w:r>
      <w:r>
        <w:t>s</w:t>
      </w:r>
      <w:r w:rsidR="009964F1">
        <w:t xml:space="preserve"> 400 MHz in large population centres and 2.8 GHz in regional and remote areas</w:t>
      </w:r>
      <w:r w:rsidR="00E14E71">
        <w:t xml:space="preserve"> (noting that at least 2.4 GHz of the latter will be of interest to WWB licensees in specific areas)</w:t>
      </w:r>
      <w:r w:rsidR="009964F1">
        <w:t xml:space="preserve">. </w:t>
      </w:r>
    </w:p>
    <w:p w14:paraId="302882CA" w14:textId="5FDCC37A" w:rsidR="00EC010B" w:rsidRDefault="00EC010B" w:rsidP="005D3186">
      <w:r>
        <w:t xml:space="preserve">To reach a </w:t>
      </w:r>
      <w:r w:rsidR="000256C7">
        <w:t>potential</w:t>
      </w:r>
      <w:r>
        <w:t xml:space="preserve"> allocation of 800–</w:t>
      </w:r>
      <w:r w:rsidRPr="000B14C8">
        <w:t xml:space="preserve">1000 MHz of spectrum for FWA in all areas across the 26 GHz and 28 GHz bands, an additional 400–600 MHz is required in the 28 GHz band in large population centres. Option 2 and Option 3 each </w:t>
      </w:r>
      <w:r w:rsidR="00BD2301" w:rsidRPr="000B14C8">
        <w:t>provide an</w:t>
      </w:r>
      <w:r w:rsidRPr="000B14C8">
        <w:t xml:space="preserve"> allocation of </w:t>
      </w:r>
      <w:r w:rsidR="0066046F" w:rsidRPr="000B14C8">
        <w:t>400-600 MHz</w:t>
      </w:r>
      <w:r w:rsidR="009C04D3">
        <w:rPr>
          <w:rStyle w:val="FootnoteReference"/>
        </w:rPr>
        <w:footnoteReference w:id="31"/>
      </w:r>
      <w:r w:rsidR="0066046F" w:rsidRPr="000B14C8">
        <w:t xml:space="preserve"> of </w:t>
      </w:r>
      <w:r w:rsidRPr="000B14C8">
        <w:t>spectrum for FWA and are the most likely options</w:t>
      </w:r>
      <w:r w:rsidRPr="000B14C8">
        <w:rPr>
          <w:b/>
        </w:rPr>
        <w:t xml:space="preserve"> </w:t>
      </w:r>
      <w:r w:rsidRPr="000B14C8">
        <w:t>to maximise economic value under the TWS and ultimately represent the highest value use combination for the 28 GHz band.</w:t>
      </w:r>
      <w:r w:rsidR="00BD2301" w:rsidRPr="000B14C8">
        <w:t xml:space="preserve"> </w:t>
      </w:r>
      <w:r w:rsidR="00CB3F05" w:rsidRPr="000B14C8">
        <w:t>This is particularly</w:t>
      </w:r>
      <w:r w:rsidR="00CB3F05">
        <w:t xml:space="preserve"> the case when the shared nature of any FWA allocation is considered. For instance, under Option 2, FWA would share its allocation with FSS gateways and PTP, and under Option </w:t>
      </w:r>
      <w:r w:rsidR="009C04D3">
        <w:t>3</w:t>
      </w:r>
      <w:r w:rsidR="00CB3F05">
        <w:t xml:space="preserve"> it would share with FSS gateways.</w:t>
      </w:r>
      <w:r w:rsidR="00E0583F">
        <w:t xml:space="preserve"> As a possible variant to both options, sharing with ubiquitous FSS could also be considered. </w:t>
      </w:r>
    </w:p>
    <w:p w14:paraId="782E62F2" w14:textId="33440479" w:rsidR="00C76440" w:rsidRDefault="00EC010B" w:rsidP="005D3186">
      <w:r>
        <w:t xml:space="preserve">Additional allocations for FWA in regional and remote areas are also considered as a variation to Option 2 and Option 3. However, due to the </w:t>
      </w:r>
      <w:r w:rsidR="00236B6C">
        <w:t>proposed</w:t>
      </w:r>
      <w:r>
        <w:t xml:space="preserve"> 2.8 GHz allocation in the 26 GHz band, such use is proposed on a ‘no protection’ basis to ubiquitous FSS use. The intention of the variation is to provide options for greater access to and utility of spectrum</w:t>
      </w:r>
      <w:r w:rsidR="00E0583F">
        <w:t xml:space="preserve"> but not at the expense of further limiting ubiquitous FSS use</w:t>
      </w:r>
      <w:r>
        <w:t>. It is anticipated that this option could be implemented at mine sites or other locations where access to a site is controlled</w:t>
      </w:r>
      <w:r w:rsidR="00FA3F0D">
        <w:t xml:space="preserve"> (or in situations where the risk of interference is manageable)</w:t>
      </w:r>
      <w:r>
        <w:t xml:space="preserve">. Where viable, the ACMA </w:t>
      </w:r>
      <w:r w:rsidR="000256C7">
        <w:t>contends</w:t>
      </w:r>
      <w:r>
        <w:t xml:space="preserve"> such use maximises </w:t>
      </w:r>
      <w:r w:rsidR="000256C7">
        <w:t xml:space="preserve">net incremental </w:t>
      </w:r>
      <w:r>
        <w:t xml:space="preserve">economic value under the TWS and ultimately </w:t>
      </w:r>
      <w:r w:rsidRPr="002B5EE9">
        <w:t>represent</w:t>
      </w:r>
      <w:r w:rsidR="00CA3F59">
        <w:t>s</w:t>
      </w:r>
      <w:r w:rsidRPr="002B5EE9">
        <w:t xml:space="preserve"> the highest value use</w:t>
      </w:r>
      <w:r>
        <w:t xml:space="preserve"> of the spectrum.</w:t>
      </w:r>
    </w:p>
    <w:p w14:paraId="1A81D5A7" w14:textId="77777777" w:rsidR="00E32442" w:rsidRPr="00E32442" w:rsidRDefault="00E32442" w:rsidP="00E32442">
      <w:pPr>
        <w:pStyle w:val="ListParagraph"/>
        <w:numPr>
          <w:ilvl w:val="0"/>
          <w:numId w:val="79"/>
        </w:numPr>
        <w:shd w:val="clear" w:color="auto" w:fill="F2F2F2" w:themeFill="background1" w:themeFillShade="F2"/>
        <w:spacing w:before="120" w:after="120" w:line="240" w:lineRule="auto"/>
        <w:ind w:left="426" w:hanging="426"/>
        <w:contextualSpacing w:val="0"/>
        <w:rPr>
          <w:b/>
        </w:rPr>
      </w:pPr>
      <w:r>
        <w:rPr>
          <w:b/>
        </w:rPr>
        <w:lastRenderedPageBreak/>
        <w:t>Is</w:t>
      </w:r>
      <w:r w:rsidRPr="0069108F">
        <w:rPr>
          <w:b/>
        </w:rPr>
        <w:t xml:space="preserve"> there any relevant </w:t>
      </w:r>
      <w:r>
        <w:rPr>
          <w:b/>
        </w:rPr>
        <w:t xml:space="preserve">evidence </w:t>
      </w:r>
      <w:r w:rsidRPr="0069108F">
        <w:rPr>
          <w:b/>
        </w:rPr>
        <w:t>that provide</w:t>
      </w:r>
      <w:r>
        <w:rPr>
          <w:b/>
        </w:rPr>
        <w:t>s</w:t>
      </w:r>
      <w:r w:rsidRPr="0069108F">
        <w:rPr>
          <w:b/>
        </w:rPr>
        <w:t xml:space="preserve"> an indication of the value the FWA sector places on additional spectrum in this band?</w:t>
      </w:r>
    </w:p>
    <w:p w14:paraId="5660CCF7" w14:textId="1F322FFB" w:rsidR="00437B47" w:rsidRDefault="00437B47" w:rsidP="005D3186">
      <w:pPr>
        <w:pStyle w:val="BodySubHeader"/>
      </w:pPr>
      <w:r>
        <w:t>PTP</w:t>
      </w:r>
    </w:p>
    <w:p w14:paraId="5AA40927" w14:textId="6F95C8EE" w:rsidR="00437B47" w:rsidRDefault="00973EFE" w:rsidP="005D3186">
      <w:r>
        <w:t>In addition to</w:t>
      </w:r>
      <w:r w:rsidR="00437B47">
        <w:t xml:space="preserve"> the 28 GHz band, there are several other bands in the 18-40 GHz frequency range that provide arrangements for PTP services. Due to demand for access to the 28 GHz band </w:t>
      </w:r>
      <w:r>
        <w:t>from</w:t>
      </w:r>
      <w:r w:rsidR="00437B47">
        <w:t xml:space="preserve"> other services, the ACMA </w:t>
      </w:r>
      <w:r>
        <w:t xml:space="preserve">has </w:t>
      </w:r>
      <w:r w:rsidR="00437B47">
        <w:t>investigated whether</w:t>
      </w:r>
      <w:r w:rsidR="002A210B">
        <w:t xml:space="preserve"> PTP arrangements in other bands are adequate to meet the growing needs of the PTP industry. This will help the ACMA determine whether</w:t>
      </w:r>
      <w:r>
        <w:t xml:space="preserve"> </w:t>
      </w:r>
      <w:r w:rsidR="002A210B">
        <w:t>ceasing</w:t>
      </w:r>
      <w:r>
        <w:t xml:space="preserve"> support for the PTP arrangements in the 28 GHz band</w:t>
      </w:r>
      <w:r w:rsidR="002A210B">
        <w:t xml:space="preserve"> would </w:t>
      </w:r>
      <w:r>
        <w:t>maximise access to the band by other services</w:t>
      </w:r>
      <w:r w:rsidRPr="00373907">
        <w:t xml:space="preserve"> </w:t>
      </w:r>
      <w:r>
        <w:t xml:space="preserve">and ultimately maximise the economic value derived from use of the band.  </w:t>
      </w:r>
    </w:p>
    <w:p w14:paraId="318F5B3A" w14:textId="604A37C3" w:rsidR="008379A9" w:rsidRDefault="008379A9" w:rsidP="005D3186">
      <w:r>
        <w:t xml:space="preserve">The PTP arrangements in 28 GHz band provide 28 MHz, 56 MHz and 112 MHz channel </w:t>
      </w:r>
      <w:r w:rsidR="00244689">
        <w:t>options.</w:t>
      </w:r>
      <w:r w:rsidRPr="00A05EC9" w:rsidDel="00323963">
        <w:t xml:space="preserve"> </w:t>
      </w:r>
      <w:r w:rsidR="00244689">
        <w:t>T</w:t>
      </w:r>
      <w:r>
        <w:t>here are equivalent arrangements in place in other bands to support demand for 28 MHz and 56 MHz channel sizes, but there are no equivalent arrangements in other bands for 112 MHz channels. Providing industry with access to 112 MHz channel</w:t>
      </w:r>
      <w:r w:rsidR="002907B2">
        <w:t>s</w:t>
      </w:r>
      <w:r>
        <w:t xml:space="preserve"> is considered necessary to meet </w:t>
      </w:r>
      <w:r w:rsidR="00BA7070">
        <w:t xml:space="preserve">its </w:t>
      </w:r>
      <w:r>
        <w:t xml:space="preserve">growing capacity requirements, which is evident in the shift from smaller to larger bandwidth channels by PTP operators in Australia </w:t>
      </w:r>
      <w:r w:rsidR="003A2623">
        <w:t xml:space="preserve">seen </w:t>
      </w:r>
      <w:r>
        <w:t>over time</w:t>
      </w:r>
      <w:r w:rsidR="00B061D0">
        <w:rPr>
          <w:rStyle w:val="FootnoteReference"/>
        </w:rPr>
        <w:footnoteReference w:id="32"/>
      </w:r>
      <w:r>
        <w:t xml:space="preserve">. This demand is expected to grow in the advent of 5G and the associated increase in data backhaul requirements. </w:t>
      </w:r>
    </w:p>
    <w:p w14:paraId="79349463" w14:textId="294E779B" w:rsidR="008379A9" w:rsidRDefault="00437B47" w:rsidP="005D3186">
      <w:r>
        <w:t xml:space="preserve">The ACMA intends to </w:t>
      </w:r>
      <w:r w:rsidR="004935FD">
        <w:t>consult on</w:t>
      </w:r>
      <w:r>
        <w:t xml:space="preserve"> the inclusion of 112 MHz channel arrangements</w:t>
      </w:r>
      <w:r w:rsidR="00CA3F59">
        <w:t xml:space="preserve"> for PTP</w:t>
      </w:r>
      <w:r>
        <w:t xml:space="preserve"> into the 38 GHz band</w:t>
      </w:r>
      <w:r w:rsidR="004935FD">
        <w:t xml:space="preserve"> in Q2 2019</w:t>
      </w:r>
      <w:r>
        <w:t xml:space="preserve">. While this will be done in a separate discussion paper, it is expected a decision on the viability of these arrangements can be made by </w:t>
      </w:r>
      <w:r w:rsidR="00EA10CE">
        <w:t>early Q3</w:t>
      </w:r>
      <w:r w:rsidR="00D613A6">
        <w:t> </w:t>
      </w:r>
      <w:r w:rsidR="00EA10CE">
        <w:t>2019</w:t>
      </w:r>
      <w:r>
        <w:t xml:space="preserve">. </w:t>
      </w:r>
      <w:r w:rsidR="00FF0B49">
        <w:t xml:space="preserve">The ACMA will take into account views submitted to this </w:t>
      </w:r>
      <w:r w:rsidR="002E055A">
        <w:t>paper</w:t>
      </w:r>
      <w:r w:rsidR="00FF0B49">
        <w:t xml:space="preserve"> as well as t</w:t>
      </w:r>
      <w:r>
        <w:t>h</w:t>
      </w:r>
      <w:r w:rsidR="004935FD">
        <w:t>e outcome</w:t>
      </w:r>
      <w:r w:rsidR="002E055A">
        <w:t>s</w:t>
      </w:r>
      <w:r w:rsidR="004935FD">
        <w:t xml:space="preserve"> of th</w:t>
      </w:r>
      <w:r w:rsidR="00FF0B49">
        <w:t>e</w:t>
      </w:r>
      <w:r w:rsidR="004935FD">
        <w:t xml:space="preserve"> </w:t>
      </w:r>
      <w:r w:rsidR="00FF0B49">
        <w:t xml:space="preserve">38 GHz consultation </w:t>
      </w:r>
      <w:r w:rsidR="004935FD">
        <w:t>process</w:t>
      </w:r>
      <w:r>
        <w:t xml:space="preserve"> </w:t>
      </w:r>
      <w:r w:rsidR="00FF0B49">
        <w:t xml:space="preserve">when making </w:t>
      </w:r>
      <w:r>
        <w:t xml:space="preserve">any decisions </w:t>
      </w:r>
      <w:r w:rsidR="002E055A">
        <w:t>on the future of PTP in</w:t>
      </w:r>
      <w:r>
        <w:t xml:space="preserve"> the 28 GHz band. </w:t>
      </w:r>
      <w:r w:rsidR="00FA3F0D">
        <w:t>It is noted that the 38 GHz band is part o</w:t>
      </w:r>
      <w:r w:rsidR="00B90EBE">
        <w:t>f</w:t>
      </w:r>
      <w:r w:rsidR="00FA3F0D">
        <w:t xml:space="preserve"> a broader </w:t>
      </w:r>
      <w:r w:rsidR="00B90EBE">
        <w:t xml:space="preserve">frequency </w:t>
      </w:r>
      <w:r w:rsidR="00FA3F0D">
        <w:t xml:space="preserve">range </w:t>
      </w:r>
      <w:r w:rsidR="00B90EBE">
        <w:t>(37-43.5 GHz)</w:t>
      </w:r>
      <w:r w:rsidR="00FA3F0D">
        <w:t xml:space="preserve"> being considered globally for 5G services.  The ACMA notes that changes to the 38 GHz band </w:t>
      </w:r>
      <w:r w:rsidR="00B90EBE">
        <w:t>and</w:t>
      </w:r>
      <w:r w:rsidR="00FA3F0D">
        <w:t xml:space="preserve"> increase </w:t>
      </w:r>
      <w:r w:rsidR="002907B2">
        <w:t xml:space="preserve">in </w:t>
      </w:r>
      <w:r w:rsidR="00FA3F0D">
        <w:t>its utility for PTP purposes will be a factor in any future considerations determining what, if any</w:t>
      </w:r>
      <w:r w:rsidR="002A210B">
        <w:t>,</w:t>
      </w:r>
      <w:r w:rsidR="00FA3F0D">
        <w:t xml:space="preserve"> part of the broader band is suitable for 5G.</w:t>
      </w:r>
    </w:p>
    <w:p w14:paraId="096FFBF7" w14:textId="48042214" w:rsidR="002E055A" w:rsidRDefault="008379A9" w:rsidP="00FA520E">
      <w:r>
        <w:t xml:space="preserve">If the proposed new arrangements in the 38 GHz band are deemed </w:t>
      </w:r>
      <w:r w:rsidR="000256C7">
        <w:t xml:space="preserve">appropriate </w:t>
      </w:r>
      <w:r>
        <w:t xml:space="preserve">to meet demand for large bandwidth PTP services, then the </w:t>
      </w:r>
      <w:r w:rsidR="000256C7">
        <w:t xml:space="preserve">net </w:t>
      </w:r>
      <w:r>
        <w:t xml:space="preserve">economic value derived from </w:t>
      </w:r>
      <w:r w:rsidR="000256C7">
        <w:t xml:space="preserve">continued </w:t>
      </w:r>
      <w:r>
        <w:t xml:space="preserve">PTP use of the 28 GHz band </w:t>
      </w:r>
      <w:r w:rsidR="000256C7">
        <w:t>c</w:t>
      </w:r>
      <w:r>
        <w:t>ould be substantially diminished and the cessation of 28 GHz PTP arrangements c</w:t>
      </w:r>
      <w:r w:rsidR="002907B2">
        <w:t>ould</w:t>
      </w:r>
      <w:r>
        <w:t xml:space="preserve"> be considered. </w:t>
      </w:r>
      <w:r w:rsidR="00FF0B49">
        <w:t xml:space="preserve">In the event </w:t>
      </w:r>
      <w:r w:rsidR="002E055A">
        <w:t xml:space="preserve">it is decided to no longer support 28 GHz </w:t>
      </w:r>
      <w:r w:rsidR="00FF0B49">
        <w:t>PTP arrangements</w:t>
      </w:r>
      <w:r w:rsidRPr="002B5EE9">
        <w:t>, Option 3 or Option 4 are likely to represent the highest value use cases for the 28 GHz band</w:t>
      </w:r>
      <w:r w:rsidR="002E055A">
        <w:t xml:space="preserve">. This is because </w:t>
      </w:r>
      <w:r w:rsidR="00D66A97">
        <w:t xml:space="preserve">a </w:t>
      </w:r>
      <w:r>
        <w:t xml:space="preserve">minimal value would be derived from </w:t>
      </w:r>
      <w:r w:rsidR="000256C7">
        <w:t xml:space="preserve">additional </w:t>
      </w:r>
      <w:r>
        <w:t xml:space="preserve">PTP services using the band when a viable alternative band exists (noting that </w:t>
      </w:r>
      <w:r w:rsidRPr="002B5EE9">
        <w:t xml:space="preserve">existing PTP services </w:t>
      </w:r>
      <w:r>
        <w:t xml:space="preserve">would be </w:t>
      </w:r>
      <w:r w:rsidRPr="002B5EE9">
        <w:t>grandfathered under each option</w:t>
      </w:r>
      <w:r>
        <w:t>)</w:t>
      </w:r>
      <w:r w:rsidRPr="002B5EE9">
        <w:t>. However, if the new arrangements in the 38 GHz band are not considered sufficient</w:t>
      </w:r>
      <w:r w:rsidR="002907B2">
        <w:t xml:space="preserve"> to meet demand or are not implemented</w:t>
      </w:r>
      <w:r w:rsidRPr="002B5EE9">
        <w:t>, the ACMA considers options that maintain the existing PTP arrangements in the 28 GHz band</w:t>
      </w:r>
      <w:r w:rsidR="00D05A3B">
        <w:t>–—</w:t>
      </w:r>
      <w:r w:rsidRPr="002B5EE9">
        <w:t>Option 1 and Option 2</w:t>
      </w:r>
      <w:r w:rsidR="00D05A3B">
        <w:t>—</w:t>
      </w:r>
      <w:r w:rsidR="000256C7">
        <w:t>c</w:t>
      </w:r>
      <w:r w:rsidRPr="002B5EE9">
        <w:t>ould be more likely to represent the highest value use(s) of the band.</w:t>
      </w:r>
    </w:p>
    <w:p w14:paraId="520B7BD2" w14:textId="4E6733EB" w:rsidR="00E32442" w:rsidRPr="0069108F" w:rsidRDefault="00E32442" w:rsidP="00E32442">
      <w:pPr>
        <w:pStyle w:val="ListParagraph"/>
        <w:numPr>
          <w:ilvl w:val="0"/>
          <w:numId w:val="79"/>
        </w:numPr>
        <w:shd w:val="clear" w:color="auto" w:fill="F2F2F2" w:themeFill="background1" w:themeFillShade="F2"/>
        <w:spacing w:before="120" w:after="120" w:line="240" w:lineRule="auto"/>
        <w:contextualSpacing w:val="0"/>
      </w:pPr>
      <w:r w:rsidRPr="0069108F">
        <w:rPr>
          <w:b/>
        </w:rPr>
        <w:t xml:space="preserve">What value do PTP operators place on having access to 112 MHz channels? If similar arrangements could be implemented in the 38 GHz band, would they be a suitable replacement for the 28 GHz band? </w:t>
      </w:r>
    </w:p>
    <w:p w14:paraId="0CAA8DBC" w14:textId="77777777" w:rsidR="00E32442" w:rsidRPr="00E32442" w:rsidRDefault="00E32442" w:rsidP="00E32442">
      <w:pPr>
        <w:pStyle w:val="ListParagraph"/>
        <w:numPr>
          <w:ilvl w:val="0"/>
          <w:numId w:val="79"/>
        </w:numPr>
        <w:shd w:val="clear" w:color="auto" w:fill="F2F2F2" w:themeFill="background1" w:themeFillShade="F2"/>
        <w:spacing w:before="120" w:after="120" w:line="240" w:lineRule="auto"/>
        <w:ind w:left="426" w:hanging="426"/>
        <w:contextualSpacing w:val="0"/>
        <w:rPr>
          <w:b/>
        </w:rPr>
      </w:pPr>
      <w:r>
        <w:rPr>
          <w:b/>
        </w:rPr>
        <w:t>Is</w:t>
      </w:r>
      <w:r w:rsidRPr="0069108F">
        <w:rPr>
          <w:b/>
        </w:rPr>
        <w:t xml:space="preserve"> there any </w:t>
      </w:r>
      <w:r>
        <w:rPr>
          <w:b/>
        </w:rPr>
        <w:t>evidence</w:t>
      </w:r>
      <w:r w:rsidRPr="0069108F">
        <w:rPr>
          <w:b/>
        </w:rPr>
        <w:t xml:space="preserve"> that provide</w:t>
      </w:r>
      <w:r>
        <w:rPr>
          <w:b/>
        </w:rPr>
        <w:t>s</w:t>
      </w:r>
      <w:r w:rsidRPr="0069108F">
        <w:rPr>
          <w:b/>
        </w:rPr>
        <w:t xml:space="preserve"> an indication of the value the PTP sector places on maintaining access to this band?</w:t>
      </w:r>
    </w:p>
    <w:p w14:paraId="63B2F749" w14:textId="77777777" w:rsidR="00292043" w:rsidRDefault="00292043" w:rsidP="00DB2602">
      <w:pPr>
        <w:spacing w:after="0"/>
      </w:pPr>
    </w:p>
    <w:p w14:paraId="1C479C49" w14:textId="194294F2" w:rsidR="00C210D4" w:rsidRPr="00AC6904" w:rsidRDefault="00C210D4" w:rsidP="005D3186">
      <w:pPr>
        <w:pStyle w:val="BodySubHeader"/>
      </w:pPr>
      <w:r>
        <w:lastRenderedPageBreak/>
        <w:t>FSS</w:t>
      </w:r>
    </w:p>
    <w:p w14:paraId="7BA5977A" w14:textId="619C4383" w:rsidR="00291D09" w:rsidRDefault="00244689" w:rsidP="005D3186">
      <w:r>
        <w:t>T</w:t>
      </w:r>
      <w:r w:rsidR="000A21CB">
        <w:t xml:space="preserve">here is increasing demand for access to </w:t>
      </w:r>
      <w:r w:rsidR="00292043">
        <w:t>more</w:t>
      </w:r>
      <w:r w:rsidR="000A21CB">
        <w:t xml:space="preserve"> spectrum </w:t>
      </w:r>
      <w:r w:rsidR="00AF63DF">
        <w:t>for</w:t>
      </w:r>
      <w:r w:rsidR="00291D09">
        <w:t xml:space="preserve"> the </w:t>
      </w:r>
      <w:r w:rsidR="00F42072">
        <w:t>FSS</w:t>
      </w:r>
      <w:r w:rsidR="00291D09">
        <w:t>. Much of this growth is due to an increase of ubiquitous FSS deployments and the need for higher capacity gateway</w:t>
      </w:r>
      <w:r w:rsidR="008D640B">
        <w:t>s</w:t>
      </w:r>
      <w:r w:rsidR="00291D09">
        <w:t xml:space="preserve"> to support such use. Access to spectrum in the Ka band (which includes the 17.7-20.2 GHz frequency range for downlinks and 27</w:t>
      </w:r>
      <w:r w:rsidR="00D05A3B">
        <w:t>–</w:t>
      </w:r>
      <w:r w:rsidR="00291D09">
        <w:t>30 GHz frequency range for uplinks) is important for these satellite systems due to the large amount of spectrum available and the increasing level of congestion in lower frequency bands.</w:t>
      </w:r>
    </w:p>
    <w:p w14:paraId="5FF3E2FB" w14:textId="42D6E829" w:rsidR="004708F7" w:rsidRDefault="00426F70" w:rsidP="005D3186">
      <w:r>
        <w:t xml:space="preserve">Many of the existing FSS gateways in the 28 GHz band are used to support broadband satellite services such as NBN Co’s </w:t>
      </w:r>
      <w:proofErr w:type="spellStart"/>
      <w:r>
        <w:t>SkyMuster</w:t>
      </w:r>
      <w:proofErr w:type="spellEnd"/>
      <w:r>
        <w:t>.</w:t>
      </w:r>
      <w:r w:rsidR="0016457E">
        <w:t xml:space="preserve"> </w:t>
      </w:r>
      <w:r w:rsidR="00244689">
        <w:t>T</w:t>
      </w:r>
      <w:r w:rsidR="0016457E">
        <w:t>he</w:t>
      </w:r>
      <w:r>
        <w:t xml:space="preserve"> ACMA</w:t>
      </w:r>
      <w:r w:rsidR="004708F7">
        <w:t xml:space="preserve"> considers it is</w:t>
      </w:r>
      <w:r>
        <w:t xml:space="preserve"> important to ensure that existing FSS gateways </w:t>
      </w:r>
      <w:r w:rsidR="004708F7">
        <w:t xml:space="preserve">(as well as ubiquitous FSS) </w:t>
      </w:r>
      <w:r>
        <w:t>can continue operating in the 28 GHz band</w:t>
      </w:r>
      <w:r w:rsidR="00EC2BD0">
        <w:t>—</w:t>
      </w:r>
      <w:r>
        <w:t xml:space="preserve">the incremental costs involved in displacing existing FSS gateways are likely to far outweigh the potential incremental benefits of an alternative use. The ACMA also recognises the interests of other satellite operators in deploying FSS gateways in Australia to support the delivery of their services both domestically and internationally. </w:t>
      </w:r>
    </w:p>
    <w:p w14:paraId="35820E62" w14:textId="4866B499" w:rsidR="00ED2AE4" w:rsidRPr="00D9199D" w:rsidRDefault="004708F7" w:rsidP="005D3186">
      <w:r>
        <w:t xml:space="preserve">When it comes to </w:t>
      </w:r>
      <w:r w:rsidR="0097595D">
        <w:t>FSS gateways</w:t>
      </w:r>
      <w:r>
        <w:t xml:space="preserve">, </w:t>
      </w:r>
      <w:r w:rsidR="0097595D">
        <w:t>shar</w:t>
      </w:r>
      <w:r>
        <w:t>ing</w:t>
      </w:r>
      <w:r w:rsidR="0097595D">
        <w:t xml:space="preserve"> with PTP and FWA services on a coordinated basis </w:t>
      </w:r>
      <w:r>
        <w:t>is considered possible</w:t>
      </w:r>
      <w:r w:rsidR="0097595D">
        <w:t>–this has already been proven to work in numerous other bands</w:t>
      </w:r>
      <w:r w:rsidR="0097595D" w:rsidRPr="002B5EE9">
        <w:t xml:space="preserve">. </w:t>
      </w:r>
      <w:r w:rsidR="0097595D">
        <w:t xml:space="preserve">Option 2 and Option 3 are therefore most likely to represent a highest value use combination for the 28 GHz band </w:t>
      </w:r>
      <w:r>
        <w:t xml:space="preserve">rather </w:t>
      </w:r>
      <w:r w:rsidR="0097595D">
        <w:t>th</w:t>
      </w:r>
      <w:r w:rsidR="00244689">
        <w:t xml:space="preserve">an </w:t>
      </w:r>
      <w:r w:rsidR="00C363B4">
        <w:t>O</w:t>
      </w:r>
      <w:r w:rsidR="0097595D">
        <w:t>ptions 1a</w:t>
      </w:r>
      <w:r>
        <w:t>,</w:t>
      </w:r>
      <w:r w:rsidR="0097595D">
        <w:t xml:space="preserve"> 1b</w:t>
      </w:r>
      <w:r>
        <w:t xml:space="preserve"> and 4</w:t>
      </w:r>
      <w:r w:rsidR="00292043">
        <w:t>. This is because</w:t>
      </w:r>
      <w:r w:rsidR="0097595D">
        <w:t xml:space="preserve"> they each </w:t>
      </w:r>
      <w:r w:rsidR="00292043">
        <w:t xml:space="preserve">provide arrangements for the </w:t>
      </w:r>
      <w:r w:rsidR="0097595D">
        <w:t xml:space="preserve">FSS and include sharing with </w:t>
      </w:r>
      <w:r>
        <w:t xml:space="preserve">PTP (for Option 2) and </w:t>
      </w:r>
      <w:r w:rsidR="0097595D">
        <w:t>FWA, increasing the probability that economic value would be maximised under the TWS.</w:t>
      </w:r>
      <w:r w:rsidR="0097595D" w:rsidRPr="00D9199D">
        <w:t xml:space="preserve"> </w:t>
      </w:r>
      <w:r w:rsidR="00D9199D" w:rsidRPr="00D9199D">
        <w:t xml:space="preserve">While Options 1a and 1b also </w:t>
      </w:r>
      <w:r w:rsidR="00D9199D">
        <w:t xml:space="preserve">provide similar arrangements, the segments identified for possible spectrum licensing could restrict such use unless spectrum licensees were prepared to third party authorise them.  </w:t>
      </w:r>
    </w:p>
    <w:p w14:paraId="235E0C0D" w14:textId="6EEB9C89" w:rsidR="007C49DB" w:rsidRDefault="004959A7" w:rsidP="005D3186">
      <w:r>
        <w:t>I</w:t>
      </w:r>
      <w:r w:rsidR="00B90EBE">
        <w:t>t is acknowledged that</w:t>
      </w:r>
      <w:r w:rsidR="00874557">
        <w:t xml:space="preserve"> satellite operators would</w:t>
      </w:r>
      <w:r w:rsidR="00B90EBE">
        <w:t xml:space="preserve"> generally</w:t>
      </w:r>
      <w:r w:rsidR="00874557">
        <w:t xml:space="preserve"> prefer</w:t>
      </w:r>
      <w:r w:rsidR="00AA283A">
        <w:t xml:space="preserve"> not </w:t>
      </w:r>
      <w:r w:rsidR="00874557">
        <w:t xml:space="preserve">to </w:t>
      </w:r>
      <w:r w:rsidR="00AA283A">
        <w:t>be geographically restricted in their use</w:t>
      </w:r>
      <w:r w:rsidR="00874557">
        <w:t xml:space="preserve"> to maximise business opportunities and reduce complexity in their network, particularly when it comes to </w:t>
      </w:r>
      <w:r w:rsidR="004708F7">
        <w:t>ubiquitous</w:t>
      </w:r>
      <w:r w:rsidR="00066C20">
        <w:t xml:space="preserve"> FSS use</w:t>
      </w:r>
      <w:r w:rsidR="00874557">
        <w:t xml:space="preserve">. </w:t>
      </w:r>
      <w:r w:rsidR="004708F7">
        <w:t xml:space="preserve">Both fixed ubiquitous FSS and </w:t>
      </w:r>
      <w:r w:rsidR="0097595D">
        <w:t>ESIM</w:t>
      </w:r>
      <w:r w:rsidR="007C49DB" w:rsidDel="00874557">
        <w:t xml:space="preserve"> </w:t>
      </w:r>
      <w:r w:rsidR="00874557">
        <w:t xml:space="preserve">could </w:t>
      </w:r>
      <w:r w:rsidR="007C49DB">
        <w:t xml:space="preserve">be used to provide services in </w:t>
      </w:r>
      <w:r w:rsidR="000552FC">
        <w:t>large</w:t>
      </w:r>
      <w:r w:rsidR="007C49DB">
        <w:t xml:space="preserve"> population centres</w:t>
      </w:r>
      <w:r w:rsidR="00F42072">
        <w:t xml:space="preserve">, </w:t>
      </w:r>
      <w:r w:rsidR="007C49DB">
        <w:t xml:space="preserve">at major </w:t>
      </w:r>
      <w:r w:rsidR="00AD7D88">
        <w:t xml:space="preserve">maritime </w:t>
      </w:r>
      <w:r w:rsidR="007C49DB">
        <w:t>ports</w:t>
      </w:r>
      <w:r w:rsidR="0097595D">
        <w:t>/airports</w:t>
      </w:r>
      <w:r w:rsidR="00F42072">
        <w:t xml:space="preserve">, </w:t>
      </w:r>
      <w:r w:rsidR="007C49DB">
        <w:t xml:space="preserve">along domestic and international </w:t>
      </w:r>
      <w:r w:rsidR="0097595D">
        <w:t xml:space="preserve">flight paths </w:t>
      </w:r>
      <w:r w:rsidR="007C49DB">
        <w:t>and</w:t>
      </w:r>
      <w:r w:rsidR="00F42072">
        <w:t xml:space="preserve"> </w:t>
      </w:r>
      <w:r w:rsidR="0097595D">
        <w:t>at</w:t>
      </w:r>
      <w:r w:rsidR="00874557">
        <w:t xml:space="preserve"> sea</w:t>
      </w:r>
      <w:r w:rsidR="0097595D">
        <w:t>.</w:t>
      </w:r>
      <w:r w:rsidR="00F42072">
        <w:t xml:space="preserve"> </w:t>
      </w:r>
      <w:r w:rsidR="007C49DB">
        <w:t xml:space="preserve">Therefore, any option that excludes </w:t>
      </w:r>
      <w:r w:rsidR="00874557">
        <w:t xml:space="preserve">ubiquitous </w:t>
      </w:r>
      <w:r w:rsidR="007C49DB">
        <w:t xml:space="preserve">FSS from </w:t>
      </w:r>
      <w:r w:rsidR="000552FC">
        <w:t>large</w:t>
      </w:r>
      <w:r w:rsidR="007C49DB">
        <w:t xml:space="preserve"> population centres may limit the potential </w:t>
      </w:r>
      <w:r w:rsidR="00874557">
        <w:t xml:space="preserve">benefits realised </w:t>
      </w:r>
      <w:r w:rsidR="0097595D">
        <w:t>from such use and may not be welfare maximising.</w:t>
      </w:r>
      <w:r w:rsidR="00874557">
        <w:t xml:space="preserve"> </w:t>
      </w:r>
      <w:r w:rsidR="00D9199D">
        <w:t>Of course, t</w:t>
      </w:r>
      <w:r w:rsidR="00874557">
        <w:t xml:space="preserve">his needs to be balanced </w:t>
      </w:r>
      <w:r w:rsidR="00D9199D">
        <w:t>against the</w:t>
      </w:r>
      <w:r w:rsidR="00874557">
        <w:t xml:space="preserve"> need</w:t>
      </w:r>
      <w:r w:rsidR="00D9199D">
        <w:t>s</w:t>
      </w:r>
      <w:r w:rsidR="00874557">
        <w:t xml:space="preserve"> of other services </w:t>
      </w:r>
      <w:r w:rsidR="00D9199D">
        <w:t>wanting to access</w:t>
      </w:r>
      <w:r w:rsidR="00874557">
        <w:t xml:space="preserve"> the </w:t>
      </w:r>
      <w:r w:rsidR="00F509DB">
        <w:t>same spectrum,</w:t>
      </w:r>
      <w:r w:rsidR="00323963">
        <w:t xml:space="preserve"> where appropriate</w:t>
      </w:r>
      <w:r w:rsidR="00874557">
        <w:t>.</w:t>
      </w:r>
    </w:p>
    <w:p w14:paraId="68415466" w14:textId="690380F9" w:rsidR="00871D61" w:rsidRDefault="00323963" w:rsidP="005D3186">
      <w:r>
        <w:t xml:space="preserve">For the options presented in this paper, in those </w:t>
      </w:r>
      <w:r w:rsidR="00531363">
        <w:t xml:space="preserve">segments of the 28 GHz band that are only </w:t>
      </w:r>
      <w:r>
        <w:t xml:space="preserve">proposed for </w:t>
      </w:r>
      <w:r w:rsidR="00531363">
        <w:t>use by FSS</w:t>
      </w:r>
      <w:r>
        <w:t xml:space="preserve"> gateways</w:t>
      </w:r>
      <w:r w:rsidR="00531363">
        <w:t xml:space="preserve">, </w:t>
      </w:r>
      <w:r w:rsidR="003A242F">
        <w:t xml:space="preserve">it is noted that </w:t>
      </w:r>
      <w:r>
        <w:t xml:space="preserve">including </w:t>
      </w:r>
      <w:r w:rsidR="00531363">
        <w:t xml:space="preserve">support for </w:t>
      </w:r>
      <w:r>
        <w:t>ubiquitous</w:t>
      </w:r>
      <w:r w:rsidR="00531363">
        <w:t xml:space="preserve"> FSS </w:t>
      </w:r>
      <w:r w:rsidR="00F509DB">
        <w:t>would</w:t>
      </w:r>
      <w:r>
        <w:t xml:space="preserve"> not change the interference environment </w:t>
      </w:r>
      <w:r w:rsidR="002A7750">
        <w:t>between different satellite operators</w:t>
      </w:r>
      <w:r w:rsidR="00F509DB">
        <w:t>. However, it</w:t>
      </w:r>
      <w:r>
        <w:t xml:space="preserve"> would</w:t>
      </w:r>
      <w:r w:rsidR="0098287E">
        <w:t xml:space="preserve"> </w:t>
      </w:r>
      <w:r w:rsidR="003A242F">
        <w:t xml:space="preserve">facilitate </w:t>
      </w:r>
      <w:r w:rsidR="00904B5E">
        <w:t>increase</w:t>
      </w:r>
      <w:r w:rsidR="003A242F">
        <w:t>d</w:t>
      </w:r>
      <w:r w:rsidR="0098287E">
        <w:t xml:space="preserve"> </w:t>
      </w:r>
      <w:r w:rsidR="003A242F">
        <w:t xml:space="preserve">use </w:t>
      </w:r>
      <w:r w:rsidR="00904B5E">
        <w:t>of</w:t>
      </w:r>
      <w:r w:rsidR="002A7750">
        <w:t xml:space="preserve"> </w:t>
      </w:r>
      <w:r>
        <w:t xml:space="preserve">the spectrum. The ACMA considers this to result in the </w:t>
      </w:r>
      <w:r w:rsidR="00904B5E">
        <w:t>HVU</w:t>
      </w:r>
      <w:r>
        <w:t xml:space="preserve"> of the spectrum</w:t>
      </w:r>
      <w:r w:rsidR="00F509DB">
        <w:t>.</w:t>
      </w:r>
      <w:r>
        <w:t xml:space="preserve"> </w:t>
      </w:r>
      <w:r w:rsidR="00F509DB">
        <w:t>T</w:t>
      </w:r>
      <w:r>
        <w:t>herefore</w:t>
      </w:r>
      <w:r w:rsidR="00F509DB">
        <w:t>,</w:t>
      </w:r>
      <w:r>
        <w:t xml:space="preserve"> </w:t>
      </w:r>
      <w:r w:rsidR="004708F7">
        <w:t>a</w:t>
      </w:r>
      <w:r w:rsidR="00BB1734">
        <w:t xml:space="preserve">ll options presented in this paper enable such use. </w:t>
      </w:r>
    </w:p>
    <w:p w14:paraId="40B755FA" w14:textId="02139D7E" w:rsidR="00871D61" w:rsidRDefault="00323963" w:rsidP="005D3186">
      <w:r>
        <w:t>For those segments of the 28 GHz that are shared</w:t>
      </w:r>
      <w:r w:rsidR="00871D61">
        <w:t xml:space="preserve"> between </w:t>
      </w:r>
      <w:r w:rsidR="00F509DB">
        <w:t xml:space="preserve">the </w:t>
      </w:r>
      <w:r w:rsidR="00871D61">
        <w:t>FSS and</w:t>
      </w:r>
      <w:r w:rsidDel="00871D61">
        <w:t xml:space="preserve"> </w:t>
      </w:r>
      <w:r>
        <w:t>other services, a different approach is required in order to manage interference.</w:t>
      </w:r>
      <w:r w:rsidR="00F60529">
        <w:t xml:space="preserve"> </w:t>
      </w:r>
      <w:r w:rsidR="00F509DB">
        <w:t>In such cases, the ACMA considers that s</w:t>
      </w:r>
      <w:r>
        <w:t xml:space="preserve">haring </w:t>
      </w:r>
      <w:r w:rsidR="00871D61">
        <w:t>m</w:t>
      </w:r>
      <w:r w:rsidR="00F509DB">
        <w:t>ay</w:t>
      </w:r>
      <w:r w:rsidR="00871D61">
        <w:t xml:space="preserve"> </w:t>
      </w:r>
      <w:r>
        <w:t>be</w:t>
      </w:r>
      <w:r w:rsidDel="00871D61">
        <w:t xml:space="preserve"> </w:t>
      </w:r>
      <w:r w:rsidR="00871D61">
        <w:t xml:space="preserve">possible </w:t>
      </w:r>
      <w:r>
        <w:t xml:space="preserve">under </w:t>
      </w:r>
      <w:r w:rsidR="007F7E2E">
        <w:t>specific conditions. For example, in large population centres where</w:t>
      </w:r>
      <w:r w:rsidR="007F7E2E" w:rsidDel="00871D61">
        <w:t xml:space="preserve"> </w:t>
      </w:r>
      <w:r w:rsidR="007F7E2E">
        <w:t xml:space="preserve">PTP and FWA </w:t>
      </w:r>
      <w:r w:rsidR="00F509DB">
        <w:t>could</w:t>
      </w:r>
      <w:r w:rsidR="00C20B8B">
        <w:t xml:space="preserve"> be </w:t>
      </w:r>
      <w:r w:rsidR="007F7E2E">
        <w:t xml:space="preserve">considered the highest value use, ubiquitous </w:t>
      </w:r>
      <w:r w:rsidR="00C20B8B">
        <w:t>FSS</w:t>
      </w:r>
      <w:r w:rsidR="007F7E2E">
        <w:t xml:space="preserve"> c</w:t>
      </w:r>
      <w:r>
        <w:t xml:space="preserve">ould be permitted to operate </w:t>
      </w:r>
      <w:r w:rsidR="00CA3F59">
        <w:t xml:space="preserve">on </w:t>
      </w:r>
      <w:r>
        <w:t>a ‘no interference basis’</w:t>
      </w:r>
      <w:r w:rsidR="00F509DB">
        <w:t xml:space="preserve">. To minimise the risk of interference terminals could </w:t>
      </w:r>
      <w:r>
        <w:t>also be subject to other deployment restrictions. Outside of large populations centres</w:t>
      </w:r>
      <w:r w:rsidR="00C20B8B">
        <w:t>,</w:t>
      </w:r>
      <w:r>
        <w:t xml:space="preserve"> ubiquitous FSS (both fixed and ESIM) </w:t>
      </w:r>
      <w:r w:rsidR="00613C97">
        <w:t>c</w:t>
      </w:r>
      <w:r>
        <w:t xml:space="preserve">ould have priority and </w:t>
      </w:r>
      <w:r w:rsidR="00F509DB">
        <w:t xml:space="preserve">therefore </w:t>
      </w:r>
      <w:r>
        <w:t>no restrictions on deployment</w:t>
      </w:r>
      <w:r w:rsidR="00613C97">
        <w:t>,</w:t>
      </w:r>
      <w:r>
        <w:t xml:space="preserve"> </w:t>
      </w:r>
      <w:r w:rsidR="00613C97">
        <w:t>w</w:t>
      </w:r>
      <w:r>
        <w:t xml:space="preserve">hile PTP and FWA could operate on a ‘no protection’ basis. </w:t>
      </w:r>
    </w:p>
    <w:p w14:paraId="2407E7E4" w14:textId="4677C379" w:rsidR="00C20B8B" w:rsidRDefault="00F509DB" w:rsidP="00DB2602">
      <w:r>
        <w:t>It is acknowledged that f</w:t>
      </w:r>
      <w:r w:rsidR="00C20B8B">
        <w:t xml:space="preserve">urther work </w:t>
      </w:r>
      <w:r w:rsidR="00F60529">
        <w:t>is</w:t>
      </w:r>
      <w:r w:rsidR="00904B5E">
        <w:t xml:space="preserve"> </w:t>
      </w:r>
      <w:r w:rsidR="00C20B8B">
        <w:t xml:space="preserve">required to determine the exact nature </w:t>
      </w:r>
      <w:r>
        <w:t>of any</w:t>
      </w:r>
      <w:r w:rsidR="00C20B8B">
        <w:t xml:space="preserve"> restrictions </w:t>
      </w:r>
      <w:r>
        <w:t>that could apply to support</w:t>
      </w:r>
      <w:r w:rsidR="00C20B8B">
        <w:t xml:space="preserve"> sharing between ubiquitous FSS and other services. However, given the demand for access to spectrum in the 28 GHz band from </w:t>
      </w:r>
      <w:r w:rsidR="00C20B8B">
        <w:lastRenderedPageBreak/>
        <w:t xml:space="preserve">a variety of potentially valuable use cases, the ACMA considers an approach that allows </w:t>
      </w:r>
      <w:r w:rsidR="00F60529">
        <w:t>m</w:t>
      </w:r>
      <w:r w:rsidR="00C20B8B">
        <w:t xml:space="preserve">ultiple services to operate on the same frequency and in the same (or reasonably close) area is likely to be welfare maximising and result in the highest value use combination for the band. </w:t>
      </w:r>
      <w:r>
        <w:t xml:space="preserve">Options 1b, </w:t>
      </w:r>
      <w:r w:rsidR="00C20B8B">
        <w:t xml:space="preserve">2 and 3 in this paper have possible variants that propose such sharing arrangements. </w:t>
      </w:r>
      <w:r w:rsidR="00F60529">
        <w:t xml:space="preserve"> </w:t>
      </w:r>
    </w:p>
    <w:p w14:paraId="7811046A" w14:textId="77777777" w:rsidR="00605AE7" w:rsidRPr="00874A19" w:rsidRDefault="00B963E7" w:rsidP="00B963E7">
      <w:pPr>
        <w:pStyle w:val="ListParagraph"/>
        <w:numPr>
          <w:ilvl w:val="0"/>
          <w:numId w:val="79"/>
        </w:numPr>
        <w:shd w:val="clear" w:color="auto" w:fill="F2F2F2" w:themeFill="background1" w:themeFillShade="F2"/>
        <w:spacing w:before="120" w:after="120" w:line="240" w:lineRule="auto"/>
        <w:contextualSpacing w:val="0"/>
      </w:pPr>
      <w:r>
        <w:rPr>
          <w:b/>
        </w:rPr>
        <w:t xml:space="preserve">Is </w:t>
      </w:r>
      <w:r w:rsidRPr="0069108F">
        <w:rPr>
          <w:b/>
        </w:rPr>
        <w:t xml:space="preserve">there any </w:t>
      </w:r>
      <w:r>
        <w:rPr>
          <w:b/>
        </w:rPr>
        <w:t xml:space="preserve">evidence </w:t>
      </w:r>
      <w:r w:rsidRPr="0069108F">
        <w:rPr>
          <w:b/>
        </w:rPr>
        <w:t>that provide</w:t>
      </w:r>
      <w:r>
        <w:rPr>
          <w:b/>
        </w:rPr>
        <w:t>s</w:t>
      </w:r>
      <w:r w:rsidRPr="0069108F">
        <w:rPr>
          <w:b/>
        </w:rPr>
        <w:t xml:space="preserve"> an indication of the value the FSS sector places on access to this band?</w:t>
      </w:r>
    </w:p>
    <w:p w14:paraId="3B25ED7C" w14:textId="77777777" w:rsidR="00605AE7" w:rsidRDefault="00605AE7" w:rsidP="00DB2602">
      <w:pPr>
        <w:spacing w:after="0"/>
      </w:pPr>
    </w:p>
    <w:p w14:paraId="36AA26E2" w14:textId="62B21160" w:rsidR="00437B47" w:rsidRDefault="00437B47" w:rsidP="005D3186">
      <w:pPr>
        <w:pStyle w:val="BodySubHeader"/>
      </w:pPr>
      <w:r w:rsidRPr="00AC6904">
        <w:t>Summary</w:t>
      </w:r>
    </w:p>
    <w:p w14:paraId="0D03535A" w14:textId="7B5AA7D1" w:rsidR="00310C12" w:rsidRPr="00A05EC9" w:rsidRDefault="00C20B8B" w:rsidP="005D3186">
      <w:bookmarkStart w:id="152" w:name="_Hlk3790578"/>
      <w:r>
        <w:t>Based on the preceding discussion, the highest value use of the band is mo</w:t>
      </w:r>
      <w:r w:rsidR="000256C7">
        <w:t>re</w:t>
      </w:r>
      <w:r>
        <w:t xml:space="preserve"> likely to include </w:t>
      </w:r>
      <w:r w:rsidR="00644F3B">
        <w:t xml:space="preserve">some combination </w:t>
      </w:r>
      <w:r w:rsidR="00BC3DDF">
        <w:t xml:space="preserve">of </w:t>
      </w:r>
      <w:r>
        <w:t xml:space="preserve">FSS gateways, ubiquitous FSS, FWA and PTP. The option that </w:t>
      </w:r>
      <w:r w:rsidR="00BC3DDF">
        <w:t xml:space="preserve">best </w:t>
      </w:r>
      <w:r>
        <w:t xml:space="preserve">satisfies each of these use cases and is likely to represent the highest value use of the 28 GHz band is </w:t>
      </w:r>
      <w:r w:rsidR="00BC3DDF">
        <w:t xml:space="preserve">therefore </w:t>
      </w:r>
      <w:r>
        <w:t>Option 2.</w:t>
      </w:r>
      <w:bookmarkStart w:id="153" w:name="_Hlk3970878"/>
      <w:r w:rsidR="00BC3DDF">
        <w:t xml:space="preserve"> However, i</w:t>
      </w:r>
      <w:r w:rsidR="00711021">
        <w:t>t is noted that</w:t>
      </w:r>
      <w:r w:rsidR="001A00F0">
        <w:t xml:space="preserve"> the ACMA is </w:t>
      </w:r>
      <w:r>
        <w:t>still</w:t>
      </w:r>
      <w:r w:rsidR="001A00F0">
        <w:t xml:space="preserve"> investigating whether the existing PTP arrangements in the 28</w:t>
      </w:r>
      <w:r>
        <w:t> </w:t>
      </w:r>
      <w:r w:rsidR="001A00F0">
        <w:t xml:space="preserve">GHz band can be supported in other bands. This </w:t>
      </w:r>
      <w:r w:rsidR="00711021">
        <w:t>will be assessed following the outcomes of a parallel discussion process investigating the introduction of 112</w:t>
      </w:r>
      <w:r>
        <w:t> </w:t>
      </w:r>
      <w:r w:rsidR="00711021">
        <w:t xml:space="preserve">MHz channel </w:t>
      </w:r>
      <w:r>
        <w:t xml:space="preserve">arrangements </w:t>
      </w:r>
      <w:r w:rsidR="00CA3F59">
        <w:t>in</w:t>
      </w:r>
      <w:r>
        <w:t xml:space="preserve"> </w:t>
      </w:r>
      <w:r w:rsidR="00711021">
        <w:t>the 38</w:t>
      </w:r>
      <w:r>
        <w:t> </w:t>
      </w:r>
      <w:r w:rsidR="00711021">
        <w:t xml:space="preserve">GHz band. </w:t>
      </w:r>
      <w:r w:rsidR="001A00F0">
        <w:t>Pending the outcome of this separate discussion process</w:t>
      </w:r>
      <w:r>
        <w:t xml:space="preserve"> and consideration of submissions received to this paper</w:t>
      </w:r>
      <w:r w:rsidR="001A00F0">
        <w:t>, the</w:t>
      </w:r>
      <w:r w:rsidR="00F60529">
        <w:t xml:space="preserve">re is the possibility </w:t>
      </w:r>
      <w:r w:rsidR="001A00F0">
        <w:t>PTP arrangements in the 28</w:t>
      </w:r>
      <w:r>
        <w:t> </w:t>
      </w:r>
      <w:r w:rsidR="001A00F0">
        <w:t>GHz band</w:t>
      </w:r>
      <w:r w:rsidR="00BC3DDF">
        <w:t xml:space="preserve"> could be retired</w:t>
      </w:r>
      <w:r w:rsidR="001A00F0">
        <w:t xml:space="preserve">. In the event this occurs, the allocation </w:t>
      </w:r>
      <w:r>
        <w:t xml:space="preserve">option </w:t>
      </w:r>
      <w:r w:rsidR="00DE293B" w:rsidRPr="00A05EC9" w:rsidDel="00323963">
        <w:t xml:space="preserve">that </w:t>
      </w:r>
      <w:r w:rsidR="00E467AB" w:rsidDel="00F607B6">
        <w:t xml:space="preserve">would represent the </w:t>
      </w:r>
      <w:r>
        <w:t>highest value uses of the 28 GHz band is Option 3.</w:t>
      </w:r>
    </w:p>
    <w:p w14:paraId="39475C4C" w14:textId="77777777" w:rsidR="0089520D" w:rsidRPr="00B15198" w:rsidRDefault="0089520D" w:rsidP="00A21C39">
      <w:pPr>
        <w:pStyle w:val="Heading3"/>
        <w:spacing w:before="240"/>
      </w:pPr>
      <w:bookmarkStart w:id="154" w:name="_Hlk4489473"/>
      <w:bookmarkEnd w:id="152"/>
      <w:bookmarkEnd w:id="153"/>
      <w:r w:rsidRPr="00B15198">
        <w:t>Principle 2</w:t>
      </w:r>
      <w:r>
        <w:t>—</w:t>
      </w:r>
      <w:r w:rsidRPr="00DC2752">
        <w:t>Enable</w:t>
      </w:r>
      <w:r w:rsidRPr="00B15198">
        <w:t xml:space="preserve"> and encourage spectrum to move to its HVU</w:t>
      </w:r>
    </w:p>
    <w:p w14:paraId="634D96BA" w14:textId="1C43F04C" w:rsidR="00F23F7D" w:rsidRDefault="00EE326C" w:rsidP="005D3186">
      <w:r w:rsidRPr="00F23F7D">
        <w:t>Base</w:t>
      </w:r>
      <w:r w:rsidR="00D166FC" w:rsidRPr="00F23F7D">
        <w:t>d</w:t>
      </w:r>
      <w:r w:rsidRPr="00F23F7D">
        <w:t xml:space="preserve"> </w:t>
      </w:r>
      <w:r w:rsidR="00476E5D" w:rsidRPr="00F23F7D">
        <w:t>o</w:t>
      </w:r>
      <w:r w:rsidRPr="00F23F7D">
        <w:t xml:space="preserve">n the analysis </w:t>
      </w:r>
      <w:r w:rsidR="00A21C39">
        <w:t>in</w:t>
      </w:r>
      <w:r w:rsidRPr="00F23F7D">
        <w:t xml:space="preserve"> </w:t>
      </w:r>
      <w:r w:rsidR="00476E5D" w:rsidRPr="00F23F7D">
        <w:t>Principle</w:t>
      </w:r>
      <w:r w:rsidRPr="00F23F7D">
        <w:t xml:space="preserve"> 1</w:t>
      </w:r>
      <w:r w:rsidR="00B00EB1" w:rsidRPr="00F23F7D">
        <w:t>,</w:t>
      </w:r>
      <w:r w:rsidRPr="00F23F7D">
        <w:t xml:space="preserve"> </w:t>
      </w:r>
      <w:r w:rsidR="0064100C" w:rsidRPr="00F23F7D">
        <w:t xml:space="preserve">the HVU for the 28 GHz band is achieved when arrangements are implemented that </w:t>
      </w:r>
      <w:bookmarkEnd w:id="154"/>
      <w:r w:rsidR="0064100C" w:rsidRPr="00F23F7D">
        <w:t xml:space="preserve">support use by FWA, PTP (pending </w:t>
      </w:r>
      <w:r w:rsidR="00DE3070" w:rsidRPr="00F23F7D">
        <w:t>further investigation on whether</w:t>
      </w:r>
      <w:r w:rsidR="0064100C" w:rsidRPr="00F23F7D">
        <w:t xml:space="preserve"> </w:t>
      </w:r>
      <w:r w:rsidR="00DE3070" w:rsidRPr="00F23F7D">
        <w:t>arrangements can be adequately supported in other bands</w:t>
      </w:r>
      <w:r w:rsidR="0064100C" w:rsidRPr="00F23F7D">
        <w:t xml:space="preserve">), ubiquitous FSS and FSS </w:t>
      </w:r>
      <w:r w:rsidR="0064100C" w:rsidRPr="00AC6904">
        <w:t>gateways.</w:t>
      </w:r>
      <w:r w:rsidR="00F23F7D">
        <w:t xml:space="preserve"> </w:t>
      </w:r>
    </w:p>
    <w:p w14:paraId="6AB7530A" w14:textId="54ECA4E7" w:rsidR="00CF71E1" w:rsidRDefault="00F23F7D" w:rsidP="005D3186">
      <w:r>
        <w:t xml:space="preserve">FWA, PTP and FSS gateway </w:t>
      </w:r>
      <w:r w:rsidR="003241A3">
        <w:t>use of spectrum</w:t>
      </w:r>
      <w:r w:rsidR="005C4912">
        <w:t xml:space="preserve"> can be</w:t>
      </w:r>
      <w:r>
        <w:t xml:space="preserve"> </w:t>
      </w:r>
      <w:r w:rsidR="003241A3">
        <w:t>characterised as</w:t>
      </w:r>
      <w:r>
        <w:t xml:space="preserve"> </w:t>
      </w:r>
      <w:r w:rsidR="005C4912">
        <w:t xml:space="preserve">being </w:t>
      </w:r>
      <w:r>
        <w:t xml:space="preserve">site-based (or localised in area) </w:t>
      </w:r>
      <w:r w:rsidR="003241A3">
        <w:t>service</w:t>
      </w:r>
      <w:r w:rsidR="005C4912">
        <w:t>s</w:t>
      </w:r>
      <w:r w:rsidR="003241A3">
        <w:t xml:space="preserve"> deployed by </w:t>
      </w:r>
      <w:r>
        <w:t>multiple different</w:t>
      </w:r>
      <w:r w:rsidR="003241A3">
        <w:t xml:space="preserve"> operators</w:t>
      </w:r>
      <w:r>
        <w:t xml:space="preserve">. </w:t>
      </w:r>
      <w:r w:rsidR="00A536E6">
        <w:t xml:space="preserve">Spectrum licensing arrangements are not considered optimal in this case unless the licensee </w:t>
      </w:r>
      <w:r w:rsidR="00CF71E1">
        <w:t>is</w:t>
      </w:r>
      <w:r w:rsidR="009653AD">
        <w:t xml:space="preserve"> </w:t>
      </w:r>
      <w:r w:rsidR="00A536E6">
        <w:t xml:space="preserve">prepared to act as a neutral band manager </w:t>
      </w:r>
      <w:r w:rsidR="002370E0">
        <w:t xml:space="preserve">(similar </w:t>
      </w:r>
      <w:r w:rsidR="00A536E6">
        <w:t xml:space="preserve">to the </w:t>
      </w:r>
      <w:r w:rsidR="002370E0">
        <w:t xml:space="preserve">ACMA) </w:t>
      </w:r>
      <w:r w:rsidR="00A536E6">
        <w:t xml:space="preserve">and provide </w:t>
      </w:r>
      <w:r w:rsidR="00505EF1">
        <w:t xml:space="preserve">fair and equitable </w:t>
      </w:r>
      <w:r w:rsidR="00A536E6">
        <w:t xml:space="preserve">access to the band </w:t>
      </w:r>
      <w:r w:rsidR="00485ABD">
        <w:t xml:space="preserve">for </w:t>
      </w:r>
      <w:r w:rsidR="00A536E6">
        <w:t xml:space="preserve">multiple service types and operators. </w:t>
      </w:r>
    </w:p>
    <w:p w14:paraId="6A932CC1" w14:textId="12B0CC53" w:rsidR="005C4912" w:rsidRDefault="00CF71E1" w:rsidP="005D3186">
      <w:r>
        <w:t>C</w:t>
      </w:r>
      <w:r w:rsidR="00A536E6">
        <w:t xml:space="preserve">lass licensing arrangements are also not considered optimal </w:t>
      </w:r>
      <w:r w:rsidR="00A21C39">
        <w:t xml:space="preserve">for FWA, PTP and FSS gateway </w:t>
      </w:r>
      <w:r w:rsidR="00A536E6">
        <w:t>as they do not provide operators with the certainty required to deliver carrier grade services. In this case a</w:t>
      </w:r>
      <w:r w:rsidR="00F23F7D">
        <w:t xml:space="preserve">pparatus licensing arrangements </w:t>
      </w:r>
      <w:r w:rsidR="003241A3">
        <w:t xml:space="preserve">are </w:t>
      </w:r>
      <w:r w:rsidR="00A536E6">
        <w:t xml:space="preserve">considered </w:t>
      </w:r>
      <w:r w:rsidR="00F23F7D">
        <w:t xml:space="preserve">optimal to support </w:t>
      </w:r>
      <w:r w:rsidR="00A536E6">
        <w:t xml:space="preserve">use of spectrum by multiple services and multiple operators on a coordinated basis. </w:t>
      </w:r>
      <w:r>
        <w:t>S</w:t>
      </w:r>
      <w:r w:rsidR="00A536E6">
        <w:t>imilar arrangements supporting multiple services and operators have been implemented in various other bands</w:t>
      </w:r>
      <w:r w:rsidR="009653AD">
        <w:t xml:space="preserve">. The ability of these services to share is also expected to improve in </w:t>
      </w:r>
      <w:proofErr w:type="spellStart"/>
      <w:r w:rsidR="009653AD">
        <w:t>mmWave</w:t>
      </w:r>
      <w:proofErr w:type="spellEnd"/>
      <w:r w:rsidR="009653AD">
        <w:t xml:space="preserve"> bands due to propagation characteristics at these frequencies</w:t>
      </w:r>
      <w:r w:rsidR="00A536E6">
        <w:t>.</w:t>
      </w:r>
      <w:r w:rsidR="003241A3">
        <w:t xml:space="preserve"> </w:t>
      </w:r>
      <w:r w:rsidR="00A536E6">
        <w:t>It is also possible for a</w:t>
      </w:r>
      <w:r w:rsidR="005C4912">
        <w:t xml:space="preserve">pparatus licences arrangements </w:t>
      </w:r>
      <w:r w:rsidR="00A21C39">
        <w:t xml:space="preserve">similar to </w:t>
      </w:r>
      <w:r w:rsidR="005C4912">
        <w:t xml:space="preserve">those proposed for FWA (or Type 2 use) in the 26 GHz band </w:t>
      </w:r>
      <w:r w:rsidR="00A536E6">
        <w:t>to</w:t>
      </w:r>
      <w:r w:rsidR="005C4912">
        <w:t xml:space="preserve"> be </w:t>
      </w:r>
      <w:r w:rsidR="00A21C39">
        <w:t>considered</w:t>
      </w:r>
      <w:r w:rsidR="005C4912">
        <w:t xml:space="preserve"> in the 28 GHz ban</w:t>
      </w:r>
      <w:r>
        <w:t>d</w:t>
      </w:r>
      <w:r w:rsidR="005C4912">
        <w:t xml:space="preserve">. This </w:t>
      </w:r>
      <w:r w:rsidR="00A536E6">
        <w:t>c</w:t>
      </w:r>
      <w:r w:rsidR="005C4912">
        <w:t xml:space="preserve">ould </w:t>
      </w:r>
      <w:r w:rsidR="00A536E6">
        <w:t>facilitate the</w:t>
      </w:r>
      <w:r w:rsidR="005C4912">
        <w:t xml:space="preserve"> deployment of </w:t>
      </w:r>
      <w:r w:rsidR="00A536E6">
        <w:t>multiple FWA base stations by a single operator</w:t>
      </w:r>
      <w:r w:rsidR="005C4912">
        <w:t xml:space="preserve"> in a localised area. </w:t>
      </w:r>
    </w:p>
    <w:p w14:paraId="18068068" w14:textId="5E898DD5" w:rsidR="000C4A1A" w:rsidRDefault="005C4912" w:rsidP="005D3186">
      <w:r>
        <w:t xml:space="preserve">Ubiquitous FSS use of spectrum can be characterised as being the deployment </w:t>
      </w:r>
      <w:r w:rsidR="00CA3F59">
        <w:t xml:space="preserve">of </w:t>
      </w:r>
      <w:r>
        <w:t xml:space="preserve">fixed and/or mobile user terminals. </w:t>
      </w:r>
      <w:r w:rsidR="00CF71E1">
        <w:t>I</w:t>
      </w:r>
      <w:r>
        <w:t xml:space="preserve">t is possible for </w:t>
      </w:r>
      <w:r w:rsidR="00A536E6">
        <w:t xml:space="preserve">multiple ubiquitous FSS operators </w:t>
      </w:r>
      <w:r w:rsidR="00A21C39">
        <w:t xml:space="preserve">(and FSS gateway operators) </w:t>
      </w:r>
      <w:r w:rsidR="00A536E6">
        <w:t>to coexist in the same areas using the same frequency.</w:t>
      </w:r>
      <w:r w:rsidR="000C4A1A">
        <w:t xml:space="preserve"> Extension of the existing arrangements that support ubiquitous FSS use in the 28.5</w:t>
      </w:r>
      <w:r w:rsidR="00EC2BD0">
        <w:t>–</w:t>
      </w:r>
      <w:r w:rsidR="000C4A1A">
        <w:t xml:space="preserve">29.1 GHz band </w:t>
      </w:r>
      <w:r w:rsidR="00FA1A74">
        <w:t>may be</w:t>
      </w:r>
      <w:r w:rsidR="000C4A1A">
        <w:t xml:space="preserve"> the most appropriate solution. This approach requires satellite operators to obtain an appropriate apparatus licence for the operation of their satellite within Australia. Obtaining such a licence </w:t>
      </w:r>
      <w:r w:rsidR="00A21C39">
        <w:t xml:space="preserve">then </w:t>
      </w:r>
      <w:r w:rsidR="000C4A1A">
        <w:t xml:space="preserve">allows the operation of ubiquitous FSS </w:t>
      </w:r>
      <w:r w:rsidR="000C4A1A">
        <w:lastRenderedPageBreak/>
        <w:t xml:space="preserve">terminals within the bands defined in the </w:t>
      </w:r>
      <w:hyperlink r:id="rId55" w:history="1">
        <w:r w:rsidR="00FA1A74" w:rsidRPr="002F2565">
          <w:rPr>
            <w:rStyle w:val="Hyperlink"/>
          </w:rPr>
          <w:t>Communications with Space Objects Class Licence</w:t>
        </w:r>
      </w:hyperlink>
      <w:r w:rsidR="000C4A1A">
        <w:t xml:space="preserve"> without the need to register the location of devices. </w:t>
      </w:r>
    </w:p>
    <w:p w14:paraId="38F84209" w14:textId="059F4F1C" w:rsidR="005C4912" w:rsidRPr="0091477B" w:rsidRDefault="005C4912" w:rsidP="005D3186">
      <w:r>
        <w:t xml:space="preserve">Options 1a and 1b </w:t>
      </w:r>
      <w:r w:rsidR="009C235A">
        <w:t>enables large portions of the 28 GHz band to be used for PTP</w:t>
      </w:r>
      <w:r w:rsidR="003A7FBC">
        <w:t>, FWA</w:t>
      </w:r>
      <w:r w:rsidR="009C235A">
        <w:t xml:space="preserve"> and FSS gateway services</w:t>
      </w:r>
      <w:r w:rsidR="006A46BF">
        <w:t xml:space="preserve"> under apparatus licenced arrangements</w:t>
      </w:r>
      <w:r w:rsidR="009C235A">
        <w:t xml:space="preserve">. However, it </w:t>
      </w:r>
      <w:r w:rsidR="00A21C39">
        <w:t>may not</w:t>
      </w:r>
      <w:r w:rsidR="009C235A">
        <w:t xml:space="preserve"> encourage spectrum to move to its HVU in areas </w:t>
      </w:r>
      <w:r w:rsidR="00A21C39">
        <w:t>identified for</w:t>
      </w:r>
      <w:r w:rsidR="009C235A">
        <w:t xml:space="preserve"> spectrum licen</w:t>
      </w:r>
      <w:r w:rsidR="00A21C39">
        <w:t>sing</w:t>
      </w:r>
      <w:r w:rsidR="009C235A">
        <w:t xml:space="preserve">. This is because the issue of spectrum licences is likely to be of most interest to WWB operators. </w:t>
      </w:r>
      <w:r w:rsidR="006A46BF">
        <w:t xml:space="preserve">Consequently, it is unlikely </w:t>
      </w:r>
      <w:r w:rsidR="009C235A">
        <w:t xml:space="preserve">Option 1a and 1b arrangements would adequately cater for </w:t>
      </w:r>
      <w:r w:rsidR="003A7FBC">
        <w:t>FSS gateways and ubiquitous FSS</w:t>
      </w:r>
      <w:r w:rsidR="009C235A">
        <w:t xml:space="preserve"> unless the spectrum licensees act as a neutral band manager. </w:t>
      </w:r>
      <w:r w:rsidR="00A21C39">
        <w:t>A</w:t>
      </w:r>
      <w:r w:rsidR="009C235A">
        <w:t xml:space="preserve">rrangements </w:t>
      </w:r>
      <w:r w:rsidR="00A21C39">
        <w:t xml:space="preserve">under these options </w:t>
      </w:r>
      <w:r w:rsidR="009C235A">
        <w:t xml:space="preserve">also minimise the areas in which ubiquitous FSS can be deployed without restrictions in large population centres (both Option 1a and 1b) and regional/remote areas (Option 1a only).  </w:t>
      </w:r>
    </w:p>
    <w:p w14:paraId="5EB3D6BE" w14:textId="0FD6F235" w:rsidR="009C235A" w:rsidRDefault="009C235A" w:rsidP="005D3186">
      <w:r>
        <w:t xml:space="preserve">Option 4 only supports use of FSS services. </w:t>
      </w:r>
      <w:r w:rsidR="006A46BF">
        <w:t xml:space="preserve">It therefore does not satisfy Principle 2 as there are no arrangements to support use of the band by FWA or PTP. </w:t>
      </w:r>
    </w:p>
    <w:p w14:paraId="6DD781DB" w14:textId="4674B817" w:rsidR="006A46BF" w:rsidRPr="0091477B" w:rsidRDefault="006A46BF" w:rsidP="005D3186">
      <w:r>
        <w:t xml:space="preserve">Option 2 </w:t>
      </w:r>
      <w:r w:rsidRPr="00AC6904">
        <w:t>enable</w:t>
      </w:r>
      <w:r>
        <w:t>s</w:t>
      </w:r>
      <w:r w:rsidRPr="00AC6904">
        <w:t xml:space="preserve"> and encourage</w:t>
      </w:r>
      <w:r>
        <w:t>s</w:t>
      </w:r>
      <w:r w:rsidRPr="00AC6904">
        <w:t xml:space="preserve"> spectrum to move to </w:t>
      </w:r>
      <w:r>
        <w:t>its</w:t>
      </w:r>
      <w:r w:rsidRPr="00AC6904">
        <w:t xml:space="preserve"> HVU. It provides </w:t>
      </w:r>
      <w:r>
        <w:t xml:space="preserve">apparatus licence arrangements across the band Australia-wide for FSS gateways and </w:t>
      </w:r>
      <w:r w:rsidRPr="00AC6904">
        <w:t xml:space="preserve">spectrum for </w:t>
      </w:r>
      <w:r>
        <w:t xml:space="preserve">PTP and </w:t>
      </w:r>
      <w:r w:rsidRPr="00AC6904">
        <w:t xml:space="preserve">FWA in large population </w:t>
      </w:r>
      <w:r w:rsidR="00A21C39">
        <w:t>centres</w:t>
      </w:r>
      <w:r w:rsidRPr="00AC6904">
        <w:t xml:space="preserve">. </w:t>
      </w:r>
      <w:r w:rsidR="00590862">
        <w:t>This option</w:t>
      </w:r>
      <w:r>
        <w:t xml:space="preserve"> also provides greater access to the 28 GHz band for ubiquitous FSS, noting that for 800 MHz of the band in large population centres this would be on a restricted basis (if this variation </w:t>
      </w:r>
      <w:r w:rsidR="00824C74">
        <w:t xml:space="preserve">to the option </w:t>
      </w:r>
      <w:r>
        <w:t>is adopted).  It is noted that while</w:t>
      </w:r>
      <w:r w:rsidRPr="00AC6904">
        <w:t xml:space="preserve"> the retention of PTP arrangements </w:t>
      </w:r>
      <w:r>
        <w:t xml:space="preserve">would continue to provide support for large bandwidth channels, this could </w:t>
      </w:r>
      <w:r w:rsidR="00590862">
        <w:t xml:space="preserve">result in a reduction in the amount of spectrum available for other services deployed in the same or nearby area. While this is a real risk, </w:t>
      </w:r>
      <w:r w:rsidR="006548AB">
        <w:t xml:space="preserve">ensuring there are several channels available to support multiple operators in an area, coupled with </w:t>
      </w:r>
      <w:r w:rsidR="00590862">
        <w:t>the directional nature of PTP antennas</w:t>
      </w:r>
      <w:r w:rsidR="006548AB">
        <w:t>,</w:t>
      </w:r>
      <w:r w:rsidR="00590862">
        <w:t xml:space="preserve"> is expected to minimise the impact.</w:t>
      </w:r>
    </w:p>
    <w:p w14:paraId="0BA0D67F" w14:textId="5548C5EB" w:rsidR="00C87330" w:rsidRPr="00824C74" w:rsidRDefault="00590862" w:rsidP="00FA520E">
      <w:pPr>
        <w:rPr>
          <w:highlight w:val="yellow"/>
        </w:rPr>
      </w:pPr>
      <w:r>
        <w:t xml:space="preserve">Option 3 also </w:t>
      </w:r>
      <w:r w:rsidRPr="0091477B">
        <w:t>enable</w:t>
      </w:r>
      <w:r>
        <w:t>s</w:t>
      </w:r>
      <w:r w:rsidRPr="0091477B">
        <w:t xml:space="preserve"> and encourage</w:t>
      </w:r>
      <w:r>
        <w:t>s</w:t>
      </w:r>
      <w:r w:rsidRPr="0091477B">
        <w:t xml:space="preserve"> spectrum to move to </w:t>
      </w:r>
      <w:r>
        <w:t>its</w:t>
      </w:r>
      <w:r w:rsidRPr="0091477B">
        <w:t xml:space="preserve"> HVU. It provides </w:t>
      </w:r>
      <w:r>
        <w:t xml:space="preserve">apparatus licence arrangements across the band Australia-wide for FSS gateways and </w:t>
      </w:r>
      <w:r w:rsidRPr="0091477B">
        <w:t xml:space="preserve">spectrum for FWA in large population </w:t>
      </w:r>
      <w:r w:rsidR="00A21C39">
        <w:t>centres</w:t>
      </w:r>
      <w:r w:rsidRPr="0091477B">
        <w:t xml:space="preserve">. </w:t>
      </w:r>
      <w:r>
        <w:t xml:space="preserve">This option </w:t>
      </w:r>
      <w:r w:rsidRPr="000B14C8">
        <w:t>also provides greater access to the 28 GHz band for ubiquitous FSS, noting that for 400/600 MH</w:t>
      </w:r>
      <w:r>
        <w:t xml:space="preserve">z of the band in large population centres this would be on a restricted basis (if this variation </w:t>
      </w:r>
      <w:r w:rsidR="00824C74">
        <w:t>to the option</w:t>
      </w:r>
      <w:r>
        <w:t xml:space="preserve"> is adopted). </w:t>
      </w:r>
      <w:r w:rsidRPr="00AC6904">
        <w:t xml:space="preserve">As a result, the ACMA </w:t>
      </w:r>
      <w:r w:rsidR="00824C74">
        <w:t>intends to</w:t>
      </w:r>
      <w:r>
        <w:t xml:space="preserve"> consult on whether large bandwidth channels can be supported in</w:t>
      </w:r>
      <w:r w:rsidRPr="00AC6904">
        <w:t xml:space="preserve"> the 38 GHz band</w:t>
      </w:r>
      <w:r w:rsidR="00824C74">
        <w:t xml:space="preserve"> with an outcome due </w:t>
      </w:r>
      <w:r w:rsidR="003A7FBC">
        <w:t>by</w:t>
      </w:r>
      <w:r w:rsidR="00824C74">
        <w:t xml:space="preserve"> </w:t>
      </w:r>
      <w:r w:rsidR="00EA10CE">
        <w:t xml:space="preserve">early Q3 </w:t>
      </w:r>
      <w:r w:rsidR="00824C74">
        <w:t>2019</w:t>
      </w:r>
      <w:r w:rsidRPr="00AC6904">
        <w:t>.</w:t>
      </w:r>
      <w:r>
        <w:t xml:space="preserve"> </w:t>
      </w:r>
      <w:r w:rsidR="006548AB">
        <w:t>Of course, a</w:t>
      </w:r>
      <w:r>
        <w:t xml:space="preserve">doption of </w:t>
      </w:r>
      <w:r w:rsidR="00C27031">
        <w:t>this option</w:t>
      </w:r>
      <w:r w:rsidRPr="0091477B">
        <w:t xml:space="preserve"> is dependent on </w:t>
      </w:r>
      <w:r>
        <w:t>arrangements for PTP be adequately addressed in other bands</w:t>
      </w:r>
      <w:r w:rsidR="00824C74">
        <w:t>.</w:t>
      </w:r>
      <w:r w:rsidR="009614F5" w:rsidRPr="00824C74">
        <w:rPr>
          <w:highlight w:val="yellow"/>
        </w:rPr>
        <w:t xml:space="preserve"> </w:t>
      </w:r>
    </w:p>
    <w:p w14:paraId="1225D32C" w14:textId="21675502" w:rsidR="0089520D" w:rsidRPr="00DB2602" w:rsidRDefault="0089520D" w:rsidP="0089520D">
      <w:pPr>
        <w:pStyle w:val="Heading3"/>
      </w:pPr>
      <w:bookmarkStart w:id="155" w:name="_Hlk4489483"/>
      <w:r w:rsidRPr="00DB2602">
        <w:t>Principle 3—Use the least cost and least restrictive approach to achieving policy objectives</w:t>
      </w:r>
    </w:p>
    <w:p w14:paraId="33D9FD8C" w14:textId="77777777" w:rsidR="0089520D" w:rsidRPr="00FA520E" w:rsidRDefault="0089520D" w:rsidP="005D3186">
      <w:pPr>
        <w:pStyle w:val="BodySubHeader"/>
      </w:pPr>
      <w:r w:rsidRPr="00DB2602">
        <w:t>Least cost</w:t>
      </w:r>
    </w:p>
    <w:p w14:paraId="0EA7DFB2" w14:textId="6FF4EBB8" w:rsidR="0089520D" w:rsidRPr="00CC292F" w:rsidRDefault="003A242F" w:rsidP="005D3186">
      <w:r>
        <w:t>T</w:t>
      </w:r>
      <w:r w:rsidR="0089520D" w:rsidRPr="00CC292F">
        <w:t>he cost differentials between options that need to be considered are</w:t>
      </w:r>
      <w:r w:rsidR="008B3729">
        <w:t xml:space="preserve"> </w:t>
      </w:r>
      <w:r w:rsidR="0089520D" w:rsidRPr="00CC292F">
        <w:t>n</w:t>
      </w:r>
      <w:r w:rsidR="008B3729">
        <w:t>o</w:t>
      </w:r>
      <w:r w:rsidR="0089520D" w:rsidRPr="00CC292F">
        <w:t>t financial costs</w:t>
      </w:r>
      <w:r>
        <w:t xml:space="preserve"> but</w:t>
      </w:r>
      <w:r w:rsidR="0089520D" w:rsidRPr="00CC292F">
        <w:t xml:space="preserve"> rather regulatory costs to affected operators. This most</w:t>
      </w:r>
      <w:r w:rsidR="00B320B1" w:rsidRPr="00CC292F">
        <w:t>ly</w:t>
      </w:r>
      <w:r w:rsidR="0089520D" w:rsidRPr="00CC292F">
        <w:t xml:space="preserve"> applies to incumbent users, as regulatory costs for prospective users are better described under the </w:t>
      </w:r>
      <w:r w:rsidR="0089520D" w:rsidRPr="00CC292F">
        <w:rPr>
          <w:i/>
        </w:rPr>
        <w:t xml:space="preserve">least restrictive </w:t>
      </w:r>
      <w:r w:rsidR="0089520D" w:rsidRPr="00CC292F">
        <w:t>aspect of the Principle.</w:t>
      </w:r>
    </w:p>
    <w:p w14:paraId="272F6DCC" w14:textId="2203F3C6" w:rsidR="001359B2" w:rsidRPr="00CC292F" w:rsidRDefault="004778EA" w:rsidP="00FA520E">
      <w:r>
        <w:t xml:space="preserve">Under all replanning options proposed, continued operation of incumbent </w:t>
      </w:r>
      <w:r w:rsidR="00A02153">
        <w:t xml:space="preserve">licensed </w:t>
      </w:r>
      <w:r>
        <w:t>PTP and FSS services is supported</w:t>
      </w:r>
      <w:r w:rsidRPr="004778EA">
        <w:t>.</w:t>
      </w:r>
      <w:r w:rsidR="003A242F">
        <w:t xml:space="preserve"> While PTP support may only be a for a</w:t>
      </w:r>
      <w:r w:rsidR="006440B9">
        <w:t xml:space="preserve"> defined</w:t>
      </w:r>
      <w:r w:rsidR="003A242F">
        <w:t xml:space="preserve"> period, the time chosen is intended to provide operators with sufficient time to recoup costs and realise benefits from their investment. </w:t>
      </w:r>
      <w:r w:rsidRPr="004778EA">
        <w:t xml:space="preserve"> </w:t>
      </w:r>
      <w:r w:rsidR="00A02153">
        <w:t xml:space="preserve">This means any </w:t>
      </w:r>
      <w:r w:rsidRPr="00CC292F">
        <w:t>chang</w:t>
      </w:r>
      <w:r w:rsidR="00A02153">
        <w:t>e</w:t>
      </w:r>
      <w:r w:rsidRPr="00CC292F">
        <w:t xml:space="preserve"> </w:t>
      </w:r>
      <w:r w:rsidR="00A02153">
        <w:t xml:space="preserve">in </w:t>
      </w:r>
      <w:r w:rsidRPr="00CC292F">
        <w:t xml:space="preserve">arrangements and </w:t>
      </w:r>
      <w:r w:rsidR="00A02153">
        <w:t xml:space="preserve">possible increase in </w:t>
      </w:r>
      <w:r w:rsidRPr="00CC292F">
        <w:t xml:space="preserve">sharing </w:t>
      </w:r>
      <w:r w:rsidR="00A02153">
        <w:t xml:space="preserve">with new services </w:t>
      </w:r>
      <w:r w:rsidRPr="00CC292F">
        <w:t xml:space="preserve">would incur </w:t>
      </w:r>
      <w:r w:rsidR="006440B9">
        <w:t xml:space="preserve">no to low </w:t>
      </w:r>
      <w:r w:rsidRPr="00CC292F">
        <w:t xml:space="preserve">additional cost </w:t>
      </w:r>
      <w:r w:rsidR="00DC7AE8">
        <w:t>provided</w:t>
      </w:r>
      <w:r w:rsidRPr="00CC292F">
        <w:t xml:space="preserve"> new regulations facilitating such deployments </w:t>
      </w:r>
      <w:r w:rsidR="00A02153">
        <w:t>will</w:t>
      </w:r>
      <w:r w:rsidRPr="00CC292F">
        <w:t xml:space="preserve"> not place new constraints on </w:t>
      </w:r>
      <w:r w:rsidR="00A02153">
        <w:t>incumbent</w:t>
      </w:r>
      <w:r w:rsidRPr="00CC292F">
        <w:t xml:space="preserve"> services.</w:t>
      </w:r>
      <w:r w:rsidRPr="004778EA">
        <w:t xml:space="preserve"> </w:t>
      </w:r>
      <w:r w:rsidR="001359B2" w:rsidRPr="004778EA">
        <w:t>It follows</w:t>
      </w:r>
      <w:r w:rsidR="001359B2" w:rsidRPr="00A05EC9">
        <w:t xml:space="preserve"> that, under all replanning options</w:t>
      </w:r>
      <w:r w:rsidR="00A02153">
        <w:t xml:space="preserve"> considered in this paper</w:t>
      </w:r>
      <w:r w:rsidR="001359B2" w:rsidRPr="00A05EC9">
        <w:t>, the costs to incumbents are likely to be low and there are no clear preferred (or ‘not preferred’) options for meeting this criterion.</w:t>
      </w:r>
    </w:p>
    <w:p w14:paraId="77F1A907" w14:textId="77777777" w:rsidR="0089520D" w:rsidRPr="00CC292F" w:rsidRDefault="0089520D" w:rsidP="005D3186">
      <w:pPr>
        <w:pStyle w:val="BodySubHeader"/>
      </w:pPr>
      <w:r w:rsidRPr="00CC292F">
        <w:lastRenderedPageBreak/>
        <w:t xml:space="preserve">Least </w:t>
      </w:r>
      <w:r w:rsidRPr="00FA520E">
        <w:t>restrictive</w:t>
      </w:r>
    </w:p>
    <w:p w14:paraId="74D7C969" w14:textId="0C75C5F7" w:rsidR="004C1EFF" w:rsidRDefault="004C1EFF" w:rsidP="005D3186">
      <w:r>
        <w:t xml:space="preserve">Spectrum licences offer the greatest freedom for licensees to optimise their use of the spectrum. </w:t>
      </w:r>
      <w:r w:rsidR="00C57466">
        <w:t>P</w:t>
      </w:r>
      <w:r>
        <w:t xml:space="preserve">rovided licensees adhere to the technical </w:t>
      </w:r>
      <w:bookmarkEnd w:id="155"/>
      <w:r>
        <w:t xml:space="preserve">framework, they are free to use their spectrum as they see fit. As a general rule of thumb, the larger the area and frequency range occupied by a spectrum licence, the greater the freedom a licensee has. Such arrangements </w:t>
      </w:r>
      <w:r w:rsidR="00A404D1">
        <w:t xml:space="preserve">are </w:t>
      </w:r>
      <w:r>
        <w:t>considered ideal for WWB use</w:t>
      </w:r>
      <w:r w:rsidR="0027307B">
        <w:t xml:space="preserve"> and are proposed under </w:t>
      </w:r>
      <w:r w:rsidR="00A404D1">
        <w:t xml:space="preserve">Option 1a and 1b </w:t>
      </w:r>
      <w:r w:rsidR="0027307B">
        <w:t>in a portion of the 28 GHz band in large population centres.</w:t>
      </w:r>
    </w:p>
    <w:p w14:paraId="6321C172" w14:textId="753151C3" w:rsidR="00A02153" w:rsidRDefault="0089520D" w:rsidP="005D3186">
      <w:r w:rsidRPr="00CC292F">
        <w:t>As discussed under Principle 2, spectrum licensing</w:t>
      </w:r>
      <w:r w:rsidR="001D4576">
        <w:t xml:space="preserve"> arrangements</w:t>
      </w:r>
      <w:r w:rsidRPr="00CC292F">
        <w:t xml:space="preserve"> </w:t>
      </w:r>
      <w:r w:rsidR="00C57466">
        <w:t xml:space="preserve">may </w:t>
      </w:r>
      <w:r w:rsidR="00B87572">
        <w:t>not</w:t>
      </w:r>
      <w:r w:rsidR="001D4576">
        <w:t xml:space="preserve"> optimal to support the highest value uses of the</w:t>
      </w:r>
      <w:r w:rsidR="00DC426F">
        <w:t xml:space="preserve"> 28 GHz</w:t>
      </w:r>
      <w:r w:rsidR="001D4576">
        <w:t xml:space="preserve"> band</w:t>
      </w:r>
      <w:r w:rsidR="00DB2602">
        <w:t xml:space="preserve"> unless licensees </w:t>
      </w:r>
      <w:r w:rsidR="00B87572">
        <w:t xml:space="preserve">are </w:t>
      </w:r>
      <w:r w:rsidR="00DB2602">
        <w:t xml:space="preserve">prepared to act as neutral band managers (similar to the ACMA) and provide fair and equitable access </w:t>
      </w:r>
      <w:r w:rsidR="00485ABD">
        <w:t>to the spectrum for</w:t>
      </w:r>
      <w:r w:rsidR="00DB2602">
        <w:t xml:space="preserve"> multiple service types and operators</w:t>
      </w:r>
      <w:r w:rsidR="00505EF1">
        <w:t xml:space="preserve">. </w:t>
      </w:r>
      <w:r w:rsidR="00C57466">
        <w:t>For the 28 GHz band</w:t>
      </w:r>
      <w:r w:rsidR="001D4576">
        <w:t xml:space="preserve"> apparatus licensing arrangements are considered optimal to support use of </w:t>
      </w:r>
      <w:r w:rsidR="0027307B">
        <w:t xml:space="preserve">the </w:t>
      </w:r>
      <w:r w:rsidR="001D4576">
        <w:t xml:space="preserve">spectrum by multiple </w:t>
      </w:r>
      <w:r w:rsidR="00A02153">
        <w:t xml:space="preserve">site-based/localised </w:t>
      </w:r>
      <w:r w:rsidR="001D4576">
        <w:t>services (FSS</w:t>
      </w:r>
      <w:r w:rsidR="00505EF1">
        <w:t xml:space="preserve"> gateways</w:t>
      </w:r>
      <w:r w:rsidR="001D4576">
        <w:t xml:space="preserve">, FWA and PTP) and multiple operators on a coordinated basis. </w:t>
      </w:r>
      <w:r w:rsidR="00A02153">
        <w:t>Also</w:t>
      </w:r>
      <w:r w:rsidR="00505EF1">
        <w:t>,</w:t>
      </w:r>
      <w:r w:rsidR="00A02153">
        <w:t xml:space="preserve"> in the case of ubiquitous FSS </w:t>
      </w:r>
      <w:r w:rsidR="00505EF1">
        <w:t xml:space="preserve">the current licensing regime is consider </w:t>
      </w:r>
      <w:r w:rsidR="00A02153">
        <w:t xml:space="preserve">practical. </w:t>
      </w:r>
      <w:r w:rsidR="00505EF1">
        <w:t xml:space="preserve">This allows user terminals to operate under a class licence, </w:t>
      </w:r>
      <w:r w:rsidR="00A02153">
        <w:t xml:space="preserve">without </w:t>
      </w:r>
      <w:r w:rsidR="00505EF1">
        <w:t xml:space="preserve">the need to </w:t>
      </w:r>
      <w:r w:rsidR="00A02153">
        <w:t>register</w:t>
      </w:r>
      <w:r w:rsidR="00505EF1">
        <w:t xml:space="preserve"> their</w:t>
      </w:r>
      <w:r w:rsidR="00A02153">
        <w:t xml:space="preserve"> location</w:t>
      </w:r>
      <w:r w:rsidR="00505EF1">
        <w:t>, provided there is a valid apparatus licence for the</w:t>
      </w:r>
      <w:r w:rsidR="00A02153">
        <w:t xml:space="preserve"> satellite </w:t>
      </w:r>
      <w:r w:rsidR="00505EF1">
        <w:t>end</w:t>
      </w:r>
      <w:r w:rsidR="002C57FC">
        <w:t xml:space="preserve">. </w:t>
      </w:r>
    </w:p>
    <w:p w14:paraId="186F83E0" w14:textId="09E0567F" w:rsidR="002C57FC" w:rsidRDefault="002C57FC" w:rsidP="005D3186">
      <w:r>
        <w:t xml:space="preserve">Planning outcomes that result in shared use of spectrum by multiple different operators and services are also in in line with the </w:t>
      </w:r>
      <w:r w:rsidRPr="002C57FC">
        <w:t>Government policy objectives of promoting sharing and fostering a competitive telecommunications market</w:t>
      </w:r>
      <w:r>
        <w:t xml:space="preserve">. </w:t>
      </w:r>
    </w:p>
    <w:p w14:paraId="042355FF" w14:textId="562FFA50" w:rsidR="00CC292F" w:rsidRDefault="00505EF1" w:rsidP="005D3186">
      <w:r>
        <w:t>O</w:t>
      </w:r>
      <w:r w:rsidR="00936A75">
        <w:t>n balance</w:t>
      </w:r>
      <w:r>
        <w:t xml:space="preserve"> it would seem that </w:t>
      </w:r>
      <w:r w:rsidR="00936A75">
        <w:t xml:space="preserve">quarantining parts of the 28 GHz band for </w:t>
      </w:r>
      <w:r>
        <w:t xml:space="preserve">the issue of </w:t>
      </w:r>
      <w:r w:rsidR="00936A75">
        <w:t>spectrum licens</w:t>
      </w:r>
      <w:r>
        <w:t>es</w:t>
      </w:r>
      <w:r w:rsidR="00936A75">
        <w:t xml:space="preserve"> would </w:t>
      </w:r>
      <w:r>
        <w:t xml:space="preserve">most likely </w:t>
      </w:r>
      <w:r w:rsidR="00936A75">
        <w:t>result</w:t>
      </w:r>
      <w:r>
        <w:t xml:space="preserve"> in</w:t>
      </w:r>
      <w:r w:rsidR="00936A75">
        <w:t xml:space="preserve"> restrictions on </w:t>
      </w:r>
      <w:r>
        <w:t xml:space="preserve">the deployment of </w:t>
      </w:r>
      <w:r w:rsidR="00936A75">
        <w:t>FWA, PTP and FSS.</w:t>
      </w:r>
      <w:r w:rsidR="00DB2602">
        <w:t xml:space="preserve"> </w:t>
      </w:r>
      <w:r w:rsidR="00CC292F" w:rsidRPr="00A05EC9">
        <w:t xml:space="preserve">By that logic, </w:t>
      </w:r>
      <w:r w:rsidR="00CC292F">
        <w:t>O</w:t>
      </w:r>
      <w:r w:rsidR="00CC292F" w:rsidRPr="00A05EC9">
        <w:t>ptions 2</w:t>
      </w:r>
      <w:r w:rsidR="002C57FC">
        <w:t xml:space="preserve"> and</w:t>
      </w:r>
      <w:r w:rsidR="00CC292F">
        <w:t xml:space="preserve"> 3</w:t>
      </w:r>
      <w:r w:rsidR="00CC292F" w:rsidRPr="00A05EC9">
        <w:t xml:space="preserve"> would be </w:t>
      </w:r>
      <w:r w:rsidR="00CC292F" w:rsidRPr="00A05EC9">
        <w:rPr>
          <w:i/>
        </w:rPr>
        <w:t xml:space="preserve">less </w:t>
      </w:r>
      <w:r w:rsidR="00CC292F" w:rsidRPr="00A05EC9">
        <w:t xml:space="preserve">restrictive than </w:t>
      </w:r>
      <w:r w:rsidR="00CC292F">
        <w:t>O</w:t>
      </w:r>
      <w:r w:rsidR="00CC292F" w:rsidRPr="00A05EC9">
        <w:t>ption</w:t>
      </w:r>
      <w:r w:rsidR="00C57466">
        <w:t>s</w:t>
      </w:r>
      <w:r w:rsidR="00CC292F" w:rsidRPr="00A05EC9">
        <w:t xml:space="preserve"> </w:t>
      </w:r>
      <w:r w:rsidR="00CC292F">
        <w:t>1</w:t>
      </w:r>
      <w:r w:rsidR="00C57466">
        <w:t>a and 1b</w:t>
      </w:r>
      <w:r w:rsidR="002C57FC">
        <w:t xml:space="preserve">. Options 2 and 3 are also in in line with the </w:t>
      </w:r>
      <w:r w:rsidR="002C57FC" w:rsidRPr="002C57FC">
        <w:t>Government policy objectives of promoting sharing and fostering a competitive telecommunications market</w:t>
      </w:r>
      <w:r w:rsidR="002C57FC">
        <w:t xml:space="preserve"> as they support shared use of spectrum by multiple different operators and services. </w:t>
      </w:r>
      <w:r w:rsidR="00CC292F">
        <w:t>Option</w:t>
      </w:r>
      <w:r w:rsidR="00D613A6">
        <w:t> </w:t>
      </w:r>
      <w:r w:rsidR="00CC292F">
        <w:t xml:space="preserve">4 could be considered </w:t>
      </w:r>
      <w:r w:rsidR="002C57FC">
        <w:t xml:space="preserve">the most </w:t>
      </w:r>
      <w:r w:rsidR="00CC292F">
        <w:t xml:space="preserve">restrictive </w:t>
      </w:r>
      <w:r w:rsidR="002C57FC">
        <w:t>of all the options</w:t>
      </w:r>
      <w:r w:rsidR="00CC292F">
        <w:t xml:space="preserve"> as it only provides arrangements for the FSS.</w:t>
      </w:r>
    </w:p>
    <w:p w14:paraId="04B2825C" w14:textId="53C2D0E6" w:rsidR="00E13A62" w:rsidRPr="00DB2602" w:rsidRDefault="00CC292F" w:rsidP="00FA520E">
      <w:r>
        <w:t xml:space="preserve">Determining which of Options 2 and 3 are least restrictive ultimately depends on whether PTP is considered to be one of the highest value uses of the band.  If it is then Option 2 is least restrictive. If it is not, then Option 3 is least restrictive. </w:t>
      </w:r>
    </w:p>
    <w:p w14:paraId="54031F6C" w14:textId="77777777" w:rsidR="0089520D" w:rsidRPr="00DB2602" w:rsidRDefault="0089520D" w:rsidP="0089520D">
      <w:pPr>
        <w:pStyle w:val="Heading3"/>
      </w:pPr>
      <w:bookmarkStart w:id="156" w:name="_Hlk4489498"/>
      <w:r w:rsidRPr="00DB2602">
        <w:t>Principle 4—To the extent possible, promote both certainty and flexibility</w:t>
      </w:r>
    </w:p>
    <w:p w14:paraId="16D95B10" w14:textId="77777777" w:rsidR="0089520D" w:rsidRPr="00DB2602" w:rsidRDefault="0089520D" w:rsidP="005D3186">
      <w:pPr>
        <w:pStyle w:val="BodySubHeader"/>
      </w:pPr>
      <w:r w:rsidRPr="00FA520E">
        <w:t>Certainty</w:t>
      </w:r>
    </w:p>
    <w:p w14:paraId="321608DD" w14:textId="10A478CF" w:rsidR="000F6CAA" w:rsidRDefault="008863B2" w:rsidP="005D3186">
      <w:r>
        <w:t>S</w:t>
      </w:r>
      <w:r w:rsidR="00DB2602" w:rsidRPr="006846EC">
        <w:t>pectrum-licensing regimes</w:t>
      </w:r>
      <w:r w:rsidR="00DB2602" w:rsidRPr="00A05EC9">
        <w:t xml:space="preserve"> provide more investment certainty than apparatus licensing, owing to both the tenure and rights afforded.</w:t>
      </w:r>
      <w:r w:rsidR="00DB2602">
        <w:t xml:space="preserve"> </w:t>
      </w:r>
      <w:r w:rsidR="00516E8E">
        <w:t xml:space="preserve">Options 1a and 1b </w:t>
      </w:r>
      <w:r w:rsidR="00053AC1">
        <w:t>both</w:t>
      </w:r>
      <w:r w:rsidR="00516E8E">
        <w:t xml:space="preserve"> consider implementing spectrum licence arrangements</w:t>
      </w:r>
      <w:r w:rsidR="00053AC1">
        <w:t xml:space="preserve"> in the 28 GHz band</w:t>
      </w:r>
      <w:r w:rsidR="00D94D47">
        <w:t>.</w:t>
      </w:r>
      <w:r>
        <w:t xml:space="preserve"> This is considered the best approach </w:t>
      </w:r>
      <w:r w:rsidR="00EB7953">
        <w:t>to support</w:t>
      </w:r>
      <w:r>
        <w:t xml:space="preserve"> WWB use.</w:t>
      </w:r>
    </w:p>
    <w:p w14:paraId="4C494FE3" w14:textId="4BDC3B41" w:rsidR="003E581C" w:rsidRDefault="000F6CAA" w:rsidP="005D3186">
      <w:r>
        <w:t xml:space="preserve">For </w:t>
      </w:r>
      <w:r w:rsidR="00FC4EE0">
        <w:t xml:space="preserve">FSS gateways, FWA and PTP </w:t>
      </w:r>
      <w:r>
        <w:t>services</w:t>
      </w:r>
      <w:r w:rsidR="00466753">
        <w:t>, apparatus licence arrangements are proposed.</w:t>
      </w:r>
      <w:r w:rsidR="00DB2602">
        <w:t xml:space="preserve"> </w:t>
      </w:r>
      <w:r w:rsidR="00466753">
        <w:t>In this case c</w:t>
      </w:r>
      <w:r w:rsidR="004B0E42" w:rsidRPr="00DB2602">
        <w:t xml:space="preserve">ertainty is provided </w:t>
      </w:r>
      <w:r>
        <w:t>via the</w:t>
      </w:r>
      <w:r w:rsidR="004B0E42" w:rsidRPr="00DB2602">
        <w:t xml:space="preserve"> </w:t>
      </w:r>
      <w:r w:rsidR="003E581C">
        <w:t>technical arrangements</w:t>
      </w:r>
      <w:r w:rsidR="00466753">
        <w:t xml:space="preserve"> put</w:t>
      </w:r>
      <w:r w:rsidR="003E581C">
        <w:t xml:space="preserve"> in place </w:t>
      </w:r>
      <w:r>
        <w:t>for</w:t>
      </w:r>
      <w:r w:rsidR="003E581C">
        <w:t xml:space="preserve"> </w:t>
      </w:r>
      <w:r w:rsidR="004B0E42" w:rsidRPr="00DB2602">
        <w:t>access to the band</w:t>
      </w:r>
      <w:r w:rsidR="003E581C">
        <w:t>, especially</w:t>
      </w:r>
      <w:r w:rsidR="004B0E42" w:rsidRPr="00DB2602">
        <w:t xml:space="preserve"> where access is on </w:t>
      </w:r>
      <w:r w:rsidR="003E581C">
        <w:t xml:space="preserve">a </w:t>
      </w:r>
      <w:r w:rsidR="004B0E42" w:rsidRPr="00DB2602">
        <w:t>shared basis.</w:t>
      </w:r>
      <w:r w:rsidR="00DB2602">
        <w:t xml:space="preserve"> This enables</w:t>
      </w:r>
      <w:r w:rsidR="00254433">
        <w:t xml:space="preserve"> multiple services and operators to access a band and</w:t>
      </w:r>
      <w:r w:rsidR="00DB2602">
        <w:t xml:space="preserve"> </w:t>
      </w:r>
      <w:r w:rsidR="00254433">
        <w:t xml:space="preserve">for </w:t>
      </w:r>
      <w:r w:rsidR="00DB2602">
        <w:t xml:space="preserve">licensees to operate </w:t>
      </w:r>
      <w:r w:rsidR="004E395B">
        <w:t>within a</w:t>
      </w:r>
      <w:r w:rsidR="00DB2602">
        <w:t xml:space="preserve"> known interference environment.</w:t>
      </w:r>
      <w:r w:rsidR="004B0E42" w:rsidRPr="00DB2602">
        <w:t xml:space="preserve"> </w:t>
      </w:r>
      <w:r w:rsidR="00163EBB">
        <w:t>All o</w:t>
      </w:r>
      <w:r w:rsidR="00FC4EE0">
        <w:t xml:space="preserve">ptions </w:t>
      </w:r>
      <w:r w:rsidR="00516E8E">
        <w:t>presented in this paper provide a</w:t>
      </w:r>
      <w:r>
        <w:t xml:space="preserve">pparatus licence arrangements </w:t>
      </w:r>
      <w:r w:rsidR="00516E8E">
        <w:t xml:space="preserve">for FSS gateways, FWA and PTP services. </w:t>
      </w:r>
      <w:r w:rsidR="00FC4EE0">
        <w:t xml:space="preserve"> </w:t>
      </w:r>
    </w:p>
    <w:p w14:paraId="7F8F33D2" w14:textId="374062F0" w:rsidR="00FC4EE0" w:rsidRDefault="00FC4EE0" w:rsidP="00FA520E">
      <w:r>
        <w:t>For ubiquitous FSS</w:t>
      </w:r>
      <w:r w:rsidR="00466753">
        <w:t xml:space="preserve"> use</w:t>
      </w:r>
      <w:r>
        <w:t xml:space="preserve">, certainty is </w:t>
      </w:r>
      <w:r w:rsidR="00516E8E">
        <w:t xml:space="preserve">harder to provide </w:t>
      </w:r>
      <w:r w:rsidR="00466753">
        <w:t>as the location of user terminals is typically unknown</w:t>
      </w:r>
      <w:r w:rsidR="00516E8E">
        <w:t xml:space="preserve"> and possibly mobile </w:t>
      </w:r>
      <w:r w:rsidR="00466753">
        <w:t xml:space="preserve">or nomadic in </w:t>
      </w:r>
      <w:r w:rsidR="00516E8E">
        <w:t xml:space="preserve">nature. In this instance certainty is </w:t>
      </w:r>
      <w:r w:rsidR="00D94D47">
        <w:t xml:space="preserve">usually </w:t>
      </w:r>
      <w:r w:rsidR="00516E8E">
        <w:t xml:space="preserve">provided via the planning arrangements implemented. For example, defining segments of the 28 GHz band and specific geographical areas for FSS only use provides ubiquitous FSS with access to spectrum in a </w:t>
      </w:r>
      <w:r w:rsidR="00D94D47">
        <w:t>controlled</w:t>
      </w:r>
      <w:r w:rsidR="00516E8E">
        <w:t xml:space="preserve"> interference environment. This is because interference between different satellite </w:t>
      </w:r>
      <w:r w:rsidR="00516E8E">
        <w:lastRenderedPageBreak/>
        <w:t xml:space="preserve">systems is </w:t>
      </w:r>
      <w:r w:rsidR="00466753">
        <w:t>managed</w:t>
      </w:r>
      <w:r w:rsidR="00516E8E">
        <w:t xml:space="preserve"> at the international level</w:t>
      </w:r>
      <w:r w:rsidR="004E395B">
        <w:t xml:space="preserve"> through processes defined by the ITU. Once a satellite system makes it through the relevant process, different FSS systems can typically operate on the same frequency in the same area. For this reason, Option 4 maximises certainty provided to the FSS as it is the only </w:t>
      </w:r>
      <w:r w:rsidR="004E395B" w:rsidRPr="00874A19">
        <w:t>service operating in the 28</w:t>
      </w:r>
      <w:r w:rsidR="00D613A6">
        <w:t> </w:t>
      </w:r>
      <w:r w:rsidR="004E395B" w:rsidRPr="00874A19">
        <w:t>GHz band Australia-wide.</w:t>
      </w:r>
      <w:r w:rsidR="004E395B">
        <w:t xml:space="preserve"> All other options </w:t>
      </w:r>
      <w:r w:rsidR="00466753">
        <w:t>allocate</w:t>
      </w:r>
      <w:r w:rsidR="004E395B">
        <w:t xml:space="preserve"> different amounts of spectrum in different areas for exclusive FSS use. </w:t>
      </w:r>
      <w:r w:rsidR="006F4ED7">
        <w:t>In some cases, sharing between ubiquitous FSS and other services is also considered. However, this flexibility comes at the expense of impos</w:t>
      </w:r>
      <w:r w:rsidR="00D94D47">
        <w:t>ing</w:t>
      </w:r>
      <w:r w:rsidR="006F4ED7">
        <w:t xml:space="preserve"> constraints on the deployment of either ubiquitous FSS or other services.</w:t>
      </w:r>
    </w:p>
    <w:p w14:paraId="36DF5102" w14:textId="57ECA340" w:rsidR="0089520D" w:rsidRPr="00FA520E" w:rsidRDefault="0089520D" w:rsidP="005D3186">
      <w:pPr>
        <w:pStyle w:val="BodySubHeader"/>
      </w:pPr>
      <w:r w:rsidRPr="00DB2602">
        <w:t>Flexibility</w:t>
      </w:r>
    </w:p>
    <w:p w14:paraId="76338AE6" w14:textId="443842D9" w:rsidR="00A404D1" w:rsidRDefault="00A404D1" w:rsidP="005D3186">
      <w:r>
        <w:t xml:space="preserve">As discussed </w:t>
      </w:r>
      <w:r w:rsidR="00466753">
        <w:t>under</w:t>
      </w:r>
      <w:r>
        <w:t xml:space="preserve"> Principle 3, spectrum licences offer the greatest flexibility for use of the spectrum. </w:t>
      </w:r>
      <w:r w:rsidR="001E621E">
        <w:t xml:space="preserve">This is because licensees </w:t>
      </w:r>
      <w:r>
        <w:t>are free to use their spectrum as they see fit</w:t>
      </w:r>
      <w:r w:rsidR="007134E1">
        <w:t>,</w:t>
      </w:r>
      <w:r w:rsidR="001E621E">
        <w:t xml:space="preserve"> provided they adhere to the technical framework in place</w:t>
      </w:r>
      <w:r>
        <w:t xml:space="preserve">. Such arrangements are considered ideal for a single operator to </w:t>
      </w:r>
      <w:r w:rsidR="00466753">
        <w:t xml:space="preserve">invest in and </w:t>
      </w:r>
      <w:r>
        <w:t>deploy WWB services</w:t>
      </w:r>
      <w:r w:rsidR="0027307B" w:rsidRPr="0027307B">
        <w:t xml:space="preserve"> </w:t>
      </w:r>
      <w:r w:rsidR="0027307B">
        <w:t>and are proposed under Option 1a and 1b.</w:t>
      </w:r>
    </w:p>
    <w:bookmarkEnd w:id="156"/>
    <w:p w14:paraId="2C3FA46B" w14:textId="0FF113D6" w:rsidR="000F6CAA" w:rsidRDefault="00A404D1" w:rsidP="005D3186">
      <w:r w:rsidRPr="00A37173">
        <w:t xml:space="preserve">As discussed under Principle 2, </w:t>
      </w:r>
      <w:r w:rsidR="000F6CAA" w:rsidRPr="0027307B">
        <w:t>if WWB is not considered the highest value use of the band then spectrum licence arrangements may not be appropriate</w:t>
      </w:r>
      <w:r w:rsidR="009C5EB0">
        <w:t>.</w:t>
      </w:r>
      <w:r w:rsidR="00466753">
        <w:t xml:space="preserve"> This is because</w:t>
      </w:r>
      <w:r w:rsidR="000F6CAA" w:rsidRPr="0027307B">
        <w:t xml:space="preserve"> </w:t>
      </w:r>
      <w:r w:rsidRPr="00A37173">
        <w:t>they are</w:t>
      </w:r>
      <w:r w:rsidR="000F6CAA" w:rsidRPr="0027307B">
        <w:t xml:space="preserve"> unlikely to provide support for multiple services and operators</w:t>
      </w:r>
      <w:r w:rsidR="0027307B">
        <w:t xml:space="preserve"> unless spectrum licensees </w:t>
      </w:r>
      <w:r w:rsidR="00466753">
        <w:t>a</w:t>
      </w:r>
      <w:r w:rsidR="0027307B">
        <w:t xml:space="preserve">re prepared to act as neutral band managers (similar to the ACMA) and provide fair and equitable access </w:t>
      </w:r>
      <w:r w:rsidR="00466753">
        <w:t xml:space="preserve">to the spectrum </w:t>
      </w:r>
      <w:r w:rsidR="001E621E">
        <w:t>for</w:t>
      </w:r>
      <w:r w:rsidR="0027307B">
        <w:t xml:space="preserve"> multiple service types and operators. In this case apparatus licensing arrangements provide the flexibility to support use of the spectrum by multiple site-based/localised services (FSS gateways, FWA and PTP) and multiple operators </w:t>
      </w:r>
      <w:r w:rsidR="001E621E">
        <w:t xml:space="preserve">as needed </w:t>
      </w:r>
      <w:r w:rsidR="0027307B">
        <w:t xml:space="preserve">on a coordinated basis. </w:t>
      </w:r>
    </w:p>
    <w:p w14:paraId="58B0D3D4" w14:textId="0B6B3996" w:rsidR="00EB1A2B" w:rsidRDefault="0027307B" w:rsidP="005D3186">
      <w:r>
        <w:t xml:space="preserve">Furthermore, additional flexibility can </w:t>
      </w:r>
      <w:r w:rsidR="00EB1A2B">
        <w:t xml:space="preserve">also </w:t>
      </w:r>
      <w:r>
        <w:t xml:space="preserve">be provided </w:t>
      </w:r>
      <w:r w:rsidR="00EB1A2B">
        <w:t xml:space="preserve">in </w:t>
      </w:r>
      <w:r>
        <w:t xml:space="preserve">segments of the 28 GHz </w:t>
      </w:r>
      <w:r w:rsidR="001E621E">
        <w:t xml:space="preserve">band </w:t>
      </w:r>
      <w:r>
        <w:t xml:space="preserve">that are </w:t>
      </w:r>
      <w:r w:rsidR="009C5EB0">
        <w:t xml:space="preserve">not </w:t>
      </w:r>
      <w:r>
        <w:t xml:space="preserve">shared between </w:t>
      </w:r>
      <w:r w:rsidR="009C5EB0">
        <w:t xml:space="preserve">ubiquitous </w:t>
      </w:r>
      <w:r>
        <w:t>FSS and</w:t>
      </w:r>
      <w:r w:rsidDel="00871D61">
        <w:t xml:space="preserve"> </w:t>
      </w:r>
      <w:r>
        <w:t>other services.</w:t>
      </w:r>
      <w:r w:rsidR="00EB1A2B">
        <w:t xml:space="preserve"> </w:t>
      </w:r>
      <w:r w:rsidR="001E621E">
        <w:t>However, this flexibility</w:t>
      </w:r>
      <w:r w:rsidR="00EB1A2B">
        <w:t xml:space="preserve"> comes at the expense of providing less certainty for some services. For example, in large population centres where</w:t>
      </w:r>
      <w:r w:rsidR="00EB1A2B" w:rsidDel="00871D61">
        <w:t xml:space="preserve"> </w:t>
      </w:r>
      <w:r w:rsidR="00EB1A2B">
        <w:t xml:space="preserve">PTP and FWA may be considered the highest value use, ubiquitous FSS could be permitted to operate </w:t>
      </w:r>
      <w:r w:rsidR="009C5EB0">
        <w:t xml:space="preserve">on </w:t>
      </w:r>
      <w:r w:rsidR="00EB1A2B">
        <w:t>a ‘no interference basis’</w:t>
      </w:r>
      <w:r w:rsidR="009C5EB0">
        <w:t xml:space="preserve">. To minimise the risk of interference terminals could also be subject to other deployment restrictions. Outside of large populations centres, ubiquitous FSS (both fixed and ESIM) could have priority and therefore no restrictions on deployment, while PTP and FWA could operate on a ‘no protection’ basis </w:t>
      </w:r>
      <w:r w:rsidR="001E621E">
        <w:t>to the FSS</w:t>
      </w:r>
      <w:r w:rsidR="00EB1A2B">
        <w:t xml:space="preserve">. Options 1b, 2 and 3 in this paper have possible variants that propose such sharing arrangements.  </w:t>
      </w:r>
    </w:p>
    <w:p w14:paraId="1B4DCC0C" w14:textId="607438D2" w:rsidR="00EB1A2B" w:rsidRDefault="00EB1A2B" w:rsidP="00FA520E">
      <w:r>
        <w:t>In terms of providing support for multiple services and operators, Options 2 and 3 are considered to maximise flexibility. While Options 1a and 1b also provide a high level of flexibility, the use of spectrum licensing arrangements in a segment of the band may not be optimal in th</w:t>
      </w:r>
      <w:r w:rsidR="009C5EB0">
        <w:t>e 28 GHz band</w:t>
      </w:r>
      <w:r>
        <w:t xml:space="preserve">. Option 4 offers the least amount of flexibility as it only provides support for the FSS.  </w:t>
      </w:r>
    </w:p>
    <w:p w14:paraId="6D122BF0" w14:textId="77777777" w:rsidR="0089520D" w:rsidRPr="00A37173" w:rsidRDefault="0089520D" w:rsidP="00A37173">
      <w:pPr>
        <w:pStyle w:val="Heading3"/>
        <w:spacing w:before="120" w:after="120"/>
      </w:pPr>
      <w:bookmarkStart w:id="157" w:name="_Hlk4489529"/>
      <w:r w:rsidRPr="00A37173">
        <w:t>Principle 5—Balance the cost of interference and the benefits of greater spectrum utilisation</w:t>
      </w:r>
    </w:p>
    <w:p w14:paraId="02B7F344" w14:textId="31BD6F73" w:rsidR="002D1F91" w:rsidRDefault="002D1F91" w:rsidP="005D3186">
      <w:r w:rsidRPr="00A05EC9">
        <w:t xml:space="preserve">Based on the assessment </w:t>
      </w:r>
      <w:bookmarkEnd w:id="157"/>
      <w:r w:rsidRPr="00A05EC9">
        <w:t xml:space="preserve">of </w:t>
      </w:r>
      <w:r>
        <w:t xml:space="preserve">sharing and coexistence </w:t>
      </w:r>
      <w:r w:rsidR="00E862DE">
        <w:t>with</w:t>
      </w:r>
      <w:r>
        <w:t xml:space="preserve"> incumbent FSS and PTP services</w:t>
      </w:r>
      <w:r w:rsidRPr="00A05EC9">
        <w:t xml:space="preserve"> contained in</w:t>
      </w:r>
      <w:r w:rsidR="00E862DE">
        <w:t xml:space="preserve"> the</w:t>
      </w:r>
      <w:r w:rsidRPr="00A05EC9">
        <w:t xml:space="preserve"> </w:t>
      </w:r>
      <w:r w:rsidRPr="00A37173">
        <w:rPr>
          <w:i/>
        </w:rPr>
        <w:t>Consideration of Technical Issue</w:t>
      </w:r>
      <w:r>
        <w:t xml:space="preserve"> section</w:t>
      </w:r>
      <w:r w:rsidR="00E862DE">
        <w:t xml:space="preserve"> of this paper</w:t>
      </w:r>
      <w:r>
        <w:t xml:space="preserve">, </w:t>
      </w:r>
      <w:r w:rsidRPr="00A05EC9">
        <w:t xml:space="preserve">the ACMA </w:t>
      </w:r>
      <w:r>
        <w:t>considers</w:t>
      </w:r>
      <w:r w:rsidRPr="00A05EC9">
        <w:t xml:space="preserve"> that the cost of interference to incumbent users from proposed </w:t>
      </w:r>
      <w:r>
        <w:t>wireless broadband</w:t>
      </w:r>
      <w:r w:rsidRPr="00A05EC9">
        <w:t xml:space="preserve"> services is negligible.</w:t>
      </w:r>
      <w:r>
        <w:t xml:space="preserve"> </w:t>
      </w:r>
      <w:r w:rsidR="00E862DE">
        <w:t>Furthermore, t</w:t>
      </w:r>
      <w:r>
        <w:t xml:space="preserve">he outcome proposed </w:t>
      </w:r>
      <w:r w:rsidR="00E862DE">
        <w:t xml:space="preserve">under all options </w:t>
      </w:r>
      <w:r>
        <w:t xml:space="preserve">is that incumbent services can continue to operate in the band and </w:t>
      </w:r>
      <w:r w:rsidR="00E862DE">
        <w:t xml:space="preserve">would be </w:t>
      </w:r>
      <w:r>
        <w:t xml:space="preserve">provided protection </w:t>
      </w:r>
      <w:r w:rsidR="002C57FC">
        <w:t>from new services</w:t>
      </w:r>
      <w:r>
        <w:t xml:space="preserve">. </w:t>
      </w:r>
      <w:r w:rsidRPr="00A05EC9">
        <w:t>Therefore, consideration of options against this principle can be concentrated on balancing the</w:t>
      </w:r>
      <w:r>
        <w:t xml:space="preserve"> cost of</w:t>
      </w:r>
      <w:r w:rsidRPr="00A05EC9">
        <w:t xml:space="preserve"> interference </w:t>
      </w:r>
      <w:r>
        <w:t xml:space="preserve">and benefits of greater spectrum utilisation </w:t>
      </w:r>
      <w:r w:rsidR="00E862DE">
        <w:t>that arise from the introduction of new or expansion of existing services into the 28 GHz band.</w:t>
      </w:r>
    </w:p>
    <w:p w14:paraId="2CF1A5FF" w14:textId="4B695715" w:rsidR="00E862DE" w:rsidRDefault="00E862DE" w:rsidP="005D3186">
      <w:r>
        <w:lastRenderedPageBreak/>
        <w:t xml:space="preserve">The ability </w:t>
      </w:r>
      <w:r w:rsidR="007134D9">
        <w:t>for</w:t>
      </w:r>
      <w:r>
        <w:t xml:space="preserve"> FSS gateways and PTP to share spectrum is a well-established practice within several frequency bands. </w:t>
      </w:r>
      <w:r w:rsidR="00A37BCC">
        <w:t>Due to the highly direction</w:t>
      </w:r>
      <w:r w:rsidR="005508B5">
        <w:t>al</w:t>
      </w:r>
      <w:r w:rsidR="00A37BCC">
        <w:t xml:space="preserve"> nature of PTP and FSS gateway antennas the cost of interference is also low. This also extends to coexistence with FSS satellite receivers.  </w:t>
      </w:r>
    </w:p>
    <w:p w14:paraId="350666B3" w14:textId="15624614" w:rsidR="00704C68" w:rsidRDefault="00704C68" w:rsidP="005D3186">
      <w:r>
        <w:t>Sharing between PTP and FWA is possible provided appropriate coordination procedures are put in place. Such arrangements have successfully been implemented in several other frequency band</w:t>
      </w:r>
      <w:r w:rsidR="009F76CD">
        <w:t>s. Furthermore,</w:t>
      </w:r>
      <w:r>
        <w:t xml:space="preserve"> </w:t>
      </w:r>
      <w:r w:rsidR="009F76CD">
        <w:t xml:space="preserve">the ability of these services to share is expected to improve in </w:t>
      </w:r>
      <w:proofErr w:type="spellStart"/>
      <w:r w:rsidR="009F76CD">
        <w:t>mmWave</w:t>
      </w:r>
      <w:proofErr w:type="spellEnd"/>
      <w:r w:rsidR="009F76CD">
        <w:t xml:space="preserve"> bands due to propagation characteristics at these frequencies. </w:t>
      </w:r>
      <w:r>
        <w:t>However, due to the wide-beamwidth of FWA antennas coupled with the deployment of potentially hundreds of user terminals within a defined coverage area, there is a trade-off between increasing spectrum utilisation and managing interference. For high-density wide-area FWA deployments (similar to W</w:t>
      </w:r>
      <w:r w:rsidR="00F60E47">
        <w:t>W</w:t>
      </w:r>
      <w:r>
        <w:t xml:space="preserve">B) this is not considered an efficient trade-off. For lower density localised FWA deployments, provided there is enough spectrum to support a few PTP or FWA operators in an area, then the trade-off results in a good balance between managing interference and spectrum utilisation. This is considered to equally apply to sharing between FSS gateways and FWA, since FSS gateways are only transmitting in the 28 GHz band and like PTP also use high directional antennas. Options 1a, 1b, 2 and 3 provide arrangements for sharing between PTP (not in Option 3), FWA and FSS gateways. </w:t>
      </w:r>
    </w:p>
    <w:p w14:paraId="72921E03" w14:textId="270136BD" w:rsidR="00A37BCC" w:rsidRDefault="00704C68" w:rsidP="005D3186">
      <w:r>
        <w:t>Sharing between W</w:t>
      </w:r>
      <w:r w:rsidR="006B38E0">
        <w:t>W</w:t>
      </w:r>
      <w:r>
        <w:t xml:space="preserve">B and other terrestrial based services can be difficult unless there is suitable frequency or geographical separation. While operation within </w:t>
      </w:r>
      <w:proofErr w:type="spellStart"/>
      <w:r>
        <w:t>mmWave</w:t>
      </w:r>
      <w:proofErr w:type="spellEnd"/>
      <w:r>
        <w:t xml:space="preserve"> spectrum may facilitate a greater ability to share, it would increase the risk that a W</w:t>
      </w:r>
      <w:r w:rsidR="00F60E47">
        <w:t>W</w:t>
      </w:r>
      <w:r>
        <w:t>B operator would either be restricted in deploy</w:t>
      </w:r>
      <w:r w:rsidR="005508B5">
        <w:t>ing</w:t>
      </w:r>
      <w:r>
        <w:t xml:space="preserve"> base stations or could not deploy base stations in an area another service is already operating in. This is why spectrum licensing (or area-wide apparatus licensing) is usually considered appropriate for W</w:t>
      </w:r>
      <w:r w:rsidR="00F60E47">
        <w:t>W</w:t>
      </w:r>
      <w:r>
        <w:t xml:space="preserve">B use. Furthermore, providing arrangements for deployment of a high-density wide-area network could be considered as supporting greater spectrum utilisation. Option 1a and 1b provide such arrangements. It is noted that the arrangements for spectrum licensing under these options come at the expense of providing greater access to the band for FSS gateways and ubiquitous FSS. </w:t>
      </w:r>
      <w:r w:rsidR="00A37BCC" w:rsidDel="00704C68">
        <w:t>The coexistence between PTP and FWA is also a well-established practice within several frequency bands. However, due to the wide-beamwidth of FWA antennas coupled with the deployment of potentially hundreds of user terminals within a defined coverage area, there is a trade-off between increasing spectrum utilisation and managing interference</w:t>
      </w:r>
      <w:r w:rsidR="00803DD1">
        <w:t>.</w:t>
      </w:r>
    </w:p>
    <w:p w14:paraId="69E56B32" w14:textId="77777777" w:rsidR="003C0188" w:rsidRDefault="003C0188" w:rsidP="005D3186">
      <w:pPr>
        <w:rPr>
          <w:rFonts w:ascii="Calibri" w:hAnsi="Calibri"/>
        </w:rPr>
      </w:pPr>
      <w:r>
        <w:t xml:space="preserve">The ability of WWB and FWA to share spectrum with FSS satellite receivers has been studied internationally by Task Group 5/1 of the ITU-R and domestically within an industry working group formed by the ACMA. As stated in the paper </w:t>
      </w:r>
      <w:hyperlink r:id="rId56" w:history="1">
        <w:r>
          <w:rPr>
            <w:rStyle w:val="Hyperlink"/>
            <w:i/>
            <w:iCs/>
          </w:rPr>
          <w:t>Future use of the 26 GHz band: Planning decisions and preliminary views</w:t>
        </w:r>
      </w:hyperlink>
      <w:r>
        <w:t xml:space="preserve">, based on these studies, the ACMA is of the view that sharing is possible. However incumbent satellite operators were concerned that the (internationally agreed) parameters and assumptions that underpinned these studies might not be accurate estimates of actual WWB/FWA deployments. To safeguard against any potential divergence between assumed and actual operating conditions, the ACMA has proposed additional licence conditions for WWB or FWA use within satellite footprint areas in frequency segments that overlap with FSS. These additional conditions will be further refined within the technical liaison group that will be formed to develop spectrum licensing arrangements for access to the 26 GHz band. It is expected that any FSS satellite coexistence arrangements developed for the 26 GHz band will also be applicable to the 28 GHz band. </w:t>
      </w:r>
    </w:p>
    <w:p w14:paraId="432DEC38" w14:textId="513D22F9" w:rsidR="00704C68" w:rsidRDefault="006B38E0" w:rsidP="005D3186">
      <w:r>
        <w:t>Sharing between u</w:t>
      </w:r>
      <w:r w:rsidR="009F76CD">
        <w:t xml:space="preserve">biquitous FSS </w:t>
      </w:r>
      <w:r>
        <w:t xml:space="preserve">and PTP/FWA/WWB is possible under segregated spectrum and/or geographical arrangements. As discussed under Principle 4, further sharing on the same frequency and same/close geographic area may be possible if appropriate conditions for use are put in place. Further analysis and consultation with </w:t>
      </w:r>
      <w:r>
        <w:lastRenderedPageBreak/>
        <w:t xml:space="preserve">stakeholders will be required to determine appropriate arrangements to manage the residual risk of interference and associated resolution issues. </w:t>
      </w:r>
      <w:r w:rsidR="0079496B">
        <w:t xml:space="preserve">This approach is considered under possible variants to Options 1b, 2 and 3. </w:t>
      </w:r>
    </w:p>
    <w:p w14:paraId="09D2C4C3" w14:textId="5712D639" w:rsidR="00E862DE" w:rsidRDefault="0079496B" w:rsidP="005D3186">
      <w:r>
        <w:t>Based on the above assessment, Options 1a, 1b</w:t>
      </w:r>
      <w:r w:rsidR="00EE3579">
        <w:t xml:space="preserve"> provide the </w:t>
      </w:r>
      <w:r w:rsidR="00E14658">
        <w:t xml:space="preserve">best </w:t>
      </w:r>
      <w:r w:rsidR="00EE3579">
        <w:t xml:space="preserve">balance </w:t>
      </w:r>
      <w:r w:rsidR="00E14658">
        <w:t>under Principle 5, noting they also provide least access to spectrum for FSS of all the options.</w:t>
      </w:r>
      <w:r>
        <w:t xml:space="preserve"> </w:t>
      </w:r>
      <w:r w:rsidR="00E14658">
        <w:t xml:space="preserve">Options </w:t>
      </w:r>
      <w:r>
        <w:t>2 and 3</w:t>
      </w:r>
      <w:r w:rsidR="00E14658">
        <w:t xml:space="preserve"> provide the next best balance</w:t>
      </w:r>
      <w:r>
        <w:t xml:space="preserve">. </w:t>
      </w:r>
      <w:r w:rsidR="00E14658">
        <w:t>However, as discussed under Principle 1, if it is considered that WWB is not one of the highest value uses of the 28</w:t>
      </w:r>
      <w:r w:rsidR="00D613A6">
        <w:t> </w:t>
      </w:r>
      <w:r w:rsidR="00E14658">
        <w:t xml:space="preserve">GHz band, then Option 2 and 3 would provide the best balance by default. </w:t>
      </w:r>
      <w:r w:rsidR="00E862DE">
        <w:t xml:space="preserve">Option 4 only provides arrangements for the </w:t>
      </w:r>
      <w:r w:rsidR="00E862DE" w:rsidDel="000B3E5A">
        <w:t>FSS</w:t>
      </w:r>
      <w:r w:rsidR="000B3E5A">
        <w:t xml:space="preserve"> and</w:t>
      </w:r>
      <w:r>
        <w:t xml:space="preserve"> given the ability of this service to share with others, </w:t>
      </w:r>
      <w:r w:rsidR="00E862DE">
        <w:t xml:space="preserve">it </w:t>
      </w:r>
      <w:r w:rsidR="00E14658">
        <w:t>is considered to provide the least balance between use and interference management</w:t>
      </w:r>
      <w:r>
        <w:t>.</w:t>
      </w:r>
    </w:p>
    <w:p w14:paraId="30AF5188" w14:textId="753B3288" w:rsidR="00FC4EE0" w:rsidRDefault="00FC4EE0">
      <w:pPr>
        <w:spacing w:after="0" w:line="240" w:lineRule="auto"/>
        <w:rPr>
          <w:rFonts w:cs="Arial"/>
          <w:b/>
          <w:bCs/>
          <w:iCs/>
          <w:sz w:val="28"/>
          <w:szCs w:val="28"/>
        </w:rPr>
      </w:pPr>
      <w:r>
        <w:br w:type="page"/>
      </w:r>
    </w:p>
    <w:p w14:paraId="007484BA" w14:textId="77777777" w:rsidR="00DD2A4B" w:rsidRPr="00A05EC9" w:rsidRDefault="00DD2A4B" w:rsidP="00F1614D">
      <w:pPr>
        <w:pStyle w:val="Heading2"/>
      </w:pPr>
      <w:bookmarkStart w:id="158" w:name="_Ref507597376"/>
      <w:bookmarkStart w:id="159" w:name="_Toc519765123"/>
      <w:bookmarkStart w:id="160" w:name="_Toc521585789"/>
      <w:bookmarkStart w:id="161" w:name="_Toc5000086"/>
      <w:r w:rsidRPr="00A05EC9">
        <w:lastRenderedPageBreak/>
        <w:t>Preferred option</w:t>
      </w:r>
      <w:r w:rsidR="004F63AD" w:rsidRPr="00A05EC9">
        <w:t>s</w:t>
      </w:r>
      <w:bookmarkEnd w:id="158"/>
      <w:bookmarkEnd w:id="159"/>
      <w:bookmarkEnd w:id="160"/>
      <w:bookmarkEnd w:id="161"/>
    </w:p>
    <w:p w14:paraId="39460441" w14:textId="43E51861" w:rsidR="002F6862" w:rsidRDefault="002F6862" w:rsidP="005D3186">
      <w:r>
        <w:t xml:space="preserve">Due to the similarity in issues across both the 26 GHz and 28 GHz bands, </w:t>
      </w:r>
      <w:r w:rsidR="00803924">
        <w:t xml:space="preserve">planning activities in both bands have been </w:t>
      </w:r>
      <w:r w:rsidR="00F42BE4">
        <w:t>progressed</w:t>
      </w:r>
      <w:r w:rsidR="00803924">
        <w:t xml:space="preserve"> largely in parallel. Consequently, it has been possible to consider planning arrangements across the entire 24.25-29.5 GHz range together. This has allowed for </w:t>
      </w:r>
      <w:r>
        <w:t xml:space="preserve">a more holistic assessment of the spectrum needs of </w:t>
      </w:r>
      <w:r w:rsidR="00F42BE4">
        <w:t>the services vying for access to the band</w:t>
      </w:r>
      <w:r>
        <w:t xml:space="preserve"> than would have been the case if </w:t>
      </w:r>
      <w:r w:rsidR="00F42BE4">
        <w:t>they</w:t>
      </w:r>
      <w:r>
        <w:t xml:space="preserve"> were considered in isolation.</w:t>
      </w:r>
    </w:p>
    <w:p w14:paraId="24A894B6" w14:textId="233EA556" w:rsidR="00763F57" w:rsidRDefault="00C1365F" w:rsidP="005D3186">
      <w:r>
        <w:t xml:space="preserve">As a result of the </w:t>
      </w:r>
      <w:r w:rsidR="00F42BE4">
        <w:t xml:space="preserve">2.4 GHz of spectrum </w:t>
      </w:r>
      <w:r>
        <w:t>identified</w:t>
      </w:r>
      <w:r w:rsidR="00142C5E">
        <w:t xml:space="preserve"> for WWB</w:t>
      </w:r>
      <w:r>
        <w:t xml:space="preserve"> </w:t>
      </w:r>
      <w:r w:rsidR="00F42BE4">
        <w:t xml:space="preserve">use </w:t>
      </w:r>
      <w:r>
        <w:t xml:space="preserve">in the 26 GHz band, the ACMA considers that providing support for FSS, FWA and PTP </w:t>
      </w:r>
      <w:r w:rsidR="007134D9">
        <w:t>would</w:t>
      </w:r>
      <w:r w:rsidR="00142C5E">
        <w:t xml:space="preserve"> result in the highest value use of the 28 GHz band. </w:t>
      </w:r>
      <w:r w:rsidR="00763F57">
        <w:t>In particular t</w:t>
      </w:r>
      <w:r w:rsidR="00763F57" w:rsidRPr="00A37173">
        <w:t>he satellite industry has made strong arguments regarding their existing and future spectrum needs in the 28</w:t>
      </w:r>
      <w:r w:rsidR="00D613A6">
        <w:t> </w:t>
      </w:r>
      <w:r w:rsidR="00763F57" w:rsidRPr="00A37173">
        <w:t>GHz band</w:t>
      </w:r>
      <w:r w:rsidR="00763F57">
        <w:t xml:space="preserve"> for both gateway and ubiquitous (including Earth Stations in Motion (ESIM)) uses</w:t>
      </w:r>
      <w:r w:rsidR="00763F57" w:rsidRPr="00A37173">
        <w:t xml:space="preserve">.  </w:t>
      </w:r>
    </w:p>
    <w:p w14:paraId="704125CF" w14:textId="0E28F291" w:rsidR="002A644B" w:rsidRPr="000B14C8" w:rsidRDefault="00763F57" w:rsidP="005D3186">
      <w:r>
        <w:t>B</w:t>
      </w:r>
      <w:r w:rsidR="00F42BE4">
        <w:t xml:space="preserve">y </w:t>
      </w:r>
      <w:r w:rsidR="00142C5E">
        <w:t>t</w:t>
      </w:r>
      <w:r w:rsidR="002A644B">
        <w:t xml:space="preserve">aking into account the outcomes of the 26 GHz band review and the assessment of options presented in this paper, the ACMA has identified Options 2 and 3 as its preferred options. </w:t>
      </w:r>
      <w:r w:rsidR="002A644B" w:rsidRPr="000B14C8">
        <w:t xml:space="preserve">Both options provide additional spectrum for FWA and satellite usage, with the key difference being whether future PTP services are accommodated in the band. </w:t>
      </w:r>
    </w:p>
    <w:p w14:paraId="7C91F0BA" w14:textId="3527DDA3" w:rsidR="0073514E" w:rsidRDefault="004C4C1F" w:rsidP="005D3186">
      <w:r w:rsidRPr="000B14C8">
        <w:t xml:space="preserve">Table </w:t>
      </w:r>
      <w:r w:rsidR="00AF05B4" w:rsidRPr="000B14C8">
        <w:t>5</w:t>
      </w:r>
      <w:r w:rsidRPr="000B14C8" w:rsidDel="004C4C1F">
        <w:t xml:space="preserve"> </w:t>
      </w:r>
      <w:r w:rsidRPr="000B14C8">
        <w:t>and Figures 8 and 9</w:t>
      </w:r>
      <w:r w:rsidRPr="000B14C8" w:rsidDel="004C4C1F">
        <w:t xml:space="preserve"> </w:t>
      </w:r>
      <w:r w:rsidRPr="000B14C8">
        <w:t xml:space="preserve">provide a summary of possible planning outcomes across the 26 GHz and 28 GHz bands assuming the </w:t>
      </w:r>
      <w:r w:rsidR="0024069E" w:rsidRPr="000B14C8">
        <w:t xml:space="preserve">planning </w:t>
      </w:r>
      <w:r w:rsidR="00803924" w:rsidRPr="000B14C8">
        <w:t xml:space="preserve">decisions made in the 26 GHz band and the ACMA’s </w:t>
      </w:r>
      <w:r w:rsidRPr="000B14C8">
        <w:t>currently preferred</w:t>
      </w:r>
      <w:r>
        <w:t xml:space="preserve"> options </w:t>
      </w:r>
      <w:r w:rsidR="00803924">
        <w:t>for the 28 GHz band</w:t>
      </w:r>
      <w:r>
        <w:t>.</w:t>
      </w:r>
      <w:r w:rsidR="0073514E">
        <w:t xml:space="preserve"> </w:t>
      </w:r>
    </w:p>
    <w:p w14:paraId="30C26273" w14:textId="3DDBCD16" w:rsidR="0073514E" w:rsidRDefault="0073514E" w:rsidP="005D3186">
      <w:pPr>
        <w:spacing w:after="80"/>
      </w:pPr>
      <w:r>
        <w:t xml:space="preserve">Of note in the </w:t>
      </w:r>
      <w:r w:rsidR="002A644B">
        <w:t xml:space="preserve">proposed </w:t>
      </w:r>
      <w:r>
        <w:t xml:space="preserve">arrangements </w:t>
      </w:r>
      <w:r w:rsidR="002A644B">
        <w:t>across the entire 26 GHz and 28 GHz band</w:t>
      </w:r>
      <w:r w:rsidR="00C40665">
        <w:t>s</w:t>
      </w:r>
      <w:r w:rsidR="002A644B">
        <w:t xml:space="preserve"> </w:t>
      </w:r>
      <w:r w:rsidR="00197FA2">
        <w:t>is the amount of spectrum being made available for FSS gateway, ubiquitous FSS and FWA use. This includes:</w:t>
      </w:r>
    </w:p>
    <w:p w14:paraId="5B2FADEF" w14:textId="35F34FF9" w:rsidR="003E2400" w:rsidRDefault="003E2400" w:rsidP="005D3186">
      <w:pPr>
        <w:pStyle w:val="ListBullet"/>
      </w:pPr>
      <w:r>
        <w:t xml:space="preserve">The </w:t>
      </w:r>
      <w:r w:rsidR="00142C5E">
        <w:t xml:space="preserve">following </w:t>
      </w:r>
      <w:r w:rsidR="00197FA2">
        <w:t xml:space="preserve">amount of </w:t>
      </w:r>
      <w:r w:rsidR="00142C5E">
        <w:t>spectrum for</w:t>
      </w:r>
      <w:r>
        <w:t xml:space="preserve"> FWA use:</w:t>
      </w:r>
    </w:p>
    <w:p w14:paraId="10D66D75" w14:textId="0FAD1005" w:rsidR="003E2400" w:rsidRDefault="003E2400" w:rsidP="005D3186">
      <w:pPr>
        <w:pStyle w:val="ListBullet"/>
        <w:tabs>
          <w:tab w:val="clear" w:pos="295"/>
          <w:tab w:val="num" w:pos="579"/>
        </w:tabs>
        <w:ind w:left="579"/>
      </w:pPr>
      <w:r>
        <w:t xml:space="preserve">0.8-1 GHz and up to 1.2 GHz </w:t>
      </w:r>
      <w:r w:rsidR="00142C5E">
        <w:t xml:space="preserve">(practically 1 GHz when taking into account the need for guard bands) </w:t>
      </w:r>
      <w:r>
        <w:t>of spectrum inside large population centres under Options 2 and 3 respectively;</w:t>
      </w:r>
    </w:p>
    <w:p w14:paraId="3F2412A6" w14:textId="56F47F7E" w:rsidR="003E2400" w:rsidRDefault="003E2400" w:rsidP="005D3186">
      <w:pPr>
        <w:pStyle w:val="ListBullet"/>
        <w:tabs>
          <w:tab w:val="clear" w:pos="295"/>
          <w:tab w:val="num" w:pos="579"/>
        </w:tabs>
        <w:ind w:left="579"/>
      </w:pPr>
      <w:r>
        <w:t>2.8 GHz of spectrum outside of large population centres, noting this will be of interest to both FWA and WWB operators;</w:t>
      </w:r>
    </w:p>
    <w:p w14:paraId="7CCBD9F7" w14:textId="3DADD275" w:rsidR="003E2400" w:rsidRDefault="00C1365F" w:rsidP="005D3186">
      <w:pPr>
        <w:pStyle w:val="ListBullet"/>
        <w:tabs>
          <w:tab w:val="clear" w:pos="295"/>
          <w:tab w:val="num" w:pos="579"/>
        </w:tabs>
        <w:ind w:left="579"/>
      </w:pPr>
      <w:r>
        <w:t xml:space="preserve">The possible addition of an extra 0.8-1 GHz and up to 1.2 GHz </w:t>
      </w:r>
      <w:r w:rsidR="00142C5E">
        <w:t xml:space="preserve">(practically 1 GHz when taking into account the need for guard bands) </w:t>
      </w:r>
      <w:r>
        <w:t xml:space="preserve">of spectrum </w:t>
      </w:r>
      <w:r w:rsidR="00197FA2">
        <w:t>outside</w:t>
      </w:r>
      <w:r>
        <w:t xml:space="preserve"> large population centres under Options 2 and 3 respectively. As access to this spectrum would be on a shared basis with </w:t>
      </w:r>
      <w:r w:rsidR="00197FA2">
        <w:t>ubiquitous FSS</w:t>
      </w:r>
      <w:r>
        <w:t xml:space="preserve">, </w:t>
      </w:r>
      <w:r w:rsidR="00197FA2">
        <w:t>such use would be on a ‘no protection’ basis for FWA</w:t>
      </w:r>
      <w:r>
        <w:t>.</w:t>
      </w:r>
    </w:p>
    <w:p w14:paraId="0136E646" w14:textId="6CA23BA0" w:rsidR="002A644B" w:rsidRDefault="00197FA2" w:rsidP="005D3186">
      <w:pPr>
        <w:pStyle w:val="ListBullet"/>
      </w:pPr>
      <w:r>
        <w:t xml:space="preserve">The following amount of spectrum for </w:t>
      </w:r>
      <w:r w:rsidR="004C4C1F">
        <w:t>ubiquitous FSS</w:t>
      </w:r>
      <w:r w:rsidR="00142C5E">
        <w:t xml:space="preserve"> use</w:t>
      </w:r>
      <w:r w:rsidR="002A644B">
        <w:t>:</w:t>
      </w:r>
      <w:r w:rsidR="0073514E">
        <w:t xml:space="preserve"> </w:t>
      </w:r>
    </w:p>
    <w:p w14:paraId="2B2CD932" w14:textId="625723D9" w:rsidR="0073514E" w:rsidRDefault="002A644B" w:rsidP="005D3186">
      <w:pPr>
        <w:pStyle w:val="ListBullet"/>
        <w:tabs>
          <w:tab w:val="clear" w:pos="295"/>
          <w:tab w:val="num" w:pos="579"/>
        </w:tabs>
        <w:ind w:left="579"/>
      </w:pPr>
      <w:r>
        <w:t xml:space="preserve">1.2 GHz and 1.4/1.6 GHz of exclusive FSS spectrum inside large population centres </w:t>
      </w:r>
      <w:r w:rsidR="003E2400">
        <w:t>under</w:t>
      </w:r>
      <w:r>
        <w:t xml:space="preserve"> Options 2 and 3 respectively – an increase of 600 MHz to 1 GHz;  </w:t>
      </w:r>
    </w:p>
    <w:p w14:paraId="007695EC" w14:textId="24C52260" w:rsidR="002A644B" w:rsidRDefault="003E2400" w:rsidP="005D3186">
      <w:pPr>
        <w:pStyle w:val="ListBullet"/>
        <w:tabs>
          <w:tab w:val="clear" w:pos="295"/>
          <w:tab w:val="num" w:pos="579"/>
        </w:tabs>
        <w:ind w:left="579"/>
      </w:pPr>
      <w:r>
        <w:t xml:space="preserve">The possible </w:t>
      </w:r>
      <w:r w:rsidR="002A644B">
        <w:t>addition</w:t>
      </w:r>
      <w:r>
        <w:t xml:space="preserve"> of</w:t>
      </w:r>
      <w:r w:rsidR="002A644B">
        <w:t xml:space="preserve"> </w:t>
      </w:r>
      <w:r>
        <w:t xml:space="preserve">an extra </w:t>
      </w:r>
      <w:r w:rsidR="002A644B">
        <w:t xml:space="preserve">800 MHz and 400/600 MHz of spectrum inside large population centres </w:t>
      </w:r>
      <w:r>
        <w:t>under</w:t>
      </w:r>
      <w:r w:rsidR="002A644B">
        <w:t xml:space="preserve"> Options 2 and 3 respectively. </w:t>
      </w:r>
      <w:r>
        <w:t>As access to this spectrum would be</w:t>
      </w:r>
      <w:r w:rsidR="002A644B">
        <w:t xml:space="preserve"> on a shared basis with other services</w:t>
      </w:r>
      <w:r>
        <w:t>,</w:t>
      </w:r>
      <w:r w:rsidR="002A644B">
        <w:t xml:space="preserve"> deployment restrictions</w:t>
      </w:r>
      <w:r>
        <w:t xml:space="preserve"> will need to be applied to ubiquitous FSS use to manage interference</w:t>
      </w:r>
      <w:r w:rsidR="00F42BE4">
        <w:t>; and</w:t>
      </w:r>
    </w:p>
    <w:p w14:paraId="79535AE0" w14:textId="41A5C527" w:rsidR="00197FA2" w:rsidRDefault="00197FA2" w:rsidP="005D3186">
      <w:pPr>
        <w:pStyle w:val="ListBullet"/>
        <w:tabs>
          <w:tab w:val="clear" w:pos="295"/>
          <w:tab w:val="num" w:pos="579"/>
        </w:tabs>
        <w:ind w:left="579"/>
      </w:pPr>
      <w:r>
        <w:t>2 GHz (the entire 28 GHz band) exclusive FSS spectrum outside of large population centres under both Options 2 and 3 - an increase of 1.4 GHz</w:t>
      </w:r>
      <w:r w:rsidR="00F42BE4">
        <w:t>.</w:t>
      </w:r>
    </w:p>
    <w:p w14:paraId="6C4D4D06" w14:textId="73593E4E" w:rsidR="00197FA2" w:rsidRDefault="00197FA2" w:rsidP="005D3186">
      <w:pPr>
        <w:pStyle w:val="ListParagraph"/>
        <w:keepNext/>
        <w:keepLines/>
        <w:numPr>
          <w:ilvl w:val="0"/>
          <w:numId w:val="72"/>
        </w:numPr>
        <w:spacing w:after="120"/>
      </w:pPr>
      <w:r>
        <w:lastRenderedPageBreak/>
        <w:t xml:space="preserve">The following amount of spectrum for FSS gateway use: </w:t>
      </w:r>
    </w:p>
    <w:p w14:paraId="0AABBD63" w14:textId="2E72812F" w:rsidR="00197FA2" w:rsidRDefault="00F42BE4" w:rsidP="005D3186">
      <w:pPr>
        <w:pStyle w:val="ListBullet"/>
        <w:keepNext/>
        <w:keepLines/>
        <w:tabs>
          <w:tab w:val="clear" w:pos="295"/>
          <w:tab w:val="num" w:pos="579"/>
        </w:tabs>
        <w:ind w:left="579"/>
      </w:pPr>
      <w:r>
        <w:t xml:space="preserve">2 GHz of </w:t>
      </w:r>
      <w:r w:rsidR="00197FA2">
        <w:t>spectrum</w:t>
      </w:r>
      <w:r>
        <w:t xml:space="preserve"> (the entire 28 GHz band)</w:t>
      </w:r>
      <w:r w:rsidR="00197FA2">
        <w:t xml:space="preserve"> inside large population centres under Options 2 and 3 respectively</w:t>
      </w:r>
      <w:r w:rsidR="00F41010">
        <w:t>—</w:t>
      </w:r>
      <w:r>
        <w:t xml:space="preserve">this maintains the status quo in the 28 GHz band. However, </w:t>
      </w:r>
      <w:r w:rsidR="00F135A0">
        <w:t>there is</w:t>
      </w:r>
      <w:r>
        <w:t xml:space="preserve"> 500 MHz</w:t>
      </w:r>
      <w:r w:rsidR="00F60E47">
        <w:t xml:space="preserve"> less spectrum</w:t>
      </w:r>
      <w:r>
        <w:t xml:space="preserve"> </w:t>
      </w:r>
      <w:r w:rsidR="00F135A0">
        <w:t>available for new FSS gateways inside large population centres</w:t>
      </w:r>
      <w:r w:rsidR="00F60E47">
        <w:t xml:space="preserve"> in the 27</w:t>
      </w:r>
      <w:r w:rsidR="00F41010">
        <w:t>–</w:t>
      </w:r>
      <w:r w:rsidR="00F60E47">
        <w:t>27.5 GHz range</w:t>
      </w:r>
      <w:r w:rsidR="00197FA2">
        <w:t xml:space="preserve">;  </w:t>
      </w:r>
    </w:p>
    <w:p w14:paraId="249FB19A" w14:textId="08BEE509" w:rsidR="00197FA2" w:rsidRDefault="00197FA2" w:rsidP="005D3186">
      <w:pPr>
        <w:pStyle w:val="ListBullet"/>
        <w:keepNext/>
        <w:keepLines/>
        <w:tabs>
          <w:tab w:val="clear" w:pos="295"/>
          <w:tab w:val="num" w:pos="579"/>
        </w:tabs>
        <w:ind w:left="579"/>
      </w:pPr>
      <w:r>
        <w:t>The possible addition of an extra 800 MHz and 400/600 MHz of spectrum inside large population centres under Options 2 and 3 respectively. As access to this spectrum would be on a shared basis with other services, deployment restrictions will need to be applied to ubiquitous FSS use to manage interference</w:t>
      </w:r>
      <w:r w:rsidR="00F42BE4">
        <w:t>;</w:t>
      </w:r>
    </w:p>
    <w:p w14:paraId="23702278" w14:textId="239454A2" w:rsidR="00F42BE4" w:rsidRDefault="00F42BE4" w:rsidP="005D3186">
      <w:pPr>
        <w:pStyle w:val="ListBullet"/>
        <w:keepNext/>
        <w:keepLines/>
        <w:tabs>
          <w:tab w:val="clear" w:pos="295"/>
          <w:tab w:val="num" w:pos="579"/>
        </w:tabs>
        <w:ind w:left="579"/>
      </w:pPr>
      <w:r>
        <w:t>2.5 GHz (from 27</w:t>
      </w:r>
      <w:r w:rsidR="00F41010">
        <w:t>–</w:t>
      </w:r>
      <w:r>
        <w:t>29.5 GHz) of spectrum outside of large population centres under both Options 2 and 3</w:t>
      </w:r>
      <w:r w:rsidR="00F41010">
        <w:t>—</w:t>
      </w:r>
      <w:r>
        <w:t>this maintains current spectrum availability.</w:t>
      </w:r>
    </w:p>
    <w:p w14:paraId="444C98F7" w14:textId="537E71F6" w:rsidR="000861BD" w:rsidRPr="00FC3A1E" w:rsidRDefault="004C4C1F" w:rsidP="00E422B1">
      <w:pPr>
        <w:pStyle w:val="ListParagraph"/>
        <w:numPr>
          <w:ilvl w:val="0"/>
          <w:numId w:val="79"/>
        </w:numPr>
        <w:shd w:val="clear" w:color="auto" w:fill="F2F2F2" w:themeFill="background1" w:themeFillShade="F2"/>
        <w:spacing w:before="360" w:after="120" w:line="240" w:lineRule="auto"/>
        <w:ind w:left="426" w:hanging="426"/>
        <w:contextualSpacing w:val="0"/>
        <w:rPr>
          <w:b/>
        </w:rPr>
      </w:pPr>
      <w:r>
        <w:rPr>
          <w:b/>
        </w:rPr>
        <w:t>The ACMA invites comment on its currently preferred options. Should other options be considered?</w:t>
      </w:r>
    </w:p>
    <w:p w14:paraId="74BF63C0" w14:textId="77777777" w:rsidR="00803924" w:rsidRDefault="00803924" w:rsidP="00803924">
      <w:pPr>
        <w:spacing w:after="120"/>
      </w:pPr>
      <w:r>
        <w:t xml:space="preserve">To help inform its decision making, the ACMA also intends to run a separate consultation process on the viability of wide channel PTP arrangements in the 38 GHz band. This will be done </w:t>
      </w:r>
      <w:r w:rsidRPr="00766E64">
        <w:t>in Q2 2019</w:t>
      </w:r>
      <w:r>
        <w:t xml:space="preserve"> with</w:t>
      </w:r>
      <w:r w:rsidRPr="00766E64">
        <w:t xml:space="preserve"> a decision </w:t>
      </w:r>
      <w:r>
        <w:t>expected by</w:t>
      </w:r>
      <w:r w:rsidRPr="006274C7">
        <w:t xml:space="preserve"> </w:t>
      </w:r>
      <w:r>
        <w:t>early Q3</w:t>
      </w:r>
      <w:r w:rsidRPr="006274C7">
        <w:t xml:space="preserve"> 2019</w:t>
      </w:r>
      <w:r>
        <w:t>.</w:t>
      </w:r>
    </w:p>
    <w:p w14:paraId="6D62A92B" w14:textId="77777777" w:rsidR="00803924" w:rsidRDefault="00803924" w:rsidP="00AF05B4">
      <w:pPr>
        <w:spacing w:after="120"/>
      </w:pPr>
      <w:r>
        <w:t>Pending the outcome of this separate discussion process, the ACMA will decide on the future of PTP arrangements in the 28 GHz band. This along with f</w:t>
      </w:r>
      <w:r w:rsidRPr="00A37173">
        <w:t xml:space="preserve">eedback on </w:t>
      </w:r>
      <w:r>
        <w:t xml:space="preserve">all the issues presented in this paper </w:t>
      </w:r>
      <w:r w:rsidRPr="00A37173">
        <w:t>will</w:t>
      </w:r>
      <w:r>
        <w:t xml:space="preserve"> </w:t>
      </w:r>
      <w:r w:rsidRPr="00A37173">
        <w:t>help inform which identified option</w:t>
      </w:r>
      <w:r>
        <w:t xml:space="preserve"> </w:t>
      </w:r>
      <w:r w:rsidRPr="00A37173">
        <w:t xml:space="preserve">or variant best meets the objective of maximising the overall public benefit from use of the band.  </w:t>
      </w:r>
    </w:p>
    <w:p w14:paraId="7B79EC53" w14:textId="0994BFDF" w:rsidR="00F2242C" w:rsidRDefault="00F2242C" w:rsidP="005D3186">
      <w:pPr>
        <w:spacing w:after="80"/>
      </w:pPr>
      <w:r>
        <w:t>It is further noted that:</w:t>
      </w:r>
    </w:p>
    <w:p w14:paraId="2A9A5029" w14:textId="0C7F8D51" w:rsidR="00F2242C" w:rsidRDefault="00F2242C" w:rsidP="00F2242C">
      <w:pPr>
        <w:pStyle w:val="ListBullet"/>
      </w:pPr>
      <w:r>
        <w:t xml:space="preserve">the existing arrangements for body scanners defined in the </w:t>
      </w:r>
      <w:hyperlink r:id="rId57" w:history="1">
        <w:r w:rsidRPr="005D3186">
          <w:rPr>
            <w:rStyle w:val="Hyperlink"/>
          </w:rPr>
          <w:t>Radiocommunications (Low Interference Potential Devices) Class Licence 2015</w:t>
        </w:r>
      </w:hyperlink>
      <w:r w:rsidRPr="00FA520E">
        <w:t xml:space="preserve"> </w:t>
      </w:r>
      <w:r>
        <w:t>are considered to be appropriate and therefore will be maintained irrespective of the final planning option adopted for the 28 GHz band</w:t>
      </w:r>
    </w:p>
    <w:p w14:paraId="15FEAB58" w14:textId="145D1453" w:rsidR="00F2242C" w:rsidRDefault="00F2242C" w:rsidP="00F2242C">
      <w:pPr>
        <w:pStyle w:val="ListBullet"/>
      </w:pPr>
      <w:r>
        <w:t>the existing arrangements in the frequency range 28.5 GHz to 29.1 GHz for the FSS are considered to be appropriate therefore will be maintained irrespective of the final planning option adopted for the 28 GHz band</w:t>
      </w:r>
    </w:p>
    <w:p w14:paraId="70AF1386" w14:textId="5236FBCB" w:rsidR="00803924" w:rsidRDefault="00803924" w:rsidP="00E141D1">
      <w:pPr>
        <w:pStyle w:val="ListBullet"/>
        <w:spacing w:after="240"/>
      </w:pPr>
      <w:r>
        <w:t>this paper is limited to considering options and arrangements for the FSS uplink in the 27.5</w:t>
      </w:r>
      <w:r w:rsidR="00414D9C">
        <w:t>–</w:t>
      </w:r>
      <w:r>
        <w:t>29.5 GHz band. Options for the associated FSS downlink segment (17.7</w:t>
      </w:r>
      <w:r w:rsidR="00414D9C">
        <w:t>–</w:t>
      </w:r>
      <w:r>
        <w:t xml:space="preserve">20.2 GHz band) are not included. </w:t>
      </w:r>
      <w:r w:rsidR="002812AA">
        <w:t>The ACMA expects to undertake further work on the associated downlink segment, when the scope of changes required for the uplink segment are clear</w:t>
      </w:r>
      <w:r w:rsidR="0073514E">
        <w:t>.</w:t>
      </w:r>
    </w:p>
    <w:p w14:paraId="718526CA" w14:textId="5A3450D0" w:rsidR="00803924" w:rsidRDefault="00803924" w:rsidP="00755DAF">
      <w:pPr>
        <w:spacing w:after="120"/>
      </w:pPr>
    </w:p>
    <w:p w14:paraId="023CCB90" w14:textId="2FE11988" w:rsidR="000861BD" w:rsidRDefault="000861BD" w:rsidP="00755DAF">
      <w:pPr>
        <w:spacing w:after="120"/>
      </w:pPr>
    </w:p>
    <w:p w14:paraId="2D7B7645" w14:textId="77777777" w:rsidR="000861BD" w:rsidRDefault="000861BD" w:rsidP="00AF05B4">
      <w:pPr>
        <w:spacing w:after="120"/>
      </w:pPr>
    </w:p>
    <w:p w14:paraId="43F34CC8" w14:textId="492C5EB2" w:rsidR="0055177A" w:rsidRDefault="0055177A" w:rsidP="00AF05B4">
      <w:pPr>
        <w:spacing w:after="120"/>
      </w:pPr>
    </w:p>
    <w:p w14:paraId="0E95FC1B" w14:textId="77777777" w:rsidR="00E26B73" w:rsidRDefault="00E26B73" w:rsidP="004F63AD">
      <w:pPr>
        <w:sectPr w:rsidR="00E26B73" w:rsidSect="0037736E">
          <w:headerReference w:type="even" r:id="rId58"/>
          <w:headerReference w:type="default" r:id="rId59"/>
          <w:footerReference w:type="even" r:id="rId60"/>
          <w:footerReference w:type="default" r:id="rId61"/>
          <w:pgSz w:w="11906" w:h="16838" w:code="9"/>
          <w:pgMar w:top="1945" w:right="3101" w:bottom="1134" w:left="1134" w:header="709" w:footer="119" w:gutter="0"/>
          <w:cols w:space="708"/>
          <w:docGrid w:linePitch="360"/>
        </w:sectPr>
      </w:pPr>
    </w:p>
    <w:p w14:paraId="41887393" w14:textId="482EB340" w:rsidR="0055177A" w:rsidRPr="00AF05B4" w:rsidRDefault="004C4C1F" w:rsidP="00AF05B4">
      <w:pPr>
        <w:pStyle w:val="ACMATableHeader"/>
        <w:spacing w:before="120" w:after="120"/>
      </w:pPr>
      <w:r w:rsidRPr="00AF05B4">
        <w:lastRenderedPageBreak/>
        <w:t>Summary of planning outcomes across the 26 GHz and 28 GHz bands for the two preferred options</w:t>
      </w:r>
    </w:p>
    <w:tbl>
      <w:tblPr>
        <w:tblStyle w:val="TableGrid"/>
        <w:tblW w:w="15167" w:type="dxa"/>
        <w:tblInd w:w="-572" w:type="dxa"/>
        <w:tblLayout w:type="fixed"/>
        <w:tblLook w:val="04A0" w:firstRow="1" w:lastRow="0" w:firstColumn="1" w:lastColumn="0" w:noHBand="0" w:noVBand="1"/>
      </w:tblPr>
      <w:tblGrid>
        <w:gridCol w:w="1276"/>
        <w:gridCol w:w="2192"/>
        <w:gridCol w:w="2340"/>
        <w:gridCol w:w="1705"/>
        <w:gridCol w:w="2974"/>
        <w:gridCol w:w="2340"/>
        <w:gridCol w:w="2340"/>
      </w:tblGrid>
      <w:tr w:rsidR="00E26B73" w14:paraId="0F2A3CBF" w14:textId="20945BF1" w:rsidTr="005D3186">
        <w:trPr>
          <w:trHeight w:val="261"/>
        </w:trPr>
        <w:tc>
          <w:tcPr>
            <w:tcW w:w="1276" w:type="dxa"/>
            <w:shd w:val="clear" w:color="auto" w:fill="404040" w:themeFill="text1" w:themeFillTint="BF"/>
            <w:vAlign w:val="center"/>
          </w:tcPr>
          <w:p w14:paraId="412DC677" w14:textId="13926614" w:rsidR="00E26B73" w:rsidRPr="005D3186" w:rsidRDefault="00E26B73" w:rsidP="00666295">
            <w:pPr>
              <w:spacing w:after="0"/>
              <w:rPr>
                <w:b/>
                <w:color w:val="FFFFFF" w:themeColor="background1"/>
              </w:rPr>
            </w:pPr>
            <w:r w:rsidRPr="005D3186">
              <w:rPr>
                <w:b/>
                <w:color w:val="FFFFFF" w:themeColor="background1"/>
              </w:rPr>
              <w:t>Scenario</w:t>
            </w:r>
          </w:p>
        </w:tc>
        <w:tc>
          <w:tcPr>
            <w:tcW w:w="2192" w:type="dxa"/>
            <w:shd w:val="clear" w:color="auto" w:fill="404040" w:themeFill="text1" w:themeFillTint="BF"/>
            <w:vAlign w:val="center"/>
          </w:tcPr>
          <w:p w14:paraId="142395CE" w14:textId="77777777" w:rsidR="00E26B73" w:rsidRPr="005D3186" w:rsidRDefault="00E26B73" w:rsidP="00666295">
            <w:pPr>
              <w:spacing w:after="0"/>
              <w:rPr>
                <w:b/>
                <w:color w:val="FFFFFF" w:themeColor="background1"/>
                <w:vertAlign w:val="superscript"/>
              </w:rPr>
            </w:pPr>
            <w:r w:rsidRPr="005D3186">
              <w:rPr>
                <w:b/>
                <w:color w:val="FFFFFF" w:themeColor="background1"/>
              </w:rPr>
              <w:t>FSS (Gateway)</w:t>
            </w:r>
          </w:p>
        </w:tc>
        <w:tc>
          <w:tcPr>
            <w:tcW w:w="2340" w:type="dxa"/>
            <w:shd w:val="clear" w:color="auto" w:fill="404040" w:themeFill="text1" w:themeFillTint="BF"/>
            <w:vAlign w:val="center"/>
          </w:tcPr>
          <w:p w14:paraId="3436B9C2" w14:textId="77777777" w:rsidR="00E26B73" w:rsidRPr="005D3186" w:rsidRDefault="00E26B73" w:rsidP="00666295">
            <w:pPr>
              <w:spacing w:after="0"/>
              <w:rPr>
                <w:b/>
                <w:color w:val="FFFFFF" w:themeColor="background1"/>
                <w:vertAlign w:val="superscript"/>
              </w:rPr>
            </w:pPr>
            <w:r w:rsidRPr="005D3186">
              <w:rPr>
                <w:b/>
                <w:color w:val="FFFFFF" w:themeColor="background1"/>
              </w:rPr>
              <w:t>FSS (ubiquitous)</w:t>
            </w:r>
          </w:p>
        </w:tc>
        <w:tc>
          <w:tcPr>
            <w:tcW w:w="1705" w:type="dxa"/>
            <w:shd w:val="clear" w:color="auto" w:fill="404040" w:themeFill="text1" w:themeFillTint="BF"/>
            <w:vAlign w:val="center"/>
          </w:tcPr>
          <w:p w14:paraId="32810A9D" w14:textId="7A81148F" w:rsidR="00E26B73" w:rsidRPr="005D3186" w:rsidRDefault="00E26B73" w:rsidP="00666295">
            <w:pPr>
              <w:spacing w:after="0"/>
              <w:rPr>
                <w:b/>
                <w:color w:val="FFFFFF" w:themeColor="background1"/>
              </w:rPr>
            </w:pPr>
            <w:r w:rsidRPr="005D3186">
              <w:rPr>
                <w:b/>
                <w:color w:val="FFFFFF" w:themeColor="background1"/>
              </w:rPr>
              <w:t>W</w:t>
            </w:r>
            <w:r w:rsidR="00F60E47" w:rsidRPr="005D3186">
              <w:rPr>
                <w:b/>
                <w:color w:val="FFFFFF" w:themeColor="background1"/>
              </w:rPr>
              <w:t>W</w:t>
            </w:r>
            <w:r w:rsidRPr="005D3186">
              <w:rPr>
                <w:b/>
                <w:color w:val="FFFFFF" w:themeColor="background1"/>
              </w:rPr>
              <w:t>B</w:t>
            </w:r>
          </w:p>
        </w:tc>
        <w:tc>
          <w:tcPr>
            <w:tcW w:w="2974" w:type="dxa"/>
            <w:shd w:val="clear" w:color="auto" w:fill="404040" w:themeFill="text1" w:themeFillTint="BF"/>
            <w:vAlign w:val="center"/>
          </w:tcPr>
          <w:p w14:paraId="1B80F949" w14:textId="77777777" w:rsidR="00E26B73" w:rsidRPr="005D3186" w:rsidRDefault="00E26B73" w:rsidP="00666295">
            <w:pPr>
              <w:spacing w:after="0"/>
              <w:rPr>
                <w:b/>
                <w:color w:val="FFFFFF" w:themeColor="background1"/>
              </w:rPr>
            </w:pPr>
            <w:r w:rsidRPr="005D3186">
              <w:rPr>
                <w:b/>
                <w:color w:val="FFFFFF" w:themeColor="background1"/>
              </w:rPr>
              <w:t xml:space="preserve">FWA </w:t>
            </w:r>
          </w:p>
        </w:tc>
        <w:tc>
          <w:tcPr>
            <w:tcW w:w="2340" w:type="dxa"/>
            <w:shd w:val="clear" w:color="auto" w:fill="404040" w:themeFill="text1" w:themeFillTint="BF"/>
            <w:vAlign w:val="center"/>
          </w:tcPr>
          <w:p w14:paraId="3DE82D9A" w14:textId="77777777" w:rsidR="00E26B73" w:rsidRPr="005D3186" w:rsidRDefault="00E26B73" w:rsidP="00666295">
            <w:pPr>
              <w:spacing w:after="0"/>
              <w:rPr>
                <w:b/>
                <w:color w:val="FFFFFF" w:themeColor="background1"/>
                <w:vertAlign w:val="superscript"/>
              </w:rPr>
            </w:pPr>
            <w:r w:rsidRPr="005D3186">
              <w:rPr>
                <w:b/>
                <w:color w:val="FFFFFF" w:themeColor="background1"/>
              </w:rPr>
              <w:t>PTP</w:t>
            </w:r>
          </w:p>
        </w:tc>
        <w:tc>
          <w:tcPr>
            <w:tcW w:w="2340" w:type="dxa"/>
            <w:shd w:val="clear" w:color="auto" w:fill="404040" w:themeFill="text1" w:themeFillTint="BF"/>
          </w:tcPr>
          <w:p w14:paraId="7697EC9D" w14:textId="1705474B" w:rsidR="00E26B73" w:rsidRPr="005D3186" w:rsidRDefault="00E26B73" w:rsidP="00666295">
            <w:pPr>
              <w:spacing w:after="0"/>
              <w:rPr>
                <w:b/>
                <w:color w:val="FFFFFF" w:themeColor="background1"/>
              </w:rPr>
            </w:pPr>
            <w:r w:rsidRPr="005D3186">
              <w:rPr>
                <w:b/>
                <w:color w:val="FFFFFF" w:themeColor="background1"/>
              </w:rPr>
              <w:t>Class Licence Broadband</w:t>
            </w:r>
          </w:p>
        </w:tc>
      </w:tr>
      <w:tr w:rsidR="00E26B73" w14:paraId="6E6FD4D8" w14:textId="7209758A" w:rsidTr="00B11477">
        <w:trPr>
          <w:trHeight w:val="512"/>
        </w:trPr>
        <w:tc>
          <w:tcPr>
            <w:tcW w:w="1276" w:type="dxa"/>
          </w:tcPr>
          <w:p w14:paraId="1117E759" w14:textId="77777777" w:rsidR="00E26B73" w:rsidRPr="00B11477" w:rsidRDefault="00E26B73" w:rsidP="00666295">
            <w:pPr>
              <w:spacing w:after="0"/>
              <w:rPr>
                <w:b/>
                <w:i/>
                <w:szCs w:val="20"/>
              </w:rPr>
            </w:pPr>
            <w:r w:rsidRPr="00B11477">
              <w:rPr>
                <w:b/>
                <w:i/>
                <w:szCs w:val="20"/>
              </w:rPr>
              <w:t xml:space="preserve">26 GHz decisions and </w:t>
            </w:r>
          </w:p>
          <w:p w14:paraId="406A203A" w14:textId="22667F14" w:rsidR="00E26B73" w:rsidRPr="00817619" w:rsidRDefault="00E26B73" w:rsidP="00666295">
            <w:pPr>
              <w:spacing w:after="0"/>
              <w:rPr>
                <w:szCs w:val="20"/>
              </w:rPr>
            </w:pPr>
            <w:r w:rsidRPr="00B11477">
              <w:rPr>
                <w:b/>
                <w:i/>
                <w:szCs w:val="20"/>
              </w:rPr>
              <w:t>28 GHz</w:t>
            </w:r>
            <w:r w:rsidR="00043F91">
              <w:rPr>
                <w:b/>
                <w:i/>
                <w:szCs w:val="20"/>
              </w:rPr>
              <w:t>–</w:t>
            </w:r>
            <w:r w:rsidRPr="00AC6904">
              <w:rPr>
                <w:b/>
                <w:szCs w:val="20"/>
              </w:rPr>
              <w:t>Option 2</w:t>
            </w:r>
          </w:p>
        </w:tc>
        <w:tc>
          <w:tcPr>
            <w:tcW w:w="2192" w:type="dxa"/>
            <w:tcMar>
              <w:left w:w="57" w:type="dxa"/>
              <w:right w:w="57" w:type="dxa"/>
            </w:tcMar>
          </w:tcPr>
          <w:p w14:paraId="0705350B" w14:textId="5125DE0F" w:rsidR="00E26B73" w:rsidRDefault="00E26B73" w:rsidP="00666295">
            <w:pPr>
              <w:spacing w:after="0"/>
              <w:rPr>
                <w:szCs w:val="20"/>
              </w:rPr>
            </w:pPr>
            <w:r>
              <w:rPr>
                <w:szCs w:val="20"/>
                <w:u w:val="single"/>
              </w:rPr>
              <w:t>27</w:t>
            </w:r>
            <w:r w:rsidR="00414D9C">
              <w:rPr>
                <w:szCs w:val="20"/>
                <w:u w:val="single"/>
              </w:rPr>
              <w:t>–</w:t>
            </w:r>
            <w:r>
              <w:rPr>
                <w:szCs w:val="20"/>
                <w:u w:val="single"/>
              </w:rPr>
              <w:t xml:space="preserve">27.5 GHz </w:t>
            </w:r>
          </w:p>
          <w:p w14:paraId="7C78FF24" w14:textId="1E0C88FB" w:rsidR="00E26B73" w:rsidRPr="00AC6904" w:rsidRDefault="00E26B73" w:rsidP="00666295">
            <w:pPr>
              <w:spacing w:after="0"/>
              <w:rPr>
                <w:szCs w:val="20"/>
              </w:rPr>
            </w:pPr>
            <w:r>
              <w:rPr>
                <w:szCs w:val="20"/>
              </w:rPr>
              <w:t xml:space="preserve">Outside </w:t>
            </w:r>
            <w:r w:rsidR="001A65F9">
              <w:rPr>
                <w:szCs w:val="20"/>
              </w:rPr>
              <w:t>large</w:t>
            </w:r>
            <w:r>
              <w:rPr>
                <w:szCs w:val="20"/>
              </w:rPr>
              <w:t xml:space="preserve"> population centres</w:t>
            </w:r>
          </w:p>
          <w:p w14:paraId="78891131" w14:textId="77777777" w:rsidR="00E26B73" w:rsidRDefault="00E26B73" w:rsidP="00666295">
            <w:pPr>
              <w:spacing w:after="0"/>
              <w:rPr>
                <w:szCs w:val="20"/>
                <w:u w:val="single"/>
              </w:rPr>
            </w:pPr>
          </w:p>
          <w:p w14:paraId="426316E7" w14:textId="34C4BD57" w:rsidR="00E26B73" w:rsidRPr="00817619" w:rsidRDefault="00E26B73" w:rsidP="00666295">
            <w:pPr>
              <w:spacing w:after="0"/>
              <w:rPr>
                <w:szCs w:val="20"/>
                <w:u w:val="single"/>
              </w:rPr>
            </w:pPr>
            <w:r w:rsidRPr="00817619">
              <w:rPr>
                <w:szCs w:val="20"/>
                <w:u w:val="single"/>
              </w:rPr>
              <w:t>27.5</w:t>
            </w:r>
            <w:r w:rsidR="00414D9C">
              <w:rPr>
                <w:szCs w:val="20"/>
                <w:u w:val="single"/>
              </w:rPr>
              <w:t>–</w:t>
            </w:r>
            <w:r w:rsidRPr="00817619">
              <w:rPr>
                <w:szCs w:val="20"/>
                <w:u w:val="single"/>
              </w:rPr>
              <w:t>29.5 GHz</w:t>
            </w:r>
          </w:p>
          <w:p w14:paraId="6E7280D8" w14:textId="01458694" w:rsidR="00E26B73" w:rsidRPr="00817619" w:rsidRDefault="00E26B73" w:rsidP="00666295">
            <w:pPr>
              <w:spacing w:after="0"/>
              <w:rPr>
                <w:szCs w:val="20"/>
              </w:rPr>
            </w:pPr>
            <w:r w:rsidRPr="00817619">
              <w:rPr>
                <w:szCs w:val="20"/>
              </w:rPr>
              <w:t xml:space="preserve">Australia-wide </w:t>
            </w:r>
          </w:p>
        </w:tc>
        <w:tc>
          <w:tcPr>
            <w:tcW w:w="2340" w:type="dxa"/>
            <w:tcMar>
              <w:left w:w="57" w:type="dxa"/>
              <w:right w:w="57" w:type="dxa"/>
            </w:tcMar>
          </w:tcPr>
          <w:p w14:paraId="37CFFF17" w14:textId="7AA08EEA" w:rsidR="00E26B73" w:rsidRDefault="00E26B73" w:rsidP="00666295">
            <w:pPr>
              <w:spacing w:after="0"/>
              <w:rPr>
                <w:szCs w:val="20"/>
                <w:u w:val="single"/>
              </w:rPr>
            </w:pPr>
            <w:r w:rsidRPr="00817619">
              <w:rPr>
                <w:szCs w:val="20"/>
                <w:u w:val="single"/>
              </w:rPr>
              <w:t>27.5</w:t>
            </w:r>
            <w:r w:rsidR="00414D9C">
              <w:rPr>
                <w:szCs w:val="20"/>
                <w:u w:val="single"/>
              </w:rPr>
              <w:t>–</w:t>
            </w:r>
            <w:r w:rsidRPr="00817619">
              <w:rPr>
                <w:szCs w:val="20"/>
                <w:u w:val="single"/>
              </w:rPr>
              <w:t xml:space="preserve">28.1 GHz &amp; </w:t>
            </w:r>
          </w:p>
          <w:p w14:paraId="39C5D202" w14:textId="7C979ED1" w:rsidR="00E26B73" w:rsidRPr="00817619" w:rsidRDefault="00E26B73" w:rsidP="00666295">
            <w:pPr>
              <w:spacing w:after="0"/>
              <w:rPr>
                <w:szCs w:val="20"/>
                <w:u w:val="single"/>
              </w:rPr>
            </w:pPr>
            <w:r w:rsidRPr="00817619">
              <w:rPr>
                <w:szCs w:val="20"/>
                <w:u w:val="single"/>
              </w:rPr>
              <w:t>28.5</w:t>
            </w:r>
            <w:r w:rsidR="00414D9C">
              <w:rPr>
                <w:szCs w:val="20"/>
                <w:u w:val="single"/>
              </w:rPr>
              <w:t>–</w:t>
            </w:r>
            <w:r w:rsidRPr="00817619">
              <w:rPr>
                <w:szCs w:val="20"/>
                <w:u w:val="single"/>
              </w:rPr>
              <w:t>29.1 GHz</w:t>
            </w:r>
          </w:p>
          <w:p w14:paraId="75167429" w14:textId="63489DB4" w:rsidR="00E26B73" w:rsidRPr="0003221F" w:rsidRDefault="00E26B73" w:rsidP="00AC6904">
            <w:pPr>
              <w:spacing w:after="0"/>
              <w:rPr>
                <w:szCs w:val="20"/>
              </w:rPr>
            </w:pPr>
            <w:r w:rsidRPr="00390A49">
              <w:rPr>
                <w:szCs w:val="20"/>
              </w:rPr>
              <w:t>Australia-wide</w:t>
            </w:r>
          </w:p>
          <w:p w14:paraId="7DE88230" w14:textId="5FB4A2D9" w:rsidR="00E26B73" w:rsidRDefault="00E26B73" w:rsidP="005B7181">
            <w:pPr>
              <w:spacing w:before="120" w:after="0"/>
              <w:rPr>
                <w:szCs w:val="20"/>
                <w:u w:val="single"/>
              </w:rPr>
            </w:pPr>
            <w:r w:rsidRPr="00817619">
              <w:rPr>
                <w:szCs w:val="20"/>
                <w:u w:val="single"/>
              </w:rPr>
              <w:t>28.1</w:t>
            </w:r>
            <w:r w:rsidR="00414D9C">
              <w:rPr>
                <w:szCs w:val="20"/>
                <w:u w:val="single"/>
              </w:rPr>
              <w:t>–</w:t>
            </w:r>
            <w:r w:rsidRPr="00817619">
              <w:rPr>
                <w:szCs w:val="20"/>
                <w:u w:val="single"/>
              </w:rPr>
              <w:t xml:space="preserve">28.5 GHz &amp; </w:t>
            </w:r>
          </w:p>
          <w:p w14:paraId="79733623" w14:textId="2FD84077" w:rsidR="00E26B73" w:rsidRPr="00817619" w:rsidRDefault="00E26B73" w:rsidP="005B7181">
            <w:pPr>
              <w:spacing w:after="0"/>
              <w:rPr>
                <w:szCs w:val="20"/>
                <w:u w:val="single"/>
              </w:rPr>
            </w:pPr>
            <w:r w:rsidRPr="00817619">
              <w:rPr>
                <w:szCs w:val="20"/>
                <w:u w:val="single"/>
              </w:rPr>
              <w:t>29.1</w:t>
            </w:r>
            <w:r w:rsidR="00414D9C">
              <w:rPr>
                <w:szCs w:val="20"/>
                <w:u w:val="single"/>
              </w:rPr>
              <w:t>–</w:t>
            </w:r>
            <w:r w:rsidRPr="00817619">
              <w:rPr>
                <w:szCs w:val="20"/>
                <w:u w:val="single"/>
              </w:rPr>
              <w:t>29.5 GHz</w:t>
            </w:r>
          </w:p>
          <w:p w14:paraId="53F0D69F" w14:textId="4B80AAB7" w:rsidR="00E26B73" w:rsidRPr="00817619" w:rsidRDefault="00E26B73" w:rsidP="00666295">
            <w:pPr>
              <w:pStyle w:val="ListParagraph"/>
              <w:numPr>
                <w:ilvl w:val="0"/>
                <w:numId w:val="55"/>
              </w:numPr>
              <w:spacing w:after="0"/>
              <w:rPr>
                <w:szCs w:val="20"/>
              </w:rPr>
            </w:pPr>
            <w:r>
              <w:rPr>
                <w:szCs w:val="20"/>
              </w:rPr>
              <w:t>I</w:t>
            </w:r>
            <w:r w:rsidRPr="00817619">
              <w:rPr>
                <w:szCs w:val="20"/>
              </w:rPr>
              <w:t xml:space="preserve">nside </w:t>
            </w:r>
            <w:r>
              <w:rPr>
                <w:szCs w:val="20"/>
              </w:rPr>
              <w:t xml:space="preserve">large </w:t>
            </w:r>
            <w:r w:rsidR="001A65F9">
              <w:rPr>
                <w:szCs w:val="20"/>
              </w:rPr>
              <w:t>population</w:t>
            </w:r>
            <w:r>
              <w:rPr>
                <w:szCs w:val="20"/>
              </w:rPr>
              <w:t xml:space="preserve"> centres</w:t>
            </w:r>
            <w:r w:rsidRPr="0091477B">
              <w:rPr>
                <w:szCs w:val="20"/>
              </w:rPr>
              <w:t xml:space="preserve"> </w:t>
            </w:r>
            <w:r w:rsidRPr="00817619">
              <w:rPr>
                <w:szCs w:val="20"/>
              </w:rPr>
              <w:t>(restrictions apply)**</w:t>
            </w:r>
          </w:p>
          <w:p w14:paraId="59667FFB" w14:textId="6A376A10" w:rsidR="00E26B73" w:rsidRPr="00817619" w:rsidRDefault="00E26B73" w:rsidP="00666295">
            <w:pPr>
              <w:pStyle w:val="ListParagraph"/>
              <w:numPr>
                <w:ilvl w:val="0"/>
                <w:numId w:val="55"/>
              </w:numPr>
              <w:spacing w:after="0"/>
              <w:rPr>
                <w:szCs w:val="20"/>
              </w:rPr>
            </w:pPr>
            <w:r>
              <w:rPr>
                <w:szCs w:val="20"/>
              </w:rPr>
              <w:t xml:space="preserve">Outside large </w:t>
            </w:r>
            <w:r w:rsidR="001A65F9">
              <w:rPr>
                <w:szCs w:val="20"/>
              </w:rPr>
              <w:t>population</w:t>
            </w:r>
            <w:r>
              <w:rPr>
                <w:szCs w:val="20"/>
              </w:rPr>
              <w:t xml:space="preserve"> centres</w:t>
            </w:r>
            <w:r w:rsidRPr="00817619">
              <w:rPr>
                <w:szCs w:val="20"/>
              </w:rPr>
              <w:t xml:space="preserve"> (no restrictions apply) </w:t>
            </w:r>
          </w:p>
        </w:tc>
        <w:tc>
          <w:tcPr>
            <w:tcW w:w="1705" w:type="dxa"/>
            <w:tcMar>
              <w:left w:w="57" w:type="dxa"/>
              <w:right w:w="57" w:type="dxa"/>
            </w:tcMar>
          </w:tcPr>
          <w:p w14:paraId="4C48A171" w14:textId="162DE2B6" w:rsidR="00E26B73" w:rsidRDefault="00E26B73" w:rsidP="00666295">
            <w:pPr>
              <w:spacing w:after="0"/>
              <w:rPr>
                <w:szCs w:val="20"/>
              </w:rPr>
            </w:pPr>
            <w:r w:rsidRPr="00AC6904">
              <w:rPr>
                <w:szCs w:val="20"/>
                <w:u w:val="single"/>
              </w:rPr>
              <w:t>25.1</w:t>
            </w:r>
            <w:r w:rsidR="00043F91">
              <w:rPr>
                <w:szCs w:val="20"/>
                <w:u w:val="single"/>
              </w:rPr>
              <w:t>–</w:t>
            </w:r>
            <w:r w:rsidRPr="00AC6904">
              <w:rPr>
                <w:szCs w:val="20"/>
                <w:u w:val="single"/>
              </w:rPr>
              <w:t>27.5 GHz</w:t>
            </w:r>
          </w:p>
          <w:p w14:paraId="0271CEC7" w14:textId="1B57BE02" w:rsidR="00E26B73" w:rsidRPr="00E26B73" w:rsidRDefault="00E26B73" w:rsidP="00666295">
            <w:pPr>
              <w:spacing w:after="0"/>
              <w:rPr>
                <w:szCs w:val="20"/>
              </w:rPr>
            </w:pPr>
            <w:r>
              <w:rPr>
                <w:szCs w:val="20"/>
              </w:rPr>
              <w:t xml:space="preserve">Inside </w:t>
            </w:r>
            <w:r w:rsidR="001A65F9">
              <w:rPr>
                <w:szCs w:val="20"/>
              </w:rPr>
              <w:t>large</w:t>
            </w:r>
            <w:r>
              <w:rPr>
                <w:szCs w:val="20"/>
              </w:rPr>
              <w:t xml:space="preserve"> population centres</w:t>
            </w:r>
          </w:p>
          <w:p w14:paraId="19663D0D" w14:textId="77777777" w:rsidR="00E26B73" w:rsidRPr="00817619" w:rsidRDefault="00E26B73" w:rsidP="00666295">
            <w:pPr>
              <w:spacing w:after="0"/>
              <w:rPr>
                <w:szCs w:val="20"/>
              </w:rPr>
            </w:pPr>
          </w:p>
        </w:tc>
        <w:tc>
          <w:tcPr>
            <w:tcW w:w="2974" w:type="dxa"/>
            <w:tcMar>
              <w:left w:w="57" w:type="dxa"/>
              <w:right w:w="57" w:type="dxa"/>
            </w:tcMar>
          </w:tcPr>
          <w:p w14:paraId="5E51F04F" w14:textId="795F0C8C" w:rsidR="00666295" w:rsidRDefault="00666295" w:rsidP="00666295">
            <w:pPr>
              <w:spacing w:after="0"/>
              <w:rPr>
                <w:szCs w:val="20"/>
              </w:rPr>
            </w:pPr>
            <w:r>
              <w:rPr>
                <w:szCs w:val="20"/>
                <w:u w:val="single"/>
              </w:rPr>
              <w:t>24.7</w:t>
            </w:r>
            <w:r w:rsidR="00043F91">
              <w:rPr>
                <w:szCs w:val="20"/>
                <w:u w:val="single"/>
              </w:rPr>
              <w:t>–</w:t>
            </w:r>
            <w:r>
              <w:rPr>
                <w:szCs w:val="20"/>
                <w:u w:val="single"/>
              </w:rPr>
              <w:t>25.1 GHz</w:t>
            </w:r>
          </w:p>
          <w:p w14:paraId="3CDE2051" w14:textId="714FEC9F" w:rsidR="00666295" w:rsidRDefault="001A65F9" w:rsidP="00666295">
            <w:pPr>
              <w:spacing w:after="0"/>
              <w:rPr>
                <w:szCs w:val="20"/>
              </w:rPr>
            </w:pPr>
            <w:r>
              <w:rPr>
                <w:szCs w:val="20"/>
              </w:rPr>
              <w:t>Australia-wide</w:t>
            </w:r>
          </w:p>
          <w:p w14:paraId="5794869B" w14:textId="4E714C0C" w:rsidR="001A65F9" w:rsidRDefault="001A65F9" w:rsidP="005B7181">
            <w:pPr>
              <w:spacing w:before="120" w:after="0"/>
              <w:rPr>
                <w:szCs w:val="20"/>
              </w:rPr>
            </w:pPr>
            <w:r>
              <w:rPr>
                <w:szCs w:val="20"/>
                <w:u w:val="single"/>
              </w:rPr>
              <w:t>25.1</w:t>
            </w:r>
            <w:r w:rsidR="00043F91">
              <w:rPr>
                <w:szCs w:val="20"/>
                <w:u w:val="single"/>
              </w:rPr>
              <w:t>–</w:t>
            </w:r>
            <w:r>
              <w:rPr>
                <w:szCs w:val="20"/>
                <w:u w:val="single"/>
              </w:rPr>
              <w:t>27.5 GHz</w:t>
            </w:r>
          </w:p>
          <w:p w14:paraId="77FCD7CC" w14:textId="37FA71C4" w:rsidR="001A65F9" w:rsidRDefault="001A65F9" w:rsidP="001A65F9">
            <w:pPr>
              <w:spacing w:after="0"/>
              <w:rPr>
                <w:szCs w:val="20"/>
              </w:rPr>
            </w:pPr>
            <w:r>
              <w:rPr>
                <w:szCs w:val="20"/>
              </w:rPr>
              <w:t>Outside large population centres</w:t>
            </w:r>
          </w:p>
          <w:p w14:paraId="510E5106" w14:textId="6B7F457E" w:rsidR="00E26B73" w:rsidRDefault="00E26B73" w:rsidP="005B7181">
            <w:pPr>
              <w:spacing w:before="120" w:after="0"/>
              <w:rPr>
                <w:szCs w:val="20"/>
                <w:u w:val="single"/>
              </w:rPr>
            </w:pPr>
            <w:r w:rsidRPr="00817619">
              <w:rPr>
                <w:szCs w:val="20"/>
                <w:u w:val="single"/>
              </w:rPr>
              <w:t>28.1</w:t>
            </w:r>
            <w:r w:rsidR="00043F91">
              <w:rPr>
                <w:szCs w:val="20"/>
                <w:u w:val="single"/>
              </w:rPr>
              <w:t>–</w:t>
            </w:r>
            <w:r w:rsidRPr="00817619">
              <w:rPr>
                <w:szCs w:val="20"/>
                <w:u w:val="single"/>
              </w:rPr>
              <w:t xml:space="preserve">28.5 GHz &amp; </w:t>
            </w:r>
          </w:p>
          <w:p w14:paraId="0240DCC4" w14:textId="0C99EA83" w:rsidR="00E26B73" w:rsidRPr="00817619" w:rsidRDefault="00E26B73" w:rsidP="00666295">
            <w:pPr>
              <w:spacing w:after="0"/>
              <w:rPr>
                <w:szCs w:val="20"/>
                <w:u w:val="single"/>
              </w:rPr>
            </w:pPr>
            <w:r w:rsidRPr="00817619">
              <w:rPr>
                <w:szCs w:val="20"/>
                <w:u w:val="single"/>
              </w:rPr>
              <w:t>29.1</w:t>
            </w:r>
            <w:r w:rsidR="00043F91">
              <w:rPr>
                <w:szCs w:val="20"/>
                <w:u w:val="single"/>
              </w:rPr>
              <w:t>–</w:t>
            </w:r>
            <w:r w:rsidRPr="00817619">
              <w:rPr>
                <w:szCs w:val="20"/>
                <w:u w:val="single"/>
              </w:rPr>
              <w:t>29.5 GHz</w:t>
            </w:r>
          </w:p>
          <w:p w14:paraId="0D61F1CB" w14:textId="77777777" w:rsidR="00E26B73" w:rsidRPr="00817619" w:rsidRDefault="00E26B73" w:rsidP="00666295">
            <w:pPr>
              <w:pStyle w:val="ListParagraph"/>
              <w:numPr>
                <w:ilvl w:val="0"/>
                <w:numId w:val="56"/>
              </w:numPr>
              <w:spacing w:after="0"/>
              <w:rPr>
                <w:szCs w:val="20"/>
              </w:rPr>
            </w:pPr>
            <w:r w:rsidRPr="00817619">
              <w:rPr>
                <w:szCs w:val="20"/>
              </w:rPr>
              <w:t xml:space="preserve">Allocation inside </w:t>
            </w:r>
            <w:r>
              <w:rPr>
                <w:szCs w:val="20"/>
              </w:rPr>
              <w:t>large population centres</w:t>
            </w:r>
          </w:p>
          <w:p w14:paraId="0185C122" w14:textId="77777777" w:rsidR="00E26B73" w:rsidRPr="00817619" w:rsidRDefault="00E26B73" w:rsidP="00666295">
            <w:pPr>
              <w:pStyle w:val="ListParagraph"/>
              <w:numPr>
                <w:ilvl w:val="0"/>
                <w:numId w:val="56"/>
              </w:numPr>
              <w:spacing w:after="0"/>
              <w:rPr>
                <w:szCs w:val="20"/>
              </w:rPr>
            </w:pPr>
            <w:r w:rsidRPr="00817619">
              <w:rPr>
                <w:szCs w:val="20"/>
              </w:rPr>
              <w:t xml:space="preserve">Allocation outside </w:t>
            </w:r>
            <w:r>
              <w:rPr>
                <w:szCs w:val="20"/>
              </w:rPr>
              <w:t>large population centres</w:t>
            </w:r>
            <w:r w:rsidRPr="006A2D81">
              <w:rPr>
                <w:szCs w:val="20"/>
              </w:rPr>
              <w:t xml:space="preserve"> </w:t>
            </w:r>
            <w:r w:rsidRPr="00817619">
              <w:rPr>
                <w:szCs w:val="20"/>
              </w:rPr>
              <w:t>on a no protection basis from ubiquitous FSS**</w:t>
            </w:r>
          </w:p>
        </w:tc>
        <w:tc>
          <w:tcPr>
            <w:tcW w:w="2340" w:type="dxa"/>
            <w:tcMar>
              <w:left w:w="57" w:type="dxa"/>
              <w:right w:w="57" w:type="dxa"/>
            </w:tcMar>
          </w:tcPr>
          <w:p w14:paraId="35F219E5" w14:textId="07C66142" w:rsidR="00E26B73" w:rsidRDefault="00E26B73" w:rsidP="005B7181">
            <w:pPr>
              <w:spacing w:after="0"/>
              <w:rPr>
                <w:szCs w:val="20"/>
                <w:u w:val="single"/>
              </w:rPr>
            </w:pPr>
            <w:r w:rsidRPr="00817619">
              <w:rPr>
                <w:szCs w:val="20"/>
                <w:u w:val="single"/>
              </w:rPr>
              <w:t>28.1</w:t>
            </w:r>
            <w:r w:rsidR="00043F91">
              <w:rPr>
                <w:szCs w:val="20"/>
                <w:u w:val="single"/>
              </w:rPr>
              <w:t>–</w:t>
            </w:r>
            <w:r w:rsidRPr="00817619">
              <w:rPr>
                <w:szCs w:val="20"/>
                <w:u w:val="single"/>
              </w:rPr>
              <w:t xml:space="preserve">28.5 GHz &amp; </w:t>
            </w:r>
          </w:p>
          <w:p w14:paraId="034EEB4E" w14:textId="608DE742" w:rsidR="00E26B73" w:rsidRPr="00817619" w:rsidRDefault="00E26B73" w:rsidP="00666295">
            <w:pPr>
              <w:spacing w:after="0"/>
              <w:rPr>
                <w:szCs w:val="20"/>
                <w:u w:val="single"/>
              </w:rPr>
            </w:pPr>
            <w:r w:rsidRPr="00817619">
              <w:rPr>
                <w:szCs w:val="20"/>
                <w:u w:val="single"/>
              </w:rPr>
              <w:t>29.1</w:t>
            </w:r>
            <w:r w:rsidR="00043F91">
              <w:rPr>
                <w:szCs w:val="20"/>
                <w:u w:val="single"/>
              </w:rPr>
              <w:t>–</w:t>
            </w:r>
            <w:r w:rsidRPr="00817619">
              <w:rPr>
                <w:szCs w:val="20"/>
                <w:u w:val="single"/>
              </w:rPr>
              <w:t>29.5 GHz</w:t>
            </w:r>
          </w:p>
          <w:p w14:paraId="2AF88AF4" w14:textId="4FCFE0C2" w:rsidR="001A65F9" w:rsidRDefault="001A65F9" w:rsidP="00AC6904">
            <w:pPr>
              <w:pStyle w:val="ListParagraph"/>
              <w:numPr>
                <w:ilvl w:val="0"/>
                <w:numId w:val="56"/>
              </w:numPr>
              <w:spacing w:after="0"/>
              <w:rPr>
                <w:szCs w:val="20"/>
              </w:rPr>
            </w:pPr>
            <w:r>
              <w:rPr>
                <w:szCs w:val="20"/>
              </w:rPr>
              <w:t>Inside large population centres</w:t>
            </w:r>
          </w:p>
          <w:p w14:paraId="41ED9138" w14:textId="77777777" w:rsidR="00E26B73" w:rsidRPr="0091477B" w:rsidRDefault="00E26B73" w:rsidP="00666295">
            <w:pPr>
              <w:pStyle w:val="ListParagraph"/>
              <w:numPr>
                <w:ilvl w:val="0"/>
                <w:numId w:val="56"/>
              </w:numPr>
              <w:spacing w:after="0"/>
              <w:rPr>
                <w:szCs w:val="20"/>
              </w:rPr>
            </w:pPr>
            <w:r>
              <w:rPr>
                <w:szCs w:val="20"/>
              </w:rPr>
              <w:t>Grandfather e</w:t>
            </w:r>
            <w:r w:rsidRPr="0091477B">
              <w:rPr>
                <w:szCs w:val="20"/>
              </w:rPr>
              <w:t xml:space="preserve">xisting licences outside </w:t>
            </w:r>
            <w:r>
              <w:rPr>
                <w:szCs w:val="20"/>
              </w:rPr>
              <w:t>large population centres</w:t>
            </w:r>
            <w:r w:rsidRPr="0091477B">
              <w:rPr>
                <w:szCs w:val="20"/>
              </w:rPr>
              <w:t xml:space="preserve"> </w:t>
            </w:r>
          </w:p>
          <w:p w14:paraId="51E8E396" w14:textId="77777777" w:rsidR="00E26B73" w:rsidRPr="00817619" w:rsidRDefault="00E26B73" w:rsidP="00666295">
            <w:pPr>
              <w:pStyle w:val="ListParagraph"/>
              <w:numPr>
                <w:ilvl w:val="0"/>
                <w:numId w:val="56"/>
              </w:numPr>
              <w:spacing w:after="0"/>
              <w:rPr>
                <w:szCs w:val="20"/>
              </w:rPr>
            </w:pPr>
            <w:r w:rsidRPr="0091477B">
              <w:rPr>
                <w:szCs w:val="20"/>
              </w:rPr>
              <w:t xml:space="preserve">Allocation outside </w:t>
            </w:r>
            <w:r>
              <w:rPr>
                <w:szCs w:val="20"/>
              </w:rPr>
              <w:t>large population centres</w:t>
            </w:r>
            <w:r w:rsidRPr="006A2D81">
              <w:rPr>
                <w:szCs w:val="20"/>
              </w:rPr>
              <w:t xml:space="preserve"> </w:t>
            </w:r>
            <w:r w:rsidRPr="0091477B">
              <w:rPr>
                <w:szCs w:val="20"/>
              </w:rPr>
              <w:t>for new licences on a no protection basis from ubiquitous FSS**</w:t>
            </w:r>
          </w:p>
        </w:tc>
        <w:tc>
          <w:tcPr>
            <w:tcW w:w="2340" w:type="dxa"/>
          </w:tcPr>
          <w:p w14:paraId="2067D15A" w14:textId="3EEDB75A" w:rsidR="00E26B73" w:rsidRDefault="00E26B73" w:rsidP="00666295">
            <w:pPr>
              <w:spacing w:after="0"/>
              <w:rPr>
                <w:szCs w:val="20"/>
              </w:rPr>
            </w:pPr>
            <w:r>
              <w:rPr>
                <w:szCs w:val="20"/>
                <w:u w:val="single"/>
              </w:rPr>
              <w:t>24.25</w:t>
            </w:r>
            <w:r w:rsidR="00043F91">
              <w:rPr>
                <w:szCs w:val="20"/>
                <w:u w:val="single"/>
              </w:rPr>
              <w:t>–</w:t>
            </w:r>
            <w:r w:rsidR="00672B86">
              <w:rPr>
                <w:szCs w:val="20"/>
                <w:u w:val="single"/>
              </w:rPr>
              <w:t>24.7 GHz</w:t>
            </w:r>
          </w:p>
          <w:p w14:paraId="75978D5C" w14:textId="3545AEAB" w:rsidR="00E26B73" w:rsidRDefault="005B7181" w:rsidP="005B7181">
            <w:pPr>
              <w:spacing w:after="0"/>
              <w:rPr>
                <w:szCs w:val="20"/>
              </w:rPr>
            </w:pPr>
            <w:r w:rsidRPr="005B7181">
              <w:rPr>
                <w:szCs w:val="20"/>
              </w:rPr>
              <w:t>Australia-wide, limited to indoor use</w:t>
            </w:r>
            <w:r w:rsidR="00672B86">
              <w:rPr>
                <w:szCs w:val="20"/>
              </w:rPr>
              <w:t xml:space="preserve"> on private properties</w:t>
            </w:r>
          </w:p>
          <w:p w14:paraId="56377DBE" w14:textId="409FD282" w:rsidR="00672B86" w:rsidRDefault="00672B86" w:rsidP="00672B86">
            <w:pPr>
              <w:spacing w:before="120" w:after="0"/>
              <w:rPr>
                <w:szCs w:val="20"/>
              </w:rPr>
            </w:pPr>
            <w:r>
              <w:rPr>
                <w:szCs w:val="20"/>
                <w:u w:val="single"/>
              </w:rPr>
              <w:t>24.7</w:t>
            </w:r>
            <w:r w:rsidR="00043F91">
              <w:rPr>
                <w:szCs w:val="20"/>
                <w:u w:val="single"/>
              </w:rPr>
              <w:t>–</w:t>
            </w:r>
            <w:r>
              <w:rPr>
                <w:szCs w:val="20"/>
                <w:u w:val="single"/>
              </w:rPr>
              <w:t>25.1 GHz</w:t>
            </w:r>
          </w:p>
          <w:p w14:paraId="6FEF2F2F" w14:textId="473C11BF" w:rsidR="00E26B73" w:rsidRPr="005B7181" w:rsidRDefault="00672B86" w:rsidP="005B7181">
            <w:pPr>
              <w:spacing w:after="0"/>
              <w:rPr>
                <w:szCs w:val="20"/>
              </w:rPr>
            </w:pPr>
            <w:r w:rsidRPr="005B7181">
              <w:rPr>
                <w:szCs w:val="20"/>
              </w:rPr>
              <w:t xml:space="preserve">Australia-wide, </w:t>
            </w:r>
            <w:r>
              <w:rPr>
                <w:szCs w:val="20"/>
              </w:rPr>
              <w:t>indoor and outdoor use permitted on private properties</w:t>
            </w:r>
          </w:p>
        </w:tc>
      </w:tr>
      <w:tr w:rsidR="00E26B73" w14:paraId="13CFB4A6" w14:textId="566701A2" w:rsidTr="00B11477">
        <w:trPr>
          <w:trHeight w:val="512"/>
        </w:trPr>
        <w:tc>
          <w:tcPr>
            <w:tcW w:w="1276" w:type="dxa"/>
          </w:tcPr>
          <w:p w14:paraId="6D39DB61" w14:textId="77777777" w:rsidR="00E26B73" w:rsidRPr="00B11477" w:rsidRDefault="00E26B73" w:rsidP="00E26B73">
            <w:pPr>
              <w:spacing w:after="0"/>
              <w:rPr>
                <w:b/>
                <w:i/>
                <w:szCs w:val="20"/>
              </w:rPr>
            </w:pPr>
            <w:r w:rsidRPr="00B11477">
              <w:rPr>
                <w:b/>
                <w:i/>
                <w:szCs w:val="20"/>
              </w:rPr>
              <w:t xml:space="preserve">26 GHz decisions and </w:t>
            </w:r>
          </w:p>
          <w:p w14:paraId="53455D20" w14:textId="4E5BA4C2" w:rsidR="00E26B73" w:rsidRPr="00817619" w:rsidRDefault="00E26B73" w:rsidP="00E26B73">
            <w:pPr>
              <w:spacing w:after="0"/>
              <w:rPr>
                <w:szCs w:val="20"/>
              </w:rPr>
            </w:pPr>
            <w:r w:rsidRPr="00B11477">
              <w:rPr>
                <w:b/>
                <w:i/>
                <w:szCs w:val="20"/>
              </w:rPr>
              <w:t>28 GHz</w:t>
            </w:r>
            <w:r w:rsidR="00043F91">
              <w:rPr>
                <w:b/>
                <w:i/>
                <w:szCs w:val="20"/>
              </w:rPr>
              <w:t>—</w:t>
            </w:r>
            <w:r w:rsidRPr="00AC6904">
              <w:rPr>
                <w:b/>
                <w:szCs w:val="20"/>
              </w:rPr>
              <w:t>Option 3</w:t>
            </w:r>
          </w:p>
        </w:tc>
        <w:tc>
          <w:tcPr>
            <w:tcW w:w="2192" w:type="dxa"/>
            <w:tcMar>
              <w:left w:w="57" w:type="dxa"/>
              <w:right w:w="57" w:type="dxa"/>
            </w:tcMar>
          </w:tcPr>
          <w:p w14:paraId="159F6768" w14:textId="2CCC9705" w:rsidR="00E26B73" w:rsidRDefault="00E26B73" w:rsidP="00E26B73">
            <w:pPr>
              <w:spacing w:after="0"/>
              <w:rPr>
                <w:szCs w:val="20"/>
              </w:rPr>
            </w:pPr>
            <w:r>
              <w:rPr>
                <w:szCs w:val="20"/>
                <w:u w:val="single"/>
              </w:rPr>
              <w:t>27</w:t>
            </w:r>
            <w:r w:rsidR="00043F91">
              <w:rPr>
                <w:szCs w:val="20"/>
                <w:u w:val="single"/>
              </w:rPr>
              <w:t>–</w:t>
            </w:r>
            <w:r>
              <w:rPr>
                <w:szCs w:val="20"/>
                <w:u w:val="single"/>
              </w:rPr>
              <w:t xml:space="preserve">27.5 GHz </w:t>
            </w:r>
          </w:p>
          <w:p w14:paraId="1F4EB515" w14:textId="12F090F9" w:rsidR="00E26B73" w:rsidRPr="00817619" w:rsidRDefault="00E26B73" w:rsidP="00E26B73">
            <w:pPr>
              <w:spacing w:after="0"/>
              <w:rPr>
                <w:szCs w:val="20"/>
              </w:rPr>
            </w:pPr>
            <w:r>
              <w:rPr>
                <w:szCs w:val="20"/>
              </w:rPr>
              <w:t xml:space="preserve">Outside </w:t>
            </w:r>
            <w:r w:rsidR="001A65F9">
              <w:rPr>
                <w:szCs w:val="20"/>
              </w:rPr>
              <w:t>large</w:t>
            </w:r>
            <w:r>
              <w:rPr>
                <w:szCs w:val="20"/>
              </w:rPr>
              <w:t xml:space="preserve"> population centres</w:t>
            </w:r>
          </w:p>
          <w:p w14:paraId="09F95B7F" w14:textId="77777777" w:rsidR="00E26B73" w:rsidRDefault="00E26B73" w:rsidP="00666295">
            <w:pPr>
              <w:spacing w:after="0"/>
              <w:rPr>
                <w:szCs w:val="20"/>
                <w:u w:val="single"/>
              </w:rPr>
            </w:pPr>
          </w:p>
          <w:p w14:paraId="27127BCE" w14:textId="3FCA6DEA" w:rsidR="00E26B73" w:rsidRPr="00817619" w:rsidRDefault="00E26B73" w:rsidP="00666295">
            <w:pPr>
              <w:spacing w:after="0"/>
              <w:rPr>
                <w:szCs w:val="20"/>
                <w:u w:val="single"/>
              </w:rPr>
            </w:pPr>
            <w:r w:rsidRPr="00817619">
              <w:rPr>
                <w:szCs w:val="20"/>
                <w:u w:val="single"/>
              </w:rPr>
              <w:t>27.5</w:t>
            </w:r>
            <w:r w:rsidR="00043F91">
              <w:rPr>
                <w:szCs w:val="20"/>
                <w:u w:val="single"/>
              </w:rPr>
              <w:t>–</w:t>
            </w:r>
            <w:r w:rsidRPr="00817619">
              <w:rPr>
                <w:szCs w:val="20"/>
                <w:u w:val="single"/>
              </w:rPr>
              <w:t>29.5 GHz</w:t>
            </w:r>
          </w:p>
          <w:p w14:paraId="0B2445E3" w14:textId="3E37C31F" w:rsidR="00E26B73" w:rsidRPr="00817619" w:rsidRDefault="00E26B73" w:rsidP="00666295">
            <w:pPr>
              <w:spacing w:after="0"/>
              <w:rPr>
                <w:szCs w:val="20"/>
              </w:rPr>
            </w:pPr>
            <w:r w:rsidRPr="00817619">
              <w:rPr>
                <w:szCs w:val="20"/>
              </w:rPr>
              <w:t xml:space="preserve">Australia-wide </w:t>
            </w:r>
          </w:p>
        </w:tc>
        <w:tc>
          <w:tcPr>
            <w:tcW w:w="2340" w:type="dxa"/>
            <w:tcMar>
              <w:left w:w="57" w:type="dxa"/>
              <w:right w:w="57" w:type="dxa"/>
            </w:tcMar>
          </w:tcPr>
          <w:p w14:paraId="0996F976" w14:textId="53E76E57" w:rsidR="00C42589" w:rsidRPr="00817619" w:rsidRDefault="00C42589" w:rsidP="00AC6904">
            <w:pPr>
              <w:spacing w:after="0"/>
              <w:rPr>
                <w:szCs w:val="20"/>
                <w:u w:val="single"/>
              </w:rPr>
            </w:pPr>
            <w:r w:rsidRPr="00817619">
              <w:rPr>
                <w:szCs w:val="20"/>
                <w:u w:val="single"/>
              </w:rPr>
              <w:t>27.5</w:t>
            </w:r>
            <w:r w:rsidR="00043F91">
              <w:rPr>
                <w:szCs w:val="20"/>
                <w:u w:val="single"/>
              </w:rPr>
              <w:t>–</w:t>
            </w:r>
            <w:r w:rsidRPr="00817619">
              <w:rPr>
                <w:szCs w:val="20"/>
                <w:u w:val="single"/>
              </w:rPr>
              <w:t>27.9/28.1 GHz</w:t>
            </w:r>
          </w:p>
          <w:p w14:paraId="7FECCFC6" w14:textId="0341CF78" w:rsidR="00C42589" w:rsidRDefault="00C42589" w:rsidP="00C42589">
            <w:pPr>
              <w:pStyle w:val="ListParagraph"/>
              <w:numPr>
                <w:ilvl w:val="0"/>
                <w:numId w:val="57"/>
              </w:numPr>
              <w:spacing w:after="0"/>
              <w:rPr>
                <w:szCs w:val="20"/>
              </w:rPr>
            </w:pPr>
            <w:r>
              <w:rPr>
                <w:szCs w:val="20"/>
              </w:rPr>
              <w:t>Outside</w:t>
            </w:r>
            <w:r w:rsidRPr="00817619">
              <w:rPr>
                <w:szCs w:val="20"/>
              </w:rPr>
              <w:t xml:space="preserve"> </w:t>
            </w:r>
            <w:r>
              <w:rPr>
                <w:szCs w:val="20"/>
              </w:rPr>
              <w:t>large population</w:t>
            </w:r>
            <w:r w:rsidRPr="00817619">
              <w:rPr>
                <w:szCs w:val="20"/>
              </w:rPr>
              <w:t xml:space="preserve"> </w:t>
            </w:r>
            <w:r>
              <w:rPr>
                <w:szCs w:val="20"/>
              </w:rPr>
              <w:t>centres</w:t>
            </w:r>
          </w:p>
          <w:p w14:paraId="2E796BB6" w14:textId="599B516D" w:rsidR="00C42589" w:rsidRPr="00265559" w:rsidRDefault="00C42589" w:rsidP="00AC6904">
            <w:pPr>
              <w:pStyle w:val="ListParagraph"/>
              <w:numPr>
                <w:ilvl w:val="0"/>
                <w:numId w:val="57"/>
              </w:numPr>
              <w:spacing w:after="0"/>
              <w:rPr>
                <w:szCs w:val="20"/>
              </w:rPr>
            </w:pPr>
            <w:r>
              <w:rPr>
                <w:szCs w:val="20"/>
              </w:rPr>
              <w:t>Inside</w:t>
            </w:r>
            <w:r w:rsidRPr="00315C1F">
              <w:rPr>
                <w:szCs w:val="20"/>
              </w:rPr>
              <w:t xml:space="preserve"> </w:t>
            </w:r>
            <w:r w:rsidR="00182011">
              <w:rPr>
                <w:szCs w:val="20"/>
              </w:rPr>
              <w:t>large population centres</w:t>
            </w:r>
            <w:r w:rsidRPr="00315C1F">
              <w:rPr>
                <w:szCs w:val="20"/>
              </w:rPr>
              <w:t xml:space="preserve"> on a no protection basis </w:t>
            </w:r>
            <w:r>
              <w:rPr>
                <w:szCs w:val="20"/>
              </w:rPr>
              <w:t>to FWA</w:t>
            </w:r>
            <w:r w:rsidRPr="00315C1F">
              <w:rPr>
                <w:szCs w:val="20"/>
              </w:rPr>
              <w:t>**</w:t>
            </w:r>
          </w:p>
          <w:p w14:paraId="0999C3D9" w14:textId="7080F29E" w:rsidR="00E26B73" w:rsidRPr="00817619" w:rsidRDefault="00E26B73" w:rsidP="005B7181">
            <w:pPr>
              <w:spacing w:before="120" w:after="0"/>
              <w:rPr>
                <w:szCs w:val="20"/>
                <w:u w:val="single"/>
              </w:rPr>
            </w:pPr>
            <w:r w:rsidRPr="00817619">
              <w:rPr>
                <w:szCs w:val="20"/>
                <w:u w:val="single"/>
              </w:rPr>
              <w:t>27.</w:t>
            </w:r>
            <w:r w:rsidR="00C42589">
              <w:rPr>
                <w:szCs w:val="20"/>
                <w:u w:val="single"/>
              </w:rPr>
              <w:t>9/28.1</w:t>
            </w:r>
            <w:r w:rsidR="00043F91">
              <w:rPr>
                <w:szCs w:val="20"/>
                <w:u w:val="single"/>
              </w:rPr>
              <w:t>–</w:t>
            </w:r>
            <w:r w:rsidRPr="00817619">
              <w:rPr>
                <w:szCs w:val="20"/>
                <w:u w:val="single"/>
              </w:rPr>
              <w:t>29.5 GHz</w:t>
            </w:r>
          </w:p>
          <w:p w14:paraId="303EB580" w14:textId="77777777" w:rsidR="00C42589" w:rsidRDefault="00E26B73" w:rsidP="00C42589">
            <w:pPr>
              <w:spacing w:after="0"/>
              <w:rPr>
                <w:szCs w:val="20"/>
              </w:rPr>
            </w:pPr>
            <w:r w:rsidRPr="00817619">
              <w:rPr>
                <w:szCs w:val="20"/>
              </w:rPr>
              <w:t xml:space="preserve">Australia-wide </w:t>
            </w:r>
          </w:p>
          <w:p w14:paraId="6AFB2004" w14:textId="24A92FAE" w:rsidR="00E26B73" w:rsidRPr="00817619" w:rsidRDefault="00E26B73">
            <w:pPr>
              <w:spacing w:after="0"/>
              <w:rPr>
                <w:szCs w:val="20"/>
              </w:rPr>
            </w:pPr>
          </w:p>
        </w:tc>
        <w:tc>
          <w:tcPr>
            <w:tcW w:w="1705" w:type="dxa"/>
            <w:tcMar>
              <w:left w:w="57" w:type="dxa"/>
              <w:right w:w="57" w:type="dxa"/>
            </w:tcMar>
          </w:tcPr>
          <w:p w14:paraId="399D92E0" w14:textId="1DE890A3" w:rsidR="00E26B73" w:rsidRDefault="00E26B73" w:rsidP="00E26B73">
            <w:pPr>
              <w:spacing w:after="0"/>
              <w:rPr>
                <w:szCs w:val="20"/>
              </w:rPr>
            </w:pPr>
            <w:r w:rsidRPr="00817619">
              <w:rPr>
                <w:szCs w:val="20"/>
                <w:u w:val="single"/>
              </w:rPr>
              <w:t>25.1</w:t>
            </w:r>
            <w:r w:rsidR="00043F91">
              <w:rPr>
                <w:szCs w:val="20"/>
                <w:u w:val="single"/>
              </w:rPr>
              <w:t>–</w:t>
            </w:r>
            <w:r w:rsidRPr="00817619">
              <w:rPr>
                <w:szCs w:val="20"/>
                <w:u w:val="single"/>
              </w:rPr>
              <w:t>27.5 GHz</w:t>
            </w:r>
          </w:p>
          <w:p w14:paraId="6D187BBB" w14:textId="22EE1C90" w:rsidR="00E26B73" w:rsidRPr="00817619" w:rsidRDefault="00E26B73" w:rsidP="00E26B73">
            <w:pPr>
              <w:spacing w:after="0"/>
              <w:rPr>
                <w:szCs w:val="20"/>
              </w:rPr>
            </w:pPr>
            <w:r>
              <w:rPr>
                <w:szCs w:val="20"/>
              </w:rPr>
              <w:t xml:space="preserve">Inside </w:t>
            </w:r>
            <w:r w:rsidR="001A65F9">
              <w:rPr>
                <w:szCs w:val="20"/>
              </w:rPr>
              <w:t>large</w:t>
            </w:r>
            <w:r>
              <w:rPr>
                <w:szCs w:val="20"/>
              </w:rPr>
              <w:t xml:space="preserve"> population centres</w:t>
            </w:r>
          </w:p>
          <w:p w14:paraId="35882298" w14:textId="77777777" w:rsidR="00E26B73" w:rsidRPr="00817619" w:rsidRDefault="00E26B73" w:rsidP="00666295">
            <w:pPr>
              <w:spacing w:after="0"/>
              <w:rPr>
                <w:szCs w:val="20"/>
              </w:rPr>
            </w:pPr>
          </w:p>
        </w:tc>
        <w:tc>
          <w:tcPr>
            <w:tcW w:w="2974" w:type="dxa"/>
            <w:tcMar>
              <w:left w:w="57" w:type="dxa"/>
              <w:right w:w="57" w:type="dxa"/>
            </w:tcMar>
          </w:tcPr>
          <w:p w14:paraId="4CA0BD30" w14:textId="7E016CCA" w:rsidR="00C42589" w:rsidRDefault="00C42589" w:rsidP="00C42589">
            <w:pPr>
              <w:spacing w:after="0"/>
              <w:rPr>
                <w:szCs w:val="20"/>
              </w:rPr>
            </w:pPr>
            <w:r>
              <w:rPr>
                <w:szCs w:val="20"/>
                <w:u w:val="single"/>
              </w:rPr>
              <w:t>24.7</w:t>
            </w:r>
            <w:r w:rsidR="00043F91">
              <w:rPr>
                <w:szCs w:val="20"/>
                <w:u w:val="single"/>
              </w:rPr>
              <w:t>–</w:t>
            </w:r>
            <w:r>
              <w:rPr>
                <w:szCs w:val="20"/>
                <w:u w:val="single"/>
              </w:rPr>
              <w:t>25.1 GHz</w:t>
            </w:r>
          </w:p>
          <w:p w14:paraId="4D86CB81" w14:textId="77777777" w:rsidR="00C42589" w:rsidRDefault="00C42589" w:rsidP="00C42589">
            <w:pPr>
              <w:spacing w:after="0"/>
              <w:rPr>
                <w:szCs w:val="20"/>
              </w:rPr>
            </w:pPr>
            <w:r>
              <w:rPr>
                <w:szCs w:val="20"/>
              </w:rPr>
              <w:t>Australia-wide</w:t>
            </w:r>
          </w:p>
          <w:p w14:paraId="4739F160" w14:textId="17B78EB3" w:rsidR="00C42589" w:rsidRDefault="00C42589" w:rsidP="005B7181">
            <w:pPr>
              <w:spacing w:before="120" w:after="0"/>
              <w:rPr>
                <w:szCs w:val="20"/>
              </w:rPr>
            </w:pPr>
            <w:r>
              <w:rPr>
                <w:szCs w:val="20"/>
                <w:u w:val="single"/>
              </w:rPr>
              <w:t>25.1</w:t>
            </w:r>
            <w:r w:rsidR="00043F91">
              <w:rPr>
                <w:szCs w:val="20"/>
                <w:u w:val="single"/>
              </w:rPr>
              <w:t>–</w:t>
            </w:r>
            <w:r>
              <w:rPr>
                <w:szCs w:val="20"/>
                <w:u w:val="single"/>
              </w:rPr>
              <w:t>27.5 GHz</w:t>
            </w:r>
          </w:p>
          <w:p w14:paraId="14EDBDBA" w14:textId="77777777" w:rsidR="00C42589" w:rsidRDefault="00C42589" w:rsidP="00C42589">
            <w:pPr>
              <w:spacing w:after="0"/>
              <w:rPr>
                <w:szCs w:val="20"/>
              </w:rPr>
            </w:pPr>
            <w:r>
              <w:rPr>
                <w:szCs w:val="20"/>
              </w:rPr>
              <w:t>Outside large population centres</w:t>
            </w:r>
          </w:p>
          <w:p w14:paraId="42A3FD3B" w14:textId="77EA32AE" w:rsidR="00E26B73" w:rsidRPr="00817619" w:rsidRDefault="00E26B73" w:rsidP="005B7181">
            <w:pPr>
              <w:spacing w:before="120" w:after="0"/>
              <w:rPr>
                <w:szCs w:val="20"/>
                <w:u w:val="single"/>
              </w:rPr>
            </w:pPr>
            <w:r w:rsidRPr="00817619">
              <w:rPr>
                <w:szCs w:val="20"/>
                <w:u w:val="single"/>
              </w:rPr>
              <w:t>27.5</w:t>
            </w:r>
            <w:r w:rsidR="00043F91">
              <w:rPr>
                <w:szCs w:val="20"/>
                <w:u w:val="single"/>
              </w:rPr>
              <w:t>–</w:t>
            </w:r>
            <w:r w:rsidRPr="00817619">
              <w:rPr>
                <w:szCs w:val="20"/>
                <w:u w:val="single"/>
              </w:rPr>
              <w:t>27.9/28.1 GHz</w:t>
            </w:r>
          </w:p>
          <w:p w14:paraId="28369C5F" w14:textId="0C308EFC" w:rsidR="00E26B73" w:rsidRPr="00817619" w:rsidRDefault="00E26B73" w:rsidP="00666295">
            <w:pPr>
              <w:pStyle w:val="ListParagraph"/>
              <w:numPr>
                <w:ilvl w:val="0"/>
                <w:numId w:val="57"/>
              </w:numPr>
              <w:spacing w:after="0"/>
              <w:rPr>
                <w:szCs w:val="20"/>
              </w:rPr>
            </w:pPr>
            <w:r>
              <w:rPr>
                <w:szCs w:val="20"/>
              </w:rPr>
              <w:t>I</w:t>
            </w:r>
            <w:r w:rsidRPr="00817619">
              <w:rPr>
                <w:szCs w:val="20"/>
              </w:rPr>
              <w:t xml:space="preserve">nside </w:t>
            </w:r>
            <w:r w:rsidR="00C42589">
              <w:rPr>
                <w:szCs w:val="20"/>
              </w:rPr>
              <w:t>large population</w:t>
            </w:r>
            <w:r w:rsidRPr="00817619">
              <w:rPr>
                <w:szCs w:val="20"/>
              </w:rPr>
              <w:t xml:space="preserve"> </w:t>
            </w:r>
            <w:r w:rsidR="00C42589">
              <w:rPr>
                <w:szCs w:val="20"/>
              </w:rPr>
              <w:t>centres</w:t>
            </w:r>
          </w:p>
          <w:p w14:paraId="5219BD7B" w14:textId="57413672" w:rsidR="00E26B73" w:rsidRPr="00817619" w:rsidRDefault="00E26B73" w:rsidP="00666295">
            <w:pPr>
              <w:pStyle w:val="ListParagraph"/>
              <w:numPr>
                <w:ilvl w:val="0"/>
                <w:numId w:val="57"/>
              </w:numPr>
              <w:spacing w:after="0"/>
              <w:rPr>
                <w:szCs w:val="20"/>
              </w:rPr>
            </w:pPr>
            <w:r>
              <w:rPr>
                <w:szCs w:val="20"/>
              </w:rPr>
              <w:t>O</w:t>
            </w:r>
            <w:r w:rsidRPr="00817619">
              <w:rPr>
                <w:szCs w:val="20"/>
              </w:rPr>
              <w:t xml:space="preserve">utside </w:t>
            </w:r>
            <w:r w:rsidR="00C42589">
              <w:rPr>
                <w:szCs w:val="20"/>
              </w:rPr>
              <w:t>large population</w:t>
            </w:r>
            <w:r w:rsidR="00C42589" w:rsidRPr="00817619">
              <w:rPr>
                <w:szCs w:val="20"/>
              </w:rPr>
              <w:t xml:space="preserve"> </w:t>
            </w:r>
            <w:r w:rsidR="00C42589">
              <w:rPr>
                <w:szCs w:val="20"/>
              </w:rPr>
              <w:t>centres</w:t>
            </w:r>
            <w:r w:rsidR="00C42589" w:rsidRPr="00817619">
              <w:rPr>
                <w:szCs w:val="20"/>
              </w:rPr>
              <w:t xml:space="preserve"> </w:t>
            </w:r>
            <w:r w:rsidRPr="00817619">
              <w:rPr>
                <w:szCs w:val="20"/>
              </w:rPr>
              <w:t>on a no protection basis from ubiquitous FSS**</w:t>
            </w:r>
          </w:p>
        </w:tc>
        <w:tc>
          <w:tcPr>
            <w:tcW w:w="2340" w:type="dxa"/>
            <w:tcMar>
              <w:left w:w="57" w:type="dxa"/>
              <w:right w:w="57" w:type="dxa"/>
            </w:tcMar>
          </w:tcPr>
          <w:p w14:paraId="4EE9EF6B" w14:textId="79488B3A" w:rsidR="00E26B73" w:rsidRDefault="00E26B73" w:rsidP="00AC6904">
            <w:pPr>
              <w:pStyle w:val="ListParagraph"/>
              <w:numPr>
                <w:ilvl w:val="0"/>
                <w:numId w:val="56"/>
              </w:numPr>
              <w:spacing w:after="0"/>
              <w:rPr>
                <w:szCs w:val="20"/>
              </w:rPr>
            </w:pPr>
            <w:r>
              <w:rPr>
                <w:szCs w:val="20"/>
              </w:rPr>
              <w:t>Not supported</w:t>
            </w:r>
          </w:p>
          <w:p w14:paraId="4086F0C6" w14:textId="242C8949" w:rsidR="00E26B73" w:rsidRPr="00817619" w:rsidRDefault="00E26B73" w:rsidP="00AC6904">
            <w:pPr>
              <w:pStyle w:val="ListParagraph"/>
              <w:numPr>
                <w:ilvl w:val="0"/>
                <w:numId w:val="56"/>
              </w:numPr>
              <w:spacing w:after="0"/>
              <w:rPr>
                <w:szCs w:val="20"/>
              </w:rPr>
            </w:pPr>
            <w:r>
              <w:rPr>
                <w:szCs w:val="20"/>
              </w:rPr>
              <w:t>E</w:t>
            </w:r>
            <w:r w:rsidRPr="0091477B">
              <w:rPr>
                <w:szCs w:val="20"/>
              </w:rPr>
              <w:t>xisting licences grandfathered</w:t>
            </w:r>
          </w:p>
        </w:tc>
        <w:tc>
          <w:tcPr>
            <w:tcW w:w="2340" w:type="dxa"/>
          </w:tcPr>
          <w:p w14:paraId="4CAF9FD2" w14:textId="6EA72C41" w:rsidR="00672B86" w:rsidRDefault="00672B86" w:rsidP="00672B86">
            <w:pPr>
              <w:spacing w:after="0"/>
              <w:rPr>
                <w:szCs w:val="20"/>
              </w:rPr>
            </w:pPr>
            <w:r>
              <w:rPr>
                <w:szCs w:val="20"/>
                <w:u w:val="single"/>
              </w:rPr>
              <w:t>24.25</w:t>
            </w:r>
            <w:r w:rsidR="00043F91">
              <w:rPr>
                <w:szCs w:val="20"/>
                <w:u w:val="single"/>
              </w:rPr>
              <w:t>–</w:t>
            </w:r>
            <w:r>
              <w:rPr>
                <w:szCs w:val="20"/>
                <w:u w:val="single"/>
              </w:rPr>
              <w:t>24.7 GHz</w:t>
            </w:r>
          </w:p>
          <w:p w14:paraId="08931296" w14:textId="77777777" w:rsidR="00672B86" w:rsidRDefault="005B7181" w:rsidP="00672B86">
            <w:pPr>
              <w:spacing w:after="0"/>
              <w:rPr>
                <w:szCs w:val="20"/>
              </w:rPr>
            </w:pPr>
            <w:r>
              <w:rPr>
                <w:szCs w:val="20"/>
              </w:rPr>
              <w:t>Australia-wide, limited to indoor use</w:t>
            </w:r>
            <w:r w:rsidR="00672B86">
              <w:rPr>
                <w:szCs w:val="20"/>
              </w:rPr>
              <w:t xml:space="preserve"> on private properties</w:t>
            </w:r>
          </w:p>
          <w:p w14:paraId="0D3CA910" w14:textId="1E599AF3" w:rsidR="00672B86" w:rsidRDefault="00672B86" w:rsidP="00672B86">
            <w:pPr>
              <w:spacing w:before="120" w:after="0"/>
              <w:rPr>
                <w:szCs w:val="20"/>
              </w:rPr>
            </w:pPr>
            <w:r>
              <w:rPr>
                <w:szCs w:val="20"/>
                <w:u w:val="single"/>
              </w:rPr>
              <w:t>24.7</w:t>
            </w:r>
            <w:r w:rsidR="00043F91">
              <w:rPr>
                <w:szCs w:val="20"/>
                <w:u w:val="single"/>
              </w:rPr>
              <w:t>–</w:t>
            </w:r>
            <w:r>
              <w:rPr>
                <w:szCs w:val="20"/>
                <w:u w:val="single"/>
              </w:rPr>
              <w:t>25.1 GHz</w:t>
            </w:r>
          </w:p>
          <w:p w14:paraId="48B69944" w14:textId="6B2E7080" w:rsidR="00E26B73" w:rsidRPr="00817619" w:rsidRDefault="00672B86" w:rsidP="00666295">
            <w:pPr>
              <w:spacing w:after="0"/>
              <w:rPr>
                <w:szCs w:val="20"/>
              </w:rPr>
            </w:pPr>
            <w:r w:rsidRPr="005B7181">
              <w:rPr>
                <w:szCs w:val="20"/>
              </w:rPr>
              <w:t xml:space="preserve">Australia-wide, </w:t>
            </w:r>
            <w:r>
              <w:rPr>
                <w:szCs w:val="20"/>
              </w:rPr>
              <w:t>indoor and outdoor use permitted on private properties</w:t>
            </w:r>
          </w:p>
        </w:tc>
      </w:tr>
    </w:tbl>
    <w:p w14:paraId="7E39598D" w14:textId="77777777" w:rsidR="00A05186" w:rsidRDefault="00E26B73" w:rsidP="0032579C">
      <w:pPr>
        <w:spacing w:before="120" w:after="120"/>
        <w:sectPr w:rsidR="00A05186" w:rsidSect="00AC6904">
          <w:pgSz w:w="16838" w:h="11906" w:orient="landscape" w:code="9"/>
          <w:pgMar w:top="1134" w:right="1945" w:bottom="1134" w:left="1134" w:header="709" w:footer="119" w:gutter="0"/>
          <w:cols w:space="708"/>
          <w:docGrid w:linePitch="360"/>
        </w:sectPr>
      </w:pPr>
      <w:r>
        <w:t>** This is a possible variation to the option that could be considered</w:t>
      </w:r>
    </w:p>
    <w:p w14:paraId="19422DEC" w14:textId="6E9A0DF4" w:rsidR="000E4577" w:rsidRDefault="000E4577" w:rsidP="000E4577">
      <w:pPr>
        <w:pStyle w:val="ACMAFigureHeader"/>
      </w:pPr>
      <w:r w:rsidDel="00F10847">
        <w:lastRenderedPageBreak/>
        <w:t xml:space="preserve">26 GHz and 28 GHz </w:t>
      </w:r>
      <w:r w:rsidR="00EB3C4D">
        <w:t>planning arrangements</w:t>
      </w:r>
      <w:r w:rsidR="00FA520E">
        <w:t>—</w:t>
      </w:r>
      <w:r w:rsidR="00F10847">
        <w:t xml:space="preserve">Option </w:t>
      </w:r>
      <w:r w:rsidR="00DE4713">
        <w:t xml:space="preserve">2 </w:t>
      </w:r>
      <w:r w:rsidR="00F10847">
        <w:t>scenario</w:t>
      </w:r>
      <w:r w:rsidR="00EB3C4D">
        <w:t xml:space="preserve"> </w:t>
      </w:r>
    </w:p>
    <w:p w14:paraId="05967604" w14:textId="15949BF3" w:rsidR="00DE4713" w:rsidRDefault="00B05597" w:rsidP="00DE4713">
      <w:pPr>
        <w:pStyle w:val="ACMAFigureHeader"/>
        <w:numPr>
          <w:ilvl w:val="0"/>
          <w:numId w:val="0"/>
        </w:numPr>
        <w:ind w:left="1021" w:hanging="1021"/>
      </w:pPr>
      <w:r>
        <w:rPr>
          <w:noProof/>
        </w:rPr>
        <w:drawing>
          <wp:inline distT="0" distB="0" distL="0" distR="0" wp14:anchorId="525335C8" wp14:editId="1F9C8548">
            <wp:extent cx="5400000" cy="3060000"/>
            <wp:effectExtent l="0" t="0" r="0" b="7620"/>
            <wp:docPr id="5" name="Picture 5" descr="26 GHz and 28 GHz planning arrangements—Option 2 scenario "/>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00000" cy="3060000"/>
                    </a:xfrm>
                    <a:prstGeom prst="rect">
                      <a:avLst/>
                    </a:prstGeom>
                    <a:noFill/>
                  </pic:spPr>
                </pic:pic>
              </a:graphicData>
            </a:graphic>
          </wp:inline>
        </w:drawing>
      </w:r>
    </w:p>
    <w:p w14:paraId="5ACC5AE8" w14:textId="77777777" w:rsidR="00D11F16" w:rsidRDefault="00D11F16" w:rsidP="00DE4713">
      <w:pPr>
        <w:pStyle w:val="ACMAFigureHeader"/>
        <w:numPr>
          <w:ilvl w:val="0"/>
          <w:numId w:val="0"/>
        </w:numPr>
        <w:ind w:left="1021" w:hanging="1021"/>
      </w:pPr>
    </w:p>
    <w:p w14:paraId="6EBB6DF5" w14:textId="271633E4" w:rsidR="00DE4713" w:rsidRDefault="00DE4713" w:rsidP="00DE4713">
      <w:pPr>
        <w:pStyle w:val="ACMAFigureHeader"/>
      </w:pPr>
      <w:r w:rsidDel="00F10847">
        <w:t xml:space="preserve">26 GHz and 28 GHz </w:t>
      </w:r>
      <w:r>
        <w:t>planning arrangements</w:t>
      </w:r>
      <w:r w:rsidR="00FA520E">
        <w:t>—</w:t>
      </w:r>
      <w:r>
        <w:t xml:space="preserve">Option 3 scenario </w:t>
      </w:r>
    </w:p>
    <w:p w14:paraId="3BD66E24" w14:textId="2B39AFB4" w:rsidR="00DE4713" w:rsidRDefault="00B05597" w:rsidP="00A37173">
      <w:pPr>
        <w:pStyle w:val="ACMAFigureHeader"/>
        <w:numPr>
          <w:ilvl w:val="0"/>
          <w:numId w:val="0"/>
        </w:numPr>
      </w:pPr>
      <w:r w:rsidRPr="00B05597">
        <w:rPr>
          <w:noProof/>
        </w:rPr>
        <w:drawing>
          <wp:inline distT="0" distB="0" distL="0" distR="0" wp14:anchorId="2DFD2566" wp14:editId="5AC0E091">
            <wp:extent cx="5400000" cy="2635200"/>
            <wp:effectExtent l="0" t="0" r="0" b="0"/>
            <wp:docPr id="7" name="Picture 7" descr="26 GHz and 28 GHz planning arrangements – Option 3 scenario "/>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400000" cy="2635200"/>
                    </a:xfrm>
                    <a:prstGeom prst="rect">
                      <a:avLst/>
                    </a:prstGeom>
                    <a:noFill/>
                    <a:ln>
                      <a:noFill/>
                    </a:ln>
                  </pic:spPr>
                </pic:pic>
              </a:graphicData>
            </a:graphic>
          </wp:inline>
        </w:drawing>
      </w:r>
    </w:p>
    <w:p w14:paraId="77A90AFF" w14:textId="3E97A644" w:rsidR="00265559" w:rsidRDefault="00265559" w:rsidP="000E4577"/>
    <w:p w14:paraId="3F3B7CF6" w14:textId="5C7B6223" w:rsidR="00265559" w:rsidRDefault="00265559" w:rsidP="00265559">
      <w:pPr>
        <w:sectPr w:rsidR="00265559" w:rsidSect="00A37173">
          <w:pgSz w:w="11906" w:h="16838" w:code="9"/>
          <w:pgMar w:top="1945" w:right="3101" w:bottom="1134" w:left="1134" w:header="709" w:footer="119" w:gutter="0"/>
          <w:cols w:space="708"/>
          <w:docGrid w:linePitch="360"/>
        </w:sectPr>
      </w:pPr>
    </w:p>
    <w:p w14:paraId="0CD53813" w14:textId="77777777" w:rsidR="00265559" w:rsidRDefault="00265559" w:rsidP="00265559">
      <w:pPr>
        <w:pStyle w:val="Heading1"/>
        <w:pageBreakBefore w:val="0"/>
      </w:pPr>
      <w:bookmarkStart w:id="162" w:name="_Toc5000087"/>
      <w:r>
        <w:lastRenderedPageBreak/>
        <w:t>Invitation to comment</w:t>
      </w:r>
      <w:bookmarkEnd w:id="162"/>
    </w:p>
    <w:p w14:paraId="7245972F" w14:textId="77777777" w:rsidR="0052285A" w:rsidRPr="00A05EC9" w:rsidRDefault="0052285A" w:rsidP="00CD625F">
      <w:pPr>
        <w:pStyle w:val="Heading2"/>
      </w:pPr>
      <w:bookmarkStart w:id="163" w:name="_Toc5000088"/>
      <w:bookmarkStart w:id="164" w:name="_Toc298924673"/>
      <w:bookmarkStart w:id="165" w:name="_Toc300909556"/>
      <w:bookmarkStart w:id="166" w:name="_Toc348105637"/>
      <w:bookmarkStart w:id="167" w:name="_Toc433122131"/>
      <w:bookmarkStart w:id="168" w:name="_Toc300909557"/>
      <w:bookmarkStart w:id="169" w:name="_Toc348105638"/>
      <w:bookmarkStart w:id="170" w:name="_Toc274296357"/>
      <w:bookmarkStart w:id="171" w:name="_Toc298924674"/>
      <w:r w:rsidRPr="00A05EC9">
        <w:t>Making a submission</w:t>
      </w:r>
      <w:bookmarkEnd w:id="163"/>
    </w:p>
    <w:bookmarkEnd w:id="164"/>
    <w:bookmarkEnd w:id="165"/>
    <w:bookmarkEnd w:id="166"/>
    <w:bookmarkEnd w:id="167"/>
    <w:p w14:paraId="72C5DE55" w14:textId="118A745D" w:rsidR="00CA3F59" w:rsidRDefault="00CA3F59" w:rsidP="002F3B34">
      <w:r w:rsidRPr="00A05EC9">
        <w:t xml:space="preserve">The ACMA invites comments on the issues set out in this discussion paper or any other relevant issues. </w:t>
      </w:r>
    </w:p>
    <w:p w14:paraId="39D496F6" w14:textId="77777777" w:rsidR="00FB37C9" w:rsidRDefault="005B0D57" w:rsidP="00FB37C9">
      <w:pPr>
        <w:pStyle w:val="ListBullet"/>
        <w:spacing w:line="240" w:lineRule="atLeast"/>
      </w:pPr>
      <w:hyperlink r:id="rId64" w:history="1">
        <w:r w:rsidR="00FB37C9">
          <w:rPr>
            <w:rStyle w:val="Hyperlink"/>
          </w:rPr>
          <w:t>Online submissions</w:t>
        </w:r>
      </w:hyperlink>
      <w:r w:rsidR="00FB37C9">
        <w:t xml:space="preserve"> can be made via the comment function or by uploading a document. Submissions in Microsoft Word or Rich Text Format are preferred.</w:t>
      </w:r>
    </w:p>
    <w:p w14:paraId="2BEF5140" w14:textId="77777777" w:rsidR="0052285A" w:rsidRPr="00A05EC9" w:rsidRDefault="0052285A" w:rsidP="00CD625F">
      <w:pPr>
        <w:pStyle w:val="ListBullet"/>
      </w:pPr>
      <w:r w:rsidRPr="00A05EC9">
        <w:t xml:space="preserve">Submissions by post—can be sent to: </w:t>
      </w:r>
    </w:p>
    <w:p w14:paraId="536135ED" w14:textId="77777777" w:rsidR="0052285A" w:rsidRPr="00A05EC9" w:rsidRDefault="0052285A" w:rsidP="00CD625F">
      <w:pPr>
        <w:pStyle w:val="ACMANormalTabbed"/>
        <w:spacing w:after="0" w:line="240" w:lineRule="auto"/>
        <w:ind w:left="295"/>
      </w:pPr>
      <w:r w:rsidRPr="00A05EC9">
        <w:t>The Manager, Spectrum Planning Section</w:t>
      </w:r>
    </w:p>
    <w:p w14:paraId="535EA53B" w14:textId="77777777" w:rsidR="0052285A" w:rsidRPr="00A05EC9" w:rsidRDefault="0052285A" w:rsidP="00CD625F">
      <w:pPr>
        <w:pStyle w:val="ACMANormalTabbed"/>
        <w:spacing w:after="0" w:line="240" w:lineRule="auto"/>
        <w:ind w:left="295"/>
      </w:pPr>
      <w:r w:rsidRPr="00A05EC9">
        <w:t>Spectrum Planning and Engineering Branch</w:t>
      </w:r>
    </w:p>
    <w:p w14:paraId="70F5A3FE" w14:textId="77777777" w:rsidR="0052285A" w:rsidRPr="00A05EC9" w:rsidRDefault="0052285A" w:rsidP="00CD625F">
      <w:pPr>
        <w:pStyle w:val="ACMANormalTabbed"/>
        <w:spacing w:after="0" w:line="240" w:lineRule="auto"/>
        <w:ind w:left="295"/>
      </w:pPr>
      <w:r w:rsidRPr="00A05EC9">
        <w:t>Communications Infrastructure Division</w:t>
      </w:r>
    </w:p>
    <w:p w14:paraId="1AA14621" w14:textId="77777777" w:rsidR="0052285A" w:rsidRPr="00A05EC9" w:rsidRDefault="0052285A" w:rsidP="00CD625F">
      <w:pPr>
        <w:pStyle w:val="ACMANormalTabbed"/>
        <w:spacing w:line="240" w:lineRule="auto"/>
        <w:ind w:left="295"/>
      </w:pPr>
      <w:r w:rsidRPr="00A05EC9">
        <w:t>PO Box 78, Belconnen, ACT 2616</w:t>
      </w:r>
    </w:p>
    <w:p w14:paraId="380C2765" w14:textId="4FC805AE" w:rsidR="0052285A" w:rsidRPr="009229F4" w:rsidRDefault="0052285A" w:rsidP="00CD625F">
      <w:pPr>
        <w:rPr>
          <w:rStyle w:val="Strong"/>
        </w:rPr>
      </w:pPr>
      <w:r w:rsidRPr="00A05EC9">
        <w:rPr>
          <w:rStyle w:val="Strong"/>
        </w:rPr>
        <w:t xml:space="preserve">The closing date for submissions is COB, </w:t>
      </w:r>
      <w:r w:rsidR="00816E07" w:rsidRPr="00754EA0">
        <w:rPr>
          <w:rStyle w:val="Strong"/>
        </w:rPr>
        <w:t>Friday</w:t>
      </w:r>
      <w:r w:rsidR="008D78CD" w:rsidRPr="00754EA0">
        <w:rPr>
          <w:rStyle w:val="Strong"/>
        </w:rPr>
        <w:t xml:space="preserve"> </w:t>
      </w:r>
      <w:r w:rsidR="00D11F16">
        <w:rPr>
          <w:rStyle w:val="Strong"/>
        </w:rPr>
        <w:t>17</w:t>
      </w:r>
      <w:r w:rsidRPr="00754EA0">
        <w:rPr>
          <w:b/>
        </w:rPr>
        <w:t xml:space="preserve"> </w:t>
      </w:r>
      <w:r w:rsidR="00D11F16">
        <w:rPr>
          <w:b/>
        </w:rPr>
        <w:t>May</w:t>
      </w:r>
      <w:r w:rsidR="00D11F16" w:rsidRPr="00754EA0">
        <w:rPr>
          <w:b/>
        </w:rPr>
        <w:t xml:space="preserve"> </w:t>
      </w:r>
      <w:r w:rsidRPr="00754EA0">
        <w:rPr>
          <w:b/>
        </w:rPr>
        <w:t>201</w:t>
      </w:r>
      <w:r w:rsidR="00D11F16">
        <w:rPr>
          <w:b/>
        </w:rPr>
        <w:t>9</w:t>
      </w:r>
      <w:r w:rsidRPr="00754EA0">
        <w:rPr>
          <w:b/>
        </w:rPr>
        <w:t>.</w:t>
      </w:r>
    </w:p>
    <w:p w14:paraId="3AE56CA5" w14:textId="2A98A4AB" w:rsidR="0052285A" w:rsidRPr="002A6019" w:rsidRDefault="00FB37C9" w:rsidP="002F3B34">
      <w:pPr>
        <w:rPr>
          <w:szCs w:val="20"/>
        </w:rPr>
      </w:pPr>
      <w:r>
        <w:t xml:space="preserve">Consultation enquiries can be emailed </w:t>
      </w:r>
      <w:r>
        <w:rPr>
          <w:szCs w:val="20"/>
        </w:rPr>
        <w:t xml:space="preserve">to </w:t>
      </w:r>
      <w:hyperlink r:id="rId65" w:history="1">
        <w:r w:rsidRPr="002F3B34">
          <w:rPr>
            <w:rStyle w:val="Hyperlink"/>
            <w:szCs w:val="20"/>
          </w:rPr>
          <w:t>freqplan@acma.gov.au</w:t>
        </w:r>
      </w:hyperlink>
      <w:r w:rsidRPr="002A6019">
        <w:rPr>
          <w:szCs w:val="20"/>
        </w:rPr>
        <w:t>.</w:t>
      </w:r>
      <w:r w:rsidR="0052285A" w:rsidRPr="00A05EC9">
        <w:t xml:space="preserve"> </w:t>
      </w:r>
    </w:p>
    <w:p w14:paraId="6E5B514B" w14:textId="77777777" w:rsidR="00FB37C9" w:rsidRDefault="00FB37C9" w:rsidP="00FB37C9">
      <w:pPr>
        <w:pStyle w:val="BodySubHeader"/>
      </w:pPr>
      <w:r>
        <w:t>Publication of submissions</w:t>
      </w:r>
    </w:p>
    <w:p w14:paraId="404A9638" w14:textId="77777777" w:rsidR="00FB37C9" w:rsidRDefault="00FB37C9" w:rsidP="00FB37C9">
      <w:r>
        <w:t>The ACMA publishes submissions on our website</w:t>
      </w:r>
      <w:r>
        <w:rPr>
          <w:rFonts w:cs="Arial"/>
        </w:rPr>
        <w:t>, including personal information (such as names and contact details)</w:t>
      </w:r>
      <w:r>
        <w:t xml:space="preserve">, except for information that you have claimed (and we have accepted) is confidential. </w:t>
      </w:r>
    </w:p>
    <w:p w14:paraId="0871B272" w14:textId="77777777" w:rsidR="00FB37C9" w:rsidRDefault="00FB37C9" w:rsidP="00FB37C9">
      <w:r>
        <w:t>Confidential information will not be published or otherwise released unless required or authorised by law.</w:t>
      </w:r>
    </w:p>
    <w:p w14:paraId="0CD77990" w14:textId="77777777" w:rsidR="00FB37C9" w:rsidRDefault="00FB37C9" w:rsidP="00FB37C9">
      <w:pPr>
        <w:pStyle w:val="BodySubHeader"/>
      </w:pPr>
      <w:r>
        <w:t>Privacy</w:t>
      </w:r>
    </w:p>
    <w:p w14:paraId="7D66E628" w14:textId="74B79EC7" w:rsidR="00FB37C9" w:rsidRDefault="005B0D57" w:rsidP="00FA520E">
      <w:hyperlink r:id="rId66" w:history="1">
        <w:r w:rsidR="00FB37C9">
          <w:rPr>
            <w:rStyle w:val="Hyperlink"/>
            <w:i/>
          </w:rPr>
          <w:t>Privacy and consultation</w:t>
        </w:r>
      </w:hyperlink>
      <w:r w:rsidR="00FB37C9">
        <w:t xml:space="preserve"> provides information about the ACMA’s collection of personal information during consultation and how we handle that information. </w:t>
      </w:r>
    </w:p>
    <w:p w14:paraId="6F987C19" w14:textId="77777777" w:rsidR="00FB37C9" w:rsidRPr="0041233F" w:rsidRDefault="00FB37C9" w:rsidP="00FB37C9">
      <w:r>
        <w:t xml:space="preserve">Information on the </w:t>
      </w:r>
      <w:r>
        <w:rPr>
          <w:i/>
        </w:rPr>
        <w:t xml:space="preserve">Privacy Act 1988 </w:t>
      </w:r>
      <w:r>
        <w:t xml:space="preserve">and the ACMA’s privacy policy (including how to access or correct personal information, how to make a privacy complaint and how we will deal with the complaint) is available at </w:t>
      </w:r>
      <w:hyperlink r:id="rId67" w:tooltip="ACMA Privacy Policy" w:history="1">
        <w:r>
          <w:rPr>
            <w:rStyle w:val="Hyperlink"/>
          </w:rPr>
          <w:t>acma.gov.au/</w:t>
        </w:r>
        <w:proofErr w:type="spellStart"/>
        <w:r>
          <w:rPr>
            <w:rStyle w:val="Hyperlink"/>
          </w:rPr>
          <w:t>privacypolicy</w:t>
        </w:r>
        <w:proofErr w:type="spellEnd"/>
      </w:hyperlink>
      <w:r>
        <w:t xml:space="preserve">. </w:t>
      </w:r>
    </w:p>
    <w:p w14:paraId="15BA2F95" w14:textId="77777777" w:rsidR="0052285A" w:rsidRDefault="0052285A" w:rsidP="00E61074">
      <w:pPr>
        <w:pStyle w:val="Heading1"/>
      </w:pPr>
      <w:bookmarkStart w:id="172" w:name="_Toc404767742"/>
      <w:bookmarkStart w:id="173" w:name="_Toc420420504"/>
      <w:bookmarkStart w:id="174" w:name="_Toc425513894"/>
      <w:bookmarkStart w:id="175" w:name="_Toc425513960"/>
      <w:bookmarkStart w:id="176" w:name="_Toc457809926"/>
      <w:bookmarkStart w:id="177" w:name="_Toc466017055"/>
      <w:bookmarkStart w:id="178" w:name="_Toc468438950"/>
      <w:bookmarkStart w:id="179" w:name="_Toc468705305"/>
      <w:bookmarkStart w:id="180" w:name="_Toc482886592"/>
      <w:bookmarkStart w:id="181" w:name="_Toc482886634"/>
      <w:bookmarkStart w:id="182" w:name="_Toc482888975"/>
      <w:bookmarkStart w:id="183" w:name="_Toc482891246"/>
      <w:bookmarkStart w:id="184" w:name="_Toc482891313"/>
      <w:bookmarkStart w:id="185" w:name="_Toc482956521"/>
      <w:bookmarkStart w:id="186" w:name="_Toc484011494"/>
      <w:bookmarkStart w:id="187" w:name="_Toc484511710"/>
      <w:bookmarkStart w:id="188" w:name="_Ref505242502"/>
      <w:bookmarkStart w:id="189" w:name="_Toc519765125"/>
      <w:bookmarkStart w:id="190" w:name="_Toc521585791"/>
      <w:bookmarkStart w:id="191" w:name="_Toc5000089"/>
      <w:bookmarkEnd w:id="168"/>
      <w:bookmarkEnd w:id="169"/>
      <w:bookmarkEnd w:id="170"/>
      <w:bookmarkEnd w:id="171"/>
      <w:r w:rsidRPr="005E6D37">
        <w:lastRenderedPageBreak/>
        <w:t>Glossary</w:t>
      </w:r>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p>
    <w:tbl>
      <w:tblPr>
        <w:tblStyle w:val="PlainTable1"/>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57" w:type="dxa"/>
          <w:left w:w="57" w:type="dxa"/>
          <w:bottom w:w="57" w:type="dxa"/>
          <w:right w:w="57" w:type="dxa"/>
        </w:tblCellMar>
        <w:tblLook w:val="04A0" w:firstRow="1" w:lastRow="0" w:firstColumn="1" w:lastColumn="0" w:noHBand="0" w:noVBand="1"/>
        <w:tblCaption w:val="Terms and definitions used in this document."/>
      </w:tblPr>
      <w:tblGrid>
        <w:gridCol w:w="2405"/>
        <w:gridCol w:w="5256"/>
      </w:tblGrid>
      <w:tr w:rsidR="005F1860" w:rsidRPr="00A05EC9" w14:paraId="4A7BDACB" w14:textId="77777777" w:rsidTr="005F1860">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2405" w:type="dxa"/>
            <w:shd w:val="clear" w:color="auto" w:fill="404040" w:themeFill="text1" w:themeFillTint="BF"/>
          </w:tcPr>
          <w:p w14:paraId="5146713B" w14:textId="77777777" w:rsidR="005F1860" w:rsidRPr="00A05EC9" w:rsidRDefault="005F1860" w:rsidP="005F1860">
            <w:pPr>
              <w:pStyle w:val="TableHeading"/>
              <w:spacing w:line="240" w:lineRule="auto"/>
              <w:rPr>
                <w:color w:val="FFFFFF" w:themeColor="background1"/>
              </w:rPr>
            </w:pPr>
            <w:r w:rsidRPr="00A748BB">
              <w:rPr>
                <w:b/>
                <w:color w:val="FFFFFF" w:themeColor="background1"/>
              </w:rPr>
              <w:t>Term</w:t>
            </w:r>
          </w:p>
        </w:tc>
        <w:tc>
          <w:tcPr>
            <w:tcW w:w="5256" w:type="dxa"/>
            <w:shd w:val="clear" w:color="auto" w:fill="404040" w:themeFill="text1" w:themeFillTint="BF"/>
          </w:tcPr>
          <w:p w14:paraId="1672BAFB" w14:textId="77777777" w:rsidR="005F1860" w:rsidRPr="00A05EC9" w:rsidRDefault="005F1860" w:rsidP="005F1860">
            <w:pPr>
              <w:pStyle w:val="TableHeading"/>
              <w:spacing w:line="240" w:lineRule="auto"/>
              <w:cnfStyle w:val="100000000000" w:firstRow="1" w:lastRow="0" w:firstColumn="0" w:lastColumn="0" w:oddVBand="0" w:evenVBand="0" w:oddHBand="0" w:evenHBand="0" w:firstRowFirstColumn="0" w:firstRowLastColumn="0" w:lastRowFirstColumn="0" w:lastRowLastColumn="0"/>
              <w:rPr>
                <w:color w:val="FFFFFF" w:themeColor="background1"/>
              </w:rPr>
            </w:pPr>
            <w:r w:rsidRPr="00A748BB">
              <w:rPr>
                <w:b/>
                <w:color w:val="FFFFFF" w:themeColor="background1"/>
              </w:rPr>
              <w:t>Definition</w:t>
            </w:r>
          </w:p>
        </w:tc>
      </w:tr>
      <w:tr w:rsidR="005F1860" w:rsidRPr="00A05EC9" w14:paraId="76AACB9C" w14:textId="77777777" w:rsidTr="005F18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405" w:type="dxa"/>
          </w:tcPr>
          <w:p w14:paraId="0C856CA6" w14:textId="556226D8" w:rsidR="005F1860" w:rsidRPr="00A05EC9" w:rsidRDefault="00E67A4B" w:rsidP="005F1860">
            <w:pPr>
              <w:spacing w:after="0" w:line="240" w:lineRule="auto"/>
            </w:pPr>
            <w:r>
              <w:t xml:space="preserve">1800 MHz </w:t>
            </w:r>
            <w:r w:rsidR="005F1860" w:rsidRPr="00A05EC9">
              <w:t>band</w:t>
            </w:r>
          </w:p>
        </w:tc>
        <w:tc>
          <w:tcPr>
            <w:tcW w:w="5256" w:type="dxa"/>
          </w:tcPr>
          <w:p w14:paraId="75A5DA0B" w14:textId="17405848" w:rsidR="005F1860" w:rsidRPr="00A05EC9" w:rsidRDefault="004A0E2E" w:rsidP="005F1860">
            <w:pPr>
              <w:spacing w:after="0" w:line="240" w:lineRule="auto"/>
              <w:cnfStyle w:val="000000100000" w:firstRow="0" w:lastRow="0" w:firstColumn="0" w:lastColumn="0" w:oddVBand="0" w:evenVBand="0" w:oddHBand="1" w:evenHBand="0" w:firstRowFirstColumn="0" w:firstRowLastColumn="0" w:lastRowFirstColumn="0" w:lastRowLastColumn="0"/>
            </w:pPr>
            <w:r w:rsidRPr="00A05EC9">
              <w:t xml:space="preserve">Refers to the </w:t>
            </w:r>
            <w:r w:rsidR="00C910F0">
              <w:t>1710</w:t>
            </w:r>
            <w:r w:rsidRPr="00A05EC9">
              <w:t>–</w:t>
            </w:r>
            <w:r w:rsidR="003C0188">
              <w:t>17</w:t>
            </w:r>
            <w:r w:rsidR="006035A7">
              <w:t>85 / 1805</w:t>
            </w:r>
            <w:r w:rsidR="006035A7" w:rsidRPr="00A05EC9">
              <w:t>–</w:t>
            </w:r>
            <w:r w:rsidR="00C910F0">
              <w:t>188</w:t>
            </w:r>
            <w:r w:rsidR="00806D0E">
              <w:t>0</w:t>
            </w:r>
            <w:r w:rsidRPr="00A05EC9">
              <w:t xml:space="preserve"> MHz frequency range</w:t>
            </w:r>
          </w:p>
        </w:tc>
      </w:tr>
      <w:tr w:rsidR="00E67A4B" w:rsidRPr="00A05EC9" w14:paraId="4FB609A1" w14:textId="77777777" w:rsidTr="005F1860">
        <w:trPr>
          <w:cantSplit/>
        </w:trPr>
        <w:tc>
          <w:tcPr>
            <w:cnfStyle w:val="001000000000" w:firstRow="0" w:lastRow="0" w:firstColumn="1" w:lastColumn="0" w:oddVBand="0" w:evenVBand="0" w:oddHBand="0" w:evenHBand="0" w:firstRowFirstColumn="0" w:firstRowLastColumn="0" w:lastRowFirstColumn="0" w:lastRowLastColumn="0"/>
            <w:tcW w:w="2405" w:type="dxa"/>
          </w:tcPr>
          <w:p w14:paraId="60760EA1" w14:textId="539271BA" w:rsidR="00E67A4B" w:rsidRPr="00A05EC9" w:rsidRDefault="00E67A4B" w:rsidP="005F1860">
            <w:pPr>
              <w:spacing w:after="0" w:line="240" w:lineRule="auto"/>
            </w:pPr>
            <w:r>
              <w:t>2.1 GHz band</w:t>
            </w:r>
          </w:p>
        </w:tc>
        <w:tc>
          <w:tcPr>
            <w:tcW w:w="5256" w:type="dxa"/>
          </w:tcPr>
          <w:p w14:paraId="2C1C2B4E" w14:textId="36293A09" w:rsidR="00E67A4B" w:rsidRPr="00A05EC9" w:rsidRDefault="004A0E2E" w:rsidP="005F1860">
            <w:pPr>
              <w:spacing w:after="0" w:line="240" w:lineRule="auto"/>
              <w:cnfStyle w:val="000000000000" w:firstRow="0" w:lastRow="0" w:firstColumn="0" w:lastColumn="0" w:oddVBand="0" w:evenVBand="0" w:oddHBand="0" w:evenHBand="0" w:firstRowFirstColumn="0" w:firstRowLastColumn="0" w:lastRowFirstColumn="0" w:lastRowLastColumn="0"/>
            </w:pPr>
            <w:r w:rsidRPr="00A05EC9">
              <w:t xml:space="preserve">Refers to the </w:t>
            </w:r>
            <w:r w:rsidR="00C910F0">
              <w:t>19</w:t>
            </w:r>
            <w:r w:rsidR="006035A7">
              <w:t>2</w:t>
            </w:r>
            <w:r w:rsidR="00C910F0">
              <w:t>0</w:t>
            </w:r>
            <w:r w:rsidRPr="00A05EC9">
              <w:t>–</w:t>
            </w:r>
            <w:r w:rsidR="006035A7">
              <w:t>1980 / 2110</w:t>
            </w:r>
            <w:r w:rsidR="006035A7" w:rsidRPr="00A05EC9">
              <w:t>–</w:t>
            </w:r>
            <w:r w:rsidR="00C910F0">
              <w:t>217</w:t>
            </w:r>
            <w:r w:rsidRPr="00A05EC9">
              <w:t>0 MHz frequency range</w:t>
            </w:r>
          </w:p>
        </w:tc>
      </w:tr>
      <w:tr w:rsidR="00E67A4B" w:rsidRPr="00A05EC9" w14:paraId="2A799C5C" w14:textId="77777777" w:rsidTr="005F18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405" w:type="dxa"/>
          </w:tcPr>
          <w:p w14:paraId="2F7EEB17" w14:textId="593C1B8B" w:rsidR="00E67A4B" w:rsidRPr="00A05EC9" w:rsidRDefault="00E67A4B" w:rsidP="00E67A4B">
            <w:pPr>
              <w:spacing w:after="0" w:line="240" w:lineRule="auto"/>
            </w:pPr>
            <w:r w:rsidRPr="00A05EC9">
              <w:t>3.6 GHz band</w:t>
            </w:r>
          </w:p>
        </w:tc>
        <w:tc>
          <w:tcPr>
            <w:tcW w:w="5256" w:type="dxa"/>
          </w:tcPr>
          <w:p w14:paraId="330D90D2" w14:textId="71F97610" w:rsidR="00E67A4B" w:rsidRPr="00A05EC9" w:rsidRDefault="00E67A4B" w:rsidP="00E67A4B">
            <w:pPr>
              <w:spacing w:after="0" w:line="240" w:lineRule="auto"/>
              <w:cnfStyle w:val="000000100000" w:firstRow="0" w:lastRow="0" w:firstColumn="0" w:lastColumn="0" w:oddVBand="0" w:evenVBand="0" w:oddHBand="1" w:evenHBand="0" w:firstRowFirstColumn="0" w:firstRowLastColumn="0" w:lastRowFirstColumn="0" w:lastRowLastColumn="0"/>
            </w:pPr>
            <w:r w:rsidRPr="00A05EC9">
              <w:t>Refers to the 3575–3700 MHz frequency range</w:t>
            </w:r>
          </w:p>
        </w:tc>
      </w:tr>
      <w:tr w:rsidR="00315691" w:rsidRPr="00A05EC9" w14:paraId="3F9635A6" w14:textId="77777777" w:rsidTr="005F1860">
        <w:trPr>
          <w:cantSplit/>
        </w:trPr>
        <w:tc>
          <w:tcPr>
            <w:cnfStyle w:val="001000000000" w:firstRow="0" w:lastRow="0" w:firstColumn="1" w:lastColumn="0" w:oddVBand="0" w:evenVBand="0" w:oddHBand="0" w:evenHBand="0" w:firstRowFirstColumn="0" w:firstRowLastColumn="0" w:lastRowFirstColumn="0" w:lastRowLastColumn="0"/>
            <w:tcW w:w="2405" w:type="dxa"/>
          </w:tcPr>
          <w:p w14:paraId="0674099B" w14:textId="6F61BB9E" w:rsidR="00315691" w:rsidRPr="00A05EC9" w:rsidRDefault="00315691" w:rsidP="00315691">
            <w:pPr>
              <w:spacing w:after="0" w:line="240" w:lineRule="auto"/>
            </w:pPr>
            <w:r>
              <w:t>18 GHz</w:t>
            </w:r>
            <w:r w:rsidR="00AF1AC4">
              <w:t xml:space="preserve"> band</w:t>
            </w:r>
          </w:p>
        </w:tc>
        <w:tc>
          <w:tcPr>
            <w:tcW w:w="5256" w:type="dxa"/>
          </w:tcPr>
          <w:p w14:paraId="2CA135B5" w14:textId="303D6F9F" w:rsidR="00315691" w:rsidRPr="00A05EC9" w:rsidRDefault="00315691" w:rsidP="00315691">
            <w:pPr>
              <w:spacing w:after="0" w:line="240" w:lineRule="auto"/>
              <w:cnfStyle w:val="000000000000" w:firstRow="0" w:lastRow="0" w:firstColumn="0" w:lastColumn="0" w:oddVBand="0" w:evenVBand="0" w:oddHBand="0" w:evenHBand="0" w:firstRowFirstColumn="0" w:firstRowLastColumn="0" w:lastRowFirstColumn="0" w:lastRowLastColumn="0"/>
            </w:pPr>
            <w:r w:rsidRPr="00A05EC9">
              <w:t>Refers to</w:t>
            </w:r>
            <w:r>
              <w:t xml:space="preserve"> 17.7</w:t>
            </w:r>
            <w:r w:rsidRPr="00A05EC9">
              <w:t>-</w:t>
            </w:r>
            <w:r>
              <w:t>19.7</w:t>
            </w:r>
            <w:r w:rsidRPr="00A05EC9">
              <w:t xml:space="preserve"> GHz frequency range</w:t>
            </w:r>
          </w:p>
        </w:tc>
      </w:tr>
      <w:tr w:rsidR="00E67A4B" w:rsidRPr="00A05EC9" w14:paraId="51913858" w14:textId="77777777" w:rsidTr="005F18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405" w:type="dxa"/>
          </w:tcPr>
          <w:p w14:paraId="117D6D3C" w14:textId="6A17B7FC" w:rsidR="00E67A4B" w:rsidRPr="00A05EC9" w:rsidRDefault="004A0E2E" w:rsidP="00E67A4B">
            <w:pPr>
              <w:spacing w:after="0" w:line="240" w:lineRule="auto"/>
            </w:pPr>
            <w:r>
              <w:t>2</w:t>
            </w:r>
            <w:r w:rsidR="00C910F0">
              <w:t>2</w:t>
            </w:r>
            <w:r w:rsidR="00E67A4B">
              <w:t xml:space="preserve"> GHz</w:t>
            </w:r>
            <w:r w:rsidR="00AF1AC4">
              <w:t xml:space="preserve"> band</w:t>
            </w:r>
          </w:p>
        </w:tc>
        <w:tc>
          <w:tcPr>
            <w:tcW w:w="5256" w:type="dxa"/>
          </w:tcPr>
          <w:p w14:paraId="13D44614" w14:textId="6576A3F2" w:rsidR="00E67A4B" w:rsidRPr="00A05EC9" w:rsidRDefault="004A0E2E" w:rsidP="00E67A4B">
            <w:pPr>
              <w:spacing w:after="0" w:line="240" w:lineRule="auto"/>
              <w:cnfStyle w:val="000000100000" w:firstRow="0" w:lastRow="0" w:firstColumn="0" w:lastColumn="0" w:oddVBand="0" w:evenVBand="0" w:oddHBand="1" w:evenHBand="0" w:firstRowFirstColumn="0" w:firstRowLastColumn="0" w:lastRowFirstColumn="0" w:lastRowLastColumn="0"/>
            </w:pPr>
            <w:r w:rsidRPr="00A05EC9">
              <w:t xml:space="preserve">Refers to the </w:t>
            </w:r>
            <w:r w:rsidR="00C910F0">
              <w:t>21.2</w:t>
            </w:r>
            <w:r w:rsidRPr="00A05EC9">
              <w:t>–</w:t>
            </w:r>
            <w:r w:rsidR="00C910F0">
              <w:t>23.6</w:t>
            </w:r>
            <w:r w:rsidRPr="00A05EC9">
              <w:t xml:space="preserve"> </w:t>
            </w:r>
            <w:r w:rsidR="00C910F0">
              <w:t>G</w:t>
            </w:r>
            <w:r w:rsidRPr="00A05EC9">
              <w:t>Hz frequency range</w:t>
            </w:r>
          </w:p>
        </w:tc>
      </w:tr>
      <w:tr w:rsidR="00E67A4B" w:rsidRPr="00A05EC9" w14:paraId="6107092C" w14:textId="77777777" w:rsidTr="005F1860">
        <w:trPr>
          <w:cantSplit/>
        </w:trPr>
        <w:tc>
          <w:tcPr>
            <w:cnfStyle w:val="001000000000" w:firstRow="0" w:lastRow="0" w:firstColumn="1" w:lastColumn="0" w:oddVBand="0" w:evenVBand="0" w:oddHBand="0" w:evenHBand="0" w:firstRowFirstColumn="0" w:firstRowLastColumn="0" w:lastRowFirstColumn="0" w:lastRowLastColumn="0"/>
            <w:tcW w:w="2405" w:type="dxa"/>
          </w:tcPr>
          <w:p w14:paraId="0D53EB67" w14:textId="1E19BA5E" w:rsidR="00E67A4B" w:rsidRPr="00A05EC9" w:rsidRDefault="00E67A4B" w:rsidP="00E67A4B">
            <w:pPr>
              <w:spacing w:after="0" w:line="240" w:lineRule="auto"/>
            </w:pPr>
            <w:r w:rsidRPr="00A05EC9">
              <w:t>26 GHz band</w:t>
            </w:r>
          </w:p>
        </w:tc>
        <w:tc>
          <w:tcPr>
            <w:tcW w:w="5256" w:type="dxa"/>
          </w:tcPr>
          <w:p w14:paraId="677A7C7F" w14:textId="3D014AF4" w:rsidR="00E67A4B" w:rsidRPr="00A05EC9" w:rsidRDefault="00E67A4B" w:rsidP="00E67A4B">
            <w:pPr>
              <w:spacing w:after="0" w:line="240" w:lineRule="auto"/>
              <w:cnfStyle w:val="000000000000" w:firstRow="0" w:lastRow="0" w:firstColumn="0" w:lastColumn="0" w:oddVBand="0" w:evenVBand="0" w:oddHBand="0" w:evenHBand="0" w:firstRowFirstColumn="0" w:firstRowLastColumn="0" w:lastRowFirstColumn="0" w:lastRowLastColumn="0"/>
            </w:pPr>
            <w:r w:rsidRPr="00A05EC9">
              <w:t xml:space="preserve">Refers to 24.25-27.5 GHz </w:t>
            </w:r>
            <w:r w:rsidR="00B06427" w:rsidRPr="00A05EC9">
              <w:t>frequency range</w:t>
            </w:r>
          </w:p>
        </w:tc>
      </w:tr>
      <w:tr w:rsidR="00E67A4B" w:rsidRPr="00A05EC9" w14:paraId="4D57BC10" w14:textId="77777777" w:rsidTr="005F18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405" w:type="dxa"/>
          </w:tcPr>
          <w:p w14:paraId="1A36AE8F" w14:textId="107B25C5" w:rsidR="00E67A4B" w:rsidRPr="00A05EC9" w:rsidRDefault="00E67A4B" w:rsidP="00E67A4B">
            <w:pPr>
              <w:spacing w:after="0" w:line="240" w:lineRule="auto"/>
            </w:pPr>
            <w:r>
              <w:t>28 GHz</w:t>
            </w:r>
            <w:r w:rsidR="00AF1AC4">
              <w:t xml:space="preserve"> band</w:t>
            </w:r>
          </w:p>
        </w:tc>
        <w:tc>
          <w:tcPr>
            <w:tcW w:w="5256" w:type="dxa"/>
          </w:tcPr>
          <w:p w14:paraId="3ED35B06" w14:textId="497372D7" w:rsidR="00E67A4B" w:rsidRPr="00A05EC9" w:rsidRDefault="004A0E2E" w:rsidP="00E67A4B">
            <w:pPr>
              <w:spacing w:after="0" w:line="240" w:lineRule="auto"/>
              <w:cnfStyle w:val="000000100000" w:firstRow="0" w:lastRow="0" w:firstColumn="0" w:lastColumn="0" w:oddVBand="0" w:evenVBand="0" w:oddHBand="1" w:evenHBand="0" w:firstRowFirstColumn="0" w:firstRowLastColumn="0" w:lastRowFirstColumn="0" w:lastRowLastColumn="0"/>
            </w:pPr>
            <w:r w:rsidRPr="00A05EC9">
              <w:t xml:space="preserve">Refers to the </w:t>
            </w:r>
            <w:r w:rsidR="00C910F0">
              <w:t>27.5</w:t>
            </w:r>
            <w:r w:rsidRPr="00A05EC9">
              <w:t>–</w:t>
            </w:r>
            <w:r w:rsidR="00C910F0">
              <w:t>29.5</w:t>
            </w:r>
            <w:r w:rsidRPr="00A05EC9">
              <w:t xml:space="preserve"> </w:t>
            </w:r>
            <w:r w:rsidR="00C910F0">
              <w:t>G</w:t>
            </w:r>
            <w:r w:rsidRPr="00A05EC9">
              <w:t>Hz frequency range</w:t>
            </w:r>
          </w:p>
        </w:tc>
      </w:tr>
      <w:tr w:rsidR="005F1860" w:rsidRPr="00A05EC9" w14:paraId="7AA8F44A" w14:textId="77777777" w:rsidTr="005F1860">
        <w:trPr>
          <w:cantSplit/>
        </w:trPr>
        <w:tc>
          <w:tcPr>
            <w:cnfStyle w:val="001000000000" w:firstRow="0" w:lastRow="0" w:firstColumn="1" w:lastColumn="0" w:oddVBand="0" w:evenVBand="0" w:oddHBand="0" w:evenHBand="0" w:firstRowFirstColumn="0" w:firstRowLastColumn="0" w:lastRowFirstColumn="0" w:lastRowLastColumn="0"/>
            <w:tcW w:w="2405" w:type="dxa"/>
          </w:tcPr>
          <w:p w14:paraId="11520401" w14:textId="7A31D37A" w:rsidR="005F1860" w:rsidRPr="00A05EC9" w:rsidRDefault="00E67A4B" w:rsidP="005F1860">
            <w:pPr>
              <w:spacing w:after="0" w:line="240" w:lineRule="auto"/>
            </w:pPr>
            <w:r>
              <w:t>31 GHz</w:t>
            </w:r>
            <w:r w:rsidR="00AF1AC4">
              <w:t xml:space="preserve"> band</w:t>
            </w:r>
          </w:p>
        </w:tc>
        <w:tc>
          <w:tcPr>
            <w:tcW w:w="5256" w:type="dxa"/>
          </w:tcPr>
          <w:p w14:paraId="1270563C" w14:textId="3646A1AD" w:rsidR="005F1860" w:rsidRPr="00A05EC9" w:rsidRDefault="004A0E2E" w:rsidP="005F1860">
            <w:pPr>
              <w:spacing w:after="0" w:line="240" w:lineRule="auto"/>
              <w:cnfStyle w:val="000000000000" w:firstRow="0" w:lastRow="0" w:firstColumn="0" w:lastColumn="0" w:oddVBand="0" w:evenVBand="0" w:oddHBand="0" w:evenHBand="0" w:firstRowFirstColumn="0" w:firstRowLastColumn="0" w:lastRowFirstColumn="0" w:lastRowLastColumn="0"/>
            </w:pPr>
            <w:r w:rsidRPr="00A05EC9">
              <w:t xml:space="preserve">Refers to the </w:t>
            </w:r>
            <w:r w:rsidR="00C910F0">
              <w:t>31.0</w:t>
            </w:r>
            <w:r w:rsidRPr="00A05EC9">
              <w:t>–</w:t>
            </w:r>
            <w:r w:rsidR="00C910F0">
              <w:t>31.3</w:t>
            </w:r>
            <w:r w:rsidRPr="00A05EC9">
              <w:t xml:space="preserve"> </w:t>
            </w:r>
            <w:r w:rsidR="00C910F0">
              <w:t>G</w:t>
            </w:r>
            <w:r w:rsidRPr="00A05EC9">
              <w:t>Hz frequency range</w:t>
            </w:r>
          </w:p>
        </w:tc>
      </w:tr>
      <w:tr w:rsidR="00E67A4B" w:rsidRPr="00A05EC9" w14:paraId="3058C7A9" w14:textId="77777777" w:rsidTr="005F18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405" w:type="dxa"/>
          </w:tcPr>
          <w:p w14:paraId="112928A3" w14:textId="624B7E7E" w:rsidR="00E67A4B" w:rsidRDefault="00E67A4B" w:rsidP="00E67A4B">
            <w:pPr>
              <w:spacing w:after="0" w:line="240" w:lineRule="auto"/>
            </w:pPr>
            <w:r>
              <w:t>38 GHz</w:t>
            </w:r>
            <w:r w:rsidR="00AF1AC4">
              <w:t xml:space="preserve"> band</w:t>
            </w:r>
          </w:p>
        </w:tc>
        <w:tc>
          <w:tcPr>
            <w:tcW w:w="5256" w:type="dxa"/>
          </w:tcPr>
          <w:p w14:paraId="7308B6C6" w14:textId="716B97F3" w:rsidR="00E67A4B" w:rsidRPr="00A05EC9" w:rsidDel="00E67A4B" w:rsidRDefault="004A0E2E" w:rsidP="00E67A4B">
            <w:pPr>
              <w:spacing w:after="0" w:line="240" w:lineRule="auto"/>
              <w:cnfStyle w:val="000000100000" w:firstRow="0" w:lastRow="0" w:firstColumn="0" w:lastColumn="0" w:oddVBand="0" w:evenVBand="0" w:oddHBand="1" w:evenHBand="0" w:firstRowFirstColumn="0" w:firstRowLastColumn="0" w:lastRowFirstColumn="0" w:lastRowLastColumn="0"/>
            </w:pPr>
            <w:r w:rsidRPr="00A05EC9">
              <w:t xml:space="preserve">Refers to the </w:t>
            </w:r>
            <w:r w:rsidR="00C910F0">
              <w:t>37.</w:t>
            </w:r>
            <w:r w:rsidRPr="00A05EC9">
              <w:t>5–3</w:t>
            </w:r>
            <w:r w:rsidR="00C910F0">
              <w:t>9.5</w:t>
            </w:r>
            <w:r w:rsidRPr="00A05EC9">
              <w:t xml:space="preserve"> </w:t>
            </w:r>
            <w:r w:rsidR="00C910F0">
              <w:t>G</w:t>
            </w:r>
            <w:r w:rsidRPr="00A05EC9">
              <w:t>Hz frequency range</w:t>
            </w:r>
          </w:p>
        </w:tc>
      </w:tr>
      <w:tr w:rsidR="005F1860" w:rsidRPr="00A05EC9" w14:paraId="02A39877" w14:textId="77777777" w:rsidTr="005F1860">
        <w:trPr>
          <w:cantSplit/>
        </w:trPr>
        <w:tc>
          <w:tcPr>
            <w:cnfStyle w:val="001000000000" w:firstRow="0" w:lastRow="0" w:firstColumn="1" w:lastColumn="0" w:oddVBand="0" w:evenVBand="0" w:oddHBand="0" w:evenHBand="0" w:firstRowFirstColumn="0" w:firstRowLastColumn="0" w:lastRowFirstColumn="0" w:lastRowLastColumn="0"/>
            <w:tcW w:w="2405" w:type="dxa"/>
          </w:tcPr>
          <w:p w14:paraId="3EB0B970" w14:textId="77777777" w:rsidR="005F1860" w:rsidRPr="00A05EC9" w:rsidRDefault="005F1860" w:rsidP="005F1860">
            <w:pPr>
              <w:spacing w:after="0" w:line="240" w:lineRule="auto"/>
              <w:rPr>
                <w:b w:val="0"/>
              </w:rPr>
            </w:pPr>
            <w:r w:rsidRPr="00A05EC9">
              <w:t>3GPP</w:t>
            </w:r>
          </w:p>
        </w:tc>
        <w:tc>
          <w:tcPr>
            <w:tcW w:w="5256" w:type="dxa"/>
          </w:tcPr>
          <w:p w14:paraId="1CC6CF96" w14:textId="77777777" w:rsidR="005F1860" w:rsidRPr="00ED4E26" w:rsidRDefault="005F1860" w:rsidP="005F1860">
            <w:pPr>
              <w:spacing w:after="80" w:line="240" w:lineRule="auto"/>
              <w:cnfStyle w:val="000000000000" w:firstRow="0" w:lastRow="0" w:firstColumn="0" w:lastColumn="0" w:oddVBand="0" w:evenVBand="0" w:oddHBand="0" w:evenHBand="0" w:firstRowFirstColumn="0" w:firstRowLastColumn="0" w:lastRowFirstColumn="0" w:lastRowLastColumn="0"/>
            </w:pPr>
            <w:r w:rsidRPr="00ED4E26">
              <w:t>3</w:t>
            </w:r>
            <w:r w:rsidRPr="00ED4E26">
              <w:rPr>
                <w:vertAlign w:val="superscript"/>
              </w:rPr>
              <w:t>rd</w:t>
            </w:r>
            <w:r w:rsidRPr="00ED4E26">
              <w:t xml:space="preserve"> Generation Partnership Project</w:t>
            </w:r>
          </w:p>
          <w:p w14:paraId="1216756D" w14:textId="77777777" w:rsidR="005F1860" w:rsidRPr="00A05EC9" w:rsidRDefault="005F1860" w:rsidP="005F1860">
            <w:pPr>
              <w:spacing w:after="0" w:line="240" w:lineRule="auto"/>
              <w:cnfStyle w:val="000000000000" w:firstRow="0" w:lastRow="0" w:firstColumn="0" w:lastColumn="0" w:oddVBand="0" w:evenVBand="0" w:oddHBand="0" w:evenHBand="0" w:firstRowFirstColumn="0" w:firstRowLastColumn="0" w:lastRowFirstColumn="0" w:lastRowLastColumn="0"/>
            </w:pPr>
            <w:r w:rsidRPr="00A05EC9">
              <w:t>An international body responsible for the standardisation of (cellular) mobile (including broadband) telecommunications, including the 2G, 3G, 4G and (soon) 5G technology standards.</w:t>
            </w:r>
          </w:p>
        </w:tc>
      </w:tr>
      <w:tr w:rsidR="005F1860" w:rsidRPr="00A05EC9" w14:paraId="522303E8" w14:textId="77777777" w:rsidTr="005F18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405" w:type="dxa"/>
          </w:tcPr>
          <w:p w14:paraId="591CB3BE" w14:textId="77777777" w:rsidR="005F1860" w:rsidRPr="00A05EC9" w:rsidRDefault="005F1860" w:rsidP="005F1860">
            <w:pPr>
              <w:spacing w:after="0" w:line="240" w:lineRule="auto"/>
              <w:rPr>
                <w:rFonts w:cs="Arial"/>
                <w:b w:val="0"/>
              </w:rPr>
            </w:pPr>
            <w:r w:rsidRPr="00A05EC9">
              <w:rPr>
                <w:rFonts w:cs="Arial"/>
              </w:rPr>
              <w:t>(Spectrum or Service) Allocation</w:t>
            </w:r>
          </w:p>
        </w:tc>
        <w:tc>
          <w:tcPr>
            <w:tcW w:w="5256" w:type="dxa"/>
          </w:tcPr>
          <w:p w14:paraId="3D2867CD" w14:textId="77777777" w:rsidR="005F1860" w:rsidRPr="00A05EC9" w:rsidRDefault="005F1860" w:rsidP="005F1860">
            <w:pPr>
              <w:spacing w:after="0" w:line="240" w:lineRule="auto"/>
              <w:cnfStyle w:val="000000100000" w:firstRow="0" w:lastRow="0" w:firstColumn="0" w:lastColumn="0" w:oddVBand="0" w:evenVBand="0" w:oddHBand="1" w:evenHBand="0" w:firstRowFirstColumn="0" w:firstRowLastColumn="0" w:lastRowFirstColumn="0" w:lastRowLastColumn="0"/>
            </w:pPr>
            <w:r w:rsidRPr="00A05EC9">
              <w:t>For the purposes of radiofrequency spectrum planning, an allocation is a specific range of frequencies allocated to use by one or more radiocommunications services within a band plan or spectrum plan.</w:t>
            </w:r>
          </w:p>
        </w:tc>
      </w:tr>
      <w:tr w:rsidR="005F1860" w:rsidRPr="00A05EC9" w14:paraId="71EE4001" w14:textId="77777777" w:rsidTr="005F1860">
        <w:trPr>
          <w:cantSplit/>
        </w:trPr>
        <w:tc>
          <w:tcPr>
            <w:cnfStyle w:val="001000000000" w:firstRow="0" w:lastRow="0" w:firstColumn="1" w:lastColumn="0" w:oddVBand="0" w:evenVBand="0" w:oddHBand="0" w:evenHBand="0" w:firstRowFirstColumn="0" w:firstRowLastColumn="0" w:lastRowFirstColumn="0" w:lastRowLastColumn="0"/>
            <w:tcW w:w="2405" w:type="dxa"/>
          </w:tcPr>
          <w:p w14:paraId="2459AC5B" w14:textId="77777777" w:rsidR="005F1860" w:rsidRPr="00A05EC9" w:rsidRDefault="005F1860" w:rsidP="005F1860">
            <w:pPr>
              <w:spacing w:after="0" w:line="240" w:lineRule="auto"/>
            </w:pPr>
            <w:r w:rsidRPr="00A05EC9">
              <w:rPr>
                <w:rFonts w:cs="Arial"/>
              </w:rPr>
              <w:t>Apparatus licence</w:t>
            </w:r>
          </w:p>
        </w:tc>
        <w:tc>
          <w:tcPr>
            <w:tcW w:w="5256" w:type="dxa"/>
          </w:tcPr>
          <w:p w14:paraId="1F35E711" w14:textId="77777777" w:rsidR="005F1860" w:rsidRPr="00A05EC9" w:rsidRDefault="005F1860" w:rsidP="005F1860">
            <w:pPr>
              <w:spacing w:after="0" w:line="240" w:lineRule="auto"/>
              <w:cnfStyle w:val="000000000000" w:firstRow="0" w:lastRow="0" w:firstColumn="0" w:lastColumn="0" w:oddVBand="0" w:evenVBand="0" w:oddHBand="0" w:evenHBand="0" w:firstRowFirstColumn="0" w:firstRowLastColumn="0" w:lastRowFirstColumn="0" w:lastRowLastColumn="0"/>
            </w:pPr>
            <w:r w:rsidRPr="00A05EC9">
              <w:t xml:space="preserve">An apparatus licence authorises, under the </w:t>
            </w:r>
            <w:r w:rsidRPr="00A05EC9">
              <w:rPr>
                <w:i/>
              </w:rPr>
              <w:t>Radiocommunications Act 1992</w:t>
            </w:r>
            <w:r w:rsidRPr="00A05EC9">
              <w:t xml:space="preserve">, the use of a radiocommunications device under a particular service type, in a particular frequency range and at a particular geographic location for a period of up to five years. </w:t>
            </w:r>
          </w:p>
        </w:tc>
      </w:tr>
      <w:tr w:rsidR="005F1860" w:rsidRPr="00A05EC9" w14:paraId="3DA1C2BA" w14:textId="77777777" w:rsidTr="005F18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405" w:type="dxa"/>
          </w:tcPr>
          <w:p w14:paraId="16A4803F" w14:textId="77777777" w:rsidR="005F1860" w:rsidRPr="00A05EC9" w:rsidRDefault="005F1860" w:rsidP="005F1860">
            <w:pPr>
              <w:spacing w:after="0" w:line="240" w:lineRule="auto"/>
            </w:pPr>
            <w:r w:rsidRPr="00A05EC9">
              <w:t>ASMG</w:t>
            </w:r>
          </w:p>
        </w:tc>
        <w:tc>
          <w:tcPr>
            <w:tcW w:w="5256" w:type="dxa"/>
          </w:tcPr>
          <w:p w14:paraId="3FD8A1E4" w14:textId="77777777" w:rsidR="005F1860" w:rsidRPr="00ED4E26" w:rsidRDefault="005F1860" w:rsidP="005F1860">
            <w:pPr>
              <w:spacing w:after="80" w:line="240" w:lineRule="auto"/>
              <w:cnfStyle w:val="000000100000" w:firstRow="0" w:lastRow="0" w:firstColumn="0" w:lastColumn="0" w:oddVBand="0" w:evenVBand="0" w:oddHBand="1" w:evenHBand="0" w:firstRowFirstColumn="0" w:firstRowLastColumn="0" w:lastRowFirstColumn="0" w:lastRowLastColumn="0"/>
              <w:rPr>
                <w:rFonts w:cs="Arial"/>
              </w:rPr>
            </w:pPr>
            <w:r w:rsidRPr="00ED4E26">
              <w:rPr>
                <w:rFonts w:cs="Arial"/>
              </w:rPr>
              <w:t xml:space="preserve">Australian </w:t>
            </w:r>
            <w:r w:rsidRPr="005F1860">
              <w:t>Spectrum</w:t>
            </w:r>
            <w:r w:rsidRPr="00ED4E26">
              <w:rPr>
                <w:rFonts w:cs="Arial"/>
              </w:rPr>
              <w:t xml:space="preserve"> Map Grid</w:t>
            </w:r>
          </w:p>
          <w:p w14:paraId="74C779B9" w14:textId="77777777" w:rsidR="005F1860" w:rsidRPr="00A05EC9" w:rsidRDefault="005F1860" w:rsidP="005F1860">
            <w:pPr>
              <w:spacing w:after="0" w:line="240" w:lineRule="auto"/>
              <w:cnfStyle w:val="000000100000" w:firstRow="0" w:lastRow="0" w:firstColumn="0" w:lastColumn="0" w:oddVBand="0" w:evenVBand="0" w:oddHBand="1" w:evenHBand="0" w:firstRowFirstColumn="0" w:firstRowLastColumn="0" w:lastRowFirstColumn="0" w:lastRowLastColumn="0"/>
              <w:rPr>
                <w:rFonts w:cs="Arial"/>
              </w:rPr>
            </w:pPr>
            <w:r w:rsidRPr="00A05EC9">
              <w:rPr>
                <w:rFonts w:cs="Arial"/>
              </w:rPr>
              <w:t xml:space="preserve">Used to define geographical areas over which spectrum licences are issued. The HCIS is used to define the cells that make up the ASMG. The ASMG is described in detail in the document </w:t>
            </w:r>
            <w:hyperlink r:id="rId68" w:history="1">
              <w:r w:rsidRPr="00CF2904">
                <w:rPr>
                  <w:rStyle w:val="Hyperlink"/>
                  <w:rFonts w:cs="Arial"/>
                </w:rPr>
                <w:t>The Australian spectrum map grid 2012</w:t>
              </w:r>
            </w:hyperlink>
            <w:r w:rsidRPr="00777FBD">
              <w:rPr>
                <w:rFonts w:cs="Arial"/>
              </w:rPr>
              <w:t>.</w:t>
            </w:r>
          </w:p>
          <w:p w14:paraId="23959C81" w14:textId="77777777" w:rsidR="005F1860" w:rsidRPr="00A05EC9" w:rsidRDefault="005F1860" w:rsidP="005F1860">
            <w:pPr>
              <w:spacing w:after="0" w:line="240" w:lineRule="auto"/>
              <w:cnfStyle w:val="000000100000" w:firstRow="0" w:lastRow="0" w:firstColumn="0" w:lastColumn="0" w:oddVBand="0" w:evenVBand="0" w:oddHBand="1" w:evenHBand="0" w:firstRowFirstColumn="0" w:firstRowLastColumn="0" w:lastRowFirstColumn="0" w:lastRowLastColumn="0"/>
            </w:pPr>
            <w:r w:rsidRPr="005E6D37">
              <w:rPr>
                <w:rFonts w:cs="Arial"/>
                <w:i/>
              </w:rPr>
              <w:t>See also</w:t>
            </w:r>
            <w:r w:rsidRPr="00895DFC">
              <w:rPr>
                <w:rFonts w:cs="Arial"/>
              </w:rPr>
              <w:t xml:space="preserve"> HCIS.</w:t>
            </w:r>
          </w:p>
        </w:tc>
      </w:tr>
      <w:tr w:rsidR="005F1860" w:rsidRPr="00A05EC9" w14:paraId="6732081E" w14:textId="77777777" w:rsidTr="005F1860">
        <w:trPr>
          <w:cantSplit/>
        </w:trPr>
        <w:tc>
          <w:tcPr>
            <w:cnfStyle w:val="001000000000" w:firstRow="0" w:lastRow="0" w:firstColumn="1" w:lastColumn="0" w:oddVBand="0" w:evenVBand="0" w:oddHBand="0" w:evenHBand="0" w:firstRowFirstColumn="0" w:firstRowLastColumn="0" w:lastRowFirstColumn="0" w:lastRowLastColumn="0"/>
            <w:tcW w:w="2405" w:type="dxa"/>
          </w:tcPr>
          <w:p w14:paraId="14B4369B" w14:textId="77777777" w:rsidR="005F1860" w:rsidRPr="00A05EC9" w:rsidRDefault="005F1860" w:rsidP="005F1860">
            <w:pPr>
              <w:spacing w:after="0" w:line="240" w:lineRule="auto"/>
            </w:pPr>
            <w:r w:rsidRPr="00A05EC9">
              <w:t>CEPT</w:t>
            </w:r>
          </w:p>
        </w:tc>
        <w:tc>
          <w:tcPr>
            <w:tcW w:w="5256" w:type="dxa"/>
          </w:tcPr>
          <w:p w14:paraId="609FA2B6" w14:textId="77777777" w:rsidR="005F1860" w:rsidRPr="00A05EC9" w:rsidRDefault="005F1860" w:rsidP="005F1860">
            <w:pPr>
              <w:spacing w:after="0" w:line="240" w:lineRule="auto"/>
              <w:cnfStyle w:val="000000000000" w:firstRow="0" w:lastRow="0" w:firstColumn="0" w:lastColumn="0" w:oddVBand="0" w:evenVBand="0" w:oddHBand="0" w:evenHBand="0" w:firstRowFirstColumn="0" w:firstRowLastColumn="0" w:lastRowFirstColumn="0" w:lastRowLastColumn="0"/>
            </w:pPr>
            <w:r w:rsidRPr="00A05EC9">
              <w:t>(Translated) European Conference of Postal and Telecommunications Administrations</w:t>
            </w:r>
          </w:p>
        </w:tc>
      </w:tr>
      <w:tr w:rsidR="005F1860" w:rsidRPr="00A05EC9" w14:paraId="55B4BBB5" w14:textId="77777777" w:rsidTr="005F18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405" w:type="dxa"/>
          </w:tcPr>
          <w:p w14:paraId="056E453D" w14:textId="77777777" w:rsidR="005F1860" w:rsidRPr="00A05EC9" w:rsidRDefault="005F1860" w:rsidP="005F1860">
            <w:pPr>
              <w:spacing w:after="0" w:line="240" w:lineRule="auto"/>
            </w:pPr>
            <w:r w:rsidRPr="00A05EC9">
              <w:t>Class licence</w:t>
            </w:r>
          </w:p>
        </w:tc>
        <w:tc>
          <w:tcPr>
            <w:tcW w:w="5256" w:type="dxa"/>
          </w:tcPr>
          <w:p w14:paraId="7262DC92" w14:textId="77777777" w:rsidR="005F1860" w:rsidRPr="00A05EC9" w:rsidRDefault="005F1860" w:rsidP="005F1860">
            <w:pPr>
              <w:spacing w:after="0" w:line="240" w:lineRule="auto"/>
              <w:cnfStyle w:val="000000100000" w:firstRow="0" w:lastRow="0" w:firstColumn="0" w:lastColumn="0" w:oddVBand="0" w:evenVBand="0" w:oddHBand="1" w:evenHBand="0" w:firstRowFirstColumn="0" w:firstRowLastColumn="0" w:lastRowFirstColumn="0" w:lastRowLastColumn="0"/>
            </w:pPr>
            <w:r w:rsidRPr="00A05EC9">
              <w:t>A standing authorisation for the operation of an unlimited number of devices operating within a set of conditions specified within</w:t>
            </w:r>
            <w:r>
              <w:t xml:space="preserve"> the authorisation</w:t>
            </w:r>
            <w:r w:rsidRPr="00A05EC9">
              <w:t>.</w:t>
            </w:r>
          </w:p>
        </w:tc>
      </w:tr>
      <w:tr w:rsidR="005F1860" w:rsidRPr="00A05EC9" w14:paraId="3FACC841" w14:textId="77777777" w:rsidTr="005F1860">
        <w:trPr>
          <w:cantSplit/>
        </w:trPr>
        <w:tc>
          <w:tcPr>
            <w:cnfStyle w:val="001000000000" w:firstRow="0" w:lastRow="0" w:firstColumn="1" w:lastColumn="0" w:oddVBand="0" w:evenVBand="0" w:oddHBand="0" w:evenHBand="0" w:firstRowFirstColumn="0" w:firstRowLastColumn="0" w:lastRowFirstColumn="0" w:lastRowLastColumn="0"/>
            <w:tcW w:w="2405" w:type="dxa"/>
          </w:tcPr>
          <w:p w14:paraId="1191F389" w14:textId="77777777" w:rsidR="005F1860" w:rsidRPr="00A05EC9" w:rsidRDefault="005F1860" w:rsidP="005F1860">
            <w:pPr>
              <w:spacing w:after="0" w:line="240" w:lineRule="auto"/>
            </w:pPr>
            <w:r w:rsidRPr="00A05EC9">
              <w:t>Coordination</w:t>
            </w:r>
          </w:p>
        </w:tc>
        <w:tc>
          <w:tcPr>
            <w:tcW w:w="5256" w:type="dxa"/>
          </w:tcPr>
          <w:p w14:paraId="27388E03" w14:textId="77777777" w:rsidR="005F1860" w:rsidRPr="00A05EC9" w:rsidRDefault="005F1860" w:rsidP="005F1860">
            <w:pPr>
              <w:spacing w:after="0" w:line="240" w:lineRule="auto"/>
              <w:cnfStyle w:val="000000000000" w:firstRow="0" w:lastRow="0" w:firstColumn="0" w:lastColumn="0" w:oddVBand="0" w:evenVBand="0" w:oddHBand="0" w:evenHBand="0" w:firstRowFirstColumn="0" w:firstRowLastColumn="0" w:lastRowFirstColumn="0" w:lastRowLastColumn="0"/>
            </w:pPr>
            <w:r w:rsidRPr="00A05EC9">
              <w:t xml:space="preserve">The process of assessing the interference potential existing licensed services and a proposed new service will have on each other. Coordination is deemed to fail if the level of interference exceeds the specified protection criteria for the services involved. </w:t>
            </w:r>
          </w:p>
        </w:tc>
      </w:tr>
      <w:tr w:rsidR="005F1860" w:rsidRPr="00A05EC9" w14:paraId="108AFE0E" w14:textId="77777777" w:rsidTr="005F18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405" w:type="dxa"/>
          </w:tcPr>
          <w:p w14:paraId="71DC8244" w14:textId="77777777" w:rsidR="005F1860" w:rsidRPr="00A05EC9" w:rsidRDefault="005F1860" w:rsidP="005F1860">
            <w:pPr>
              <w:spacing w:after="0" w:line="240" w:lineRule="auto"/>
              <w:rPr>
                <w:b w:val="0"/>
              </w:rPr>
            </w:pPr>
            <w:r w:rsidRPr="00A05EC9">
              <w:lastRenderedPageBreak/>
              <w:t>Embargo</w:t>
            </w:r>
          </w:p>
        </w:tc>
        <w:tc>
          <w:tcPr>
            <w:tcW w:w="5256" w:type="dxa"/>
          </w:tcPr>
          <w:p w14:paraId="337E54E1" w14:textId="77777777" w:rsidR="005F1860" w:rsidRPr="00A05EC9" w:rsidRDefault="005F1860" w:rsidP="005F1860">
            <w:pPr>
              <w:spacing w:after="0" w:line="240" w:lineRule="auto"/>
              <w:cnfStyle w:val="000000100000" w:firstRow="0" w:lastRow="0" w:firstColumn="0" w:lastColumn="0" w:oddVBand="0" w:evenVBand="0" w:oddHBand="1" w:evenHBand="0" w:firstRowFirstColumn="0" w:firstRowLastColumn="0" w:lastRowFirstColumn="0" w:lastRowLastColumn="0"/>
            </w:pPr>
            <w:r w:rsidRPr="00A05EC9">
              <w:t>A spectrum embargo is a policy notice of intent by the ACMA to restrict the allocation of new licences in a particular frequency range to support replanning of that frequency range. Spectrum may still be able to be accessed on an exceptions basis through an application for an exemption to the embargo.</w:t>
            </w:r>
          </w:p>
        </w:tc>
      </w:tr>
      <w:tr w:rsidR="00652594" w:rsidRPr="00A05EC9" w14:paraId="058412B5" w14:textId="77777777" w:rsidTr="005F1860">
        <w:trPr>
          <w:cantSplit/>
        </w:trPr>
        <w:tc>
          <w:tcPr>
            <w:cnfStyle w:val="001000000000" w:firstRow="0" w:lastRow="0" w:firstColumn="1" w:lastColumn="0" w:oddVBand="0" w:evenVBand="0" w:oddHBand="0" w:evenHBand="0" w:firstRowFirstColumn="0" w:firstRowLastColumn="0" w:lastRowFirstColumn="0" w:lastRowLastColumn="0"/>
            <w:tcW w:w="2405" w:type="dxa"/>
          </w:tcPr>
          <w:p w14:paraId="733338B7" w14:textId="63CAE8F0" w:rsidR="00652594" w:rsidRPr="00A05EC9" w:rsidRDefault="00652594" w:rsidP="00E67A4B">
            <w:pPr>
              <w:spacing w:after="0" w:line="240" w:lineRule="auto"/>
            </w:pPr>
            <w:r>
              <w:t>ESIM</w:t>
            </w:r>
          </w:p>
        </w:tc>
        <w:tc>
          <w:tcPr>
            <w:tcW w:w="5256" w:type="dxa"/>
          </w:tcPr>
          <w:p w14:paraId="0F13CBF4" w14:textId="647730F2" w:rsidR="00652594" w:rsidRPr="00A05EC9" w:rsidRDefault="00652594" w:rsidP="00E67A4B">
            <w:pPr>
              <w:spacing w:after="0" w:line="240" w:lineRule="auto"/>
              <w:cnfStyle w:val="000000000000" w:firstRow="0" w:lastRow="0" w:firstColumn="0" w:lastColumn="0" w:oddVBand="0" w:evenVBand="0" w:oddHBand="0" w:evenHBand="0" w:firstRowFirstColumn="0" w:firstRowLastColumn="0" w:lastRowFirstColumn="0" w:lastRowLastColumn="0"/>
            </w:pPr>
            <w:r>
              <w:t>Earth Stations in Motion</w:t>
            </w:r>
          </w:p>
        </w:tc>
      </w:tr>
      <w:tr w:rsidR="005F1860" w:rsidRPr="00A05EC9" w14:paraId="79639311" w14:textId="77777777" w:rsidTr="005F18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405" w:type="dxa"/>
          </w:tcPr>
          <w:p w14:paraId="52C74EA9" w14:textId="77777777" w:rsidR="005F1860" w:rsidRPr="00A05EC9" w:rsidRDefault="005F1860" w:rsidP="005F1860">
            <w:pPr>
              <w:spacing w:after="0" w:line="240" w:lineRule="auto"/>
            </w:pPr>
            <w:r w:rsidRPr="00A05EC9">
              <w:t>FCC</w:t>
            </w:r>
          </w:p>
        </w:tc>
        <w:tc>
          <w:tcPr>
            <w:tcW w:w="5256" w:type="dxa"/>
          </w:tcPr>
          <w:p w14:paraId="43218E79" w14:textId="77777777" w:rsidR="005F1860" w:rsidRPr="00A05EC9" w:rsidRDefault="005F1860" w:rsidP="005F1860">
            <w:pPr>
              <w:spacing w:after="0" w:line="240" w:lineRule="auto"/>
              <w:cnfStyle w:val="000000100000" w:firstRow="0" w:lastRow="0" w:firstColumn="0" w:lastColumn="0" w:oddVBand="0" w:evenVBand="0" w:oddHBand="1" w:evenHBand="0" w:firstRowFirstColumn="0" w:firstRowLastColumn="0" w:lastRowFirstColumn="0" w:lastRowLastColumn="0"/>
            </w:pPr>
            <w:r w:rsidRPr="00A05EC9">
              <w:t>US Federal Communications Commission</w:t>
            </w:r>
          </w:p>
        </w:tc>
      </w:tr>
      <w:tr w:rsidR="005F1860" w:rsidRPr="00A05EC9" w14:paraId="723EA7F9" w14:textId="77777777" w:rsidTr="005F1860">
        <w:trPr>
          <w:cantSplit/>
        </w:trPr>
        <w:tc>
          <w:tcPr>
            <w:cnfStyle w:val="001000000000" w:firstRow="0" w:lastRow="0" w:firstColumn="1" w:lastColumn="0" w:oddVBand="0" w:evenVBand="0" w:oddHBand="0" w:evenHBand="0" w:firstRowFirstColumn="0" w:firstRowLastColumn="0" w:lastRowFirstColumn="0" w:lastRowLastColumn="0"/>
            <w:tcW w:w="2405" w:type="dxa"/>
          </w:tcPr>
          <w:p w14:paraId="7C0DEE94" w14:textId="77777777" w:rsidR="005F1860" w:rsidRPr="00A05EC9" w:rsidRDefault="005F1860" w:rsidP="005F1860">
            <w:pPr>
              <w:spacing w:after="0" w:line="240" w:lineRule="auto"/>
            </w:pPr>
            <w:r w:rsidRPr="00A05EC9">
              <w:t>FSS</w:t>
            </w:r>
          </w:p>
        </w:tc>
        <w:tc>
          <w:tcPr>
            <w:tcW w:w="5256" w:type="dxa"/>
          </w:tcPr>
          <w:p w14:paraId="3D86AA43" w14:textId="77777777" w:rsidR="005F1860" w:rsidRPr="00A05EC9" w:rsidRDefault="005F1860" w:rsidP="005F1860">
            <w:pPr>
              <w:spacing w:after="0" w:line="240" w:lineRule="auto"/>
              <w:cnfStyle w:val="000000000000" w:firstRow="0" w:lastRow="0" w:firstColumn="0" w:lastColumn="0" w:oddVBand="0" w:evenVBand="0" w:oddHBand="0" w:evenHBand="0" w:firstRowFirstColumn="0" w:firstRowLastColumn="0" w:lastRowFirstColumn="0" w:lastRowLastColumn="0"/>
            </w:pPr>
            <w:r w:rsidRPr="00A05EC9">
              <w:t>Fixed satellite service</w:t>
            </w:r>
          </w:p>
        </w:tc>
      </w:tr>
      <w:tr w:rsidR="00652594" w:rsidRPr="00A05EC9" w14:paraId="14468A70" w14:textId="77777777" w:rsidTr="005F18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405" w:type="dxa"/>
          </w:tcPr>
          <w:p w14:paraId="1117CBAA" w14:textId="79805C98" w:rsidR="00652594" w:rsidRPr="00A05EC9" w:rsidRDefault="00652594" w:rsidP="00E67A4B">
            <w:pPr>
              <w:spacing w:after="0" w:line="240" w:lineRule="auto"/>
            </w:pPr>
            <w:r>
              <w:t>F</w:t>
            </w:r>
            <w:r w:rsidR="00045E7C">
              <w:t>WA</w:t>
            </w:r>
          </w:p>
        </w:tc>
        <w:tc>
          <w:tcPr>
            <w:tcW w:w="5256" w:type="dxa"/>
          </w:tcPr>
          <w:p w14:paraId="58ECECD5" w14:textId="3F7F60AB" w:rsidR="00652594" w:rsidRPr="00A05EC9" w:rsidRDefault="006F69DD" w:rsidP="00E67A4B">
            <w:pPr>
              <w:spacing w:after="0" w:line="240" w:lineRule="auto"/>
              <w:cnfStyle w:val="000000100000" w:firstRow="0" w:lastRow="0" w:firstColumn="0" w:lastColumn="0" w:oddVBand="0" w:evenVBand="0" w:oddHBand="1" w:evenHBand="0" w:firstRowFirstColumn="0" w:firstRowLastColumn="0" w:lastRowFirstColumn="0" w:lastRowLastColumn="0"/>
            </w:pPr>
            <w:r>
              <w:t>Fixed wireless access</w:t>
            </w:r>
          </w:p>
        </w:tc>
      </w:tr>
      <w:tr w:rsidR="00671C0B" w:rsidRPr="00A05EC9" w14:paraId="660A6FBA" w14:textId="77777777" w:rsidTr="005F1860">
        <w:trPr>
          <w:cantSplit/>
        </w:trPr>
        <w:tc>
          <w:tcPr>
            <w:cnfStyle w:val="001000000000" w:firstRow="0" w:lastRow="0" w:firstColumn="1" w:lastColumn="0" w:oddVBand="0" w:evenVBand="0" w:oddHBand="0" w:evenHBand="0" w:firstRowFirstColumn="0" w:firstRowLastColumn="0" w:lastRowFirstColumn="0" w:lastRowLastColumn="0"/>
            <w:tcW w:w="2405" w:type="dxa"/>
          </w:tcPr>
          <w:p w14:paraId="6C9272CE" w14:textId="479561BE" w:rsidR="00671C0B" w:rsidRDefault="00671C0B" w:rsidP="00E67A4B">
            <w:pPr>
              <w:spacing w:after="0" w:line="240" w:lineRule="auto"/>
            </w:pPr>
            <w:r>
              <w:t>GSO</w:t>
            </w:r>
          </w:p>
        </w:tc>
        <w:tc>
          <w:tcPr>
            <w:tcW w:w="5256" w:type="dxa"/>
          </w:tcPr>
          <w:p w14:paraId="494B3A5A" w14:textId="0C80A45B" w:rsidR="00671C0B" w:rsidRDefault="00671C0B" w:rsidP="00E67A4B">
            <w:pPr>
              <w:spacing w:after="0" w:line="240" w:lineRule="auto"/>
              <w:cnfStyle w:val="000000000000" w:firstRow="0" w:lastRow="0" w:firstColumn="0" w:lastColumn="0" w:oddVBand="0" w:evenVBand="0" w:oddHBand="0" w:evenHBand="0" w:firstRowFirstColumn="0" w:firstRowLastColumn="0" w:lastRowFirstColumn="0" w:lastRowLastColumn="0"/>
            </w:pPr>
            <w:r>
              <w:t>Geostationary orbit</w:t>
            </w:r>
          </w:p>
        </w:tc>
      </w:tr>
      <w:tr w:rsidR="005F1860" w:rsidRPr="00A05EC9" w14:paraId="137794AD" w14:textId="77777777" w:rsidTr="005F18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405" w:type="dxa"/>
          </w:tcPr>
          <w:p w14:paraId="5382CD7B" w14:textId="77777777" w:rsidR="005F1860" w:rsidRPr="00A05EC9" w:rsidRDefault="005F1860" w:rsidP="005F1860">
            <w:pPr>
              <w:spacing w:after="0" w:line="240" w:lineRule="auto"/>
            </w:pPr>
            <w:r w:rsidRPr="00A05EC9">
              <w:t>HVU</w:t>
            </w:r>
          </w:p>
        </w:tc>
        <w:tc>
          <w:tcPr>
            <w:tcW w:w="5256" w:type="dxa"/>
          </w:tcPr>
          <w:p w14:paraId="5C11B994" w14:textId="77777777" w:rsidR="005F1860" w:rsidRPr="00ED4E26" w:rsidRDefault="005F1860" w:rsidP="005F1860">
            <w:pPr>
              <w:spacing w:after="80" w:line="240" w:lineRule="auto"/>
              <w:cnfStyle w:val="000000100000" w:firstRow="0" w:lastRow="0" w:firstColumn="0" w:lastColumn="0" w:oddVBand="0" w:evenVBand="0" w:oddHBand="1" w:evenHBand="0" w:firstRowFirstColumn="0" w:firstRowLastColumn="0" w:lastRowFirstColumn="0" w:lastRowLastColumn="0"/>
            </w:pPr>
            <w:r w:rsidRPr="00ED4E26">
              <w:t>Highest value use</w:t>
            </w:r>
          </w:p>
          <w:p w14:paraId="2F095110" w14:textId="77777777" w:rsidR="005F1860" w:rsidRPr="00A05EC9" w:rsidRDefault="005F1860" w:rsidP="005F1860">
            <w:pPr>
              <w:autoSpaceDE w:val="0"/>
              <w:autoSpaceDN w:val="0"/>
              <w:spacing w:after="0" w:line="240" w:lineRule="auto"/>
              <w:cnfStyle w:val="000000100000" w:firstRow="0" w:lastRow="0" w:firstColumn="0" w:lastColumn="0" w:oddVBand="0" w:evenVBand="0" w:oddHBand="1" w:evenHBand="0" w:firstRowFirstColumn="0" w:firstRowLastColumn="0" w:lastRowFirstColumn="0" w:lastRowLastColumn="0"/>
              <w:rPr>
                <w:rFonts w:ascii="Calibri" w:hAnsi="Calibri"/>
              </w:rPr>
            </w:pPr>
            <w:r w:rsidRPr="00A05EC9">
              <w:t>When applied to spectrum, is the use for which spectrum can provide the greatest incremental value to economic welfare. The value provided to the economy by spectrum is typically due to reduced costs for spectrum users to provide services, or the ability to provide new services that would not be possible without the use of particular spectrum.</w:t>
            </w:r>
          </w:p>
        </w:tc>
      </w:tr>
      <w:tr w:rsidR="005F1860" w:rsidRPr="00A05EC9" w14:paraId="2A9132DD" w14:textId="77777777" w:rsidTr="005F1860">
        <w:trPr>
          <w:cantSplit/>
        </w:trPr>
        <w:tc>
          <w:tcPr>
            <w:cnfStyle w:val="001000000000" w:firstRow="0" w:lastRow="0" w:firstColumn="1" w:lastColumn="0" w:oddVBand="0" w:evenVBand="0" w:oddHBand="0" w:evenHBand="0" w:firstRowFirstColumn="0" w:firstRowLastColumn="0" w:lastRowFirstColumn="0" w:lastRowLastColumn="0"/>
            <w:tcW w:w="2405" w:type="dxa"/>
          </w:tcPr>
          <w:p w14:paraId="279A8ED1" w14:textId="77777777" w:rsidR="005F1860" w:rsidRPr="00A05EC9" w:rsidRDefault="005F1860" w:rsidP="005F1860">
            <w:pPr>
              <w:spacing w:after="0" w:line="240" w:lineRule="auto"/>
            </w:pPr>
            <w:r w:rsidRPr="00A05EC9">
              <w:t>International Telecommunication Union (ITU)</w:t>
            </w:r>
          </w:p>
        </w:tc>
        <w:tc>
          <w:tcPr>
            <w:tcW w:w="5256" w:type="dxa"/>
          </w:tcPr>
          <w:p w14:paraId="6F65AC55" w14:textId="77777777" w:rsidR="005F1860" w:rsidRPr="00A05EC9" w:rsidRDefault="005F1860" w:rsidP="005F1860">
            <w:pPr>
              <w:spacing w:after="0" w:line="240" w:lineRule="auto"/>
              <w:cnfStyle w:val="000000000000" w:firstRow="0" w:lastRow="0" w:firstColumn="0" w:lastColumn="0" w:oddVBand="0" w:evenVBand="0" w:oddHBand="0" w:evenHBand="0" w:firstRowFirstColumn="0" w:firstRowLastColumn="0" w:lastRowFirstColumn="0" w:lastRowLastColumn="0"/>
            </w:pPr>
            <w:r w:rsidRPr="00A05EC9">
              <w:t>A specialised agency of the United Nations that is responsible for issues that concern information and communication technologies. The ITU coordinates the shared global use of radio spectrum and assists in the development of spectrum harmonisation arrangements.</w:t>
            </w:r>
          </w:p>
        </w:tc>
      </w:tr>
      <w:tr w:rsidR="00671C0B" w:rsidRPr="00A05EC9" w14:paraId="08048639" w14:textId="77777777" w:rsidTr="005F18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405" w:type="dxa"/>
          </w:tcPr>
          <w:p w14:paraId="5423DC86" w14:textId="734F06D2" w:rsidR="00671C0B" w:rsidRPr="00A05EC9" w:rsidRDefault="00671C0B" w:rsidP="00E67A4B">
            <w:pPr>
              <w:spacing w:after="0" w:line="240" w:lineRule="auto"/>
            </w:pPr>
            <w:r>
              <w:t>NGSO</w:t>
            </w:r>
          </w:p>
        </w:tc>
        <w:tc>
          <w:tcPr>
            <w:tcW w:w="5256" w:type="dxa"/>
          </w:tcPr>
          <w:p w14:paraId="7ECFE155" w14:textId="0E55C25E" w:rsidR="00671C0B" w:rsidRPr="00A05EC9" w:rsidRDefault="00671C0B" w:rsidP="00E67A4B">
            <w:pPr>
              <w:spacing w:after="0" w:line="240" w:lineRule="auto"/>
              <w:cnfStyle w:val="000000100000" w:firstRow="0" w:lastRow="0" w:firstColumn="0" w:lastColumn="0" w:oddVBand="0" w:evenVBand="0" w:oddHBand="1" w:evenHBand="0" w:firstRowFirstColumn="0" w:firstRowLastColumn="0" w:lastRowFirstColumn="0" w:lastRowLastColumn="0"/>
            </w:pPr>
            <w:r>
              <w:t>Non geostationary orbit</w:t>
            </w:r>
          </w:p>
        </w:tc>
      </w:tr>
      <w:tr w:rsidR="00D11F16" w:rsidRPr="00A05EC9" w14:paraId="5371D2A7" w14:textId="77777777" w:rsidTr="005F1860">
        <w:trPr>
          <w:cantSplit/>
        </w:trPr>
        <w:tc>
          <w:tcPr>
            <w:cnfStyle w:val="001000000000" w:firstRow="0" w:lastRow="0" w:firstColumn="1" w:lastColumn="0" w:oddVBand="0" w:evenVBand="0" w:oddHBand="0" w:evenHBand="0" w:firstRowFirstColumn="0" w:firstRowLastColumn="0" w:lastRowFirstColumn="0" w:lastRowLastColumn="0"/>
            <w:tcW w:w="2405" w:type="dxa"/>
          </w:tcPr>
          <w:p w14:paraId="7C7B8751" w14:textId="4DAF922D" w:rsidR="00D11F16" w:rsidRPr="00A05EC9" w:rsidRDefault="00D11F16" w:rsidP="005F1860">
            <w:pPr>
              <w:spacing w:after="0" w:line="240" w:lineRule="auto"/>
            </w:pPr>
            <w:proofErr w:type="spellStart"/>
            <w:r>
              <w:t>mmWave</w:t>
            </w:r>
            <w:proofErr w:type="spellEnd"/>
            <w:r>
              <w:t xml:space="preserve"> band</w:t>
            </w:r>
          </w:p>
        </w:tc>
        <w:tc>
          <w:tcPr>
            <w:tcW w:w="5256" w:type="dxa"/>
          </w:tcPr>
          <w:p w14:paraId="2A03160E" w14:textId="0F1EA0F8" w:rsidR="00D11F16" w:rsidRPr="00A05EC9" w:rsidRDefault="00D11F16" w:rsidP="005F1860">
            <w:pPr>
              <w:spacing w:after="0" w:line="240" w:lineRule="auto"/>
              <w:cnfStyle w:val="000000000000" w:firstRow="0" w:lastRow="0" w:firstColumn="0" w:lastColumn="0" w:oddVBand="0" w:evenVBand="0" w:oddHBand="0" w:evenHBand="0" w:firstRowFirstColumn="0" w:firstRowLastColumn="0" w:lastRowFirstColumn="0" w:lastRowLastColumn="0"/>
            </w:pPr>
            <w:r>
              <w:t>Any portion of radiofrequency spectrum in the frequency range 24.25-100 GHz</w:t>
            </w:r>
          </w:p>
        </w:tc>
      </w:tr>
      <w:tr w:rsidR="005F1860" w:rsidRPr="00A05EC9" w14:paraId="72FE2533" w14:textId="77777777" w:rsidTr="005F18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405" w:type="dxa"/>
          </w:tcPr>
          <w:p w14:paraId="301DEDAF" w14:textId="77777777" w:rsidR="005F1860" w:rsidRPr="00A05EC9" w:rsidRDefault="005F1860" w:rsidP="005F1860">
            <w:pPr>
              <w:spacing w:after="0" w:line="240" w:lineRule="auto"/>
            </w:pPr>
            <w:r w:rsidRPr="00A05EC9">
              <w:t>MNO</w:t>
            </w:r>
          </w:p>
        </w:tc>
        <w:tc>
          <w:tcPr>
            <w:tcW w:w="5256" w:type="dxa"/>
          </w:tcPr>
          <w:p w14:paraId="07340DB2" w14:textId="77777777" w:rsidR="005F1860" w:rsidRPr="00A05EC9" w:rsidRDefault="005F1860" w:rsidP="005F1860">
            <w:pPr>
              <w:spacing w:after="0" w:line="240" w:lineRule="auto"/>
              <w:cnfStyle w:val="000000100000" w:firstRow="0" w:lastRow="0" w:firstColumn="0" w:lastColumn="0" w:oddVBand="0" w:evenVBand="0" w:oddHBand="1" w:evenHBand="0" w:firstRowFirstColumn="0" w:firstRowLastColumn="0" w:lastRowFirstColumn="0" w:lastRowLastColumn="0"/>
            </w:pPr>
            <w:r w:rsidRPr="00A05EC9">
              <w:t>Mobile network operator</w:t>
            </w:r>
          </w:p>
        </w:tc>
      </w:tr>
      <w:tr w:rsidR="005F1860" w:rsidRPr="00A05EC9" w14:paraId="7EF540B7" w14:textId="77777777" w:rsidTr="005F1860">
        <w:trPr>
          <w:cantSplit/>
        </w:trPr>
        <w:tc>
          <w:tcPr>
            <w:cnfStyle w:val="001000000000" w:firstRow="0" w:lastRow="0" w:firstColumn="1" w:lastColumn="0" w:oddVBand="0" w:evenVBand="0" w:oddHBand="0" w:evenHBand="0" w:firstRowFirstColumn="0" w:firstRowLastColumn="0" w:lastRowFirstColumn="0" w:lastRowLastColumn="0"/>
            <w:tcW w:w="2405" w:type="dxa"/>
          </w:tcPr>
          <w:p w14:paraId="05CC5CE4" w14:textId="77777777" w:rsidR="005F1860" w:rsidRPr="00A05EC9" w:rsidRDefault="005F1860" w:rsidP="005F1860">
            <w:pPr>
              <w:spacing w:after="0" w:line="240" w:lineRule="auto"/>
            </w:pPr>
            <w:r w:rsidRPr="00A05EC9">
              <w:t>Principles for Spectrum Management</w:t>
            </w:r>
          </w:p>
        </w:tc>
        <w:tc>
          <w:tcPr>
            <w:tcW w:w="5256" w:type="dxa"/>
          </w:tcPr>
          <w:p w14:paraId="0C1439AC" w14:textId="3B793E45" w:rsidR="005F1860" w:rsidRPr="00A05EC9" w:rsidRDefault="00D11F16" w:rsidP="005F1860">
            <w:pPr>
              <w:spacing w:after="0" w:line="240" w:lineRule="auto"/>
              <w:cnfStyle w:val="000000000000" w:firstRow="0" w:lastRow="0" w:firstColumn="0" w:lastColumn="0" w:oddVBand="0" w:evenVBand="0" w:oddHBand="0" w:evenHBand="0" w:firstRowFirstColumn="0" w:firstRowLastColumn="0" w:lastRowFirstColumn="0" w:lastRowLastColumn="0"/>
            </w:pPr>
            <w:r>
              <w:t>A set of principle d</w:t>
            </w:r>
            <w:r w:rsidR="005F1860" w:rsidRPr="00A05EC9">
              <w:t xml:space="preserve">eveloped by the ACMA to guide its approach to spectrum management. The key theme of the principles is that maximising the overall public benefit from use of the radiofrequency spectrum requires balanced application of both regulatory and market mechanisms. Details of the principles are available on the </w:t>
            </w:r>
            <w:hyperlink r:id="rId69" w:history="1">
              <w:r w:rsidR="005F1860" w:rsidRPr="00A05EC9">
                <w:rPr>
                  <w:rStyle w:val="Hyperlink"/>
                </w:rPr>
                <w:t>ACMA website</w:t>
              </w:r>
            </w:hyperlink>
            <w:r w:rsidR="005F1860" w:rsidRPr="001E5818">
              <w:t>.</w:t>
            </w:r>
          </w:p>
        </w:tc>
      </w:tr>
      <w:tr w:rsidR="005F1860" w:rsidRPr="00A05EC9" w14:paraId="28127655" w14:textId="77777777" w:rsidTr="005F18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405" w:type="dxa"/>
          </w:tcPr>
          <w:p w14:paraId="21C0A664" w14:textId="28A20801" w:rsidR="005F1860" w:rsidRPr="00A05EC9" w:rsidRDefault="00045E7C" w:rsidP="005F1860">
            <w:pPr>
              <w:spacing w:after="0" w:line="240" w:lineRule="auto"/>
            </w:pPr>
            <w:r w:rsidRPr="00A05EC9">
              <w:t>P</w:t>
            </w:r>
            <w:r>
              <w:t>TP</w:t>
            </w:r>
          </w:p>
        </w:tc>
        <w:tc>
          <w:tcPr>
            <w:tcW w:w="5256" w:type="dxa"/>
          </w:tcPr>
          <w:p w14:paraId="76BC122E" w14:textId="5C12642D" w:rsidR="005F1860" w:rsidRPr="00A05EC9" w:rsidRDefault="00045E7C" w:rsidP="005F1860">
            <w:pPr>
              <w:spacing w:after="0" w:line="240" w:lineRule="auto"/>
              <w:cnfStyle w:val="000000100000" w:firstRow="0" w:lastRow="0" w:firstColumn="0" w:lastColumn="0" w:oddVBand="0" w:evenVBand="0" w:oddHBand="1" w:evenHBand="0" w:firstRowFirstColumn="0" w:firstRowLastColumn="0" w:lastRowFirstColumn="0" w:lastRowLastColumn="0"/>
            </w:pPr>
            <w:r>
              <w:t>Point</w:t>
            </w:r>
            <w:r w:rsidR="00D11F16">
              <w:t>-</w:t>
            </w:r>
            <w:r>
              <w:t>to</w:t>
            </w:r>
            <w:r w:rsidR="00D11F16">
              <w:t>-</w:t>
            </w:r>
            <w:r>
              <w:t>point</w:t>
            </w:r>
          </w:p>
        </w:tc>
      </w:tr>
      <w:tr w:rsidR="005F1860" w:rsidRPr="00A05EC9" w14:paraId="494E0124" w14:textId="77777777" w:rsidTr="005F1860">
        <w:trPr>
          <w:cantSplit/>
        </w:trPr>
        <w:tc>
          <w:tcPr>
            <w:cnfStyle w:val="001000000000" w:firstRow="0" w:lastRow="0" w:firstColumn="1" w:lastColumn="0" w:oddVBand="0" w:evenVBand="0" w:oddHBand="0" w:evenHBand="0" w:firstRowFirstColumn="0" w:firstRowLastColumn="0" w:lastRowFirstColumn="0" w:lastRowLastColumn="0"/>
            <w:tcW w:w="2405" w:type="dxa"/>
          </w:tcPr>
          <w:p w14:paraId="5CFDEB5F" w14:textId="77777777" w:rsidR="005F1860" w:rsidRPr="00A05EC9" w:rsidRDefault="005F1860" w:rsidP="005F1860">
            <w:pPr>
              <w:spacing w:after="0" w:line="240" w:lineRule="auto"/>
            </w:pPr>
            <w:r w:rsidRPr="00A05EC9">
              <w:t>Spectrum licence</w:t>
            </w:r>
          </w:p>
        </w:tc>
        <w:tc>
          <w:tcPr>
            <w:tcW w:w="5256" w:type="dxa"/>
          </w:tcPr>
          <w:p w14:paraId="143B7D99" w14:textId="77777777" w:rsidR="005F1860" w:rsidRPr="00A05EC9" w:rsidRDefault="005F1860" w:rsidP="005F1860">
            <w:pPr>
              <w:spacing w:after="0" w:line="240" w:lineRule="auto"/>
              <w:cnfStyle w:val="000000000000" w:firstRow="0" w:lastRow="0" w:firstColumn="0" w:lastColumn="0" w:oddVBand="0" w:evenVBand="0" w:oddHBand="0" w:evenHBand="0" w:firstRowFirstColumn="0" w:firstRowLastColumn="0" w:lastRowFirstColumn="0" w:lastRowLastColumn="0"/>
            </w:pPr>
            <w:r w:rsidRPr="00A05EC9">
              <w:t xml:space="preserve">Issued under the </w:t>
            </w:r>
            <w:r w:rsidRPr="00A05EC9">
              <w:rPr>
                <w:i/>
              </w:rPr>
              <w:t>Radiocommunications Act 1992</w:t>
            </w:r>
            <w:r w:rsidRPr="00A05EC9">
              <w:t xml:space="preserve"> and authorises the use of a particular frequency band within a particular geographic area for a period of up to 15 years. The geographic area can vary in size, up to and including the entire country.</w:t>
            </w:r>
          </w:p>
        </w:tc>
      </w:tr>
      <w:tr w:rsidR="005F1860" w:rsidRPr="00A05EC9" w14:paraId="783769B3" w14:textId="77777777" w:rsidTr="005F18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405" w:type="dxa"/>
          </w:tcPr>
          <w:p w14:paraId="7CAB1FA8" w14:textId="556723D2" w:rsidR="005F1860" w:rsidRPr="00A05EC9" w:rsidRDefault="00045E7C" w:rsidP="005F1860">
            <w:pPr>
              <w:spacing w:after="0" w:line="240" w:lineRule="auto"/>
            </w:pPr>
            <w:r>
              <w:t>WWB</w:t>
            </w:r>
          </w:p>
        </w:tc>
        <w:tc>
          <w:tcPr>
            <w:tcW w:w="5256" w:type="dxa"/>
          </w:tcPr>
          <w:p w14:paraId="4BEA57CE" w14:textId="706331DB" w:rsidR="005F1860" w:rsidRPr="00A05EC9" w:rsidRDefault="006F69DD" w:rsidP="005F1860">
            <w:pPr>
              <w:spacing w:after="0" w:line="240" w:lineRule="auto"/>
              <w:cnfStyle w:val="000000100000" w:firstRow="0" w:lastRow="0" w:firstColumn="0" w:lastColumn="0" w:oddVBand="0" w:evenVBand="0" w:oddHBand="1" w:evenHBand="0" w:firstRowFirstColumn="0" w:firstRowLastColumn="0" w:lastRowFirstColumn="0" w:lastRowLastColumn="0"/>
            </w:pPr>
            <w:r>
              <w:t>wide-area wireless broadband</w:t>
            </w:r>
          </w:p>
        </w:tc>
      </w:tr>
      <w:tr w:rsidR="005F1860" w:rsidRPr="00A05EC9" w14:paraId="45DC2198" w14:textId="77777777" w:rsidTr="005F1860">
        <w:trPr>
          <w:cantSplit/>
        </w:trPr>
        <w:tc>
          <w:tcPr>
            <w:cnfStyle w:val="001000000000" w:firstRow="0" w:lastRow="0" w:firstColumn="1" w:lastColumn="0" w:oddVBand="0" w:evenVBand="0" w:oddHBand="0" w:evenHBand="0" w:firstRowFirstColumn="0" w:firstRowLastColumn="0" w:lastRowFirstColumn="0" w:lastRowLastColumn="0"/>
            <w:tcW w:w="2405" w:type="dxa"/>
          </w:tcPr>
          <w:p w14:paraId="00DEFF80" w14:textId="77777777" w:rsidR="005F1860" w:rsidRPr="00A05EC9" w:rsidRDefault="005F1860" w:rsidP="005F1860">
            <w:pPr>
              <w:spacing w:after="0" w:line="240" w:lineRule="auto"/>
            </w:pPr>
            <w:r w:rsidRPr="00A05EC9">
              <w:t>WISP</w:t>
            </w:r>
          </w:p>
        </w:tc>
        <w:tc>
          <w:tcPr>
            <w:tcW w:w="5256" w:type="dxa"/>
          </w:tcPr>
          <w:p w14:paraId="05FC9491" w14:textId="77777777" w:rsidR="005F1860" w:rsidRPr="00A05EC9" w:rsidRDefault="005F1860" w:rsidP="005F1860">
            <w:pPr>
              <w:spacing w:after="0" w:line="240" w:lineRule="auto"/>
              <w:cnfStyle w:val="000000000000" w:firstRow="0" w:lastRow="0" w:firstColumn="0" w:lastColumn="0" w:oddVBand="0" w:evenVBand="0" w:oddHBand="0" w:evenHBand="0" w:firstRowFirstColumn="0" w:firstRowLastColumn="0" w:lastRowFirstColumn="0" w:lastRowLastColumn="0"/>
            </w:pPr>
            <w:r w:rsidRPr="00A05EC9">
              <w:t>Wireless Internet Service Provider</w:t>
            </w:r>
          </w:p>
        </w:tc>
      </w:tr>
    </w:tbl>
    <w:p w14:paraId="7DE7E148" w14:textId="77777777" w:rsidR="00C86340" w:rsidRPr="00AC6904" w:rsidDel="00C80631" w:rsidRDefault="00C86340">
      <w:pPr>
        <w:keepNext/>
        <w:widowControl w:val="0"/>
        <w:spacing w:after="360" w:line="240" w:lineRule="auto"/>
        <w:outlineLvl w:val="0"/>
        <w:rPr>
          <w:szCs w:val="20"/>
        </w:rPr>
      </w:pPr>
    </w:p>
    <w:p w14:paraId="0D478360" w14:textId="77777777" w:rsidR="002160B3" w:rsidRDefault="002160B3">
      <w:pPr>
        <w:spacing w:after="0" w:line="240" w:lineRule="auto"/>
        <w:rPr>
          <w:rFonts w:asciiTheme="minorBidi" w:hAnsiTheme="minorBidi" w:cstheme="minorBidi"/>
          <w:sz w:val="22"/>
          <w:szCs w:val="22"/>
          <w:lang w:eastAsia="en-US"/>
        </w:rPr>
      </w:pPr>
      <w:r w:rsidRPr="00AC6904">
        <w:rPr>
          <w:szCs w:val="20"/>
        </w:rPr>
        <w:br w:type="page"/>
      </w:r>
    </w:p>
    <w:p w14:paraId="764D6C2E" w14:textId="7F6BA13D" w:rsidR="002160B3" w:rsidRPr="00A05EC9" w:rsidRDefault="002160B3" w:rsidP="002160B3">
      <w:pPr>
        <w:pStyle w:val="Heading1"/>
      </w:pPr>
      <w:bookmarkStart w:id="192" w:name="_Toc5000090"/>
      <w:r>
        <w:lastRenderedPageBreak/>
        <w:t xml:space="preserve">Appendix A: </w:t>
      </w:r>
      <w:r w:rsidR="00DB77B5">
        <w:t>Geographical</w:t>
      </w:r>
      <w:r w:rsidR="00310F87">
        <w:t xml:space="preserve"> area descriptions</w:t>
      </w:r>
      <w:bookmarkEnd w:id="192"/>
    </w:p>
    <w:p w14:paraId="4749D010" w14:textId="4347BB26" w:rsidR="00F52818" w:rsidRPr="000B14C8" w:rsidRDefault="00310F87" w:rsidP="00F52818">
      <w:pPr>
        <w:pStyle w:val="ListBullet"/>
        <w:numPr>
          <w:ilvl w:val="0"/>
          <w:numId w:val="0"/>
        </w:numPr>
      </w:pPr>
      <w:r>
        <w:t xml:space="preserve">Throughout </w:t>
      </w:r>
      <w:r w:rsidR="00F6326F">
        <w:t xml:space="preserve">this </w:t>
      </w:r>
      <w:r>
        <w:t>paper the term ‘</w:t>
      </w:r>
      <w:r w:rsidR="00F6326F">
        <w:t>l</w:t>
      </w:r>
      <w:r>
        <w:t xml:space="preserve">arge population </w:t>
      </w:r>
      <w:r w:rsidRPr="000B14C8">
        <w:t xml:space="preserve">centres’ is frequently used. Table </w:t>
      </w:r>
      <w:r w:rsidR="00AF05B4" w:rsidRPr="000B14C8">
        <w:t>6</w:t>
      </w:r>
      <w:r w:rsidRPr="000B14C8">
        <w:t xml:space="preserve"> of this Appendix provides a detailed definition of the areas encompassed by th</w:t>
      </w:r>
      <w:r w:rsidR="00D07BDC" w:rsidRPr="000B14C8">
        <w:t>is</w:t>
      </w:r>
      <w:r w:rsidRPr="000B14C8">
        <w:t xml:space="preserve"> term and Figure </w:t>
      </w:r>
      <w:r w:rsidR="00CA3052" w:rsidRPr="000B14C8">
        <w:t>10</w:t>
      </w:r>
      <w:r w:rsidRPr="000B14C8">
        <w:t xml:space="preserve"> provides an illustration of </w:t>
      </w:r>
      <w:r w:rsidR="00D07BDC" w:rsidRPr="000B14C8">
        <w:t>it</w:t>
      </w:r>
      <w:r w:rsidRPr="000B14C8">
        <w:t>.</w:t>
      </w:r>
      <w:r w:rsidR="00F52818" w:rsidRPr="000B14C8">
        <w:t xml:space="preserve"> These areas consist of towns/cities with populations greater than 50,000, as well as smaller towns/cities which are either holiday locations or have university campuses. The areas align with those </w:t>
      </w:r>
      <w:r w:rsidR="00663C37" w:rsidRPr="000B14C8">
        <w:t xml:space="preserve">proposed </w:t>
      </w:r>
      <w:r w:rsidR="00B870C9" w:rsidRPr="000B14C8">
        <w:t xml:space="preserve">for spectrum </w:t>
      </w:r>
      <w:r w:rsidR="00AC6904" w:rsidRPr="000B14C8">
        <w:t>licensing</w:t>
      </w:r>
      <w:r w:rsidR="00663C37" w:rsidRPr="000B14C8">
        <w:t xml:space="preserve"> in the paper </w:t>
      </w:r>
      <w:hyperlink r:id="rId70" w:history="1">
        <w:r w:rsidR="00663C37" w:rsidRPr="000B14C8">
          <w:rPr>
            <w:rStyle w:val="Hyperlink"/>
            <w:i/>
          </w:rPr>
          <w:t>Future use of the 26 GHz band: Planning decisions and preliminary views</w:t>
        </w:r>
      </w:hyperlink>
      <w:r w:rsidR="00F52818" w:rsidRPr="000B14C8">
        <w:t>.</w:t>
      </w:r>
    </w:p>
    <w:p w14:paraId="75BFD724" w14:textId="77777777" w:rsidR="00F52818" w:rsidRPr="000B14C8" w:rsidRDefault="00F52818" w:rsidP="00F52818">
      <w:pPr>
        <w:pStyle w:val="ListBulletLast"/>
        <w:numPr>
          <w:ilvl w:val="0"/>
          <w:numId w:val="0"/>
        </w:numPr>
        <w:spacing w:before="120" w:after="120"/>
        <w:rPr>
          <w:szCs w:val="20"/>
        </w:rPr>
      </w:pPr>
      <w:r w:rsidRPr="000B14C8">
        <w:t xml:space="preserve">The Australian Spectrum Map Grid (ASMG) is used to define geographical areas over which spectrum licences are issued. The Hierarchical Cell Identification Scheme (HCIS) is a naming convention developed by the ACMA that applies unique ‘names’ to each of the cells that make up the ASMG. The ASMG and HCIS are described in detail in the document, </w:t>
      </w:r>
      <w:hyperlink r:id="rId71" w:history="1">
        <w:r w:rsidRPr="000B14C8">
          <w:rPr>
            <w:rStyle w:val="Hyperlink"/>
            <w:i/>
          </w:rPr>
          <w:t>The Australian spectrum map grid 2012</w:t>
        </w:r>
      </w:hyperlink>
      <w:r w:rsidRPr="000B14C8">
        <w:t>.</w:t>
      </w:r>
    </w:p>
    <w:p w14:paraId="5BAD7E68" w14:textId="0BCA89C9" w:rsidR="00F52818" w:rsidRDefault="00F52818" w:rsidP="00F52818">
      <w:pPr>
        <w:spacing w:before="120" w:after="120" w:line="240" w:lineRule="auto"/>
      </w:pPr>
      <w:r w:rsidRPr="000B14C8">
        <w:t xml:space="preserve">The HCIS coordinates in Table </w:t>
      </w:r>
      <w:r w:rsidR="00AF05B4" w:rsidRPr="000B14C8">
        <w:t>6</w:t>
      </w:r>
      <w:r w:rsidRPr="000B14C8">
        <w:t xml:space="preserve"> can be converted into a Placemark file (viewable in Google Earth) through a facility on the ACMA website: </w:t>
      </w:r>
      <w:hyperlink r:id="rId72" w:history="1">
        <w:r w:rsidRPr="000B14C8">
          <w:rPr>
            <w:rStyle w:val="Hyperlink"/>
          </w:rPr>
          <w:t>www.acma.gov.au/theACMA/convert-hcis-area-description-to-a-placemark</w:t>
        </w:r>
      </w:hyperlink>
      <w:r>
        <w:t xml:space="preserve"> </w:t>
      </w:r>
    </w:p>
    <w:p w14:paraId="29D73F36" w14:textId="3814A141" w:rsidR="00F52818" w:rsidRPr="00DA6020" w:rsidRDefault="00310F87" w:rsidP="008055AE">
      <w:pPr>
        <w:pStyle w:val="ACMAFigureHeader"/>
        <w:spacing w:before="360" w:after="120"/>
        <w:rPr>
          <w:rFonts w:cs="Arial"/>
        </w:rPr>
      </w:pPr>
      <w:r>
        <w:t>Illustration of the areas encompassed by the term ‘Large population centres’</w:t>
      </w:r>
    </w:p>
    <w:p w14:paraId="41A0D5E1" w14:textId="77777777" w:rsidR="00F52818" w:rsidRDefault="00F52818" w:rsidP="00F52818">
      <w:pPr>
        <w:spacing w:before="120" w:after="120" w:line="240" w:lineRule="auto"/>
      </w:pPr>
      <w:r w:rsidRPr="00492CD3">
        <w:rPr>
          <w:noProof/>
        </w:rPr>
        <w:t xml:space="preserve"> </w:t>
      </w:r>
      <w:r>
        <w:rPr>
          <w:noProof/>
        </w:rPr>
        <w:drawing>
          <wp:inline distT="0" distB="0" distL="0" distR="0" wp14:anchorId="0F0ADD14" wp14:editId="52B76732">
            <wp:extent cx="4871085" cy="4462145"/>
            <wp:effectExtent l="0" t="0" r="5715" b="0"/>
            <wp:docPr id="12" name="Picture 12" descr="Illustration of the areas encompassed by the term ‘Large popula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4871085" cy="4462145"/>
                    </a:xfrm>
                    <a:prstGeom prst="rect">
                      <a:avLst/>
                    </a:prstGeom>
                  </pic:spPr>
                </pic:pic>
              </a:graphicData>
            </a:graphic>
          </wp:inline>
        </w:drawing>
      </w:r>
    </w:p>
    <w:p w14:paraId="5239FBB8" w14:textId="77777777" w:rsidR="00F52818" w:rsidRDefault="00F52818" w:rsidP="00F52818">
      <w:pPr>
        <w:spacing w:before="120" w:after="120" w:line="240" w:lineRule="auto"/>
      </w:pPr>
    </w:p>
    <w:p w14:paraId="157A99AA" w14:textId="77777777" w:rsidR="00F52818" w:rsidRDefault="00F52818" w:rsidP="00F52818">
      <w:pPr>
        <w:spacing w:before="120" w:after="120" w:line="240" w:lineRule="auto"/>
      </w:pPr>
    </w:p>
    <w:p w14:paraId="1B65BDBE" w14:textId="77777777" w:rsidR="00F52818" w:rsidRDefault="00F52818" w:rsidP="00F52818">
      <w:pPr>
        <w:spacing w:before="120" w:after="120" w:line="240" w:lineRule="auto"/>
      </w:pPr>
    </w:p>
    <w:p w14:paraId="292CD13B" w14:textId="77777777" w:rsidR="00F52818" w:rsidRDefault="00F52818" w:rsidP="00F52818">
      <w:pPr>
        <w:spacing w:before="120" w:after="120" w:line="240" w:lineRule="auto"/>
      </w:pPr>
    </w:p>
    <w:p w14:paraId="007A1A9C" w14:textId="3A6E1210" w:rsidR="00F52818" w:rsidRPr="00AA7C5C" w:rsidRDefault="00F52818" w:rsidP="00F52818">
      <w:pPr>
        <w:pStyle w:val="ACMATableHeader"/>
        <w:spacing w:before="120" w:after="120"/>
      </w:pPr>
      <w:r w:rsidRPr="00D15AEA">
        <w:lastRenderedPageBreak/>
        <w:t>HCIS</w:t>
      </w:r>
      <w:r>
        <w:t xml:space="preserve"> description of </w:t>
      </w:r>
      <w:r w:rsidR="008E204A">
        <w:t>‘Large population centre’</w:t>
      </w:r>
      <w:r>
        <w:t xml:space="preserve"> </w:t>
      </w:r>
    </w:p>
    <w:tbl>
      <w:tblPr>
        <w:tblStyle w:val="TableGrid"/>
        <w:tblW w:w="8674" w:type="dxa"/>
        <w:tblLayout w:type="fixed"/>
        <w:tblLook w:val="04A0" w:firstRow="1" w:lastRow="0" w:firstColumn="1" w:lastColumn="0" w:noHBand="0" w:noVBand="1"/>
        <w:tblCaption w:val="Table 12 "/>
        <w:tblDescription w:val="Table containing a descirption of the proposed areas for re-farming "/>
      </w:tblPr>
      <w:tblGrid>
        <w:gridCol w:w="1587"/>
        <w:gridCol w:w="7087"/>
      </w:tblGrid>
      <w:tr w:rsidR="00F52818" w14:paraId="66E2C24D" w14:textId="77777777" w:rsidTr="00994DE6">
        <w:trPr>
          <w:cantSplit/>
          <w:tblHeader/>
        </w:trPr>
        <w:tc>
          <w:tcPr>
            <w:tcW w:w="1587" w:type="dxa"/>
            <w:shd w:val="clear" w:color="auto" w:fill="404040" w:themeFill="text1" w:themeFillTint="BF"/>
            <w:vAlign w:val="center"/>
          </w:tcPr>
          <w:p w14:paraId="675B8B8A" w14:textId="77777777" w:rsidR="00F52818" w:rsidRPr="00C63393" w:rsidRDefault="00F52818" w:rsidP="00994DE6">
            <w:pPr>
              <w:pStyle w:val="TableHeading"/>
              <w:spacing w:before="120" w:after="120" w:line="240" w:lineRule="auto"/>
              <w:rPr>
                <w:color w:val="FFFFFF" w:themeColor="background1"/>
              </w:rPr>
            </w:pPr>
            <w:r>
              <w:rPr>
                <w:color w:val="FFFFFF" w:themeColor="background1"/>
              </w:rPr>
              <w:t>City Name</w:t>
            </w:r>
          </w:p>
        </w:tc>
        <w:tc>
          <w:tcPr>
            <w:tcW w:w="7087" w:type="dxa"/>
            <w:shd w:val="clear" w:color="auto" w:fill="404040" w:themeFill="text1" w:themeFillTint="BF"/>
            <w:vAlign w:val="center"/>
          </w:tcPr>
          <w:p w14:paraId="3E05282B" w14:textId="77777777" w:rsidR="00F52818" w:rsidRPr="00C63393" w:rsidRDefault="00F52818" w:rsidP="00994DE6">
            <w:pPr>
              <w:pStyle w:val="TableHeading"/>
              <w:spacing w:before="120" w:after="120" w:line="240" w:lineRule="auto"/>
              <w:rPr>
                <w:color w:val="FFFFFF" w:themeColor="background1"/>
              </w:rPr>
            </w:pPr>
            <w:r w:rsidRPr="00C63393">
              <w:rPr>
                <w:color w:val="FFFFFF" w:themeColor="background1"/>
              </w:rPr>
              <w:t>HCIS</w:t>
            </w:r>
          </w:p>
        </w:tc>
      </w:tr>
      <w:tr w:rsidR="00F52818" w14:paraId="6CCDCE78" w14:textId="77777777" w:rsidTr="00994DE6">
        <w:trPr>
          <w:cantSplit/>
        </w:trPr>
        <w:tc>
          <w:tcPr>
            <w:tcW w:w="1587" w:type="dxa"/>
          </w:tcPr>
          <w:p w14:paraId="2444E528" w14:textId="77777777" w:rsidR="00F52818" w:rsidRDefault="00F52818" w:rsidP="00994DE6">
            <w:pPr>
              <w:pStyle w:val="TableBody"/>
              <w:spacing w:before="120" w:after="120"/>
            </w:pPr>
            <w:r>
              <w:t xml:space="preserve">Adelaide </w:t>
            </w:r>
          </w:p>
        </w:tc>
        <w:tc>
          <w:tcPr>
            <w:tcW w:w="7087" w:type="dxa"/>
            <w:vAlign w:val="center"/>
          </w:tcPr>
          <w:p w14:paraId="0217F991" w14:textId="77777777" w:rsidR="00F52818" w:rsidRPr="00AA7C5C" w:rsidRDefault="00F52818" w:rsidP="00994DE6">
            <w:pPr>
              <w:pStyle w:val="TableBody"/>
              <w:spacing w:before="120" w:after="120"/>
            </w:pPr>
            <w:r w:rsidRPr="009F6500">
              <w:t>IW3J, IW3K, IW3L, IW3N, IW3O, IW3P, IW6B, IW6C, IW6D, IW6F, IW6G, IW6H, IW3E5, IW3E6, IW3E8, IW3E9, IW3F4, IW3F5, IW3F6, IW3F7, IW3F8, IW3F9, IW3G4, IW3G5, IW3G6, IW3G7, IW3G8, IW3G9, IW3H4, IW3H5, IW3H6, IW3H7, IW3H8, IW3H9, IW3I2, IW3I3, IW3I5, IW3I6, IW3I8, IW3I9, IW3M2, IW3M3, IW3M5, IW3M6, IW3M8, IW3M9, IW6A2, IW6A3, IW6A5, IW6A6, IW6A8, IW6A9, IW6E2, IW6E3, IW6E5, IW6E6, IW6E8, IW6E9, IW6K1, IW6K2, IW6K3, IW6K4, IW6K5, IW6K6, IW6L1, JW1E4, JW1E7, JW1I1, JW1I4, JW1I7, JW1M1, JW1M4</w:t>
            </w:r>
          </w:p>
        </w:tc>
      </w:tr>
      <w:tr w:rsidR="00F52818" w14:paraId="51FD0391" w14:textId="77777777" w:rsidTr="00994DE6">
        <w:trPr>
          <w:cantSplit/>
          <w:trHeight w:val="680"/>
        </w:trPr>
        <w:tc>
          <w:tcPr>
            <w:tcW w:w="1587" w:type="dxa"/>
          </w:tcPr>
          <w:p w14:paraId="2E76C48A" w14:textId="77777777" w:rsidR="00F52818" w:rsidRDefault="00F52818" w:rsidP="00994DE6">
            <w:pPr>
              <w:pStyle w:val="TableBody"/>
              <w:spacing w:before="120" w:after="120"/>
            </w:pPr>
            <w:r>
              <w:t>Albany</w:t>
            </w:r>
          </w:p>
        </w:tc>
        <w:tc>
          <w:tcPr>
            <w:tcW w:w="7087" w:type="dxa"/>
          </w:tcPr>
          <w:p w14:paraId="1D5E9EC1" w14:textId="77777777" w:rsidR="00F52818" w:rsidRPr="00AA7C5C" w:rsidRDefault="00F52818" w:rsidP="00994DE6">
            <w:pPr>
              <w:pStyle w:val="TableBody"/>
              <w:spacing w:before="120" w:after="120"/>
            </w:pPr>
            <w:r w:rsidRPr="001B450D">
              <w:t>BW3P7, BW3P8, BW3P9, BW6D1, BW6D2, BW6D3, BW6D4, BW6D5, BW6D6, CW1M7, CW4A1, CW4A4</w:t>
            </w:r>
          </w:p>
        </w:tc>
      </w:tr>
      <w:tr w:rsidR="00F52818" w14:paraId="72E4DA39" w14:textId="77777777" w:rsidTr="00994DE6">
        <w:trPr>
          <w:cantSplit/>
        </w:trPr>
        <w:tc>
          <w:tcPr>
            <w:tcW w:w="1587" w:type="dxa"/>
          </w:tcPr>
          <w:p w14:paraId="727EA704" w14:textId="77777777" w:rsidR="00F52818" w:rsidRDefault="00F52818" w:rsidP="00994DE6">
            <w:pPr>
              <w:pStyle w:val="TableBody"/>
              <w:spacing w:before="120" w:after="120"/>
            </w:pPr>
            <w:r>
              <w:t>Albury</w:t>
            </w:r>
          </w:p>
        </w:tc>
        <w:tc>
          <w:tcPr>
            <w:tcW w:w="7087" w:type="dxa"/>
          </w:tcPr>
          <w:p w14:paraId="7FDA4062" w14:textId="77777777" w:rsidR="00F52818" w:rsidRPr="00AA7C5C" w:rsidRDefault="00F52818" w:rsidP="00994DE6">
            <w:pPr>
              <w:pStyle w:val="TableBody"/>
              <w:spacing w:before="120" w:after="120"/>
            </w:pPr>
            <w:r w:rsidRPr="00F22BD9">
              <w:t>LW8D, LW5P7, LW5P8, LW5P9, LW6M7, LW9A1, LW9A4, LW9A7</w:t>
            </w:r>
          </w:p>
        </w:tc>
      </w:tr>
      <w:tr w:rsidR="00F52818" w14:paraId="7737E9FC" w14:textId="77777777" w:rsidTr="00994DE6">
        <w:trPr>
          <w:cantSplit/>
          <w:trHeight w:val="454"/>
        </w:trPr>
        <w:tc>
          <w:tcPr>
            <w:tcW w:w="1587" w:type="dxa"/>
          </w:tcPr>
          <w:p w14:paraId="5094A8D4" w14:textId="77777777" w:rsidR="00F52818" w:rsidRDefault="00F52818" w:rsidP="00994DE6">
            <w:pPr>
              <w:pStyle w:val="TableBody"/>
              <w:spacing w:before="120" w:after="120"/>
            </w:pPr>
            <w:r>
              <w:t>Armidale</w:t>
            </w:r>
          </w:p>
        </w:tc>
        <w:tc>
          <w:tcPr>
            <w:tcW w:w="7087" w:type="dxa"/>
          </w:tcPr>
          <w:p w14:paraId="721DAB0C" w14:textId="77777777" w:rsidR="00F52818" w:rsidRPr="00AA7C5C" w:rsidRDefault="00F52818" w:rsidP="00994DE6">
            <w:pPr>
              <w:pStyle w:val="TableBody"/>
              <w:spacing w:before="120" w:after="120"/>
            </w:pPr>
            <w:r w:rsidRPr="009B6ED5">
              <w:t>NU7G8, NU7G9, NU7K2, NU7K3</w:t>
            </w:r>
          </w:p>
        </w:tc>
      </w:tr>
      <w:tr w:rsidR="00F52818" w14:paraId="594A74CE" w14:textId="77777777" w:rsidTr="00994DE6">
        <w:trPr>
          <w:cantSplit/>
        </w:trPr>
        <w:tc>
          <w:tcPr>
            <w:tcW w:w="1587" w:type="dxa"/>
          </w:tcPr>
          <w:p w14:paraId="371867DA" w14:textId="77777777" w:rsidR="00F52818" w:rsidRDefault="00F52818" w:rsidP="00994DE6">
            <w:pPr>
              <w:pStyle w:val="TableBody"/>
              <w:spacing w:before="120" w:after="120"/>
            </w:pPr>
            <w:r>
              <w:t>Ballarat</w:t>
            </w:r>
          </w:p>
        </w:tc>
        <w:tc>
          <w:tcPr>
            <w:tcW w:w="7087" w:type="dxa"/>
          </w:tcPr>
          <w:p w14:paraId="3E54E10D" w14:textId="77777777" w:rsidR="00F52818" w:rsidRPr="00866481" w:rsidRDefault="00F52818" w:rsidP="00994DE6">
            <w:pPr>
              <w:pStyle w:val="TableBody"/>
              <w:spacing w:before="120" w:after="120"/>
            </w:pPr>
            <w:r w:rsidRPr="009B6ED5">
              <w:t>KX2L, KX2G9, KX2H7, KX2H8, KX2H9, KX2K3, KX2K6, KX2K9</w:t>
            </w:r>
          </w:p>
        </w:tc>
      </w:tr>
      <w:tr w:rsidR="00F52818" w14:paraId="6037A33F" w14:textId="77777777" w:rsidTr="00994DE6">
        <w:trPr>
          <w:cantSplit/>
        </w:trPr>
        <w:tc>
          <w:tcPr>
            <w:tcW w:w="1587" w:type="dxa"/>
          </w:tcPr>
          <w:p w14:paraId="186FEECF" w14:textId="77777777" w:rsidR="00F52818" w:rsidRDefault="00F52818" w:rsidP="00994DE6">
            <w:pPr>
              <w:pStyle w:val="TableBody"/>
              <w:spacing w:before="120" w:after="120"/>
            </w:pPr>
            <w:r>
              <w:t>Bathurst</w:t>
            </w:r>
          </w:p>
        </w:tc>
        <w:tc>
          <w:tcPr>
            <w:tcW w:w="7087" w:type="dxa"/>
          </w:tcPr>
          <w:p w14:paraId="19294B3A" w14:textId="77777777" w:rsidR="00F52818" w:rsidRPr="00AA7C5C" w:rsidRDefault="00F52818" w:rsidP="00994DE6">
            <w:pPr>
              <w:pStyle w:val="TableBody"/>
              <w:spacing w:before="120" w:after="120"/>
            </w:pPr>
            <w:r w:rsidRPr="009B6ED5">
              <w:t>MV8G, MV8F3, MV8F6, MV8F9, MV8J3, MV8K1, MV8K2, MV8K3</w:t>
            </w:r>
          </w:p>
        </w:tc>
      </w:tr>
      <w:tr w:rsidR="00F52818" w14:paraId="7E3B8C85" w14:textId="77777777" w:rsidTr="00994DE6">
        <w:trPr>
          <w:cantSplit/>
        </w:trPr>
        <w:tc>
          <w:tcPr>
            <w:tcW w:w="1587" w:type="dxa"/>
          </w:tcPr>
          <w:p w14:paraId="517E840C" w14:textId="77777777" w:rsidR="00F52818" w:rsidRDefault="00F52818" w:rsidP="00994DE6">
            <w:pPr>
              <w:pStyle w:val="TableBody"/>
              <w:spacing w:before="120" w:after="120"/>
            </w:pPr>
            <w:r>
              <w:t>Bendigo</w:t>
            </w:r>
          </w:p>
        </w:tc>
        <w:tc>
          <w:tcPr>
            <w:tcW w:w="7087" w:type="dxa"/>
          </w:tcPr>
          <w:p w14:paraId="7D9CAA3B" w14:textId="77777777" w:rsidR="00F52818" w:rsidRPr="00AA7C5C" w:rsidRDefault="00F52818" w:rsidP="00994DE6">
            <w:pPr>
              <w:pStyle w:val="TableBody"/>
              <w:spacing w:before="120" w:after="120"/>
            </w:pPr>
            <w:r w:rsidRPr="009B6ED5">
              <w:t>KW9I5, KW9I6, KW9I8, KW9I9, KW9J4, KW9J5, KW9J6, KW9J7, KW9J8, KW9J9, KW9M2, KW9M3, KW9M5, KW9M6, KW9N1, KW9N2, KW9N3, KW9N4, KW9N5, KW9N6</w:t>
            </w:r>
          </w:p>
        </w:tc>
      </w:tr>
      <w:tr w:rsidR="00F52818" w14:paraId="618FA02B" w14:textId="77777777" w:rsidTr="00994DE6">
        <w:trPr>
          <w:cantSplit/>
        </w:trPr>
        <w:tc>
          <w:tcPr>
            <w:tcW w:w="1587" w:type="dxa"/>
          </w:tcPr>
          <w:p w14:paraId="4D8ACA85" w14:textId="77777777" w:rsidR="00F52818" w:rsidRDefault="00F52818" w:rsidP="00994DE6">
            <w:pPr>
              <w:pStyle w:val="TableBody"/>
              <w:spacing w:before="120" w:after="120"/>
            </w:pPr>
            <w:r>
              <w:t>Brisbane</w:t>
            </w:r>
          </w:p>
        </w:tc>
        <w:tc>
          <w:tcPr>
            <w:tcW w:w="7087" w:type="dxa"/>
          </w:tcPr>
          <w:p w14:paraId="60882210" w14:textId="77777777" w:rsidR="00F52818" w:rsidRPr="00AA7C5C" w:rsidRDefault="00F52818" w:rsidP="00994DE6">
            <w:pPr>
              <w:pStyle w:val="TableBody"/>
              <w:spacing w:before="120" w:after="120"/>
            </w:pPr>
            <w:r w:rsidRPr="00371147">
              <w:t>NT9, NT8C, NT8D, NT8G, NT8H, NT8K, NT8L, NT8O, NT8P, NU3A, NU3B, NU3C, NU3D, NU3F, NU3G, NU3H, NU3K, NU3L, NU3O, NU3P, NT5O4, NT5O5, NT5O6, NT5O7, NT5O8, NT5O9, NT5P4, NT5P5, NT5P6, NT5P7, NT5P8, NT5P9, NT6M4, NT6M5, NT6M6, NT6M7, NT6M8, NT6M9, NT6N4, NT6N5, NT6N6, NT6N7, NT6N8, NT6N9, NT6O4, NT6O5, NT6O6, NT6O7, NT6O8, NT6O9, NT6P4, NT6P5, NT6P6, NT6P7, NT6P8, NT6P9, NU2C1, NU2C2, NU2C3, NU2D1, NU2D2, NU2D3, NU2D5, NU2D6, NU2D8, NU2D9, NU2H2, NU2H3, NU3E1, NU3E2, NU3E3, NU3E5, NU3E6, NU3E8, NU3E9, NU3I2, NU3I3, NU3J1, NU3J2, NU3J3</w:t>
            </w:r>
            <w:r>
              <w:t>, NU3N3, NU3N6</w:t>
            </w:r>
          </w:p>
        </w:tc>
      </w:tr>
      <w:tr w:rsidR="00F52818" w14:paraId="0599F582" w14:textId="77777777" w:rsidTr="00994DE6">
        <w:trPr>
          <w:cantSplit/>
        </w:trPr>
        <w:tc>
          <w:tcPr>
            <w:tcW w:w="1587" w:type="dxa"/>
          </w:tcPr>
          <w:p w14:paraId="5E008216" w14:textId="77777777" w:rsidR="00F52818" w:rsidRDefault="00F52818" w:rsidP="00994DE6">
            <w:pPr>
              <w:pStyle w:val="TableBody"/>
              <w:spacing w:before="120" w:after="120"/>
            </w:pPr>
            <w:r>
              <w:t>Bunbury</w:t>
            </w:r>
          </w:p>
        </w:tc>
        <w:tc>
          <w:tcPr>
            <w:tcW w:w="7087" w:type="dxa"/>
          </w:tcPr>
          <w:p w14:paraId="548B787B" w14:textId="77777777" w:rsidR="00F52818" w:rsidRPr="00AA7C5C" w:rsidRDefault="00F52818" w:rsidP="00994DE6">
            <w:pPr>
              <w:pStyle w:val="TableBody"/>
              <w:spacing w:before="120" w:after="120"/>
            </w:pPr>
            <w:r w:rsidRPr="00257D26">
              <w:t>BV7G, BV7C4, BV7C5, BV7C6, BV7C7, BV7C8, BV7C9, BV7D4, BV7D5, BV7D7, BV7D8, BV7H1, BV7H2, BV7H4, BV7H5, BV7H7, BV7H8, BV7K1, BV7K2, BV7K3, BV7L1, BV7L2</w:t>
            </w:r>
          </w:p>
        </w:tc>
      </w:tr>
      <w:tr w:rsidR="00F52818" w14:paraId="1B810712" w14:textId="77777777" w:rsidTr="00994DE6">
        <w:trPr>
          <w:cantSplit/>
          <w:trHeight w:val="680"/>
        </w:trPr>
        <w:tc>
          <w:tcPr>
            <w:tcW w:w="1587" w:type="dxa"/>
          </w:tcPr>
          <w:p w14:paraId="7E6C2223" w14:textId="77777777" w:rsidR="00F52818" w:rsidRDefault="00F52818" w:rsidP="00994DE6">
            <w:pPr>
              <w:pStyle w:val="TableBody"/>
              <w:spacing w:before="120" w:after="120"/>
            </w:pPr>
            <w:r>
              <w:t>Bundaberg</w:t>
            </w:r>
          </w:p>
        </w:tc>
        <w:tc>
          <w:tcPr>
            <w:tcW w:w="7087" w:type="dxa"/>
          </w:tcPr>
          <w:p w14:paraId="15669579" w14:textId="77777777" w:rsidR="00F52818" w:rsidRPr="00AA7C5C" w:rsidRDefault="00F52818" w:rsidP="00994DE6">
            <w:pPr>
              <w:pStyle w:val="TableBody"/>
              <w:spacing w:before="120" w:after="120"/>
            </w:pPr>
            <w:r w:rsidRPr="00A9004E">
              <w:t>NS8N, NS8M2, NS8M3, NS8M5, NS8M6, NS8M8, NS8M9, NT2A2, NT2A3, NT2B1, NT2B2, NT2B3</w:t>
            </w:r>
          </w:p>
        </w:tc>
      </w:tr>
      <w:tr w:rsidR="00F52818" w14:paraId="4DE350C8" w14:textId="77777777" w:rsidTr="00994DE6">
        <w:trPr>
          <w:cantSplit/>
          <w:trHeight w:val="907"/>
        </w:trPr>
        <w:tc>
          <w:tcPr>
            <w:tcW w:w="1587" w:type="dxa"/>
          </w:tcPr>
          <w:p w14:paraId="3FF8F549" w14:textId="77777777" w:rsidR="00F52818" w:rsidRDefault="00F52818" w:rsidP="00994DE6">
            <w:pPr>
              <w:pStyle w:val="TableBody"/>
              <w:spacing w:before="120" w:after="120"/>
            </w:pPr>
            <w:r>
              <w:t>Cairns</w:t>
            </w:r>
          </w:p>
        </w:tc>
        <w:tc>
          <w:tcPr>
            <w:tcW w:w="7087" w:type="dxa"/>
          </w:tcPr>
          <w:p w14:paraId="4CE6D0C1" w14:textId="77777777" w:rsidR="00F52818" w:rsidRPr="00AA7C5C" w:rsidRDefault="00F52818" w:rsidP="00994DE6">
            <w:pPr>
              <w:pStyle w:val="TableBody"/>
              <w:spacing w:before="120" w:after="120"/>
            </w:pPr>
            <w:r w:rsidRPr="004E3AC5">
              <w:t>LQ1O, LQ1P, LQ1K7, LQ1K8, LQ1K9, LQ1L7, LQ1L8, LQ1L9, LQ4C1, LQ4C2, LQ4C3, LQ4C4, LQ4C5, LQ4C6, LQ4D1, LQ4D2, LQ4D3, LQ4D4, LQ4D5, LQ4D6</w:t>
            </w:r>
          </w:p>
        </w:tc>
      </w:tr>
      <w:tr w:rsidR="00F52818" w14:paraId="5B4EEB60" w14:textId="77777777" w:rsidTr="00994DE6">
        <w:trPr>
          <w:cantSplit/>
          <w:trHeight w:val="907"/>
        </w:trPr>
        <w:tc>
          <w:tcPr>
            <w:tcW w:w="1587" w:type="dxa"/>
          </w:tcPr>
          <w:p w14:paraId="249EEC3D" w14:textId="77777777" w:rsidR="00F52818" w:rsidRDefault="00F52818" w:rsidP="00994DE6">
            <w:pPr>
              <w:pStyle w:val="TableBody"/>
              <w:spacing w:before="120" w:after="120"/>
            </w:pPr>
            <w:r>
              <w:t>Canberra</w:t>
            </w:r>
          </w:p>
        </w:tc>
        <w:tc>
          <w:tcPr>
            <w:tcW w:w="7087" w:type="dxa"/>
          </w:tcPr>
          <w:p w14:paraId="7FD9A2FE" w14:textId="77777777" w:rsidR="00F52818" w:rsidRPr="00AA7C5C" w:rsidRDefault="00F52818" w:rsidP="00994DE6">
            <w:pPr>
              <w:pStyle w:val="TableBody"/>
              <w:spacing w:before="120" w:after="120"/>
            </w:pPr>
            <w:r w:rsidRPr="004E3AC5">
              <w:t>MW5E, MW4D6, MW4D9, MW4H3, MW4H9, MW4L3, MW5A4, MW5A5, MW5A6, MW5A7, MW5A8, MW5A9, MW5B4, MW5B7, MW5F1, MW5F4, MW5F7, MW5I1, MW5I2, MW5I3, MW5J1</w:t>
            </w:r>
          </w:p>
        </w:tc>
      </w:tr>
      <w:tr w:rsidR="00F52818" w14:paraId="564F4C75" w14:textId="77777777" w:rsidTr="00994DE6">
        <w:trPr>
          <w:cantSplit/>
          <w:trHeight w:val="454"/>
        </w:trPr>
        <w:tc>
          <w:tcPr>
            <w:tcW w:w="1587" w:type="dxa"/>
          </w:tcPr>
          <w:p w14:paraId="7DA89A83" w14:textId="77777777" w:rsidR="00F52818" w:rsidRDefault="00F52818" w:rsidP="00994DE6">
            <w:pPr>
              <w:pStyle w:val="TableBody"/>
              <w:spacing w:before="120" w:after="120"/>
            </w:pPr>
            <w:r>
              <w:t>Coffs Harbour</w:t>
            </w:r>
          </w:p>
        </w:tc>
        <w:tc>
          <w:tcPr>
            <w:tcW w:w="7087" w:type="dxa"/>
          </w:tcPr>
          <w:p w14:paraId="483C8F39" w14:textId="77777777" w:rsidR="00F52818" w:rsidRPr="004E3AC5" w:rsidRDefault="00F52818" w:rsidP="00994DE6">
            <w:pPr>
              <w:pStyle w:val="TableBody"/>
              <w:spacing w:before="120" w:after="120"/>
            </w:pPr>
            <w:r w:rsidRPr="004E3AC5">
              <w:t>NU9A, NU9E, NU8D9, NU8H3, NU8H6, NU8H9</w:t>
            </w:r>
          </w:p>
        </w:tc>
      </w:tr>
      <w:tr w:rsidR="00F52818" w14:paraId="5264F353" w14:textId="77777777" w:rsidTr="00994DE6">
        <w:trPr>
          <w:cantSplit/>
          <w:trHeight w:val="454"/>
        </w:trPr>
        <w:tc>
          <w:tcPr>
            <w:tcW w:w="1587" w:type="dxa"/>
          </w:tcPr>
          <w:p w14:paraId="3B34FAAC" w14:textId="77777777" w:rsidR="00F52818" w:rsidRDefault="00F52818" w:rsidP="00994DE6">
            <w:pPr>
              <w:pStyle w:val="TableBody"/>
              <w:spacing w:before="120" w:after="120"/>
            </w:pPr>
            <w:r>
              <w:t>Darwin</w:t>
            </w:r>
          </w:p>
        </w:tc>
        <w:tc>
          <w:tcPr>
            <w:tcW w:w="7087" w:type="dxa"/>
          </w:tcPr>
          <w:p w14:paraId="7A816DF9" w14:textId="77777777" w:rsidR="00F52818" w:rsidRPr="004E3AC5" w:rsidRDefault="00F52818" w:rsidP="00994DE6">
            <w:pPr>
              <w:pStyle w:val="TableBody"/>
              <w:spacing w:before="120" w:after="120"/>
            </w:pPr>
            <w:r w:rsidRPr="004E3AC5">
              <w:t>GO7C, GO7D, GO7G, GO7H, GO7K, GO7L, GO8A, GO8E, GO8I</w:t>
            </w:r>
          </w:p>
        </w:tc>
      </w:tr>
      <w:tr w:rsidR="00F52818" w14:paraId="74713E0E" w14:textId="77777777" w:rsidTr="00994DE6">
        <w:trPr>
          <w:cantSplit/>
          <w:trHeight w:val="680"/>
        </w:trPr>
        <w:tc>
          <w:tcPr>
            <w:tcW w:w="1587" w:type="dxa"/>
          </w:tcPr>
          <w:p w14:paraId="05D79963" w14:textId="77777777" w:rsidR="00F52818" w:rsidRDefault="00F52818" w:rsidP="00994DE6">
            <w:pPr>
              <w:pStyle w:val="TableBody"/>
              <w:spacing w:before="120" w:after="120"/>
            </w:pPr>
            <w:r>
              <w:lastRenderedPageBreak/>
              <w:t>Hervey Bay</w:t>
            </w:r>
          </w:p>
        </w:tc>
        <w:tc>
          <w:tcPr>
            <w:tcW w:w="7087" w:type="dxa"/>
          </w:tcPr>
          <w:p w14:paraId="3B242376" w14:textId="77777777" w:rsidR="00F52818" w:rsidRPr="00D34150" w:rsidRDefault="00F52818" w:rsidP="00994DE6">
            <w:pPr>
              <w:pStyle w:val="TableBody"/>
              <w:spacing w:before="120" w:after="120"/>
            </w:pPr>
            <w:r w:rsidRPr="00D34150">
              <w:t>NT2C8, NT2C9, NT2D7, NT2D8, NT2D9, NT2G2, NT2G3, NT2G5, NT2G6, NT2H1, NT2H2, NT2H3, NT2H4, NT2H5, NT2H6</w:t>
            </w:r>
          </w:p>
        </w:tc>
      </w:tr>
      <w:tr w:rsidR="00F52818" w14:paraId="4BC8FDAD" w14:textId="77777777" w:rsidTr="00994DE6">
        <w:trPr>
          <w:cantSplit/>
          <w:trHeight w:val="680"/>
        </w:trPr>
        <w:tc>
          <w:tcPr>
            <w:tcW w:w="1587" w:type="dxa"/>
          </w:tcPr>
          <w:p w14:paraId="37669746" w14:textId="77777777" w:rsidR="00F52818" w:rsidRDefault="00F52818" w:rsidP="00994DE6">
            <w:pPr>
              <w:pStyle w:val="TableBody"/>
              <w:spacing w:before="120" w:after="120"/>
            </w:pPr>
            <w:r>
              <w:t>Hobart</w:t>
            </w:r>
          </w:p>
        </w:tc>
        <w:tc>
          <w:tcPr>
            <w:tcW w:w="7087" w:type="dxa"/>
          </w:tcPr>
          <w:p w14:paraId="75C61964" w14:textId="77777777" w:rsidR="00F52818" w:rsidRPr="00D34150" w:rsidRDefault="00F52818" w:rsidP="00994DE6">
            <w:pPr>
              <w:pStyle w:val="TableBody"/>
              <w:spacing w:before="120" w:after="120"/>
            </w:pPr>
            <w:r w:rsidRPr="00D34150">
              <w:t>LY9N, LY9I8, LY9I9, LY9J7, LY9J8, LY9J9, LY9K7, LY9K8, LY9M2, LY9M3, LY9M5, LY9M6, LY9M8, LY9M9, LY9O1, LY9O2, LY9O4, LY9O5, LY9O7, LY9O8, LZ3A2, LZ3A3, LZ3B1, LZ3B2, LZ3B3, LZ3C1, LZ3C2</w:t>
            </w:r>
          </w:p>
        </w:tc>
      </w:tr>
      <w:tr w:rsidR="00F52818" w14:paraId="2C72A175" w14:textId="77777777" w:rsidTr="00994DE6">
        <w:trPr>
          <w:cantSplit/>
          <w:trHeight w:val="624"/>
        </w:trPr>
        <w:tc>
          <w:tcPr>
            <w:tcW w:w="1587" w:type="dxa"/>
          </w:tcPr>
          <w:p w14:paraId="78B8A27F" w14:textId="77777777" w:rsidR="00F52818" w:rsidRDefault="00F52818" w:rsidP="00994DE6">
            <w:pPr>
              <w:pStyle w:val="TableBody"/>
              <w:spacing w:before="120" w:after="120"/>
            </w:pPr>
            <w:r>
              <w:t>Launceston</w:t>
            </w:r>
          </w:p>
        </w:tc>
        <w:tc>
          <w:tcPr>
            <w:tcW w:w="7087" w:type="dxa"/>
          </w:tcPr>
          <w:p w14:paraId="5E3EDB5F" w14:textId="77777777" w:rsidR="00F52818" w:rsidRPr="00D34150" w:rsidRDefault="00F52818" w:rsidP="00994DE6">
            <w:pPr>
              <w:pStyle w:val="TableBody"/>
              <w:spacing w:before="120" w:after="120"/>
            </w:pPr>
            <w:r w:rsidRPr="00EA48F9">
              <w:t>LY6E, LY5H3, LY5H6, LY5H9, LY5L3, LY5L6, LY6F1, LY6F4, LY6F7, LY6I1, LY6I2, LY6I3, LY6I4, LY6I5, LY6I6, LY6J1, LY6J4</w:t>
            </w:r>
          </w:p>
        </w:tc>
      </w:tr>
      <w:tr w:rsidR="00F52818" w14:paraId="1B467BD1" w14:textId="77777777" w:rsidTr="00994DE6">
        <w:trPr>
          <w:cantSplit/>
          <w:trHeight w:val="454"/>
        </w:trPr>
        <w:tc>
          <w:tcPr>
            <w:tcW w:w="1587" w:type="dxa"/>
          </w:tcPr>
          <w:p w14:paraId="44A8C618" w14:textId="77777777" w:rsidR="00F52818" w:rsidRDefault="00F52818" w:rsidP="00994DE6">
            <w:pPr>
              <w:pStyle w:val="TableBody"/>
              <w:spacing w:before="120" w:after="120"/>
            </w:pPr>
            <w:r>
              <w:t>Lismore</w:t>
            </w:r>
          </w:p>
        </w:tc>
        <w:tc>
          <w:tcPr>
            <w:tcW w:w="7087" w:type="dxa"/>
          </w:tcPr>
          <w:p w14:paraId="19C4503A" w14:textId="77777777" w:rsidR="00F52818" w:rsidRPr="00D34150" w:rsidRDefault="00F52818" w:rsidP="00994DE6">
            <w:pPr>
              <w:pStyle w:val="TableBody"/>
              <w:spacing w:before="120" w:after="120"/>
            </w:pPr>
            <w:r w:rsidRPr="00371147">
              <w:t>NU3M3, NU3M6, NU3N1, NU3N2, NU3N4, NU3N5</w:t>
            </w:r>
          </w:p>
        </w:tc>
      </w:tr>
      <w:tr w:rsidR="00F52818" w14:paraId="48E94627" w14:textId="77777777" w:rsidTr="00994DE6">
        <w:trPr>
          <w:cantSplit/>
          <w:trHeight w:val="397"/>
        </w:trPr>
        <w:tc>
          <w:tcPr>
            <w:tcW w:w="1587" w:type="dxa"/>
          </w:tcPr>
          <w:p w14:paraId="7A08C3FC" w14:textId="77777777" w:rsidR="00F52818" w:rsidRDefault="00F52818" w:rsidP="00994DE6">
            <w:pPr>
              <w:pStyle w:val="TableBody"/>
              <w:spacing w:before="120" w:after="120"/>
            </w:pPr>
            <w:r>
              <w:t>Mackay</w:t>
            </w:r>
          </w:p>
        </w:tc>
        <w:tc>
          <w:tcPr>
            <w:tcW w:w="7087" w:type="dxa"/>
          </w:tcPr>
          <w:p w14:paraId="3D538A31" w14:textId="77777777" w:rsidR="00F52818" w:rsidRPr="00D34150" w:rsidRDefault="00F52818" w:rsidP="00994DE6">
            <w:pPr>
              <w:pStyle w:val="TableBody"/>
              <w:spacing w:before="120" w:after="120"/>
            </w:pPr>
            <w:r w:rsidRPr="00EA48F9">
              <w:t>MR8A, MR5M7, MR5M8, MR5M9</w:t>
            </w:r>
          </w:p>
        </w:tc>
      </w:tr>
      <w:tr w:rsidR="00F52818" w14:paraId="5A97994E" w14:textId="77777777" w:rsidTr="00994DE6">
        <w:trPr>
          <w:cantSplit/>
          <w:trHeight w:val="624"/>
        </w:trPr>
        <w:tc>
          <w:tcPr>
            <w:tcW w:w="1587" w:type="dxa"/>
          </w:tcPr>
          <w:p w14:paraId="38352388" w14:textId="77777777" w:rsidR="00F52818" w:rsidRDefault="00F52818" w:rsidP="00994DE6">
            <w:pPr>
              <w:pStyle w:val="TableBody"/>
              <w:spacing w:before="120" w:after="120"/>
            </w:pPr>
            <w:r>
              <w:t>Margaret River</w:t>
            </w:r>
          </w:p>
        </w:tc>
        <w:tc>
          <w:tcPr>
            <w:tcW w:w="7087" w:type="dxa"/>
          </w:tcPr>
          <w:p w14:paraId="69A0D851" w14:textId="77777777" w:rsidR="00F52818" w:rsidRPr="00D34150" w:rsidRDefault="00F52818" w:rsidP="00994DE6">
            <w:pPr>
              <w:pStyle w:val="TableBody"/>
              <w:spacing w:before="120" w:after="120"/>
            </w:pPr>
            <w:r w:rsidRPr="001453C7">
              <w:t>AV9P6, AV9P9, AW3D3, BV7M4, BV7M5, BV7M7, BV7M8, BW1A1, BW1A2</w:t>
            </w:r>
          </w:p>
        </w:tc>
      </w:tr>
      <w:tr w:rsidR="00F52818" w14:paraId="782E5775" w14:textId="77777777" w:rsidTr="00994DE6">
        <w:trPr>
          <w:cantSplit/>
          <w:trHeight w:val="624"/>
        </w:trPr>
        <w:tc>
          <w:tcPr>
            <w:tcW w:w="1587" w:type="dxa"/>
          </w:tcPr>
          <w:p w14:paraId="04E1252C" w14:textId="77777777" w:rsidR="00F52818" w:rsidRDefault="00F52818" w:rsidP="00994DE6">
            <w:pPr>
              <w:pStyle w:val="TableBody"/>
              <w:spacing w:before="120" w:after="120"/>
            </w:pPr>
            <w:r>
              <w:t>Melbourne</w:t>
            </w:r>
          </w:p>
        </w:tc>
        <w:tc>
          <w:tcPr>
            <w:tcW w:w="7087" w:type="dxa"/>
          </w:tcPr>
          <w:p w14:paraId="4C5BC8AC" w14:textId="77777777" w:rsidR="00F52818" w:rsidRPr="00D34150" w:rsidRDefault="00F52818" w:rsidP="00994DE6">
            <w:pPr>
              <w:pStyle w:val="TableBody"/>
              <w:spacing w:before="120" w:after="120"/>
            </w:pPr>
            <w:r w:rsidRPr="00B95117">
              <w:t>KX3J, KX3K, KX3L, KX3N, KX3O, KX3P, KX6B, KX6C, KX6D, KX6F, KX6G, KX6H, KX6J, KX6K, KX6L, LX1I, LX1M, LX1N, LX1O, LX4A, LX4B, LX4C, LX4E, LX4I, KX3F7, KX3F8, KX3F9, KX3G7, KX3G8, KX3G9, KX3H4, KX3H5, KX3H6, KX3H7, KX3H8, KX3H9, KX3M6, KX3M8, KX3M9, KX6A2, KX6A3, KX6A5, KX6A6, KX6A8, KX6A9, KX6E2, KX6E3, KX6E5, KX6E6, KX6E8, KX6E9, KX6I2, KX6I3, KX6I5, KX6I6, KX6I8, KX6I9, LX1E4, LX1E7, LX1E8, LX1E9, LX1J1, LX1J4, LX1J5, LX1J6, LX1J7, LX1J8, LX1J9, LX1K4, LX1K7, LX4F1, LX4F2, LX4F4, LX4F5, LX4F7, LX4F8, LX4J1, LX4J2, LX4J4, LX4J5, LX4J7, LX4J8</w:t>
            </w:r>
          </w:p>
        </w:tc>
      </w:tr>
      <w:tr w:rsidR="00F52818" w14:paraId="7235C62D" w14:textId="77777777" w:rsidTr="00994DE6">
        <w:trPr>
          <w:cantSplit/>
          <w:trHeight w:val="680"/>
        </w:trPr>
        <w:tc>
          <w:tcPr>
            <w:tcW w:w="1587" w:type="dxa"/>
          </w:tcPr>
          <w:p w14:paraId="24DE0FB4" w14:textId="77777777" w:rsidR="00F52818" w:rsidRDefault="00F52818" w:rsidP="00994DE6">
            <w:pPr>
              <w:pStyle w:val="TableBody"/>
              <w:spacing w:before="120" w:after="120"/>
            </w:pPr>
            <w:r>
              <w:t>Mildura</w:t>
            </w:r>
          </w:p>
        </w:tc>
        <w:tc>
          <w:tcPr>
            <w:tcW w:w="7087" w:type="dxa"/>
          </w:tcPr>
          <w:p w14:paraId="760D2AF4" w14:textId="77777777" w:rsidR="00F52818" w:rsidRPr="00D34150" w:rsidRDefault="00F52818" w:rsidP="00994DE6">
            <w:pPr>
              <w:pStyle w:val="TableBody"/>
              <w:spacing w:before="120" w:after="120"/>
            </w:pPr>
            <w:r w:rsidRPr="00B95117">
              <w:t>KW1A4, KW1A5, KW1A6, KW1A7, KW1A8, KW1A9, KW1E1, KW1E2, KW1E3</w:t>
            </w:r>
          </w:p>
        </w:tc>
      </w:tr>
      <w:tr w:rsidR="00F52818" w14:paraId="3529DB34" w14:textId="77777777" w:rsidTr="00994DE6">
        <w:trPr>
          <w:cantSplit/>
          <w:trHeight w:val="680"/>
        </w:trPr>
        <w:tc>
          <w:tcPr>
            <w:tcW w:w="1587" w:type="dxa"/>
          </w:tcPr>
          <w:p w14:paraId="1400B026" w14:textId="77777777" w:rsidR="00F52818" w:rsidRDefault="00F52818" w:rsidP="00994DE6">
            <w:pPr>
              <w:pStyle w:val="TableBody"/>
              <w:spacing w:before="120" w:after="120"/>
            </w:pPr>
            <w:r>
              <w:t>Perth</w:t>
            </w:r>
          </w:p>
        </w:tc>
        <w:tc>
          <w:tcPr>
            <w:tcW w:w="7087" w:type="dxa"/>
          </w:tcPr>
          <w:p w14:paraId="797268C2" w14:textId="77777777" w:rsidR="00F52818" w:rsidRPr="00D34150" w:rsidRDefault="00F52818" w:rsidP="00994DE6">
            <w:pPr>
              <w:pStyle w:val="TableBody"/>
              <w:spacing w:before="120" w:after="120"/>
            </w:pPr>
            <w:r w:rsidRPr="005C3B52">
              <w:t>BV1I, BV1J, BV1K, BV1L, BV1M, BV1N, BV1O, BV1P, BV2I, BV2J, BV2M, BV2N, BV4A, BV4B, BV4C, BV4D, BV4E, BV4F, BV4G, BV4H, BV4I, BV4J, BV4K, BV4L, BV5A, BV5B, BV5E, BV5F, BV5I, BV5J, BV1E7, BV1E8, BV1E9, BV1F7, BV1F8, BV1F9, BV1G7, BV1G8, BV1G9, BV1H7, BV1H8, BV1H9, BV2E7, BV2E8, BV2E9, BV2F7, BV2F8, BV2F9, BV4M1, BV4M2, BV4M3, BV4N1, BV4N2, BV4N3, BV4O1, BV4O2, BV4O3, BV4P1, BV4P2, BV4P3, BV5M1, BV5M2, BV5M3, BV5N1, BV5N2, BV5N3</w:t>
            </w:r>
          </w:p>
        </w:tc>
      </w:tr>
      <w:tr w:rsidR="00F52818" w14:paraId="6BE37632" w14:textId="77777777" w:rsidTr="00994DE6">
        <w:trPr>
          <w:cantSplit/>
          <w:trHeight w:val="454"/>
        </w:trPr>
        <w:tc>
          <w:tcPr>
            <w:tcW w:w="1587" w:type="dxa"/>
          </w:tcPr>
          <w:p w14:paraId="21CB3621" w14:textId="77777777" w:rsidR="00F52818" w:rsidRDefault="00F52818" w:rsidP="00994DE6">
            <w:pPr>
              <w:pStyle w:val="TableBody"/>
              <w:spacing w:before="120" w:after="120"/>
            </w:pPr>
            <w:r>
              <w:t>Port Macquarie</w:t>
            </w:r>
          </w:p>
        </w:tc>
        <w:tc>
          <w:tcPr>
            <w:tcW w:w="7087" w:type="dxa"/>
          </w:tcPr>
          <w:p w14:paraId="0BE85A78" w14:textId="77777777" w:rsidR="00F52818" w:rsidRPr="00D34150" w:rsidRDefault="00F52818" w:rsidP="00994DE6">
            <w:pPr>
              <w:pStyle w:val="TableBody"/>
              <w:spacing w:before="120" w:after="120"/>
            </w:pPr>
            <w:r w:rsidRPr="005C3B52">
              <w:t>NV2H, NV2L1, NV2L2, NV2L3</w:t>
            </w:r>
          </w:p>
        </w:tc>
      </w:tr>
      <w:tr w:rsidR="00F52818" w14:paraId="115A8A23" w14:textId="77777777" w:rsidTr="00994DE6">
        <w:trPr>
          <w:cantSplit/>
          <w:trHeight w:val="680"/>
        </w:trPr>
        <w:tc>
          <w:tcPr>
            <w:tcW w:w="1587" w:type="dxa"/>
          </w:tcPr>
          <w:p w14:paraId="103A5CBF" w14:textId="77777777" w:rsidR="00F52818" w:rsidRDefault="00F52818" w:rsidP="00994DE6">
            <w:pPr>
              <w:pStyle w:val="TableBody"/>
              <w:spacing w:before="120" w:after="120"/>
            </w:pPr>
            <w:r>
              <w:t>Rockhampton</w:t>
            </w:r>
          </w:p>
        </w:tc>
        <w:tc>
          <w:tcPr>
            <w:tcW w:w="7087" w:type="dxa"/>
          </w:tcPr>
          <w:p w14:paraId="2A04B32D" w14:textId="77777777" w:rsidR="00F52818" w:rsidRPr="00D34150" w:rsidRDefault="00F52818" w:rsidP="00994DE6">
            <w:pPr>
              <w:pStyle w:val="TableBody"/>
              <w:spacing w:before="120" w:after="120"/>
            </w:pPr>
            <w:r w:rsidRPr="005C3B52">
              <w:t>MS6F, MS6G, MS6B7, MS6B8, MS6B9, MS6C7, MS6C8, MS6C9, MS6J1, MS6J2, MS6J3, MS6K1, MS6K2, MS6K3</w:t>
            </w:r>
          </w:p>
        </w:tc>
      </w:tr>
      <w:tr w:rsidR="00F52818" w14:paraId="4F1BCE8F" w14:textId="77777777" w:rsidTr="00994DE6">
        <w:trPr>
          <w:cantSplit/>
          <w:trHeight w:val="680"/>
        </w:trPr>
        <w:tc>
          <w:tcPr>
            <w:tcW w:w="1587" w:type="dxa"/>
          </w:tcPr>
          <w:p w14:paraId="59720A73" w14:textId="77777777" w:rsidR="00F52818" w:rsidRDefault="00F52818" w:rsidP="00994DE6">
            <w:pPr>
              <w:pStyle w:val="TableBody"/>
              <w:spacing w:before="120" w:after="120"/>
            </w:pPr>
            <w:r>
              <w:t>Shepparton-Mooroopna</w:t>
            </w:r>
          </w:p>
        </w:tc>
        <w:tc>
          <w:tcPr>
            <w:tcW w:w="7087" w:type="dxa"/>
          </w:tcPr>
          <w:p w14:paraId="0707BE4A" w14:textId="77777777" w:rsidR="00F52818" w:rsidRPr="00D34150" w:rsidRDefault="00F52818" w:rsidP="00994DE6">
            <w:pPr>
              <w:pStyle w:val="TableBody"/>
              <w:spacing w:before="120" w:after="120"/>
            </w:pPr>
            <w:r w:rsidRPr="005C3B52">
              <w:t>LW7F, LW7G1, LW7G4, LW7G7, LW7J1, LW7J2, LW7J3, LW7K1</w:t>
            </w:r>
          </w:p>
        </w:tc>
      </w:tr>
      <w:tr w:rsidR="00F52818" w14:paraId="592CA89B" w14:textId="77777777" w:rsidTr="00994DE6">
        <w:trPr>
          <w:cantSplit/>
          <w:trHeight w:val="680"/>
        </w:trPr>
        <w:tc>
          <w:tcPr>
            <w:tcW w:w="1587" w:type="dxa"/>
          </w:tcPr>
          <w:p w14:paraId="78D02E32" w14:textId="77777777" w:rsidR="00F52818" w:rsidRDefault="00F52818" w:rsidP="00994DE6">
            <w:pPr>
              <w:pStyle w:val="TableBody"/>
              <w:spacing w:before="120" w:after="120"/>
            </w:pPr>
            <w:r>
              <w:t>Sunshine Coast</w:t>
            </w:r>
          </w:p>
        </w:tc>
        <w:tc>
          <w:tcPr>
            <w:tcW w:w="7087" w:type="dxa"/>
          </w:tcPr>
          <w:p w14:paraId="658923BB" w14:textId="77777777" w:rsidR="00F52818" w:rsidRPr="00D34150" w:rsidRDefault="00F52818" w:rsidP="00994DE6">
            <w:pPr>
              <w:pStyle w:val="TableBody"/>
              <w:spacing w:before="120" w:after="120"/>
            </w:pPr>
            <w:r w:rsidRPr="006A512F">
              <w:t>NT5G, NT5H, NT5K, NT5L, NT6E, NT6F, NT6G, NT6H, NT6I, NT6J, NT6K, NT6L, NT5C4, NT5C5, NT5C6, NT5C7, NT5C8, NT5C9, NT5D4, NT5D5, NT5D6, NT5D7, NT5D8, NT5D9, NT5O1, NT5O2, NT5O3, NT5P1, NT5P2, NT5P3, NT6A4, NT6A5, NT6A6, NT6A7, NT6A8, NT6A9, NT6B4, NT6B5, NT6B6, NT6B7, NT6B8, NT6B9, NT6C4, NT6C5, NT6C6, NT6C7, NT6C8, NT6C9, NT6D4, NT6D5, NT6D6, NT6D7, NT6D8, NT6D9, NT6M1, NT6M2, NT6M3, NT6N1, NT6N2, NT6N3, NT6O1, NT6O2, NT6O3, NT6P1, NT6P2, NT6P3</w:t>
            </w:r>
          </w:p>
        </w:tc>
      </w:tr>
      <w:tr w:rsidR="00F52818" w14:paraId="07FB6DBB" w14:textId="77777777" w:rsidTr="00994DE6">
        <w:trPr>
          <w:cantSplit/>
          <w:trHeight w:val="680"/>
        </w:trPr>
        <w:tc>
          <w:tcPr>
            <w:tcW w:w="1587" w:type="dxa"/>
          </w:tcPr>
          <w:p w14:paraId="214D1CD3" w14:textId="77777777" w:rsidR="00F52818" w:rsidRDefault="00F52818" w:rsidP="00994DE6">
            <w:pPr>
              <w:pStyle w:val="TableBody"/>
              <w:spacing w:before="120" w:after="120"/>
            </w:pPr>
            <w:r>
              <w:lastRenderedPageBreak/>
              <w:t>Sydney</w:t>
            </w:r>
          </w:p>
        </w:tc>
        <w:tc>
          <w:tcPr>
            <w:tcW w:w="7087" w:type="dxa"/>
          </w:tcPr>
          <w:p w14:paraId="26578E51" w14:textId="77777777" w:rsidR="00F52818" w:rsidRPr="00D34150" w:rsidRDefault="00F52818" w:rsidP="00994DE6">
            <w:pPr>
              <w:pStyle w:val="TableBody"/>
              <w:spacing w:before="120" w:after="120"/>
            </w:pPr>
            <w:r w:rsidRPr="0049321B">
              <w:t>NW1, MV9I, MV9J, MV9K, MV9L, MV9M, MV9N, MV9O, MV9P, MW3C, MW3D, MW3G, MW3H, MW3K, MW3L, MW3O, MW3P, MW6C, MW6D, NV4N, NV4O, NV4P, NV5M, NV5N, NV5O, NV5P, NV7B, NV7C, NV7D, NV7E, NV7F, NV7G, NV7H, NV7I, NV7J, NV7K, NV7L, NV7M, NV7N, NV7O, NV7P, MV9D6, MV9D9, MV9E4, MV9E5, MV9E6, MV9E7, MV9E8, MV9E9, MV9F4, MV9F5, MV9F6, MV9F7, MV9F8, MV9F9, MV9G4, MV9G5, MV9G6, MV9G7, MV9G8, MV9G9, MV9H3, MV9H4, MV9H5, MV9H6, MV9H7, MV9H8, MV9H9, MW3B2, MW3B3, MW3B5, MW3B6, MW3B8, MW3B9, MW3F2, MW3F3, MW3F5, MW3F6, MW3F8, MW3F9, MW3J2, MW3J3, NV4I5, NV4I6, NV4I8, NV4I9, NV4J4, NV4J5, NV4J6, NV4J7, NV4J8, NV4J9, NV4K4, NV4K5, NV4K6, NV4K7, NV4K8, NV4K9, NV4L4, NV4L5, NV4L6, NV4L7, NV4L8, NV4L9, NV4M2, NV4M3, NV4M5, NV4M6, NV4M8, NV4M9, NV5I4, NV5I5, NV5I6, NV5I7, NV5I8, NV5I9, NV5J4, NV5J5, NV5J6, NV5J7, NV5J8, NV5J9, NV5K4, NV5K5, NV5K6, NV5K7, NV5K8, NV5K9, NV5L4, NV5L5, NV5L6, NV5L7, NV5L8, NV5L9, NV7A2, NV7A3, NV7A4, NV7A5, NV7A6, NV7A7, NV7A8, NV7A9</w:t>
            </w:r>
          </w:p>
        </w:tc>
      </w:tr>
      <w:tr w:rsidR="00F52818" w14:paraId="25D74658" w14:textId="77777777" w:rsidTr="00994DE6">
        <w:trPr>
          <w:cantSplit/>
          <w:trHeight w:val="680"/>
        </w:trPr>
        <w:tc>
          <w:tcPr>
            <w:tcW w:w="1587" w:type="dxa"/>
          </w:tcPr>
          <w:p w14:paraId="53AD4A2B" w14:textId="77777777" w:rsidR="00F52818" w:rsidRDefault="00F52818" w:rsidP="00994DE6">
            <w:pPr>
              <w:pStyle w:val="TableBody"/>
              <w:spacing w:before="120" w:after="120"/>
            </w:pPr>
            <w:r>
              <w:t>Toowoomba</w:t>
            </w:r>
          </w:p>
        </w:tc>
        <w:tc>
          <w:tcPr>
            <w:tcW w:w="7087" w:type="dxa"/>
          </w:tcPr>
          <w:p w14:paraId="3A03260B" w14:textId="77777777" w:rsidR="00F52818" w:rsidRPr="00D34150" w:rsidRDefault="00F52818" w:rsidP="00994DE6">
            <w:pPr>
              <w:pStyle w:val="TableBody"/>
              <w:spacing w:before="120" w:after="120"/>
            </w:pPr>
            <w:r w:rsidRPr="009C67EE">
              <w:t>NT7H, NT7L, NT8E, NT8F, NT8I, NT8J, NT7G2, NT7G3, NT7G5, NT7G6, NT7G8, NT7G9, NT7K2, NT7K3, NT7K5, NT7K6, NT7K8, NT7K9, NT7O2, NT7O3, NT7O5, NT7O6, NT7P1, NT7P2, NT7P3, NT7P4, NT7P5, NT7P6, NT8M1, NT8M2, NT8M3, NT8M4, NT8M5, NT8M6, NT8N1, NT8N2, NT8N3, NT8N4, NT8N5, NT8N6</w:t>
            </w:r>
          </w:p>
        </w:tc>
      </w:tr>
      <w:tr w:rsidR="00F52818" w14:paraId="2DC39C81" w14:textId="77777777" w:rsidTr="00994DE6">
        <w:trPr>
          <w:cantSplit/>
          <w:trHeight w:val="454"/>
        </w:trPr>
        <w:tc>
          <w:tcPr>
            <w:tcW w:w="1587" w:type="dxa"/>
          </w:tcPr>
          <w:p w14:paraId="4EB26959" w14:textId="77777777" w:rsidR="00F52818" w:rsidRDefault="00F52818" w:rsidP="00994DE6">
            <w:pPr>
              <w:pStyle w:val="TableBody"/>
              <w:spacing w:before="120" w:after="120"/>
            </w:pPr>
            <w:r>
              <w:t>Townsville</w:t>
            </w:r>
          </w:p>
        </w:tc>
        <w:tc>
          <w:tcPr>
            <w:tcW w:w="7087" w:type="dxa"/>
          </w:tcPr>
          <w:p w14:paraId="2D804AD5" w14:textId="77777777" w:rsidR="00F52818" w:rsidRPr="00D34150" w:rsidRDefault="00F52818" w:rsidP="00994DE6">
            <w:pPr>
              <w:pStyle w:val="TableBody"/>
              <w:spacing w:before="120" w:after="120"/>
            </w:pPr>
            <w:r w:rsidRPr="009C67EE">
              <w:t>LR2C, LR2D, LR2G, LR2H</w:t>
            </w:r>
          </w:p>
        </w:tc>
      </w:tr>
      <w:tr w:rsidR="00F52818" w14:paraId="312A72B3" w14:textId="77777777" w:rsidTr="00994DE6">
        <w:trPr>
          <w:cantSplit/>
          <w:trHeight w:val="680"/>
        </w:trPr>
        <w:tc>
          <w:tcPr>
            <w:tcW w:w="1587" w:type="dxa"/>
          </w:tcPr>
          <w:p w14:paraId="4457D382" w14:textId="77777777" w:rsidR="00F52818" w:rsidRDefault="00F52818" w:rsidP="00994DE6">
            <w:pPr>
              <w:pStyle w:val="TableBody"/>
              <w:spacing w:before="120" w:after="120"/>
            </w:pPr>
            <w:r>
              <w:t>Traralgon-Morwell</w:t>
            </w:r>
          </w:p>
        </w:tc>
        <w:tc>
          <w:tcPr>
            <w:tcW w:w="7087" w:type="dxa"/>
          </w:tcPr>
          <w:p w14:paraId="785A097A" w14:textId="77777777" w:rsidR="00F52818" w:rsidRPr="00D34150" w:rsidRDefault="00F52818" w:rsidP="00994DE6">
            <w:pPr>
              <w:pStyle w:val="TableBody"/>
              <w:spacing w:before="120" w:after="120"/>
            </w:pPr>
            <w:r>
              <w:t xml:space="preserve">LX5A6, LX5A8, LX5A9, </w:t>
            </w:r>
            <w:r w:rsidRPr="009C67EE">
              <w:t>LX5B4, LX5B5, LX5B6, LX5B7, LX5B8, LX5B9, LX5C4, LX5C5, LX5C7, LX5C8, LX5F1, LX5F2, LX5F3, LX5G1, LX5G2</w:t>
            </w:r>
          </w:p>
        </w:tc>
      </w:tr>
      <w:tr w:rsidR="00F52818" w14:paraId="4992F084" w14:textId="77777777" w:rsidTr="00994DE6">
        <w:trPr>
          <w:cantSplit/>
          <w:trHeight w:val="510"/>
        </w:trPr>
        <w:tc>
          <w:tcPr>
            <w:tcW w:w="1587" w:type="dxa"/>
          </w:tcPr>
          <w:p w14:paraId="447F0DBA" w14:textId="77777777" w:rsidR="00F52818" w:rsidRDefault="00F52818" w:rsidP="00994DE6">
            <w:pPr>
              <w:pStyle w:val="TableBody"/>
              <w:spacing w:before="120" w:after="120"/>
            </w:pPr>
            <w:r>
              <w:t>Tuncurry-Forster</w:t>
            </w:r>
          </w:p>
        </w:tc>
        <w:tc>
          <w:tcPr>
            <w:tcW w:w="7087" w:type="dxa"/>
          </w:tcPr>
          <w:p w14:paraId="593E6419" w14:textId="77777777" w:rsidR="00F52818" w:rsidRPr="00D34150" w:rsidRDefault="00F52818" w:rsidP="00994DE6">
            <w:pPr>
              <w:pStyle w:val="TableBody"/>
              <w:spacing w:before="120" w:after="120"/>
            </w:pPr>
            <w:r w:rsidRPr="009C67EE">
              <w:t>NV5B6, NV5B9, NV5C4, NV5C5, NV5C7, NV5C8, NV5F3, NV5G1, NV5G2</w:t>
            </w:r>
          </w:p>
        </w:tc>
      </w:tr>
      <w:tr w:rsidR="00F52818" w14:paraId="03F745F2" w14:textId="77777777" w:rsidTr="00994DE6">
        <w:trPr>
          <w:cantSplit/>
          <w:trHeight w:val="454"/>
        </w:trPr>
        <w:tc>
          <w:tcPr>
            <w:tcW w:w="1587" w:type="dxa"/>
          </w:tcPr>
          <w:p w14:paraId="2521E533" w14:textId="77777777" w:rsidR="00F52818" w:rsidRDefault="00F52818" w:rsidP="00994DE6">
            <w:pPr>
              <w:pStyle w:val="TableBody"/>
              <w:spacing w:before="120" w:after="120"/>
            </w:pPr>
            <w:r>
              <w:t>Wagga Wagga</w:t>
            </w:r>
          </w:p>
        </w:tc>
        <w:tc>
          <w:tcPr>
            <w:tcW w:w="7087" w:type="dxa"/>
          </w:tcPr>
          <w:p w14:paraId="2062A8ED" w14:textId="77777777" w:rsidR="00F52818" w:rsidRPr="00D34150" w:rsidRDefault="00F52818" w:rsidP="00994DE6">
            <w:pPr>
              <w:pStyle w:val="TableBody"/>
              <w:spacing w:before="120" w:after="120"/>
            </w:pPr>
            <w:r w:rsidRPr="002F077C">
              <w:t>LW6B</w:t>
            </w:r>
          </w:p>
        </w:tc>
      </w:tr>
      <w:tr w:rsidR="00F52818" w14:paraId="762BF2B4" w14:textId="77777777" w:rsidTr="00994DE6">
        <w:trPr>
          <w:cantSplit/>
          <w:trHeight w:val="624"/>
        </w:trPr>
        <w:tc>
          <w:tcPr>
            <w:tcW w:w="1587" w:type="dxa"/>
          </w:tcPr>
          <w:p w14:paraId="40431115" w14:textId="77777777" w:rsidR="00F52818" w:rsidRDefault="00F52818" w:rsidP="00994DE6">
            <w:pPr>
              <w:pStyle w:val="TableBody"/>
              <w:spacing w:before="120" w:after="120"/>
            </w:pPr>
            <w:r>
              <w:t>Warrnambool</w:t>
            </w:r>
          </w:p>
        </w:tc>
        <w:tc>
          <w:tcPr>
            <w:tcW w:w="7087" w:type="dxa"/>
          </w:tcPr>
          <w:p w14:paraId="67F326FF" w14:textId="77777777" w:rsidR="00F52818" w:rsidRPr="00D34150" w:rsidRDefault="00F52818" w:rsidP="00994DE6">
            <w:pPr>
              <w:pStyle w:val="TableBody"/>
              <w:spacing w:before="120" w:after="120"/>
            </w:pPr>
            <w:r w:rsidRPr="002F077C">
              <w:t>KX4F2, KX4F3, KX4F5, KX4F6, KX4F8, KX4F9, KX4G1, KX4G2, KX4G4, KX4G5, KX4G7, KX4G8</w:t>
            </w:r>
          </w:p>
        </w:tc>
      </w:tr>
    </w:tbl>
    <w:p w14:paraId="0A381910" w14:textId="4C417825" w:rsidR="00C86340" w:rsidRPr="005F1860" w:rsidRDefault="00C86340"/>
    <w:sectPr w:rsidR="00C86340" w:rsidRPr="005F1860" w:rsidSect="00AC6904">
      <w:pgSz w:w="11906" w:h="16838" w:code="9"/>
      <w:pgMar w:top="1945" w:right="1134" w:bottom="1134" w:left="1134" w:header="709" w:footer="11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0F0577" w14:textId="77777777" w:rsidR="002D3DA3" w:rsidRDefault="002D3DA3">
      <w:r>
        <w:separator/>
      </w:r>
    </w:p>
  </w:endnote>
  <w:endnote w:type="continuationSeparator" w:id="0">
    <w:p w14:paraId="7E9F2DB4" w14:textId="77777777" w:rsidR="002D3DA3" w:rsidRDefault="002D3DA3">
      <w:r>
        <w:continuationSeparator/>
      </w:r>
    </w:p>
  </w:endnote>
  <w:endnote w:type="continuationNotice" w:id="1">
    <w:p w14:paraId="6B874F4E" w14:textId="77777777" w:rsidR="002D3DA3" w:rsidRDefault="002D3DA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NeueLT Std Lt">
    <w:altName w:val="Times New Roman"/>
    <w:panose1 w:val="020B0403020202020204"/>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Std">
    <w:panose1 w:val="020B0604020202020204"/>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宋体">
    <w:altName w:val="Microsoft YaHei"/>
    <w:charset w:val="86"/>
    <w:family w:val="auto"/>
    <w:pitch w:val="variable"/>
    <w:sig w:usb0="00000001" w:usb1="080E0000" w:usb2="00000010" w:usb3="00000000" w:csb0="00040000"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A6D156" w14:textId="77777777" w:rsidR="000E1142" w:rsidRPr="00A5474E" w:rsidRDefault="000E1142" w:rsidP="00A5474E">
    <w:pPr>
      <w:pStyle w:val="Footer"/>
    </w:pPr>
    <w:r>
      <w:rPr>
        <w:noProof/>
      </w:rPr>
      <w:drawing>
        <wp:inline distT="0" distB="0" distL="0" distR="0" wp14:anchorId="1B48BEA7" wp14:editId="50C6BA4C">
          <wp:extent cx="3483864" cy="249613"/>
          <wp:effectExtent l="0" t="0" r="0" b="0"/>
          <wp:docPr id="8" name="Picture 8"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BCFE6E" w14:textId="77777777" w:rsidR="000E1142" w:rsidRDefault="000E114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3B0F0F" w14:textId="77777777" w:rsidR="000E1142" w:rsidRDefault="000E114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302E87" w14:textId="1C99C619" w:rsidR="000E1142" w:rsidRPr="00622A3B" w:rsidRDefault="000E1142" w:rsidP="00971914">
    <w:pPr>
      <w:pStyle w:val="Footer"/>
      <w:framePr w:w="1334" w:h="357" w:hRule="exact" w:vSpace="425" w:wrap="around" w:vAnchor="page" w:hAnchor="page" w:x="1156" w:y="16166"/>
      <w:pBdr>
        <w:top w:val="single" w:sz="4" w:space="1" w:color="auto"/>
      </w:pBdr>
      <w:tabs>
        <w:tab w:val="clear" w:pos="113"/>
        <w:tab w:val="left" w:pos="284"/>
      </w:tabs>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iv</w:t>
    </w:r>
    <w:r w:rsidRPr="002E4DDC">
      <w:rPr>
        <w:color w:val="505050"/>
      </w:rPr>
      <w:fldChar w:fldCharType="end"/>
    </w:r>
  </w:p>
  <w:p w14:paraId="4975D3F3" w14:textId="77777777" w:rsidR="000E1142" w:rsidRPr="00A5474E" w:rsidRDefault="000E1142" w:rsidP="00A5474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FFBF16" w14:textId="77777777" w:rsidR="000E1142" w:rsidRPr="00622A3B" w:rsidRDefault="000E1142" w:rsidP="00971914">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v</w:t>
    </w:r>
    <w:r w:rsidRPr="002E4DDC">
      <w:rPr>
        <w:color w:val="505050"/>
      </w:rPr>
      <w:fldChar w:fldCharType="end"/>
    </w:r>
  </w:p>
  <w:p w14:paraId="2B52AA8D" w14:textId="77777777" w:rsidR="000E1142" w:rsidRPr="00A5474E" w:rsidRDefault="000E1142" w:rsidP="00A5474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585FE9" w14:textId="25A2C5CE" w:rsidR="000E1142" w:rsidRPr="00622A3B" w:rsidRDefault="000E1142" w:rsidP="0094078F">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iii</w:t>
    </w:r>
    <w:r w:rsidRPr="002E4DDC">
      <w:rPr>
        <w:color w:val="505050"/>
      </w:rPr>
      <w:fldChar w:fldCharType="end"/>
    </w:r>
  </w:p>
  <w:p w14:paraId="39644B02" w14:textId="77777777" w:rsidR="000E1142" w:rsidRPr="00A5474E" w:rsidRDefault="000E1142" w:rsidP="00A5474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347481" w14:textId="58E684A8" w:rsidR="000E1142" w:rsidRPr="00622A3B" w:rsidRDefault="000E1142" w:rsidP="00B43262">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rPr>
        <w:noProof/>
      </w:rPr>
      <w:t>68</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66665E2A" w14:textId="77777777" w:rsidR="000E1142" w:rsidRPr="00A5474E" w:rsidRDefault="000E1142" w:rsidP="00A5474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5375AF" w14:textId="41E49647" w:rsidR="000E1142" w:rsidRPr="00622A3B" w:rsidRDefault="000E1142" w:rsidP="00447037">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Pr>
        <w:noProof/>
        <w:color w:val="505050"/>
      </w:rPr>
      <w:t>69</w:t>
    </w:r>
    <w:r w:rsidRPr="00575AC5">
      <w:rPr>
        <w:color w:val="505050"/>
      </w:rPr>
      <w:fldChar w:fldCharType="end"/>
    </w:r>
  </w:p>
  <w:p w14:paraId="41D6B16A" w14:textId="77777777" w:rsidR="000E1142" w:rsidRPr="00A5474E" w:rsidRDefault="000E1142" w:rsidP="00A5474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BB08DB" w14:textId="77777777" w:rsidR="000E1142" w:rsidRPr="00622A3B" w:rsidRDefault="000E1142" w:rsidP="00B43262">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rPr>
        <w:noProof/>
      </w:rPr>
      <w:t>68</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4C4F8EFA" w14:textId="77777777" w:rsidR="000E1142" w:rsidRPr="00A5474E" w:rsidRDefault="000E1142" w:rsidP="00A5474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012E6A" w14:textId="77777777" w:rsidR="000E1142" w:rsidRPr="00622A3B" w:rsidRDefault="000E1142" w:rsidP="00447037">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Pr>
        <w:noProof/>
        <w:color w:val="505050"/>
      </w:rPr>
      <w:t>69</w:t>
    </w:r>
    <w:r w:rsidRPr="00575AC5">
      <w:rPr>
        <w:color w:val="505050"/>
      </w:rPr>
      <w:fldChar w:fldCharType="end"/>
    </w:r>
  </w:p>
  <w:p w14:paraId="015E50A2" w14:textId="77777777" w:rsidR="000E1142" w:rsidRPr="00A5474E" w:rsidRDefault="000E1142"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F73A42" w14:textId="77777777" w:rsidR="002D3DA3" w:rsidRDefault="002D3DA3">
      <w:r>
        <w:separator/>
      </w:r>
    </w:p>
  </w:footnote>
  <w:footnote w:type="continuationSeparator" w:id="0">
    <w:p w14:paraId="424BB805" w14:textId="77777777" w:rsidR="002D3DA3" w:rsidRDefault="002D3DA3">
      <w:r>
        <w:continuationSeparator/>
      </w:r>
    </w:p>
  </w:footnote>
  <w:footnote w:type="continuationNotice" w:id="1">
    <w:p w14:paraId="31150053" w14:textId="77777777" w:rsidR="002D3DA3" w:rsidRPr="00BC6C61" w:rsidRDefault="002D3DA3" w:rsidP="00BC6C61">
      <w:pPr>
        <w:pStyle w:val="Footer"/>
      </w:pPr>
    </w:p>
  </w:footnote>
  <w:footnote w:id="2">
    <w:p w14:paraId="67AE0762" w14:textId="24C78931" w:rsidR="000E1142" w:rsidRDefault="000E1142">
      <w:pPr>
        <w:pStyle w:val="FootnoteText"/>
      </w:pPr>
      <w:r>
        <w:rPr>
          <w:rStyle w:val="FootnoteReference"/>
        </w:rPr>
        <w:footnoteRef/>
      </w:r>
      <w:r>
        <w:t xml:space="preserve"> </w:t>
      </w:r>
      <w:proofErr w:type="spellStart"/>
      <w:r>
        <w:t>mmWave</w:t>
      </w:r>
      <w:proofErr w:type="spellEnd"/>
      <w:r>
        <w:t xml:space="preserve"> bands incorporate any portion of the radiofrequency spectrum in the frequency range 24.25-100 GHz </w:t>
      </w:r>
    </w:p>
  </w:footnote>
  <w:footnote w:id="3">
    <w:p w14:paraId="0269DCDC" w14:textId="77777777" w:rsidR="000E1142" w:rsidRDefault="000E1142" w:rsidP="00CA3463">
      <w:pPr>
        <w:pStyle w:val="FootnoteText"/>
        <w:spacing w:after="0"/>
      </w:pPr>
      <w:r>
        <w:rPr>
          <w:rStyle w:val="FootnoteReference"/>
        </w:rPr>
        <w:footnoteRef/>
      </w:r>
      <w:r>
        <w:t xml:space="preserve"> This process mirrors the </w:t>
      </w:r>
      <w:r>
        <w:rPr>
          <w:i/>
        </w:rPr>
        <w:t>Stages and considerations for band re-farming</w:t>
      </w:r>
      <w:r>
        <w:t xml:space="preserve"> defined in the </w:t>
      </w:r>
      <w:hyperlink r:id="rId1" w:history="1">
        <w:r w:rsidRPr="00B11039">
          <w:rPr>
            <w:rStyle w:val="Hyperlink"/>
          </w:rPr>
          <w:t>ACMA’s mobile broadband strategy</w:t>
        </w:r>
      </w:hyperlink>
      <w:r>
        <w:t xml:space="preserve"> </w:t>
      </w:r>
    </w:p>
  </w:footnote>
  <w:footnote w:id="4">
    <w:p w14:paraId="4B1B0E3B" w14:textId="77777777" w:rsidR="000E1142" w:rsidRDefault="000E1142" w:rsidP="002D2B71">
      <w:pPr>
        <w:pStyle w:val="FootnoteText"/>
        <w:spacing w:after="40"/>
      </w:pPr>
      <w:r>
        <w:rPr>
          <w:rStyle w:val="FootnoteReference"/>
        </w:rPr>
        <w:footnoteRef/>
      </w:r>
      <w:r>
        <w:t xml:space="preserve"> ACMA </w:t>
      </w:r>
      <w:hyperlink r:id="rId2" w:history="1">
        <w:r w:rsidRPr="00FB1084">
          <w:rPr>
            <w:rStyle w:val="Hyperlink"/>
            <w:i/>
          </w:rPr>
          <w:t>Corporate plan 2018–19</w:t>
        </w:r>
      </w:hyperlink>
    </w:p>
  </w:footnote>
  <w:footnote w:id="5">
    <w:p w14:paraId="10E4C6C6" w14:textId="77777777" w:rsidR="000E1142" w:rsidRDefault="000E1142" w:rsidP="002D2B71">
      <w:pPr>
        <w:pStyle w:val="FootnoteText"/>
        <w:spacing w:after="0"/>
      </w:pPr>
      <w:r>
        <w:rPr>
          <w:rStyle w:val="FootnoteReference"/>
        </w:rPr>
        <w:footnoteRef/>
      </w:r>
      <w:r>
        <w:t xml:space="preserve"> Area-wide apparatus </w:t>
      </w:r>
      <w:r w:rsidRPr="0018783E">
        <w:t>licences can also be issued.</w:t>
      </w:r>
    </w:p>
  </w:footnote>
  <w:footnote w:id="6">
    <w:p w14:paraId="33AA41DE" w14:textId="77777777" w:rsidR="000E1142" w:rsidRDefault="000E1142" w:rsidP="002D2B71">
      <w:pPr>
        <w:pStyle w:val="FootnoteText"/>
        <w:spacing w:after="0"/>
      </w:pPr>
      <w:r>
        <w:rPr>
          <w:rStyle w:val="FootnoteReference"/>
        </w:rPr>
        <w:footnoteRef/>
      </w:r>
      <w:r>
        <w:t xml:space="preserve"> Technical details and limitations include maximum power, frequency range, out-of-band emissions limits, and geographical licence area. </w:t>
      </w:r>
    </w:p>
  </w:footnote>
  <w:footnote w:id="7">
    <w:p w14:paraId="0585061D" w14:textId="354F2C2C" w:rsidR="000E1142" w:rsidRDefault="000E1142" w:rsidP="00B11039">
      <w:pPr>
        <w:pStyle w:val="FootnoteText"/>
        <w:spacing w:after="0"/>
      </w:pPr>
      <w:r>
        <w:rPr>
          <w:rStyle w:val="FootnoteReference"/>
        </w:rPr>
        <w:footnoteRef/>
      </w:r>
      <w:r>
        <w:t xml:space="preserve"> The </w:t>
      </w:r>
      <w:hyperlink r:id="rId3" w:history="1">
        <w:r w:rsidRPr="00B64E96">
          <w:rPr>
            <w:rStyle w:val="Hyperlink"/>
          </w:rPr>
          <w:t>draft 2018</w:t>
        </w:r>
        <w:r>
          <w:rPr>
            <w:rStyle w:val="Hyperlink"/>
          </w:rPr>
          <w:t>–</w:t>
        </w:r>
        <w:r w:rsidRPr="00B64E96">
          <w:rPr>
            <w:rStyle w:val="Hyperlink"/>
          </w:rPr>
          <w:t>22 F</w:t>
        </w:r>
        <w:r>
          <w:rPr>
            <w:rStyle w:val="Hyperlink"/>
          </w:rPr>
          <w:t>YSO</w:t>
        </w:r>
      </w:hyperlink>
      <w:r>
        <w:t xml:space="preserve"> details the current status of work in the 26 GHz and 60 GHz bands, as well as providing a list of bands currently at the </w:t>
      </w:r>
      <w:r w:rsidRPr="00CF2904">
        <w:rPr>
          <w:i/>
        </w:rPr>
        <w:t>monitoring</w:t>
      </w:r>
      <w:r>
        <w:t xml:space="preserve"> stage. </w:t>
      </w:r>
    </w:p>
  </w:footnote>
  <w:footnote w:id="8">
    <w:p w14:paraId="6518DCCB" w14:textId="59D5B907" w:rsidR="000E1142" w:rsidRDefault="000E1142" w:rsidP="00946F00">
      <w:pPr>
        <w:pStyle w:val="FootnoteText"/>
        <w:spacing w:after="0"/>
      </w:pPr>
      <w:r>
        <w:rPr>
          <w:rStyle w:val="FootnoteReference"/>
        </w:rPr>
        <w:footnoteRef/>
      </w:r>
      <w:r>
        <w:t xml:space="preserve"> World Radiocommunications Conference-2019</w:t>
      </w:r>
    </w:p>
  </w:footnote>
  <w:footnote w:id="9">
    <w:p w14:paraId="546AD91B" w14:textId="6A389202" w:rsidR="000E1142" w:rsidRDefault="000E1142" w:rsidP="00C930B5">
      <w:pPr>
        <w:pStyle w:val="FootnoteText"/>
        <w:spacing w:after="0"/>
      </w:pPr>
      <w:r>
        <w:rPr>
          <w:rStyle w:val="FootnoteReference"/>
        </w:rPr>
        <w:footnoteRef/>
      </w:r>
      <w:r>
        <w:t xml:space="preserve"> Earth Stations in Motion</w:t>
      </w:r>
    </w:p>
  </w:footnote>
  <w:footnote w:id="10">
    <w:p w14:paraId="3C7B6D2C" w14:textId="5E1328C8" w:rsidR="000E1142" w:rsidRDefault="000E1142" w:rsidP="00C930B5">
      <w:pPr>
        <w:pStyle w:val="FootnoteText"/>
        <w:spacing w:after="0"/>
      </w:pPr>
      <w:r>
        <w:rPr>
          <w:rStyle w:val="FootnoteReference"/>
        </w:rPr>
        <w:footnoteRef/>
      </w:r>
      <w:r>
        <w:t xml:space="preserve"> High Altitude Platform Stations</w:t>
      </w:r>
    </w:p>
  </w:footnote>
  <w:footnote w:id="11">
    <w:p w14:paraId="6BFF91F6" w14:textId="77777777" w:rsidR="000E1142" w:rsidRDefault="000E1142" w:rsidP="003207AD">
      <w:pPr>
        <w:pStyle w:val="ListBullet"/>
        <w:numPr>
          <w:ilvl w:val="0"/>
          <w:numId w:val="0"/>
        </w:numPr>
        <w:spacing w:before="120" w:after="120"/>
      </w:pPr>
      <w:r w:rsidRPr="00AC6904">
        <w:rPr>
          <w:rStyle w:val="FootnoteReference"/>
          <w:sz w:val="16"/>
          <w:szCs w:val="16"/>
        </w:rPr>
        <w:footnoteRef/>
      </w:r>
      <w:r w:rsidRPr="00AC6904">
        <w:rPr>
          <w:sz w:val="16"/>
          <w:szCs w:val="16"/>
        </w:rPr>
        <w:t xml:space="preserve"> A s</w:t>
      </w:r>
      <w:r>
        <w:rPr>
          <w:sz w:val="16"/>
          <w:szCs w:val="16"/>
        </w:rPr>
        <w:t>pectrum-space</w:t>
      </w:r>
      <w:r w:rsidRPr="00AD43F2">
        <w:rPr>
          <w:sz w:val="16"/>
          <w:szCs w:val="16"/>
        </w:rPr>
        <w:t xml:space="preserve"> apparatus licence</w:t>
      </w:r>
      <w:r>
        <w:rPr>
          <w:sz w:val="16"/>
          <w:szCs w:val="16"/>
        </w:rPr>
        <w:t xml:space="preserve"> is a proposed new type of apparatus licence that is currently being considered by the ACMA. To create this new licence type would require amendment to several legislative instruments made and administered by the ACMA and will be subject to a separate consultation process if the ACMA decides to go ahead with developing this licence type. It</w:t>
      </w:r>
      <w:r w:rsidRPr="00AD43F2">
        <w:rPr>
          <w:sz w:val="16"/>
          <w:szCs w:val="16"/>
        </w:rPr>
        <w:t xml:space="preserve"> is </w:t>
      </w:r>
      <w:r>
        <w:rPr>
          <w:sz w:val="16"/>
          <w:szCs w:val="16"/>
        </w:rPr>
        <w:t xml:space="preserve">intended to be </w:t>
      </w:r>
      <w:r w:rsidRPr="00AD43F2">
        <w:rPr>
          <w:sz w:val="16"/>
          <w:szCs w:val="16"/>
        </w:rPr>
        <w:t xml:space="preserve">very similar to a spectrum licence in that it has the following attributes: area-wide (i.e. can authorise one or multiple stations), purpose-agnostic, frequency-agnostic, </w:t>
      </w:r>
      <w:r>
        <w:rPr>
          <w:sz w:val="16"/>
          <w:szCs w:val="16"/>
        </w:rPr>
        <w:t xml:space="preserve">boundary </w:t>
      </w:r>
      <w:r w:rsidRPr="00AD43F2">
        <w:rPr>
          <w:sz w:val="16"/>
          <w:szCs w:val="16"/>
        </w:rPr>
        <w:t>coordinated, scalable, and issue-process agnostic.</w:t>
      </w:r>
    </w:p>
  </w:footnote>
  <w:footnote w:id="12">
    <w:p w14:paraId="468F70DE" w14:textId="77777777" w:rsidR="000E1142" w:rsidRDefault="000E1142" w:rsidP="003207AD">
      <w:pPr>
        <w:pStyle w:val="FootnoteText"/>
      </w:pPr>
      <w:r>
        <w:rPr>
          <w:rStyle w:val="FootnoteReference"/>
        </w:rPr>
        <w:footnoteRef/>
      </w:r>
      <w:r>
        <w:t xml:space="preserve"> Existing </w:t>
      </w:r>
      <w:r w:rsidRPr="00A05EC9">
        <w:t>facilities</w:t>
      </w:r>
      <w:r>
        <w:t xml:space="preserve"> are located</w:t>
      </w:r>
      <w:r w:rsidRPr="00A05EC9">
        <w:t xml:space="preserve"> at New Norcia, WA, and Tidbinbilla, ACT</w:t>
      </w:r>
      <w:r>
        <w:t>.</w:t>
      </w:r>
    </w:p>
  </w:footnote>
  <w:footnote w:id="13">
    <w:p w14:paraId="721B73CE" w14:textId="5BFFE6B0" w:rsidR="000E1142" w:rsidRDefault="000E1142" w:rsidP="00946F00">
      <w:pPr>
        <w:pStyle w:val="FootnoteText"/>
        <w:spacing w:after="0"/>
      </w:pPr>
      <w:r>
        <w:rPr>
          <w:rStyle w:val="FootnoteReference"/>
        </w:rPr>
        <w:footnoteRef/>
      </w:r>
      <w:r>
        <w:t xml:space="preserve"> CEPT Roadmap for 5G, version 7, revised 26 October 2018</w:t>
      </w:r>
    </w:p>
  </w:footnote>
  <w:footnote w:id="14">
    <w:p w14:paraId="671D46C3" w14:textId="2C723C71" w:rsidR="000E1142" w:rsidRDefault="000E1142" w:rsidP="00946F00">
      <w:pPr>
        <w:pStyle w:val="FootnoteText"/>
        <w:spacing w:after="0"/>
      </w:pPr>
      <w:r>
        <w:rPr>
          <w:rStyle w:val="FootnoteReference"/>
        </w:rPr>
        <w:footnoteRef/>
      </w:r>
      <w:r>
        <w:t xml:space="preserve"> </w:t>
      </w:r>
      <w:hyperlink r:id="rId4" w:history="1">
        <w:r w:rsidRPr="00CF4427">
          <w:rPr>
            <w:rStyle w:val="Hyperlink"/>
          </w:rPr>
          <w:t>https://www.theverge.com/2018/11/14/18095020/fcc-auction-mmwave-5g-spectrum-mobile-network</w:t>
        </w:r>
      </w:hyperlink>
      <w:r>
        <w:t xml:space="preserve"> </w:t>
      </w:r>
    </w:p>
  </w:footnote>
  <w:footnote w:id="15">
    <w:p w14:paraId="74C4702C" w14:textId="24BEA118" w:rsidR="000E1142" w:rsidRDefault="000E1142" w:rsidP="00946F00">
      <w:pPr>
        <w:pStyle w:val="FootnoteText"/>
        <w:spacing w:after="0"/>
      </w:pPr>
      <w:r>
        <w:rPr>
          <w:rStyle w:val="FootnoteReference"/>
        </w:rPr>
        <w:footnoteRef/>
      </w:r>
      <w:r>
        <w:t xml:space="preserve"> </w:t>
      </w:r>
      <w:hyperlink r:id="rId5" w:history="1">
        <w:r w:rsidRPr="00CF4427">
          <w:rPr>
            <w:rStyle w:val="Hyperlink"/>
          </w:rPr>
          <w:t>https://www.acma.gov.au/theACMA/class-licensing-updates-supporting-5g-and-other-technology-innovations</w:t>
        </w:r>
      </w:hyperlink>
      <w:r>
        <w:t xml:space="preserve"> </w:t>
      </w:r>
    </w:p>
  </w:footnote>
  <w:footnote w:id="16">
    <w:p w14:paraId="3AEEA34C" w14:textId="77777777" w:rsidR="000E1142" w:rsidRDefault="000E1142" w:rsidP="00B034FD">
      <w:pPr>
        <w:pStyle w:val="FootnoteText"/>
      </w:pPr>
      <w:r>
        <w:rPr>
          <w:rStyle w:val="FootnoteReference"/>
        </w:rPr>
        <w:footnoteRef/>
      </w:r>
      <w:r>
        <w:t xml:space="preserve"> Refer to </w:t>
      </w:r>
      <w:hyperlink r:id="rId6" w:history="1">
        <w:r w:rsidRPr="009E3A51">
          <w:rPr>
            <w:rStyle w:val="Hyperlink"/>
          </w:rPr>
          <w:t>RALI FX 3</w:t>
        </w:r>
      </w:hyperlink>
      <w:r>
        <w:t xml:space="preserve"> for full details on existing arrangements</w:t>
      </w:r>
    </w:p>
  </w:footnote>
  <w:footnote w:id="17">
    <w:p w14:paraId="3031B68C" w14:textId="0E80DC57" w:rsidR="000E1142" w:rsidRDefault="000E1142">
      <w:pPr>
        <w:pStyle w:val="FootnoteText"/>
      </w:pPr>
      <w:r>
        <w:rPr>
          <w:rStyle w:val="FootnoteReference"/>
        </w:rPr>
        <w:footnoteRef/>
      </w:r>
      <w:r>
        <w:t xml:space="preserve"> </w:t>
      </w:r>
      <w:r w:rsidRPr="00FB3E12">
        <w:t>European Conference of Postal and Telecommunications Administrations</w:t>
      </w:r>
    </w:p>
  </w:footnote>
  <w:footnote w:id="18">
    <w:p w14:paraId="3B677435" w14:textId="2D8A8DCF" w:rsidR="000E1142" w:rsidRDefault="000E1142" w:rsidP="00DB2602">
      <w:pPr>
        <w:pStyle w:val="FootnoteText"/>
        <w:spacing w:after="0"/>
      </w:pPr>
      <w:r>
        <w:rPr>
          <w:rStyle w:val="FootnoteReference"/>
        </w:rPr>
        <w:footnoteRef/>
      </w:r>
      <w:r>
        <w:t xml:space="preserve"> ‘</w:t>
      </w:r>
      <w:r w:rsidRPr="008A2F6D">
        <w:t xml:space="preserve">Australia could host ground infrastructure for next-gen </w:t>
      </w:r>
      <w:proofErr w:type="spellStart"/>
      <w:r w:rsidRPr="008A2F6D">
        <w:t>Viasat</w:t>
      </w:r>
      <w:proofErr w:type="spellEnd"/>
      <w:r w:rsidRPr="008A2F6D">
        <w:t xml:space="preserve"> satellite</w:t>
      </w:r>
      <w:r>
        <w:t xml:space="preserve">’, </w:t>
      </w:r>
      <w:proofErr w:type="spellStart"/>
      <w:r>
        <w:t>computerworld</w:t>
      </w:r>
      <w:proofErr w:type="spellEnd"/>
      <w:r>
        <w:t xml:space="preserve">, 8 February 2019, </w:t>
      </w:r>
      <w:hyperlink r:id="rId7" w:history="1">
        <w:r w:rsidRPr="00B54B39">
          <w:rPr>
            <w:rStyle w:val="Hyperlink"/>
          </w:rPr>
          <w:t>https://www.computerworld.com.au/article/657535/australia-could-host-ground-infrastructure-next-gen-viasat-satellite/</w:t>
        </w:r>
      </w:hyperlink>
      <w:r>
        <w:t xml:space="preserve"> </w:t>
      </w:r>
    </w:p>
  </w:footnote>
  <w:footnote w:id="19">
    <w:p w14:paraId="61AC7370" w14:textId="1368A66B" w:rsidR="000E1142" w:rsidRDefault="000E1142" w:rsidP="00BB6F4A">
      <w:pPr>
        <w:pStyle w:val="FootnoteText"/>
        <w:spacing w:after="0"/>
      </w:pPr>
      <w:r>
        <w:rPr>
          <w:rStyle w:val="FootnoteReference"/>
        </w:rPr>
        <w:footnoteRef/>
      </w:r>
      <w:r>
        <w:t xml:space="preserve"> Very small aperture terminal</w:t>
      </w:r>
    </w:p>
  </w:footnote>
  <w:footnote w:id="20">
    <w:p w14:paraId="7F6030D4" w14:textId="7342961C" w:rsidR="000E1142" w:rsidRDefault="000E1142" w:rsidP="00BB6F4A">
      <w:pPr>
        <w:pStyle w:val="FootnoteText"/>
        <w:spacing w:after="0"/>
      </w:pPr>
      <w:r>
        <w:rPr>
          <w:rStyle w:val="FootnoteReference"/>
        </w:rPr>
        <w:footnoteRef/>
      </w:r>
      <w:r>
        <w:t xml:space="preserve"> European, Middle East and Africa</w:t>
      </w:r>
    </w:p>
  </w:footnote>
  <w:footnote w:id="21">
    <w:p w14:paraId="57AC7BFD" w14:textId="4F703242" w:rsidR="000E1142" w:rsidRDefault="000E1142" w:rsidP="00BB6F4A">
      <w:pPr>
        <w:pStyle w:val="FootnoteText"/>
        <w:spacing w:after="0"/>
      </w:pPr>
      <w:r>
        <w:rPr>
          <w:rStyle w:val="FootnoteReference"/>
        </w:rPr>
        <w:footnoteRef/>
      </w:r>
      <w:r>
        <w:t xml:space="preserve"> Non-geostationary orbit</w:t>
      </w:r>
    </w:p>
  </w:footnote>
  <w:footnote w:id="22">
    <w:p w14:paraId="57E7E748" w14:textId="1C2563BA" w:rsidR="000E1142" w:rsidRDefault="000E1142" w:rsidP="00BB6F4A">
      <w:pPr>
        <w:pStyle w:val="FootnoteText"/>
        <w:spacing w:after="0"/>
      </w:pPr>
      <w:r>
        <w:rPr>
          <w:rStyle w:val="FootnoteReference"/>
        </w:rPr>
        <w:footnoteRef/>
      </w:r>
      <w:r>
        <w:t xml:space="preserve"> Geostationary orbit</w:t>
      </w:r>
    </w:p>
  </w:footnote>
  <w:footnote w:id="23">
    <w:p w14:paraId="0CBF35E7" w14:textId="671B104A" w:rsidR="000E1142" w:rsidRDefault="000E1142">
      <w:pPr>
        <w:pStyle w:val="FootnoteText"/>
      </w:pPr>
      <w:r>
        <w:rPr>
          <w:rStyle w:val="FootnoteReference"/>
        </w:rPr>
        <w:footnoteRef/>
      </w:r>
      <w:r>
        <w:t xml:space="preserve"> Refer ACMA Business Operating Procedures </w:t>
      </w:r>
      <w:hyperlink r:id="rId8" w:history="1">
        <w:r w:rsidRPr="00C17A2A">
          <w:rPr>
            <w:rStyle w:val="Hyperlink"/>
          </w:rPr>
          <w:t>Licensing procedures for ESIMs communicating with GSO space stations in the FSS  in 19.7–20.2 GHz and 29.5–30.0 GHz</w:t>
        </w:r>
      </w:hyperlink>
      <w:r w:rsidRPr="00C17A2A">
        <w:t> </w:t>
      </w:r>
      <w:r>
        <w:t xml:space="preserve"> and </w:t>
      </w:r>
      <w:hyperlink r:id="rId9" w:history="1">
        <w:r w:rsidRPr="00C17A2A">
          <w:rPr>
            <w:rStyle w:val="Hyperlink"/>
          </w:rPr>
          <w:t>Interim Licensing procedures for ESIMs communicating with GSO/NGSO space stations in the FSS in part of the Ka Band</w:t>
        </w:r>
      </w:hyperlink>
    </w:p>
  </w:footnote>
  <w:footnote w:id="24">
    <w:p w14:paraId="33896032" w14:textId="5D79900D" w:rsidR="000E1142" w:rsidRDefault="000E1142" w:rsidP="005D3186">
      <w:pPr>
        <w:pStyle w:val="FootnoteText"/>
        <w:spacing w:after="0"/>
      </w:pPr>
      <w:r>
        <w:rPr>
          <w:rStyle w:val="FootnoteReference"/>
        </w:rPr>
        <w:footnoteRef/>
      </w:r>
      <w:r>
        <w:t xml:space="preserve"> In this figure FSS U refers to ubiquitous FSS and FSS G refers to FSS gateways</w:t>
      </w:r>
    </w:p>
  </w:footnote>
  <w:footnote w:id="25">
    <w:p w14:paraId="274B3FAF" w14:textId="75CEB662" w:rsidR="000E1142" w:rsidRDefault="000E1142" w:rsidP="005D3186">
      <w:pPr>
        <w:pStyle w:val="FootnoteText"/>
        <w:spacing w:after="0"/>
      </w:pPr>
      <w:r>
        <w:rPr>
          <w:rStyle w:val="FootnoteReference"/>
        </w:rPr>
        <w:footnoteRef/>
      </w:r>
      <w:r>
        <w:t xml:space="preserve"> In this figure FSS U refers to ubiquitous FSS and FSS G refers to FSS gateways</w:t>
      </w:r>
    </w:p>
  </w:footnote>
  <w:footnote w:id="26">
    <w:p w14:paraId="2A373A88" w14:textId="1CB8A9BD" w:rsidR="000E1142" w:rsidRDefault="000E1142" w:rsidP="005D3186">
      <w:pPr>
        <w:pStyle w:val="FootnoteText"/>
        <w:spacing w:after="0"/>
      </w:pPr>
      <w:r>
        <w:rPr>
          <w:rStyle w:val="FootnoteReference"/>
        </w:rPr>
        <w:footnoteRef/>
      </w:r>
      <w:r>
        <w:t xml:space="preserve"> In this image FSS U refers to ubiquitous FSS and FSS G refers to FSS gateways</w:t>
      </w:r>
    </w:p>
  </w:footnote>
  <w:footnote w:id="27">
    <w:p w14:paraId="7910F34B" w14:textId="0B5E20D1" w:rsidR="000E1142" w:rsidRDefault="000E1142" w:rsidP="005D3186">
      <w:pPr>
        <w:pStyle w:val="FootnoteText"/>
        <w:spacing w:after="0"/>
      </w:pPr>
      <w:r>
        <w:rPr>
          <w:rStyle w:val="FootnoteReference"/>
        </w:rPr>
        <w:footnoteRef/>
      </w:r>
      <w:r>
        <w:t xml:space="preserve"> In this image FSS U refers to ubiquitous FSS and FSS G refers to FSS gateways</w:t>
      </w:r>
    </w:p>
  </w:footnote>
  <w:footnote w:id="28">
    <w:p w14:paraId="595EF340" w14:textId="1A3A5C42" w:rsidR="000E1142" w:rsidRDefault="000E1142" w:rsidP="00AC6904">
      <w:pPr>
        <w:pStyle w:val="FootnoteText"/>
        <w:spacing w:after="0"/>
      </w:pPr>
      <w:r>
        <w:rPr>
          <w:rStyle w:val="FootnoteReference"/>
        </w:rPr>
        <w:footnoteRef/>
      </w:r>
      <w:r>
        <w:t xml:space="preserve"> AMTA State of the Industry Report, </w:t>
      </w:r>
      <w:hyperlink r:id="rId10" w:history="1">
        <w:r w:rsidRPr="00916373">
          <w:rPr>
            <w:rStyle w:val="Hyperlink"/>
          </w:rPr>
          <w:t>Mobile Nation: The economic and social impact of mobile technology</w:t>
        </w:r>
      </w:hyperlink>
      <w:r>
        <w:t>, Deloitte Access Economics, Feb 2013</w:t>
      </w:r>
    </w:p>
  </w:footnote>
  <w:footnote w:id="29">
    <w:p w14:paraId="2B0EAAE5" w14:textId="203CF8CC" w:rsidR="000E1142" w:rsidRDefault="000E1142" w:rsidP="00AC6904">
      <w:pPr>
        <w:pStyle w:val="FootnoteText"/>
        <w:spacing w:after="0"/>
      </w:pPr>
      <w:r>
        <w:rPr>
          <w:rStyle w:val="FootnoteReference"/>
        </w:rPr>
        <w:footnoteRef/>
      </w:r>
      <w:r>
        <w:t xml:space="preserve"> AMTA State of the Industry Report, </w:t>
      </w:r>
      <w:hyperlink r:id="rId11" w:history="1">
        <w:r w:rsidRPr="00916373">
          <w:rPr>
            <w:rStyle w:val="Hyperlink"/>
          </w:rPr>
          <w:t>5G Mobile - enabling businesses and economic growth</w:t>
        </w:r>
      </w:hyperlink>
      <w:hyperlink r:id="rId12" w:history="1"/>
      <w:r>
        <w:t>, Deloitte Access Economics, October 2017</w:t>
      </w:r>
    </w:p>
  </w:footnote>
  <w:footnote w:id="30">
    <w:p w14:paraId="4650926B" w14:textId="6272E476" w:rsidR="000E1142" w:rsidRDefault="000E1142" w:rsidP="00AC6904">
      <w:pPr>
        <w:pStyle w:val="FootnoteText"/>
        <w:spacing w:after="0"/>
      </w:pPr>
      <w:r>
        <w:rPr>
          <w:rStyle w:val="FootnoteReference"/>
        </w:rPr>
        <w:footnoteRef/>
      </w:r>
      <w:r>
        <w:t xml:space="preserve"> </w:t>
      </w:r>
      <w:hyperlink r:id="rId13" w:history="1">
        <w:r w:rsidRPr="00916373">
          <w:rPr>
            <w:rStyle w:val="Hyperlink"/>
          </w:rPr>
          <w:t>Impacts of 5G on productivity and economic growth</w:t>
        </w:r>
      </w:hyperlink>
      <w:r>
        <w:t>, Bureau of Communications and Arts Research, April 2018</w:t>
      </w:r>
    </w:p>
  </w:footnote>
  <w:footnote w:id="31">
    <w:p w14:paraId="0EB73B28" w14:textId="66A75CE9" w:rsidR="000E1142" w:rsidRDefault="000E1142">
      <w:pPr>
        <w:pStyle w:val="FootnoteText"/>
      </w:pPr>
      <w:r>
        <w:rPr>
          <w:rStyle w:val="FootnoteReference"/>
        </w:rPr>
        <w:footnoteRef/>
      </w:r>
      <w:r>
        <w:t xml:space="preserve"> While the Option 3 allocation appears to provide an 800 MHz allocation to FWA, due to the need for guard bands with the adjacent band ubiquitous FSS use as well as alignment with the existing PTP arrangements, a total of six 112 MHz channels are available. </w:t>
      </w:r>
    </w:p>
  </w:footnote>
  <w:footnote w:id="32">
    <w:p w14:paraId="18003537" w14:textId="58BEA155" w:rsidR="000E1142" w:rsidRDefault="000E1142">
      <w:pPr>
        <w:pStyle w:val="FootnoteText"/>
      </w:pPr>
      <w:r>
        <w:rPr>
          <w:rStyle w:val="FootnoteReference"/>
        </w:rPr>
        <w:footnoteRef/>
      </w:r>
      <w:r>
        <w:t xml:space="preserve"> </w:t>
      </w:r>
      <w:r w:rsidRPr="005D3186">
        <w:t xml:space="preserve">Microwave fixed point-to-point services assignment statistics: 1 January 2008 to 1 January 2012. SP 2014/04, </w:t>
      </w:r>
      <w:hyperlink r:id="rId14" w:history="1">
        <w:r w:rsidRPr="005D3186">
          <w:rPr>
            <w:rStyle w:val="Hyperlink"/>
          </w:rPr>
          <w:t>https://www.acma.gov.au/-/media/Spectrum-Engineering/Issue-for-comment/IFC-31-2014/Word/SPP-201404-Rali-FX-3-stats_FINAL-docx.DOCX?la=en</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DE547F" w14:textId="77777777" w:rsidR="000E1142" w:rsidRPr="00A5474E" w:rsidRDefault="000E1142" w:rsidP="00A5474E">
    <w:pPr>
      <w:pStyle w:val="Header"/>
    </w:pPr>
    <w:r>
      <w:rPr>
        <w:noProof/>
      </w:rPr>
      <w:drawing>
        <wp:inline distT="0" distB="0" distL="0" distR="0" wp14:anchorId="3FDB9B26" wp14:editId="66DBDA0B">
          <wp:extent cx="6388100" cy="520700"/>
          <wp:effectExtent l="0" t="0" r="0" b="12700"/>
          <wp:docPr id="6" name="Picture 6"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70F147" w14:textId="77777777" w:rsidR="000E1142" w:rsidRPr="00A5474E" w:rsidRDefault="000E1142"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767489" w14:textId="77777777" w:rsidR="000E1142" w:rsidRDefault="000E114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9454BB" w14:textId="77777777" w:rsidR="000E1142" w:rsidRDefault="000E1142">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7678" w:type="dxa"/>
      <w:tblLayout w:type="fixed"/>
      <w:tblCellMar>
        <w:left w:w="0" w:type="dxa"/>
        <w:right w:w="0" w:type="dxa"/>
      </w:tblCellMar>
      <w:tblLook w:val="01E0" w:firstRow="1" w:lastRow="1" w:firstColumn="1" w:lastColumn="1" w:noHBand="0" w:noVBand="0"/>
    </w:tblPr>
    <w:tblGrid>
      <w:gridCol w:w="7678"/>
    </w:tblGrid>
    <w:tr w:rsidR="000E1142" w14:paraId="206D9AD8" w14:textId="77777777" w:rsidTr="002D673F">
      <w:trPr>
        <w:trHeight w:hRule="exact" w:val="988"/>
      </w:trPr>
      <w:tc>
        <w:tcPr>
          <w:tcW w:w="7678" w:type="dxa"/>
          <w:shd w:val="clear" w:color="auto" w:fill="auto"/>
        </w:tcPr>
        <w:p w14:paraId="1B7CDE6C" w14:textId="77777777" w:rsidR="000E1142" w:rsidRDefault="000E1142" w:rsidP="00971914">
          <w:pPr>
            <w:pStyle w:val="Header"/>
          </w:pPr>
        </w:p>
      </w:tc>
    </w:tr>
    <w:tr w:rsidR="000E1142" w14:paraId="761D5B4F" w14:textId="77777777" w:rsidTr="002D673F">
      <w:tc>
        <w:tcPr>
          <w:tcW w:w="7678" w:type="dxa"/>
          <w:shd w:val="clear" w:color="auto" w:fill="auto"/>
        </w:tcPr>
        <w:p w14:paraId="27DA207E" w14:textId="77777777" w:rsidR="000E1142" w:rsidRDefault="000E1142" w:rsidP="00971914">
          <w:pPr>
            <w:pStyle w:val="GridTable31"/>
          </w:pPr>
          <w:r>
            <w:t xml:space="preserve">Contents </w:t>
          </w:r>
          <w:r w:rsidRPr="00915B1C">
            <w:rPr>
              <w:b w:val="0"/>
              <w:spacing w:val="0"/>
              <w:sz w:val="28"/>
              <w:szCs w:val="28"/>
            </w:rPr>
            <w:t>(Continued)</w:t>
          </w:r>
        </w:p>
      </w:tc>
    </w:tr>
    <w:tr w:rsidR="000E1142" w14:paraId="718DBCBA" w14:textId="77777777" w:rsidTr="002D673F">
      <w:trPr>
        <w:trHeight w:val="1220"/>
      </w:trPr>
      <w:tc>
        <w:tcPr>
          <w:tcW w:w="7678" w:type="dxa"/>
          <w:shd w:val="clear" w:color="auto" w:fill="auto"/>
        </w:tcPr>
        <w:p w14:paraId="5F44E839" w14:textId="77777777" w:rsidR="000E1142" w:rsidRDefault="000E1142" w:rsidP="00971914"/>
      </w:tc>
    </w:tr>
  </w:tbl>
  <w:p w14:paraId="658E2C98" w14:textId="77777777" w:rsidR="000E1142" w:rsidRDefault="000E1142" w:rsidP="0097191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7678" w:type="dxa"/>
      <w:tblLayout w:type="fixed"/>
      <w:tblCellMar>
        <w:left w:w="0" w:type="dxa"/>
        <w:right w:w="0" w:type="dxa"/>
      </w:tblCellMar>
      <w:tblLook w:val="01E0" w:firstRow="1" w:lastRow="1" w:firstColumn="1" w:lastColumn="1" w:noHBand="0" w:noVBand="0"/>
    </w:tblPr>
    <w:tblGrid>
      <w:gridCol w:w="7678"/>
    </w:tblGrid>
    <w:tr w:rsidR="000E1142" w14:paraId="412D0C7B" w14:textId="77777777" w:rsidTr="002D673F">
      <w:trPr>
        <w:trHeight w:hRule="exact" w:val="988"/>
      </w:trPr>
      <w:tc>
        <w:tcPr>
          <w:tcW w:w="7678" w:type="dxa"/>
          <w:shd w:val="clear" w:color="auto" w:fill="auto"/>
        </w:tcPr>
        <w:p w14:paraId="4C8C65DF" w14:textId="77777777" w:rsidR="000E1142" w:rsidRDefault="000E1142" w:rsidP="00971914">
          <w:pPr>
            <w:pStyle w:val="Header"/>
          </w:pPr>
        </w:p>
      </w:tc>
    </w:tr>
    <w:tr w:rsidR="000E1142" w14:paraId="7A5A7204" w14:textId="77777777" w:rsidTr="002D673F">
      <w:tc>
        <w:tcPr>
          <w:tcW w:w="7678" w:type="dxa"/>
          <w:shd w:val="clear" w:color="auto" w:fill="auto"/>
        </w:tcPr>
        <w:p w14:paraId="784496CF" w14:textId="77777777" w:rsidR="000E1142" w:rsidRDefault="000E1142" w:rsidP="00971914">
          <w:pPr>
            <w:pStyle w:val="GridTable31"/>
          </w:pPr>
          <w:r>
            <w:t xml:space="preserve">Contents </w:t>
          </w:r>
          <w:r w:rsidRPr="00915B1C">
            <w:rPr>
              <w:b w:val="0"/>
              <w:spacing w:val="0"/>
              <w:sz w:val="28"/>
              <w:szCs w:val="28"/>
            </w:rPr>
            <w:t>(Continued)</w:t>
          </w:r>
        </w:p>
      </w:tc>
    </w:tr>
    <w:tr w:rsidR="000E1142" w14:paraId="56F4AD0E" w14:textId="77777777" w:rsidTr="002D673F">
      <w:trPr>
        <w:trHeight w:val="1220"/>
      </w:trPr>
      <w:tc>
        <w:tcPr>
          <w:tcW w:w="7678" w:type="dxa"/>
          <w:shd w:val="clear" w:color="auto" w:fill="auto"/>
        </w:tcPr>
        <w:p w14:paraId="7AD4F62A" w14:textId="77777777" w:rsidR="000E1142" w:rsidRDefault="000E1142" w:rsidP="00971914"/>
      </w:tc>
    </w:tr>
  </w:tbl>
  <w:p w14:paraId="039FDF69" w14:textId="77777777" w:rsidR="000E1142" w:rsidRPr="00A5474E" w:rsidRDefault="000E1142" w:rsidP="00A5474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C8AA18" w14:textId="77777777" w:rsidR="000E1142" w:rsidRDefault="000E1142">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FD1959" w14:textId="77777777" w:rsidR="000E1142" w:rsidRDefault="000E1142">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F438C4" w14:textId="77777777" w:rsidR="000E1142" w:rsidRDefault="000E1142">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0F09FA" w14:textId="77777777" w:rsidR="000E1142" w:rsidRDefault="000E114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7.25pt;height:44.25pt;visibility:visible;mso-wrap-style:square" o:bullet="t">
        <v:imagedata r:id="rId1" o:title=""/>
      </v:shape>
    </w:pict>
  </w:numPicBullet>
  <w:numPicBullet w:numPicBulletId="1">
    <w:pict>
      <v:shape id="_x0000_i1027" type="#_x0000_t75" style="width:48.75pt;height:45pt;visibility:visible;mso-wrap-style:square" o:bullet="t">
        <v:imagedata r:id="rId2" o:title=""/>
      </v:shape>
    </w:pict>
  </w:numPicBullet>
  <w:numPicBullet w:numPicBulletId="2">
    <w:pict>
      <v:shape id="_x0000_i1028" type="#_x0000_t75" style="width:47.25pt;height:45pt;visibility:visible;mso-wrap-style:square" o:bullet="t">
        <v:imagedata r:id="rId3" o:title=""/>
      </v:shape>
    </w:pict>
  </w:numPicBullet>
  <w:numPicBullet w:numPicBulletId="3">
    <w:pict>
      <v:shape id="_x0000_i1029" type="#_x0000_t75" style="width:47.25pt;height:45pt;visibility:visible;mso-wrap-style:square" o:bullet="t">
        <v:imagedata r:id="rId4" o:title=""/>
      </v:shape>
    </w:pict>
  </w:numPicBullet>
  <w:numPicBullet w:numPicBulletId="4">
    <w:pict>
      <v:shape id="_x0000_i1030" type="#_x0000_t75" style="width:48pt;height:45pt;visibility:visible;mso-wrap-style:square" o:bullet="t">
        <v:imagedata r:id="rId5" o:title=""/>
      </v:shape>
    </w:pict>
  </w:numPicBullet>
  <w:numPicBullet w:numPicBulletId="5">
    <w:pict>
      <v:shape id="_x0000_i1031" type="#_x0000_t75" style="width:48pt;height:44.25pt;visibility:visible;mso-wrap-style:square" o:bullet="t">
        <v:imagedata r:id="rId6" o:title=""/>
      </v:shape>
    </w:pict>
  </w:numPicBullet>
  <w:numPicBullet w:numPicBulletId="6">
    <w:pict>
      <v:shape id="_x0000_i1032" type="#_x0000_t75" style="width:47.25pt;height:44.25pt;visibility:visible;mso-wrap-style:square" o:bullet="t">
        <v:imagedata r:id="rId7" o:title=""/>
      </v:shape>
    </w:pict>
  </w:numPicBullet>
  <w:abstractNum w:abstractNumId="0" w15:restartNumberingAfterBreak="0">
    <w:nsid w:val="FFFFFF7C"/>
    <w:multiLevelType w:val="singleLevel"/>
    <w:tmpl w:val="D65E8938"/>
    <w:lvl w:ilvl="0">
      <w:start w:val="1"/>
      <w:numFmt w:val="decimal"/>
      <w:lvlText w:val="%1."/>
      <w:lvlJc w:val="left"/>
      <w:pPr>
        <w:tabs>
          <w:tab w:val="num" w:pos="12125"/>
        </w:tabs>
        <w:ind w:left="12125" w:hanging="360"/>
      </w:pPr>
    </w:lvl>
  </w:abstractNum>
  <w:abstractNum w:abstractNumId="1" w15:restartNumberingAfterBreak="0">
    <w:nsid w:val="FFFFFF7F"/>
    <w:multiLevelType w:val="singleLevel"/>
    <w:tmpl w:val="5BC61706"/>
    <w:lvl w:ilvl="0">
      <w:start w:val="1"/>
      <w:numFmt w:val="lowerLetter"/>
      <w:pStyle w:val="ListNumber2"/>
      <w:lvlText w:val="%1."/>
      <w:lvlJc w:val="left"/>
      <w:pPr>
        <w:ind w:left="360" w:hanging="360"/>
      </w:pPr>
      <w:rPr>
        <w:rFonts w:ascii="Arial" w:eastAsia="Times New Roman" w:hAnsi="Arial" w:cs="Times New Roman"/>
      </w:rPr>
    </w:lvl>
  </w:abstractNum>
  <w:abstractNum w:abstractNumId="2" w15:restartNumberingAfterBreak="0">
    <w:nsid w:val="FFFFFF83"/>
    <w:multiLevelType w:val="singleLevel"/>
    <w:tmpl w:val="3E303AD8"/>
    <w:lvl w:ilvl="0">
      <w:start w:val="1"/>
      <w:numFmt w:val="bullet"/>
      <w:lvlText w:val="&gt;"/>
      <w:lvlJc w:val="left"/>
      <w:pPr>
        <w:tabs>
          <w:tab w:val="num" w:pos="845"/>
        </w:tabs>
        <w:ind w:left="845" w:hanging="544"/>
      </w:pPr>
      <w:rPr>
        <w:rFonts w:ascii="HelveticaNeueLT Std Lt" w:hAnsi="HelveticaNeueLT Std Lt" w:hint="default"/>
        <w:sz w:val="20"/>
      </w:rPr>
    </w:lvl>
  </w:abstractNum>
  <w:abstractNum w:abstractNumId="3" w15:restartNumberingAfterBreak="0">
    <w:nsid w:val="FFFFFF88"/>
    <w:multiLevelType w:val="singleLevel"/>
    <w:tmpl w:val="3FB466DC"/>
    <w:lvl w:ilvl="0">
      <w:start w:val="1"/>
      <w:numFmt w:val="decimal"/>
      <w:pStyle w:val="ListNumber"/>
      <w:lvlText w:val="%1."/>
      <w:lvlJc w:val="left"/>
      <w:pPr>
        <w:ind w:left="360" w:hanging="360"/>
      </w:pPr>
      <w:rPr>
        <w:rFonts w:hint="default"/>
        <w:caps/>
        <w:sz w:val="20"/>
      </w:rPr>
    </w:lvl>
  </w:abstractNum>
  <w:abstractNum w:abstractNumId="4" w15:restartNumberingAfterBreak="0">
    <w:nsid w:val="FFFFFF89"/>
    <w:multiLevelType w:val="singleLevel"/>
    <w:tmpl w:val="2AE29834"/>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5" w15:restartNumberingAfterBreak="0">
    <w:nsid w:val="00100CFC"/>
    <w:multiLevelType w:val="hybridMultilevel"/>
    <w:tmpl w:val="B4E428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26504F6"/>
    <w:multiLevelType w:val="hybridMultilevel"/>
    <w:tmpl w:val="FC1C44EA"/>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7" w15:restartNumberingAfterBreak="0">
    <w:nsid w:val="0A4767E4"/>
    <w:multiLevelType w:val="hybridMultilevel"/>
    <w:tmpl w:val="07C69E62"/>
    <w:lvl w:ilvl="0" w:tplc="DD4E8022">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0FA602FE"/>
    <w:multiLevelType w:val="hybridMultilevel"/>
    <w:tmpl w:val="E23EF2C0"/>
    <w:lvl w:ilvl="0" w:tplc="45B6B8E0">
      <w:start w:val="1"/>
      <w:numFmt w:val="bullet"/>
      <w:lvlText w:val=""/>
      <w:lvlPicBulletId w:val="0"/>
      <w:lvlJc w:val="left"/>
      <w:pPr>
        <w:tabs>
          <w:tab w:val="num" w:pos="720"/>
        </w:tabs>
        <w:ind w:left="720" w:hanging="360"/>
      </w:pPr>
      <w:rPr>
        <w:rFonts w:ascii="Symbol" w:hAnsi="Symbol" w:hint="default"/>
      </w:rPr>
    </w:lvl>
    <w:lvl w:ilvl="1" w:tplc="F91C6258" w:tentative="1">
      <w:start w:val="1"/>
      <w:numFmt w:val="bullet"/>
      <w:lvlText w:val=""/>
      <w:lvlJc w:val="left"/>
      <w:pPr>
        <w:tabs>
          <w:tab w:val="num" w:pos="1440"/>
        </w:tabs>
        <w:ind w:left="1440" w:hanging="360"/>
      </w:pPr>
      <w:rPr>
        <w:rFonts w:ascii="Symbol" w:hAnsi="Symbol" w:hint="default"/>
      </w:rPr>
    </w:lvl>
    <w:lvl w:ilvl="2" w:tplc="451E0D78" w:tentative="1">
      <w:start w:val="1"/>
      <w:numFmt w:val="bullet"/>
      <w:lvlText w:val=""/>
      <w:lvlJc w:val="left"/>
      <w:pPr>
        <w:tabs>
          <w:tab w:val="num" w:pos="2160"/>
        </w:tabs>
        <w:ind w:left="2160" w:hanging="360"/>
      </w:pPr>
      <w:rPr>
        <w:rFonts w:ascii="Symbol" w:hAnsi="Symbol" w:hint="default"/>
      </w:rPr>
    </w:lvl>
    <w:lvl w:ilvl="3" w:tplc="3064C9EC" w:tentative="1">
      <w:start w:val="1"/>
      <w:numFmt w:val="bullet"/>
      <w:lvlText w:val=""/>
      <w:lvlJc w:val="left"/>
      <w:pPr>
        <w:tabs>
          <w:tab w:val="num" w:pos="2880"/>
        </w:tabs>
        <w:ind w:left="2880" w:hanging="360"/>
      </w:pPr>
      <w:rPr>
        <w:rFonts w:ascii="Symbol" w:hAnsi="Symbol" w:hint="default"/>
      </w:rPr>
    </w:lvl>
    <w:lvl w:ilvl="4" w:tplc="EEC47696" w:tentative="1">
      <w:start w:val="1"/>
      <w:numFmt w:val="bullet"/>
      <w:lvlText w:val=""/>
      <w:lvlJc w:val="left"/>
      <w:pPr>
        <w:tabs>
          <w:tab w:val="num" w:pos="3600"/>
        </w:tabs>
        <w:ind w:left="3600" w:hanging="360"/>
      </w:pPr>
      <w:rPr>
        <w:rFonts w:ascii="Symbol" w:hAnsi="Symbol" w:hint="default"/>
      </w:rPr>
    </w:lvl>
    <w:lvl w:ilvl="5" w:tplc="C65C564A" w:tentative="1">
      <w:start w:val="1"/>
      <w:numFmt w:val="bullet"/>
      <w:lvlText w:val=""/>
      <w:lvlJc w:val="left"/>
      <w:pPr>
        <w:tabs>
          <w:tab w:val="num" w:pos="4320"/>
        </w:tabs>
        <w:ind w:left="4320" w:hanging="360"/>
      </w:pPr>
      <w:rPr>
        <w:rFonts w:ascii="Symbol" w:hAnsi="Symbol" w:hint="default"/>
      </w:rPr>
    </w:lvl>
    <w:lvl w:ilvl="6" w:tplc="B9208B50" w:tentative="1">
      <w:start w:val="1"/>
      <w:numFmt w:val="bullet"/>
      <w:lvlText w:val=""/>
      <w:lvlJc w:val="left"/>
      <w:pPr>
        <w:tabs>
          <w:tab w:val="num" w:pos="5040"/>
        </w:tabs>
        <w:ind w:left="5040" w:hanging="360"/>
      </w:pPr>
      <w:rPr>
        <w:rFonts w:ascii="Symbol" w:hAnsi="Symbol" w:hint="default"/>
      </w:rPr>
    </w:lvl>
    <w:lvl w:ilvl="7" w:tplc="10A633F8" w:tentative="1">
      <w:start w:val="1"/>
      <w:numFmt w:val="bullet"/>
      <w:lvlText w:val=""/>
      <w:lvlJc w:val="left"/>
      <w:pPr>
        <w:tabs>
          <w:tab w:val="num" w:pos="5760"/>
        </w:tabs>
        <w:ind w:left="5760" w:hanging="360"/>
      </w:pPr>
      <w:rPr>
        <w:rFonts w:ascii="Symbol" w:hAnsi="Symbol" w:hint="default"/>
      </w:rPr>
    </w:lvl>
    <w:lvl w:ilvl="8" w:tplc="1B6A04E4" w:tentative="1">
      <w:start w:val="1"/>
      <w:numFmt w:val="bullet"/>
      <w:lvlText w:val=""/>
      <w:lvlJc w:val="left"/>
      <w:pPr>
        <w:tabs>
          <w:tab w:val="num" w:pos="6480"/>
        </w:tabs>
        <w:ind w:left="6480" w:hanging="360"/>
      </w:pPr>
      <w:rPr>
        <w:rFonts w:ascii="Symbol" w:hAnsi="Symbol" w:hint="default"/>
      </w:rPr>
    </w:lvl>
  </w:abstractNum>
  <w:abstractNum w:abstractNumId="9" w15:restartNumberingAfterBreak="0">
    <w:nsid w:val="13960800"/>
    <w:multiLevelType w:val="hybridMultilevel"/>
    <w:tmpl w:val="A138566A"/>
    <w:lvl w:ilvl="0" w:tplc="691CE742">
      <w:start w:val="1"/>
      <w:numFmt w:val="decimal"/>
      <w:lvlText w:val="%1."/>
      <w:lvlJc w:val="left"/>
      <w:pPr>
        <w:ind w:left="644" w:hanging="360"/>
      </w:pPr>
      <w:rPr>
        <w:b/>
      </w:rPr>
    </w:lvl>
    <w:lvl w:ilvl="1" w:tplc="0C090019">
      <w:start w:val="1"/>
      <w:numFmt w:val="lowerLetter"/>
      <w:lvlText w:val="%2."/>
      <w:lvlJc w:val="left"/>
      <w:pPr>
        <w:ind w:left="1364" w:hanging="360"/>
      </w:pPr>
    </w:lvl>
    <w:lvl w:ilvl="2" w:tplc="0C09001B">
      <w:start w:val="1"/>
      <w:numFmt w:val="lowerRoman"/>
      <w:lvlText w:val="%3."/>
      <w:lvlJc w:val="right"/>
      <w:pPr>
        <w:ind w:left="2084" w:hanging="180"/>
      </w:pPr>
    </w:lvl>
    <w:lvl w:ilvl="3" w:tplc="0C09000F">
      <w:start w:val="1"/>
      <w:numFmt w:val="decimal"/>
      <w:lvlText w:val="%4."/>
      <w:lvlJc w:val="left"/>
      <w:pPr>
        <w:ind w:left="2804" w:hanging="360"/>
      </w:pPr>
    </w:lvl>
    <w:lvl w:ilvl="4" w:tplc="0C090019">
      <w:start w:val="1"/>
      <w:numFmt w:val="lowerLetter"/>
      <w:lvlText w:val="%5."/>
      <w:lvlJc w:val="left"/>
      <w:pPr>
        <w:ind w:left="3524" w:hanging="360"/>
      </w:pPr>
    </w:lvl>
    <w:lvl w:ilvl="5" w:tplc="0C09001B">
      <w:start w:val="1"/>
      <w:numFmt w:val="lowerRoman"/>
      <w:lvlText w:val="%6."/>
      <w:lvlJc w:val="right"/>
      <w:pPr>
        <w:ind w:left="4244" w:hanging="180"/>
      </w:pPr>
    </w:lvl>
    <w:lvl w:ilvl="6" w:tplc="0C09000F">
      <w:start w:val="1"/>
      <w:numFmt w:val="decimal"/>
      <w:lvlText w:val="%7."/>
      <w:lvlJc w:val="left"/>
      <w:pPr>
        <w:ind w:left="4964" w:hanging="360"/>
      </w:pPr>
    </w:lvl>
    <w:lvl w:ilvl="7" w:tplc="0C090019">
      <w:start w:val="1"/>
      <w:numFmt w:val="lowerLetter"/>
      <w:lvlText w:val="%8."/>
      <w:lvlJc w:val="left"/>
      <w:pPr>
        <w:ind w:left="5684" w:hanging="360"/>
      </w:pPr>
    </w:lvl>
    <w:lvl w:ilvl="8" w:tplc="0C09001B">
      <w:start w:val="1"/>
      <w:numFmt w:val="lowerRoman"/>
      <w:lvlText w:val="%9."/>
      <w:lvlJc w:val="right"/>
      <w:pPr>
        <w:ind w:left="6404" w:hanging="180"/>
      </w:pPr>
    </w:lvl>
  </w:abstractNum>
  <w:abstractNum w:abstractNumId="10" w15:restartNumberingAfterBreak="0">
    <w:nsid w:val="18430604"/>
    <w:multiLevelType w:val="multilevel"/>
    <w:tmpl w:val="06C2A9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A05712C"/>
    <w:multiLevelType w:val="hybridMultilevel"/>
    <w:tmpl w:val="0F86D9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1CFF2BA8"/>
    <w:multiLevelType w:val="multilevel"/>
    <w:tmpl w:val="11C63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E722425"/>
    <w:multiLevelType w:val="hybridMultilevel"/>
    <w:tmpl w:val="A8F2E28A"/>
    <w:lvl w:ilvl="0" w:tplc="0C090001">
      <w:start w:val="1"/>
      <w:numFmt w:val="bullet"/>
      <w:lvlText w:val=""/>
      <w:lvlJc w:val="left"/>
      <w:pPr>
        <w:ind w:left="775" w:hanging="360"/>
      </w:pPr>
      <w:rPr>
        <w:rFonts w:ascii="Symbol" w:hAnsi="Symbol" w:hint="default"/>
      </w:rPr>
    </w:lvl>
    <w:lvl w:ilvl="1" w:tplc="0C090003" w:tentative="1">
      <w:start w:val="1"/>
      <w:numFmt w:val="bullet"/>
      <w:lvlText w:val="o"/>
      <w:lvlJc w:val="left"/>
      <w:pPr>
        <w:ind w:left="1495" w:hanging="360"/>
      </w:pPr>
      <w:rPr>
        <w:rFonts w:ascii="Courier New" w:hAnsi="Courier New" w:cs="Courier New" w:hint="default"/>
      </w:rPr>
    </w:lvl>
    <w:lvl w:ilvl="2" w:tplc="0C090005" w:tentative="1">
      <w:start w:val="1"/>
      <w:numFmt w:val="bullet"/>
      <w:lvlText w:val=""/>
      <w:lvlJc w:val="left"/>
      <w:pPr>
        <w:ind w:left="2215" w:hanging="360"/>
      </w:pPr>
      <w:rPr>
        <w:rFonts w:ascii="Wingdings" w:hAnsi="Wingdings" w:hint="default"/>
      </w:rPr>
    </w:lvl>
    <w:lvl w:ilvl="3" w:tplc="0C090001" w:tentative="1">
      <w:start w:val="1"/>
      <w:numFmt w:val="bullet"/>
      <w:lvlText w:val=""/>
      <w:lvlJc w:val="left"/>
      <w:pPr>
        <w:ind w:left="2935" w:hanging="360"/>
      </w:pPr>
      <w:rPr>
        <w:rFonts w:ascii="Symbol" w:hAnsi="Symbol" w:hint="default"/>
      </w:rPr>
    </w:lvl>
    <w:lvl w:ilvl="4" w:tplc="0C090003" w:tentative="1">
      <w:start w:val="1"/>
      <w:numFmt w:val="bullet"/>
      <w:lvlText w:val="o"/>
      <w:lvlJc w:val="left"/>
      <w:pPr>
        <w:ind w:left="3655" w:hanging="360"/>
      </w:pPr>
      <w:rPr>
        <w:rFonts w:ascii="Courier New" w:hAnsi="Courier New" w:cs="Courier New" w:hint="default"/>
      </w:rPr>
    </w:lvl>
    <w:lvl w:ilvl="5" w:tplc="0C090005" w:tentative="1">
      <w:start w:val="1"/>
      <w:numFmt w:val="bullet"/>
      <w:lvlText w:val=""/>
      <w:lvlJc w:val="left"/>
      <w:pPr>
        <w:ind w:left="4375" w:hanging="360"/>
      </w:pPr>
      <w:rPr>
        <w:rFonts w:ascii="Wingdings" w:hAnsi="Wingdings" w:hint="default"/>
      </w:rPr>
    </w:lvl>
    <w:lvl w:ilvl="6" w:tplc="0C090001" w:tentative="1">
      <w:start w:val="1"/>
      <w:numFmt w:val="bullet"/>
      <w:lvlText w:val=""/>
      <w:lvlJc w:val="left"/>
      <w:pPr>
        <w:ind w:left="5095" w:hanging="360"/>
      </w:pPr>
      <w:rPr>
        <w:rFonts w:ascii="Symbol" w:hAnsi="Symbol" w:hint="default"/>
      </w:rPr>
    </w:lvl>
    <w:lvl w:ilvl="7" w:tplc="0C090003" w:tentative="1">
      <w:start w:val="1"/>
      <w:numFmt w:val="bullet"/>
      <w:lvlText w:val="o"/>
      <w:lvlJc w:val="left"/>
      <w:pPr>
        <w:ind w:left="5815" w:hanging="360"/>
      </w:pPr>
      <w:rPr>
        <w:rFonts w:ascii="Courier New" w:hAnsi="Courier New" w:cs="Courier New" w:hint="default"/>
      </w:rPr>
    </w:lvl>
    <w:lvl w:ilvl="8" w:tplc="0C090005" w:tentative="1">
      <w:start w:val="1"/>
      <w:numFmt w:val="bullet"/>
      <w:lvlText w:val=""/>
      <w:lvlJc w:val="left"/>
      <w:pPr>
        <w:ind w:left="6535" w:hanging="360"/>
      </w:pPr>
      <w:rPr>
        <w:rFonts w:ascii="Wingdings" w:hAnsi="Wingdings" w:hint="default"/>
      </w:rPr>
    </w:lvl>
  </w:abstractNum>
  <w:abstractNum w:abstractNumId="14" w15:restartNumberingAfterBreak="0">
    <w:nsid w:val="1EB13171"/>
    <w:multiLevelType w:val="hybridMultilevel"/>
    <w:tmpl w:val="F52E6BB8"/>
    <w:lvl w:ilvl="0" w:tplc="44EEC084">
      <w:start w:val="1"/>
      <w:numFmt w:val="bullet"/>
      <w:lvlText w:val="&gt;"/>
      <w:lvlJc w:val="left"/>
      <w:pPr>
        <w:ind w:left="360" w:hanging="360"/>
      </w:pPr>
      <w:rPr>
        <w:rFonts w:ascii="HelveticaNeueLT Std" w:hAnsi="HelveticaNeueLT Std"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5" w15:restartNumberingAfterBreak="0">
    <w:nsid w:val="222F2D20"/>
    <w:multiLevelType w:val="hybridMultilevel"/>
    <w:tmpl w:val="1AC69F2C"/>
    <w:lvl w:ilvl="0" w:tplc="8DEAB1F2">
      <w:start w:val="1"/>
      <w:numFmt w:val="bullet"/>
      <w:pStyle w:val="Bulletlevel1"/>
      <w:lvlText w:val=""/>
      <w:lvlJc w:val="left"/>
      <w:pPr>
        <w:ind w:left="360" w:hanging="360"/>
      </w:pPr>
      <w:rPr>
        <w:rFonts w:ascii="Symbol" w:hAnsi="Symbol" w:cs="Calibri" w:hint="default"/>
        <w:bCs w:val="0"/>
        <w:iCs w:val="0"/>
        <w:caps w:val="0"/>
        <w:strike w:val="0"/>
        <w:dstrike w:val="0"/>
        <w:vanish w:val="0"/>
        <w:color w:val="0F293A"/>
        <w:sz w:val="22"/>
        <w:szCs w:val="22"/>
        <w:vertAlign w:val="baseline"/>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26F11EB6"/>
    <w:multiLevelType w:val="hybridMultilevel"/>
    <w:tmpl w:val="B06CBF0A"/>
    <w:lvl w:ilvl="0" w:tplc="3E303AD8">
      <w:start w:val="1"/>
      <w:numFmt w:val="bullet"/>
      <w:lvlText w:val="&gt;"/>
      <w:lvlJc w:val="left"/>
      <w:pPr>
        <w:ind w:left="720" w:hanging="360"/>
      </w:pPr>
      <w:rPr>
        <w:rFonts w:ascii="HelveticaNeueLT Std Lt" w:hAnsi="HelveticaNeueLT Std Lt" w:hint="default"/>
        <w:sz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281D1869"/>
    <w:multiLevelType w:val="hybridMultilevel"/>
    <w:tmpl w:val="44CCDBB4"/>
    <w:lvl w:ilvl="0" w:tplc="B4DE576E">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299B507A"/>
    <w:multiLevelType w:val="hybridMultilevel"/>
    <w:tmpl w:val="54A01860"/>
    <w:lvl w:ilvl="0" w:tplc="3E303AD8">
      <w:start w:val="1"/>
      <w:numFmt w:val="bullet"/>
      <w:lvlText w:val="&gt;"/>
      <w:lvlJc w:val="left"/>
      <w:pPr>
        <w:ind w:left="720" w:hanging="360"/>
      </w:pPr>
      <w:rPr>
        <w:rFonts w:ascii="HelveticaNeueLT Std Lt" w:hAnsi="HelveticaNeueLT Std Lt" w:hint="default"/>
        <w:sz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2C7C4DE8"/>
    <w:multiLevelType w:val="hybridMultilevel"/>
    <w:tmpl w:val="ED2A218E"/>
    <w:lvl w:ilvl="0" w:tplc="55F2986E">
      <w:start w:val="1"/>
      <w:numFmt w:val="bullet"/>
      <w:lvlText w:val=""/>
      <w:lvlJc w:val="left"/>
      <w:pPr>
        <w:ind w:left="360" w:hanging="360"/>
      </w:pPr>
      <w:rPr>
        <w:rFonts w:ascii="Symbol" w:hAnsi="Symbol" w:hint="default"/>
      </w:rPr>
    </w:lvl>
    <w:lvl w:ilvl="1" w:tplc="55F2986E">
      <w:start w:val="1"/>
      <w:numFmt w:val="bullet"/>
      <w:lvlText w:val=""/>
      <w:lvlJc w:val="left"/>
      <w:pPr>
        <w:ind w:left="1080" w:hanging="360"/>
      </w:pPr>
      <w:rPr>
        <w:rFonts w:ascii="Symbol" w:hAnsi="Symbol"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0"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21" w15:restartNumberingAfterBreak="0">
    <w:nsid w:val="2F5A5080"/>
    <w:multiLevelType w:val="hybridMultilevel"/>
    <w:tmpl w:val="24705096"/>
    <w:lvl w:ilvl="0" w:tplc="2668C79A">
      <w:start w:val="1"/>
      <w:numFmt w:val="bullet"/>
      <w:pStyle w:val="ACMABulletLevel1"/>
      <w:lvlText w:val="●"/>
      <w:lvlJc w:val="left"/>
      <w:pPr>
        <w:tabs>
          <w:tab w:val="num" w:pos="-31680"/>
        </w:tabs>
        <w:ind w:left="357" w:hanging="357"/>
      </w:pPr>
      <w:rPr>
        <w:rFonts w:ascii="Times New Roman" w:hAnsi="Times New Roman" w:cs="Times New Roman" w:hint="default"/>
      </w:rPr>
    </w:lvl>
    <w:lvl w:ilvl="1" w:tplc="04090003" w:tentative="1">
      <w:start w:val="1"/>
      <w:numFmt w:val="bullet"/>
      <w:lvlText w:val="o"/>
      <w:lvlJc w:val="left"/>
      <w:pPr>
        <w:tabs>
          <w:tab w:val="num" w:pos="1728"/>
        </w:tabs>
        <w:ind w:left="1728" w:hanging="360"/>
      </w:pPr>
      <w:rPr>
        <w:rFonts w:ascii="Courier New" w:hAnsi="Courier New" w:hint="default"/>
      </w:rPr>
    </w:lvl>
    <w:lvl w:ilvl="2" w:tplc="04090005" w:tentative="1">
      <w:start w:val="1"/>
      <w:numFmt w:val="bullet"/>
      <w:lvlText w:val=""/>
      <w:lvlJc w:val="left"/>
      <w:pPr>
        <w:tabs>
          <w:tab w:val="num" w:pos="2448"/>
        </w:tabs>
        <w:ind w:left="2448" w:hanging="360"/>
      </w:pPr>
      <w:rPr>
        <w:rFonts w:ascii="Wingdings" w:hAnsi="Wingdings" w:hint="default"/>
      </w:rPr>
    </w:lvl>
    <w:lvl w:ilvl="3" w:tplc="04090001" w:tentative="1">
      <w:start w:val="1"/>
      <w:numFmt w:val="bullet"/>
      <w:lvlText w:val=""/>
      <w:lvlJc w:val="left"/>
      <w:pPr>
        <w:tabs>
          <w:tab w:val="num" w:pos="3168"/>
        </w:tabs>
        <w:ind w:left="3168" w:hanging="360"/>
      </w:pPr>
      <w:rPr>
        <w:rFonts w:ascii="Symbol" w:hAnsi="Symbol" w:hint="default"/>
      </w:rPr>
    </w:lvl>
    <w:lvl w:ilvl="4" w:tplc="04090003" w:tentative="1">
      <w:start w:val="1"/>
      <w:numFmt w:val="bullet"/>
      <w:lvlText w:val="o"/>
      <w:lvlJc w:val="left"/>
      <w:pPr>
        <w:tabs>
          <w:tab w:val="num" w:pos="3888"/>
        </w:tabs>
        <w:ind w:left="3888" w:hanging="360"/>
      </w:pPr>
      <w:rPr>
        <w:rFonts w:ascii="Courier New" w:hAnsi="Courier New" w:hint="default"/>
      </w:rPr>
    </w:lvl>
    <w:lvl w:ilvl="5" w:tplc="04090005" w:tentative="1">
      <w:start w:val="1"/>
      <w:numFmt w:val="bullet"/>
      <w:lvlText w:val=""/>
      <w:lvlJc w:val="left"/>
      <w:pPr>
        <w:tabs>
          <w:tab w:val="num" w:pos="4608"/>
        </w:tabs>
        <w:ind w:left="4608" w:hanging="360"/>
      </w:pPr>
      <w:rPr>
        <w:rFonts w:ascii="Wingdings" w:hAnsi="Wingdings" w:hint="default"/>
      </w:rPr>
    </w:lvl>
    <w:lvl w:ilvl="6" w:tplc="04090001" w:tentative="1">
      <w:start w:val="1"/>
      <w:numFmt w:val="bullet"/>
      <w:lvlText w:val=""/>
      <w:lvlJc w:val="left"/>
      <w:pPr>
        <w:tabs>
          <w:tab w:val="num" w:pos="5328"/>
        </w:tabs>
        <w:ind w:left="5328" w:hanging="360"/>
      </w:pPr>
      <w:rPr>
        <w:rFonts w:ascii="Symbol" w:hAnsi="Symbol" w:hint="default"/>
      </w:rPr>
    </w:lvl>
    <w:lvl w:ilvl="7" w:tplc="04090003" w:tentative="1">
      <w:start w:val="1"/>
      <w:numFmt w:val="bullet"/>
      <w:lvlText w:val="o"/>
      <w:lvlJc w:val="left"/>
      <w:pPr>
        <w:tabs>
          <w:tab w:val="num" w:pos="6048"/>
        </w:tabs>
        <w:ind w:left="6048" w:hanging="360"/>
      </w:pPr>
      <w:rPr>
        <w:rFonts w:ascii="Courier New" w:hAnsi="Courier New" w:hint="default"/>
      </w:rPr>
    </w:lvl>
    <w:lvl w:ilvl="8" w:tplc="04090005" w:tentative="1">
      <w:start w:val="1"/>
      <w:numFmt w:val="bullet"/>
      <w:lvlText w:val=""/>
      <w:lvlJc w:val="left"/>
      <w:pPr>
        <w:tabs>
          <w:tab w:val="num" w:pos="6768"/>
        </w:tabs>
        <w:ind w:left="6768" w:hanging="360"/>
      </w:pPr>
      <w:rPr>
        <w:rFonts w:ascii="Wingdings" w:hAnsi="Wingdings" w:hint="default"/>
      </w:rPr>
    </w:lvl>
  </w:abstractNum>
  <w:abstractNum w:abstractNumId="22" w15:restartNumberingAfterBreak="0">
    <w:nsid w:val="2FFC04A2"/>
    <w:multiLevelType w:val="hybridMultilevel"/>
    <w:tmpl w:val="EA7ADAC6"/>
    <w:lvl w:ilvl="0" w:tplc="3E303AD8">
      <w:start w:val="1"/>
      <w:numFmt w:val="bullet"/>
      <w:lvlText w:val="&gt;"/>
      <w:lvlJc w:val="left"/>
      <w:pPr>
        <w:ind w:left="720" w:hanging="360"/>
      </w:pPr>
      <w:rPr>
        <w:rFonts w:ascii="HelveticaNeueLT Std Lt" w:hAnsi="HelveticaNeueLT Std Lt" w:hint="default"/>
        <w:sz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304C1825"/>
    <w:multiLevelType w:val="hybridMultilevel"/>
    <w:tmpl w:val="FFE496A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4" w15:restartNumberingAfterBreak="0">
    <w:nsid w:val="323254ED"/>
    <w:multiLevelType w:val="hybridMultilevel"/>
    <w:tmpl w:val="BE3E036E"/>
    <w:lvl w:ilvl="0" w:tplc="D0AAC94C">
      <w:start w:val="1"/>
      <w:numFmt w:val="bullet"/>
      <w:lvlText w:val=""/>
      <w:lvlPicBulletId w:val="1"/>
      <w:lvlJc w:val="left"/>
      <w:pPr>
        <w:tabs>
          <w:tab w:val="num" w:pos="720"/>
        </w:tabs>
        <w:ind w:left="720" w:hanging="360"/>
      </w:pPr>
      <w:rPr>
        <w:rFonts w:ascii="Symbol" w:hAnsi="Symbol" w:hint="default"/>
      </w:rPr>
    </w:lvl>
    <w:lvl w:ilvl="1" w:tplc="08668CCA" w:tentative="1">
      <w:start w:val="1"/>
      <w:numFmt w:val="bullet"/>
      <w:lvlText w:val=""/>
      <w:lvlJc w:val="left"/>
      <w:pPr>
        <w:tabs>
          <w:tab w:val="num" w:pos="1440"/>
        </w:tabs>
        <w:ind w:left="1440" w:hanging="360"/>
      </w:pPr>
      <w:rPr>
        <w:rFonts w:ascii="Symbol" w:hAnsi="Symbol" w:hint="default"/>
      </w:rPr>
    </w:lvl>
    <w:lvl w:ilvl="2" w:tplc="ADE8370E" w:tentative="1">
      <w:start w:val="1"/>
      <w:numFmt w:val="bullet"/>
      <w:lvlText w:val=""/>
      <w:lvlJc w:val="left"/>
      <w:pPr>
        <w:tabs>
          <w:tab w:val="num" w:pos="2160"/>
        </w:tabs>
        <w:ind w:left="2160" w:hanging="360"/>
      </w:pPr>
      <w:rPr>
        <w:rFonts w:ascii="Symbol" w:hAnsi="Symbol" w:hint="default"/>
      </w:rPr>
    </w:lvl>
    <w:lvl w:ilvl="3" w:tplc="86702092" w:tentative="1">
      <w:start w:val="1"/>
      <w:numFmt w:val="bullet"/>
      <w:lvlText w:val=""/>
      <w:lvlJc w:val="left"/>
      <w:pPr>
        <w:tabs>
          <w:tab w:val="num" w:pos="2880"/>
        </w:tabs>
        <w:ind w:left="2880" w:hanging="360"/>
      </w:pPr>
      <w:rPr>
        <w:rFonts w:ascii="Symbol" w:hAnsi="Symbol" w:hint="default"/>
      </w:rPr>
    </w:lvl>
    <w:lvl w:ilvl="4" w:tplc="CAE2CFD0" w:tentative="1">
      <w:start w:val="1"/>
      <w:numFmt w:val="bullet"/>
      <w:lvlText w:val=""/>
      <w:lvlJc w:val="left"/>
      <w:pPr>
        <w:tabs>
          <w:tab w:val="num" w:pos="3600"/>
        </w:tabs>
        <w:ind w:left="3600" w:hanging="360"/>
      </w:pPr>
      <w:rPr>
        <w:rFonts w:ascii="Symbol" w:hAnsi="Symbol" w:hint="default"/>
      </w:rPr>
    </w:lvl>
    <w:lvl w:ilvl="5" w:tplc="D850F21A" w:tentative="1">
      <w:start w:val="1"/>
      <w:numFmt w:val="bullet"/>
      <w:lvlText w:val=""/>
      <w:lvlJc w:val="left"/>
      <w:pPr>
        <w:tabs>
          <w:tab w:val="num" w:pos="4320"/>
        </w:tabs>
        <w:ind w:left="4320" w:hanging="360"/>
      </w:pPr>
      <w:rPr>
        <w:rFonts w:ascii="Symbol" w:hAnsi="Symbol" w:hint="default"/>
      </w:rPr>
    </w:lvl>
    <w:lvl w:ilvl="6" w:tplc="6554D772" w:tentative="1">
      <w:start w:val="1"/>
      <w:numFmt w:val="bullet"/>
      <w:lvlText w:val=""/>
      <w:lvlJc w:val="left"/>
      <w:pPr>
        <w:tabs>
          <w:tab w:val="num" w:pos="5040"/>
        </w:tabs>
        <w:ind w:left="5040" w:hanging="360"/>
      </w:pPr>
      <w:rPr>
        <w:rFonts w:ascii="Symbol" w:hAnsi="Symbol" w:hint="default"/>
      </w:rPr>
    </w:lvl>
    <w:lvl w:ilvl="7" w:tplc="BDF4B4EA" w:tentative="1">
      <w:start w:val="1"/>
      <w:numFmt w:val="bullet"/>
      <w:lvlText w:val=""/>
      <w:lvlJc w:val="left"/>
      <w:pPr>
        <w:tabs>
          <w:tab w:val="num" w:pos="5760"/>
        </w:tabs>
        <w:ind w:left="5760" w:hanging="360"/>
      </w:pPr>
      <w:rPr>
        <w:rFonts w:ascii="Symbol" w:hAnsi="Symbol" w:hint="default"/>
      </w:rPr>
    </w:lvl>
    <w:lvl w:ilvl="8" w:tplc="FEE40804" w:tentative="1">
      <w:start w:val="1"/>
      <w:numFmt w:val="bullet"/>
      <w:lvlText w:val=""/>
      <w:lvlJc w:val="left"/>
      <w:pPr>
        <w:tabs>
          <w:tab w:val="num" w:pos="6480"/>
        </w:tabs>
        <w:ind w:left="6480" w:hanging="360"/>
      </w:pPr>
      <w:rPr>
        <w:rFonts w:ascii="Symbol" w:hAnsi="Symbol" w:hint="default"/>
      </w:rPr>
    </w:lvl>
  </w:abstractNum>
  <w:abstractNum w:abstractNumId="25" w15:restartNumberingAfterBreak="0">
    <w:nsid w:val="33EC11EE"/>
    <w:multiLevelType w:val="hybridMultilevel"/>
    <w:tmpl w:val="1DD6FDD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34FD1C68"/>
    <w:multiLevelType w:val="hybridMultilevel"/>
    <w:tmpl w:val="051EB0BC"/>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27" w15:restartNumberingAfterBreak="0">
    <w:nsid w:val="35460525"/>
    <w:multiLevelType w:val="hybridMultilevel"/>
    <w:tmpl w:val="1716195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8" w15:restartNumberingAfterBreak="0">
    <w:nsid w:val="37020905"/>
    <w:multiLevelType w:val="hybridMultilevel"/>
    <w:tmpl w:val="FF889C6C"/>
    <w:lvl w:ilvl="0" w:tplc="6BE0D378">
      <w:start w:val="1"/>
      <w:numFmt w:val="decimal"/>
      <w:lvlText w:val="%1."/>
      <w:lvlJc w:val="left"/>
      <w:pPr>
        <w:ind w:left="360" w:hanging="360"/>
      </w:pPr>
      <w:rPr>
        <w:rFonts w:hint="default"/>
      </w:r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9" w15:restartNumberingAfterBreak="0">
    <w:nsid w:val="39E11A82"/>
    <w:multiLevelType w:val="hybridMultilevel"/>
    <w:tmpl w:val="4444360A"/>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30" w15:restartNumberingAfterBreak="0">
    <w:nsid w:val="39EA7495"/>
    <w:multiLevelType w:val="hybridMultilevel"/>
    <w:tmpl w:val="6F9078D0"/>
    <w:lvl w:ilvl="0" w:tplc="61A80806">
      <w:start w:val="1"/>
      <w:numFmt w:val="bullet"/>
      <w:lvlText w:val=""/>
      <w:lvlPicBulletId w:val="2"/>
      <w:lvlJc w:val="left"/>
      <w:pPr>
        <w:tabs>
          <w:tab w:val="num" w:pos="720"/>
        </w:tabs>
        <w:ind w:left="720" w:hanging="360"/>
      </w:pPr>
      <w:rPr>
        <w:rFonts w:ascii="Symbol" w:hAnsi="Symbol" w:hint="default"/>
      </w:rPr>
    </w:lvl>
    <w:lvl w:ilvl="1" w:tplc="383A5E84" w:tentative="1">
      <w:start w:val="1"/>
      <w:numFmt w:val="bullet"/>
      <w:lvlText w:val=""/>
      <w:lvlJc w:val="left"/>
      <w:pPr>
        <w:tabs>
          <w:tab w:val="num" w:pos="1440"/>
        </w:tabs>
        <w:ind w:left="1440" w:hanging="360"/>
      </w:pPr>
      <w:rPr>
        <w:rFonts w:ascii="Symbol" w:hAnsi="Symbol" w:hint="default"/>
      </w:rPr>
    </w:lvl>
    <w:lvl w:ilvl="2" w:tplc="5524BABA" w:tentative="1">
      <w:start w:val="1"/>
      <w:numFmt w:val="bullet"/>
      <w:lvlText w:val=""/>
      <w:lvlJc w:val="left"/>
      <w:pPr>
        <w:tabs>
          <w:tab w:val="num" w:pos="2160"/>
        </w:tabs>
        <w:ind w:left="2160" w:hanging="360"/>
      </w:pPr>
      <w:rPr>
        <w:rFonts w:ascii="Symbol" w:hAnsi="Symbol" w:hint="default"/>
      </w:rPr>
    </w:lvl>
    <w:lvl w:ilvl="3" w:tplc="133E9788" w:tentative="1">
      <w:start w:val="1"/>
      <w:numFmt w:val="bullet"/>
      <w:lvlText w:val=""/>
      <w:lvlJc w:val="left"/>
      <w:pPr>
        <w:tabs>
          <w:tab w:val="num" w:pos="2880"/>
        </w:tabs>
        <w:ind w:left="2880" w:hanging="360"/>
      </w:pPr>
      <w:rPr>
        <w:rFonts w:ascii="Symbol" w:hAnsi="Symbol" w:hint="default"/>
      </w:rPr>
    </w:lvl>
    <w:lvl w:ilvl="4" w:tplc="A6B86E04" w:tentative="1">
      <w:start w:val="1"/>
      <w:numFmt w:val="bullet"/>
      <w:lvlText w:val=""/>
      <w:lvlJc w:val="left"/>
      <w:pPr>
        <w:tabs>
          <w:tab w:val="num" w:pos="3600"/>
        </w:tabs>
        <w:ind w:left="3600" w:hanging="360"/>
      </w:pPr>
      <w:rPr>
        <w:rFonts w:ascii="Symbol" w:hAnsi="Symbol" w:hint="default"/>
      </w:rPr>
    </w:lvl>
    <w:lvl w:ilvl="5" w:tplc="0E9E4652" w:tentative="1">
      <w:start w:val="1"/>
      <w:numFmt w:val="bullet"/>
      <w:lvlText w:val=""/>
      <w:lvlJc w:val="left"/>
      <w:pPr>
        <w:tabs>
          <w:tab w:val="num" w:pos="4320"/>
        </w:tabs>
        <w:ind w:left="4320" w:hanging="360"/>
      </w:pPr>
      <w:rPr>
        <w:rFonts w:ascii="Symbol" w:hAnsi="Symbol" w:hint="default"/>
      </w:rPr>
    </w:lvl>
    <w:lvl w:ilvl="6" w:tplc="4DE6DF82" w:tentative="1">
      <w:start w:val="1"/>
      <w:numFmt w:val="bullet"/>
      <w:lvlText w:val=""/>
      <w:lvlJc w:val="left"/>
      <w:pPr>
        <w:tabs>
          <w:tab w:val="num" w:pos="5040"/>
        </w:tabs>
        <w:ind w:left="5040" w:hanging="360"/>
      </w:pPr>
      <w:rPr>
        <w:rFonts w:ascii="Symbol" w:hAnsi="Symbol" w:hint="default"/>
      </w:rPr>
    </w:lvl>
    <w:lvl w:ilvl="7" w:tplc="109444B8" w:tentative="1">
      <w:start w:val="1"/>
      <w:numFmt w:val="bullet"/>
      <w:lvlText w:val=""/>
      <w:lvlJc w:val="left"/>
      <w:pPr>
        <w:tabs>
          <w:tab w:val="num" w:pos="5760"/>
        </w:tabs>
        <w:ind w:left="5760" w:hanging="360"/>
      </w:pPr>
      <w:rPr>
        <w:rFonts w:ascii="Symbol" w:hAnsi="Symbol" w:hint="default"/>
      </w:rPr>
    </w:lvl>
    <w:lvl w:ilvl="8" w:tplc="CDF4A4E4" w:tentative="1">
      <w:start w:val="1"/>
      <w:numFmt w:val="bullet"/>
      <w:lvlText w:val=""/>
      <w:lvlJc w:val="left"/>
      <w:pPr>
        <w:tabs>
          <w:tab w:val="num" w:pos="6480"/>
        </w:tabs>
        <w:ind w:left="6480" w:hanging="360"/>
      </w:pPr>
      <w:rPr>
        <w:rFonts w:ascii="Symbol" w:hAnsi="Symbol" w:hint="default"/>
      </w:rPr>
    </w:lvl>
  </w:abstractNum>
  <w:abstractNum w:abstractNumId="31" w15:restartNumberingAfterBreak="0">
    <w:nsid w:val="3A616902"/>
    <w:multiLevelType w:val="hybridMultilevel"/>
    <w:tmpl w:val="7D8AB9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3CA42079"/>
    <w:multiLevelType w:val="hybridMultilevel"/>
    <w:tmpl w:val="3DBA5754"/>
    <w:lvl w:ilvl="0" w:tplc="44EEC084">
      <w:start w:val="1"/>
      <w:numFmt w:val="bullet"/>
      <w:lvlText w:val="&gt;"/>
      <w:lvlJc w:val="left"/>
      <w:pPr>
        <w:ind w:left="360" w:hanging="360"/>
      </w:pPr>
      <w:rPr>
        <w:rFonts w:ascii="HelveticaNeueLT Std" w:hAnsi="HelveticaNeueLT Std" w:hint="default"/>
      </w:rPr>
    </w:lvl>
    <w:lvl w:ilvl="1" w:tplc="0C090003">
      <w:start w:val="1"/>
      <w:numFmt w:val="bullet"/>
      <w:lvlText w:val="o"/>
      <w:lvlJc w:val="left"/>
      <w:pPr>
        <w:ind w:left="1080" w:hanging="360"/>
      </w:pPr>
      <w:rPr>
        <w:rFonts w:ascii="Courier New" w:hAnsi="Courier New" w:cs="Courier New" w:hint="default"/>
      </w:rPr>
    </w:lvl>
    <w:lvl w:ilvl="2" w:tplc="9FEEF850">
      <w:numFmt w:val="bullet"/>
      <w:lvlText w:val="-"/>
      <w:lvlJc w:val="left"/>
      <w:pPr>
        <w:ind w:left="1800" w:hanging="360"/>
      </w:pPr>
      <w:rPr>
        <w:rFonts w:ascii="Arial" w:eastAsia="Times New Roman" w:hAnsi="Arial" w:cs="Arial" w:hint="default"/>
        <w:b/>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3" w15:restartNumberingAfterBreak="0">
    <w:nsid w:val="42C71C61"/>
    <w:multiLevelType w:val="hybridMultilevel"/>
    <w:tmpl w:val="BEB85300"/>
    <w:lvl w:ilvl="0" w:tplc="83A243B0">
      <w:start w:val="1"/>
      <w:numFmt w:val="bullet"/>
      <w:lvlText w:val=""/>
      <w:lvlPicBulletId w:val="5"/>
      <w:lvlJc w:val="left"/>
      <w:pPr>
        <w:tabs>
          <w:tab w:val="num" w:pos="720"/>
        </w:tabs>
        <w:ind w:left="720" w:hanging="360"/>
      </w:pPr>
      <w:rPr>
        <w:rFonts w:ascii="Symbol" w:hAnsi="Symbol" w:hint="default"/>
      </w:rPr>
    </w:lvl>
    <w:lvl w:ilvl="1" w:tplc="0E0AD852" w:tentative="1">
      <w:start w:val="1"/>
      <w:numFmt w:val="bullet"/>
      <w:lvlText w:val=""/>
      <w:lvlJc w:val="left"/>
      <w:pPr>
        <w:tabs>
          <w:tab w:val="num" w:pos="1440"/>
        </w:tabs>
        <w:ind w:left="1440" w:hanging="360"/>
      </w:pPr>
      <w:rPr>
        <w:rFonts w:ascii="Symbol" w:hAnsi="Symbol" w:hint="default"/>
      </w:rPr>
    </w:lvl>
    <w:lvl w:ilvl="2" w:tplc="42B82100" w:tentative="1">
      <w:start w:val="1"/>
      <w:numFmt w:val="bullet"/>
      <w:lvlText w:val=""/>
      <w:lvlJc w:val="left"/>
      <w:pPr>
        <w:tabs>
          <w:tab w:val="num" w:pos="2160"/>
        </w:tabs>
        <w:ind w:left="2160" w:hanging="360"/>
      </w:pPr>
      <w:rPr>
        <w:rFonts w:ascii="Symbol" w:hAnsi="Symbol" w:hint="default"/>
      </w:rPr>
    </w:lvl>
    <w:lvl w:ilvl="3" w:tplc="793A3E30" w:tentative="1">
      <w:start w:val="1"/>
      <w:numFmt w:val="bullet"/>
      <w:lvlText w:val=""/>
      <w:lvlJc w:val="left"/>
      <w:pPr>
        <w:tabs>
          <w:tab w:val="num" w:pos="2880"/>
        </w:tabs>
        <w:ind w:left="2880" w:hanging="360"/>
      </w:pPr>
      <w:rPr>
        <w:rFonts w:ascii="Symbol" w:hAnsi="Symbol" w:hint="default"/>
      </w:rPr>
    </w:lvl>
    <w:lvl w:ilvl="4" w:tplc="3A2C1D96" w:tentative="1">
      <w:start w:val="1"/>
      <w:numFmt w:val="bullet"/>
      <w:lvlText w:val=""/>
      <w:lvlJc w:val="left"/>
      <w:pPr>
        <w:tabs>
          <w:tab w:val="num" w:pos="3600"/>
        </w:tabs>
        <w:ind w:left="3600" w:hanging="360"/>
      </w:pPr>
      <w:rPr>
        <w:rFonts w:ascii="Symbol" w:hAnsi="Symbol" w:hint="default"/>
      </w:rPr>
    </w:lvl>
    <w:lvl w:ilvl="5" w:tplc="78363F68" w:tentative="1">
      <w:start w:val="1"/>
      <w:numFmt w:val="bullet"/>
      <w:lvlText w:val=""/>
      <w:lvlJc w:val="left"/>
      <w:pPr>
        <w:tabs>
          <w:tab w:val="num" w:pos="4320"/>
        </w:tabs>
        <w:ind w:left="4320" w:hanging="360"/>
      </w:pPr>
      <w:rPr>
        <w:rFonts w:ascii="Symbol" w:hAnsi="Symbol" w:hint="default"/>
      </w:rPr>
    </w:lvl>
    <w:lvl w:ilvl="6" w:tplc="CB18F1B2" w:tentative="1">
      <w:start w:val="1"/>
      <w:numFmt w:val="bullet"/>
      <w:lvlText w:val=""/>
      <w:lvlJc w:val="left"/>
      <w:pPr>
        <w:tabs>
          <w:tab w:val="num" w:pos="5040"/>
        </w:tabs>
        <w:ind w:left="5040" w:hanging="360"/>
      </w:pPr>
      <w:rPr>
        <w:rFonts w:ascii="Symbol" w:hAnsi="Symbol" w:hint="default"/>
      </w:rPr>
    </w:lvl>
    <w:lvl w:ilvl="7" w:tplc="C9AC4BB6" w:tentative="1">
      <w:start w:val="1"/>
      <w:numFmt w:val="bullet"/>
      <w:lvlText w:val=""/>
      <w:lvlJc w:val="left"/>
      <w:pPr>
        <w:tabs>
          <w:tab w:val="num" w:pos="5760"/>
        </w:tabs>
        <w:ind w:left="5760" w:hanging="360"/>
      </w:pPr>
      <w:rPr>
        <w:rFonts w:ascii="Symbol" w:hAnsi="Symbol" w:hint="default"/>
      </w:rPr>
    </w:lvl>
    <w:lvl w:ilvl="8" w:tplc="D38430E2" w:tentative="1">
      <w:start w:val="1"/>
      <w:numFmt w:val="bullet"/>
      <w:lvlText w:val=""/>
      <w:lvlJc w:val="left"/>
      <w:pPr>
        <w:tabs>
          <w:tab w:val="num" w:pos="6480"/>
        </w:tabs>
        <w:ind w:left="6480" w:hanging="360"/>
      </w:pPr>
      <w:rPr>
        <w:rFonts w:ascii="Symbol" w:hAnsi="Symbol" w:hint="default"/>
      </w:rPr>
    </w:lvl>
  </w:abstractNum>
  <w:abstractNum w:abstractNumId="34" w15:restartNumberingAfterBreak="0">
    <w:nsid w:val="43BE241A"/>
    <w:multiLevelType w:val="hybridMultilevel"/>
    <w:tmpl w:val="8162EE5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460438F6"/>
    <w:multiLevelType w:val="hybridMultilevel"/>
    <w:tmpl w:val="EEB087E2"/>
    <w:lvl w:ilvl="0" w:tplc="8B42E24E">
      <w:start w:val="1"/>
      <w:numFmt w:val="bullet"/>
      <w:lvlText w:val=""/>
      <w:lvlPicBulletId w:val="6"/>
      <w:lvlJc w:val="left"/>
      <w:pPr>
        <w:tabs>
          <w:tab w:val="num" w:pos="720"/>
        </w:tabs>
        <w:ind w:left="720" w:hanging="360"/>
      </w:pPr>
      <w:rPr>
        <w:rFonts w:ascii="Symbol" w:hAnsi="Symbol" w:hint="default"/>
      </w:rPr>
    </w:lvl>
    <w:lvl w:ilvl="1" w:tplc="718A2620" w:tentative="1">
      <w:start w:val="1"/>
      <w:numFmt w:val="bullet"/>
      <w:lvlText w:val=""/>
      <w:lvlJc w:val="left"/>
      <w:pPr>
        <w:tabs>
          <w:tab w:val="num" w:pos="1440"/>
        </w:tabs>
        <w:ind w:left="1440" w:hanging="360"/>
      </w:pPr>
      <w:rPr>
        <w:rFonts w:ascii="Symbol" w:hAnsi="Symbol" w:hint="default"/>
      </w:rPr>
    </w:lvl>
    <w:lvl w:ilvl="2" w:tplc="049892B6" w:tentative="1">
      <w:start w:val="1"/>
      <w:numFmt w:val="bullet"/>
      <w:lvlText w:val=""/>
      <w:lvlJc w:val="left"/>
      <w:pPr>
        <w:tabs>
          <w:tab w:val="num" w:pos="2160"/>
        </w:tabs>
        <w:ind w:left="2160" w:hanging="360"/>
      </w:pPr>
      <w:rPr>
        <w:rFonts w:ascii="Symbol" w:hAnsi="Symbol" w:hint="default"/>
      </w:rPr>
    </w:lvl>
    <w:lvl w:ilvl="3" w:tplc="BA1A10A4" w:tentative="1">
      <w:start w:val="1"/>
      <w:numFmt w:val="bullet"/>
      <w:lvlText w:val=""/>
      <w:lvlJc w:val="left"/>
      <w:pPr>
        <w:tabs>
          <w:tab w:val="num" w:pos="2880"/>
        </w:tabs>
        <w:ind w:left="2880" w:hanging="360"/>
      </w:pPr>
      <w:rPr>
        <w:rFonts w:ascii="Symbol" w:hAnsi="Symbol" w:hint="default"/>
      </w:rPr>
    </w:lvl>
    <w:lvl w:ilvl="4" w:tplc="C114B828" w:tentative="1">
      <w:start w:val="1"/>
      <w:numFmt w:val="bullet"/>
      <w:lvlText w:val=""/>
      <w:lvlJc w:val="left"/>
      <w:pPr>
        <w:tabs>
          <w:tab w:val="num" w:pos="3600"/>
        </w:tabs>
        <w:ind w:left="3600" w:hanging="360"/>
      </w:pPr>
      <w:rPr>
        <w:rFonts w:ascii="Symbol" w:hAnsi="Symbol" w:hint="default"/>
      </w:rPr>
    </w:lvl>
    <w:lvl w:ilvl="5" w:tplc="76646606" w:tentative="1">
      <w:start w:val="1"/>
      <w:numFmt w:val="bullet"/>
      <w:lvlText w:val=""/>
      <w:lvlJc w:val="left"/>
      <w:pPr>
        <w:tabs>
          <w:tab w:val="num" w:pos="4320"/>
        </w:tabs>
        <w:ind w:left="4320" w:hanging="360"/>
      </w:pPr>
      <w:rPr>
        <w:rFonts w:ascii="Symbol" w:hAnsi="Symbol" w:hint="default"/>
      </w:rPr>
    </w:lvl>
    <w:lvl w:ilvl="6" w:tplc="6E7610A0" w:tentative="1">
      <w:start w:val="1"/>
      <w:numFmt w:val="bullet"/>
      <w:lvlText w:val=""/>
      <w:lvlJc w:val="left"/>
      <w:pPr>
        <w:tabs>
          <w:tab w:val="num" w:pos="5040"/>
        </w:tabs>
        <w:ind w:left="5040" w:hanging="360"/>
      </w:pPr>
      <w:rPr>
        <w:rFonts w:ascii="Symbol" w:hAnsi="Symbol" w:hint="default"/>
      </w:rPr>
    </w:lvl>
    <w:lvl w:ilvl="7" w:tplc="1E82A46E" w:tentative="1">
      <w:start w:val="1"/>
      <w:numFmt w:val="bullet"/>
      <w:lvlText w:val=""/>
      <w:lvlJc w:val="left"/>
      <w:pPr>
        <w:tabs>
          <w:tab w:val="num" w:pos="5760"/>
        </w:tabs>
        <w:ind w:left="5760" w:hanging="360"/>
      </w:pPr>
      <w:rPr>
        <w:rFonts w:ascii="Symbol" w:hAnsi="Symbol" w:hint="default"/>
      </w:rPr>
    </w:lvl>
    <w:lvl w:ilvl="8" w:tplc="880EF16C" w:tentative="1">
      <w:start w:val="1"/>
      <w:numFmt w:val="bullet"/>
      <w:lvlText w:val=""/>
      <w:lvlJc w:val="left"/>
      <w:pPr>
        <w:tabs>
          <w:tab w:val="num" w:pos="6480"/>
        </w:tabs>
        <w:ind w:left="6480" w:hanging="360"/>
      </w:pPr>
      <w:rPr>
        <w:rFonts w:ascii="Symbol" w:hAnsi="Symbol" w:hint="default"/>
      </w:rPr>
    </w:lvl>
  </w:abstractNum>
  <w:abstractNum w:abstractNumId="36" w15:restartNumberingAfterBreak="0">
    <w:nsid w:val="46A207FC"/>
    <w:multiLevelType w:val="hybridMultilevel"/>
    <w:tmpl w:val="8A402C8A"/>
    <w:lvl w:ilvl="0" w:tplc="0C090019">
      <w:start w:val="1"/>
      <w:numFmt w:val="lowerLetter"/>
      <w:lvlText w:val="%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7" w15:restartNumberingAfterBreak="0">
    <w:nsid w:val="492300C7"/>
    <w:multiLevelType w:val="hybridMultilevel"/>
    <w:tmpl w:val="F14CB5A0"/>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38" w15:restartNumberingAfterBreak="0">
    <w:nsid w:val="4CD54B23"/>
    <w:multiLevelType w:val="hybridMultilevel"/>
    <w:tmpl w:val="A7F872DC"/>
    <w:lvl w:ilvl="0" w:tplc="0C090001">
      <w:start w:val="1"/>
      <w:numFmt w:val="bullet"/>
      <w:lvlText w:val=""/>
      <w:lvlJc w:val="left"/>
      <w:pPr>
        <w:ind w:left="770" w:hanging="360"/>
      </w:pPr>
      <w:rPr>
        <w:rFonts w:ascii="Symbol" w:hAnsi="Symbol" w:hint="default"/>
      </w:rPr>
    </w:lvl>
    <w:lvl w:ilvl="1" w:tplc="0C090003" w:tentative="1">
      <w:start w:val="1"/>
      <w:numFmt w:val="bullet"/>
      <w:lvlText w:val="o"/>
      <w:lvlJc w:val="left"/>
      <w:pPr>
        <w:ind w:left="1490" w:hanging="360"/>
      </w:pPr>
      <w:rPr>
        <w:rFonts w:ascii="Courier New" w:hAnsi="Courier New" w:cs="Courier New" w:hint="default"/>
      </w:rPr>
    </w:lvl>
    <w:lvl w:ilvl="2" w:tplc="0C090005" w:tentative="1">
      <w:start w:val="1"/>
      <w:numFmt w:val="bullet"/>
      <w:lvlText w:val=""/>
      <w:lvlJc w:val="left"/>
      <w:pPr>
        <w:ind w:left="2210" w:hanging="360"/>
      </w:pPr>
      <w:rPr>
        <w:rFonts w:ascii="Wingdings" w:hAnsi="Wingdings" w:hint="default"/>
      </w:rPr>
    </w:lvl>
    <w:lvl w:ilvl="3" w:tplc="0C090001" w:tentative="1">
      <w:start w:val="1"/>
      <w:numFmt w:val="bullet"/>
      <w:lvlText w:val=""/>
      <w:lvlJc w:val="left"/>
      <w:pPr>
        <w:ind w:left="2930" w:hanging="360"/>
      </w:pPr>
      <w:rPr>
        <w:rFonts w:ascii="Symbol" w:hAnsi="Symbol" w:hint="default"/>
      </w:rPr>
    </w:lvl>
    <w:lvl w:ilvl="4" w:tplc="0C090003" w:tentative="1">
      <w:start w:val="1"/>
      <w:numFmt w:val="bullet"/>
      <w:lvlText w:val="o"/>
      <w:lvlJc w:val="left"/>
      <w:pPr>
        <w:ind w:left="3650" w:hanging="360"/>
      </w:pPr>
      <w:rPr>
        <w:rFonts w:ascii="Courier New" w:hAnsi="Courier New" w:cs="Courier New" w:hint="default"/>
      </w:rPr>
    </w:lvl>
    <w:lvl w:ilvl="5" w:tplc="0C090005" w:tentative="1">
      <w:start w:val="1"/>
      <w:numFmt w:val="bullet"/>
      <w:lvlText w:val=""/>
      <w:lvlJc w:val="left"/>
      <w:pPr>
        <w:ind w:left="4370" w:hanging="360"/>
      </w:pPr>
      <w:rPr>
        <w:rFonts w:ascii="Wingdings" w:hAnsi="Wingdings" w:hint="default"/>
      </w:rPr>
    </w:lvl>
    <w:lvl w:ilvl="6" w:tplc="0C090001" w:tentative="1">
      <w:start w:val="1"/>
      <w:numFmt w:val="bullet"/>
      <w:lvlText w:val=""/>
      <w:lvlJc w:val="left"/>
      <w:pPr>
        <w:ind w:left="5090" w:hanging="360"/>
      </w:pPr>
      <w:rPr>
        <w:rFonts w:ascii="Symbol" w:hAnsi="Symbol" w:hint="default"/>
      </w:rPr>
    </w:lvl>
    <w:lvl w:ilvl="7" w:tplc="0C090003" w:tentative="1">
      <w:start w:val="1"/>
      <w:numFmt w:val="bullet"/>
      <w:lvlText w:val="o"/>
      <w:lvlJc w:val="left"/>
      <w:pPr>
        <w:ind w:left="5810" w:hanging="360"/>
      </w:pPr>
      <w:rPr>
        <w:rFonts w:ascii="Courier New" w:hAnsi="Courier New" w:cs="Courier New" w:hint="default"/>
      </w:rPr>
    </w:lvl>
    <w:lvl w:ilvl="8" w:tplc="0C090005" w:tentative="1">
      <w:start w:val="1"/>
      <w:numFmt w:val="bullet"/>
      <w:lvlText w:val=""/>
      <w:lvlJc w:val="left"/>
      <w:pPr>
        <w:ind w:left="6530" w:hanging="360"/>
      </w:pPr>
      <w:rPr>
        <w:rFonts w:ascii="Wingdings" w:hAnsi="Wingdings" w:hint="default"/>
      </w:rPr>
    </w:lvl>
  </w:abstractNum>
  <w:abstractNum w:abstractNumId="39" w15:restartNumberingAfterBreak="0">
    <w:nsid w:val="4EAE3E61"/>
    <w:multiLevelType w:val="hybridMultilevel"/>
    <w:tmpl w:val="A138566A"/>
    <w:lvl w:ilvl="0" w:tplc="691CE742">
      <w:start w:val="1"/>
      <w:numFmt w:val="decimal"/>
      <w:lvlText w:val="%1."/>
      <w:lvlJc w:val="left"/>
      <w:pPr>
        <w:ind w:left="360" w:hanging="360"/>
      </w:pPr>
      <w:rPr>
        <w:rFonts w:hint="default"/>
        <w:b/>
      </w:r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40" w15:restartNumberingAfterBreak="0">
    <w:nsid w:val="51F865C6"/>
    <w:multiLevelType w:val="hybridMultilevel"/>
    <w:tmpl w:val="34949B6A"/>
    <w:lvl w:ilvl="0" w:tplc="55F2986E">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1" w15:restartNumberingAfterBreak="0">
    <w:nsid w:val="52781525"/>
    <w:multiLevelType w:val="hybridMultilevel"/>
    <w:tmpl w:val="B42460FC"/>
    <w:lvl w:ilvl="0" w:tplc="55F2986E">
      <w:start w:val="1"/>
      <w:numFmt w:val="bullet"/>
      <w:lvlText w:val=""/>
      <w:lvlJc w:val="left"/>
      <w:pPr>
        <w:ind w:left="644" w:hanging="360"/>
      </w:pPr>
      <w:rPr>
        <w:rFonts w:ascii="Symbol" w:hAnsi="Symbol"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42" w15:restartNumberingAfterBreak="0">
    <w:nsid w:val="55AA21F0"/>
    <w:multiLevelType w:val="hybridMultilevel"/>
    <w:tmpl w:val="F39E9976"/>
    <w:lvl w:ilvl="0" w:tplc="CE0AD192">
      <w:start w:val="1"/>
      <w:numFmt w:val="decimal"/>
      <w:pStyle w:val="ACMATableHeader"/>
      <w:lvlText w:val="Table %1:"/>
      <w:lvlJc w:val="left"/>
      <w:pPr>
        <w:tabs>
          <w:tab w:val="num" w:pos="964"/>
        </w:tabs>
        <w:ind w:left="964" w:hanging="964"/>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EB62EDB"/>
    <w:multiLevelType w:val="hybridMultilevel"/>
    <w:tmpl w:val="635415F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5EC21463"/>
    <w:multiLevelType w:val="hybridMultilevel"/>
    <w:tmpl w:val="8F9AAD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615077E9"/>
    <w:multiLevelType w:val="hybridMultilevel"/>
    <w:tmpl w:val="F73445C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6" w15:restartNumberingAfterBreak="0">
    <w:nsid w:val="61CA3F73"/>
    <w:multiLevelType w:val="hybridMultilevel"/>
    <w:tmpl w:val="A138566A"/>
    <w:lvl w:ilvl="0" w:tplc="691CE742">
      <w:start w:val="1"/>
      <w:numFmt w:val="decimal"/>
      <w:lvlText w:val="%1."/>
      <w:lvlJc w:val="left"/>
      <w:pPr>
        <w:ind w:left="644" w:hanging="360"/>
      </w:pPr>
      <w:rPr>
        <w:rFonts w:hint="default"/>
        <w:b/>
      </w:r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47" w15:restartNumberingAfterBreak="0">
    <w:nsid w:val="61CF09F3"/>
    <w:multiLevelType w:val="hybridMultilevel"/>
    <w:tmpl w:val="C94E5414"/>
    <w:lvl w:ilvl="0" w:tplc="FE84A9C6">
      <w:start w:val="1"/>
      <w:numFmt w:val="bullet"/>
      <w:lvlText w:val=""/>
      <w:lvlPicBulletId w:val="3"/>
      <w:lvlJc w:val="left"/>
      <w:pPr>
        <w:tabs>
          <w:tab w:val="num" w:pos="720"/>
        </w:tabs>
        <w:ind w:left="720" w:hanging="360"/>
      </w:pPr>
      <w:rPr>
        <w:rFonts w:ascii="Symbol" w:hAnsi="Symbol" w:hint="default"/>
      </w:rPr>
    </w:lvl>
    <w:lvl w:ilvl="1" w:tplc="B396EE38" w:tentative="1">
      <w:start w:val="1"/>
      <w:numFmt w:val="bullet"/>
      <w:lvlText w:val=""/>
      <w:lvlJc w:val="left"/>
      <w:pPr>
        <w:tabs>
          <w:tab w:val="num" w:pos="1440"/>
        </w:tabs>
        <w:ind w:left="1440" w:hanging="360"/>
      </w:pPr>
      <w:rPr>
        <w:rFonts w:ascii="Symbol" w:hAnsi="Symbol" w:hint="default"/>
      </w:rPr>
    </w:lvl>
    <w:lvl w:ilvl="2" w:tplc="6AE65960" w:tentative="1">
      <w:start w:val="1"/>
      <w:numFmt w:val="bullet"/>
      <w:lvlText w:val=""/>
      <w:lvlJc w:val="left"/>
      <w:pPr>
        <w:tabs>
          <w:tab w:val="num" w:pos="2160"/>
        </w:tabs>
        <w:ind w:left="2160" w:hanging="360"/>
      </w:pPr>
      <w:rPr>
        <w:rFonts w:ascii="Symbol" w:hAnsi="Symbol" w:hint="default"/>
      </w:rPr>
    </w:lvl>
    <w:lvl w:ilvl="3" w:tplc="08E49138" w:tentative="1">
      <w:start w:val="1"/>
      <w:numFmt w:val="bullet"/>
      <w:lvlText w:val=""/>
      <w:lvlJc w:val="left"/>
      <w:pPr>
        <w:tabs>
          <w:tab w:val="num" w:pos="2880"/>
        </w:tabs>
        <w:ind w:left="2880" w:hanging="360"/>
      </w:pPr>
      <w:rPr>
        <w:rFonts w:ascii="Symbol" w:hAnsi="Symbol" w:hint="default"/>
      </w:rPr>
    </w:lvl>
    <w:lvl w:ilvl="4" w:tplc="ABC41202" w:tentative="1">
      <w:start w:val="1"/>
      <w:numFmt w:val="bullet"/>
      <w:lvlText w:val=""/>
      <w:lvlJc w:val="left"/>
      <w:pPr>
        <w:tabs>
          <w:tab w:val="num" w:pos="3600"/>
        </w:tabs>
        <w:ind w:left="3600" w:hanging="360"/>
      </w:pPr>
      <w:rPr>
        <w:rFonts w:ascii="Symbol" w:hAnsi="Symbol" w:hint="default"/>
      </w:rPr>
    </w:lvl>
    <w:lvl w:ilvl="5" w:tplc="1658B574" w:tentative="1">
      <w:start w:val="1"/>
      <w:numFmt w:val="bullet"/>
      <w:lvlText w:val=""/>
      <w:lvlJc w:val="left"/>
      <w:pPr>
        <w:tabs>
          <w:tab w:val="num" w:pos="4320"/>
        </w:tabs>
        <w:ind w:left="4320" w:hanging="360"/>
      </w:pPr>
      <w:rPr>
        <w:rFonts w:ascii="Symbol" w:hAnsi="Symbol" w:hint="default"/>
      </w:rPr>
    </w:lvl>
    <w:lvl w:ilvl="6" w:tplc="C43CDBF2" w:tentative="1">
      <w:start w:val="1"/>
      <w:numFmt w:val="bullet"/>
      <w:lvlText w:val=""/>
      <w:lvlJc w:val="left"/>
      <w:pPr>
        <w:tabs>
          <w:tab w:val="num" w:pos="5040"/>
        </w:tabs>
        <w:ind w:left="5040" w:hanging="360"/>
      </w:pPr>
      <w:rPr>
        <w:rFonts w:ascii="Symbol" w:hAnsi="Symbol" w:hint="default"/>
      </w:rPr>
    </w:lvl>
    <w:lvl w:ilvl="7" w:tplc="5F0CAB48" w:tentative="1">
      <w:start w:val="1"/>
      <w:numFmt w:val="bullet"/>
      <w:lvlText w:val=""/>
      <w:lvlJc w:val="left"/>
      <w:pPr>
        <w:tabs>
          <w:tab w:val="num" w:pos="5760"/>
        </w:tabs>
        <w:ind w:left="5760" w:hanging="360"/>
      </w:pPr>
      <w:rPr>
        <w:rFonts w:ascii="Symbol" w:hAnsi="Symbol" w:hint="default"/>
      </w:rPr>
    </w:lvl>
    <w:lvl w:ilvl="8" w:tplc="908835DC" w:tentative="1">
      <w:start w:val="1"/>
      <w:numFmt w:val="bullet"/>
      <w:lvlText w:val=""/>
      <w:lvlJc w:val="left"/>
      <w:pPr>
        <w:tabs>
          <w:tab w:val="num" w:pos="6480"/>
        </w:tabs>
        <w:ind w:left="6480" w:hanging="360"/>
      </w:pPr>
      <w:rPr>
        <w:rFonts w:ascii="Symbol" w:hAnsi="Symbol" w:hint="default"/>
      </w:rPr>
    </w:lvl>
  </w:abstractNum>
  <w:abstractNum w:abstractNumId="48" w15:restartNumberingAfterBreak="0">
    <w:nsid w:val="6217519C"/>
    <w:multiLevelType w:val="hybridMultilevel"/>
    <w:tmpl w:val="2DDCD4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640B4FCF"/>
    <w:multiLevelType w:val="hybridMultilevel"/>
    <w:tmpl w:val="EF3EB990"/>
    <w:lvl w:ilvl="0" w:tplc="8200C772">
      <w:start w:val="1"/>
      <w:numFmt w:val="bullet"/>
      <w:lvlText w:val=""/>
      <w:lvlPicBulletId w:val="4"/>
      <w:lvlJc w:val="left"/>
      <w:pPr>
        <w:tabs>
          <w:tab w:val="num" w:pos="720"/>
        </w:tabs>
        <w:ind w:left="720" w:hanging="360"/>
      </w:pPr>
      <w:rPr>
        <w:rFonts w:ascii="Symbol" w:hAnsi="Symbol" w:hint="default"/>
      </w:rPr>
    </w:lvl>
    <w:lvl w:ilvl="1" w:tplc="00DC7846" w:tentative="1">
      <w:start w:val="1"/>
      <w:numFmt w:val="bullet"/>
      <w:lvlText w:val=""/>
      <w:lvlJc w:val="left"/>
      <w:pPr>
        <w:tabs>
          <w:tab w:val="num" w:pos="1440"/>
        </w:tabs>
        <w:ind w:left="1440" w:hanging="360"/>
      </w:pPr>
      <w:rPr>
        <w:rFonts w:ascii="Symbol" w:hAnsi="Symbol" w:hint="default"/>
      </w:rPr>
    </w:lvl>
    <w:lvl w:ilvl="2" w:tplc="A726D19A" w:tentative="1">
      <w:start w:val="1"/>
      <w:numFmt w:val="bullet"/>
      <w:lvlText w:val=""/>
      <w:lvlJc w:val="left"/>
      <w:pPr>
        <w:tabs>
          <w:tab w:val="num" w:pos="2160"/>
        </w:tabs>
        <w:ind w:left="2160" w:hanging="360"/>
      </w:pPr>
      <w:rPr>
        <w:rFonts w:ascii="Symbol" w:hAnsi="Symbol" w:hint="default"/>
      </w:rPr>
    </w:lvl>
    <w:lvl w:ilvl="3" w:tplc="BD4EEDCE" w:tentative="1">
      <w:start w:val="1"/>
      <w:numFmt w:val="bullet"/>
      <w:lvlText w:val=""/>
      <w:lvlJc w:val="left"/>
      <w:pPr>
        <w:tabs>
          <w:tab w:val="num" w:pos="2880"/>
        </w:tabs>
        <w:ind w:left="2880" w:hanging="360"/>
      </w:pPr>
      <w:rPr>
        <w:rFonts w:ascii="Symbol" w:hAnsi="Symbol" w:hint="default"/>
      </w:rPr>
    </w:lvl>
    <w:lvl w:ilvl="4" w:tplc="AB66EA56" w:tentative="1">
      <w:start w:val="1"/>
      <w:numFmt w:val="bullet"/>
      <w:lvlText w:val=""/>
      <w:lvlJc w:val="left"/>
      <w:pPr>
        <w:tabs>
          <w:tab w:val="num" w:pos="3600"/>
        </w:tabs>
        <w:ind w:left="3600" w:hanging="360"/>
      </w:pPr>
      <w:rPr>
        <w:rFonts w:ascii="Symbol" w:hAnsi="Symbol" w:hint="default"/>
      </w:rPr>
    </w:lvl>
    <w:lvl w:ilvl="5" w:tplc="7C7403FA" w:tentative="1">
      <w:start w:val="1"/>
      <w:numFmt w:val="bullet"/>
      <w:lvlText w:val=""/>
      <w:lvlJc w:val="left"/>
      <w:pPr>
        <w:tabs>
          <w:tab w:val="num" w:pos="4320"/>
        </w:tabs>
        <w:ind w:left="4320" w:hanging="360"/>
      </w:pPr>
      <w:rPr>
        <w:rFonts w:ascii="Symbol" w:hAnsi="Symbol" w:hint="default"/>
      </w:rPr>
    </w:lvl>
    <w:lvl w:ilvl="6" w:tplc="0DCED5EC" w:tentative="1">
      <w:start w:val="1"/>
      <w:numFmt w:val="bullet"/>
      <w:lvlText w:val=""/>
      <w:lvlJc w:val="left"/>
      <w:pPr>
        <w:tabs>
          <w:tab w:val="num" w:pos="5040"/>
        </w:tabs>
        <w:ind w:left="5040" w:hanging="360"/>
      </w:pPr>
      <w:rPr>
        <w:rFonts w:ascii="Symbol" w:hAnsi="Symbol" w:hint="default"/>
      </w:rPr>
    </w:lvl>
    <w:lvl w:ilvl="7" w:tplc="807ED89A" w:tentative="1">
      <w:start w:val="1"/>
      <w:numFmt w:val="bullet"/>
      <w:lvlText w:val=""/>
      <w:lvlJc w:val="left"/>
      <w:pPr>
        <w:tabs>
          <w:tab w:val="num" w:pos="5760"/>
        </w:tabs>
        <w:ind w:left="5760" w:hanging="360"/>
      </w:pPr>
      <w:rPr>
        <w:rFonts w:ascii="Symbol" w:hAnsi="Symbol" w:hint="default"/>
      </w:rPr>
    </w:lvl>
    <w:lvl w:ilvl="8" w:tplc="2DDA78EE" w:tentative="1">
      <w:start w:val="1"/>
      <w:numFmt w:val="bullet"/>
      <w:lvlText w:val=""/>
      <w:lvlJc w:val="left"/>
      <w:pPr>
        <w:tabs>
          <w:tab w:val="num" w:pos="6480"/>
        </w:tabs>
        <w:ind w:left="6480" w:hanging="360"/>
      </w:pPr>
      <w:rPr>
        <w:rFonts w:ascii="Symbol" w:hAnsi="Symbol" w:hint="default"/>
      </w:rPr>
    </w:lvl>
  </w:abstractNum>
  <w:abstractNum w:abstractNumId="51" w15:restartNumberingAfterBreak="0">
    <w:nsid w:val="65071478"/>
    <w:multiLevelType w:val="hybridMultilevel"/>
    <w:tmpl w:val="FC6EAB70"/>
    <w:lvl w:ilvl="0" w:tplc="5FA0D590">
      <w:start w:val="1"/>
      <w:numFmt w:val="decimal"/>
      <w:pStyle w:val="ACMAFigureHeader"/>
      <w:lvlText w:val="Figure %1: "/>
      <w:lvlJc w:val="left"/>
      <w:pPr>
        <w:tabs>
          <w:tab w:val="num" w:pos="1021"/>
        </w:tabs>
        <w:ind w:left="1021" w:hanging="1021"/>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67EF100E"/>
    <w:multiLevelType w:val="hybridMultilevel"/>
    <w:tmpl w:val="37DAFCC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15174D6"/>
    <w:multiLevelType w:val="hybridMultilevel"/>
    <w:tmpl w:val="F8AA5328"/>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55" w15:restartNumberingAfterBreak="0">
    <w:nsid w:val="73DE4E63"/>
    <w:multiLevelType w:val="hybridMultilevel"/>
    <w:tmpl w:val="276230CA"/>
    <w:lvl w:ilvl="0" w:tplc="8294FF06">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6" w15:restartNumberingAfterBreak="0">
    <w:nsid w:val="74536B69"/>
    <w:multiLevelType w:val="hybridMultilevel"/>
    <w:tmpl w:val="EE605F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7" w15:restartNumberingAfterBreak="0">
    <w:nsid w:val="74984B37"/>
    <w:multiLevelType w:val="hybridMultilevel"/>
    <w:tmpl w:val="8DCE82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8" w15:restartNumberingAfterBreak="0">
    <w:nsid w:val="7B071389"/>
    <w:multiLevelType w:val="hybridMultilevel"/>
    <w:tmpl w:val="250EEDB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9" w15:restartNumberingAfterBreak="0">
    <w:nsid w:val="7D2C577D"/>
    <w:multiLevelType w:val="hybridMultilevel"/>
    <w:tmpl w:val="A138566A"/>
    <w:lvl w:ilvl="0" w:tplc="691CE742">
      <w:start w:val="1"/>
      <w:numFmt w:val="decimal"/>
      <w:lvlText w:val="%1."/>
      <w:lvlJc w:val="left"/>
      <w:pPr>
        <w:ind w:left="360" w:hanging="360"/>
      </w:pPr>
      <w:rPr>
        <w:rFonts w:hint="default"/>
        <w:b/>
      </w:r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0" w15:restartNumberingAfterBreak="0">
    <w:nsid w:val="7D79551F"/>
    <w:multiLevelType w:val="hybridMultilevel"/>
    <w:tmpl w:val="BBFE9776"/>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61" w15:restartNumberingAfterBreak="0">
    <w:nsid w:val="7D89388E"/>
    <w:multiLevelType w:val="hybridMultilevel"/>
    <w:tmpl w:val="D338A10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4"/>
  </w:num>
  <w:num w:numId="2">
    <w:abstractNumId w:val="3"/>
  </w:num>
  <w:num w:numId="3">
    <w:abstractNumId w:val="1"/>
  </w:num>
  <w:num w:numId="4">
    <w:abstractNumId w:val="20"/>
  </w:num>
  <w:num w:numId="5">
    <w:abstractNumId w:val="51"/>
  </w:num>
  <w:num w:numId="6">
    <w:abstractNumId w:val="42"/>
  </w:num>
  <w:num w:numId="7">
    <w:abstractNumId w:val="49"/>
  </w:num>
  <w:num w:numId="8">
    <w:abstractNumId w:val="53"/>
  </w:num>
  <w:num w:numId="9">
    <w:abstractNumId w:val="32"/>
  </w:num>
  <w:num w:numId="10">
    <w:abstractNumId w:val="21"/>
  </w:num>
  <w:num w:numId="11">
    <w:abstractNumId w:val="3"/>
    <w:lvlOverride w:ilvl="0">
      <w:startOverride w:val="1"/>
    </w:lvlOverride>
  </w:num>
  <w:num w:numId="12">
    <w:abstractNumId w:val="3"/>
    <w:lvlOverride w:ilvl="0">
      <w:startOverride w:val="1"/>
    </w:lvlOverride>
  </w:num>
  <w:num w:numId="13">
    <w:abstractNumId w:val="15"/>
  </w:num>
  <w:num w:numId="14">
    <w:abstractNumId w:val="46"/>
  </w:num>
  <w:num w:numId="15">
    <w:abstractNumId w:val="36"/>
  </w:num>
  <w:num w:numId="16">
    <w:abstractNumId w:val="6"/>
  </w:num>
  <w:num w:numId="17">
    <w:abstractNumId w:val="8"/>
  </w:num>
  <w:num w:numId="18">
    <w:abstractNumId w:val="24"/>
  </w:num>
  <w:num w:numId="19">
    <w:abstractNumId w:val="30"/>
  </w:num>
  <w:num w:numId="20">
    <w:abstractNumId w:val="47"/>
  </w:num>
  <w:num w:numId="21">
    <w:abstractNumId w:val="50"/>
  </w:num>
  <w:num w:numId="22">
    <w:abstractNumId w:val="33"/>
  </w:num>
  <w:num w:numId="23">
    <w:abstractNumId w:val="35"/>
  </w:num>
  <w:num w:numId="24">
    <w:abstractNumId w:val="31"/>
  </w:num>
  <w:num w:numId="25">
    <w:abstractNumId w:val="34"/>
  </w:num>
  <w:num w:numId="26">
    <w:abstractNumId w:val="60"/>
  </w:num>
  <w:num w:numId="27">
    <w:abstractNumId w:val="0"/>
  </w:num>
  <w:num w:numId="28">
    <w:abstractNumId w:val="48"/>
  </w:num>
  <w:num w:numId="29">
    <w:abstractNumId w:val="29"/>
  </w:num>
  <w:num w:numId="30">
    <w:abstractNumId w:val="2"/>
  </w:num>
  <w:num w:numId="31">
    <w:abstractNumId w:val="26"/>
  </w:num>
  <w:num w:numId="32">
    <w:abstractNumId w:val="56"/>
  </w:num>
  <w:num w:numId="33">
    <w:abstractNumId w:val="14"/>
  </w:num>
  <w:num w:numId="34">
    <w:abstractNumId w:val="4"/>
  </w:num>
  <w:num w:numId="35">
    <w:abstractNumId w:val="25"/>
  </w:num>
  <w:num w:numId="36">
    <w:abstractNumId w:val="7"/>
  </w:num>
  <w:num w:numId="37">
    <w:abstractNumId w:val="4"/>
  </w:num>
  <w:num w:numId="38">
    <w:abstractNumId w:val="3"/>
    <w:lvlOverride w:ilvl="0">
      <w:startOverride w:val="1"/>
    </w:lvlOverride>
  </w:num>
  <w:num w:numId="39">
    <w:abstractNumId w:val="38"/>
  </w:num>
  <w:num w:numId="40">
    <w:abstractNumId w:val="54"/>
  </w:num>
  <w:num w:numId="41">
    <w:abstractNumId w:val="52"/>
  </w:num>
  <w:num w:numId="42">
    <w:abstractNumId w:val="27"/>
  </w:num>
  <w:num w:numId="43">
    <w:abstractNumId w:val="11"/>
  </w:num>
  <w:num w:numId="44">
    <w:abstractNumId w:val="44"/>
  </w:num>
  <w:num w:numId="45">
    <w:abstractNumId w:val="37"/>
  </w:num>
  <w:num w:numId="46">
    <w:abstractNumId w:val="4"/>
  </w:num>
  <w:num w:numId="47">
    <w:abstractNumId w:val="43"/>
  </w:num>
  <w:num w:numId="48">
    <w:abstractNumId w:val="4"/>
  </w:num>
  <w:num w:numId="49">
    <w:abstractNumId w:val="13"/>
  </w:num>
  <w:num w:numId="50">
    <w:abstractNumId w:val="4"/>
  </w:num>
  <w:num w:numId="51">
    <w:abstractNumId w:val="4"/>
  </w:num>
  <w:num w:numId="52">
    <w:abstractNumId w:val="4"/>
  </w:num>
  <w:num w:numId="53">
    <w:abstractNumId w:val="4"/>
  </w:num>
  <w:num w:numId="54">
    <w:abstractNumId w:val="4"/>
  </w:num>
  <w:num w:numId="55">
    <w:abstractNumId w:val="23"/>
  </w:num>
  <w:num w:numId="56">
    <w:abstractNumId w:val="45"/>
  </w:num>
  <w:num w:numId="57">
    <w:abstractNumId w:val="61"/>
  </w:num>
  <w:num w:numId="58">
    <w:abstractNumId w:val="4"/>
  </w:num>
  <w:num w:numId="59">
    <w:abstractNumId w:val="57"/>
  </w:num>
  <w:num w:numId="60">
    <w:abstractNumId w:val="4"/>
  </w:num>
  <w:num w:numId="61">
    <w:abstractNumId w:val="10"/>
  </w:num>
  <w:num w:numId="62">
    <w:abstractNumId w:val="12"/>
  </w:num>
  <w:num w:numId="63">
    <w:abstractNumId w:val="18"/>
  </w:num>
  <w:num w:numId="64">
    <w:abstractNumId w:val="5"/>
  </w:num>
  <w:num w:numId="65">
    <w:abstractNumId w:val="16"/>
  </w:num>
  <w:num w:numId="66">
    <w:abstractNumId w:val="22"/>
  </w:num>
  <w:num w:numId="67">
    <w:abstractNumId w:val="42"/>
  </w:num>
  <w:num w:numId="68">
    <w:abstractNumId w:val="42"/>
  </w:num>
  <w:num w:numId="69">
    <w:abstractNumId w:val="17"/>
  </w:num>
  <w:num w:numId="70">
    <w:abstractNumId w:val="28"/>
  </w:num>
  <w:num w:numId="71">
    <w:abstractNumId w:val="58"/>
  </w:num>
  <w:num w:numId="72">
    <w:abstractNumId w:val="40"/>
  </w:num>
  <w:num w:numId="73">
    <w:abstractNumId w:val="19"/>
  </w:num>
  <w:num w:numId="7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9"/>
  </w:num>
  <w:num w:numId="76">
    <w:abstractNumId w:val="59"/>
  </w:num>
  <w:num w:numId="77">
    <w:abstractNumId w:val="41"/>
  </w:num>
  <w:num w:numId="78">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39"/>
  </w:num>
  <w:num w:numId="80">
    <w:abstractNumId w:val="55"/>
  </w:num>
  <w:num w:numId="81">
    <w:abstractNumId w:val="3"/>
    <w:lvlOverride w:ilvl="0">
      <w:startOverride w:val="1"/>
    </w:lvlOverride>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284"/>
  <w:evenAndOddHeaders/>
  <w:drawingGridHorizontalSpacing w:val="100"/>
  <w:displayHorizontalDrawingGridEvery w:val="2"/>
  <w:characterSpacingControl w:val="doNotCompress"/>
  <w:hdrShapeDefaults>
    <o:shapedefaults v:ext="edit" spidmax="2049">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285A"/>
    <w:rsid w:val="0000008C"/>
    <w:rsid w:val="000009B5"/>
    <w:rsid w:val="00000B28"/>
    <w:rsid w:val="00001058"/>
    <w:rsid w:val="000012F0"/>
    <w:rsid w:val="00001BF6"/>
    <w:rsid w:val="00001C7D"/>
    <w:rsid w:val="00001F03"/>
    <w:rsid w:val="00003F68"/>
    <w:rsid w:val="00004B21"/>
    <w:rsid w:val="00005715"/>
    <w:rsid w:val="00005E1E"/>
    <w:rsid w:val="000102DA"/>
    <w:rsid w:val="000103AF"/>
    <w:rsid w:val="00010667"/>
    <w:rsid w:val="00010FEE"/>
    <w:rsid w:val="000111F2"/>
    <w:rsid w:val="000114C9"/>
    <w:rsid w:val="000116FB"/>
    <w:rsid w:val="00011AE4"/>
    <w:rsid w:val="000129D5"/>
    <w:rsid w:val="000129FD"/>
    <w:rsid w:val="00012F8C"/>
    <w:rsid w:val="000138EB"/>
    <w:rsid w:val="000140DA"/>
    <w:rsid w:val="00014250"/>
    <w:rsid w:val="000142C6"/>
    <w:rsid w:val="00014717"/>
    <w:rsid w:val="00014774"/>
    <w:rsid w:val="00014EDA"/>
    <w:rsid w:val="00014EE7"/>
    <w:rsid w:val="00015152"/>
    <w:rsid w:val="00015572"/>
    <w:rsid w:val="000159B6"/>
    <w:rsid w:val="00015AE7"/>
    <w:rsid w:val="00016A54"/>
    <w:rsid w:val="00016C30"/>
    <w:rsid w:val="00016E21"/>
    <w:rsid w:val="0001719C"/>
    <w:rsid w:val="00020102"/>
    <w:rsid w:val="000201B6"/>
    <w:rsid w:val="0002141F"/>
    <w:rsid w:val="00021E9E"/>
    <w:rsid w:val="00021F03"/>
    <w:rsid w:val="00022222"/>
    <w:rsid w:val="0002224E"/>
    <w:rsid w:val="00022E0F"/>
    <w:rsid w:val="00023011"/>
    <w:rsid w:val="000256C7"/>
    <w:rsid w:val="00025A86"/>
    <w:rsid w:val="00026910"/>
    <w:rsid w:val="00026F91"/>
    <w:rsid w:val="00027399"/>
    <w:rsid w:val="00027725"/>
    <w:rsid w:val="00030312"/>
    <w:rsid w:val="00030A24"/>
    <w:rsid w:val="00030FBB"/>
    <w:rsid w:val="00031954"/>
    <w:rsid w:val="00032059"/>
    <w:rsid w:val="0003221F"/>
    <w:rsid w:val="000322A4"/>
    <w:rsid w:val="000324A0"/>
    <w:rsid w:val="000332A2"/>
    <w:rsid w:val="000339CC"/>
    <w:rsid w:val="00033E7A"/>
    <w:rsid w:val="00034C4F"/>
    <w:rsid w:val="000355FE"/>
    <w:rsid w:val="000359FC"/>
    <w:rsid w:val="00036286"/>
    <w:rsid w:val="000363E7"/>
    <w:rsid w:val="00040647"/>
    <w:rsid w:val="000409BF"/>
    <w:rsid w:val="00040CDA"/>
    <w:rsid w:val="00042A7E"/>
    <w:rsid w:val="00042E9A"/>
    <w:rsid w:val="00043D4E"/>
    <w:rsid w:val="00043F91"/>
    <w:rsid w:val="000445E0"/>
    <w:rsid w:val="000449A7"/>
    <w:rsid w:val="00045E65"/>
    <w:rsid w:val="00045E7C"/>
    <w:rsid w:val="00046B0F"/>
    <w:rsid w:val="00046C3D"/>
    <w:rsid w:val="0004764C"/>
    <w:rsid w:val="00050004"/>
    <w:rsid w:val="0005011A"/>
    <w:rsid w:val="000502B8"/>
    <w:rsid w:val="00050388"/>
    <w:rsid w:val="0005045A"/>
    <w:rsid w:val="000514F8"/>
    <w:rsid w:val="00051A65"/>
    <w:rsid w:val="00051C1E"/>
    <w:rsid w:val="00052F1D"/>
    <w:rsid w:val="000539F9"/>
    <w:rsid w:val="00053A98"/>
    <w:rsid w:val="00053AC1"/>
    <w:rsid w:val="000543B6"/>
    <w:rsid w:val="00054C27"/>
    <w:rsid w:val="00054CFC"/>
    <w:rsid w:val="000552FC"/>
    <w:rsid w:val="00055EC3"/>
    <w:rsid w:val="00056030"/>
    <w:rsid w:val="000560C0"/>
    <w:rsid w:val="000563CE"/>
    <w:rsid w:val="0005683E"/>
    <w:rsid w:val="00056841"/>
    <w:rsid w:val="00056933"/>
    <w:rsid w:val="00056BFF"/>
    <w:rsid w:val="000605D8"/>
    <w:rsid w:val="000611EE"/>
    <w:rsid w:val="00061731"/>
    <w:rsid w:val="00061D08"/>
    <w:rsid w:val="00061D86"/>
    <w:rsid w:val="00062301"/>
    <w:rsid w:val="0006393B"/>
    <w:rsid w:val="00064285"/>
    <w:rsid w:val="000659B6"/>
    <w:rsid w:val="00065A60"/>
    <w:rsid w:val="00065F86"/>
    <w:rsid w:val="00066302"/>
    <w:rsid w:val="0006637F"/>
    <w:rsid w:val="00066555"/>
    <w:rsid w:val="000665C1"/>
    <w:rsid w:val="0006686F"/>
    <w:rsid w:val="00066C20"/>
    <w:rsid w:val="0006722A"/>
    <w:rsid w:val="000672CA"/>
    <w:rsid w:val="00067CAA"/>
    <w:rsid w:val="000700BE"/>
    <w:rsid w:val="00070479"/>
    <w:rsid w:val="00070D63"/>
    <w:rsid w:val="000732CF"/>
    <w:rsid w:val="00073E8B"/>
    <w:rsid w:val="00074247"/>
    <w:rsid w:val="000744D6"/>
    <w:rsid w:val="00074EAA"/>
    <w:rsid w:val="000751FF"/>
    <w:rsid w:val="00075AF9"/>
    <w:rsid w:val="00075B96"/>
    <w:rsid w:val="00076717"/>
    <w:rsid w:val="00076C4A"/>
    <w:rsid w:val="00076DFF"/>
    <w:rsid w:val="0007707F"/>
    <w:rsid w:val="000771E6"/>
    <w:rsid w:val="00077570"/>
    <w:rsid w:val="00080226"/>
    <w:rsid w:val="0008068C"/>
    <w:rsid w:val="00081019"/>
    <w:rsid w:val="0008196A"/>
    <w:rsid w:val="00081F14"/>
    <w:rsid w:val="000840BF"/>
    <w:rsid w:val="000840D2"/>
    <w:rsid w:val="00084150"/>
    <w:rsid w:val="000841B3"/>
    <w:rsid w:val="000861BD"/>
    <w:rsid w:val="0008681F"/>
    <w:rsid w:val="00087046"/>
    <w:rsid w:val="000873B2"/>
    <w:rsid w:val="000900BC"/>
    <w:rsid w:val="00090A99"/>
    <w:rsid w:val="000915ED"/>
    <w:rsid w:val="00091F55"/>
    <w:rsid w:val="0009209D"/>
    <w:rsid w:val="000923C9"/>
    <w:rsid w:val="00092A3F"/>
    <w:rsid w:val="000944C4"/>
    <w:rsid w:val="0009457F"/>
    <w:rsid w:val="00094DDE"/>
    <w:rsid w:val="000969BD"/>
    <w:rsid w:val="000969BF"/>
    <w:rsid w:val="00096F41"/>
    <w:rsid w:val="00097437"/>
    <w:rsid w:val="000A0C22"/>
    <w:rsid w:val="000A1400"/>
    <w:rsid w:val="000A21CB"/>
    <w:rsid w:val="000A2E4F"/>
    <w:rsid w:val="000A33B0"/>
    <w:rsid w:val="000A3B8C"/>
    <w:rsid w:val="000A3C43"/>
    <w:rsid w:val="000A4A51"/>
    <w:rsid w:val="000A5017"/>
    <w:rsid w:val="000A5D2B"/>
    <w:rsid w:val="000A6FFA"/>
    <w:rsid w:val="000A72B8"/>
    <w:rsid w:val="000A7AA8"/>
    <w:rsid w:val="000B0792"/>
    <w:rsid w:val="000B0858"/>
    <w:rsid w:val="000B08C0"/>
    <w:rsid w:val="000B11D6"/>
    <w:rsid w:val="000B14C8"/>
    <w:rsid w:val="000B1B8D"/>
    <w:rsid w:val="000B2863"/>
    <w:rsid w:val="000B288B"/>
    <w:rsid w:val="000B2E85"/>
    <w:rsid w:val="000B357B"/>
    <w:rsid w:val="000B3E5A"/>
    <w:rsid w:val="000B40C3"/>
    <w:rsid w:val="000B43D1"/>
    <w:rsid w:val="000B5DE3"/>
    <w:rsid w:val="000B6569"/>
    <w:rsid w:val="000B6AE7"/>
    <w:rsid w:val="000B704A"/>
    <w:rsid w:val="000B74D2"/>
    <w:rsid w:val="000B7D60"/>
    <w:rsid w:val="000C0224"/>
    <w:rsid w:val="000C05BB"/>
    <w:rsid w:val="000C0A57"/>
    <w:rsid w:val="000C0EB1"/>
    <w:rsid w:val="000C15F7"/>
    <w:rsid w:val="000C17A2"/>
    <w:rsid w:val="000C18EB"/>
    <w:rsid w:val="000C1FF1"/>
    <w:rsid w:val="000C230C"/>
    <w:rsid w:val="000C3C95"/>
    <w:rsid w:val="000C40B8"/>
    <w:rsid w:val="000C4A1A"/>
    <w:rsid w:val="000C4B3A"/>
    <w:rsid w:val="000C4B58"/>
    <w:rsid w:val="000C5159"/>
    <w:rsid w:val="000C5B5A"/>
    <w:rsid w:val="000C6026"/>
    <w:rsid w:val="000C6712"/>
    <w:rsid w:val="000C6AB4"/>
    <w:rsid w:val="000C6B6B"/>
    <w:rsid w:val="000C79DC"/>
    <w:rsid w:val="000C7B7C"/>
    <w:rsid w:val="000D0E55"/>
    <w:rsid w:val="000D1016"/>
    <w:rsid w:val="000D13B5"/>
    <w:rsid w:val="000D147D"/>
    <w:rsid w:val="000D14CA"/>
    <w:rsid w:val="000D1514"/>
    <w:rsid w:val="000D17A2"/>
    <w:rsid w:val="000D19CE"/>
    <w:rsid w:val="000D455C"/>
    <w:rsid w:val="000D59EE"/>
    <w:rsid w:val="000D5B98"/>
    <w:rsid w:val="000D5B99"/>
    <w:rsid w:val="000D63CA"/>
    <w:rsid w:val="000D68CD"/>
    <w:rsid w:val="000D714F"/>
    <w:rsid w:val="000D71D9"/>
    <w:rsid w:val="000D73F2"/>
    <w:rsid w:val="000D76E0"/>
    <w:rsid w:val="000D7C83"/>
    <w:rsid w:val="000D7E8B"/>
    <w:rsid w:val="000E0971"/>
    <w:rsid w:val="000E1142"/>
    <w:rsid w:val="000E1EA1"/>
    <w:rsid w:val="000E23AC"/>
    <w:rsid w:val="000E26FA"/>
    <w:rsid w:val="000E2C1D"/>
    <w:rsid w:val="000E2D1A"/>
    <w:rsid w:val="000E2DCF"/>
    <w:rsid w:val="000E32CF"/>
    <w:rsid w:val="000E3D48"/>
    <w:rsid w:val="000E4449"/>
    <w:rsid w:val="000E4577"/>
    <w:rsid w:val="000E4B47"/>
    <w:rsid w:val="000E4EF5"/>
    <w:rsid w:val="000E5AEA"/>
    <w:rsid w:val="000E5C12"/>
    <w:rsid w:val="000E6097"/>
    <w:rsid w:val="000E6E8C"/>
    <w:rsid w:val="000E7074"/>
    <w:rsid w:val="000E71F1"/>
    <w:rsid w:val="000E7ABC"/>
    <w:rsid w:val="000F07BB"/>
    <w:rsid w:val="000F08CE"/>
    <w:rsid w:val="000F1B3C"/>
    <w:rsid w:val="000F2BA0"/>
    <w:rsid w:val="000F2E23"/>
    <w:rsid w:val="000F2EA1"/>
    <w:rsid w:val="000F3325"/>
    <w:rsid w:val="000F38B1"/>
    <w:rsid w:val="000F4EE0"/>
    <w:rsid w:val="000F5813"/>
    <w:rsid w:val="000F6CAA"/>
    <w:rsid w:val="000F7B77"/>
    <w:rsid w:val="000F7C75"/>
    <w:rsid w:val="000F7F39"/>
    <w:rsid w:val="00100860"/>
    <w:rsid w:val="0010093B"/>
    <w:rsid w:val="0010197A"/>
    <w:rsid w:val="00101B82"/>
    <w:rsid w:val="0010223F"/>
    <w:rsid w:val="0010235C"/>
    <w:rsid w:val="00102B89"/>
    <w:rsid w:val="00102C69"/>
    <w:rsid w:val="00103334"/>
    <w:rsid w:val="00103829"/>
    <w:rsid w:val="0010385C"/>
    <w:rsid w:val="00103A5A"/>
    <w:rsid w:val="00103F01"/>
    <w:rsid w:val="0010437D"/>
    <w:rsid w:val="00104578"/>
    <w:rsid w:val="001046A0"/>
    <w:rsid w:val="00104D3F"/>
    <w:rsid w:val="00106166"/>
    <w:rsid w:val="00106520"/>
    <w:rsid w:val="0010777D"/>
    <w:rsid w:val="00107869"/>
    <w:rsid w:val="00107EBB"/>
    <w:rsid w:val="00110D1C"/>
    <w:rsid w:val="001111A7"/>
    <w:rsid w:val="00111B2A"/>
    <w:rsid w:val="00111FCE"/>
    <w:rsid w:val="00112FC0"/>
    <w:rsid w:val="001149E1"/>
    <w:rsid w:val="00114A0A"/>
    <w:rsid w:val="00114FDF"/>
    <w:rsid w:val="00115B36"/>
    <w:rsid w:val="00115B7C"/>
    <w:rsid w:val="001165C1"/>
    <w:rsid w:val="001167FB"/>
    <w:rsid w:val="001177E6"/>
    <w:rsid w:val="001177F8"/>
    <w:rsid w:val="00121220"/>
    <w:rsid w:val="00121A51"/>
    <w:rsid w:val="001221AF"/>
    <w:rsid w:val="001229A5"/>
    <w:rsid w:val="00122F6F"/>
    <w:rsid w:val="00122FA6"/>
    <w:rsid w:val="001230E3"/>
    <w:rsid w:val="00123909"/>
    <w:rsid w:val="0012431F"/>
    <w:rsid w:val="0012489B"/>
    <w:rsid w:val="00125AD1"/>
    <w:rsid w:val="001265AF"/>
    <w:rsid w:val="00126ADB"/>
    <w:rsid w:val="0012730F"/>
    <w:rsid w:val="00127730"/>
    <w:rsid w:val="001279FD"/>
    <w:rsid w:val="00130017"/>
    <w:rsid w:val="00130373"/>
    <w:rsid w:val="00130EC2"/>
    <w:rsid w:val="00130F91"/>
    <w:rsid w:val="00131082"/>
    <w:rsid w:val="001313BD"/>
    <w:rsid w:val="0013179F"/>
    <w:rsid w:val="001319AB"/>
    <w:rsid w:val="00131B90"/>
    <w:rsid w:val="00131D4A"/>
    <w:rsid w:val="00131FA6"/>
    <w:rsid w:val="00132BC7"/>
    <w:rsid w:val="00134219"/>
    <w:rsid w:val="00134930"/>
    <w:rsid w:val="001349ED"/>
    <w:rsid w:val="00135189"/>
    <w:rsid w:val="001353BC"/>
    <w:rsid w:val="00135790"/>
    <w:rsid w:val="001359B2"/>
    <w:rsid w:val="00135C51"/>
    <w:rsid w:val="00136754"/>
    <w:rsid w:val="00137424"/>
    <w:rsid w:val="0013765B"/>
    <w:rsid w:val="00137798"/>
    <w:rsid w:val="00137B26"/>
    <w:rsid w:val="00140318"/>
    <w:rsid w:val="00141407"/>
    <w:rsid w:val="00141479"/>
    <w:rsid w:val="00141AD9"/>
    <w:rsid w:val="00141C23"/>
    <w:rsid w:val="00141E73"/>
    <w:rsid w:val="00142C5E"/>
    <w:rsid w:val="001441EC"/>
    <w:rsid w:val="00145060"/>
    <w:rsid w:val="001455E6"/>
    <w:rsid w:val="00145F6D"/>
    <w:rsid w:val="001461CE"/>
    <w:rsid w:val="0014633C"/>
    <w:rsid w:val="00146CE6"/>
    <w:rsid w:val="0015005A"/>
    <w:rsid w:val="00150173"/>
    <w:rsid w:val="001503C5"/>
    <w:rsid w:val="001506BE"/>
    <w:rsid w:val="00151092"/>
    <w:rsid w:val="0015131C"/>
    <w:rsid w:val="00151905"/>
    <w:rsid w:val="00151E32"/>
    <w:rsid w:val="0015211C"/>
    <w:rsid w:val="00152289"/>
    <w:rsid w:val="001524EA"/>
    <w:rsid w:val="00152773"/>
    <w:rsid w:val="00152903"/>
    <w:rsid w:val="00153FD5"/>
    <w:rsid w:val="00154394"/>
    <w:rsid w:val="001543C2"/>
    <w:rsid w:val="0015455B"/>
    <w:rsid w:val="00154883"/>
    <w:rsid w:val="0015557A"/>
    <w:rsid w:val="00155B4D"/>
    <w:rsid w:val="0015614F"/>
    <w:rsid w:val="0015619E"/>
    <w:rsid w:val="001568EE"/>
    <w:rsid w:val="00156E23"/>
    <w:rsid w:val="00156FEC"/>
    <w:rsid w:val="0015724D"/>
    <w:rsid w:val="001577C2"/>
    <w:rsid w:val="00157B42"/>
    <w:rsid w:val="00157D09"/>
    <w:rsid w:val="001606B5"/>
    <w:rsid w:val="001628E5"/>
    <w:rsid w:val="00162B0A"/>
    <w:rsid w:val="001633C4"/>
    <w:rsid w:val="00163EBB"/>
    <w:rsid w:val="00164080"/>
    <w:rsid w:val="00164457"/>
    <w:rsid w:val="00164538"/>
    <w:rsid w:val="0016457E"/>
    <w:rsid w:val="001650A4"/>
    <w:rsid w:val="001652F5"/>
    <w:rsid w:val="00165B27"/>
    <w:rsid w:val="001666B1"/>
    <w:rsid w:val="00166E8D"/>
    <w:rsid w:val="0016707A"/>
    <w:rsid w:val="00167A92"/>
    <w:rsid w:val="00167A9E"/>
    <w:rsid w:val="00167F98"/>
    <w:rsid w:val="00170536"/>
    <w:rsid w:val="00170942"/>
    <w:rsid w:val="00170A40"/>
    <w:rsid w:val="00170A48"/>
    <w:rsid w:val="00171591"/>
    <w:rsid w:val="00171A57"/>
    <w:rsid w:val="00172129"/>
    <w:rsid w:val="001727F6"/>
    <w:rsid w:val="00172BAF"/>
    <w:rsid w:val="0017304D"/>
    <w:rsid w:val="001730F9"/>
    <w:rsid w:val="001736BA"/>
    <w:rsid w:val="00173981"/>
    <w:rsid w:val="0017457E"/>
    <w:rsid w:val="001748E1"/>
    <w:rsid w:val="0017508B"/>
    <w:rsid w:val="00175A0C"/>
    <w:rsid w:val="00176320"/>
    <w:rsid w:val="00176A8F"/>
    <w:rsid w:val="00176C2A"/>
    <w:rsid w:val="0017719D"/>
    <w:rsid w:val="0017742E"/>
    <w:rsid w:val="00177699"/>
    <w:rsid w:val="00180069"/>
    <w:rsid w:val="00180125"/>
    <w:rsid w:val="001801B3"/>
    <w:rsid w:val="0018027D"/>
    <w:rsid w:val="00180E4A"/>
    <w:rsid w:val="00182011"/>
    <w:rsid w:val="001826B5"/>
    <w:rsid w:val="00183C3F"/>
    <w:rsid w:val="00183FD7"/>
    <w:rsid w:val="00184244"/>
    <w:rsid w:val="001842D8"/>
    <w:rsid w:val="00184913"/>
    <w:rsid w:val="00185CAB"/>
    <w:rsid w:val="00185E72"/>
    <w:rsid w:val="00185F7A"/>
    <w:rsid w:val="00186DFA"/>
    <w:rsid w:val="001875B7"/>
    <w:rsid w:val="0018778A"/>
    <w:rsid w:val="0018783E"/>
    <w:rsid w:val="00187C1F"/>
    <w:rsid w:val="00187CB3"/>
    <w:rsid w:val="00187ECD"/>
    <w:rsid w:val="0019050A"/>
    <w:rsid w:val="00190835"/>
    <w:rsid w:val="00190B36"/>
    <w:rsid w:val="00190CF4"/>
    <w:rsid w:val="001910D4"/>
    <w:rsid w:val="00192093"/>
    <w:rsid w:val="00193043"/>
    <w:rsid w:val="00193A1F"/>
    <w:rsid w:val="00195502"/>
    <w:rsid w:val="00195D3E"/>
    <w:rsid w:val="001965FF"/>
    <w:rsid w:val="00196ACE"/>
    <w:rsid w:val="0019738E"/>
    <w:rsid w:val="0019741B"/>
    <w:rsid w:val="00197460"/>
    <w:rsid w:val="001976E3"/>
    <w:rsid w:val="00197D04"/>
    <w:rsid w:val="00197FA2"/>
    <w:rsid w:val="001A00F0"/>
    <w:rsid w:val="001A05AD"/>
    <w:rsid w:val="001A152B"/>
    <w:rsid w:val="001A16F8"/>
    <w:rsid w:val="001A26B2"/>
    <w:rsid w:val="001A280F"/>
    <w:rsid w:val="001A29C9"/>
    <w:rsid w:val="001A2BCE"/>
    <w:rsid w:val="001A3EAD"/>
    <w:rsid w:val="001A44EC"/>
    <w:rsid w:val="001A4957"/>
    <w:rsid w:val="001A4C16"/>
    <w:rsid w:val="001A4C2E"/>
    <w:rsid w:val="001A4D26"/>
    <w:rsid w:val="001A5455"/>
    <w:rsid w:val="001A658B"/>
    <w:rsid w:val="001A65F9"/>
    <w:rsid w:val="001A7022"/>
    <w:rsid w:val="001A7A5A"/>
    <w:rsid w:val="001B05E2"/>
    <w:rsid w:val="001B0608"/>
    <w:rsid w:val="001B0C82"/>
    <w:rsid w:val="001B1178"/>
    <w:rsid w:val="001B1339"/>
    <w:rsid w:val="001B174C"/>
    <w:rsid w:val="001B1A9E"/>
    <w:rsid w:val="001B1CF3"/>
    <w:rsid w:val="001B291A"/>
    <w:rsid w:val="001B3FD4"/>
    <w:rsid w:val="001B4678"/>
    <w:rsid w:val="001B4B87"/>
    <w:rsid w:val="001B5364"/>
    <w:rsid w:val="001B58AA"/>
    <w:rsid w:val="001B6639"/>
    <w:rsid w:val="001B73A3"/>
    <w:rsid w:val="001B795F"/>
    <w:rsid w:val="001B7B8B"/>
    <w:rsid w:val="001B7E48"/>
    <w:rsid w:val="001B7FDF"/>
    <w:rsid w:val="001C0090"/>
    <w:rsid w:val="001C0469"/>
    <w:rsid w:val="001C079D"/>
    <w:rsid w:val="001C0DB6"/>
    <w:rsid w:val="001C1266"/>
    <w:rsid w:val="001C1334"/>
    <w:rsid w:val="001C17CE"/>
    <w:rsid w:val="001C1C10"/>
    <w:rsid w:val="001C1DC9"/>
    <w:rsid w:val="001C2028"/>
    <w:rsid w:val="001C28A8"/>
    <w:rsid w:val="001C36CA"/>
    <w:rsid w:val="001C375F"/>
    <w:rsid w:val="001C3BC8"/>
    <w:rsid w:val="001C3C95"/>
    <w:rsid w:val="001C44D1"/>
    <w:rsid w:val="001C4D30"/>
    <w:rsid w:val="001C519A"/>
    <w:rsid w:val="001C552C"/>
    <w:rsid w:val="001C5880"/>
    <w:rsid w:val="001C5892"/>
    <w:rsid w:val="001C5DFE"/>
    <w:rsid w:val="001C6255"/>
    <w:rsid w:val="001C65A2"/>
    <w:rsid w:val="001C68CD"/>
    <w:rsid w:val="001C6A1F"/>
    <w:rsid w:val="001C6AEE"/>
    <w:rsid w:val="001C6B28"/>
    <w:rsid w:val="001C7630"/>
    <w:rsid w:val="001C7769"/>
    <w:rsid w:val="001C7F77"/>
    <w:rsid w:val="001D1153"/>
    <w:rsid w:val="001D120D"/>
    <w:rsid w:val="001D1ACC"/>
    <w:rsid w:val="001D3ACA"/>
    <w:rsid w:val="001D3DD1"/>
    <w:rsid w:val="001D3F8C"/>
    <w:rsid w:val="001D4576"/>
    <w:rsid w:val="001D49F2"/>
    <w:rsid w:val="001D4C5E"/>
    <w:rsid w:val="001D5059"/>
    <w:rsid w:val="001D5078"/>
    <w:rsid w:val="001D5337"/>
    <w:rsid w:val="001D5683"/>
    <w:rsid w:val="001D5F2E"/>
    <w:rsid w:val="001D6C17"/>
    <w:rsid w:val="001D6D15"/>
    <w:rsid w:val="001D7ADE"/>
    <w:rsid w:val="001E0531"/>
    <w:rsid w:val="001E0A35"/>
    <w:rsid w:val="001E0AEF"/>
    <w:rsid w:val="001E14F2"/>
    <w:rsid w:val="001E1857"/>
    <w:rsid w:val="001E1984"/>
    <w:rsid w:val="001E1D0B"/>
    <w:rsid w:val="001E2BBA"/>
    <w:rsid w:val="001E3518"/>
    <w:rsid w:val="001E3808"/>
    <w:rsid w:val="001E39F1"/>
    <w:rsid w:val="001E442A"/>
    <w:rsid w:val="001E44CC"/>
    <w:rsid w:val="001E45BF"/>
    <w:rsid w:val="001E4711"/>
    <w:rsid w:val="001E4EE9"/>
    <w:rsid w:val="001E54CA"/>
    <w:rsid w:val="001E56AB"/>
    <w:rsid w:val="001E5818"/>
    <w:rsid w:val="001E621E"/>
    <w:rsid w:val="001E66A4"/>
    <w:rsid w:val="001E6B7C"/>
    <w:rsid w:val="001E70EC"/>
    <w:rsid w:val="001E73D3"/>
    <w:rsid w:val="001E7A3B"/>
    <w:rsid w:val="001E7C9F"/>
    <w:rsid w:val="001F007D"/>
    <w:rsid w:val="001F05B7"/>
    <w:rsid w:val="001F05C5"/>
    <w:rsid w:val="001F0FCF"/>
    <w:rsid w:val="001F10DF"/>
    <w:rsid w:val="001F12C5"/>
    <w:rsid w:val="001F1A92"/>
    <w:rsid w:val="001F1C0D"/>
    <w:rsid w:val="001F2B50"/>
    <w:rsid w:val="001F4FBF"/>
    <w:rsid w:val="001F525A"/>
    <w:rsid w:val="001F5888"/>
    <w:rsid w:val="001F6693"/>
    <w:rsid w:val="001F7558"/>
    <w:rsid w:val="00200626"/>
    <w:rsid w:val="00200C0D"/>
    <w:rsid w:val="00200DB5"/>
    <w:rsid w:val="0020189B"/>
    <w:rsid w:val="00201D19"/>
    <w:rsid w:val="00202681"/>
    <w:rsid w:val="00202F6D"/>
    <w:rsid w:val="0020355C"/>
    <w:rsid w:val="002036ED"/>
    <w:rsid w:val="00203A2C"/>
    <w:rsid w:val="002042CC"/>
    <w:rsid w:val="002049DC"/>
    <w:rsid w:val="00205178"/>
    <w:rsid w:val="002057FE"/>
    <w:rsid w:val="00205B57"/>
    <w:rsid w:val="002063DD"/>
    <w:rsid w:val="00207546"/>
    <w:rsid w:val="0020758A"/>
    <w:rsid w:val="00211BC7"/>
    <w:rsid w:val="002126A3"/>
    <w:rsid w:val="002130CA"/>
    <w:rsid w:val="0021367E"/>
    <w:rsid w:val="00213873"/>
    <w:rsid w:val="002157E0"/>
    <w:rsid w:val="002160B3"/>
    <w:rsid w:val="002165B5"/>
    <w:rsid w:val="00216A28"/>
    <w:rsid w:val="00216A57"/>
    <w:rsid w:val="00216E87"/>
    <w:rsid w:val="00217366"/>
    <w:rsid w:val="00217999"/>
    <w:rsid w:val="002179AD"/>
    <w:rsid w:val="00217C20"/>
    <w:rsid w:val="00220386"/>
    <w:rsid w:val="00220487"/>
    <w:rsid w:val="00220C87"/>
    <w:rsid w:val="0022159A"/>
    <w:rsid w:val="002219C2"/>
    <w:rsid w:val="002220C8"/>
    <w:rsid w:val="002225F7"/>
    <w:rsid w:val="00222963"/>
    <w:rsid w:val="002231C9"/>
    <w:rsid w:val="0022334F"/>
    <w:rsid w:val="00224F31"/>
    <w:rsid w:val="00224FA3"/>
    <w:rsid w:val="00226819"/>
    <w:rsid w:val="00226A35"/>
    <w:rsid w:val="00227895"/>
    <w:rsid w:val="002304F9"/>
    <w:rsid w:val="00231522"/>
    <w:rsid w:val="00233101"/>
    <w:rsid w:val="0023357D"/>
    <w:rsid w:val="00233817"/>
    <w:rsid w:val="00233F1F"/>
    <w:rsid w:val="00233FA6"/>
    <w:rsid w:val="00234302"/>
    <w:rsid w:val="0023438C"/>
    <w:rsid w:val="00235311"/>
    <w:rsid w:val="002354A2"/>
    <w:rsid w:val="00235A67"/>
    <w:rsid w:val="002367FF"/>
    <w:rsid w:val="00236B6C"/>
    <w:rsid w:val="00236FA5"/>
    <w:rsid w:val="002370E0"/>
    <w:rsid w:val="00237518"/>
    <w:rsid w:val="0023782A"/>
    <w:rsid w:val="00237DB9"/>
    <w:rsid w:val="00240469"/>
    <w:rsid w:val="0024069E"/>
    <w:rsid w:val="00240CE9"/>
    <w:rsid w:val="002434BA"/>
    <w:rsid w:val="0024466B"/>
    <w:rsid w:val="00244689"/>
    <w:rsid w:val="002448E9"/>
    <w:rsid w:val="00246089"/>
    <w:rsid w:val="00246093"/>
    <w:rsid w:val="00246702"/>
    <w:rsid w:val="00246F30"/>
    <w:rsid w:val="00247859"/>
    <w:rsid w:val="00247C59"/>
    <w:rsid w:val="00247F2E"/>
    <w:rsid w:val="00250094"/>
    <w:rsid w:val="002506CE"/>
    <w:rsid w:val="00250ADC"/>
    <w:rsid w:val="00250B07"/>
    <w:rsid w:val="002510FB"/>
    <w:rsid w:val="0025110B"/>
    <w:rsid w:val="002514CE"/>
    <w:rsid w:val="0025150F"/>
    <w:rsid w:val="00251523"/>
    <w:rsid w:val="00251EC6"/>
    <w:rsid w:val="00252DAE"/>
    <w:rsid w:val="00252E4C"/>
    <w:rsid w:val="0025303E"/>
    <w:rsid w:val="0025365A"/>
    <w:rsid w:val="00254433"/>
    <w:rsid w:val="0025468F"/>
    <w:rsid w:val="00254923"/>
    <w:rsid w:val="00254FD8"/>
    <w:rsid w:val="00255841"/>
    <w:rsid w:val="00255B5C"/>
    <w:rsid w:val="00257553"/>
    <w:rsid w:val="002602C4"/>
    <w:rsid w:val="00260922"/>
    <w:rsid w:val="00260FB2"/>
    <w:rsid w:val="002610D5"/>
    <w:rsid w:val="00261E86"/>
    <w:rsid w:val="00261E89"/>
    <w:rsid w:val="00262128"/>
    <w:rsid w:val="002621AE"/>
    <w:rsid w:val="0026260A"/>
    <w:rsid w:val="0026287B"/>
    <w:rsid w:val="002632A7"/>
    <w:rsid w:val="00263B92"/>
    <w:rsid w:val="00263FB3"/>
    <w:rsid w:val="0026411B"/>
    <w:rsid w:val="002644EF"/>
    <w:rsid w:val="0026465E"/>
    <w:rsid w:val="002647C2"/>
    <w:rsid w:val="00265006"/>
    <w:rsid w:val="00265559"/>
    <w:rsid w:val="002672CB"/>
    <w:rsid w:val="00267894"/>
    <w:rsid w:val="00267AF1"/>
    <w:rsid w:val="00267E98"/>
    <w:rsid w:val="002707E4"/>
    <w:rsid w:val="00270F44"/>
    <w:rsid w:val="0027165D"/>
    <w:rsid w:val="00272C5E"/>
    <w:rsid w:val="0027307B"/>
    <w:rsid w:val="00273CEB"/>
    <w:rsid w:val="00275375"/>
    <w:rsid w:val="00276166"/>
    <w:rsid w:val="00276C4C"/>
    <w:rsid w:val="00276D4B"/>
    <w:rsid w:val="00277141"/>
    <w:rsid w:val="002771E9"/>
    <w:rsid w:val="00277390"/>
    <w:rsid w:val="002812AA"/>
    <w:rsid w:val="002812E6"/>
    <w:rsid w:val="0028184D"/>
    <w:rsid w:val="00281AC7"/>
    <w:rsid w:val="00281BB0"/>
    <w:rsid w:val="00281C89"/>
    <w:rsid w:val="00281FD9"/>
    <w:rsid w:val="00282277"/>
    <w:rsid w:val="0028282F"/>
    <w:rsid w:val="0028287E"/>
    <w:rsid w:val="00283601"/>
    <w:rsid w:val="00283AA0"/>
    <w:rsid w:val="002856D4"/>
    <w:rsid w:val="002856FA"/>
    <w:rsid w:val="002866B8"/>
    <w:rsid w:val="0029047A"/>
    <w:rsid w:val="002907B2"/>
    <w:rsid w:val="00291D09"/>
    <w:rsid w:val="00292043"/>
    <w:rsid w:val="00292090"/>
    <w:rsid w:val="00292C77"/>
    <w:rsid w:val="00294225"/>
    <w:rsid w:val="002949C7"/>
    <w:rsid w:val="002951E7"/>
    <w:rsid w:val="002951ED"/>
    <w:rsid w:val="0029593B"/>
    <w:rsid w:val="00297B0A"/>
    <w:rsid w:val="00297FC5"/>
    <w:rsid w:val="002A0417"/>
    <w:rsid w:val="002A0812"/>
    <w:rsid w:val="002A0DDA"/>
    <w:rsid w:val="002A16D8"/>
    <w:rsid w:val="002A18E7"/>
    <w:rsid w:val="002A19FD"/>
    <w:rsid w:val="002A1BC8"/>
    <w:rsid w:val="002A210B"/>
    <w:rsid w:val="002A223F"/>
    <w:rsid w:val="002A247F"/>
    <w:rsid w:val="002A25E8"/>
    <w:rsid w:val="002A323F"/>
    <w:rsid w:val="002A3568"/>
    <w:rsid w:val="002A37CC"/>
    <w:rsid w:val="002A3EF2"/>
    <w:rsid w:val="002A4029"/>
    <w:rsid w:val="002A4AC6"/>
    <w:rsid w:val="002A4BE2"/>
    <w:rsid w:val="002A4CDB"/>
    <w:rsid w:val="002A5053"/>
    <w:rsid w:val="002A5A57"/>
    <w:rsid w:val="002A6019"/>
    <w:rsid w:val="002A6025"/>
    <w:rsid w:val="002A61BB"/>
    <w:rsid w:val="002A644B"/>
    <w:rsid w:val="002A67E2"/>
    <w:rsid w:val="002A6B1F"/>
    <w:rsid w:val="002A6C4B"/>
    <w:rsid w:val="002A6DA2"/>
    <w:rsid w:val="002A7729"/>
    <w:rsid w:val="002A7750"/>
    <w:rsid w:val="002A788C"/>
    <w:rsid w:val="002A7F7B"/>
    <w:rsid w:val="002B013F"/>
    <w:rsid w:val="002B08EF"/>
    <w:rsid w:val="002B0DED"/>
    <w:rsid w:val="002B118C"/>
    <w:rsid w:val="002B177E"/>
    <w:rsid w:val="002B19A2"/>
    <w:rsid w:val="002B1C1D"/>
    <w:rsid w:val="002B1F63"/>
    <w:rsid w:val="002B22F5"/>
    <w:rsid w:val="002B360D"/>
    <w:rsid w:val="002B381A"/>
    <w:rsid w:val="002B3862"/>
    <w:rsid w:val="002B3A7E"/>
    <w:rsid w:val="002B3ADC"/>
    <w:rsid w:val="002B3CEC"/>
    <w:rsid w:val="002B4453"/>
    <w:rsid w:val="002B4C37"/>
    <w:rsid w:val="002B4FCC"/>
    <w:rsid w:val="002B4FEE"/>
    <w:rsid w:val="002B50E6"/>
    <w:rsid w:val="002B510B"/>
    <w:rsid w:val="002B5483"/>
    <w:rsid w:val="002B55B8"/>
    <w:rsid w:val="002B56E0"/>
    <w:rsid w:val="002B6CA0"/>
    <w:rsid w:val="002B7408"/>
    <w:rsid w:val="002B7A2E"/>
    <w:rsid w:val="002B7C67"/>
    <w:rsid w:val="002B7CFD"/>
    <w:rsid w:val="002C15AB"/>
    <w:rsid w:val="002C1990"/>
    <w:rsid w:val="002C1F62"/>
    <w:rsid w:val="002C1F70"/>
    <w:rsid w:val="002C210F"/>
    <w:rsid w:val="002C27F3"/>
    <w:rsid w:val="002C29A1"/>
    <w:rsid w:val="002C3018"/>
    <w:rsid w:val="002C3108"/>
    <w:rsid w:val="002C57FC"/>
    <w:rsid w:val="002C5AD3"/>
    <w:rsid w:val="002C5AEB"/>
    <w:rsid w:val="002C6611"/>
    <w:rsid w:val="002C6D25"/>
    <w:rsid w:val="002D1F91"/>
    <w:rsid w:val="002D2B71"/>
    <w:rsid w:val="002D2BE7"/>
    <w:rsid w:val="002D2CEA"/>
    <w:rsid w:val="002D3536"/>
    <w:rsid w:val="002D3600"/>
    <w:rsid w:val="002D3A98"/>
    <w:rsid w:val="002D3D48"/>
    <w:rsid w:val="002D3DA3"/>
    <w:rsid w:val="002D3E0B"/>
    <w:rsid w:val="002D4A0A"/>
    <w:rsid w:val="002D51D7"/>
    <w:rsid w:val="002D563F"/>
    <w:rsid w:val="002D5648"/>
    <w:rsid w:val="002D5C69"/>
    <w:rsid w:val="002D5F21"/>
    <w:rsid w:val="002D673F"/>
    <w:rsid w:val="002D699E"/>
    <w:rsid w:val="002D752B"/>
    <w:rsid w:val="002D7A17"/>
    <w:rsid w:val="002D7A60"/>
    <w:rsid w:val="002D7C75"/>
    <w:rsid w:val="002E055A"/>
    <w:rsid w:val="002E0569"/>
    <w:rsid w:val="002E05CD"/>
    <w:rsid w:val="002E09D2"/>
    <w:rsid w:val="002E12FA"/>
    <w:rsid w:val="002E173E"/>
    <w:rsid w:val="002E2211"/>
    <w:rsid w:val="002E282B"/>
    <w:rsid w:val="002E3E1A"/>
    <w:rsid w:val="002E3F59"/>
    <w:rsid w:val="002E4DDC"/>
    <w:rsid w:val="002E53E7"/>
    <w:rsid w:val="002E55EA"/>
    <w:rsid w:val="002E56DE"/>
    <w:rsid w:val="002E6C35"/>
    <w:rsid w:val="002E6CE4"/>
    <w:rsid w:val="002E6F5D"/>
    <w:rsid w:val="002F0148"/>
    <w:rsid w:val="002F0431"/>
    <w:rsid w:val="002F0543"/>
    <w:rsid w:val="002F08D0"/>
    <w:rsid w:val="002F1B6E"/>
    <w:rsid w:val="002F1CCD"/>
    <w:rsid w:val="002F2126"/>
    <w:rsid w:val="002F22FF"/>
    <w:rsid w:val="002F2565"/>
    <w:rsid w:val="002F2635"/>
    <w:rsid w:val="002F37A7"/>
    <w:rsid w:val="002F3B34"/>
    <w:rsid w:val="002F3F96"/>
    <w:rsid w:val="002F4B4A"/>
    <w:rsid w:val="002F5467"/>
    <w:rsid w:val="002F57CF"/>
    <w:rsid w:val="002F66C9"/>
    <w:rsid w:val="002F6862"/>
    <w:rsid w:val="002F692D"/>
    <w:rsid w:val="002F703D"/>
    <w:rsid w:val="002F7425"/>
    <w:rsid w:val="0030131D"/>
    <w:rsid w:val="0030132D"/>
    <w:rsid w:val="00301487"/>
    <w:rsid w:val="00301BE3"/>
    <w:rsid w:val="00302480"/>
    <w:rsid w:val="003033E2"/>
    <w:rsid w:val="003038C1"/>
    <w:rsid w:val="00304563"/>
    <w:rsid w:val="003057DC"/>
    <w:rsid w:val="00306803"/>
    <w:rsid w:val="00306D0C"/>
    <w:rsid w:val="00306E52"/>
    <w:rsid w:val="00307DE6"/>
    <w:rsid w:val="0031035A"/>
    <w:rsid w:val="00310363"/>
    <w:rsid w:val="0031062B"/>
    <w:rsid w:val="00310C12"/>
    <w:rsid w:val="00310F87"/>
    <w:rsid w:val="00310FA1"/>
    <w:rsid w:val="0031108D"/>
    <w:rsid w:val="003112CD"/>
    <w:rsid w:val="00311D85"/>
    <w:rsid w:val="00311E1B"/>
    <w:rsid w:val="003131F8"/>
    <w:rsid w:val="00314FED"/>
    <w:rsid w:val="00315691"/>
    <w:rsid w:val="00315C1F"/>
    <w:rsid w:val="003165E6"/>
    <w:rsid w:val="003175D2"/>
    <w:rsid w:val="003177F0"/>
    <w:rsid w:val="00317F7B"/>
    <w:rsid w:val="00320636"/>
    <w:rsid w:val="003207AD"/>
    <w:rsid w:val="00320ED2"/>
    <w:rsid w:val="003215B5"/>
    <w:rsid w:val="00321F23"/>
    <w:rsid w:val="003221CF"/>
    <w:rsid w:val="00322A43"/>
    <w:rsid w:val="0032319F"/>
    <w:rsid w:val="003233ED"/>
    <w:rsid w:val="00323963"/>
    <w:rsid w:val="00323C53"/>
    <w:rsid w:val="00323FBF"/>
    <w:rsid w:val="003241A3"/>
    <w:rsid w:val="00324B7C"/>
    <w:rsid w:val="00324D9F"/>
    <w:rsid w:val="003254A3"/>
    <w:rsid w:val="0032568B"/>
    <w:rsid w:val="0032579C"/>
    <w:rsid w:val="00325E0E"/>
    <w:rsid w:val="00325F4E"/>
    <w:rsid w:val="003265E6"/>
    <w:rsid w:val="00326BA9"/>
    <w:rsid w:val="00327948"/>
    <w:rsid w:val="00327F67"/>
    <w:rsid w:val="0033000F"/>
    <w:rsid w:val="003310E9"/>
    <w:rsid w:val="003319DA"/>
    <w:rsid w:val="00331FC2"/>
    <w:rsid w:val="00332011"/>
    <w:rsid w:val="00332518"/>
    <w:rsid w:val="00332925"/>
    <w:rsid w:val="00332AD1"/>
    <w:rsid w:val="00332F92"/>
    <w:rsid w:val="003332ED"/>
    <w:rsid w:val="003334BF"/>
    <w:rsid w:val="003346E8"/>
    <w:rsid w:val="00334F80"/>
    <w:rsid w:val="0033507D"/>
    <w:rsid w:val="0033570D"/>
    <w:rsid w:val="00335948"/>
    <w:rsid w:val="00335ABC"/>
    <w:rsid w:val="003368DC"/>
    <w:rsid w:val="00336AE0"/>
    <w:rsid w:val="00337DC8"/>
    <w:rsid w:val="00340915"/>
    <w:rsid w:val="00340CE9"/>
    <w:rsid w:val="0034121C"/>
    <w:rsid w:val="0034130A"/>
    <w:rsid w:val="00341525"/>
    <w:rsid w:val="00341785"/>
    <w:rsid w:val="00342B1A"/>
    <w:rsid w:val="00342C53"/>
    <w:rsid w:val="003434E7"/>
    <w:rsid w:val="00343FF6"/>
    <w:rsid w:val="0034487E"/>
    <w:rsid w:val="00345432"/>
    <w:rsid w:val="00345927"/>
    <w:rsid w:val="00345B14"/>
    <w:rsid w:val="00345B46"/>
    <w:rsid w:val="0034700A"/>
    <w:rsid w:val="00347DE7"/>
    <w:rsid w:val="00350584"/>
    <w:rsid w:val="00350A92"/>
    <w:rsid w:val="003511CE"/>
    <w:rsid w:val="00351857"/>
    <w:rsid w:val="00351BF7"/>
    <w:rsid w:val="003525E9"/>
    <w:rsid w:val="003528EF"/>
    <w:rsid w:val="00352966"/>
    <w:rsid w:val="00352CCE"/>
    <w:rsid w:val="00352CFD"/>
    <w:rsid w:val="00353584"/>
    <w:rsid w:val="00353774"/>
    <w:rsid w:val="00353A96"/>
    <w:rsid w:val="003545E8"/>
    <w:rsid w:val="00354B62"/>
    <w:rsid w:val="00354C37"/>
    <w:rsid w:val="00355B83"/>
    <w:rsid w:val="00355D93"/>
    <w:rsid w:val="00355EFC"/>
    <w:rsid w:val="00357341"/>
    <w:rsid w:val="003603BF"/>
    <w:rsid w:val="00360E2F"/>
    <w:rsid w:val="003610E1"/>
    <w:rsid w:val="00361C60"/>
    <w:rsid w:val="003621CA"/>
    <w:rsid w:val="00362D93"/>
    <w:rsid w:val="00362DFE"/>
    <w:rsid w:val="003633A4"/>
    <w:rsid w:val="0036393B"/>
    <w:rsid w:val="003642C0"/>
    <w:rsid w:val="00364395"/>
    <w:rsid w:val="00364BF9"/>
    <w:rsid w:val="00364E1E"/>
    <w:rsid w:val="00365755"/>
    <w:rsid w:val="00365856"/>
    <w:rsid w:val="003658A2"/>
    <w:rsid w:val="00365E9C"/>
    <w:rsid w:val="00365FAE"/>
    <w:rsid w:val="003670A8"/>
    <w:rsid w:val="003671BE"/>
    <w:rsid w:val="003671E0"/>
    <w:rsid w:val="00367651"/>
    <w:rsid w:val="003705E6"/>
    <w:rsid w:val="003709CA"/>
    <w:rsid w:val="00370A21"/>
    <w:rsid w:val="00370ED6"/>
    <w:rsid w:val="00372485"/>
    <w:rsid w:val="00372F21"/>
    <w:rsid w:val="00372F92"/>
    <w:rsid w:val="00373200"/>
    <w:rsid w:val="0037330B"/>
    <w:rsid w:val="003742F9"/>
    <w:rsid w:val="00374B4C"/>
    <w:rsid w:val="0037578C"/>
    <w:rsid w:val="00375EF5"/>
    <w:rsid w:val="003767A5"/>
    <w:rsid w:val="00376AAE"/>
    <w:rsid w:val="0037736E"/>
    <w:rsid w:val="00377A4B"/>
    <w:rsid w:val="00380712"/>
    <w:rsid w:val="003810CA"/>
    <w:rsid w:val="00381D15"/>
    <w:rsid w:val="00381EAB"/>
    <w:rsid w:val="00381FFC"/>
    <w:rsid w:val="00382349"/>
    <w:rsid w:val="003823BC"/>
    <w:rsid w:val="0038251D"/>
    <w:rsid w:val="00383268"/>
    <w:rsid w:val="003834D8"/>
    <w:rsid w:val="00383C76"/>
    <w:rsid w:val="00384562"/>
    <w:rsid w:val="00384D7F"/>
    <w:rsid w:val="00384F63"/>
    <w:rsid w:val="0038511A"/>
    <w:rsid w:val="00385254"/>
    <w:rsid w:val="00385932"/>
    <w:rsid w:val="0038735A"/>
    <w:rsid w:val="00387B34"/>
    <w:rsid w:val="00387B9E"/>
    <w:rsid w:val="00390A49"/>
    <w:rsid w:val="00390D87"/>
    <w:rsid w:val="0039104D"/>
    <w:rsid w:val="00392979"/>
    <w:rsid w:val="00392DDB"/>
    <w:rsid w:val="00393B10"/>
    <w:rsid w:val="00394261"/>
    <w:rsid w:val="00394704"/>
    <w:rsid w:val="00394AD4"/>
    <w:rsid w:val="0039535E"/>
    <w:rsid w:val="00395CB0"/>
    <w:rsid w:val="003A04DB"/>
    <w:rsid w:val="003A0C8F"/>
    <w:rsid w:val="003A1166"/>
    <w:rsid w:val="003A11F1"/>
    <w:rsid w:val="003A1499"/>
    <w:rsid w:val="003A1EDF"/>
    <w:rsid w:val="003A2411"/>
    <w:rsid w:val="003A242F"/>
    <w:rsid w:val="003A2623"/>
    <w:rsid w:val="003A263D"/>
    <w:rsid w:val="003A2883"/>
    <w:rsid w:val="003A2DD5"/>
    <w:rsid w:val="003A334F"/>
    <w:rsid w:val="003A34CC"/>
    <w:rsid w:val="003A3B6C"/>
    <w:rsid w:val="003A43FF"/>
    <w:rsid w:val="003A4D70"/>
    <w:rsid w:val="003A5714"/>
    <w:rsid w:val="003A596D"/>
    <w:rsid w:val="003A5F5B"/>
    <w:rsid w:val="003A6316"/>
    <w:rsid w:val="003A789A"/>
    <w:rsid w:val="003A7CDF"/>
    <w:rsid w:val="003A7FBC"/>
    <w:rsid w:val="003B0A81"/>
    <w:rsid w:val="003B0B77"/>
    <w:rsid w:val="003B12EC"/>
    <w:rsid w:val="003B1C2E"/>
    <w:rsid w:val="003B1FF4"/>
    <w:rsid w:val="003B2058"/>
    <w:rsid w:val="003B3EDE"/>
    <w:rsid w:val="003B4309"/>
    <w:rsid w:val="003B636A"/>
    <w:rsid w:val="003B6508"/>
    <w:rsid w:val="003B6600"/>
    <w:rsid w:val="003B6675"/>
    <w:rsid w:val="003C0188"/>
    <w:rsid w:val="003C0835"/>
    <w:rsid w:val="003C09A8"/>
    <w:rsid w:val="003C10E5"/>
    <w:rsid w:val="003C115C"/>
    <w:rsid w:val="003C14D5"/>
    <w:rsid w:val="003C2A9C"/>
    <w:rsid w:val="003C381A"/>
    <w:rsid w:val="003C3FA8"/>
    <w:rsid w:val="003C40E6"/>
    <w:rsid w:val="003C410F"/>
    <w:rsid w:val="003C4B54"/>
    <w:rsid w:val="003C4C17"/>
    <w:rsid w:val="003C4E7D"/>
    <w:rsid w:val="003C5155"/>
    <w:rsid w:val="003C6906"/>
    <w:rsid w:val="003C77E0"/>
    <w:rsid w:val="003C7AA9"/>
    <w:rsid w:val="003D0802"/>
    <w:rsid w:val="003D0F7F"/>
    <w:rsid w:val="003D1105"/>
    <w:rsid w:val="003D145F"/>
    <w:rsid w:val="003D17D7"/>
    <w:rsid w:val="003D1C20"/>
    <w:rsid w:val="003D212D"/>
    <w:rsid w:val="003D2581"/>
    <w:rsid w:val="003D2678"/>
    <w:rsid w:val="003D3B7E"/>
    <w:rsid w:val="003D3BA3"/>
    <w:rsid w:val="003D4A1B"/>
    <w:rsid w:val="003D509E"/>
    <w:rsid w:val="003D6407"/>
    <w:rsid w:val="003D71A3"/>
    <w:rsid w:val="003D7432"/>
    <w:rsid w:val="003D7B10"/>
    <w:rsid w:val="003E060C"/>
    <w:rsid w:val="003E076B"/>
    <w:rsid w:val="003E0BF8"/>
    <w:rsid w:val="003E0EE0"/>
    <w:rsid w:val="003E132C"/>
    <w:rsid w:val="003E20B7"/>
    <w:rsid w:val="003E2400"/>
    <w:rsid w:val="003E2B2F"/>
    <w:rsid w:val="003E2B8A"/>
    <w:rsid w:val="003E3C27"/>
    <w:rsid w:val="003E3CE0"/>
    <w:rsid w:val="003E4D46"/>
    <w:rsid w:val="003E50CD"/>
    <w:rsid w:val="003E581C"/>
    <w:rsid w:val="003E60D9"/>
    <w:rsid w:val="003E648F"/>
    <w:rsid w:val="003E6BC5"/>
    <w:rsid w:val="003E6D2B"/>
    <w:rsid w:val="003E6DC6"/>
    <w:rsid w:val="003E7444"/>
    <w:rsid w:val="003E7B07"/>
    <w:rsid w:val="003E7EE5"/>
    <w:rsid w:val="003F0755"/>
    <w:rsid w:val="003F10EE"/>
    <w:rsid w:val="003F15FB"/>
    <w:rsid w:val="003F16F6"/>
    <w:rsid w:val="003F186B"/>
    <w:rsid w:val="003F35B1"/>
    <w:rsid w:val="003F36C3"/>
    <w:rsid w:val="003F3AB0"/>
    <w:rsid w:val="003F3AD9"/>
    <w:rsid w:val="003F4906"/>
    <w:rsid w:val="003F4C40"/>
    <w:rsid w:val="003F4DC7"/>
    <w:rsid w:val="003F4F02"/>
    <w:rsid w:val="003F5235"/>
    <w:rsid w:val="003F540D"/>
    <w:rsid w:val="003F57F6"/>
    <w:rsid w:val="003F5EFE"/>
    <w:rsid w:val="00400909"/>
    <w:rsid w:val="00400D41"/>
    <w:rsid w:val="00400D85"/>
    <w:rsid w:val="00400F1A"/>
    <w:rsid w:val="004027E4"/>
    <w:rsid w:val="00402882"/>
    <w:rsid w:val="00403636"/>
    <w:rsid w:val="00403FF7"/>
    <w:rsid w:val="00405713"/>
    <w:rsid w:val="004059B8"/>
    <w:rsid w:val="00405FE6"/>
    <w:rsid w:val="004069E7"/>
    <w:rsid w:val="00406A56"/>
    <w:rsid w:val="00407B8A"/>
    <w:rsid w:val="0041071D"/>
    <w:rsid w:val="0041183B"/>
    <w:rsid w:val="004119A3"/>
    <w:rsid w:val="004126FA"/>
    <w:rsid w:val="004128CF"/>
    <w:rsid w:val="00412F27"/>
    <w:rsid w:val="00413A7E"/>
    <w:rsid w:val="00413C87"/>
    <w:rsid w:val="00414AFC"/>
    <w:rsid w:val="00414D9C"/>
    <w:rsid w:val="004151A7"/>
    <w:rsid w:val="004151E3"/>
    <w:rsid w:val="00415310"/>
    <w:rsid w:val="004156F4"/>
    <w:rsid w:val="0041570C"/>
    <w:rsid w:val="0041665F"/>
    <w:rsid w:val="00416840"/>
    <w:rsid w:val="00416E25"/>
    <w:rsid w:val="0041706C"/>
    <w:rsid w:val="0041718F"/>
    <w:rsid w:val="00417E9B"/>
    <w:rsid w:val="00420224"/>
    <w:rsid w:val="004203B6"/>
    <w:rsid w:val="004205E3"/>
    <w:rsid w:val="00421671"/>
    <w:rsid w:val="00421709"/>
    <w:rsid w:val="004224E5"/>
    <w:rsid w:val="0042278A"/>
    <w:rsid w:val="00423434"/>
    <w:rsid w:val="00423763"/>
    <w:rsid w:val="004237B8"/>
    <w:rsid w:val="004239F4"/>
    <w:rsid w:val="00425209"/>
    <w:rsid w:val="00425557"/>
    <w:rsid w:val="004256D4"/>
    <w:rsid w:val="00425A22"/>
    <w:rsid w:val="00425C9B"/>
    <w:rsid w:val="004268BF"/>
    <w:rsid w:val="00426BF5"/>
    <w:rsid w:val="00426F70"/>
    <w:rsid w:val="004273B4"/>
    <w:rsid w:val="0042762F"/>
    <w:rsid w:val="004279EC"/>
    <w:rsid w:val="00427DC7"/>
    <w:rsid w:val="004303CB"/>
    <w:rsid w:val="0043063D"/>
    <w:rsid w:val="00431282"/>
    <w:rsid w:val="00431613"/>
    <w:rsid w:val="0043176C"/>
    <w:rsid w:val="00431792"/>
    <w:rsid w:val="0043297A"/>
    <w:rsid w:val="00432EB2"/>
    <w:rsid w:val="004333B5"/>
    <w:rsid w:val="00433739"/>
    <w:rsid w:val="00433A7F"/>
    <w:rsid w:val="0043480E"/>
    <w:rsid w:val="00435704"/>
    <w:rsid w:val="00435AF5"/>
    <w:rsid w:val="00436B2F"/>
    <w:rsid w:val="00436CCD"/>
    <w:rsid w:val="0043714F"/>
    <w:rsid w:val="00437ABD"/>
    <w:rsid w:val="00437B47"/>
    <w:rsid w:val="00437BA0"/>
    <w:rsid w:val="00437C36"/>
    <w:rsid w:val="004401F8"/>
    <w:rsid w:val="00440983"/>
    <w:rsid w:val="00441D39"/>
    <w:rsid w:val="004420EB"/>
    <w:rsid w:val="00442400"/>
    <w:rsid w:val="00442BBC"/>
    <w:rsid w:val="00442F6A"/>
    <w:rsid w:val="0044350E"/>
    <w:rsid w:val="004438B5"/>
    <w:rsid w:val="00443DC0"/>
    <w:rsid w:val="0044489E"/>
    <w:rsid w:val="00444CFE"/>
    <w:rsid w:val="00444FF0"/>
    <w:rsid w:val="004453E6"/>
    <w:rsid w:val="00445511"/>
    <w:rsid w:val="00445C48"/>
    <w:rsid w:val="00445DB7"/>
    <w:rsid w:val="00446189"/>
    <w:rsid w:val="00446321"/>
    <w:rsid w:val="004465B9"/>
    <w:rsid w:val="00447037"/>
    <w:rsid w:val="00447085"/>
    <w:rsid w:val="00447358"/>
    <w:rsid w:val="004477FC"/>
    <w:rsid w:val="00450B2C"/>
    <w:rsid w:val="0045124D"/>
    <w:rsid w:val="0045178B"/>
    <w:rsid w:val="004522B3"/>
    <w:rsid w:val="0045253E"/>
    <w:rsid w:val="004525C6"/>
    <w:rsid w:val="0045340D"/>
    <w:rsid w:val="004535D5"/>
    <w:rsid w:val="00454596"/>
    <w:rsid w:val="004546AD"/>
    <w:rsid w:val="00454777"/>
    <w:rsid w:val="00454853"/>
    <w:rsid w:val="00454C32"/>
    <w:rsid w:val="00455490"/>
    <w:rsid w:val="0045605D"/>
    <w:rsid w:val="004564ED"/>
    <w:rsid w:val="00456C6A"/>
    <w:rsid w:val="004608E8"/>
    <w:rsid w:val="00460986"/>
    <w:rsid w:val="00460A91"/>
    <w:rsid w:val="00460B87"/>
    <w:rsid w:val="0046135B"/>
    <w:rsid w:val="0046169C"/>
    <w:rsid w:val="0046199A"/>
    <w:rsid w:val="00461D47"/>
    <w:rsid w:val="00462BAF"/>
    <w:rsid w:val="00462D1A"/>
    <w:rsid w:val="0046333D"/>
    <w:rsid w:val="00463580"/>
    <w:rsid w:val="00463E1E"/>
    <w:rsid w:val="00464865"/>
    <w:rsid w:val="004650E2"/>
    <w:rsid w:val="00466400"/>
    <w:rsid w:val="00466512"/>
    <w:rsid w:val="00466753"/>
    <w:rsid w:val="00466B9A"/>
    <w:rsid w:val="00467050"/>
    <w:rsid w:val="004670C2"/>
    <w:rsid w:val="004675CC"/>
    <w:rsid w:val="00467DEF"/>
    <w:rsid w:val="0047063F"/>
    <w:rsid w:val="004708F7"/>
    <w:rsid w:val="0047173B"/>
    <w:rsid w:val="0047174E"/>
    <w:rsid w:val="004718CC"/>
    <w:rsid w:val="004730C9"/>
    <w:rsid w:val="00473A83"/>
    <w:rsid w:val="00473E9A"/>
    <w:rsid w:val="004742B5"/>
    <w:rsid w:val="00474BBF"/>
    <w:rsid w:val="00475AF5"/>
    <w:rsid w:val="00476B8C"/>
    <w:rsid w:val="00476E5D"/>
    <w:rsid w:val="00476F3F"/>
    <w:rsid w:val="00476F54"/>
    <w:rsid w:val="004778EA"/>
    <w:rsid w:val="00477BFC"/>
    <w:rsid w:val="00477ECB"/>
    <w:rsid w:val="00480279"/>
    <w:rsid w:val="00481695"/>
    <w:rsid w:val="0048244F"/>
    <w:rsid w:val="0048270A"/>
    <w:rsid w:val="00482CF7"/>
    <w:rsid w:val="00483779"/>
    <w:rsid w:val="004839D9"/>
    <w:rsid w:val="00483BD5"/>
    <w:rsid w:val="004854D1"/>
    <w:rsid w:val="00485ABD"/>
    <w:rsid w:val="00485DF0"/>
    <w:rsid w:val="004873B9"/>
    <w:rsid w:val="00487D8D"/>
    <w:rsid w:val="0049067B"/>
    <w:rsid w:val="00490826"/>
    <w:rsid w:val="00491B30"/>
    <w:rsid w:val="004928EC"/>
    <w:rsid w:val="00492934"/>
    <w:rsid w:val="004935FD"/>
    <w:rsid w:val="00493B2C"/>
    <w:rsid w:val="004940E0"/>
    <w:rsid w:val="00494549"/>
    <w:rsid w:val="00494773"/>
    <w:rsid w:val="00494B25"/>
    <w:rsid w:val="00494D5B"/>
    <w:rsid w:val="00494E9B"/>
    <w:rsid w:val="004954EB"/>
    <w:rsid w:val="00495747"/>
    <w:rsid w:val="00495895"/>
    <w:rsid w:val="004959A7"/>
    <w:rsid w:val="00495A96"/>
    <w:rsid w:val="00495BB3"/>
    <w:rsid w:val="00495DA8"/>
    <w:rsid w:val="00495F3A"/>
    <w:rsid w:val="00495FD1"/>
    <w:rsid w:val="00496065"/>
    <w:rsid w:val="0049650E"/>
    <w:rsid w:val="00497010"/>
    <w:rsid w:val="004A06DA"/>
    <w:rsid w:val="004A0A44"/>
    <w:rsid w:val="004A0C5C"/>
    <w:rsid w:val="004A0E2E"/>
    <w:rsid w:val="004A152A"/>
    <w:rsid w:val="004A1DE7"/>
    <w:rsid w:val="004A21F5"/>
    <w:rsid w:val="004A25E9"/>
    <w:rsid w:val="004A28A7"/>
    <w:rsid w:val="004A2B5A"/>
    <w:rsid w:val="004A3431"/>
    <w:rsid w:val="004A4140"/>
    <w:rsid w:val="004A41A7"/>
    <w:rsid w:val="004A49D9"/>
    <w:rsid w:val="004A4CF5"/>
    <w:rsid w:val="004A5183"/>
    <w:rsid w:val="004A56BB"/>
    <w:rsid w:val="004A6170"/>
    <w:rsid w:val="004A6A41"/>
    <w:rsid w:val="004A6FCC"/>
    <w:rsid w:val="004A73C2"/>
    <w:rsid w:val="004A7746"/>
    <w:rsid w:val="004A7804"/>
    <w:rsid w:val="004B0E42"/>
    <w:rsid w:val="004B0F7D"/>
    <w:rsid w:val="004B117E"/>
    <w:rsid w:val="004B1751"/>
    <w:rsid w:val="004B197F"/>
    <w:rsid w:val="004B4605"/>
    <w:rsid w:val="004B46E2"/>
    <w:rsid w:val="004B4D82"/>
    <w:rsid w:val="004B5A4C"/>
    <w:rsid w:val="004B5EBE"/>
    <w:rsid w:val="004B5F09"/>
    <w:rsid w:val="004B657C"/>
    <w:rsid w:val="004C0253"/>
    <w:rsid w:val="004C114F"/>
    <w:rsid w:val="004C133D"/>
    <w:rsid w:val="004C171E"/>
    <w:rsid w:val="004C1A86"/>
    <w:rsid w:val="004C1EFF"/>
    <w:rsid w:val="004C1FB1"/>
    <w:rsid w:val="004C2D74"/>
    <w:rsid w:val="004C35A3"/>
    <w:rsid w:val="004C3DD6"/>
    <w:rsid w:val="004C41C0"/>
    <w:rsid w:val="004C4C1F"/>
    <w:rsid w:val="004C52BE"/>
    <w:rsid w:val="004C608E"/>
    <w:rsid w:val="004C7A0C"/>
    <w:rsid w:val="004D11C9"/>
    <w:rsid w:val="004D12AD"/>
    <w:rsid w:val="004D1A56"/>
    <w:rsid w:val="004D1FE9"/>
    <w:rsid w:val="004D2A44"/>
    <w:rsid w:val="004D306A"/>
    <w:rsid w:val="004D3570"/>
    <w:rsid w:val="004D3882"/>
    <w:rsid w:val="004D3A00"/>
    <w:rsid w:val="004D3F69"/>
    <w:rsid w:val="004D409C"/>
    <w:rsid w:val="004D4FBA"/>
    <w:rsid w:val="004D5266"/>
    <w:rsid w:val="004D56FF"/>
    <w:rsid w:val="004D58F3"/>
    <w:rsid w:val="004D5CB3"/>
    <w:rsid w:val="004D5E7A"/>
    <w:rsid w:val="004D63D9"/>
    <w:rsid w:val="004D66FE"/>
    <w:rsid w:val="004D7CE5"/>
    <w:rsid w:val="004D7E1D"/>
    <w:rsid w:val="004E1668"/>
    <w:rsid w:val="004E17F5"/>
    <w:rsid w:val="004E1CD7"/>
    <w:rsid w:val="004E2465"/>
    <w:rsid w:val="004E2789"/>
    <w:rsid w:val="004E32F3"/>
    <w:rsid w:val="004E338A"/>
    <w:rsid w:val="004E35F9"/>
    <w:rsid w:val="004E37C9"/>
    <w:rsid w:val="004E395B"/>
    <w:rsid w:val="004E39D3"/>
    <w:rsid w:val="004E4B82"/>
    <w:rsid w:val="004E508A"/>
    <w:rsid w:val="004E53D2"/>
    <w:rsid w:val="004E5478"/>
    <w:rsid w:val="004E616D"/>
    <w:rsid w:val="004E6A95"/>
    <w:rsid w:val="004E6E1D"/>
    <w:rsid w:val="004E740F"/>
    <w:rsid w:val="004F07E9"/>
    <w:rsid w:val="004F0E96"/>
    <w:rsid w:val="004F1788"/>
    <w:rsid w:val="004F1BDE"/>
    <w:rsid w:val="004F2CEE"/>
    <w:rsid w:val="004F2F22"/>
    <w:rsid w:val="004F324D"/>
    <w:rsid w:val="004F341C"/>
    <w:rsid w:val="004F470F"/>
    <w:rsid w:val="004F556E"/>
    <w:rsid w:val="004F591C"/>
    <w:rsid w:val="004F5C32"/>
    <w:rsid w:val="004F63AD"/>
    <w:rsid w:val="004F72EE"/>
    <w:rsid w:val="004F75A5"/>
    <w:rsid w:val="004F7754"/>
    <w:rsid w:val="004F7BF2"/>
    <w:rsid w:val="004F7F44"/>
    <w:rsid w:val="0050070C"/>
    <w:rsid w:val="005009C0"/>
    <w:rsid w:val="005010D3"/>
    <w:rsid w:val="0050150D"/>
    <w:rsid w:val="00501ABA"/>
    <w:rsid w:val="00502590"/>
    <w:rsid w:val="00503137"/>
    <w:rsid w:val="005035E3"/>
    <w:rsid w:val="005037B4"/>
    <w:rsid w:val="00503B6E"/>
    <w:rsid w:val="00503C9C"/>
    <w:rsid w:val="005047DA"/>
    <w:rsid w:val="005049A0"/>
    <w:rsid w:val="00505170"/>
    <w:rsid w:val="00505BE0"/>
    <w:rsid w:val="00505E1B"/>
    <w:rsid w:val="00505EF1"/>
    <w:rsid w:val="00505FF3"/>
    <w:rsid w:val="0050686C"/>
    <w:rsid w:val="00506E7C"/>
    <w:rsid w:val="00506FFE"/>
    <w:rsid w:val="005073BA"/>
    <w:rsid w:val="005079BF"/>
    <w:rsid w:val="00507B67"/>
    <w:rsid w:val="00507CB3"/>
    <w:rsid w:val="00507D22"/>
    <w:rsid w:val="0051042C"/>
    <w:rsid w:val="00510A90"/>
    <w:rsid w:val="00510F72"/>
    <w:rsid w:val="00511D92"/>
    <w:rsid w:val="0051269A"/>
    <w:rsid w:val="00512E47"/>
    <w:rsid w:val="005133F6"/>
    <w:rsid w:val="0051408B"/>
    <w:rsid w:val="00515391"/>
    <w:rsid w:val="00515567"/>
    <w:rsid w:val="00515C49"/>
    <w:rsid w:val="00515DEB"/>
    <w:rsid w:val="00516537"/>
    <w:rsid w:val="00516E80"/>
    <w:rsid w:val="00516E8E"/>
    <w:rsid w:val="005174DB"/>
    <w:rsid w:val="0051796E"/>
    <w:rsid w:val="00517ECD"/>
    <w:rsid w:val="00520904"/>
    <w:rsid w:val="005219E7"/>
    <w:rsid w:val="005227A7"/>
    <w:rsid w:val="0052285A"/>
    <w:rsid w:val="005228DA"/>
    <w:rsid w:val="00522D79"/>
    <w:rsid w:val="00523C14"/>
    <w:rsid w:val="00523D0F"/>
    <w:rsid w:val="00523FB1"/>
    <w:rsid w:val="005251B6"/>
    <w:rsid w:val="00525431"/>
    <w:rsid w:val="00525F67"/>
    <w:rsid w:val="005262D8"/>
    <w:rsid w:val="00526AC3"/>
    <w:rsid w:val="005273DE"/>
    <w:rsid w:val="00527D91"/>
    <w:rsid w:val="00527F26"/>
    <w:rsid w:val="00530256"/>
    <w:rsid w:val="00531363"/>
    <w:rsid w:val="00531551"/>
    <w:rsid w:val="00531B9A"/>
    <w:rsid w:val="00531D15"/>
    <w:rsid w:val="0053292B"/>
    <w:rsid w:val="00533287"/>
    <w:rsid w:val="00534CE8"/>
    <w:rsid w:val="00534E02"/>
    <w:rsid w:val="00534F2D"/>
    <w:rsid w:val="005355D4"/>
    <w:rsid w:val="00535ACC"/>
    <w:rsid w:val="00536362"/>
    <w:rsid w:val="00537175"/>
    <w:rsid w:val="00537604"/>
    <w:rsid w:val="00540416"/>
    <w:rsid w:val="005404F8"/>
    <w:rsid w:val="00542377"/>
    <w:rsid w:val="00542E7B"/>
    <w:rsid w:val="00543038"/>
    <w:rsid w:val="00543990"/>
    <w:rsid w:val="005445CC"/>
    <w:rsid w:val="005450D0"/>
    <w:rsid w:val="00545E7C"/>
    <w:rsid w:val="005467AF"/>
    <w:rsid w:val="00546D38"/>
    <w:rsid w:val="00547055"/>
    <w:rsid w:val="005476EB"/>
    <w:rsid w:val="00547995"/>
    <w:rsid w:val="0055055F"/>
    <w:rsid w:val="005508B5"/>
    <w:rsid w:val="00550B5A"/>
    <w:rsid w:val="0055177A"/>
    <w:rsid w:val="00551782"/>
    <w:rsid w:val="00551E4C"/>
    <w:rsid w:val="00551F13"/>
    <w:rsid w:val="0055202A"/>
    <w:rsid w:val="005522A6"/>
    <w:rsid w:val="00552548"/>
    <w:rsid w:val="005529F8"/>
    <w:rsid w:val="0055306C"/>
    <w:rsid w:val="0055335F"/>
    <w:rsid w:val="00553439"/>
    <w:rsid w:val="005535A0"/>
    <w:rsid w:val="00553A8A"/>
    <w:rsid w:val="00554828"/>
    <w:rsid w:val="0055619F"/>
    <w:rsid w:val="0055631A"/>
    <w:rsid w:val="0055644A"/>
    <w:rsid w:val="00556D79"/>
    <w:rsid w:val="00556E20"/>
    <w:rsid w:val="00557646"/>
    <w:rsid w:val="0055799E"/>
    <w:rsid w:val="00560EB4"/>
    <w:rsid w:val="005613C9"/>
    <w:rsid w:val="00562731"/>
    <w:rsid w:val="00562BBF"/>
    <w:rsid w:val="0056385E"/>
    <w:rsid w:val="00563B65"/>
    <w:rsid w:val="00563E1D"/>
    <w:rsid w:val="00563EF1"/>
    <w:rsid w:val="005643BC"/>
    <w:rsid w:val="00565628"/>
    <w:rsid w:val="00565E55"/>
    <w:rsid w:val="005664F9"/>
    <w:rsid w:val="00566AB4"/>
    <w:rsid w:val="00566B65"/>
    <w:rsid w:val="00567734"/>
    <w:rsid w:val="00570204"/>
    <w:rsid w:val="005709D2"/>
    <w:rsid w:val="00571386"/>
    <w:rsid w:val="00571946"/>
    <w:rsid w:val="00571F0F"/>
    <w:rsid w:val="00571FBA"/>
    <w:rsid w:val="005720F1"/>
    <w:rsid w:val="00572F9B"/>
    <w:rsid w:val="00573DAC"/>
    <w:rsid w:val="00574019"/>
    <w:rsid w:val="00575447"/>
    <w:rsid w:val="0057560C"/>
    <w:rsid w:val="00575969"/>
    <w:rsid w:val="00575AC5"/>
    <w:rsid w:val="00575C47"/>
    <w:rsid w:val="0057605D"/>
    <w:rsid w:val="00576169"/>
    <w:rsid w:val="0057651F"/>
    <w:rsid w:val="00576933"/>
    <w:rsid w:val="00576EDE"/>
    <w:rsid w:val="00577363"/>
    <w:rsid w:val="00577C77"/>
    <w:rsid w:val="00581347"/>
    <w:rsid w:val="0058157D"/>
    <w:rsid w:val="00581AC9"/>
    <w:rsid w:val="005828BC"/>
    <w:rsid w:val="005835AD"/>
    <w:rsid w:val="00583FD0"/>
    <w:rsid w:val="005849F8"/>
    <w:rsid w:val="0058524E"/>
    <w:rsid w:val="00585555"/>
    <w:rsid w:val="00585A8F"/>
    <w:rsid w:val="00586186"/>
    <w:rsid w:val="005874F1"/>
    <w:rsid w:val="00590862"/>
    <w:rsid w:val="005916A2"/>
    <w:rsid w:val="00591A21"/>
    <w:rsid w:val="00591D7F"/>
    <w:rsid w:val="0059220E"/>
    <w:rsid w:val="0059290F"/>
    <w:rsid w:val="0059340C"/>
    <w:rsid w:val="005938DF"/>
    <w:rsid w:val="00593BA5"/>
    <w:rsid w:val="0059466A"/>
    <w:rsid w:val="005947B7"/>
    <w:rsid w:val="00594E9C"/>
    <w:rsid w:val="00595528"/>
    <w:rsid w:val="005955B0"/>
    <w:rsid w:val="00596B65"/>
    <w:rsid w:val="005970F2"/>
    <w:rsid w:val="005976E7"/>
    <w:rsid w:val="0059779D"/>
    <w:rsid w:val="005A0453"/>
    <w:rsid w:val="005A099B"/>
    <w:rsid w:val="005A2114"/>
    <w:rsid w:val="005A219B"/>
    <w:rsid w:val="005A23D3"/>
    <w:rsid w:val="005A249F"/>
    <w:rsid w:val="005A2D9C"/>
    <w:rsid w:val="005A3924"/>
    <w:rsid w:val="005A42CB"/>
    <w:rsid w:val="005A4363"/>
    <w:rsid w:val="005A43BC"/>
    <w:rsid w:val="005A4A4A"/>
    <w:rsid w:val="005A54B7"/>
    <w:rsid w:val="005A55FE"/>
    <w:rsid w:val="005A5A0F"/>
    <w:rsid w:val="005A641B"/>
    <w:rsid w:val="005A642B"/>
    <w:rsid w:val="005A695B"/>
    <w:rsid w:val="005A6961"/>
    <w:rsid w:val="005A6A11"/>
    <w:rsid w:val="005A74A9"/>
    <w:rsid w:val="005A7B7C"/>
    <w:rsid w:val="005A7F55"/>
    <w:rsid w:val="005B05FC"/>
    <w:rsid w:val="005B06CE"/>
    <w:rsid w:val="005B0B4B"/>
    <w:rsid w:val="005B0D57"/>
    <w:rsid w:val="005B163C"/>
    <w:rsid w:val="005B2BE5"/>
    <w:rsid w:val="005B3835"/>
    <w:rsid w:val="005B3D85"/>
    <w:rsid w:val="005B4A88"/>
    <w:rsid w:val="005B531B"/>
    <w:rsid w:val="005B57C6"/>
    <w:rsid w:val="005B5922"/>
    <w:rsid w:val="005B5CA5"/>
    <w:rsid w:val="005B6436"/>
    <w:rsid w:val="005B7181"/>
    <w:rsid w:val="005C087A"/>
    <w:rsid w:val="005C1134"/>
    <w:rsid w:val="005C1162"/>
    <w:rsid w:val="005C1D57"/>
    <w:rsid w:val="005C38A1"/>
    <w:rsid w:val="005C3F98"/>
    <w:rsid w:val="005C4912"/>
    <w:rsid w:val="005C54AF"/>
    <w:rsid w:val="005C5CEE"/>
    <w:rsid w:val="005C61C9"/>
    <w:rsid w:val="005C640E"/>
    <w:rsid w:val="005C6CAD"/>
    <w:rsid w:val="005C76B2"/>
    <w:rsid w:val="005C77B3"/>
    <w:rsid w:val="005D01E1"/>
    <w:rsid w:val="005D0561"/>
    <w:rsid w:val="005D063D"/>
    <w:rsid w:val="005D1330"/>
    <w:rsid w:val="005D155D"/>
    <w:rsid w:val="005D2502"/>
    <w:rsid w:val="005D2A0A"/>
    <w:rsid w:val="005D3186"/>
    <w:rsid w:val="005D40BB"/>
    <w:rsid w:val="005D45B8"/>
    <w:rsid w:val="005D47F3"/>
    <w:rsid w:val="005D49BF"/>
    <w:rsid w:val="005D4AA5"/>
    <w:rsid w:val="005D5A2D"/>
    <w:rsid w:val="005D6F4E"/>
    <w:rsid w:val="005D7069"/>
    <w:rsid w:val="005D74DE"/>
    <w:rsid w:val="005D754B"/>
    <w:rsid w:val="005D7863"/>
    <w:rsid w:val="005D7C73"/>
    <w:rsid w:val="005D7D9F"/>
    <w:rsid w:val="005E00C6"/>
    <w:rsid w:val="005E04F0"/>
    <w:rsid w:val="005E0B35"/>
    <w:rsid w:val="005E1C6A"/>
    <w:rsid w:val="005E2018"/>
    <w:rsid w:val="005E244E"/>
    <w:rsid w:val="005E2BB5"/>
    <w:rsid w:val="005E3ACD"/>
    <w:rsid w:val="005E3D62"/>
    <w:rsid w:val="005E3EE8"/>
    <w:rsid w:val="005E42C2"/>
    <w:rsid w:val="005E5356"/>
    <w:rsid w:val="005E6002"/>
    <w:rsid w:val="005E6143"/>
    <w:rsid w:val="005E6D37"/>
    <w:rsid w:val="005E7226"/>
    <w:rsid w:val="005E78D3"/>
    <w:rsid w:val="005E7A57"/>
    <w:rsid w:val="005E7ACB"/>
    <w:rsid w:val="005E7CC3"/>
    <w:rsid w:val="005E7D03"/>
    <w:rsid w:val="005F115F"/>
    <w:rsid w:val="005F1860"/>
    <w:rsid w:val="005F194F"/>
    <w:rsid w:val="005F24B0"/>
    <w:rsid w:val="005F26E4"/>
    <w:rsid w:val="005F2A1C"/>
    <w:rsid w:val="005F2DA2"/>
    <w:rsid w:val="005F32F9"/>
    <w:rsid w:val="005F3B79"/>
    <w:rsid w:val="005F3DFA"/>
    <w:rsid w:val="005F3E79"/>
    <w:rsid w:val="005F4BA8"/>
    <w:rsid w:val="005F5B5A"/>
    <w:rsid w:val="005F5E78"/>
    <w:rsid w:val="005F5FB6"/>
    <w:rsid w:val="005F6796"/>
    <w:rsid w:val="005F69AB"/>
    <w:rsid w:val="005F6E38"/>
    <w:rsid w:val="005F700C"/>
    <w:rsid w:val="005F7506"/>
    <w:rsid w:val="005F7628"/>
    <w:rsid w:val="005F7A53"/>
    <w:rsid w:val="00600E58"/>
    <w:rsid w:val="00601601"/>
    <w:rsid w:val="0060224E"/>
    <w:rsid w:val="006023B4"/>
    <w:rsid w:val="0060346B"/>
    <w:rsid w:val="006035A7"/>
    <w:rsid w:val="00604315"/>
    <w:rsid w:val="0060483B"/>
    <w:rsid w:val="00604E26"/>
    <w:rsid w:val="006052CF"/>
    <w:rsid w:val="00605AE7"/>
    <w:rsid w:val="00605B92"/>
    <w:rsid w:val="00605E33"/>
    <w:rsid w:val="006075BF"/>
    <w:rsid w:val="00607B8D"/>
    <w:rsid w:val="00610ADD"/>
    <w:rsid w:val="00611226"/>
    <w:rsid w:val="006114D3"/>
    <w:rsid w:val="00611717"/>
    <w:rsid w:val="00611F5C"/>
    <w:rsid w:val="00612403"/>
    <w:rsid w:val="00612C6F"/>
    <w:rsid w:val="00612D87"/>
    <w:rsid w:val="00613299"/>
    <w:rsid w:val="00613663"/>
    <w:rsid w:val="00613C97"/>
    <w:rsid w:val="00615DB5"/>
    <w:rsid w:val="00616193"/>
    <w:rsid w:val="006161E0"/>
    <w:rsid w:val="00616452"/>
    <w:rsid w:val="00616E09"/>
    <w:rsid w:val="00620192"/>
    <w:rsid w:val="0062028D"/>
    <w:rsid w:val="006204D4"/>
    <w:rsid w:val="0062111B"/>
    <w:rsid w:val="00622091"/>
    <w:rsid w:val="00622A3B"/>
    <w:rsid w:val="00622EEA"/>
    <w:rsid w:val="0062353B"/>
    <w:rsid w:val="0062396C"/>
    <w:rsid w:val="00623DFB"/>
    <w:rsid w:val="00623FF9"/>
    <w:rsid w:val="0062407B"/>
    <w:rsid w:val="00624536"/>
    <w:rsid w:val="00624E65"/>
    <w:rsid w:val="00625BC9"/>
    <w:rsid w:val="00627207"/>
    <w:rsid w:val="006274C7"/>
    <w:rsid w:val="00627D4E"/>
    <w:rsid w:val="0063057C"/>
    <w:rsid w:val="00630BEC"/>
    <w:rsid w:val="0063135B"/>
    <w:rsid w:val="00632B89"/>
    <w:rsid w:val="00632BB2"/>
    <w:rsid w:val="00632E45"/>
    <w:rsid w:val="0063309D"/>
    <w:rsid w:val="00633957"/>
    <w:rsid w:val="00633EA5"/>
    <w:rsid w:val="006341AB"/>
    <w:rsid w:val="00634478"/>
    <w:rsid w:val="00634EBC"/>
    <w:rsid w:val="0063533A"/>
    <w:rsid w:val="006372BA"/>
    <w:rsid w:val="0063775F"/>
    <w:rsid w:val="00637AEA"/>
    <w:rsid w:val="00640906"/>
    <w:rsid w:val="0064100C"/>
    <w:rsid w:val="006415AD"/>
    <w:rsid w:val="00641668"/>
    <w:rsid w:val="006418E9"/>
    <w:rsid w:val="00642610"/>
    <w:rsid w:val="0064277D"/>
    <w:rsid w:val="00642907"/>
    <w:rsid w:val="00643C00"/>
    <w:rsid w:val="006440B9"/>
    <w:rsid w:val="00644373"/>
    <w:rsid w:val="00644489"/>
    <w:rsid w:val="00644531"/>
    <w:rsid w:val="00644EAB"/>
    <w:rsid w:val="00644F3B"/>
    <w:rsid w:val="00645264"/>
    <w:rsid w:val="00645388"/>
    <w:rsid w:val="006457ED"/>
    <w:rsid w:val="00645915"/>
    <w:rsid w:val="00645C52"/>
    <w:rsid w:val="00646A02"/>
    <w:rsid w:val="00646A96"/>
    <w:rsid w:val="00646B41"/>
    <w:rsid w:val="00646CD2"/>
    <w:rsid w:val="00647483"/>
    <w:rsid w:val="00647817"/>
    <w:rsid w:val="006505A9"/>
    <w:rsid w:val="00651044"/>
    <w:rsid w:val="006510DE"/>
    <w:rsid w:val="00651884"/>
    <w:rsid w:val="006519C3"/>
    <w:rsid w:val="00652001"/>
    <w:rsid w:val="00652594"/>
    <w:rsid w:val="00652B30"/>
    <w:rsid w:val="006548AB"/>
    <w:rsid w:val="00655221"/>
    <w:rsid w:val="006558FB"/>
    <w:rsid w:val="00655ADF"/>
    <w:rsid w:val="00655F65"/>
    <w:rsid w:val="00655F7F"/>
    <w:rsid w:val="00656142"/>
    <w:rsid w:val="00656345"/>
    <w:rsid w:val="00656511"/>
    <w:rsid w:val="0065685E"/>
    <w:rsid w:val="00656DC6"/>
    <w:rsid w:val="00656E79"/>
    <w:rsid w:val="00656FEE"/>
    <w:rsid w:val="0065761A"/>
    <w:rsid w:val="00657B92"/>
    <w:rsid w:val="0066001A"/>
    <w:rsid w:val="006600D0"/>
    <w:rsid w:val="0066046F"/>
    <w:rsid w:val="00660EC6"/>
    <w:rsid w:val="006621ED"/>
    <w:rsid w:val="00663C37"/>
    <w:rsid w:val="00664110"/>
    <w:rsid w:val="00664D17"/>
    <w:rsid w:val="006652AF"/>
    <w:rsid w:val="006652EB"/>
    <w:rsid w:val="00665F3D"/>
    <w:rsid w:val="00665FBE"/>
    <w:rsid w:val="00666295"/>
    <w:rsid w:val="00666520"/>
    <w:rsid w:val="0066691F"/>
    <w:rsid w:val="00666A5E"/>
    <w:rsid w:val="0066771D"/>
    <w:rsid w:val="00667957"/>
    <w:rsid w:val="00667A40"/>
    <w:rsid w:val="00667C5B"/>
    <w:rsid w:val="006702AA"/>
    <w:rsid w:val="00670F92"/>
    <w:rsid w:val="00671A5D"/>
    <w:rsid w:val="00671C0B"/>
    <w:rsid w:val="0067222C"/>
    <w:rsid w:val="0067243C"/>
    <w:rsid w:val="00672B86"/>
    <w:rsid w:val="00672E7F"/>
    <w:rsid w:val="00674387"/>
    <w:rsid w:val="00676836"/>
    <w:rsid w:val="006768B4"/>
    <w:rsid w:val="00677E77"/>
    <w:rsid w:val="00677F92"/>
    <w:rsid w:val="006806AB"/>
    <w:rsid w:val="006807BB"/>
    <w:rsid w:val="00680E15"/>
    <w:rsid w:val="00680E35"/>
    <w:rsid w:val="00681DF9"/>
    <w:rsid w:val="006824BC"/>
    <w:rsid w:val="00682CB2"/>
    <w:rsid w:val="006839B5"/>
    <w:rsid w:val="00683BB0"/>
    <w:rsid w:val="00683CAB"/>
    <w:rsid w:val="00684348"/>
    <w:rsid w:val="006846EC"/>
    <w:rsid w:val="006847DF"/>
    <w:rsid w:val="00684FCF"/>
    <w:rsid w:val="0068510B"/>
    <w:rsid w:val="00685184"/>
    <w:rsid w:val="006855FD"/>
    <w:rsid w:val="00685F77"/>
    <w:rsid w:val="006862D1"/>
    <w:rsid w:val="00686ECC"/>
    <w:rsid w:val="006871DF"/>
    <w:rsid w:val="00687291"/>
    <w:rsid w:val="00687EDE"/>
    <w:rsid w:val="006902E7"/>
    <w:rsid w:val="00690302"/>
    <w:rsid w:val="006907A6"/>
    <w:rsid w:val="00690AF1"/>
    <w:rsid w:val="00690F49"/>
    <w:rsid w:val="0069108F"/>
    <w:rsid w:val="00691EB8"/>
    <w:rsid w:val="00692CDE"/>
    <w:rsid w:val="00693073"/>
    <w:rsid w:val="0069357A"/>
    <w:rsid w:val="00694304"/>
    <w:rsid w:val="006947C8"/>
    <w:rsid w:val="00694B08"/>
    <w:rsid w:val="0069507C"/>
    <w:rsid w:val="00695734"/>
    <w:rsid w:val="00695A5E"/>
    <w:rsid w:val="00695B6E"/>
    <w:rsid w:val="00695F0E"/>
    <w:rsid w:val="006961EF"/>
    <w:rsid w:val="006977FF"/>
    <w:rsid w:val="00697C9A"/>
    <w:rsid w:val="006A01FA"/>
    <w:rsid w:val="006A0E9E"/>
    <w:rsid w:val="006A161E"/>
    <w:rsid w:val="006A165F"/>
    <w:rsid w:val="006A1F16"/>
    <w:rsid w:val="006A25C7"/>
    <w:rsid w:val="006A2D81"/>
    <w:rsid w:val="006A33CA"/>
    <w:rsid w:val="006A424F"/>
    <w:rsid w:val="006A4673"/>
    <w:rsid w:val="006A46BF"/>
    <w:rsid w:val="006A4AAD"/>
    <w:rsid w:val="006A4D75"/>
    <w:rsid w:val="006A5B7E"/>
    <w:rsid w:val="006A5BE1"/>
    <w:rsid w:val="006A6C62"/>
    <w:rsid w:val="006A6DA2"/>
    <w:rsid w:val="006A77E4"/>
    <w:rsid w:val="006A78EB"/>
    <w:rsid w:val="006A7AB2"/>
    <w:rsid w:val="006A7F44"/>
    <w:rsid w:val="006B0039"/>
    <w:rsid w:val="006B1222"/>
    <w:rsid w:val="006B1D09"/>
    <w:rsid w:val="006B2133"/>
    <w:rsid w:val="006B2885"/>
    <w:rsid w:val="006B2DE2"/>
    <w:rsid w:val="006B38E0"/>
    <w:rsid w:val="006B3F62"/>
    <w:rsid w:val="006B52BF"/>
    <w:rsid w:val="006B5351"/>
    <w:rsid w:val="006B5717"/>
    <w:rsid w:val="006B582F"/>
    <w:rsid w:val="006B5CB8"/>
    <w:rsid w:val="006B68AF"/>
    <w:rsid w:val="006B7542"/>
    <w:rsid w:val="006B76F6"/>
    <w:rsid w:val="006B7AA9"/>
    <w:rsid w:val="006B7C86"/>
    <w:rsid w:val="006C02A7"/>
    <w:rsid w:val="006C0AEA"/>
    <w:rsid w:val="006C0CEB"/>
    <w:rsid w:val="006C0ED9"/>
    <w:rsid w:val="006C0F98"/>
    <w:rsid w:val="006C117D"/>
    <w:rsid w:val="006C14C7"/>
    <w:rsid w:val="006C168C"/>
    <w:rsid w:val="006C1825"/>
    <w:rsid w:val="006C2CD5"/>
    <w:rsid w:val="006C3837"/>
    <w:rsid w:val="006C3B1E"/>
    <w:rsid w:val="006C47FD"/>
    <w:rsid w:val="006C4A6E"/>
    <w:rsid w:val="006C5807"/>
    <w:rsid w:val="006C585A"/>
    <w:rsid w:val="006C5C19"/>
    <w:rsid w:val="006C650F"/>
    <w:rsid w:val="006C6995"/>
    <w:rsid w:val="006C70A0"/>
    <w:rsid w:val="006C7783"/>
    <w:rsid w:val="006C7B71"/>
    <w:rsid w:val="006D0131"/>
    <w:rsid w:val="006D0210"/>
    <w:rsid w:val="006D1F93"/>
    <w:rsid w:val="006D22BF"/>
    <w:rsid w:val="006D27CB"/>
    <w:rsid w:val="006D2F08"/>
    <w:rsid w:val="006D3638"/>
    <w:rsid w:val="006D3BD5"/>
    <w:rsid w:val="006D3F9C"/>
    <w:rsid w:val="006D418D"/>
    <w:rsid w:val="006D543E"/>
    <w:rsid w:val="006D576C"/>
    <w:rsid w:val="006D5865"/>
    <w:rsid w:val="006D58EA"/>
    <w:rsid w:val="006D691A"/>
    <w:rsid w:val="006D7FAA"/>
    <w:rsid w:val="006E0066"/>
    <w:rsid w:val="006E00BB"/>
    <w:rsid w:val="006E0E0C"/>
    <w:rsid w:val="006E1646"/>
    <w:rsid w:val="006E1CE6"/>
    <w:rsid w:val="006E3802"/>
    <w:rsid w:val="006E3B18"/>
    <w:rsid w:val="006E414B"/>
    <w:rsid w:val="006E4B1B"/>
    <w:rsid w:val="006E51F3"/>
    <w:rsid w:val="006E5445"/>
    <w:rsid w:val="006E57D8"/>
    <w:rsid w:val="006E59D3"/>
    <w:rsid w:val="006E686C"/>
    <w:rsid w:val="006E69A6"/>
    <w:rsid w:val="006E73C6"/>
    <w:rsid w:val="006E7D93"/>
    <w:rsid w:val="006E7EBA"/>
    <w:rsid w:val="006F03E7"/>
    <w:rsid w:val="006F08EC"/>
    <w:rsid w:val="006F2008"/>
    <w:rsid w:val="006F22BA"/>
    <w:rsid w:val="006F2D3F"/>
    <w:rsid w:val="006F3648"/>
    <w:rsid w:val="006F36DB"/>
    <w:rsid w:val="006F4485"/>
    <w:rsid w:val="006F4ED7"/>
    <w:rsid w:val="006F519C"/>
    <w:rsid w:val="006F56C3"/>
    <w:rsid w:val="006F5CA4"/>
    <w:rsid w:val="006F5CFD"/>
    <w:rsid w:val="006F69DD"/>
    <w:rsid w:val="006F6C8C"/>
    <w:rsid w:val="006F7A58"/>
    <w:rsid w:val="00700CBB"/>
    <w:rsid w:val="00702501"/>
    <w:rsid w:val="007029A3"/>
    <w:rsid w:val="00702C29"/>
    <w:rsid w:val="007031B3"/>
    <w:rsid w:val="007033ED"/>
    <w:rsid w:val="0070488C"/>
    <w:rsid w:val="007048E5"/>
    <w:rsid w:val="00704C68"/>
    <w:rsid w:val="00704D40"/>
    <w:rsid w:val="007050A9"/>
    <w:rsid w:val="00705807"/>
    <w:rsid w:val="00705AF3"/>
    <w:rsid w:val="00706E4E"/>
    <w:rsid w:val="007070CE"/>
    <w:rsid w:val="00707330"/>
    <w:rsid w:val="0070784B"/>
    <w:rsid w:val="0070791C"/>
    <w:rsid w:val="00711021"/>
    <w:rsid w:val="0071200D"/>
    <w:rsid w:val="007130CE"/>
    <w:rsid w:val="00713111"/>
    <w:rsid w:val="007133B9"/>
    <w:rsid w:val="007134D9"/>
    <w:rsid w:val="007134E1"/>
    <w:rsid w:val="007137FB"/>
    <w:rsid w:val="0071383C"/>
    <w:rsid w:val="00713BBE"/>
    <w:rsid w:val="007141A7"/>
    <w:rsid w:val="00714B11"/>
    <w:rsid w:val="00714FB4"/>
    <w:rsid w:val="00715722"/>
    <w:rsid w:val="0071597E"/>
    <w:rsid w:val="00715A5F"/>
    <w:rsid w:val="00715C76"/>
    <w:rsid w:val="007162D4"/>
    <w:rsid w:val="00717D1F"/>
    <w:rsid w:val="00720A07"/>
    <w:rsid w:val="00721032"/>
    <w:rsid w:val="00721424"/>
    <w:rsid w:val="00721B55"/>
    <w:rsid w:val="0072204A"/>
    <w:rsid w:val="00722144"/>
    <w:rsid w:val="00722526"/>
    <w:rsid w:val="0072356C"/>
    <w:rsid w:val="00724387"/>
    <w:rsid w:val="00724790"/>
    <w:rsid w:val="0072487D"/>
    <w:rsid w:val="00725166"/>
    <w:rsid w:val="00725999"/>
    <w:rsid w:val="00726565"/>
    <w:rsid w:val="007265FE"/>
    <w:rsid w:val="007268F0"/>
    <w:rsid w:val="00726CE4"/>
    <w:rsid w:val="0072793E"/>
    <w:rsid w:val="00730837"/>
    <w:rsid w:val="00730ADA"/>
    <w:rsid w:val="00730D6C"/>
    <w:rsid w:val="00731DED"/>
    <w:rsid w:val="007324AE"/>
    <w:rsid w:val="007324EB"/>
    <w:rsid w:val="007325C3"/>
    <w:rsid w:val="00732884"/>
    <w:rsid w:val="00733D7E"/>
    <w:rsid w:val="00734143"/>
    <w:rsid w:val="00734552"/>
    <w:rsid w:val="00734825"/>
    <w:rsid w:val="00734BD7"/>
    <w:rsid w:val="00734D68"/>
    <w:rsid w:val="0073514E"/>
    <w:rsid w:val="007358F5"/>
    <w:rsid w:val="00735F9F"/>
    <w:rsid w:val="007364D3"/>
    <w:rsid w:val="00736611"/>
    <w:rsid w:val="00736CAF"/>
    <w:rsid w:val="007370E5"/>
    <w:rsid w:val="0073752C"/>
    <w:rsid w:val="00737E26"/>
    <w:rsid w:val="00737E47"/>
    <w:rsid w:val="00740931"/>
    <w:rsid w:val="00740EAC"/>
    <w:rsid w:val="007411BD"/>
    <w:rsid w:val="007413FF"/>
    <w:rsid w:val="00741FC4"/>
    <w:rsid w:val="0074319D"/>
    <w:rsid w:val="00743898"/>
    <w:rsid w:val="0074396B"/>
    <w:rsid w:val="00743CEB"/>
    <w:rsid w:val="00744833"/>
    <w:rsid w:val="0074488B"/>
    <w:rsid w:val="00744956"/>
    <w:rsid w:val="00744C40"/>
    <w:rsid w:val="0074581C"/>
    <w:rsid w:val="00745A5C"/>
    <w:rsid w:val="00745AD1"/>
    <w:rsid w:val="00745D2A"/>
    <w:rsid w:val="00745D6B"/>
    <w:rsid w:val="0074605F"/>
    <w:rsid w:val="00746268"/>
    <w:rsid w:val="00746367"/>
    <w:rsid w:val="007464E9"/>
    <w:rsid w:val="00747400"/>
    <w:rsid w:val="007474C5"/>
    <w:rsid w:val="00747810"/>
    <w:rsid w:val="00747BE1"/>
    <w:rsid w:val="00747E94"/>
    <w:rsid w:val="00750040"/>
    <w:rsid w:val="00750D17"/>
    <w:rsid w:val="00751FDD"/>
    <w:rsid w:val="00752F6B"/>
    <w:rsid w:val="007542B5"/>
    <w:rsid w:val="007547E7"/>
    <w:rsid w:val="007548C4"/>
    <w:rsid w:val="00754C01"/>
    <w:rsid w:val="00754C83"/>
    <w:rsid w:val="00754EA0"/>
    <w:rsid w:val="0075575C"/>
    <w:rsid w:val="00755BA6"/>
    <w:rsid w:val="00755DAF"/>
    <w:rsid w:val="00756673"/>
    <w:rsid w:val="00756A50"/>
    <w:rsid w:val="00760891"/>
    <w:rsid w:val="0076121E"/>
    <w:rsid w:val="007615D2"/>
    <w:rsid w:val="00761EF5"/>
    <w:rsid w:val="007621AB"/>
    <w:rsid w:val="007624CC"/>
    <w:rsid w:val="007629BC"/>
    <w:rsid w:val="00763F57"/>
    <w:rsid w:val="00763F91"/>
    <w:rsid w:val="007642FA"/>
    <w:rsid w:val="007644D2"/>
    <w:rsid w:val="00764DF0"/>
    <w:rsid w:val="00764E63"/>
    <w:rsid w:val="00765DF8"/>
    <w:rsid w:val="00766749"/>
    <w:rsid w:val="00766B7D"/>
    <w:rsid w:val="00766E64"/>
    <w:rsid w:val="00766E66"/>
    <w:rsid w:val="00767C1B"/>
    <w:rsid w:val="0077069B"/>
    <w:rsid w:val="007714A9"/>
    <w:rsid w:val="007726F8"/>
    <w:rsid w:val="00772BF1"/>
    <w:rsid w:val="007732EF"/>
    <w:rsid w:val="00773E19"/>
    <w:rsid w:val="00774165"/>
    <w:rsid w:val="007744D3"/>
    <w:rsid w:val="00774F88"/>
    <w:rsid w:val="00774FDB"/>
    <w:rsid w:val="00775434"/>
    <w:rsid w:val="007755E2"/>
    <w:rsid w:val="00775D1E"/>
    <w:rsid w:val="00776E77"/>
    <w:rsid w:val="00777676"/>
    <w:rsid w:val="0077779A"/>
    <w:rsid w:val="00777BA2"/>
    <w:rsid w:val="00777FBD"/>
    <w:rsid w:val="0078025B"/>
    <w:rsid w:val="0078034E"/>
    <w:rsid w:val="00781024"/>
    <w:rsid w:val="00781408"/>
    <w:rsid w:val="00781D81"/>
    <w:rsid w:val="00781F8C"/>
    <w:rsid w:val="0078207B"/>
    <w:rsid w:val="007830E7"/>
    <w:rsid w:val="00783B74"/>
    <w:rsid w:val="00784CC5"/>
    <w:rsid w:val="00784EBD"/>
    <w:rsid w:val="00784F7F"/>
    <w:rsid w:val="007852EA"/>
    <w:rsid w:val="007853A6"/>
    <w:rsid w:val="00785D0C"/>
    <w:rsid w:val="007870B3"/>
    <w:rsid w:val="007878A0"/>
    <w:rsid w:val="007878BD"/>
    <w:rsid w:val="00787DDC"/>
    <w:rsid w:val="00790416"/>
    <w:rsid w:val="007905AC"/>
    <w:rsid w:val="00790A40"/>
    <w:rsid w:val="00790C6D"/>
    <w:rsid w:val="00791404"/>
    <w:rsid w:val="00791D33"/>
    <w:rsid w:val="00791F17"/>
    <w:rsid w:val="0079261B"/>
    <w:rsid w:val="00792923"/>
    <w:rsid w:val="00792A12"/>
    <w:rsid w:val="00792CA4"/>
    <w:rsid w:val="00792EFF"/>
    <w:rsid w:val="007931D1"/>
    <w:rsid w:val="00793240"/>
    <w:rsid w:val="007937E2"/>
    <w:rsid w:val="00793A8C"/>
    <w:rsid w:val="00793B0B"/>
    <w:rsid w:val="007940EE"/>
    <w:rsid w:val="0079496B"/>
    <w:rsid w:val="007951A4"/>
    <w:rsid w:val="007951F7"/>
    <w:rsid w:val="00796CB7"/>
    <w:rsid w:val="00796F25"/>
    <w:rsid w:val="00797A22"/>
    <w:rsid w:val="00797F1C"/>
    <w:rsid w:val="007A1B69"/>
    <w:rsid w:val="007A1BD1"/>
    <w:rsid w:val="007A2E98"/>
    <w:rsid w:val="007A319F"/>
    <w:rsid w:val="007A332C"/>
    <w:rsid w:val="007A3BA3"/>
    <w:rsid w:val="007A3E61"/>
    <w:rsid w:val="007A4074"/>
    <w:rsid w:val="007A4B03"/>
    <w:rsid w:val="007A5251"/>
    <w:rsid w:val="007A5F99"/>
    <w:rsid w:val="007A6670"/>
    <w:rsid w:val="007A6CC0"/>
    <w:rsid w:val="007A7375"/>
    <w:rsid w:val="007A7FEC"/>
    <w:rsid w:val="007B01FC"/>
    <w:rsid w:val="007B074D"/>
    <w:rsid w:val="007B08C8"/>
    <w:rsid w:val="007B0CBB"/>
    <w:rsid w:val="007B0D69"/>
    <w:rsid w:val="007B1499"/>
    <w:rsid w:val="007B14E2"/>
    <w:rsid w:val="007B1603"/>
    <w:rsid w:val="007B1661"/>
    <w:rsid w:val="007B1BBF"/>
    <w:rsid w:val="007B206D"/>
    <w:rsid w:val="007B22BA"/>
    <w:rsid w:val="007B2960"/>
    <w:rsid w:val="007B2E94"/>
    <w:rsid w:val="007B33BF"/>
    <w:rsid w:val="007B343F"/>
    <w:rsid w:val="007B3494"/>
    <w:rsid w:val="007B355D"/>
    <w:rsid w:val="007B3876"/>
    <w:rsid w:val="007B3AF8"/>
    <w:rsid w:val="007B3B8B"/>
    <w:rsid w:val="007B3C7E"/>
    <w:rsid w:val="007B4203"/>
    <w:rsid w:val="007B433F"/>
    <w:rsid w:val="007B4886"/>
    <w:rsid w:val="007B4F77"/>
    <w:rsid w:val="007B55D3"/>
    <w:rsid w:val="007B58A8"/>
    <w:rsid w:val="007B6752"/>
    <w:rsid w:val="007B7980"/>
    <w:rsid w:val="007C0DEF"/>
    <w:rsid w:val="007C1D1E"/>
    <w:rsid w:val="007C23C2"/>
    <w:rsid w:val="007C2AB9"/>
    <w:rsid w:val="007C2C81"/>
    <w:rsid w:val="007C3FCA"/>
    <w:rsid w:val="007C4709"/>
    <w:rsid w:val="007C49DB"/>
    <w:rsid w:val="007C4F50"/>
    <w:rsid w:val="007C5A43"/>
    <w:rsid w:val="007C5BE1"/>
    <w:rsid w:val="007C5D5A"/>
    <w:rsid w:val="007C607F"/>
    <w:rsid w:val="007C6706"/>
    <w:rsid w:val="007C6813"/>
    <w:rsid w:val="007C79DD"/>
    <w:rsid w:val="007D1A97"/>
    <w:rsid w:val="007D1AA8"/>
    <w:rsid w:val="007D2CD6"/>
    <w:rsid w:val="007D3063"/>
    <w:rsid w:val="007D37B2"/>
    <w:rsid w:val="007D390A"/>
    <w:rsid w:val="007D3CEB"/>
    <w:rsid w:val="007D3EAA"/>
    <w:rsid w:val="007D3F0D"/>
    <w:rsid w:val="007D461A"/>
    <w:rsid w:val="007D48A6"/>
    <w:rsid w:val="007D560F"/>
    <w:rsid w:val="007D5D8F"/>
    <w:rsid w:val="007D5DD2"/>
    <w:rsid w:val="007D5E12"/>
    <w:rsid w:val="007D5E56"/>
    <w:rsid w:val="007D5F75"/>
    <w:rsid w:val="007D657C"/>
    <w:rsid w:val="007D706B"/>
    <w:rsid w:val="007E04FD"/>
    <w:rsid w:val="007E0FC3"/>
    <w:rsid w:val="007E10FD"/>
    <w:rsid w:val="007E1C0A"/>
    <w:rsid w:val="007E1C20"/>
    <w:rsid w:val="007E2131"/>
    <w:rsid w:val="007E2576"/>
    <w:rsid w:val="007E27BD"/>
    <w:rsid w:val="007E3218"/>
    <w:rsid w:val="007E39D8"/>
    <w:rsid w:val="007E4D1A"/>
    <w:rsid w:val="007E5B8F"/>
    <w:rsid w:val="007E5F16"/>
    <w:rsid w:val="007E6016"/>
    <w:rsid w:val="007E6A16"/>
    <w:rsid w:val="007E74E7"/>
    <w:rsid w:val="007E7683"/>
    <w:rsid w:val="007E7D4D"/>
    <w:rsid w:val="007E7F0A"/>
    <w:rsid w:val="007F02B9"/>
    <w:rsid w:val="007F0392"/>
    <w:rsid w:val="007F0586"/>
    <w:rsid w:val="007F1B33"/>
    <w:rsid w:val="007F1C7A"/>
    <w:rsid w:val="007F2AA3"/>
    <w:rsid w:val="007F2E0D"/>
    <w:rsid w:val="007F444F"/>
    <w:rsid w:val="007F46CB"/>
    <w:rsid w:val="007F49FA"/>
    <w:rsid w:val="007F5132"/>
    <w:rsid w:val="007F54C4"/>
    <w:rsid w:val="007F5577"/>
    <w:rsid w:val="007F5662"/>
    <w:rsid w:val="007F5C78"/>
    <w:rsid w:val="007F6E9A"/>
    <w:rsid w:val="007F77C2"/>
    <w:rsid w:val="007F7B0A"/>
    <w:rsid w:val="007F7E2E"/>
    <w:rsid w:val="0080075F"/>
    <w:rsid w:val="00800F27"/>
    <w:rsid w:val="00801F1E"/>
    <w:rsid w:val="00801F88"/>
    <w:rsid w:val="0080267C"/>
    <w:rsid w:val="00802918"/>
    <w:rsid w:val="00803203"/>
    <w:rsid w:val="008036C4"/>
    <w:rsid w:val="00803924"/>
    <w:rsid w:val="00803A5B"/>
    <w:rsid w:val="00803D58"/>
    <w:rsid w:val="00803DD1"/>
    <w:rsid w:val="00804074"/>
    <w:rsid w:val="00804418"/>
    <w:rsid w:val="008044D4"/>
    <w:rsid w:val="0080459B"/>
    <w:rsid w:val="00804B70"/>
    <w:rsid w:val="008055AE"/>
    <w:rsid w:val="00805657"/>
    <w:rsid w:val="008056DA"/>
    <w:rsid w:val="00805E63"/>
    <w:rsid w:val="00806D0E"/>
    <w:rsid w:val="008074D9"/>
    <w:rsid w:val="00807ABA"/>
    <w:rsid w:val="008101A2"/>
    <w:rsid w:val="00810AB4"/>
    <w:rsid w:val="00810C94"/>
    <w:rsid w:val="00810EA5"/>
    <w:rsid w:val="0081132D"/>
    <w:rsid w:val="00812362"/>
    <w:rsid w:val="008126D4"/>
    <w:rsid w:val="008134CE"/>
    <w:rsid w:val="00814147"/>
    <w:rsid w:val="00816604"/>
    <w:rsid w:val="00816D58"/>
    <w:rsid w:val="00816E07"/>
    <w:rsid w:val="00817B56"/>
    <w:rsid w:val="00820A5F"/>
    <w:rsid w:val="008217C8"/>
    <w:rsid w:val="008219DA"/>
    <w:rsid w:val="00821A88"/>
    <w:rsid w:val="00823462"/>
    <w:rsid w:val="008234E7"/>
    <w:rsid w:val="008246F2"/>
    <w:rsid w:val="008247AA"/>
    <w:rsid w:val="0082495D"/>
    <w:rsid w:val="00824AED"/>
    <w:rsid w:val="00824C74"/>
    <w:rsid w:val="00824C86"/>
    <w:rsid w:val="00825B7C"/>
    <w:rsid w:val="008264BA"/>
    <w:rsid w:val="00826BA0"/>
    <w:rsid w:val="008279D3"/>
    <w:rsid w:val="00830AAC"/>
    <w:rsid w:val="00830E16"/>
    <w:rsid w:val="00830F45"/>
    <w:rsid w:val="008319B5"/>
    <w:rsid w:val="00831AC3"/>
    <w:rsid w:val="00832D78"/>
    <w:rsid w:val="008336AE"/>
    <w:rsid w:val="008337C2"/>
    <w:rsid w:val="00835EDA"/>
    <w:rsid w:val="008361A7"/>
    <w:rsid w:val="00836933"/>
    <w:rsid w:val="008369F7"/>
    <w:rsid w:val="00836B28"/>
    <w:rsid w:val="00836FD8"/>
    <w:rsid w:val="00837276"/>
    <w:rsid w:val="008379A9"/>
    <w:rsid w:val="00837C7C"/>
    <w:rsid w:val="00840674"/>
    <w:rsid w:val="008408FF"/>
    <w:rsid w:val="00840DE6"/>
    <w:rsid w:val="0084115F"/>
    <w:rsid w:val="00841A15"/>
    <w:rsid w:val="0084304C"/>
    <w:rsid w:val="008432D2"/>
    <w:rsid w:val="00843501"/>
    <w:rsid w:val="00843CAE"/>
    <w:rsid w:val="00844AD3"/>
    <w:rsid w:val="0084618F"/>
    <w:rsid w:val="00846682"/>
    <w:rsid w:val="008467BD"/>
    <w:rsid w:val="0084717E"/>
    <w:rsid w:val="0084779E"/>
    <w:rsid w:val="00847C66"/>
    <w:rsid w:val="008515D1"/>
    <w:rsid w:val="00851663"/>
    <w:rsid w:val="00851926"/>
    <w:rsid w:val="00851C10"/>
    <w:rsid w:val="00851F3F"/>
    <w:rsid w:val="00852694"/>
    <w:rsid w:val="0085299E"/>
    <w:rsid w:val="00853405"/>
    <w:rsid w:val="00854353"/>
    <w:rsid w:val="00854810"/>
    <w:rsid w:val="008548CE"/>
    <w:rsid w:val="0085490C"/>
    <w:rsid w:val="00855333"/>
    <w:rsid w:val="00855733"/>
    <w:rsid w:val="008559B8"/>
    <w:rsid w:val="00855B70"/>
    <w:rsid w:val="008568B8"/>
    <w:rsid w:val="00856EDC"/>
    <w:rsid w:val="00857DDE"/>
    <w:rsid w:val="008606C9"/>
    <w:rsid w:val="00860EA9"/>
    <w:rsid w:val="008613A5"/>
    <w:rsid w:val="008613FE"/>
    <w:rsid w:val="008617BA"/>
    <w:rsid w:val="008623B5"/>
    <w:rsid w:val="00862AB5"/>
    <w:rsid w:val="00862E7D"/>
    <w:rsid w:val="00863365"/>
    <w:rsid w:val="00863B15"/>
    <w:rsid w:val="00865094"/>
    <w:rsid w:val="008659C6"/>
    <w:rsid w:val="00867056"/>
    <w:rsid w:val="00867108"/>
    <w:rsid w:val="00867495"/>
    <w:rsid w:val="008706BF"/>
    <w:rsid w:val="00870ABA"/>
    <w:rsid w:val="008710E1"/>
    <w:rsid w:val="008710F6"/>
    <w:rsid w:val="00871332"/>
    <w:rsid w:val="00871342"/>
    <w:rsid w:val="008716E5"/>
    <w:rsid w:val="00871D61"/>
    <w:rsid w:val="00872541"/>
    <w:rsid w:val="00872913"/>
    <w:rsid w:val="00873FA1"/>
    <w:rsid w:val="008742C6"/>
    <w:rsid w:val="00874557"/>
    <w:rsid w:val="00874CFD"/>
    <w:rsid w:val="0087594F"/>
    <w:rsid w:val="00876144"/>
    <w:rsid w:val="00876529"/>
    <w:rsid w:val="00877161"/>
    <w:rsid w:val="008771B0"/>
    <w:rsid w:val="008776D1"/>
    <w:rsid w:val="00880393"/>
    <w:rsid w:val="00880D2B"/>
    <w:rsid w:val="008811A0"/>
    <w:rsid w:val="008813CE"/>
    <w:rsid w:val="00881445"/>
    <w:rsid w:val="00881472"/>
    <w:rsid w:val="008817A9"/>
    <w:rsid w:val="00881CA9"/>
    <w:rsid w:val="00881F33"/>
    <w:rsid w:val="00882D8F"/>
    <w:rsid w:val="00883429"/>
    <w:rsid w:val="00883628"/>
    <w:rsid w:val="008843F0"/>
    <w:rsid w:val="00884944"/>
    <w:rsid w:val="00885544"/>
    <w:rsid w:val="0088634E"/>
    <w:rsid w:val="008863B2"/>
    <w:rsid w:val="0088661A"/>
    <w:rsid w:val="008866F3"/>
    <w:rsid w:val="00887310"/>
    <w:rsid w:val="00887562"/>
    <w:rsid w:val="00887808"/>
    <w:rsid w:val="00890F99"/>
    <w:rsid w:val="0089128A"/>
    <w:rsid w:val="0089132E"/>
    <w:rsid w:val="00891823"/>
    <w:rsid w:val="00893A8D"/>
    <w:rsid w:val="00893AB8"/>
    <w:rsid w:val="00893C65"/>
    <w:rsid w:val="0089520D"/>
    <w:rsid w:val="00895C3E"/>
    <w:rsid w:val="00895DFC"/>
    <w:rsid w:val="00896230"/>
    <w:rsid w:val="00897652"/>
    <w:rsid w:val="00897C73"/>
    <w:rsid w:val="00897C78"/>
    <w:rsid w:val="008A04C8"/>
    <w:rsid w:val="008A0B8C"/>
    <w:rsid w:val="008A1ED1"/>
    <w:rsid w:val="008A2930"/>
    <w:rsid w:val="008A2AFD"/>
    <w:rsid w:val="008A2EF4"/>
    <w:rsid w:val="008A2F6D"/>
    <w:rsid w:val="008A30BA"/>
    <w:rsid w:val="008A3668"/>
    <w:rsid w:val="008A3A56"/>
    <w:rsid w:val="008A4495"/>
    <w:rsid w:val="008A578B"/>
    <w:rsid w:val="008A5A9C"/>
    <w:rsid w:val="008A6913"/>
    <w:rsid w:val="008A697B"/>
    <w:rsid w:val="008A7AD5"/>
    <w:rsid w:val="008B01C5"/>
    <w:rsid w:val="008B1343"/>
    <w:rsid w:val="008B1929"/>
    <w:rsid w:val="008B1E85"/>
    <w:rsid w:val="008B3729"/>
    <w:rsid w:val="008B3957"/>
    <w:rsid w:val="008B4282"/>
    <w:rsid w:val="008B4929"/>
    <w:rsid w:val="008B4F36"/>
    <w:rsid w:val="008B57B6"/>
    <w:rsid w:val="008B5E9B"/>
    <w:rsid w:val="008B6126"/>
    <w:rsid w:val="008B63D3"/>
    <w:rsid w:val="008B650B"/>
    <w:rsid w:val="008B70F3"/>
    <w:rsid w:val="008B71C4"/>
    <w:rsid w:val="008B76DF"/>
    <w:rsid w:val="008C016F"/>
    <w:rsid w:val="008C01CB"/>
    <w:rsid w:val="008C0395"/>
    <w:rsid w:val="008C058B"/>
    <w:rsid w:val="008C1094"/>
    <w:rsid w:val="008C10F4"/>
    <w:rsid w:val="008C17DA"/>
    <w:rsid w:val="008C1A5D"/>
    <w:rsid w:val="008C22DC"/>
    <w:rsid w:val="008C24C6"/>
    <w:rsid w:val="008C2A5E"/>
    <w:rsid w:val="008C2FA3"/>
    <w:rsid w:val="008C3D5C"/>
    <w:rsid w:val="008C4F3B"/>
    <w:rsid w:val="008C65F7"/>
    <w:rsid w:val="008C6E13"/>
    <w:rsid w:val="008C708A"/>
    <w:rsid w:val="008D13B7"/>
    <w:rsid w:val="008D18B5"/>
    <w:rsid w:val="008D1BE6"/>
    <w:rsid w:val="008D22E3"/>
    <w:rsid w:val="008D344F"/>
    <w:rsid w:val="008D358A"/>
    <w:rsid w:val="008D37D9"/>
    <w:rsid w:val="008D388D"/>
    <w:rsid w:val="008D3AA9"/>
    <w:rsid w:val="008D4838"/>
    <w:rsid w:val="008D49CD"/>
    <w:rsid w:val="008D4DF7"/>
    <w:rsid w:val="008D558F"/>
    <w:rsid w:val="008D5670"/>
    <w:rsid w:val="008D56A8"/>
    <w:rsid w:val="008D640B"/>
    <w:rsid w:val="008D78CD"/>
    <w:rsid w:val="008D7A27"/>
    <w:rsid w:val="008D7B10"/>
    <w:rsid w:val="008E097B"/>
    <w:rsid w:val="008E09C4"/>
    <w:rsid w:val="008E09EC"/>
    <w:rsid w:val="008E0E7B"/>
    <w:rsid w:val="008E13DB"/>
    <w:rsid w:val="008E204A"/>
    <w:rsid w:val="008E2EDE"/>
    <w:rsid w:val="008E3938"/>
    <w:rsid w:val="008E3C67"/>
    <w:rsid w:val="008E40CD"/>
    <w:rsid w:val="008E4767"/>
    <w:rsid w:val="008E50F6"/>
    <w:rsid w:val="008E58FC"/>
    <w:rsid w:val="008E5B40"/>
    <w:rsid w:val="008E6C19"/>
    <w:rsid w:val="008E7501"/>
    <w:rsid w:val="008E7A8C"/>
    <w:rsid w:val="008E7CA5"/>
    <w:rsid w:val="008F053B"/>
    <w:rsid w:val="008F1321"/>
    <w:rsid w:val="008F19CD"/>
    <w:rsid w:val="008F1E10"/>
    <w:rsid w:val="008F240B"/>
    <w:rsid w:val="008F2450"/>
    <w:rsid w:val="008F3DEB"/>
    <w:rsid w:val="008F46B1"/>
    <w:rsid w:val="008F618E"/>
    <w:rsid w:val="008F6D46"/>
    <w:rsid w:val="008F738A"/>
    <w:rsid w:val="008F7439"/>
    <w:rsid w:val="008F76AC"/>
    <w:rsid w:val="00900087"/>
    <w:rsid w:val="0090058C"/>
    <w:rsid w:val="009007F7"/>
    <w:rsid w:val="00900EC5"/>
    <w:rsid w:val="009013EF"/>
    <w:rsid w:val="00901439"/>
    <w:rsid w:val="009016DE"/>
    <w:rsid w:val="00901EF0"/>
    <w:rsid w:val="00902ADC"/>
    <w:rsid w:val="00903285"/>
    <w:rsid w:val="0090337C"/>
    <w:rsid w:val="009036CD"/>
    <w:rsid w:val="00903D01"/>
    <w:rsid w:val="009043DA"/>
    <w:rsid w:val="009045D8"/>
    <w:rsid w:val="00904A3B"/>
    <w:rsid w:val="00904B5E"/>
    <w:rsid w:val="00904B86"/>
    <w:rsid w:val="00904C06"/>
    <w:rsid w:val="00904CC4"/>
    <w:rsid w:val="0090550F"/>
    <w:rsid w:val="0090587C"/>
    <w:rsid w:val="00906D55"/>
    <w:rsid w:val="00906F19"/>
    <w:rsid w:val="00906F40"/>
    <w:rsid w:val="0090731E"/>
    <w:rsid w:val="009074FA"/>
    <w:rsid w:val="0090759B"/>
    <w:rsid w:val="009076FC"/>
    <w:rsid w:val="00907932"/>
    <w:rsid w:val="00907F5B"/>
    <w:rsid w:val="00910571"/>
    <w:rsid w:val="00910AC2"/>
    <w:rsid w:val="00911A98"/>
    <w:rsid w:val="00912366"/>
    <w:rsid w:val="009129E0"/>
    <w:rsid w:val="00913165"/>
    <w:rsid w:val="00913312"/>
    <w:rsid w:val="00913523"/>
    <w:rsid w:val="00913826"/>
    <w:rsid w:val="009143D2"/>
    <w:rsid w:val="00915B1C"/>
    <w:rsid w:val="00916373"/>
    <w:rsid w:val="009174F3"/>
    <w:rsid w:val="009174F6"/>
    <w:rsid w:val="0091797D"/>
    <w:rsid w:val="00917E6B"/>
    <w:rsid w:val="009200AC"/>
    <w:rsid w:val="009215B0"/>
    <w:rsid w:val="009229F4"/>
    <w:rsid w:val="00922E56"/>
    <w:rsid w:val="00923858"/>
    <w:rsid w:val="00923CBA"/>
    <w:rsid w:val="00923CCA"/>
    <w:rsid w:val="009240F7"/>
    <w:rsid w:val="0092456D"/>
    <w:rsid w:val="009247D6"/>
    <w:rsid w:val="00925A28"/>
    <w:rsid w:val="00925A76"/>
    <w:rsid w:val="00925D6C"/>
    <w:rsid w:val="0092658A"/>
    <w:rsid w:val="00926703"/>
    <w:rsid w:val="0092674A"/>
    <w:rsid w:val="00927691"/>
    <w:rsid w:val="00927A5F"/>
    <w:rsid w:val="00930102"/>
    <w:rsid w:val="00930DB4"/>
    <w:rsid w:val="00930ED4"/>
    <w:rsid w:val="00932C7B"/>
    <w:rsid w:val="00932DE4"/>
    <w:rsid w:val="0093335F"/>
    <w:rsid w:val="00933483"/>
    <w:rsid w:val="00933861"/>
    <w:rsid w:val="00933E96"/>
    <w:rsid w:val="00933EF8"/>
    <w:rsid w:val="00933FE2"/>
    <w:rsid w:val="00934344"/>
    <w:rsid w:val="0093444A"/>
    <w:rsid w:val="009347E2"/>
    <w:rsid w:val="00935829"/>
    <w:rsid w:val="00935B63"/>
    <w:rsid w:val="0093627F"/>
    <w:rsid w:val="00936350"/>
    <w:rsid w:val="00936A75"/>
    <w:rsid w:val="00937B92"/>
    <w:rsid w:val="00937CB4"/>
    <w:rsid w:val="00937CCC"/>
    <w:rsid w:val="00937FC1"/>
    <w:rsid w:val="0094078F"/>
    <w:rsid w:val="00940AEE"/>
    <w:rsid w:val="00940C9B"/>
    <w:rsid w:val="00940FA3"/>
    <w:rsid w:val="00941F5E"/>
    <w:rsid w:val="00941FB0"/>
    <w:rsid w:val="009426D4"/>
    <w:rsid w:val="00942FAF"/>
    <w:rsid w:val="009430B2"/>
    <w:rsid w:val="00943200"/>
    <w:rsid w:val="00943312"/>
    <w:rsid w:val="0094414D"/>
    <w:rsid w:val="00945241"/>
    <w:rsid w:val="009452B1"/>
    <w:rsid w:val="0094568E"/>
    <w:rsid w:val="009460D6"/>
    <w:rsid w:val="0094622F"/>
    <w:rsid w:val="00946D74"/>
    <w:rsid w:val="00946F00"/>
    <w:rsid w:val="00947433"/>
    <w:rsid w:val="00947F25"/>
    <w:rsid w:val="00950159"/>
    <w:rsid w:val="0095095A"/>
    <w:rsid w:val="0095267B"/>
    <w:rsid w:val="00952870"/>
    <w:rsid w:val="00953297"/>
    <w:rsid w:val="00953EED"/>
    <w:rsid w:val="00953F74"/>
    <w:rsid w:val="00954898"/>
    <w:rsid w:val="0095490B"/>
    <w:rsid w:val="00955708"/>
    <w:rsid w:val="0095583E"/>
    <w:rsid w:val="00955E40"/>
    <w:rsid w:val="0096038E"/>
    <w:rsid w:val="009608B7"/>
    <w:rsid w:val="00960A33"/>
    <w:rsid w:val="00960DFD"/>
    <w:rsid w:val="00961444"/>
    <w:rsid w:val="009614F5"/>
    <w:rsid w:val="0096156D"/>
    <w:rsid w:val="0096167F"/>
    <w:rsid w:val="009617EE"/>
    <w:rsid w:val="00962EDA"/>
    <w:rsid w:val="00964F43"/>
    <w:rsid w:val="009653AD"/>
    <w:rsid w:val="00970000"/>
    <w:rsid w:val="0097019C"/>
    <w:rsid w:val="009705D1"/>
    <w:rsid w:val="00970625"/>
    <w:rsid w:val="0097125F"/>
    <w:rsid w:val="00971461"/>
    <w:rsid w:val="00971914"/>
    <w:rsid w:val="00971979"/>
    <w:rsid w:val="00971B4E"/>
    <w:rsid w:val="00972209"/>
    <w:rsid w:val="009728FE"/>
    <w:rsid w:val="00972A1F"/>
    <w:rsid w:val="00972D87"/>
    <w:rsid w:val="00973EFE"/>
    <w:rsid w:val="00974363"/>
    <w:rsid w:val="0097488C"/>
    <w:rsid w:val="0097504A"/>
    <w:rsid w:val="00975302"/>
    <w:rsid w:val="0097595D"/>
    <w:rsid w:val="0097672D"/>
    <w:rsid w:val="00976F68"/>
    <w:rsid w:val="00977201"/>
    <w:rsid w:val="00977D33"/>
    <w:rsid w:val="0098073F"/>
    <w:rsid w:val="0098154A"/>
    <w:rsid w:val="00981898"/>
    <w:rsid w:val="00981936"/>
    <w:rsid w:val="00981A93"/>
    <w:rsid w:val="009822FD"/>
    <w:rsid w:val="0098254B"/>
    <w:rsid w:val="00982726"/>
    <w:rsid w:val="0098287E"/>
    <w:rsid w:val="0098368C"/>
    <w:rsid w:val="009839DE"/>
    <w:rsid w:val="009840CB"/>
    <w:rsid w:val="00984403"/>
    <w:rsid w:val="0098495D"/>
    <w:rsid w:val="009851A3"/>
    <w:rsid w:val="009851B8"/>
    <w:rsid w:val="009866F8"/>
    <w:rsid w:val="00986768"/>
    <w:rsid w:val="00986BCB"/>
    <w:rsid w:val="00987E7B"/>
    <w:rsid w:val="0099068D"/>
    <w:rsid w:val="00991590"/>
    <w:rsid w:val="009919F4"/>
    <w:rsid w:val="00992012"/>
    <w:rsid w:val="00993213"/>
    <w:rsid w:val="0099380D"/>
    <w:rsid w:val="00993D1A"/>
    <w:rsid w:val="00993DB4"/>
    <w:rsid w:val="0099456F"/>
    <w:rsid w:val="009945D6"/>
    <w:rsid w:val="009945E8"/>
    <w:rsid w:val="00994DE6"/>
    <w:rsid w:val="00995099"/>
    <w:rsid w:val="0099577C"/>
    <w:rsid w:val="009964F1"/>
    <w:rsid w:val="00996876"/>
    <w:rsid w:val="00996897"/>
    <w:rsid w:val="0099719D"/>
    <w:rsid w:val="009973A8"/>
    <w:rsid w:val="00997462"/>
    <w:rsid w:val="009978A3"/>
    <w:rsid w:val="00997D4B"/>
    <w:rsid w:val="009A0C52"/>
    <w:rsid w:val="009A12B4"/>
    <w:rsid w:val="009A2579"/>
    <w:rsid w:val="009A3BAD"/>
    <w:rsid w:val="009A4C19"/>
    <w:rsid w:val="009A5177"/>
    <w:rsid w:val="009A570D"/>
    <w:rsid w:val="009A5914"/>
    <w:rsid w:val="009A6103"/>
    <w:rsid w:val="009A65AA"/>
    <w:rsid w:val="009A69FC"/>
    <w:rsid w:val="009A6A35"/>
    <w:rsid w:val="009A6AA9"/>
    <w:rsid w:val="009A6D75"/>
    <w:rsid w:val="009A6EAD"/>
    <w:rsid w:val="009A7326"/>
    <w:rsid w:val="009A7C53"/>
    <w:rsid w:val="009B091A"/>
    <w:rsid w:val="009B0E5D"/>
    <w:rsid w:val="009B15CC"/>
    <w:rsid w:val="009B1705"/>
    <w:rsid w:val="009B1D17"/>
    <w:rsid w:val="009B24C5"/>
    <w:rsid w:val="009B2601"/>
    <w:rsid w:val="009B2E80"/>
    <w:rsid w:val="009B3969"/>
    <w:rsid w:val="009B4589"/>
    <w:rsid w:val="009B460A"/>
    <w:rsid w:val="009B4E9E"/>
    <w:rsid w:val="009B4ED5"/>
    <w:rsid w:val="009B62DD"/>
    <w:rsid w:val="009B6764"/>
    <w:rsid w:val="009B6C55"/>
    <w:rsid w:val="009B7311"/>
    <w:rsid w:val="009B7516"/>
    <w:rsid w:val="009B76B8"/>
    <w:rsid w:val="009B7AED"/>
    <w:rsid w:val="009B7D9A"/>
    <w:rsid w:val="009B7F4D"/>
    <w:rsid w:val="009C04D3"/>
    <w:rsid w:val="009C0AAB"/>
    <w:rsid w:val="009C0B02"/>
    <w:rsid w:val="009C110D"/>
    <w:rsid w:val="009C1690"/>
    <w:rsid w:val="009C20CB"/>
    <w:rsid w:val="009C235A"/>
    <w:rsid w:val="009C2B26"/>
    <w:rsid w:val="009C3F1C"/>
    <w:rsid w:val="009C4425"/>
    <w:rsid w:val="009C4A4F"/>
    <w:rsid w:val="009C4A52"/>
    <w:rsid w:val="009C4D08"/>
    <w:rsid w:val="009C5EB0"/>
    <w:rsid w:val="009C6881"/>
    <w:rsid w:val="009C7759"/>
    <w:rsid w:val="009C795D"/>
    <w:rsid w:val="009C7E32"/>
    <w:rsid w:val="009D043D"/>
    <w:rsid w:val="009D06CD"/>
    <w:rsid w:val="009D07C8"/>
    <w:rsid w:val="009D293E"/>
    <w:rsid w:val="009D2995"/>
    <w:rsid w:val="009D2EB4"/>
    <w:rsid w:val="009D37AD"/>
    <w:rsid w:val="009D39F5"/>
    <w:rsid w:val="009D3E0B"/>
    <w:rsid w:val="009D483F"/>
    <w:rsid w:val="009D4922"/>
    <w:rsid w:val="009D4FD1"/>
    <w:rsid w:val="009D5039"/>
    <w:rsid w:val="009D52EB"/>
    <w:rsid w:val="009D5671"/>
    <w:rsid w:val="009D692D"/>
    <w:rsid w:val="009D6BC0"/>
    <w:rsid w:val="009D6C71"/>
    <w:rsid w:val="009D78E4"/>
    <w:rsid w:val="009E0631"/>
    <w:rsid w:val="009E076C"/>
    <w:rsid w:val="009E07B8"/>
    <w:rsid w:val="009E095B"/>
    <w:rsid w:val="009E0BDC"/>
    <w:rsid w:val="009E0E72"/>
    <w:rsid w:val="009E0F06"/>
    <w:rsid w:val="009E13BB"/>
    <w:rsid w:val="009E1419"/>
    <w:rsid w:val="009E147F"/>
    <w:rsid w:val="009E16D0"/>
    <w:rsid w:val="009E1EC3"/>
    <w:rsid w:val="009E202D"/>
    <w:rsid w:val="009E254D"/>
    <w:rsid w:val="009E316A"/>
    <w:rsid w:val="009E35DB"/>
    <w:rsid w:val="009E38FD"/>
    <w:rsid w:val="009E3A51"/>
    <w:rsid w:val="009E49CD"/>
    <w:rsid w:val="009E54F8"/>
    <w:rsid w:val="009E5E3F"/>
    <w:rsid w:val="009E612C"/>
    <w:rsid w:val="009E63D9"/>
    <w:rsid w:val="009E64FC"/>
    <w:rsid w:val="009E65E4"/>
    <w:rsid w:val="009E69FE"/>
    <w:rsid w:val="009E6E04"/>
    <w:rsid w:val="009E7A27"/>
    <w:rsid w:val="009F0198"/>
    <w:rsid w:val="009F0A58"/>
    <w:rsid w:val="009F0C99"/>
    <w:rsid w:val="009F0E4A"/>
    <w:rsid w:val="009F0F03"/>
    <w:rsid w:val="009F123D"/>
    <w:rsid w:val="009F13D6"/>
    <w:rsid w:val="009F2050"/>
    <w:rsid w:val="009F2462"/>
    <w:rsid w:val="009F2804"/>
    <w:rsid w:val="009F2ABE"/>
    <w:rsid w:val="009F2CBF"/>
    <w:rsid w:val="009F36E4"/>
    <w:rsid w:val="009F3C97"/>
    <w:rsid w:val="009F3E48"/>
    <w:rsid w:val="009F40E1"/>
    <w:rsid w:val="009F4C6B"/>
    <w:rsid w:val="009F4F08"/>
    <w:rsid w:val="009F5B27"/>
    <w:rsid w:val="009F616B"/>
    <w:rsid w:val="009F6ED3"/>
    <w:rsid w:val="009F706C"/>
    <w:rsid w:val="009F76CD"/>
    <w:rsid w:val="009F77FB"/>
    <w:rsid w:val="009F78A8"/>
    <w:rsid w:val="00A016D3"/>
    <w:rsid w:val="00A01714"/>
    <w:rsid w:val="00A017EB"/>
    <w:rsid w:val="00A017F3"/>
    <w:rsid w:val="00A01B20"/>
    <w:rsid w:val="00A01D77"/>
    <w:rsid w:val="00A02153"/>
    <w:rsid w:val="00A02911"/>
    <w:rsid w:val="00A02AD6"/>
    <w:rsid w:val="00A02B12"/>
    <w:rsid w:val="00A02D37"/>
    <w:rsid w:val="00A049C1"/>
    <w:rsid w:val="00A04C27"/>
    <w:rsid w:val="00A05186"/>
    <w:rsid w:val="00A05C9C"/>
    <w:rsid w:val="00A05E21"/>
    <w:rsid w:val="00A05EC9"/>
    <w:rsid w:val="00A063A6"/>
    <w:rsid w:val="00A0682D"/>
    <w:rsid w:val="00A06CC9"/>
    <w:rsid w:val="00A07096"/>
    <w:rsid w:val="00A07318"/>
    <w:rsid w:val="00A073ED"/>
    <w:rsid w:val="00A07DF5"/>
    <w:rsid w:val="00A07F47"/>
    <w:rsid w:val="00A1057F"/>
    <w:rsid w:val="00A106EE"/>
    <w:rsid w:val="00A107B7"/>
    <w:rsid w:val="00A10C38"/>
    <w:rsid w:val="00A110E0"/>
    <w:rsid w:val="00A11370"/>
    <w:rsid w:val="00A11504"/>
    <w:rsid w:val="00A11799"/>
    <w:rsid w:val="00A11B4B"/>
    <w:rsid w:val="00A1250B"/>
    <w:rsid w:val="00A12565"/>
    <w:rsid w:val="00A12D9C"/>
    <w:rsid w:val="00A13165"/>
    <w:rsid w:val="00A132E6"/>
    <w:rsid w:val="00A13504"/>
    <w:rsid w:val="00A139A8"/>
    <w:rsid w:val="00A13EB6"/>
    <w:rsid w:val="00A14656"/>
    <w:rsid w:val="00A14969"/>
    <w:rsid w:val="00A159F0"/>
    <w:rsid w:val="00A1727A"/>
    <w:rsid w:val="00A174D7"/>
    <w:rsid w:val="00A17910"/>
    <w:rsid w:val="00A179F8"/>
    <w:rsid w:val="00A205F3"/>
    <w:rsid w:val="00A21692"/>
    <w:rsid w:val="00A21C39"/>
    <w:rsid w:val="00A224CE"/>
    <w:rsid w:val="00A22522"/>
    <w:rsid w:val="00A227A9"/>
    <w:rsid w:val="00A23982"/>
    <w:rsid w:val="00A24264"/>
    <w:rsid w:val="00A243DF"/>
    <w:rsid w:val="00A24AFD"/>
    <w:rsid w:val="00A24C7D"/>
    <w:rsid w:val="00A24F5C"/>
    <w:rsid w:val="00A258CF"/>
    <w:rsid w:val="00A26B00"/>
    <w:rsid w:val="00A26C1E"/>
    <w:rsid w:val="00A26CF2"/>
    <w:rsid w:val="00A26E59"/>
    <w:rsid w:val="00A3032C"/>
    <w:rsid w:val="00A30366"/>
    <w:rsid w:val="00A3085F"/>
    <w:rsid w:val="00A30DA6"/>
    <w:rsid w:val="00A31E48"/>
    <w:rsid w:val="00A324A6"/>
    <w:rsid w:val="00A32B86"/>
    <w:rsid w:val="00A32F96"/>
    <w:rsid w:val="00A3358F"/>
    <w:rsid w:val="00A33812"/>
    <w:rsid w:val="00A33B22"/>
    <w:rsid w:val="00A348A0"/>
    <w:rsid w:val="00A34A67"/>
    <w:rsid w:val="00A359D1"/>
    <w:rsid w:val="00A35C14"/>
    <w:rsid w:val="00A35D08"/>
    <w:rsid w:val="00A35E60"/>
    <w:rsid w:val="00A35F4E"/>
    <w:rsid w:val="00A36429"/>
    <w:rsid w:val="00A37173"/>
    <w:rsid w:val="00A37BCC"/>
    <w:rsid w:val="00A37E19"/>
    <w:rsid w:val="00A404D1"/>
    <w:rsid w:val="00A40871"/>
    <w:rsid w:val="00A40AC9"/>
    <w:rsid w:val="00A412AB"/>
    <w:rsid w:val="00A414F4"/>
    <w:rsid w:val="00A4193E"/>
    <w:rsid w:val="00A41D0A"/>
    <w:rsid w:val="00A41E9C"/>
    <w:rsid w:val="00A425FA"/>
    <w:rsid w:val="00A42D5E"/>
    <w:rsid w:val="00A42DD2"/>
    <w:rsid w:val="00A433A4"/>
    <w:rsid w:val="00A4362A"/>
    <w:rsid w:val="00A43C0F"/>
    <w:rsid w:val="00A440E0"/>
    <w:rsid w:val="00A442EF"/>
    <w:rsid w:val="00A46237"/>
    <w:rsid w:val="00A46302"/>
    <w:rsid w:val="00A47CFB"/>
    <w:rsid w:val="00A519F3"/>
    <w:rsid w:val="00A51C49"/>
    <w:rsid w:val="00A51D1A"/>
    <w:rsid w:val="00A51FBF"/>
    <w:rsid w:val="00A524D4"/>
    <w:rsid w:val="00A52BFF"/>
    <w:rsid w:val="00A52C9F"/>
    <w:rsid w:val="00A52DFD"/>
    <w:rsid w:val="00A536E6"/>
    <w:rsid w:val="00A538CC"/>
    <w:rsid w:val="00A53C83"/>
    <w:rsid w:val="00A53D70"/>
    <w:rsid w:val="00A5418D"/>
    <w:rsid w:val="00A5459D"/>
    <w:rsid w:val="00A5474E"/>
    <w:rsid w:val="00A54F11"/>
    <w:rsid w:val="00A551FC"/>
    <w:rsid w:val="00A5538D"/>
    <w:rsid w:val="00A557F8"/>
    <w:rsid w:val="00A55BE8"/>
    <w:rsid w:val="00A56505"/>
    <w:rsid w:val="00A56C80"/>
    <w:rsid w:val="00A57B56"/>
    <w:rsid w:val="00A57DC2"/>
    <w:rsid w:val="00A603A3"/>
    <w:rsid w:val="00A60511"/>
    <w:rsid w:val="00A61287"/>
    <w:rsid w:val="00A61B7B"/>
    <w:rsid w:val="00A62F89"/>
    <w:rsid w:val="00A635D8"/>
    <w:rsid w:val="00A6379E"/>
    <w:rsid w:val="00A63881"/>
    <w:rsid w:val="00A63F21"/>
    <w:rsid w:val="00A64234"/>
    <w:rsid w:val="00A64733"/>
    <w:rsid w:val="00A65016"/>
    <w:rsid w:val="00A652FE"/>
    <w:rsid w:val="00A66A4C"/>
    <w:rsid w:val="00A703C9"/>
    <w:rsid w:val="00A70A26"/>
    <w:rsid w:val="00A70ADF"/>
    <w:rsid w:val="00A71466"/>
    <w:rsid w:val="00A71B41"/>
    <w:rsid w:val="00A71B68"/>
    <w:rsid w:val="00A726AF"/>
    <w:rsid w:val="00A72B68"/>
    <w:rsid w:val="00A737BB"/>
    <w:rsid w:val="00A73CF2"/>
    <w:rsid w:val="00A748BB"/>
    <w:rsid w:val="00A74977"/>
    <w:rsid w:val="00A74B5E"/>
    <w:rsid w:val="00A75FF4"/>
    <w:rsid w:val="00A779A2"/>
    <w:rsid w:val="00A80124"/>
    <w:rsid w:val="00A81244"/>
    <w:rsid w:val="00A81BED"/>
    <w:rsid w:val="00A81C86"/>
    <w:rsid w:val="00A81D37"/>
    <w:rsid w:val="00A81EC4"/>
    <w:rsid w:val="00A820DA"/>
    <w:rsid w:val="00A83013"/>
    <w:rsid w:val="00A8307F"/>
    <w:rsid w:val="00A8383C"/>
    <w:rsid w:val="00A83A07"/>
    <w:rsid w:val="00A83F13"/>
    <w:rsid w:val="00A84140"/>
    <w:rsid w:val="00A8465A"/>
    <w:rsid w:val="00A8578B"/>
    <w:rsid w:val="00A85B4D"/>
    <w:rsid w:val="00A8637C"/>
    <w:rsid w:val="00A868B1"/>
    <w:rsid w:val="00A86ACF"/>
    <w:rsid w:val="00A86F74"/>
    <w:rsid w:val="00A87239"/>
    <w:rsid w:val="00A87D60"/>
    <w:rsid w:val="00A87FEB"/>
    <w:rsid w:val="00A9097B"/>
    <w:rsid w:val="00A90A23"/>
    <w:rsid w:val="00A9175E"/>
    <w:rsid w:val="00A91D80"/>
    <w:rsid w:val="00A91DED"/>
    <w:rsid w:val="00A9212C"/>
    <w:rsid w:val="00A9262B"/>
    <w:rsid w:val="00A92F23"/>
    <w:rsid w:val="00A9343F"/>
    <w:rsid w:val="00A934FF"/>
    <w:rsid w:val="00A936DB"/>
    <w:rsid w:val="00A9396C"/>
    <w:rsid w:val="00A942B9"/>
    <w:rsid w:val="00A942DF"/>
    <w:rsid w:val="00A94C65"/>
    <w:rsid w:val="00A9584D"/>
    <w:rsid w:val="00A962CD"/>
    <w:rsid w:val="00A967FD"/>
    <w:rsid w:val="00A96F90"/>
    <w:rsid w:val="00A96FB5"/>
    <w:rsid w:val="00AA1672"/>
    <w:rsid w:val="00AA23A8"/>
    <w:rsid w:val="00AA283A"/>
    <w:rsid w:val="00AA2993"/>
    <w:rsid w:val="00AA2B88"/>
    <w:rsid w:val="00AA3073"/>
    <w:rsid w:val="00AA330B"/>
    <w:rsid w:val="00AA33ED"/>
    <w:rsid w:val="00AA3FB5"/>
    <w:rsid w:val="00AA5341"/>
    <w:rsid w:val="00AA5354"/>
    <w:rsid w:val="00AA5A10"/>
    <w:rsid w:val="00AA5BCC"/>
    <w:rsid w:val="00AA6672"/>
    <w:rsid w:val="00AA6A54"/>
    <w:rsid w:val="00AA6B66"/>
    <w:rsid w:val="00AA6D91"/>
    <w:rsid w:val="00AA7EB2"/>
    <w:rsid w:val="00AB0016"/>
    <w:rsid w:val="00AB02BF"/>
    <w:rsid w:val="00AB0A9A"/>
    <w:rsid w:val="00AB0EB9"/>
    <w:rsid w:val="00AB156C"/>
    <w:rsid w:val="00AB1689"/>
    <w:rsid w:val="00AB19B7"/>
    <w:rsid w:val="00AB1A8C"/>
    <w:rsid w:val="00AB3277"/>
    <w:rsid w:val="00AB38F8"/>
    <w:rsid w:val="00AB5226"/>
    <w:rsid w:val="00AB5340"/>
    <w:rsid w:val="00AB5786"/>
    <w:rsid w:val="00AB6814"/>
    <w:rsid w:val="00AB693F"/>
    <w:rsid w:val="00AB7771"/>
    <w:rsid w:val="00AC00F7"/>
    <w:rsid w:val="00AC04BA"/>
    <w:rsid w:val="00AC0BD0"/>
    <w:rsid w:val="00AC0E39"/>
    <w:rsid w:val="00AC0F7D"/>
    <w:rsid w:val="00AC0FC1"/>
    <w:rsid w:val="00AC1131"/>
    <w:rsid w:val="00AC12EC"/>
    <w:rsid w:val="00AC2746"/>
    <w:rsid w:val="00AC2B8A"/>
    <w:rsid w:val="00AC2ECE"/>
    <w:rsid w:val="00AC35B2"/>
    <w:rsid w:val="00AC3CD7"/>
    <w:rsid w:val="00AC3E86"/>
    <w:rsid w:val="00AC45C5"/>
    <w:rsid w:val="00AC4634"/>
    <w:rsid w:val="00AC51BF"/>
    <w:rsid w:val="00AC5DB0"/>
    <w:rsid w:val="00AC6476"/>
    <w:rsid w:val="00AC6904"/>
    <w:rsid w:val="00AC768E"/>
    <w:rsid w:val="00AC7A86"/>
    <w:rsid w:val="00AC7C7E"/>
    <w:rsid w:val="00AC7FF8"/>
    <w:rsid w:val="00AD05C0"/>
    <w:rsid w:val="00AD07EE"/>
    <w:rsid w:val="00AD0BCE"/>
    <w:rsid w:val="00AD1035"/>
    <w:rsid w:val="00AD1159"/>
    <w:rsid w:val="00AD1434"/>
    <w:rsid w:val="00AD1BC6"/>
    <w:rsid w:val="00AD1ED8"/>
    <w:rsid w:val="00AD21F6"/>
    <w:rsid w:val="00AD3082"/>
    <w:rsid w:val="00AD3157"/>
    <w:rsid w:val="00AD32B4"/>
    <w:rsid w:val="00AD3518"/>
    <w:rsid w:val="00AD3E66"/>
    <w:rsid w:val="00AD422D"/>
    <w:rsid w:val="00AD4938"/>
    <w:rsid w:val="00AD4AD0"/>
    <w:rsid w:val="00AD53CB"/>
    <w:rsid w:val="00AD5436"/>
    <w:rsid w:val="00AD56FB"/>
    <w:rsid w:val="00AD60CD"/>
    <w:rsid w:val="00AD66F9"/>
    <w:rsid w:val="00AD6860"/>
    <w:rsid w:val="00AD6A51"/>
    <w:rsid w:val="00AD6C8C"/>
    <w:rsid w:val="00AD6D26"/>
    <w:rsid w:val="00AD709F"/>
    <w:rsid w:val="00AD745F"/>
    <w:rsid w:val="00AD776E"/>
    <w:rsid w:val="00AD7D88"/>
    <w:rsid w:val="00AD7EA9"/>
    <w:rsid w:val="00AE01D9"/>
    <w:rsid w:val="00AE091D"/>
    <w:rsid w:val="00AE0BE7"/>
    <w:rsid w:val="00AE1C9D"/>
    <w:rsid w:val="00AE2478"/>
    <w:rsid w:val="00AE2615"/>
    <w:rsid w:val="00AE363C"/>
    <w:rsid w:val="00AE3B60"/>
    <w:rsid w:val="00AE407C"/>
    <w:rsid w:val="00AE4191"/>
    <w:rsid w:val="00AE4297"/>
    <w:rsid w:val="00AE486F"/>
    <w:rsid w:val="00AE53A1"/>
    <w:rsid w:val="00AE5456"/>
    <w:rsid w:val="00AE61DA"/>
    <w:rsid w:val="00AE69F1"/>
    <w:rsid w:val="00AE757F"/>
    <w:rsid w:val="00AE7DD9"/>
    <w:rsid w:val="00AE7E74"/>
    <w:rsid w:val="00AF043E"/>
    <w:rsid w:val="00AF0596"/>
    <w:rsid w:val="00AF05B4"/>
    <w:rsid w:val="00AF17D9"/>
    <w:rsid w:val="00AF1AC4"/>
    <w:rsid w:val="00AF2484"/>
    <w:rsid w:val="00AF3034"/>
    <w:rsid w:val="00AF36D3"/>
    <w:rsid w:val="00AF391F"/>
    <w:rsid w:val="00AF3B8D"/>
    <w:rsid w:val="00AF4108"/>
    <w:rsid w:val="00AF431A"/>
    <w:rsid w:val="00AF495B"/>
    <w:rsid w:val="00AF49F3"/>
    <w:rsid w:val="00AF4C6A"/>
    <w:rsid w:val="00AF5512"/>
    <w:rsid w:val="00AF63DF"/>
    <w:rsid w:val="00AF63E7"/>
    <w:rsid w:val="00AF657D"/>
    <w:rsid w:val="00AF666F"/>
    <w:rsid w:val="00AF6E17"/>
    <w:rsid w:val="00AF775C"/>
    <w:rsid w:val="00B00EB1"/>
    <w:rsid w:val="00B0165D"/>
    <w:rsid w:val="00B01B60"/>
    <w:rsid w:val="00B024C2"/>
    <w:rsid w:val="00B031F3"/>
    <w:rsid w:val="00B033B7"/>
    <w:rsid w:val="00B034FD"/>
    <w:rsid w:val="00B03725"/>
    <w:rsid w:val="00B049B4"/>
    <w:rsid w:val="00B04F9F"/>
    <w:rsid w:val="00B052A4"/>
    <w:rsid w:val="00B05597"/>
    <w:rsid w:val="00B05804"/>
    <w:rsid w:val="00B061D0"/>
    <w:rsid w:val="00B06427"/>
    <w:rsid w:val="00B065D6"/>
    <w:rsid w:val="00B066C4"/>
    <w:rsid w:val="00B06C12"/>
    <w:rsid w:val="00B0739C"/>
    <w:rsid w:val="00B07794"/>
    <w:rsid w:val="00B07D7F"/>
    <w:rsid w:val="00B1036F"/>
    <w:rsid w:val="00B11039"/>
    <w:rsid w:val="00B11477"/>
    <w:rsid w:val="00B1150C"/>
    <w:rsid w:val="00B11A3C"/>
    <w:rsid w:val="00B11C36"/>
    <w:rsid w:val="00B11E79"/>
    <w:rsid w:val="00B125DE"/>
    <w:rsid w:val="00B12A2E"/>
    <w:rsid w:val="00B13237"/>
    <w:rsid w:val="00B133E7"/>
    <w:rsid w:val="00B13F1F"/>
    <w:rsid w:val="00B13FDD"/>
    <w:rsid w:val="00B15198"/>
    <w:rsid w:val="00B153D9"/>
    <w:rsid w:val="00B1547A"/>
    <w:rsid w:val="00B15B1C"/>
    <w:rsid w:val="00B15C82"/>
    <w:rsid w:val="00B20645"/>
    <w:rsid w:val="00B20AA6"/>
    <w:rsid w:val="00B21225"/>
    <w:rsid w:val="00B21378"/>
    <w:rsid w:val="00B22199"/>
    <w:rsid w:val="00B22432"/>
    <w:rsid w:val="00B22C7C"/>
    <w:rsid w:val="00B22EB2"/>
    <w:rsid w:val="00B23363"/>
    <w:rsid w:val="00B26033"/>
    <w:rsid w:val="00B27288"/>
    <w:rsid w:val="00B27442"/>
    <w:rsid w:val="00B27B13"/>
    <w:rsid w:val="00B27DD9"/>
    <w:rsid w:val="00B30A1D"/>
    <w:rsid w:val="00B310DE"/>
    <w:rsid w:val="00B31167"/>
    <w:rsid w:val="00B31B8E"/>
    <w:rsid w:val="00B31FE1"/>
    <w:rsid w:val="00B31FE4"/>
    <w:rsid w:val="00B320B1"/>
    <w:rsid w:val="00B329D8"/>
    <w:rsid w:val="00B32B89"/>
    <w:rsid w:val="00B32BB9"/>
    <w:rsid w:val="00B3347F"/>
    <w:rsid w:val="00B33AE1"/>
    <w:rsid w:val="00B33B4F"/>
    <w:rsid w:val="00B345CE"/>
    <w:rsid w:val="00B34E92"/>
    <w:rsid w:val="00B359AF"/>
    <w:rsid w:val="00B35E5C"/>
    <w:rsid w:val="00B3601B"/>
    <w:rsid w:val="00B361E9"/>
    <w:rsid w:val="00B3691A"/>
    <w:rsid w:val="00B37803"/>
    <w:rsid w:val="00B37C38"/>
    <w:rsid w:val="00B37D0B"/>
    <w:rsid w:val="00B404C2"/>
    <w:rsid w:val="00B41733"/>
    <w:rsid w:val="00B4271E"/>
    <w:rsid w:val="00B4288C"/>
    <w:rsid w:val="00B4308C"/>
    <w:rsid w:val="00B430EA"/>
    <w:rsid w:val="00B43262"/>
    <w:rsid w:val="00B43B07"/>
    <w:rsid w:val="00B44100"/>
    <w:rsid w:val="00B46CBA"/>
    <w:rsid w:val="00B46F94"/>
    <w:rsid w:val="00B47931"/>
    <w:rsid w:val="00B47EED"/>
    <w:rsid w:val="00B50266"/>
    <w:rsid w:val="00B50C73"/>
    <w:rsid w:val="00B50FBF"/>
    <w:rsid w:val="00B50FEF"/>
    <w:rsid w:val="00B510DA"/>
    <w:rsid w:val="00B513A0"/>
    <w:rsid w:val="00B5204E"/>
    <w:rsid w:val="00B5347F"/>
    <w:rsid w:val="00B538E0"/>
    <w:rsid w:val="00B53910"/>
    <w:rsid w:val="00B54B39"/>
    <w:rsid w:val="00B54EFB"/>
    <w:rsid w:val="00B56AC3"/>
    <w:rsid w:val="00B56BB6"/>
    <w:rsid w:val="00B578A9"/>
    <w:rsid w:val="00B57C49"/>
    <w:rsid w:val="00B6003C"/>
    <w:rsid w:val="00B60499"/>
    <w:rsid w:val="00B60A00"/>
    <w:rsid w:val="00B60E93"/>
    <w:rsid w:val="00B612CC"/>
    <w:rsid w:val="00B618C2"/>
    <w:rsid w:val="00B61F03"/>
    <w:rsid w:val="00B62550"/>
    <w:rsid w:val="00B626E4"/>
    <w:rsid w:val="00B6295A"/>
    <w:rsid w:val="00B62997"/>
    <w:rsid w:val="00B6323D"/>
    <w:rsid w:val="00B63483"/>
    <w:rsid w:val="00B6373A"/>
    <w:rsid w:val="00B63893"/>
    <w:rsid w:val="00B64E96"/>
    <w:rsid w:val="00B64F20"/>
    <w:rsid w:val="00B64FFA"/>
    <w:rsid w:val="00B6502C"/>
    <w:rsid w:val="00B65905"/>
    <w:rsid w:val="00B66336"/>
    <w:rsid w:val="00B67F80"/>
    <w:rsid w:val="00B70AB9"/>
    <w:rsid w:val="00B70D5C"/>
    <w:rsid w:val="00B71421"/>
    <w:rsid w:val="00B717D7"/>
    <w:rsid w:val="00B71CD1"/>
    <w:rsid w:val="00B7201A"/>
    <w:rsid w:val="00B724B6"/>
    <w:rsid w:val="00B72C48"/>
    <w:rsid w:val="00B72F4A"/>
    <w:rsid w:val="00B7400C"/>
    <w:rsid w:val="00B747BF"/>
    <w:rsid w:val="00B74DCE"/>
    <w:rsid w:val="00B75FA7"/>
    <w:rsid w:val="00B76007"/>
    <w:rsid w:val="00B7777E"/>
    <w:rsid w:val="00B7791A"/>
    <w:rsid w:val="00B8133B"/>
    <w:rsid w:val="00B819A4"/>
    <w:rsid w:val="00B8221D"/>
    <w:rsid w:val="00B823C0"/>
    <w:rsid w:val="00B82B67"/>
    <w:rsid w:val="00B832FA"/>
    <w:rsid w:val="00B83C27"/>
    <w:rsid w:val="00B8486B"/>
    <w:rsid w:val="00B84BC3"/>
    <w:rsid w:val="00B84BDD"/>
    <w:rsid w:val="00B851B6"/>
    <w:rsid w:val="00B85651"/>
    <w:rsid w:val="00B85D4B"/>
    <w:rsid w:val="00B8635F"/>
    <w:rsid w:val="00B86776"/>
    <w:rsid w:val="00B867D4"/>
    <w:rsid w:val="00B86ECD"/>
    <w:rsid w:val="00B86F5E"/>
    <w:rsid w:val="00B870C9"/>
    <w:rsid w:val="00B87392"/>
    <w:rsid w:val="00B8739F"/>
    <w:rsid w:val="00B87572"/>
    <w:rsid w:val="00B90514"/>
    <w:rsid w:val="00B90AFA"/>
    <w:rsid w:val="00B90EBE"/>
    <w:rsid w:val="00B90F72"/>
    <w:rsid w:val="00B91891"/>
    <w:rsid w:val="00B91D3C"/>
    <w:rsid w:val="00B92812"/>
    <w:rsid w:val="00B92DD3"/>
    <w:rsid w:val="00B92E04"/>
    <w:rsid w:val="00B9360A"/>
    <w:rsid w:val="00B9397A"/>
    <w:rsid w:val="00B93D6C"/>
    <w:rsid w:val="00B942B9"/>
    <w:rsid w:val="00B94422"/>
    <w:rsid w:val="00B94C3F"/>
    <w:rsid w:val="00B94D62"/>
    <w:rsid w:val="00B94FDB"/>
    <w:rsid w:val="00B954C3"/>
    <w:rsid w:val="00B963E7"/>
    <w:rsid w:val="00BA0355"/>
    <w:rsid w:val="00BA14AD"/>
    <w:rsid w:val="00BA14DF"/>
    <w:rsid w:val="00BA189A"/>
    <w:rsid w:val="00BA2489"/>
    <w:rsid w:val="00BA2ADE"/>
    <w:rsid w:val="00BA3369"/>
    <w:rsid w:val="00BA37E7"/>
    <w:rsid w:val="00BA3C7C"/>
    <w:rsid w:val="00BA3D8D"/>
    <w:rsid w:val="00BA48E6"/>
    <w:rsid w:val="00BA49E3"/>
    <w:rsid w:val="00BA59F3"/>
    <w:rsid w:val="00BA634B"/>
    <w:rsid w:val="00BA7070"/>
    <w:rsid w:val="00BB01F0"/>
    <w:rsid w:val="00BB0906"/>
    <w:rsid w:val="00BB0CC3"/>
    <w:rsid w:val="00BB1734"/>
    <w:rsid w:val="00BB1D5C"/>
    <w:rsid w:val="00BB1DE4"/>
    <w:rsid w:val="00BB2627"/>
    <w:rsid w:val="00BB2F56"/>
    <w:rsid w:val="00BB3756"/>
    <w:rsid w:val="00BB37E3"/>
    <w:rsid w:val="00BB3B4D"/>
    <w:rsid w:val="00BB3CF2"/>
    <w:rsid w:val="00BB3F3C"/>
    <w:rsid w:val="00BB432B"/>
    <w:rsid w:val="00BB45A1"/>
    <w:rsid w:val="00BB4AB9"/>
    <w:rsid w:val="00BB53C6"/>
    <w:rsid w:val="00BB5547"/>
    <w:rsid w:val="00BB6AC0"/>
    <w:rsid w:val="00BB6CA6"/>
    <w:rsid w:val="00BB6F4A"/>
    <w:rsid w:val="00BB71DD"/>
    <w:rsid w:val="00BB7686"/>
    <w:rsid w:val="00BB796D"/>
    <w:rsid w:val="00BB7D97"/>
    <w:rsid w:val="00BC0911"/>
    <w:rsid w:val="00BC16F5"/>
    <w:rsid w:val="00BC1FA7"/>
    <w:rsid w:val="00BC23F9"/>
    <w:rsid w:val="00BC2B6C"/>
    <w:rsid w:val="00BC3421"/>
    <w:rsid w:val="00BC37AA"/>
    <w:rsid w:val="00BC3DDF"/>
    <w:rsid w:val="00BC4277"/>
    <w:rsid w:val="00BC42BD"/>
    <w:rsid w:val="00BC436A"/>
    <w:rsid w:val="00BC4C7E"/>
    <w:rsid w:val="00BC4EDD"/>
    <w:rsid w:val="00BC51BF"/>
    <w:rsid w:val="00BC5830"/>
    <w:rsid w:val="00BC5844"/>
    <w:rsid w:val="00BC594E"/>
    <w:rsid w:val="00BC5BF6"/>
    <w:rsid w:val="00BC6448"/>
    <w:rsid w:val="00BC65B7"/>
    <w:rsid w:val="00BC6C61"/>
    <w:rsid w:val="00BC732C"/>
    <w:rsid w:val="00BC7882"/>
    <w:rsid w:val="00BC7AD4"/>
    <w:rsid w:val="00BD0469"/>
    <w:rsid w:val="00BD1157"/>
    <w:rsid w:val="00BD14A9"/>
    <w:rsid w:val="00BD1A91"/>
    <w:rsid w:val="00BD2301"/>
    <w:rsid w:val="00BD2D35"/>
    <w:rsid w:val="00BD3009"/>
    <w:rsid w:val="00BD38E9"/>
    <w:rsid w:val="00BD55A7"/>
    <w:rsid w:val="00BD5B58"/>
    <w:rsid w:val="00BD5D58"/>
    <w:rsid w:val="00BD6FF5"/>
    <w:rsid w:val="00BD77FE"/>
    <w:rsid w:val="00BE045D"/>
    <w:rsid w:val="00BE2580"/>
    <w:rsid w:val="00BE266D"/>
    <w:rsid w:val="00BE275D"/>
    <w:rsid w:val="00BE2B2E"/>
    <w:rsid w:val="00BE3500"/>
    <w:rsid w:val="00BE3938"/>
    <w:rsid w:val="00BE4733"/>
    <w:rsid w:val="00BE4C11"/>
    <w:rsid w:val="00BE6C53"/>
    <w:rsid w:val="00BE71C0"/>
    <w:rsid w:val="00BE76CD"/>
    <w:rsid w:val="00BE7E15"/>
    <w:rsid w:val="00BE7FAC"/>
    <w:rsid w:val="00BF07E2"/>
    <w:rsid w:val="00BF0F4F"/>
    <w:rsid w:val="00BF1053"/>
    <w:rsid w:val="00BF115C"/>
    <w:rsid w:val="00BF1F4B"/>
    <w:rsid w:val="00BF2133"/>
    <w:rsid w:val="00BF283B"/>
    <w:rsid w:val="00BF2AF6"/>
    <w:rsid w:val="00BF3077"/>
    <w:rsid w:val="00BF31C3"/>
    <w:rsid w:val="00BF33C9"/>
    <w:rsid w:val="00BF4099"/>
    <w:rsid w:val="00BF5C47"/>
    <w:rsid w:val="00BF5CAA"/>
    <w:rsid w:val="00BF5EC5"/>
    <w:rsid w:val="00BF5F8D"/>
    <w:rsid w:val="00BF610C"/>
    <w:rsid w:val="00BF618D"/>
    <w:rsid w:val="00BF6698"/>
    <w:rsid w:val="00C0060B"/>
    <w:rsid w:val="00C010DB"/>
    <w:rsid w:val="00C01A64"/>
    <w:rsid w:val="00C01C12"/>
    <w:rsid w:val="00C0274B"/>
    <w:rsid w:val="00C0277D"/>
    <w:rsid w:val="00C03712"/>
    <w:rsid w:val="00C03E7C"/>
    <w:rsid w:val="00C0475F"/>
    <w:rsid w:val="00C053A1"/>
    <w:rsid w:val="00C0564F"/>
    <w:rsid w:val="00C05B90"/>
    <w:rsid w:val="00C05BB9"/>
    <w:rsid w:val="00C070CB"/>
    <w:rsid w:val="00C07D5C"/>
    <w:rsid w:val="00C07DB7"/>
    <w:rsid w:val="00C101FF"/>
    <w:rsid w:val="00C110E6"/>
    <w:rsid w:val="00C116E2"/>
    <w:rsid w:val="00C1289E"/>
    <w:rsid w:val="00C1293F"/>
    <w:rsid w:val="00C12D2D"/>
    <w:rsid w:val="00C12D60"/>
    <w:rsid w:val="00C12E5A"/>
    <w:rsid w:val="00C1365F"/>
    <w:rsid w:val="00C14295"/>
    <w:rsid w:val="00C14A9D"/>
    <w:rsid w:val="00C157D5"/>
    <w:rsid w:val="00C16198"/>
    <w:rsid w:val="00C163B5"/>
    <w:rsid w:val="00C177E3"/>
    <w:rsid w:val="00C17A2A"/>
    <w:rsid w:val="00C2083D"/>
    <w:rsid w:val="00C20875"/>
    <w:rsid w:val="00C20987"/>
    <w:rsid w:val="00C20B8B"/>
    <w:rsid w:val="00C21078"/>
    <w:rsid w:val="00C210D4"/>
    <w:rsid w:val="00C21800"/>
    <w:rsid w:val="00C21FB7"/>
    <w:rsid w:val="00C22777"/>
    <w:rsid w:val="00C22B42"/>
    <w:rsid w:val="00C2461E"/>
    <w:rsid w:val="00C247F4"/>
    <w:rsid w:val="00C24A53"/>
    <w:rsid w:val="00C25133"/>
    <w:rsid w:val="00C25E0E"/>
    <w:rsid w:val="00C27031"/>
    <w:rsid w:val="00C272C9"/>
    <w:rsid w:val="00C2758B"/>
    <w:rsid w:val="00C27967"/>
    <w:rsid w:val="00C279C7"/>
    <w:rsid w:val="00C27AE1"/>
    <w:rsid w:val="00C27F9A"/>
    <w:rsid w:val="00C27FF1"/>
    <w:rsid w:val="00C30476"/>
    <w:rsid w:val="00C3198D"/>
    <w:rsid w:val="00C31DEC"/>
    <w:rsid w:val="00C32921"/>
    <w:rsid w:val="00C32AF6"/>
    <w:rsid w:val="00C32BDF"/>
    <w:rsid w:val="00C32C18"/>
    <w:rsid w:val="00C33328"/>
    <w:rsid w:val="00C3344E"/>
    <w:rsid w:val="00C33FA6"/>
    <w:rsid w:val="00C341BC"/>
    <w:rsid w:val="00C347B3"/>
    <w:rsid w:val="00C34A05"/>
    <w:rsid w:val="00C3544A"/>
    <w:rsid w:val="00C3604A"/>
    <w:rsid w:val="00C363B4"/>
    <w:rsid w:val="00C36DCA"/>
    <w:rsid w:val="00C371FE"/>
    <w:rsid w:val="00C4032F"/>
    <w:rsid w:val="00C40665"/>
    <w:rsid w:val="00C40E62"/>
    <w:rsid w:val="00C41154"/>
    <w:rsid w:val="00C414D8"/>
    <w:rsid w:val="00C422BC"/>
    <w:rsid w:val="00C422F6"/>
    <w:rsid w:val="00C42577"/>
    <w:rsid w:val="00C42589"/>
    <w:rsid w:val="00C4259A"/>
    <w:rsid w:val="00C42EA7"/>
    <w:rsid w:val="00C435D4"/>
    <w:rsid w:val="00C44047"/>
    <w:rsid w:val="00C44970"/>
    <w:rsid w:val="00C44D3D"/>
    <w:rsid w:val="00C45155"/>
    <w:rsid w:val="00C45337"/>
    <w:rsid w:val="00C453FE"/>
    <w:rsid w:val="00C457DE"/>
    <w:rsid w:val="00C461A2"/>
    <w:rsid w:val="00C46C57"/>
    <w:rsid w:val="00C46DA3"/>
    <w:rsid w:val="00C47299"/>
    <w:rsid w:val="00C47352"/>
    <w:rsid w:val="00C473C3"/>
    <w:rsid w:val="00C476E5"/>
    <w:rsid w:val="00C477EE"/>
    <w:rsid w:val="00C50429"/>
    <w:rsid w:val="00C50454"/>
    <w:rsid w:val="00C5189E"/>
    <w:rsid w:val="00C51F4A"/>
    <w:rsid w:val="00C51F62"/>
    <w:rsid w:val="00C5267C"/>
    <w:rsid w:val="00C52857"/>
    <w:rsid w:val="00C529CD"/>
    <w:rsid w:val="00C52FEA"/>
    <w:rsid w:val="00C531D6"/>
    <w:rsid w:val="00C532AB"/>
    <w:rsid w:val="00C54261"/>
    <w:rsid w:val="00C5498F"/>
    <w:rsid w:val="00C55235"/>
    <w:rsid w:val="00C55AB7"/>
    <w:rsid w:val="00C5621A"/>
    <w:rsid w:val="00C56302"/>
    <w:rsid w:val="00C57466"/>
    <w:rsid w:val="00C6041B"/>
    <w:rsid w:val="00C605CC"/>
    <w:rsid w:val="00C60F9F"/>
    <w:rsid w:val="00C61E7E"/>
    <w:rsid w:val="00C62CC1"/>
    <w:rsid w:val="00C63393"/>
    <w:rsid w:val="00C635E8"/>
    <w:rsid w:val="00C64760"/>
    <w:rsid w:val="00C64CD0"/>
    <w:rsid w:val="00C65EE4"/>
    <w:rsid w:val="00C6605C"/>
    <w:rsid w:val="00C66574"/>
    <w:rsid w:val="00C6684F"/>
    <w:rsid w:val="00C67DC0"/>
    <w:rsid w:val="00C70587"/>
    <w:rsid w:val="00C7068E"/>
    <w:rsid w:val="00C70E70"/>
    <w:rsid w:val="00C71069"/>
    <w:rsid w:val="00C721B5"/>
    <w:rsid w:val="00C722AA"/>
    <w:rsid w:val="00C72414"/>
    <w:rsid w:val="00C72743"/>
    <w:rsid w:val="00C72BEA"/>
    <w:rsid w:val="00C72CD9"/>
    <w:rsid w:val="00C73822"/>
    <w:rsid w:val="00C74121"/>
    <w:rsid w:val="00C74525"/>
    <w:rsid w:val="00C74CA9"/>
    <w:rsid w:val="00C75934"/>
    <w:rsid w:val="00C75F8D"/>
    <w:rsid w:val="00C76440"/>
    <w:rsid w:val="00C7679C"/>
    <w:rsid w:val="00C77380"/>
    <w:rsid w:val="00C77665"/>
    <w:rsid w:val="00C77DFA"/>
    <w:rsid w:val="00C80631"/>
    <w:rsid w:val="00C80684"/>
    <w:rsid w:val="00C80D58"/>
    <w:rsid w:val="00C80DAA"/>
    <w:rsid w:val="00C814EE"/>
    <w:rsid w:val="00C81848"/>
    <w:rsid w:val="00C821C0"/>
    <w:rsid w:val="00C8260B"/>
    <w:rsid w:val="00C83838"/>
    <w:rsid w:val="00C83B89"/>
    <w:rsid w:val="00C83C7A"/>
    <w:rsid w:val="00C83F51"/>
    <w:rsid w:val="00C842F3"/>
    <w:rsid w:val="00C84409"/>
    <w:rsid w:val="00C8467D"/>
    <w:rsid w:val="00C8469D"/>
    <w:rsid w:val="00C85AC4"/>
    <w:rsid w:val="00C85E1D"/>
    <w:rsid w:val="00C86340"/>
    <w:rsid w:val="00C86989"/>
    <w:rsid w:val="00C86D4E"/>
    <w:rsid w:val="00C872C1"/>
    <w:rsid w:val="00C87330"/>
    <w:rsid w:val="00C874CC"/>
    <w:rsid w:val="00C87596"/>
    <w:rsid w:val="00C87732"/>
    <w:rsid w:val="00C87C0E"/>
    <w:rsid w:val="00C907BA"/>
    <w:rsid w:val="00C90EA3"/>
    <w:rsid w:val="00C90F35"/>
    <w:rsid w:val="00C910F0"/>
    <w:rsid w:val="00C915E0"/>
    <w:rsid w:val="00C918E5"/>
    <w:rsid w:val="00C91C65"/>
    <w:rsid w:val="00C92190"/>
    <w:rsid w:val="00C924B4"/>
    <w:rsid w:val="00C927C8"/>
    <w:rsid w:val="00C930B5"/>
    <w:rsid w:val="00C93A40"/>
    <w:rsid w:val="00C94057"/>
    <w:rsid w:val="00C9462D"/>
    <w:rsid w:val="00C94A62"/>
    <w:rsid w:val="00C94CB9"/>
    <w:rsid w:val="00C94CC5"/>
    <w:rsid w:val="00C956DB"/>
    <w:rsid w:val="00C957DE"/>
    <w:rsid w:val="00C9642C"/>
    <w:rsid w:val="00C97736"/>
    <w:rsid w:val="00C97952"/>
    <w:rsid w:val="00C97ABA"/>
    <w:rsid w:val="00CA09B6"/>
    <w:rsid w:val="00CA0BB1"/>
    <w:rsid w:val="00CA0DAE"/>
    <w:rsid w:val="00CA0FEE"/>
    <w:rsid w:val="00CA19D7"/>
    <w:rsid w:val="00CA1D36"/>
    <w:rsid w:val="00CA2075"/>
    <w:rsid w:val="00CA3052"/>
    <w:rsid w:val="00CA32B4"/>
    <w:rsid w:val="00CA345A"/>
    <w:rsid w:val="00CA3463"/>
    <w:rsid w:val="00CA394E"/>
    <w:rsid w:val="00CA3A8F"/>
    <w:rsid w:val="00CA3B87"/>
    <w:rsid w:val="00CA3F59"/>
    <w:rsid w:val="00CA3FB1"/>
    <w:rsid w:val="00CA463A"/>
    <w:rsid w:val="00CA4D67"/>
    <w:rsid w:val="00CA5FA1"/>
    <w:rsid w:val="00CA6F08"/>
    <w:rsid w:val="00CA733B"/>
    <w:rsid w:val="00CA7E44"/>
    <w:rsid w:val="00CB0CB7"/>
    <w:rsid w:val="00CB10CF"/>
    <w:rsid w:val="00CB1853"/>
    <w:rsid w:val="00CB1E82"/>
    <w:rsid w:val="00CB234A"/>
    <w:rsid w:val="00CB2634"/>
    <w:rsid w:val="00CB2F04"/>
    <w:rsid w:val="00CB3789"/>
    <w:rsid w:val="00CB3F05"/>
    <w:rsid w:val="00CB4324"/>
    <w:rsid w:val="00CB4BA8"/>
    <w:rsid w:val="00CB4BB6"/>
    <w:rsid w:val="00CB4CC8"/>
    <w:rsid w:val="00CB5133"/>
    <w:rsid w:val="00CB52D7"/>
    <w:rsid w:val="00CB5544"/>
    <w:rsid w:val="00CB5D8E"/>
    <w:rsid w:val="00CB5ED1"/>
    <w:rsid w:val="00CB73FA"/>
    <w:rsid w:val="00CB749B"/>
    <w:rsid w:val="00CB7B2B"/>
    <w:rsid w:val="00CC04C6"/>
    <w:rsid w:val="00CC0507"/>
    <w:rsid w:val="00CC0EA3"/>
    <w:rsid w:val="00CC0EC8"/>
    <w:rsid w:val="00CC186A"/>
    <w:rsid w:val="00CC292F"/>
    <w:rsid w:val="00CC2E82"/>
    <w:rsid w:val="00CC2FAE"/>
    <w:rsid w:val="00CC316F"/>
    <w:rsid w:val="00CC3483"/>
    <w:rsid w:val="00CC359B"/>
    <w:rsid w:val="00CC4601"/>
    <w:rsid w:val="00CC4D46"/>
    <w:rsid w:val="00CC6732"/>
    <w:rsid w:val="00CC6DAF"/>
    <w:rsid w:val="00CD0FD1"/>
    <w:rsid w:val="00CD159B"/>
    <w:rsid w:val="00CD179D"/>
    <w:rsid w:val="00CD17A7"/>
    <w:rsid w:val="00CD1FCE"/>
    <w:rsid w:val="00CD298B"/>
    <w:rsid w:val="00CD2CAA"/>
    <w:rsid w:val="00CD359B"/>
    <w:rsid w:val="00CD3E5D"/>
    <w:rsid w:val="00CD4DB6"/>
    <w:rsid w:val="00CD5590"/>
    <w:rsid w:val="00CD5C80"/>
    <w:rsid w:val="00CD5D22"/>
    <w:rsid w:val="00CD5E3E"/>
    <w:rsid w:val="00CD60D5"/>
    <w:rsid w:val="00CD625F"/>
    <w:rsid w:val="00CD6375"/>
    <w:rsid w:val="00CD666D"/>
    <w:rsid w:val="00CD7E79"/>
    <w:rsid w:val="00CE0F7D"/>
    <w:rsid w:val="00CE1C3E"/>
    <w:rsid w:val="00CE21A2"/>
    <w:rsid w:val="00CE2861"/>
    <w:rsid w:val="00CE2A98"/>
    <w:rsid w:val="00CE2F89"/>
    <w:rsid w:val="00CE3286"/>
    <w:rsid w:val="00CE33D0"/>
    <w:rsid w:val="00CE3C96"/>
    <w:rsid w:val="00CE44A1"/>
    <w:rsid w:val="00CE51A8"/>
    <w:rsid w:val="00CE5326"/>
    <w:rsid w:val="00CE55D9"/>
    <w:rsid w:val="00CE5993"/>
    <w:rsid w:val="00CE5997"/>
    <w:rsid w:val="00CE62BC"/>
    <w:rsid w:val="00CE6932"/>
    <w:rsid w:val="00CE6BB7"/>
    <w:rsid w:val="00CF15FE"/>
    <w:rsid w:val="00CF2904"/>
    <w:rsid w:val="00CF2C9D"/>
    <w:rsid w:val="00CF3160"/>
    <w:rsid w:val="00CF352E"/>
    <w:rsid w:val="00CF369B"/>
    <w:rsid w:val="00CF3EA9"/>
    <w:rsid w:val="00CF5874"/>
    <w:rsid w:val="00CF592C"/>
    <w:rsid w:val="00CF5B2F"/>
    <w:rsid w:val="00CF66B8"/>
    <w:rsid w:val="00CF71E1"/>
    <w:rsid w:val="00CF72D8"/>
    <w:rsid w:val="00D0028D"/>
    <w:rsid w:val="00D00E28"/>
    <w:rsid w:val="00D016C3"/>
    <w:rsid w:val="00D022CA"/>
    <w:rsid w:val="00D0269E"/>
    <w:rsid w:val="00D032D9"/>
    <w:rsid w:val="00D0383C"/>
    <w:rsid w:val="00D03D73"/>
    <w:rsid w:val="00D03F08"/>
    <w:rsid w:val="00D040DC"/>
    <w:rsid w:val="00D055FE"/>
    <w:rsid w:val="00D05A3B"/>
    <w:rsid w:val="00D05D6C"/>
    <w:rsid w:val="00D063F8"/>
    <w:rsid w:val="00D0664C"/>
    <w:rsid w:val="00D0785B"/>
    <w:rsid w:val="00D0789C"/>
    <w:rsid w:val="00D07BDC"/>
    <w:rsid w:val="00D105B9"/>
    <w:rsid w:val="00D107A9"/>
    <w:rsid w:val="00D10CDC"/>
    <w:rsid w:val="00D1175D"/>
    <w:rsid w:val="00D11F16"/>
    <w:rsid w:val="00D128C7"/>
    <w:rsid w:val="00D12D02"/>
    <w:rsid w:val="00D12DF8"/>
    <w:rsid w:val="00D1397A"/>
    <w:rsid w:val="00D13C61"/>
    <w:rsid w:val="00D13D41"/>
    <w:rsid w:val="00D14C02"/>
    <w:rsid w:val="00D1502A"/>
    <w:rsid w:val="00D15335"/>
    <w:rsid w:val="00D1557A"/>
    <w:rsid w:val="00D15810"/>
    <w:rsid w:val="00D15B5F"/>
    <w:rsid w:val="00D15E91"/>
    <w:rsid w:val="00D16669"/>
    <w:rsid w:val="00D166FC"/>
    <w:rsid w:val="00D16D4E"/>
    <w:rsid w:val="00D16FE3"/>
    <w:rsid w:val="00D17194"/>
    <w:rsid w:val="00D17393"/>
    <w:rsid w:val="00D17494"/>
    <w:rsid w:val="00D2095F"/>
    <w:rsid w:val="00D20997"/>
    <w:rsid w:val="00D21195"/>
    <w:rsid w:val="00D229E8"/>
    <w:rsid w:val="00D22D4C"/>
    <w:rsid w:val="00D2406F"/>
    <w:rsid w:val="00D243D8"/>
    <w:rsid w:val="00D2493E"/>
    <w:rsid w:val="00D24B61"/>
    <w:rsid w:val="00D24B98"/>
    <w:rsid w:val="00D24D61"/>
    <w:rsid w:val="00D25520"/>
    <w:rsid w:val="00D263E3"/>
    <w:rsid w:val="00D26EE3"/>
    <w:rsid w:val="00D2768E"/>
    <w:rsid w:val="00D27F41"/>
    <w:rsid w:val="00D302BE"/>
    <w:rsid w:val="00D302CA"/>
    <w:rsid w:val="00D304E7"/>
    <w:rsid w:val="00D30C1A"/>
    <w:rsid w:val="00D30DB9"/>
    <w:rsid w:val="00D315DF"/>
    <w:rsid w:val="00D31D2B"/>
    <w:rsid w:val="00D32549"/>
    <w:rsid w:val="00D342E6"/>
    <w:rsid w:val="00D343A0"/>
    <w:rsid w:val="00D34F3A"/>
    <w:rsid w:val="00D36441"/>
    <w:rsid w:val="00D36BE9"/>
    <w:rsid w:val="00D371BC"/>
    <w:rsid w:val="00D3754C"/>
    <w:rsid w:val="00D37EA5"/>
    <w:rsid w:val="00D401C8"/>
    <w:rsid w:val="00D4020A"/>
    <w:rsid w:val="00D4064E"/>
    <w:rsid w:val="00D40FD1"/>
    <w:rsid w:val="00D413E6"/>
    <w:rsid w:val="00D41B2D"/>
    <w:rsid w:val="00D4292B"/>
    <w:rsid w:val="00D429FC"/>
    <w:rsid w:val="00D42F6F"/>
    <w:rsid w:val="00D434C7"/>
    <w:rsid w:val="00D43C17"/>
    <w:rsid w:val="00D43E09"/>
    <w:rsid w:val="00D440FA"/>
    <w:rsid w:val="00D442E8"/>
    <w:rsid w:val="00D44E9B"/>
    <w:rsid w:val="00D45135"/>
    <w:rsid w:val="00D454F3"/>
    <w:rsid w:val="00D455F9"/>
    <w:rsid w:val="00D45AE9"/>
    <w:rsid w:val="00D45CC1"/>
    <w:rsid w:val="00D466E5"/>
    <w:rsid w:val="00D47701"/>
    <w:rsid w:val="00D47A60"/>
    <w:rsid w:val="00D47AEB"/>
    <w:rsid w:val="00D47DE7"/>
    <w:rsid w:val="00D5002E"/>
    <w:rsid w:val="00D5019F"/>
    <w:rsid w:val="00D50B0D"/>
    <w:rsid w:val="00D50C86"/>
    <w:rsid w:val="00D50D87"/>
    <w:rsid w:val="00D50DB9"/>
    <w:rsid w:val="00D51161"/>
    <w:rsid w:val="00D51302"/>
    <w:rsid w:val="00D5145B"/>
    <w:rsid w:val="00D5165E"/>
    <w:rsid w:val="00D52051"/>
    <w:rsid w:val="00D52547"/>
    <w:rsid w:val="00D52C43"/>
    <w:rsid w:val="00D544A0"/>
    <w:rsid w:val="00D54B87"/>
    <w:rsid w:val="00D552BD"/>
    <w:rsid w:val="00D56ACE"/>
    <w:rsid w:val="00D56CB7"/>
    <w:rsid w:val="00D5723A"/>
    <w:rsid w:val="00D5731E"/>
    <w:rsid w:val="00D574FE"/>
    <w:rsid w:val="00D57FD1"/>
    <w:rsid w:val="00D6042D"/>
    <w:rsid w:val="00D6043F"/>
    <w:rsid w:val="00D61042"/>
    <w:rsid w:val="00D613A6"/>
    <w:rsid w:val="00D62892"/>
    <w:rsid w:val="00D630C7"/>
    <w:rsid w:val="00D63F21"/>
    <w:rsid w:val="00D647C5"/>
    <w:rsid w:val="00D6507F"/>
    <w:rsid w:val="00D65C76"/>
    <w:rsid w:val="00D66A97"/>
    <w:rsid w:val="00D66ADB"/>
    <w:rsid w:val="00D66D77"/>
    <w:rsid w:val="00D67259"/>
    <w:rsid w:val="00D673FE"/>
    <w:rsid w:val="00D67E2C"/>
    <w:rsid w:val="00D70732"/>
    <w:rsid w:val="00D70821"/>
    <w:rsid w:val="00D70BFC"/>
    <w:rsid w:val="00D71678"/>
    <w:rsid w:val="00D72AE6"/>
    <w:rsid w:val="00D730BC"/>
    <w:rsid w:val="00D73404"/>
    <w:rsid w:val="00D73912"/>
    <w:rsid w:val="00D73C16"/>
    <w:rsid w:val="00D742F4"/>
    <w:rsid w:val="00D75362"/>
    <w:rsid w:val="00D75619"/>
    <w:rsid w:val="00D765C6"/>
    <w:rsid w:val="00D76C81"/>
    <w:rsid w:val="00D774CF"/>
    <w:rsid w:val="00D80B32"/>
    <w:rsid w:val="00D81278"/>
    <w:rsid w:val="00D82C9C"/>
    <w:rsid w:val="00D840FE"/>
    <w:rsid w:val="00D84814"/>
    <w:rsid w:val="00D84D99"/>
    <w:rsid w:val="00D85226"/>
    <w:rsid w:val="00D86A74"/>
    <w:rsid w:val="00D86BAC"/>
    <w:rsid w:val="00D86F37"/>
    <w:rsid w:val="00D87AC3"/>
    <w:rsid w:val="00D87B94"/>
    <w:rsid w:val="00D9055D"/>
    <w:rsid w:val="00D9058E"/>
    <w:rsid w:val="00D909DB"/>
    <w:rsid w:val="00D90CBA"/>
    <w:rsid w:val="00D91514"/>
    <w:rsid w:val="00D91955"/>
    <w:rsid w:val="00D9199D"/>
    <w:rsid w:val="00D92D49"/>
    <w:rsid w:val="00D92EC1"/>
    <w:rsid w:val="00D93A87"/>
    <w:rsid w:val="00D93ADF"/>
    <w:rsid w:val="00D93AEA"/>
    <w:rsid w:val="00D93F2F"/>
    <w:rsid w:val="00D94A90"/>
    <w:rsid w:val="00D94BA7"/>
    <w:rsid w:val="00D94C44"/>
    <w:rsid w:val="00D94D47"/>
    <w:rsid w:val="00D957A4"/>
    <w:rsid w:val="00D959A6"/>
    <w:rsid w:val="00D959F2"/>
    <w:rsid w:val="00D95C70"/>
    <w:rsid w:val="00D96DEA"/>
    <w:rsid w:val="00D97291"/>
    <w:rsid w:val="00DA08C5"/>
    <w:rsid w:val="00DA0FD0"/>
    <w:rsid w:val="00DA16D1"/>
    <w:rsid w:val="00DA25A0"/>
    <w:rsid w:val="00DA2FF6"/>
    <w:rsid w:val="00DA3250"/>
    <w:rsid w:val="00DA3ADA"/>
    <w:rsid w:val="00DA3F07"/>
    <w:rsid w:val="00DA4885"/>
    <w:rsid w:val="00DA4C9A"/>
    <w:rsid w:val="00DA4DD0"/>
    <w:rsid w:val="00DA4E41"/>
    <w:rsid w:val="00DA52E3"/>
    <w:rsid w:val="00DA5419"/>
    <w:rsid w:val="00DA5698"/>
    <w:rsid w:val="00DA6D70"/>
    <w:rsid w:val="00DA6EBB"/>
    <w:rsid w:val="00DA785D"/>
    <w:rsid w:val="00DA7970"/>
    <w:rsid w:val="00DB04DA"/>
    <w:rsid w:val="00DB04E0"/>
    <w:rsid w:val="00DB05CE"/>
    <w:rsid w:val="00DB117A"/>
    <w:rsid w:val="00DB12CD"/>
    <w:rsid w:val="00DB168E"/>
    <w:rsid w:val="00DB244F"/>
    <w:rsid w:val="00DB2468"/>
    <w:rsid w:val="00DB25B5"/>
    <w:rsid w:val="00DB2602"/>
    <w:rsid w:val="00DB278A"/>
    <w:rsid w:val="00DB284B"/>
    <w:rsid w:val="00DB2C02"/>
    <w:rsid w:val="00DB2D82"/>
    <w:rsid w:val="00DB30AF"/>
    <w:rsid w:val="00DB3C20"/>
    <w:rsid w:val="00DB3EC4"/>
    <w:rsid w:val="00DB427E"/>
    <w:rsid w:val="00DB5173"/>
    <w:rsid w:val="00DB5709"/>
    <w:rsid w:val="00DB5B6E"/>
    <w:rsid w:val="00DB5EC4"/>
    <w:rsid w:val="00DB6A7A"/>
    <w:rsid w:val="00DB6B42"/>
    <w:rsid w:val="00DB6DF4"/>
    <w:rsid w:val="00DB77B5"/>
    <w:rsid w:val="00DB7873"/>
    <w:rsid w:val="00DB7AAB"/>
    <w:rsid w:val="00DC1376"/>
    <w:rsid w:val="00DC187B"/>
    <w:rsid w:val="00DC1C45"/>
    <w:rsid w:val="00DC1CF0"/>
    <w:rsid w:val="00DC1F99"/>
    <w:rsid w:val="00DC2752"/>
    <w:rsid w:val="00DC3097"/>
    <w:rsid w:val="00DC30A8"/>
    <w:rsid w:val="00DC3A24"/>
    <w:rsid w:val="00DC426F"/>
    <w:rsid w:val="00DC4944"/>
    <w:rsid w:val="00DC592E"/>
    <w:rsid w:val="00DC59EF"/>
    <w:rsid w:val="00DC6321"/>
    <w:rsid w:val="00DC65AE"/>
    <w:rsid w:val="00DC6607"/>
    <w:rsid w:val="00DC6629"/>
    <w:rsid w:val="00DC7AE8"/>
    <w:rsid w:val="00DC7B2F"/>
    <w:rsid w:val="00DD0D70"/>
    <w:rsid w:val="00DD0E73"/>
    <w:rsid w:val="00DD1B52"/>
    <w:rsid w:val="00DD1FBE"/>
    <w:rsid w:val="00DD2A4B"/>
    <w:rsid w:val="00DD3062"/>
    <w:rsid w:val="00DD3B79"/>
    <w:rsid w:val="00DD3D38"/>
    <w:rsid w:val="00DD3EAA"/>
    <w:rsid w:val="00DD4CAB"/>
    <w:rsid w:val="00DD5242"/>
    <w:rsid w:val="00DD5908"/>
    <w:rsid w:val="00DD5E3E"/>
    <w:rsid w:val="00DD73C2"/>
    <w:rsid w:val="00DD75E8"/>
    <w:rsid w:val="00DE006C"/>
    <w:rsid w:val="00DE029B"/>
    <w:rsid w:val="00DE121A"/>
    <w:rsid w:val="00DE1316"/>
    <w:rsid w:val="00DE1D04"/>
    <w:rsid w:val="00DE1D28"/>
    <w:rsid w:val="00DE2711"/>
    <w:rsid w:val="00DE293B"/>
    <w:rsid w:val="00DE2F77"/>
    <w:rsid w:val="00DE2F7B"/>
    <w:rsid w:val="00DE3070"/>
    <w:rsid w:val="00DE319B"/>
    <w:rsid w:val="00DE35CE"/>
    <w:rsid w:val="00DE3934"/>
    <w:rsid w:val="00DE4620"/>
    <w:rsid w:val="00DE4662"/>
    <w:rsid w:val="00DE4713"/>
    <w:rsid w:val="00DE4A88"/>
    <w:rsid w:val="00DE4A93"/>
    <w:rsid w:val="00DE5199"/>
    <w:rsid w:val="00DE5283"/>
    <w:rsid w:val="00DE573B"/>
    <w:rsid w:val="00DE5EF0"/>
    <w:rsid w:val="00DE63CE"/>
    <w:rsid w:val="00DE67EB"/>
    <w:rsid w:val="00DE6C76"/>
    <w:rsid w:val="00DE7142"/>
    <w:rsid w:val="00DE7746"/>
    <w:rsid w:val="00DE7D67"/>
    <w:rsid w:val="00DE7EBD"/>
    <w:rsid w:val="00DF0A70"/>
    <w:rsid w:val="00DF0ABF"/>
    <w:rsid w:val="00DF0BC6"/>
    <w:rsid w:val="00DF1508"/>
    <w:rsid w:val="00DF1A3F"/>
    <w:rsid w:val="00DF1E68"/>
    <w:rsid w:val="00DF21DB"/>
    <w:rsid w:val="00DF26C4"/>
    <w:rsid w:val="00DF2B89"/>
    <w:rsid w:val="00DF34FE"/>
    <w:rsid w:val="00DF4200"/>
    <w:rsid w:val="00DF4B2E"/>
    <w:rsid w:val="00DF4B34"/>
    <w:rsid w:val="00DF4D59"/>
    <w:rsid w:val="00DF510C"/>
    <w:rsid w:val="00DF55D4"/>
    <w:rsid w:val="00DF56AA"/>
    <w:rsid w:val="00DF56AF"/>
    <w:rsid w:val="00DF78E7"/>
    <w:rsid w:val="00E00409"/>
    <w:rsid w:val="00E01153"/>
    <w:rsid w:val="00E01597"/>
    <w:rsid w:val="00E01D46"/>
    <w:rsid w:val="00E020BD"/>
    <w:rsid w:val="00E022B7"/>
    <w:rsid w:val="00E02514"/>
    <w:rsid w:val="00E02C50"/>
    <w:rsid w:val="00E032F7"/>
    <w:rsid w:val="00E03B9C"/>
    <w:rsid w:val="00E03D0C"/>
    <w:rsid w:val="00E04B67"/>
    <w:rsid w:val="00E04DFD"/>
    <w:rsid w:val="00E051F7"/>
    <w:rsid w:val="00E053E9"/>
    <w:rsid w:val="00E05622"/>
    <w:rsid w:val="00E05728"/>
    <w:rsid w:val="00E0583F"/>
    <w:rsid w:val="00E0644B"/>
    <w:rsid w:val="00E06750"/>
    <w:rsid w:val="00E06776"/>
    <w:rsid w:val="00E067A6"/>
    <w:rsid w:val="00E0692E"/>
    <w:rsid w:val="00E078B6"/>
    <w:rsid w:val="00E07A41"/>
    <w:rsid w:val="00E07AB2"/>
    <w:rsid w:val="00E107F1"/>
    <w:rsid w:val="00E10F6E"/>
    <w:rsid w:val="00E110E0"/>
    <w:rsid w:val="00E11159"/>
    <w:rsid w:val="00E11CF7"/>
    <w:rsid w:val="00E1226B"/>
    <w:rsid w:val="00E1399C"/>
    <w:rsid w:val="00E13A62"/>
    <w:rsid w:val="00E141D1"/>
    <w:rsid w:val="00E14543"/>
    <w:rsid w:val="00E14658"/>
    <w:rsid w:val="00E14B4B"/>
    <w:rsid w:val="00E14DAA"/>
    <w:rsid w:val="00E14E71"/>
    <w:rsid w:val="00E1504E"/>
    <w:rsid w:val="00E15160"/>
    <w:rsid w:val="00E15371"/>
    <w:rsid w:val="00E15776"/>
    <w:rsid w:val="00E15A5E"/>
    <w:rsid w:val="00E16325"/>
    <w:rsid w:val="00E16E7D"/>
    <w:rsid w:val="00E1740D"/>
    <w:rsid w:val="00E178EA"/>
    <w:rsid w:val="00E200E6"/>
    <w:rsid w:val="00E202DB"/>
    <w:rsid w:val="00E20302"/>
    <w:rsid w:val="00E20B9D"/>
    <w:rsid w:val="00E2127B"/>
    <w:rsid w:val="00E21460"/>
    <w:rsid w:val="00E21CB9"/>
    <w:rsid w:val="00E23088"/>
    <w:rsid w:val="00E233B9"/>
    <w:rsid w:val="00E23A51"/>
    <w:rsid w:val="00E24104"/>
    <w:rsid w:val="00E2510D"/>
    <w:rsid w:val="00E25CC5"/>
    <w:rsid w:val="00E26B73"/>
    <w:rsid w:val="00E271D7"/>
    <w:rsid w:val="00E30248"/>
    <w:rsid w:val="00E302D0"/>
    <w:rsid w:val="00E30B27"/>
    <w:rsid w:val="00E31DCD"/>
    <w:rsid w:val="00E3204F"/>
    <w:rsid w:val="00E32442"/>
    <w:rsid w:val="00E32725"/>
    <w:rsid w:val="00E33205"/>
    <w:rsid w:val="00E334F2"/>
    <w:rsid w:val="00E33BF8"/>
    <w:rsid w:val="00E33E02"/>
    <w:rsid w:val="00E3531D"/>
    <w:rsid w:val="00E35707"/>
    <w:rsid w:val="00E35D44"/>
    <w:rsid w:val="00E3607C"/>
    <w:rsid w:val="00E3641A"/>
    <w:rsid w:val="00E369A2"/>
    <w:rsid w:val="00E36AA1"/>
    <w:rsid w:val="00E37B87"/>
    <w:rsid w:val="00E37BD2"/>
    <w:rsid w:val="00E4001A"/>
    <w:rsid w:val="00E401F2"/>
    <w:rsid w:val="00E412BA"/>
    <w:rsid w:val="00E41414"/>
    <w:rsid w:val="00E415F6"/>
    <w:rsid w:val="00E41ECB"/>
    <w:rsid w:val="00E420A9"/>
    <w:rsid w:val="00E422B1"/>
    <w:rsid w:val="00E4294F"/>
    <w:rsid w:val="00E42972"/>
    <w:rsid w:val="00E42D16"/>
    <w:rsid w:val="00E433CB"/>
    <w:rsid w:val="00E43A1F"/>
    <w:rsid w:val="00E43B53"/>
    <w:rsid w:val="00E43C19"/>
    <w:rsid w:val="00E441EF"/>
    <w:rsid w:val="00E44C20"/>
    <w:rsid w:val="00E4506F"/>
    <w:rsid w:val="00E455EC"/>
    <w:rsid w:val="00E457AA"/>
    <w:rsid w:val="00E460FA"/>
    <w:rsid w:val="00E467AB"/>
    <w:rsid w:val="00E46901"/>
    <w:rsid w:val="00E469F6"/>
    <w:rsid w:val="00E46F8C"/>
    <w:rsid w:val="00E47A7F"/>
    <w:rsid w:val="00E50099"/>
    <w:rsid w:val="00E50202"/>
    <w:rsid w:val="00E50478"/>
    <w:rsid w:val="00E51680"/>
    <w:rsid w:val="00E51BC1"/>
    <w:rsid w:val="00E530CA"/>
    <w:rsid w:val="00E534C0"/>
    <w:rsid w:val="00E54FDB"/>
    <w:rsid w:val="00E55CC6"/>
    <w:rsid w:val="00E55F2E"/>
    <w:rsid w:val="00E5617D"/>
    <w:rsid w:val="00E563D7"/>
    <w:rsid w:val="00E56E69"/>
    <w:rsid w:val="00E56E95"/>
    <w:rsid w:val="00E56EF0"/>
    <w:rsid w:val="00E56FF9"/>
    <w:rsid w:val="00E570C5"/>
    <w:rsid w:val="00E6102B"/>
    <w:rsid w:val="00E61074"/>
    <w:rsid w:val="00E62253"/>
    <w:rsid w:val="00E6240E"/>
    <w:rsid w:val="00E6298F"/>
    <w:rsid w:val="00E62B19"/>
    <w:rsid w:val="00E633C3"/>
    <w:rsid w:val="00E64132"/>
    <w:rsid w:val="00E64DED"/>
    <w:rsid w:val="00E65304"/>
    <w:rsid w:val="00E654F7"/>
    <w:rsid w:val="00E66081"/>
    <w:rsid w:val="00E663F4"/>
    <w:rsid w:val="00E666F2"/>
    <w:rsid w:val="00E66C91"/>
    <w:rsid w:val="00E66DD4"/>
    <w:rsid w:val="00E6701D"/>
    <w:rsid w:val="00E67233"/>
    <w:rsid w:val="00E676C1"/>
    <w:rsid w:val="00E678FA"/>
    <w:rsid w:val="00E67A4B"/>
    <w:rsid w:val="00E72465"/>
    <w:rsid w:val="00E729BD"/>
    <w:rsid w:val="00E73290"/>
    <w:rsid w:val="00E743F5"/>
    <w:rsid w:val="00E748CC"/>
    <w:rsid w:val="00E75054"/>
    <w:rsid w:val="00E75159"/>
    <w:rsid w:val="00E751F3"/>
    <w:rsid w:val="00E75415"/>
    <w:rsid w:val="00E7546E"/>
    <w:rsid w:val="00E75DA0"/>
    <w:rsid w:val="00E775B1"/>
    <w:rsid w:val="00E804DB"/>
    <w:rsid w:val="00E8152A"/>
    <w:rsid w:val="00E817C2"/>
    <w:rsid w:val="00E8205E"/>
    <w:rsid w:val="00E82285"/>
    <w:rsid w:val="00E827A9"/>
    <w:rsid w:val="00E832C6"/>
    <w:rsid w:val="00E8532C"/>
    <w:rsid w:val="00E85861"/>
    <w:rsid w:val="00E85B4E"/>
    <w:rsid w:val="00E85C3F"/>
    <w:rsid w:val="00E85D35"/>
    <w:rsid w:val="00E862DE"/>
    <w:rsid w:val="00E86B47"/>
    <w:rsid w:val="00E86CFB"/>
    <w:rsid w:val="00E86F46"/>
    <w:rsid w:val="00E87A22"/>
    <w:rsid w:val="00E907FD"/>
    <w:rsid w:val="00E91052"/>
    <w:rsid w:val="00E9117E"/>
    <w:rsid w:val="00E91468"/>
    <w:rsid w:val="00E91711"/>
    <w:rsid w:val="00E925CB"/>
    <w:rsid w:val="00E927B2"/>
    <w:rsid w:val="00E92867"/>
    <w:rsid w:val="00E92C97"/>
    <w:rsid w:val="00E93629"/>
    <w:rsid w:val="00E9366E"/>
    <w:rsid w:val="00E93B5C"/>
    <w:rsid w:val="00E93B66"/>
    <w:rsid w:val="00E943F9"/>
    <w:rsid w:val="00E94475"/>
    <w:rsid w:val="00E94CEC"/>
    <w:rsid w:val="00E951CA"/>
    <w:rsid w:val="00E95313"/>
    <w:rsid w:val="00E957A3"/>
    <w:rsid w:val="00E95D42"/>
    <w:rsid w:val="00E96151"/>
    <w:rsid w:val="00E964D8"/>
    <w:rsid w:val="00E96AD2"/>
    <w:rsid w:val="00E97330"/>
    <w:rsid w:val="00E979FD"/>
    <w:rsid w:val="00E97E26"/>
    <w:rsid w:val="00E97E90"/>
    <w:rsid w:val="00EA04EF"/>
    <w:rsid w:val="00EA0549"/>
    <w:rsid w:val="00EA072A"/>
    <w:rsid w:val="00EA103D"/>
    <w:rsid w:val="00EA10CE"/>
    <w:rsid w:val="00EA1106"/>
    <w:rsid w:val="00EA1481"/>
    <w:rsid w:val="00EA1716"/>
    <w:rsid w:val="00EA183F"/>
    <w:rsid w:val="00EA2115"/>
    <w:rsid w:val="00EA32CC"/>
    <w:rsid w:val="00EA41B6"/>
    <w:rsid w:val="00EA44A5"/>
    <w:rsid w:val="00EA4529"/>
    <w:rsid w:val="00EA47C8"/>
    <w:rsid w:val="00EA4B07"/>
    <w:rsid w:val="00EA4E35"/>
    <w:rsid w:val="00EA5CF4"/>
    <w:rsid w:val="00EA6464"/>
    <w:rsid w:val="00EA683C"/>
    <w:rsid w:val="00EA6DED"/>
    <w:rsid w:val="00EA6F19"/>
    <w:rsid w:val="00EA7610"/>
    <w:rsid w:val="00EA7E7C"/>
    <w:rsid w:val="00EB193F"/>
    <w:rsid w:val="00EB1A2B"/>
    <w:rsid w:val="00EB22E8"/>
    <w:rsid w:val="00EB3317"/>
    <w:rsid w:val="00EB355A"/>
    <w:rsid w:val="00EB3A84"/>
    <w:rsid w:val="00EB3C4D"/>
    <w:rsid w:val="00EB49AB"/>
    <w:rsid w:val="00EB4C0E"/>
    <w:rsid w:val="00EB4E2A"/>
    <w:rsid w:val="00EB62A6"/>
    <w:rsid w:val="00EB6C5D"/>
    <w:rsid w:val="00EB7090"/>
    <w:rsid w:val="00EB760C"/>
    <w:rsid w:val="00EB7953"/>
    <w:rsid w:val="00EB7C63"/>
    <w:rsid w:val="00EC010B"/>
    <w:rsid w:val="00EC0511"/>
    <w:rsid w:val="00EC08C8"/>
    <w:rsid w:val="00EC116A"/>
    <w:rsid w:val="00EC1502"/>
    <w:rsid w:val="00EC1BBE"/>
    <w:rsid w:val="00EC2BD0"/>
    <w:rsid w:val="00EC2CB2"/>
    <w:rsid w:val="00EC2E5D"/>
    <w:rsid w:val="00EC2F3D"/>
    <w:rsid w:val="00EC4DAE"/>
    <w:rsid w:val="00EC4E83"/>
    <w:rsid w:val="00EC55B3"/>
    <w:rsid w:val="00EC5992"/>
    <w:rsid w:val="00EC5CD7"/>
    <w:rsid w:val="00EC7852"/>
    <w:rsid w:val="00EC7905"/>
    <w:rsid w:val="00EC7A18"/>
    <w:rsid w:val="00ED0121"/>
    <w:rsid w:val="00ED06A6"/>
    <w:rsid w:val="00ED1513"/>
    <w:rsid w:val="00ED1A60"/>
    <w:rsid w:val="00ED20CE"/>
    <w:rsid w:val="00ED2ABC"/>
    <w:rsid w:val="00ED2AE4"/>
    <w:rsid w:val="00ED2B1C"/>
    <w:rsid w:val="00ED3AA7"/>
    <w:rsid w:val="00ED3F36"/>
    <w:rsid w:val="00ED4093"/>
    <w:rsid w:val="00ED493B"/>
    <w:rsid w:val="00ED4E26"/>
    <w:rsid w:val="00ED5B20"/>
    <w:rsid w:val="00ED642C"/>
    <w:rsid w:val="00ED675F"/>
    <w:rsid w:val="00ED6800"/>
    <w:rsid w:val="00ED6B92"/>
    <w:rsid w:val="00ED789B"/>
    <w:rsid w:val="00EE04C1"/>
    <w:rsid w:val="00EE0D57"/>
    <w:rsid w:val="00EE0EF3"/>
    <w:rsid w:val="00EE1E9F"/>
    <w:rsid w:val="00EE2ABF"/>
    <w:rsid w:val="00EE326C"/>
    <w:rsid w:val="00EE3420"/>
    <w:rsid w:val="00EE3579"/>
    <w:rsid w:val="00EE3F68"/>
    <w:rsid w:val="00EE4C65"/>
    <w:rsid w:val="00EE5D14"/>
    <w:rsid w:val="00EE5FB3"/>
    <w:rsid w:val="00EE6D0A"/>
    <w:rsid w:val="00EE77E3"/>
    <w:rsid w:val="00EE7F79"/>
    <w:rsid w:val="00EF022F"/>
    <w:rsid w:val="00EF0853"/>
    <w:rsid w:val="00EF1770"/>
    <w:rsid w:val="00EF1858"/>
    <w:rsid w:val="00EF2FC4"/>
    <w:rsid w:val="00EF3258"/>
    <w:rsid w:val="00EF3AE4"/>
    <w:rsid w:val="00EF3C8D"/>
    <w:rsid w:val="00EF4947"/>
    <w:rsid w:val="00EF4BBB"/>
    <w:rsid w:val="00EF4DDD"/>
    <w:rsid w:val="00EF5530"/>
    <w:rsid w:val="00EF5E2D"/>
    <w:rsid w:val="00EF715A"/>
    <w:rsid w:val="00EF7501"/>
    <w:rsid w:val="00EF7705"/>
    <w:rsid w:val="00EF7E70"/>
    <w:rsid w:val="00F00038"/>
    <w:rsid w:val="00F00574"/>
    <w:rsid w:val="00F0097B"/>
    <w:rsid w:val="00F00C16"/>
    <w:rsid w:val="00F01699"/>
    <w:rsid w:val="00F0280A"/>
    <w:rsid w:val="00F036D6"/>
    <w:rsid w:val="00F040A6"/>
    <w:rsid w:val="00F04511"/>
    <w:rsid w:val="00F04673"/>
    <w:rsid w:val="00F05F38"/>
    <w:rsid w:val="00F06E14"/>
    <w:rsid w:val="00F06E9A"/>
    <w:rsid w:val="00F06F69"/>
    <w:rsid w:val="00F07182"/>
    <w:rsid w:val="00F0741C"/>
    <w:rsid w:val="00F07D54"/>
    <w:rsid w:val="00F07F3A"/>
    <w:rsid w:val="00F101AE"/>
    <w:rsid w:val="00F102A9"/>
    <w:rsid w:val="00F10847"/>
    <w:rsid w:val="00F10E00"/>
    <w:rsid w:val="00F1110F"/>
    <w:rsid w:val="00F11BCC"/>
    <w:rsid w:val="00F12C2E"/>
    <w:rsid w:val="00F131AF"/>
    <w:rsid w:val="00F135A0"/>
    <w:rsid w:val="00F14333"/>
    <w:rsid w:val="00F147D5"/>
    <w:rsid w:val="00F15B0E"/>
    <w:rsid w:val="00F1614D"/>
    <w:rsid w:val="00F1638A"/>
    <w:rsid w:val="00F1655B"/>
    <w:rsid w:val="00F16CE0"/>
    <w:rsid w:val="00F1757F"/>
    <w:rsid w:val="00F176CE"/>
    <w:rsid w:val="00F179D4"/>
    <w:rsid w:val="00F17EB9"/>
    <w:rsid w:val="00F204CC"/>
    <w:rsid w:val="00F205ED"/>
    <w:rsid w:val="00F21562"/>
    <w:rsid w:val="00F219EC"/>
    <w:rsid w:val="00F2242C"/>
    <w:rsid w:val="00F22B9E"/>
    <w:rsid w:val="00F2312E"/>
    <w:rsid w:val="00F238DB"/>
    <w:rsid w:val="00F23F7D"/>
    <w:rsid w:val="00F247E1"/>
    <w:rsid w:val="00F247EE"/>
    <w:rsid w:val="00F25061"/>
    <w:rsid w:val="00F2552B"/>
    <w:rsid w:val="00F25C14"/>
    <w:rsid w:val="00F25F2F"/>
    <w:rsid w:val="00F26680"/>
    <w:rsid w:val="00F267B9"/>
    <w:rsid w:val="00F26964"/>
    <w:rsid w:val="00F26AA3"/>
    <w:rsid w:val="00F26E80"/>
    <w:rsid w:val="00F27298"/>
    <w:rsid w:val="00F27DB4"/>
    <w:rsid w:val="00F30713"/>
    <w:rsid w:val="00F30BDB"/>
    <w:rsid w:val="00F312DE"/>
    <w:rsid w:val="00F31C6A"/>
    <w:rsid w:val="00F31D69"/>
    <w:rsid w:val="00F33C56"/>
    <w:rsid w:val="00F343C4"/>
    <w:rsid w:val="00F34652"/>
    <w:rsid w:val="00F347C7"/>
    <w:rsid w:val="00F34848"/>
    <w:rsid w:val="00F348B1"/>
    <w:rsid w:val="00F348D8"/>
    <w:rsid w:val="00F34AEF"/>
    <w:rsid w:val="00F34E78"/>
    <w:rsid w:val="00F350DF"/>
    <w:rsid w:val="00F35ACD"/>
    <w:rsid w:val="00F36A65"/>
    <w:rsid w:val="00F37196"/>
    <w:rsid w:val="00F374A5"/>
    <w:rsid w:val="00F37EF3"/>
    <w:rsid w:val="00F40837"/>
    <w:rsid w:val="00F41010"/>
    <w:rsid w:val="00F42072"/>
    <w:rsid w:val="00F4211C"/>
    <w:rsid w:val="00F42BE4"/>
    <w:rsid w:val="00F42D00"/>
    <w:rsid w:val="00F42D46"/>
    <w:rsid w:val="00F437FA"/>
    <w:rsid w:val="00F4496C"/>
    <w:rsid w:val="00F44E8B"/>
    <w:rsid w:val="00F44F3A"/>
    <w:rsid w:val="00F44FAF"/>
    <w:rsid w:val="00F45366"/>
    <w:rsid w:val="00F455FA"/>
    <w:rsid w:val="00F456B9"/>
    <w:rsid w:val="00F45B86"/>
    <w:rsid w:val="00F46A4F"/>
    <w:rsid w:val="00F46E1C"/>
    <w:rsid w:val="00F509DB"/>
    <w:rsid w:val="00F50B99"/>
    <w:rsid w:val="00F50BA6"/>
    <w:rsid w:val="00F51062"/>
    <w:rsid w:val="00F51F10"/>
    <w:rsid w:val="00F52242"/>
    <w:rsid w:val="00F5246D"/>
    <w:rsid w:val="00F52818"/>
    <w:rsid w:val="00F529A5"/>
    <w:rsid w:val="00F53C3F"/>
    <w:rsid w:val="00F53E39"/>
    <w:rsid w:val="00F54307"/>
    <w:rsid w:val="00F54D87"/>
    <w:rsid w:val="00F5509F"/>
    <w:rsid w:val="00F55AEC"/>
    <w:rsid w:val="00F55CFC"/>
    <w:rsid w:val="00F568B3"/>
    <w:rsid w:val="00F57490"/>
    <w:rsid w:val="00F57DAF"/>
    <w:rsid w:val="00F6001C"/>
    <w:rsid w:val="00F60529"/>
    <w:rsid w:val="00F607B6"/>
    <w:rsid w:val="00F6080F"/>
    <w:rsid w:val="00F6084A"/>
    <w:rsid w:val="00F60E47"/>
    <w:rsid w:val="00F60F00"/>
    <w:rsid w:val="00F61225"/>
    <w:rsid w:val="00F614C0"/>
    <w:rsid w:val="00F61585"/>
    <w:rsid w:val="00F61F67"/>
    <w:rsid w:val="00F621D3"/>
    <w:rsid w:val="00F624E2"/>
    <w:rsid w:val="00F62629"/>
    <w:rsid w:val="00F62944"/>
    <w:rsid w:val="00F62E44"/>
    <w:rsid w:val="00F62E54"/>
    <w:rsid w:val="00F62F9D"/>
    <w:rsid w:val="00F6326F"/>
    <w:rsid w:val="00F6354D"/>
    <w:rsid w:val="00F63577"/>
    <w:rsid w:val="00F639E0"/>
    <w:rsid w:val="00F64ECF"/>
    <w:rsid w:val="00F65066"/>
    <w:rsid w:val="00F6596A"/>
    <w:rsid w:val="00F65BCC"/>
    <w:rsid w:val="00F66545"/>
    <w:rsid w:val="00F66ED4"/>
    <w:rsid w:val="00F67A05"/>
    <w:rsid w:val="00F67CF8"/>
    <w:rsid w:val="00F705F1"/>
    <w:rsid w:val="00F70A09"/>
    <w:rsid w:val="00F7134F"/>
    <w:rsid w:val="00F7158F"/>
    <w:rsid w:val="00F71B92"/>
    <w:rsid w:val="00F72048"/>
    <w:rsid w:val="00F72F33"/>
    <w:rsid w:val="00F732F0"/>
    <w:rsid w:val="00F74302"/>
    <w:rsid w:val="00F74E26"/>
    <w:rsid w:val="00F756AE"/>
    <w:rsid w:val="00F77808"/>
    <w:rsid w:val="00F77B94"/>
    <w:rsid w:val="00F77FCE"/>
    <w:rsid w:val="00F80FF2"/>
    <w:rsid w:val="00F81090"/>
    <w:rsid w:val="00F815ED"/>
    <w:rsid w:val="00F82990"/>
    <w:rsid w:val="00F82E17"/>
    <w:rsid w:val="00F83848"/>
    <w:rsid w:val="00F83D6B"/>
    <w:rsid w:val="00F83F1F"/>
    <w:rsid w:val="00F84C8E"/>
    <w:rsid w:val="00F870A3"/>
    <w:rsid w:val="00F872D4"/>
    <w:rsid w:val="00F908CE"/>
    <w:rsid w:val="00F909E7"/>
    <w:rsid w:val="00F90C1B"/>
    <w:rsid w:val="00F90C3E"/>
    <w:rsid w:val="00F9133C"/>
    <w:rsid w:val="00F914D7"/>
    <w:rsid w:val="00F91893"/>
    <w:rsid w:val="00F91BAA"/>
    <w:rsid w:val="00F92043"/>
    <w:rsid w:val="00F924BF"/>
    <w:rsid w:val="00F954E7"/>
    <w:rsid w:val="00F95756"/>
    <w:rsid w:val="00F966A5"/>
    <w:rsid w:val="00F973DA"/>
    <w:rsid w:val="00F975E9"/>
    <w:rsid w:val="00F97946"/>
    <w:rsid w:val="00F97BC6"/>
    <w:rsid w:val="00FA0133"/>
    <w:rsid w:val="00FA0B30"/>
    <w:rsid w:val="00FA0C06"/>
    <w:rsid w:val="00FA1036"/>
    <w:rsid w:val="00FA14D5"/>
    <w:rsid w:val="00FA1A74"/>
    <w:rsid w:val="00FA1B7D"/>
    <w:rsid w:val="00FA28EF"/>
    <w:rsid w:val="00FA2E05"/>
    <w:rsid w:val="00FA3710"/>
    <w:rsid w:val="00FA37B8"/>
    <w:rsid w:val="00FA3ED0"/>
    <w:rsid w:val="00FA3EE8"/>
    <w:rsid w:val="00FA3F0D"/>
    <w:rsid w:val="00FA45C5"/>
    <w:rsid w:val="00FA460B"/>
    <w:rsid w:val="00FA4DF6"/>
    <w:rsid w:val="00FA4F8B"/>
    <w:rsid w:val="00FA520E"/>
    <w:rsid w:val="00FA5328"/>
    <w:rsid w:val="00FA5FA5"/>
    <w:rsid w:val="00FA6085"/>
    <w:rsid w:val="00FA70DC"/>
    <w:rsid w:val="00FA73AD"/>
    <w:rsid w:val="00FA73B6"/>
    <w:rsid w:val="00FB09A3"/>
    <w:rsid w:val="00FB1084"/>
    <w:rsid w:val="00FB13D9"/>
    <w:rsid w:val="00FB181A"/>
    <w:rsid w:val="00FB185E"/>
    <w:rsid w:val="00FB1930"/>
    <w:rsid w:val="00FB23FB"/>
    <w:rsid w:val="00FB27DF"/>
    <w:rsid w:val="00FB2933"/>
    <w:rsid w:val="00FB2F58"/>
    <w:rsid w:val="00FB316A"/>
    <w:rsid w:val="00FB3468"/>
    <w:rsid w:val="00FB37C9"/>
    <w:rsid w:val="00FB3E12"/>
    <w:rsid w:val="00FB4289"/>
    <w:rsid w:val="00FB455D"/>
    <w:rsid w:val="00FB46E5"/>
    <w:rsid w:val="00FB6321"/>
    <w:rsid w:val="00FB6793"/>
    <w:rsid w:val="00FB6C5F"/>
    <w:rsid w:val="00FB6F88"/>
    <w:rsid w:val="00FC03F7"/>
    <w:rsid w:val="00FC07B9"/>
    <w:rsid w:val="00FC119C"/>
    <w:rsid w:val="00FC3A1E"/>
    <w:rsid w:val="00FC49BE"/>
    <w:rsid w:val="00FC4E21"/>
    <w:rsid w:val="00FC4EE0"/>
    <w:rsid w:val="00FC5263"/>
    <w:rsid w:val="00FC54EC"/>
    <w:rsid w:val="00FC5E61"/>
    <w:rsid w:val="00FC5F6D"/>
    <w:rsid w:val="00FC6C35"/>
    <w:rsid w:val="00FC6E45"/>
    <w:rsid w:val="00FC7237"/>
    <w:rsid w:val="00FC7FDB"/>
    <w:rsid w:val="00FD0107"/>
    <w:rsid w:val="00FD1032"/>
    <w:rsid w:val="00FD1CF7"/>
    <w:rsid w:val="00FD2A77"/>
    <w:rsid w:val="00FD2C2F"/>
    <w:rsid w:val="00FD2CE5"/>
    <w:rsid w:val="00FD3004"/>
    <w:rsid w:val="00FD36D7"/>
    <w:rsid w:val="00FD37DB"/>
    <w:rsid w:val="00FD383C"/>
    <w:rsid w:val="00FD3B31"/>
    <w:rsid w:val="00FD4C18"/>
    <w:rsid w:val="00FD65CF"/>
    <w:rsid w:val="00FD6975"/>
    <w:rsid w:val="00FD7BAA"/>
    <w:rsid w:val="00FD7D2C"/>
    <w:rsid w:val="00FE0437"/>
    <w:rsid w:val="00FE1823"/>
    <w:rsid w:val="00FE1B0E"/>
    <w:rsid w:val="00FE2081"/>
    <w:rsid w:val="00FE22CF"/>
    <w:rsid w:val="00FE3F23"/>
    <w:rsid w:val="00FE42B8"/>
    <w:rsid w:val="00FE444E"/>
    <w:rsid w:val="00FE4608"/>
    <w:rsid w:val="00FE487A"/>
    <w:rsid w:val="00FE4E5B"/>
    <w:rsid w:val="00FE5425"/>
    <w:rsid w:val="00FE5E2B"/>
    <w:rsid w:val="00FE6ACA"/>
    <w:rsid w:val="00FE7A80"/>
    <w:rsid w:val="00FF0569"/>
    <w:rsid w:val="00FF0B09"/>
    <w:rsid w:val="00FF0B49"/>
    <w:rsid w:val="00FF124F"/>
    <w:rsid w:val="00FF167A"/>
    <w:rsid w:val="00FF1D20"/>
    <w:rsid w:val="00FF206E"/>
    <w:rsid w:val="00FF24EB"/>
    <w:rsid w:val="00FF2722"/>
    <w:rsid w:val="00FF28DC"/>
    <w:rsid w:val="00FF2B08"/>
    <w:rsid w:val="00FF35B3"/>
    <w:rsid w:val="00FF3A80"/>
    <w:rsid w:val="00FF3C69"/>
    <w:rsid w:val="00FF428E"/>
    <w:rsid w:val="00FF4AB5"/>
    <w:rsid w:val="00FF534D"/>
    <w:rsid w:val="00FF53F7"/>
    <w:rsid w:val="00FF57F8"/>
    <w:rsid w:val="00FF584C"/>
    <w:rsid w:val="00FF5928"/>
    <w:rsid w:val="00FF66F3"/>
    <w:rsid w:val="00FF6B63"/>
    <w:rsid w:val="00FF6E0A"/>
    <w:rsid w:val="00FF7281"/>
    <w:rsid w:val="00FF7881"/>
    <w:rsid w:val="00FF7D6D"/>
    <w:rsid w:val="00FF7DCE"/>
  </w:rsids>
  <m:mathPr>
    <m:mathFont m:val="Cambria Math"/>
    <m:brkBin m:val="before"/>
    <m:brkBinSub m:val="--"/>
    <m:smallFrac/>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red,#4d4d4f"/>
    </o:shapedefaults>
    <o:shapelayout v:ext="edit">
      <o:idmap v:ext="edit" data="1"/>
    </o:shapelayout>
  </w:shapeDefaults>
  <w:decimalSymbol w:val="."/>
  <w:listSeparator w:val=","/>
  <w14:docId w14:val="3F2AD8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qFormat="1"/>
    <w:lsdException w:name="Plain Table 1" w:uiPriority="4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FD0107"/>
    <w:pPr>
      <w:spacing w:after="240" w:line="240" w:lineRule="atLeast"/>
    </w:pPr>
    <w:rPr>
      <w:rFonts w:ascii="Arial" w:hAnsi="Arial"/>
      <w:sz w:val="20"/>
    </w:rPr>
  </w:style>
  <w:style w:type="paragraph" w:styleId="Heading1">
    <w:name w:val="heading 1"/>
    <w:aliases w:val="RIS Heading 1"/>
    <w:basedOn w:val="Normal"/>
    <w:next w:val="Normal"/>
    <w:link w:val="Heading1Char"/>
    <w:qFormat/>
    <w:rsid w:val="00E61074"/>
    <w:pPr>
      <w:keepNext/>
      <w:pageBreakBefore/>
      <w:widowControl w:val="0"/>
      <w:spacing w:after="360" w:line="240" w:lineRule="auto"/>
      <w:outlineLvl w:val="0"/>
    </w:pPr>
    <w:rPr>
      <w:rFonts w:cs="Arial"/>
      <w:bCs/>
      <w:color w:val="323232"/>
      <w:kern w:val="32"/>
      <w:sz w:val="53"/>
      <w:szCs w:val="32"/>
    </w:rPr>
  </w:style>
  <w:style w:type="paragraph" w:styleId="Heading2">
    <w:name w:val="heading 2"/>
    <w:aliases w:val="RIS Heading 2"/>
    <w:basedOn w:val="Normal"/>
    <w:next w:val="Normal"/>
    <w:link w:val="Heading2Char"/>
    <w:qFormat/>
    <w:rsid w:val="00F1614D"/>
    <w:pPr>
      <w:keepNext/>
      <w:spacing w:before="320" w:after="60" w:line="240" w:lineRule="auto"/>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4"/>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4"/>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4"/>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4"/>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4"/>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8"/>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aliases w:val="List Bullet 1"/>
    <w:basedOn w:val="Normal"/>
    <w:link w:val="ListBulletChar"/>
    <w:qFormat/>
    <w:rsid w:val="0055619F"/>
    <w:pPr>
      <w:numPr>
        <w:numId w:val="1"/>
      </w:numPr>
      <w:spacing w:after="80" w:line="240" w:lineRule="auto"/>
    </w:pPr>
    <w:rPr>
      <w:rFonts w:cs="Arial"/>
    </w:rPr>
  </w:style>
  <w:style w:type="paragraph" w:styleId="ListBullet2">
    <w:name w:val="List Bullet 2"/>
    <w:basedOn w:val="Normal"/>
    <w:qFormat/>
    <w:rsid w:val="001C6AEE"/>
    <w:pPr>
      <w:tabs>
        <w:tab w:val="num" w:pos="845"/>
      </w:tabs>
      <w:spacing w:after="80"/>
      <w:ind w:left="845" w:hanging="544"/>
    </w:pPr>
  </w:style>
  <w:style w:type="paragraph" w:styleId="ListNumber">
    <w:name w:val="List Number"/>
    <w:basedOn w:val="Normal"/>
    <w:qFormat/>
    <w:rsid w:val="00F1614D"/>
    <w:pPr>
      <w:numPr>
        <w:numId w:val="2"/>
      </w:numPr>
      <w:spacing w:after="80" w:line="240" w:lineRule="auto"/>
    </w:pPr>
  </w:style>
  <w:style w:type="paragraph" w:styleId="ListNumber2">
    <w:name w:val="List Number 2"/>
    <w:basedOn w:val="Normal"/>
    <w:qFormat/>
    <w:rsid w:val="00247C59"/>
    <w:pPr>
      <w:numPr>
        <w:numId w:val="3"/>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Style 12,(NECG) Footnote Reference,Style 124,o,fr,Style 3,Appel note de bas de p1,Appel note de bas de p2,Appel note de bas de p3,Footnote Reference/,Style 13,FR"/>
    <w:basedOn w:val="DefaultParagraphFont"/>
    <w:uiPriority w:val="99"/>
    <w:rsid w:val="00566AB4"/>
    <w:rPr>
      <w:rFonts w:ascii="Arial" w:hAnsi="Arial"/>
      <w:vertAlign w:val="superscript"/>
    </w:rPr>
  </w:style>
  <w:style w:type="paragraph" w:styleId="FootnoteText">
    <w:name w:val="footnote text"/>
    <w:aliases w:val="ACMA Footnote Text,footnote text,Footnote Text Char1,Footnote Text Char Char,Footnote Text Char1 Char Char,Footnote Text Char Char Char Char,Footnote Text Char1 Char Char Char Char,Footnote Text Char Char Char Char Char Char,f,fn"/>
    <w:basedOn w:val="Normal"/>
    <w:link w:val="FootnoteTextChar"/>
    <w:rsid w:val="00707330"/>
    <w:pPr>
      <w:spacing w:line="200" w:lineRule="atLeast"/>
    </w:pPr>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semiHidden/>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uiPriority w:val="22"/>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3F10EE"/>
    <w:pPr>
      <w:numPr>
        <w:numId w:val="6"/>
      </w:numPr>
      <w:spacing w:after="160"/>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5"/>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7"/>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character" w:customStyle="1" w:styleId="Heading2Char">
    <w:name w:val="Heading 2 Char"/>
    <w:aliases w:val="RIS Heading 2 Char"/>
    <w:basedOn w:val="DefaultParagraphFont"/>
    <w:link w:val="Heading2"/>
    <w:rsid w:val="00F1614D"/>
    <w:rPr>
      <w:rFonts w:ascii="Arial" w:hAnsi="Arial" w:cs="Arial"/>
      <w:b/>
      <w:bCs/>
      <w:iCs/>
      <w:sz w:val="28"/>
      <w:szCs w:val="28"/>
    </w:rPr>
  </w:style>
  <w:style w:type="character" w:customStyle="1" w:styleId="Heading3Char">
    <w:name w:val="Heading 3 Char"/>
    <w:basedOn w:val="DefaultParagraphFont"/>
    <w:link w:val="Heading3"/>
    <w:rsid w:val="0052285A"/>
    <w:rPr>
      <w:rFonts w:ascii="Arial" w:hAnsi="Arial" w:cs="Arial"/>
      <w:b/>
      <w:bCs/>
      <w:sz w:val="20"/>
      <w:szCs w:val="26"/>
    </w:rPr>
  </w:style>
  <w:style w:type="paragraph" w:customStyle="1" w:styleId="Bodysubheader0">
    <w:name w:val="Body sub header"/>
    <w:basedOn w:val="Normal"/>
    <w:next w:val="Normal"/>
    <w:rsid w:val="0052285A"/>
    <w:pPr>
      <w:spacing w:after="0"/>
    </w:pPr>
    <w:rPr>
      <w:b/>
      <w:i/>
    </w:rPr>
  </w:style>
  <w:style w:type="paragraph" w:customStyle="1" w:styleId="Default">
    <w:name w:val="Default"/>
    <w:rsid w:val="0052285A"/>
    <w:pPr>
      <w:autoSpaceDE w:val="0"/>
      <w:autoSpaceDN w:val="0"/>
      <w:adjustRightInd w:val="0"/>
    </w:pPr>
    <w:rPr>
      <w:rFonts w:ascii="Calibri" w:hAnsi="Calibri" w:cs="Calibri"/>
      <w:color w:val="000000"/>
    </w:rPr>
  </w:style>
  <w:style w:type="paragraph" w:styleId="BodyText">
    <w:name w:val="Body Text"/>
    <w:basedOn w:val="Normal"/>
    <w:link w:val="BodyTextChar1"/>
    <w:autoRedefine/>
    <w:qFormat/>
    <w:rsid w:val="0052285A"/>
    <w:pPr>
      <w:spacing w:before="120" w:line="320" w:lineRule="exact"/>
      <w:jc w:val="both"/>
    </w:pPr>
    <w:rPr>
      <w:rFonts w:ascii="Verdana" w:eastAsia="'宋体" w:hAnsi="Verdana" w:cs="Arial"/>
      <w:sz w:val="22"/>
      <w:szCs w:val="22"/>
    </w:rPr>
  </w:style>
  <w:style w:type="character" w:customStyle="1" w:styleId="BodyTextChar">
    <w:name w:val="Body Text Char"/>
    <w:basedOn w:val="DefaultParagraphFont"/>
    <w:semiHidden/>
    <w:rsid w:val="0052285A"/>
    <w:rPr>
      <w:rFonts w:ascii="Arial" w:hAnsi="Arial"/>
      <w:sz w:val="20"/>
    </w:rPr>
  </w:style>
  <w:style w:type="character" w:customStyle="1" w:styleId="BodyTextChar1">
    <w:name w:val="Body Text Char1"/>
    <w:basedOn w:val="DefaultParagraphFont"/>
    <w:link w:val="BodyText"/>
    <w:rsid w:val="0052285A"/>
    <w:rPr>
      <w:rFonts w:ascii="Verdana" w:eastAsia="'宋体" w:hAnsi="Verdana" w:cs="Arial"/>
      <w:sz w:val="22"/>
      <w:szCs w:val="22"/>
    </w:rPr>
  </w:style>
  <w:style w:type="character" w:customStyle="1" w:styleId="FootnoteTextChar">
    <w:name w:val="Footnote Text Char"/>
    <w:aliases w:val="ACMA Footnote Text Char,footnote text Char,Footnote Text Char1 Char,Footnote Text Char Char Char,Footnote Text Char1 Char Char Char,Footnote Text Char Char Char Char Char,Footnote Text Char1 Char Char Char Char Char,f Char,fn Char"/>
    <w:basedOn w:val="DefaultParagraphFont"/>
    <w:link w:val="FootnoteText"/>
    <w:rsid w:val="00707330"/>
    <w:rPr>
      <w:rFonts w:ascii="Arial" w:hAnsi="Arial"/>
      <w:sz w:val="16"/>
      <w:szCs w:val="16"/>
    </w:rPr>
  </w:style>
  <w:style w:type="paragraph" w:styleId="ListParagraph">
    <w:name w:val="List Paragraph"/>
    <w:basedOn w:val="Normal"/>
    <w:link w:val="ListParagraphChar"/>
    <w:uiPriority w:val="34"/>
    <w:qFormat/>
    <w:rsid w:val="0052285A"/>
    <w:pPr>
      <w:ind w:left="720"/>
      <w:contextualSpacing/>
    </w:pPr>
  </w:style>
  <w:style w:type="paragraph" w:styleId="NormalWeb">
    <w:name w:val="Normal (Web)"/>
    <w:basedOn w:val="Normal"/>
    <w:uiPriority w:val="99"/>
    <w:semiHidden/>
    <w:unhideWhenUsed/>
    <w:rsid w:val="0052285A"/>
    <w:pPr>
      <w:spacing w:line="240" w:lineRule="auto"/>
    </w:pPr>
    <w:rPr>
      <w:rFonts w:ascii="Times New Roman" w:hAnsi="Times New Roman"/>
      <w:sz w:val="24"/>
    </w:rPr>
  </w:style>
  <w:style w:type="paragraph" w:styleId="Revision">
    <w:name w:val="Revision"/>
    <w:hidden/>
    <w:semiHidden/>
    <w:rsid w:val="0052285A"/>
    <w:rPr>
      <w:rFonts w:ascii="Arial" w:hAnsi="Arial"/>
      <w:sz w:val="20"/>
    </w:rPr>
  </w:style>
  <w:style w:type="table" w:styleId="PlainTable1">
    <w:name w:val="Plain Table 1"/>
    <w:basedOn w:val="TableNormal"/>
    <w:uiPriority w:val="41"/>
    <w:rsid w:val="0052285A"/>
    <w:rPr>
      <w:sz w:val="20"/>
      <w:szCs w:val="20"/>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Heading1Char">
    <w:name w:val="Heading 1 Char"/>
    <w:aliases w:val="RIS Heading 1 Char"/>
    <w:basedOn w:val="DefaultParagraphFont"/>
    <w:link w:val="Heading1"/>
    <w:rsid w:val="00E61074"/>
    <w:rPr>
      <w:rFonts w:ascii="Arial" w:hAnsi="Arial" w:cs="Arial"/>
      <w:bCs/>
      <w:color w:val="323232"/>
      <w:kern w:val="32"/>
      <w:sz w:val="53"/>
      <w:szCs w:val="32"/>
    </w:rPr>
  </w:style>
  <w:style w:type="character" w:styleId="IntenseReference">
    <w:name w:val="Intense Reference"/>
    <w:basedOn w:val="DefaultParagraphFont"/>
    <w:rsid w:val="0052285A"/>
    <w:rPr>
      <w:b/>
      <w:bCs/>
      <w:smallCaps/>
      <w:color w:val="4F81BD" w:themeColor="accent1"/>
      <w:spacing w:val="5"/>
    </w:rPr>
  </w:style>
  <w:style w:type="character" w:customStyle="1" w:styleId="ListBulletChar">
    <w:name w:val="List Bullet Char"/>
    <w:aliases w:val="List Bullet 1 Char"/>
    <w:basedOn w:val="DefaultParagraphFont"/>
    <w:link w:val="ListBullet"/>
    <w:rsid w:val="0055619F"/>
    <w:rPr>
      <w:rFonts w:ascii="Arial" w:hAnsi="Arial" w:cs="Arial"/>
      <w:sz w:val="20"/>
    </w:rPr>
  </w:style>
  <w:style w:type="character" w:customStyle="1" w:styleId="ListParagraphChar">
    <w:name w:val="List Paragraph Char"/>
    <w:basedOn w:val="DefaultParagraphFont"/>
    <w:link w:val="ListParagraph"/>
    <w:uiPriority w:val="34"/>
    <w:rsid w:val="0052285A"/>
    <w:rPr>
      <w:rFonts w:ascii="Arial" w:hAnsi="Arial"/>
      <w:sz w:val="20"/>
    </w:rPr>
  </w:style>
  <w:style w:type="paragraph" w:customStyle="1" w:styleId="ACMABulletLevel1">
    <w:name w:val="ACMA Bullet Level 1"/>
    <w:rsid w:val="0052285A"/>
    <w:pPr>
      <w:numPr>
        <w:numId w:val="10"/>
      </w:numPr>
      <w:spacing w:after="120"/>
    </w:pPr>
    <w:rPr>
      <w:szCs w:val="20"/>
      <w:lang w:eastAsia="en-US"/>
    </w:rPr>
  </w:style>
  <w:style w:type="paragraph" w:customStyle="1" w:styleId="ACMANumberedList">
    <w:name w:val="ACMA Numbered List"/>
    <w:rsid w:val="0052285A"/>
    <w:pPr>
      <w:tabs>
        <w:tab w:val="num" w:pos="720"/>
      </w:tabs>
      <w:spacing w:before="20" w:after="20"/>
      <w:ind w:left="720" w:hanging="360"/>
    </w:pPr>
    <w:rPr>
      <w:szCs w:val="20"/>
      <w:lang w:eastAsia="en-US"/>
    </w:rPr>
  </w:style>
  <w:style w:type="paragraph" w:customStyle="1" w:styleId="Bulletlevel1">
    <w:name w:val="Bullet level 1"/>
    <w:basedOn w:val="Normal"/>
    <w:qFormat/>
    <w:rsid w:val="007E5F16"/>
    <w:pPr>
      <w:numPr>
        <w:numId w:val="13"/>
      </w:numPr>
      <w:spacing w:line="240" w:lineRule="auto"/>
      <w:contextualSpacing/>
    </w:pPr>
    <w:rPr>
      <w:rFonts w:asciiTheme="minorHAnsi" w:eastAsiaTheme="minorHAnsi" w:hAnsiTheme="minorHAnsi" w:cstheme="minorBidi"/>
      <w:sz w:val="22"/>
      <w:szCs w:val="22"/>
      <w:lang w:eastAsia="en-US"/>
    </w:rPr>
  </w:style>
  <w:style w:type="character" w:customStyle="1" w:styleId="UnresolvedMention1">
    <w:name w:val="Unresolved Mention1"/>
    <w:basedOn w:val="DefaultParagraphFont"/>
    <w:uiPriority w:val="99"/>
    <w:semiHidden/>
    <w:unhideWhenUsed/>
    <w:rsid w:val="00A81D37"/>
    <w:rPr>
      <w:color w:val="808080"/>
      <w:shd w:val="clear" w:color="auto" w:fill="E6E6E6"/>
    </w:rPr>
  </w:style>
  <w:style w:type="character" w:customStyle="1" w:styleId="UnresolvedMention2">
    <w:name w:val="Unresolved Mention2"/>
    <w:basedOn w:val="DefaultParagraphFont"/>
    <w:uiPriority w:val="99"/>
    <w:semiHidden/>
    <w:unhideWhenUsed/>
    <w:rsid w:val="000201B6"/>
    <w:rPr>
      <w:color w:val="605E5C"/>
      <w:shd w:val="clear" w:color="auto" w:fill="E1DFDD"/>
    </w:rPr>
  </w:style>
  <w:style w:type="character" w:customStyle="1" w:styleId="UnresolvedMention3">
    <w:name w:val="Unresolved Mention3"/>
    <w:basedOn w:val="DefaultParagraphFont"/>
    <w:uiPriority w:val="99"/>
    <w:semiHidden/>
    <w:unhideWhenUsed/>
    <w:rsid w:val="00B62550"/>
    <w:rPr>
      <w:color w:val="605E5C"/>
      <w:shd w:val="clear" w:color="auto" w:fill="E1DFDD"/>
    </w:rPr>
  </w:style>
  <w:style w:type="paragraph" w:customStyle="1" w:styleId="Paragraph">
    <w:name w:val="Paragraph"/>
    <w:basedOn w:val="Normal"/>
    <w:uiPriority w:val="99"/>
    <w:rsid w:val="002949C7"/>
    <w:pPr>
      <w:numPr>
        <w:ilvl w:val="12"/>
      </w:numPr>
      <w:spacing w:before="340" w:after="0" w:line="240" w:lineRule="auto"/>
    </w:pPr>
    <w:rPr>
      <w:rFonts w:ascii="Times New Roman" w:hAnsi="Times New Roman"/>
      <w:sz w:val="24"/>
      <w:szCs w:val="20"/>
    </w:rPr>
  </w:style>
  <w:style w:type="character" w:customStyle="1" w:styleId="UnresolvedMention4">
    <w:name w:val="Unresolved Mention4"/>
    <w:basedOn w:val="DefaultParagraphFont"/>
    <w:uiPriority w:val="99"/>
    <w:semiHidden/>
    <w:unhideWhenUsed/>
    <w:rsid w:val="00A35C14"/>
    <w:rPr>
      <w:color w:val="605E5C"/>
      <w:shd w:val="clear" w:color="auto" w:fill="E1DFDD"/>
    </w:rPr>
  </w:style>
  <w:style w:type="character" w:customStyle="1" w:styleId="UnresolvedMention5">
    <w:name w:val="Unresolved Mention5"/>
    <w:basedOn w:val="DefaultParagraphFont"/>
    <w:uiPriority w:val="99"/>
    <w:semiHidden/>
    <w:unhideWhenUsed/>
    <w:rsid w:val="00F1614D"/>
    <w:rPr>
      <w:color w:val="605E5C"/>
      <w:shd w:val="clear" w:color="auto" w:fill="E1DFDD"/>
    </w:rPr>
  </w:style>
  <w:style w:type="paragraph" w:styleId="Index3">
    <w:name w:val="index 3"/>
    <w:basedOn w:val="Normal"/>
    <w:next w:val="Normal"/>
    <w:autoRedefine/>
    <w:rsid w:val="003525E9"/>
    <w:pPr>
      <w:spacing w:after="0" w:line="240" w:lineRule="auto"/>
      <w:ind w:left="600" w:hanging="200"/>
    </w:pPr>
  </w:style>
  <w:style w:type="character" w:styleId="UnresolvedMention">
    <w:name w:val="Unresolved Mention"/>
    <w:basedOn w:val="DefaultParagraphFont"/>
    <w:uiPriority w:val="99"/>
    <w:semiHidden/>
    <w:unhideWhenUsed/>
    <w:rsid w:val="006855FD"/>
    <w:rPr>
      <w:color w:val="605E5C"/>
      <w:shd w:val="clear" w:color="auto" w:fill="E1DFDD"/>
    </w:rPr>
  </w:style>
  <w:style w:type="paragraph" w:styleId="NoSpacing">
    <w:name w:val="No Spacing"/>
    <w:rsid w:val="00537175"/>
    <w:rPr>
      <w:rFonts w:ascii="Arial"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14016">
      <w:bodyDiv w:val="1"/>
      <w:marLeft w:val="0"/>
      <w:marRight w:val="0"/>
      <w:marTop w:val="0"/>
      <w:marBottom w:val="0"/>
      <w:divBdr>
        <w:top w:val="none" w:sz="0" w:space="0" w:color="auto"/>
        <w:left w:val="none" w:sz="0" w:space="0" w:color="auto"/>
        <w:bottom w:val="none" w:sz="0" w:space="0" w:color="auto"/>
        <w:right w:val="none" w:sz="0" w:space="0" w:color="auto"/>
      </w:divBdr>
    </w:div>
    <w:div w:id="86389856">
      <w:bodyDiv w:val="1"/>
      <w:marLeft w:val="0"/>
      <w:marRight w:val="0"/>
      <w:marTop w:val="0"/>
      <w:marBottom w:val="0"/>
      <w:divBdr>
        <w:top w:val="none" w:sz="0" w:space="0" w:color="auto"/>
        <w:left w:val="none" w:sz="0" w:space="0" w:color="auto"/>
        <w:bottom w:val="none" w:sz="0" w:space="0" w:color="auto"/>
        <w:right w:val="none" w:sz="0" w:space="0" w:color="auto"/>
      </w:divBdr>
    </w:div>
    <w:div w:id="191385089">
      <w:bodyDiv w:val="1"/>
      <w:marLeft w:val="0"/>
      <w:marRight w:val="0"/>
      <w:marTop w:val="0"/>
      <w:marBottom w:val="0"/>
      <w:divBdr>
        <w:top w:val="none" w:sz="0" w:space="0" w:color="auto"/>
        <w:left w:val="none" w:sz="0" w:space="0" w:color="auto"/>
        <w:bottom w:val="none" w:sz="0" w:space="0" w:color="auto"/>
        <w:right w:val="none" w:sz="0" w:space="0" w:color="auto"/>
      </w:divBdr>
    </w:div>
    <w:div w:id="439419790">
      <w:bodyDiv w:val="1"/>
      <w:marLeft w:val="0"/>
      <w:marRight w:val="0"/>
      <w:marTop w:val="0"/>
      <w:marBottom w:val="0"/>
      <w:divBdr>
        <w:top w:val="none" w:sz="0" w:space="0" w:color="auto"/>
        <w:left w:val="none" w:sz="0" w:space="0" w:color="auto"/>
        <w:bottom w:val="none" w:sz="0" w:space="0" w:color="auto"/>
        <w:right w:val="none" w:sz="0" w:space="0" w:color="auto"/>
      </w:divBdr>
    </w:div>
    <w:div w:id="551773989">
      <w:bodyDiv w:val="1"/>
      <w:marLeft w:val="0"/>
      <w:marRight w:val="0"/>
      <w:marTop w:val="0"/>
      <w:marBottom w:val="0"/>
      <w:divBdr>
        <w:top w:val="none" w:sz="0" w:space="0" w:color="auto"/>
        <w:left w:val="none" w:sz="0" w:space="0" w:color="auto"/>
        <w:bottom w:val="none" w:sz="0" w:space="0" w:color="auto"/>
        <w:right w:val="none" w:sz="0" w:space="0" w:color="auto"/>
      </w:divBdr>
    </w:div>
    <w:div w:id="644165300">
      <w:bodyDiv w:val="1"/>
      <w:marLeft w:val="0"/>
      <w:marRight w:val="0"/>
      <w:marTop w:val="0"/>
      <w:marBottom w:val="0"/>
      <w:divBdr>
        <w:top w:val="none" w:sz="0" w:space="0" w:color="auto"/>
        <w:left w:val="none" w:sz="0" w:space="0" w:color="auto"/>
        <w:bottom w:val="none" w:sz="0" w:space="0" w:color="auto"/>
        <w:right w:val="none" w:sz="0" w:space="0" w:color="auto"/>
      </w:divBdr>
    </w:div>
    <w:div w:id="694110955">
      <w:bodyDiv w:val="1"/>
      <w:marLeft w:val="0"/>
      <w:marRight w:val="0"/>
      <w:marTop w:val="0"/>
      <w:marBottom w:val="0"/>
      <w:divBdr>
        <w:top w:val="none" w:sz="0" w:space="0" w:color="auto"/>
        <w:left w:val="none" w:sz="0" w:space="0" w:color="auto"/>
        <w:bottom w:val="none" w:sz="0" w:space="0" w:color="auto"/>
        <w:right w:val="none" w:sz="0" w:space="0" w:color="auto"/>
      </w:divBdr>
    </w:div>
    <w:div w:id="763654055">
      <w:bodyDiv w:val="1"/>
      <w:marLeft w:val="0"/>
      <w:marRight w:val="0"/>
      <w:marTop w:val="0"/>
      <w:marBottom w:val="0"/>
      <w:divBdr>
        <w:top w:val="none" w:sz="0" w:space="0" w:color="auto"/>
        <w:left w:val="none" w:sz="0" w:space="0" w:color="auto"/>
        <w:bottom w:val="none" w:sz="0" w:space="0" w:color="auto"/>
        <w:right w:val="none" w:sz="0" w:space="0" w:color="auto"/>
      </w:divBdr>
    </w:div>
    <w:div w:id="998191131">
      <w:bodyDiv w:val="1"/>
      <w:marLeft w:val="0"/>
      <w:marRight w:val="0"/>
      <w:marTop w:val="0"/>
      <w:marBottom w:val="0"/>
      <w:divBdr>
        <w:top w:val="none" w:sz="0" w:space="0" w:color="auto"/>
        <w:left w:val="none" w:sz="0" w:space="0" w:color="auto"/>
        <w:bottom w:val="none" w:sz="0" w:space="0" w:color="auto"/>
        <w:right w:val="none" w:sz="0" w:space="0" w:color="auto"/>
      </w:divBdr>
      <w:divsChild>
        <w:div w:id="662903094">
          <w:marLeft w:val="0"/>
          <w:marRight w:val="0"/>
          <w:marTop w:val="0"/>
          <w:marBottom w:val="0"/>
          <w:divBdr>
            <w:top w:val="none" w:sz="0" w:space="0" w:color="auto"/>
            <w:left w:val="none" w:sz="0" w:space="0" w:color="auto"/>
            <w:bottom w:val="none" w:sz="0" w:space="0" w:color="auto"/>
            <w:right w:val="none" w:sz="0" w:space="0" w:color="auto"/>
          </w:divBdr>
          <w:divsChild>
            <w:div w:id="1198160392">
              <w:marLeft w:val="0"/>
              <w:marRight w:val="0"/>
              <w:marTop w:val="0"/>
              <w:marBottom w:val="0"/>
              <w:divBdr>
                <w:top w:val="none" w:sz="0" w:space="0" w:color="auto"/>
                <w:left w:val="none" w:sz="0" w:space="0" w:color="auto"/>
                <w:bottom w:val="none" w:sz="0" w:space="0" w:color="auto"/>
                <w:right w:val="none" w:sz="0" w:space="0" w:color="auto"/>
              </w:divBdr>
              <w:divsChild>
                <w:div w:id="1256670515">
                  <w:marLeft w:val="0"/>
                  <w:marRight w:val="0"/>
                  <w:marTop w:val="0"/>
                  <w:marBottom w:val="0"/>
                  <w:divBdr>
                    <w:top w:val="none" w:sz="0" w:space="0" w:color="auto"/>
                    <w:left w:val="none" w:sz="0" w:space="0" w:color="auto"/>
                    <w:bottom w:val="none" w:sz="0" w:space="0" w:color="auto"/>
                    <w:right w:val="none" w:sz="0" w:space="0" w:color="auto"/>
                  </w:divBdr>
                  <w:divsChild>
                    <w:div w:id="2131586621">
                      <w:marLeft w:val="0"/>
                      <w:marRight w:val="0"/>
                      <w:marTop w:val="0"/>
                      <w:marBottom w:val="0"/>
                      <w:divBdr>
                        <w:top w:val="none" w:sz="0" w:space="0" w:color="auto"/>
                        <w:left w:val="none" w:sz="0" w:space="0" w:color="auto"/>
                        <w:bottom w:val="none" w:sz="0" w:space="0" w:color="auto"/>
                        <w:right w:val="none" w:sz="0" w:space="0" w:color="auto"/>
                      </w:divBdr>
                      <w:divsChild>
                        <w:div w:id="1543714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4276915">
      <w:bodyDiv w:val="1"/>
      <w:marLeft w:val="0"/>
      <w:marRight w:val="0"/>
      <w:marTop w:val="0"/>
      <w:marBottom w:val="0"/>
      <w:divBdr>
        <w:top w:val="none" w:sz="0" w:space="0" w:color="auto"/>
        <w:left w:val="none" w:sz="0" w:space="0" w:color="auto"/>
        <w:bottom w:val="none" w:sz="0" w:space="0" w:color="auto"/>
        <w:right w:val="none" w:sz="0" w:space="0" w:color="auto"/>
      </w:divBdr>
    </w:div>
    <w:div w:id="1145707758">
      <w:bodyDiv w:val="1"/>
      <w:marLeft w:val="0"/>
      <w:marRight w:val="0"/>
      <w:marTop w:val="0"/>
      <w:marBottom w:val="0"/>
      <w:divBdr>
        <w:top w:val="none" w:sz="0" w:space="0" w:color="auto"/>
        <w:left w:val="none" w:sz="0" w:space="0" w:color="auto"/>
        <w:bottom w:val="none" w:sz="0" w:space="0" w:color="auto"/>
        <w:right w:val="none" w:sz="0" w:space="0" w:color="auto"/>
      </w:divBdr>
    </w:div>
    <w:div w:id="1192718010">
      <w:bodyDiv w:val="1"/>
      <w:marLeft w:val="0"/>
      <w:marRight w:val="0"/>
      <w:marTop w:val="0"/>
      <w:marBottom w:val="0"/>
      <w:divBdr>
        <w:top w:val="none" w:sz="0" w:space="0" w:color="auto"/>
        <w:left w:val="none" w:sz="0" w:space="0" w:color="auto"/>
        <w:bottom w:val="none" w:sz="0" w:space="0" w:color="auto"/>
        <w:right w:val="none" w:sz="0" w:space="0" w:color="auto"/>
      </w:divBdr>
    </w:div>
    <w:div w:id="1335261745">
      <w:bodyDiv w:val="1"/>
      <w:marLeft w:val="0"/>
      <w:marRight w:val="0"/>
      <w:marTop w:val="0"/>
      <w:marBottom w:val="0"/>
      <w:divBdr>
        <w:top w:val="none" w:sz="0" w:space="0" w:color="auto"/>
        <w:left w:val="none" w:sz="0" w:space="0" w:color="auto"/>
        <w:bottom w:val="none" w:sz="0" w:space="0" w:color="auto"/>
        <w:right w:val="none" w:sz="0" w:space="0" w:color="auto"/>
      </w:divBdr>
    </w:div>
    <w:div w:id="1342969836">
      <w:bodyDiv w:val="1"/>
      <w:marLeft w:val="0"/>
      <w:marRight w:val="0"/>
      <w:marTop w:val="0"/>
      <w:marBottom w:val="0"/>
      <w:divBdr>
        <w:top w:val="none" w:sz="0" w:space="0" w:color="auto"/>
        <w:left w:val="none" w:sz="0" w:space="0" w:color="auto"/>
        <w:bottom w:val="none" w:sz="0" w:space="0" w:color="auto"/>
        <w:right w:val="none" w:sz="0" w:space="0" w:color="auto"/>
      </w:divBdr>
      <w:divsChild>
        <w:div w:id="206112237">
          <w:marLeft w:val="0"/>
          <w:marRight w:val="0"/>
          <w:marTop w:val="0"/>
          <w:marBottom w:val="0"/>
          <w:divBdr>
            <w:top w:val="none" w:sz="0" w:space="0" w:color="auto"/>
            <w:left w:val="none" w:sz="0" w:space="0" w:color="auto"/>
            <w:bottom w:val="none" w:sz="0" w:space="0" w:color="auto"/>
            <w:right w:val="none" w:sz="0" w:space="0" w:color="auto"/>
          </w:divBdr>
          <w:divsChild>
            <w:div w:id="1871802039">
              <w:marLeft w:val="0"/>
              <w:marRight w:val="0"/>
              <w:marTop w:val="0"/>
              <w:marBottom w:val="0"/>
              <w:divBdr>
                <w:top w:val="none" w:sz="0" w:space="0" w:color="auto"/>
                <w:left w:val="none" w:sz="0" w:space="0" w:color="auto"/>
                <w:bottom w:val="none" w:sz="0" w:space="0" w:color="auto"/>
                <w:right w:val="none" w:sz="0" w:space="0" w:color="auto"/>
              </w:divBdr>
              <w:divsChild>
                <w:div w:id="986594898">
                  <w:marLeft w:val="0"/>
                  <w:marRight w:val="0"/>
                  <w:marTop w:val="0"/>
                  <w:marBottom w:val="0"/>
                  <w:divBdr>
                    <w:top w:val="none" w:sz="0" w:space="0" w:color="auto"/>
                    <w:left w:val="none" w:sz="0" w:space="0" w:color="auto"/>
                    <w:bottom w:val="none" w:sz="0" w:space="0" w:color="auto"/>
                    <w:right w:val="none" w:sz="0" w:space="0" w:color="auto"/>
                  </w:divBdr>
                  <w:divsChild>
                    <w:div w:id="542062924">
                      <w:marLeft w:val="0"/>
                      <w:marRight w:val="0"/>
                      <w:marTop w:val="0"/>
                      <w:marBottom w:val="0"/>
                      <w:divBdr>
                        <w:top w:val="none" w:sz="0" w:space="0" w:color="auto"/>
                        <w:left w:val="none" w:sz="0" w:space="0" w:color="auto"/>
                        <w:bottom w:val="none" w:sz="0" w:space="0" w:color="auto"/>
                        <w:right w:val="none" w:sz="0" w:space="0" w:color="auto"/>
                      </w:divBdr>
                      <w:divsChild>
                        <w:div w:id="1320383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78702603">
      <w:bodyDiv w:val="1"/>
      <w:marLeft w:val="0"/>
      <w:marRight w:val="0"/>
      <w:marTop w:val="0"/>
      <w:marBottom w:val="0"/>
      <w:divBdr>
        <w:top w:val="none" w:sz="0" w:space="0" w:color="auto"/>
        <w:left w:val="none" w:sz="0" w:space="0" w:color="auto"/>
        <w:bottom w:val="none" w:sz="0" w:space="0" w:color="auto"/>
        <w:right w:val="none" w:sz="0" w:space="0" w:color="auto"/>
      </w:divBdr>
    </w:div>
    <w:div w:id="1551459227">
      <w:bodyDiv w:val="1"/>
      <w:marLeft w:val="0"/>
      <w:marRight w:val="0"/>
      <w:marTop w:val="0"/>
      <w:marBottom w:val="0"/>
      <w:divBdr>
        <w:top w:val="none" w:sz="0" w:space="0" w:color="auto"/>
        <w:left w:val="none" w:sz="0" w:space="0" w:color="auto"/>
        <w:bottom w:val="none" w:sz="0" w:space="0" w:color="auto"/>
        <w:right w:val="none" w:sz="0" w:space="0" w:color="auto"/>
      </w:divBdr>
    </w:div>
    <w:div w:id="1587152211">
      <w:bodyDiv w:val="1"/>
      <w:marLeft w:val="0"/>
      <w:marRight w:val="0"/>
      <w:marTop w:val="0"/>
      <w:marBottom w:val="0"/>
      <w:divBdr>
        <w:top w:val="none" w:sz="0" w:space="0" w:color="auto"/>
        <w:left w:val="none" w:sz="0" w:space="0" w:color="auto"/>
        <w:bottom w:val="none" w:sz="0" w:space="0" w:color="auto"/>
        <w:right w:val="none" w:sz="0" w:space="0" w:color="auto"/>
      </w:divBdr>
      <w:divsChild>
        <w:div w:id="2123572846">
          <w:marLeft w:val="0"/>
          <w:marRight w:val="0"/>
          <w:marTop w:val="0"/>
          <w:marBottom w:val="0"/>
          <w:divBdr>
            <w:top w:val="none" w:sz="0" w:space="0" w:color="auto"/>
            <w:left w:val="none" w:sz="0" w:space="0" w:color="auto"/>
            <w:bottom w:val="none" w:sz="0" w:space="0" w:color="auto"/>
            <w:right w:val="none" w:sz="0" w:space="0" w:color="auto"/>
          </w:divBdr>
          <w:divsChild>
            <w:div w:id="1086223391">
              <w:marLeft w:val="0"/>
              <w:marRight w:val="0"/>
              <w:marTop w:val="0"/>
              <w:marBottom w:val="0"/>
              <w:divBdr>
                <w:top w:val="none" w:sz="0" w:space="0" w:color="auto"/>
                <w:left w:val="none" w:sz="0" w:space="0" w:color="auto"/>
                <w:bottom w:val="none" w:sz="0" w:space="0" w:color="auto"/>
                <w:right w:val="none" w:sz="0" w:space="0" w:color="auto"/>
              </w:divBdr>
              <w:divsChild>
                <w:div w:id="1406105927">
                  <w:marLeft w:val="0"/>
                  <w:marRight w:val="0"/>
                  <w:marTop w:val="0"/>
                  <w:marBottom w:val="0"/>
                  <w:divBdr>
                    <w:top w:val="none" w:sz="0" w:space="0" w:color="auto"/>
                    <w:left w:val="none" w:sz="0" w:space="0" w:color="auto"/>
                    <w:bottom w:val="none" w:sz="0" w:space="0" w:color="auto"/>
                    <w:right w:val="none" w:sz="0" w:space="0" w:color="auto"/>
                  </w:divBdr>
                  <w:divsChild>
                    <w:div w:id="1797210209">
                      <w:marLeft w:val="0"/>
                      <w:marRight w:val="0"/>
                      <w:marTop w:val="0"/>
                      <w:marBottom w:val="0"/>
                      <w:divBdr>
                        <w:top w:val="none" w:sz="0" w:space="0" w:color="auto"/>
                        <w:left w:val="none" w:sz="0" w:space="0" w:color="auto"/>
                        <w:bottom w:val="none" w:sz="0" w:space="0" w:color="auto"/>
                        <w:right w:val="none" w:sz="0" w:space="0" w:color="auto"/>
                      </w:divBdr>
                      <w:divsChild>
                        <w:div w:id="1340230017">
                          <w:marLeft w:val="0"/>
                          <w:marRight w:val="0"/>
                          <w:marTop w:val="0"/>
                          <w:marBottom w:val="0"/>
                          <w:divBdr>
                            <w:top w:val="none" w:sz="0" w:space="0" w:color="auto"/>
                            <w:left w:val="none" w:sz="0" w:space="0" w:color="auto"/>
                            <w:bottom w:val="none" w:sz="0" w:space="0" w:color="auto"/>
                            <w:right w:val="none" w:sz="0" w:space="0" w:color="auto"/>
                          </w:divBdr>
                          <w:divsChild>
                            <w:div w:id="291450732">
                              <w:marLeft w:val="0"/>
                              <w:marRight w:val="0"/>
                              <w:marTop w:val="0"/>
                              <w:marBottom w:val="0"/>
                              <w:divBdr>
                                <w:top w:val="none" w:sz="0" w:space="0" w:color="auto"/>
                                <w:left w:val="none" w:sz="0" w:space="0" w:color="auto"/>
                                <w:bottom w:val="none" w:sz="0" w:space="0" w:color="auto"/>
                                <w:right w:val="none" w:sz="0" w:space="0" w:color="auto"/>
                              </w:divBdr>
                              <w:divsChild>
                                <w:div w:id="1913585975">
                                  <w:marLeft w:val="0"/>
                                  <w:marRight w:val="0"/>
                                  <w:marTop w:val="0"/>
                                  <w:marBottom w:val="0"/>
                                  <w:divBdr>
                                    <w:top w:val="none" w:sz="0" w:space="0" w:color="auto"/>
                                    <w:left w:val="none" w:sz="0" w:space="0" w:color="auto"/>
                                    <w:bottom w:val="none" w:sz="0" w:space="0" w:color="auto"/>
                                    <w:right w:val="none" w:sz="0" w:space="0" w:color="auto"/>
                                  </w:divBdr>
                                  <w:divsChild>
                                    <w:div w:id="1962375636">
                                      <w:marLeft w:val="0"/>
                                      <w:marRight w:val="0"/>
                                      <w:marTop w:val="0"/>
                                      <w:marBottom w:val="0"/>
                                      <w:divBdr>
                                        <w:top w:val="none" w:sz="0" w:space="0" w:color="auto"/>
                                        <w:left w:val="none" w:sz="0" w:space="0" w:color="auto"/>
                                        <w:bottom w:val="none" w:sz="0" w:space="0" w:color="auto"/>
                                        <w:right w:val="none" w:sz="0" w:space="0" w:color="auto"/>
                                      </w:divBdr>
                                      <w:divsChild>
                                        <w:div w:id="1675181300">
                                          <w:marLeft w:val="0"/>
                                          <w:marRight w:val="0"/>
                                          <w:marTop w:val="0"/>
                                          <w:marBottom w:val="0"/>
                                          <w:divBdr>
                                            <w:top w:val="none" w:sz="0" w:space="0" w:color="auto"/>
                                            <w:left w:val="none" w:sz="0" w:space="0" w:color="auto"/>
                                            <w:bottom w:val="none" w:sz="0" w:space="0" w:color="auto"/>
                                            <w:right w:val="none" w:sz="0" w:space="0" w:color="auto"/>
                                          </w:divBdr>
                                          <w:divsChild>
                                            <w:div w:id="875775137">
                                              <w:marLeft w:val="0"/>
                                              <w:marRight w:val="0"/>
                                              <w:marTop w:val="0"/>
                                              <w:marBottom w:val="0"/>
                                              <w:divBdr>
                                                <w:top w:val="none" w:sz="0" w:space="0" w:color="auto"/>
                                                <w:left w:val="none" w:sz="0" w:space="0" w:color="auto"/>
                                                <w:bottom w:val="none" w:sz="0" w:space="0" w:color="auto"/>
                                                <w:right w:val="none" w:sz="0" w:space="0" w:color="auto"/>
                                              </w:divBdr>
                                              <w:divsChild>
                                                <w:div w:id="1543789696">
                                                  <w:marLeft w:val="0"/>
                                                  <w:marRight w:val="0"/>
                                                  <w:marTop w:val="0"/>
                                                  <w:marBottom w:val="0"/>
                                                  <w:divBdr>
                                                    <w:top w:val="none" w:sz="0" w:space="0" w:color="auto"/>
                                                    <w:left w:val="none" w:sz="0" w:space="0" w:color="auto"/>
                                                    <w:bottom w:val="none" w:sz="0" w:space="0" w:color="auto"/>
                                                    <w:right w:val="none" w:sz="0" w:space="0" w:color="auto"/>
                                                  </w:divBdr>
                                                  <w:divsChild>
                                                    <w:div w:id="1655719049">
                                                      <w:marLeft w:val="0"/>
                                                      <w:marRight w:val="0"/>
                                                      <w:marTop w:val="0"/>
                                                      <w:marBottom w:val="0"/>
                                                      <w:divBdr>
                                                        <w:top w:val="none" w:sz="0" w:space="0" w:color="auto"/>
                                                        <w:left w:val="none" w:sz="0" w:space="0" w:color="auto"/>
                                                        <w:bottom w:val="none" w:sz="0" w:space="0" w:color="auto"/>
                                                        <w:right w:val="none" w:sz="0" w:space="0" w:color="auto"/>
                                                      </w:divBdr>
                                                      <w:divsChild>
                                                        <w:div w:id="1916894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593246535">
      <w:bodyDiv w:val="1"/>
      <w:marLeft w:val="0"/>
      <w:marRight w:val="0"/>
      <w:marTop w:val="0"/>
      <w:marBottom w:val="0"/>
      <w:divBdr>
        <w:top w:val="none" w:sz="0" w:space="0" w:color="auto"/>
        <w:left w:val="none" w:sz="0" w:space="0" w:color="auto"/>
        <w:bottom w:val="none" w:sz="0" w:space="0" w:color="auto"/>
        <w:right w:val="none" w:sz="0" w:space="0" w:color="auto"/>
      </w:divBdr>
    </w:div>
    <w:div w:id="1601136869">
      <w:bodyDiv w:val="1"/>
      <w:marLeft w:val="0"/>
      <w:marRight w:val="0"/>
      <w:marTop w:val="0"/>
      <w:marBottom w:val="0"/>
      <w:divBdr>
        <w:top w:val="none" w:sz="0" w:space="0" w:color="auto"/>
        <w:left w:val="none" w:sz="0" w:space="0" w:color="auto"/>
        <w:bottom w:val="none" w:sz="0" w:space="0" w:color="auto"/>
        <w:right w:val="none" w:sz="0" w:space="0" w:color="auto"/>
      </w:divBdr>
    </w:div>
    <w:div w:id="1623345681">
      <w:bodyDiv w:val="1"/>
      <w:marLeft w:val="0"/>
      <w:marRight w:val="0"/>
      <w:marTop w:val="0"/>
      <w:marBottom w:val="0"/>
      <w:divBdr>
        <w:top w:val="none" w:sz="0" w:space="0" w:color="auto"/>
        <w:left w:val="none" w:sz="0" w:space="0" w:color="auto"/>
        <w:bottom w:val="none" w:sz="0" w:space="0" w:color="auto"/>
        <w:right w:val="none" w:sz="0" w:space="0" w:color="auto"/>
      </w:divBdr>
    </w:div>
    <w:div w:id="1720207152">
      <w:bodyDiv w:val="1"/>
      <w:marLeft w:val="0"/>
      <w:marRight w:val="0"/>
      <w:marTop w:val="0"/>
      <w:marBottom w:val="0"/>
      <w:divBdr>
        <w:top w:val="none" w:sz="0" w:space="0" w:color="auto"/>
        <w:left w:val="none" w:sz="0" w:space="0" w:color="auto"/>
        <w:bottom w:val="none" w:sz="0" w:space="0" w:color="auto"/>
        <w:right w:val="none" w:sz="0" w:space="0" w:color="auto"/>
      </w:divBdr>
    </w:div>
    <w:div w:id="1782918869">
      <w:bodyDiv w:val="1"/>
      <w:marLeft w:val="0"/>
      <w:marRight w:val="0"/>
      <w:marTop w:val="0"/>
      <w:marBottom w:val="0"/>
      <w:divBdr>
        <w:top w:val="none" w:sz="0" w:space="0" w:color="auto"/>
        <w:left w:val="none" w:sz="0" w:space="0" w:color="auto"/>
        <w:bottom w:val="none" w:sz="0" w:space="0" w:color="auto"/>
        <w:right w:val="none" w:sz="0" w:space="0" w:color="auto"/>
      </w:divBdr>
    </w:div>
    <w:div w:id="1952349096">
      <w:bodyDiv w:val="1"/>
      <w:marLeft w:val="0"/>
      <w:marRight w:val="0"/>
      <w:marTop w:val="0"/>
      <w:marBottom w:val="0"/>
      <w:divBdr>
        <w:top w:val="none" w:sz="0" w:space="0" w:color="auto"/>
        <w:left w:val="none" w:sz="0" w:space="0" w:color="auto"/>
        <w:bottom w:val="none" w:sz="0" w:space="0" w:color="auto"/>
        <w:right w:val="none" w:sz="0" w:space="0" w:color="auto"/>
      </w:divBdr>
    </w:div>
    <w:div w:id="2038196165">
      <w:bodyDiv w:val="1"/>
      <w:marLeft w:val="0"/>
      <w:marRight w:val="0"/>
      <w:marTop w:val="0"/>
      <w:marBottom w:val="0"/>
      <w:divBdr>
        <w:top w:val="none" w:sz="0" w:space="0" w:color="auto"/>
        <w:left w:val="none" w:sz="0" w:space="0" w:color="auto"/>
        <w:bottom w:val="none" w:sz="0" w:space="0" w:color="auto"/>
        <w:right w:val="none" w:sz="0" w:space="0" w:color="auto"/>
      </w:divBdr>
    </w:div>
    <w:div w:id="2099446170">
      <w:bodyDiv w:val="1"/>
      <w:marLeft w:val="0"/>
      <w:marRight w:val="0"/>
      <w:marTop w:val="0"/>
      <w:marBottom w:val="0"/>
      <w:divBdr>
        <w:top w:val="none" w:sz="0" w:space="0" w:color="auto"/>
        <w:left w:val="none" w:sz="0" w:space="0" w:color="auto"/>
        <w:bottom w:val="none" w:sz="0" w:space="0" w:color="auto"/>
        <w:right w:val="none" w:sz="0" w:space="0" w:color="auto"/>
      </w:divBdr>
    </w:div>
    <w:div w:id="2100444465">
      <w:bodyDiv w:val="1"/>
      <w:marLeft w:val="0"/>
      <w:marRight w:val="0"/>
      <w:marTop w:val="0"/>
      <w:marBottom w:val="0"/>
      <w:divBdr>
        <w:top w:val="none" w:sz="0" w:space="0" w:color="auto"/>
        <w:left w:val="none" w:sz="0" w:space="0" w:color="auto"/>
        <w:bottom w:val="none" w:sz="0" w:space="0" w:color="auto"/>
        <w:right w:val="none" w:sz="0" w:space="0" w:color="auto"/>
      </w:divBdr>
      <w:divsChild>
        <w:div w:id="1139034093">
          <w:marLeft w:val="0"/>
          <w:marRight w:val="0"/>
          <w:marTop w:val="0"/>
          <w:marBottom w:val="0"/>
          <w:divBdr>
            <w:top w:val="none" w:sz="0" w:space="0" w:color="auto"/>
            <w:left w:val="none" w:sz="0" w:space="0" w:color="auto"/>
            <w:bottom w:val="none" w:sz="0" w:space="0" w:color="auto"/>
            <w:right w:val="none" w:sz="0" w:space="0" w:color="auto"/>
          </w:divBdr>
          <w:divsChild>
            <w:div w:id="608463581">
              <w:marLeft w:val="0"/>
              <w:marRight w:val="0"/>
              <w:marTop w:val="0"/>
              <w:marBottom w:val="0"/>
              <w:divBdr>
                <w:top w:val="none" w:sz="0" w:space="0" w:color="auto"/>
                <w:left w:val="none" w:sz="0" w:space="0" w:color="auto"/>
                <w:bottom w:val="none" w:sz="0" w:space="0" w:color="auto"/>
                <w:right w:val="none" w:sz="0" w:space="0" w:color="auto"/>
              </w:divBdr>
              <w:divsChild>
                <w:div w:id="873738101">
                  <w:marLeft w:val="0"/>
                  <w:marRight w:val="0"/>
                  <w:marTop w:val="0"/>
                  <w:marBottom w:val="0"/>
                  <w:divBdr>
                    <w:top w:val="none" w:sz="0" w:space="0" w:color="auto"/>
                    <w:left w:val="none" w:sz="0" w:space="0" w:color="auto"/>
                    <w:bottom w:val="none" w:sz="0" w:space="0" w:color="auto"/>
                    <w:right w:val="none" w:sz="0" w:space="0" w:color="auto"/>
                  </w:divBdr>
                  <w:divsChild>
                    <w:div w:id="1641109238">
                      <w:marLeft w:val="0"/>
                      <w:marRight w:val="0"/>
                      <w:marTop w:val="0"/>
                      <w:marBottom w:val="0"/>
                      <w:divBdr>
                        <w:top w:val="none" w:sz="0" w:space="0" w:color="auto"/>
                        <w:left w:val="none" w:sz="0" w:space="0" w:color="auto"/>
                        <w:bottom w:val="none" w:sz="0" w:space="0" w:color="auto"/>
                        <w:right w:val="none" w:sz="0" w:space="0" w:color="auto"/>
                      </w:divBdr>
                      <w:divsChild>
                        <w:div w:id="227107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creativecommons.org/licenses/by/4.0/" TargetMode="External"/><Relationship Id="rId18" Type="http://schemas.openxmlformats.org/officeDocument/2006/relationships/footer" Target="footer3.xml"/><Relationship Id="rId26" Type="http://schemas.openxmlformats.org/officeDocument/2006/relationships/hyperlink" Target="https://www.acma.gov.au/theACMA/spectrum-planning-for-the-28-ghz-band" TargetMode="External"/><Relationship Id="rId39" Type="http://schemas.openxmlformats.org/officeDocument/2006/relationships/hyperlink" Target="https://www.acma.gov.au/theACMA/spectrum-planning-for-the-28-ghz-band" TargetMode="External"/><Relationship Id="rId21" Type="http://schemas.openxmlformats.org/officeDocument/2006/relationships/footer" Target="footer4.xml"/><Relationship Id="rId34" Type="http://schemas.openxmlformats.org/officeDocument/2006/relationships/hyperlink" Target="https://www.acma.gov.au/theACMA/spectrum-planning-for-the-28-ghz-band" TargetMode="External"/><Relationship Id="rId42" Type="http://schemas.openxmlformats.org/officeDocument/2006/relationships/hyperlink" Target="https://www.acma.gov.au/theACMA/options-for-wireless-broadband-in-the-26-ghz-band" TargetMode="External"/><Relationship Id="rId47" Type="http://schemas.openxmlformats.org/officeDocument/2006/relationships/image" Target="media/image15.jpeg"/><Relationship Id="rId50" Type="http://schemas.openxmlformats.org/officeDocument/2006/relationships/header" Target="header7.xml"/><Relationship Id="rId55" Type="http://schemas.openxmlformats.org/officeDocument/2006/relationships/hyperlink" Target="https://www.legislation.gov.au/Series/F2015L01486" TargetMode="External"/><Relationship Id="rId63" Type="http://schemas.openxmlformats.org/officeDocument/2006/relationships/image" Target="media/image19.emf"/><Relationship Id="rId68" Type="http://schemas.openxmlformats.org/officeDocument/2006/relationships/hyperlink" Target="http://archive.acma.gov.au/webwr/_assets/main/lib410188/australian_spectrum_map_grid_28feb2012.docx" TargetMode="External"/><Relationship Id="rId7" Type="http://schemas.openxmlformats.org/officeDocument/2006/relationships/endnotes" Target="endnotes.xml"/><Relationship Id="rId71" Type="http://schemas.openxmlformats.org/officeDocument/2006/relationships/hyperlink" Target="http://www.acma.gov.au/Industry/Spectrum/Spectrum-planning/About-spectrum-planning/technical-framework-3_4-ghz" TargetMode="Externa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yperlink" Target="https://www.acma.gov.au/Industry/Spectrum/Spectrum-projects/5-Year-Spectrum-Outlook/five-year-spectrum-outlook" TargetMode="External"/><Relationship Id="rId11" Type="http://schemas.openxmlformats.org/officeDocument/2006/relationships/hyperlink" Target="http://i.creativecommons.org/l/by/3.0/88x31.png" TargetMode="External"/><Relationship Id="rId24" Type="http://schemas.openxmlformats.org/officeDocument/2006/relationships/hyperlink" Target="https://www.acma.gov.au/theACMA/spectrum-planning-for-the-28-ghz-band" TargetMode="External"/><Relationship Id="rId32" Type="http://schemas.openxmlformats.org/officeDocument/2006/relationships/hyperlink" Target="mailto:IRS@acma.gov.au" TargetMode="External"/><Relationship Id="rId37" Type="http://schemas.openxmlformats.org/officeDocument/2006/relationships/hyperlink" Target="https://www.acma.gov.au/theACMA/options-for-wireless-broadband-in-the-26-ghz-band" TargetMode="External"/><Relationship Id="rId40" Type="http://schemas.openxmlformats.org/officeDocument/2006/relationships/hyperlink" Target="https://www.acma.gov.au/theACMA/future-approach-to-the-3_6-ghz-band" TargetMode="External"/><Relationship Id="rId45" Type="http://schemas.openxmlformats.org/officeDocument/2006/relationships/image" Target="media/image13.jpeg"/><Relationship Id="rId53" Type="http://schemas.openxmlformats.org/officeDocument/2006/relationships/footer" Target="footer8.xml"/><Relationship Id="rId58" Type="http://schemas.openxmlformats.org/officeDocument/2006/relationships/header" Target="header9.xml"/><Relationship Id="rId66" Type="http://schemas.openxmlformats.org/officeDocument/2006/relationships/hyperlink" Target="https://www.acma.gov.au/theACMA/About/Corporate/Accountability/privacy-and-consultations" TargetMode="External"/><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oter" Target="footer6.xml"/><Relationship Id="rId28" Type="http://schemas.openxmlformats.org/officeDocument/2006/relationships/image" Target="media/image11.emf"/><Relationship Id="rId36" Type="http://schemas.openxmlformats.org/officeDocument/2006/relationships/hyperlink" Target="https://www.acma.gov.au/theACMA/options-for-wireless-broadband-in-the-26-ghz-band" TargetMode="External"/><Relationship Id="rId49" Type="http://schemas.openxmlformats.org/officeDocument/2006/relationships/image" Target="media/image17.emf"/><Relationship Id="rId57" Type="http://schemas.openxmlformats.org/officeDocument/2006/relationships/hyperlink" Target="https://www.legislation.gov.au/Details/F2018C00500" TargetMode="External"/><Relationship Id="rId61" Type="http://schemas.openxmlformats.org/officeDocument/2006/relationships/footer" Target="footer10.xml"/><Relationship Id="rId10" Type="http://schemas.openxmlformats.org/officeDocument/2006/relationships/header" Target="header2.xml"/><Relationship Id="rId19" Type="http://schemas.openxmlformats.org/officeDocument/2006/relationships/header" Target="header5.xml"/><Relationship Id="rId31" Type="http://schemas.openxmlformats.org/officeDocument/2006/relationships/hyperlink" Target="http://www.acma.gov.au/theACMA/international-telecommunications-activities" TargetMode="External"/><Relationship Id="rId44" Type="http://schemas.openxmlformats.org/officeDocument/2006/relationships/hyperlink" Target="https://www.legislation.gov.au/Details/F2018C00500" TargetMode="External"/><Relationship Id="rId52" Type="http://schemas.openxmlformats.org/officeDocument/2006/relationships/footer" Target="footer7.xml"/><Relationship Id="rId60" Type="http://schemas.openxmlformats.org/officeDocument/2006/relationships/footer" Target="footer9.xml"/><Relationship Id="rId65" Type="http://schemas.openxmlformats.org/officeDocument/2006/relationships/hyperlink" Target="mailto:freqplan@acma.gov.au" TargetMode="External"/><Relationship Id="rId73"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acma.gov.au" TargetMode="External"/><Relationship Id="rId22" Type="http://schemas.openxmlformats.org/officeDocument/2006/relationships/footer" Target="footer5.xml"/><Relationship Id="rId27" Type="http://schemas.openxmlformats.org/officeDocument/2006/relationships/hyperlink" Target="http://www.acma.gov.au/Industry/Spectrum/Spectrum-planning/About-spectrum-planning/principles-for-spectrum-management" TargetMode="External"/><Relationship Id="rId30" Type="http://schemas.openxmlformats.org/officeDocument/2006/relationships/hyperlink" Target="https://www.acma.gov.au/Industry/Spectrum/Spectrum-projects/5-Year-Spectrum-Outlook" TargetMode="External"/><Relationship Id="rId35" Type="http://schemas.openxmlformats.org/officeDocument/2006/relationships/hyperlink" Target="https://www.acma.gov.au/theACMA/-/media/AF3D0BB2F7BB456EB073DD48F1C0FB00.ashx" TargetMode="External"/><Relationship Id="rId43" Type="http://schemas.openxmlformats.org/officeDocument/2006/relationships/hyperlink" Target="https://www.acma.gov.au/theACMA/options-for-wireless-broadband-in-the-26-ghz-band" TargetMode="External"/><Relationship Id="rId48" Type="http://schemas.openxmlformats.org/officeDocument/2006/relationships/image" Target="media/image16.emf"/><Relationship Id="rId56" Type="http://schemas.openxmlformats.org/officeDocument/2006/relationships/hyperlink" Target="https://www.acma.gov.au/theACMA/options-for-wireless-broadband-in-the-26-ghz-band" TargetMode="External"/><Relationship Id="rId64" Type="http://schemas.openxmlformats.org/officeDocument/2006/relationships/hyperlink" Target="http://www.acma.gov.au/theACMA/Consultations/Consultations" TargetMode="External"/><Relationship Id="rId69" Type="http://schemas.openxmlformats.org/officeDocument/2006/relationships/hyperlink" Target="http://www.acma.gov.au/theACMA/About/The-ACMA-story/Facilitating/decisionmaking-process-fyso-25-1" TargetMode="External"/><Relationship Id="rId8" Type="http://schemas.openxmlformats.org/officeDocument/2006/relationships/header" Target="header1.xml"/><Relationship Id="rId51" Type="http://schemas.openxmlformats.org/officeDocument/2006/relationships/header" Target="header8.xml"/><Relationship Id="rId72" Type="http://schemas.openxmlformats.org/officeDocument/2006/relationships/hyperlink" Target="http://www.acma.gov.au/theACMA/convert-hcis-area-description-to-a-placemark" TargetMode="External"/><Relationship Id="rId3" Type="http://schemas.openxmlformats.org/officeDocument/2006/relationships/styles" Target="styles.xml"/><Relationship Id="rId12" Type="http://schemas.openxmlformats.org/officeDocument/2006/relationships/image" Target="media/image10.png"/><Relationship Id="rId17" Type="http://schemas.openxmlformats.org/officeDocument/2006/relationships/footer" Target="footer2.xml"/><Relationship Id="rId25" Type="http://schemas.openxmlformats.org/officeDocument/2006/relationships/hyperlink" Target="https://www.acma.gov.au/theACMA/options-for-wireless-broadband-in-the-26-ghz-band" TargetMode="External"/><Relationship Id="rId33" Type="http://schemas.openxmlformats.org/officeDocument/2006/relationships/hyperlink" Target="mailto:WRC@communications.gov.au" TargetMode="External"/><Relationship Id="rId38" Type="http://schemas.openxmlformats.org/officeDocument/2006/relationships/image" Target="media/image12.png"/><Relationship Id="rId46" Type="http://schemas.openxmlformats.org/officeDocument/2006/relationships/image" Target="media/image14.jpeg"/><Relationship Id="rId59" Type="http://schemas.openxmlformats.org/officeDocument/2006/relationships/header" Target="header10.xml"/><Relationship Id="rId67" Type="http://schemas.openxmlformats.org/officeDocument/2006/relationships/hyperlink" Target="http://www.acma.gov.au/privacypolicy" TargetMode="External"/><Relationship Id="rId20" Type="http://schemas.openxmlformats.org/officeDocument/2006/relationships/header" Target="header6.xml"/><Relationship Id="rId41" Type="http://schemas.openxmlformats.org/officeDocument/2006/relationships/hyperlink" Target="https://www.legislation.gov.au/Series/F2015L01486" TargetMode="External"/><Relationship Id="rId54" Type="http://schemas.openxmlformats.org/officeDocument/2006/relationships/hyperlink" Target="http://www.acma.gov.au/theACMA/About/The-ACMA-story/Facilitating/decisionmaking-process-fyso-25-1" TargetMode="External"/><Relationship Id="rId62" Type="http://schemas.openxmlformats.org/officeDocument/2006/relationships/image" Target="media/image18.png"/><Relationship Id="rId70" Type="http://schemas.openxmlformats.org/officeDocument/2006/relationships/hyperlink" Target="https://www.acma.gov.au/theACMA/options-for-wireless-broadband-in-the-26-ghz-band" TargetMode="Externa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9.jpeg"/></Relationships>
</file>

<file path=word/_rels/footnotes.xml.rels><?xml version="1.0" encoding="UTF-8" standalone="yes"?>
<Relationships xmlns="http://schemas.openxmlformats.org/package/2006/relationships"><Relationship Id="rId8" Type="http://schemas.openxmlformats.org/officeDocument/2006/relationships/hyperlink" Target="https://www.acma.gov.au/-/media/Licence-Issue-and-Allocation/Information/Word-Document/BOP-ESIMs-2017-docx.docx?la=en" TargetMode="External"/><Relationship Id="rId13" Type="http://schemas.openxmlformats.org/officeDocument/2006/relationships/hyperlink" Target="https://www.google.com/url?sa=t&amp;rct=j&amp;q=&amp;esrc=s&amp;source=web&amp;cd=3&amp;ved=2ahUKEwipqNSanf7gAhVIbn0KHbV0C1kQFjACegQICBAC&amp;url=https%3A%2F%2Fwww.communications.gov.au%2Ffile%2F35551%2Fdownload%3Ftoken%3D0MlSFttv&amp;usg=AOvVaw3_vwXV0KUfwecI2PV-aIfJ" TargetMode="External"/><Relationship Id="rId3" Type="http://schemas.openxmlformats.org/officeDocument/2006/relationships/hyperlink" Target="https://www.acma.gov.au/theACMA/draft-five-year-spectrum-outlook-2018-22" TargetMode="External"/><Relationship Id="rId7" Type="http://schemas.openxmlformats.org/officeDocument/2006/relationships/hyperlink" Target="https://www.computerworld.com.au/article/657535/australia-could-host-ground-infrastructure-next-gen-viasat-satellite/" TargetMode="External"/><Relationship Id="rId12" Type="http://schemas.openxmlformats.org/officeDocument/2006/relationships/hyperlink" Target="http://www.amta.org.au/files/Mobile.nation.The.economic.and.social.impact.of.mobile.technology.pdf" TargetMode="External"/><Relationship Id="rId2" Type="http://schemas.openxmlformats.org/officeDocument/2006/relationships/hyperlink" Target="https://www.acma.gov.au/theACMA/acma-corporate-plan" TargetMode="External"/><Relationship Id="rId1" Type="http://schemas.openxmlformats.org/officeDocument/2006/relationships/hyperlink" Target="https://www.acma.gov.au/Industry/Spectrum/Spectrum-projects/Mobile-broadband/mobile-broadband-strategy-and-work-plan" TargetMode="External"/><Relationship Id="rId6" Type="http://schemas.openxmlformats.org/officeDocument/2006/relationships/hyperlink" Target="https://www.acma.gov.au/theACMA/rali-fx3-microwave-fixed-services-frequency-coordination" TargetMode="External"/><Relationship Id="rId11" Type="http://schemas.openxmlformats.org/officeDocument/2006/relationships/hyperlink" Target="http://www.amta.org.au/files/deloitte-access-economics-5g-mobile-enabling-businesses-and-economic-growth-pdf" TargetMode="External"/><Relationship Id="rId5" Type="http://schemas.openxmlformats.org/officeDocument/2006/relationships/hyperlink" Target="https://www.acma.gov.au/theACMA/class-licensing-updates-supporting-5g-and-other-technology-innovations" TargetMode="External"/><Relationship Id="rId10" Type="http://schemas.openxmlformats.org/officeDocument/2006/relationships/hyperlink" Target="http://www.amta.org.au/files/Mobile.nation.The.economic.and.social.impact.of.mobile.technology.pdf" TargetMode="External"/><Relationship Id="rId4" Type="http://schemas.openxmlformats.org/officeDocument/2006/relationships/hyperlink" Target="https://www.theverge.com/2018/11/14/18095020/fcc-auction-mmwave-5g-spectrum-mobile-network" TargetMode="External"/><Relationship Id="rId9" Type="http://schemas.openxmlformats.org/officeDocument/2006/relationships/hyperlink" Target="https://www.acma.gov.au/-/media/Spectrum-Engineering/Information/Word-Document/Interim-BOP-GSO-NGSO-ESIM-docx.docx?la=en" TargetMode="External"/><Relationship Id="rId14" Type="http://schemas.openxmlformats.org/officeDocument/2006/relationships/hyperlink" Target="https://www.acma.gov.au/-/media/Spectrum-Engineering/Issue-for-comment/IFC-31-2014/Word/SPP-201404-Rali-FX-3-stats_FINAL-docx.DOCX?la=e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B7F963-CB2F-46BB-841A-97A311C998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56</Pages>
  <Words>22135</Words>
  <Characters>126175</Characters>
  <Application>Microsoft Office Word</Application>
  <DocSecurity>0</DocSecurity>
  <Lines>1051</Lines>
  <Paragraphs>296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148014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2019-03-31T21:37:00Z</dcterms:created>
  <dcterms:modified xsi:type="dcterms:W3CDTF">2019-04-01T00:38:00Z</dcterms:modified>
  <cp:category/>
</cp:coreProperties>
</file>