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C1F3" w14:textId="6775D534" w:rsidR="00BE459D" w:rsidRPr="00260457" w:rsidRDefault="00E27DF3" w:rsidP="003E1BE4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260457">
        <w:rPr>
          <w:color w:val="FFFFFF" w:themeColor="background1"/>
        </w:rPr>
        <w:t xml:space="preserve">Form </w:t>
      </w:r>
      <w:r w:rsidR="00CF0C6A" w:rsidRPr="00260457">
        <w:rPr>
          <w:color w:val="FFFFFF" w:themeColor="background1"/>
        </w:rPr>
        <w:t>5</w:t>
      </w:r>
      <w:r w:rsidRPr="00260457">
        <w:rPr>
          <w:color w:val="FFFFFF" w:themeColor="background1"/>
        </w:rPr>
        <w:t>—</w:t>
      </w:r>
      <w:r w:rsidR="00970164" w:rsidRPr="00260457">
        <w:rPr>
          <w:color w:val="FFFFFF" w:themeColor="background1"/>
        </w:rPr>
        <w:t>Statutory declaration about affiliations</w:t>
      </w:r>
    </w:p>
    <w:p w14:paraId="6711F89F" w14:textId="4D994254" w:rsidR="00E27DF3" w:rsidRPr="00260457" w:rsidRDefault="00E27DF3" w:rsidP="00727206">
      <w:pPr>
        <w:pStyle w:val="ACMABodyForm"/>
        <w:spacing w:before="0" w:line="240" w:lineRule="auto"/>
        <w:rPr>
          <w:i/>
          <w:lang w:eastAsia="en-AU"/>
        </w:rPr>
      </w:pPr>
      <w:r w:rsidRPr="00260457">
        <w:rPr>
          <w:lang w:eastAsia="en-AU"/>
        </w:rPr>
        <w:t xml:space="preserve">For the purposes of </w:t>
      </w:r>
      <w:r w:rsidRPr="002357BD">
        <w:rPr>
          <w:lang w:eastAsia="en-AU"/>
        </w:rPr>
        <w:t xml:space="preserve">section </w:t>
      </w:r>
      <w:r w:rsidR="00C0398F" w:rsidRPr="002357BD">
        <w:rPr>
          <w:lang w:eastAsia="en-AU"/>
        </w:rPr>
        <w:t>3</w:t>
      </w:r>
      <w:r w:rsidR="00694DF2" w:rsidRPr="002357BD">
        <w:rPr>
          <w:lang w:eastAsia="en-AU"/>
        </w:rPr>
        <w:t>5</w:t>
      </w:r>
      <w:r w:rsidR="00C0398F" w:rsidRPr="00260457">
        <w:rPr>
          <w:lang w:eastAsia="en-AU"/>
        </w:rPr>
        <w:t xml:space="preserve"> </w:t>
      </w:r>
      <w:r w:rsidRPr="00260457">
        <w:rPr>
          <w:lang w:eastAsia="en-AU"/>
        </w:rPr>
        <w:t xml:space="preserve">of the </w:t>
      </w:r>
      <w:bookmarkStart w:id="0" w:name="Citation"/>
      <w:r w:rsidR="000A4DE1" w:rsidRPr="002357BD">
        <w:rPr>
          <w:lang w:eastAsia="en-AU"/>
        </w:rPr>
        <w:t>Radiocommunications (Spectrum Licence</w:t>
      </w:r>
      <w:r w:rsidR="001E1568" w:rsidRPr="002357BD">
        <w:rPr>
          <w:lang w:eastAsia="en-AU"/>
        </w:rPr>
        <w:t xml:space="preserve"> </w:t>
      </w:r>
      <w:r w:rsidR="000A4DE1" w:rsidRPr="002357BD">
        <w:rPr>
          <w:lang w:eastAsia="en-AU"/>
        </w:rPr>
        <w:t>Allocation </w:t>
      </w:r>
      <w:r w:rsidR="001F3506" w:rsidRPr="002357BD">
        <w:rPr>
          <w:lang w:eastAsia="en-AU"/>
        </w:rPr>
        <w:t xml:space="preserve">– </w:t>
      </w:r>
      <w:r w:rsidR="00A744CD" w:rsidRPr="002357BD">
        <w:rPr>
          <w:lang w:eastAsia="en-AU"/>
        </w:rPr>
        <w:t>3.6 GHz</w:t>
      </w:r>
      <w:r w:rsidR="000A4DE1" w:rsidRPr="002357BD">
        <w:rPr>
          <w:lang w:eastAsia="en-AU"/>
        </w:rPr>
        <w:t xml:space="preserve"> Band) Determination </w:t>
      </w:r>
      <w:bookmarkEnd w:id="0"/>
      <w:r w:rsidR="00A744CD" w:rsidRPr="002357BD">
        <w:rPr>
          <w:lang w:eastAsia="en-AU"/>
        </w:rPr>
        <w:t>2018</w:t>
      </w:r>
      <w:r w:rsidR="001F3506" w:rsidRPr="00260457">
        <w:rPr>
          <w:lang w:eastAsia="en-AU"/>
        </w:rPr>
        <w:t>.</w:t>
      </w:r>
    </w:p>
    <w:p w14:paraId="09F6B88E" w14:textId="39EF011C" w:rsidR="00E959B1" w:rsidRPr="00260457" w:rsidRDefault="004D16B7" w:rsidP="001C686D">
      <w:pPr>
        <w:pStyle w:val="ACMAHeading2"/>
        <w:rPr>
          <w:i/>
        </w:rPr>
      </w:pPr>
      <w:r w:rsidRPr="00260457">
        <w:t>Notes on completion</w:t>
      </w:r>
    </w:p>
    <w:p w14:paraId="3290F3FF" w14:textId="77777777" w:rsidR="00301869" w:rsidRPr="00260457" w:rsidRDefault="00301869" w:rsidP="002357BD">
      <w:pPr>
        <w:pStyle w:val="ACMAHeading3"/>
        <w:spacing w:after="120"/>
      </w:pPr>
      <w:r w:rsidRPr="00260457">
        <w:t>Introduction</w:t>
      </w:r>
    </w:p>
    <w:p w14:paraId="4D180B5F" w14:textId="109EB7D2" w:rsidR="00316E71" w:rsidRPr="00260457" w:rsidRDefault="00316E71" w:rsidP="005D1913">
      <w:pPr>
        <w:pStyle w:val="ACMABodyText"/>
      </w:pPr>
      <w:r w:rsidRPr="00260457">
        <w:t>This statutory declaration form has been approved by the Australian Communications and Media Authority (ACMA) pursuant to paragraph 2</w:t>
      </w:r>
      <w:r w:rsidR="00026910" w:rsidRPr="00260457">
        <w:t>7</w:t>
      </w:r>
      <w:r w:rsidRPr="00260457">
        <w:t xml:space="preserve">(1)(k) of the </w:t>
      </w:r>
      <w:r w:rsidRPr="00C24EC1">
        <w:t>Radiocommunications (Spectrum Licence Allocation – 3.6 GHz Band) Determination 2018</w:t>
      </w:r>
      <w:r w:rsidRPr="00260457">
        <w:t xml:space="preserve"> (Allocation Determination).</w:t>
      </w:r>
    </w:p>
    <w:p w14:paraId="02D44922" w14:textId="660577F9" w:rsidR="005D1913" w:rsidRPr="00260457" w:rsidRDefault="005D1913" w:rsidP="005D1913">
      <w:pPr>
        <w:pStyle w:val="ACMABodyText"/>
      </w:pPr>
      <w:r w:rsidRPr="00260457">
        <w:t xml:space="preserve">This form should be used by new applicants for the purposes of </w:t>
      </w:r>
      <w:r w:rsidR="00151092" w:rsidRPr="00260457">
        <w:t>subsection</w:t>
      </w:r>
      <w:r w:rsidRPr="00260457">
        <w:t xml:space="preserve"> 3</w:t>
      </w:r>
      <w:r w:rsidR="00026910" w:rsidRPr="00260457">
        <w:t>5</w:t>
      </w:r>
      <w:r w:rsidRPr="00260457">
        <w:t>(5) of the Allocation Determination.</w:t>
      </w:r>
    </w:p>
    <w:p w14:paraId="0683B40F" w14:textId="33891C93" w:rsidR="00DF36D8" w:rsidRPr="00260457" w:rsidRDefault="00DF36D8" w:rsidP="001C686D">
      <w:pPr>
        <w:pStyle w:val="ACMABodyText"/>
      </w:pPr>
      <w:r w:rsidRPr="00260457">
        <w:t>Subsection</w:t>
      </w:r>
      <w:r w:rsidR="00E959B1" w:rsidRPr="00260457">
        <w:t xml:space="preserve"> </w:t>
      </w:r>
      <w:r w:rsidR="00C0398F" w:rsidRPr="00260457">
        <w:t>3</w:t>
      </w:r>
      <w:r w:rsidR="00694DF2" w:rsidRPr="00260457">
        <w:t>5</w:t>
      </w:r>
      <w:r w:rsidR="00E959B1" w:rsidRPr="00260457">
        <w:t>(</w:t>
      </w:r>
      <w:r w:rsidR="001E1B9E" w:rsidRPr="00260457">
        <w:t>3</w:t>
      </w:r>
      <w:r w:rsidR="00E959B1" w:rsidRPr="00260457">
        <w:t xml:space="preserve">) of the Allocation Determination </w:t>
      </w:r>
      <w:r w:rsidRPr="00260457">
        <w:t xml:space="preserve">provides that, after receiving a new application from </w:t>
      </w:r>
      <w:r w:rsidR="00E959B1" w:rsidRPr="00260457">
        <w:t>a new applicant</w:t>
      </w:r>
      <w:r w:rsidRPr="00260457">
        <w:t xml:space="preserve"> under subsection </w:t>
      </w:r>
      <w:r w:rsidR="00C0398F" w:rsidRPr="00260457">
        <w:t>3</w:t>
      </w:r>
      <w:r w:rsidR="00694DF2" w:rsidRPr="00260457">
        <w:t>5</w:t>
      </w:r>
      <w:r w:rsidRPr="00260457">
        <w:t>(2)</w:t>
      </w:r>
      <w:r w:rsidR="00E959B1" w:rsidRPr="00260457">
        <w:t xml:space="preserve">, </w:t>
      </w:r>
      <w:r w:rsidRPr="00260457">
        <w:t xml:space="preserve">the </w:t>
      </w:r>
      <w:r w:rsidR="00BB4490">
        <w:t>ACMA</w:t>
      </w:r>
      <w:r w:rsidRPr="00260457">
        <w:t xml:space="preserve"> must give each applicant (including the new applicant) updated details about the identity of all other applicants</w:t>
      </w:r>
      <w:r w:rsidR="00D373A5" w:rsidRPr="00260457">
        <w:t xml:space="preserve"> </w:t>
      </w:r>
      <w:r w:rsidR="00C4379D" w:rsidRPr="00260457">
        <w:t>and the persons identified as the associates of other applicants</w:t>
      </w:r>
      <w:r w:rsidRPr="00260457">
        <w:t>.</w:t>
      </w:r>
    </w:p>
    <w:p w14:paraId="3C758E80" w14:textId="19BC8389" w:rsidR="001E1B9E" w:rsidRPr="00260457" w:rsidRDefault="00DF36D8" w:rsidP="001C686D">
      <w:pPr>
        <w:pStyle w:val="ACMABodyText"/>
      </w:pPr>
      <w:r w:rsidRPr="00260457">
        <w:t xml:space="preserve">Paragraph </w:t>
      </w:r>
      <w:r w:rsidR="00C0398F" w:rsidRPr="00260457">
        <w:t>3</w:t>
      </w:r>
      <w:r w:rsidR="001E1B9E" w:rsidRPr="00260457">
        <w:t>5</w:t>
      </w:r>
      <w:r w:rsidRPr="00260457">
        <w:t>(5)(</w:t>
      </w:r>
      <w:r w:rsidR="00694DF2" w:rsidRPr="00260457">
        <w:t>c</w:t>
      </w:r>
      <w:r w:rsidRPr="00260457">
        <w:t xml:space="preserve">) of the Allocation Determination provides that a new applicant must, after receiving the updated details about </w:t>
      </w:r>
      <w:r w:rsidR="00C4379D" w:rsidRPr="00260457">
        <w:t xml:space="preserve">the identity of all </w:t>
      </w:r>
      <w:r w:rsidRPr="00260457">
        <w:t>other applicants</w:t>
      </w:r>
      <w:r w:rsidR="00C4379D" w:rsidRPr="00260457">
        <w:t xml:space="preserve"> and the persons identified as the associates of other applicants</w:t>
      </w:r>
      <w:r w:rsidRPr="00260457">
        <w:t xml:space="preserve">, give the ACMA </w:t>
      </w:r>
      <w:r w:rsidR="00E959B1" w:rsidRPr="00260457">
        <w:t xml:space="preserve">a statutory declaration stating </w:t>
      </w:r>
      <w:r w:rsidR="00B955FA" w:rsidRPr="00260457">
        <w:t xml:space="preserve">that </w:t>
      </w:r>
      <w:r w:rsidRPr="00260457">
        <w:t xml:space="preserve">the new applicant is </w:t>
      </w:r>
      <w:r w:rsidR="00E959B1" w:rsidRPr="00260457">
        <w:t>not affiliated with any other applicant</w:t>
      </w:r>
      <w:r w:rsidR="002C78A1" w:rsidRPr="00260457">
        <w:t xml:space="preserve"> and whether the applicant is affiliated with an</w:t>
      </w:r>
      <w:r w:rsidR="008610BA" w:rsidRPr="00260457">
        <w:t xml:space="preserve"> existing</w:t>
      </w:r>
      <w:r w:rsidR="00694DF2" w:rsidRPr="00260457">
        <w:t xml:space="preserve"> relevant band</w:t>
      </w:r>
      <w:r w:rsidR="008610BA" w:rsidRPr="00260457">
        <w:t xml:space="preserve"> licensee</w:t>
      </w:r>
      <w:r w:rsidR="00E959B1" w:rsidRPr="00260457">
        <w:t>.</w:t>
      </w:r>
    </w:p>
    <w:p w14:paraId="057D5ED6" w14:textId="7DBEF2E8" w:rsidR="00A01AB2" w:rsidRPr="00260457" w:rsidRDefault="001E1B9E" w:rsidP="001C686D">
      <w:pPr>
        <w:pStyle w:val="ACMABodyText"/>
      </w:pPr>
      <w:r w:rsidRPr="00260457">
        <w:t>Information about existing licensees can be obtained from the ACMA’s Register of Radiocommunications Licences. For the purposes of the Allocation Determination and this form, an ‘existing</w:t>
      </w:r>
      <w:r w:rsidR="00B80DF5">
        <w:t xml:space="preserve"> relevant band</w:t>
      </w:r>
      <w:r w:rsidRPr="00260457">
        <w:t xml:space="preserve"> licensee’ is the licensee of a spectrum licence that authorises the operation of radiocommunications devices in a part or parts of the spectrum from </w:t>
      </w:r>
      <w:r w:rsidR="00BB4490" w:rsidRPr="00260457">
        <w:t>3400</w:t>
      </w:r>
      <w:r w:rsidR="00BB4490">
        <w:t> </w:t>
      </w:r>
      <w:r w:rsidRPr="00260457">
        <w:t xml:space="preserve">MHz to 3700 MHz, or the licensee of a PTS licence for a PMTS Class B service (within the meaning given to those expressions by the </w:t>
      </w:r>
      <w:r w:rsidRPr="002357BD">
        <w:t>Radiocommunications (Interpretation) Determination 2015</w:t>
      </w:r>
      <w:r w:rsidRPr="00260457">
        <w:t>) that authorises the operation of radiocommunications devices in a part or parts of the spectrum from 3400 MHz to 3700 MHz.</w:t>
      </w:r>
    </w:p>
    <w:p w14:paraId="24F21E87" w14:textId="77777777" w:rsidR="00301869" w:rsidRPr="00260457" w:rsidRDefault="00301869" w:rsidP="002357BD">
      <w:pPr>
        <w:pStyle w:val="ACMAHeading3"/>
        <w:spacing w:after="120"/>
      </w:pPr>
      <w:r w:rsidRPr="00260457">
        <w:t>When to make the statutory declaration</w:t>
      </w:r>
    </w:p>
    <w:p w14:paraId="6B70DB3E" w14:textId="2D54328A" w:rsidR="00E959B1" w:rsidRPr="00260457" w:rsidRDefault="00E959B1" w:rsidP="001C686D">
      <w:pPr>
        <w:pStyle w:val="ACMABodyText"/>
        <w:rPr>
          <w:i/>
        </w:rPr>
      </w:pPr>
      <w:r w:rsidRPr="00260457">
        <w:t xml:space="preserve">The statutory declaration must be </w:t>
      </w:r>
      <w:r w:rsidR="00151092" w:rsidRPr="00260457">
        <w:t xml:space="preserve">given to the ACMA </w:t>
      </w:r>
      <w:r w:rsidRPr="00260457">
        <w:t>no later than three working days after the ACMA</w:t>
      </w:r>
      <w:r w:rsidR="001A2B8A" w:rsidRPr="00260457">
        <w:t xml:space="preserve"> </w:t>
      </w:r>
      <w:r w:rsidRPr="00260457">
        <w:t>gives the new applicant the updated details about the identities of all other applicants and</w:t>
      </w:r>
      <w:r w:rsidR="001A2B8A" w:rsidRPr="00260457">
        <w:t xml:space="preserve"> </w:t>
      </w:r>
      <w:r w:rsidRPr="00260457">
        <w:t>the persons identified as their associates (or, if the ACMA agrees to a later time, by the</w:t>
      </w:r>
      <w:r w:rsidR="001A2B8A" w:rsidRPr="00260457">
        <w:t xml:space="preserve"> </w:t>
      </w:r>
      <w:r w:rsidRPr="00260457">
        <w:t>agreed time).</w:t>
      </w:r>
    </w:p>
    <w:p w14:paraId="465B73F5" w14:textId="4D20C5F1" w:rsidR="00301869" w:rsidRPr="00260457" w:rsidRDefault="00301869" w:rsidP="002357BD">
      <w:pPr>
        <w:pStyle w:val="ACMAHeading3"/>
        <w:keepLines/>
        <w:spacing w:after="120"/>
      </w:pPr>
      <w:r w:rsidRPr="00260457">
        <w:lastRenderedPageBreak/>
        <w:t xml:space="preserve">How to </w:t>
      </w:r>
      <w:r w:rsidR="00151092" w:rsidRPr="00260457">
        <w:t xml:space="preserve">give </w:t>
      </w:r>
      <w:r w:rsidRPr="00260457">
        <w:t>the statutory declaration</w:t>
      </w:r>
      <w:r w:rsidR="00151092" w:rsidRPr="00260457">
        <w:t xml:space="preserve"> to the ACMA</w:t>
      </w:r>
    </w:p>
    <w:p w14:paraId="1FCA70C0" w14:textId="488F6D27" w:rsidR="00A01AB2" w:rsidRPr="00260457" w:rsidRDefault="00301869" w:rsidP="002357BD">
      <w:pPr>
        <w:pStyle w:val="ACMABodyText"/>
        <w:keepNext/>
        <w:keepLines/>
        <w:rPr>
          <w:i/>
        </w:rPr>
      </w:pPr>
      <w:r w:rsidRPr="00260457">
        <w:t xml:space="preserve">The statutory declaration must be </w:t>
      </w:r>
      <w:r w:rsidR="00151092" w:rsidRPr="00260457">
        <w:t xml:space="preserve">given to the ACMA </w:t>
      </w:r>
      <w:r w:rsidRPr="00260457">
        <w:t xml:space="preserve">in accordance with the procedures for </w:t>
      </w:r>
      <w:r w:rsidR="00151092" w:rsidRPr="00260457">
        <w:t>giving</w:t>
      </w:r>
      <w:r w:rsidRPr="00260457">
        <w:t xml:space="preserve"> documents </w:t>
      </w:r>
      <w:r w:rsidR="00151092" w:rsidRPr="00260457">
        <w:t xml:space="preserve">to the ACMA </w:t>
      </w:r>
      <w:r w:rsidRPr="00260457">
        <w:t>set out in the Allocation Determination.</w:t>
      </w:r>
    </w:p>
    <w:p w14:paraId="464B67F0" w14:textId="541236A8" w:rsidR="00727206" w:rsidRPr="00260457" w:rsidRDefault="00301869" w:rsidP="002357BD">
      <w:pPr>
        <w:pStyle w:val="ACMABodyText"/>
        <w:keepNext/>
        <w:keepLines/>
      </w:pPr>
      <w:r w:rsidRPr="00260457">
        <w:t>A summary of the procedures (including an email address, fax number and physical address</w:t>
      </w:r>
      <w:r w:rsidR="001A2B8A" w:rsidRPr="00260457">
        <w:t xml:space="preserve"> </w:t>
      </w:r>
      <w:r w:rsidRPr="00260457">
        <w:t xml:space="preserve">for </w:t>
      </w:r>
      <w:r w:rsidR="00151092" w:rsidRPr="00260457">
        <w:t>giving documents to the ACMA</w:t>
      </w:r>
      <w:r w:rsidRPr="00260457">
        <w:t xml:space="preserve">) is provided at the beginning of the </w:t>
      </w:r>
      <w:r w:rsidR="00BB4490" w:rsidRPr="002357BD">
        <w:rPr>
          <w:rFonts w:cs="Arial"/>
          <w:i/>
          <w:iCs/>
        </w:rPr>
        <w:t xml:space="preserve">Auction </w:t>
      </w:r>
      <w:r w:rsidRPr="002357BD">
        <w:rPr>
          <w:rFonts w:cs="Arial"/>
          <w:i/>
          <w:iCs/>
        </w:rPr>
        <w:t>forms</w:t>
      </w:r>
      <w:r w:rsidRPr="00260457">
        <w:rPr>
          <w:rFonts w:cs="Arial"/>
          <w:iCs/>
        </w:rPr>
        <w:t xml:space="preserve"> </w:t>
      </w:r>
      <w:r w:rsidRPr="00260457">
        <w:rPr>
          <w:rFonts w:cs="Arial"/>
        </w:rPr>
        <w:t>booklet. The procedures</w:t>
      </w:r>
      <w:r w:rsidR="001A2B8A" w:rsidRPr="00260457">
        <w:rPr>
          <w:rFonts w:cs="Arial"/>
        </w:rPr>
        <w:t xml:space="preserve"> </w:t>
      </w:r>
      <w:r w:rsidRPr="00260457">
        <w:rPr>
          <w:rFonts w:cs="Arial"/>
        </w:rPr>
        <w:t xml:space="preserve">are also summarised under </w:t>
      </w:r>
      <w:r w:rsidR="00B80DF5">
        <w:rPr>
          <w:rFonts w:cs="Arial"/>
        </w:rPr>
        <w:t xml:space="preserve">the </w:t>
      </w:r>
      <w:r w:rsidR="009B5C5E" w:rsidRPr="00260457">
        <w:t xml:space="preserve">heading </w:t>
      </w:r>
      <w:r w:rsidR="00B80DF5">
        <w:t>‘Giving documents to the ACMA’</w:t>
      </w:r>
      <w:r w:rsidR="009B5C5E" w:rsidRPr="00260457">
        <w:t xml:space="preserve"> </w:t>
      </w:r>
      <w:r w:rsidRPr="00260457">
        <w:rPr>
          <w:rFonts w:cs="Arial"/>
        </w:rPr>
        <w:t xml:space="preserve">in the </w:t>
      </w:r>
      <w:r w:rsidRPr="00260457">
        <w:rPr>
          <w:rFonts w:cs="Arial"/>
          <w:i/>
          <w:iCs/>
        </w:rPr>
        <w:t xml:space="preserve">Auction </w:t>
      </w:r>
      <w:r w:rsidR="001F3506" w:rsidRPr="00260457">
        <w:rPr>
          <w:rFonts w:cs="Arial"/>
          <w:i/>
          <w:iCs/>
        </w:rPr>
        <w:t>g</w:t>
      </w:r>
      <w:r w:rsidRPr="00260457">
        <w:rPr>
          <w:rFonts w:cs="Arial"/>
          <w:i/>
          <w:iCs/>
        </w:rPr>
        <w:t>uide</w:t>
      </w:r>
      <w:r w:rsidRPr="00260457">
        <w:rPr>
          <w:rFonts w:cs="Arial"/>
        </w:rPr>
        <w:t>.</w:t>
      </w:r>
      <w:r w:rsidRPr="00260457">
        <w:t xml:space="preserve"> The procedures contain</w:t>
      </w:r>
      <w:r w:rsidR="001A2B8A" w:rsidRPr="00260457">
        <w:t xml:space="preserve"> </w:t>
      </w:r>
      <w:r w:rsidRPr="00260457">
        <w:t>specific</w:t>
      </w:r>
      <w:r w:rsidR="001A2B8A" w:rsidRPr="00260457">
        <w:t xml:space="preserve"> </w:t>
      </w:r>
      <w:r w:rsidRPr="00260457">
        <w:t xml:space="preserve">requirements where a document is </w:t>
      </w:r>
      <w:r w:rsidR="00151092" w:rsidRPr="00260457">
        <w:t xml:space="preserve">given </w:t>
      </w:r>
      <w:r w:rsidRPr="00260457">
        <w:t>by email or fax.</w:t>
      </w:r>
    </w:p>
    <w:p w14:paraId="1451FF4E" w14:textId="0BF46462" w:rsidR="00301869" w:rsidRPr="00260457" w:rsidRDefault="00301869" w:rsidP="002357BD">
      <w:pPr>
        <w:pStyle w:val="ACMAHeading3"/>
        <w:spacing w:after="120"/>
      </w:pPr>
      <w:r w:rsidRPr="00260457">
        <w:t>Who should make the statutory declaration</w:t>
      </w:r>
      <w:r w:rsidR="001E1568" w:rsidRPr="00260457">
        <w:t>?</w:t>
      </w:r>
    </w:p>
    <w:p w14:paraId="4E7DFE6A" w14:textId="2CA58179" w:rsidR="00B955FA" w:rsidRPr="00260457" w:rsidRDefault="00E725D8" w:rsidP="001C686D">
      <w:pPr>
        <w:pStyle w:val="ACMABodyText"/>
      </w:pPr>
      <w:r w:rsidRPr="00260457">
        <w:t xml:space="preserve">As the </w:t>
      </w:r>
      <w:r w:rsidR="00301869" w:rsidRPr="00260457">
        <w:t xml:space="preserve">statutory declaration </w:t>
      </w:r>
      <w:r w:rsidRPr="00260457">
        <w:t xml:space="preserve">must be made by </w:t>
      </w:r>
      <w:r w:rsidR="00301869" w:rsidRPr="00260457">
        <w:t>an applicant that is a body corporate,</w:t>
      </w:r>
      <w:r w:rsidR="001A2B8A" w:rsidRPr="00260457">
        <w:t xml:space="preserve"> </w:t>
      </w:r>
      <w:r w:rsidR="00301869" w:rsidRPr="00260457">
        <w:t>it must be made by a director or secretary of the body corporate.</w:t>
      </w:r>
    </w:p>
    <w:p w14:paraId="22573AD2" w14:textId="2A42CF3A" w:rsidR="00301869" w:rsidRPr="00260457" w:rsidRDefault="00301869" w:rsidP="002357BD">
      <w:pPr>
        <w:pStyle w:val="ACMAHeading3"/>
        <w:keepLines/>
        <w:spacing w:after="120"/>
        <w:rPr>
          <w:rFonts w:ascii="HelveticaNeueLTStd-Hv" w:hAnsi="HelveticaNeueLTStd-Hv" w:cs="HelveticaNeueLTStd-Hv"/>
          <w:b w:val="0"/>
          <w:i/>
          <w:color w:val="000000"/>
        </w:rPr>
      </w:pPr>
      <w:r w:rsidRPr="00260457">
        <w:t>Who can witness the statutory declaration</w:t>
      </w:r>
      <w:r w:rsidR="001E1568" w:rsidRPr="00260457">
        <w:t>?</w:t>
      </w:r>
    </w:p>
    <w:p w14:paraId="5F8BCBE5" w14:textId="552F893E" w:rsidR="00151092" w:rsidRPr="00260457" w:rsidRDefault="00151092" w:rsidP="00151092">
      <w:pPr>
        <w:pStyle w:val="ACMABodyText"/>
        <w:spacing w:after="80"/>
        <w:rPr>
          <w:i/>
        </w:rPr>
      </w:pPr>
      <w:r w:rsidRPr="00260457">
        <w:t xml:space="preserve">A statutory declaration </w:t>
      </w:r>
      <w:r w:rsidR="005F2EEE" w:rsidRPr="00260457">
        <w:t xml:space="preserve">made </w:t>
      </w:r>
      <w:r w:rsidRPr="00260457">
        <w:rPr>
          <w:rFonts w:cs="Arial"/>
        </w:rPr>
        <w:t xml:space="preserve">under the </w:t>
      </w:r>
      <w:r w:rsidRPr="00260457">
        <w:rPr>
          <w:rFonts w:cs="Arial"/>
          <w:i/>
          <w:iCs/>
        </w:rPr>
        <w:t>Statutory Declarations Act 1959</w:t>
      </w:r>
      <w:r w:rsidRPr="00260457">
        <w:rPr>
          <w:rFonts w:cs="Arial"/>
          <w:iCs/>
        </w:rPr>
        <w:t xml:space="preserve"> </w:t>
      </w:r>
      <w:r w:rsidR="006C608E" w:rsidRPr="00260457">
        <w:rPr>
          <w:rFonts w:cs="Arial"/>
        </w:rPr>
        <w:t>must</w:t>
      </w:r>
      <w:r w:rsidRPr="00260457">
        <w:t xml:space="preserve"> be made before:</w:t>
      </w:r>
    </w:p>
    <w:p w14:paraId="4D4CC71D" w14:textId="580A734A" w:rsidR="001C686D" w:rsidRPr="002357BD" w:rsidRDefault="001C686D" w:rsidP="00004B53">
      <w:pPr>
        <w:pStyle w:val="ListNumber"/>
        <w:keepNext/>
        <w:keepLines/>
        <w:numPr>
          <w:ilvl w:val="0"/>
          <w:numId w:val="24"/>
        </w:numPr>
        <w:ind w:left="426" w:hanging="426"/>
        <w:rPr>
          <w:i/>
        </w:rPr>
      </w:pPr>
      <w:r w:rsidRPr="002357BD">
        <w:t>a person who</w:t>
      </w:r>
      <w:r w:rsidR="00DF36D8" w:rsidRPr="002357BD">
        <w:t>, under a law in force in a State or Territory,</w:t>
      </w:r>
      <w:r w:rsidRPr="002357BD">
        <w:t xml:space="preserve"> is currently licensed or registered to practise in one of the following occupations:</w:t>
      </w:r>
    </w:p>
    <w:p w14:paraId="157F889E" w14:textId="77777777" w:rsidR="001C686D" w:rsidRPr="00260457" w:rsidRDefault="001C686D" w:rsidP="00004B53">
      <w:pPr>
        <w:pStyle w:val="ListBullet2"/>
        <w:keepNext/>
        <w:keepLines/>
        <w:rPr>
          <w:i/>
        </w:rPr>
      </w:pPr>
      <w:r w:rsidRPr="00260457">
        <w:t>Chiropractor</w:t>
      </w:r>
    </w:p>
    <w:p w14:paraId="58A8CA26" w14:textId="77777777" w:rsidR="001C686D" w:rsidRPr="00260457" w:rsidRDefault="001C686D" w:rsidP="00004B53">
      <w:pPr>
        <w:pStyle w:val="ListBullet2"/>
        <w:keepNext/>
        <w:keepLines/>
        <w:rPr>
          <w:i/>
        </w:rPr>
      </w:pPr>
      <w:r w:rsidRPr="00260457">
        <w:t>Dentist</w:t>
      </w:r>
    </w:p>
    <w:p w14:paraId="5E5FE8D9" w14:textId="77777777" w:rsidR="001C686D" w:rsidRPr="00260457" w:rsidRDefault="001C686D" w:rsidP="00004B53">
      <w:pPr>
        <w:pStyle w:val="ListBullet2"/>
        <w:keepNext/>
        <w:keepLines/>
        <w:rPr>
          <w:i/>
        </w:rPr>
      </w:pPr>
      <w:r w:rsidRPr="00260457">
        <w:t>Legal practitioner</w:t>
      </w:r>
    </w:p>
    <w:p w14:paraId="2074ACE4" w14:textId="77777777" w:rsidR="001C686D" w:rsidRPr="00260457" w:rsidRDefault="001C686D" w:rsidP="00004B53">
      <w:pPr>
        <w:pStyle w:val="ListBullet2"/>
        <w:keepNext/>
        <w:keepLines/>
        <w:rPr>
          <w:i/>
        </w:rPr>
      </w:pPr>
      <w:r w:rsidRPr="00260457">
        <w:t>Medical practitioner</w:t>
      </w:r>
    </w:p>
    <w:p w14:paraId="37197B6C" w14:textId="77777777" w:rsidR="001C686D" w:rsidRPr="00260457" w:rsidRDefault="001C686D" w:rsidP="001C686D">
      <w:pPr>
        <w:pStyle w:val="ListBullet2"/>
        <w:rPr>
          <w:i/>
        </w:rPr>
      </w:pPr>
      <w:r w:rsidRPr="00260457">
        <w:t>Nurse</w:t>
      </w:r>
    </w:p>
    <w:p w14:paraId="67A0BAD8" w14:textId="77777777" w:rsidR="001C686D" w:rsidRPr="00260457" w:rsidRDefault="001C686D" w:rsidP="001C686D">
      <w:pPr>
        <w:pStyle w:val="ListBullet2"/>
        <w:rPr>
          <w:i/>
        </w:rPr>
      </w:pPr>
      <w:r w:rsidRPr="00260457">
        <w:t>Optometrist</w:t>
      </w:r>
    </w:p>
    <w:p w14:paraId="1C2CDDCB" w14:textId="77777777" w:rsidR="001C686D" w:rsidRPr="00260457" w:rsidRDefault="001C686D" w:rsidP="001C686D">
      <w:pPr>
        <w:pStyle w:val="ListBullet2"/>
        <w:rPr>
          <w:i/>
        </w:rPr>
      </w:pPr>
      <w:r w:rsidRPr="00260457">
        <w:t>Patent attorney</w:t>
      </w:r>
    </w:p>
    <w:p w14:paraId="004568C0" w14:textId="77777777" w:rsidR="001C686D" w:rsidRPr="00260457" w:rsidRDefault="001C686D" w:rsidP="001C686D">
      <w:pPr>
        <w:pStyle w:val="ListBullet2"/>
        <w:rPr>
          <w:i/>
        </w:rPr>
      </w:pPr>
      <w:r w:rsidRPr="00260457">
        <w:t>Pharmacist</w:t>
      </w:r>
    </w:p>
    <w:p w14:paraId="01D0437A" w14:textId="77777777" w:rsidR="001C686D" w:rsidRPr="00260457" w:rsidRDefault="001C686D" w:rsidP="001C686D">
      <w:pPr>
        <w:pStyle w:val="ListBullet2"/>
        <w:rPr>
          <w:i/>
        </w:rPr>
      </w:pPr>
      <w:r w:rsidRPr="00260457">
        <w:t>Physiotherapist</w:t>
      </w:r>
    </w:p>
    <w:p w14:paraId="2DB95BDE" w14:textId="77777777" w:rsidR="001C686D" w:rsidRPr="00260457" w:rsidRDefault="001C686D" w:rsidP="001C686D">
      <w:pPr>
        <w:pStyle w:val="ListBullet2"/>
        <w:rPr>
          <w:i/>
        </w:rPr>
      </w:pPr>
      <w:r w:rsidRPr="00260457">
        <w:t>Psychologist</w:t>
      </w:r>
    </w:p>
    <w:p w14:paraId="3B060C82" w14:textId="7291971E" w:rsidR="001C686D" w:rsidRPr="00260457" w:rsidRDefault="001C686D" w:rsidP="001C686D">
      <w:pPr>
        <w:pStyle w:val="ListBullet2"/>
        <w:rPr>
          <w:i/>
        </w:rPr>
      </w:pPr>
      <w:r w:rsidRPr="00260457">
        <w:t>Trade</w:t>
      </w:r>
      <w:r w:rsidR="001E1B9E" w:rsidRPr="00260457">
        <w:t xml:space="preserve"> </w:t>
      </w:r>
      <w:r w:rsidRPr="00260457">
        <w:t>marks attorney</w:t>
      </w:r>
    </w:p>
    <w:p w14:paraId="721AAC01" w14:textId="53728A90" w:rsidR="001C686D" w:rsidRPr="00260457" w:rsidRDefault="001C686D" w:rsidP="001C686D">
      <w:pPr>
        <w:pStyle w:val="ListBullet2"/>
        <w:spacing w:after="240"/>
        <w:rPr>
          <w:i/>
        </w:rPr>
      </w:pPr>
      <w:r w:rsidRPr="00260457">
        <w:t>Veterinary surgeon</w:t>
      </w:r>
    </w:p>
    <w:p w14:paraId="5335A74A" w14:textId="23F5B6C0" w:rsidR="008F492C" w:rsidRPr="002357BD" w:rsidRDefault="001C686D" w:rsidP="00004B53">
      <w:pPr>
        <w:pStyle w:val="ListNumber"/>
        <w:numPr>
          <w:ilvl w:val="0"/>
          <w:numId w:val="24"/>
        </w:numPr>
        <w:spacing w:after="240"/>
        <w:ind w:left="425" w:hanging="425"/>
        <w:rPr>
          <w:i/>
        </w:rPr>
      </w:pPr>
      <w:r w:rsidRPr="002357BD">
        <w:t>a person who is enrolled on the roll of the Supreme Court of a State or Territory, or the High Court of Australia, as a legal practitioner (however described); or</w:t>
      </w:r>
      <w:r w:rsidR="000D3BEA" w:rsidRPr="002357BD">
        <w:t xml:space="preserve"> </w:t>
      </w:r>
    </w:p>
    <w:p w14:paraId="7E9FC4AA" w14:textId="77777777" w:rsidR="001C686D" w:rsidRPr="002357BD" w:rsidRDefault="001C686D" w:rsidP="00004B53">
      <w:pPr>
        <w:pStyle w:val="ListNumber"/>
        <w:numPr>
          <w:ilvl w:val="0"/>
          <w:numId w:val="24"/>
        </w:numPr>
        <w:ind w:left="426" w:hanging="426"/>
        <w:rPr>
          <w:i/>
        </w:rPr>
      </w:pPr>
      <w:r w:rsidRPr="002357BD">
        <w:t>a person who is in the following list:</w:t>
      </w:r>
    </w:p>
    <w:p w14:paraId="52489E4D" w14:textId="77777777" w:rsidR="001C686D" w:rsidRPr="00260457" w:rsidRDefault="001C686D" w:rsidP="001C686D">
      <w:pPr>
        <w:pStyle w:val="ListBullet2"/>
        <w:rPr>
          <w:i/>
        </w:rPr>
      </w:pPr>
      <w:r w:rsidRPr="00260457">
        <w:t>Agent of the Australian Postal Corporation who is in charge of an office supplying postal services to the public</w:t>
      </w:r>
    </w:p>
    <w:p w14:paraId="46EDC338" w14:textId="77777777" w:rsidR="001C686D" w:rsidRPr="00260457" w:rsidRDefault="001C686D" w:rsidP="001C686D">
      <w:pPr>
        <w:pStyle w:val="ListBullet2"/>
      </w:pPr>
      <w:r w:rsidRPr="00260457">
        <w:t xml:space="preserve">Australian Consular Officer or Australian Diplomatic Officer (within the meaning of the </w:t>
      </w:r>
      <w:r w:rsidRPr="00260457">
        <w:rPr>
          <w:rFonts w:cs="Arial"/>
          <w:i/>
          <w:iCs/>
        </w:rPr>
        <w:t>Consular Fees Act 1955</w:t>
      </w:r>
      <w:r w:rsidRPr="00260457">
        <w:rPr>
          <w:rFonts w:cs="Arial"/>
        </w:rPr>
        <w:t>)</w:t>
      </w:r>
    </w:p>
    <w:p w14:paraId="2A670D9E" w14:textId="77777777" w:rsidR="001C686D" w:rsidRPr="00260457" w:rsidRDefault="001C686D" w:rsidP="001C686D">
      <w:pPr>
        <w:pStyle w:val="ListBullet2"/>
        <w:rPr>
          <w:i/>
        </w:rPr>
      </w:pPr>
      <w:r w:rsidRPr="00260457">
        <w:t>Bailiff</w:t>
      </w:r>
    </w:p>
    <w:p w14:paraId="4E822ACF" w14:textId="5FE8325C" w:rsidR="001C686D" w:rsidRPr="00260457" w:rsidRDefault="001C686D" w:rsidP="001C686D">
      <w:pPr>
        <w:pStyle w:val="ListBullet2"/>
        <w:rPr>
          <w:i/>
        </w:rPr>
      </w:pPr>
      <w:r w:rsidRPr="00260457">
        <w:t xml:space="preserve">Bank officer with five or more years of </w:t>
      </w:r>
      <w:r w:rsidR="0062094A" w:rsidRPr="00260457">
        <w:t xml:space="preserve">continuous </w:t>
      </w:r>
      <w:r w:rsidRPr="00260457">
        <w:t>service</w:t>
      </w:r>
    </w:p>
    <w:p w14:paraId="72B11AD1" w14:textId="77777777" w:rsidR="001C686D" w:rsidRPr="00260457" w:rsidRDefault="001C686D" w:rsidP="001C686D">
      <w:pPr>
        <w:pStyle w:val="ListBullet2"/>
        <w:rPr>
          <w:i/>
        </w:rPr>
      </w:pPr>
      <w:r w:rsidRPr="00260457">
        <w:t>Building society officer with five or more years of continuous service</w:t>
      </w:r>
    </w:p>
    <w:p w14:paraId="0F5EB90B" w14:textId="77777777" w:rsidR="001C686D" w:rsidRPr="00260457" w:rsidRDefault="001C686D" w:rsidP="001C686D">
      <w:pPr>
        <w:pStyle w:val="ListBullet2"/>
        <w:rPr>
          <w:i/>
        </w:rPr>
      </w:pPr>
      <w:r w:rsidRPr="00260457">
        <w:t>Chief executive officer of a Commonwealth court</w:t>
      </w:r>
    </w:p>
    <w:p w14:paraId="3FED8AE0" w14:textId="77777777" w:rsidR="001C686D" w:rsidRPr="00260457" w:rsidRDefault="001C686D" w:rsidP="001C686D">
      <w:pPr>
        <w:pStyle w:val="ListBullet2"/>
        <w:rPr>
          <w:i/>
        </w:rPr>
      </w:pPr>
      <w:r w:rsidRPr="00260457">
        <w:lastRenderedPageBreak/>
        <w:t>Clerk of a court</w:t>
      </w:r>
    </w:p>
    <w:p w14:paraId="16F58FD7" w14:textId="77777777" w:rsidR="001C686D" w:rsidRPr="00260457" w:rsidRDefault="001C686D" w:rsidP="001C686D">
      <w:pPr>
        <w:pStyle w:val="ListBullet2"/>
        <w:rPr>
          <w:i/>
        </w:rPr>
      </w:pPr>
      <w:r w:rsidRPr="00260457">
        <w:t>Commissioner for Affidavits</w:t>
      </w:r>
    </w:p>
    <w:p w14:paraId="659BE420" w14:textId="77777777" w:rsidR="001C686D" w:rsidRPr="00260457" w:rsidRDefault="001C686D" w:rsidP="001C686D">
      <w:pPr>
        <w:pStyle w:val="ListBullet2"/>
        <w:rPr>
          <w:i/>
        </w:rPr>
      </w:pPr>
      <w:r w:rsidRPr="00260457">
        <w:t>Commissioner for Declarations</w:t>
      </w:r>
    </w:p>
    <w:p w14:paraId="288B823B" w14:textId="77777777" w:rsidR="001C686D" w:rsidRPr="00260457" w:rsidRDefault="001C686D" w:rsidP="001C686D">
      <w:pPr>
        <w:pStyle w:val="ListBullet2"/>
        <w:rPr>
          <w:i/>
        </w:rPr>
      </w:pPr>
      <w:r w:rsidRPr="00260457">
        <w:t>Credit union officer with five or more years of continuous service</w:t>
      </w:r>
    </w:p>
    <w:p w14:paraId="0B0FECC6" w14:textId="23320829" w:rsidR="001C686D" w:rsidRPr="00260457" w:rsidRDefault="001C686D" w:rsidP="001C686D">
      <w:pPr>
        <w:pStyle w:val="ListBullet2"/>
        <w:rPr>
          <w:i/>
        </w:rPr>
      </w:pPr>
      <w:r w:rsidRPr="00260457">
        <w:t xml:space="preserve">Employee of the Australian Trade </w:t>
      </w:r>
      <w:r w:rsidR="005D1913" w:rsidRPr="00260457">
        <w:t xml:space="preserve">and Investment </w:t>
      </w:r>
      <w:r w:rsidRPr="00260457">
        <w:t>Commission who is:</w:t>
      </w:r>
    </w:p>
    <w:p w14:paraId="7CFB2B83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in a country or place outside Australia; and</w:t>
      </w:r>
    </w:p>
    <w:p w14:paraId="4AC13AA6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 xml:space="preserve">authorised under paragraph 3(d) of the </w:t>
      </w:r>
      <w:r w:rsidRPr="00260457">
        <w:rPr>
          <w:i/>
        </w:rPr>
        <w:t>Consular Fees Act 1955</w:t>
      </w:r>
      <w:r w:rsidRPr="00260457">
        <w:t>; and</w:t>
      </w:r>
    </w:p>
    <w:p w14:paraId="71F3C818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exercising his or her function in that place</w:t>
      </w:r>
    </w:p>
    <w:p w14:paraId="30504019" w14:textId="77777777" w:rsidR="001C686D" w:rsidRPr="00260457" w:rsidRDefault="001C686D" w:rsidP="001C686D">
      <w:pPr>
        <w:pStyle w:val="ListBullet2"/>
        <w:rPr>
          <w:i/>
        </w:rPr>
      </w:pPr>
      <w:r w:rsidRPr="00260457">
        <w:t>Employee of the Commonwealth who is:</w:t>
      </w:r>
    </w:p>
    <w:p w14:paraId="11B7D0D5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in a country or place outside Australia; and</w:t>
      </w:r>
    </w:p>
    <w:p w14:paraId="53D3355F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 xml:space="preserve">authorised under paragraph 3(c) of the </w:t>
      </w:r>
      <w:r w:rsidRPr="00260457">
        <w:rPr>
          <w:i/>
        </w:rPr>
        <w:t>Consular Fees Act 1955</w:t>
      </w:r>
      <w:r w:rsidRPr="00260457">
        <w:t>; and</w:t>
      </w:r>
    </w:p>
    <w:p w14:paraId="68B36DFA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exercising his or her function in that place</w:t>
      </w:r>
    </w:p>
    <w:p w14:paraId="468F0250" w14:textId="77777777" w:rsidR="001C686D" w:rsidRPr="00260457" w:rsidRDefault="001C686D" w:rsidP="001C686D">
      <w:pPr>
        <w:pStyle w:val="ListBullet2"/>
      </w:pPr>
      <w:r w:rsidRPr="00260457">
        <w:t>Fellow of the National Tax Accountants’ Association</w:t>
      </w:r>
    </w:p>
    <w:p w14:paraId="77587F84" w14:textId="77777777" w:rsidR="001C686D" w:rsidRPr="00260457" w:rsidRDefault="001C686D" w:rsidP="001C686D">
      <w:pPr>
        <w:pStyle w:val="ListBullet2"/>
      </w:pPr>
      <w:r w:rsidRPr="00260457">
        <w:t>Finance company officer with five or more years of continuous service</w:t>
      </w:r>
    </w:p>
    <w:p w14:paraId="1920DD99" w14:textId="77777777" w:rsidR="001C686D" w:rsidRPr="00260457" w:rsidRDefault="001C686D" w:rsidP="001C686D">
      <w:pPr>
        <w:pStyle w:val="ListBullet2"/>
      </w:pPr>
      <w:r w:rsidRPr="00260457">
        <w:t>Holder of a statutory office not specified in another item in this list</w:t>
      </w:r>
    </w:p>
    <w:p w14:paraId="1CE1E6C3" w14:textId="77777777" w:rsidR="001C686D" w:rsidRPr="00260457" w:rsidRDefault="001C686D" w:rsidP="001C686D">
      <w:pPr>
        <w:pStyle w:val="ListBullet2"/>
      </w:pPr>
      <w:r w:rsidRPr="00260457">
        <w:t>Judge of a court</w:t>
      </w:r>
    </w:p>
    <w:p w14:paraId="215E98D0" w14:textId="77777777" w:rsidR="001C686D" w:rsidRPr="00260457" w:rsidRDefault="001C686D" w:rsidP="001C686D">
      <w:pPr>
        <w:pStyle w:val="ListBullet2"/>
      </w:pPr>
      <w:r w:rsidRPr="00260457">
        <w:t>Justice of the Peace</w:t>
      </w:r>
    </w:p>
    <w:p w14:paraId="45193276" w14:textId="77777777" w:rsidR="001C686D" w:rsidRPr="00260457" w:rsidRDefault="001C686D" w:rsidP="001C686D">
      <w:pPr>
        <w:pStyle w:val="ListBullet2"/>
      </w:pPr>
      <w:r w:rsidRPr="00260457">
        <w:t>Magistrate</w:t>
      </w:r>
    </w:p>
    <w:p w14:paraId="72B1BCF8" w14:textId="77777777" w:rsidR="001C686D" w:rsidRPr="00260457" w:rsidRDefault="001C686D" w:rsidP="001C686D">
      <w:pPr>
        <w:pStyle w:val="ListBullet2"/>
      </w:pPr>
      <w:r w:rsidRPr="00260457">
        <w:t xml:space="preserve">Marriage celebrant registered under Subdivision C of Division 1 of Part IV of the </w:t>
      </w:r>
      <w:r w:rsidRPr="00260457">
        <w:rPr>
          <w:i/>
        </w:rPr>
        <w:t>Marriage Act 1961</w:t>
      </w:r>
    </w:p>
    <w:p w14:paraId="27AB69B6" w14:textId="77777777" w:rsidR="001C686D" w:rsidRPr="00260457" w:rsidRDefault="001C686D" w:rsidP="001C686D">
      <w:pPr>
        <w:pStyle w:val="ListBullet2"/>
      </w:pPr>
      <w:r w:rsidRPr="00260457">
        <w:t>Master of a court</w:t>
      </w:r>
    </w:p>
    <w:p w14:paraId="76032914" w14:textId="77777777" w:rsidR="001C686D" w:rsidRPr="00260457" w:rsidRDefault="001C686D" w:rsidP="001C686D">
      <w:pPr>
        <w:pStyle w:val="ListBullet2"/>
      </w:pPr>
      <w:r w:rsidRPr="00260457">
        <w:t>Member of Chartered Secretaries Australia</w:t>
      </w:r>
    </w:p>
    <w:p w14:paraId="724BECC8" w14:textId="77777777" w:rsidR="001C686D" w:rsidRPr="00260457" w:rsidRDefault="001C686D" w:rsidP="001C686D">
      <w:pPr>
        <w:pStyle w:val="ListBullet2"/>
      </w:pPr>
      <w:r w:rsidRPr="00260457">
        <w:t>Member of Engineers Australia, other than at the grade of student</w:t>
      </w:r>
    </w:p>
    <w:p w14:paraId="65C7B30F" w14:textId="77777777" w:rsidR="001C686D" w:rsidRPr="00260457" w:rsidRDefault="001C686D" w:rsidP="001C686D">
      <w:pPr>
        <w:pStyle w:val="ListBullet2"/>
      </w:pPr>
      <w:r w:rsidRPr="00260457">
        <w:t>Member of the Association of Taxation and Management Accountants</w:t>
      </w:r>
    </w:p>
    <w:p w14:paraId="392D30C6" w14:textId="77777777" w:rsidR="001C686D" w:rsidRPr="00260457" w:rsidRDefault="001C686D" w:rsidP="001C686D">
      <w:pPr>
        <w:pStyle w:val="ListBullet2"/>
      </w:pPr>
      <w:r w:rsidRPr="00260457">
        <w:t>Member of the Australian Defence Force who is:</w:t>
      </w:r>
    </w:p>
    <w:p w14:paraId="15B4EC1B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an officer; or</w:t>
      </w:r>
    </w:p>
    <w:p w14:paraId="58D288EC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 xml:space="preserve">a non-commissioned officer within the meaning of the </w:t>
      </w:r>
      <w:r w:rsidRPr="00260457">
        <w:rPr>
          <w:i/>
        </w:rPr>
        <w:t>Defence Force Discipline Act 1982</w:t>
      </w:r>
      <w:r w:rsidRPr="00260457">
        <w:t xml:space="preserve"> with five or more years of continuous service; or</w:t>
      </w:r>
    </w:p>
    <w:p w14:paraId="1FDB99A8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a warrant officer within the meaning of that Act</w:t>
      </w:r>
    </w:p>
    <w:p w14:paraId="46A2864A" w14:textId="77777777" w:rsidR="001C686D" w:rsidRPr="00260457" w:rsidRDefault="001C686D" w:rsidP="001C686D">
      <w:pPr>
        <w:pStyle w:val="ListBullet2"/>
      </w:pPr>
      <w:r w:rsidRPr="00260457">
        <w:t>Member of the Institute of Chartered Accountants in Australia, the Australian Society of Certified Practising Accountants or the Institute of Public Accountants</w:t>
      </w:r>
    </w:p>
    <w:p w14:paraId="6406B0ED" w14:textId="77777777" w:rsidR="001C686D" w:rsidRPr="00260457" w:rsidRDefault="001C686D" w:rsidP="001C686D">
      <w:pPr>
        <w:pStyle w:val="ListBullet2"/>
      </w:pPr>
      <w:r w:rsidRPr="00260457">
        <w:t>Member of:</w:t>
      </w:r>
    </w:p>
    <w:p w14:paraId="6FBE7173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the Parliament of the Commonwealth; or</w:t>
      </w:r>
    </w:p>
    <w:p w14:paraId="7813448E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the Parliament of a State; or</w:t>
      </w:r>
    </w:p>
    <w:p w14:paraId="1639FE7D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a Territory legislature; or</w:t>
      </w:r>
    </w:p>
    <w:p w14:paraId="49E4C179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a local government authority of a State or Territory</w:t>
      </w:r>
    </w:p>
    <w:p w14:paraId="67DF2468" w14:textId="77777777" w:rsidR="001C686D" w:rsidRPr="00260457" w:rsidRDefault="001C686D" w:rsidP="001C686D">
      <w:pPr>
        <w:pStyle w:val="ListBullet2"/>
      </w:pPr>
      <w:r w:rsidRPr="00260457">
        <w:lastRenderedPageBreak/>
        <w:t xml:space="preserve">Minister of religion registered under Subdivision A of Division 1 of Part IV of the </w:t>
      </w:r>
      <w:r w:rsidRPr="00260457">
        <w:rPr>
          <w:i/>
        </w:rPr>
        <w:t>Marriage Act 1961</w:t>
      </w:r>
    </w:p>
    <w:p w14:paraId="7684A7BC" w14:textId="77777777" w:rsidR="001C686D" w:rsidRPr="00260457" w:rsidRDefault="001C686D" w:rsidP="001C686D">
      <w:pPr>
        <w:pStyle w:val="ListBullet2"/>
      </w:pPr>
      <w:r w:rsidRPr="00260457">
        <w:t>Notary public</w:t>
      </w:r>
    </w:p>
    <w:p w14:paraId="5A23BE19" w14:textId="77777777" w:rsidR="001C686D" w:rsidRPr="00260457" w:rsidRDefault="001C686D" w:rsidP="001C686D">
      <w:pPr>
        <w:pStyle w:val="ListBullet2"/>
      </w:pPr>
      <w:r w:rsidRPr="00260457">
        <w:t>Permanent employee of the Australian Postal Corporation with five or more years of continuous service who is employed in an office supplying postal services to the public</w:t>
      </w:r>
    </w:p>
    <w:p w14:paraId="2840A704" w14:textId="77777777" w:rsidR="001C686D" w:rsidRPr="00260457" w:rsidRDefault="001C686D" w:rsidP="002357BD">
      <w:pPr>
        <w:pStyle w:val="ListBullet2"/>
        <w:keepNext/>
        <w:keepLines/>
      </w:pPr>
      <w:r w:rsidRPr="00260457">
        <w:t>Permanent employee of:</w:t>
      </w:r>
    </w:p>
    <w:p w14:paraId="53540770" w14:textId="77777777" w:rsidR="001C686D" w:rsidRPr="00260457" w:rsidRDefault="001C686D" w:rsidP="002357BD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260457">
        <w:t>the Commonwealth or a Commonwealth authority; or</w:t>
      </w:r>
    </w:p>
    <w:p w14:paraId="59AE3C5C" w14:textId="77777777" w:rsidR="001C686D" w:rsidRPr="00260457" w:rsidRDefault="001C686D" w:rsidP="002357BD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260457">
        <w:t>a State or Territory, or a State or Territory authority; or</w:t>
      </w:r>
    </w:p>
    <w:p w14:paraId="7E645768" w14:textId="77777777" w:rsidR="00DF36D8" w:rsidRPr="00260457" w:rsidRDefault="001C686D" w:rsidP="002357BD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260457">
        <w:t>a local government authority;</w:t>
      </w:r>
    </w:p>
    <w:p w14:paraId="0C4E8C1D" w14:textId="2470A790" w:rsidR="001C686D" w:rsidRPr="00260457" w:rsidRDefault="001C686D" w:rsidP="002357BD">
      <w:pPr>
        <w:pStyle w:val="ListBullet2"/>
        <w:keepNext/>
        <w:keepLines/>
        <w:numPr>
          <w:ilvl w:val="0"/>
          <w:numId w:val="0"/>
        </w:numPr>
        <w:ind w:left="874"/>
      </w:pPr>
      <w:r w:rsidRPr="00260457">
        <w:t>with five or more years of continuous service who is not specified in another item in this list</w:t>
      </w:r>
    </w:p>
    <w:p w14:paraId="3C61DD39" w14:textId="77777777" w:rsidR="001C686D" w:rsidRPr="00260457" w:rsidRDefault="001C686D" w:rsidP="001C686D">
      <w:pPr>
        <w:pStyle w:val="ListBullet2"/>
      </w:pPr>
      <w:r w:rsidRPr="00260457">
        <w:t>Person before whom a statutory declaration may be made under the law of the State or Territory in which the declaration is made</w:t>
      </w:r>
    </w:p>
    <w:p w14:paraId="11709F63" w14:textId="77777777" w:rsidR="001C686D" w:rsidRPr="00260457" w:rsidRDefault="001C686D" w:rsidP="001C686D">
      <w:pPr>
        <w:pStyle w:val="ListBullet2"/>
      </w:pPr>
      <w:r w:rsidRPr="00260457">
        <w:t>Police officer</w:t>
      </w:r>
    </w:p>
    <w:p w14:paraId="289F5DFA" w14:textId="77777777" w:rsidR="001C686D" w:rsidRPr="00260457" w:rsidRDefault="001C686D" w:rsidP="001C686D">
      <w:pPr>
        <w:pStyle w:val="ListBullet2"/>
      </w:pPr>
      <w:r w:rsidRPr="00260457">
        <w:t>Registrar, or Deputy Registrar, of a court</w:t>
      </w:r>
    </w:p>
    <w:p w14:paraId="04E4FE77" w14:textId="77777777" w:rsidR="001C686D" w:rsidRPr="00260457" w:rsidRDefault="001C686D" w:rsidP="001C686D">
      <w:pPr>
        <w:pStyle w:val="ListBullet2"/>
      </w:pPr>
      <w:r w:rsidRPr="00260457">
        <w:t>Senior Executive Service employee of:</w:t>
      </w:r>
    </w:p>
    <w:p w14:paraId="6002C903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the Commonwealth or a Commonwealth authority; or</w:t>
      </w:r>
    </w:p>
    <w:p w14:paraId="65E65141" w14:textId="77777777" w:rsidR="001C686D" w:rsidRPr="00260457" w:rsidRDefault="001C686D" w:rsidP="001C686D">
      <w:pPr>
        <w:pStyle w:val="ListBullet2"/>
        <w:tabs>
          <w:tab w:val="clear" w:pos="845"/>
          <w:tab w:val="num" w:pos="1418"/>
        </w:tabs>
        <w:ind w:left="1418"/>
      </w:pPr>
      <w:r w:rsidRPr="00260457">
        <w:t>a State or Territory, or a State or Territory authority</w:t>
      </w:r>
    </w:p>
    <w:p w14:paraId="4FC80A4C" w14:textId="77777777" w:rsidR="001C686D" w:rsidRPr="00260457" w:rsidRDefault="001C686D" w:rsidP="001C686D">
      <w:pPr>
        <w:pStyle w:val="ListBullet2"/>
      </w:pPr>
      <w:r w:rsidRPr="00260457">
        <w:t>Sheriff</w:t>
      </w:r>
    </w:p>
    <w:p w14:paraId="483FDDBA" w14:textId="77777777" w:rsidR="001C686D" w:rsidRPr="00260457" w:rsidRDefault="001C686D" w:rsidP="001C686D">
      <w:pPr>
        <w:pStyle w:val="ListBullet2"/>
      </w:pPr>
      <w:r w:rsidRPr="00260457">
        <w:t>Sheriff’s officer</w:t>
      </w:r>
    </w:p>
    <w:p w14:paraId="5529F36C" w14:textId="77777777" w:rsidR="001C686D" w:rsidRPr="00260457" w:rsidRDefault="001C686D" w:rsidP="001C686D">
      <w:pPr>
        <w:pStyle w:val="ListBullet2"/>
      </w:pPr>
      <w:r w:rsidRPr="00260457">
        <w:t>Teacher employed on a full-time basis at a school or tertiary education institution</w:t>
      </w:r>
    </w:p>
    <w:p w14:paraId="32E50D56" w14:textId="10D9018D" w:rsidR="00306FC7" w:rsidRPr="00260457" w:rsidRDefault="001C686D" w:rsidP="00004B53">
      <w:pPr>
        <w:pStyle w:val="ListBullet2"/>
        <w:spacing w:after="240"/>
        <w:rPr>
          <w:rFonts w:ascii="HelveticaNeueLTStd-Lt" w:hAnsi="HelveticaNeueLTStd-Lt" w:cs="HelveticaNeueLTStd-Lt"/>
          <w:i/>
          <w:color w:val="4D4D4F"/>
          <w:szCs w:val="20"/>
        </w:rPr>
      </w:pPr>
      <w:r w:rsidRPr="00260457">
        <w:t>Member of the Australasian Institute of Mining and Metallurgy</w:t>
      </w:r>
      <w:r w:rsidR="001E1568" w:rsidRPr="00260457">
        <w:t>.</w:t>
      </w:r>
    </w:p>
    <w:p w14:paraId="55342579" w14:textId="77777777" w:rsidR="008F492C" w:rsidRPr="00260457" w:rsidRDefault="008F492C">
      <w:pPr>
        <w:spacing w:before="0" w:after="0" w:line="240" w:lineRule="auto"/>
        <w:rPr>
          <w:b/>
          <w:i w:val="0"/>
          <w:sz w:val="36"/>
          <w:szCs w:val="20"/>
        </w:rPr>
      </w:pPr>
      <w:r w:rsidRPr="00260457">
        <w:br w:type="page"/>
      </w:r>
    </w:p>
    <w:p w14:paraId="720EB294" w14:textId="7983ED51" w:rsidR="001C686D" w:rsidRPr="00260457" w:rsidRDefault="001C686D" w:rsidP="00004B53">
      <w:pPr>
        <w:pStyle w:val="ACMAHeading1"/>
      </w:pPr>
      <w:r w:rsidRPr="00260457">
        <w:lastRenderedPageBreak/>
        <w:t>Commonwealth of Australia statutory declaration</w:t>
      </w:r>
    </w:p>
    <w:p w14:paraId="38E5DEDD" w14:textId="77777777" w:rsidR="001C686D" w:rsidRPr="00260457" w:rsidRDefault="001C686D" w:rsidP="001C686D">
      <w:pPr>
        <w:pStyle w:val="ACMAHeading3"/>
        <w:spacing w:after="240"/>
        <w:rPr>
          <w:i/>
        </w:rPr>
      </w:pPr>
      <w:r w:rsidRPr="00260457">
        <w:rPr>
          <w:i/>
        </w:rPr>
        <w:t>Statutory Declarations Act 1959</w:t>
      </w:r>
    </w:p>
    <w:p w14:paraId="65A38AF1" w14:textId="77777777" w:rsidR="001C686D" w:rsidRPr="00260457" w:rsidRDefault="001C686D" w:rsidP="001C686D">
      <w:pPr>
        <w:pStyle w:val="ACMABodyText"/>
        <w:rPr>
          <w:rFonts w:cs="Arial"/>
        </w:rPr>
      </w:pPr>
      <w:r w:rsidRPr="00260457">
        <w:rPr>
          <w:rFonts w:cs="Arial"/>
        </w:rPr>
        <w:t>I,</w:t>
      </w:r>
    </w:p>
    <w:p w14:paraId="4E162467" w14:textId="77777777" w:rsidR="001C686D" w:rsidRPr="00260457" w:rsidRDefault="001C686D" w:rsidP="001C686D">
      <w:pPr>
        <w:autoSpaceDE w:val="0"/>
        <w:autoSpaceDN w:val="0"/>
        <w:adjustRightInd w:val="0"/>
        <w:spacing w:after="0" w:line="240" w:lineRule="atLeast"/>
      </w:pPr>
    </w:p>
    <w:p w14:paraId="427F6FFD" w14:textId="77777777" w:rsidR="001C686D" w:rsidRPr="00260457" w:rsidRDefault="001C686D" w:rsidP="001C686D">
      <w:pPr>
        <w:pStyle w:val="ACMAFormDescription"/>
        <w:spacing w:line="240" w:lineRule="atLeast"/>
      </w:pPr>
      <w:r w:rsidRPr="00260457">
        <w:t>N</w:t>
      </w:r>
      <w:r w:rsidRPr="00260457">
        <w:rPr>
          <w:snapToGrid w:val="0"/>
          <w:szCs w:val="18"/>
        </w:rPr>
        <w:t>ame of person making the declaration</w:t>
      </w:r>
    </w:p>
    <w:p w14:paraId="2DF81E52" w14:textId="77777777" w:rsidR="001C686D" w:rsidRPr="00260457" w:rsidRDefault="001C686D" w:rsidP="001C686D">
      <w:pPr>
        <w:autoSpaceDE w:val="0"/>
        <w:autoSpaceDN w:val="0"/>
        <w:adjustRightInd w:val="0"/>
        <w:spacing w:after="0" w:line="240" w:lineRule="atLeast"/>
      </w:pPr>
    </w:p>
    <w:p w14:paraId="22AFE85D" w14:textId="77777777" w:rsidR="001C686D" w:rsidRPr="00260457" w:rsidRDefault="001C686D" w:rsidP="001C686D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Occupation of person making the declaration</w:t>
      </w:r>
    </w:p>
    <w:p w14:paraId="5171F094" w14:textId="77777777" w:rsidR="001C686D" w:rsidRPr="00260457" w:rsidRDefault="001C686D" w:rsidP="001C686D">
      <w:pPr>
        <w:autoSpaceDE w:val="0"/>
        <w:autoSpaceDN w:val="0"/>
        <w:adjustRightInd w:val="0"/>
        <w:spacing w:after="0" w:line="240" w:lineRule="atLeast"/>
      </w:pPr>
    </w:p>
    <w:p w14:paraId="1B2751D5" w14:textId="77777777" w:rsidR="001C686D" w:rsidRPr="00260457" w:rsidRDefault="001C686D" w:rsidP="001C686D">
      <w:pPr>
        <w:pStyle w:val="ACMAFormDescription"/>
        <w:spacing w:line="240" w:lineRule="atLeast"/>
      </w:pPr>
    </w:p>
    <w:p w14:paraId="4E7B19B7" w14:textId="77777777" w:rsidR="001C686D" w:rsidRPr="00260457" w:rsidRDefault="001C686D" w:rsidP="001C686D">
      <w:pPr>
        <w:autoSpaceDE w:val="0"/>
        <w:autoSpaceDN w:val="0"/>
        <w:adjustRightInd w:val="0"/>
        <w:spacing w:after="0" w:line="240" w:lineRule="atLeast"/>
      </w:pPr>
    </w:p>
    <w:p w14:paraId="070A5CB9" w14:textId="701D4793" w:rsidR="001D4B1B" w:rsidRPr="00260457" w:rsidRDefault="001C686D" w:rsidP="00004B53">
      <w:pPr>
        <w:pStyle w:val="ACMAFormDescription"/>
        <w:spacing w:after="360" w:line="240" w:lineRule="atLeast"/>
      </w:pPr>
      <w:r w:rsidRPr="00260457">
        <w:t xml:space="preserve">Address </w:t>
      </w:r>
      <w:r w:rsidRPr="00260457">
        <w:rPr>
          <w:snapToGrid w:val="0"/>
          <w:szCs w:val="18"/>
        </w:rPr>
        <w:t>of person making the declaration</w:t>
      </w:r>
    </w:p>
    <w:p w14:paraId="4CABD6D0" w14:textId="2E4FCBF0" w:rsidR="001C686D" w:rsidRPr="00260457" w:rsidRDefault="001C686D" w:rsidP="001C686D">
      <w:pPr>
        <w:pStyle w:val="ACMABodyText"/>
      </w:pPr>
      <w:r w:rsidRPr="00260457">
        <w:t xml:space="preserve">make the following declaration under </w:t>
      </w:r>
      <w:r w:rsidRPr="00260457">
        <w:rPr>
          <w:rFonts w:cs="Arial"/>
        </w:rPr>
        <w:t xml:space="preserve">the </w:t>
      </w:r>
      <w:r w:rsidRPr="00260457">
        <w:rPr>
          <w:rFonts w:cs="Arial"/>
          <w:i/>
          <w:iCs/>
        </w:rPr>
        <w:t>Statutory Declarations Act 1959</w:t>
      </w:r>
      <w:r w:rsidRPr="00260457">
        <w:rPr>
          <w:rFonts w:cs="Arial"/>
        </w:rPr>
        <w:t>:</w:t>
      </w:r>
    </w:p>
    <w:p w14:paraId="775CC7F8" w14:textId="3B1D9903" w:rsidR="001C686D" w:rsidRPr="00260457" w:rsidRDefault="001C686D" w:rsidP="001C686D">
      <w:pPr>
        <w:pStyle w:val="ListNumber"/>
        <w:numPr>
          <w:ilvl w:val="0"/>
          <w:numId w:val="21"/>
        </w:numPr>
        <w:rPr>
          <w:i/>
        </w:rPr>
      </w:pPr>
      <w:r w:rsidRPr="00260457">
        <w:t>I am</w:t>
      </w:r>
      <w:r w:rsidR="008F492C" w:rsidRPr="00260457">
        <w:t xml:space="preserve"> a</w:t>
      </w:r>
      <w:r w:rsidRPr="00260457">
        <w:rPr>
          <w:i/>
        </w:rPr>
        <w:t>:</w:t>
      </w:r>
      <w:r w:rsidRPr="00260457">
        <w:t xml:space="preserve"> </w:t>
      </w:r>
    </w:p>
    <w:p w14:paraId="3D707034" w14:textId="77777777" w:rsidR="001C686D" w:rsidRPr="00260457" w:rsidRDefault="001C686D" w:rsidP="001C686D">
      <w:pPr>
        <w:pStyle w:val="ACMABodyText"/>
      </w:pPr>
    </w:p>
    <w:p w14:paraId="1D8D3F27" w14:textId="33D3D03B" w:rsidR="001C686D" w:rsidRPr="00260457" w:rsidRDefault="001C686D" w:rsidP="001C686D">
      <w:pPr>
        <w:pStyle w:val="ACMAFormDescription"/>
        <w:spacing w:after="360" w:line="240" w:lineRule="atLeast"/>
      </w:pPr>
      <w:r w:rsidRPr="00260457">
        <w:rPr>
          <w:snapToGrid w:val="0"/>
          <w:szCs w:val="18"/>
        </w:rPr>
        <w:t xml:space="preserve"> insert ‘director’ or ‘secretary’ as appropriate</w:t>
      </w:r>
    </w:p>
    <w:p w14:paraId="3CF5EDBE" w14:textId="77777777" w:rsidR="001C686D" w:rsidRPr="00260457" w:rsidRDefault="001C686D" w:rsidP="001C686D">
      <w:pPr>
        <w:autoSpaceDE w:val="0"/>
        <w:autoSpaceDN w:val="0"/>
        <w:adjustRightInd w:val="0"/>
        <w:spacing w:after="0" w:line="240" w:lineRule="auto"/>
        <w:rPr>
          <w:i w:val="0"/>
        </w:rPr>
      </w:pPr>
      <w:r w:rsidRPr="00260457">
        <w:rPr>
          <w:i w:val="0"/>
        </w:rPr>
        <w:t>of:</w:t>
      </w:r>
    </w:p>
    <w:p w14:paraId="41AE67D1" w14:textId="77777777" w:rsidR="001C686D" w:rsidRPr="00260457" w:rsidRDefault="001C686D" w:rsidP="001C686D">
      <w:pPr>
        <w:pStyle w:val="ACMABodyText"/>
      </w:pPr>
    </w:p>
    <w:p w14:paraId="5AD195F0" w14:textId="199A4D95" w:rsidR="001C686D" w:rsidRPr="00260457" w:rsidRDefault="001C686D" w:rsidP="00DF21A0">
      <w:pPr>
        <w:pStyle w:val="ACMAFormDescription"/>
        <w:spacing w:after="360" w:line="240" w:lineRule="atLeast"/>
        <w:ind w:left="426" w:hanging="142"/>
      </w:pPr>
      <w:r w:rsidRPr="00260457">
        <w:rPr>
          <w:snapToGrid w:val="0"/>
          <w:szCs w:val="18"/>
        </w:rPr>
        <w:t xml:space="preserve">insert name of new applicant as it appears in Part 1 of the application form submitted by </w:t>
      </w:r>
      <w:r w:rsidRPr="00260457">
        <w:rPr>
          <w:snapToGrid w:val="0"/>
          <w:szCs w:val="18"/>
        </w:rPr>
        <w:br/>
      </w:r>
      <w:r w:rsidR="00DF21A0" w:rsidRPr="00260457">
        <w:rPr>
          <w:snapToGrid w:val="0"/>
          <w:szCs w:val="18"/>
        </w:rPr>
        <w:t>t</w:t>
      </w:r>
      <w:r w:rsidRPr="00260457">
        <w:rPr>
          <w:snapToGrid w:val="0"/>
          <w:szCs w:val="18"/>
        </w:rPr>
        <w:t xml:space="preserve">he </w:t>
      </w:r>
      <w:r w:rsidR="001F3506" w:rsidRPr="00260457">
        <w:rPr>
          <w:snapToGrid w:val="0"/>
          <w:szCs w:val="18"/>
        </w:rPr>
        <w:t xml:space="preserve">Applicant </w:t>
      </w:r>
      <w:r w:rsidRPr="00260457">
        <w:rPr>
          <w:snapToGrid w:val="0"/>
          <w:szCs w:val="18"/>
        </w:rPr>
        <w:t xml:space="preserve">under </w:t>
      </w:r>
      <w:r w:rsidR="00295B97" w:rsidRPr="00260457">
        <w:rPr>
          <w:snapToGrid w:val="0"/>
          <w:szCs w:val="18"/>
        </w:rPr>
        <w:t>subsection 35(2)</w:t>
      </w:r>
      <w:r w:rsidRPr="00260457">
        <w:rPr>
          <w:snapToGrid w:val="0"/>
          <w:szCs w:val="18"/>
        </w:rPr>
        <w:t xml:space="preserve"> of the</w:t>
      </w:r>
      <w:r w:rsidR="0047312C" w:rsidRPr="00260457">
        <w:rPr>
          <w:snapToGrid w:val="0"/>
          <w:szCs w:val="18"/>
        </w:rPr>
        <w:t xml:space="preserve"> </w:t>
      </w:r>
      <w:r w:rsidRPr="002357BD">
        <w:rPr>
          <w:snapToGrid w:val="0"/>
          <w:szCs w:val="18"/>
        </w:rPr>
        <w:t>Radiocommunications (Spectrum Licence Allocation</w:t>
      </w:r>
      <w:r w:rsidR="001F3506" w:rsidRPr="002357BD">
        <w:rPr>
          <w:snapToGrid w:val="0"/>
          <w:szCs w:val="18"/>
        </w:rPr>
        <w:t> </w:t>
      </w:r>
      <w:r w:rsidRPr="002357BD">
        <w:rPr>
          <w:snapToGrid w:val="0"/>
          <w:szCs w:val="18"/>
        </w:rPr>
        <w:t xml:space="preserve"> </w:t>
      </w:r>
      <w:r w:rsidR="001F3506" w:rsidRPr="002357BD">
        <w:rPr>
          <w:snapToGrid w:val="0"/>
          <w:szCs w:val="18"/>
        </w:rPr>
        <w:t xml:space="preserve">– </w:t>
      </w:r>
      <w:r w:rsidR="00A744CD" w:rsidRPr="002357BD">
        <w:rPr>
          <w:snapToGrid w:val="0"/>
          <w:szCs w:val="18"/>
        </w:rPr>
        <w:t>3.6 GHz</w:t>
      </w:r>
      <w:r w:rsidRPr="002357BD">
        <w:rPr>
          <w:snapToGrid w:val="0"/>
          <w:szCs w:val="18"/>
        </w:rPr>
        <w:t xml:space="preserve"> Band) Determination </w:t>
      </w:r>
      <w:r w:rsidR="00A744CD" w:rsidRPr="002357BD">
        <w:rPr>
          <w:snapToGrid w:val="0"/>
          <w:szCs w:val="18"/>
        </w:rPr>
        <w:t>2018</w:t>
      </w:r>
    </w:p>
    <w:p w14:paraId="21567910" w14:textId="4F9F1C1A" w:rsidR="001D4B1B" w:rsidRPr="00260457" w:rsidRDefault="001D4B1B" w:rsidP="001C686D">
      <w:pPr>
        <w:pStyle w:val="ACMABodyText"/>
      </w:pPr>
      <w:r w:rsidRPr="00260457">
        <w:t xml:space="preserve">which is </w:t>
      </w:r>
      <w:r w:rsidR="00E959B1" w:rsidRPr="00260457">
        <w:t xml:space="preserve">the </w:t>
      </w:r>
      <w:r w:rsidRPr="00260457">
        <w:t>‘</w:t>
      </w:r>
      <w:r w:rsidR="00E959B1" w:rsidRPr="00260457">
        <w:t>new</w:t>
      </w:r>
      <w:r w:rsidRPr="00260457">
        <w:t xml:space="preserve"> applicant’ under section </w:t>
      </w:r>
      <w:r w:rsidR="00720005" w:rsidRPr="00260457">
        <w:t>3</w:t>
      </w:r>
      <w:r w:rsidR="00F84E92" w:rsidRPr="00260457">
        <w:t>5</w:t>
      </w:r>
      <w:r w:rsidRPr="00260457">
        <w:t xml:space="preserve"> of the</w:t>
      </w:r>
      <w:r w:rsidR="00DF36D8" w:rsidRPr="00260457">
        <w:t xml:space="preserve"> </w:t>
      </w:r>
      <w:r w:rsidR="00DF36D8" w:rsidRPr="007A1AE1">
        <w:t xml:space="preserve">Radiocommunications (Spectrum Licence Allocation – </w:t>
      </w:r>
      <w:r w:rsidR="00A744CD" w:rsidRPr="007A1AE1">
        <w:t>3.6 GHz</w:t>
      </w:r>
      <w:r w:rsidR="00DF36D8" w:rsidRPr="007A1AE1">
        <w:t xml:space="preserve"> Band) Determination </w:t>
      </w:r>
      <w:r w:rsidR="00A744CD" w:rsidRPr="007A1AE1">
        <w:t>2018</w:t>
      </w:r>
      <w:r w:rsidRPr="00260457">
        <w:t xml:space="preserve"> </w:t>
      </w:r>
      <w:r w:rsidR="00DF36D8" w:rsidRPr="00260457">
        <w:t>(</w:t>
      </w:r>
      <w:r w:rsidR="008F492C" w:rsidRPr="00260457">
        <w:t xml:space="preserve">the </w:t>
      </w:r>
      <w:r w:rsidRPr="00260457">
        <w:t>Allocation Determination</w:t>
      </w:r>
      <w:r w:rsidR="00DF36D8" w:rsidRPr="00260457">
        <w:t>)</w:t>
      </w:r>
      <w:r w:rsidR="00F716F3" w:rsidRPr="00260457">
        <w:t>.</w:t>
      </w:r>
    </w:p>
    <w:p w14:paraId="7A9F624B" w14:textId="6A1E8011" w:rsidR="00F5529D" w:rsidRPr="00260457" w:rsidRDefault="00F5529D" w:rsidP="00004B53">
      <w:pPr>
        <w:pStyle w:val="ListNumber"/>
        <w:numPr>
          <w:ilvl w:val="0"/>
          <w:numId w:val="21"/>
        </w:numPr>
        <w:spacing w:after="240"/>
      </w:pPr>
      <w:r w:rsidRPr="00260457">
        <w:t>I have fully read and understand the provisions set out in Part 2 of the Allocation</w:t>
      </w:r>
      <w:r w:rsidR="00F716F3" w:rsidRPr="00260457">
        <w:t xml:space="preserve"> </w:t>
      </w:r>
      <w:r w:rsidRPr="00260457">
        <w:t xml:space="preserve">Determination, including the meaning of ‘associate’ in section </w:t>
      </w:r>
      <w:r w:rsidR="00720005" w:rsidRPr="00260457">
        <w:t>1</w:t>
      </w:r>
      <w:r w:rsidR="00BF1087" w:rsidRPr="00260457">
        <w:t>3</w:t>
      </w:r>
      <w:r w:rsidRPr="00260457">
        <w:t xml:space="preserve"> of the Allocation</w:t>
      </w:r>
      <w:r w:rsidR="001C686D" w:rsidRPr="00260457">
        <w:t xml:space="preserve"> </w:t>
      </w:r>
      <w:r w:rsidRPr="00260457">
        <w:t>Determination and the meaning of ‘affiliated’ in section</w:t>
      </w:r>
      <w:r w:rsidR="006C28CF" w:rsidRPr="00260457">
        <w:t>s</w:t>
      </w:r>
      <w:r w:rsidRPr="00260457">
        <w:t xml:space="preserve"> </w:t>
      </w:r>
      <w:r w:rsidR="00720005" w:rsidRPr="00260457">
        <w:t>1</w:t>
      </w:r>
      <w:r w:rsidR="00BF1087" w:rsidRPr="00260457">
        <w:t>4 and 15</w:t>
      </w:r>
      <w:r w:rsidR="006C28CF" w:rsidRPr="00260457">
        <w:t xml:space="preserve"> </w:t>
      </w:r>
      <w:r w:rsidRPr="00260457">
        <w:t>of the Allocation Determination.</w:t>
      </w:r>
    </w:p>
    <w:p w14:paraId="709C4E3C" w14:textId="4E1244AA" w:rsidR="00F5529D" w:rsidRPr="00260457" w:rsidRDefault="00F5529D" w:rsidP="00004B53">
      <w:pPr>
        <w:pStyle w:val="ListNumber"/>
        <w:numPr>
          <w:ilvl w:val="0"/>
          <w:numId w:val="21"/>
        </w:numPr>
        <w:spacing w:after="240"/>
      </w:pPr>
      <w:r w:rsidRPr="00260457">
        <w:t xml:space="preserve">I have examined the </w:t>
      </w:r>
      <w:r w:rsidR="00E959B1" w:rsidRPr="00260457">
        <w:t xml:space="preserve">updated </w:t>
      </w:r>
      <w:r w:rsidRPr="00260457">
        <w:t>details given to the</w:t>
      </w:r>
      <w:r w:rsidR="00E959B1" w:rsidRPr="00260457">
        <w:t xml:space="preserve"> new </w:t>
      </w:r>
      <w:r w:rsidRPr="00260457">
        <w:t>applicant by the Australian</w:t>
      </w:r>
      <w:r w:rsidR="001C686D" w:rsidRPr="00260457">
        <w:t xml:space="preserve"> </w:t>
      </w:r>
      <w:r w:rsidRPr="00260457">
        <w:t>Communications</w:t>
      </w:r>
      <w:r w:rsidR="00E959B1" w:rsidRPr="00260457">
        <w:t xml:space="preserve"> </w:t>
      </w:r>
      <w:r w:rsidRPr="00260457">
        <w:t xml:space="preserve">and Media Authority (the ACMA) in accordance with subsection </w:t>
      </w:r>
      <w:r w:rsidR="007B5203" w:rsidRPr="00260457">
        <w:t>3</w:t>
      </w:r>
      <w:r w:rsidR="00295B97" w:rsidRPr="00260457">
        <w:t>5</w:t>
      </w:r>
      <w:r w:rsidR="00E959B1" w:rsidRPr="00260457">
        <w:t>(3)</w:t>
      </w:r>
      <w:r w:rsidRPr="00260457">
        <w:t xml:space="preserve"> of</w:t>
      </w:r>
      <w:r w:rsidR="00F716F3" w:rsidRPr="00260457">
        <w:t xml:space="preserve"> </w:t>
      </w:r>
      <w:r w:rsidRPr="00260457">
        <w:t>the Allocation</w:t>
      </w:r>
      <w:r w:rsidR="00E959B1" w:rsidRPr="00260457">
        <w:t xml:space="preserve"> </w:t>
      </w:r>
      <w:r w:rsidRPr="00260457">
        <w:t>Determination, about the identities of all other applicants</w:t>
      </w:r>
      <w:r w:rsidR="00F84E92" w:rsidRPr="00260457">
        <w:t xml:space="preserve"> and</w:t>
      </w:r>
      <w:r w:rsidRPr="00260457">
        <w:t xml:space="preserve"> persons identified</w:t>
      </w:r>
      <w:r w:rsidR="00F716F3" w:rsidRPr="00260457">
        <w:t xml:space="preserve"> </w:t>
      </w:r>
      <w:r w:rsidRPr="00260457">
        <w:t>as</w:t>
      </w:r>
      <w:r w:rsidR="00E959B1" w:rsidRPr="00260457">
        <w:t xml:space="preserve"> </w:t>
      </w:r>
      <w:r w:rsidRPr="00260457">
        <w:t>associates of other applicants.</w:t>
      </w:r>
    </w:p>
    <w:p w14:paraId="3901AAAE" w14:textId="13E24151" w:rsidR="00F5529D" w:rsidRPr="00260457" w:rsidRDefault="00F5529D" w:rsidP="00004B53">
      <w:pPr>
        <w:pStyle w:val="ListNumber"/>
        <w:numPr>
          <w:ilvl w:val="0"/>
          <w:numId w:val="21"/>
        </w:numPr>
        <w:spacing w:after="240"/>
      </w:pPr>
      <w:r w:rsidRPr="00260457">
        <w:t>I have made my own reasonable inquiries into the identities of the associates of</w:t>
      </w:r>
      <w:r w:rsidR="00F716F3" w:rsidRPr="00260457">
        <w:t xml:space="preserve"> </w:t>
      </w:r>
      <w:r w:rsidRPr="00260457">
        <w:t xml:space="preserve">the </w:t>
      </w:r>
      <w:r w:rsidR="00B55421" w:rsidRPr="00260457">
        <w:t xml:space="preserve">new </w:t>
      </w:r>
      <w:r w:rsidR="00436BB8" w:rsidRPr="00260457">
        <w:t>a</w:t>
      </w:r>
      <w:r w:rsidRPr="00260457">
        <w:t xml:space="preserve">pplicant, and into whether the </w:t>
      </w:r>
      <w:r w:rsidR="00B55421" w:rsidRPr="00260457">
        <w:t xml:space="preserve">new </w:t>
      </w:r>
      <w:r w:rsidRPr="00260457">
        <w:t>applicant is affiliated with any other applicant</w:t>
      </w:r>
      <w:r w:rsidR="008610BA" w:rsidRPr="00260457">
        <w:t xml:space="preserve"> or existing </w:t>
      </w:r>
      <w:r w:rsidR="00F84E92" w:rsidRPr="00260457">
        <w:t xml:space="preserve">relevant band </w:t>
      </w:r>
      <w:r w:rsidR="008610BA" w:rsidRPr="00260457">
        <w:t>licensee</w:t>
      </w:r>
      <w:r w:rsidR="00F84E92" w:rsidRPr="00260457">
        <w:t xml:space="preserve"> (within the meaning given that term by the Allocation Determination)</w:t>
      </w:r>
      <w:r w:rsidRPr="00260457">
        <w:t>.</w:t>
      </w:r>
    </w:p>
    <w:p w14:paraId="17DE6511" w14:textId="2DEA3EE0" w:rsidR="00F5529D" w:rsidRPr="00260457" w:rsidRDefault="00F5529D" w:rsidP="002C78A1">
      <w:pPr>
        <w:pStyle w:val="ListNumber"/>
        <w:numPr>
          <w:ilvl w:val="0"/>
          <w:numId w:val="21"/>
        </w:numPr>
        <w:spacing w:after="240"/>
      </w:pPr>
      <w:r w:rsidRPr="00260457">
        <w:lastRenderedPageBreak/>
        <w:t xml:space="preserve">In accordance with paragraph </w:t>
      </w:r>
      <w:r w:rsidR="007B5203" w:rsidRPr="00260457">
        <w:t>3</w:t>
      </w:r>
      <w:r w:rsidR="00BF1087" w:rsidRPr="00260457">
        <w:t>5</w:t>
      </w:r>
      <w:r w:rsidRPr="00260457">
        <w:t>(</w:t>
      </w:r>
      <w:r w:rsidR="00E959B1" w:rsidRPr="00260457">
        <w:t>5</w:t>
      </w:r>
      <w:r w:rsidRPr="00260457">
        <w:t>)(</w:t>
      </w:r>
      <w:r w:rsidR="00BF1087" w:rsidRPr="00260457">
        <w:t>c</w:t>
      </w:r>
      <w:r w:rsidRPr="00260457">
        <w:t>) of the Allocation Determination, I declare that</w:t>
      </w:r>
      <w:r w:rsidR="00F716F3" w:rsidRPr="00260457">
        <w:t xml:space="preserve"> </w:t>
      </w:r>
      <w:r w:rsidRPr="00260457">
        <w:t xml:space="preserve">the </w:t>
      </w:r>
      <w:r w:rsidR="00B55421" w:rsidRPr="00260457">
        <w:t xml:space="preserve">new </w:t>
      </w:r>
      <w:r w:rsidRPr="00260457">
        <w:t>applicant</w:t>
      </w:r>
      <w:r w:rsidR="00DF21A0" w:rsidRPr="00260457">
        <w:t xml:space="preserve"> </w:t>
      </w:r>
      <w:r w:rsidRPr="00260457">
        <w:t xml:space="preserve">is not affiliated with another applicant named in the </w:t>
      </w:r>
      <w:r w:rsidR="00DF21A0" w:rsidRPr="00260457">
        <w:t xml:space="preserve">updated </w:t>
      </w:r>
      <w:r w:rsidRPr="00260457">
        <w:t>details provided by the ACMA.</w:t>
      </w:r>
    </w:p>
    <w:p w14:paraId="24F047D0" w14:textId="7E041A13" w:rsidR="002C78A1" w:rsidRPr="00260457" w:rsidRDefault="002C78A1" w:rsidP="002C78A1">
      <w:pPr>
        <w:pStyle w:val="ListNumber"/>
        <w:numPr>
          <w:ilvl w:val="0"/>
          <w:numId w:val="21"/>
        </w:numPr>
        <w:spacing w:after="240"/>
        <w:rPr>
          <w:rFonts w:cs="Arial"/>
          <w:szCs w:val="20"/>
        </w:rPr>
      </w:pPr>
      <w:r w:rsidRPr="00260457">
        <w:rPr>
          <w:rFonts w:cs="Arial"/>
          <w:szCs w:val="20"/>
        </w:rPr>
        <w:t xml:space="preserve">In accordance with paragraph </w:t>
      </w:r>
      <w:r w:rsidR="00F84E92" w:rsidRPr="00260457">
        <w:rPr>
          <w:rFonts w:cs="Arial"/>
          <w:szCs w:val="20"/>
        </w:rPr>
        <w:t>35</w:t>
      </w:r>
      <w:r w:rsidRPr="00260457">
        <w:rPr>
          <w:rFonts w:cs="Arial"/>
          <w:szCs w:val="20"/>
        </w:rPr>
        <w:t>(</w:t>
      </w:r>
      <w:r w:rsidR="00F84E92" w:rsidRPr="00260457">
        <w:rPr>
          <w:rFonts w:cs="Arial"/>
          <w:szCs w:val="20"/>
        </w:rPr>
        <w:t>5</w:t>
      </w:r>
      <w:r w:rsidRPr="00260457">
        <w:rPr>
          <w:rFonts w:cs="Arial"/>
          <w:szCs w:val="20"/>
        </w:rPr>
        <w:t>)</w:t>
      </w:r>
      <w:r w:rsidR="00F84E92" w:rsidRPr="00260457">
        <w:rPr>
          <w:rFonts w:cs="Arial"/>
          <w:szCs w:val="20"/>
        </w:rPr>
        <w:t>(c</w:t>
      </w:r>
      <w:r w:rsidRPr="00260457">
        <w:rPr>
          <w:rFonts w:cs="Arial"/>
          <w:szCs w:val="20"/>
        </w:rPr>
        <w:t>) of the Allocation Determination, I declare that the Applicant (tick the appropriate boxes):</w:t>
      </w:r>
    </w:p>
    <w:p w14:paraId="30FFBDF8" w14:textId="29A73502" w:rsidR="002C78A1" w:rsidRPr="00260457" w:rsidRDefault="002C78A1" w:rsidP="002C78A1">
      <w:pPr>
        <w:pStyle w:val="ListBullet"/>
        <w:keepNext/>
        <w:keepLines/>
        <w:numPr>
          <w:ilvl w:val="0"/>
          <w:numId w:val="25"/>
        </w:numPr>
        <w:spacing w:before="0" w:line="240" w:lineRule="atLeast"/>
        <w:ind w:left="709" w:hanging="357"/>
        <w:contextualSpacing w:val="0"/>
        <w:rPr>
          <w:szCs w:val="20"/>
        </w:rPr>
      </w:pPr>
      <w:r w:rsidRPr="00260457">
        <w:rPr>
          <w:rFonts w:cs="Arial"/>
          <w:b/>
          <w:iCs/>
        </w:rPr>
        <w:t>is not</w:t>
      </w:r>
      <w:r w:rsidRPr="00260457">
        <w:rPr>
          <w:rFonts w:cs="Arial"/>
          <w:iCs/>
        </w:rPr>
        <w:t xml:space="preserve"> </w:t>
      </w:r>
      <w:r w:rsidRPr="00260457">
        <w:rPr>
          <w:rFonts w:cs="Arial"/>
        </w:rPr>
        <w:t>affiliated with an</w:t>
      </w:r>
      <w:r w:rsidRPr="00260457">
        <w:t xml:space="preserve"> existing </w:t>
      </w:r>
      <w:r w:rsidR="00F84E92" w:rsidRPr="00260457">
        <w:t xml:space="preserve">relevant band </w:t>
      </w:r>
      <w:r w:rsidRPr="00260457">
        <w:t>licensee.</w:t>
      </w:r>
    </w:p>
    <w:p w14:paraId="5E27B0E7" w14:textId="11423685" w:rsidR="002C78A1" w:rsidRPr="00260457" w:rsidRDefault="002C78A1" w:rsidP="002C78A1">
      <w:pPr>
        <w:pStyle w:val="ListBullet"/>
        <w:keepNext/>
        <w:keepLines/>
        <w:numPr>
          <w:ilvl w:val="0"/>
          <w:numId w:val="25"/>
        </w:numPr>
        <w:spacing w:before="0" w:line="240" w:lineRule="atLeast"/>
        <w:ind w:left="709" w:hanging="357"/>
        <w:contextualSpacing w:val="0"/>
        <w:rPr>
          <w:szCs w:val="20"/>
        </w:rPr>
      </w:pPr>
      <w:r w:rsidRPr="00260457">
        <w:rPr>
          <w:rFonts w:cs="Arial"/>
          <w:b/>
          <w:iCs/>
          <w:szCs w:val="20"/>
        </w:rPr>
        <w:t>is</w:t>
      </w:r>
      <w:r w:rsidRPr="00260457">
        <w:rPr>
          <w:rFonts w:cs="Arial"/>
          <w:iCs/>
          <w:szCs w:val="20"/>
        </w:rPr>
        <w:t xml:space="preserve"> </w:t>
      </w:r>
      <w:r w:rsidRPr="00260457">
        <w:rPr>
          <w:rFonts w:cs="Arial"/>
          <w:szCs w:val="20"/>
        </w:rPr>
        <w:t>affiliated</w:t>
      </w:r>
      <w:r w:rsidRPr="00260457">
        <w:rPr>
          <w:szCs w:val="20"/>
        </w:rPr>
        <w:t xml:space="preserve"> with an existing </w:t>
      </w:r>
      <w:r w:rsidR="00F84E92" w:rsidRPr="00260457">
        <w:rPr>
          <w:szCs w:val="20"/>
        </w:rPr>
        <w:t xml:space="preserve">relevant band </w:t>
      </w:r>
      <w:r w:rsidRPr="00260457">
        <w:rPr>
          <w:szCs w:val="20"/>
        </w:rPr>
        <w:t>licensee.</w:t>
      </w:r>
    </w:p>
    <w:p w14:paraId="33BA77A5" w14:textId="4C9DB348" w:rsidR="002C78A1" w:rsidRPr="00260457" w:rsidRDefault="002C78A1" w:rsidP="002C78A1">
      <w:pPr>
        <w:pStyle w:val="ACMABodyText"/>
      </w:pPr>
      <w:r w:rsidRPr="00260457">
        <w:t xml:space="preserve">The existing </w:t>
      </w:r>
      <w:r w:rsidR="00F84E92" w:rsidRPr="00260457">
        <w:t>relevant band</w:t>
      </w:r>
      <w:r w:rsidR="003C52E0">
        <w:t xml:space="preserve"> </w:t>
      </w:r>
      <w:r w:rsidRPr="00260457">
        <w:t>licensee(s) with whom the Applicant is affiliated is/are:</w:t>
      </w:r>
    </w:p>
    <w:p w14:paraId="138CB3BC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17D7EF04" w14:textId="009CCA8E" w:rsidR="002C78A1" w:rsidRPr="00260457" w:rsidRDefault="002C78A1" w:rsidP="002C78A1">
      <w:pPr>
        <w:pStyle w:val="ACMAFormDescription"/>
        <w:spacing w:line="240" w:lineRule="atLeast"/>
      </w:pPr>
      <w:r w:rsidRPr="00260457">
        <w:t xml:space="preserve">Insert </w:t>
      </w:r>
      <w:r w:rsidRPr="00260457">
        <w:rPr>
          <w:snapToGrid w:val="0"/>
          <w:szCs w:val="18"/>
        </w:rPr>
        <w:t xml:space="preserve">name of existing </w:t>
      </w:r>
      <w:r w:rsidR="00F84E92" w:rsidRPr="00260457">
        <w:rPr>
          <w:snapToGrid w:val="0"/>
          <w:szCs w:val="18"/>
        </w:rPr>
        <w:t>relevant band</w:t>
      </w:r>
      <w:r w:rsidR="003C52E0">
        <w:rPr>
          <w:snapToGrid w:val="0"/>
          <w:szCs w:val="18"/>
        </w:rPr>
        <w:t xml:space="preserve"> </w:t>
      </w:r>
      <w:r w:rsidRPr="00260457">
        <w:rPr>
          <w:snapToGrid w:val="0"/>
          <w:szCs w:val="18"/>
        </w:rPr>
        <w:t>licensee(s)</w:t>
      </w:r>
    </w:p>
    <w:p w14:paraId="51F93D60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61B46C4E" w14:textId="77777777" w:rsidR="002C78A1" w:rsidRPr="00260457" w:rsidRDefault="002C78A1" w:rsidP="002C78A1">
      <w:pPr>
        <w:pStyle w:val="ACMAFormDescription"/>
        <w:spacing w:line="240" w:lineRule="atLeast"/>
      </w:pPr>
    </w:p>
    <w:p w14:paraId="61ABE3C5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1A4DEAF0" w14:textId="45F195E3" w:rsidR="002C78A1" w:rsidRPr="00260457" w:rsidRDefault="002C78A1" w:rsidP="002C78A1">
      <w:pPr>
        <w:pStyle w:val="ACMAFormDescription"/>
        <w:spacing w:after="360" w:line="240" w:lineRule="atLeast"/>
      </w:pPr>
      <w:r w:rsidRPr="00260457">
        <w:t xml:space="preserve">Insert address </w:t>
      </w:r>
      <w:r w:rsidRPr="00260457">
        <w:rPr>
          <w:snapToGrid w:val="0"/>
          <w:szCs w:val="18"/>
        </w:rPr>
        <w:t xml:space="preserve">of existing </w:t>
      </w:r>
      <w:r w:rsidR="00F84E92" w:rsidRPr="00260457">
        <w:rPr>
          <w:snapToGrid w:val="0"/>
          <w:szCs w:val="18"/>
        </w:rPr>
        <w:t xml:space="preserve">relevant </w:t>
      </w:r>
      <w:r w:rsidRPr="00260457">
        <w:rPr>
          <w:snapToGrid w:val="0"/>
          <w:szCs w:val="18"/>
        </w:rPr>
        <w:t>licensee(s)</w:t>
      </w:r>
    </w:p>
    <w:p w14:paraId="3A3AC205" w14:textId="77777777" w:rsidR="002C78A1" w:rsidRPr="00260457" w:rsidRDefault="002C78A1" w:rsidP="002C78A1">
      <w:pPr>
        <w:pStyle w:val="ACMABodyText"/>
      </w:pPr>
      <w:r w:rsidRPr="00260457">
        <w:t>The details of the affiliation(s) are as follows:</w:t>
      </w:r>
    </w:p>
    <w:p w14:paraId="7B320292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48998330" w14:textId="77777777" w:rsidR="002C78A1" w:rsidRPr="00260457" w:rsidRDefault="002C78A1" w:rsidP="002C78A1">
      <w:pPr>
        <w:pStyle w:val="ACMAFormDescription"/>
        <w:spacing w:line="240" w:lineRule="atLeast"/>
      </w:pPr>
    </w:p>
    <w:p w14:paraId="444AB4DC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01092F65" w14:textId="77777777" w:rsidR="002C78A1" w:rsidRPr="00260457" w:rsidRDefault="002C78A1" w:rsidP="002C78A1">
      <w:pPr>
        <w:pStyle w:val="ACMAFormDescription"/>
        <w:spacing w:line="240" w:lineRule="atLeast"/>
      </w:pPr>
    </w:p>
    <w:p w14:paraId="586BF681" w14:textId="77777777" w:rsidR="002C78A1" w:rsidRPr="00260457" w:rsidRDefault="002C78A1" w:rsidP="002C78A1">
      <w:pPr>
        <w:autoSpaceDE w:val="0"/>
        <w:autoSpaceDN w:val="0"/>
        <w:adjustRightInd w:val="0"/>
        <w:spacing w:after="0" w:line="240" w:lineRule="atLeast"/>
      </w:pPr>
    </w:p>
    <w:p w14:paraId="40DC9146" w14:textId="06110892" w:rsidR="002C78A1" w:rsidRPr="00260457" w:rsidRDefault="002C78A1" w:rsidP="002C78A1">
      <w:pPr>
        <w:pStyle w:val="ACMAFormDescription"/>
        <w:spacing w:after="360" w:line="240" w:lineRule="atLeast"/>
      </w:pPr>
      <w:r w:rsidRPr="00260457">
        <w:t>describe why the Applicant’s relationship with the existing</w:t>
      </w:r>
      <w:r w:rsidR="00F84E92" w:rsidRPr="00260457">
        <w:t xml:space="preserve"> relevant band</w:t>
      </w:r>
      <w:r w:rsidRPr="00260457">
        <w:t xml:space="preserve"> licensee(s) falls within the meaning of ‘affiliated’ in section 1</w:t>
      </w:r>
      <w:r w:rsidR="00295B97" w:rsidRPr="00260457">
        <w:t>5</w:t>
      </w:r>
      <w:r w:rsidRPr="00260457">
        <w:t xml:space="preserve"> of the Allocation Determination, with reference to </w:t>
      </w:r>
      <w:r w:rsidRPr="00260457">
        <w:br/>
        <w:t>section 1</w:t>
      </w:r>
      <w:r w:rsidR="00295B97" w:rsidRPr="00260457">
        <w:t>3</w:t>
      </w:r>
      <w:r w:rsidRPr="00260457">
        <w:t xml:space="preserve"> of the Allocation Determination, as appropriate</w:t>
      </w:r>
    </w:p>
    <w:p w14:paraId="1DCC4FAC" w14:textId="77777777" w:rsidR="00D24713" w:rsidRPr="00260457" w:rsidRDefault="00D24713" w:rsidP="00004B5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4D4D4F"/>
          <w:szCs w:val="20"/>
        </w:rPr>
      </w:pPr>
    </w:p>
    <w:p w14:paraId="38B8ACC2" w14:textId="2B0B625D" w:rsidR="00202BEC" w:rsidRPr="00260457" w:rsidRDefault="00202BEC" w:rsidP="00D16762">
      <w:pPr>
        <w:pStyle w:val="ACMABodyText"/>
        <w:spacing w:after="480"/>
      </w:pPr>
      <w:r w:rsidRPr="00260457">
        <w:t xml:space="preserve">I understand that a person who intentionally makes a false statement in a statutory declaration is guilty of an offence under section 11 of the </w:t>
      </w:r>
      <w:r w:rsidRPr="00260457">
        <w:rPr>
          <w:i/>
        </w:rPr>
        <w:t>Statutory Declarations Act 1959</w:t>
      </w:r>
      <w:r w:rsidR="00DF36D8" w:rsidRPr="00260457">
        <w:t xml:space="preserve">, and </w:t>
      </w:r>
      <w:r w:rsidRPr="00260457">
        <w:t>I believe that the statements in this declaration are true in every particular.</w:t>
      </w:r>
    </w:p>
    <w:p w14:paraId="1FC85463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635A1F7F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signature of person making the declaration</w:t>
      </w:r>
    </w:p>
    <w:p w14:paraId="13773A8F" w14:textId="77777777" w:rsidR="00202BEC" w:rsidRPr="00260457" w:rsidRDefault="00202BEC" w:rsidP="00202BEC">
      <w:pPr>
        <w:pStyle w:val="ACMABodyText"/>
      </w:pPr>
      <w:r w:rsidRPr="00260457">
        <w:t xml:space="preserve">Declared at: </w:t>
      </w:r>
    </w:p>
    <w:p w14:paraId="600E373F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1C6A47AD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t>Place</w:t>
      </w:r>
    </w:p>
    <w:p w14:paraId="344C7EE1" w14:textId="77777777" w:rsidR="00202BEC" w:rsidRPr="00260457" w:rsidRDefault="00202BEC" w:rsidP="00202BEC">
      <w:pPr>
        <w:pStyle w:val="ACMABodyText"/>
      </w:pPr>
      <w:r w:rsidRPr="00260457">
        <w:t>On:</w:t>
      </w:r>
    </w:p>
    <w:p w14:paraId="75AC5F11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70C80D81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t>Day / Month / Year</w:t>
      </w:r>
    </w:p>
    <w:p w14:paraId="45BAF14B" w14:textId="77777777" w:rsidR="00202BEC" w:rsidRPr="00260457" w:rsidRDefault="00202BEC" w:rsidP="00202BEC">
      <w:pPr>
        <w:pStyle w:val="ACMABodyText"/>
      </w:pPr>
      <w:r w:rsidRPr="00260457">
        <w:lastRenderedPageBreak/>
        <w:t xml:space="preserve">Before me, </w:t>
      </w:r>
    </w:p>
    <w:p w14:paraId="130E23BC" w14:textId="77777777" w:rsidR="00DF36D8" w:rsidRPr="00260457" w:rsidRDefault="00DF36D8" w:rsidP="00DF36D8">
      <w:pPr>
        <w:autoSpaceDE w:val="0"/>
        <w:autoSpaceDN w:val="0"/>
        <w:adjustRightInd w:val="0"/>
        <w:spacing w:after="0" w:line="240" w:lineRule="atLeast"/>
      </w:pPr>
    </w:p>
    <w:p w14:paraId="207D9DD1" w14:textId="3114301A" w:rsidR="00DF36D8" w:rsidRPr="00260457" w:rsidRDefault="00DF36D8" w:rsidP="00DF36D8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signature of person before whom the declaration is made</w:t>
      </w:r>
    </w:p>
    <w:p w14:paraId="35AB98B5" w14:textId="77777777" w:rsidR="00DF36D8" w:rsidRPr="00260457" w:rsidRDefault="00DF36D8" w:rsidP="00004B53">
      <w:pPr>
        <w:pStyle w:val="ACMABodyText"/>
      </w:pPr>
    </w:p>
    <w:p w14:paraId="19282F15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full name of person before whom the declaration is made (in printed letters)</w:t>
      </w:r>
    </w:p>
    <w:p w14:paraId="35A2E5F6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455CE416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qualification of person before whom the declaration is made (in printed letters)</w:t>
      </w:r>
    </w:p>
    <w:p w14:paraId="17A6F20B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7AA03F7F" w14:textId="77777777" w:rsidR="00202BEC" w:rsidRPr="00260457" w:rsidRDefault="00202BEC" w:rsidP="00202BEC">
      <w:pPr>
        <w:pStyle w:val="ACMAFormDescription"/>
        <w:spacing w:line="240" w:lineRule="atLeast"/>
      </w:pPr>
    </w:p>
    <w:p w14:paraId="70B0F17B" w14:textId="77777777" w:rsidR="00202BEC" w:rsidRPr="00260457" w:rsidRDefault="00202BEC" w:rsidP="00202BEC">
      <w:pPr>
        <w:autoSpaceDE w:val="0"/>
        <w:autoSpaceDN w:val="0"/>
        <w:adjustRightInd w:val="0"/>
        <w:spacing w:after="0" w:line="240" w:lineRule="atLeast"/>
      </w:pPr>
    </w:p>
    <w:p w14:paraId="4F2CEFBF" w14:textId="77777777" w:rsidR="00202BEC" w:rsidRPr="00260457" w:rsidRDefault="00202BEC" w:rsidP="00202BEC">
      <w:pPr>
        <w:pStyle w:val="ACMAFormDescription"/>
        <w:spacing w:line="240" w:lineRule="atLeast"/>
      </w:pPr>
      <w:r w:rsidRPr="00260457">
        <w:rPr>
          <w:snapToGrid w:val="0"/>
          <w:szCs w:val="18"/>
        </w:rPr>
        <w:t>address of person before whom the declaration is made (in printed letters)</w:t>
      </w:r>
    </w:p>
    <w:p w14:paraId="09F65A2B" w14:textId="06C1E911" w:rsidR="00202BEC" w:rsidRPr="00260457" w:rsidRDefault="00202BEC" w:rsidP="00202BEC">
      <w:pPr>
        <w:pStyle w:val="ACMABodyText"/>
        <w:spacing w:after="120"/>
        <w:ind w:left="709" w:hanging="709"/>
        <w:rPr>
          <w:rFonts w:cs="Arial"/>
          <w:sz w:val="18"/>
          <w:szCs w:val="18"/>
        </w:rPr>
      </w:pPr>
      <w:r w:rsidRPr="00260457">
        <w:rPr>
          <w:rFonts w:cs="Arial"/>
          <w:b/>
          <w:sz w:val="18"/>
          <w:szCs w:val="18"/>
        </w:rPr>
        <w:t>Note 1</w:t>
      </w:r>
      <w:r w:rsidRPr="00260457">
        <w:rPr>
          <w:rFonts w:cs="Arial"/>
          <w:sz w:val="18"/>
          <w:szCs w:val="18"/>
        </w:rPr>
        <w:t xml:space="preserve"> </w:t>
      </w:r>
      <w:r w:rsidRPr="00260457">
        <w:rPr>
          <w:rFonts w:cs="Arial"/>
          <w:sz w:val="18"/>
          <w:szCs w:val="18"/>
        </w:rPr>
        <w:tab/>
        <w:t xml:space="preserve">A person who intentionally makes a false statement in a statutory declaration is guilty of an offence, the punishment for which is imprisonment for a term of four years—see section 11 of the </w:t>
      </w:r>
      <w:r w:rsidRPr="00260457">
        <w:rPr>
          <w:rFonts w:cs="Arial"/>
          <w:i/>
          <w:iCs/>
          <w:sz w:val="18"/>
          <w:szCs w:val="18"/>
        </w:rPr>
        <w:t>Statutory Declarations Act 1959</w:t>
      </w:r>
      <w:r w:rsidRPr="00260457">
        <w:rPr>
          <w:rFonts w:cs="Arial"/>
          <w:sz w:val="18"/>
          <w:szCs w:val="18"/>
        </w:rPr>
        <w:t>.</w:t>
      </w:r>
    </w:p>
    <w:p w14:paraId="6E2A3360" w14:textId="1EEC2814" w:rsidR="003C6BCB" w:rsidRPr="00202BEC" w:rsidRDefault="00202BEC" w:rsidP="00202BEC">
      <w:pPr>
        <w:pStyle w:val="ACMABodyText"/>
        <w:ind w:left="709" w:hanging="709"/>
        <w:rPr>
          <w:rFonts w:cs="Arial"/>
          <w:sz w:val="18"/>
          <w:szCs w:val="18"/>
        </w:rPr>
      </w:pPr>
      <w:r w:rsidRPr="00260457">
        <w:rPr>
          <w:rFonts w:cs="Arial"/>
          <w:b/>
          <w:sz w:val="18"/>
          <w:szCs w:val="18"/>
        </w:rPr>
        <w:t>Note 2</w:t>
      </w:r>
      <w:r w:rsidRPr="00260457">
        <w:rPr>
          <w:rFonts w:cs="Arial"/>
          <w:sz w:val="18"/>
          <w:szCs w:val="18"/>
        </w:rPr>
        <w:t xml:space="preserve"> </w:t>
      </w:r>
      <w:r w:rsidRPr="00260457">
        <w:rPr>
          <w:rFonts w:cs="Arial"/>
          <w:sz w:val="18"/>
          <w:szCs w:val="18"/>
        </w:rPr>
        <w:tab/>
        <w:t xml:space="preserve">Chapter 2 of the </w:t>
      </w:r>
      <w:r w:rsidRPr="00260457">
        <w:rPr>
          <w:rFonts w:cs="Arial"/>
          <w:i/>
          <w:sz w:val="18"/>
          <w:szCs w:val="18"/>
        </w:rPr>
        <w:t xml:space="preserve">Criminal Code </w:t>
      </w:r>
      <w:r w:rsidRPr="00260457">
        <w:rPr>
          <w:rFonts w:cs="Arial"/>
          <w:sz w:val="18"/>
          <w:szCs w:val="18"/>
        </w:rPr>
        <w:t xml:space="preserve">applies to all offences against the </w:t>
      </w:r>
      <w:r w:rsidRPr="00260457">
        <w:rPr>
          <w:rFonts w:cs="Arial"/>
          <w:i/>
          <w:sz w:val="18"/>
          <w:szCs w:val="18"/>
        </w:rPr>
        <w:t>Statutory Declarations Act 1959</w:t>
      </w:r>
      <w:r w:rsidRPr="00260457">
        <w:rPr>
          <w:rFonts w:cs="Arial"/>
          <w:sz w:val="18"/>
          <w:szCs w:val="18"/>
        </w:rPr>
        <w:t>—see section 5A of the</w:t>
      </w:r>
      <w:r w:rsidRPr="00B44D74">
        <w:rPr>
          <w:rFonts w:cs="Arial"/>
          <w:sz w:val="18"/>
          <w:szCs w:val="18"/>
        </w:rPr>
        <w:t xml:space="preserve"> </w:t>
      </w:r>
      <w:r w:rsidRPr="00B44D74">
        <w:rPr>
          <w:rFonts w:cs="Arial"/>
          <w:i/>
          <w:sz w:val="18"/>
          <w:szCs w:val="18"/>
        </w:rPr>
        <w:t>Statutory Declarations Act 1959</w:t>
      </w:r>
      <w:r w:rsidRPr="00B44D74">
        <w:rPr>
          <w:rFonts w:cs="Arial"/>
          <w:sz w:val="18"/>
          <w:szCs w:val="18"/>
        </w:rPr>
        <w:t>.</w:t>
      </w:r>
    </w:p>
    <w:sectPr w:rsidR="003C6BCB" w:rsidRPr="00202BEC" w:rsidSect="003310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741" w:right="1797" w:bottom="1440" w:left="1797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4FC2" w14:textId="77777777" w:rsidR="00512267" w:rsidRDefault="00512267">
      <w:r>
        <w:separator/>
      </w:r>
    </w:p>
  </w:endnote>
  <w:endnote w:type="continuationSeparator" w:id="0">
    <w:p w14:paraId="23492D20" w14:textId="77777777" w:rsidR="00512267" w:rsidRDefault="0051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Std-Hv">
    <w:altName w:val="Tw Cen MT Condensed Extra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30DE" w14:textId="77777777" w:rsidR="00306FC7" w:rsidRDefault="00306FC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55A82A6" w14:textId="77777777" w:rsidR="00306FC7" w:rsidRDefault="00306FC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5B4B" w14:textId="5F458EC7" w:rsidR="00306FC7" w:rsidRPr="006A02B1" w:rsidRDefault="00306FC7" w:rsidP="00EF7A2A">
    <w:pPr>
      <w:pStyle w:val="ACMAFooter"/>
    </w:pPr>
    <w:r>
      <w:t xml:space="preserve">ACMA </w:t>
    </w:r>
    <w:r w:rsidR="00A744CD">
      <w:t>3.6 GHz</w:t>
    </w:r>
    <w:r>
      <w:t xml:space="preserve"> auction</w:t>
    </w:r>
    <w:r w:rsidR="00D16762">
      <w:t xml:space="preserve"> </w:t>
    </w:r>
    <w:r w:rsidR="00D16762">
      <w:rPr>
        <w:rFonts w:ascii="HelveticaNeueLT Std" w:hAnsi="HelveticaNeueLT Std"/>
      </w:rPr>
      <w:t xml:space="preserve">| </w:t>
    </w:r>
    <w:r w:rsidRPr="0079137F">
      <w:rPr>
        <w:b/>
      </w:rPr>
      <w:t xml:space="preserve">Form </w:t>
    </w:r>
    <w:r w:rsidR="00AB74AB">
      <w:rPr>
        <w:b/>
      </w:rPr>
      <w:t>5</w:t>
    </w:r>
    <w:r w:rsidRPr="0079137F">
      <w:rPr>
        <w:b/>
      </w:rPr>
      <w:t>—</w:t>
    </w:r>
    <w:r w:rsidR="003C6BCB">
      <w:rPr>
        <w:b/>
      </w:rPr>
      <w:t>Statutory declaration about affiliations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C474FD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SECTIONPAGES  \* Arabic  \* MERGEFORMAT </w:instrText>
    </w:r>
    <w:r>
      <w:rPr>
        <w:noProof/>
      </w:rPr>
      <w:fldChar w:fldCharType="separate"/>
    </w:r>
    <w:r w:rsidR="00AF0A24">
      <w:rPr>
        <w:noProof/>
      </w:rPr>
      <w:t>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C469" w14:textId="5DBB03D0" w:rsidR="00306FC7" w:rsidRPr="00211185" w:rsidRDefault="00306FC7" w:rsidP="009B461B">
    <w:pPr>
      <w:pStyle w:val="Footer"/>
    </w:pPr>
    <w:r>
      <w:rPr>
        <w:noProof/>
        <w:lang w:eastAsia="en-AU"/>
      </w:rPr>
      <w:drawing>
        <wp:inline distT="0" distB="0" distL="0" distR="0" wp14:anchorId="6A8E211F" wp14:editId="699984F1">
          <wp:extent cx="3483864" cy="249613"/>
          <wp:effectExtent l="0" t="0" r="0" b="0"/>
          <wp:docPr id="5" name="Picture 5" title="Australian communications and Media Authority tagline – communicating, facilitating, regulat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4" cy="2496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B7C07" w14:textId="77777777" w:rsidR="00512267" w:rsidRDefault="00512267">
      <w:r>
        <w:separator/>
      </w:r>
    </w:p>
  </w:footnote>
  <w:footnote w:type="continuationSeparator" w:id="0">
    <w:p w14:paraId="2B04FE96" w14:textId="77777777" w:rsidR="00512267" w:rsidRDefault="0051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8BC0" w14:textId="77777777" w:rsidR="00306FC7" w:rsidRDefault="00306FC7">
    <w:r>
      <w:fldChar w:fldCharType="begin"/>
    </w:r>
    <w:r>
      <w:instrText xml:space="preserve"> REF ReportTitle \h </w:instrText>
    </w:r>
    <w:r>
      <w:fldChar w:fldCharType="separate"/>
    </w:r>
    <w:r w:rsidR="004179A1">
      <w:rPr>
        <w:b/>
        <w:bCs/>
        <w:lang w:val="en-US"/>
      </w:rPr>
      <w:t>Error! Reference source not found.</w:t>
    </w:r>
    <w:r>
      <w:fldChar w:fldCharType="end"/>
    </w:r>
  </w:p>
  <w:p w14:paraId="538B105A" w14:textId="77777777" w:rsidR="00306FC7" w:rsidRDefault="00306F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72E2" w14:textId="3F96D68D" w:rsidR="00306FC7" w:rsidRPr="00942DF0" w:rsidRDefault="00306FC7" w:rsidP="00E27DF3">
    <w:pPr>
      <w:pStyle w:val="ACMAInConfidence"/>
      <w:rPr>
        <w:rFonts w:cs="Arial"/>
        <w:b w:val="0"/>
        <w:sz w:val="18"/>
        <w:szCs w:val="18"/>
      </w:rPr>
    </w:pPr>
  </w:p>
  <w:p w14:paraId="110B7536" w14:textId="6223C87D" w:rsidR="00306FC7" w:rsidRPr="00B30A6C" w:rsidRDefault="00306FC7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37A" w14:textId="77777777" w:rsidR="00306FC7" w:rsidRDefault="00306FC7" w:rsidP="00E27DF3">
    <w:pPr>
      <w:pStyle w:val="ACMAInConfidence"/>
      <w:jc w:val="left"/>
    </w:pPr>
  </w:p>
  <w:p w14:paraId="79AE5F82" w14:textId="0E863168" w:rsidR="00306FC7" w:rsidRPr="005F22AA" w:rsidRDefault="00306FC7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4D221EE0" wp14:editId="0F57DD5A">
          <wp:extent cx="5308600" cy="520700"/>
          <wp:effectExtent l="0" t="0" r="0" b="12700"/>
          <wp:docPr id="1" name="Picture 1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303AD8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1" w15:restartNumberingAfterBreak="0">
    <w:nsid w:val="FFFFFF88"/>
    <w:multiLevelType w:val="singleLevel"/>
    <w:tmpl w:val="92B00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aps/>
        <w:sz w:val="20"/>
      </w:rPr>
    </w:lvl>
  </w:abstractNum>
  <w:abstractNum w:abstractNumId="2" w15:restartNumberingAfterBreak="0">
    <w:nsid w:val="FFFFFF89"/>
    <w:multiLevelType w:val="singleLevel"/>
    <w:tmpl w:val="5170A1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25E8C"/>
    <w:multiLevelType w:val="hybridMultilevel"/>
    <w:tmpl w:val="ABAEB3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61E65"/>
    <w:multiLevelType w:val="hybridMultilevel"/>
    <w:tmpl w:val="38E0578C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1274F"/>
    <w:multiLevelType w:val="hybridMultilevel"/>
    <w:tmpl w:val="6BCABBAE"/>
    <w:lvl w:ilvl="0" w:tplc="930CBD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782E"/>
    <w:multiLevelType w:val="hybridMultilevel"/>
    <w:tmpl w:val="ABFEC6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1D25"/>
    <w:multiLevelType w:val="hybridMultilevel"/>
    <w:tmpl w:val="6FB4BF7E"/>
    <w:lvl w:ilvl="0" w:tplc="F60CAEC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7910168"/>
    <w:multiLevelType w:val="hybridMultilevel"/>
    <w:tmpl w:val="D2AED85C"/>
    <w:lvl w:ilvl="0" w:tplc="EA729E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1F2B"/>
    <w:multiLevelType w:val="hybridMultilevel"/>
    <w:tmpl w:val="DD102AE8"/>
    <w:lvl w:ilvl="0" w:tplc="CBA077E8">
      <w:start w:val="1"/>
      <w:numFmt w:val="bullet"/>
      <w:lvlText w:val=""/>
      <w:lvlJc w:val="left"/>
      <w:pPr>
        <w:ind w:left="75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392624EC"/>
    <w:multiLevelType w:val="hybridMultilevel"/>
    <w:tmpl w:val="3328D674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54753"/>
    <w:multiLevelType w:val="hybridMultilevel"/>
    <w:tmpl w:val="E9EA3B10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E641C"/>
    <w:multiLevelType w:val="hybridMultilevel"/>
    <w:tmpl w:val="31EED57C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3"/>
  </w:num>
  <w:num w:numId="17">
    <w:abstractNumId w:val="14"/>
  </w:num>
  <w:num w:numId="18">
    <w:abstractNumId w:val="6"/>
  </w:num>
  <w:num w:numId="19">
    <w:abstractNumId w:val="0"/>
  </w:num>
  <w:num w:numId="20">
    <w:abstractNumId w:val="1"/>
  </w:num>
  <w:num w:numId="21">
    <w:abstractNumId w:val="1"/>
    <w:lvlOverride w:ilvl="0">
      <w:startOverride w:val="1"/>
    </w:lvlOverride>
  </w:num>
  <w:num w:numId="22">
    <w:abstractNumId w:val="2"/>
  </w:num>
  <w:num w:numId="23">
    <w:abstractNumId w:val="5"/>
  </w:num>
  <w:num w:numId="24">
    <w:abstractNumId w:val="9"/>
  </w:num>
  <w:num w:numId="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removePersonalInformation/>
  <w:removeDateAndTime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szQwNjezsLA0NzZU0lEKTi0uzszPAykwrQUA1ZJcpywAAAA="/>
  </w:docVars>
  <w:rsids>
    <w:rsidRoot w:val="00755B0C"/>
    <w:rsid w:val="00004A0E"/>
    <w:rsid w:val="00004B53"/>
    <w:rsid w:val="0000722F"/>
    <w:rsid w:val="00026910"/>
    <w:rsid w:val="000321DA"/>
    <w:rsid w:val="00043BA4"/>
    <w:rsid w:val="00052389"/>
    <w:rsid w:val="0005454C"/>
    <w:rsid w:val="000644E4"/>
    <w:rsid w:val="00064F59"/>
    <w:rsid w:val="000738FA"/>
    <w:rsid w:val="000749B9"/>
    <w:rsid w:val="00081BBA"/>
    <w:rsid w:val="00090395"/>
    <w:rsid w:val="000943A5"/>
    <w:rsid w:val="000A4DE1"/>
    <w:rsid w:val="000B69C0"/>
    <w:rsid w:val="000D3BEA"/>
    <w:rsid w:val="000E0397"/>
    <w:rsid w:val="00102AB2"/>
    <w:rsid w:val="001436A0"/>
    <w:rsid w:val="00146E30"/>
    <w:rsid w:val="00151092"/>
    <w:rsid w:val="001528B2"/>
    <w:rsid w:val="00174162"/>
    <w:rsid w:val="00187E47"/>
    <w:rsid w:val="00197E2F"/>
    <w:rsid w:val="001A2B8A"/>
    <w:rsid w:val="001C6546"/>
    <w:rsid w:val="001C686D"/>
    <w:rsid w:val="001D4B1B"/>
    <w:rsid w:val="001E1568"/>
    <w:rsid w:val="001E1B9E"/>
    <w:rsid w:val="001E3098"/>
    <w:rsid w:val="001E5A10"/>
    <w:rsid w:val="001F3506"/>
    <w:rsid w:val="00202BEC"/>
    <w:rsid w:val="00207261"/>
    <w:rsid w:val="00210199"/>
    <w:rsid w:val="00211185"/>
    <w:rsid w:val="002243C5"/>
    <w:rsid w:val="002357BD"/>
    <w:rsid w:val="00247A70"/>
    <w:rsid w:val="00260457"/>
    <w:rsid w:val="00270105"/>
    <w:rsid w:val="00270270"/>
    <w:rsid w:val="00285D08"/>
    <w:rsid w:val="00295B97"/>
    <w:rsid w:val="002C78A1"/>
    <w:rsid w:val="002F1908"/>
    <w:rsid w:val="002F263C"/>
    <w:rsid w:val="00301869"/>
    <w:rsid w:val="00306FC7"/>
    <w:rsid w:val="00316E71"/>
    <w:rsid w:val="0033104B"/>
    <w:rsid w:val="00350E9B"/>
    <w:rsid w:val="003634AA"/>
    <w:rsid w:val="00375556"/>
    <w:rsid w:val="00381437"/>
    <w:rsid w:val="00396C18"/>
    <w:rsid w:val="003A6E86"/>
    <w:rsid w:val="003B1977"/>
    <w:rsid w:val="003C52E0"/>
    <w:rsid w:val="003C6BCB"/>
    <w:rsid w:val="003D146F"/>
    <w:rsid w:val="003D246E"/>
    <w:rsid w:val="003D7A22"/>
    <w:rsid w:val="003E08A5"/>
    <w:rsid w:val="003E1BE4"/>
    <w:rsid w:val="00401C53"/>
    <w:rsid w:val="004179A1"/>
    <w:rsid w:val="00436BB8"/>
    <w:rsid w:val="00463748"/>
    <w:rsid w:val="0047312C"/>
    <w:rsid w:val="004C3A71"/>
    <w:rsid w:val="004D1038"/>
    <w:rsid w:val="004D16B7"/>
    <w:rsid w:val="004D7105"/>
    <w:rsid w:val="00511D59"/>
    <w:rsid w:val="00512267"/>
    <w:rsid w:val="005144E5"/>
    <w:rsid w:val="00521BCF"/>
    <w:rsid w:val="005271D1"/>
    <w:rsid w:val="00531BD1"/>
    <w:rsid w:val="005841CE"/>
    <w:rsid w:val="00587088"/>
    <w:rsid w:val="005A5AE5"/>
    <w:rsid w:val="005B5D21"/>
    <w:rsid w:val="005D1913"/>
    <w:rsid w:val="005E47E5"/>
    <w:rsid w:val="005F0E0E"/>
    <w:rsid w:val="005F22AA"/>
    <w:rsid w:val="005F2EEE"/>
    <w:rsid w:val="0061569D"/>
    <w:rsid w:val="0062094A"/>
    <w:rsid w:val="00621EE3"/>
    <w:rsid w:val="006308A9"/>
    <w:rsid w:val="00637492"/>
    <w:rsid w:val="00643CB7"/>
    <w:rsid w:val="00643DF0"/>
    <w:rsid w:val="00646370"/>
    <w:rsid w:val="00647DD3"/>
    <w:rsid w:val="00672C96"/>
    <w:rsid w:val="00685E69"/>
    <w:rsid w:val="006877FC"/>
    <w:rsid w:val="00694DF2"/>
    <w:rsid w:val="006A02B1"/>
    <w:rsid w:val="006B337C"/>
    <w:rsid w:val="006C28CF"/>
    <w:rsid w:val="006C608E"/>
    <w:rsid w:val="006E1969"/>
    <w:rsid w:val="006E2D96"/>
    <w:rsid w:val="006F3066"/>
    <w:rsid w:val="00701E0D"/>
    <w:rsid w:val="00704BD7"/>
    <w:rsid w:val="00713916"/>
    <w:rsid w:val="00714AD5"/>
    <w:rsid w:val="00720005"/>
    <w:rsid w:val="0072120E"/>
    <w:rsid w:val="007232C6"/>
    <w:rsid w:val="00724403"/>
    <w:rsid w:val="00727206"/>
    <w:rsid w:val="00751159"/>
    <w:rsid w:val="007537A4"/>
    <w:rsid w:val="00755B0C"/>
    <w:rsid w:val="007605C2"/>
    <w:rsid w:val="0078199F"/>
    <w:rsid w:val="0079137F"/>
    <w:rsid w:val="007A1AE1"/>
    <w:rsid w:val="007B06CA"/>
    <w:rsid w:val="007B5203"/>
    <w:rsid w:val="00804D47"/>
    <w:rsid w:val="0081181E"/>
    <w:rsid w:val="008278C9"/>
    <w:rsid w:val="00834D03"/>
    <w:rsid w:val="008422DF"/>
    <w:rsid w:val="0085498B"/>
    <w:rsid w:val="008610BA"/>
    <w:rsid w:val="008837B5"/>
    <w:rsid w:val="00886119"/>
    <w:rsid w:val="008B42DA"/>
    <w:rsid w:val="008B476E"/>
    <w:rsid w:val="008D7F7A"/>
    <w:rsid w:val="008E4AEE"/>
    <w:rsid w:val="008F1CCD"/>
    <w:rsid w:val="008F2CB6"/>
    <w:rsid w:val="008F492C"/>
    <w:rsid w:val="008F4B7B"/>
    <w:rsid w:val="008F4E2F"/>
    <w:rsid w:val="00934ECC"/>
    <w:rsid w:val="00937C1F"/>
    <w:rsid w:val="009414EE"/>
    <w:rsid w:val="00942DFD"/>
    <w:rsid w:val="0095427A"/>
    <w:rsid w:val="00956AE4"/>
    <w:rsid w:val="00962A0A"/>
    <w:rsid w:val="00962E6A"/>
    <w:rsid w:val="00970164"/>
    <w:rsid w:val="009732F3"/>
    <w:rsid w:val="0099173A"/>
    <w:rsid w:val="00991881"/>
    <w:rsid w:val="009B2B79"/>
    <w:rsid w:val="009B461B"/>
    <w:rsid w:val="009B5C5E"/>
    <w:rsid w:val="009D238C"/>
    <w:rsid w:val="009D61ED"/>
    <w:rsid w:val="009E1F57"/>
    <w:rsid w:val="009E7E53"/>
    <w:rsid w:val="00A01AB2"/>
    <w:rsid w:val="00A04A54"/>
    <w:rsid w:val="00A05AF4"/>
    <w:rsid w:val="00A148EB"/>
    <w:rsid w:val="00A33D8F"/>
    <w:rsid w:val="00A44ED8"/>
    <w:rsid w:val="00A44F6E"/>
    <w:rsid w:val="00A63218"/>
    <w:rsid w:val="00A744CD"/>
    <w:rsid w:val="00AB74AB"/>
    <w:rsid w:val="00AC47E6"/>
    <w:rsid w:val="00AC5B3A"/>
    <w:rsid w:val="00AD60D8"/>
    <w:rsid w:val="00AF056F"/>
    <w:rsid w:val="00AF0A24"/>
    <w:rsid w:val="00AF27CD"/>
    <w:rsid w:val="00B00E4D"/>
    <w:rsid w:val="00B0310E"/>
    <w:rsid w:val="00B07D45"/>
    <w:rsid w:val="00B12DD4"/>
    <w:rsid w:val="00B27327"/>
    <w:rsid w:val="00B30A6C"/>
    <w:rsid w:val="00B507BE"/>
    <w:rsid w:val="00B55421"/>
    <w:rsid w:val="00B56B9B"/>
    <w:rsid w:val="00B61B2B"/>
    <w:rsid w:val="00B674D9"/>
    <w:rsid w:val="00B80DF5"/>
    <w:rsid w:val="00B955FA"/>
    <w:rsid w:val="00BB4490"/>
    <w:rsid w:val="00BC7538"/>
    <w:rsid w:val="00BD5756"/>
    <w:rsid w:val="00BE459D"/>
    <w:rsid w:val="00BF1087"/>
    <w:rsid w:val="00C0205F"/>
    <w:rsid w:val="00C0398F"/>
    <w:rsid w:val="00C24EC1"/>
    <w:rsid w:val="00C35AD9"/>
    <w:rsid w:val="00C35B8B"/>
    <w:rsid w:val="00C4379D"/>
    <w:rsid w:val="00C474FD"/>
    <w:rsid w:val="00C4769D"/>
    <w:rsid w:val="00C62736"/>
    <w:rsid w:val="00C879AF"/>
    <w:rsid w:val="00C96CD1"/>
    <w:rsid w:val="00CA7F34"/>
    <w:rsid w:val="00CC16BE"/>
    <w:rsid w:val="00CF0C6A"/>
    <w:rsid w:val="00CF40D3"/>
    <w:rsid w:val="00CF5EB3"/>
    <w:rsid w:val="00D16762"/>
    <w:rsid w:val="00D2288C"/>
    <w:rsid w:val="00D24713"/>
    <w:rsid w:val="00D3071B"/>
    <w:rsid w:val="00D31BB3"/>
    <w:rsid w:val="00D373A5"/>
    <w:rsid w:val="00D668E3"/>
    <w:rsid w:val="00D6705E"/>
    <w:rsid w:val="00D840AC"/>
    <w:rsid w:val="00D86153"/>
    <w:rsid w:val="00DD365E"/>
    <w:rsid w:val="00DF21A0"/>
    <w:rsid w:val="00DF36D8"/>
    <w:rsid w:val="00E063E8"/>
    <w:rsid w:val="00E27DF3"/>
    <w:rsid w:val="00E416C9"/>
    <w:rsid w:val="00E536EE"/>
    <w:rsid w:val="00E55CD3"/>
    <w:rsid w:val="00E574DE"/>
    <w:rsid w:val="00E67D3D"/>
    <w:rsid w:val="00E71F91"/>
    <w:rsid w:val="00E725D8"/>
    <w:rsid w:val="00E738AF"/>
    <w:rsid w:val="00E80D8F"/>
    <w:rsid w:val="00E829F9"/>
    <w:rsid w:val="00E959B1"/>
    <w:rsid w:val="00E96224"/>
    <w:rsid w:val="00EE20DA"/>
    <w:rsid w:val="00EE26E2"/>
    <w:rsid w:val="00EF245A"/>
    <w:rsid w:val="00EF7A2A"/>
    <w:rsid w:val="00F11788"/>
    <w:rsid w:val="00F13330"/>
    <w:rsid w:val="00F15660"/>
    <w:rsid w:val="00F167D4"/>
    <w:rsid w:val="00F169A2"/>
    <w:rsid w:val="00F414E6"/>
    <w:rsid w:val="00F43279"/>
    <w:rsid w:val="00F5529D"/>
    <w:rsid w:val="00F56232"/>
    <w:rsid w:val="00F716F3"/>
    <w:rsid w:val="00F84E92"/>
    <w:rsid w:val="00F8798C"/>
    <w:rsid w:val="00FC0DE9"/>
    <w:rsid w:val="00F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oNotEmbedSmartTags/>
  <w:decimalSymbol w:val="."/>
  <w:listSeparator w:val=","/>
  <w14:docId w14:val="395F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1C6546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72120E"/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5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SubHeader">
    <w:name w:val="BodySubHeader"/>
    <w:basedOn w:val="Normal"/>
    <w:next w:val="Normal"/>
    <w:qFormat/>
    <w:rsid w:val="00886119"/>
    <w:pPr>
      <w:keepNext/>
      <w:spacing w:before="240" w:after="0" w:line="240" w:lineRule="atLeast"/>
    </w:pPr>
    <w:rPr>
      <w:b/>
      <w:lang w:eastAsia="en-AU"/>
    </w:rPr>
  </w:style>
  <w:style w:type="paragraph" w:styleId="ListParagraph">
    <w:name w:val="List Paragraph"/>
    <w:basedOn w:val="Normal"/>
    <w:uiPriority w:val="34"/>
    <w:rsid w:val="001D4B1B"/>
    <w:pPr>
      <w:ind w:left="720"/>
      <w:contextualSpacing/>
    </w:pPr>
  </w:style>
  <w:style w:type="paragraph" w:styleId="ListBullet2">
    <w:name w:val="List Bullet 2"/>
    <w:basedOn w:val="Normal"/>
    <w:qFormat/>
    <w:rsid w:val="001C686D"/>
    <w:pPr>
      <w:numPr>
        <w:numId w:val="19"/>
      </w:numPr>
      <w:spacing w:before="0" w:after="80" w:line="240" w:lineRule="atLeast"/>
    </w:pPr>
    <w:rPr>
      <w:i w:val="0"/>
      <w:lang w:eastAsia="en-AU"/>
    </w:rPr>
  </w:style>
  <w:style w:type="paragraph" w:styleId="ListNumber">
    <w:name w:val="List Number"/>
    <w:basedOn w:val="Normal"/>
    <w:qFormat/>
    <w:rsid w:val="001C686D"/>
    <w:pPr>
      <w:spacing w:before="0" w:after="80" w:line="240" w:lineRule="atLeast"/>
    </w:pPr>
    <w:rPr>
      <w:i w:val="0"/>
      <w:lang w:eastAsia="en-AU"/>
    </w:rPr>
  </w:style>
  <w:style w:type="paragraph" w:styleId="ListBullet">
    <w:name w:val="List Bullet"/>
    <w:basedOn w:val="Normal"/>
    <w:semiHidden/>
    <w:unhideWhenUsed/>
    <w:rsid w:val="001C686D"/>
    <w:pPr>
      <w:numPr>
        <w:numId w:val="22"/>
      </w:numPr>
      <w:contextualSpacing/>
    </w:pPr>
  </w:style>
  <w:style w:type="paragraph" w:styleId="Revision">
    <w:name w:val="Revision"/>
    <w:hidden/>
    <w:uiPriority w:val="99"/>
    <w:semiHidden/>
    <w:rsid w:val="00043BA4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3NE2HDV7HD6D-311300622-699</_dlc_DocId>
    <_dlc_DocIdUrl xmlns="1d983eb4-33f7-44b0-aea1-cbdcf0c55136">
      <Url>http://collaboration/organisation/cid/RPB/MSAS/lib/_layouts/15/DocIdRedir.aspx?ID=3NE2HDV7HD6D-311300622-699</Url>
      <Description>3NE2HDV7HD6D-311300622-699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95AF42-25BC-44D0-91EF-286A47BD5D3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1d983eb4-33f7-44b0-aea1-cbdcf0c55136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6B0CB6-E651-44C5-9C94-66FA04C3C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6217F-E530-4FCA-BA35-14BC56AAE33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0088DA2-D4AF-4399-B752-A866D900B2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FF8BDB-9696-465A-A760-9BA422CDE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1704</Words>
  <Characters>8766</Characters>
  <Application>Microsoft Office Word</Application>
  <DocSecurity>4</DocSecurity>
  <Lines>73</Lines>
  <Paragraphs>20</Paragraphs>
  <ScaleCrop>false</ScaleCrop>
  <Manager/>
  <Company/>
  <LinksUpToDate>false</LinksUpToDate>
  <CharactersWithSpaces>10450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2021-07-21T03:43:00Z</dcterms:created>
  <dcterms:modified xsi:type="dcterms:W3CDTF">2021-07-21T03:43:00Z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d4d6bb1f-d8c9-441b-bec7-63bdd2d50a3f</vt:lpwstr>
  </property>
  <property fmtid="{D5CDD505-2E9C-101B-9397-08002B2CF9AE}" pid="3" name="ContentTypeId">
    <vt:lpwstr>0x0101003E1CBECA35FA324BA6EF19EE5BADA1DA</vt:lpwstr>
  </property>
</Properties>
</file>