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BFE815" w14:textId="241660FA" w:rsidR="00F06E14" w:rsidRPr="00702EA1" w:rsidRDefault="00437582" w:rsidP="008F0171">
      <w:pPr>
        <w:pStyle w:val="Reporttitle"/>
      </w:pPr>
      <w:r>
        <w:t>Review of 3.4 GHz spectrum licence technical framework</w:t>
      </w:r>
    </w:p>
    <w:p w14:paraId="553742E5" w14:textId="7A14E404" w:rsidR="00F06E14" w:rsidRPr="00702EA1" w:rsidRDefault="00437582" w:rsidP="00F06E14">
      <w:pPr>
        <w:pStyle w:val="Reportsubtitle"/>
      </w:pPr>
      <w:r>
        <w:t xml:space="preserve">Technical </w:t>
      </w:r>
      <w:r w:rsidR="008D2CD1">
        <w:t>l</w:t>
      </w:r>
      <w:r>
        <w:t xml:space="preserve">iaison </w:t>
      </w:r>
      <w:r w:rsidR="008D2CD1">
        <w:t>g</w:t>
      </w:r>
      <w:r>
        <w:t>roup paper</w:t>
      </w:r>
    </w:p>
    <w:p w14:paraId="440E4028" w14:textId="09932426" w:rsidR="00C97736" w:rsidRPr="00702EA1" w:rsidRDefault="00D0657A" w:rsidP="00EC2B68">
      <w:pPr>
        <w:pStyle w:val="Reportdate"/>
        <w:spacing w:after="720"/>
        <w:rPr>
          <w:rFonts w:cs="Arial"/>
        </w:rPr>
        <w:sectPr w:rsidR="00C97736" w:rsidRPr="00702EA1" w:rsidSect="005E250B">
          <w:headerReference w:type="default" r:id="rId8"/>
          <w:footerReference w:type="default" r:id="rId9"/>
          <w:headerReference w:type="first" r:id="rId10"/>
          <w:pgSz w:w="11906" w:h="16838" w:code="9"/>
          <w:pgMar w:top="3924" w:right="992" w:bottom="1440" w:left="1134" w:header="709" w:footer="454" w:gutter="0"/>
          <w:cols w:space="708"/>
          <w:docGrid w:linePitch="360"/>
        </w:sectPr>
      </w:pPr>
      <w:r>
        <w:t>JU</w:t>
      </w:r>
      <w:r w:rsidR="00CF45B7">
        <w:t>LY</w:t>
      </w:r>
      <w:r w:rsidR="00BD4421" w:rsidRPr="00702EA1">
        <w:t xml:space="preserve"> 20</w:t>
      </w:r>
      <w:r w:rsidR="000971BD" w:rsidRPr="00702EA1">
        <w:t>2</w:t>
      </w:r>
      <w:r w:rsidR="00D42EF0" w:rsidRPr="00702EA1">
        <w:t>1</w:t>
      </w:r>
    </w:p>
    <w:p w14:paraId="71C006C2" w14:textId="77777777" w:rsidR="00284A74" w:rsidRPr="00702EA1" w:rsidRDefault="00284A74" w:rsidP="00284A74">
      <w:pPr>
        <w:pStyle w:val="ACMACorporateAddressHeader"/>
      </w:pPr>
      <w:r w:rsidRPr="00702EA1">
        <w:lastRenderedPageBreak/>
        <w:t>Canberra</w:t>
      </w:r>
    </w:p>
    <w:p w14:paraId="6ED04493" w14:textId="77777777" w:rsidR="00284A74" w:rsidRPr="00702EA1" w:rsidRDefault="00284A74" w:rsidP="00284A74">
      <w:pPr>
        <w:pStyle w:val="ACMACorporateAddresses"/>
      </w:pPr>
      <w:r w:rsidRPr="00702EA1">
        <w:t xml:space="preserve">Red Building </w:t>
      </w:r>
      <w:r w:rsidRPr="00702EA1">
        <w:br/>
        <w:t>Benjamin Offices</w:t>
      </w:r>
      <w:r w:rsidRPr="00702EA1">
        <w:br/>
        <w:t xml:space="preserve">Chan Street </w:t>
      </w:r>
      <w:r w:rsidRPr="00702EA1">
        <w:br/>
        <w:t>Belconnen ACT</w:t>
      </w:r>
    </w:p>
    <w:p w14:paraId="46E39E3C" w14:textId="77777777" w:rsidR="00284A74" w:rsidRPr="00702EA1" w:rsidRDefault="00284A74" w:rsidP="00284A74">
      <w:pPr>
        <w:pStyle w:val="ACMACorporateAddresses"/>
      </w:pPr>
      <w:r w:rsidRPr="00702EA1">
        <w:t>PO Box 78</w:t>
      </w:r>
      <w:r w:rsidRPr="00702EA1">
        <w:br/>
        <w:t>Belconnen ACT 2616</w:t>
      </w:r>
    </w:p>
    <w:p w14:paraId="253A2DC1" w14:textId="77777777" w:rsidR="00284A74" w:rsidRPr="00702EA1" w:rsidRDefault="00284A74" w:rsidP="00284A74">
      <w:pPr>
        <w:pStyle w:val="ACMACorporateAddresses"/>
      </w:pPr>
      <w:r w:rsidRPr="00702EA1">
        <w:t>T</w:t>
      </w:r>
      <w:r w:rsidRPr="00702EA1">
        <w:tab/>
        <w:t>+61 2 6219 5555</w:t>
      </w:r>
      <w:r w:rsidRPr="00702EA1">
        <w:br/>
        <w:t>F</w:t>
      </w:r>
      <w:r w:rsidRPr="00702EA1">
        <w:tab/>
        <w:t>+61 2 6219 5353</w:t>
      </w:r>
    </w:p>
    <w:p w14:paraId="43FA034E" w14:textId="77777777" w:rsidR="00284A74" w:rsidRPr="00702EA1" w:rsidRDefault="00284A74" w:rsidP="00284A74">
      <w:pPr>
        <w:pStyle w:val="ACMACorporateAddressHeader"/>
      </w:pPr>
      <w:r w:rsidRPr="00702EA1">
        <w:t>Melbourne</w:t>
      </w:r>
    </w:p>
    <w:p w14:paraId="695D9808" w14:textId="77777777" w:rsidR="00284A74" w:rsidRPr="00702EA1" w:rsidRDefault="00284A74" w:rsidP="00284A74">
      <w:pPr>
        <w:pStyle w:val="ACMACorporateAddresses"/>
      </w:pPr>
      <w:r w:rsidRPr="00702EA1">
        <w:t xml:space="preserve">Level 32 </w:t>
      </w:r>
      <w:r w:rsidRPr="00702EA1">
        <w:br/>
        <w:t>Melbourne Central Tower</w:t>
      </w:r>
      <w:r w:rsidRPr="00702EA1">
        <w:br/>
        <w:t xml:space="preserve">360 Elizabeth Street </w:t>
      </w:r>
      <w:r w:rsidRPr="00702EA1">
        <w:br/>
        <w:t>Melbourne VIC</w:t>
      </w:r>
    </w:p>
    <w:p w14:paraId="469E5CCC" w14:textId="77777777" w:rsidR="00284A74" w:rsidRPr="00702EA1" w:rsidRDefault="00284A74" w:rsidP="00284A74">
      <w:pPr>
        <w:pStyle w:val="ACMACorporateAddresses"/>
      </w:pPr>
      <w:r w:rsidRPr="00702EA1">
        <w:t>PO Box 13112</w:t>
      </w:r>
      <w:r w:rsidRPr="00702EA1">
        <w:br/>
        <w:t xml:space="preserve">Law Courts </w:t>
      </w:r>
      <w:r w:rsidRPr="00702EA1">
        <w:br/>
        <w:t>Melbourne VIC 8010</w:t>
      </w:r>
    </w:p>
    <w:p w14:paraId="445ADB8C" w14:textId="77777777" w:rsidR="00284A74" w:rsidRPr="00702EA1" w:rsidRDefault="00284A74" w:rsidP="00284A74">
      <w:pPr>
        <w:pStyle w:val="ACMACorporateAddresses"/>
      </w:pPr>
      <w:r w:rsidRPr="00702EA1">
        <w:t>T</w:t>
      </w:r>
      <w:r w:rsidRPr="00702EA1">
        <w:tab/>
        <w:t>+61 3 9963 6800</w:t>
      </w:r>
      <w:r w:rsidRPr="00702EA1">
        <w:br/>
        <w:t>F</w:t>
      </w:r>
      <w:r w:rsidRPr="00702EA1">
        <w:tab/>
        <w:t>+61 3 9963 6899</w:t>
      </w:r>
    </w:p>
    <w:p w14:paraId="6CA550BD" w14:textId="77777777" w:rsidR="00284A74" w:rsidRPr="00702EA1" w:rsidRDefault="00284A74" w:rsidP="00284A74">
      <w:pPr>
        <w:pStyle w:val="ACMACorporateAddressHeader"/>
      </w:pPr>
      <w:r w:rsidRPr="00702EA1">
        <w:t>Sydney</w:t>
      </w:r>
    </w:p>
    <w:p w14:paraId="1D175C6C" w14:textId="77777777" w:rsidR="00284A74" w:rsidRPr="00702EA1" w:rsidRDefault="00284A74" w:rsidP="00284A74">
      <w:pPr>
        <w:pStyle w:val="ACMACorporateAddresses"/>
      </w:pPr>
      <w:r w:rsidRPr="00702EA1">
        <w:t xml:space="preserve">Level 5 </w:t>
      </w:r>
      <w:r w:rsidRPr="00702EA1">
        <w:br/>
        <w:t>The Bay Centre</w:t>
      </w:r>
      <w:r w:rsidRPr="00702EA1">
        <w:br/>
        <w:t xml:space="preserve">65 Pirrama Road </w:t>
      </w:r>
      <w:r w:rsidRPr="00702EA1">
        <w:br/>
        <w:t>Pyrmont NSW</w:t>
      </w:r>
    </w:p>
    <w:p w14:paraId="24415528" w14:textId="77777777" w:rsidR="00284A74" w:rsidRPr="00702EA1" w:rsidRDefault="00284A74" w:rsidP="00284A74">
      <w:pPr>
        <w:pStyle w:val="ACMACorporateAddresses"/>
      </w:pPr>
      <w:r w:rsidRPr="00702EA1">
        <w:t>PO Box Q500</w:t>
      </w:r>
      <w:r w:rsidRPr="00702EA1">
        <w:br/>
        <w:t xml:space="preserve">Queen Victoria Building </w:t>
      </w:r>
      <w:r w:rsidRPr="00702EA1">
        <w:br/>
        <w:t>NSW 1230</w:t>
      </w:r>
    </w:p>
    <w:p w14:paraId="796CA2AA" w14:textId="77777777" w:rsidR="00284A74" w:rsidRPr="00702EA1" w:rsidRDefault="00284A74" w:rsidP="00284A74">
      <w:pPr>
        <w:pStyle w:val="ACMACorporateAddresses"/>
      </w:pPr>
      <w:r w:rsidRPr="00702EA1">
        <w:t>T</w:t>
      </w:r>
      <w:r w:rsidRPr="00702EA1">
        <w:tab/>
        <w:t>+61 2 9334 7700</w:t>
      </w:r>
      <w:r w:rsidRPr="00702EA1">
        <w:br/>
        <w:t>F</w:t>
      </w:r>
      <w:r w:rsidRPr="00702EA1">
        <w:tab/>
        <w:t>+61 2 9334 7799</w:t>
      </w:r>
    </w:p>
    <w:p w14:paraId="57A94A5E" w14:textId="77777777" w:rsidR="00284A74" w:rsidRPr="00702EA1" w:rsidRDefault="00284A74" w:rsidP="00284A74">
      <w:pPr>
        <w:pStyle w:val="ACMACopyrightHeader"/>
      </w:pPr>
      <w:r w:rsidRPr="00702EA1">
        <w:t>Copyright notice</w:t>
      </w:r>
    </w:p>
    <w:p w14:paraId="1496E6AC" w14:textId="77777777" w:rsidR="00284A74" w:rsidRPr="00702EA1" w:rsidRDefault="00284A74" w:rsidP="00284A74">
      <w:pPr>
        <w:pStyle w:val="ACMACClogo"/>
      </w:pPr>
      <w:r w:rsidRPr="00702EA1">
        <w:rPr>
          <w:noProof/>
        </w:rPr>
        <w:drawing>
          <wp:inline distT="0" distB="0" distL="0" distR="0" wp14:anchorId="47B2D4AC" wp14:editId="3295A78C">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7C1C04E2" w14:textId="77777777" w:rsidR="00284A74" w:rsidRPr="00702EA1" w:rsidRDefault="00810F4E" w:rsidP="00284A74">
      <w:pPr>
        <w:pStyle w:val="ACMACorporateAddresses"/>
        <w:rPr>
          <w:rStyle w:val="Hyperlink"/>
        </w:rPr>
      </w:pPr>
      <w:hyperlink r:id="rId13" w:history="1">
        <w:r w:rsidR="00284A74" w:rsidRPr="00702EA1">
          <w:rPr>
            <w:rStyle w:val="Hyperlink"/>
          </w:rPr>
          <w:t>https://creativecommons.org/licenses/by/4.0/</w:t>
        </w:r>
      </w:hyperlink>
    </w:p>
    <w:p w14:paraId="59F45F57" w14:textId="77777777" w:rsidR="00284A74" w:rsidRPr="00702EA1" w:rsidRDefault="00284A74" w:rsidP="00284A74">
      <w:pPr>
        <w:pStyle w:val="ACMACorporateAddresses"/>
      </w:pPr>
      <w:r w:rsidRPr="00702EA1">
        <w:t xml:space="preserve">With the exception of coats of arms, logos, emblems, images, other third-party material or devices protected by a trademark, this content is made available under the terms of the Creative Commons Attribution 4.0 International (CC BY 4.0) licence. </w:t>
      </w:r>
    </w:p>
    <w:p w14:paraId="0EFA7595" w14:textId="77777777" w:rsidR="00284A74" w:rsidRPr="00702EA1" w:rsidRDefault="00284A74" w:rsidP="00284A74">
      <w:pPr>
        <w:pStyle w:val="ACMACorporateAddresses"/>
      </w:pPr>
      <w:r w:rsidRPr="00702EA1">
        <w:t>We request attribution as © Commonwealth of Australia (Australian Communications and Media Authority) 2021.</w:t>
      </w:r>
    </w:p>
    <w:p w14:paraId="397D9AF6" w14:textId="77777777" w:rsidR="00284A74" w:rsidRPr="00702EA1" w:rsidRDefault="00284A74" w:rsidP="00284A74">
      <w:pPr>
        <w:pStyle w:val="ACMACorporateAddresses"/>
      </w:pPr>
      <w:r w:rsidRPr="00702EA1">
        <w:t>All other rights are reserved.</w:t>
      </w:r>
    </w:p>
    <w:p w14:paraId="22AEB44C" w14:textId="77777777" w:rsidR="00284A74" w:rsidRPr="00702EA1" w:rsidRDefault="00284A74" w:rsidP="00284A74">
      <w:pPr>
        <w:pStyle w:val="ACMACorporateAddresses"/>
      </w:pPr>
      <w:r w:rsidRPr="00702EA1">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34794CA" w14:textId="77777777" w:rsidR="00284A74" w:rsidRPr="00702EA1" w:rsidRDefault="00284A74" w:rsidP="00284A74">
      <w:pPr>
        <w:pStyle w:val="ACMACorporateAddresses"/>
      </w:pPr>
      <w:r w:rsidRPr="00702EA1">
        <w:t>Written enquiries may be sent to:</w:t>
      </w:r>
    </w:p>
    <w:p w14:paraId="0C23C04F" w14:textId="77777777" w:rsidR="00284A74" w:rsidRPr="00702EA1" w:rsidRDefault="00284A74" w:rsidP="00284A74">
      <w:pPr>
        <w:pStyle w:val="ACMACorporateAddresses"/>
        <w:rPr>
          <w:rStyle w:val="Hyperlink"/>
        </w:rPr>
      </w:pPr>
      <w:r w:rsidRPr="00702EA1">
        <w:t>Manager, Editorial Services</w:t>
      </w:r>
      <w:r w:rsidRPr="00702EA1">
        <w:br/>
        <w:t>PO Box 13112</w:t>
      </w:r>
      <w:r w:rsidRPr="00702EA1">
        <w:br/>
        <w:t>Law Courts</w:t>
      </w:r>
      <w:r w:rsidRPr="00702EA1">
        <w:br/>
        <w:t>Melbourne VIC 8010</w:t>
      </w:r>
      <w:r w:rsidRPr="00702EA1">
        <w:br/>
        <w:t xml:space="preserve">Email: </w:t>
      </w:r>
      <w:hyperlink r:id="rId14" w:history="1">
        <w:r w:rsidRPr="00702EA1">
          <w:rPr>
            <w:rStyle w:val="Hyperlink"/>
          </w:rPr>
          <w:t>info@acma.gov.au</w:t>
        </w:r>
      </w:hyperlink>
    </w:p>
    <w:p w14:paraId="52954FA5" w14:textId="77777777" w:rsidR="00D16FE3" w:rsidRPr="00702EA1" w:rsidRDefault="00D16FE3" w:rsidP="00D16FE3">
      <w:pPr>
        <w:pStyle w:val="ACMACorporateAddresses"/>
        <w:sectPr w:rsidR="00D16FE3" w:rsidRPr="00702EA1">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7B18079B" w14:textId="67BB27DB" w:rsidR="00810F4E" w:rsidRDefault="00DF0799">
      <w:pPr>
        <w:pStyle w:val="TOC1"/>
        <w:rPr>
          <w:rFonts w:asciiTheme="minorHAnsi" w:eastAsiaTheme="minorEastAsia" w:hAnsiTheme="minorHAnsi" w:cstheme="minorBidi"/>
          <w:b w:val="0"/>
          <w:spacing w:val="0"/>
          <w:sz w:val="22"/>
          <w:szCs w:val="22"/>
        </w:rPr>
      </w:pPr>
      <w:r>
        <w:rPr>
          <w:rFonts w:cs="Arial"/>
        </w:rPr>
        <w:lastRenderedPageBreak/>
        <w:fldChar w:fldCharType="begin"/>
      </w:r>
      <w:r>
        <w:rPr>
          <w:rFonts w:cs="Arial"/>
        </w:rPr>
        <w:instrText xml:space="preserve"> TOC \o "1-3" \h \z \t "Exec summary heading,1" </w:instrText>
      </w:r>
      <w:r>
        <w:rPr>
          <w:rFonts w:cs="Arial"/>
        </w:rPr>
        <w:fldChar w:fldCharType="separate"/>
      </w:r>
      <w:hyperlink w:anchor="_Toc80877063" w:history="1">
        <w:r w:rsidR="00810F4E" w:rsidRPr="00752DA6">
          <w:rPr>
            <w:rStyle w:val="Hyperlink"/>
          </w:rPr>
          <w:t>Version control</w:t>
        </w:r>
        <w:r w:rsidR="00810F4E">
          <w:rPr>
            <w:webHidden/>
          </w:rPr>
          <w:tab/>
        </w:r>
        <w:r w:rsidR="00810F4E">
          <w:rPr>
            <w:webHidden/>
          </w:rPr>
          <w:fldChar w:fldCharType="begin"/>
        </w:r>
        <w:r w:rsidR="00810F4E">
          <w:rPr>
            <w:webHidden/>
          </w:rPr>
          <w:instrText xml:space="preserve"> PAGEREF _Toc80877063 \h </w:instrText>
        </w:r>
        <w:r w:rsidR="00810F4E">
          <w:rPr>
            <w:webHidden/>
          </w:rPr>
        </w:r>
        <w:r w:rsidR="00810F4E">
          <w:rPr>
            <w:webHidden/>
          </w:rPr>
          <w:fldChar w:fldCharType="separate"/>
        </w:r>
        <w:r w:rsidR="00810F4E">
          <w:rPr>
            <w:webHidden/>
          </w:rPr>
          <w:t>iii</w:t>
        </w:r>
        <w:r w:rsidR="00810F4E">
          <w:rPr>
            <w:webHidden/>
          </w:rPr>
          <w:fldChar w:fldCharType="end"/>
        </w:r>
      </w:hyperlink>
    </w:p>
    <w:p w14:paraId="63E8B0D4" w14:textId="2A0C986F" w:rsidR="00810F4E" w:rsidRDefault="00810F4E">
      <w:pPr>
        <w:pStyle w:val="TOC1"/>
        <w:rPr>
          <w:rFonts w:asciiTheme="minorHAnsi" w:eastAsiaTheme="minorEastAsia" w:hAnsiTheme="minorHAnsi" w:cstheme="minorBidi"/>
          <w:b w:val="0"/>
          <w:spacing w:val="0"/>
          <w:sz w:val="22"/>
          <w:szCs w:val="22"/>
        </w:rPr>
      </w:pPr>
      <w:hyperlink w:anchor="_Toc80877064" w:history="1">
        <w:r w:rsidRPr="00752DA6">
          <w:rPr>
            <w:rStyle w:val="Hyperlink"/>
          </w:rPr>
          <w:t>Introduction</w:t>
        </w:r>
        <w:r>
          <w:rPr>
            <w:webHidden/>
          </w:rPr>
          <w:tab/>
        </w:r>
        <w:r>
          <w:rPr>
            <w:webHidden/>
          </w:rPr>
          <w:fldChar w:fldCharType="begin"/>
        </w:r>
        <w:r>
          <w:rPr>
            <w:webHidden/>
          </w:rPr>
          <w:instrText xml:space="preserve"> PAGEREF _Toc80877064 \h </w:instrText>
        </w:r>
        <w:r>
          <w:rPr>
            <w:webHidden/>
          </w:rPr>
        </w:r>
        <w:r>
          <w:rPr>
            <w:webHidden/>
          </w:rPr>
          <w:fldChar w:fldCharType="separate"/>
        </w:r>
        <w:r>
          <w:rPr>
            <w:webHidden/>
          </w:rPr>
          <w:t>1</w:t>
        </w:r>
        <w:r>
          <w:rPr>
            <w:webHidden/>
          </w:rPr>
          <w:fldChar w:fldCharType="end"/>
        </w:r>
      </w:hyperlink>
    </w:p>
    <w:p w14:paraId="70D4A807" w14:textId="006C1529" w:rsidR="00810F4E" w:rsidRDefault="00810F4E">
      <w:pPr>
        <w:pStyle w:val="TOC2"/>
        <w:rPr>
          <w:rFonts w:asciiTheme="minorHAnsi" w:eastAsiaTheme="minorEastAsia" w:hAnsiTheme="minorHAnsi" w:cstheme="minorBidi"/>
          <w:spacing w:val="0"/>
          <w:sz w:val="22"/>
          <w:szCs w:val="22"/>
        </w:rPr>
      </w:pPr>
      <w:hyperlink w:anchor="_Toc80877065" w:history="1">
        <w:r w:rsidRPr="00752DA6">
          <w:rPr>
            <w:rStyle w:val="Hyperlink"/>
            <w:rFonts w:cs="Calibri"/>
          </w:rPr>
          <w:t>Scope of the TLG</w:t>
        </w:r>
        <w:r>
          <w:rPr>
            <w:webHidden/>
          </w:rPr>
          <w:tab/>
        </w:r>
        <w:r>
          <w:rPr>
            <w:webHidden/>
          </w:rPr>
          <w:fldChar w:fldCharType="begin"/>
        </w:r>
        <w:r>
          <w:rPr>
            <w:webHidden/>
          </w:rPr>
          <w:instrText xml:space="preserve"> PAGEREF _Toc80877065 \h </w:instrText>
        </w:r>
        <w:r>
          <w:rPr>
            <w:webHidden/>
          </w:rPr>
        </w:r>
        <w:r>
          <w:rPr>
            <w:webHidden/>
          </w:rPr>
          <w:fldChar w:fldCharType="separate"/>
        </w:r>
        <w:r>
          <w:rPr>
            <w:webHidden/>
          </w:rPr>
          <w:t>2</w:t>
        </w:r>
        <w:r>
          <w:rPr>
            <w:webHidden/>
          </w:rPr>
          <w:fldChar w:fldCharType="end"/>
        </w:r>
      </w:hyperlink>
    </w:p>
    <w:p w14:paraId="293F0DC7" w14:textId="186A4047" w:rsidR="00810F4E" w:rsidRDefault="00810F4E">
      <w:pPr>
        <w:pStyle w:val="TOC1"/>
        <w:rPr>
          <w:rFonts w:asciiTheme="minorHAnsi" w:eastAsiaTheme="minorEastAsia" w:hAnsiTheme="minorHAnsi" w:cstheme="minorBidi"/>
          <w:b w:val="0"/>
          <w:spacing w:val="0"/>
          <w:sz w:val="22"/>
          <w:szCs w:val="22"/>
        </w:rPr>
      </w:pPr>
      <w:hyperlink w:anchor="_Toc80877066" w:history="1">
        <w:r w:rsidRPr="00752DA6">
          <w:rPr>
            <w:rStyle w:val="Hyperlink"/>
          </w:rPr>
          <w:t>3.4 GHz technical framework</w:t>
        </w:r>
        <w:r>
          <w:rPr>
            <w:webHidden/>
          </w:rPr>
          <w:tab/>
        </w:r>
        <w:r>
          <w:rPr>
            <w:webHidden/>
          </w:rPr>
          <w:fldChar w:fldCharType="begin"/>
        </w:r>
        <w:r>
          <w:rPr>
            <w:webHidden/>
          </w:rPr>
          <w:instrText xml:space="preserve"> PAGEREF _Toc80877066 \h </w:instrText>
        </w:r>
        <w:r>
          <w:rPr>
            <w:webHidden/>
          </w:rPr>
        </w:r>
        <w:r>
          <w:rPr>
            <w:webHidden/>
          </w:rPr>
          <w:fldChar w:fldCharType="separate"/>
        </w:r>
        <w:r>
          <w:rPr>
            <w:webHidden/>
          </w:rPr>
          <w:t>3</w:t>
        </w:r>
        <w:r>
          <w:rPr>
            <w:webHidden/>
          </w:rPr>
          <w:fldChar w:fldCharType="end"/>
        </w:r>
      </w:hyperlink>
    </w:p>
    <w:p w14:paraId="7300613C" w14:textId="293AC262" w:rsidR="00810F4E" w:rsidRDefault="00810F4E">
      <w:pPr>
        <w:pStyle w:val="TOC2"/>
        <w:rPr>
          <w:rFonts w:asciiTheme="minorHAnsi" w:eastAsiaTheme="minorEastAsia" w:hAnsiTheme="minorHAnsi" w:cstheme="minorBidi"/>
          <w:spacing w:val="0"/>
          <w:sz w:val="22"/>
          <w:szCs w:val="22"/>
        </w:rPr>
      </w:pPr>
      <w:hyperlink w:anchor="_Toc80877067" w:history="1">
        <w:r w:rsidRPr="00752DA6">
          <w:rPr>
            <w:rStyle w:val="Hyperlink"/>
          </w:rPr>
          <w:t>3.4 GHz band spectrum licence technical framework</w:t>
        </w:r>
        <w:r>
          <w:rPr>
            <w:webHidden/>
          </w:rPr>
          <w:tab/>
        </w:r>
        <w:r>
          <w:rPr>
            <w:webHidden/>
          </w:rPr>
          <w:fldChar w:fldCharType="begin"/>
        </w:r>
        <w:r>
          <w:rPr>
            <w:webHidden/>
          </w:rPr>
          <w:instrText xml:space="preserve"> PAGEREF _Toc80877067 \h </w:instrText>
        </w:r>
        <w:r>
          <w:rPr>
            <w:webHidden/>
          </w:rPr>
        </w:r>
        <w:r>
          <w:rPr>
            <w:webHidden/>
          </w:rPr>
          <w:fldChar w:fldCharType="separate"/>
        </w:r>
        <w:r>
          <w:rPr>
            <w:webHidden/>
          </w:rPr>
          <w:t>3</w:t>
        </w:r>
        <w:r>
          <w:rPr>
            <w:webHidden/>
          </w:rPr>
          <w:fldChar w:fldCharType="end"/>
        </w:r>
      </w:hyperlink>
    </w:p>
    <w:p w14:paraId="709F21BF" w14:textId="3629F8AE" w:rsidR="00810F4E" w:rsidRDefault="00810F4E">
      <w:pPr>
        <w:pStyle w:val="TOC2"/>
        <w:rPr>
          <w:rFonts w:asciiTheme="minorHAnsi" w:eastAsiaTheme="minorEastAsia" w:hAnsiTheme="minorHAnsi" w:cstheme="minorBidi"/>
          <w:spacing w:val="0"/>
          <w:sz w:val="22"/>
          <w:szCs w:val="22"/>
        </w:rPr>
      </w:pPr>
      <w:hyperlink w:anchor="_Toc80877068" w:history="1">
        <w:r w:rsidRPr="00752DA6">
          <w:rPr>
            <w:rStyle w:val="Hyperlink"/>
          </w:rPr>
          <w:t>Conditions on the spectrum licence</w:t>
        </w:r>
        <w:r>
          <w:rPr>
            <w:webHidden/>
          </w:rPr>
          <w:tab/>
        </w:r>
        <w:r>
          <w:rPr>
            <w:webHidden/>
          </w:rPr>
          <w:fldChar w:fldCharType="begin"/>
        </w:r>
        <w:r>
          <w:rPr>
            <w:webHidden/>
          </w:rPr>
          <w:instrText xml:space="preserve"> PAGEREF _Toc80877068 \h </w:instrText>
        </w:r>
        <w:r>
          <w:rPr>
            <w:webHidden/>
          </w:rPr>
        </w:r>
        <w:r>
          <w:rPr>
            <w:webHidden/>
          </w:rPr>
          <w:fldChar w:fldCharType="separate"/>
        </w:r>
        <w:r>
          <w:rPr>
            <w:webHidden/>
          </w:rPr>
          <w:t>3</w:t>
        </w:r>
        <w:r>
          <w:rPr>
            <w:webHidden/>
          </w:rPr>
          <w:fldChar w:fldCharType="end"/>
        </w:r>
      </w:hyperlink>
    </w:p>
    <w:p w14:paraId="23DE8C68" w14:textId="43A42D54" w:rsidR="00810F4E" w:rsidRDefault="00810F4E">
      <w:pPr>
        <w:pStyle w:val="TOC2"/>
        <w:rPr>
          <w:rFonts w:asciiTheme="minorHAnsi" w:eastAsiaTheme="minorEastAsia" w:hAnsiTheme="minorHAnsi" w:cstheme="minorBidi"/>
          <w:spacing w:val="0"/>
          <w:sz w:val="22"/>
          <w:szCs w:val="22"/>
        </w:rPr>
      </w:pPr>
      <w:hyperlink w:anchor="_Toc80877069" w:history="1">
        <w:r w:rsidRPr="00752DA6">
          <w:rPr>
            <w:rStyle w:val="Hyperlink"/>
          </w:rPr>
          <w:t>Unacceptable levels of interference</w:t>
        </w:r>
        <w:r>
          <w:rPr>
            <w:webHidden/>
          </w:rPr>
          <w:tab/>
        </w:r>
        <w:r>
          <w:rPr>
            <w:webHidden/>
          </w:rPr>
          <w:fldChar w:fldCharType="begin"/>
        </w:r>
        <w:r>
          <w:rPr>
            <w:webHidden/>
          </w:rPr>
          <w:instrText xml:space="preserve"> PAGEREF _Toc80877069 \h </w:instrText>
        </w:r>
        <w:r>
          <w:rPr>
            <w:webHidden/>
          </w:rPr>
        </w:r>
        <w:r>
          <w:rPr>
            <w:webHidden/>
          </w:rPr>
          <w:fldChar w:fldCharType="separate"/>
        </w:r>
        <w:r>
          <w:rPr>
            <w:webHidden/>
          </w:rPr>
          <w:t>4</w:t>
        </w:r>
        <w:r>
          <w:rPr>
            <w:webHidden/>
          </w:rPr>
          <w:fldChar w:fldCharType="end"/>
        </w:r>
      </w:hyperlink>
    </w:p>
    <w:p w14:paraId="2BBD3A8A" w14:textId="03A81A66" w:rsidR="00810F4E" w:rsidRDefault="00810F4E">
      <w:pPr>
        <w:pStyle w:val="TOC2"/>
        <w:rPr>
          <w:rFonts w:asciiTheme="minorHAnsi" w:eastAsiaTheme="minorEastAsia" w:hAnsiTheme="minorHAnsi" w:cstheme="minorBidi"/>
          <w:spacing w:val="0"/>
          <w:sz w:val="22"/>
          <w:szCs w:val="22"/>
        </w:rPr>
      </w:pPr>
      <w:hyperlink w:anchor="_Toc80877070" w:history="1">
        <w:r w:rsidRPr="00752DA6">
          <w:rPr>
            <w:rStyle w:val="Hyperlink"/>
          </w:rPr>
          <w:t>Radiocommunications advisory guidelines</w:t>
        </w:r>
        <w:r>
          <w:rPr>
            <w:webHidden/>
          </w:rPr>
          <w:tab/>
        </w:r>
        <w:r>
          <w:rPr>
            <w:webHidden/>
          </w:rPr>
          <w:fldChar w:fldCharType="begin"/>
        </w:r>
        <w:r>
          <w:rPr>
            <w:webHidden/>
          </w:rPr>
          <w:instrText xml:space="preserve"> PAGEREF _Toc80877070 \h </w:instrText>
        </w:r>
        <w:r>
          <w:rPr>
            <w:webHidden/>
          </w:rPr>
        </w:r>
        <w:r>
          <w:rPr>
            <w:webHidden/>
          </w:rPr>
          <w:fldChar w:fldCharType="separate"/>
        </w:r>
        <w:r>
          <w:rPr>
            <w:webHidden/>
          </w:rPr>
          <w:t>5</w:t>
        </w:r>
        <w:r>
          <w:rPr>
            <w:webHidden/>
          </w:rPr>
          <w:fldChar w:fldCharType="end"/>
        </w:r>
      </w:hyperlink>
    </w:p>
    <w:p w14:paraId="157B81EC" w14:textId="4C48C16D" w:rsidR="00810F4E" w:rsidRDefault="00810F4E">
      <w:pPr>
        <w:pStyle w:val="TOC1"/>
        <w:rPr>
          <w:rFonts w:asciiTheme="minorHAnsi" w:eastAsiaTheme="minorEastAsia" w:hAnsiTheme="minorHAnsi" w:cstheme="minorBidi"/>
          <w:b w:val="0"/>
          <w:spacing w:val="0"/>
          <w:sz w:val="22"/>
          <w:szCs w:val="22"/>
        </w:rPr>
      </w:pPr>
      <w:hyperlink w:anchor="_Toc80877071" w:history="1">
        <w:r w:rsidRPr="00752DA6">
          <w:rPr>
            <w:rStyle w:val="Hyperlink"/>
          </w:rPr>
          <w:t>Changes to the 3.4 GHz technical framework</w:t>
        </w:r>
        <w:r>
          <w:rPr>
            <w:webHidden/>
          </w:rPr>
          <w:tab/>
        </w:r>
        <w:r>
          <w:rPr>
            <w:webHidden/>
          </w:rPr>
          <w:fldChar w:fldCharType="begin"/>
        </w:r>
        <w:r>
          <w:rPr>
            <w:webHidden/>
          </w:rPr>
          <w:instrText xml:space="preserve"> PAGEREF _Toc80877071 \h </w:instrText>
        </w:r>
        <w:r>
          <w:rPr>
            <w:webHidden/>
          </w:rPr>
        </w:r>
        <w:r>
          <w:rPr>
            <w:webHidden/>
          </w:rPr>
          <w:fldChar w:fldCharType="separate"/>
        </w:r>
        <w:r>
          <w:rPr>
            <w:webHidden/>
          </w:rPr>
          <w:t>6</w:t>
        </w:r>
        <w:r>
          <w:rPr>
            <w:webHidden/>
          </w:rPr>
          <w:fldChar w:fldCharType="end"/>
        </w:r>
      </w:hyperlink>
    </w:p>
    <w:p w14:paraId="3E3400A5" w14:textId="308C7C5C" w:rsidR="00810F4E" w:rsidRDefault="00810F4E">
      <w:pPr>
        <w:pStyle w:val="TOC2"/>
        <w:rPr>
          <w:rFonts w:asciiTheme="minorHAnsi" w:eastAsiaTheme="minorEastAsia" w:hAnsiTheme="minorHAnsi" w:cstheme="minorBidi"/>
          <w:spacing w:val="0"/>
          <w:sz w:val="22"/>
          <w:szCs w:val="22"/>
        </w:rPr>
      </w:pPr>
      <w:hyperlink w:anchor="_Toc80877072" w:history="1">
        <w:r w:rsidRPr="00752DA6">
          <w:rPr>
            <w:rStyle w:val="Hyperlink"/>
          </w:rPr>
          <w:t>Consequential changes</w:t>
        </w:r>
        <w:r>
          <w:rPr>
            <w:webHidden/>
          </w:rPr>
          <w:tab/>
        </w:r>
        <w:r>
          <w:rPr>
            <w:webHidden/>
          </w:rPr>
          <w:fldChar w:fldCharType="begin"/>
        </w:r>
        <w:r>
          <w:rPr>
            <w:webHidden/>
          </w:rPr>
          <w:instrText xml:space="preserve"> PAGEREF _Toc80877072 \h </w:instrText>
        </w:r>
        <w:r>
          <w:rPr>
            <w:webHidden/>
          </w:rPr>
        </w:r>
        <w:r>
          <w:rPr>
            <w:webHidden/>
          </w:rPr>
          <w:fldChar w:fldCharType="separate"/>
        </w:r>
        <w:r>
          <w:rPr>
            <w:webHidden/>
          </w:rPr>
          <w:t>6</w:t>
        </w:r>
        <w:r>
          <w:rPr>
            <w:webHidden/>
          </w:rPr>
          <w:fldChar w:fldCharType="end"/>
        </w:r>
      </w:hyperlink>
    </w:p>
    <w:p w14:paraId="6C097F79" w14:textId="640DC5FB" w:rsidR="00810F4E" w:rsidRDefault="00810F4E">
      <w:pPr>
        <w:pStyle w:val="TOC2"/>
        <w:rPr>
          <w:rFonts w:asciiTheme="minorHAnsi" w:eastAsiaTheme="minorEastAsia" w:hAnsiTheme="minorHAnsi" w:cstheme="minorBidi"/>
          <w:spacing w:val="0"/>
          <w:sz w:val="22"/>
          <w:szCs w:val="22"/>
        </w:rPr>
      </w:pPr>
      <w:hyperlink w:anchor="_Toc80877073" w:history="1">
        <w:r w:rsidRPr="00752DA6">
          <w:rPr>
            <w:rStyle w:val="Hyperlink"/>
          </w:rPr>
          <w:t xml:space="preserve">Development of interference management criteria to and from urban </w:t>
        </w:r>
        <w:r>
          <w:rPr>
            <w:rStyle w:val="Hyperlink"/>
          </w:rPr>
          <w:br/>
        </w:r>
        <w:r w:rsidRPr="00752DA6">
          <w:rPr>
            <w:rStyle w:val="Hyperlink"/>
          </w:rPr>
          <w:t>excise areas</w:t>
        </w:r>
        <w:r>
          <w:rPr>
            <w:webHidden/>
          </w:rPr>
          <w:tab/>
        </w:r>
        <w:r>
          <w:rPr>
            <w:webHidden/>
          </w:rPr>
          <w:fldChar w:fldCharType="begin"/>
        </w:r>
        <w:r>
          <w:rPr>
            <w:webHidden/>
          </w:rPr>
          <w:instrText xml:space="preserve"> PAGEREF _Toc80877073 \h </w:instrText>
        </w:r>
        <w:r>
          <w:rPr>
            <w:webHidden/>
          </w:rPr>
        </w:r>
        <w:r>
          <w:rPr>
            <w:webHidden/>
          </w:rPr>
          <w:fldChar w:fldCharType="separate"/>
        </w:r>
        <w:r>
          <w:rPr>
            <w:webHidden/>
          </w:rPr>
          <w:t>7</w:t>
        </w:r>
        <w:r>
          <w:rPr>
            <w:webHidden/>
          </w:rPr>
          <w:fldChar w:fldCharType="end"/>
        </w:r>
      </w:hyperlink>
    </w:p>
    <w:p w14:paraId="436C3460" w14:textId="6CD69729" w:rsidR="00810F4E" w:rsidRDefault="00810F4E">
      <w:pPr>
        <w:pStyle w:val="TOC3"/>
        <w:rPr>
          <w:rFonts w:asciiTheme="minorHAnsi" w:eastAsiaTheme="minorEastAsia" w:hAnsiTheme="minorHAnsi" w:cstheme="minorBidi"/>
        </w:rPr>
      </w:pPr>
      <w:hyperlink w:anchor="_Toc80877074" w:history="1">
        <w:r w:rsidRPr="00752DA6">
          <w:rPr>
            <w:rStyle w:val="Hyperlink"/>
          </w:rPr>
          <w:t>Background</w:t>
        </w:r>
        <w:r>
          <w:rPr>
            <w:webHidden/>
          </w:rPr>
          <w:tab/>
        </w:r>
        <w:r>
          <w:rPr>
            <w:webHidden/>
          </w:rPr>
          <w:fldChar w:fldCharType="begin"/>
        </w:r>
        <w:r>
          <w:rPr>
            <w:webHidden/>
          </w:rPr>
          <w:instrText xml:space="preserve"> PAGEREF _Toc80877074 \h </w:instrText>
        </w:r>
        <w:r>
          <w:rPr>
            <w:webHidden/>
          </w:rPr>
        </w:r>
        <w:r>
          <w:rPr>
            <w:webHidden/>
          </w:rPr>
          <w:fldChar w:fldCharType="separate"/>
        </w:r>
        <w:r>
          <w:rPr>
            <w:webHidden/>
          </w:rPr>
          <w:t>7</w:t>
        </w:r>
        <w:r>
          <w:rPr>
            <w:webHidden/>
          </w:rPr>
          <w:fldChar w:fldCharType="end"/>
        </w:r>
      </w:hyperlink>
    </w:p>
    <w:p w14:paraId="2922249D" w14:textId="3F1C912A" w:rsidR="00810F4E" w:rsidRDefault="00810F4E">
      <w:pPr>
        <w:pStyle w:val="TOC3"/>
        <w:rPr>
          <w:rFonts w:asciiTheme="minorHAnsi" w:eastAsiaTheme="minorEastAsia" w:hAnsiTheme="minorHAnsi" w:cstheme="minorBidi"/>
        </w:rPr>
      </w:pPr>
      <w:hyperlink w:anchor="_Toc80877075" w:history="1">
        <w:r w:rsidRPr="00752DA6">
          <w:rPr>
            <w:rStyle w:val="Hyperlink"/>
          </w:rPr>
          <w:t>Summary of options identified</w:t>
        </w:r>
        <w:r>
          <w:rPr>
            <w:webHidden/>
          </w:rPr>
          <w:tab/>
        </w:r>
        <w:r>
          <w:rPr>
            <w:webHidden/>
          </w:rPr>
          <w:fldChar w:fldCharType="begin"/>
        </w:r>
        <w:r>
          <w:rPr>
            <w:webHidden/>
          </w:rPr>
          <w:instrText xml:space="preserve"> PAGEREF _Toc80877075 \h </w:instrText>
        </w:r>
        <w:r>
          <w:rPr>
            <w:webHidden/>
          </w:rPr>
        </w:r>
        <w:r>
          <w:rPr>
            <w:webHidden/>
          </w:rPr>
          <w:fldChar w:fldCharType="separate"/>
        </w:r>
        <w:r>
          <w:rPr>
            <w:webHidden/>
          </w:rPr>
          <w:t>8</w:t>
        </w:r>
        <w:r>
          <w:rPr>
            <w:webHidden/>
          </w:rPr>
          <w:fldChar w:fldCharType="end"/>
        </w:r>
      </w:hyperlink>
    </w:p>
    <w:p w14:paraId="1DE3576E" w14:textId="2C3B2DCA" w:rsidR="00810F4E" w:rsidRDefault="00810F4E">
      <w:pPr>
        <w:pStyle w:val="TOC3"/>
        <w:rPr>
          <w:rFonts w:asciiTheme="minorHAnsi" w:eastAsiaTheme="minorEastAsia" w:hAnsiTheme="minorHAnsi" w:cstheme="minorBidi"/>
        </w:rPr>
      </w:pPr>
      <w:hyperlink w:anchor="_Toc80877076" w:history="1">
        <w:r w:rsidRPr="00752DA6">
          <w:rPr>
            <w:rStyle w:val="Hyperlink"/>
          </w:rPr>
          <w:t>Macro-cell interference management criteria</w:t>
        </w:r>
        <w:r>
          <w:rPr>
            <w:webHidden/>
          </w:rPr>
          <w:tab/>
        </w:r>
        <w:r>
          <w:rPr>
            <w:webHidden/>
          </w:rPr>
          <w:fldChar w:fldCharType="begin"/>
        </w:r>
        <w:r>
          <w:rPr>
            <w:webHidden/>
          </w:rPr>
          <w:instrText xml:space="preserve"> PAGEREF _Toc80877076 \h </w:instrText>
        </w:r>
        <w:r>
          <w:rPr>
            <w:webHidden/>
          </w:rPr>
        </w:r>
        <w:r>
          <w:rPr>
            <w:webHidden/>
          </w:rPr>
          <w:fldChar w:fldCharType="separate"/>
        </w:r>
        <w:r>
          <w:rPr>
            <w:webHidden/>
          </w:rPr>
          <w:t>10</w:t>
        </w:r>
        <w:r>
          <w:rPr>
            <w:webHidden/>
          </w:rPr>
          <w:fldChar w:fldCharType="end"/>
        </w:r>
      </w:hyperlink>
    </w:p>
    <w:p w14:paraId="359DD9DF" w14:textId="36F9E194" w:rsidR="00810F4E" w:rsidRDefault="00810F4E">
      <w:pPr>
        <w:pStyle w:val="TOC3"/>
        <w:rPr>
          <w:rFonts w:asciiTheme="minorHAnsi" w:eastAsiaTheme="minorEastAsia" w:hAnsiTheme="minorHAnsi" w:cstheme="minorBidi"/>
        </w:rPr>
      </w:pPr>
      <w:hyperlink w:anchor="_Toc80877077" w:history="1">
        <w:r w:rsidRPr="00752DA6">
          <w:rPr>
            <w:rStyle w:val="Hyperlink"/>
          </w:rPr>
          <w:t>Restricted cell interference management criteria</w:t>
        </w:r>
        <w:r>
          <w:rPr>
            <w:webHidden/>
          </w:rPr>
          <w:tab/>
        </w:r>
        <w:r>
          <w:rPr>
            <w:webHidden/>
          </w:rPr>
          <w:fldChar w:fldCharType="begin"/>
        </w:r>
        <w:r>
          <w:rPr>
            <w:webHidden/>
          </w:rPr>
          <w:instrText xml:space="preserve"> PAGEREF _Toc80877077 \h </w:instrText>
        </w:r>
        <w:r>
          <w:rPr>
            <w:webHidden/>
          </w:rPr>
        </w:r>
        <w:r>
          <w:rPr>
            <w:webHidden/>
          </w:rPr>
          <w:fldChar w:fldCharType="separate"/>
        </w:r>
        <w:r>
          <w:rPr>
            <w:webHidden/>
          </w:rPr>
          <w:t>14</w:t>
        </w:r>
        <w:r>
          <w:rPr>
            <w:webHidden/>
          </w:rPr>
          <w:fldChar w:fldCharType="end"/>
        </w:r>
      </w:hyperlink>
    </w:p>
    <w:p w14:paraId="03BC21B9" w14:textId="5E36085D" w:rsidR="00810F4E" w:rsidRDefault="00810F4E">
      <w:pPr>
        <w:pStyle w:val="TOC2"/>
        <w:rPr>
          <w:rFonts w:asciiTheme="minorHAnsi" w:eastAsiaTheme="minorEastAsia" w:hAnsiTheme="minorHAnsi" w:cstheme="minorBidi"/>
          <w:spacing w:val="0"/>
          <w:sz w:val="22"/>
          <w:szCs w:val="22"/>
        </w:rPr>
      </w:pPr>
      <w:hyperlink w:anchor="_Toc80877078" w:history="1">
        <w:r w:rsidRPr="00752DA6">
          <w:rPr>
            <w:rStyle w:val="Hyperlink"/>
          </w:rPr>
          <w:t>Review of the s.145(4) Determination</w:t>
        </w:r>
        <w:r>
          <w:rPr>
            <w:webHidden/>
          </w:rPr>
          <w:tab/>
        </w:r>
        <w:r>
          <w:rPr>
            <w:webHidden/>
          </w:rPr>
          <w:fldChar w:fldCharType="begin"/>
        </w:r>
        <w:r>
          <w:rPr>
            <w:webHidden/>
          </w:rPr>
          <w:instrText xml:space="preserve"> PAGEREF _Toc80877078 \h </w:instrText>
        </w:r>
        <w:r>
          <w:rPr>
            <w:webHidden/>
          </w:rPr>
        </w:r>
        <w:r>
          <w:rPr>
            <w:webHidden/>
          </w:rPr>
          <w:fldChar w:fldCharType="separate"/>
        </w:r>
        <w:r>
          <w:rPr>
            <w:webHidden/>
          </w:rPr>
          <w:t>15</w:t>
        </w:r>
        <w:r>
          <w:rPr>
            <w:webHidden/>
          </w:rPr>
          <w:fldChar w:fldCharType="end"/>
        </w:r>
      </w:hyperlink>
    </w:p>
    <w:p w14:paraId="63666449" w14:textId="47DC50CB" w:rsidR="00810F4E" w:rsidRDefault="00810F4E">
      <w:pPr>
        <w:pStyle w:val="TOC2"/>
        <w:rPr>
          <w:rFonts w:asciiTheme="minorHAnsi" w:eastAsiaTheme="minorEastAsia" w:hAnsiTheme="minorHAnsi" w:cstheme="minorBidi"/>
          <w:spacing w:val="0"/>
          <w:sz w:val="22"/>
          <w:szCs w:val="22"/>
        </w:rPr>
      </w:pPr>
      <w:hyperlink w:anchor="_Toc80877079" w:history="1">
        <w:r w:rsidRPr="00752DA6">
          <w:rPr>
            <w:rStyle w:val="Hyperlink"/>
          </w:rPr>
          <w:t>Review of the Rx spurious emission limits</w:t>
        </w:r>
        <w:r>
          <w:rPr>
            <w:webHidden/>
          </w:rPr>
          <w:tab/>
        </w:r>
        <w:r>
          <w:rPr>
            <w:webHidden/>
          </w:rPr>
          <w:fldChar w:fldCharType="begin"/>
        </w:r>
        <w:r>
          <w:rPr>
            <w:webHidden/>
          </w:rPr>
          <w:instrText xml:space="preserve"> PAGEREF _Toc80877079 \h </w:instrText>
        </w:r>
        <w:r>
          <w:rPr>
            <w:webHidden/>
          </w:rPr>
        </w:r>
        <w:r>
          <w:rPr>
            <w:webHidden/>
          </w:rPr>
          <w:fldChar w:fldCharType="separate"/>
        </w:r>
        <w:r>
          <w:rPr>
            <w:webHidden/>
          </w:rPr>
          <w:t>16</w:t>
        </w:r>
        <w:r>
          <w:rPr>
            <w:webHidden/>
          </w:rPr>
          <w:fldChar w:fldCharType="end"/>
        </w:r>
      </w:hyperlink>
    </w:p>
    <w:p w14:paraId="6A22398E" w14:textId="734A568F" w:rsidR="00810F4E" w:rsidRDefault="00810F4E">
      <w:pPr>
        <w:pStyle w:val="TOC2"/>
        <w:rPr>
          <w:rFonts w:asciiTheme="minorHAnsi" w:eastAsiaTheme="minorEastAsia" w:hAnsiTheme="minorHAnsi" w:cstheme="minorBidi"/>
          <w:spacing w:val="0"/>
          <w:sz w:val="22"/>
          <w:szCs w:val="22"/>
        </w:rPr>
      </w:pPr>
      <w:hyperlink w:anchor="_Toc80877080" w:history="1">
        <w:r w:rsidRPr="00752DA6">
          <w:rPr>
            <w:rStyle w:val="Hyperlink"/>
          </w:rPr>
          <w:t>Review of the RAG Rx</w:t>
        </w:r>
        <w:r>
          <w:rPr>
            <w:webHidden/>
          </w:rPr>
          <w:tab/>
        </w:r>
        <w:r>
          <w:rPr>
            <w:webHidden/>
          </w:rPr>
          <w:fldChar w:fldCharType="begin"/>
        </w:r>
        <w:r>
          <w:rPr>
            <w:webHidden/>
          </w:rPr>
          <w:instrText xml:space="preserve"> PAGEREF _Toc80877080 \h </w:instrText>
        </w:r>
        <w:r>
          <w:rPr>
            <w:webHidden/>
          </w:rPr>
        </w:r>
        <w:r>
          <w:rPr>
            <w:webHidden/>
          </w:rPr>
          <w:fldChar w:fldCharType="separate"/>
        </w:r>
        <w:r>
          <w:rPr>
            <w:webHidden/>
          </w:rPr>
          <w:t>17</w:t>
        </w:r>
        <w:r>
          <w:rPr>
            <w:webHidden/>
          </w:rPr>
          <w:fldChar w:fldCharType="end"/>
        </w:r>
      </w:hyperlink>
    </w:p>
    <w:p w14:paraId="3E06F226" w14:textId="7E3A5DDB" w:rsidR="00810F4E" w:rsidRDefault="00810F4E">
      <w:pPr>
        <w:pStyle w:val="TOC1"/>
        <w:rPr>
          <w:rFonts w:asciiTheme="minorHAnsi" w:eastAsiaTheme="minorEastAsia" w:hAnsiTheme="minorHAnsi" w:cstheme="minorBidi"/>
          <w:b w:val="0"/>
          <w:spacing w:val="0"/>
          <w:sz w:val="22"/>
          <w:szCs w:val="22"/>
        </w:rPr>
      </w:pPr>
      <w:hyperlink w:anchor="_Toc80877081" w:history="1">
        <w:r w:rsidRPr="00752DA6">
          <w:rPr>
            <w:rStyle w:val="Hyperlink"/>
          </w:rPr>
          <w:t>Appendix A: Urban excise areas</w:t>
        </w:r>
        <w:r>
          <w:rPr>
            <w:webHidden/>
          </w:rPr>
          <w:tab/>
        </w:r>
        <w:r>
          <w:rPr>
            <w:webHidden/>
          </w:rPr>
          <w:fldChar w:fldCharType="begin"/>
        </w:r>
        <w:r>
          <w:rPr>
            <w:webHidden/>
          </w:rPr>
          <w:instrText xml:space="preserve"> PAGEREF _Toc80877081 \h </w:instrText>
        </w:r>
        <w:r>
          <w:rPr>
            <w:webHidden/>
          </w:rPr>
        </w:r>
        <w:r>
          <w:rPr>
            <w:webHidden/>
          </w:rPr>
          <w:fldChar w:fldCharType="separate"/>
        </w:r>
        <w:r>
          <w:rPr>
            <w:webHidden/>
          </w:rPr>
          <w:t>18</w:t>
        </w:r>
        <w:r>
          <w:rPr>
            <w:webHidden/>
          </w:rPr>
          <w:fldChar w:fldCharType="end"/>
        </w:r>
      </w:hyperlink>
    </w:p>
    <w:p w14:paraId="2B84756C" w14:textId="00EE542F" w:rsidR="00810F4E" w:rsidRDefault="00810F4E">
      <w:pPr>
        <w:pStyle w:val="TOC1"/>
        <w:rPr>
          <w:rFonts w:asciiTheme="minorHAnsi" w:eastAsiaTheme="minorEastAsia" w:hAnsiTheme="minorHAnsi" w:cstheme="minorBidi"/>
          <w:b w:val="0"/>
          <w:spacing w:val="0"/>
          <w:sz w:val="22"/>
          <w:szCs w:val="22"/>
        </w:rPr>
      </w:pPr>
      <w:hyperlink w:anchor="_Toc80877082" w:history="1">
        <w:r w:rsidRPr="00752DA6">
          <w:rPr>
            <w:rStyle w:val="Hyperlink"/>
          </w:rPr>
          <w:t>Appendix B: Summary of discussion on urban excise interference management criteria</w:t>
        </w:r>
        <w:r>
          <w:rPr>
            <w:webHidden/>
          </w:rPr>
          <w:tab/>
        </w:r>
        <w:r>
          <w:rPr>
            <w:webHidden/>
          </w:rPr>
          <w:fldChar w:fldCharType="begin"/>
        </w:r>
        <w:r>
          <w:rPr>
            <w:webHidden/>
          </w:rPr>
          <w:instrText xml:space="preserve"> PAGEREF _Toc80877082 \h </w:instrText>
        </w:r>
        <w:r>
          <w:rPr>
            <w:webHidden/>
          </w:rPr>
        </w:r>
        <w:r>
          <w:rPr>
            <w:webHidden/>
          </w:rPr>
          <w:fldChar w:fldCharType="separate"/>
        </w:r>
        <w:r>
          <w:rPr>
            <w:webHidden/>
          </w:rPr>
          <w:t>20</w:t>
        </w:r>
        <w:r>
          <w:rPr>
            <w:webHidden/>
          </w:rPr>
          <w:fldChar w:fldCharType="end"/>
        </w:r>
      </w:hyperlink>
    </w:p>
    <w:p w14:paraId="13996D01" w14:textId="204F4632" w:rsidR="00810F4E" w:rsidRDefault="00810F4E">
      <w:pPr>
        <w:pStyle w:val="TOC2"/>
        <w:rPr>
          <w:rFonts w:asciiTheme="minorHAnsi" w:eastAsiaTheme="minorEastAsia" w:hAnsiTheme="minorHAnsi" w:cstheme="minorBidi"/>
          <w:spacing w:val="0"/>
          <w:sz w:val="22"/>
          <w:szCs w:val="22"/>
        </w:rPr>
      </w:pPr>
      <w:hyperlink w:anchor="_Toc80877083" w:history="1">
        <w:r w:rsidRPr="00752DA6">
          <w:rPr>
            <w:rStyle w:val="Hyperlink"/>
          </w:rPr>
          <w:t>Interference mechanisms</w:t>
        </w:r>
        <w:r>
          <w:rPr>
            <w:webHidden/>
          </w:rPr>
          <w:tab/>
        </w:r>
        <w:r>
          <w:rPr>
            <w:webHidden/>
          </w:rPr>
          <w:fldChar w:fldCharType="begin"/>
        </w:r>
        <w:r>
          <w:rPr>
            <w:webHidden/>
          </w:rPr>
          <w:instrText xml:space="preserve"> PAGEREF _Toc80877083 \h </w:instrText>
        </w:r>
        <w:r>
          <w:rPr>
            <w:webHidden/>
          </w:rPr>
        </w:r>
        <w:r>
          <w:rPr>
            <w:webHidden/>
          </w:rPr>
          <w:fldChar w:fldCharType="separate"/>
        </w:r>
        <w:r>
          <w:rPr>
            <w:webHidden/>
          </w:rPr>
          <w:t>20</w:t>
        </w:r>
        <w:r>
          <w:rPr>
            <w:webHidden/>
          </w:rPr>
          <w:fldChar w:fldCharType="end"/>
        </w:r>
      </w:hyperlink>
    </w:p>
    <w:p w14:paraId="7FF77EC0" w14:textId="1DAC3E9F" w:rsidR="00810F4E" w:rsidRDefault="00810F4E">
      <w:pPr>
        <w:pStyle w:val="TOC2"/>
        <w:rPr>
          <w:rFonts w:asciiTheme="minorHAnsi" w:eastAsiaTheme="minorEastAsia" w:hAnsiTheme="minorHAnsi" w:cstheme="minorBidi"/>
          <w:spacing w:val="0"/>
          <w:sz w:val="22"/>
          <w:szCs w:val="22"/>
        </w:rPr>
      </w:pPr>
      <w:hyperlink w:anchor="_Toc80877084" w:history="1">
        <w:r w:rsidRPr="00752DA6">
          <w:rPr>
            <w:rStyle w:val="Hyperlink"/>
          </w:rPr>
          <w:t>Macro-cell scenario discussion</w:t>
        </w:r>
        <w:r>
          <w:rPr>
            <w:webHidden/>
          </w:rPr>
          <w:tab/>
        </w:r>
        <w:r>
          <w:rPr>
            <w:webHidden/>
          </w:rPr>
          <w:fldChar w:fldCharType="begin"/>
        </w:r>
        <w:r>
          <w:rPr>
            <w:webHidden/>
          </w:rPr>
          <w:instrText xml:space="preserve"> PAGEREF _Toc80877084 \h </w:instrText>
        </w:r>
        <w:r>
          <w:rPr>
            <w:webHidden/>
          </w:rPr>
        </w:r>
        <w:r>
          <w:rPr>
            <w:webHidden/>
          </w:rPr>
          <w:fldChar w:fldCharType="separate"/>
        </w:r>
        <w:r>
          <w:rPr>
            <w:webHidden/>
          </w:rPr>
          <w:t>20</w:t>
        </w:r>
        <w:r>
          <w:rPr>
            <w:webHidden/>
          </w:rPr>
          <w:fldChar w:fldCharType="end"/>
        </w:r>
      </w:hyperlink>
    </w:p>
    <w:p w14:paraId="54C67F37" w14:textId="72121A91" w:rsidR="00810F4E" w:rsidRDefault="00810F4E">
      <w:pPr>
        <w:pStyle w:val="TOC3"/>
        <w:rPr>
          <w:rFonts w:asciiTheme="minorHAnsi" w:eastAsiaTheme="minorEastAsia" w:hAnsiTheme="minorHAnsi" w:cstheme="minorBidi"/>
        </w:rPr>
      </w:pPr>
      <w:hyperlink w:anchor="_Toc80877085" w:history="1">
        <w:r w:rsidRPr="00752DA6">
          <w:rPr>
            <w:rStyle w:val="Hyperlink"/>
          </w:rPr>
          <w:t>BS-BS</w:t>
        </w:r>
        <w:r>
          <w:rPr>
            <w:webHidden/>
          </w:rPr>
          <w:tab/>
        </w:r>
        <w:r>
          <w:rPr>
            <w:webHidden/>
          </w:rPr>
          <w:fldChar w:fldCharType="begin"/>
        </w:r>
        <w:r>
          <w:rPr>
            <w:webHidden/>
          </w:rPr>
          <w:instrText xml:space="preserve"> PAGEREF _Toc80877085 \h </w:instrText>
        </w:r>
        <w:r>
          <w:rPr>
            <w:webHidden/>
          </w:rPr>
        </w:r>
        <w:r>
          <w:rPr>
            <w:webHidden/>
          </w:rPr>
          <w:fldChar w:fldCharType="separate"/>
        </w:r>
        <w:r>
          <w:rPr>
            <w:webHidden/>
          </w:rPr>
          <w:t>20</w:t>
        </w:r>
        <w:r>
          <w:rPr>
            <w:webHidden/>
          </w:rPr>
          <w:fldChar w:fldCharType="end"/>
        </w:r>
      </w:hyperlink>
    </w:p>
    <w:p w14:paraId="5E0B375F" w14:textId="490DC63B" w:rsidR="00810F4E" w:rsidRDefault="00810F4E">
      <w:pPr>
        <w:pStyle w:val="TOC3"/>
        <w:rPr>
          <w:rFonts w:asciiTheme="minorHAnsi" w:eastAsiaTheme="minorEastAsia" w:hAnsiTheme="minorHAnsi" w:cstheme="minorBidi"/>
        </w:rPr>
      </w:pPr>
      <w:hyperlink w:anchor="_Toc80877086" w:history="1">
        <w:r w:rsidRPr="00752DA6">
          <w:rPr>
            <w:rStyle w:val="Hyperlink"/>
          </w:rPr>
          <w:t>BS-CPE</w:t>
        </w:r>
        <w:r>
          <w:rPr>
            <w:webHidden/>
          </w:rPr>
          <w:tab/>
        </w:r>
        <w:r>
          <w:rPr>
            <w:webHidden/>
          </w:rPr>
          <w:fldChar w:fldCharType="begin"/>
        </w:r>
        <w:r>
          <w:rPr>
            <w:webHidden/>
          </w:rPr>
          <w:instrText xml:space="preserve"> PAGEREF _Toc80877086 \h </w:instrText>
        </w:r>
        <w:r>
          <w:rPr>
            <w:webHidden/>
          </w:rPr>
        </w:r>
        <w:r>
          <w:rPr>
            <w:webHidden/>
          </w:rPr>
          <w:fldChar w:fldCharType="separate"/>
        </w:r>
        <w:r>
          <w:rPr>
            <w:webHidden/>
          </w:rPr>
          <w:t>22</w:t>
        </w:r>
        <w:r>
          <w:rPr>
            <w:webHidden/>
          </w:rPr>
          <w:fldChar w:fldCharType="end"/>
        </w:r>
      </w:hyperlink>
    </w:p>
    <w:p w14:paraId="6F5821E8" w14:textId="014E1A69" w:rsidR="00810F4E" w:rsidRDefault="00810F4E">
      <w:pPr>
        <w:pStyle w:val="TOC3"/>
        <w:rPr>
          <w:rFonts w:asciiTheme="minorHAnsi" w:eastAsiaTheme="minorEastAsia" w:hAnsiTheme="minorHAnsi" w:cstheme="minorBidi"/>
        </w:rPr>
      </w:pPr>
      <w:hyperlink w:anchor="_Toc80877087" w:history="1">
        <w:r w:rsidRPr="00752DA6">
          <w:rPr>
            <w:rStyle w:val="Hyperlink"/>
          </w:rPr>
          <w:t>BS-MS</w:t>
        </w:r>
        <w:r>
          <w:rPr>
            <w:webHidden/>
          </w:rPr>
          <w:tab/>
        </w:r>
        <w:r>
          <w:rPr>
            <w:webHidden/>
          </w:rPr>
          <w:fldChar w:fldCharType="begin"/>
        </w:r>
        <w:r>
          <w:rPr>
            <w:webHidden/>
          </w:rPr>
          <w:instrText xml:space="preserve"> PAGEREF _Toc80877087 \h </w:instrText>
        </w:r>
        <w:r>
          <w:rPr>
            <w:webHidden/>
          </w:rPr>
        </w:r>
        <w:r>
          <w:rPr>
            <w:webHidden/>
          </w:rPr>
          <w:fldChar w:fldCharType="separate"/>
        </w:r>
        <w:r>
          <w:rPr>
            <w:webHidden/>
          </w:rPr>
          <w:t>24</w:t>
        </w:r>
        <w:r>
          <w:rPr>
            <w:webHidden/>
          </w:rPr>
          <w:fldChar w:fldCharType="end"/>
        </w:r>
      </w:hyperlink>
    </w:p>
    <w:p w14:paraId="2319BECA" w14:textId="211C9880" w:rsidR="00810F4E" w:rsidRDefault="00810F4E">
      <w:pPr>
        <w:pStyle w:val="TOC3"/>
        <w:rPr>
          <w:rFonts w:asciiTheme="minorHAnsi" w:eastAsiaTheme="minorEastAsia" w:hAnsiTheme="minorHAnsi" w:cstheme="minorBidi"/>
        </w:rPr>
      </w:pPr>
      <w:hyperlink w:anchor="_Toc80877088" w:history="1">
        <w:r w:rsidRPr="00752DA6">
          <w:rPr>
            <w:rStyle w:val="Hyperlink"/>
          </w:rPr>
          <w:t>MS/CPE-BS</w:t>
        </w:r>
        <w:r>
          <w:rPr>
            <w:webHidden/>
          </w:rPr>
          <w:tab/>
        </w:r>
        <w:r>
          <w:rPr>
            <w:webHidden/>
          </w:rPr>
          <w:fldChar w:fldCharType="begin"/>
        </w:r>
        <w:r>
          <w:rPr>
            <w:webHidden/>
          </w:rPr>
          <w:instrText xml:space="preserve"> PAGEREF _Toc80877088 \h </w:instrText>
        </w:r>
        <w:r>
          <w:rPr>
            <w:webHidden/>
          </w:rPr>
        </w:r>
        <w:r>
          <w:rPr>
            <w:webHidden/>
          </w:rPr>
          <w:fldChar w:fldCharType="separate"/>
        </w:r>
        <w:r>
          <w:rPr>
            <w:webHidden/>
          </w:rPr>
          <w:t>24</w:t>
        </w:r>
        <w:r>
          <w:rPr>
            <w:webHidden/>
          </w:rPr>
          <w:fldChar w:fldCharType="end"/>
        </w:r>
      </w:hyperlink>
    </w:p>
    <w:p w14:paraId="2DB90873" w14:textId="65B78837" w:rsidR="00810F4E" w:rsidRDefault="00810F4E">
      <w:pPr>
        <w:pStyle w:val="TOC3"/>
        <w:rPr>
          <w:rFonts w:asciiTheme="minorHAnsi" w:eastAsiaTheme="minorEastAsia" w:hAnsiTheme="minorHAnsi" w:cstheme="minorBidi"/>
        </w:rPr>
      </w:pPr>
      <w:hyperlink w:anchor="_Toc80877089" w:history="1">
        <w:r w:rsidRPr="00752DA6">
          <w:rPr>
            <w:rStyle w:val="Hyperlink"/>
          </w:rPr>
          <w:t>MS/CPE-MS</w:t>
        </w:r>
        <w:r>
          <w:rPr>
            <w:webHidden/>
          </w:rPr>
          <w:tab/>
        </w:r>
        <w:r>
          <w:rPr>
            <w:webHidden/>
          </w:rPr>
          <w:fldChar w:fldCharType="begin"/>
        </w:r>
        <w:r>
          <w:rPr>
            <w:webHidden/>
          </w:rPr>
          <w:instrText xml:space="preserve"> PAGEREF _Toc80877089 \h </w:instrText>
        </w:r>
        <w:r>
          <w:rPr>
            <w:webHidden/>
          </w:rPr>
        </w:r>
        <w:r>
          <w:rPr>
            <w:webHidden/>
          </w:rPr>
          <w:fldChar w:fldCharType="separate"/>
        </w:r>
        <w:r>
          <w:rPr>
            <w:webHidden/>
          </w:rPr>
          <w:t>25</w:t>
        </w:r>
        <w:r>
          <w:rPr>
            <w:webHidden/>
          </w:rPr>
          <w:fldChar w:fldCharType="end"/>
        </w:r>
      </w:hyperlink>
    </w:p>
    <w:p w14:paraId="2E85FF0B" w14:textId="65A83951" w:rsidR="00810F4E" w:rsidRDefault="00810F4E">
      <w:pPr>
        <w:pStyle w:val="TOC3"/>
        <w:rPr>
          <w:rFonts w:asciiTheme="minorHAnsi" w:eastAsiaTheme="minorEastAsia" w:hAnsiTheme="minorHAnsi" w:cstheme="minorBidi"/>
        </w:rPr>
      </w:pPr>
      <w:hyperlink w:anchor="_Toc80877090" w:history="1">
        <w:r w:rsidRPr="00752DA6">
          <w:rPr>
            <w:rStyle w:val="Hyperlink"/>
          </w:rPr>
          <w:t>Adjacent channel 4G and 5G systems</w:t>
        </w:r>
        <w:r>
          <w:rPr>
            <w:webHidden/>
          </w:rPr>
          <w:tab/>
        </w:r>
        <w:r>
          <w:rPr>
            <w:webHidden/>
          </w:rPr>
          <w:fldChar w:fldCharType="begin"/>
        </w:r>
        <w:r>
          <w:rPr>
            <w:webHidden/>
          </w:rPr>
          <w:instrText xml:space="preserve"> PAGEREF _Toc80877090 \h </w:instrText>
        </w:r>
        <w:r>
          <w:rPr>
            <w:webHidden/>
          </w:rPr>
        </w:r>
        <w:r>
          <w:rPr>
            <w:webHidden/>
          </w:rPr>
          <w:fldChar w:fldCharType="separate"/>
        </w:r>
        <w:r>
          <w:rPr>
            <w:webHidden/>
          </w:rPr>
          <w:t>26</w:t>
        </w:r>
        <w:r>
          <w:rPr>
            <w:webHidden/>
          </w:rPr>
          <w:fldChar w:fldCharType="end"/>
        </w:r>
      </w:hyperlink>
    </w:p>
    <w:p w14:paraId="6596059C" w14:textId="0B7813F1" w:rsidR="00810F4E" w:rsidRDefault="00810F4E">
      <w:pPr>
        <w:pStyle w:val="TOC2"/>
        <w:rPr>
          <w:rFonts w:asciiTheme="minorHAnsi" w:eastAsiaTheme="minorEastAsia" w:hAnsiTheme="minorHAnsi" w:cstheme="minorBidi"/>
          <w:spacing w:val="0"/>
          <w:sz w:val="22"/>
          <w:szCs w:val="22"/>
        </w:rPr>
      </w:pPr>
      <w:hyperlink w:anchor="_Toc80877091" w:history="1">
        <w:r w:rsidRPr="00752DA6">
          <w:rPr>
            <w:rStyle w:val="Hyperlink"/>
          </w:rPr>
          <w:t>Restricted cell scenario discussion</w:t>
        </w:r>
        <w:r>
          <w:rPr>
            <w:webHidden/>
          </w:rPr>
          <w:tab/>
        </w:r>
        <w:r>
          <w:rPr>
            <w:webHidden/>
          </w:rPr>
          <w:fldChar w:fldCharType="begin"/>
        </w:r>
        <w:r>
          <w:rPr>
            <w:webHidden/>
          </w:rPr>
          <w:instrText xml:space="preserve"> PAGEREF _Toc80877091 \h </w:instrText>
        </w:r>
        <w:r>
          <w:rPr>
            <w:webHidden/>
          </w:rPr>
        </w:r>
        <w:r>
          <w:rPr>
            <w:webHidden/>
          </w:rPr>
          <w:fldChar w:fldCharType="separate"/>
        </w:r>
        <w:r>
          <w:rPr>
            <w:webHidden/>
          </w:rPr>
          <w:t>26</w:t>
        </w:r>
        <w:r>
          <w:rPr>
            <w:webHidden/>
          </w:rPr>
          <w:fldChar w:fldCharType="end"/>
        </w:r>
      </w:hyperlink>
    </w:p>
    <w:p w14:paraId="47622FDA" w14:textId="602496BD" w:rsidR="00810F4E" w:rsidRDefault="00810F4E">
      <w:pPr>
        <w:pStyle w:val="TOC3"/>
        <w:rPr>
          <w:rFonts w:asciiTheme="minorHAnsi" w:eastAsiaTheme="minorEastAsia" w:hAnsiTheme="minorHAnsi" w:cstheme="minorBidi"/>
        </w:rPr>
      </w:pPr>
      <w:hyperlink w:anchor="_Toc80877092" w:history="1">
        <w:r w:rsidRPr="00752DA6">
          <w:rPr>
            <w:rStyle w:val="Hyperlink"/>
          </w:rPr>
          <w:t>PFD limit development</w:t>
        </w:r>
        <w:r>
          <w:rPr>
            <w:webHidden/>
          </w:rPr>
          <w:tab/>
        </w:r>
        <w:r>
          <w:rPr>
            <w:webHidden/>
          </w:rPr>
          <w:fldChar w:fldCharType="begin"/>
        </w:r>
        <w:r>
          <w:rPr>
            <w:webHidden/>
          </w:rPr>
          <w:instrText xml:space="preserve"> PAGEREF _Toc80877092 \h </w:instrText>
        </w:r>
        <w:r>
          <w:rPr>
            <w:webHidden/>
          </w:rPr>
        </w:r>
        <w:r>
          <w:rPr>
            <w:webHidden/>
          </w:rPr>
          <w:fldChar w:fldCharType="separate"/>
        </w:r>
        <w:r>
          <w:rPr>
            <w:webHidden/>
          </w:rPr>
          <w:t>27</w:t>
        </w:r>
        <w:r>
          <w:rPr>
            <w:webHidden/>
          </w:rPr>
          <w:fldChar w:fldCharType="end"/>
        </w:r>
      </w:hyperlink>
    </w:p>
    <w:p w14:paraId="1CD2938B" w14:textId="55564E3B" w:rsidR="00810F4E" w:rsidRDefault="00810F4E">
      <w:pPr>
        <w:pStyle w:val="TOC3"/>
        <w:rPr>
          <w:rFonts w:asciiTheme="minorHAnsi" w:eastAsiaTheme="minorEastAsia" w:hAnsiTheme="minorHAnsi" w:cstheme="minorBidi"/>
        </w:rPr>
      </w:pPr>
      <w:hyperlink w:anchor="_Toc80877093" w:history="1">
        <w:r w:rsidRPr="00752DA6">
          <w:rPr>
            <w:rStyle w:val="Hyperlink"/>
          </w:rPr>
          <w:t>Guard band development</w:t>
        </w:r>
        <w:r>
          <w:rPr>
            <w:webHidden/>
          </w:rPr>
          <w:tab/>
        </w:r>
        <w:r>
          <w:rPr>
            <w:webHidden/>
          </w:rPr>
          <w:fldChar w:fldCharType="begin"/>
        </w:r>
        <w:r>
          <w:rPr>
            <w:webHidden/>
          </w:rPr>
          <w:instrText xml:space="preserve"> PAGEREF _Toc80877093 \h </w:instrText>
        </w:r>
        <w:r>
          <w:rPr>
            <w:webHidden/>
          </w:rPr>
        </w:r>
        <w:r>
          <w:rPr>
            <w:webHidden/>
          </w:rPr>
          <w:fldChar w:fldCharType="separate"/>
        </w:r>
        <w:r>
          <w:rPr>
            <w:webHidden/>
          </w:rPr>
          <w:t>28</w:t>
        </w:r>
        <w:r>
          <w:rPr>
            <w:webHidden/>
          </w:rPr>
          <w:fldChar w:fldCharType="end"/>
        </w:r>
      </w:hyperlink>
    </w:p>
    <w:p w14:paraId="7BBC8399" w14:textId="5572EAB3" w:rsidR="004D56FF" w:rsidRPr="00702EA1" w:rsidRDefault="00DF0799">
      <w:pPr>
        <w:rPr>
          <w:rFonts w:cs="Arial"/>
        </w:rPr>
        <w:sectPr w:rsidR="004D56FF" w:rsidRPr="00702EA1" w:rsidSect="00C77380">
          <w:headerReference w:type="even" r:id="rId19"/>
          <w:headerReference w:type="default" r:id="rId20"/>
          <w:footerReference w:type="even" r:id="rId21"/>
          <w:footerReference w:type="default" r:id="rId22"/>
          <w:footerReference w:type="first" r:id="rId23"/>
          <w:pgSz w:w="11906" w:h="16838" w:code="9"/>
          <w:pgMar w:top="3646" w:right="3101" w:bottom="1134" w:left="1134" w:header="709" w:footer="119" w:gutter="0"/>
          <w:cols w:space="708"/>
          <w:titlePg/>
          <w:docGrid w:linePitch="360"/>
        </w:sectPr>
      </w:pPr>
      <w:r>
        <w:rPr>
          <w:rFonts w:cs="Arial"/>
        </w:rPr>
        <w:fldChar w:fldCharType="end"/>
      </w:r>
    </w:p>
    <w:p w14:paraId="73CE4975" w14:textId="77777777" w:rsidR="00FA0FCC" w:rsidRPr="007D04B2" w:rsidRDefault="00FA0FCC" w:rsidP="00FA0FCC">
      <w:pPr>
        <w:pStyle w:val="Heading1"/>
      </w:pPr>
      <w:bookmarkStart w:id="0" w:name="_Toc56006325"/>
      <w:bookmarkStart w:id="1" w:name="_Toc57809582"/>
      <w:bookmarkStart w:id="2" w:name="_Toc80877063"/>
      <w:r w:rsidRPr="007D04B2">
        <w:lastRenderedPageBreak/>
        <w:t xml:space="preserve">Version </w:t>
      </w:r>
      <w:bookmarkEnd w:id="0"/>
      <w:r>
        <w:t>c</w:t>
      </w:r>
      <w:r w:rsidRPr="007D04B2">
        <w:t>ontrol</w:t>
      </w:r>
      <w:bookmarkEnd w:id="1"/>
      <w:bookmarkEnd w:id="2"/>
    </w:p>
    <w:p w14:paraId="4BE4FEDF" w14:textId="77777777" w:rsidR="00FA0FCC" w:rsidRPr="007D04B2" w:rsidRDefault="00FA0FCC" w:rsidP="00FA0FCC">
      <w:pPr>
        <w:spacing w:after="0" w:line="240" w:lineRule="auto"/>
      </w:pPr>
    </w:p>
    <w:p w14:paraId="2B12841C" w14:textId="77777777" w:rsidR="00FA0FCC" w:rsidRPr="007D04B2" w:rsidRDefault="00FA0FCC" w:rsidP="00FA0FCC">
      <w:pPr>
        <w:spacing w:after="0" w:line="240" w:lineRule="auto"/>
      </w:pPr>
    </w:p>
    <w:tbl>
      <w:tblPr>
        <w:tblStyle w:val="TableGrid"/>
        <w:tblW w:w="0" w:type="auto"/>
        <w:tblLook w:val="04A0" w:firstRow="1" w:lastRow="0" w:firstColumn="1" w:lastColumn="0" w:noHBand="0" w:noVBand="1"/>
      </w:tblPr>
      <w:tblGrid>
        <w:gridCol w:w="1743"/>
        <w:gridCol w:w="5918"/>
      </w:tblGrid>
      <w:tr w:rsidR="00094241" w:rsidRPr="00094241" w14:paraId="2ADE0F9D" w14:textId="77777777" w:rsidTr="00094241">
        <w:tc>
          <w:tcPr>
            <w:tcW w:w="1743" w:type="dxa"/>
            <w:shd w:val="clear" w:color="auto" w:fill="595959" w:themeFill="text1" w:themeFillTint="A6"/>
          </w:tcPr>
          <w:p w14:paraId="0062EA83" w14:textId="77777777" w:rsidR="00FA0FCC" w:rsidRPr="00094241" w:rsidRDefault="00FA0FCC" w:rsidP="00B53EE3">
            <w:pPr>
              <w:spacing w:before="120" w:after="120" w:line="240" w:lineRule="auto"/>
              <w:rPr>
                <w:b/>
                <w:color w:val="FFFFFF" w:themeColor="background1"/>
              </w:rPr>
            </w:pPr>
            <w:r w:rsidRPr="00094241">
              <w:rPr>
                <w:b/>
                <w:color w:val="FFFFFF" w:themeColor="background1"/>
              </w:rPr>
              <w:t>Version</w:t>
            </w:r>
          </w:p>
        </w:tc>
        <w:tc>
          <w:tcPr>
            <w:tcW w:w="5918" w:type="dxa"/>
            <w:shd w:val="clear" w:color="auto" w:fill="595959" w:themeFill="text1" w:themeFillTint="A6"/>
          </w:tcPr>
          <w:p w14:paraId="6DCB49E0" w14:textId="77777777" w:rsidR="00FA0FCC" w:rsidRPr="00094241" w:rsidRDefault="00FA0FCC" w:rsidP="00B53EE3">
            <w:pPr>
              <w:spacing w:before="120" w:after="120" w:line="240" w:lineRule="auto"/>
              <w:rPr>
                <w:b/>
                <w:color w:val="FFFFFF" w:themeColor="background1"/>
              </w:rPr>
            </w:pPr>
            <w:r w:rsidRPr="000A5BE0">
              <w:rPr>
                <w:b/>
                <w:color w:val="FFFFFF" w:themeColor="background1"/>
              </w:rPr>
              <w:t>Comments</w:t>
            </w:r>
          </w:p>
        </w:tc>
      </w:tr>
      <w:tr w:rsidR="00FA0FCC" w:rsidRPr="007D04B2" w14:paraId="3C3994A4" w14:textId="77777777" w:rsidTr="00FA0FCC">
        <w:tc>
          <w:tcPr>
            <w:tcW w:w="1743" w:type="dxa"/>
          </w:tcPr>
          <w:p w14:paraId="2409B7DA" w14:textId="77777777" w:rsidR="00FA0FCC" w:rsidRPr="007D04B2" w:rsidRDefault="00FA0FCC" w:rsidP="00B53EE3">
            <w:pPr>
              <w:spacing w:before="120" w:after="120" w:line="240" w:lineRule="auto"/>
            </w:pPr>
            <w:r w:rsidRPr="007D04B2">
              <w:t>Version 1.0</w:t>
            </w:r>
          </w:p>
        </w:tc>
        <w:tc>
          <w:tcPr>
            <w:tcW w:w="5918" w:type="dxa"/>
          </w:tcPr>
          <w:p w14:paraId="23DEFA6B" w14:textId="564C5430" w:rsidR="00FA0FCC" w:rsidRPr="007D04B2" w:rsidRDefault="00FA0FCC" w:rsidP="00B53EE3">
            <w:pPr>
              <w:spacing w:before="120" w:after="120" w:line="240" w:lineRule="auto"/>
            </w:pPr>
            <w:r w:rsidRPr="007D04B2">
              <w:t>Initial release</w:t>
            </w:r>
            <w:r w:rsidR="004F1880">
              <w:t xml:space="preserve"> to TLG</w:t>
            </w:r>
          </w:p>
        </w:tc>
      </w:tr>
      <w:tr w:rsidR="004F1880" w:rsidRPr="007D04B2" w14:paraId="26CA987F" w14:textId="77777777" w:rsidTr="00FA0FCC">
        <w:tc>
          <w:tcPr>
            <w:tcW w:w="1743" w:type="dxa"/>
          </w:tcPr>
          <w:p w14:paraId="6BF11728" w14:textId="095F8B64" w:rsidR="004F1880" w:rsidRPr="007D04B2" w:rsidRDefault="004F1880" w:rsidP="00B53EE3">
            <w:pPr>
              <w:spacing w:before="120" w:after="120" w:line="240" w:lineRule="auto"/>
            </w:pPr>
            <w:r>
              <w:t>Version 2.0</w:t>
            </w:r>
          </w:p>
        </w:tc>
        <w:tc>
          <w:tcPr>
            <w:tcW w:w="5918" w:type="dxa"/>
          </w:tcPr>
          <w:p w14:paraId="1B124415" w14:textId="47276D3F" w:rsidR="004F1880" w:rsidRPr="007D04B2" w:rsidRDefault="004F1880" w:rsidP="00B53EE3">
            <w:pPr>
              <w:spacing w:before="120" w:after="120" w:line="240" w:lineRule="auto"/>
            </w:pPr>
            <w:r>
              <w:t>Final version after review by TLG</w:t>
            </w:r>
          </w:p>
        </w:tc>
      </w:tr>
    </w:tbl>
    <w:p w14:paraId="6FFDFF5A" w14:textId="77777777" w:rsidR="00FA0FCC" w:rsidRDefault="00FA0FCC" w:rsidP="00FA0FCC">
      <w:pPr>
        <w:spacing w:after="0" w:line="240" w:lineRule="auto"/>
        <w:sectPr w:rsidR="00FA0FCC" w:rsidSect="00B53EE3">
          <w:headerReference w:type="even" r:id="rId24"/>
          <w:headerReference w:type="default" r:id="rId25"/>
          <w:footerReference w:type="even" r:id="rId26"/>
          <w:footerReference w:type="default" r:id="rId27"/>
          <w:pgSz w:w="11906" w:h="16838" w:code="9"/>
          <w:pgMar w:top="1945" w:right="3101" w:bottom="1134" w:left="1134" w:header="709" w:footer="119" w:gutter="0"/>
          <w:pgNumType w:fmt="lowerRoman" w:start="3"/>
          <w:cols w:space="708"/>
          <w:titlePg/>
          <w:docGrid w:linePitch="360"/>
        </w:sectPr>
      </w:pPr>
    </w:p>
    <w:p w14:paraId="3473C95D" w14:textId="4D18E022" w:rsidR="00437582" w:rsidRPr="00702EA1" w:rsidRDefault="00437582" w:rsidP="00437582">
      <w:pPr>
        <w:pStyle w:val="Heading1"/>
      </w:pPr>
      <w:bookmarkStart w:id="3" w:name="_Toc80877064"/>
      <w:r>
        <w:lastRenderedPageBreak/>
        <w:t>Introduction</w:t>
      </w:r>
      <w:bookmarkEnd w:id="3"/>
    </w:p>
    <w:p w14:paraId="2E97E4D5" w14:textId="74299577" w:rsidR="00885439" w:rsidRDefault="00885439" w:rsidP="00F25F1B">
      <w:pPr>
        <w:spacing w:after="80"/>
        <w:rPr>
          <w:rFonts w:cs="Arial"/>
          <w:bCs/>
          <w:color w:val="000000" w:themeColor="text1"/>
          <w:szCs w:val="20"/>
        </w:rPr>
      </w:pPr>
      <w:r w:rsidRPr="00885439">
        <w:rPr>
          <w:rFonts w:cs="Arial"/>
          <w:bCs/>
          <w:color w:val="000000" w:themeColor="text1"/>
          <w:szCs w:val="20"/>
        </w:rPr>
        <w:t>In November 2019</w:t>
      </w:r>
      <w:r w:rsidR="0069796B">
        <w:rPr>
          <w:rFonts w:cs="Arial"/>
          <w:bCs/>
          <w:color w:val="000000" w:themeColor="text1"/>
          <w:szCs w:val="20"/>
        </w:rPr>
        <w:t>,</w:t>
      </w:r>
      <w:r w:rsidRPr="00885439">
        <w:rPr>
          <w:rFonts w:cs="Arial"/>
          <w:bCs/>
          <w:color w:val="000000" w:themeColor="text1"/>
          <w:szCs w:val="20"/>
        </w:rPr>
        <w:t xml:space="preserve"> the </w:t>
      </w:r>
      <w:r w:rsidR="006B4EC1" w:rsidRPr="007D04B2">
        <w:rPr>
          <w:rFonts w:cs="Arial"/>
        </w:rPr>
        <w:t xml:space="preserve">Australian Communications and Media Authority (ACMA) </w:t>
      </w:r>
      <w:r w:rsidRPr="00885439">
        <w:rPr>
          <w:rFonts w:cs="Arial"/>
          <w:bCs/>
          <w:color w:val="000000" w:themeColor="text1"/>
          <w:szCs w:val="20"/>
        </w:rPr>
        <w:t xml:space="preserve"> released the </w:t>
      </w:r>
      <w:hyperlink r:id="rId28" w:history="1">
        <w:r w:rsidRPr="00885439">
          <w:rPr>
            <w:rStyle w:val="Hyperlink"/>
            <w:rFonts w:cs="Arial"/>
            <w:i/>
            <w:iCs/>
            <w:szCs w:val="20"/>
          </w:rPr>
          <w:t>Optimising arrangements for the 3400-3575 MHz band – Planning decisions and preliminary views</w:t>
        </w:r>
      </w:hyperlink>
      <w:r w:rsidRPr="00885439">
        <w:rPr>
          <w:rFonts w:cs="Arial"/>
          <w:bCs/>
          <w:color w:val="000000" w:themeColor="text1"/>
          <w:szCs w:val="20"/>
        </w:rPr>
        <w:t xml:space="preserve"> </w:t>
      </w:r>
      <w:r w:rsidR="0069796B">
        <w:rPr>
          <w:rFonts w:cs="Arial"/>
          <w:bCs/>
          <w:color w:val="000000" w:themeColor="text1"/>
          <w:szCs w:val="20"/>
        </w:rPr>
        <w:t>o</w:t>
      </w:r>
      <w:r w:rsidRPr="00885439">
        <w:rPr>
          <w:rFonts w:cs="Arial"/>
          <w:bCs/>
          <w:color w:val="000000" w:themeColor="text1"/>
          <w:szCs w:val="20"/>
        </w:rPr>
        <w:t>utcomes paper.</w:t>
      </w:r>
      <w:r w:rsidRPr="00885439">
        <w:rPr>
          <w:rFonts w:cs="Arial"/>
          <w:b/>
          <w:color w:val="000000" w:themeColor="text1"/>
          <w:szCs w:val="20"/>
        </w:rPr>
        <w:t xml:space="preserve"> </w:t>
      </w:r>
      <w:r>
        <w:rPr>
          <w:rFonts w:cs="Arial"/>
          <w:bCs/>
          <w:color w:val="000000" w:themeColor="text1"/>
          <w:szCs w:val="20"/>
        </w:rPr>
        <w:t>Key outcomes included:</w:t>
      </w:r>
    </w:p>
    <w:p w14:paraId="34418AD9" w14:textId="7A57FAC6" w:rsidR="00885439" w:rsidRPr="00885439" w:rsidRDefault="00885439" w:rsidP="008D2CD1">
      <w:pPr>
        <w:pStyle w:val="Bulletlevel1"/>
      </w:pPr>
      <w:r w:rsidRPr="00885439">
        <w:t xml:space="preserve">Retuning devices in regional areas operating under apparatus and spectrum licences into new unfragmented arrangements. To ensure a timely retune, </w:t>
      </w:r>
      <w:r w:rsidR="00DA7ED6">
        <w:t>we</w:t>
      </w:r>
      <w:r w:rsidRPr="00885439">
        <w:t xml:space="preserve"> adopted a policy of only re-issuing affected apparatus </w:t>
      </w:r>
      <w:proofErr w:type="gramStart"/>
      <w:r w:rsidRPr="00885439">
        <w:t>licences</w:t>
      </w:r>
      <w:proofErr w:type="gramEnd"/>
      <w:r w:rsidRPr="00885439">
        <w:t xml:space="preserve"> so they expire by 30 November 2020. During this time</w:t>
      </w:r>
      <w:r w:rsidR="00235790">
        <w:t>,</w:t>
      </w:r>
      <w:r w:rsidRPr="00885439">
        <w:t xml:space="preserve"> other spectrum in the band will be made available for affected apparatus licensees to move into.</w:t>
      </w:r>
    </w:p>
    <w:p w14:paraId="5178811F" w14:textId="45AEADD0" w:rsidR="00885439" w:rsidRPr="00885439" w:rsidRDefault="00885439" w:rsidP="008D2CD1">
      <w:pPr>
        <w:pStyle w:val="Bulletlevel1"/>
      </w:pPr>
      <w:r w:rsidRPr="00885439">
        <w:t xml:space="preserve">Once retuning is complete, and subject to a decision from the Minister for Communications, Cyber Safety and the Arts, offer </w:t>
      </w:r>
      <w:r w:rsidR="009E022E">
        <w:t>NBN C</w:t>
      </w:r>
      <w:r w:rsidR="00731B9F">
        <w:t>o</w:t>
      </w:r>
      <w:r w:rsidRPr="00885439">
        <w:t xml:space="preserve"> spectrum licences for areas and frequency ranges where they hold apparatus licences (</w:t>
      </w:r>
      <w:r w:rsidR="00907A29">
        <w:t>‘</w:t>
      </w:r>
      <w:r w:rsidRPr="00885439">
        <w:t>conversion</w:t>
      </w:r>
      <w:r w:rsidR="00907A29">
        <w:t>’</w:t>
      </w:r>
      <w:r w:rsidRPr="00885439">
        <w:t xml:space="preserve">). This will allow </w:t>
      </w:r>
      <w:r>
        <w:t>spectrum licensees in the 3400</w:t>
      </w:r>
      <w:r w:rsidR="00907A29">
        <w:t>–</w:t>
      </w:r>
      <w:r>
        <w:t xml:space="preserve">3575 MHz band to </w:t>
      </w:r>
      <w:r w:rsidRPr="00885439">
        <w:t xml:space="preserve">defragment their spectrum holdings in most areas. </w:t>
      </w:r>
    </w:p>
    <w:p w14:paraId="16FE5762" w14:textId="594EEDFC" w:rsidR="00885439" w:rsidRPr="00885439" w:rsidRDefault="00885439" w:rsidP="008D2CD1">
      <w:pPr>
        <w:pStyle w:val="Bulletlevel1"/>
      </w:pPr>
      <w:r w:rsidRPr="00885439">
        <w:t xml:space="preserve">Resume 75 MHz of spectrum in urban areas from </w:t>
      </w:r>
      <w:r w:rsidR="009E022E">
        <w:t>NBN C</w:t>
      </w:r>
      <w:r w:rsidR="00731B9F">
        <w:t>o</w:t>
      </w:r>
      <w:r w:rsidRPr="00885439">
        <w:t>’s licences</w:t>
      </w:r>
      <w:r>
        <w:t xml:space="preserve"> (referred to as urban excise) and make them </w:t>
      </w:r>
      <w:r w:rsidR="00F256E0">
        <w:t>available</w:t>
      </w:r>
      <w:r>
        <w:t xml:space="preserve"> for use by other wireless broadband </w:t>
      </w:r>
      <w:r w:rsidR="00F256E0">
        <w:t>operators</w:t>
      </w:r>
      <w:r w:rsidRPr="00885439">
        <w:t xml:space="preserve">. This will happen after </w:t>
      </w:r>
      <w:r w:rsidR="00F256E0">
        <w:t xml:space="preserve">conversion and </w:t>
      </w:r>
      <w:r w:rsidRPr="00885439">
        <w:t>the defragmentation of spectrum</w:t>
      </w:r>
      <w:r w:rsidR="00907A29">
        <w:t> </w:t>
      </w:r>
      <w:r w:rsidRPr="00885439">
        <w:t xml:space="preserve">holdings. </w:t>
      </w:r>
    </w:p>
    <w:p w14:paraId="366B0B44" w14:textId="77777777" w:rsidR="00885439" w:rsidRPr="00885439" w:rsidRDefault="00885439" w:rsidP="008D2CD1">
      <w:pPr>
        <w:pStyle w:val="Bulletlevel1"/>
      </w:pPr>
      <w:r w:rsidRPr="00885439">
        <w:t xml:space="preserve">Make available: </w:t>
      </w:r>
    </w:p>
    <w:p w14:paraId="439C002D" w14:textId="3A024001" w:rsidR="00885439" w:rsidRPr="00885439" w:rsidRDefault="00885439" w:rsidP="008D2CD1">
      <w:pPr>
        <w:pStyle w:val="Bulletlevel2"/>
      </w:pPr>
      <w:r w:rsidRPr="00885439">
        <w:t>25 MHz in major regional centres and 42.5 MHz in regional areas for spectrum licensing</w:t>
      </w:r>
    </w:p>
    <w:p w14:paraId="52BF9B55" w14:textId="035E35CB" w:rsidR="00885439" w:rsidRPr="00885439" w:rsidRDefault="00885439" w:rsidP="008D2CD1">
      <w:pPr>
        <w:pStyle w:val="Bulletlevel2last"/>
      </w:pPr>
      <w:r w:rsidRPr="00885439">
        <w:t>35</w:t>
      </w:r>
      <w:r w:rsidR="00907A29">
        <w:t>–</w:t>
      </w:r>
      <w:r w:rsidRPr="00885439">
        <w:t>65 MHz in regional areas and 175 MHz in remote areas for point-to-multipoint apparatus licensing.</w:t>
      </w:r>
    </w:p>
    <w:p w14:paraId="619866CE" w14:textId="2C5342B2" w:rsidR="00885439" w:rsidRPr="006B4EC1" w:rsidRDefault="00885439" w:rsidP="00437582">
      <w:r>
        <w:rPr>
          <w:rFonts w:cs="Arial"/>
          <w:bCs/>
          <w:color w:val="000000" w:themeColor="text1"/>
          <w:szCs w:val="20"/>
        </w:rPr>
        <w:t xml:space="preserve">To facilitate the conversion process and </w:t>
      </w:r>
      <w:r w:rsidR="00F256E0">
        <w:rPr>
          <w:rFonts w:cs="Arial"/>
          <w:bCs/>
          <w:color w:val="000000" w:themeColor="text1"/>
          <w:szCs w:val="20"/>
        </w:rPr>
        <w:t>making urban excise areas available for use, the ACMA formed a</w:t>
      </w:r>
      <w:r w:rsidR="008D2CD1">
        <w:rPr>
          <w:rFonts w:cs="Arial"/>
          <w:bCs/>
          <w:color w:val="000000" w:themeColor="text1"/>
          <w:szCs w:val="20"/>
        </w:rPr>
        <w:t xml:space="preserve"> </w:t>
      </w:r>
      <w:hyperlink r:id="rId29" w:history="1">
        <w:r w:rsidR="008D2CD1" w:rsidRPr="008D2CD1">
          <w:rPr>
            <w:rStyle w:val="Hyperlink"/>
            <w:rFonts w:cs="Arial"/>
            <w:bCs/>
            <w:szCs w:val="20"/>
          </w:rPr>
          <w:t>technical liaison group</w:t>
        </w:r>
      </w:hyperlink>
      <w:r w:rsidR="008D2CD1">
        <w:rPr>
          <w:rFonts w:cs="Arial"/>
          <w:bCs/>
          <w:color w:val="000000" w:themeColor="text1"/>
          <w:szCs w:val="20"/>
        </w:rPr>
        <w:t xml:space="preserve"> (TLG)</w:t>
      </w:r>
      <w:r w:rsidR="00F256E0">
        <w:rPr>
          <w:rFonts w:cs="Arial"/>
          <w:bCs/>
          <w:color w:val="000000" w:themeColor="text1"/>
          <w:szCs w:val="20"/>
        </w:rPr>
        <w:t xml:space="preserve"> to review the 3.4 GHz spectrum licence technical framework. </w:t>
      </w:r>
      <w:r w:rsidR="006B4EC1">
        <w:t>A</w:t>
      </w:r>
      <w:r w:rsidR="006B4EC1" w:rsidRPr="00736BE8">
        <w:t xml:space="preserve"> TLG is a short-term advisory body convened by the ACMA. Its purpose is to provide advice on the development of, or possible changes to, a spectrum or apparatus licence technical framework. </w:t>
      </w:r>
      <w:r w:rsidR="00F256E0">
        <w:rPr>
          <w:rFonts w:cs="Arial"/>
          <w:bCs/>
          <w:color w:val="000000" w:themeColor="text1"/>
          <w:szCs w:val="20"/>
        </w:rPr>
        <w:t xml:space="preserve">The TLG was formed in October 2020 and finalised its work in </w:t>
      </w:r>
      <w:r w:rsidR="00D0657A">
        <w:rPr>
          <w:rFonts w:cs="Arial"/>
          <w:bCs/>
          <w:color w:val="000000" w:themeColor="text1"/>
          <w:szCs w:val="20"/>
        </w:rPr>
        <w:t>June</w:t>
      </w:r>
      <w:r w:rsidR="00FA0FCC">
        <w:rPr>
          <w:rFonts w:cs="Arial"/>
          <w:bCs/>
          <w:color w:val="000000" w:themeColor="text1"/>
          <w:szCs w:val="20"/>
        </w:rPr>
        <w:t xml:space="preserve"> 2021</w:t>
      </w:r>
      <w:r w:rsidR="00F256E0">
        <w:rPr>
          <w:rFonts w:cs="Arial"/>
          <w:bCs/>
          <w:color w:val="000000" w:themeColor="text1"/>
          <w:szCs w:val="20"/>
        </w:rPr>
        <w:t xml:space="preserve">. </w:t>
      </w:r>
      <w:r w:rsidR="00F256E0" w:rsidRPr="00F256E0">
        <w:rPr>
          <w:rFonts w:cs="Arial"/>
        </w:rPr>
        <w:t>Membership include</w:t>
      </w:r>
      <w:r w:rsidR="00F256E0">
        <w:rPr>
          <w:rFonts w:cs="Arial"/>
        </w:rPr>
        <w:t>d</w:t>
      </w:r>
      <w:r w:rsidR="00F256E0" w:rsidRPr="00F256E0">
        <w:rPr>
          <w:rFonts w:cs="Arial"/>
        </w:rPr>
        <w:t xml:space="preserve"> 3.4 GHz spectrum licensees, </w:t>
      </w:r>
      <w:r w:rsidR="00F256E0">
        <w:rPr>
          <w:rFonts w:cs="Arial"/>
        </w:rPr>
        <w:t xml:space="preserve">the </w:t>
      </w:r>
      <w:r w:rsidR="00F256E0" w:rsidRPr="00F256E0">
        <w:rPr>
          <w:rFonts w:cs="Arial"/>
        </w:rPr>
        <w:t xml:space="preserve">Department of Defence, equipment manufacturers, </w:t>
      </w:r>
      <w:r w:rsidR="00907A29">
        <w:rPr>
          <w:rFonts w:cs="Arial"/>
        </w:rPr>
        <w:t>the Australian Mobile Telecommunications Association (</w:t>
      </w:r>
      <w:r w:rsidR="00F256E0" w:rsidRPr="00F256E0">
        <w:rPr>
          <w:rFonts w:cs="Arial"/>
        </w:rPr>
        <w:t>AMTA</w:t>
      </w:r>
      <w:r w:rsidR="00907A29">
        <w:rPr>
          <w:rFonts w:cs="Arial"/>
        </w:rPr>
        <w:t>)</w:t>
      </w:r>
      <w:r w:rsidR="00F256E0" w:rsidRPr="00F256E0">
        <w:rPr>
          <w:rFonts w:cs="Arial"/>
        </w:rPr>
        <w:t>,</w:t>
      </w:r>
      <w:r w:rsidR="00907A29">
        <w:rPr>
          <w:rFonts w:cs="Arial"/>
        </w:rPr>
        <w:t xml:space="preserve"> the</w:t>
      </w:r>
      <w:r w:rsidR="00F256E0" w:rsidRPr="00F256E0">
        <w:rPr>
          <w:rFonts w:cs="Arial"/>
        </w:rPr>
        <w:t xml:space="preserve"> </w:t>
      </w:r>
      <w:r w:rsidR="00907A29">
        <w:rPr>
          <w:rFonts w:cs="Arial"/>
        </w:rPr>
        <w:t>Global Systems Mobile Association (</w:t>
      </w:r>
      <w:r w:rsidR="00F256E0" w:rsidRPr="00F256E0">
        <w:rPr>
          <w:rFonts w:cs="Arial"/>
        </w:rPr>
        <w:t>GSMA</w:t>
      </w:r>
      <w:r w:rsidR="00907A29">
        <w:rPr>
          <w:rFonts w:cs="Arial"/>
        </w:rPr>
        <w:t>)</w:t>
      </w:r>
      <w:r w:rsidR="00F256E0" w:rsidRPr="00F256E0">
        <w:rPr>
          <w:rFonts w:cs="Arial"/>
        </w:rPr>
        <w:t xml:space="preserve">, amateurs, Boeing, </w:t>
      </w:r>
      <w:r w:rsidR="00907A29">
        <w:rPr>
          <w:rFonts w:cs="Arial"/>
        </w:rPr>
        <w:t>the Department of Infrastructure, Transport, Regional Development and Communications (</w:t>
      </w:r>
      <w:r w:rsidR="00F256E0" w:rsidRPr="00F256E0">
        <w:rPr>
          <w:rFonts w:cs="Arial"/>
        </w:rPr>
        <w:t>DITRDC</w:t>
      </w:r>
      <w:r w:rsidR="00907A29">
        <w:rPr>
          <w:rFonts w:cs="Arial"/>
        </w:rPr>
        <w:t>)</w:t>
      </w:r>
      <w:r w:rsidR="00F256E0" w:rsidRPr="00F256E0">
        <w:rPr>
          <w:rFonts w:cs="Arial"/>
        </w:rPr>
        <w:t xml:space="preserve"> and Inmarsat.</w:t>
      </w:r>
    </w:p>
    <w:p w14:paraId="733491A4" w14:textId="0841538B" w:rsidR="00437582" w:rsidRDefault="00437582" w:rsidP="00437582">
      <w:pPr>
        <w:rPr>
          <w:rFonts w:cs="Arial"/>
        </w:rPr>
      </w:pPr>
      <w:r w:rsidRPr="007D04B2">
        <w:rPr>
          <w:rFonts w:cs="Arial"/>
        </w:rPr>
        <w:t xml:space="preserve">The purpose of this paper is to </w:t>
      </w:r>
      <w:r>
        <w:rPr>
          <w:rFonts w:cs="Arial"/>
        </w:rPr>
        <w:t xml:space="preserve">summarise </w:t>
      </w:r>
      <w:r w:rsidR="00731B9F">
        <w:rPr>
          <w:rFonts w:cs="Arial"/>
        </w:rPr>
        <w:t>the outcomes of discussions</w:t>
      </w:r>
      <w:r w:rsidR="00BF4D7D">
        <w:rPr>
          <w:rFonts w:cs="Arial"/>
        </w:rPr>
        <w:t xml:space="preserve"> on possible changes to the 3.4 GHz technical </w:t>
      </w:r>
      <w:r w:rsidR="001D2A55">
        <w:rPr>
          <w:rFonts w:cs="Arial"/>
        </w:rPr>
        <w:t>within</w:t>
      </w:r>
      <w:r>
        <w:rPr>
          <w:rFonts w:cs="Arial"/>
        </w:rPr>
        <w:t xml:space="preserve"> the TLG. </w:t>
      </w:r>
    </w:p>
    <w:p w14:paraId="186E6E36" w14:textId="77777777" w:rsidR="00437582" w:rsidRDefault="00437582" w:rsidP="008D2CD1">
      <w:pPr>
        <w:pStyle w:val="Paragraphbeforelist"/>
      </w:pPr>
      <w:r w:rsidRPr="007D04B2">
        <w:t>It is noted that</w:t>
      </w:r>
      <w:r>
        <w:t>:</w:t>
      </w:r>
      <w:r w:rsidRPr="007D04B2">
        <w:t xml:space="preserve"> </w:t>
      </w:r>
    </w:p>
    <w:p w14:paraId="5F86C271" w14:textId="5EA00CAE" w:rsidR="00437582" w:rsidRPr="005438AE" w:rsidRDefault="006B4EC1" w:rsidP="008D2CD1">
      <w:pPr>
        <w:pStyle w:val="Bulletlevel1"/>
      </w:pPr>
      <w:r>
        <w:t>T</w:t>
      </w:r>
      <w:r w:rsidR="00437582" w:rsidRPr="00473557">
        <w:t xml:space="preserve">he TLG is just the first step in the process of </w:t>
      </w:r>
      <w:r w:rsidR="00F256E0">
        <w:t>reviewing</w:t>
      </w:r>
      <w:r w:rsidR="00437582" w:rsidRPr="00473557">
        <w:t xml:space="preserve"> a technical framework. The ACMA will use the outcomes of the TLG to publicly consult on </w:t>
      </w:r>
      <w:r w:rsidR="00F256E0">
        <w:t xml:space="preserve">changes to </w:t>
      </w:r>
      <w:r w:rsidR="00437582" w:rsidRPr="00473557">
        <w:t>the relevant instruments that form the</w:t>
      </w:r>
      <w:r w:rsidR="00F256E0">
        <w:t xml:space="preserve"> 3.4</w:t>
      </w:r>
      <w:r w:rsidR="00437582" w:rsidRPr="00473557">
        <w:t xml:space="preserve"> GHz band technical framework. This means TLG members </w:t>
      </w:r>
      <w:r w:rsidR="00731B9F">
        <w:t>are</w:t>
      </w:r>
      <w:r w:rsidR="00437582" w:rsidRPr="00473557">
        <w:t xml:space="preserve"> able to provide comment</w:t>
      </w:r>
      <w:r w:rsidR="00437582" w:rsidRPr="005438AE">
        <w:t>s on the technical framework both as part of the informal TLG and subsequent formal public consultation processes</w:t>
      </w:r>
      <w:r>
        <w:t>.</w:t>
      </w:r>
    </w:p>
    <w:p w14:paraId="4FDE4510" w14:textId="58845187" w:rsidR="00437582" w:rsidRPr="00B6693A" w:rsidRDefault="006B4EC1" w:rsidP="008D2CD1">
      <w:pPr>
        <w:pStyle w:val="Bulletlevel1last"/>
      </w:pPr>
      <w:r>
        <w:t>W</w:t>
      </w:r>
      <w:r w:rsidR="00437582" w:rsidRPr="00736BE8">
        <w:t xml:space="preserve">hile </w:t>
      </w:r>
      <w:r w:rsidR="00DA7ED6">
        <w:t>we</w:t>
      </w:r>
      <w:r w:rsidR="00437582" w:rsidRPr="00736BE8">
        <w:t xml:space="preserve"> strive to achieve consensus with members, the final decision on the content of, or changes to, a spectrum or apparatus licen</w:t>
      </w:r>
      <w:r w:rsidR="00731B9F">
        <w:t>sing</w:t>
      </w:r>
      <w:r w:rsidR="00437582" w:rsidRPr="00736BE8">
        <w:t xml:space="preserve"> technical framework rests with the ACMA. This is particularly relevant in cases where consensus cannot be achieved on an issue or advice from the TLG is not provided within a reasonable time</w:t>
      </w:r>
      <w:r w:rsidR="00437582">
        <w:t xml:space="preserve"> frame.</w:t>
      </w:r>
    </w:p>
    <w:p w14:paraId="037E9E12" w14:textId="77777777" w:rsidR="00D0657A" w:rsidRDefault="00D0657A">
      <w:pPr>
        <w:spacing w:after="0" w:line="240" w:lineRule="auto"/>
        <w:rPr>
          <w:rFonts w:cs="Calibri"/>
          <w:b/>
          <w:bCs/>
          <w:iCs/>
          <w:sz w:val="28"/>
          <w:szCs w:val="28"/>
        </w:rPr>
      </w:pPr>
      <w:bookmarkStart w:id="4" w:name="_Toc56006328"/>
      <w:bookmarkStart w:id="5" w:name="_Toc57809585"/>
      <w:r>
        <w:rPr>
          <w:rFonts w:cs="Calibri"/>
        </w:rPr>
        <w:br w:type="page"/>
      </w:r>
    </w:p>
    <w:p w14:paraId="10613D8E" w14:textId="084CC06C" w:rsidR="00437582" w:rsidRPr="007D04B2" w:rsidRDefault="00437582" w:rsidP="00437582">
      <w:pPr>
        <w:pStyle w:val="Heading2"/>
      </w:pPr>
      <w:bookmarkStart w:id="6" w:name="_Scope_of_the"/>
      <w:bookmarkStart w:id="7" w:name="_Toc80877065"/>
      <w:bookmarkEnd w:id="6"/>
      <w:r w:rsidRPr="007D04B2">
        <w:rPr>
          <w:rFonts w:cs="Calibri"/>
        </w:rPr>
        <w:lastRenderedPageBreak/>
        <w:t>Scope</w:t>
      </w:r>
      <w:bookmarkEnd w:id="4"/>
      <w:bookmarkEnd w:id="5"/>
      <w:r w:rsidR="004B54DD">
        <w:rPr>
          <w:rFonts w:cs="Calibri"/>
        </w:rPr>
        <w:t xml:space="preserve"> of the TLG</w:t>
      </w:r>
      <w:bookmarkEnd w:id="7"/>
      <w:r w:rsidRPr="007D04B2">
        <w:t xml:space="preserve"> </w:t>
      </w:r>
    </w:p>
    <w:p w14:paraId="7D832F39" w14:textId="111EE4F5" w:rsidR="00437582" w:rsidRPr="007D04B2" w:rsidRDefault="00F256E0" w:rsidP="008D2CD1">
      <w:pPr>
        <w:pStyle w:val="Paragraphbeforelist"/>
      </w:pPr>
      <w:r w:rsidRPr="00F256E0">
        <w:t xml:space="preserve">The scope of the TLG </w:t>
      </w:r>
      <w:r>
        <w:t>wa</w:t>
      </w:r>
      <w:r w:rsidRPr="00F256E0">
        <w:t>s to provide advice on the following issues</w:t>
      </w:r>
      <w:r w:rsidR="00DD18A4">
        <w:t>:</w:t>
      </w:r>
      <w:r w:rsidR="00437582" w:rsidRPr="007D04B2">
        <w:t xml:space="preserve"> </w:t>
      </w:r>
    </w:p>
    <w:p w14:paraId="2CF83173" w14:textId="313249C6" w:rsidR="00F256E0" w:rsidRPr="00F256E0" w:rsidRDefault="00DA7ED6" w:rsidP="008D2CD1">
      <w:pPr>
        <w:pStyle w:val="Bulletlevel1"/>
      </w:pPr>
      <w:bookmarkStart w:id="8" w:name="_Hlk54356750"/>
      <w:r>
        <w:t>C</w:t>
      </w:r>
      <w:r w:rsidR="00F256E0" w:rsidRPr="00F256E0">
        <w:t xml:space="preserve">onsequential changes to the </w:t>
      </w:r>
      <w:hyperlink r:id="rId30" w:history="1">
        <w:r w:rsidR="00F256E0" w:rsidRPr="00F256E0">
          <w:rPr>
            <w:rStyle w:val="Hyperlink"/>
            <w:szCs w:val="20"/>
          </w:rPr>
          <w:t>3.4 GHz band technical framework</w:t>
        </w:r>
      </w:hyperlink>
      <w:r w:rsidR="00F256E0" w:rsidRPr="00F256E0">
        <w:t xml:space="preserve"> required to support the conversion of </w:t>
      </w:r>
      <w:r w:rsidR="009E022E">
        <w:t>NBN Co’s</w:t>
      </w:r>
      <w:r w:rsidR="009E022E" w:rsidRPr="00F256E0">
        <w:t xml:space="preserve"> </w:t>
      </w:r>
      <w:r w:rsidR="00F256E0" w:rsidRPr="00F256E0">
        <w:t>existing apparatus licences to spectrum licences</w:t>
      </w:r>
      <w:r w:rsidR="00A9457C">
        <w:t xml:space="preserve"> (referred to as consequential changes)</w:t>
      </w:r>
      <w:r>
        <w:t>.</w:t>
      </w:r>
    </w:p>
    <w:p w14:paraId="488DC133" w14:textId="00D4D814" w:rsidR="00F256E0" w:rsidRPr="00F256E0" w:rsidRDefault="00DA7ED6" w:rsidP="008D2CD1">
      <w:pPr>
        <w:pStyle w:val="Bulletlevel1"/>
        <w:rPr>
          <w:rFonts w:ascii="Calibri" w:hAnsi="Calibri"/>
        </w:rPr>
      </w:pPr>
      <w:r>
        <w:t>D</w:t>
      </w:r>
      <w:r w:rsidR="00F256E0" w:rsidRPr="00F256E0">
        <w:t xml:space="preserve">evelopment of interference management criteria </w:t>
      </w:r>
      <w:r w:rsidR="00A9457C">
        <w:t>to and from</w:t>
      </w:r>
      <w:r w:rsidR="00F256E0" w:rsidRPr="00F256E0">
        <w:t xml:space="preserve"> urban excise areas</w:t>
      </w:r>
      <w:r>
        <w:t>.</w:t>
      </w:r>
    </w:p>
    <w:bookmarkEnd w:id="8"/>
    <w:p w14:paraId="013992C1" w14:textId="3E15643E" w:rsidR="00F256E0" w:rsidRPr="00F256E0" w:rsidRDefault="00DA7ED6" w:rsidP="008D2CD1">
      <w:pPr>
        <w:pStyle w:val="Bulletlevel1"/>
      </w:pPr>
      <w:r>
        <w:t>R</w:t>
      </w:r>
      <w:r w:rsidR="00F256E0" w:rsidRPr="00F256E0">
        <w:t xml:space="preserve">eview of the </w:t>
      </w:r>
      <w:hyperlink r:id="rId31" w:history="1">
        <w:r w:rsidR="00F256E0" w:rsidRPr="00F256E0">
          <w:rPr>
            <w:rStyle w:val="Hyperlink"/>
            <w:szCs w:val="20"/>
          </w:rPr>
          <w:t xml:space="preserve">Radiocommunications (Unacceptable Levels of Interference — </w:t>
        </w:r>
        <w:r>
          <w:rPr>
            <w:rStyle w:val="Hyperlink"/>
            <w:szCs w:val="20"/>
          </w:rPr>
          <w:br/>
        </w:r>
        <w:r w:rsidR="00F256E0" w:rsidRPr="00F256E0">
          <w:rPr>
            <w:rStyle w:val="Hyperlink"/>
            <w:szCs w:val="20"/>
          </w:rPr>
          <w:t>3.4 GHz Band) Determination 2015</w:t>
        </w:r>
      </w:hyperlink>
      <w:r w:rsidR="00F256E0" w:rsidRPr="00F256E0">
        <w:t xml:space="preserve"> (the s.145(4) </w:t>
      </w:r>
      <w:r>
        <w:t>D</w:t>
      </w:r>
      <w:r w:rsidR="00F256E0" w:rsidRPr="00F256E0">
        <w:t>etermination)</w:t>
      </w:r>
      <w:r>
        <w:t>.</w:t>
      </w:r>
      <w:r w:rsidR="00B4104F">
        <w:t xml:space="preserve"> </w:t>
      </w:r>
    </w:p>
    <w:p w14:paraId="17E93DED" w14:textId="55B368ED" w:rsidR="00F256E0" w:rsidRDefault="00F256E0" w:rsidP="008D2CD1">
      <w:pPr>
        <w:pStyle w:val="Bulletlevel1"/>
      </w:pPr>
      <w:bookmarkStart w:id="9" w:name="_Hlk62111795"/>
      <w:r>
        <w:t>Review the receiver spurious emission limits for Active Antenna Systems (AAS)</w:t>
      </w:r>
      <w:r w:rsidR="00DA7ED6">
        <w:t>.</w:t>
      </w:r>
    </w:p>
    <w:p w14:paraId="6D89CC43" w14:textId="5ECD3419" w:rsidR="00D0657A" w:rsidRDefault="00DA7ED6" w:rsidP="008D2CD1">
      <w:pPr>
        <w:pStyle w:val="Bulletlevel1last"/>
      </w:pPr>
      <w:r>
        <w:t>R</w:t>
      </w:r>
      <w:r w:rsidR="00D0657A">
        <w:t xml:space="preserve">eview text in the </w:t>
      </w:r>
      <w:hyperlink r:id="rId32" w:history="1">
        <w:r w:rsidR="00D0657A" w:rsidRPr="007F5FCB">
          <w:rPr>
            <w:rStyle w:val="Hyperlink"/>
          </w:rPr>
          <w:t>Radiocommunications Advisory Guidelines (Managing Interference to Spectrum Licensed Receivers — 3.4 GHz Band) 2015</w:t>
        </w:r>
      </w:hyperlink>
      <w:r w:rsidR="00D0657A">
        <w:t xml:space="preserve"> (the RAG Rx) relating to interference management with defence radar systems. The aim being to provide greater guidance on the issue.</w:t>
      </w:r>
    </w:p>
    <w:p w14:paraId="010C5A35" w14:textId="77777777" w:rsidR="00D0657A" w:rsidRPr="00F256E0" w:rsidRDefault="00D0657A" w:rsidP="00D0657A">
      <w:pPr>
        <w:pStyle w:val="ListBullet"/>
        <w:numPr>
          <w:ilvl w:val="0"/>
          <w:numId w:val="0"/>
        </w:numPr>
        <w:ind w:left="360"/>
        <w:rPr>
          <w:szCs w:val="20"/>
        </w:rPr>
      </w:pPr>
    </w:p>
    <w:bookmarkEnd w:id="9"/>
    <w:p w14:paraId="064FE5A1" w14:textId="75A398B5" w:rsidR="00AE461C" w:rsidRDefault="00AE461C">
      <w:pPr>
        <w:spacing w:after="0" w:line="240" w:lineRule="auto"/>
        <w:rPr>
          <w:rFonts w:cs="Arial"/>
        </w:rPr>
      </w:pPr>
      <w:r>
        <w:br w:type="page"/>
      </w:r>
    </w:p>
    <w:p w14:paraId="7ADDDA2D" w14:textId="3756BBF8" w:rsidR="00AE461C" w:rsidRPr="00702EA1" w:rsidRDefault="00AE461C" w:rsidP="00AE461C">
      <w:pPr>
        <w:pStyle w:val="Heading1"/>
      </w:pPr>
      <w:bookmarkStart w:id="10" w:name="_Toc80877066"/>
      <w:r>
        <w:lastRenderedPageBreak/>
        <w:t xml:space="preserve">3.4 GHz </w:t>
      </w:r>
      <w:r w:rsidRPr="007D04B2">
        <w:t>technical framework</w:t>
      </w:r>
      <w:bookmarkEnd w:id="10"/>
    </w:p>
    <w:p w14:paraId="506C55E1" w14:textId="77777777" w:rsidR="006B4EC1" w:rsidRPr="007D04B2" w:rsidRDefault="006B4EC1" w:rsidP="006B4EC1">
      <w:pPr>
        <w:rPr>
          <w:rFonts w:cs="Arial"/>
        </w:rPr>
      </w:pPr>
      <w:r w:rsidRPr="007D04B2">
        <w:rPr>
          <w:rFonts w:cs="Arial"/>
        </w:rPr>
        <w:t xml:space="preserve">The </w:t>
      </w:r>
      <w:r>
        <w:rPr>
          <w:rFonts w:cs="Arial"/>
        </w:rPr>
        <w:t>ACMA</w:t>
      </w:r>
      <w:r w:rsidRPr="007D04B2">
        <w:rPr>
          <w:rFonts w:cs="Arial"/>
        </w:rPr>
        <w:t xml:space="preserve"> develops a technical framework for every band subject to spectrum licensing.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a device may be deployed and operated within the specified geographic area and frequency band of the licence.</w:t>
      </w:r>
    </w:p>
    <w:p w14:paraId="67277D37" w14:textId="0154816C" w:rsidR="006B4EC1" w:rsidRPr="007D04B2" w:rsidRDefault="006B4EC1" w:rsidP="006B4EC1">
      <w:pPr>
        <w:rPr>
          <w:rFonts w:cs="Arial"/>
        </w:rPr>
      </w:pPr>
      <w:r w:rsidRPr="007D04B2">
        <w:rPr>
          <w:rFonts w:cs="Arial"/>
        </w:rPr>
        <w:t xml:space="preserve">Although the technical framework is optimised for technologies, or services most likely to be deployed in the band, it is intended to be </w:t>
      </w:r>
      <w:proofErr w:type="gramStart"/>
      <w:r w:rsidRPr="007D04B2">
        <w:rPr>
          <w:rFonts w:cs="Arial"/>
        </w:rPr>
        <w:t>technology</w:t>
      </w:r>
      <w:r w:rsidR="00205CFC">
        <w:rPr>
          <w:rFonts w:cs="Arial"/>
        </w:rPr>
        <w:t>-</w:t>
      </w:r>
      <w:r w:rsidRPr="007D04B2">
        <w:rPr>
          <w:rFonts w:cs="Arial"/>
        </w:rPr>
        <w:t>flexible</w:t>
      </w:r>
      <w:proofErr w:type="gramEnd"/>
      <w:r w:rsidRPr="007D04B2">
        <w:rPr>
          <w:rFonts w:cs="Arial"/>
        </w:rPr>
        <w:t xml:space="preserve">. This means licensees can operate any type of radiocommunications device for any purpose, provided they comply with the technical framework relevant to the licence. </w:t>
      </w:r>
    </w:p>
    <w:p w14:paraId="2C07F905" w14:textId="21F5B3A6" w:rsidR="00AE461C" w:rsidRPr="007D04B2" w:rsidRDefault="00AE461C" w:rsidP="008D2CD1">
      <w:pPr>
        <w:pStyle w:val="Paragraphbeforelist"/>
      </w:pPr>
      <w:r w:rsidRPr="007D04B2">
        <w:t xml:space="preserve">A technical framework consists of </w:t>
      </w:r>
      <w:r w:rsidR="00205CFC">
        <w:t>3</w:t>
      </w:r>
      <w:r w:rsidR="00205CFC" w:rsidRPr="007D04B2">
        <w:t xml:space="preserve"> </w:t>
      </w:r>
      <w:r w:rsidRPr="007D04B2">
        <w:t xml:space="preserve">interlocking regulatory elements provided for under the </w:t>
      </w:r>
      <w:r w:rsidRPr="005438AE">
        <w:rPr>
          <w:i/>
          <w:iCs/>
        </w:rPr>
        <w:t>Radiocommunications Act 1992</w:t>
      </w:r>
      <w:r>
        <w:t xml:space="preserve"> (the Act)</w:t>
      </w:r>
      <w:r w:rsidRPr="007D04B2">
        <w:t>:</w:t>
      </w:r>
    </w:p>
    <w:p w14:paraId="48E8F448" w14:textId="69F9AF9C" w:rsidR="00AE461C" w:rsidRPr="007D04B2" w:rsidRDefault="00AE461C" w:rsidP="008D2CD1">
      <w:pPr>
        <w:pStyle w:val="Bulletlevel1"/>
      </w:pPr>
      <w:r w:rsidRPr="007D04B2">
        <w:t>The conditions specified on the spectrum licence</w:t>
      </w:r>
      <w:r w:rsidR="007C636E">
        <w:t xml:space="preserve"> – </w:t>
      </w:r>
      <w:r w:rsidRPr="007D04B2">
        <w:t xml:space="preserve">in particular, the core conditions that define the spectrum space (both frequency and geographical area) and the level of emissions permitted inside and across the frequency boundaries of the licence (section 66 of the Act). </w:t>
      </w:r>
    </w:p>
    <w:p w14:paraId="2BF0423A" w14:textId="77777777" w:rsidR="00AE461C" w:rsidRPr="007D04B2" w:rsidRDefault="00AE461C" w:rsidP="008D2CD1">
      <w:pPr>
        <w:pStyle w:val="Bulletlevel1"/>
      </w:pPr>
      <w:r w:rsidRPr="007D04B2">
        <w:t>A determination of unacceptable interference for the purpose of device registration in each band (section 145 of the Act). This defines permissible levels of emissions across geographical licence boundaries and can also define various deployment constraints.</w:t>
      </w:r>
    </w:p>
    <w:p w14:paraId="3B297D44" w14:textId="77777777" w:rsidR="00AE461C" w:rsidRPr="007D04B2" w:rsidRDefault="00AE461C" w:rsidP="008D2CD1">
      <w:pPr>
        <w:pStyle w:val="Bulletlevel1last"/>
      </w:pPr>
      <w:r w:rsidRPr="007D04B2">
        <w:t xml:space="preserve">Radiocommunications advisory guidelines (RAG) that </w:t>
      </w:r>
      <w:proofErr w:type="gramStart"/>
      <w:r w:rsidRPr="007D04B2">
        <w:t>provide assistance</w:t>
      </w:r>
      <w:proofErr w:type="gramEnd"/>
      <w:r w:rsidRPr="007D04B2">
        <w:t xml:space="preserve"> and advice for coordination with stations in other services when and where required (section 262 of the Act). This includes detailing interference management criteria with incumbent apparatus and other spectrum licences. </w:t>
      </w:r>
    </w:p>
    <w:p w14:paraId="41B77D82" w14:textId="777CF59E" w:rsidR="00AE461C" w:rsidRPr="007D04B2" w:rsidRDefault="00AE461C" w:rsidP="00AE461C">
      <w:pPr>
        <w:rPr>
          <w:rFonts w:cs="Arial"/>
          <w:bCs/>
          <w:iCs/>
        </w:rPr>
      </w:pPr>
      <w:r w:rsidRPr="007D04B2">
        <w:rPr>
          <w:rFonts w:cs="Arial"/>
          <w:bCs/>
          <w:iCs/>
        </w:rPr>
        <w:t xml:space="preserve">A more comprehensive explanation of spectrum licence technical frameworks is provided in the document </w:t>
      </w:r>
      <w:hyperlink r:id="rId33" w:history="1">
        <w:r w:rsidR="007C636E">
          <w:rPr>
            <w:rStyle w:val="Hyperlink"/>
            <w:rFonts w:cs="Arial"/>
            <w:bCs/>
            <w:i/>
            <w:iCs/>
          </w:rPr>
          <w:t>S</w:t>
        </w:r>
        <w:r w:rsidRPr="00A64DAB">
          <w:rPr>
            <w:rStyle w:val="Hyperlink"/>
            <w:rFonts w:cs="Arial"/>
            <w:bCs/>
            <w:i/>
            <w:iCs/>
          </w:rPr>
          <w:t>pectrum licensees</w:t>
        </w:r>
        <w:r w:rsidR="007C636E">
          <w:rPr>
            <w:rStyle w:val="Hyperlink"/>
            <w:rFonts w:cs="Arial"/>
            <w:bCs/>
            <w:i/>
            <w:iCs/>
          </w:rPr>
          <w:t xml:space="preserve"> – know your obligations</w:t>
        </w:r>
        <w:r w:rsidRPr="00A64DAB">
          <w:rPr>
            <w:rStyle w:val="Hyperlink"/>
            <w:rFonts w:cs="Arial"/>
            <w:bCs/>
            <w:iCs/>
          </w:rPr>
          <w:t>.</w:t>
        </w:r>
      </w:hyperlink>
    </w:p>
    <w:p w14:paraId="1B011AEC" w14:textId="77777777" w:rsidR="00AE461C" w:rsidRPr="007D04B2" w:rsidRDefault="00AE461C" w:rsidP="0029536F">
      <w:pPr>
        <w:pStyle w:val="Heading2"/>
        <w:spacing w:before="360"/>
      </w:pPr>
      <w:bookmarkStart w:id="11" w:name="_Toc56006332"/>
      <w:bookmarkStart w:id="12" w:name="_Toc57809589"/>
      <w:bookmarkStart w:id="13" w:name="_Toc80877067"/>
      <w:r>
        <w:t>3.4</w:t>
      </w:r>
      <w:r w:rsidRPr="007D04B2">
        <w:t xml:space="preserve"> GHz </w:t>
      </w:r>
      <w:r>
        <w:t>b</w:t>
      </w:r>
      <w:r w:rsidRPr="007D04B2">
        <w:t xml:space="preserve">and </w:t>
      </w:r>
      <w:r>
        <w:t>s</w:t>
      </w:r>
      <w:r w:rsidRPr="007D04B2">
        <w:t xml:space="preserve">pectrum </w:t>
      </w:r>
      <w:r>
        <w:t>l</w:t>
      </w:r>
      <w:r w:rsidRPr="007D04B2">
        <w:t xml:space="preserve">icence </w:t>
      </w:r>
      <w:r>
        <w:t>t</w:t>
      </w:r>
      <w:r w:rsidRPr="007D04B2">
        <w:t xml:space="preserve">echnical </w:t>
      </w:r>
      <w:r>
        <w:t>f</w:t>
      </w:r>
      <w:r w:rsidRPr="007D04B2">
        <w:t>ramework</w:t>
      </w:r>
      <w:bookmarkEnd w:id="11"/>
      <w:bookmarkEnd w:id="12"/>
      <w:bookmarkEnd w:id="13"/>
    </w:p>
    <w:p w14:paraId="147293FF" w14:textId="641E5ECD" w:rsidR="00AE461C" w:rsidRPr="007D04B2" w:rsidRDefault="00AE461C" w:rsidP="008D2CD1">
      <w:pPr>
        <w:pStyle w:val="Paragraphbeforelist"/>
      </w:pPr>
      <w:r>
        <w:t>The 3.4 GHz spectrum licence technical framework is optimised for</w:t>
      </w:r>
      <w:r w:rsidR="00B53EE3">
        <w:t xml:space="preserve"> Time Division Duplex (</w:t>
      </w:r>
      <w:r>
        <w:t>TDD</w:t>
      </w:r>
      <w:r w:rsidR="00B53EE3">
        <w:t>)</w:t>
      </w:r>
      <w:r>
        <w:t xml:space="preserve"> technologies. </w:t>
      </w:r>
      <w:r w:rsidRPr="007D04B2">
        <w:t xml:space="preserve">The relevant </w:t>
      </w:r>
      <w:r>
        <w:t>3.4</w:t>
      </w:r>
      <w:r w:rsidRPr="007D04B2">
        <w:t xml:space="preserve"> GHz band technical framework instruments are:</w:t>
      </w:r>
    </w:p>
    <w:p w14:paraId="0AA46353" w14:textId="0FE7A829" w:rsidR="00AE461C" w:rsidRPr="006B4EC1" w:rsidRDefault="00AE461C" w:rsidP="00AE461C">
      <w:pPr>
        <w:pStyle w:val="ListBullet"/>
        <w:rPr>
          <w:rStyle w:val="Hyperlink"/>
          <w:rFonts w:cs="Arial"/>
          <w:color w:val="auto"/>
          <w:u w:val="none"/>
        </w:rPr>
      </w:pPr>
      <w:r w:rsidRPr="007D04B2">
        <w:t xml:space="preserve">Spectrum </w:t>
      </w:r>
      <w:r w:rsidR="007C636E">
        <w:t>l</w:t>
      </w:r>
      <w:r w:rsidRPr="007D04B2">
        <w:t>icence (</w:t>
      </w:r>
      <w:hyperlink r:id="rId34" w:history="1">
        <w:r>
          <w:rPr>
            <w:rStyle w:val="Hyperlink"/>
            <w:rFonts w:cs="Arial"/>
          </w:rPr>
          <w:t>c</w:t>
        </w:r>
        <w:r w:rsidRPr="007D04B2">
          <w:rPr>
            <w:rStyle w:val="Hyperlink"/>
            <w:rFonts w:cs="Arial"/>
          </w:rPr>
          <w:t>urrent licence holders and copies of licences</w:t>
        </w:r>
      </w:hyperlink>
      <w:r w:rsidRPr="008D2CD1">
        <w:rPr>
          <w:rStyle w:val="Hyperlink"/>
          <w:rFonts w:cs="Arial"/>
          <w:color w:val="auto"/>
          <w:u w:val="none"/>
        </w:rPr>
        <w:t>)</w:t>
      </w:r>
    </w:p>
    <w:p w14:paraId="7EDF838C" w14:textId="452AE6D0" w:rsidR="006B4EC1" w:rsidRPr="006B4EC1" w:rsidRDefault="00810F4E" w:rsidP="00AE461C">
      <w:pPr>
        <w:pStyle w:val="ListBullet"/>
        <w:rPr>
          <w:rFonts w:cs="Arial"/>
        </w:rPr>
      </w:pPr>
      <w:hyperlink r:id="rId35" w:tgtFrame="_self" w:history="1">
        <w:r w:rsidR="006B4EC1" w:rsidRPr="005438AE">
          <w:rPr>
            <w:rStyle w:val="Hyperlink"/>
            <w:bCs/>
          </w:rPr>
          <w:t xml:space="preserve">Radiocommunications (Unacceptable Levels of Interference – </w:t>
        </w:r>
        <w:r w:rsidR="006B4EC1">
          <w:rPr>
            <w:rStyle w:val="Hyperlink"/>
            <w:bCs/>
          </w:rPr>
          <w:t>3.4</w:t>
        </w:r>
        <w:r w:rsidR="006B4EC1" w:rsidRPr="005438AE">
          <w:rPr>
            <w:rStyle w:val="Hyperlink"/>
            <w:bCs/>
          </w:rPr>
          <w:t xml:space="preserve"> GHz Band) Determination 201</w:t>
        </w:r>
        <w:r w:rsidR="006B4EC1">
          <w:rPr>
            <w:rStyle w:val="Hyperlink"/>
            <w:bCs/>
          </w:rPr>
          <w:t>5</w:t>
        </w:r>
      </w:hyperlink>
      <w:r w:rsidR="006B4EC1" w:rsidRPr="00A9457C">
        <w:t xml:space="preserve"> </w:t>
      </w:r>
      <w:r w:rsidR="006B4EC1">
        <w:t xml:space="preserve">(the s.145(4) </w:t>
      </w:r>
      <w:r w:rsidR="007C636E">
        <w:t>D</w:t>
      </w:r>
      <w:r w:rsidR="006B4EC1">
        <w:t>etermination)</w:t>
      </w:r>
    </w:p>
    <w:p w14:paraId="27275233" w14:textId="365A62CA" w:rsidR="006B4EC1" w:rsidRDefault="00810F4E" w:rsidP="00AE461C">
      <w:pPr>
        <w:pStyle w:val="ListBullet"/>
        <w:rPr>
          <w:rFonts w:cs="Arial"/>
        </w:rPr>
      </w:pPr>
      <w:hyperlink r:id="rId36" w:history="1">
        <w:r w:rsidR="006B4EC1" w:rsidRPr="006B4EC1">
          <w:rPr>
            <w:rStyle w:val="Hyperlink"/>
            <w:rFonts w:cs="Arial"/>
          </w:rPr>
          <w:t>Radiocommunications Advisory Guidelines (Managing Interference from Spectrum Licensed Transmitters — 3.4 GHz Band) 2015</w:t>
        </w:r>
      </w:hyperlink>
      <w:r w:rsidR="006B4EC1" w:rsidRPr="006B4EC1">
        <w:rPr>
          <w:rFonts w:cs="Arial"/>
        </w:rPr>
        <w:t xml:space="preserve"> (the RAG Tx)</w:t>
      </w:r>
    </w:p>
    <w:p w14:paraId="43189A70" w14:textId="41DF8C96" w:rsidR="00AE461C" w:rsidRPr="006B4EC1" w:rsidRDefault="00810F4E" w:rsidP="008D2CD1">
      <w:pPr>
        <w:pStyle w:val="Bulletlevel1last"/>
      </w:pPr>
      <w:hyperlink r:id="rId37" w:tgtFrame="_self" w:history="1">
        <w:r w:rsidR="006B4EC1" w:rsidRPr="005438AE">
          <w:rPr>
            <w:rStyle w:val="Hyperlink"/>
            <w:bCs/>
          </w:rPr>
          <w:t xml:space="preserve">Radiocommunications Advisory Guidelines (Managing Interference to Spectrum Licensed Receivers – </w:t>
        </w:r>
        <w:r w:rsidR="006B4EC1">
          <w:rPr>
            <w:rStyle w:val="Hyperlink"/>
            <w:bCs/>
          </w:rPr>
          <w:t>3.4</w:t>
        </w:r>
        <w:r w:rsidR="006B4EC1" w:rsidRPr="005438AE">
          <w:rPr>
            <w:rStyle w:val="Hyperlink"/>
            <w:bCs/>
          </w:rPr>
          <w:t xml:space="preserve"> GHz Band) 201</w:t>
        </w:r>
        <w:r w:rsidR="006B4EC1">
          <w:rPr>
            <w:rStyle w:val="Hyperlink"/>
            <w:bCs/>
          </w:rPr>
          <w:t>5</w:t>
        </w:r>
      </w:hyperlink>
      <w:r w:rsidR="006B4EC1">
        <w:t xml:space="preserve"> (</w:t>
      </w:r>
      <w:r w:rsidR="006B4EC1" w:rsidRPr="00A9457C">
        <w:t xml:space="preserve">the RAG </w:t>
      </w:r>
      <w:r w:rsidR="006B4EC1">
        <w:t>R</w:t>
      </w:r>
      <w:r w:rsidR="006B4EC1" w:rsidRPr="00A9457C">
        <w:t>x)</w:t>
      </w:r>
    </w:p>
    <w:p w14:paraId="21E9A10B" w14:textId="77777777" w:rsidR="00AE461C" w:rsidRPr="007D04B2" w:rsidRDefault="00AE461C" w:rsidP="00AE461C">
      <w:pPr>
        <w:rPr>
          <w:rFonts w:cs="Arial"/>
        </w:rPr>
      </w:pPr>
      <w:r w:rsidRPr="007D04B2">
        <w:rPr>
          <w:rFonts w:cs="Arial"/>
        </w:rPr>
        <w:t xml:space="preserve">Details of the TLG process (including relevant papers) that developed the current </w:t>
      </w:r>
      <w:r>
        <w:rPr>
          <w:rFonts w:cs="Arial"/>
        </w:rPr>
        <w:t>3.4 </w:t>
      </w:r>
      <w:r w:rsidRPr="007D04B2">
        <w:rPr>
          <w:rFonts w:cs="Arial"/>
        </w:rPr>
        <w:t xml:space="preserve">GHz band technical framework are available on </w:t>
      </w:r>
      <w:hyperlink r:id="rId38" w:history="1">
        <w:r w:rsidRPr="000F4E6F">
          <w:rPr>
            <w:rStyle w:val="Hyperlink"/>
            <w:rFonts w:cs="Arial"/>
          </w:rPr>
          <w:t>the ACMA website</w:t>
        </w:r>
      </w:hyperlink>
      <w:r>
        <w:rPr>
          <w:rFonts w:cs="Arial"/>
        </w:rPr>
        <w:t>.</w:t>
      </w:r>
    </w:p>
    <w:p w14:paraId="35FF2E0A" w14:textId="77777777" w:rsidR="00AE461C" w:rsidRPr="007D04B2" w:rsidRDefault="00AE461C" w:rsidP="0029536F">
      <w:pPr>
        <w:pStyle w:val="Heading2"/>
        <w:keepLines/>
        <w:spacing w:before="360"/>
      </w:pPr>
      <w:bookmarkStart w:id="14" w:name="_Toc403740552"/>
      <w:bookmarkStart w:id="15" w:name="_Toc404333447"/>
      <w:bookmarkStart w:id="16" w:name="_Toc444690625"/>
      <w:bookmarkStart w:id="17" w:name="_Toc56006333"/>
      <w:bookmarkStart w:id="18" w:name="_Toc57809590"/>
      <w:bookmarkStart w:id="19" w:name="_Toc80877068"/>
      <w:r w:rsidRPr="007D04B2">
        <w:t>Conditions on the spectrum licence</w:t>
      </w:r>
      <w:bookmarkEnd w:id="14"/>
      <w:bookmarkEnd w:id="15"/>
      <w:bookmarkEnd w:id="16"/>
      <w:bookmarkEnd w:id="17"/>
      <w:bookmarkEnd w:id="18"/>
      <w:bookmarkEnd w:id="19"/>
    </w:p>
    <w:p w14:paraId="19961804" w14:textId="77777777" w:rsidR="00AE461C" w:rsidRPr="007D04B2" w:rsidRDefault="00AE461C" w:rsidP="008D2CD1">
      <w:pPr>
        <w:pStyle w:val="Paragraphbeforelist"/>
      </w:pPr>
      <w:r w:rsidRPr="007D04B2">
        <w:t>Each spectrum licence includes both core conditions and statutory conditions specified under relevant sections of the Act. The Act also provides that other specific conditions may be included by the ACMA.</w:t>
      </w:r>
    </w:p>
    <w:p w14:paraId="2E2417E3" w14:textId="19E5A310" w:rsidR="00AE461C" w:rsidRPr="007D04B2" w:rsidRDefault="00AE461C" w:rsidP="00AE461C">
      <w:pPr>
        <w:pStyle w:val="ListBullet"/>
        <w:keepNext/>
        <w:keepLines/>
      </w:pPr>
      <w:r w:rsidRPr="007D04B2">
        <w:rPr>
          <w:b/>
        </w:rPr>
        <w:lastRenderedPageBreak/>
        <w:t>Core conditions</w:t>
      </w:r>
      <w:r w:rsidR="007C636E">
        <w:rPr>
          <w:b/>
        </w:rPr>
        <w:t xml:space="preserve"> –</w:t>
      </w:r>
      <w:r w:rsidR="007C636E">
        <w:t xml:space="preserve"> </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39B52F6A" w14:textId="19AD6D10" w:rsidR="00AE461C" w:rsidRPr="007D04B2" w:rsidRDefault="00AE461C" w:rsidP="00AE461C">
      <w:pPr>
        <w:pStyle w:val="ListBullet"/>
      </w:pPr>
      <w:r w:rsidRPr="007D04B2">
        <w:rPr>
          <w:b/>
        </w:rPr>
        <w:t>Statutory conditions</w:t>
      </w:r>
      <w:r w:rsidR="007C636E">
        <w:rPr>
          <w:b/>
        </w:rPr>
        <w:t xml:space="preserve"> –</w:t>
      </w:r>
      <w:r w:rsidR="007C636E">
        <w:t xml:space="preserve"> </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76E8C813" w14:textId="2D3DC6E5" w:rsidR="00AE461C" w:rsidRPr="007D04B2" w:rsidRDefault="00AE461C">
      <w:pPr>
        <w:pStyle w:val="ListBullet"/>
        <w:spacing w:after="240"/>
      </w:pPr>
      <w:r w:rsidRPr="007D04B2">
        <w:rPr>
          <w:b/>
        </w:rPr>
        <w:t>Other conditions</w:t>
      </w:r>
      <w:r w:rsidR="007C636E">
        <w:rPr>
          <w:b/>
        </w:rPr>
        <w:t xml:space="preserve"> –</w:t>
      </w:r>
      <w:r w:rsidR="007C636E">
        <w:t xml:space="preserve"> </w:t>
      </w:r>
      <w:r w:rsidRPr="007D04B2">
        <w:t>conditions placed on licences under section 71 generally provide for the efficient management of the spectrum and administration of the Act. These conditions may vary from one band or licence to another.</w:t>
      </w:r>
    </w:p>
    <w:p w14:paraId="5B50878C" w14:textId="77777777" w:rsidR="00AE461C" w:rsidRPr="007D04B2" w:rsidRDefault="00AE461C" w:rsidP="008D2CD1">
      <w:pPr>
        <w:pStyle w:val="Paragraphbeforelist"/>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3B6CEF6F" w14:textId="36040EFE" w:rsidR="00AE461C" w:rsidRPr="007D04B2" w:rsidRDefault="009F06F7" w:rsidP="008D2CD1">
      <w:pPr>
        <w:pStyle w:val="Bulletlevel1"/>
      </w:pPr>
      <w:r>
        <w:t>T</w:t>
      </w:r>
      <w:r w:rsidR="00AE461C" w:rsidRPr="007D04B2">
        <w:t>he part or parts of the spectrum in which operation of radiocommunications devices is authorised under the licence (frequency range of operation)</w:t>
      </w:r>
      <w:r>
        <w:t>.</w:t>
      </w:r>
    </w:p>
    <w:p w14:paraId="5D2A4C8A" w14:textId="54BFEAE8" w:rsidR="00AE461C" w:rsidRPr="007D04B2" w:rsidRDefault="009F06F7" w:rsidP="008D2CD1">
      <w:pPr>
        <w:pStyle w:val="Bulletlevel1"/>
      </w:pPr>
      <w:r>
        <w:t>T</w:t>
      </w:r>
      <w:r w:rsidR="00AE461C" w:rsidRPr="007D04B2">
        <w:t>he maximum permitted level of radio emission, in parts of the spectrum outside the frequency range specified on the licence, that may be caused by operation of radiocommunications devices under the licence (outside-the-band emission)</w:t>
      </w:r>
      <w:r>
        <w:t>.</w:t>
      </w:r>
    </w:p>
    <w:p w14:paraId="3AC73475" w14:textId="61A3AECE" w:rsidR="00AE461C" w:rsidRPr="007D04B2" w:rsidRDefault="009F06F7" w:rsidP="008D2CD1">
      <w:pPr>
        <w:pStyle w:val="Bulletlevel1"/>
      </w:pPr>
      <w:r>
        <w:t>T</w:t>
      </w:r>
      <w:r w:rsidR="00AE461C" w:rsidRPr="007D04B2">
        <w:t>he area within which operation of radiocommunications devices is authorised under the licence (geographic area of operation)</w:t>
      </w:r>
      <w:r>
        <w:t>.</w:t>
      </w:r>
    </w:p>
    <w:p w14:paraId="07343CAE" w14:textId="5F75FD96" w:rsidR="00AE461C" w:rsidRPr="007D04B2" w:rsidRDefault="009F06F7" w:rsidP="008D2CD1">
      <w:pPr>
        <w:pStyle w:val="Bulletlevel1last"/>
      </w:pPr>
      <w:r>
        <w:t>T</w:t>
      </w:r>
      <w:r w:rsidR="00AE461C" w:rsidRPr="007D04B2">
        <w:t>he maximum permitted level of radio emission that may be caused by the operation of radiocommunications devices under the licence (outside-the-area emission).</w:t>
      </w:r>
    </w:p>
    <w:p w14:paraId="49803D07" w14:textId="77777777" w:rsidR="00AE461C" w:rsidRPr="007D04B2" w:rsidRDefault="00AE461C" w:rsidP="00AE461C">
      <w:pPr>
        <w:pStyle w:val="Heading2"/>
        <w:keepLines/>
        <w:spacing w:before="360"/>
      </w:pPr>
      <w:bookmarkStart w:id="20" w:name="_Ref312164882"/>
      <w:bookmarkStart w:id="21" w:name="_Ref312338073"/>
      <w:bookmarkStart w:id="22" w:name="_Toc328403871"/>
      <w:bookmarkStart w:id="23" w:name="_Toc403740553"/>
      <w:bookmarkStart w:id="24" w:name="_Toc404333448"/>
      <w:bookmarkStart w:id="25" w:name="_Toc444690626"/>
      <w:bookmarkStart w:id="26" w:name="_Toc56006337"/>
      <w:bookmarkStart w:id="27" w:name="_Toc57809594"/>
      <w:bookmarkStart w:id="28" w:name="_Toc80877069"/>
      <w:r w:rsidRPr="007D04B2">
        <w:t>Unacceptable levels of interference</w:t>
      </w:r>
      <w:bookmarkEnd w:id="20"/>
      <w:bookmarkEnd w:id="21"/>
      <w:bookmarkEnd w:id="22"/>
      <w:bookmarkEnd w:id="23"/>
      <w:bookmarkEnd w:id="24"/>
      <w:bookmarkEnd w:id="25"/>
      <w:bookmarkEnd w:id="26"/>
      <w:bookmarkEnd w:id="27"/>
      <w:bookmarkEnd w:id="28"/>
    </w:p>
    <w:p w14:paraId="57B21C58" w14:textId="4C8E3AC9" w:rsidR="00AE461C" w:rsidRPr="007D04B2" w:rsidRDefault="00AE461C" w:rsidP="00AE461C">
      <w:pPr>
        <w:keepNext/>
        <w:keepLines/>
      </w:pPr>
      <w:r w:rsidRPr="007D04B2">
        <w:t xml:space="preserve">Spectrum licensees are required to register a radiocommunications transmitter in the Register of Radiocommunications Licences before they may be operated under the licence. The only exception to this is if there is a condition on licences that exempts certain types of </w:t>
      </w:r>
      <w:r w:rsidR="00D82A64" w:rsidRPr="007D04B2">
        <w:t>transmitters</w:t>
      </w:r>
      <w:r w:rsidRPr="007D04B2">
        <w:t>.</w:t>
      </w:r>
    </w:p>
    <w:p w14:paraId="66F63DE6" w14:textId="3ADB6555" w:rsidR="00AE461C" w:rsidRPr="007D04B2" w:rsidRDefault="00AE461C" w:rsidP="00AE461C">
      <w:pPr>
        <w:keepLines/>
      </w:pPr>
      <w:r w:rsidRPr="007D04B2">
        <w:t xml:space="preserve">Subsection 145(1) of the Act gives </w:t>
      </w:r>
      <w:r w:rsidR="009F06F7">
        <w:t>us</w:t>
      </w:r>
      <w:r w:rsidRPr="007D04B2">
        <w:t xml:space="preserve"> the power to refuse to register a radiocommunications transmitter if </w:t>
      </w:r>
      <w:r w:rsidR="009F06F7">
        <w:t>we are</w:t>
      </w:r>
      <w:r w:rsidRPr="007D04B2">
        <w:t xml:space="preserve"> satisfied that the operation of the transmitter could cause an unacceptable level of interference to the operation of other radiocommunications devices. Under subsection 145(4) of the Act, the ACMA can </w:t>
      </w:r>
      <w:proofErr w:type="gramStart"/>
      <w:r w:rsidRPr="007D04B2">
        <w:t>make a determination</w:t>
      </w:r>
      <w:proofErr w:type="gramEnd"/>
      <w:r w:rsidRPr="007D04B2">
        <w:t xml:space="preserve"> (referred to as a section 145 determination) that sets out what is considered unacceptable levels of interference for each spectrum-licensed band.</w:t>
      </w:r>
    </w:p>
    <w:p w14:paraId="0FB189E8" w14:textId="77777777" w:rsidR="00AE461C" w:rsidRPr="007D04B2" w:rsidRDefault="00AE461C" w:rsidP="008D2CD1">
      <w:pPr>
        <w:pStyle w:val="Paragraphbeforelist"/>
      </w:pPr>
      <w:r w:rsidRPr="007D04B2">
        <w:t>A section 145 determination sets out the circumstances in which devices are deemed to cause unacceptable levels of interference. These circumstances typically include:</w:t>
      </w:r>
    </w:p>
    <w:p w14:paraId="29044B98" w14:textId="0DCB2F5F" w:rsidR="00AE461C" w:rsidRPr="007D04B2" w:rsidRDefault="009F06F7" w:rsidP="00AE461C">
      <w:pPr>
        <w:pStyle w:val="ListBullet"/>
      </w:pPr>
      <w:r>
        <w:t>I</w:t>
      </w:r>
      <w:r w:rsidR="00AE461C" w:rsidRPr="007D04B2">
        <w:t>f the levels of emissions from a device at the geographical boundary of a licence exceed a defined level</w:t>
      </w:r>
      <w:r>
        <w:t>.</w:t>
      </w:r>
    </w:p>
    <w:p w14:paraId="24D4D68B" w14:textId="46E4F98C" w:rsidR="00AE461C" w:rsidRPr="007D04B2" w:rsidRDefault="009F06F7" w:rsidP="00AE461C">
      <w:pPr>
        <w:pStyle w:val="ListBullet"/>
      </w:pPr>
      <w:r>
        <w:t>I</w:t>
      </w:r>
      <w:r w:rsidR="00AE461C" w:rsidRPr="007D04B2">
        <w:t>f the operation of the transmitter will cause a breach of a core condition of the licence</w:t>
      </w:r>
      <w:r>
        <w:t>.</w:t>
      </w:r>
    </w:p>
    <w:p w14:paraId="1437618C" w14:textId="594645E0" w:rsidR="00AE461C" w:rsidRPr="007D04B2" w:rsidRDefault="009F06F7" w:rsidP="00AE461C">
      <w:pPr>
        <w:pStyle w:val="ListBullet"/>
        <w:spacing w:after="240"/>
      </w:pPr>
      <w:r>
        <w:t>I</w:t>
      </w:r>
      <w:r w:rsidR="00AE461C" w:rsidRPr="007D04B2">
        <w:t>f the deployment of the device is outside any deployment constraints defined for the band</w:t>
      </w:r>
      <w:r w:rsidR="00AE461C">
        <w:t>.</w:t>
      </w:r>
    </w:p>
    <w:p w14:paraId="1B0A0C9E" w14:textId="77777777" w:rsidR="0029536F" w:rsidRPr="007D04B2" w:rsidRDefault="0029536F" w:rsidP="0029536F">
      <w:pPr>
        <w:pStyle w:val="Heading2"/>
      </w:pPr>
      <w:bookmarkStart w:id="29" w:name="_Ref312338161"/>
      <w:bookmarkStart w:id="30" w:name="_Ref312338219"/>
      <w:bookmarkStart w:id="31" w:name="_Ref314129073"/>
      <w:bookmarkStart w:id="32" w:name="_Toc328403872"/>
      <w:bookmarkStart w:id="33" w:name="_Toc403740554"/>
      <w:bookmarkStart w:id="34" w:name="_Toc404333449"/>
      <w:bookmarkStart w:id="35" w:name="_Toc444690627"/>
      <w:bookmarkStart w:id="36" w:name="_Toc56006340"/>
      <w:bookmarkStart w:id="37" w:name="_Toc57809597"/>
      <w:bookmarkStart w:id="38" w:name="_Toc80877070"/>
      <w:r w:rsidRPr="007D04B2">
        <w:lastRenderedPageBreak/>
        <w:t>Radiocommunications advisory guidelines</w:t>
      </w:r>
      <w:bookmarkEnd w:id="29"/>
      <w:bookmarkEnd w:id="30"/>
      <w:bookmarkEnd w:id="31"/>
      <w:bookmarkEnd w:id="32"/>
      <w:bookmarkEnd w:id="33"/>
      <w:bookmarkEnd w:id="34"/>
      <w:bookmarkEnd w:id="35"/>
      <w:bookmarkEnd w:id="36"/>
      <w:bookmarkEnd w:id="37"/>
      <w:bookmarkEnd w:id="38"/>
    </w:p>
    <w:p w14:paraId="6B92C39E" w14:textId="77777777" w:rsidR="0029536F" w:rsidRPr="007D04B2" w:rsidRDefault="0029536F" w:rsidP="0029536F">
      <w:pPr>
        <w:rPr>
          <w:rFonts w:cs="Arial"/>
        </w:rPr>
      </w:pPr>
      <w:r w:rsidRPr="007D04B2">
        <w:rPr>
          <w:rFonts w:cs="Arial"/>
        </w:rPr>
        <w:t>Further guidance on interference management with other licensed services is provided in Radiocommunications Advisory Guidelines (RAGs) made under section 262 of the Act. RAGs can refer to any aspect of radiocommunications or radio emissions.</w:t>
      </w:r>
    </w:p>
    <w:p w14:paraId="78676368" w14:textId="77777777" w:rsidR="0029536F" w:rsidRPr="007D04B2" w:rsidRDefault="0029536F" w:rsidP="0029536F">
      <w:pPr>
        <w:rPr>
          <w:rFonts w:cs="Arial"/>
        </w:rPr>
      </w:pPr>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p>
    <w:p w14:paraId="315D72E9" w14:textId="77777777" w:rsidR="0029536F" w:rsidRPr="007D04B2" w:rsidRDefault="0029536F" w:rsidP="0029536F">
      <w:pPr>
        <w:rPr>
          <w:rFonts w:cs="Arial"/>
        </w:rPr>
      </w:pPr>
      <w:r w:rsidRPr="007D04B2">
        <w:rPr>
          <w:rFonts w:cs="Arial"/>
        </w:rPr>
        <w:t xml:space="preserve">It is important to note that where a case of interference arises between a spectrum-licensed device and another licensed device, the ACMA will refer to the provisions of the RAGs in resolving the matter. In general, affected licensees also have the ability to negotiate their own arrangements in order to manage interference. Such arrangements will also be </w:t>
      </w:r>
      <w:proofErr w:type="gramStart"/>
      <w:r w:rsidRPr="007D04B2">
        <w:rPr>
          <w:rFonts w:cs="Arial"/>
        </w:rPr>
        <w:t>taken into account</w:t>
      </w:r>
      <w:proofErr w:type="gramEnd"/>
      <w:r w:rsidRPr="007D04B2">
        <w:rPr>
          <w:rFonts w:cs="Arial"/>
        </w:rPr>
        <w:t xml:space="preserve"> when resolving any interference disputes.  </w:t>
      </w:r>
    </w:p>
    <w:p w14:paraId="20265D81" w14:textId="77777777" w:rsidR="00437582" w:rsidRDefault="00437582" w:rsidP="00437582">
      <w:pPr>
        <w:pStyle w:val="Paragraph"/>
      </w:pPr>
    </w:p>
    <w:p w14:paraId="39125C07" w14:textId="77777777" w:rsidR="00437582" w:rsidRPr="00437582" w:rsidRDefault="00437582" w:rsidP="00437582">
      <w:pPr>
        <w:pStyle w:val="Paragraph"/>
      </w:pPr>
    </w:p>
    <w:p w14:paraId="3B63998E" w14:textId="497DDCF9" w:rsidR="00F256E0" w:rsidRPr="00702EA1" w:rsidRDefault="008F1E35" w:rsidP="00F256E0">
      <w:pPr>
        <w:pStyle w:val="Heading1"/>
      </w:pPr>
      <w:bookmarkStart w:id="39" w:name="_Toc56006331"/>
      <w:bookmarkStart w:id="40" w:name="_Toc57809588"/>
      <w:bookmarkStart w:id="41" w:name="_Toc80877071"/>
      <w:r>
        <w:lastRenderedPageBreak/>
        <w:t>C</w:t>
      </w:r>
      <w:r w:rsidR="00F256E0">
        <w:t xml:space="preserve">hanges to the 3.4 GHz </w:t>
      </w:r>
      <w:r w:rsidR="00F256E0" w:rsidRPr="007D04B2">
        <w:t>technical framework</w:t>
      </w:r>
      <w:bookmarkEnd w:id="39"/>
      <w:bookmarkEnd w:id="40"/>
      <w:bookmarkEnd w:id="41"/>
    </w:p>
    <w:p w14:paraId="2F871C56" w14:textId="787589E7" w:rsidR="00F256E0" w:rsidRDefault="00F256E0" w:rsidP="004B54DD">
      <w:r w:rsidRPr="007D04B2">
        <w:rPr>
          <w:rFonts w:cs="Arial"/>
        </w:rPr>
        <w:t xml:space="preserve">This section </w:t>
      </w:r>
      <w:r w:rsidR="008F1E35">
        <w:rPr>
          <w:rFonts w:cs="Arial"/>
        </w:rPr>
        <w:t xml:space="preserve">provides </w:t>
      </w:r>
      <w:r w:rsidR="004B54DD">
        <w:rPr>
          <w:rFonts w:cs="Arial"/>
        </w:rPr>
        <w:t>details</w:t>
      </w:r>
      <w:r w:rsidRPr="007D04B2">
        <w:rPr>
          <w:rFonts w:cs="Arial"/>
        </w:rPr>
        <w:t xml:space="preserve"> </w:t>
      </w:r>
      <w:r w:rsidR="008F1E35">
        <w:rPr>
          <w:rFonts w:cs="Arial"/>
        </w:rPr>
        <w:t>on the outcomes of discussion with the TLG regarding</w:t>
      </w:r>
      <w:r w:rsidRPr="007D04B2">
        <w:rPr>
          <w:rFonts w:cs="Arial"/>
        </w:rPr>
        <w:t xml:space="preserve"> </w:t>
      </w:r>
      <w:r w:rsidR="00973919">
        <w:rPr>
          <w:rFonts w:cs="Arial"/>
        </w:rPr>
        <w:t xml:space="preserve">the </w:t>
      </w:r>
      <w:r w:rsidR="00AE461C">
        <w:rPr>
          <w:rFonts w:cs="Arial"/>
        </w:rPr>
        <w:t>items for review</w:t>
      </w:r>
      <w:r w:rsidR="008F1E35">
        <w:rPr>
          <w:rFonts w:cs="Arial"/>
        </w:rPr>
        <w:t xml:space="preserve"> in the 3.4 GHz technical framework</w:t>
      </w:r>
      <w:r w:rsidR="00AE461C">
        <w:rPr>
          <w:rFonts w:cs="Arial"/>
        </w:rPr>
        <w:t xml:space="preserve"> identified in </w:t>
      </w:r>
      <w:r w:rsidR="004B54DD">
        <w:rPr>
          <w:rFonts w:cs="Arial"/>
        </w:rPr>
        <w:t>th</w:t>
      </w:r>
      <w:r w:rsidR="00650075">
        <w:rPr>
          <w:rFonts w:cs="Arial"/>
        </w:rPr>
        <w:t xml:space="preserve">e </w:t>
      </w:r>
      <w:hyperlink w:anchor="_Scope_of_the" w:history="1">
        <w:r w:rsidR="00650075" w:rsidRPr="00650075">
          <w:rPr>
            <w:rStyle w:val="Hyperlink"/>
            <w:rFonts w:cs="Arial"/>
          </w:rPr>
          <w:t>Scope of the TLG</w:t>
        </w:r>
      </w:hyperlink>
      <w:r w:rsidR="004B54DD">
        <w:rPr>
          <w:rFonts w:cs="Arial"/>
        </w:rPr>
        <w:t xml:space="preserve"> section</w:t>
      </w:r>
      <w:r>
        <w:rPr>
          <w:rFonts w:cs="Arial"/>
        </w:rPr>
        <w:t xml:space="preserve">. </w:t>
      </w:r>
    </w:p>
    <w:p w14:paraId="7AD9716C" w14:textId="1A136CC3" w:rsidR="00A9457C" w:rsidRPr="007D04B2" w:rsidRDefault="00A9457C" w:rsidP="00A9457C">
      <w:pPr>
        <w:pStyle w:val="Heading2"/>
      </w:pPr>
      <w:bookmarkStart w:id="42" w:name="_Toc80877072"/>
      <w:r>
        <w:t>Consequential changes</w:t>
      </w:r>
      <w:bookmarkEnd w:id="42"/>
    </w:p>
    <w:p w14:paraId="6AF0A044" w14:textId="5E875315" w:rsidR="00A9457C" w:rsidRPr="00A9457C" w:rsidRDefault="00A9457C" w:rsidP="0029536F">
      <w:pPr>
        <w:spacing w:before="120" w:after="360" w:line="240" w:lineRule="auto"/>
        <w:rPr>
          <w:rFonts w:cs="Arial"/>
          <w:szCs w:val="20"/>
        </w:rPr>
      </w:pPr>
      <w:r w:rsidRPr="00A9457C">
        <w:rPr>
          <w:rFonts w:cs="Arial"/>
          <w:szCs w:val="20"/>
        </w:rPr>
        <w:t xml:space="preserve">The TLG identified the following consequential changes to the </w:t>
      </w:r>
      <w:hyperlink r:id="rId39" w:history="1">
        <w:r w:rsidRPr="00A9457C">
          <w:rPr>
            <w:rStyle w:val="Hyperlink"/>
            <w:rFonts w:cs="Arial"/>
            <w:szCs w:val="20"/>
          </w:rPr>
          <w:t>3.4 GHz band technical framework</w:t>
        </w:r>
      </w:hyperlink>
      <w:r w:rsidRPr="00A9457C">
        <w:rPr>
          <w:rFonts w:cs="Arial"/>
          <w:szCs w:val="20"/>
        </w:rPr>
        <w:t xml:space="preserve"> </w:t>
      </w:r>
      <w:r w:rsidR="00A17FA3">
        <w:rPr>
          <w:rFonts w:cs="Arial"/>
          <w:szCs w:val="20"/>
        </w:rPr>
        <w:t xml:space="preserve">and </w:t>
      </w:r>
      <w:hyperlink r:id="rId40" w:history="1">
        <w:r w:rsidR="00A17FA3" w:rsidRPr="00A9457C">
          <w:rPr>
            <w:rStyle w:val="Hyperlink"/>
            <w:szCs w:val="20"/>
          </w:rPr>
          <w:t>RALI MS44</w:t>
        </w:r>
      </w:hyperlink>
      <w:r w:rsidR="00A17FA3">
        <w:rPr>
          <w:rFonts w:cs="Arial"/>
          <w:szCs w:val="20"/>
        </w:rPr>
        <w:t xml:space="preserve"> </w:t>
      </w:r>
      <w:r w:rsidRPr="00A9457C">
        <w:rPr>
          <w:rFonts w:cs="Arial"/>
          <w:szCs w:val="20"/>
        </w:rPr>
        <w:t xml:space="preserve">to support the conversion of </w:t>
      </w:r>
      <w:r w:rsidR="009E022E">
        <w:rPr>
          <w:rFonts w:cs="Arial"/>
          <w:szCs w:val="20"/>
        </w:rPr>
        <w:t>NBN Co</w:t>
      </w:r>
      <w:r w:rsidRPr="00A9457C">
        <w:rPr>
          <w:rFonts w:cs="Arial"/>
          <w:szCs w:val="20"/>
        </w:rPr>
        <w:t>’s existing apparatus licences to spectrum licences:</w:t>
      </w:r>
    </w:p>
    <w:p w14:paraId="137ED007" w14:textId="503856C2" w:rsidR="00A9457C" w:rsidRPr="00702EA1" w:rsidRDefault="006E7763" w:rsidP="00A9457C">
      <w:pPr>
        <w:pStyle w:val="Tableheading"/>
        <w:keepLines/>
      </w:pPr>
      <w:r>
        <w:t>Proposed a</w:t>
      </w:r>
      <w:r w:rsidR="00A9457C">
        <w:t xml:space="preserve">mendments to the s.145(4) </w:t>
      </w:r>
      <w:r w:rsidR="00E12480">
        <w:t>D</w:t>
      </w:r>
      <w:r w:rsidR="00A9457C">
        <w:t>etermination</w:t>
      </w:r>
    </w:p>
    <w:tbl>
      <w:tblPr>
        <w:tblStyle w:val="ACMAtablestyle"/>
        <w:tblW w:w="9209" w:type="dxa"/>
        <w:tblLayout w:type="fixed"/>
        <w:tblLook w:val="01E0" w:firstRow="1" w:lastRow="1" w:firstColumn="1" w:lastColumn="1" w:noHBand="0" w:noVBand="0"/>
        <w:tblCaption w:val="Table title to go here"/>
        <w:tblDescription w:val="Table description to go here"/>
      </w:tblPr>
      <w:tblGrid>
        <w:gridCol w:w="2972"/>
        <w:gridCol w:w="6237"/>
      </w:tblGrid>
      <w:tr w:rsidR="00A9457C" w:rsidRPr="00A9457C" w14:paraId="6296F822" w14:textId="77777777" w:rsidTr="00847191">
        <w:trPr>
          <w:cnfStyle w:val="100000000000" w:firstRow="1" w:lastRow="0" w:firstColumn="0" w:lastColumn="0" w:oddVBand="0" w:evenVBand="0" w:oddHBand="0" w:evenHBand="0" w:firstRowFirstColumn="0" w:firstRowLastColumn="0" w:lastRowFirstColumn="0" w:lastRowLastColumn="0"/>
        </w:trPr>
        <w:tc>
          <w:tcPr>
            <w:tcW w:w="2972" w:type="dxa"/>
          </w:tcPr>
          <w:p w14:paraId="5F3FD7D2" w14:textId="77777777" w:rsidR="00A9457C" w:rsidRPr="00A9457C" w:rsidRDefault="00A9457C" w:rsidP="00847191">
            <w:pPr>
              <w:pStyle w:val="Tableheaderrow"/>
              <w:rPr>
                <w:szCs w:val="20"/>
              </w:rPr>
            </w:pPr>
            <w:r w:rsidRPr="00A9457C">
              <w:rPr>
                <w:szCs w:val="20"/>
              </w:rPr>
              <w:t>Item</w:t>
            </w:r>
          </w:p>
        </w:tc>
        <w:tc>
          <w:tcPr>
            <w:tcW w:w="6237" w:type="dxa"/>
          </w:tcPr>
          <w:p w14:paraId="2F476FC0" w14:textId="5D247D34" w:rsidR="00A9457C" w:rsidRPr="00A9457C" w:rsidRDefault="008F1E35" w:rsidP="00847191">
            <w:pPr>
              <w:pStyle w:val="Tableheaderrow"/>
              <w:rPr>
                <w:szCs w:val="20"/>
              </w:rPr>
            </w:pPr>
            <w:r>
              <w:rPr>
                <w:szCs w:val="20"/>
              </w:rPr>
              <w:t>Detail of amendment</w:t>
            </w:r>
          </w:p>
        </w:tc>
      </w:tr>
      <w:tr w:rsidR="00A9457C" w:rsidRPr="00A9457C" w14:paraId="2B2A1F8E" w14:textId="77777777" w:rsidTr="00847191">
        <w:trPr>
          <w:cnfStyle w:val="000000100000" w:firstRow="0" w:lastRow="0" w:firstColumn="0" w:lastColumn="0" w:oddVBand="0" w:evenVBand="0" w:oddHBand="1" w:evenHBand="0" w:firstRowFirstColumn="0" w:firstRowLastColumn="0" w:lastRowFirstColumn="0" w:lastRowLastColumn="0"/>
        </w:trPr>
        <w:tc>
          <w:tcPr>
            <w:tcW w:w="2972" w:type="dxa"/>
          </w:tcPr>
          <w:p w14:paraId="54BA12F5" w14:textId="77777777" w:rsidR="00A9457C" w:rsidRPr="00A9457C" w:rsidRDefault="00A9457C" w:rsidP="00847191">
            <w:pPr>
              <w:pStyle w:val="TableBody"/>
              <w:rPr>
                <w:szCs w:val="20"/>
              </w:rPr>
            </w:pPr>
            <w:r w:rsidRPr="00A9457C">
              <w:rPr>
                <w:szCs w:val="20"/>
              </w:rPr>
              <w:t>3.4 GHz definition</w:t>
            </w:r>
          </w:p>
        </w:tc>
        <w:tc>
          <w:tcPr>
            <w:tcW w:w="6237" w:type="dxa"/>
          </w:tcPr>
          <w:p w14:paraId="01761C58" w14:textId="1C65236D" w:rsidR="00A9457C" w:rsidRPr="00A9457C" w:rsidRDefault="00A9457C" w:rsidP="00847191">
            <w:pPr>
              <w:pStyle w:val="TableBody"/>
              <w:rPr>
                <w:szCs w:val="20"/>
              </w:rPr>
            </w:pPr>
            <w:r w:rsidRPr="00A9457C">
              <w:rPr>
                <w:szCs w:val="20"/>
              </w:rPr>
              <w:t>Change to 3400</w:t>
            </w:r>
            <w:r w:rsidR="00650075">
              <w:rPr>
                <w:szCs w:val="20"/>
              </w:rPr>
              <w:t>–</w:t>
            </w:r>
            <w:r w:rsidRPr="00A9457C">
              <w:rPr>
                <w:szCs w:val="20"/>
              </w:rPr>
              <w:t xml:space="preserve">3700 MHz </w:t>
            </w:r>
          </w:p>
        </w:tc>
      </w:tr>
    </w:tbl>
    <w:p w14:paraId="2472D161" w14:textId="6A89866D" w:rsidR="00A9457C" w:rsidRPr="00A9457C" w:rsidRDefault="006E7763" w:rsidP="00973919">
      <w:pPr>
        <w:pStyle w:val="Tableheading"/>
        <w:keepLines/>
        <w:spacing w:before="360"/>
      </w:pPr>
      <w:r>
        <w:t>Proposed a</w:t>
      </w:r>
      <w:r w:rsidR="00A9457C">
        <w:t>mendments to the RAG Rx</w:t>
      </w:r>
    </w:p>
    <w:tbl>
      <w:tblPr>
        <w:tblStyle w:val="ACMAtablestyle"/>
        <w:tblW w:w="9209" w:type="dxa"/>
        <w:tblLayout w:type="fixed"/>
        <w:tblLook w:val="01E0" w:firstRow="1" w:lastRow="1" w:firstColumn="1" w:lastColumn="1" w:noHBand="0" w:noVBand="0"/>
        <w:tblCaption w:val="Table title to go here"/>
        <w:tblDescription w:val="Table description to go here"/>
      </w:tblPr>
      <w:tblGrid>
        <w:gridCol w:w="2972"/>
        <w:gridCol w:w="6237"/>
      </w:tblGrid>
      <w:tr w:rsidR="00A9457C" w:rsidRPr="00A9457C" w14:paraId="30444184" w14:textId="77777777" w:rsidTr="00847191">
        <w:trPr>
          <w:cnfStyle w:val="100000000000" w:firstRow="1" w:lastRow="0" w:firstColumn="0" w:lastColumn="0" w:oddVBand="0" w:evenVBand="0" w:oddHBand="0" w:evenHBand="0" w:firstRowFirstColumn="0" w:firstRowLastColumn="0" w:lastRowFirstColumn="0" w:lastRowLastColumn="0"/>
        </w:trPr>
        <w:tc>
          <w:tcPr>
            <w:tcW w:w="2972" w:type="dxa"/>
          </w:tcPr>
          <w:p w14:paraId="63D73091" w14:textId="77777777" w:rsidR="00A9457C" w:rsidRPr="00A9457C" w:rsidRDefault="00A9457C" w:rsidP="00847191">
            <w:pPr>
              <w:pStyle w:val="Tableheaderrow"/>
              <w:rPr>
                <w:szCs w:val="20"/>
              </w:rPr>
            </w:pPr>
            <w:r w:rsidRPr="00A9457C">
              <w:rPr>
                <w:szCs w:val="20"/>
              </w:rPr>
              <w:t>Item</w:t>
            </w:r>
          </w:p>
        </w:tc>
        <w:tc>
          <w:tcPr>
            <w:tcW w:w="6237" w:type="dxa"/>
          </w:tcPr>
          <w:p w14:paraId="516F2751" w14:textId="5BE424BB" w:rsidR="00A9457C" w:rsidRPr="00A9457C" w:rsidRDefault="008F1E35" w:rsidP="00847191">
            <w:pPr>
              <w:pStyle w:val="Tableheaderrow"/>
              <w:rPr>
                <w:szCs w:val="20"/>
              </w:rPr>
            </w:pPr>
            <w:r>
              <w:rPr>
                <w:szCs w:val="20"/>
              </w:rPr>
              <w:t>Detail of amendment</w:t>
            </w:r>
          </w:p>
        </w:tc>
      </w:tr>
      <w:tr w:rsidR="00A9457C" w:rsidRPr="00A9457C" w14:paraId="0ADD3F6F" w14:textId="77777777" w:rsidTr="00847191">
        <w:trPr>
          <w:cnfStyle w:val="000000100000" w:firstRow="0" w:lastRow="0" w:firstColumn="0" w:lastColumn="0" w:oddVBand="0" w:evenVBand="0" w:oddHBand="1" w:evenHBand="0" w:firstRowFirstColumn="0" w:firstRowLastColumn="0" w:lastRowFirstColumn="0" w:lastRowLastColumn="0"/>
        </w:trPr>
        <w:tc>
          <w:tcPr>
            <w:tcW w:w="2972" w:type="dxa"/>
          </w:tcPr>
          <w:p w14:paraId="45923ECB" w14:textId="77777777" w:rsidR="00A9457C" w:rsidRPr="00A9457C" w:rsidRDefault="00A9457C" w:rsidP="00847191">
            <w:pPr>
              <w:pStyle w:val="TableBody"/>
              <w:rPr>
                <w:szCs w:val="20"/>
              </w:rPr>
            </w:pPr>
            <w:r w:rsidRPr="00A9457C">
              <w:rPr>
                <w:szCs w:val="20"/>
              </w:rPr>
              <w:t>3.4 GHz definition</w:t>
            </w:r>
          </w:p>
        </w:tc>
        <w:tc>
          <w:tcPr>
            <w:tcW w:w="6237" w:type="dxa"/>
          </w:tcPr>
          <w:p w14:paraId="167FC36C" w14:textId="57A18588" w:rsidR="00A9457C" w:rsidRPr="00A9457C" w:rsidRDefault="00A9457C" w:rsidP="00847191">
            <w:pPr>
              <w:pStyle w:val="TableBody"/>
              <w:rPr>
                <w:szCs w:val="20"/>
              </w:rPr>
            </w:pPr>
            <w:r w:rsidRPr="00A9457C">
              <w:rPr>
                <w:szCs w:val="20"/>
              </w:rPr>
              <w:t>Change to 3400</w:t>
            </w:r>
            <w:r w:rsidR="00650075">
              <w:rPr>
                <w:szCs w:val="20"/>
              </w:rPr>
              <w:t>–</w:t>
            </w:r>
            <w:r w:rsidRPr="00A9457C">
              <w:rPr>
                <w:szCs w:val="20"/>
              </w:rPr>
              <w:t>3700 MHz (or point to</w:t>
            </w:r>
            <w:r w:rsidR="00973919">
              <w:rPr>
                <w:szCs w:val="20"/>
              </w:rPr>
              <w:t xml:space="preserve"> the</w:t>
            </w:r>
            <w:r w:rsidRPr="00A9457C">
              <w:rPr>
                <w:szCs w:val="20"/>
              </w:rPr>
              <w:t xml:space="preserve"> definition in </w:t>
            </w:r>
            <w:r w:rsidR="00973919">
              <w:rPr>
                <w:szCs w:val="20"/>
              </w:rPr>
              <w:t xml:space="preserve">the </w:t>
            </w:r>
            <w:r w:rsidR="00650075">
              <w:rPr>
                <w:szCs w:val="20"/>
              </w:rPr>
              <w:br/>
            </w:r>
            <w:r w:rsidRPr="00A9457C">
              <w:rPr>
                <w:szCs w:val="20"/>
              </w:rPr>
              <w:t xml:space="preserve">s.145(4) </w:t>
            </w:r>
            <w:r w:rsidR="00650075">
              <w:rPr>
                <w:szCs w:val="20"/>
              </w:rPr>
              <w:t>D</w:t>
            </w:r>
            <w:r w:rsidRPr="00A9457C">
              <w:rPr>
                <w:szCs w:val="20"/>
              </w:rPr>
              <w:t>etermination)</w:t>
            </w:r>
          </w:p>
          <w:p w14:paraId="3E78B943" w14:textId="77777777" w:rsidR="00A9457C" w:rsidRPr="00A9457C" w:rsidRDefault="00A9457C" w:rsidP="00847191">
            <w:pPr>
              <w:pStyle w:val="TableBody"/>
              <w:rPr>
                <w:szCs w:val="20"/>
              </w:rPr>
            </w:pPr>
          </w:p>
          <w:p w14:paraId="38680D91" w14:textId="2BC7EBC0" w:rsidR="00A9457C" w:rsidRPr="00A9457C" w:rsidRDefault="00A9457C" w:rsidP="00847191">
            <w:pPr>
              <w:pStyle w:val="TableBody"/>
              <w:rPr>
                <w:szCs w:val="20"/>
              </w:rPr>
            </w:pPr>
            <w:r w:rsidRPr="00A9457C">
              <w:rPr>
                <w:szCs w:val="20"/>
              </w:rPr>
              <w:t>Delete definition of ‘</w:t>
            </w:r>
            <w:r w:rsidR="00650075">
              <w:rPr>
                <w:szCs w:val="20"/>
              </w:rPr>
              <w:t>r</w:t>
            </w:r>
            <w:r w:rsidRPr="00A9457C">
              <w:rPr>
                <w:szCs w:val="20"/>
              </w:rPr>
              <w:t xml:space="preserve">estricted </w:t>
            </w:r>
            <w:r w:rsidR="00650075">
              <w:rPr>
                <w:szCs w:val="20"/>
              </w:rPr>
              <w:t>b</w:t>
            </w:r>
            <w:r w:rsidRPr="00A9457C">
              <w:rPr>
                <w:szCs w:val="20"/>
              </w:rPr>
              <w:t>lock’</w:t>
            </w:r>
            <w:r>
              <w:rPr>
                <w:szCs w:val="20"/>
              </w:rPr>
              <w:t xml:space="preserve"> as it is no longer used</w:t>
            </w:r>
          </w:p>
        </w:tc>
      </w:tr>
      <w:tr w:rsidR="00A9457C" w:rsidRPr="00A9457C" w14:paraId="4F860782" w14:textId="77777777" w:rsidTr="00847191">
        <w:trPr>
          <w:cnfStyle w:val="000000010000" w:firstRow="0" w:lastRow="0" w:firstColumn="0" w:lastColumn="0" w:oddVBand="0" w:evenVBand="0" w:oddHBand="0" w:evenHBand="1" w:firstRowFirstColumn="0" w:firstRowLastColumn="0" w:lastRowFirstColumn="0" w:lastRowLastColumn="0"/>
        </w:trPr>
        <w:tc>
          <w:tcPr>
            <w:tcW w:w="2972" w:type="dxa"/>
          </w:tcPr>
          <w:p w14:paraId="64D72AF0" w14:textId="77777777" w:rsidR="00A9457C" w:rsidRPr="00A9457C" w:rsidRDefault="00A9457C" w:rsidP="00847191">
            <w:pPr>
              <w:pStyle w:val="TableBody"/>
              <w:rPr>
                <w:szCs w:val="20"/>
              </w:rPr>
            </w:pPr>
            <w:r w:rsidRPr="00A9457C">
              <w:rPr>
                <w:szCs w:val="20"/>
              </w:rPr>
              <w:t>Clause 3.1 (2) and (5)</w:t>
            </w:r>
          </w:p>
          <w:p w14:paraId="2D971A12" w14:textId="77777777" w:rsidR="00A9457C" w:rsidRPr="00A9457C" w:rsidRDefault="00A9457C" w:rsidP="00847191">
            <w:pPr>
              <w:pStyle w:val="TableBody"/>
              <w:rPr>
                <w:szCs w:val="20"/>
              </w:rPr>
            </w:pPr>
          </w:p>
          <w:p w14:paraId="18CFF910" w14:textId="77777777" w:rsidR="00A9457C" w:rsidRPr="00A9457C" w:rsidRDefault="00A9457C" w:rsidP="00847191">
            <w:pPr>
              <w:pStyle w:val="TableBody"/>
              <w:rPr>
                <w:szCs w:val="20"/>
              </w:rPr>
            </w:pPr>
            <w:r w:rsidRPr="00A9457C">
              <w:rPr>
                <w:szCs w:val="20"/>
              </w:rPr>
              <w:t>Managing in-band interference from apparatus licences (except Radiodetermination services)</w:t>
            </w:r>
          </w:p>
        </w:tc>
        <w:tc>
          <w:tcPr>
            <w:tcW w:w="6237" w:type="dxa"/>
          </w:tcPr>
          <w:p w14:paraId="7D928A17" w14:textId="77777777" w:rsidR="00A9457C" w:rsidRPr="00A9457C" w:rsidRDefault="00A9457C" w:rsidP="00847191">
            <w:pPr>
              <w:pStyle w:val="TableBody"/>
              <w:rPr>
                <w:szCs w:val="20"/>
              </w:rPr>
            </w:pPr>
            <w:r w:rsidRPr="00A9457C">
              <w:rPr>
                <w:szCs w:val="20"/>
              </w:rPr>
              <w:t>Add a clause (c) as follows:</w:t>
            </w:r>
          </w:p>
          <w:p w14:paraId="79C885CB" w14:textId="77777777" w:rsidR="00A9457C" w:rsidRPr="00A9457C" w:rsidRDefault="00A9457C" w:rsidP="00847191">
            <w:pPr>
              <w:pStyle w:val="TableBody"/>
              <w:rPr>
                <w:szCs w:val="20"/>
              </w:rPr>
            </w:pPr>
          </w:p>
          <w:p w14:paraId="1CC1BD40" w14:textId="74023C25" w:rsidR="00A9457C" w:rsidRPr="00A9457C" w:rsidRDefault="009E022E" w:rsidP="006643F3">
            <w:pPr>
              <w:pStyle w:val="TableBody"/>
              <w:numPr>
                <w:ilvl w:val="0"/>
                <w:numId w:val="13"/>
              </w:numPr>
              <w:rPr>
                <w:szCs w:val="20"/>
              </w:rPr>
            </w:pPr>
            <w:r>
              <w:rPr>
                <w:szCs w:val="20"/>
              </w:rPr>
              <w:t>t</w:t>
            </w:r>
            <w:r w:rsidR="00A9457C" w:rsidRPr="00A9457C">
              <w:rPr>
                <w:szCs w:val="20"/>
              </w:rPr>
              <w:t>he 3400</w:t>
            </w:r>
            <w:r w:rsidR="00650075">
              <w:rPr>
                <w:szCs w:val="20"/>
              </w:rPr>
              <w:t>–</w:t>
            </w:r>
            <w:r w:rsidR="00A9457C" w:rsidRPr="00A9457C">
              <w:rPr>
                <w:szCs w:val="20"/>
              </w:rPr>
              <w:t>3425 MHz and 3492.5</w:t>
            </w:r>
            <w:r w:rsidR="00650075">
              <w:rPr>
                <w:szCs w:val="20"/>
              </w:rPr>
              <w:t>–</w:t>
            </w:r>
            <w:r w:rsidR="00A9457C" w:rsidRPr="00A9457C">
              <w:rPr>
                <w:szCs w:val="20"/>
              </w:rPr>
              <w:t>3542.5 MHz frequency bands caused by radiocommunications transmitters operating under an apparatus licence issued before [Date Minister makes designation notice]</w:t>
            </w:r>
          </w:p>
        </w:tc>
      </w:tr>
    </w:tbl>
    <w:p w14:paraId="5D546F0C" w14:textId="53FBBFA4" w:rsidR="00A9457C" w:rsidRPr="00A9457C" w:rsidRDefault="006E7763" w:rsidP="00973919">
      <w:pPr>
        <w:pStyle w:val="Tableheading"/>
        <w:keepLines/>
        <w:spacing w:before="360"/>
      </w:pPr>
      <w:r>
        <w:t>Proposed a</w:t>
      </w:r>
      <w:r w:rsidR="00A9457C">
        <w:t>mendments to the RAG Tx</w:t>
      </w:r>
      <w:r w:rsidR="00A17FA3">
        <w:t xml:space="preserve"> and RALI MS44</w:t>
      </w:r>
    </w:p>
    <w:tbl>
      <w:tblPr>
        <w:tblStyle w:val="ACMAtablestyle"/>
        <w:tblW w:w="9209" w:type="dxa"/>
        <w:tblLayout w:type="fixed"/>
        <w:tblLook w:val="01E0" w:firstRow="1" w:lastRow="1" w:firstColumn="1" w:lastColumn="1" w:noHBand="0" w:noVBand="0"/>
        <w:tblCaption w:val="Table title to go here"/>
        <w:tblDescription w:val="Table description to go here"/>
      </w:tblPr>
      <w:tblGrid>
        <w:gridCol w:w="2972"/>
        <w:gridCol w:w="6237"/>
      </w:tblGrid>
      <w:tr w:rsidR="00A9457C" w:rsidRPr="00A9457C" w14:paraId="673C2F80" w14:textId="77777777" w:rsidTr="00847191">
        <w:trPr>
          <w:cnfStyle w:val="100000000000" w:firstRow="1" w:lastRow="0" w:firstColumn="0" w:lastColumn="0" w:oddVBand="0" w:evenVBand="0" w:oddHBand="0" w:evenHBand="0" w:firstRowFirstColumn="0" w:firstRowLastColumn="0" w:lastRowFirstColumn="0" w:lastRowLastColumn="0"/>
        </w:trPr>
        <w:tc>
          <w:tcPr>
            <w:tcW w:w="2972" w:type="dxa"/>
          </w:tcPr>
          <w:p w14:paraId="0B3503C4" w14:textId="77777777" w:rsidR="00A9457C" w:rsidRPr="00A9457C" w:rsidRDefault="00A9457C" w:rsidP="00847191">
            <w:pPr>
              <w:pStyle w:val="Tableheaderrow"/>
              <w:rPr>
                <w:szCs w:val="20"/>
              </w:rPr>
            </w:pPr>
            <w:r w:rsidRPr="00A9457C">
              <w:rPr>
                <w:szCs w:val="20"/>
              </w:rPr>
              <w:t>Item</w:t>
            </w:r>
          </w:p>
        </w:tc>
        <w:tc>
          <w:tcPr>
            <w:tcW w:w="6237" w:type="dxa"/>
          </w:tcPr>
          <w:p w14:paraId="0BDE38F8" w14:textId="5A6208E7" w:rsidR="00A9457C" w:rsidRPr="00A9457C" w:rsidRDefault="008F1E35" w:rsidP="00847191">
            <w:pPr>
              <w:pStyle w:val="Tableheaderrow"/>
              <w:rPr>
                <w:szCs w:val="20"/>
              </w:rPr>
            </w:pPr>
            <w:r>
              <w:rPr>
                <w:szCs w:val="20"/>
              </w:rPr>
              <w:t>Detail of amendment</w:t>
            </w:r>
          </w:p>
        </w:tc>
      </w:tr>
      <w:tr w:rsidR="00A17FA3" w:rsidRPr="00A9457C" w14:paraId="364E5B12" w14:textId="77777777" w:rsidTr="00847191">
        <w:trPr>
          <w:cnfStyle w:val="000000100000" w:firstRow="0" w:lastRow="0" w:firstColumn="0" w:lastColumn="0" w:oddVBand="0" w:evenVBand="0" w:oddHBand="1" w:evenHBand="0" w:firstRowFirstColumn="0" w:firstRowLastColumn="0" w:lastRowFirstColumn="0" w:lastRowLastColumn="0"/>
        </w:trPr>
        <w:tc>
          <w:tcPr>
            <w:tcW w:w="2972" w:type="dxa"/>
          </w:tcPr>
          <w:p w14:paraId="3411633A" w14:textId="31143F73" w:rsidR="00A17FA3" w:rsidRPr="00A9457C" w:rsidRDefault="00A17FA3" w:rsidP="00847191">
            <w:pPr>
              <w:pStyle w:val="TableBody"/>
              <w:rPr>
                <w:szCs w:val="20"/>
              </w:rPr>
            </w:pPr>
            <w:r>
              <w:rPr>
                <w:szCs w:val="20"/>
              </w:rPr>
              <w:t xml:space="preserve">RALI MS 44 changes </w:t>
            </w:r>
          </w:p>
        </w:tc>
        <w:tc>
          <w:tcPr>
            <w:tcW w:w="6237" w:type="dxa"/>
          </w:tcPr>
          <w:p w14:paraId="01345238" w14:textId="318B66F3" w:rsidR="00A17FA3" w:rsidRDefault="00A17FA3" w:rsidP="00847191">
            <w:pPr>
              <w:pStyle w:val="TableBody"/>
              <w:rPr>
                <w:szCs w:val="20"/>
              </w:rPr>
            </w:pPr>
            <w:r>
              <w:rPr>
                <w:szCs w:val="20"/>
              </w:rPr>
              <w:t xml:space="preserve">As detailed in the </w:t>
            </w:r>
            <w:r w:rsidR="00650075">
              <w:rPr>
                <w:szCs w:val="20"/>
              </w:rPr>
              <w:t>o</w:t>
            </w:r>
            <w:r>
              <w:rPr>
                <w:szCs w:val="20"/>
              </w:rPr>
              <w:t>utcomes paper, it is intended to include those parts of the 3400</w:t>
            </w:r>
            <w:r w:rsidR="00650075">
              <w:rPr>
                <w:szCs w:val="20"/>
              </w:rPr>
              <w:t>–</w:t>
            </w:r>
            <w:r>
              <w:rPr>
                <w:szCs w:val="20"/>
              </w:rPr>
              <w:t xml:space="preserve">3575 MHz band not currently subject to spectrum licensing or </w:t>
            </w:r>
            <w:r w:rsidR="007C6B32">
              <w:rPr>
                <w:szCs w:val="20"/>
              </w:rPr>
              <w:t xml:space="preserve">proposed for </w:t>
            </w:r>
            <w:r>
              <w:rPr>
                <w:szCs w:val="20"/>
              </w:rPr>
              <w:t>conversion to spectrum licensing</w:t>
            </w:r>
            <w:r w:rsidR="007C6B32">
              <w:rPr>
                <w:szCs w:val="20"/>
              </w:rPr>
              <w:t>,</w:t>
            </w:r>
            <w:r>
              <w:rPr>
                <w:szCs w:val="20"/>
              </w:rPr>
              <w:t xml:space="preserve"> to the list of frequencies offered protection at existing </w:t>
            </w:r>
            <w:r w:rsidR="00650075">
              <w:rPr>
                <w:szCs w:val="20"/>
              </w:rPr>
              <w:t>earth station protection zones (</w:t>
            </w:r>
            <w:r>
              <w:rPr>
                <w:szCs w:val="20"/>
              </w:rPr>
              <w:t>ESPZs</w:t>
            </w:r>
            <w:r w:rsidR="00650075">
              <w:rPr>
                <w:szCs w:val="20"/>
              </w:rPr>
              <w:t>)</w:t>
            </w:r>
            <w:r>
              <w:rPr>
                <w:szCs w:val="20"/>
              </w:rPr>
              <w:t xml:space="preserve"> as well as the Uralla earth station facility. </w:t>
            </w:r>
          </w:p>
          <w:p w14:paraId="53AD2929" w14:textId="77777777" w:rsidR="00A17FA3" w:rsidRDefault="00A17FA3" w:rsidP="00847191">
            <w:pPr>
              <w:pStyle w:val="TableBody"/>
              <w:rPr>
                <w:szCs w:val="20"/>
              </w:rPr>
            </w:pPr>
          </w:p>
          <w:p w14:paraId="4500930C" w14:textId="37F3E0DF" w:rsidR="007C6B32" w:rsidRDefault="00A17FA3" w:rsidP="008D2CD1">
            <w:pPr>
              <w:pStyle w:val="Paragraphbeforelist"/>
            </w:pPr>
            <w:r>
              <w:t xml:space="preserve">This involves </w:t>
            </w:r>
            <w:r w:rsidRPr="00A9457C">
              <w:t>extend</w:t>
            </w:r>
            <w:r>
              <w:t>ing</w:t>
            </w:r>
            <w:r w:rsidRPr="00A9457C">
              <w:t xml:space="preserve"> the Moree</w:t>
            </w:r>
            <w:r>
              <w:t xml:space="preserve"> and </w:t>
            </w:r>
            <w:r w:rsidRPr="00A9457C">
              <w:t xml:space="preserve">Roma </w:t>
            </w:r>
            <w:r>
              <w:t xml:space="preserve">ESPZs as well as </w:t>
            </w:r>
            <w:r w:rsidRPr="00A9457C">
              <w:t xml:space="preserve">Uralla </w:t>
            </w:r>
            <w:r>
              <w:t xml:space="preserve">earth station facility </w:t>
            </w:r>
            <w:r w:rsidRPr="00A9457C">
              <w:t xml:space="preserve">to include the frequency ranges </w:t>
            </w:r>
            <w:r w:rsidR="00094241">
              <w:br/>
            </w:r>
            <w:r w:rsidRPr="00A9457C">
              <w:t>3400</w:t>
            </w:r>
            <w:r w:rsidR="00650075">
              <w:t>–</w:t>
            </w:r>
            <w:r w:rsidRPr="00A9457C">
              <w:t>34</w:t>
            </w:r>
            <w:r>
              <w:t>42.5</w:t>
            </w:r>
            <w:r w:rsidRPr="00A9457C">
              <w:t xml:space="preserve"> MHz and 34</w:t>
            </w:r>
            <w:r>
              <w:t>75</w:t>
            </w:r>
            <w:r w:rsidR="00650075">
              <w:t>–</w:t>
            </w:r>
            <w:r w:rsidRPr="00A9457C">
              <w:t xml:space="preserve">3542.5 </w:t>
            </w:r>
            <w:proofErr w:type="spellStart"/>
            <w:r w:rsidRPr="00A9457C">
              <w:t>MHz.</w:t>
            </w:r>
            <w:proofErr w:type="spellEnd"/>
            <w:r w:rsidRPr="00A9457C">
              <w:t xml:space="preserve"> </w:t>
            </w:r>
            <w:r>
              <w:t>This represents the frequencies of the 3400</w:t>
            </w:r>
            <w:r w:rsidR="00094241">
              <w:t>–</w:t>
            </w:r>
            <w:r>
              <w:t>3575 MHz band that are</w:t>
            </w:r>
            <w:r w:rsidR="007C6B32">
              <w:t>:</w:t>
            </w:r>
            <w:r>
              <w:t xml:space="preserve"> </w:t>
            </w:r>
          </w:p>
          <w:p w14:paraId="3510E815" w14:textId="48F1FC99" w:rsidR="00A17FA3" w:rsidRDefault="00650075" w:rsidP="008D2CD1">
            <w:pPr>
              <w:pStyle w:val="Bulletlevel1"/>
            </w:pPr>
            <w:r>
              <w:t>N</w:t>
            </w:r>
            <w:r w:rsidR="00A17FA3">
              <w:t>ot currently subject to spectrum licensing (</w:t>
            </w:r>
            <w:bookmarkStart w:id="43" w:name="_Hlk75445749"/>
            <w:r w:rsidR="00A17FA3">
              <w:t xml:space="preserve">spectrum licences </w:t>
            </w:r>
            <w:r w:rsidR="007C6B32">
              <w:t>i</w:t>
            </w:r>
            <w:r w:rsidR="00A17FA3">
              <w:t xml:space="preserve">n </w:t>
            </w:r>
            <w:r w:rsidR="007C6B32">
              <w:t xml:space="preserve">the </w:t>
            </w:r>
            <w:r w:rsidR="007C6B32" w:rsidRPr="00A17FA3">
              <w:t>3442.5</w:t>
            </w:r>
            <w:r>
              <w:t>–</w:t>
            </w:r>
            <w:r w:rsidR="007C6B32" w:rsidRPr="00A17FA3">
              <w:t>3475 MHz and 3542.5</w:t>
            </w:r>
            <w:r>
              <w:t>–</w:t>
            </w:r>
            <w:r w:rsidR="007C6B32" w:rsidRPr="00A17FA3">
              <w:t xml:space="preserve">3575 MHz bands </w:t>
            </w:r>
            <w:r w:rsidR="00A17FA3">
              <w:t>were first allocated in the year 2000)</w:t>
            </w:r>
            <w:bookmarkEnd w:id="43"/>
            <w:r>
              <w:t>.</w:t>
            </w:r>
          </w:p>
          <w:p w14:paraId="565D494C" w14:textId="067444F7" w:rsidR="007C6B32" w:rsidRDefault="003E032B" w:rsidP="008D2CD1">
            <w:pPr>
              <w:pStyle w:val="Bulletlevel1last"/>
            </w:pPr>
            <w:r>
              <w:lastRenderedPageBreak/>
              <w:t>N</w:t>
            </w:r>
            <w:r w:rsidR="007C6B32">
              <w:t xml:space="preserve">ot intended to be converted to spectrum licences for NBN Co. </w:t>
            </w:r>
          </w:p>
          <w:p w14:paraId="1A186E5B" w14:textId="7A5621EA" w:rsidR="00A17FA3" w:rsidRPr="007C6B32" w:rsidRDefault="00A17FA3" w:rsidP="007C6B32">
            <w:pPr>
              <w:pStyle w:val="TableBody"/>
              <w:rPr>
                <w:szCs w:val="20"/>
              </w:rPr>
            </w:pPr>
            <w:r w:rsidRPr="00A9457C">
              <w:rPr>
                <w:szCs w:val="20"/>
              </w:rPr>
              <w:t xml:space="preserve">There will be no changes to the frequency ranges covered by </w:t>
            </w:r>
            <w:r>
              <w:rPr>
                <w:szCs w:val="20"/>
              </w:rPr>
              <w:t xml:space="preserve">the </w:t>
            </w:r>
            <w:r w:rsidRPr="00A9457C">
              <w:rPr>
                <w:szCs w:val="20"/>
              </w:rPr>
              <w:t>Quirindi</w:t>
            </w:r>
            <w:r>
              <w:rPr>
                <w:szCs w:val="20"/>
              </w:rPr>
              <w:t xml:space="preserve"> ESPZ</w:t>
            </w:r>
            <w:r w:rsidR="007C6B32">
              <w:rPr>
                <w:szCs w:val="20"/>
              </w:rPr>
              <w:t>. This is because the spectrum is either covered by current spectrum licences or</w:t>
            </w:r>
            <w:r>
              <w:rPr>
                <w:szCs w:val="20"/>
              </w:rPr>
              <w:t xml:space="preserve"> </w:t>
            </w:r>
            <w:r w:rsidR="007C6B32">
              <w:rPr>
                <w:szCs w:val="20"/>
              </w:rPr>
              <w:t>mostly covered by the proposed areas to be converted to spectrum licensing for NBN Co.</w:t>
            </w:r>
          </w:p>
        </w:tc>
      </w:tr>
      <w:tr w:rsidR="00A9457C" w:rsidRPr="00A9457C" w14:paraId="5864F707" w14:textId="77777777" w:rsidTr="00847191">
        <w:trPr>
          <w:cnfStyle w:val="000000010000" w:firstRow="0" w:lastRow="0" w:firstColumn="0" w:lastColumn="0" w:oddVBand="0" w:evenVBand="0" w:oddHBand="0" w:evenHBand="1" w:firstRowFirstColumn="0" w:firstRowLastColumn="0" w:lastRowFirstColumn="0" w:lastRowLastColumn="0"/>
        </w:trPr>
        <w:tc>
          <w:tcPr>
            <w:tcW w:w="2972" w:type="dxa"/>
          </w:tcPr>
          <w:p w14:paraId="0AF71E31" w14:textId="77777777" w:rsidR="00A9457C" w:rsidRPr="00A9457C" w:rsidRDefault="00A9457C" w:rsidP="00847191">
            <w:pPr>
              <w:pStyle w:val="TableBody"/>
              <w:rPr>
                <w:szCs w:val="20"/>
              </w:rPr>
            </w:pPr>
            <w:r w:rsidRPr="00A9457C">
              <w:rPr>
                <w:szCs w:val="20"/>
              </w:rPr>
              <w:lastRenderedPageBreak/>
              <w:t>3.4 GHz definition</w:t>
            </w:r>
          </w:p>
        </w:tc>
        <w:tc>
          <w:tcPr>
            <w:tcW w:w="6237" w:type="dxa"/>
          </w:tcPr>
          <w:p w14:paraId="454DE55D" w14:textId="7F3EF3C5" w:rsidR="00A9457C" w:rsidRPr="00A9457C" w:rsidRDefault="00A9457C" w:rsidP="00847191">
            <w:pPr>
              <w:pStyle w:val="TableBody"/>
              <w:rPr>
                <w:szCs w:val="20"/>
              </w:rPr>
            </w:pPr>
            <w:r w:rsidRPr="00A9457C">
              <w:rPr>
                <w:szCs w:val="20"/>
              </w:rPr>
              <w:t>Change to 3400</w:t>
            </w:r>
            <w:r w:rsidR="00650075">
              <w:rPr>
                <w:szCs w:val="20"/>
              </w:rPr>
              <w:t>–</w:t>
            </w:r>
            <w:r w:rsidRPr="00A9457C">
              <w:rPr>
                <w:szCs w:val="20"/>
              </w:rPr>
              <w:t>3700 MHz (or point to</w:t>
            </w:r>
            <w:r w:rsidR="00973919">
              <w:rPr>
                <w:szCs w:val="20"/>
              </w:rPr>
              <w:t xml:space="preserve"> the</w:t>
            </w:r>
            <w:r w:rsidRPr="00A9457C">
              <w:rPr>
                <w:szCs w:val="20"/>
              </w:rPr>
              <w:t xml:space="preserve"> definition in </w:t>
            </w:r>
            <w:r w:rsidR="00973919">
              <w:rPr>
                <w:szCs w:val="20"/>
              </w:rPr>
              <w:t xml:space="preserve">the </w:t>
            </w:r>
            <w:r w:rsidR="00094241">
              <w:rPr>
                <w:szCs w:val="20"/>
              </w:rPr>
              <w:br/>
            </w:r>
            <w:r w:rsidRPr="00A9457C">
              <w:rPr>
                <w:szCs w:val="20"/>
              </w:rPr>
              <w:t xml:space="preserve">s.145(4) </w:t>
            </w:r>
            <w:r w:rsidR="00650075">
              <w:rPr>
                <w:szCs w:val="20"/>
              </w:rPr>
              <w:t>D</w:t>
            </w:r>
            <w:r w:rsidRPr="00A9457C">
              <w:rPr>
                <w:szCs w:val="20"/>
              </w:rPr>
              <w:t>etermination)</w:t>
            </w:r>
            <w:r w:rsidR="00094241">
              <w:rPr>
                <w:szCs w:val="20"/>
              </w:rPr>
              <w:t>.</w:t>
            </w:r>
          </w:p>
        </w:tc>
      </w:tr>
      <w:tr w:rsidR="00A9457C" w:rsidRPr="00A9457C" w14:paraId="209FB039" w14:textId="77777777" w:rsidTr="00847191">
        <w:trPr>
          <w:cnfStyle w:val="000000100000" w:firstRow="0" w:lastRow="0" w:firstColumn="0" w:lastColumn="0" w:oddVBand="0" w:evenVBand="0" w:oddHBand="1" w:evenHBand="0" w:firstRowFirstColumn="0" w:firstRowLastColumn="0" w:lastRowFirstColumn="0" w:lastRowLastColumn="0"/>
        </w:trPr>
        <w:tc>
          <w:tcPr>
            <w:tcW w:w="2972" w:type="dxa"/>
          </w:tcPr>
          <w:p w14:paraId="3465A401" w14:textId="77777777" w:rsidR="00A9457C" w:rsidRPr="00A9457C" w:rsidRDefault="00A9457C" w:rsidP="00847191">
            <w:pPr>
              <w:pStyle w:val="TableBody"/>
              <w:rPr>
                <w:szCs w:val="20"/>
              </w:rPr>
            </w:pPr>
            <w:r w:rsidRPr="00A9457C">
              <w:rPr>
                <w:szCs w:val="20"/>
              </w:rPr>
              <w:t>Clause 10.2</w:t>
            </w:r>
          </w:p>
          <w:p w14:paraId="3A5199BF" w14:textId="77777777" w:rsidR="00A9457C" w:rsidRPr="00A9457C" w:rsidRDefault="00A9457C" w:rsidP="00847191">
            <w:pPr>
              <w:pStyle w:val="TableBody"/>
              <w:rPr>
                <w:szCs w:val="20"/>
              </w:rPr>
            </w:pPr>
          </w:p>
          <w:p w14:paraId="678416FE" w14:textId="2D1AC594" w:rsidR="00A9457C" w:rsidRPr="00A9457C" w:rsidRDefault="00A9457C" w:rsidP="00847191">
            <w:pPr>
              <w:pStyle w:val="TableBody"/>
              <w:rPr>
                <w:szCs w:val="20"/>
              </w:rPr>
            </w:pPr>
            <w:r w:rsidRPr="00A9457C">
              <w:rPr>
                <w:szCs w:val="20"/>
              </w:rPr>
              <w:t xml:space="preserve">Uralla earth station facility </w:t>
            </w:r>
          </w:p>
        </w:tc>
        <w:tc>
          <w:tcPr>
            <w:tcW w:w="6237" w:type="dxa"/>
          </w:tcPr>
          <w:p w14:paraId="5172E99C" w14:textId="4EA2EEEB" w:rsidR="00A9457C" w:rsidRPr="00A9457C" w:rsidRDefault="00A9457C" w:rsidP="00847191">
            <w:pPr>
              <w:pStyle w:val="TableBody"/>
              <w:rPr>
                <w:szCs w:val="20"/>
              </w:rPr>
            </w:pPr>
            <w:r w:rsidRPr="00A9457C">
              <w:rPr>
                <w:szCs w:val="20"/>
              </w:rPr>
              <w:t xml:space="preserve">Amend text to indicate that co-channel protection is </w:t>
            </w:r>
            <w:r w:rsidR="00973919">
              <w:rPr>
                <w:szCs w:val="20"/>
              </w:rPr>
              <w:t xml:space="preserve">also </w:t>
            </w:r>
            <w:r w:rsidRPr="00A9457C">
              <w:rPr>
                <w:szCs w:val="20"/>
              </w:rPr>
              <w:t xml:space="preserve">afforded in </w:t>
            </w:r>
            <w:r w:rsidR="00973919">
              <w:rPr>
                <w:szCs w:val="20"/>
              </w:rPr>
              <w:t xml:space="preserve">the </w:t>
            </w:r>
            <w:r w:rsidRPr="00A9457C">
              <w:rPr>
                <w:szCs w:val="20"/>
              </w:rPr>
              <w:t>3400</w:t>
            </w:r>
            <w:r w:rsidR="00650075">
              <w:rPr>
                <w:szCs w:val="20"/>
              </w:rPr>
              <w:t>–</w:t>
            </w:r>
            <w:r w:rsidR="001E4462" w:rsidRPr="00A9457C">
              <w:rPr>
                <w:szCs w:val="20"/>
              </w:rPr>
              <w:t>34</w:t>
            </w:r>
            <w:r w:rsidR="001E4462">
              <w:rPr>
                <w:szCs w:val="20"/>
              </w:rPr>
              <w:t>42.5</w:t>
            </w:r>
            <w:r w:rsidR="001E4462" w:rsidRPr="00A9457C">
              <w:rPr>
                <w:szCs w:val="20"/>
              </w:rPr>
              <w:t xml:space="preserve"> </w:t>
            </w:r>
            <w:r w:rsidRPr="00A9457C">
              <w:rPr>
                <w:szCs w:val="20"/>
              </w:rPr>
              <w:t xml:space="preserve">MHz and </w:t>
            </w:r>
            <w:r w:rsidR="001E4462">
              <w:rPr>
                <w:szCs w:val="20"/>
              </w:rPr>
              <w:t>3475</w:t>
            </w:r>
            <w:r w:rsidR="00650075">
              <w:rPr>
                <w:szCs w:val="20"/>
              </w:rPr>
              <w:t>–</w:t>
            </w:r>
            <w:r w:rsidRPr="00A9457C">
              <w:rPr>
                <w:szCs w:val="20"/>
              </w:rPr>
              <w:t xml:space="preserve">3542.5 MHz as detailed in </w:t>
            </w:r>
            <w:r w:rsidR="001E4462">
              <w:rPr>
                <w:szCs w:val="20"/>
              </w:rPr>
              <w:t>proposed updates to</w:t>
            </w:r>
            <w:r w:rsidRPr="00A9457C">
              <w:rPr>
                <w:szCs w:val="20"/>
              </w:rPr>
              <w:t xml:space="preserve"> RALI MS 44</w:t>
            </w:r>
            <w:r w:rsidR="001E4462">
              <w:rPr>
                <w:szCs w:val="20"/>
              </w:rPr>
              <w:t>.</w:t>
            </w:r>
            <w:r w:rsidRPr="00A9457C">
              <w:rPr>
                <w:szCs w:val="20"/>
              </w:rPr>
              <w:t xml:space="preserve"> </w:t>
            </w:r>
          </w:p>
          <w:p w14:paraId="4078EF9F" w14:textId="77777777" w:rsidR="00A9457C" w:rsidRPr="00A9457C" w:rsidRDefault="00A9457C" w:rsidP="00847191">
            <w:pPr>
              <w:pStyle w:val="TableBody"/>
              <w:rPr>
                <w:szCs w:val="20"/>
              </w:rPr>
            </w:pPr>
          </w:p>
          <w:p w14:paraId="7A8D7A74" w14:textId="7E1FC1CF" w:rsidR="00A9457C" w:rsidRPr="00A9457C" w:rsidRDefault="00A9457C" w:rsidP="00847191">
            <w:pPr>
              <w:pStyle w:val="TableBody"/>
              <w:rPr>
                <w:szCs w:val="20"/>
              </w:rPr>
            </w:pPr>
            <w:r w:rsidRPr="00A9457C">
              <w:rPr>
                <w:szCs w:val="20"/>
              </w:rPr>
              <w:t xml:space="preserve">Changes to clause 10.2 are a result of changes that will be made to </w:t>
            </w:r>
            <w:hyperlink r:id="rId41" w:history="1">
              <w:r w:rsidRPr="00A9457C">
                <w:rPr>
                  <w:rStyle w:val="Hyperlink"/>
                  <w:szCs w:val="20"/>
                </w:rPr>
                <w:t>RALI MS44</w:t>
              </w:r>
            </w:hyperlink>
            <w:r w:rsidR="00A17FA3">
              <w:rPr>
                <w:szCs w:val="20"/>
              </w:rPr>
              <w:t>.</w:t>
            </w:r>
          </w:p>
        </w:tc>
      </w:tr>
    </w:tbl>
    <w:p w14:paraId="29384CC1" w14:textId="77777777" w:rsidR="00A9457C" w:rsidRPr="00A9457C" w:rsidRDefault="00A9457C" w:rsidP="00A9457C">
      <w:pPr>
        <w:rPr>
          <w:szCs w:val="20"/>
        </w:rPr>
      </w:pPr>
    </w:p>
    <w:p w14:paraId="37810A7E" w14:textId="508E7136" w:rsidR="00A9457C" w:rsidRPr="00A9457C" w:rsidRDefault="006E7763" w:rsidP="00A9457C">
      <w:pPr>
        <w:pStyle w:val="Tableheading"/>
        <w:keepLines/>
      </w:pPr>
      <w:r>
        <w:t>Proposed a</w:t>
      </w:r>
      <w:r w:rsidR="00A9457C">
        <w:t xml:space="preserve">mendments to </w:t>
      </w:r>
      <w:r w:rsidR="00A9457C" w:rsidRPr="00A9457C">
        <w:rPr>
          <w:rFonts w:cs="Arial"/>
        </w:rPr>
        <w:t>3.4 GHz spectrum licences</w:t>
      </w:r>
    </w:p>
    <w:tbl>
      <w:tblPr>
        <w:tblStyle w:val="ACMAtablestyle"/>
        <w:tblW w:w="9209" w:type="dxa"/>
        <w:tblLayout w:type="fixed"/>
        <w:tblLook w:val="01E0" w:firstRow="1" w:lastRow="1" w:firstColumn="1" w:lastColumn="1" w:noHBand="0" w:noVBand="0"/>
        <w:tblCaption w:val="Table title to go here"/>
        <w:tblDescription w:val="Table description to go here"/>
      </w:tblPr>
      <w:tblGrid>
        <w:gridCol w:w="2972"/>
        <w:gridCol w:w="6237"/>
      </w:tblGrid>
      <w:tr w:rsidR="00A9457C" w:rsidRPr="006D46E5" w14:paraId="57E8E868" w14:textId="77777777" w:rsidTr="00847191">
        <w:trPr>
          <w:cnfStyle w:val="100000000000" w:firstRow="1" w:lastRow="0" w:firstColumn="0" w:lastColumn="0" w:oddVBand="0" w:evenVBand="0" w:oddHBand="0" w:evenHBand="0" w:firstRowFirstColumn="0" w:firstRowLastColumn="0" w:lastRowFirstColumn="0" w:lastRowLastColumn="0"/>
        </w:trPr>
        <w:tc>
          <w:tcPr>
            <w:tcW w:w="2972" w:type="dxa"/>
          </w:tcPr>
          <w:p w14:paraId="6C7C463C" w14:textId="77777777" w:rsidR="00A9457C" w:rsidRPr="00930510" w:rsidRDefault="00A9457C" w:rsidP="00847191">
            <w:pPr>
              <w:pStyle w:val="Tableheaderrow"/>
            </w:pPr>
            <w:r>
              <w:t>Item</w:t>
            </w:r>
          </w:p>
        </w:tc>
        <w:tc>
          <w:tcPr>
            <w:tcW w:w="6237" w:type="dxa"/>
          </w:tcPr>
          <w:p w14:paraId="769F4A0E" w14:textId="7DFC6021" w:rsidR="00A9457C" w:rsidRPr="00930510" w:rsidRDefault="008F1E35" w:rsidP="00847191">
            <w:pPr>
              <w:pStyle w:val="Tableheaderrow"/>
            </w:pPr>
            <w:r>
              <w:rPr>
                <w:szCs w:val="20"/>
              </w:rPr>
              <w:t>Detail of amendment</w:t>
            </w:r>
          </w:p>
        </w:tc>
      </w:tr>
      <w:tr w:rsidR="00A9457C" w:rsidRPr="006D46E5" w14:paraId="30D9EB76" w14:textId="77777777" w:rsidTr="00847191">
        <w:trPr>
          <w:cnfStyle w:val="000000100000" w:firstRow="0" w:lastRow="0" w:firstColumn="0" w:lastColumn="0" w:oddVBand="0" w:evenVBand="0" w:oddHBand="1" w:evenHBand="0" w:firstRowFirstColumn="0" w:firstRowLastColumn="0" w:lastRowFirstColumn="0" w:lastRowLastColumn="0"/>
        </w:trPr>
        <w:tc>
          <w:tcPr>
            <w:tcW w:w="2972" w:type="dxa"/>
          </w:tcPr>
          <w:p w14:paraId="1D28B839" w14:textId="77777777" w:rsidR="00A9457C" w:rsidRDefault="00A9457C" w:rsidP="00847191">
            <w:pPr>
              <w:pStyle w:val="TableBody"/>
            </w:pPr>
            <w:r>
              <w:t>Clause 3, 3.4 GHz definition</w:t>
            </w:r>
          </w:p>
        </w:tc>
        <w:tc>
          <w:tcPr>
            <w:tcW w:w="6237" w:type="dxa"/>
          </w:tcPr>
          <w:p w14:paraId="3E301F66" w14:textId="35BA0B0D" w:rsidR="00A9457C" w:rsidRPr="00FF6CE3" w:rsidRDefault="00A9457C" w:rsidP="00847191">
            <w:pPr>
              <w:pStyle w:val="TableBody"/>
              <w:rPr>
                <w:vertAlign w:val="superscript"/>
              </w:rPr>
            </w:pPr>
            <w:r>
              <w:t>Change to 3400</w:t>
            </w:r>
            <w:r w:rsidR="00650075">
              <w:t>–</w:t>
            </w:r>
            <w:r>
              <w:t xml:space="preserve">3700 MHz (or point to </w:t>
            </w:r>
            <w:r w:rsidR="00973919">
              <w:t xml:space="preserve">the </w:t>
            </w:r>
            <w:r>
              <w:t xml:space="preserve">definition in </w:t>
            </w:r>
            <w:r w:rsidR="00973919">
              <w:t xml:space="preserve">the </w:t>
            </w:r>
            <w:r w:rsidR="00094241">
              <w:br/>
            </w:r>
            <w:r>
              <w:t xml:space="preserve">s.145(4) </w:t>
            </w:r>
            <w:r w:rsidR="00650075">
              <w:t>D</w:t>
            </w:r>
            <w:r>
              <w:t>etermination)</w:t>
            </w:r>
          </w:p>
          <w:p w14:paraId="57316AD6" w14:textId="77777777" w:rsidR="00A9457C" w:rsidRDefault="00A9457C" w:rsidP="00847191">
            <w:pPr>
              <w:pStyle w:val="TableBody"/>
            </w:pPr>
          </w:p>
          <w:p w14:paraId="1DDC8B55" w14:textId="5F60EBF7" w:rsidR="00A9457C" w:rsidRDefault="00A9457C" w:rsidP="00847191">
            <w:pPr>
              <w:pStyle w:val="TableBody"/>
            </w:pPr>
            <w:r>
              <w:t>This definition affects devices that are exempt from registration and protection of ESPZs. It does not affect the synchronisation condition. Consequently, in the first instance it could be limited to those licences that occupy any part of the 3400</w:t>
            </w:r>
            <w:r w:rsidR="00094241">
              <w:t>–</w:t>
            </w:r>
            <w:r>
              <w:t xml:space="preserve">3425 MHz and </w:t>
            </w:r>
            <w:r w:rsidR="00094241">
              <w:br/>
            </w:r>
            <w:r>
              <w:t>3492.5</w:t>
            </w:r>
            <w:r w:rsidR="002F4077">
              <w:t>–</w:t>
            </w:r>
            <w:r>
              <w:t xml:space="preserve">3542.5 MHz band. Any subsequent variations to </w:t>
            </w:r>
            <w:r w:rsidR="00094241">
              <w:br/>
            </w:r>
            <w:r>
              <w:t xml:space="preserve">3.4 GHz spectrum licences would then include this change. </w:t>
            </w:r>
          </w:p>
        </w:tc>
      </w:tr>
    </w:tbl>
    <w:p w14:paraId="4115EE6F" w14:textId="685EC4D4" w:rsidR="00847191" w:rsidRPr="007D04B2" w:rsidRDefault="00847191" w:rsidP="0029536F">
      <w:pPr>
        <w:pStyle w:val="Heading2"/>
        <w:spacing w:before="360"/>
      </w:pPr>
      <w:bookmarkStart w:id="44" w:name="_Toc80877073"/>
      <w:r>
        <w:t>D</w:t>
      </w:r>
      <w:r w:rsidRPr="00847191">
        <w:t>evelopment of interference management criteria to and from urban excise areas</w:t>
      </w:r>
      <w:bookmarkEnd w:id="44"/>
    </w:p>
    <w:p w14:paraId="797A7BEC" w14:textId="1387CCC1" w:rsidR="000B0FB6" w:rsidRPr="00702EA1" w:rsidRDefault="000B0FB6" w:rsidP="008D2CD1">
      <w:pPr>
        <w:pStyle w:val="Heading3"/>
        <w:spacing w:before="120"/>
      </w:pPr>
      <w:bookmarkStart w:id="45" w:name="_Toc76376840"/>
      <w:bookmarkStart w:id="46" w:name="_Hlk54356839"/>
      <w:bookmarkStart w:id="47" w:name="_Toc80877074"/>
      <w:r>
        <w:t>Background</w:t>
      </w:r>
      <w:bookmarkEnd w:id="45"/>
      <w:bookmarkEnd w:id="47"/>
      <w:r w:rsidRPr="00702EA1">
        <w:t xml:space="preserve"> </w:t>
      </w:r>
    </w:p>
    <w:p w14:paraId="453D0833" w14:textId="3BB20C5F" w:rsidR="007A1592" w:rsidRDefault="007A1592" w:rsidP="007A1592">
      <w:pPr>
        <w:pStyle w:val="Paragraph"/>
        <w:rPr>
          <w:szCs w:val="20"/>
        </w:rPr>
      </w:pPr>
      <w:r w:rsidRPr="00197A32">
        <w:rPr>
          <w:szCs w:val="20"/>
        </w:rPr>
        <w:t xml:space="preserve">As part of the process to </w:t>
      </w:r>
      <w:hyperlink r:id="rId42" w:history="1">
        <w:r w:rsidRPr="00197A32">
          <w:rPr>
            <w:rStyle w:val="Hyperlink"/>
            <w:szCs w:val="20"/>
          </w:rPr>
          <w:t>optimise arrangements in the 3400</w:t>
        </w:r>
        <w:r w:rsidR="002F4077">
          <w:rPr>
            <w:rStyle w:val="Hyperlink"/>
            <w:szCs w:val="20"/>
          </w:rPr>
          <w:t>–</w:t>
        </w:r>
        <w:r w:rsidRPr="00197A32">
          <w:rPr>
            <w:rStyle w:val="Hyperlink"/>
            <w:szCs w:val="20"/>
          </w:rPr>
          <w:t>3575 MHz band</w:t>
        </w:r>
      </w:hyperlink>
      <w:r w:rsidRPr="00197A32">
        <w:rPr>
          <w:szCs w:val="20"/>
        </w:rPr>
        <w:t xml:space="preserve"> the ACMA announced plans </w:t>
      </w:r>
      <w:r>
        <w:rPr>
          <w:szCs w:val="20"/>
        </w:rPr>
        <w:t xml:space="preserve">to </w:t>
      </w:r>
      <w:r w:rsidRPr="00197A32">
        <w:rPr>
          <w:szCs w:val="20"/>
        </w:rPr>
        <w:t xml:space="preserve">excise and resume 75 MHz of unused spectrum in urban areas of </w:t>
      </w:r>
      <w:r w:rsidR="00CE7FCD">
        <w:rPr>
          <w:szCs w:val="20"/>
        </w:rPr>
        <w:t>NBN Co’s</w:t>
      </w:r>
      <w:r w:rsidR="00CE7FCD" w:rsidRPr="00197A32">
        <w:rPr>
          <w:szCs w:val="20"/>
        </w:rPr>
        <w:t xml:space="preserve"> </w:t>
      </w:r>
      <w:r w:rsidRPr="00197A32">
        <w:rPr>
          <w:szCs w:val="20"/>
        </w:rPr>
        <w:t xml:space="preserve">existing </w:t>
      </w:r>
      <w:r>
        <w:rPr>
          <w:szCs w:val="20"/>
        </w:rPr>
        <w:t xml:space="preserve">3.5 GHz </w:t>
      </w:r>
      <w:r w:rsidR="00CE7FCD">
        <w:rPr>
          <w:szCs w:val="20"/>
        </w:rPr>
        <w:t xml:space="preserve">spectrum </w:t>
      </w:r>
      <w:r w:rsidRPr="00197A32">
        <w:rPr>
          <w:szCs w:val="20"/>
        </w:rPr>
        <w:t>licence holdings</w:t>
      </w:r>
      <w:r>
        <w:rPr>
          <w:szCs w:val="20"/>
        </w:rPr>
        <w:t xml:space="preserve"> (referred to as ‘urban excise’)</w:t>
      </w:r>
      <w:r w:rsidRPr="00197A32">
        <w:rPr>
          <w:szCs w:val="20"/>
        </w:rPr>
        <w:t>.</w:t>
      </w:r>
      <w:r>
        <w:rPr>
          <w:szCs w:val="20"/>
        </w:rPr>
        <w:t xml:space="preserve"> </w:t>
      </w:r>
      <w:r w:rsidRPr="00197A32">
        <w:rPr>
          <w:szCs w:val="20"/>
        </w:rPr>
        <w:t xml:space="preserve">Implementation of this is pending conversion of </w:t>
      </w:r>
      <w:r w:rsidR="00CE7FCD">
        <w:rPr>
          <w:szCs w:val="20"/>
        </w:rPr>
        <w:t>NBN Co’s</w:t>
      </w:r>
      <w:r w:rsidR="00CE7FCD" w:rsidRPr="00197A32">
        <w:rPr>
          <w:szCs w:val="20"/>
        </w:rPr>
        <w:t xml:space="preserve"> </w:t>
      </w:r>
      <w:r w:rsidRPr="00197A32">
        <w:rPr>
          <w:szCs w:val="20"/>
        </w:rPr>
        <w:t xml:space="preserve">apparatus licences in the 3.4 GHz band to spectrum licences and subsequent defragging of </w:t>
      </w:r>
      <w:proofErr w:type="spellStart"/>
      <w:r w:rsidR="00124176">
        <w:rPr>
          <w:szCs w:val="20"/>
        </w:rPr>
        <w:t>nbn</w:t>
      </w:r>
      <w:r w:rsidR="002F4077">
        <w:rPr>
          <w:szCs w:val="20"/>
        </w:rPr>
        <w:t>’s</w:t>
      </w:r>
      <w:proofErr w:type="spellEnd"/>
      <w:r w:rsidR="002F4077" w:rsidRPr="00197A32">
        <w:rPr>
          <w:szCs w:val="20"/>
        </w:rPr>
        <w:t xml:space="preserve"> </w:t>
      </w:r>
      <w:r w:rsidRPr="00197A32">
        <w:rPr>
          <w:szCs w:val="20"/>
        </w:rPr>
        <w:t xml:space="preserve">spectrum holdings. Refer to the </w:t>
      </w:r>
      <w:hyperlink r:id="rId43" w:history="1">
        <w:r w:rsidR="002F4077">
          <w:rPr>
            <w:rStyle w:val="Hyperlink"/>
            <w:szCs w:val="20"/>
          </w:rPr>
          <w:t>o</w:t>
        </w:r>
        <w:r w:rsidR="00BF4D7D" w:rsidRPr="00A963D3">
          <w:rPr>
            <w:rStyle w:val="Hyperlink"/>
            <w:szCs w:val="20"/>
          </w:rPr>
          <w:t>utcome</w:t>
        </w:r>
        <w:r w:rsidRPr="00A963D3">
          <w:rPr>
            <w:rStyle w:val="Hyperlink"/>
            <w:szCs w:val="20"/>
          </w:rPr>
          <w:t xml:space="preserve"> paper</w:t>
        </w:r>
      </w:hyperlink>
      <w:r w:rsidRPr="00197A32">
        <w:rPr>
          <w:i/>
          <w:iCs/>
          <w:szCs w:val="20"/>
        </w:rPr>
        <w:t xml:space="preserve"> </w:t>
      </w:r>
      <w:r w:rsidRPr="00197A32">
        <w:rPr>
          <w:szCs w:val="20"/>
        </w:rPr>
        <w:t>for more details.</w:t>
      </w:r>
    </w:p>
    <w:p w14:paraId="249DFA20" w14:textId="3C41D65F" w:rsidR="00CA0A91" w:rsidRDefault="00CA0A91" w:rsidP="00CA0A91">
      <w:pPr>
        <w:spacing w:line="80" w:lineRule="atLeast"/>
        <w:rPr>
          <w:rFonts w:cs="Arial"/>
          <w:iCs/>
          <w:szCs w:val="20"/>
        </w:rPr>
      </w:pPr>
      <w:bookmarkStart w:id="48" w:name="_Hlk66805201"/>
      <w:bookmarkEnd w:id="46"/>
      <w:r>
        <w:rPr>
          <w:rFonts w:cs="Arial"/>
          <w:iCs/>
          <w:szCs w:val="20"/>
        </w:rPr>
        <w:t xml:space="preserve">Another announcement in the </w:t>
      </w:r>
      <w:r w:rsidR="002F4077">
        <w:rPr>
          <w:rFonts w:cs="Arial"/>
          <w:iCs/>
          <w:szCs w:val="20"/>
        </w:rPr>
        <w:t>o</w:t>
      </w:r>
      <w:r>
        <w:rPr>
          <w:rFonts w:cs="Arial"/>
          <w:iCs/>
          <w:szCs w:val="20"/>
        </w:rPr>
        <w:t xml:space="preserve">utcomes paper was that the ACMA would work with stakeholders to </w:t>
      </w:r>
      <w:bookmarkStart w:id="49" w:name="_Hlk55220492"/>
      <w:r>
        <w:rPr>
          <w:rFonts w:cs="Arial"/>
          <w:iCs/>
          <w:szCs w:val="20"/>
        </w:rPr>
        <w:t xml:space="preserve">develop arrangements to manage interference to and from urban excise areas. </w:t>
      </w:r>
      <w:bookmarkEnd w:id="49"/>
      <w:r>
        <w:rPr>
          <w:rFonts w:cs="Arial"/>
          <w:iCs/>
          <w:szCs w:val="20"/>
        </w:rPr>
        <w:t xml:space="preserve">Once developed, </w:t>
      </w:r>
      <w:r w:rsidR="002F4077">
        <w:rPr>
          <w:rFonts w:cs="Arial"/>
          <w:iCs/>
          <w:szCs w:val="20"/>
        </w:rPr>
        <w:t xml:space="preserve">we </w:t>
      </w:r>
      <w:r>
        <w:rPr>
          <w:rFonts w:cs="Arial"/>
          <w:iCs/>
          <w:szCs w:val="20"/>
        </w:rPr>
        <w:t>will use these criteria to determine the utility of the spectrum. If it can be reasonably used, an appropriate licensing approach to make that spectrum available for use by other wireless broadband operators will then be investigated.</w:t>
      </w:r>
    </w:p>
    <w:bookmarkEnd w:id="48"/>
    <w:p w14:paraId="7DA5F187" w14:textId="1BFF4901" w:rsidR="00CA25F1" w:rsidRDefault="00CA25F1" w:rsidP="00CA25F1">
      <w:pPr>
        <w:spacing w:line="80" w:lineRule="atLeast"/>
        <w:rPr>
          <w:szCs w:val="20"/>
        </w:rPr>
      </w:pPr>
      <w:r>
        <w:rPr>
          <w:szCs w:val="20"/>
        </w:rPr>
        <w:t xml:space="preserve">A definition of urban excise areas is provided in </w:t>
      </w:r>
      <w:hyperlink w:anchor="_Appendix_A:_Urban" w:history="1">
        <w:r w:rsidRPr="008D2CD1">
          <w:rPr>
            <w:rStyle w:val="Hyperlink"/>
          </w:rPr>
          <w:t>Appendix A</w:t>
        </w:r>
      </w:hyperlink>
      <w:r>
        <w:rPr>
          <w:szCs w:val="20"/>
        </w:rPr>
        <w:t xml:space="preserve">. </w:t>
      </w:r>
    </w:p>
    <w:p w14:paraId="622FBAAE" w14:textId="44C9D0E7" w:rsidR="00CA25F1" w:rsidRDefault="00CA25F1" w:rsidP="00CA25F1">
      <w:pPr>
        <w:spacing w:line="80" w:lineRule="atLeast"/>
        <w:rPr>
          <w:szCs w:val="20"/>
        </w:rPr>
      </w:pPr>
      <w:bookmarkStart w:id="50" w:name="_Hlk55218585"/>
      <w:r>
        <w:rPr>
          <w:szCs w:val="20"/>
        </w:rPr>
        <w:t xml:space="preserve">To facilitate discussion in the TLG, it </w:t>
      </w:r>
      <w:r w:rsidR="00194902">
        <w:rPr>
          <w:szCs w:val="20"/>
        </w:rPr>
        <w:t>was</w:t>
      </w:r>
      <w:r>
        <w:rPr>
          <w:szCs w:val="20"/>
        </w:rPr>
        <w:t xml:space="preserve"> assumed that once the current process to defragment licence holdings in the 3.4 GHz band is completed</w:t>
      </w:r>
      <w:r w:rsidR="00BE10F9" w:rsidRPr="00194902">
        <w:rPr>
          <w:szCs w:val="20"/>
        </w:rPr>
        <w:t>,</w:t>
      </w:r>
      <w:r w:rsidRPr="00194902">
        <w:rPr>
          <w:szCs w:val="20"/>
        </w:rPr>
        <w:t xml:space="preserve"> the frequency range occupied by urban excise areas will be from 3400</w:t>
      </w:r>
      <w:r w:rsidR="003E5555">
        <w:rPr>
          <w:szCs w:val="20"/>
        </w:rPr>
        <w:t>–</w:t>
      </w:r>
      <w:r w:rsidRPr="00194902">
        <w:rPr>
          <w:szCs w:val="20"/>
        </w:rPr>
        <w:t xml:space="preserve">3475 </w:t>
      </w:r>
      <w:proofErr w:type="spellStart"/>
      <w:r w:rsidRPr="00194902">
        <w:rPr>
          <w:szCs w:val="20"/>
        </w:rPr>
        <w:t>MHz</w:t>
      </w:r>
      <w:r>
        <w:rPr>
          <w:szCs w:val="20"/>
        </w:rPr>
        <w:t>.</w:t>
      </w:r>
      <w:proofErr w:type="spellEnd"/>
      <w:r>
        <w:rPr>
          <w:szCs w:val="20"/>
        </w:rPr>
        <w:t xml:space="preserve"> </w:t>
      </w:r>
      <w:bookmarkEnd w:id="50"/>
    </w:p>
    <w:p w14:paraId="5C19A21D" w14:textId="027C4809" w:rsidR="00CA25F1" w:rsidRDefault="002F1AAD" w:rsidP="00CA25F1">
      <w:pPr>
        <w:spacing w:line="80" w:lineRule="atLeast"/>
        <w:rPr>
          <w:szCs w:val="20"/>
        </w:rPr>
      </w:pPr>
      <w:r>
        <w:rPr>
          <w:szCs w:val="20"/>
        </w:rPr>
        <w:lastRenderedPageBreak/>
        <w:t>T</w:t>
      </w:r>
      <w:r w:rsidR="00CA25F1">
        <w:rPr>
          <w:szCs w:val="20"/>
        </w:rPr>
        <w:t xml:space="preserve">able </w:t>
      </w:r>
      <w:r>
        <w:rPr>
          <w:szCs w:val="20"/>
        </w:rPr>
        <w:t>5</w:t>
      </w:r>
      <w:r w:rsidR="00CA25F1">
        <w:rPr>
          <w:szCs w:val="20"/>
        </w:rPr>
        <w:t xml:space="preserve"> details the proposed timelines for the defrag process. Under current timelines urban excise areas </w:t>
      </w:r>
      <w:r w:rsidR="00BF4D7D">
        <w:rPr>
          <w:szCs w:val="20"/>
        </w:rPr>
        <w:t>are expected to</w:t>
      </w:r>
      <w:r w:rsidR="00CA25F1">
        <w:rPr>
          <w:szCs w:val="20"/>
        </w:rPr>
        <w:t xml:space="preserve"> be </w:t>
      </w:r>
      <w:r w:rsidR="00BF4D7D">
        <w:rPr>
          <w:szCs w:val="20"/>
        </w:rPr>
        <w:t>surrendered by</w:t>
      </w:r>
      <w:r w:rsidR="00CA25F1">
        <w:rPr>
          <w:szCs w:val="20"/>
        </w:rPr>
        <w:t xml:space="preserve"> </w:t>
      </w:r>
      <w:proofErr w:type="spellStart"/>
      <w:r w:rsidR="00124176">
        <w:rPr>
          <w:szCs w:val="20"/>
        </w:rPr>
        <w:t>nbn</w:t>
      </w:r>
      <w:proofErr w:type="spellEnd"/>
      <w:r w:rsidR="003E5555">
        <w:rPr>
          <w:szCs w:val="20"/>
        </w:rPr>
        <w:t xml:space="preserve"> </w:t>
      </w:r>
      <w:r w:rsidR="00CA25F1">
        <w:rPr>
          <w:szCs w:val="20"/>
        </w:rPr>
        <w:t>in</w:t>
      </w:r>
      <w:r w:rsidR="003E5555">
        <w:rPr>
          <w:szCs w:val="20"/>
        </w:rPr>
        <w:t xml:space="preserve"> the third quarter of </w:t>
      </w:r>
      <w:r w:rsidR="00CA25F1">
        <w:rPr>
          <w:szCs w:val="20"/>
        </w:rPr>
        <w:t xml:space="preserve">2021. Pending the outcomes of this TLG and an assessment of the utility of urban excise areas, </w:t>
      </w:r>
      <w:r w:rsidR="003E5555">
        <w:rPr>
          <w:szCs w:val="20"/>
        </w:rPr>
        <w:t>we</w:t>
      </w:r>
      <w:r w:rsidR="00CA25F1">
        <w:rPr>
          <w:szCs w:val="20"/>
        </w:rPr>
        <w:t xml:space="preserve"> would then commence work to make the spectrum available.</w:t>
      </w:r>
    </w:p>
    <w:p w14:paraId="1DA9950B" w14:textId="1546ED4D" w:rsidR="0050657B" w:rsidRDefault="0050657B">
      <w:pPr>
        <w:spacing w:after="0" w:line="240" w:lineRule="auto"/>
        <w:rPr>
          <w:szCs w:val="20"/>
        </w:rPr>
      </w:pPr>
    </w:p>
    <w:p w14:paraId="1D127BEA" w14:textId="15951602" w:rsidR="00CA25F1" w:rsidRDefault="00CA25F1" w:rsidP="00CA25F1">
      <w:pPr>
        <w:pStyle w:val="Tableheading"/>
        <w:keepLines/>
      </w:pPr>
      <w:r>
        <w:t>Indicative timetable for implementation of planning arrangements in 3400–3575 MHz</w:t>
      </w:r>
    </w:p>
    <w:tbl>
      <w:tblPr>
        <w:tblStyle w:val="ACMAtablestyle"/>
        <w:tblW w:w="9510" w:type="dxa"/>
        <w:tblLayout w:type="fixed"/>
        <w:tblLook w:val="01E0" w:firstRow="1" w:lastRow="1" w:firstColumn="1" w:lastColumn="1" w:noHBand="0" w:noVBand="0"/>
        <w:tblCaption w:val="Table title to go here"/>
        <w:tblDescription w:val="Table description to go here"/>
      </w:tblPr>
      <w:tblGrid>
        <w:gridCol w:w="3170"/>
        <w:gridCol w:w="3170"/>
        <w:gridCol w:w="3170"/>
      </w:tblGrid>
      <w:tr w:rsidR="00CA25F1" w14:paraId="413B48CD" w14:textId="77777777" w:rsidTr="008D2CD1">
        <w:trPr>
          <w:cnfStyle w:val="100000000000" w:firstRow="1" w:lastRow="0" w:firstColumn="0" w:lastColumn="0" w:oddVBand="0" w:evenVBand="0" w:oddHBand="0" w:evenHBand="0" w:firstRowFirstColumn="0" w:firstRowLastColumn="0" w:lastRowFirstColumn="0" w:lastRowLastColumn="0"/>
        </w:trPr>
        <w:tc>
          <w:tcPr>
            <w:tcW w:w="0" w:type="dxa"/>
            <w:hideMark/>
          </w:tcPr>
          <w:p w14:paraId="69287DBF" w14:textId="77777777" w:rsidR="00CA25F1" w:rsidRDefault="00CA25F1">
            <w:pPr>
              <w:pStyle w:val="Tableheaderrow"/>
            </w:pPr>
            <w:r>
              <w:t>Step</w:t>
            </w:r>
          </w:p>
        </w:tc>
        <w:tc>
          <w:tcPr>
            <w:tcW w:w="0" w:type="dxa"/>
            <w:hideMark/>
          </w:tcPr>
          <w:p w14:paraId="516CFC00" w14:textId="65130701" w:rsidR="00CA25F1" w:rsidRDefault="00CA25F1">
            <w:pPr>
              <w:pStyle w:val="Tableheaderrow"/>
            </w:pPr>
            <w:r>
              <w:t xml:space="preserve">Step </w:t>
            </w:r>
            <w:r w:rsidR="003E5555">
              <w:t>d</w:t>
            </w:r>
            <w:r>
              <w:t>etail</w:t>
            </w:r>
          </w:p>
        </w:tc>
        <w:tc>
          <w:tcPr>
            <w:tcW w:w="0" w:type="dxa"/>
            <w:hideMark/>
          </w:tcPr>
          <w:p w14:paraId="5D0C7041" w14:textId="77777777" w:rsidR="00CA25F1" w:rsidRDefault="00CA25F1">
            <w:pPr>
              <w:pStyle w:val="Tableheaderrow"/>
            </w:pPr>
            <w:r>
              <w:t>Completion date</w:t>
            </w:r>
          </w:p>
        </w:tc>
      </w:tr>
      <w:tr w:rsidR="00CA25F1" w14:paraId="3B48750B" w14:textId="77777777" w:rsidTr="008D2CD1">
        <w:trPr>
          <w:cnfStyle w:val="000000100000" w:firstRow="0" w:lastRow="0" w:firstColumn="0" w:lastColumn="0" w:oddVBand="0" w:evenVBand="0" w:oddHBand="1" w:evenHBand="0" w:firstRowFirstColumn="0" w:firstRowLastColumn="0" w:lastRowFirstColumn="0" w:lastRowLastColumn="0"/>
        </w:trPr>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1A64BC7D" w14:textId="77777777" w:rsidR="00CA25F1" w:rsidRDefault="00CA25F1">
            <w:pPr>
              <w:pStyle w:val="TableBody"/>
            </w:pPr>
            <w:r>
              <w:t>Restack</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259FBCFC" w14:textId="260096BE" w:rsidR="00CA25F1" w:rsidRDefault="00CA25F1">
            <w:pPr>
              <w:pStyle w:val="TableBody"/>
            </w:pPr>
            <w:r>
              <w:t>Restack of apparatus licences in 3400</w:t>
            </w:r>
            <w:r w:rsidR="003E5555">
              <w:t>–</w:t>
            </w:r>
            <w:r>
              <w:t xml:space="preserve">3575 </w:t>
            </w:r>
            <w:proofErr w:type="spellStart"/>
            <w:r>
              <w:t>MHz</w:t>
            </w:r>
            <w:r w:rsidR="00094241">
              <w:t>.</w:t>
            </w:r>
            <w:proofErr w:type="spellEnd"/>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1656DAF9" w14:textId="3028ED12" w:rsidR="005A3CBE" w:rsidRDefault="005A3CBE">
            <w:pPr>
              <w:pStyle w:val="TableBody"/>
            </w:pPr>
            <w:r>
              <w:t>Completed</w:t>
            </w:r>
          </w:p>
          <w:p w14:paraId="7C21E483" w14:textId="267FF7EC" w:rsidR="00CA25F1" w:rsidRDefault="00CA25F1">
            <w:pPr>
              <w:pStyle w:val="TableBody"/>
            </w:pPr>
            <w:r>
              <w:t>30 November 2020</w:t>
            </w:r>
          </w:p>
        </w:tc>
      </w:tr>
      <w:tr w:rsidR="00CA25F1" w14:paraId="15C50D05" w14:textId="77777777" w:rsidTr="008D2CD1">
        <w:trPr>
          <w:cnfStyle w:val="000000010000" w:firstRow="0" w:lastRow="0" w:firstColumn="0" w:lastColumn="0" w:oddVBand="0" w:evenVBand="0" w:oddHBand="0" w:evenHBand="1" w:firstRowFirstColumn="0" w:firstRowLastColumn="0" w:lastRowFirstColumn="0" w:lastRowLastColumn="0"/>
        </w:trPr>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65BEFFC9" w14:textId="7FA3C7A5" w:rsidR="00CA25F1" w:rsidRDefault="00CA25F1">
            <w:pPr>
              <w:pStyle w:val="TableBody"/>
            </w:pPr>
            <w:r>
              <w:t>Designation/</w:t>
            </w:r>
            <w:r w:rsidR="0002477F">
              <w:t>c</w:t>
            </w:r>
            <w:r>
              <w:t>onversion</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6B67A539" w14:textId="3F39ADA1" w:rsidR="00CA25F1" w:rsidRDefault="002F1AAD">
            <w:pPr>
              <w:pStyle w:val="TableBody"/>
            </w:pPr>
            <w:r>
              <w:t>Pending decision from</w:t>
            </w:r>
            <w:r w:rsidR="00CA25F1">
              <w:t xml:space="preserve"> the Minister decides to designate parts of the 3400</w:t>
            </w:r>
            <w:r w:rsidR="003E5555">
              <w:t>–</w:t>
            </w:r>
            <w:r w:rsidR="00CA25F1">
              <w:t>3575 MHz band for spectrum licensing under s.36 of the Radiocommunications Act</w:t>
            </w:r>
            <w:r>
              <w:t xml:space="preserve">, </w:t>
            </w:r>
            <w:r w:rsidR="00CA25F1">
              <w:t xml:space="preserve">the ACMA would commence work to convert </w:t>
            </w:r>
            <w:proofErr w:type="spellStart"/>
            <w:r w:rsidR="00124176">
              <w:t>nbn</w:t>
            </w:r>
            <w:proofErr w:type="spellEnd"/>
            <w:r w:rsidR="003E5555">
              <w:t xml:space="preserve"> </w:t>
            </w:r>
            <w:r w:rsidR="00CA25F1">
              <w:t xml:space="preserve">apparatus licences to spectrum licences. </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194544AC" w14:textId="7EA4D986" w:rsidR="005A3CBE" w:rsidRDefault="005A3CBE">
            <w:pPr>
              <w:pStyle w:val="TableBody"/>
            </w:pPr>
            <w:r>
              <w:t>Completed</w:t>
            </w:r>
          </w:p>
          <w:p w14:paraId="023A686F" w14:textId="2D1BA993" w:rsidR="00CA25F1" w:rsidRDefault="00CA25F1">
            <w:pPr>
              <w:pStyle w:val="TableBody"/>
            </w:pPr>
            <w:r>
              <w:t>Ju</w:t>
            </w:r>
            <w:r w:rsidR="00194902">
              <w:t>ne</w:t>
            </w:r>
            <w:r>
              <w:t xml:space="preserve"> 2021</w:t>
            </w:r>
          </w:p>
        </w:tc>
      </w:tr>
      <w:tr w:rsidR="00CA25F1" w14:paraId="7F13A7D6" w14:textId="77777777" w:rsidTr="008D2CD1">
        <w:trPr>
          <w:cnfStyle w:val="000000100000" w:firstRow="0" w:lastRow="0" w:firstColumn="0" w:lastColumn="0" w:oddVBand="0" w:evenVBand="0" w:oddHBand="1" w:evenHBand="0" w:firstRowFirstColumn="0" w:firstRowLastColumn="0" w:lastRowFirstColumn="0" w:lastRowLastColumn="0"/>
        </w:trPr>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4391301E" w14:textId="22C6C851" w:rsidR="00CA25F1" w:rsidRDefault="00CA25F1">
            <w:pPr>
              <w:pStyle w:val="TableBody"/>
            </w:pPr>
            <w:r>
              <w:t xml:space="preserve">Licence </w:t>
            </w:r>
            <w:r w:rsidR="0002477F">
              <w:t>c</w:t>
            </w:r>
            <w:r>
              <w:t>onsolidation</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33EFBB54" w14:textId="1410B7E4" w:rsidR="00CA25F1" w:rsidRDefault="00CA25F1">
            <w:pPr>
              <w:pStyle w:val="TableBody"/>
            </w:pPr>
            <w:r>
              <w:t>s.72 of the Act, variations of spectrum licences to consolidate holdings</w:t>
            </w:r>
            <w:r w:rsidR="00094241">
              <w:t>.</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0EF2437C" w14:textId="6F17CD07" w:rsidR="00CA25F1" w:rsidRDefault="00F34352">
            <w:pPr>
              <w:pStyle w:val="TableBody"/>
            </w:pPr>
            <w:r>
              <w:t>July/</w:t>
            </w:r>
            <w:r w:rsidR="00CA25F1">
              <w:t>August 2021</w:t>
            </w:r>
          </w:p>
        </w:tc>
      </w:tr>
      <w:tr w:rsidR="00CA25F1" w14:paraId="564C40F2" w14:textId="77777777" w:rsidTr="008D2CD1">
        <w:trPr>
          <w:cnfStyle w:val="000000010000" w:firstRow="0" w:lastRow="0" w:firstColumn="0" w:lastColumn="0" w:oddVBand="0" w:evenVBand="0" w:oddHBand="0" w:evenHBand="1" w:firstRowFirstColumn="0" w:firstRowLastColumn="0" w:lastRowFirstColumn="0" w:lastRowLastColumn="0"/>
        </w:trPr>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301ABAFF" w14:textId="3EFF8233" w:rsidR="00CA25F1" w:rsidRDefault="00194902">
            <w:pPr>
              <w:pStyle w:val="TableBody"/>
            </w:pPr>
            <w:r>
              <w:t xml:space="preserve">Licence </w:t>
            </w:r>
            <w:r w:rsidR="0002477F">
              <w:t>s</w:t>
            </w:r>
            <w:r>
              <w:t>urrender</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0C84A507" w14:textId="29D1F71C" w:rsidR="00CA25F1" w:rsidRDefault="00124176">
            <w:pPr>
              <w:pStyle w:val="TableBody"/>
            </w:pPr>
            <w:proofErr w:type="spellStart"/>
            <w:r>
              <w:t>nbn</w:t>
            </w:r>
            <w:proofErr w:type="spellEnd"/>
            <w:r w:rsidR="0002477F">
              <w:t xml:space="preserve"> </w:t>
            </w:r>
            <w:r w:rsidR="00194902">
              <w:t>surrenders their urban excise licences</w:t>
            </w:r>
            <w:r w:rsidR="00094241">
              <w:t>.</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57BBAF98" w14:textId="23592FB0" w:rsidR="00CA25F1" w:rsidRDefault="00F34352">
            <w:pPr>
              <w:pStyle w:val="TableBody"/>
            </w:pPr>
            <w:r>
              <w:t xml:space="preserve">September </w:t>
            </w:r>
            <w:r w:rsidR="00CA25F1">
              <w:t>2021</w:t>
            </w:r>
          </w:p>
        </w:tc>
      </w:tr>
      <w:tr w:rsidR="00CA25F1" w14:paraId="22ED8B6A" w14:textId="77777777" w:rsidTr="008D2CD1">
        <w:trPr>
          <w:cnfStyle w:val="000000100000" w:firstRow="0" w:lastRow="0" w:firstColumn="0" w:lastColumn="0" w:oddVBand="0" w:evenVBand="0" w:oddHBand="1" w:evenHBand="0" w:firstRowFirstColumn="0" w:firstRowLastColumn="0" w:lastRowFirstColumn="0" w:lastRowLastColumn="0"/>
        </w:trPr>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46645EE0" w14:textId="77777777" w:rsidR="00CA25F1" w:rsidRDefault="00CA25F1">
            <w:pPr>
              <w:pStyle w:val="TableBody"/>
            </w:pPr>
            <w:r>
              <w:t>Allocation</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1398A4D9" w14:textId="18FF4542" w:rsidR="00CA25F1" w:rsidRDefault="00CA25F1">
            <w:pPr>
              <w:pStyle w:val="TableBody"/>
            </w:pPr>
            <w:r>
              <w:t xml:space="preserve">Pending the outcomes of the </w:t>
            </w:r>
            <w:r w:rsidR="00094241">
              <w:br/>
            </w:r>
            <w:r>
              <w:t>3.4 GHz TLG and an assessment of the utility of urban excise areas, the ACMA would then commence work to make urban excise areas available.</w:t>
            </w:r>
          </w:p>
        </w:tc>
        <w:tc>
          <w:tcPr>
            <w:tcW w:w="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14:paraId="61F8DAC4" w14:textId="7701BE64" w:rsidR="00CA25F1" w:rsidRDefault="00194902">
            <w:pPr>
              <w:pStyle w:val="TableBody"/>
            </w:pPr>
            <w:r>
              <w:t>Q1 2023 (if allocated as spectrum licenses. This aligns with proposed the 3700</w:t>
            </w:r>
            <w:r w:rsidR="003E5555">
              <w:t>–</w:t>
            </w:r>
            <w:r>
              <w:t>3800 MHz allocation)</w:t>
            </w:r>
          </w:p>
        </w:tc>
      </w:tr>
    </w:tbl>
    <w:p w14:paraId="0E0A1ECD" w14:textId="601A8E05" w:rsidR="00CA25F1" w:rsidRDefault="00CA25F1" w:rsidP="00CA25F1">
      <w:pPr>
        <w:spacing w:line="80" w:lineRule="atLeast"/>
        <w:rPr>
          <w:szCs w:val="20"/>
        </w:rPr>
      </w:pPr>
    </w:p>
    <w:p w14:paraId="0189938C" w14:textId="422523AA" w:rsidR="000B0FB6" w:rsidRPr="00702EA1" w:rsidRDefault="000B0FB6" w:rsidP="000B0FB6">
      <w:pPr>
        <w:pStyle w:val="Heading3"/>
        <w:spacing w:before="240"/>
      </w:pPr>
      <w:bookmarkStart w:id="51" w:name="_Toc76376841"/>
      <w:bookmarkStart w:id="52" w:name="_Toc80877075"/>
      <w:r>
        <w:t>Summary of options</w:t>
      </w:r>
      <w:r w:rsidRPr="00702EA1">
        <w:t xml:space="preserve"> </w:t>
      </w:r>
      <w:r w:rsidR="0050657B">
        <w:t>identified</w:t>
      </w:r>
      <w:bookmarkEnd w:id="51"/>
      <w:bookmarkEnd w:id="52"/>
    </w:p>
    <w:p w14:paraId="4EE8DD0C" w14:textId="77777777" w:rsidR="000B0FB6" w:rsidRPr="002462DF" w:rsidRDefault="000B0FB6" w:rsidP="008D2CD1">
      <w:pPr>
        <w:pStyle w:val="Paragraphbeforelist"/>
      </w:pPr>
      <w:r w:rsidRPr="002462DF">
        <w:t xml:space="preserve">When developing measures to manage interference to and from urban excise areas, the desired outcomes were to: </w:t>
      </w:r>
    </w:p>
    <w:p w14:paraId="5674F318" w14:textId="16C273E1" w:rsidR="000B0FB6" w:rsidRPr="002462DF" w:rsidRDefault="003E5555" w:rsidP="008D2CD1">
      <w:pPr>
        <w:pStyle w:val="Bulletlevel1"/>
      </w:pPr>
      <w:r>
        <w:t>P</w:t>
      </w:r>
      <w:r w:rsidR="000B0FB6" w:rsidRPr="002462DF">
        <w:t xml:space="preserve">rovide sufficient protection to existing </w:t>
      </w:r>
      <w:proofErr w:type="spellStart"/>
      <w:r w:rsidR="000B0FB6" w:rsidRPr="002462DF">
        <w:t>nbn</w:t>
      </w:r>
      <w:proofErr w:type="spellEnd"/>
      <w:r w:rsidR="000B0FB6" w:rsidRPr="002462DF">
        <w:t xml:space="preserve"> services and ensure they are not unreasonably constrained in their ability to deploy new and more spectrally efficient technologies in the future</w:t>
      </w:r>
      <w:r>
        <w:t>.</w:t>
      </w:r>
    </w:p>
    <w:p w14:paraId="5F9EC279" w14:textId="1DBFA79B" w:rsidR="000B0FB6" w:rsidRDefault="003E5555" w:rsidP="008D2CD1">
      <w:pPr>
        <w:pStyle w:val="Bulletlevel1"/>
      </w:pPr>
      <w:r>
        <w:t>M</w:t>
      </w:r>
      <w:r w:rsidR="000B0FB6" w:rsidRPr="002462DF">
        <w:t>aximise the utility of urban excise areas for new wireless broadband services</w:t>
      </w:r>
      <w:r>
        <w:t>.</w:t>
      </w:r>
    </w:p>
    <w:p w14:paraId="6897853B" w14:textId="5C8DA8BE" w:rsidR="000B0FB6" w:rsidRDefault="003E5555" w:rsidP="008D2CD1">
      <w:pPr>
        <w:pStyle w:val="Bulletlevel1last"/>
      </w:pPr>
      <w:r>
        <w:t>M</w:t>
      </w:r>
      <w:r w:rsidR="000B0FB6">
        <w:t>inimise the impact any new measures have on existing 3.4 GHz spectrum licensees.</w:t>
      </w:r>
    </w:p>
    <w:p w14:paraId="17DF0A25" w14:textId="39DBE4C3" w:rsidR="000B0FB6" w:rsidRDefault="000B0FB6" w:rsidP="008D2CD1">
      <w:pPr>
        <w:pStyle w:val="Paragraphbeforelist"/>
      </w:pPr>
      <w:r w:rsidRPr="002462DF">
        <w:t xml:space="preserve">Advice provided by the TLG </w:t>
      </w:r>
      <w:r>
        <w:t xml:space="preserve">on </w:t>
      </w:r>
      <w:r w:rsidRPr="002462DF">
        <w:t>th</w:t>
      </w:r>
      <w:r>
        <w:t>e development of interference management criteria</w:t>
      </w:r>
      <w:r w:rsidRPr="002462DF">
        <w:t xml:space="preserve"> is summarised in this section. </w:t>
      </w:r>
      <w:r>
        <w:t xml:space="preserve">The TLG considered </w:t>
      </w:r>
      <w:bookmarkStart w:id="53" w:name="_Hlk76114286"/>
      <w:r w:rsidR="00205CFC">
        <w:t xml:space="preserve">2 </w:t>
      </w:r>
      <w:r>
        <w:t>possible deployment scenarios for urban excise areas:</w:t>
      </w:r>
    </w:p>
    <w:p w14:paraId="6294DB85" w14:textId="1BD05E1D" w:rsidR="000B0FB6" w:rsidRPr="008171B1" w:rsidRDefault="00094241" w:rsidP="008D2CD1">
      <w:pPr>
        <w:pStyle w:val="Bulletlevel1"/>
      </w:pPr>
      <w:r>
        <w:t>A</w:t>
      </w:r>
      <w:r w:rsidR="000B0FB6" w:rsidRPr="008171B1">
        <w:t xml:space="preserve"> macro-cell</w:t>
      </w:r>
      <w:r w:rsidR="000C6EA0">
        <w:rPr>
          <w:rStyle w:val="FootnoteReference"/>
        </w:rPr>
        <w:footnoteReference w:id="2"/>
      </w:r>
      <w:r w:rsidR="000B0FB6" w:rsidRPr="008171B1">
        <w:t xml:space="preserve"> scenario</w:t>
      </w:r>
      <w:r>
        <w:t>.</w:t>
      </w:r>
      <w:r w:rsidR="000B0FB6" w:rsidRPr="008171B1">
        <w:t xml:space="preserve"> </w:t>
      </w:r>
    </w:p>
    <w:p w14:paraId="03B6725C" w14:textId="487BF270" w:rsidR="000B0FB6" w:rsidRPr="008171B1" w:rsidRDefault="00094241" w:rsidP="008D2CD1">
      <w:pPr>
        <w:pStyle w:val="Bulletlevel1last"/>
      </w:pPr>
      <w:r>
        <w:lastRenderedPageBreak/>
        <w:t>A</w:t>
      </w:r>
      <w:r w:rsidR="000B0FB6" w:rsidRPr="008171B1">
        <w:t xml:space="preserve"> restricted cell</w:t>
      </w:r>
      <w:r w:rsidR="00CD6651">
        <w:rPr>
          <w:rStyle w:val="FootnoteReference"/>
        </w:rPr>
        <w:footnoteReference w:id="3"/>
      </w:r>
      <w:r w:rsidR="000B0FB6" w:rsidRPr="008171B1">
        <w:t xml:space="preserve"> scenario</w:t>
      </w:r>
      <w:r w:rsidR="000B0FB6">
        <w:t xml:space="preserve">. Under this scenario there would be restrictions </w:t>
      </w:r>
      <w:r w:rsidR="000C6EA0">
        <w:t>on base</w:t>
      </w:r>
      <w:r>
        <w:t> </w:t>
      </w:r>
      <w:r w:rsidR="000C6EA0">
        <w:t xml:space="preserve">station transmitters </w:t>
      </w:r>
      <w:r w:rsidR="000B0FB6">
        <w:t>such as: limits on outdoor antenna heights, lower EIR</w:t>
      </w:r>
      <w:r w:rsidR="000C6EA0">
        <w:t>P</w:t>
      </w:r>
      <w:r w:rsidR="000B0FB6">
        <w:t xml:space="preserve"> levels</w:t>
      </w:r>
      <w:r w:rsidR="003E5555">
        <w:t>,</w:t>
      </w:r>
      <w:r w:rsidR="000B0FB6">
        <w:t xml:space="preserve"> etc.</w:t>
      </w:r>
      <w:bookmarkEnd w:id="53"/>
      <w:r w:rsidR="000B0FB6">
        <w:t xml:space="preserve"> </w:t>
      </w:r>
    </w:p>
    <w:p w14:paraId="0C3FD56F" w14:textId="2734B24B" w:rsidR="00191E70" w:rsidRDefault="00191E70" w:rsidP="00191E70">
      <w:pPr>
        <w:pStyle w:val="CommentText"/>
        <w:tabs>
          <w:tab w:val="left" w:pos="426"/>
        </w:tabs>
        <w:spacing w:before="240"/>
        <w:rPr>
          <w:rFonts w:cs="Arial"/>
          <w:color w:val="000000" w:themeColor="text1"/>
        </w:rPr>
      </w:pPr>
      <w:r>
        <w:rPr>
          <w:rFonts w:cs="Arial"/>
          <w:color w:val="000000" w:themeColor="text1"/>
        </w:rPr>
        <w:t xml:space="preserve">ACMA staff performed studies to assess the viability of the </w:t>
      </w:r>
      <w:r w:rsidR="00205CFC">
        <w:rPr>
          <w:rFonts w:cs="Arial"/>
          <w:color w:val="000000" w:themeColor="text1"/>
        </w:rPr>
        <w:t xml:space="preserve">2 </w:t>
      </w:r>
      <w:r>
        <w:rPr>
          <w:rFonts w:cs="Arial"/>
          <w:color w:val="000000" w:themeColor="text1"/>
        </w:rPr>
        <w:t xml:space="preserve">deployment scenarios using an aggregate C/(N+I) criteria for the protection of </w:t>
      </w:r>
      <w:proofErr w:type="spellStart"/>
      <w:r>
        <w:rPr>
          <w:rFonts w:cs="Arial"/>
          <w:color w:val="000000" w:themeColor="text1"/>
        </w:rPr>
        <w:t>nbn</w:t>
      </w:r>
      <w:proofErr w:type="spellEnd"/>
      <w:r>
        <w:rPr>
          <w:rFonts w:cs="Arial"/>
          <w:color w:val="000000" w:themeColor="text1"/>
        </w:rPr>
        <w:t xml:space="preserve"> service areas. These studies are provided in </w:t>
      </w:r>
      <w:r w:rsidRPr="008D2CD1">
        <w:rPr>
          <w:rFonts w:cs="Arial"/>
          <w:color w:val="000000" w:themeColor="text1"/>
        </w:rPr>
        <w:t>Appendix D</w:t>
      </w:r>
      <w:r>
        <w:rPr>
          <w:rFonts w:cs="Arial"/>
          <w:color w:val="000000" w:themeColor="text1"/>
        </w:rPr>
        <w:t xml:space="preserve">. After reviewing the studies, the TLG concluded that a restricted cell scenario would be feasible while a macro-cell scenario, with </w:t>
      </w:r>
      <w:r w:rsidR="001B5910">
        <w:rPr>
          <w:rFonts w:cs="Arial"/>
          <w:color w:val="000000" w:themeColor="text1"/>
        </w:rPr>
        <w:t xml:space="preserve">a </w:t>
      </w:r>
      <w:r>
        <w:rPr>
          <w:rFonts w:cs="Arial"/>
          <w:color w:val="000000" w:themeColor="text1"/>
        </w:rPr>
        <w:t xml:space="preserve">reasonable sized network deployed, was not feasible under current equipment capabilities. Some TLG members believed this may change in the next few years (for example </w:t>
      </w:r>
      <w:r w:rsidR="001B5910">
        <w:rPr>
          <w:rFonts w:cs="Arial"/>
          <w:color w:val="000000" w:themeColor="text1"/>
        </w:rPr>
        <w:t xml:space="preserve">if/when </w:t>
      </w:r>
      <w:r>
        <w:rPr>
          <w:rFonts w:cs="Arial"/>
          <w:color w:val="000000" w:themeColor="text1"/>
        </w:rPr>
        <w:t xml:space="preserve">greater control in the elevation plane for AAS beam steering becomes available). Consequently, the TLG identified </w:t>
      </w:r>
      <w:r w:rsidR="00205CFC">
        <w:rPr>
          <w:rFonts w:cs="Arial"/>
          <w:color w:val="000000" w:themeColor="text1"/>
        </w:rPr>
        <w:t xml:space="preserve">3 </w:t>
      </w:r>
      <w:r>
        <w:rPr>
          <w:rFonts w:cs="Arial"/>
          <w:color w:val="000000" w:themeColor="text1"/>
        </w:rPr>
        <w:t>high</w:t>
      </w:r>
      <w:r w:rsidR="00205CFC">
        <w:rPr>
          <w:rFonts w:cs="Arial"/>
          <w:color w:val="000000" w:themeColor="text1"/>
        </w:rPr>
        <w:t>-</w:t>
      </w:r>
      <w:r>
        <w:rPr>
          <w:rFonts w:cs="Arial"/>
          <w:color w:val="000000" w:themeColor="text1"/>
        </w:rPr>
        <w:t>level options for making urban excise areas available</w:t>
      </w:r>
      <w:r w:rsidR="00205CFC">
        <w:rPr>
          <w:rFonts w:cs="Arial"/>
          <w:color w:val="000000" w:themeColor="text1"/>
        </w:rPr>
        <w:t>;</w:t>
      </w:r>
      <w:r>
        <w:rPr>
          <w:rFonts w:cs="Arial"/>
          <w:color w:val="000000" w:themeColor="text1"/>
        </w:rPr>
        <w:t xml:space="preserve"> these are detailed in Table 6.</w:t>
      </w:r>
    </w:p>
    <w:p w14:paraId="07AEBC1C" w14:textId="5B1F00F7" w:rsidR="000A4369" w:rsidRDefault="0050657B" w:rsidP="008D2CD1">
      <w:pPr>
        <w:pStyle w:val="Paragraphbeforelist"/>
      </w:pPr>
      <w:r>
        <w:t>Existing 3.4 GHz spectrum licensees indicated a preference for Option 2 – the Hybrid model</w:t>
      </w:r>
      <w:r w:rsidR="000A4369">
        <w:t xml:space="preserve"> for the following reasons: </w:t>
      </w:r>
    </w:p>
    <w:p w14:paraId="094DDC43" w14:textId="2BA8BC5E" w:rsidR="000B0FB6" w:rsidRDefault="000A4369" w:rsidP="008D2CD1">
      <w:pPr>
        <w:pStyle w:val="Bulletlevel1"/>
      </w:pPr>
      <w:r>
        <w:t xml:space="preserve">Option 2 would </w:t>
      </w:r>
      <w:r w:rsidRPr="000A4369">
        <w:t xml:space="preserve">make spectrum available </w:t>
      </w:r>
      <w:r>
        <w:t xml:space="preserve">for use </w:t>
      </w:r>
      <w:r w:rsidRPr="000A4369">
        <w:t xml:space="preserve">sooner than </w:t>
      </w:r>
      <w:r>
        <w:t>O</w:t>
      </w:r>
      <w:r w:rsidRPr="000A4369">
        <w:t>ption 1</w:t>
      </w:r>
      <w:r w:rsidR="0050657B" w:rsidRPr="000A4369">
        <w:t xml:space="preserve"> </w:t>
      </w:r>
      <w:r w:rsidRPr="000A4369">
        <w:t>while preserving options for future macro-cell deployments</w:t>
      </w:r>
      <w:r w:rsidR="00094241">
        <w:t>.</w:t>
      </w:r>
    </w:p>
    <w:p w14:paraId="01730ED0" w14:textId="3EB65AFF" w:rsidR="000C4FBE" w:rsidRDefault="000C4FBE" w:rsidP="008D2CD1">
      <w:pPr>
        <w:pStyle w:val="Bulletlevel1last"/>
        <w:rPr>
          <w:color w:val="000000" w:themeColor="text1"/>
          <w:szCs w:val="20"/>
        </w:rPr>
      </w:pPr>
      <w:r>
        <w:t>Under Option 3</w:t>
      </w:r>
      <w:r w:rsidR="00094241">
        <w:t>,</w:t>
      </w:r>
      <w:r>
        <w:t xml:space="preserve"> it may be difficult to manage interference between multiple operators with services in close proximity to each other. </w:t>
      </w:r>
    </w:p>
    <w:p w14:paraId="4EC37BDC" w14:textId="034F22D1" w:rsidR="00B926A7" w:rsidRDefault="000C481B" w:rsidP="008D2CD1">
      <w:pPr>
        <w:spacing w:line="240" w:lineRule="auto"/>
        <w:ind w:right="16"/>
        <w:rPr>
          <w:rFonts w:cs="Arial"/>
          <w:color w:val="000000" w:themeColor="text1"/>
        </w:rPr>
      </w:pPr>
      <w:r>
        <w:rPr>
          <w:rFonts w:cs="Arial"/>
          <w:color w:val="000000" w:themeColor="text1"/>
        </w:rPr>
        <w:t xml:space="preserve">In response to the second point above, </w:t>
      </w:r>
      <w:r w:rsidR="00B926A7">
        <w:rPr>
          <w:rFonts w:cs="Arial"/>
          <w:color w:val="000000" w:themeColor="text1"/>
        </w:rPr>
        <w:t>ACMA staff noted that under Option 3,</w:t>
      </w:r>
      <w:r w:rsidR="00B926A7" w:rsidRPr="00B926A7">
        <w:rPr>
          <w:rFonts w:cs="Arial"/>
          <w:color w:val="000000" w:themeColor="text1"/>
        </w:rPr>
        <w:t xml:space="preserve"> interference management is dependent on</w:t>
      </w:r>
      <w:r w:rsidR="00B926A7">
        <w:rPr>
          <w:rFonts w:cs="Arial"/>
          <w:color w:val="000000" w:themeColor="text1"/>
        </w:rPr>
        <w:t xml:space="preserve"> a number of factors.</w:t>
      </w:r>
      <w:r w:rsidR="00B926A7" w:rsidRPr="00B926A7">
        <w:rPr>
          <w:rFonts w:cs="Arial"/>
          <w:color w:val="000000" w:themeColor="text1"/>
        </w:rPr>
        <w:t xml:space="preserve"> </w:t>
      </w:r>
      <w:r w:rsidR="00B926A7">
        <w:rPr>
          <w:rFonts w:cs="Arial"/>
          <w:color w:val="000000" w:themeColor="text1"/>
        </w:rPr>
        <w:t xml:space="preserve">This includes </w:t>
      </w:r>
      <w:r w:rsidR="00B926A7" w:rsidRPr="00B926A7">
        <w:rPr>
          <w:rFonts w:cs="Arial"/>
          <w:color w:val="000000" w:themeColor="text1"/>
        </w:rPr>
        <w:t>the operating parameters, deployment scenarios</w:t>
      </w:r>
      <w:r w:rsidR="00B926A7">
        <w:rPr>
          <w:rFonts w:cs="Arial"/>
          <w:color w:val="000000" w:themeColor="text1"/>
        </w:rPr>
        <w:t xml:space="preserve">, </w:t>
      </w:r>
      <w:r w:rsidR="00B926A7" w:rsidRPr="00B926A7">
        <w:rPr>
          <w:rFonts w:cs="Arial"/>
          <w:color w:val="000000" w:themeColor="text1"/>
        </w:rPr>
        <w:t>(e</w:t>
      </w:r>
      <w:r w:rsidR="00B926A7">
        <w:rPr>
          <w:rFonts w:cs="Arial"/>
          <w:color w:val="000000" w:themeColor="text1"/>
        </w:rPr>
        <w:t>.</w:t>
      </w:r>
      <w:r w:rsidR="00B926A7" w:rsidRPr="00B926A7">
        <w:rPr>
          <w:rFonts w:cs="Arial"/>
          <w:color w:val="000000" w:themeColor="text1"/>
        </w:rPr>
        <w:t>g</w:t>
      </w:r>
      <w:r w:rsidR="00B926A7">
        <w:rPr>
          <w:rFonts w:cs="Arial"/>
          <w:color w:val="000000" w:themeColor="text1"/>
        </w:rPr>
        <w:t>.</w:t>
      </w:r>
      <w:r w:rsidR="004B6765">
        <w:rPr>
          <w:rFonts w:cs="Arial"/>
          <w:color w:val="000000" w:themeColor="text1"/>
        </w:rPr>
        <w:t>,</w:t>
      </w:r>
      <w:r w:rsidR="00B926A7" w:rsidRPr="00B926A7">
        <w:rPr>
          <w:rFonts w:cs="Arial"/>
          <w:color w:val="000000" w:themeColor="text1"/>
        </w:rPr>
        <w:t xml:space="preserve"> deployments covering large areas vs deployments covering </w:t>
      </w:r>
      <w:r w:rsidR="00961173">
        <w:rPr>
          <w:rFonts w:cs="Arial"/>
          <w:color w:val="000000" w:themeColor="text1"/>
        </w:rPr>
        <w:t>individual</w:t>
      </w:r>
      <w:r w:rsidR="00B926A7" w:rsidRPr="00B926A7">
        <w:rPr>
          <w:rFonts w:cs="Arial"/>
          <w:color w:val="000000" w:themeColor="text1"/>
        </w:rPr>
        <w:t xml:space="preserve"> premises)</w:t>
      </w:r>
      <w:r w:rsidR="00B926A7">
        <w:rPr>
          <w:rFonts w:cs="Arial"/>
          <w:color w:val="000000" w:themeColor="text1"/>
        </w:rPr>
        <w:t>, any restrictions that apply (e.g.</w:t>
      </w:r>
      <w:r w:rsidR="004B6765">
        <w:rPr>
          <w:rFonts w:cs="Arial"/>
          <w:color w:val="000000" w:themeColor="text1"/>
        </w:rPr>
        <w:t>,</w:t>
      </w:r>
      <w:r w:rsidR="00B926A7">
        <w:rPr>
          <w:rFonts w:cs="Arial"/>
          <w:color w:val="000000" w:themeColor="text1"/>
        </w:rPr>
        <w:t xml:space="preserve"> EIRP, antenna height</w:t>
      </w:r>
      <w:r w:rsidR="004B6765">
        <w:rPr>
          <w:rFonts w:cs="Arial"/>
          <w:color w:val="000000" w:themeColor="text1"/>
        </w:rPr>
        <w:t>,</w:t>
      </w:r>
      <w:r w:rsidR="00B926A7">
        <w:rPr>
          <w:rFonts w:cs="Arial"/>
          <w:color w:val="000000" w:themeColor="text1"/>
        </w:rPr>
        <w:t xml:space="preserve"> etc) and whether operators can synchronise services. </w:t>
      </w:r>
    </w:p>
    <w:p w14:paraId="0B5A0B2E" w14:textId="0DF7560A" w:rsidR="000C4FBE" w:rsidRPr="000C4FBE" w:rsidRDefault="000C481B" w:rsidP="008D2CD1">
      <w:pPr>
        <w:spacing w:after="360" w:line="240" w:lineRule="auto"/>
        <w:ind w:right="16"/>
        <w:rPr>
          <w:rFonts w:cs="Arial"/>
          <w:color w:val="000000" w:themeColor="text1"/>
        </w:rPr>
      </w:pPr>
      <w:r>
        <w:rPr>
          <w:rFonts w:cs="Arial"/>
          <w:color w:val="000000" w:themeColor="text1"/>
        </w:rPr>
        <w:t>Furthermore, r</w:t>
      </w:r>
      <w:bookmarkStart w:id="54" w:name="_Hlk76116373"/>
      <w:r w:rsidR="000C4FBE">
        <w:rPr>
          <w:rFonts w:cs="Arial"/>
          <w:color w:val="000000" w:themeColor="text1"/>
        </w:rPr>
        <w:t>epresentatives of other prospective wireless broadband operators (e.g.</w:t>
      </w:r>
      <w:r w:rsidR="00CF27B7">
        <w:rPr>
          <w:rFonts w:cs="Arial"/>
          <w:color w:val="000000" w:themeColor="text1"/>
        </w:rPr>
        <w:t>,</w:t>
      </w:r>
      <w:r w:rsidR="000C4FBE">
        <w:rPr>
          <w:rFonts w:cs="Arial"/>
          <w:color w:val="000000" w:themeColor="text1"/>
        </w:rPr>
        <w:t xml:space="preserve"> Wireless Internet Service Providers and Industry verticals) were not present in the TLG to provide their views</w:t>
      </w:r>
      <w:bookmarkEnd w:id="54"/>
      <w:r w:rsidR="000C4FBE">
        <w:rPr>
          <w:rFonts w:cs="Arial"/>
          <w:color w:val="000000" w:themeColor="text1"/>
        </w:rPr>
        <w:t xml:space="preserve">. ACMA </w:t>
      </w:r>
      <w:r w:rsidR="00463C25">
        <w:rPr>
          <w:rFonts w:cs="Arial"/>
          <w:color w:val="000000" w:themeColor="text1"/>
        </w:rPr>
        <w:t>note</w:t>
      </w:r>
      <w:r w:rsidR="00CF27B7">
        <w:rPr>
          <w:rFonts w:cs="Arial"/>
          <w:color w:val="000000" w:themeColor="text1"/>
        </w:rPr>
        <w:t>s</w:t>
      </w:r>
      <w:r w:rsidR="00463C25">
        <w:rPr>
          <w:rFonts w:cs="Arial"/>
          <w:color w:val="000000" w:themeColor="text1"/>
        </w:rPr>
        <w:t xml:space="preserve"> that </w:t>
      </w:r>
      <w:r w:rsidR="000C4FBE">
        <w:rPr>
          <w:rFonts w:cs="Arial"/>
          <w:color w:val="000000" w:themeColor="text1"/>
        </w:rPr>
        <w:t xml:space="preserve">these stakeholders </w:t>
      </w:r>
      <w:r w:rsidR="00463C25">
        <w:rPr>
          <w:rFonts w:cs="Arial"/>
          <w:color w:val="000000" w:themeColor="text1"/>
        </w:rPr>
        <w:t xml:space="preserve">will be able to </w:t>
      </w:r>
      <w:r w:rsidR="000C4FBE">
        <w:rPr>
          <w:rFonts w:cs="Arial"/>
          <w:color w:val="000000" w:themeColor="text1"/>
        </w:rPr>
        <w:t xml:space="preserve">provide feedback on the options identified </w:t>
      </w:r>
      <w:bookmarkStart w:id="55" w:name="_Hlk76116501"/>
      <w:r w:rsidR="00463C25">
        <w:rPr>
          <w:rFonts w:cs="Arial"/>
          <w:color w:val="000000" w:themeColor="text1"/>
        </w:rPr>
        <w:t>during the formal consultation process to follow the TLG</w:t>
      </w:r>
      <w:r w:rsidR="00CF27B7">
        <w:rPr>
          <w:rFonts w:cs="Arial"/>
          <w:color w:val="000000" w:themeColor="text1"/>
        </w:rPr>
        <w:t>,</w:t>
      </w:r>
      <w:r w:rsidR="00463C25">
        <w:rPr>
          <w:rFonts w:cs="Arial"/>
          <w:color w:val="000000" w:themeColor="text1"/>
        </w:rPr>
        <w:t xml:space="preserve"> which will assist </w:t>
      </w:r>
      <w:r w:rsidR="00CF27B7">
        <w:rPr>
          <w:rFonts w:cs="Arial"/>
          <w:color w:val="000000" w:themeColor="text1"/>
        </w:rPr>
        <w:t xml:space="preserve">us with </w:t>
      </w:r>
      <w:r w:rsidR="000C4FBE">
        <w:rPr>
          <w:rFonts w:cs="Arial"/>
          <w:color w:val="000000" w:themeColor="text1"/>
        </w:rPr>
        <w:t xml:space="preserve">deciding on which </w:t>
      </w:r>
      <w:r w:rsidR="00463C25">
        <w:rPr>
          <w:rFonts w:cs="Arial"/>
          <w:color w:val="000000" w:themeColor="text1"/>
        </w:rPr>
        <w:t>way to proceed</w:t>
      </w:r>
      <w:r w:rsidR="000C4FBE">
        <w:rPr>
          <w:rFonts w:cs="Arial"/>
          <w:color w:val="000000" w:themeColor="text1"/>
        </w:rPr>
        <w:t>.</w:t>
      </w:r>
      <w:bookmarkEnd w:id="55"/>
      <w:r w:rsidR="000C4FBE">
        <w:rPr>
          <w:rFonts w:cs="Arial"/>
          <w:color w:val="000000" w:themeColor="text1"/>
        </w:rPr>
        <w:t xml:space="preserve">  </w:t>
      </w:r>
    </w:p>
    <w:p w14:paraId="0B07A998" w14:textId="77777777" w:rsidR="000B0FB6" w:rsidRDefault="000B0FB6" w:rsidP="000B0FB6">
      <w:pPr>
        <w:pStyle w:val="Tableheading"/>
        <w:keepLines/>
      </w:pPr>
      <w:r>
        <w:t>Options for use of urban excise areas</w:t>
      </w:r>
    </w:p>
    <w:tbl>
      <w:tblPr>
        <w:tblStyle w:val="ACMAtablestyle"/>
        <w:tblW w:w="9639" w:type="dxa"/>
        <w:tblInd w:w="-572" w:type="dxa"/>
        <w:tblLayout w:type="fixed"/>
        <w:tblCellMar>
          <w:left w:w="85" w:type="dxa"/>
          <w:right w:w="85" w:type="dxa"/>
        </w:tblCellMar>
        <w:tblLook w:val="01E0" w:firstRow="1" w:lastRow="1" w:firstColumn="1" w:lastColumn="1" w:noHBand="0" w:noVBand="0"/>
        <w:tblCaption w:val="Table title to go here"/>
        <w:tblDescription w:val="Table description to go here"/>
      </w:tblPr>
      <w:tblGrid>
        <w:gridCol w:w="709"/>
        <w:gridCol w:w="1701"/>
        <w:gridCol w:w="1843"/>
        <w:gridCol w:w="1701"/>
        <w:gridCol w:w="3685"/>
      </w:tblGrid>
      <w:tr w:rsidR="000B0FB6" w14:paraId="4DE32D31" w14:textId="77777777" w:rsidTr="008D2CD1">
        <w:trPr>
          <w:cnfStyle w:val="100000000000" w:firstRow="1" w:lastRow="0" w:firstColumn="0" w:lastColumn="0" w:oddVBand="0" w:evenVBand="0" w:oddHBand="0" w:evenHBand="0" w:firstRowFirstColumn="0" w:firstRowLastColumn="0" w:lastRowFirstColumn="0" w:lastRowLastColumn="0"/>
        </w:trPr>
        <w:tc>
          <w:tcPr>
            <w:tcW w:w="709" w:type="dxa"/>
          </w:tcPr>
          <w:p w14:paraId="4001E8FC" w14:textId="77777777" w:rsidR="000B0FB6" w:rsidRDefault="000B0FB6" w:rsidP="001172B5">
            <w:pPr>
              <w:pStyle w:val="Tableheaderrow"/>
            </w:pPr>
            <w:r>
              <w:t>#</w:t>
            </w:r>
          </w:p>
        </w:tc>
        <w:tc>
          <w:tcPr>
            <w:tcW w:w="1701" w:type="dxa"/>
          </w:tcPr>
          <w:p w14:paraId="2453F14D" w14:textId="77777777" w:rsidR="000B0FB6" w:rsidRDefault="000B0FB6" w:rsidP="001172B5">
            <w:pPr>
              <w:pStyle w:val="Tableheaderrow"/>
            </w:pPr>
            <w:r>
              <w:t>Option</w:t>
            </w:r>
          </w:p>
        </w:tc>
        <w:tc>
          <w:tcPr>
            <w:tcW w:w="1843" w:type="dxa"/>
          </w:tcPr>
          <w:p w14:paraId="435CE413" w14:textId="64AC7442" w:rsidR="000B0FB6" w:rsidRDefault="000B0FB6" w:rsidP="001172B5">
            <w:pPr>
              <w:pStyle w:val="Tableheaderrow"/>
            </w:pPr>
            <w:r>
              <w:t xml:space="preserve">Licence </w:t>
            </w:r>
            <w:r w:rsidR="004B6765">
              <w:t>t</w:t>
            </w:r>
            <w:r>
              <w:t>ype</w:t>
            </w:r>
          </w:p>
        </w:tc>
        <w:tc>
          <w:tcPr>
            <w:tcW w:w="0" w:type="dxa"/>
          </w:tcPr>
          <w:p w14:paraId="5DA68338" w14:textId="77777777" w:rsidR="000B0FB6" w:rsidRDefault="000B0FB6" w:rsidP="001172B5">
            <w:pPr>
              <w:pStyle w:val="Tableheaderrow"/>
            </w:pPr>
            <w:r>
              <w:t>Possible conditions</w:t>
            </w:r>
          </w:p>
        </w:tc>
        <w:tc>
          <w:tcPr>
            <w:tcW w:w="3685" w:type="dxa"/>
          </w:tcPr>
          <w:p w14:paraId="5804DEC6" w14:textId="77777777" w:rsidR="000B0FB6" w:rsidRDefault="000B0FB6" w:rsidP="001172B5">
            <w:pPr>
              <w:pStyle w:val="Tableheaderrow"/>
            </w:pPr>
            <w:r>
              <w:t>Description</w:t>
            </w:r>
          </w:p>
        </w:tc>
      </w:tr>
      <w:tr w:rsidR="00D8167E" w14:paraId="6682DB3D" w14:textId="77777777" w:rsidTr="00D8167E">
        <w:trPr>
          <w:cnfStyle w:val="000000100000" w:firstRow="0" w:lastRow="0" w:firstColumn="0" w:lastColumn="0" w:oddVBand="0" w:evenVBand="0" w:oddHBand="1" w:evenHBand="0" w:firstRowFirstColumn="0" w:firstRowLastColumn="0" w:lastRowFirstColumn="0" w:lastRowLastColumn="0"/>
        </w:trPr>
        <w:tc>
          <w:tcPr>
            <w:tcW w:w="709" w:type="dxa"/>
            <w:tcBorders>
              <w:top w:val="single" w:sz="4" w:space="0" w:color="auto"/>
              <w:left w:val="single" w:sz="4" w:space="0" w:color="auto"/>
              <w:bottom w:val="single" w:sz="4" w:space="0" w:color="auto"/>
              <w:right w:val="single" w:sz="4" w:space="0" w:color="auto"/>
            </w:tcBorders>
          </w:tcPr>
          <w:p w14:paraId="1F4993C9" w14:textId="77777777" w:rsidR="000B0FB6" w:rsidRDefault="000B0FB6" w:rsidP="001172B5">
            <w:pPr>
              <w:pStyle w:val="TableBody"/>
            </w:pPr>
            <w:r>
              <w:t>1</w:t>
            </w:r>
          </w:p>
        </w:tc>
        <w:tc>
          <w:tcPr>
            <w:tcW w:w="1701"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64B73778" w14:textId="77777777" w:rsidR="000B0FB6" w:rsidRDefault="000B0FB6" w:rsidP="001172B5">
            <w:pPr>
              <w:pStyle w:val="TableBody"/>
            </w:pPr>
            <w:r>
              <w:t>Macro-cell model</w:t>
            </w:r>
          </w:p>
        </w:tc>
        <w:tc>
          <w:tcPr>
            <w:tcW w:w="18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63D7F24C" w14:textId="4869BC81" w:rsidR="000B0FB6" w:rsidRDefault="000B0FB6" w:rsidP="008D2CD1">
            <w:pPr>
              <w:pStyle w:val="TableBody"/>
            </w:pPr>
            <w:r>
              <w:t xml:space="preserve">Spectrum </w:t>
            </w:r>
            <w:r w:rsidR="00CF27B7">
              <w:br/>
            </w:r>
            <w:r>
              <w:t>licence</w:t>
            </w:r>
          </w:p>
          <w:p w14:paraId="714D1D9A" w14:textId="58F37618" w:rsidR="000B0FB6" w:rsidRDefault="00CF27B7" w:rsidP="008D2CD1">
            <w:pPr>
              <w:pStyle w:val="TableBody"/>
            </w:pPr>
            <w:r>
              <w:t>o</w:t>
            </w:r>
            <w:r w:rsidR="000B0FB6">
              <w:t>r</w:t>
            </w:r>
            <w:r>
              <w:t xml:space="preserve"> a</w:t>
            </w:r>
            <w:r w:rsidR="000B0FB6">
              <w:t>rea-wide licence (AWL)</w:t>
            </w:r>
          </w:p>
        </w:tc>
        <w:tc>
          <w:tcPr>
            <w:tcW w:w="1701" w:type="dxa"/>
            <w:tcBorders>
              <w:top w:val="single" w:sz="4" w:space="0" w:color="auto"/>
              <w:left w:val="single" w:sz="4" w:space="0" w:color="auto"/>
              <w:bottom w:val="single" w:sz="4" w:space="0" w:color="auto"/>
              <w:right w:val="single" w:sz="4" w:space="0" w:color="auto"/>
            </w:tcBorders>
          </w:tcPr>
          <w:p w14:paraId="3675A17F" w14:textId="5494F7CE" w:rsidR="000B0FB6" w:rsidRDefault="000B0FB6" w:rsidP="001172B5">
            <w:pPr>
              <w:pStyle w:val="TableBody"/>
            </w:pPr>
            <w:r>
              <w:t xml:space="preserve">Refer to section </w:t>
            </w:r>
            <w:hyperlink w:anchor="_Macro-cell_interference_management" w:history="1">
              <w:r w:rsidR="008F1E35" w:rsidRPr="004B6765">
                <w:rPr>
                  <w:rStyle w:val="Hyperlink"/>
                </w:rPr>
                <w:t>M</w:t>
              </w:r>
              <w:r w:rsidRPr="004B6765">
                <w:rPr>
                  <w:rStyle w:val="Hyperlink"/>
                </w:rPr>
                <w:t>acro-cell interference management criteria</w:t>
              </w:r>
            </w:hyperlink>
            <w:r>
              <w:t xml:space="preserve"> </w:t>
            </w:r>
          </w:p>
        </w:tc>
        <w:tc>
          <w:tcPr>
            <w:tcW w:w="368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59C1450D" w14:textId="0F066E4F" w:rsidR="000B0FB6" w:rsidRDefault="000B0FB6" w:rsidP="001172B5">
            <w:pPr>
              <w:pStyle w:val="TableBody"/>
            </w:pPr>
            <w:bookmarkStart w:id="56" w:name="_Hlk76138938"/>
            <w:r>
              <w:t>Development of interference management criteria</w:t>
            </w:r>
            <w:r w:rsidR="00C830A7">
              <w:t xml:space="preserve"> and any allocation process</w:t>
            </w:r>
            <w:r>
              <w:t xml:space="preserve"> would be paused. </w:t>
            </w:r>
            <w:bookmarkEnd w:id="56"/>
            <w:r>
              <w:t xml:space="preserve">In a few years’ time the ACMA would re-assess the viability of a macro cell scenario. This model would result in a single operator holding a licence in each urban excise area for a given frequency </w:t>
            </w:r>
            <w:r w:rsidR="006D7F66">
              <w:t>range</w:t>
            </w:r>
            <w:r>
              <w:t xml:space="preserve"> (i.e.</w:t>
            </w:r>
            <w:r w:rsidR="00CF27B7">
              <w:t>,</w:t>
            </w:r>
            <w:r>
              <w:t xml:space="preserve"> </w:t>
            </w:r>
            <w:r w:rsidR="00C830A7">
              <w:t>each urban excise area is subdivided by frequency but not by area</w:t>
            </w:r>
            <w:r>
              <w:t>). Multiple operators in an area could be supported by subdividing the 3400</w:t>
            </w:r>
            <w:r w:rsidR="00CF27B7">
              <w:t>–</w:t>
            </w:r>
            <w:r>
              <w:t xml:space="preserve">3475 MHz band.   </w:t>
            </w:r>
          </w:p>
        </w:tc>
      </w:tr>
      <w:tr w:rsidR="000B0FB6" w14:paraId="4D2E7D99" w14:textId="77777777" w:rsidTr="008D2CD1">
        <w:trPr>
          <w:cnfStyle w:val="000000010000" w:firstRow="0" w:lastRow="0" w:firstColumn="0" w:lastColumn="0" w:oddVBand="0" w:evenVBand="0" w:oddHBand="0" w:evenHBand="1" w:firstRowFirstColumn="0" w:firstRowLastColumn="0" w:lastRowFirstColumn="0" w:lastRowLastColumn="0"/>
        </w:trPr>
        <w:tc>
          <w:tcPr>
            <w:tcW w:w="709" w:type="dxa"/>
            <w:tcBorders>
              <w:top w:val="single" w:sz="4" w:space="0" w:color="auto"/>
              <w:left w:val="single" w:sz="4" w:space="0" w:color="auto"/>
              <w:bottom w:val="single" w:sz="4" w:space="0" w:color="auto"/>
              <w:right w:val="single" w:sz="4" w:space="0" w:color="auto"/>
            </w:tcBorders>
          </w:tcPr>
          <w:p w14:paraId="452192FE" w14:textId="77777777" w:rsidR="000B0FB6" w:rsidRDefault="000B0FB6" w:rsidP="001172B5">
            <w:pPr>
              <w:pStyle w:val="TableBody"/>
            </w:pPr>
            <w:r>
              <w:lastRenderedPageBreak/>
              <w:t>2</w:t>
            </w:r>
          </w:p>
        </w:tc>
        <w:tc>
          <w:tcPr>
            <w:tcW w:w="1701"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34110054" w14:textId="77777777" w:rsidR="000B0FB6" w:rsidRDefault="000B0FB6" w:rsidP="001172B5">
            <w:pPr>
              <w:pStyle w:val="TableBody"/>
            </w:pPr>
            <w:r>
              <w:t xml:space="preserve">Hybrid model </w:t>
            </w:r>
          </w:p>
        </w:tc>
        <w:tc>
          <w:tcPr>
            <w:tcW w:w="18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6B6FC64E" w14:textId="77777777" w:rsidR="00CF27B7" w:rsidRDefault="00CF27B7" w:rsidP="00CF27B7">
            <w:pPr>
              <w:pStyle w:val="TableBody"/>
            </w:pPr>
            <w:r>
              <w:t xml:space="preserve">Spectrum </w:t>
            </w:r>
            <w:r>
              <w:br/>
              <w:t>licence</w:t>
            </w:r>
          </w:p>
          <w:p w14:paraId="42B6B938" w14:textId="40254F40" w:rsidR="000B0FB6" w:rsidRDefault="00CF27B7" w:rsidP="008D2CD1">
            <w:pPr>
              <w:pStyle w:val="TableBody"/>
            </w:pPr>
            <w:r>
              <w:t>or area-wide licence (AWL)</w:t>
            </w:r>
          </w:p>
        </w:tc>
        <w:tc>
          <w:tcPr>
            <w:tcW w:w="0" w:type="dxa"/>
            <w:tcBorders>
              <w:top w:val="single" w:sz="4" w:space="0" w:color="auto"/>
              <w:left w:val="single" w:sz="4" w:space="0" w:color="auto"/>
              <w:bottom w:val="single" w:sz="4" w:space="0" w:color="auto"/>
              <w:right w:val="single" w:sz="4" w:space="0" w:color="auto"/>
            </w:tcBorders>
          </w:tcPr>
          <w:p w14:paraId="75F34243" w14:textId="311332BA" w:rsidR="000B0FB6" w:rsidRDefault="000B0FB6" w:rsidP="001172B5">
            <w:pPr>
              <w:pStyle w:val="TableBody"/>
              <w:rPr>
                <w:i/>
                <w:iCs/>
              </w:rPr>
            </w:pPr>
            <w:r>
              <w:t xml:space="preserve">Refer to section </w:t>
            </w:r>
            <w:hyperlink w:anchor="_Macro-cell_interference_management" w:history="1">
              <w:r w:rsidR="008F1E35" w:rsidRPr="004B6765">
                <w:rPr>
                  <w:rStyle w:val="Hyperlink"/>
                </w:rPr>
                <w:t>Macro-cell interference management criteria</w:t>
              </w:r>
            </w:hyperlink>
          </w:p>
          <w:p w14:paraId="4B820A9C" w14:textId="77777777" w:rsidR="000A4369" w:rsidRDefault="000A4369" w:rsidP="001172B5">
            <w:pPr>
              <w:pStyle w:val="TableBody"/>
              <w:rPr>
                <w:i/>
                <w:iCs/>
              </w:rPr>
            </w:pPr>
          </w:p>
          <w:p w14:paraId="76EC6684" w14:textId="725E139A" w:rsidR="000A4369" w:rsidRPr="000A4369" w:rsidRDefault="000A4369" w:rsidP="001172B5">
            <w:pPr>
              <w:pStyle w:val="TableBody"/>
            </w:pPr>
            <w:r>
              <w:t>Criteria for the restricted cell model could also be considered</w:t>
            </w:r>
          </w:p>
        </w:tc>
        <w:tc>
          <w:tcPr>
            <w:tcW w:w="368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6625D99A" w14:textId="476FEB08" w:rsidR="000B0FB6" w:rsidRDefault="000B0FB6" w:rsidP="001172B5">
            <w:pPr>
              <w:pStyle w:val="TableBody"/>
            </w:pPr>
            <w:r>
              <w:t xml:space="preserve">Similar to Option 1, a single operator would take out a licence in each urban excise area for a given frequency </w:t>
            </w:r>
            <w:r w:rsidR="006D7F66">
              <w:t xml:space="preserve">range </w:t>
            </w:r>
            <w:r>
              <w:t>(i.e.</w:t>
            </w:r>
            <w:r w:rsidR="00CF27B7">
              <w:t>,</w:t>
            </w:r>
            <w:r>
              <w:t xml:space="preserve"> </w:t>
            </w:r>
            <w:r w:rsidR="002255D2">
              <w:t>each urban excise area is subdivided by frequency but not by area</w:t>
            </w:r>
            <w:r>
              <w:t xml:space="preserve">). To manage interference between different licensees, relevant co-channel and adjacent channel coordination conditions would be implemented. This may limit service deployments to small cells initially. Macro-cell deployments may be possible in the future when new equipment capabilities are available. </w:t>
            </w:r>
          </w:p>
          <w:p w14:paraId="5519C854" w14:textId="77777777" w:rsidR="000B0FB6" w:rsidRDefault="000B0FB6" w:rsidP="001172B5">
            <w:pPr>
              <w:pStyle w:val="TableBody"/>
            </w:pPr>
          </w:p>
          <w:p w14:paraId="5927211F" w14:textId="2B98665A" w:rsidR="000B0FB6" w:rsidRDefault="000B0FB6" w:rsidP="001172B5">
            <w:pPr>
              <w:pStyle w:val="TableBody"/>
            </w:pPr>
            <w:r>
              <w:t>Under this option</w:t>
            </w:r>
            <w:r w:rsidR="00CF27B7">
              <w:t>,</w:t>
            </w:r>
            <w:r>
              <w:t xml:space="preserve"> spectrum could be made available sooner than in Option 1.</w:t>
            </w:r>
          </w:p>
        </w:tc>
      </w:tr>
      <w:tr w:rsidR="00D8167E" w14:paraId="151F2BC3" w14:textId="77777777" w:rsidTr="00D8167E">
        <w:trPr>
          <w:cnfStyle w:val="000000100000" w:firstRow="0" w:lastRow="0" w:firstColumn="0" w:lastColumn="0" w:oddVBand="0" w:evenVBand="0" w:oddHBand="1" w:evenHBand="0" w:firstRowFirstColumn="0" w:firstRowLastColumn="0" w:lastRowFirstColumn="0" w:lastRowLastColumn="0"/>
        </w:trPr>
        <w:tc>
          <w:tcPr>
            <w:tcW w:w="709" w:type="dxa"/>
            <w:tcBorders>
              <w:top w:val="single" w:sz="4" w:space="0" w:color="auto"/>
              <w:left w:val="single" w:sz="4" w:space="0" w:color="auto"/>
              <w:bottom w:val="single" w:sz="4" w:space="0" w:color="auto"/>
              <w:right w:val="single" w:sz="4" w:space="0" w:color="auto"/>
            </w:tcBorders>
          </w:tcPr>
          <w:p w14:paraId="0B954089" w14:textId="77777777" w:rsidR="000B0FB6" w:rsidRDefault="000B0FB6" w:rsidP="001172B5">
            <w:pPr>
              <w:pStyle w:val="TableBody"/>
            </w:pPr>
            <w:r>
              <w:t>3</w:t>
            </w:r>
          </w:p>
        </w:tc>
        <w:tc>
          <w:tcPr>
            <w:tcW w:w="1701"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77D97519" w14:textId="77777777" w:rsidR="000B0FB6" w:rsidRDefault="000B0FB6" w:rsidP="001172B5">
            <w:pPr>
              <w:pStyle w:val="TableBody"/>
            </w:pPr>
            <w:r>
              <w:t>Restricted cell model</w:t>
            </w:r>
          </w:p>
        </w:tc>
        <w:tc>
          <w:tcPr>
            <w:tcW w:w="18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10312B48" w14:textId="4068C514" w:rsidR="000B0FB6" w:rsidRDefault="000B0FB6" w:rsidP="008D2CD1">
            <w:pPr>
              <w:pStyle w:val="TableBody"/>
            </w:pPr>
            <w:r>
              <w:t>AWL</w:t>
            </w:r>
            <w:r w:rsidR="00CF27B7">
              <w:t xml:space="preserve"> </w:t>
            </w:r>
            <w:r>
              <w:t>or</w:t>
            </w:r>
            <w:r w:rsidR="00CF27B7">
              <w:t xml:space="preserve"> </w:t>
            </w:r>
            <w:r w:rsidR="00CF27B7">
              <w:br/>
              <w:t>c</w:t>
            </w:r>
            <w:r>
              <w:t xml:space="preserve">lass </w:t>
            </w:r>
            <w:r w:rsidR="00CF27B7">
              <w:t>l</w:t>
            </w:r>
            <w:r>
              <w:t>icence</w:t>
            </w:r>
          </w:p>
        </w:tc>
        <w:tc>
          <w:tcPr>
            <w:tcW w:w="1701" w:type="dxa"/>
            <w:tcBorders>
              <w:top w:val="single" w:sz="4" w:space="0" w:color="auto"/>
              <w:left w:val="single" w:sz="4" w:space="0" w:color="auto"/>
              <w:bottom w:val="single" w:sz="4" w:space="0" w:color="auto"/>
              <w:right w:val="single" w:sz="4" w:space="0" w:color="auto"/>
            </w:tcBorders>
          </w:tcPr>
          <w:p w14:paraId="495629BF" w14:textId="77777777" w:rsidR="000B0FB6" w:rsidRDefault="000B0FB6" w:rsidP="001172B5">
            <w:pPr>
              <w:pStyle w:val="TableBody"/>
            </w:pPr>
            <w:r>
              <w:t>Refer to section</w:t>
            </w:r>
          </w:p>
          <w:p w14:paraId="098C4DE5" w14:textId="36438E2A" w:rsidR="000B0FB6" w:rsidRPr="000A5BE0" w:rsidRDefault="00810F4E" w:rsidP="001172B5">
            <w:pPr>
              <w:pStyle w:val="TableBody"/>
            </w:pPr>
            <w:hyperlink w:anchor="_Restricted_cell_interference" w:history="1">
              <w:r w:rsidR="008F1E35" w:rsidRPr="008D2CD1">
                <w:rPr>
                  <w:rStyle w:val="Hyperlink"/>
                </w:rPr>
                <w:t>R</w:t>
              </w:r>
              <w:r w:rsidR="000B0FB6" w:rsidRPr="008D2CD1">
                <w:rPr>
                  <w:rStyle w:val="Hyperlink"/>
                </w:rPr>
                <w:t>estricted cell interference management criteria</w:t>
              </w:r>
            </w:hyperlink>
          </w:p>
        </w:tc>
        <w:tc>
          <w:tcPr>
            <w:tcW w:w="368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669504EF" w14:textId="32C060B6" w:rsidR="000B0FB6" w:rsidRDefault="000B0FB6" w:rsidP="001172B5">
            <w:pPr>
              <w:pStyle w:val="TableBody"/>
            </w:pPr>
            <w:r>
              <w:t>Multiple operators could share access to the same frequency in an urban excise area (i.e.</w:t>
            </w:r>
            <w:r w:rsidR="00CF27B7">
              <w:t>,</w:t>
            </w:r>
            <w:r>
              <w:t xml:space="preserve"> an urban excise area could be subdivided in both frequency and area). To manage interference between different licensees, deployments would be limited to </w:t>
            </w:r>
            <w:r w:rsidR="000A4369">
              <w:t xml:space="preserve">a </w:t>
            </w:r>
            <w:r>
              <w:t>low EIRP and low outdoor antenna heights (i.e.</w:t>
            </w:r>
            <w:r w:rsidR="00CF27B7">
              <w:t>,</w:t>
            </w:r>
            <w:r>
              <w:t xml:space="preserve"> effectively small cell operation). </w:t>
            </w:r>
          </w:p>
          <w:p w14:paraId="7DEB2E3F" w14:textId="77777777" w:rsidR="000B0FB6" w:rsidRDefault="000B0FB6" w:rsidP="001172B5">
            <w:pPr>
              <w:pStyle w:val="TableBody"/>
            </w:pPr>
          </w:p>
          <w:p w14:paraId="425A1688" w14:textId="77777777" w:rsidR="000B0FB6" w:rsidRDefault="000B0FB6" w:rsidP="001172B5">
            <w:pPr>
              <w:pStyle w:val="TableBody"/>
            </w:pPr>
            <w:r>
              <w:t>Under this option spectrum could be made available sooner than in Option 1.</w:t>
            </w:r>
          </w:p>
        </w:tc>
      </w:tr>
    </w:tbl>
    <w:p w14:paraId="390FD161" w14:textId="6B7A164C" w:rsidR="007832E7" w:rsidRPr="00702EA1" w:rsidRDefault="00D27904" w:rsidP="000C4FBE">
      <w:pPr>
        <w:pStyle w:val="Heading3"/>
        <w:spacing w:before="360"/>
      </w:pPr>
      <w:bookmarkStart w:id="57" w:name="_Macro-cell_interference_management"/>
      <w:bookmarkStart w:id="58" w:name="_Toc76376842"/>
      <w:bookmarkStart w:id="59" w:name="_Toc80877076"/>
      <w:bookmarkEnd w:id="57"/>
      <w:r>
        <w:t>M</w:t>
      </w:r>
      <w:r w:rsidR="002C172E">
        <w:t>acro</w:t>
      </w:r>
      <w:r w:rsidR="00A33907">
        <w:t>-</w:t>
      </w:r>
      <w:r w:rsidR="002C172E">
        <w:t>cell i</w:t>
      </w:r>
      <w:r w:rsidR="007832E7">
        <w:t>nterference management criteria</w:t>
      </w:r>
      <w:bookmarkEnd w:id="58"/>
      <w:bookmarkEnd w:id="59"/>
    </w:p>
    <w:p w14:paraId="784C4872" w14:textId="30844010" w:rsidR="00E27711" w:rsidRPr="00C96DC9" w:rsidRDefault="00E27711" w:rsidP="008D2CD1">
      <w:pPr>
        <w:pStyle w:val="CommentText"/>
        <w:tabs>
          <w:tab w:val="left" w:pos="426"/>
        </w:tabs>
        <w:spacing w:before="60"/>
        <w:rPr>
          <w:rFonts w:cs="Arial"/>
          <w:b/>
          <w:bCs/>
          <w:color w:val="000000" w:themeColor="text1"/>
        </w:rPr>
      </w:pPr>
      <w:r>
        <w:rPr>
          <w:rFonts w:cs="Arial"/>
          <w:color w:val="000000" w:themeColor="text1"/>
        </w:rPr>
        <w:t xml:space="preserve">A summary of </w:t>
      </w:r>
      <w:r w:rsidR="00A33907">
        <w:rPr>
          <w:rFonts w:cs="Arial"/>
          <w:color w:val="000000" w:themeColor="text1"/>
        </w:rPr>
        <w:t xml:space="preserve">the </w:t>
      </w:r>
      <w:r w:rsidR="00C7667D">
        <w:rPr>
          <w:rFonts w:cs="Arial"/>
          <w:color w:val="000000" w:themeColor="text1"/>
        </w:rPr>
        <w:t>TLG</w:t>
      </w:r>
      <w:r w:rsidR="00A33907">
        <w:rPr>
          <w:rFonts w:cs="Arial"/>
          <w:color w:val="000000" w:themeColor="text1"/>
        </w:rPr>
        <w:t>’s</w:t>
      </w:r>
      <w:r w:rsidR="00C7667D">
        <w:rPr>
          <w:rFonts w:cs="Arial"/>
          <w:color w:val="000000" w:themeColor="text1"/>
        </w:rPr>
        <w:t xml:space="preserve"> </w:t>
      </w:r>
      <w:r>
        <w:rPr>
          <w:rFonts w:cs="Arial"/>
          <w:color w:val="000000" w:themeColor="text1"/>
        </w:rPr>
        <w:t>discussion on the development of interference management criteria for the macro</w:t>
      </w:r>
      <w:r w:rsidR="00A33907">
        <w:rPr>
          <w:rFonts w:cs="Arial"/>
          <w:color w:val="000000" w:themeColor="text1"/>
        </w:rPr>
        <w:t>-</w:t>
      </w:r>
      <w:r>
        <w:rPr>
          <w:rFonts w:cs="Arial"/>
          <w:color w:val="000000" w:themeColor="text1"/>
        </w:rPr>
        <w:t xml:space="preserve">cell scenario is provided at </w:t>
      </w:r>
      <w:hyperlink w:anchor="_Appendix_B:_Summary" w:history="1">
        <w:r w:rsidRPr="008D2CD1">
          <w:rPr>
            <w:rStyle w:val="Hyperlink"/>
          </w:rPr>
          <w:t>Appendix B</w:t>
        </w:r>
      </w:hyperlink>
      <w:r>
        <w:rPr>
          <w:rFonts w:cs="Arial"/>
          <w:color w:val="000000" w:themeColor="text1"/>
        </w:rPr>
        <w:t>. The criteria</w:t>
      </w:r>
      <w:r w:rsidR="00BF4D7D">
        <w:rPr>
          <w:rFonts w:cs="Arial"/>
          <w:color w:val="000000" w:themeColor="text1"/>
        </w:rPr>
        <w:t xml:space="preserve"> identified</w:t>
      </w:r>
      <w:r>
        <w:rPr>
          <w:rFonts w:cs="Arial"/>
          <w:color w:val="000000" w:themeColor="text1"/>
        </w:rPr>
        <w:t xml:space="preserve"> </w:t>
      </w:r>
      <w:r w:rsidR="006065EE">
        <w:rPr>
          <w:rFonts w:cs="Arial"/>
          <w:color w:val="000000" w:themeColor="text1"/>
        </w:rPr>
        <w:t xml:space="preserve">in discussions </w:t>
      </w:r>
      <w:r>
        <w:rPr>
          <w:rFonts w:cs="Arial"/>
          <w:color w:val="000000" w:themeColor="text1"/>
        </w:rPr>
        <w:t xml:space="preserve">are summarised </w:t>
      </w:r>
      <w:r w:rsidRPr="00C17A8A">
        <w:rPr>
          <w:rFonts w:cs="Arial"/>
          <w:color w:val="000000" w:themeColor="text1"/>
        </w:rPr>
        <w:t xml:space="preserve">in Table </w:t>
      </w:r>
      <w:r w:rsidR="0050657B">
        <w:rPr>
          <w:rFonts w:cs="Arial"/>
          <w:color w:val="000000" w:themeColor="text1"/>
        </w:rPr>
        <w:t>7</w:t>
      </w:r>
      <w:r w:rsidRPr="00C17A8A">
        <w:rPr>
          <w:rFonts w:cs="Arial"/>
          <w:color w:val="000000" w:themeColor="text1"/>
        </w:rPr>
        <w:t>.</w:t>
      </w:r>
      <w:r w:rsidR="0005364C">
        <w:rPr>
          <w:rFonts w:cs="Arial"/>
          <w:color w:val="000000" w:themeColor="text1"/>
        </w:rPr>
        <w:t xml:space="preserve"> </w:t>
      </w:r>
      <w:r w:rsidR="00853AE1">
        <w:rPr>
          <w:rFonts w:cs="Arial"/>
          <w:color w:val="000000" w:themeColor="text1"/>
        </w:rPr>
        <w:t>In addition, a</w:t>
      </w:r>
      <w:r w:rsidR="0005364C">
        <w:rPr>
          <w:rFonts w:cs="Arial"/>
          <w:color w:val="000000" w:themeColor="text1"/>
        </w:rPr>
        <w:t>s a general rule</w:t>
      </w:r>
      <w:r w:rsidR="00853AE1">
        <w:rPr>
          <w:rFonts w:cs="Arial"/>
          <w:color w:val="000000" w:themeColor="text1"/>
        </w:rPr>
        <w:t>,</w:t>
      </w:r>
      <w:r w:rsidR="0005364C">
        <w:rPr>
          <w:rFonts w:cs="Arial"/>
          <w:color w:val="000000" w:themeColor="text1"/>
        </w:rPr>
        <w:t xml:space="preserve"> </w:t>
      </w:r>
      <w:r w:rsidR="00707A62">
        <w:rPr>
          <w:rFonts w:cs="Arial"/>
          <w:color w:val="000000" w:themeColor="text1"/>
        </w:rPr>
        <w:t xml:space="preserve">it </w:t>
      </w:r>
      <w:r w:rsidR="00BF4D7D">
        <w:rPr>
          <w:rFonts w:cs="Arial"/>
          <w:color w:val="000000" w:themeColor="text1"/>
        </w:rPr>
        <w:t>is</w:t>
      </w:r>
      <w:r w:rsidR="00707A62">
        <w:rPr>
          <w:rFonts w:cs="Arial"/>
          <w:color w:val="000000" w:themeColor="text1"/>
        </w:rPr>
        <w:t xml:space="preserve"> intended that licensees are free to negotiate the implementation of alternative arrangements on a case-by-case basis. </w:t>
      </w:r>
    </w:p>
    <w:p w14:paraId="00ABB7AE" w14:textId="79CA3978" w:rsidR="00527ABB" w:rsidRDefault="00E27711" w:rsidP="007E3700">
      <w:pPr>
        <w:pStyle w:val="CommentText"/>
        <w:tabs>
          <w:tab w:val="left" w:pos="426"/>
        </w:tabs>
        <w:spacing w:before="120" w:after="60"/>
        <w:rPr>
          <w:rFonts w:cs="Arial"/>
          <w:color w:val="000000" w:themeColor="text1"/>
        </w:rPr>
      </w:pPr>
      <w:r>
        <w:rPr>
          <w:rFonts w:cs="Arial"/>
        </w:rPr>
        <w:t>It is noted that there was no agreement within the TLG on what interference management criteria should be applied</w:t>
      </w:r>
      <w:r w:rsidR="009B0893">
        <w:rPr>
          <w:rFonts w:cs="Arial"/>
        </w:rPr>
        <w:t xml:space="preserve"> </w:t>
      </w:r>
      <w:r w:rsidR="00A33907">
        <w:rPr>
          <w:rFonts w:cs="Arial"/>
        </w:rPr>
        <w:t>to manage some interference scenarios.</w:t>
      </w:r>
      <w:r>
        <w:rPr>
          <w:rFonts w:cs="Arial"/>
        </w:rPr>
        <w:t xml:space="preserve"> Where this is the case</w:t>
      </w:r>
      <w:r w:rsidR="00F61C8A">
        <w:rPr>
          <w:rFonts w:cs="Arial"/>
        </w:rPr>
        <w:t>,</w:t>
      </w:r>
      <w:r>
        <w:rPr>
          <w:rFonts w:cs="Arial"/>
        </w:rPr>
        <w:t xml:space="preserve"> possible options </w:t>
      </w:r>
      <w:r w:rsidR="00A33907">
        <w:rPr>
          <w:rFonts w:cs="Arial"/>
        </w:rPr>
        <w:t>were identifie</w:t>
      </w:r>
      <w:r w:rsidR="007E3700">
        <w:rPr>
          <w:rFonts w:cs="Arial"/>
        </w:rPr>
        <w:t>d</w:t>
      </w:r>
      <w:r>
        <w:rPr>
          <w:rFonts w:cs="Arial"/>
        </w:rPr>
        <w:t>.</w:t>
      </w:r>
      <w:r>
        <w:rPr>
          <w:rFonts w:cs="Arial"/>
          <w:color w:val="000000" w:themeColor="text1"/>
        </w:rPr>
        <w:t xml:space="preserve"> </w:t>
      </w:r>
      <w:r w:rsidR="007E3700">
        <w:rPr>
          <w:rFonts w:cs="Arial"/>
          <w:color w:val="000000" w:themeColor="text1"/>
        </w:rPr>
        <w:t>One of the k</w:t>
      </w:r>
      <w:r w:rsidR="00527ABB">
        <w:rPr>
          <w:rFonts w:cs="Arial"/>
          <w:color w:val="000000" w:themeColor="text1"/>
        </w:rPr>
        <w:t>ey issues where there was no agreement</w:t>
      </w:r>
      <w:r w:rsidR="007E3700">
        <w:rPr>
          <w:rFonts w:cs="Arial"/>
          <w:color w:val="000000" w:themeColor="text1"/>
        </w:rPr>
        <w:t>, was w</w:t>
      </w:r>
      <w:r w:rsidR="00527ABB">
        <w:rPr>
          <w:rFonts w:cs="Arial"/>
          <w:color w:val="000000" w:themeColor="text1"/>
        </w:rPr>
        <w:t xml:space="preserve">hether to include measures to protect </w:t>
      </w:r>
      <w:proofErr w:type="spellStart"/>
      <w:r w:rsidR="00527ABB">
        <w:rPr>
          <w:rFonts w:cs="Arial"/>
          <w:color w:val="000000" w:themeColor="text1"/>
        </w:rPr>
        <w:t>nbn</w:t>
      </w:r>
      <w:proofErr w:type="spellEnd"/>
      <w:r w:rsidR="00527ABB">
        <w:rPr>
          <w:rFonts w:cs="Arial"/>
          <w:color w:val="000000" w:themeColor="text1"/>
        </w:rPr>
        <w:t xml:space="preserve"> services from interference caused by ducting. </w:t>
      </w:r>
      <w:r w:rsidR="00BF4D7D">
        <w:rPr>
          <w:rFonts w:cs="Arial"/>
          <w:color w:val="000000" w:themeColor="text1"/>
        </w:rPr>
        <w:t xml:space="preserve">Refer to </w:t>
      </w:r>
      <w:hyperlink w:anchor="_Appendix_B:_Summary" w:history="1">
        <w:r w:rsidR="00BF4D7D" w:rsidRPr="008D2CD1">
          <w:rPr>
            <w:rStyle w:val="Hyperlink"/>
          </w:rPr>
          <w:t>Appendix B</w:t>
        </w:r>
      </w:hyperlink>
      <w:r w:rsidR="00BF4D7D">
        <w:rPr>
          <w:rFonts w:cs="Arial"/>
          <w:color w:val="000000" w:themeColor="text1"/>
        </w:rPr>
        <w:t xml:space="preserve"> for further details on how and why different options were developed.</w:t>
      </w:r>
    </w:p>
    <w:p w14:paraId="042ECEBF" w14:textId="0E5D634A" w:rsidR="00B43D5F" w:rsidRDefault="00B43D5F" w:rsidP="007E3700">
      <w:pPr>
        <w:pStyle w:val="CommentText"/>
        <w:tabs>
          <w:tab w:val="left" w:pos="426"/>
        </w:tabs>
        <w:spacing w:before="120" w:after="60"/>
        <w:rPr>
          <w:rFonts w:cs="Arial"/>
          <w:color w:val="000000" w:themeColor="text1"/>
        </w:rPr>
      </w:pPr>
      <w:r>
        <w:rPr>
          <w:rFonts w:cs="Arial"/>
        </w:rPr>
        <w:t>The term ‘</w:t>
      </w:r>
      <w:proofErr w:type="spellStart"/>
      <w:r>
        <w:rPr>
          <w:rFonts w:cs="Arial"/>
        </w:rPr>
        <w:t>nbn</w:t>
      </w:r>
      <w:proofErr w:type="spellEnd"/>
      <w:r>
        <w:rPr>
          <w:rFonts w:cs="Arial"/>
        </w:rPr>
        <w:t xml:space="preserve"> service areas’ is used in the criteria in </w:t>
      </w:r>
      <w:r w:rsidR="00F61C8A">
        <w:rPr>
          <w:rFonts w:cs="Arial"/>
        </w:rPr>
        <w:t>T</w:t>
      </w:r>
      <w:r>
        <w:rPr>
          <w:rFonts w:cs="Arial"/>
        </w:rPr>
        <w:t xml:space="preserve">able 7. This term, including </w:t>
      </w:r>
      <w:proofErr w:type="spellStart"/>
      <w:r>
        <w:rPr>
          <w:rFonts w:cs="Arial"/>
        </w:rPr>
        <w:t>kmls</w:t>
      </w:r>
      <w:proofErr w:type="spellEnd"/>
      <w:r>
        <w:rPr>
          <w:rFonts w:cs="Arial"/>
        </w:rPr>
        <w:t xml:space="preserve"> viewable in </w:t>
      </w:r>
      <w:r w:rsidR="00D27904">
        <w:rPr>
          <w:rFonts w:cs="Arial"/>
        </w:rPr>
        <w:t>Google Earth</w:t>
      </w:r>
      <w:r>
        <w:rPr>
          <w:rFonts w:cs="Arial"/>
        </w:rPr>
        <w:t>, is defined in Appendix D</w:t>
      </w:r>
      <w:r w:rsidR="00F61C8A">
        <w:rPr>
          <w:rFonts w:cs="Arial"/>
        </w:rPr>
        <w:t xml:space="preserve"> (found in key documents section of this consultation)</w:t>
      </w:r>
      <w:r>
        <w:rPr>
          <w:rFonts w:cs="Arial"/>
        </w:rPr>
        <w:t xml:space="preserve">. </w:t>
      </w:r>
    </w:p>
    <w:p w14:paraId="1D5A0DF0" w14:textId="77777777" w:rsidR="007E3700" w:rsidRPr="00527ABB" w:rsidRDefault="007E3700" w:rsidP="007E3700">
      <w:pPr>
        <w:pStyle w:val="CommentText"/>
        <w:tabs>
          <w:tab w:val="left" w:pos="426"/>
        </w:tabs>
        <w:spacing w:before="120" w:after="120"/>
        <w:ind w:left="360"/>
        <w:rPr>
          <w:rFonts w:cs="Arial"/>
          <w:color w:val="000000" w:themeColor="text1"/>
        </w:rPr>
      </w:pPr>
    </w:p>
    <w:p w14:paraId="557974EB" w14:textId="1000597B" w:rsidR="00EB0AE5" w:rsidRDefault="00E04689" w:rsidP="000A5BE0">
      <w:pPr>
        <w:pStyle w:val="Tableheading"/>
        <w:keepLines/>
      </w:pPr>
      <w:r>
        <w:lastRenderedPageBreak/>
        <w:t>Summary of macro-cell interference management criteria</w:t>
      </w:r>
    </w:p>
    <w:tbl>
      <w:tblPr>
        <w:tblStyle w:val="TableGrid"/>
        <w:tblW w:w="9209" w:type="dxa"/>
        <w:tblCellMar>
          <w:top w:w="85" w:type="dxa"/>
          <w:bottom w:w="85" w:type="dxa"/>
        </w:tblCellMar>
        <w:tblLook w:val="04A0" w:firstRow="1" w:lastRow="0" w:firstColumn="1" w:lastColumn="0" w:noHBand="0" w:noVBand="1"/>
      </w:tblPr>
      <w:tblGrid>
        <w:gridCol w:w="2972"/>
        <w:gridCol w:w="6237"/>
      </w:tblGrid>
      <w:tr w:rsidR="00D8773C" w:rsidRPr="00F61C8A" w14:paraId="7E4CC28D" w14:textId="77777777" w:rsidTr="008D2CD1">
        <w:trPr>
          <w:cantSplit/>
        </w:trPr>
        <w:tc>
          <w:tcPr>
            <w:tcW w:w="2972" w:type="dxa"/>
            <w:shd w:val="clear" w:color="auto" w:fill="404040" w:themeFill="text1" w:themeFillTint="BF"/>
          </w:tcPr>
          <w:p w14:paraId="1A006A69" w14:textId="77777777" w:rsidR="00D8773C" w:rsidRPr="008D2CD1" w:rsidRDefault="00D8773C" w:rsidP="008D2CD1">
            <w:pPr>
              <w:keepNext/>
              <w:keepLines/>
              <w:spacing w:after="0" w:line="240" w:lineRule="auto"/>
              <w:rPr>
                <w:rFonts w:cs="Arial"/>
                <w:b/>
                <w:bCs/>
                <w:color w:val="FFFFFF" w:themeColor="background1"/>
                <w:szCs w:val="20"/>
              </w:rPr>
            </w:pPr>
            <w:bookmarkStart w:id="60" w:name="_Hlk75265707"/>
            <w:r w:rsidRPr="008D2CD1">
              <w:rPr>
                <w:rFonts w:cs="Arial"/>
                <w:b/>
                <w:bCs/>
                <w:color w:val="FFFFFF" w:themeColor="background1"/>
                <w:szCs w:val="20"/>
              </w:rPr>
              <w:t>Item</w:t>
            </w:r>
          </w:p>
        </w:tc>
        <w:tc>
          <w:tcPr>
            <w:tcW w:w="6237" w:type="dxa"/>
            <w:shd w:val="clear" w:color="auto" w:fill="404040" w:themeFill="text1" w:themeFillTint="BF"/>
          </w:tcPr>
          <w:p w14:paraId="1CFF0418" w14:textId="4BA5E5DF" w:rsidR="00D8773C" w:rsidRPr="008D2CD1" w:rsidRDefault="00D43C4A" w:rsidP="008D2CD1">
            <w:pPr>
              <w:keepNext/>
              <w:keepLines/>
              <w:spacing w:after="0" w:line="240" w:lineRule="auto"/>
              <w:rPr>
                <w:rFonts w:cs="Arial"/>
                <w:b/>
                <w:bCs/>
                <w:color w:val="FFFFFF" w:themeColor="background1"/>
                <w:szCs w:val="20"/>
              </w:rPr>
            </w:pPr>
            <w:r w:rsidRPr="008D2CD1">
              <w:rPr>
                <w:rFonts w:cs="Arial"/>
                <w:b/>
                <w:bCs/>
                <w:color w:val="FFFFFF" w:themeColor="background1"/>
                <w:szCs w:val="20"/>
              </w:rPr>
              <w:t>I</w:t>
            </w:r>
            <w:r w:rsidR="008F1E35" w:rsidRPr="008D2CD1">
              <w:rPr>
                <w:rFonts w:cs="Arial"/>
                <w:b/>
                <w:bCs/>
                <w:color w:val="FFFFFF" w:themeColor="background1"/>
                <w:szCs w:val="20"/>
              </w:rPr>
              <w:t>nterference management criteria</w:t>
            </w:r>
          </w:p>
        </w:tc>
      </w:tr>
      <w:tr w:rsidR="00D8773C" w14:paraId="7FE5CBD7" w14:textId="77777777" w:rsidTr="008D2CD1">
        <w:trPr>
          <w:cantSplit/>
        </w:trPr>
        <w:tc>
          <w:tcPr>
            <w:tcW w:w="2972" w:type="dxa"/>
            <w:vMerge w:val="restart"/>
          </w:tcPr>
          <w:p w14:paraId="356C5F5A" w14:textId="313BBE57" w:rsidR="00D8773C" w:rsidRDefault="00D8773C" w:rsidP="008D2CD1">
            <w:pPr>
              <w:keepNext/>
              <w:keepLines/>
              <w:spacing w:after="0" w:line="240" w:lineRule="auto"/>
            </w:pPr>
            <w:r w:rsidRPr="00682C0D">
              <w:t>Synchronisation requirement</w:t>
            </w:r>
          </w:p>
          <w:p w14:paraId="5C01DEE1" w14:textId="77777777" w:rsidR="00F750D0" w:rsidRDefault="00F750D0" w:rsidP="008D2CD1">
            <w:pPr>
              <w:keepNext/>
              <w:keepLines/>
              <w:spacing w:after="0" w:line="240" w:lineRule="auto"/>
            </w:pPr>
          </w:p>
          <w:p w14:paraId="61D09BC3" w14:textId="53AD16CD" w:rsidR="00BF4D7D" w:rsidRPr="00682C0D" w:rsidRDefault="00BF4D7D" w:rsidP="008D2CD1">
            <w:pPr>
              <w:keepNext/>
              <w:keepLines/>
              <w:spacing w:after="0" w:line="240" w:lineRule="auto"/>
            </w:pPr>
            <w:r>
              <w:t xml:space="preserve">(Refer to BS-BS </w:t>
            </w:r>
            <w:r w:rsidR="00AD1C8C">
              <w:t xml:space="preserve">section in </w:t>
            </w:r>
            <w:hyperlink w:anchor="_Appendix_B:_Summary" w:history="1">
              <w:r w:rsidR="00AD1C8C" w:rsidRPr="00F61C8A">
                <w:rPr>
                  <w:rStyle w:val="Hyperlink"/>
                </w:rPr>
                <w:t>Appendix B</w:t>
              </w:r>
            </w:hyperlink>
            <w:r w:rsidR="00AD1C8C">
              <w:t xml:space="preserve"> for </w:t>
            </w:r>
            <w:r w:rsidR="00F750D0">
              <w:t xml:space="preserve">development </w:t>
            </w:r>
            <w:r w:rsidR="00F61C8A">
              <w:br/>
            </w:r>
            <w:r w:rsidR="00F750D0">
              <w:t>of</w:t>
            </w:r>
            <w:r w:rsidR="00AD1C8C">
              <w:t xml:space="preserve"> options)</w:t>
            </w:r>
          </w:p>
        </w:tc>
        <w:tc>
          <w:tcPr>
            <w:tcW w:w="6237" w:type="dxa"/>
          </w:tcPr>
          <w:p w14:paraId="1AF465BA" w14:textId="10CD51C7" w:rsidR="00D8773C" w:rsidRPr="001F07BD" w:rsidRDefault="00D8773C" w:rsidP="008D2CD1">
            <w:pPr>
              <w:pStyle w:val="TableBody"/>
              <w:keepNext/>
              <w:keepLines/>
              <w:rPr>
                <w:u w:val="single"/>
              </w:rPr>
            </w:pPr>
            <w:r w:rsidRPr="000A5BE0">
              <w:rPr>
                <w:u w:val="single"/>
              </w:rPr>
              <w:t>Option 1</w:t>
            </w:r>
          </w:p>
          <w:p w14:paraId="2CEF5AE7" w14:textId="24AD48D4" w:rsidR="00D8773C" w:rsidRPr="00D8773C" w:rsidRDefault="00D8773C" w:rsidP="008D2CD1">
            <w:pPr>
              <w:pStyle w:val="TableBody"/>
              <w:keepNext/>
              <w:keepLines/>
              <w:spacing w:before="60"/>
            </w:pPr>
            <w:bookmarkStart w:id="61" w:name="_Hlk77926785"/>
            <w:r w:rsidRPr="00D8773C">
              <w:t>Apply the same synchronisation requirement as detailed in clause 11 of Licence Schedule 4 on all 3.4 GHz spectrum licences</w:t>
            </w:r>
            <w:r w:rsidR="00F2190D">
              <w:t>.</w:t>
            </w:r>
          </w:p>
          <w:p w14:paraId="757F0A95" w14:textId="77777777" w:rsidR="00D8773C" w:rsidRPr="00D8773C" w:rsidRDefault="00D8773C" w:rsidP="008D2CD1">
            <w:pPr>
              <w:pStyle w:val="TableBody"/>
              <w:keepNext/>
              <w:keepLines/>
            </w:pPr>
          </w:p>
          <w:p w14:paraId="25C5FEF3" w14:textId="0A7C309C" w:rsidR="00D8773C" w:rsidRPr="00D8773C" w:rsidRDefault="00D8773C" w:rsidP="008D2CD1">
            <w:pPr>
              <w:pStyle w:val="TableBody"/>
              <w:keepNext/>
              <w:keepLines/>
              <w:spacing w:after="120"/>
            </w:pPr>
            <w:r w:rsidRPr="00D8773C">
              <w:t xml:space="preserve">In addition to this, </w:t>
            </w:r>
            <w:bookmarkStart w:id="62" w:name="_Hlk62044343"/>
            <w:r w:rsidR="001D734E" w:rsidRPr="00963123">
              <w:rPr>
                <w:rFonts w:cs="Arial"/>
                <w:szCs w:val="20"/>
              </w:rPr>
              <w:t>where interference is transient or temporary,</w:t>
            </w:r>
            <w:r w:rsidR="001D734E" w:rsidRPr="001D734E">
              <w:t xml:space="preserve"> </w:t>
            </w:r>
            <w:r w:rsidRPr="00D8773C">
              <w:t>for devices operating in the 3400</w:t>
            </w:r>
            <w:r w:rsidR="001F07BD">
              <w:t>–</w:t>
            </w:r>
            <w:r w:rsidRPr="00D8773C">
              <w:t xml:space="preserve">3475 MHz band, if: </w:t>
            </w:r>
          </w:p>
          <w:p w14:paraId="37D27DD4" w14:textId="59617DDB" w:rsidR="00D8773C" w:rsidRPr="00D8773C" w:rsidRDefault="00D8773C" w:rsidP="008D2CD1">
            <w:pPr>
              <w:pStyle w:val="Bulletlevel1"/>
            </w:pPr>
            <w:r w:rsidRPr="00D8773C">
              <w:t>interference is experienced between a device operating in an urban excise area and a device operating in an adjacent area</w:t>
            </w:r>
          </w:p>
          <w:p w14:paraId="213207C8" w14:textId="0C260DD8" w:rsidR="00D8773C" w:rsidRPr="00D8773C" w:rsidRDefault="00D8773C" w:rsidP="008D2CD1">
            <w:pPr>
              <w:pStyle w:val="Bulletlevel1"/>
            </w:pPr>
            <w:r w:rsidRPr="00D8773C">
              <w:t>there is no agreement on how to manage the interference</w:t>
            </w:r>
          </w:p>
          <w:p w14:paraId="0B07FCF0" w14:textId="14A78C71" w:rsidR="00D8773C" w:rsidRPr="00D8773C" w:rsidRDefault="00D8773C" w:rsidP="008D2CD1">
            <w:pPr>
              <w:pStyle w:val="Bulletlevel1last"/>
              <w:keepNext/>
              <w:keepLines/>
            </w:pPr>
            <w:r w:rsidRPr="00D8773C">
              <w:t>the interference is not adequately resolved by adopting the synchronisation requirement</w:t>
            </w:r>
          </w:p>
          <w:p w14:paraId="7B9D4A8A" w14:textId="3B66555C" w:rsidR="00207BC7" w:rsidRPr="00D8773C" w:rsidRDefault="001D734E" w:rsidP="008D2CD1">
            <w:pPr>
              <w:pStyle w:val="TableBody"/>
              <w:keepNext/>
              <w:keepLines/>
            </w:pPr>
            <w:r w:rsidRPr="00963123">
              <w:rPr>
                <w:rFonts w:cs="Arial"/>
                <w:szCs w:val="20"/>
              </w:rPr>
              <w:t>then a temporary adoption of special subframe configuration 5 must be implemented within [TBD timeframe] of the notification of the interference for the duration of the interference event. Normal operation can be restored as agreed between the licensees.</w:t>
            </w:r>
            <w:r>
              <w:rPr>
                <w:rFonts w:cs="Arial"/>
                <w:color w:val="51A7F9"/>
                <w:szCs w:val="20"/>
              </w:rPr>
              <w:t> </w:t>
            </w:r>
            <w:bookmarkEnd w:id="61"/>
            <w:r w:rsidR="00D8773C" w:rsidRPr="00D8773C">
              <w:t xml:space="preserve"> </w:t>
            </w:r>
            <w:bookmarkEnd w:id="62"/>
          </w:p>
          <w:p w14:paraId="4594FE1F" w14:textId="77777777" w:rsidR="00D8773C" w:rsidRPr="00D8773C" w:rsidRDefault="00D8773C" w:rsidP="008D2CD1">
            <w:pPr>
              <w:pStyle w:val="TableBody"/>
              <w:rPr>
                <w:rFonts w:cs="Arial"/>
                <w:szCs w:val="20"/>
              </w:rPr>
            </w:pPr>
            <w:r w:rsidRPr="00D8773C">
              <w:t xml:space="preserve"> </w:t>
            </w:r>
          </w:p>
        </w:tc>
      </w:tr>
      <w:tr w:rsidR="00D8773C" w14:paraId="5A1F299E" w14:textId="77777777" w:rsidTr="008D2CD1">
        <w:trPr>
          <w:cantSplit/>
        </w:trPr>
        <w:tc>
          <w:tcPr>
            <w:tcW w:w="2972" w:type="dxa"/>
            <w:vMerge/>
          </w:tcPr>
          <w:p w14:paraId="2DC9FC7B" w14:textId="77777777" w:rsidR="00D8773C" w:rsidRPr="00682C0D" w:rsidRDefault="00D8773C" w:rsidP="001172B5">
            <w:pPr>
              <w:spacing w:after="0" w:line="240" w:lineRule="auto"/>
            </w:pPr>
          </w:p>
        </w:tc>
        <w:tc>
          <w:tcPr>
            <w:tcW w:w="6237" w:type="dxa"/>
          </w:tcPr>
          <w:p w14:paraId="38E7BA73" w14:textId="77777777" w:rsidR="00D8773C" w:rsidRPr="00D8773C" w:rsidRDefault="00D8773C" w:rsidP="001172B5">
            <w:pPr>
              <w:pStyle w:val="TableBody"/>
              <w:rPr>
                <w:u w:val="single"/>
              </w:rPr>
            </w:pPr>
            <w:r w:rsidRPr="00D8773C">
              <w:rPr>
                <w:u w:val="single"/>
              </w:rPr>
              <w:t>Option 2</w:t>
            </w:r>
          </w:p>
          <w:p w14:paraId="2CE8975C" w14:textId="1AF99B9B" w:rsidR="00D8773C" w:rsidRPr="00D8773C" w:rsidRDefault="00D8773C" w:rsidP="008D2CD1">
            <w:pPr>
              <w:pStyle w:val="TableBody"/>
              <w:spacing w:before="60"/>
            </w:pPr>
            <w:r w:rsidRPr="00D8773C">
              <w:t>Apply the same synchronisation requirement as detailed in clause 11 of Licence Schedule 4 on all 3.4 GHz spectrum licences</w:t>
            </w:r>
            <w:r w:rsidR="00F2190D">
              <w:t>.</w:t>
            </w:r>
          </w:p>
          <w:p w14:paraId="72036622" w14:textId="77777777" w:rsidR="00D8773C" w:rsidRPr="00D8773C" w:rsidRDefault="00D8773C" w:rsidP="001172B5">
            <w:pPr>
              <w:pStyle w:val="TableBody"/>
            </w:pPr>
          </w:p>
          <w:p w14:paraId="5770E5D6" w14:textId="5FE57520" w:rsidR="00207BC7" w:rsidRPr="00D8773C" w:rsidRDefault="00775126" w:rsidP="000A5BE0">
            <w:pPr>
              <w:pStyle w:val="TableBody"/>
            </w:pPr>
            <w:bookmarkStart w:id="63" w:name="_Hlk62044132"/>
            <w:r>
              <w:t>Beyond this,</w:t>
            </w:r>
            <w:r w:rsidR="00243CCA">
              <w:t xml:space="preserve"> as is currently the case,</w:t>
            </w:r>
            <w:r>
              <w:t xml:space="preserve"> </w:t>
            </w:r>
            <w:r w:rsidR="001D57C2">
              <w:t>l</w:t>
            </w:r>
            <w:r w:rsidR="00D8773C" w:rsidRPr="00D8773C">
              <w:t xml:space="preserve">icensees </w:t>
            </w:r>
            <w:r w:rsidR="00243CCA">
              <w:t>can</w:t>
            </w:r>
            <w:r w:rsidR="00D8773C" w:rsidRPr="00D8773C">
              <w:t xml:space="preserve"> implement technical measures, where possible and as required, to manage interference due to ducting. This could include negotiating with adjacent area licensees.  </w:t>
            </w:r>
          </w:p>
          <w:bookmarkEnd w:id="63"/>
          <w:p w14:paraId="3D35F5B0" w14:textId="77777777" w:rsidR="00D8773C" w:rsidRPr="00D8773C" w:rsidRDefault="00D8773C" w:rsidP="008D2CD1">
            <w:pPr>
              <w:pStyle w:val="TableBody"/>
              <w:rPr>
                <w:rFonts w:cs="Arial"/>
                <w:szCs w:val="20"/>
              </w:rPr>
            </w:pPr>
          </w:p>
        </w:tc>
      </w:tr>
      <w:tr w:rsidR="00D8773C" w14:paraId="5C74924F" w14:textId="77777777" w:rsidTr="008D2CD1">
        <w:trPr>
          <w:cantSplit/>
        </w:trPr>
        <w:tc>
          <w:tcPr>
            <w:tcW w:w="2972" w:type="dxa"/>
            <w:shd w:val="clear" w:color="auto" w:fill="F2F2F2" w:themeFill="background1" w:themeFillShade="F2"/>
          </w:tcPr>
          <w:p w14:paraId="788C7394" w14:textId="5A146956" w:rsidR="00D8773C" w:rsidRPr="00682C0D" w:rsidRDefault="001D57C2" w:rsidP="001172B5">
            <w:pPr>
              <w:spacing w:after="0" w:line="240" w:lineRule="auto"/>
              <w:rPr>
                <w:rFonts w:cs="Arial"/>
                <w:szCs w:val="20"/>
              </w:rPr>
            </w:pPr>
            <w:r w:rsidRPr="001D57C2">
              <w:rPr>
                <w:rFonts w:cs="Arial"/>
                <w:szCs w:val="20"/>
              </w:rPr>
              <w:t xml:space="preserve">Application of the current </w:t>
            </w:r>
            <w:r w:rsidR="00207BC7">
              <w:rPr>
                <w:rFonts w:cs="Arial"/>
                <w:szCs w:val="20"/>
              </w:rPr>
              <w:br/>
            </w:r>
            <w:r w:rsidRPr="001D57C2">
              <w:rPr>
                <w:rFonts w:cs="Arial"/>
                <w:szCs w:val="20"/>
              </w:rPr>
              <w:t>3.4 GHz device boundary criteria (DBC)</w:t>
            </w:r>
          </w:p>
        </w:tc>
        <w:tc>
          <w:tcPr>
            <w:tcW w:w="6237" w:type="dxa"/>
            <w:shd w:val="clear" w:color="auto" w:fill="F2F2F2" w:themeFill="background1" w:themeFillShade="F2"/>
          </w:tcPr>
          <w:p w14:paraId="3F3AE529" w14:textId="00CB2A24" w:rsidR="00D8773C" w:rsidRPr="00D8773C" w:rsidRDefault="00D8773C" w:rsidP="008D2CD1">
            <w:pPr>
              <w:pStyle w:val="Bulletlevel1"/>
            </w:pPr>
            <w:r w:rsidRPr="00D8773C">
              <w:t xml:space="preserve">For devices deployed within urban excise areas in the </w:t>
            </w:r>
            <w:r w:rsidR="00207BC7">
              <w:br/>
            </w:r>
            <w:r w:rsidRPr="00D8773C">
              <w:t>3400</w:t>
            </w:r>
            <w:r w:rsidR="00207BC7">
              <w:t>–</w:t>
            </w:r>
            <w:r w:rsidRPr="00D8773C">
              <w:t>3475 MHz band</w:t>
            </w:r>
            <w:r w:rsidR="00207BC7">
              <w:t>,</w:t>
            </w:r>
            <w:r w:rsidRPr="00D8773C">
              <w:t xml:space="preserve"> the </w:t>
            </w:r>
            <w:r>
              <w:t xml:space="preserve">current </w:t>
            </w:r>
            <w:r w:rsidRPr="00D8773C">
              <w:t>DBC does not apply.</w:t>
            </w:r>
            <w:r w:rsidR="00EB3948">
              <w:t xml:space="preserve"> Alternative measures are defined below for new devices (both registered and unregistered). </w:t>
            </w:r>
          </w:p>
          <w:p w14:paraId="51761B0D" w14:textId="0D1C4E92" w:rsidR="00D8773C" w:rsidRPr="00D8773C" w:rsidRDefault="00D8773C" w:rsidP="008D2CD1">
            <w:pPr>
              <w:pStyle w:val="Bulletlevel1"/>
            </w:pPr>
            <w:r w:rsidRPr="00D8773C">
              <w:t>For devices deployed in the 3400</w:t>
            </w:r>
            <w:r w:rsidR="00207BC7">
              <w:t>–</w:t>
            </w:r>
            <w:r w:rsidRPr="00D8773C">
              <w:t>3475 MHz band outside urban excise areas</w:t>
            </w:r>
            <w:r w:rsidR="00207BC7">
              <w:t>,</w:t>
            </w:r>
            <w:r w:rsidRPr="00D8773C">
              <w:t xml:space="preserve"> the </w:t>
            </w:r>
            <w:r>
              <w:t xml:space="preserve">current </w:t>
            </w:r>
            <w:r w:rsidRPr="00D8773C">
              <w:t xml:space="preserve">DBC </w:t>
            </w:r>
            <w:r w:rsidR="00F2190D">
              <w:t xml:space="preserve">does not apply </w:t>
            </w:r>
            <w:r w:rsidRPr="00D8773C">
              <w:t xml:space="preserve">within urban excise areas. </w:t>
            </w:r>
            <w:r w:rsidR="00EB3948">
              <w:t>Alternative measures are defined below for new devices (both registered and unregistered).</w:t>
            </w:r>
          </w:p>
          <w:p w14:paraId="7237A9A8" w14:textId="11FEDFF4" w:rsidR="00D8773C" w:rsidRPr="00D8773C" w:rsidRDefault="00D8773C" w:rsidP="008D2CD1">
            <w:pPr>
              <w:pStyle w:val="Bulletlevel1last"/>
              <w:rPr>
                <w:szCs w:val="20"/>
              </w:rPr>
            </w:pPr>
            <w:r w:rsidRPr="00D8773C">
              <w:t xml:space="preserve">The </w:t>
            </w:r>
            <w:r w:rsidR="00F2190D">
              <w:t xml:space="preserve">current </w:t>
            </w:r>
            <w:r w:rsidRPr="00D8773C">
              <w:t>DBC continues to apply as usual for all other cases.</w:t>
            </w:r>
          </w:p>
        </w:tc>
      </w:tr>
      <w:tr w:rsidR="00D8773C" w14:paraId="34DF70AA" w14:textId="77777777" w:rsidTr="008D2CD1">
        <w:trPr>
          <w:cantSplit/>
        </w:trPr>
        <w:tc>
          <w:tcPr>
            <w:tcW w:w="2972" w:type="dxa"/>
            <w:vMerge w:val="restart"/>
          </w:tcPr>
          <w:p w14:paraId="340076AC" w14:textId="79E2595C" w:rsidR="00D8773C" w:rsidRDefault="00D8773C" w:rsidP="001172B5">
            <w:pPr>
              <w:spacing w:after="0" w:line="240" w:lineRule="auto"/>
              <w:rPr>
                <w:rFonts w:cs="Arial"/>
                <w:szCs w:val="20"/>
              </w:rPr>
            </w:pPr>
            <w:r w:rsidRPr="004253A7">
              <w:rPr>
                <w:rFonts w:cs="Arial"/>
                <w:szCs w:val="20"/>
              </w:rPr>
              <w:t xml:space="preserve">Registering new devices </w:t>
            </w:r>
            <w:r w:rsidRPr="008D2CD1">
              <w:rPr>
                <w:rFonts w:cs="Arial"/>
                <w:i/>
                <w:iCs/>
                <w:szCs w:val="20"/>
              </w:rPr>
              <w:t>inside</w:t>
            </w:r>
            <w:r w:rsidRPr="004253A7">
              <w:rPr>
                <w:rFonts w:cs="Arial"/>
                <w:szCs w:val="20"/>
              </w:rPr>
              <w:t xml:space="preserve"> urban excise areas within the 3400</w:t>
            </w:r>
            <w:r w:rsidR="00207BC7">
              <w:rPr>
                <w:rFonts w:cs="Arial"/>
                <w:szCs w:val="20"/>
              </w:rPr>
              <w:softHyphen/>
              <w:t>–</w:t>
            </w:r>
            <w:r w:rsidRPr="004253A7">
              <w:rPr>
                <w:rFonts w:cs="Arial"/>
                <w:szCs w:val="20"/>
              </w:rPr>
              <w:t>3475 MHz band</w:t>
            </w:r>
          </w:p>
          <w:p w14:paraId="249FFC8C" w14:textId="77777777" w:rsidR="00F750D0" w:rsidRDefault="00F750D0" w:rsidP="001172B5">
            <w:pPr>
              <w:spacing w:after="0" w:line="240" w:lineRule="auto"/>
              <w:rPr>
                <w:rFonts w:cs="Arial"/>
                <w:szCs w:val="20"/>
              </w:rPr>
            </w:pPr>
          </w:p>
          <w:p w14:paraId="7F1DB956" w14:textId="7C651025" w:rsidR="00F750D0" w:rsidRPr="004253A7" w:rsidRDefault="00F750D0" w:rsidP="001172B5">
            <w:pPr>
              <w:spacing w:after="0" w:line="240" w:lineRule="auto"/>
              <w:rPr>
                <w:rFonts w:cs="Arial"/>
                <w:szCs w:val="20"/>
              </w:rPr>
            </w:pPr>
            <w:r>
              <w:t>(Refer to BS-</w:t>
            </w:r>
            <w:r w:rsidR="00250582">
              <w:t>CPE</w:t>
            </w:r>
            <w:r>
              <w:t xml:space="preserve"> section in Appendix B for development </w:t>
            </w:r>
            <w:r w:rsidR="00207BC7">
              <w:br/>
            </w:r>
            <w:r>
              <w:t>of options)</w:t>
            </w:r>
          </w:p>
        </w:tc>
        <w:tc>
          <w:tcPr>
            <w:tcW w:w="6237" w:type="dxa"/>
          </w:tcPr>
          <w:p w14:paraId="325C13E0" w14:textId="77777777" w:rsidR="00D8773C" w:rsidRPr="00D8773C" w:rsidRDefault="00D8773C" w:rsidP="001172B5">
            <w:pPr>
              <w:pStyle w:val="TableBody"/>
              <w:spacing w:after="120"/>
              <w:rPr>
                <w:rFonts w:cs="Arial"/>
                <w:szCs w:val="20"/>
                <w:u w:val="single"/>
              </w:rPr>
            </w:pPr>
            <w:r w:rsidRPr="00D8773C">
              <w:rPr>
                <w:rFonts w:cs="Arial"/>
                <w:szCs w:val="20"/>
                <w:u w:val="single"/>
              </w:rPr>
              <w:t>Option 1</w:t>
            </w:r>
          </w:p>
          <w:p w14:paraId="403D56A8" w14:textId="2161FB53" w:rsidR="00E04689" w:rsidRDefault="00D8773C" w:rsidP="008D2CD1">
            <w:pPr>
              <w:pStyle w:val="Paragraphbeforelist"/>
            </w:pPr>
            <w:r w:rsidRPr="00D8773C">
              <w:t xml:space="preserve">For registered devices, </w:t>
            </w:r>
            <w:r w:rsidR="00EB3948">
              <w:t>the following measures apply:</w:t>
            </w:r>
            <w:r w:rsidR="00E04689">
              <w:t xml:space="preserve"> </w:t>
            </w:r>
          </w:p>
          <w:p w14:paraId="56667D3D" w14:textId="7B8B0C13" w:rsidR="00D8773C" w:rsidRPr="000C4FBE" w:rsidRDefault="00AC6E8D" w:rsidP="008D2CD1">
            <w:pPr>
              <w:pStyle w:val="Bulletlevel1"/>
            </w:pPr>
            <w:r>
              <w:t>E</w:t>
            </w:r>
            <w:r w:rsidR="00D8773C" w:rsidRPr="00D8773C">
              <w:t>nsuring the</w:t>
            </w:r>
            <w:r w:rsidR="00F2190D">
              <w:t xml:space="preserve"> power flux density</w:t>
            </w:r>
            <w:r w:rsidR="00D8773C" w:rsidRPr="00D8773C">
              <w:t xml:space="preserve"> (or alternatively field strength or received power level into a notional Rx) from a proposed BS inside an urban excise area does not exceed -99.9 </w:t>
            </w:r>
            <w:proofErr w:type="spellStart"/>
            <w:r w:rsidR="00D8773C" w:rsidRPr="00D8773C">
              <w:t>dBW</w:t>
            </w:r>
            <w:proofErr w:type="spellEnd"/>
            <w:r w:rsidR="00D8773C" w:rsidRPr="00D8773C">
              <w:t>/m</w:t>
            </w:r>
            <w:r w:rsidR="00D8773C" w:rsidRPr="00D8773C">
              <w:rPr>
                <w:vertAlign w:val="superscript"/>
              </w:rPr>
              <w:t>2</w:t>
            </w:r>
            <w:r w:rsidR="00D8773C" w:rsidRPr="00D8773C">
              <w:t xml:space="preserve">/MHz for non-AAS and -91.9 </w:t>
            </w:r>
            <w:proofErr w:type="spellStart"/>
            <w:r w:rsidR="00D8773C" w:rsidRPr="00D8773C">
              <w:t>dBW</w:t>
            </w:r>
            <w:proofErr w:type="spellEnd"/>
            <w:r w:rsidR="00D8773C" w:rsidRPr="00D8773C">
              <w:t>/m</w:t>
            </w:r>
            <w:r w:rsidR="00D8773C" w:rsidRPr="00D8773C">
              <w:rPr>
                <w:vertAlign w:val="superscript"/>
              </w:rPr>
              <w:t>2</w:t>
            </w:r>
            <w:r w:rsidR="00D8773C" w:rsidRPr="00D8773C">
              <w:t xml:space="preserve">/MHz at a height of 5 metres </w:t>
            </w:r>
            <w:r w:rsidR="00EB3948">
              <w:t xml:space="preserve">above ground level </w:t>
            </w:r>
            <w:r w:rsidR="00D8773C" w:rsidRPr="00D8773C">
              <w:t xml:space="preserve">within </w:t>
            </w:r>
            <w:proofErr w:type="spellStart"/>
            <w:r w:rsidR="00D8773C" w:rsidRPr="00D8773C">
              <w:t>nbn</w:t>
            </w:r>
            <w:proofErr w:type="spellEnd"/>
            <w:r w:rsidR="00D8773C" w:rsidRPr="00D8773C">
              <w:t xml:space="preserve"> service areas for </w:t>
            </w:r>
            <w:r>
              <w:br/>
            </w:r>
            <w:r w:rsidR="00D8773C" w:rsidRPr="00D8773C">
              <w:t>[TBD</w:t>
            </w:r>
            <w:bookmarkStart w:id="64" w:name="_Ref75250747"/>
            <w:r w:rsidR="00F2190D">
              <w:rPr>
                <w:rStyle w:val="FootnoteReference"/>
                <w:szCs w:val="20"/>
              </w:rPr>
              <w:footnoteReference w:id="4"/>
            </w:r>
            <w:bookmarkEnd w:id="64"/>
            <w:r w:rsidR="00D8773C" w:rsidRPr="00D8773C">
              <w:t xml:space="preserve">] % of locations. </w:t>
            </w:r>
            <w:r w:rsidR="00F2190D">
              <w:t xml:space="preserve">This criterion is to be met </w:t>
            </w:r>
            <w:r w:rsidR="00EB3948">
              <w:t xml:space="preserve">in </w:t>
            </w:r>
            <w:proofErr w:type="spellStart"/>
            <w:r w:rsidR="00EB3948">
              <w:t>nbn</w:t>
            </w:r>
            <w:proofErr w:type="spellEnd"/>
            <w:r w:rsidR="00EB3948">
              <w:t xml:space="preserve"> service areas that </w:t>
            </w:r>
            <w:r w:rsidR="00243CCA">
              <w:t xml:space="preserve">are </w:t>
            </w:r>
            <w:r w:rsidR="00F2190D">
              <w:t xml:space="preserve">within a </w:t>
            </w:r>
            <w:r w:rsidR="00D8773C" w:rsidRPr="00D8773C">
              <w:t xml:space="preserve">64 km </w:t>
            </w:r>
            <w:r w:rsidR="00F2190D">
              <w:t>radius of a</w:t>
            </w:r>
            <w:r w:rsidR="00D8773C" w:rsidRPr="00D8773C">
              <w:t xml:space="preserve"> proposed BS.</w:t>
            </w:r>
          </w:p>
        </w:tc>
      </w:tr>
      <w:tr w:rsidR="00D8773C" w14:paraId="68674B51" w14:textId="77777777" w:rsidTr="008D2CD1">
        <w:trPr>
          <w:cantSplit/>
        </w:trPr>
        <w:tc>
          <w:tcPr>
            <w:tcW w:w="2972" w:type="dxa"/>
            <w:vMerge/>
          </w:tcPr>
          <w:p w14:paraId="7AF20BFC" w14:textId="77777777" w:rsidR="00D8773C" w:rsidRPr="004253A7" w:rsidRDefault="00D8773C" w:rsidP="001172B5">
            <w:pPr>
              <w:spacing w:after="0" w:line="240" w:lineRule="auto"/>
              <w:rPr>
                <w:rFonts w:cs="Arial"/>
                <w:szCs w:val="20"/>
              </w:rPr>
            </w:pPr>
          </w:p>
        </w:tc>
        <w:tc>
          <w:tcPr>
            <w:tcW w:w="6237" w:type="dxa"/>
          </w:tcPr>
          <w:p w14:paraId="32C2C7C5" w14:textId="205B41D8" w:rsidR="00D8773C" w:rsidRPr="00D8773C" w:rsidRDefault="00D8773C" w:rsidP="001172B5">
            <w:pPr>
              <w:pStyle w:val="TableBody"/>
              <w:spacing w:after="120"/>
              <w:rPr>
                <w:rFonts w:cs="Arial"/>
                <w:szCs w:val="20"/>
                <w:u w:val="single"/>
              </w:rPr>
            </w:pPr>
            <w:r w:rsidRPr="00D8773C">
              <w:rPr>
                <w:rFonts w:cs="Arial"/>
                <w:szCs w:val="20"/>
                <w:u w:val="single"/>
              </w:rPr>
              <w:t>Option 2</w:t>
            </w:r>
          </w:p>
          <w:p w14:paraId="19E038CD" w14:textId="2D7CC7C6" w:rsidR="00E04689" w:rsidRDefault="00D8773C" w:rsidP="00E04689">
            <w:pPr>
              <w:pStyle w:val="TableBody"/>
              <w:spacing w:after="120"/>
              <w:rPr>
                <w:rFonts w:cs="Arial"/>
                <w:szCs w:val="20"/>
              </w:rPr>
            </w:pPr>
            <w:r w:rsidRPr="00D8773C">
              <w:rPr>
                <w:rFonts w:cs="Arial"/>
                <w:szCs w:val="20"/>
              </w:rPr>
              <w:t xml:space="preserve">For registered devices, </w:t>
            </w:r>
            <w:r w:rsidR="00EB3948">
              <w:rPr>
                <w:rFonts w:cs="Arial"/>
                <w:szCs w:val="20"/>
              </w:rPr>
              <w:t>the following measures apply:</w:t>
            </w:r>
          </w:p>
          <w:p w14:paraId="39E6DADE" w14:textId="74905F5B" w:rsidR="00D8773C" w:rsidRPr="00D8773C" w:rsidRDefault="00AC6E8D" w:rsidP="008D2CD1">
            <w:pPr>
              <w:pStyle w:val="Bulletlevel1"/>
              <w:rPr>
                <w:szCs w:val="20"/>
              </w:rPr>
            </w:pPr>
            <w:r>
              <w:t>E</w:t>
            </w:r>
            <w:r w:rsidR="00D8773C" w:rsidRPr="00D8773C">
              <w:t xml:space="preserve">nsuring a proposed BS inside an urban excise area </w:t>
            </w:r>
            <w:r w:rsidR="00250582">
              <w:t xml:space="preserve">satisfies a minimum </w:t>
            </w:r>
            <w:r w:rsidR="00E04689">
              <w:t>aggregate</w:t>
            </w:r>
            <w:r w:rsidR="00D8773C" w:rsidRPr="00D8773C">
              <w:t xml:space="preserve"> </w:t>
            </w:r>
            <w:r w:rsidR="001B7B20">
              <w:t>C/(N+I)</w:t>
            </w:r>
            <w:r w:rsidR="00D8773C" w:rsidRPr="00D8773C">
              <w:t xml:space="preserve"> of</w:t>
            </w:r>
            <w:r w:rsidR="00E04689">
              <w:t xml:space="preserve"> 13</w:t>
            </w:r>
            <w:r w:rsidR="00D8773C" w:rsidRPr="00D8773C">
              <w:t xml:space="preserve"> dB into a notional </w:t>
            </w:r>
            <w:r w:rsidR="00E04689">
              <w:t>CPE</w:t>
            </w:r>
            <w:r w:rsidR="00D8773C" w:rsidRPr="00D8773C">
              <w:t xml:space="preserve"> within </w:t>
            </w:r>
            <w:proofErr w:type="spellStart"/>
            <w:r w:rsidR="00E04689">
              <w:t>nbn</w:t>
            </w:r>
            <w:proofErr w:type="spellEnd"/>
            <w:r w:rsidR="00E04689">
              <w:t xml:space="preserve"> </w:t>
            </w:r>
            <w:r w:rsidR="00D8773C" w:rsidRPr="00D8773C">
              <w:t>service area</w:t>
            </w:r>
            <w:r w:rsidR="00E04689">
              <w:t xml:space="preserve">s for </w:t>
            </w:r>
            <w:r w:rsidR="00E04689" w:rsidRPr="00D8773C">
              <w:t>[TBD</w:t>
            </w:r>
            <w:r w:rsidR="00E04689" w:rsidRPr="00F2190D">
              <w:rPr>
                <w:vertAlign w:val="superscript"/>
              </w:rPr>
              <w:fldChar w:fldCharType="begin"/>
            </w:r>
            <w:r w:rsidR="00E04689" w:rsidRPr="00F2190D">
              <w:rPr>
                <w:vertAlign w:val="superscript"/>
              </w:rPr>
              <w:instrText xml:space="preserve"> NOTEREF _Ref75250747 \h </w:instrText>
            </w:r>
            <w:r w:rsidR="00E04689">
              <w:rPr>
                <w:vertAlign w:val="superscript"/>
              </w:rPr>
              <w:instrText xml:space="preserve"> \* MERGEFORMAT </w:instrText>
            </w:r>
            <w:r w:rsidR="00E04689" w:rsidRPr="00F2190D">
              <w:rPr>
                <w:vertAlign w:val="superscript"/>
              </w:rPr>
            </w:r>
            <w:r w:rsidR="00E04689" w:rsidRPr="00F2190D">
              <w:rPr>
                <w:vertAlign w:val="superscript"/>
              </w:rPr>
              <w:fldChar w:fldCharType="separate"/>
            </w:r>
            <w:r w:rsidR="00473234">
              <w:rPr>
                <w:vertAlign w:val="superscript"/>
              </w:rPr>
              <w:t>1</w:t>
            </w:r>
            <w:r w:rsidR="00E04689" w:rsidRPr="00F2190D">
              <w:rPr>
                <w:vertAlign w:val="superscript"/>
              </w:rPr>
              <w:fldChar w:fldCharType="end"/>
            </w:r>
            <w:r w:rsidR="00E04689" w:rsidRPr="00D8773C">
              <w:t>] % of locations</w:t>
            </w:r>
            <w:r w:rsidR="00D8773C" w:rsidRPr="00D8773C">
              <w:t xml:space="preserve">. </w:t>
            </w:r>
            <w:r w:rsidR="00EB3948">
              <w:t xml:space="preserve">This criterion is to be met in </w:t>
            </w:r>
            <w:proofErr w:type="spellStart"/>
            <w:r w:rsidR="00EB3948">
              <w:t>nbn</w:t>
            </w:r>
            <w:proofErr w:type="spellEnd"/>
            <w:r w:rsidR="00EB3948">
              <w:t xml:space="preserve"> service areas that within a </w:t>
            </w:r>
            <w:r w:rsidR="00EB3948" w:rsidRPr="00D8773C">
              <w:t xml:space="preserve">64 km </w:t>
            </w:r>
            <w:r w:rsidR="00EB3948">
              <w:t>radius of a</w:t>
            </w:r>
            <w:r w:rsidR="00EB3948" w:rsidRPr="00D8773C">
              <w:t xml:space="preserve"> proposed BS</w:t>
            </w:r>
            <w:r w:rsidR="00D8773C" w:rsidRPr="00D8773C">
              <w:t xml:space="preserve">. </w:t>
            </w:r>
          </w:p>
        </w:tc>
      </w:tr>
      <w:tr w:rsidR="00D8773C" w14:paraId="5058EAFD" w14:textId="77777777" w:rsidTr="008D2CD1">
        <w:trPr>
          <w:cantSplit/>
        </w:trPr>
        <w:tc>
          <w:tcPr>
            <w:tcW w:w="2972" w:type="dxa"/>
            <w:vMerge w:val="restart"/>
            <w:shd w:val="clear" w:color="auto" w:fill="F2F2F2" w:themeFill="background1" w:themeFillShade="F2"/>
          </w:tcPr>
          <w:p w14:paraId="71C94A4F" w14:textId="6023DBBF" w:rsidR="00D8773C" w:rsidRDefault="00D8773C" w:rsidP="001172B5">
            <w:pPr>
              <w:spacing w:after="0" w:line="240" w:lineRule="auto"/>
              <w:rPr>
                <w:rFonts w:cs="Arial"/>
                <w:szCs w:val="20"/>
              </w:rPr>
            </w:pPr>
            <w:r>
              <w:rPr>
                <w:rFonts w:cs="Arial"/>
                <w:szCs w:val="20"/>
              </w:rPr>
              <w:t>Registering</w:t>
            </w:r>
            <w:r w:rsidRPr="004253A7">
              <w:rPr>
                <w:rFonts w:cs="Arial"/>
                <w:szCs w:val="20"/>
              </w:rPr>
              <w:t xml:space="preserve"> new devices </w:t>
            </w:r>
            <w:r w:rsidRPr="008D2CD1">
              <w:rPr>
                <w:rFonts w:cs="Arial"/>
                <w:i/>
                <w:iCs/>
                <w:szCs w:val="20"/>
              </w:rPr>
              <w:t>outside</w:t>
            </w:r>
            <w:r w:rsidRPr="004253A7">
              <w:rPr>
                <w:rFonts w:cs="Arial"/>
                <w:szCs w:val="20"/>
              </w:rPr>
              <w:t xml:space="preserve"> urban excise areas</w:t>
            </w:r>
            <w:r w:rsidR="00AC6E8D">
              <w:rPr>
                <w:rFonts w:cs="Arial"/>
                <w:szCs w:val="20"/>
              </w:rPr>
              <w:t> </w:t>
            </w:r>
            <w:r w:rsidRPr="004253A7">
              <w:rPr>
                <w:rFonts w:cs="Arial"/>
                <w:szCs w:val="20"/>
              </w:rPr>
              <w:t xml:space="preserve">within the </w:t>
            </w:r>
            <w:r w:rsidR="00AC6E8D">
              <w:rPr>
                <w:rFonts w:cs="Arial"/>
                <w:szCs w:val="20"/>
              </w:rPr>
              <w:br/>
            </w:r>
            <w:r w:rsidRPr="004253A7">
              <w:rPr>
                <w:rFonts w:cs="Arial"/>
                <w:szCs w:val="20"/>
              </w:rPr>
              <w:t>3400</w:t>
            </w:r>
            <w:r w:rsidR="00AC6E8D">
              <w:rPr>
                <w:rFonts w:cs="Arial"/>
                <w:szCs w:val="20"/>
              </w:rPr>
              <w:t>–</w:t>
            </w:r>
            <w:r w:rsidRPr="004253A7">
              <w:rPr>
                <w:rFonts w:cs="Arial"/>
                <w:szCs w:val="20"/>
              </w:rPr>
              <w:t>3475 MHz band</w:t>
            </w:r>
          </w:p>
          <w:p w14:paraId="4A3EF7E8" w14:textId="77777777" w:rsidR="00F750D0" w:rsidRDefault="00F750D0" w:rsidP="001172B5">
            <w:pPr>
              <w:spacing w:after="0" w:line="240" w:lineRule="auto"/>
              <w:rPr>
                <w:rFonts w:cs="Arial"/>
                <w:szCs w:val="20"/>
              </w:rPr>
            </w:pPr>
          </w:p>
          <w:p w14:paraId="5DC14601" w14:textId="598F1D33" w:rsidR="00F750D0" w:rsidRPr="004253A7" w:rsidRDefault="00F750D0" w:rsidP="001172B5">
            <w:pPr>
              <w:spacing w:after="0" w:line="240" w:lineRule="auto"/>
              <w:rPr>
                <w:rFonts w:cs="Arial"/>
                <w:szCs w:val="20"/>
              </w:rPr>
            </w:pPr>
            <w:r>
              <w:t>(Refer to BS-</w:t>
            </w:r>
            <w:r w:rsidR="00250582">
              <w:t>MS</w:t>
            </w:r>
            <w:r>
              <w:t xml:space="preserve"> section in Appendix B for development </w:t>
            </w:r>
            <w:r w:rsidR="00AC6E8D">
              <w:br/>
            </w:r>
            <w:r>
              <w:t>of options)</w:t>
            </w:r>
          </w:p>
        </w:tc>
        <w:tc>
          <w:tcPr>
            <w:tcW w:w="6237" w:type="dxa"/>
            <w:shd w:val="clear" w:color="auto" w:fill="F2F2F2" w:themeFill="background1" w:themeFillShade="F2"/>
          </w:tcPr>
          <w:p w14:paraId="5AA77D90" w14:textId="5AB21856" w:rsidR="00D8773C" w:rsidRPr="00D8773C" w:rsidRDefault="00D8773C" w:rsidP="001172B5">
            <w:pPr>
              <w:pStyle w:val="TableBody"/>
              <w:rPr>
                <w:rFonts w:cs="Arial"/>
                <w:szCs w:val="20"/>
                <w:u w:val="single"/>
              </w:rPr>
            </w:pPr>
            <w:r w:rsidRPr="00D8773C">
              <w:rPr>
                <w:rFonts w:cs="Arial"/>
                <w:szCs w:val="20"/>
                <w:u w:val="single"/>
              </w:rPr>
              <w:t>Option 1</w:t>
            </w:r>
          </w:p>
          <w:p w14:paraId="1722427A" w14:textId="0EFDACD0" w:rsidR="001D57C2" w:rsidRDefault="001D57C2" w:rsidP="008D2CD1">
            <w:pPr>
              <w:spacing w:before="60" w:after="120"/>
            </w:pPr>
            <w:r w:rsidRPr="00CF45B7">
              <w:rPr>
                <w:rFonts w:cs="Arial"/>
                <w:szCs w:val="20"/>
              </w:rPr>
              <w:t xml:space="preserve">For registered devices, the following measures apply: </w:t>
            </w:r>
          </w:p>
          <w:p w14:paraId="2AD5434A" w14:textId="019B5932" w:rsidR="00D8773C" w:rsidRPr="00D8773C" w:rsidRDefault="00F2190D" w:rsidP="008D2CD1">
            <w:pPr>
              <w:pStyle w:val="Bulletlevel1"/>
            </w:pPr>
            <w:r>
              <w:t xml:space="preserve">Ensuring </w:t>
            </w:r>
            <w:r w:rsidR="00E04689">
              <w:t xml:space="preserve">a proposed </w:t>
            </w:r>
            <w:r w:rsidR="00D8773C" w:rsidRPr="00D8773C">
              <w:t xml:space="preserve">BS outside an urban excise area does not exceed -73.9 </w:t>
            </w:r>
            <w:proofErr w:type="spellStart"/>
            <w:r w:rsidR="00D8773C" w:rsidRPr="00D8773C">
              <w:t>dBW</w:t>
            </w:r>
            <w:proofErr w:type="spellEnd"/>
            <w:r w:rsidR="00D8773C" w:rsidRPr="00D8773C">
              <w:t>/m</w:t>
            </w:r>
            <w:r w:rsidR="00D8773C" w:rsidRPr="00D8773C">
              <w:rPr>
                <w:vertAlign w:val="superscript"/>
              </w:rPr>
              <w:t>2</w:t>
            </w:r>
            <w:r w:rsidR="00D8773C" w:rsidRPr="00D8773C">
              <w:t xml:space="preserve">/MHz for non-AAS and -65.9 </w:t>
            </w:r>
            <w:proofErr w:type="spellStart"/>
            <w:r w:rsidR="00D8773C" w:rsidRPr="00D8773C">
              <w:t>dBW</w:t>
            </w:r>
            <w:proofErr w:type="spellEnd"/>
            <w:r w:rsidR="00D8773C" w:rsidRPr="00D8773C">
              <w:t>/m</w:t>
            </w:r>
            <w:r w:rsidR="00D8773C" w:rsidRPr="00D8773C">
              <w:rPr>
                <w:vertAlign w:val="superscript"/>
              </w:rPr>
              <w:t>2</w:t>
            </w:r>
            <w:r w:rsidR="00D8773C" w:rsidRPr="00D8773C">
              <w:t xml:space="preserve">/MHz at a height of 1.5 metres </w:t>
            </w:r>
            <w:r w:rsidR="00EB3948">
              <w:t xml:space="preserve">above ground level </w:t>
            </w:r>
            <w:r w:rsidR="00D8773C" w:rsidRPr="00D8773C">
              <w:t xml:space="preserve">within urban excise </w:t>
            </w:r>
            <w:r w:rsidR="00D8773C" w:rsidRPr="0050657B">
              <w:t>service areas for [</w:t>
            </w:r>
            <w:r w:rsidR="005E34F9" w:rsidRPr="0050657B">
              <w:t>T</w:t>
            </w:r>
            <w:r w:rsidR="0050657B">
              <w:t>BD</w:t>
            </w:r>
            <w:r w:rsidR="005E34F9" w:rsidRPr="00F2190D">
              <w:rPr>
                <w:vertAlign w:val="superscript"/>
              </w:rPr>
              <w:fldChar w:fldCharType="begin"/>
            </w:r>
            <w:r w:rsidR="005E34F9" w:rsidRPr="00F2190D">
              <w:rPr>
                <w:vertAlign w:val="superscript"/>
              </w:rPr>
              <w:instrText xml:space="preserve"> NOTEREF _Ref75250747 \h </w:instrText>
            </w:r>
            <w:r w:rsidR="005E34F9">
              <w:rPr>
                <w:vertAlign w:val="superscript"/>
              </w:rPr>
              <w:instrText xml:space="preserve"> \* MERGEFORMAT </w:instrText>
            </w:r>
            <w:r w:rsidR="005E34F9" w:rsidRPr="00F2190D">
              <w:rPr>
                <w:vertAlign w:val="superscript"/>
              </w:rPr>
            </w:r>
            <w:r w:rsidR="005E34F9" w:rsidRPr="00F2190D">
              <w:rPr>
                <w:vertAlign w:val="superscript"/>
              </w:rPr>
              <w:fldChar w:fldCharType="separate"/>
            </w:r>
            <w:r w:rsidR="00473234">
              <w:rPr>
                <w:vertAlign w:val="superscript"/>
              </w:rPr>
              <w:t>1</w:t>
            </w:r>
            <w:r w:rsidR="005E34F9" w:rsidRPr="00F2190D">
              <w:rPr>
                <w:vertAlign w:val="superscript"/>
              </w:rPr>
              <w:fldChar w:fldCharType="end"/>
            </w:r>
            <w:r w:rsidR="00D8773C" w:rsidRPr="00D8773C">
              <w:t xml:space="preserve">] % of locations. </w:t>
            </w:r>
            <w:r w:rsidR="00EB3948" w:rsidRPr="00EB3948">
              <w:t xml:space="preserve">This criterion is to be met </w:t>
            </w:r>
            <w:r w:rsidR="001D57C2">
              <w:t>inside urban excise</w:t>
            </w:r>
            <w:r w:rsidR="00EB3948" w:rsidRPr="00EB3948">
              <w:t xml:space="preserve"> areas that</w:t>
            </w:r>
            <w:r w:rsidR="001D57C2">
              <w:t xml:space="preserve"> are</w:t>
            </w:r>
            <w:r w:rsidR="00EB3948" w:rsidRPr="00EB3948">
              <w:t xml:space="preserve"> within a 64 km radius of a proposed BS</w:t>
            </w:r>
            <w:r w:rsidR="00AC6E8D">
              <w:t>.</w:t>
            </w:r>
          </w:p>
          <w:p w14:paraId="52833C2F" w14:textId="77777777" w:rsidR="00D8773C" w:rsidRPr="00D8773C" w:rsidRDefault="00D8773C" w:rsidP="001172B5">
            <w:pPr>
              <w:pStyle w:val="ACMABodyText"/>
              <w:spacing w:before="0" w:after="0"/>
            </w:pPr>
          </w:p>
          <w:p w14:paraId="0FA8A9CC" w14:textId="77777777" w:rsidR="00D8773C" w:rsidRPr="00D8773C" w:rsidRDefault="00D8773C" w:rsidP="001172B5">
            <w:pPr>
              <w:pStyle w:val="TableBody"/>
              <w:rPr>
                <w:rFonts w:cs="Arial"/>
                <w:szCs w:val="20"/>
              </w:rPr>
            </w:pPr>
            <w:r w:rsidRPr="00D8773C">
              <w:rPr>
                <w:rFonts w:cs="Arial"/>
                <w:szCs w:val="20"/>
              </w:rPr>
              <w:t xml:space="preserve">Existing measures in the 3.4 GHz spectrum licence technical framework apply in all other cases. </w:t>
            </w:r>
          </w:p>
          <w:p w14:paraId="5486BEF7" w14:textId="77777777" w:rsidR="00D8773C" w:rsidRPr="00D8773C" w:rsidRDefault="00D8773C" w:rsidP="001172B5">
            <w:pPr>
              <w:pStyle w:val="ACMABodyText"/>
              <w:spacing w:before="0" w:after="0"/>
            </w:pPr>
          </w:p>
        </w:tc>
      </w:tr>
      <w:tr w:rsidR="00D8773C" w14:paraId="694830DE" w14:textId="77777777" w:rsidTr="008D2CD1">
        <w:trPr>
          <w:cantSplit/>
        </w:trPr>
        <w:tc>
          <w:tcPr>
            <w:tcW w:w="2972" w:type="dxa"/>
            <w:vMerge/>
            <w:shd w:val="clear" w:color="auto" w:fill="F2F2F2" w:themeFill="background1" w:themeFillShade="F2"/>
          </w:tcPr>
          <w:p w14:paraId="7E3BBCE7" w14:textId="77777777" w:rsidR="00D8773C" w:rsidRPr="004253A7" w:rsidRDefault="00D8773C" w:rsidP="001172B5">
            <w:pPr>
              <w:spacing w:after="0" w:line="240" w:lineRule="auto"/>
              <w:rPr>
                <w:rFonts w:cs="Arial"/>
                <w:szCs w:val="20"/>
              </w:rPr>
            </w:pPr>
          </w:p>
        </w:tc>
        <w:tc>
          <w:tcPr>
            <w:tcW w:w="6237" w:type="dxa"/>
            <w:shd w:val="clear" w:color="auto" w:fill="F2F2F2" w:themeFill="background1" w:themeFillShade="F2"/>
          </w:tcPr>
          <w:p w14:paraId="54CAF7AE" w14:textId="7D5C6EEF" w:rsidR="00D8773C" w:rsidRPr="00D8773C" w:rsidRDefault="00D8773C" w:rsidP="001172B5">
            <w:pPr>
              <w:pStyle w:val="TableBody"/>
              <w:rPr>
                <w:rFonts w:cs="Arial"/>
                <w:szCs w:val="20"/>
                <w:u w:val="single"/>
              </w:rPr>
            </w:pPr>
            <w:r w:rsidRPr="00D8773C">
              <w:rPr>
                <w:rFonts w:cs="Arial"/>
                <w:szCs w:val="20"/>
                <w:u w:val="single"/>
              </w:rPr>
              <w:t>Option 2</w:t>
            </w:r>
          </w:p>
          <w:p w14:paraId="098CC187" w14:textId="3D17C035" w:rsidR="00D8773C" w:rsidRPr="00D8773C" w:rsidRDefault="001D57C2" w:rsidP="008D2CD1">
            <w:pPr>
              <w:pStyle w:val="TableBody"/>
              <w:spacing w:before="60" w:after="120"/>
              <w:rPr>
                <w:rFonts w:cs="Arial"/>
                <w:szCs w:val="20"/>
              </w:rPr>
            </w:pPr>
            <w:r w:rsidRPr="001D57C2">
              <w:rPr>
                <w:rFonts w:cs="Arial"/>
                <w:szCs w:val="20"/>
              </w:rPr>
              <w:t>For registered devices, the following measures apply</w:t>
            </w:r>
            <w:r w:rsidR="00D8773C" w:rsidRPr="00D8773C">
              <w:rPr>
                <w:rFonts w:cs="Arial"/>
                <w:szCs w:val="20"/>
              </w:rPr>
              <w:t>:</w:t>
            </w:r>
          </w:p>
          <w:p w14:paraId="539A3397" w14:textId="12914771" w:rsidR="00D8773C" w:rsidRPr="00284222" w:rsidRDefault="00D8773C" w:rsidP="008D2CD1">
            <w:pPr>
              <w:pStyle w:val="Bulletlevel1"/>
            </w:pPr>
            <w:r w:rsidRPr="00D8773C">
              <w:t xml:space="preserve">Applying similar rules as within urban excise areas. But for </w:t>
            </w:r>
            <w:r w:rsidR="001B7B20">
              <w:t>C/(N+I)</w:t>
            </w:r>
            <w:r w:rsidRPr="00D8773C">
              <w:t xml:space="preserve"> criteria of [TBD</w:t>
            </w:r>
            <w:r w:rsidR="00284222" w:rsidRPr="00F2190D">
              <w:rPr>
                <w:vertAlign w:val="superscript"/>
              </w:rPr>
              <w:fldChar w:fldCharType="begin"/>
            </w:r>
            <w:r w:rsidR="00284222" w:rsidRPr="00F2190D">
              <w:rPr>
                <w:vertAlign w:val="superscript"/>
              </w:rPr>
              <w:instrText xml:space="preserve"> NOTEREF _Ref75250747 \h </w:instrText>
            </w:r>
            <w:r w:rsidR="00284222">
              <w:rPr>
                <w:vertAlign w:val="superscript"/>
              </w:rPr>
              <w:instrText xml:space="preserve"> \* MERGEFORMAT </w:instrText>
            </w:r>
            <w:r w:rsidR="00284222" w:rsidRPr="00F2190D">
              <w:rPr>
                <w:vertAlign w:val="superscript"/>
              </w:rPr>
            </w:r>
            <w:r w:rsidR="00284222" w:rsidRPr="00F2190D">
              <w:rPr>
                <w:vertAlign w:val="superscript"/>
              </w:rPr>
              <w:fldChar w:fldCharType="separate"/>
            </w:r>
            <w:r w:rsidR="00473234">
              <w:rPr>
                <w:vertAlign w:val="superscript"/>
              </w:rPr>
              <w:t>1</w:t>
            </w:r>
            <w:r w:rsidR="00284222" w:rsidRPr="00F2190D">
              <w:rPr>
                <w:vertAlign w:val="superscript"/>
              </w:rPr>
              <w:fldChar w:fldCharType="end"/>
            </w:r>
            <w:r w:rsidRPr="00D8773C">
              <w:t xml:space="preserve">] dBm into a notional </w:t>
            </w:r>
            <w:r w:rsidR="00284222">
              <w:t>MS</w:t>
            </w:r>
            <w:r w:rsidRPr="00D8773C">
              <w:t>.</w:t>
            </w:r>
          </w:p>
          <w:p w14:paraId="5DBA15EC" w14:textId="77777777" w:rsidR="00284222" w:rsidRPr="00D8773C" w:rsidRDefault="00284222" w:rsidP="00284222">
            <w:pPr>
              <w:pStyle w:val="TableBody"/>
              <w:rPr>
                <w:rFonts w:cs="Arial"/>
                <w:szCs w:val="20"/>
              </w:rPr>
            </w:pPr>
            <w:r w:rsidRPr="00D8773C">
              <w:rPr>
                <w:rFonts w:cs="Arial"/>
                <w:szCs w:val="20"/>
              </w:rPr>
              <w:t xml:space="preserve">Existing measures in the 3.4 GHz spectrum licence technical framework apply in all other cases. </w:t>
            </w:r>
          </w:p>
          <w:p w14:paraId="458DBAE8" w14:textId="5699568D" w:rsidR="00284222" w:rsidRPr="00D8773C" w:rsidRDefault="00284222" w:rsidP="001172B5">
            <w:pPr>
              <w:pStyle w:val="ACMABodyText"/>
              <w:spacing w:before="0" w:after="0"/>
            </w:pPr>
          </w:p>
        </w:tc>
      </w:tr>
      <w:tr w:rsidR="00D8773C" w14:paraId="7C7329E5" w14:textId="77777777" w:rsidTr="008D2CD1">
        <w:trPr>
          <w:cantSplit/>
        </w:trPr>
        <w:tc>
          <w:tcPr>
            <w:tcW w:w="2972" w:type="dxa"/>
            <w:vMerge w:val="restart"/>
          </w:tcPr>
          <w:p w14:paraId="4E49EEFC" w14:textId="5E18C2E7" w:rsidR="00D8773C" w:rsidRDefault="005E34F9" w:rsidP="001172B5">
            <w:pPr>
              <w:spacing w:after="0" w:line="240" w:lineRule="auto"/>
              <w:rPr>
                <w:rFonts w:cs="Arial"/>
                <w:szCs w:val="20"/>
              </w:rPr>
            </w:pPr>
            <w:bookmarkStart w:id="65" w:name="_Hlk77594049"/>
            <w:r>
              <w:rPr>
                <w:rFonts w:cs="Arial"/>
                <w:szCs w:val="20"/>
              </w:rPr>
              <w:t xml:space="preserve">Unregistered devices </w:t>
            </w:r>
            <w:r w:rsidR="00D8773C" w:rsidRPr="008D2CD1">
              <w:rPr>
                <w:rFonts w:cs="Arial"/>
                <w:i/>
                <w:iCs/>
                <w:szCs w:val="20"/>
              </w:rPr>
              <w:t>inside</w:t>
            </w:r>
            <w:r w:rsidR="00D8773C" w:rsidRPr="004253A7">
              <w:rPr>
                <w:rFonts w:cs="Arial"/>
                <w:szCs w:val="20"/>
              </w:rPr>
              <w:t xml:space="preserve"> urban excise areas within the 3400</w:t>
            </w:r>
            <w:r w:rsidR="00AC6E8D">
              <w:rPr>
                <w:rFonts w:cs="Arial"/>
                <w:szCs w:val="20"/>
              </w:rPr>
              <w:t>–</w:t>
            </w:r>
            <w:r w:rsidR="00D8773C" w:rsidRPr="004253A7">
              <w:rPr>
                <w:rFonts w:cs="Arial"/>
                <w:szCs w:val="20"/>
              </w:rPr>
              <w:t>3475 MHz band</w:t>
            </w:r>
          </w:p>
          <w:p w14:paraId="1F71A46C" w14:textId="77777777" w:rsidR="000B311E" w:rsidRDefault="000B311E" w:rsidP="001172B5">
            <w:pPr>
              <w:spacing w:after="0" w:line="240" w:lineRule="auto"/>
              <w:rPr>
                <w:rFonts w:cs="Arial"/>
                <w:szCs w:val="20"/>
              </w:rPr>
            </w:pPr>
          </w:p>
          <w:p w14:paraId="1187A5A5" w14:textId="5AB8D837" w:rsidR="000B311E" w:rsidRPr="004253A7" w:rsidRDefault="000B311E" w:rsidP="001172B5">
            <w:pPr>
              <w:spacing w:after="0" w:line="240" w:lineRule="auto"/>
              <w:rPr>
                <w:rFonts w:cs="Arial"/>
                <w:szCs w:val="20"/>
              </w:rPr>
            </w:pPr>
            <w:r>
              <w:t>(Refer to MS/CPE-BS section in Appendix B for development of options)</w:t>
            </w:r>
          </w:p>
        </w:tc>
        <w:tc>
          <w:tcPr>
            <w:tcW w:w="6237" w:type="dxa"/>
          </w:tcPr>
          <w:p w14:paraId="43B604E1" w14:textId="76FA1053" w:rsidR="005E34F9" w:rsidRPr="00D8773C" w:rsidRDefault="005E34F9" w:rsidP="005E34F9">
            <w:pPr>
              <w:pStyle w:val="TableBody"/>
              <w:rPr>
                <w:rFonts w:cs="Arial"/>
                <w:szCs w:val="20"/>
                <w:u w:val="single"/>
              </w:rPr>
            </w:pPr>
            <w:r w:rsidRPr="00D8773C">
              <w:rPr>
                <w:rFonts w:cs="Arial"/>
                <w:szCs w:val="20"/>
                <w:u w:val="single"/>
              </w:rPr>
              <w:t xml:space="preserve">Option </w:t>
            </w:r>
            <w:r>
              <w:rPr>
                <w:rFonts w:cs="Arial"/>
                <w:szCs w:val="20"/>
                <w:u w:val="single"/>
              </w:rPr>
              <w:t>1</w:t>
            </w:r>
          </w:p>
          <w:p w14:paraId="0E8E89E5" w14:textId="06100B93" w:rsidR="00AF64F5" w:rsidRDefault="00AF64F5" w:rsidP="008D2CD1">
            <w:pPr>
              <w:pStyle w:val="Paragraphbeforelist"/>
              <w:spacing w:before="60"/>
            </w:pPr>
            <w:r w:rsidRPr="00D8773C">
              <w:t>No change to existing requirements. These are:</w:t>
            </w:r>
          </w:p>
          <w:p w14:paraId="589ED73C" w14:textId="31865BBC" w:rsidR="00AF64F5" w:rsidRPr="00D8773C" w:rsidRDefault="00AF64F5" w:rsidP="008D2CD1">
            <w:pPr>
              <w:pStyle w:val="Bulletlevel1"/>
            </w:pPr>
            <w:r w:rsidRPr="00D8773C">
              <w:t xml:space="preserve">Operation is only authorised within a licensee’s spectrum space </w:t>
            </w:r>
            <w:r w:rsidR="00273A8A">
              <w:t>when</w:t>
            </w:r>
            <w:r w:rsidRPr="00D8773C">
              <w:t xml:space="preserve"> </w:t>
            </w:r>
            <w:r w:rsidR="000A5BE0">
              <w:t>a third</w:t>
            </w:r>
            <w:r w:rsidRPr="00D8773C">
              <w:t xml:space="preserve"> party </w:t>
            </w:r>
            <w:r w:rsidR="000A5BE0">
              <w:t xml:space="preserve">is </w:t>
            </w:r>
            <w:r w:rsidRPr="00D8773C">
              <w:t xml:space="preserve">authorised to do so by </w:t>
            </w:r>
            <w:r w:rsidR="00273A8A">
              <w:t>that</w:t>
            </w:r>
            <w:r w:rsidRPr="00D8773C">
              <w:t xml:space="preserve"> licensee. </w:t>
            </w:r>
          </w:p>
          <w:p w14:paraId="38D2722E" w14:textId="0A7A16F0" w:rsidR="00AF64F5" w:rsidRPr="008762A7" w:rsidRDefault="00AF64F5" w:rsidP="008D2CD1">
            <w:pPr>
              <w:pStyle w:val="Bulletlevel1last"/>
            </w:pPr>
            <w:r w:rsidRPr="00D8773C">
              <w:t>Devices exempt from registration operate on a ‘no interference and no protection’ basis.</w:t>
            </w:r>
          </w:p>
        </w:tc>
      </w:tr>
      <w:tr w:rsidR="00D8773C" w14:paraId="78BDF0AA" w14:textId="77777777" w:rsidTr="008D2CD1">
        <w:trPr>
          <w:cantSplit/>
        </w:trPr>
        <w:tc>
          <w:tcPr>
            <w:tcW w:w="2972" w:type="dxa"/>
            <w:vMerge/>
          </w:tcPr>
          <w:p w14:paraId="691B3890" w14:textId="77777777" w:rsidR="00D8773C" w:rsidRDefault="00D8773C" w:rsidP="001172B5">
            <w:pPr>
              <w:spacing w:after="0" w:line="240" w:lineRule="auto"/>
              <w:rPr>
                <w:rFonts w:cs="Arial"/>
                <w:szCs w:val="20"/>
              </w:rPr>
            </w:pPr>
          </w:p>
        </w:tc>
        <w:tc>
          <w:tcPr>
            <w:tcW w:w="6237" w:type="dxa"/>
          </w:tcPr>
          <w:p w14:paraId="09F0A647" w14:textId="08CEAE49" w:rsidR="00AF64F5" w:rsidRDefault="005E34F9" w:rsidP="004F1880">
            <w:pPr>
              <w:pStyle w:val="TableBody"/>
            </w:pPr>
            <w:r w:rsidRPr="00D8773C">
              <w:rPr>
                <w:rFonts w:cs="Arial"/>
                <w:szCs w:val="20"/>
                <w:u w:val="single"/>
              </w:rPr>
              <w:t xml:space="preserve">Option </w:t>
            </w:r>
            <w:r>
              <w:rPr>
                <w:rFonts w:cs="Arial"/>
                <w:szCs w:val="20"/>
                <w:u w:val="single"/>
              </w:rPr>
              <w:t>2</w:t>
            </w:r>
          </w:p>
          <w:p w14:paraId="702795D5" w14:textId="01223DCB" w:rsidR="00AF64F5" w:rsidRPr="00D8773C" w:rsidRDefault="00AF64F5" w:rsidP="008D2CD1">
            <w:pPr>
              <w:pStyle w:val="TableBody"/>
              <w:spacing w:before="60" w:after="120"/>
            </w:pPr>
            <w:r w:rsidRPr="00D8773C">
              <w:t xml:space="preserve">Existing requirements </w:t>
            </w:r>
            <w:r>
              <w:t xml:space="preserve">on spectrum licences </w:t>
            </w:r>
            <w:r w:rsidRPr="00D8773C">
              <w:t xml:space="preserve">apply to mobile devices. For fixed UEs (or a subset of defined fixed UEs) existing </w:t>
            </w:r>
            <w:r>
              <w:t>requirements</w:t>
            </w:r>
            <w:r w:rsidRPr="00D8773C">
              <w:t xml:space="preserve"> </w:t>
            </w:r>
            <w:r>
              <w:t xml:space="preserve">on spectrum licences </w:t>
            </w:r>
            <w:r w:rsidRPr="00D8773C">
              <w:t xml:space="preserve">apply </w:t>
            </w:r>
            <w:r w:rsidR="00273A8A">
              <w:t>with the exception that</w:t>
            </w:r>
            <w:r w:rsidRPr="00D8773C">
              <w:t>:</w:t>
            </w:r>
          </w:p>
          <w:p w14:paraId="39ABF461" w14:textId="7C00E9BA" w:rsidR="00AF64F5" w:rsidRPr="00D8773C" w:rsidRDefault="00AF64F5" w:rsidP="008D2CD1">
            <w:pPr>
              <w:pStyle w:val="Paragraphbeforelist"/>
            </w:pPr>
            <w:r w:rsidRPr="00D8773C">
              <w:t>Fixed UEs in the 3400</w:t>
            </w:r>
            <w:r w:rsidR="00AC6E8D">
              <w:t>–</w:t>
            </w:r>
            <w:r w:rsidRPr="00D8773C">
              <w:t xml:space="preserve">3475 MHz band and inside urban excise areas, are deemed </w:t>
            </w:r>
            <w:r w:rsidR="00A40B3D">
              <w:t xml:space="preserve">not </w:t>
            </w:r>
            <w:r w:rsidRPr="00D8773C">
              <w:t xml:space="preserve">to cause interference to adjacent area licences. </w:t>
            </w:r>
          </w:p>
          <w:p w14:paraId="19C6BFEF" w14:textId="1F292EAF" w:rsidR="00AF64F5" w:rsidRPr="00D8773C" w:rsidRDefault="00AF64F5" w:rsidP="005E34F9">
            <w:pPr>
              <w:pStyle w:val="TableBody"/>
              <w:ind w:left="360"/>
            </w:pPr>
          </w:p>
        </w:tc>
      </w:tr>
      <w:tr w:rsidR="00D8773C" w14:paraId="3B989EE0" w14:textId="77777777" w:rsidTr="008D2CD1">
        <w:trPr>
          <w:cantSplit/>
        </w:trPr>
        <w:tc>
          <w:tcPr>
            <w:tcW w:w="2972" w:type="dxa"/>
            <w:vMerge w:val="restart"/>
            <w:shd w:val="clear" w:color="auto" w:fill="F2F2F2" w:themeFill="background1" w:themeFillShade="F2"/>
          </w:tcPr>
          <w:p w14:paraId="1003D23A" w14:textId="4A138226" w:rsidR="00D8773C" w:rsidRDefault="005E34F9" w:rsidP="001172B5">
            <w:pPr>
              <w:spacing w:after="0" w:line="240" w:lineRule="auto"/>
              <w:rPr>
                <w:rFonts w:cs="Arial"/>
                <w:szCs w:val="20"/>
              </w:rPr>
            </w:pPr>
            <w:r>
              <w:rPr>
                <w:rFonts w:cs="Arial"/>
                <w:szCs w:val="20"/>
              </w:rPr>
              <w:lastRenderedPageBreak/>
              <w:t>Unregistered devices</w:t>
            </w:r>
            <w:r w:rsidR="00D8773C">
              <w:rPr>
                <w:rFonts w:cs="Arial"/>
                <w:szCs w:val="20"/>
              </w:rPr>
              <w:t xml:space="preserve"> </w:t>
            </w:r>
            <w:r w:rsidR="00D8773C" w:rsidRPr="008D2CD1">
              <w:rPr>
                <w:rFonts w:cs="Arial"/>
                <w:i/>
                <w:iCs/>
                <w:szCs w:val="20"/>
              </w:rPr>
              <w:t>outside</w:t>
            </w:r>
            <w:r w:rsidR="00D8773C">
              <w:rPr>
                <w:rFonts w:cs="Arial"/>
                <w:b/>
                <w:bCs/>
                <w:i/>
                <w:iCs/>
                <w:szCs w:val="20"/>
              </w:rPr>
              <w:t xml:space="preserve"> </w:t>
            </w:r>
            <w:r w:rsidR="00D8773C" w:rsidRPr="004253A7">
              <w:rPr>
                <w:rFonts w:cs="Arial"/>
                <w:szCs w:val="20"/>
              </w:rPr>
              <w:t>urban excise areas within the 3400</w:t>
            </w:r>
            <w:r w:rsidR="000A5BE0">
              <w:rPr>
                <w:rFonts w:cs="Arial"/>
                <w:szCs w:val="20"/>
              </w:rPr>
              <w:t>–</w:t>
            </w:r>
            <w:r w:rsidR="00D8773C" w:rsidRPr="004253A7">
              <w:rPr>
                <w:rFonts w:cs="Arial"/>
                <w:szCs w:val="20"/>
              </w:rPr>
              <w:t>3475 MHz band</w:t>
            </w:r>
          </w:p>
          <w:p w14:paraId="34D9BF3A" w14:textId="77777777" w:rsidR="00C12BF4" w:rsidRDefault="00C12BF4" w:rsidP="001172B5">
            <w:pPr>
              <w:spacing w:after="0" w:line="240" w:lineRule="auto"/>
              <w:rPr>
                <w:rFonts w:cs="Arial"/>
                <w:szCs w:val="20"/>
              </w:rPr>
            </w:pPr>
          </w:p>
          <w:p w14:paraId="29C6967B" w14:textId="52C691BC" w:rsidR="00C12BF4" w:rsidRPr="004253A7" w:rsidRDefault="00C12BF4" w:rsidP="001172B5">
            <w:pPr>
              <w:spacing w:after="0" w:line="240" w:lineRule="auto"/>
              <w:rPr>
                <w:rFonts w:cs="Arial"/>
                <w:szCs w:val="20"/>
              </w:rPr>
            </w:pPr>
            <w:r>
              <w:t>(Refer to MS/CPE-BS section in Appendix B for development of this approach)</w:t>
            </w:r>
          </w:p>
        </w:tc>
        <w:tc>
          <w:tcPr>
            <w:tcW w:w="6237" w:type="dxa"/>
            <w:shd w:val="clear" w:color="auto" w:fill="F2F2F2" w:themeFill="background1" w:themeFillShade="F2"/>
          </w:tcPr>
          <w:p w14:paraId="5627B6E6" w14:textId="6974D620" w:rsidR="00273A8A" w:rsidRPr="00D8773C" w:rsidRDefault="00273A8A" w:rsidP="00273A8A">
            <w:pPr>
              <w:pStyle w:val="TableBody"/>
              <w:rPr>
                <w:rFonts w:cs="Arial"/>
                <w:szCs w:val="20"/>
                <w:u w:val="single"/>
              </w:rPr>
            </w:pPr>
            <w:r w:rsidRPr="00D8773C">
              <w:rPr>
                <w:rFonts w:cs="Arial"/>
                <w:szCs w:val="20"/>
                <w:u w:val="single"/>
              </w:rPr>
              <w:t xml:space="preserve">Option </w:t>
            </w:r>
            <w:r>
              <w:rPr>
                <w:rFonts w:cs="Arial"/>
                <w:szCs w:val="20"/>
                <w:u w:val="single"/>
              </w:rPr>
              <w:t>1</w:t>
            </w:r>
          </w:p>
          <w:p w14:paraId="4CA08C3E" w14:textId="77777777" w:rsidR="00273A8A" w:rsidRPr="00D8773C" w:rsidRDefault="00273A8A" w:rsidP="008D2CD1">
            <w:pPr>
              <w:pStyle w:val="Paragraphbeforelist"/>
              <w:spacing w:before="60"/>
            </w:pPr>
            <w:r w:rsidRPr="00D8773C">
              <w:t>No change to existing requirements. These are:</w:t>
            </w:r>
          </w:p>
          <w:p w14:paraId="5F49D414" w14:textId="1871EC6F" w:rsidR="00273A8A" w:rsidRPr="00D8773C" w:rsidRDefault="00273A8A" w:rsidP="008D2CD1">
            <w:pPr>
              <w:pStyle w:val="Bulletlevel1"/>
            </w:pPr>
            <w:r w:rsidRPr="00D8773C">
              <w:t xml:space="preserve">Operation is only authorised within a licensee’s spectrum space </w:t>
            </w:r>
            <w:r>
              <w:t>when</w:t>
            </w:r>
            <w:r w:rsidRPr="00D8773C">
              <w:t xml:space="preserve"> </w:t>
            </w:r>
            <w:r w:rsidR="000A5BE0">
              <w:t>a third</w:t>
            </w:r>
            <w:r w:rsidRPr="00D8773C">
              <w:t xml:space="preserve"> party </w:t>
            </w:r>
            <w:r w:rsidR="000A5BE0">
              <w:t xml:space="preserve">is </w:t>
            </w:r>
            <w:r w:rsidRPr="00D8773C">
              <w:t xml:space="preserve">authorised to do so </w:t>
            </w:r>
            <w:r>
              <w:t>by that</w:t>
            </w:r>
            <w:r w:rsidRPr="00D8773C">
              <w:t xml:space="preserve"> license</w:t>
            </w:r>
            <w:r w:rsidR="000A5BE0">
              <w:t>e.</w:t>
            </w:r>
            <w:r w:rsidRPr="00D8773C">
              <w:t xml:space="preserve"> </w:t>
            </w:r>
          </w:p>
          <w:p w14:paraId="0E5DB294" w14:textId="65882295" w:rsidR="00D8773C" w:rsidRPr="00D8773C" w:rsidRDefault="00273A8A" w:rsidP="008D2CD1">
            <w:pPr>
              <w:pStyle w:val="Bulletlevel1last"/>
            </w:pPr>
            <w:r w:rsidRPr="00D8773C">
              <w:t>Devices exempt from registration operate on a ‘no interference and no protection’ basis.</w:t>
            </w:r>
          </w:p>
        </w:tc>
      </w:tr>
      <w:tr w:rsidR="00273A8A" w14:paraId="096569B9" w14:textId="77777777" w:rsidTr="008D2CD1">
        <w:trPr>
          <w:cantSplit/>
        </w:trPr>
        <w:tc>
          <w:tcPr>
            <w:tcW w:w="2972" w:type="dxa"/>
            <w:vMerge/>
            <w:shd w:val="clear" w:color="auto" w:fill="F2F2F2" w:themeFill="background1" w:themeFillShade="F2"/>
          </w:tcPr>
          <w:p w14:paraId="490CFF2C" w14:textId="77777777" w:rsidR="00273A8A" w:rsidRDefault="00273A8A" w:rsidP="001172B5">
            <w:pPr>
              <w:spacing w:after="0" w:line="240" w:lineRule="auto"/>
              <w:rPr>
                <w:rFonts w:cs="Arial"/>
                <w:szCs w:val="20"/>
              </w:rPr>
            </w:pPr>
          </w:p>
        </w:tc>
        <w:tc>
          <w:tcPr>
            <w:tcW w:w="6237" w:type="dxa"/>
            <w:shd w:val="clear" w:color="auto" w:fill="F2F2F2" w:themeFill="background1" w:themeFillShade="F2"/>
          </w:tcPr>
          <w:p w14:paraId="1A4113E6" w14:textId="32A39A2D" w:rsidR="00273A8A" w:rsidRPr="00963123" w:rsidRDefault="00273A8A" w:rsidP="00273A8A">
            <w:pPr>
              <w:pStyle w:val="TableBody"/>
              <w:spacing w:after="120"/>
              <w:rPr>
                <w:u w:val="single"/>
              </w:rPr>
            </w:pPr>
            <w:r w:rsidRPr="00963123">
              <w:rPr>
                <w:u w:val="single"/>
              </w:rPr>
              <w:t>Option 2</w:t>
            </w:r>
          </w:p>
          <w:p w14:paraId="40C50C2E" w14:textId="59A0F937" w:rsidR="00273A8A" w:rsidRPr="00D8773C" w:rsidRDefault="00273A8A" w:rsidP="00273A8A">
            <w:pPr>
              <w:pStyle w:val="TableBody"/>
              <w:spacing w:after="120"/>
            </w:pPr>
            <w:r w:rsidRPr="00D8773C">
              <w:t xml:space="preserve">Existing requirements apply with the </w:t>
            </w:r>
            <w:r>
              <w:t>exception that</w:t>
            </w:r>
            <w:r w:rsidRPr="00D8773C">
              <w:t>:</w:t>
            </w:r>
          </w:p>
          <w:p w14:paraId="12A61AF8" w14:textId="4A7AEA06" w:rsidR="00273A8A" w:rsidRPr="00D8773C" w:rsidRDefault="00273A8A" w:rsidP="008D2CD1">
            <w:pPr>
              <w:pStyle w:val="Bulletlevel1"/>
            </w:pPr>
            <w:r w:rsidRPr="00D8773C">
              <w:t xml:space="preserve">Fixed UEs associated with the provision of the NBN in the </w:t>
            </w:r>
            <w:r w:rsidR="000A5BE0">
              <w:br/>
            </w:r>
            <w:r w:rsidRPr="00D8773C">
              <w:t>3400</w:t>
            </w:r>
            <w:r w:rsidR="000A5BE0">
              <w:t>–</w:t>
            </w:r>
            <w:r w:rsidRPr="00D8773C">
              <w:t>3475 MHz band, are deemed</w:t>
            </w:r>
            <w:r w:rsidR="00A40B3D">
              <w:t xml:space="preserve"> not</w:t>
            </w:r>
            <w:r w:rsidRPr="00D8773C">
              <w:t xml:space="preserve"> to cause interference into urban excise areas. </w:t>
            </w:r>
          </w:p>
        </w:tc>
      </w:tr>
      <w:bookmarkEnd w:id="65"/>
      <w:tr w:rsidR="00D8773C" w14:paraId="392478F0" w14:textId="77777777" w:rsidTr="008D2CD1">
        <w:trPr>
          <w:cantSplit/>
        </w:trPr>
        <w:tc>
          <w:tcPr>
            <w:tcW w:w="2972" w:type="dxa"/>
          </w:tcPr>
          <w:p w14:paraId="6913B94F" w14:textId="6870C4B7" w:rsidR="00D8773C" w:rsidRPr="004253A7" w:rsidRDefault="00D8773C" w:rsidP="001172B5">
            <w:pPr>
              <w:spacing w:after="0" w:line="240" w:lineRule="auto"/>
              <w:rPr>
                <w:rFonts w:cs="Arial"/>
                <w:szCs w:val="20"/>
              </w:rPr>
            </w:pPr>
            <w:r>
              <w:rPr>
                <w:rFonts w:cs="Arial"/>
                <w:szCs w:val="20"/>
              </w:rPr>
              <w:t>D</w:t>
            </w:r>
            <w:r w:rsidRPr="004253A7">
              <w:rPr>
                <w:rFonts w:cs="Arial"/>
                <w:szCs w:val="20"/>
              </w:rPr>
              <w:t>evices</w:t>
            </w:r>
            <w:r>
              <w:rPr>
                <w:rFonts w:cs="Arial"/>
                <w:szCs w:val="20"/>
              </w:rPr>
              <w:t xml:space="preserve"> (both registered and </w:t>
            </w:r>
            <w:r w:rsidR="005E34F9">
              <w:rPr>
                <w:rFonts w:cs="Arial"/>
                <w:szCs w:val="20"/>
              </w:rPr>
              <w:t>un</w:t>
            </w:r>
            <w:r>
              <w:rPr>
                <w:rFonts w:cs="Arial"/>
                <w:szCs w:val="20"/>
              </w:rPr>
              <w:t>regist</w:t>
            </w:r>
            <w:r w:rsidR="005E34F9">
              <w:rPr>
                <w:rFonts w:cs="Arial"/>
                <w:szCs w:val="20"/>
              </w:rPr>
              <w:t>ered</w:t>
            </w:r>
            <w:r>
              <w:rPr>
                <w:rFonts w:cs="Arial"/>
                <w:szCs w:val="20"/>
              </w:rPr>
              <w:t>)</w:t>
            </w:r>
            <w:r w:rsidRPr="004253A7">
              <w:rPr>
                <w:rFonts w:cs="Arial"/>
                <w:szCs w:val="20"/>
              </w:rPr>
              <w:t xml:space="preserve"> in </w:t>
            </w:r>
            <w:r w:rsidR="005E34F9">
              <w:rPr>
                <w:rFonts w:cs="Arial"/>
                <w:szCs w:val="20"/>
              </w:rPr>
              <w:t xml:space="preserve">the </w:t>
            </w:r>
            <w:r w:rsidR="000A5BE0">
              <w:rPr>
                <w:rFonts w:cs="Arial"/>
                <w:szCs w:val="20"/>
              </w:rPr>
              <w:br/>
            </w:r>
            <w:r w:rsidRPr="004253A7">
              <w:rPr>
                <w:rFonts w:cs="Arial"/>
                <w:szCs w:val="20"/>
              </w:rPr>
              <w:t>3475</w:t>
            </w:r>
            <w:r w:rsidR="000A5BE0">
              <w:rPr>
                <w:rFonts w:cs="Arial"/>
                <w:szCs w:val="20"/>
              </w:rPr>
              <w:t>–</w:t>
            </w:r>
            <w:r w:rsidRPr="004253A7">
              <w:rPr>
                <w:rFonts w:cs="Arial"/>
                <w:szCs w:val="20"/>
              </w:rPr>
              <w:t>3700 MHz band</w:t>
            </w:r>
          </w:p>
        </w:tc>
        <w:tc>
          <w:tcPr>
            <w:tcW w:w="6237" w:type="dxa"/>
          </w:tcPr>
          <w:p w14:paraId="34B905E9" w14:textId="77777777" w:rsidR="00D8773C" w:rsidRPr="00D8773C" w:rsidRDefault="00D8773C" w:rsidP="001172B5">
            <w:pPr>
              <w:spacing w:after="0" w:line="240" w:lineRule="auto"/>
              <w:rPr>
                <w:rFonts w:cs="Arial"/>
                <w:szCs w:val="20"/>
              </w:rPr>
            </w:pPr>
            <w:r w:rsidRPr="00D8773C">
              <w:rPr>
                <w:rFonts w:cs="Arial"/>
                <w:szCs w:val="20"/>
              </w:rPr>
              <w:t xml:space="preserve">No change to existing requirements. </w:t>
            </w:r>
          </w:p>
        </w:tc>
      </w:tr>
      <w:tr w:rsidR="00D8773C" w14:paraId="7817D572" w14:textId="77777777" w:rsidTr="008D2CD1">
        <w:trPr>
          <w:cantSplit/>
        </w:trPr>
        <w:tc>
          <w:tcPr>
            <w:tcW w:w="2972" w:type="dxa"/>
            <w:vMerge w:val="restart"/>
            <w:shd w:val="clear" w:color="auto" w:fill="F2F2F2" w:themeFill="background1" w:themeFillShade="F2"/>
          </w:tcPr>
          <w:p w14:paraId="723D2A64" w14:textId="080CF60A" w:rsidR="00D8773C" w:rsidRDefault="00D8773C" w:rsidP="001172B5">
            <w:pPr>
              <w:spacing w:after="0" w:line="240" w:lineRule="auto"/>
              <w:rPr>
                <w:rFonts w:cs="Arial"/>
                <w:szCs w:val="20"/>
              </w:rPr>
            </w:pPr>
            <w:r w:rsidRPr="00F82A66">
              <w:rPr>
                <w:rFonts w:cs="Arial"/>
                <w:szCs w:val="20"/>
              </w:rPr>
              <w:t xml:space="preserve">Measures to enable </w:t>
            </w:r>
            <w:proofErr w:type="spellStart"/>
            <w:r w:rsidRPr="00F82A66">
              <w:rPr>
                <w:rFonts w:cs="Arial"/>
                <w:szCs w:val="20"/>
              </w:rPr>
              <w:t>nbn</w:t>
            </w:r>
            <w:proofErr w:type="spellEnd"/>
            <w:r w:rsidRPr="00F82A66">
              <w:rPr>
                <w:rFonts w:cs="Arial"/>
                <w:szCs w:val="20"/>
              </w:rPr>
              <w:t xml:space="preserve"> to deploy new more spectrally efficient technologies in the future</w:t>
            </w:r>
            <w:r>
              <w:rPr>
                <w:rFonts w:cs="Arial"/>
                <w:szCs w:val="20"/>
              </w:rPr>
              <w:t xml:space="preserve"> (e.g.</w:t>
            </w:r>
            <w:r w:rsidR="000A5BE0">
              <w:rPr>
                <w:rFonts w:cs="Arial"/>
                <w:szCs w:val="20"/>
              </w:rPr>
              <w:t>,</w:t>
            </w:r>
            <w:r>
              <w:rPr>
                <w:rFonts w:cs="Arial"/>
                <w:szCs w:val="20"/>
              </w:rPr>
              <w:t xml:space="preserve"> 5G, AAS)</w:t>
            </w:r>
          </w:p>
          <w:p w14:paraId="4BA7A85F" w14:textId="77777777" w:rsidR="000B311E" w:rsidRDefault="000B311E" w:rsidP="001172B5">
            <w:pPr>
              <w:spacing w:after="0" w:line="240" w:lineRule="auto"/>
              <w:rPr>
                <w:rFonts w:cs="Arial"/>
                <w:szCs w:val="20"/>
              </w:rPr>
            </w:pPr>
          </w:p>
          <w:p w14:paraId="474058FE" w14:textId="3F026390" w:rsidR="000B311E" w:rsidRPr="004253A7" w:rsidRDefault="000B311E" w:rsidP="001172B5">
            <w:pPr>
              <w:spacing w:after="0" w:line="240" w:lineRule="auto"/>
              <w:rPr>
                <w:rFonts w:cs="Arial"/>
                <w:szCs w:val="20"/>
              </w:rPr>
            </w:pPr>
          </w:p>
        </w:tc>
        <w:tc>
          <w:tcPr>
            <w:tcW w:w="6237" w:type="dxa"/>
            <w:shd w:val="clear" w:color="auto" w:fill="F2F2F2" w:themeFill="background1" w:themeFillShade="F2"/>
          </w:tcPr>
          <w:p w14:paraId="0AA2DEE5" w14:textId="493786D5" w:rsidR="00D8773C" w:rsidRPr="00D8773C" w:rsidRDefault="00D8773C" w:rsidP="001172B5">
            <w:pPr>
              <w:pStyle w:val="TableBody"/>
              <w:rPr>
                <w:rFonts w:cs="Arial"/>
                <w:szCs w:val="20"/>
                <w:u w:val="single"/>
              </w:rPr>
            </w:pPr>
            <w:r w:rsidRPr="00D8773C">
              <w:rPr>
                <w:rFonts w:cs="Arial"/>
                <w:szCs w:val="20"/>
                <w:u w:val="single"/>
              </w:rPr>
              <w:t>Option 1</w:t>
            </w:r>
          </w:p>
          <w:p w14:paraId="254DA9C5" w14:textId="723C77DC" w:rsidR="00D8773C" w:rsidRPr="00D8773C" w:rsidRDefault="00D8773C" w:rsidP="008D2CD1">
            <w:pPr>
              <w:spacing w:before="60" w:after="0" w:line="240" w:lineRule="auto"/>
              <w:rPr>
                <w:rFonts w:cs="Arial"/>
                <w:szCs w:val="20"/>
              </w:rPr>
            </w:pPr>
            <w:r w:rsidRPr="00D8773C">
              <w:rPr>
                <w:rFonts w:cs="Arial"/>
                <w:szCs w:val="20"/>
              </w:rPr>
              <w:t xml:space="preserve">Put a condition on all urban excise area licences in the </w:t>
            </w:r>
            <w:r w:rsidR="000A5BE0">
              <w:rPr>
                <w:rFonts w:cs="Arial"/>
                <w:szCs w:val="20"/>
              </w:rPr>
              <w:br/>
            </w:r>
            <w:r w:rsidRPr="00D8773C">
              <w:rPr>
                <w:rFonts w:cs="Arial"/>
                <w:szCs w:val="20"/>
              </w:rPr>
              <w:t>3400</w:t>
            </w:r>
            <w:r w:rsidR="000A5BE0">
              <w:rPr>
                <w:rFonts w:cs="Arial"/>
                <w:szCs w:val="20"/>
              </w:rPr>
              <w:t>–</w:t>
            </w:r>
            <w:r w:rsidRPr="00D8773C">
              <w:rPr>
                <w:rFonts w:cs="Arial"/>
                <w:szCs w:val="20"/>
              </w:rPr>
              <w:t xml:space="preserve">3475 MHz band </w:t>
            </w:r>
            <w:r w:rsidR="005063F5">
              <w:rPr>
                <w:rFonts w:cs="Arial"/>
                <w:szCs w:val="20"/>
              </w:rPr>
              <w:t>which</w:t>
            </w:r>
            <w:r w:rsidR="005063F5" w:rsidRPr="00D8773C">
              <w:rPr>
                <w:rFonts w:cs="Arial"/>
                <w:szCs w:val="20"/>
              </w:rPr>
              <w:t xml:space="preserve"> </w:t>
            </w:r>
            <w:r w:rsidRPr="00D8773C">
              <w:rPr>
                <w:rFonts w:cs="Arial"/>
                <w:szCs w:val="20"/>
              </w:rPr>
              <w:t>states th</w:t>
            </w:r>
            <w:r w:rsidR="005063F5">
              <w:rPr>
                <w:rFonts w:cs="Arial"/>
                <w:szCs w:val="20"/>
              </w:rPr>
              <w:t>at</w:t>
            </w:r>
            <w:r w:rsidRPr="00D8773C">
              <w:rPr>
                <w:rFonts w:cs="Arial"/>
                <w:szCs w:val="20"/>
              </w:rPr>
              <w:t xml:space="preserve"> licensees cannot claim protection from interference caused by base stations associated with the delivery of the </w:t>
            </w:r>
            <w:proofErr w:type="spellStart"/>
            <w:r w:rsidRPr="00D8773C">
              <w:rPr>
                <w:rFonts w:cs="Arial"/>
                <w:szCs w:val="20"/>
              </w:rPr>
              <w:t>nbn</w:t>
            </w:r>
            <w:proofErr w:type="spellEnd"/>
            <w:r w:rsidRPr="00D8773C">
              <w:rPr>
                <w:rFonts w:cs="Arial"/>
                <w:szCs w:val="20"/>
              </w:rPr>
              <w:t>.</w:t>
            </w:r>
          </w:p>
          <w:p w14:paraId="2F76B559" w14:textId="77777777" w:rsidR="00D8773C" w:rsidRPr="00D8773C" w:rsidRDefault="00D8773C" w:rsidP="001172B5">
            <w:pPr>
              <w:pStyle w:val="ACMABodyText"/>
              <w:spacing w:before="0" w:after="0"/>
              <w:rPr>
                <w:lang w:eastAsia="en-AU"/>
              </w:rPr>
            </w:pPr>
          </w:p>
        </w:tc>
      </w:tr>
      <w:tr w:rsidR="00D8773C" w14:paraId="1EB19885" w14:textId="77777777" w:rsidTr="008D2CD1">
        <w:trPr>
          <w:cantSplit/>
        </w:trPr>
        <w:tc>
          <w:tcPr>
            <w:tcW w:w="2972" w:type="dxa"/>
            <w:vMerge/>
            <w:shd w:val="clear" w:color="auto" w:fill="F2F2F2" w:themeFill="background1" w:themeFillShade="F2"/>
          </w:tcPr>
          <w:p w14:paraId="45646682" w14:textId="77777777" w:rsidR="00D8773C" w:rsidRPr="00F82A66" w:rsidRDefault="00D8773C" w:rsidP="001172B5">
            <w:pPr>
              <w:spacing w:after="0" w:line="240" w:lineRule="auto"/>
              <w:rPr>
                <w:rFonts w:cs="Arial"/>
                <w:szCs w:val="20"/>
              </w:rPr>
            </w:pPr>
          </w:p>
        </w:tc>
        <w:tc>
          <w:tcPr>
            <w:tcW w:w="6237" w:type="dxa"/>
            <w:shd w:val="clear" w:color="auto" w:fill="F2F2F2" w:themeFill="background1" w:themeFillShade="F2"/>
          </w:tcPr>
          <w:p w14:paraId="37BD58E0" w14:textId="14CF3500" w:rsidR="00D8773C" w:rsidRPr="00D8773C" w:rsidRDefault="00D8773C" w:rsidP="001172B5">
            <w:pPr>
              <w:pStyle w:val="TableBody"/>
              <w:rPr>
                <w:rFonts w:cs="Arial"/>
                <w:szCs w:val="20"/>
                <w:u w:val="single"/>
              </w:rPr>
            </w:pPr>
            <w:r w:rsidRPr="00D8773C">
              <w:rPr>
                <w:rFonts w:cs="Arial"/>
                <w:szCs w:val="20"/>
                <w:u w:val="single"/>
              </w:rPr>
              <w:t>Option 2</w:t>
            </w:r>
          </w:p>
          <w:p w14:paraId="7607666F" w14:textId="1C06BC9C" w:rsidR="00D8773C" w:rsidRPr="00D8773C" w:rsidRDefault="00D8773C" w:rsidP="008D2CD1">
            <w:pPr>
              <w:pStyle w:val="TableBody"/>
              <w:spacing w:before="60"/>
              <w:rPr>
                <w:rFonts w:cs="Arial"/>
                <w:color w:val="000000" w:themeColor="text1"/>
              </w:rPr>
            </w:pPr>
            <w:r w:rsidRPr="00D8773C">
              <w:rPr>
                <w:rFonts w:cs="Arial"/>
                <w:szCs w:val="20"/>
              </w:rPr>
              <w:t xml:space="preserve">Before urban excise areas are made available, </w:t>
            </w:r>
            <w:proofErr w:type="spellStart"/>
            <w:r w:rsidRPr="00D8773C">
              <w:rPr>
                <w:rFonts w:cs="Arial"/>
                <w:szCs w:val="20"/>
              </w:rPr>
              <w:t>nbn</w:t>
            </w:r>
            <w:proofErr w:type="spellEnd"/>
            <w:r w:rsidRPr="00D8773C">
              <w:rPr>
                <w:rFonts w:cs="Arial"/>
                <w:szCs w:val="20"/>
              </w:rPr>
              <w:t xml:space="preserve"> would c</w:t>
            </w:r>
            <w:r w:rsidRPr="00D8773C">
              <w:rPr>
                <w:rFonts w:cs="Arial"/>
                <w:color w:val="000000" w:themeColor="text1"/>
              </w:rPr>
              <w:t>oordinate and register devices at all new planned or likely</w:t>
            </w:r>
            <w:r w:rsidR="005E34F9">
              <w:rPr>
                <w:rFonts w:cs="Arial"/>
                <w:color w:val="000000" w:themeColor="text1"/>
              </w:rPr>
              <w:t xml:space="preserve"> new</w:t>
            </w:r>
            <w:r w:rsidRPr="00D8773C">
              <w:rPr>
                <w:rFonts w:cs="Arial"/>
                <w:color w:val="000000" w:themeColor="text1"/>
              </w:rPr>
              <w:t xml:space="preserve"> base station sites.</w:t>
            </w:r>
          </w:p>
          <w:p w14:paraId="14F1A118" w14:textId="77777777" w:rsidR="00D8773C" w:rsidRPr="00D8773C" w:rsidRDefault="00D8773C" w:rsidP="001172B5">
            <w:pPr>
              <w:pStyle w:val="TableBody"/>
              <w:rPr>
                <w:rFonts w:cs="Arial"/>
                <w:szCs w:val="20"/>
              </w:rPr>
            </w:pPr>
          </w:p>
          <w:p w14:paraId="14BDD76F" w14:textId="2F02A844" w:rsidR="00D8773C" w:rsidRPr="00D8773C" w:rsidRDefault="00D8773C" w:rsidP="001172B5">
            <w:pPr>
              <w:pStyle w:val="TableBody"/>
              <w:rPr>
                <w:rFonts w:cs="Arial"/>
                <w:szCs w:val="20"/>
              </w:rPr>
            </w:pPr>
            <w:r w:rsidRPr="00D8773C">
              <w:rPr>
                <w:rFonts w:cs="Arial"/>
                <w:szCs w:val="20"/>
              </w:rPr>
              <w:t xml:space="preserve">In addition, a condition </w:t>
            </w:r>
            <w:r w:rsidR="005E34F9">
              <w:rPr>
                <w:rFonts w:cs="Arial"/>
                <w:szCs w:val="20"/>
              </w:rPr>
              <w:t xml:space="preserve">would be added </w:t>
            </w:r>
            <w:r w:rsidRPr="00D8773C">
              <w:rPr>
                <w:rFonts w:cs="Arial"/>
                <w:szCs w:val="20"/>
              </w:rPr>
              <w:t xml:space="preserve">to </w:t>
            </w:r>
            <w:r w:rsidR="005E34F9">
              <w:rPr>
                <w:rFonts w:cs="Arial"/>
                <w:szCs w:val="20"/>
              </w:rPr>
              <w:t xml:space="preserve">the </w:t>
            </w:r>
            <w:r w:rsidRPr="00D8773C">
              <w:rPr>
                <w:rFonts w:cs="Arial"/>
                <w:szCs w:val="20"/>
              </w:rPr>
              <w:t xml:space="preserve">relevant licences or the s.145(4) </w:t>
            </w:r>
            <w:r w:rsidR="000A5BE0">
              <w:rPr>
                <w:rFonts w:cs="Arial"/>
                <w:szCs w:val="20"/>
              </w:rPr>
              <w:t>D</w:t>
            </w:r>
            <w:r w:rsidRPr="00D8773C">
              <w:rPr>
                <w:rFonts w:cs="Arial"/>
                <w:szCs w:val="20"/>
              </w:rPr>
              <w:t xml:space="preserve">etermination, that allows </w:t>
            </w:r>
            <w:proofErr w:type="spellStart"/>
            <w:r w:rsidRPr="00D8773C">
              <w:rPr>
                <w:rFonts w:cs="Arial"/>
                <w:szCs w:val="20"/>
              </w:rPr>
              <w:t>nbn</w:t>
            </w:r>
            <w:proofErr w:type="spellEnd"/>
            <w:r w:rsidRPr="00D8773C">
              <w:rPr>
                <w:rFonts w:cs="Arial"/>
                <w:szCs w:val="20"/>
              </w:rPr>
              <w:t xml:space="preserve"> to deploy higher gain antennas (to a defined point) and larger bandwidths at existing </w:t>
            </w:r>
            <w:proofErr w:type="spellStart"/>
            <w:r w:rsidRPr="00D8773C">
              <w:rPr>
                <w:rFonts w:cs="Arial"/>
                <w:szCs w:val="20"/>
              </w:rPr>
              <w:t>nbn</w:t>
            </w:r>
            <w:proofErr w:type="spellEnd"/>
            <w:r w:rsidRPr="00D8773C">
              <w:rPr>
                <w:rFonts w:cs="Arial"/>
                <w:szCs w:val="20"/>
              </w:rPr>
              <w:t xml:space="preserve"> BS sites without needing to re-coordinate with services inside urban excise areas. This condition would only apply to </w:t>
            </w:r>
            <w:proofErr w:type="spellStart"/>
            <w:r w:rsidRPr="00D8773C">
              <w:rPr>
                <w:rFonts w:cs="Arial"/>
                <w:szCs w:val="20"/>
              </w:rPr>
              <w:t>nbn</w:t>
            </w:r>
            <w:proofErr w:type="spellEnd"/>
            <w:r w:rsidRPr="00D8773C">
              <w:rPr>
                <w:rFonts w:cs="Arial"/>
                <w:szCs w:val="20"/>
              </w:rPr>
              <w:t xml:space="preserve"> BS in the 3400</w:t>
            </w:r>
            <w:r w:rsidR="000A5BE0">
              <w:rPr>
                <w:rFonts w:cs="Arial"/>
                <w:szCs w:val="20"/>
              </w:rPr>
              <w:t>–</w:t>
            </w:r>
            <w:r w:rsidRPr="00D8773C">
              <w:rPr>
                <w:rFonts w:cs="Arial"/>
                <w:szCs w:val="20"/>
              </w:rPr>
              <w:t xml:space="preserve">3475 MHz band </w:t>
            </w:r>
            <w:r w:rsidR="005E34F9">
              <w:rPr>
                <w:rFonts w:cs="Arial"/>
                <w:szCs w:val="20"/>
              </w:rPr>
              <w:t xml:space="preserve">and </w:t>
            </w:r>
            <w:r w:rsidRPr="00D8773C">
              <w:rPr>
                <w:rFonts w:cs="Arial"/>
                <w:szCs w:val="20"/>
              </w:rPr>
              <w:t xml:space="preserve">only when managing interference into urban excise areas. </w:t>
            </w:r>
            <w:r w:rsidRPr="00D8773C">
              <w:rPr>
                <w:rFonts w:cs="Arial"/>
                <w:color w:val="000000" w:themeColor="text1"/>
              </w:rPr>
              <w:t>Prospective urban excise licensees would</w:t>
            </w:r>
            <w:r w:rsidR="005E34F9">
              <w:rPr>
                <w:rFonts w:cs="Arial"/>
                <w:color w:val="000000" w:themeColor="text1"/>
              </w:rPr>
              <w:t xml:space="preserve"> need to</w:t>
            </w:r>
            <w:r w:rsidRPr="00D8773C">
              <w:rPr>
                <w:rFonts w:cs="Arial"/>
                <w:color w:val="000000" w:themeColor="text1"/>
              </w:rPr>
              <w:t xml:space="preserve"> be made aware of this before any licences are issued. This will ensure they can consider it when planning service deployments.</w:t>
            </w:r>
          </w:p>
          <w:p w14:paraId="21EAC01B" w14:textId="2B630321" w:rsidR="00D8773C" w:rsidRPr="00D8773C" w:rsidRDefault="00D8773C" w:rsidP="005E34F9">
            <w:pPr>
              <w:pStyle w:val="TableBody"/>
              <w:spacing w:before="120"/>
              <w:rPr>
                <w:rFonts w:cs="Arial"/>
                <w:szCs w:val="20"/>
              </w:rPr>
            </w:pPr>
            <w:r w:rsidRPr="00D8773C">
              <w:rPr>
                <w:rFonts w:cs="Arial"/>
                <w:color w:val="000000" w:themeColor="text1"/>
              </w:rPr>
              <w:t xml:space="preserve">Any new base stations deployed after this condition is put in place would be subject to </w:t>
            </w:r>
            <w:r w:rsidR="005E34F9">
              <w:rPr>
                <w:rFonts w:cs="Arial"/>
                <w:color w:val="000000" w:themeColor="text1"/>
              </w:rPr>
              <w:t xml:space="preserve">general </w:t>
            </w:r>
            <w:r w:rsidRPr="00D8773C">
              <w:rPr>
                <w:rFonts w:cs="Arial"/>
                <w:color w:val="000000" w:themeColor="text1"/>
              </w:rPr>
              <w:t>coordination rules</w:t>
            </w:r>
            <w:r w:rsidR="001D57C2">
              <w:rPr>
                <w:rFonts w:cs="Arial"/>
                <w:color w:val="000000" w:themeColor="text1"/>
              </w:rPr>
              <w:t xml:space="preserve"> (e</w:t>
            </w:r>
            <w:r w:rsidR="000A5BE0">
              <w:rPr>
                <w:rFonts w:cs="Arial"/>
                <w:color w:val="000000" w:themeColor="text1"/>
              </w:rPr>
              <w:t>.</w:t>
            </w:r>
            <w:r w:rsidR="001D57C2">
              <w:rPr>
                <w:rFonts w:cs="Arial"/>
                <w:color w:val="000000" w:themeColor="text1"/>
              </w:rPr>
              <w:t>g</w:t>
            </w:r>
            <w:r w:rsidR="000A5BE0">
              <w:rPr>
                <w:rFonts w:cs="Arial"/>
                <w:color w:val="000000" w:themeColor="text1"/>
              </w:rPr>
              <w:t>.,</w:t>
            </w:r>
            <w:r w:rsidR="001D57C2">
              <w:rPr>
                <w:rFonts w:cs="Arial"/>
                <w:color w:val="000000" w:themeColor="text1"/>
              </w:rPr>
              <w:t xml:space="preserve"> </w:t>
            </w:r>
            <w:r w:rsidR="001D57C2">
              <w:t>the PFD or C(I+N) coordination described above)</w:t>
            </w:r>
            <w:r w:rsidRPr="00D8773C">
              <w:rPr>
                <w:rFonts w:cs="Arial"/>
                <w:color w:val="000000" w:themeColor="text1"/>
              </w:rPr>
              <w:t xml:space="preserve">. </w:t>
            </w:r>
          </w:p>
          <w:p w14:paraId="45D886A1" w14:textId="77777777" w:rsidR="00D8773C" w:rsidRPr="00D8773C" w:rsidRDefault="00D8773C" w:rsidP="001172B5">
            <w:pPr>
              <w:pStyle w:val="TableBody"/>
              <w:rPr>
                <w:rFonts w:cs="Arial"/>
                <w:szCs w:val="20"/>
              </w:rPr>
            </w:pPr>
          </w:p>
        </w:tc>
      </w:tr>
      <w:tr w:rsidR="00D8773C" w14:paraId="50443562" w14:textId="77777777" w:rsidTr="008D2CD1">
        <w:trPr>
          <w:cantSplit/>
        </w:trPr>
        <w:tc>
          <w:tcPr>
            <w:tcW w:w="2972" w:type="dxa"/>
            <w:vMerge w:val="restart"/>
            <w:shd w:val="clear" w:color="auto" w:fill="FFFFFF" w:themeFill="background1"/>
          </w:tcPr>
          <w:p w14:paraId="2B9D3DD1" w14:textId="77777777" w:rsidR="00D8773C" w:rsidRDefault="00D8773C" w:rsidP="008D2CD1">
            <w:pPr>
              <w:keepNext/>
              <w:keepLines/>
              <w:spacing w:after="0" w:line="240" w:lineRule="auto"/>
              <w:rPr>
                <w:rFonts w:cs="Arial"/>
                <w:szCs w:val="20"/>
              </w:rPr>
            </w:pPr>
            <w:r w:rsidRPr="00F82A66">
              <w:rPr>
                <w:rFonts w:cs="Arial"/>
                <w:szCs w:val="20"/>
              </w:rPr>
              <w:lastRenderedPageBreak/>
              <w:t>Managing interference between 4G and 5G systems</w:t>
            </w:r>
          </w:p>
          <w:p w14:paraId="5CF978B2" w14:textId="77777777" w:rsidR="000B311E" w:rsidRDefault="000B311E" w:rsidP="008D2CD1">
            <w:pPr>
              <w:keepNext/>
              <w:keepLines/>
              <w:spacing w:after="0" w:line="240" w:lineRule="auto"/>
              <w:rPr>
                <w:rFonts w:cs="Arial"/>
                <w:szCs w:val="20"/>
              </w:rPr>
            </w:pPr>
          </w:p>
          <w:p w14:paraId="1E34EB7A" w14:textId="2C33358C" w:rsidR="000B311E" w:rsidRPr="00F82A66" w:rsidRDefault="000B311E" w:rsidP="008D2CD1">
            <w:pPr>
              <w:keepNext/>
              <w:keepLines/>
              <w:spacing w:after="0" w:line="240" w:lineRule="auto"/>
              <w:rPr>
                <w:rFonts w:cs="Arial"/>
                <w:szCs w:val="20"/>
              </w:rPr>
            </w:pPr>
            <w:r>
              <w:t xml:space="preserve">(Refer to </w:t>
            </w:r>
            <w:r w:rsidR="000A5BE0">
              <w:t>‘</w:t>
            </w:r>
            <w:r w:rsidRPr="008D2CD1">
              <w:t>Adjacent channel 4G and 5G systems</w:t>
            </w:r>
            <w:r w:rsidR="000A5BE0">
              <w:t>’</w:t>
            </w:r>
            <w:r>
              <w:t xml:space="preserve"> section in </w:t>
            </w:r>
            <w:hyperlink w:anchor="_Appendix_B:_Summary" w:history="1">
              <w:r w:rsidRPr="000A5BE0">
                <w:rPr>
                  <w:rStyle w:val="Hyperlink"/>
                </w:rPr>
                <w:t>Appendix B</w:t>
              </w:r>
            </w:hyperlink>
            <w:r>
              <w:t xml:space="preserve"> for development of options)</w:t>
            </w:r>
          </w:p>
        </w:tc>
        <w:tc>
          <w:tcPr>
            <w:tcW w:w="6237" w:type="dxa"/>
            <w:shd w:val="clear" w:color="auto" w:fill="FFFFFF" w:themeFill="background1"/>
          </w:tcPr>
          <w:p w14:paraId="6F3A73E5" w14:textId="13FE1072" w:rsidR="00D8773C" w:rsidRPr="00D8773C" w:rsidRDefault="00D8773C" w:rsidP="008D2CD1">
            <w:pPr>
              <w:pStyle w:val="TableBody"/>
              <w:keepNext/>
              <w:keepLines/>
              <w:rPr>
                <w:rFonts w:cs="Arial"/>
                <w:szCs w:val="20"/>
                <w:u w:val="single"/>
              </w:rPr>
            </w:pPr>
            <w:r w:rsidRPr="00D8773C">
              <w:rPr>
                <w:rFonts w:cs="Arial"/>
                <w:szCs w:val="20"/>
                <w:u w:val="single"/>
              </w:rPr>
              <w:t>Option 1</w:t>
            </w:r>
          </w:p>
          <w:p w14:paraId="307D0A75" w14:textId="6BD3F057" w:rsidR="00D8773C" w:rsidRPr="00D8773C" w:rsidRDefault="00D8773C" w:rsidP="008D2CD1">
            <w:pPr>
              <w:pStyle w:val="TableBody"/>
              <w:keepNext/>
              <w:keepLines/>
              <w:spacing w:before="60"/>
              <w:rPr>
                <w:rFonts w:cs="Arial"/>
                <w:lang w:eastAsia="en-US"/>
              </w:rPr>
            </w:pPr>
            <w:r w:rsidRPr="00D8773C">
              <w:rPr>
                <w:rFonts w:cs="Arial"/>
                <w:lang w:eastAsia="en-US"/>
              </w:rPr>
              <w:t>No change to existing requirements</w:t>
            </w:r>
            <w:r w:rsidR="000A5BE0">
              <w:rPr>
                <w:rFonts w:cs="Arial"/>
                <w:lang w:eastAsia="en-US"/>
              </w:rPr>
              <w:t>.</w:t>
            </w:r>
          </w:p>
          <w:p w14:paraId="4807047E" w14:textId="77777777" w:rsidR="00D8773C" w:rsidRPr="00D8773C" w:rsidRDefault="00D8773C" w:rsidP="008D2CD1">
            <w:pPr>
              <w:pStyle w:val="TableBody"/>
              <w:keepNext/>
              <w:keepLines/>
              <w:rPr>
                <w:rFonts w:cs="Arial"/>
                <w:szCs w:val="20"/>
                <w:lang w:eastAsia="en-US"/>
              </w:rPr>
            </w:pPr>
          </w:p>
        </w:tc>
      </w:tr>
      <w:tr w:rsidR="00D8773C" w14:paraId="3FEE5505" w14:textId="77777777" w:rsidTr="008D2CD1">
        <w:trPr>
          <w:cantSplit/>
        </w:trPr>
        <w:tc>
          <w:tcPr>
            <w:tcW w:w="2972" w:type="dxa"/>
            <w:vMerge/>
            <w:shd w:val="clear" w:color="auto" w:fill="FFFFFF" w:themeFill="background1"/>
          </w:tcPr>
          <w:p w14:paraId="63C0C1BF" w14:textId="77777777" w:rsidR="00D8773C" w:rsidRPr="00F82A66" w:rsidRDefault="00D8773C" w:rsidP="008D2CD1">
            <w:pPr>
              <w:keepNext/>
              <w:keepLines/>
              <w:spacing w:after="0" w:line="240" w:lineRule="auto"/>
              <w:rPr>
                <w:rFonts w:cs="Arial"/>
                <w:szCs w:val="20"/>
              </w:rPr>
            </w:pPr>
          </w:p>
        </w:tc>
        <w:tc>
          <w:tcPr>
            <w:tcW w:w="6237" w:type="dxa"/>
            <w:shd w:val="clear" w:color="auto" w:fill="FFFFFF" w:themeFill="background1"/>
          </w:tcPr>
          <w:p w14:paraId="74D5B1B9" w14:textId="14C9B3CB" w:rsidR="00D8773C" w:rsidRPr="00D8773C" w:rsidRDefault="00D8773C" w:rsidP="008D2CD1">
            <w:pPr>
              <w:pStyle w:val="TableBody"/>
              <w:keepNext/>
              <w:keepLines/>
              <w:rPr>
                <w:rFonts w:cs="Arial"/>
                <w:szCs w:val="20"/>
                <w:u w:val="single"/>
              </w:rPr>
            </w:pPr>
            <w:r w:rsidRPr="00D8773C">
              <w:rPr>
                <w:rFonts w:cs="Arial"/>
                <w:szCs w:val="20"/>
                <w:u w:val="single"/>
              </w:rPr>
              <w:t>Option 2</w:t>
            </w:r>
          </w:p>
          <w:p w14:paraId="450FF148" w14:textId="19032613" w:rsidR="00D8773C" w:rsidRPr="00D8773C" w:rsidRDefault="00D8773C" w:rsidP="008D2CD1">
            <w:pPr>
              <w:pStyle w:val="TableBody"/>
              <w:keepNext/>
              <w:keepLines/>
              <w:spacing w:before="60"/>
            </w:pPr>
            <w:r w:rsidRPr="00D8773C">
              <w:t>For devices operating in the 3400</w:t>
            </w:r>
            <w:r w:rsidR="000A5BE0">
              <w:t>–</w:t>
            </w:r>
            <w:r w:rsidRPr="00D8773C">
              <w:t>3475 MHz band inside urban excise areas, a 15 MHz guard band will apply when a 4G</w:t>
            </w:r>
            <w:r w:rsidR="00C17A8A">
              <w:t xml:space="preserve"> optimised</w:t>
            </w:r>
            <w:r w:rsidRPr="00D8773C">
              <w:t xml:space="preserve"> frame structure is used. No guard band is required if the licensee can adopt the same frame structure as the spectrum licensees directly above 3475 </w:t>
            </w:r>
            <w:proofErr w:type="spellStart"/>
            <w:r w:rsidRPr="00D8773C">
              <w:t>MHz.</w:t>
            </w:r>
            <w:proofErr w:type="spellEnd"/>
            <w:r w:rsidRPr="00D8773C">
              <w:t xml:space="preserve"> Alternatively, the guard band can be relaxed if there is agreement with</w:t>
            </w:r>
            <w:r w:rsidR="00C17A8A">
              <w:t xml:space="preserve"> frequency </w:t>
            </w:r>
            <w:r w:rsidRPr="00D8773C">
              <w:t xml:space="preserve">adjacent spectrum licensees to do so. </w:t>
            </w:r>
          </w:p>
          <w:p w14:paraId="0FA8205D" w14:textId="77777777" w:rsidR="00D8773C" w:rsidRPr="00D8773C" w:rsidRDefault="00D8773C" w:rsidP="008D2CD1">
            <w:pPr>
              <w:pStyle w:val="TableBody"/>
              <w:keepNext/>
              <w:keepLines/>
              <w:rPr>
                <w:rFonts w:cs="Arial"/>
                <w:szCs w:val="20"/>
                <w:lang w:eastAsia="en-US"/>
              </w:rPr>
            </w:pPr>
          </w:p>
        </w:tc>
      </w:tr>
    </w:tbl>
    <w:p w14:paraId="46D8A2FC" w14:textId="77777777" w:rsidR="0025505D" w:rsidRDefault="0025505D" w:rsidP="002C172E">
      <w:pPr>
        <w:pStyle w:val="Heading3"/>
      </w:pPr>
      <w:bookmarkStart w:id="66" w:name="_Restricted_cell_interference"/>
      <w:bookmarkStart w:id="67" w:name="_Toc76376843"/>
      <w:bookmarkEnd w:id="60"/>
      <w:bookmarkEnd w:id="66"/>
    </w:p>
    <w:p w14:paraId="50C4AB38" w14:textId="3B65AE33" w:rsidR="002C172E" w:rsidRPr="00702EA1" w:rsidRDefault="00D27904" w:rsidP="002C172E">
      <w:pPr>
        <w:pStyle w:val="Heading3"/>
      </w:pPr>
      <w:bookmarkStart w:id="68" w:name="_Toc80877077"/>
      <w:r>
        <w:t>R</w:t>
      </w:r>
      <w:r w:rsidR="002C172E">
        <w:t>estricted cell interference management criteria</w:t>
      </w:r>
      <w:bookmarkEnd w:id="67"/>
      <w:bookmarkEnd w:id="68"/>
    </w:p>
    <w:p w14:paraId="6EAF24C9" w14:textId="27517442" w:rsidR="00915C36" w:rsidRDefault="0050657B" w:rsidP="008D2CD1">
      <w:pPr>
        <w:pStyle w:val="CommentText"/>
        <w:tabs>
          <w:tab w:val="left" w:pos="426"/>
        </w:tabs>
        <w:spacing w:before="60"/>
        <w:rPr>
          <w:rFonts w:cs="Arial"/>
          <w:color w:val="000000" w:themeColor="text1"/>
        </w:rPr>
      </w:pPr>
      <w:r>
        <w:rPr>
          <w:rFonts w:cs="Arial"/>
          <w:color w:val="000000" w:themeColor="text1"/>
        </w:rPr>
        <w:t xml:space="preserve">Preliminary draft criteria proposed by ACMA </w:t>
      </w:r>
      <w:r w:rsidR="002F1AAD">
        <w:rPr>
          <w:rFonts w:cs="Arial"/>
          <w:color w:val="000000" w:themeColor="text1"/>
        </w:rPr>
        <w:t xml:space="preserve">staff </w:t>
      </w:r>
      <w:r>
        <w:rPr>
          <w:rFonts w:cs="Arial"/>
          <w:color w:val="000000" w:themeColor="text1"/>
        </w:rPr>
        <w:t>is summarised</w:t>
      </w:r>
      <w:r w:rsidR="003F4A4E">
        <w:rPr>
          <w:rFonts w:cs="Arial"/>
          <w:color w:val="000000" w:themeColor="text1"/>
        </w:rPr>
        <w:t xml:space="preserve"> in Table 8</w:t>
      </w:r>
      <w:r w:rsidRPr="00C17A8A">
        <w:rPr>
          <w:rFonts w:cs="Arial"/>
          <w:color w:val="000000" w:themeColor="text1"/>
        </w:rPr>
        <w:t>.</w:t>
      </w:r>
      <w:r>
        <w:rPr>
          <w:rFonts w:cs="Arial"/>
          <w:color w:val="000000" w:themeColor="text1"/>
        </w:rPr>
        <w:t xml:space="preserve"> </w:t>
      </w:r>
      <w:r w:rsidR="00FD3BEB">
        <w:rPr>
          <w:rFonts w:cs="Arial"/>
          <w:color w:val="000000" w:themeColor="text1"/>
        </w:rPr>
        <w:t xml:space="preserve">Details on how the PFD limit and </w:t>
      </w:r>
      <w:r w:rsidR="00915C36">
        <w:rPr>
          <w:rFonts w:cs="Arial"/>
          <w:color w:val="000000" w:themeColor="text1"/>
        </w:rPr>
        <w:t xml:space="preserve">size of the guard band </w:t>
      </w:r>
      <w:r w:rsidR="00915C36" w:rsidRPr="00743EC3">
        <w:rPr>
          <w:rFonts w:cs="Arial"/>
          <w:color w:val="000000" w:themeColor="text1"/>
        </w:rPr>
        <w:t>were determined</w:t>
      </w:r>
      <w:r w:rsidR="00915C36">
        <w:rPr>
          <w:rFonts w:cs="Arial"/>
          <w:color w:val="000000" w:themeColor="text1"/>
        </w:rPr>
        <w:t xml:space="preserve"> are provided at </w:t>
      </w:r>
      <w:hyperlink w:anchor="_Appendix_B:_Summary" w:history="1">
        <w:r w:rsidR="00915C36" w:rsidRPr="008D2CD1">
          <w:rPr>
            <w:rStyle w:val="Hyperlink"/>
          </w:rPr>
          <w:t>Appendix B</w:t>
        </w:r>
      </w:hyperlink>
      <w:r w:rsidR="00915C36">
        <w:rPr>
          <w:rFonts w:cs="Arial"/>
          <w:color w:val="000000" w:themeColor="text1"/>
        </w:rPr>
        <w:t>.</w:t>
      </w:r>
    </w:p>
    <w:p w14:paraId="21BBEF19" w14:textId="77777777" w:rsidR="00614C40" w:rsidRDefault="0050657B" w:rsidP="000A4369">
      <w:pPr>
        <w:pStyle w:val="CommentText"/>
        <w:tabs>
          <w:tab w:val="left" w:pos="426"/>
        </w:tabs>
        <w:spacing w:before="120"/>
      </w:pPr>
      <w:r>
        <w:rPr>
          <w:rFonts w:cs="Arial"/>
        </w:rPr>
        <w:t>While th</w:t>
      </w:r>
      <w:r w:rsidR="000A4369">
        <w:rPr>
          <w:rFonts w:cs="Arial"/>
        </w:rPr>
        <w:t xml:space="preserve">is proposal was </w:t>
      </w:r>
      <w:r>
        <w:rPr>
          <w:rFonts w:cs="Arial"/>
        </w:rPr>
        <w:t>provided to the TLG</w:t>
      </w:r>
      <w:r w:rsidR="003F4A4E">
        <w:rPr>
          <w:rFonts w:cs="Arial"/>
        </w:rPr>
        <w:t xml:space="preserve"> for discussion</w:t>
      </w:r>
      <w:r>
        <w:rPr>
          <w:rFonts w:cs="Arial"/>
        </w:rPr>
        <w:t>, there was only a brief peer review</w:t>
      </w:r>
      <w:r w:rsidR="000A4369">
        <w:rPr>
          <w:rFonts w:cs="Arial"/>
        </w:rPr>
        <w:t xml:space="preserve"> and comment</w:t>
      </w:r>
      <w:r>
        <w:rPr>
          <w:rFonts w:cs="Arial"/>
        </w:rPr>
        <w:t xml:space="preserve"> period. </w:t>
      </w:r>
      <w:r w:rsidR="000A4369">
        <w:t xml:space="preserve">Further </w:t>
      </w:r>
      <w:r w:rsidR="000C4FBE">
        <w:t xml:space="preserve">development and </w:t>
      </w:r>
      <w:r w:rsidR="000A4369">
        <w:t xml:space="preserve">consultation may be appropriate if this option is chosen for making urban excise areas available for use by other wireless broadband operators. </w:t>
      </w:r>
      <w:r w:rsidR="0005364C">
        <w:t>For example, TLG members queried how practical it would be to synchronise the operation of a large number of small cells, especially if they are operated by multiple different operators.</w:t>
      </w:r>
    </w:p>
    <w:p w14:paraId="39725D7E" w14:textId="6F7BE24E" w:rsidR="002C172E" w:rsidRDefault="00614C40" w:rsidP="000A4369">
      <w:pPr>
        <w:pStyle w:val="CommentText"/>
        <w:tabs>
          <w:tab w:val="left" w:pos="426"/>
        </w:tabs>
        <w:spacing w:before="120"/>
      </w:pPr>
      <w:r>
        <w:t xml:space="preserve">This resulted in the TLG identifying </w:t>
      </w:r>
      <w:r w:rsidR="00205CFC">
        <w:t xml:space="preserve">2 </w:t>
      </w:r>
      <w:r>
        <w:t>high</w:t>
      </w:r>
      <w:r w:rsidR="00205CFC">
        <w:t>-</w:t>
      </w:r>
      <w:r>
        <w:t>level options under the restricted cell approach. One option is where a single operator would have access to each urban excise area for a given frequency, and multiple operators could be supported by subdividing the frequency in an area. The second option is where multiple operators would share access to the same frequency in an urban excise area (i.e.</w:t>
      </w:r>
      <w:r w:rsidR="00D8269A">
        <w:t>,</w:t>
      </w:r>
      <w:r>
        <w:t xml:space="preserve"> an urban excise area could be subdivided in both frequency and area). These are identified as </w:t>
      </w:r>
      <w:r w:rsidR="00D8269A">
        <w:t>O</w:t>
      </w:r>
      <w:r>
        <w:t xml:space="preserve">ptions 2 and 3 respectively in Table 6.  </w:t>
      </w:r>
    </w:p>
    <w:p w14:paraId="27F60A18" w14:textId="2884DF21" w:rsidR="00FD3BEB" w:rsidRDefault="00FD3BEB" w:rsidP="000A4369">
      <w:pPr>
        <w:pStyle w:val="CommentText"/>
        <w:tabs>
          <w:tab w:val="left" w:pos="426"/>
        </w:tabs>
        <w:spacing w:before="120"/>
      </w:pPr>
      <w:r>
        <w:t>Option 2 would be best catered for under a spectrum or apparatus (e.g.</w:t>
      </w:r>
      <w:r w:rsidR="00D8269A">
        <w:t>,</w:t>
      </w:r>
      <w:r>
        <w:t xml:space="preserve"> AWL) licence type. In this case only HCIS levels 1 and higher would be used. </w:t>
      </w:r>
    </w:p>
    <w:p w14:paraId="0F32A999" w14:textId="0C70BC40" w:rsidR="00FD3BEB" w:rsidRDefault="00FD3BEB" w:rsidP="000A4369">
      <w:pPr>
        <w:pStyle w:val="CommentText"/>
        <w:tabs>
          <w:tab w:val="left" w:pos="426"/>
        </w:tabs>
        <w:spacing w:before="120"/>
      </w:pPr>
      <w:r>
        <w:t>Option 3 would be best catered for under an apparatus (e.g.</w:t>
      </w:r>
      <w:r w:rsidR="00D8269A">
        <w:t>,</w:t>
      </w:r>
      <w:r>
        <w:t xml:space="preserve"> AWL) or class licence type. In the case that AWLs are used, HCIS 0 or HCIS 00 could be considered for use to allow smaller licence areas to be defined. </w:t>
      </w:r>
    </w:p>
    <w:p w14:paraId="557F8BEF" w14:textId="731E0F27" w:rsidR="00743EC3" w:rsidRDefault="00743EC3" w:rsidP="00743EC3">
      <w:pPr>
        <w:pStyle w:val="Tableheading"/>
        <w:keepLines/>
      </w:pPr>
      <w:r>
        <w:t xml:space="preserve">Summary of restricted cell interference management criteria </w:t>
      </w:r>
    </w:p>
    <w:tbl>
      <w:tblPr>
        <w:tblStyle w:val="TableGrid"/>
        <w:tblW w:w="9634" w:type="dxa"/>
        <w:tblCellMar>
          <w:top w:w="85" w:type="dxa"/>
          <w:bottom w:w="85" w:type="dxa"/>
        </w:tblCellMar>
        <w:tblLook w:val="04A0" w:firstRow="1" w:lastRow="0" w:firstColumn="1" w:lastColumn="0" w:noHBand="0" w:noVBand="1"/>
      </w:tblPr>
      <w:tblGrid>
        <w:gridCol w:w="1980"/>
        <w:gridCol w:w="7654"/>
      </w:tblGrid>
      <w:tr w:rsidR="00743EC3" w:rsidRPr="00D8269A" w14:paraId="4643D34B" w14:textId="77777777" w:rsidTr="008D2CD1">
        <w:trPr>
          <w:cantSplit/>
        </w:trPr>
        <w:tc>
          <w:tcPr>
            <w:tcW w:w="1980" w:type="dxa"/>
            <w:shd w:val="clear" w:color="auto" w:fill="404040" w:themeFill="text1" w:themeFillTint="BF"/>
          </w:tcPr>
          <w:p w14:paraId="1928308F" w14:textId="77777777" w:rsidR="00743EC3" w:rsidRPr="008D2CD1" w:rsidRDefault="00743EC3" w:rsidP="001172B5">
            <w:pPr>
              <w:spacing w:after="0" w:line="240" w:lineRule="auto"/>
              <w:rPr>
                <w:rFonts w:cs="Arial"/>
                <w:b/>
                <w:bCs/>
                <w:color w:val="FFFFFF" w:themeColor="background1"/>
                <w:szCs w:val="20"/>
              </w:rPr>
            </w:pPr>
            <w:r w:rsidRPr="008D2CD1">
              <w:rPr>
                <w:rFonts w:cs="Arial"/>
                <w:b/>
                <w:bCs/>
                <w:color w:val="FFFFFF" w:themeColor="background1"/>
                <w:szCs w:val="20"/>
              </w:rPr>
              <w:t>Item</w:t>
            </w:r>
          </w:p>
        </w:tc>
        <w:tc>
          <w:tcPr>
            <w:tcW w:w="7654" w:type="dxa"/>
            <w:shd w:val="clear" w:color="auto" w:fill="404040" w:themeFill="text1" w:themeFillTint="BF"/>
          </w:tcPr>
          <w:p w14:paraId="35DBA488" w14:textId="6224657C" w:rsidR="00743EC3" w:rsidRPr="008D2CD1" w:rsidRDefault="00D43C4A" w:rsidP="001172B5">
            <w:pPr>
              <w:spacing w:after="0" w:line="240" w:lineRule="auto"/>
              <w:rPr>
                <w:rFonts w:cs="Arial"/>
                <w:b/>
                <w:bCs/>
                <w:color w:val="FFFFFF" w:themeColor="background1"/>
                <w:szCs w:val="20"/>
              </w:rPr>
            </w:pPr>
            <w:r w:rsidRPr="008D2CD1">
              <w:rPr>
                <w:rFonts w:cs="Arial"/>
                <w:b/>
                <w:bCs/>
                <w:color w:val="FFFFFF" w:themeColor="background1"/>
                <w:szCs w:val="20"/>
              </w:rPr>
              <w:t>Interference management criteria</w:t>
            </w:r>
          </w:p>
        </w:tc>
      </w:tr>
      <w:tr w:rsidR="00743EC3" w14:paraId="229F1E7F" w14:textId="77777777" w:rsidTr="008D2CD1">
        <w:trPr>
          <w:cantSplit/>
        </w:trPr>
        <w:tc>
          <w:tcPr>
            <w:tcW w:w="1980" w:type="dxa"/>
            <w:shd w:val="clear" w:color="auto" w:fill="F2F2F2" w:themeFill="background1" w:themeFillShade="F2"/>
          </w:tcPr>
          <w:p w14:paraId="6C937B8E" w14:textId="7EA5C37E" w:rsidR="00743EC3" w:rsidRPr="00682C0D" w:rsidRDefault="00743EC3" w:rsidP="001172B5">
            <w:pPr>
              <w:spacing w:after="0" w:line="240" w:lineRule="auto"/>
              <w:rPr>
                <w:rFonts w:cs="Arial"/>
                <w:szCs w:val="20"/>
              </w:rPr>
            </w:pPr>
            <w:r>
              <w:rPr>
                <w:rFonts w:cs="Arial"/>
                <w:szCs w:val="20"/>
              </w:rPr>
              <w:t xml:space="preserve">Licence </w:t>
            </w:r>
            <w:r w:rsidR="00D8269A">
              <w:rPr>
                <w:rFonts w:cs="Arial"/>
                <w:szCs w:val="20"/>
              </w:rPr>
              <w:t>t</w:t>
            </w:r>
            <w:r>
              <w:rPr>
                <w:rFonts w:cs="Arial"/>
                <w:szCs w:val="20"/>
              </w:rPr>
              <w:t>ype</w:t>
            </w:r>
          </w:p>
        </w:tc>
        <w:tc>
          <w:tcPr>
            <w:tcW w:w="7654" w:type="dxa"/>
            <w:shd w:val="clear" w:color="auto" w:fill="F2F2F2" w:themeFill="background1" w:themeFillShade="F2"/>
          </w:tcPr>
          <w:p w14:paraId="08403788" w14:textId="3598A21E" w:rsidR="00743EC3" w:rsidRPr="00D8773C" w:rsidRDefault="00614C40" w:rsidP="0005364C">
            <w:pPr>
              <w:spacing w:after="120" w:line="240" w:lineRule="auto"/>
              <w:rPr>
                <w:rFonts w:cs="Arial"/>
                <w:szCs w:val="20"/>
              </w:rPr>
            </w:pPr>
            <w:r>
              <w:rPr>
                <w:rFonts w:cs="Arial"/>
                <w:szCs w:val="20"/>
              </w:rPr>
              <w:t xml:space="preserve">Spectrum, </w:t>
            </w:r>
            <w:r w:rsidR="00D8269A">
              <w:rPr>
                <w:rFonts w:cs="Arial"/>
                <w:szCs w:val="20"/>
              </w:rPr>
              <w:t>a</w:t>
            </w:r>
            <w:r w:rsidR="00743EC3">
              <w:rPr>
                <w:rFonts w:cs="Arial"/>
                <w:szCs w:val="20"/>
              </w:rPr>
              <w:t>pparatus (</w:t>
            </w:r>
            <w:r w:rsidR="00D82A64">
              <w:rPr>
                <w:rFonts w:cs="Arial"/>
                <w:szCs w:val="20"/>
              </w:rPr>
              <w:t>e.g.,</w:t>
            </w:r>
            <w:r w:rsidR="00743EC3">
              <w:rPr>
                <w:rFonts w:cs="Arial"/>
                <w:szCs w:val="20"/>
              </w:rPr>
              <w:t xml:space="preserve"> AWL) or </w:t>
            </w:r>
            <w:r w:rsidR="00D8269A">
              <w:rPr>
                <w:rFonts w:cs="Arial"/>
                <w:szCs w:val="20"/>
              </w:rPr>
              <w:t>c</w:t>
            </w:r>
            <w:r w:rsidR="00743EC3">
              <w:rPr>
                <w:rFonts w:cs="Arial"/>
                <w:szCs w:val="20"/>
              </w:rPr>
              <w:t xml:space="preserve">lass </w:t>
            </w:r>
            <w:r w:rsidR="00D8269A">
              <w:rPr>
                <w:rFonts w:cs="Arial"/>
                <w:szCs w:val="20"/>
              </w:rPr>
              <w:t>l</w:t>
            </w:r>
            <w:r w:rsidR="00743EC3">
              <w:rPr>
                <w:rFonts w:cs="Arial"/>
                <w:szCs w:val="20"/>
              </w:rPr>
              <w:t xml:space="preserve">icence </w:t>
            </w:r>
          </w:p>
        </w:tc>
      </w:tr>
      <w:tr w:rsidR="00743EC3" w14:paraId="150E7F37" w14:textId="77777777" w:rsidTr="008D2CD1">
        <w:trPr>
          <w:cantSplit/>
        </w:trPr>
        <w:tc>
          <w:tcPr>
            <w:tcW w:w="1980" w:type="dxa"/>
            <w:shd w:val="clear" w:color="auto" w:fill="auto"/>
          </w:tcPr>
          <w:p w14:paraId="1FE0E69F" w14:textId="6C923301" w:rsidR="00743EC3" w:rsidRPr="004253A7" w:rsidRDefault="00743EC3" w:rsidP="00743EC3">
            <w:pPr>
              <w:spacing w:after="0" w:line="240" w:lineRule="auto"/>
              <w:rPr>
                <w:rFonts w:cs="Arial"/>
                <w:szCs w:val="20"/>
              </w:rPr>
            </w:pPr>
            <w:r>
              <w:rPr>
                <w:rFonts w:cs="Arial"/>
                <w:szCs w:val="20"/>
              </w:rPr>
              <w:t>Definitions</w:t>
            </w:r>
          </w:p>
        </w:tc>
        <w:tc>
          <w:tcPr>
            <w:tcW w:w="7654" w:type="dxa"/>
            <w:shd w:val="clear" w:color="auto" w:fill="auto"/>
          </w:tcPr>
          <w:p w14:paraId="0F2F5CC3" w14:textId="3B9020FB" w:rsidR="00743EC3" w:rsidRDefault="00D8269A" w:rsidP="00743EC3">
            <w:pPr>
              <w:pStyle w:val="TableBody"/>
              <w:rPr>
                <w:rFonts w:cs="Arial"/>
                <w:bCs/>
                <w:i/>
                <w:color w:val="000000"/>
                <w:szCs w:val="20"/>
              </w:rPr>
            </w:pPr>
            <w:r>
              <w:rPr>
                <w:rFonts w:cs="Arial"/>
                <w:color w:val="000000"/>
                <w:szCs w:val="20"/>
              </w:rPr>
              <w:t>‘</w:t>
            </w:r>
            <w:r w:rsidRPr="00096E81">
              <w:rPr>
                <w:rFonts w:cs="Arial"/>
                <w:color w:val="000000"/>
                <w:szCs w:val="20"/>
              </w:rPr>
              <w:t>C</w:t>
            </w:r>
            <w:r w:rsidR="00743EC3" w:rsidRPr="00096E81">
              <w:rPr>
                <w:rFonts w:cs="Arial"/>
                <w:color w:val="000000"/>
                <w:szCs w:val="20"/>
              </w:rPr>
              <w:t>ontrolled premises</w:t>
            </w:r>
            <w:r>
              <w:rPr>
                <w:rFonts w:cs="Arial"/>
                <w:color w:val="000000"/>
                <w:szCs w:val="20"/>
              </w:rPr>
              <w:t>’</w:t>
            </w:r>
            <w:r w:rsidR="00743EC3" w:rsidRPr="0042323A">
              <w:rPr>
                <w:rFonts w:cs="Arial"/>
                <w:b/>
                <w:i/>
                <w:color w:val="000000"/>
                <w:szCs w:val="20"/>
              </w:rPr>
              <w:t xml:space="preserve"> </w:t>
            </w:r>
            <w:r w:rsidR="00743EC3" w:rsidRPr="0042323A">
              <w:rPr>
                <w:rFonts w:cs="Arial"/>
                <w:bCs/>
                <w:iCs/>
                <w:color w:val="000000"/>
                <w:szCs w:val="20"/>
              </w:rPr>
              <w:t xml:space="preserve">means premises that are owned by or under the control of a person who is providing a radiocommunications service under </w:t>
            </w:r>
            <w:r w:rsidR="00942834">
              <w:rPr>
                <w:rFonts w:cs="Arial"/>
                <w:bCs/>
                <w:iCs/>
                <w:color w:val="000000"/>
                <w:szCs w:val="20"/>
              </w:rPr>
              <w:t>a</w:t>
            </w:r>
            <w:r w:rsidR="00942834" w:rsidRPr="0042323A">
              <w:rPr>
                <w:rFonts w:cs="Arial"/>
                <w:bCs/>
                <w:iCs/>
                <w:color w:val="000000"/>
                <w:szCs w:val="20"/>
              </w:rPr>
              <w:t xml:space="preserve"> </w:t>
            </w:r>
            <w:r w:rsidR="00743EC3" w:rsidRPr="0042323A">
              <w:rPr>
                <w:rFonts w:cs="Arial"/>
                <w:bCs/>
                <w:iCs/>
                <w:color w:val="000000"/>
                <w:szCs w:val="20"/>
              </w:rPr>
              <w:t>class licence</w:t>
            </w:r>
            <w:r w:rsidR="00743EC3" w:rsidRPr="0042323A">
              <w:rPr>
                <w:rFonts w:cs="Arial"/>
                <w:bCs/>
                <w:i/>
                <w:color w:val="000000"/>
                <w:szCs w:val="20"/>
              </w:rPr>
              <w:t xml:space="preserve">.  </w:t>
            </w:r>
          </w:p>
          <w:p w14:paraId="3B1A9A37" w14:textId="77777777" w:rsidR="00743EC3" w:rsidRDefault="00743EC3" w:rsidP="00743EC3">
            <w:pPr>
              <w:pStyle w:val="TableBody"/>
              <w:rPr>
                <w:bCs/>
                <w:i/>
                <w:color w:val="000000"/>
              </w:rPr>
            </w:pPr>
          </w:p>
          <w:p w14:paraId="1DDF2801" w14:textId="282E6ACC" w:rsidR="00743EC3" w:rsidRPr="00743EC3" w:rsidRDefault="00743EC3" w:rsidP="0005364C">
            <w:pPr>
              <w:pStyle w:val="TableBody"/>
              <w:spacing w:after="120"/>
              <w:rPr>
                <w:iCs/>
              </w:rPr>
            </w:pPr>
            <w:r w:rsidRPr="00096E81">
              <w:rPr>
                <w:bCs/>
                <w:iCs/>
                <w:color w:val="000000"/>
              </w:rPr>
              <w:t>Note:</w:t>
            </w:r>
            <w:r>
              <w:rPr>
                <w:bCs/>
                <w:iCs/>
                <w:color w:val="000000"/>
              </w:rPr>
              <w:t xml:space="preserve"> If a</w:t>
            </w:r>
            <w:r w:rsidR="00614C40">
              <w:rPr>
                <w:bCs/>
                <w:iCs/>
                <w:color w:val="000000"/>
              </w:rPr>
              <w:t xml:space="preserve"> spectrum licence or</w:t>
            </w:r>
            <w:r>
              <w:rPr>
                <w:bCs/>
                <w:iCs/>
                <w:color w:val="000000"/>
              </w:rPr>
              <w:t xml:space="preserve"> A</w:t>
            </w:r>
            <w:r w:rsidR="0005364C">
              <w:rPr>
                <w:bCs/>
                <w:iCs/>
                <w:color w:val="000000"/>
              </w:rPr>
              <w:t>WL</w:t>
            </w:r>
            <w:r>
              <w:rPr>
                <w:bCs/>
                <w:iCs/>
                <w:color w:val="000000"/>
              </w:rPr>
              <w:t xml:space="preserve"> approach is adopted, the term ‘controlled premises would be defined as the </w:t>
            </w:r>
            <w:r w:rsidR="0005364C">
              <w:rPr>
                <w:bCs/>
                <w:iCs/>
                <w:color w:val="000000"/>
              </w:rPr>
              <w:t xml:space="preserve">geographical boundary of the licence. </w:t>
            </w:r>
          </w:p>
        </w:tc>
      </w:tr>
      <w:tr w:rsidR="00743EC3" w14:paraId="40F4EC49" w14:textId="77777777" w:rsidTr="008D2CD1">
        <w:trPr>
          <w:cantSplit/>
        </w:trPr>
        <w:tc>
          <w:tcPr>
            <w:tcW w:w="1980" w:type="dxa"/>
            <w:shd w:val="clear" w:color="auto" w:fill="F2F2F2" w:themeFill="background1" w:themeFillShade="F2"/>
          </w:tcPr>
          <w:p w14:paraId="68331414" w14:textId="1CBFC69A" w:rsidR="00743EC3" w:rsidRPr="004253A7" w:rsidRDefault="00743EC3" w:rsidP="00743EC3">
            <w:pPr>
              <w:spacing w:after="0" w:line="240" w:lineRule="auto"/>
              <w:rPr>
                <w:rFonts w:cs="Arial"/>
                <w:szCs w:val="20"/>
              </w:rPr>
            </w:pPr>
            <w:r>
              <w:rPr>
                <w:rFonts w:cs="Arial"/>
                <w:szCs w:val="20"/>
              </w:rPr>
              <w:lastRenderedPageBreak/>
              <w:t xml:space="preserve">General </w:t>
            </w:r>
            <w:r w:rsidR="00707A62">
              <w:rPr>
                <w:rFonts w:cs="Arial"/>
                <w:szCs w:val="20"/>
              </w:rPr>
              <w:t>r</w:t>
            </w:r>
            <w:r>
              <w:rPr>
                <w:rFonts w:cs="Arial"/>
                <w:szCs w:val="20"/>
              </w:rPr>
              <w:t>ules</w:t>
            </w:r>
            <w:r w:rsidR="00707A62">
              <w:rPr>
                <w:rFonts w:cs="Arial"/>
                <w:szCs w:val="20"/>
              </w:rPr>
              <w:t xml:space="preserve"> for </w:t>
            </w:r>
            <w:r w:rsidR="00D8269A">
              <w:rPr>
                <w:rFonts w:cs="Arial"/>
                <w:szCs w:val="20"/>
              </w:rPr>
              <w:br/>
            </w:r>
            <w:r w:rsidR="00707A62">
              <w:rPr>
                <w:rFonts w:cs="Arial"/>
                <w:szCs w:val="20"/>
              </w:rPr>
              <w:t>all transmitters</w:t>
            </w:r>
          </w:p>
        </w:tc>
        <w:tc>
          <w:tcPr>
            <w:tcW w:w="7654" w:type="dxa"/>
            <w:shd w:val="clear" w:color="auto" w:fill="F2F2F2" w:themeFill="background1" w:themeFillShade="F2"/>
          </w:tcPr>
          <w:p w14:paraId="417167D1" w14:textId="161CB3F9" w:rsidR="0005364C" w:rsidRDefault="0005364C" w:rsidP="00D46D26">
            <w:pPr>
              <w:pStyle w:val="Paragraph"/>
              <w:numPr>
                <w:ilvl w:val="0"/>
                <w:numId w:val="49"/>
              </w:numPr>
              <w:spacing w:after="60"/>
              <w:ind w:left="714" w:hanging="357"/>
              <w:rPr>
                <w:b/>
                <w:bCs/>
                <w:iCs/>
              </w:rPr>
            </w:pPr>
            <w:bookmarkStart w:id="69" w:name="_Toc75275776"/>
            <w:bookmarkStart w:id="70" w:name="_Toc76376844"/>
            <w:r>
              <w:t>Operation of transmitters is limited to urban excise areas and within the 3400-3470 MHz band (i.e.</w:t>
            </w:r>
            <w:r w:rsidR="00D8269A">
              <w:rPr>
                <w:b/>
                <w:bCs/>
                <w:iCs/>
              </w:rPr>
              <w:t>,</w:t>
            </w:r>
            <w:r>
              <w:t xml:space="preserve"> 5 MHz guard band).</w:t>
            </w:r>
            <w:bookmarkEnd w:id="69"/>
            <w:bookmarkEnd w:id="70"/>
            <w:r>
              <w:t xml:space="preserve"> </w:t>
            </w:r>
          </w:p>
          <w:p w14:paraId="36A89B43" w14:textId="77777777" w:rsidR="0005364C" w:rsidRDefault="0005364C" w:rsidP="00D46D26">
            <w:pPr>
              <w:pStyle w:val="Paragraph"/>
              <w:numPr>
                <w:ilvl w:val="0"/>
                <w:numId w:val="49"/>
              </w:numPr>
              <w:spacing w:after="60"/>
              <w:ind w:left="714" w:hanging="357"/>
              <w:rPr>
                <w:b/>
                <w:bCs/>
                <w:iCs/>
              </w:rPr>
            </w:pPr>
            <w:bookmarkStart w:id="71" w:name="_Toc75275777"/>
            <w:bookmarkStart w:id="72" w:name="_Toc76376845"/>
            <w:r w:rsidRPr="00943E03">
              <w:t xml:space="preserve">The maximum transmitter </w:t>
            </w:r>
            <w:r>
              <w:t>EIRP</w:t>
            </w:r>
            <w:r w:rsidRPr="00943E03">
              <w:t xml:space="preserve"> must not exceed </w:t>
            </w:r>
            <w:r>
              <w:t>30</w:t>
            </w:r>
            <w:r w:rsidRPr="00943E03">
              <w:t xml:space="preserve"> dBm.</w:t>
            </w:r>
            <w:bookmarkEnd w:id="71"/>
            <w:bookmarkEnd w:id="72"/>
          </w:p>
          <w:p w14:paraId="7D59271D" w14:textId="663103AA" w:rsidR="0005364C" w:rsidRPr="00943E03" w:rsidRDefault="0005364C" w:rsidP="00D46D26">
            <w:pPr>
              <w:pStyle w:val="Paragraph"/>
              <w:numPr>
                <w:ilvl w:val="0"/>
                <w:numId w:val="49"/>
              </w:numPr>
              <w:spacing w:after="60"/>
              <w:ind w:left="714" w:hanging="357"/>
              <w:rPr>
                <w:b/>
                <w:bCs/>
                <w:iCs/>
              </w:rPr>
            </w:pPr>
            <w:bookmarkStart w:id="73" w:name="_Toc75275778"/>
            <w:bookmarkStart w:id="74" w:name="_Toc76376846"/>
            <w:r w:rsidRPr="00943E03">
              <w:t>The</w:t>
            </w:r>
            <w:r>
              <w:t xml:space="preserve"> power spectral density of a</w:t>
            </w:r>
            <w:r w:rsidRPr="00943E03">
              <w:t xml:space="preserve"> transmitter must not exceed </w:t>
            </w:r>
            <w:r w:rsidR="00D8269A">
              <w:rPr>
                <w:b/>
                <w:bCs/>
                <w:iCs/>
              </w:rPr>
              <w:br/>
            </w:r>
            <w:r>
              <w:t xml:space="preserve">17 dBm EIRP per </w:t>
            </w:r>
            <w:proofErr w:type="spellStart"/>
            <w:r>
              <w:t>MHz</w:t>
            </w:r>
            <w:r w:rsidRPr="00943E03">
              <w:t>.</w:t>
            </w:r>
            <w:bookmarkEnd w:id="73"/>
            <w:bookmarkEnd w:id="74"/>
            <w:proofErr w:type="spellEnd"/>
          </w:p>
          <w:p w14:paraId="603E7234" w14:textId="77777777" w:rsidR="0005364C" w:rsidRPr="00943E03" w:rsidRDefault="0005364C" w:rsidP="00D46D26">
            <w:pPr>
              <w:pStyle w:val="Paragraph"/>
              <w:numPr>
                <w:ilvl w:val="0"/>
                <w:numId w:val="49"/>
              </w:numPr>
              <w:spacing w:after="60"/>
              <w:ind w:left="714" w:hanging="357"/>
              <w:rPr>
                <w:b/>
                <w:bCs/>
                <w:iCs/>
              </w:rPr>
            </w:pPr>
            <w:bookmarkStart w:id="75" w:name="_Toc75275779"/>
            <w:bookmarkStart w:id="76" w:name="_Toc76376847"/>
            <w:r w:rsidRPr="00943E03">
              <w:t>Base station transmitters must comply with the unwanted and spurious emission limits described in 3GPP TS 38.104.</w:t>
            </w:r>
            <w:bookmarkEnd w:id="75"/>
            <w:bookmarkEnd w:id="76"/>
          </w:p>
          <w:p w14:paraId="56B019AB" w14:textId="77777777" w:rsidR="0005364C" w:rsidRDefault="0005364C" w:rsidP="00D46D26">
            <w:pPr>
              <w:pStyle w:val="Paragraph"/>
              <w:numPr>
                <w:ilvl w:val="0"/>
                <w:numId w:val="49"/>
              </w:numPr>
              <w:spacing w:after="60"/>
              <w:ind w:left="714" w:hanging="357"/>
              <w:rPr>
                <w:b/>
                <w:bCs/>
                <w:iCs/>
              </w:rPr>
            </w:pPr>
            <w:bookmarkStart w:id="77" w:name="_Toc75275780"/>
            <w:bookmarkStart w:id="78" w:name="_Toc76376848"/>
            <w:r w:rsidRPr="00943E03">
              <w:t>User equipment transmitters must comply with the unwanted and spurious emission limits described in 3GPP TS 38.101-2.</w:t>
            </w:r>
            <w:bookmarkEnd w:id="77"/>
            <w:bookmarkEnd w:id="78"/>
          </w:p>
          <w:p w14:paraId="3CD59AB9" w14:textId="77777777" w:rsidR="0005364C" w:rsidRPr="00A70F9B" w:rsidRDefault="0005364C" w:rsidP="00D46D26">
            <w:pPr>
              <w:pStyle w:val="Paragraph"/>
              <w:numPr>
                <w:ilvl w:val="0"/>
                <w:numId w:val="49"/>
              </w:numPr>
              <w:spacing w:after="60"/>
              <w:ind w:left="714" w:hanging="357"/>
              <w:rPr>
                <w:b/>
                <w:bCs/>
                <w:iCs/>
              </w:rPr>
            </w:pPr>
            <w:bookmarkStart w:id="79" w:name="_Toc75275781"/>
            <w:bookmarkStart w:id="80" w:name="_Toc76376849"/>
            <w:r>
              <w:t xml:space="preserve">Operation </w:t>
            </w:r>
            <w:r w:rsidRPr="00A70F9B">
              <w:t>is on a no interference and no protection basis.</w:t>
            </w:r>
            <w:bookmarkEnd w:id="79"/>
            <w:bookmarkEnd w:id="80"/>
          </w:p>
          <w:p w14:paraId="0A963ED3" w14:textId="234E0CFC" w:rsidR="00743EC3" w:rsidRPr="00707A62" w:rsidRDefault="0005364C" w:rsidP="00D46D26">
            <w:pPr>
              <w:pStyle w:val="Paragraph"/>
              <w:numPr>
                <w:ilvl w:val="0"/>
                <w:numId w:val="49"/>
              </w:numPr>
              <w:rPr>
                <w:b/>
                <w:bCs/>
                <w:iCs/>
              </w:rPr>
            </w:pPr>
            <w:bookmarkStart w:id="81" w:name="_Toc75275782"/>
            <w:bookmarkStart w:id="82" w:name="_Toc76376850"/>
            <w:r w:rsidRPr="0042323A">
              <w:t>The operation of transmitters must be synchronised with the operation of services operating under</w:t>
            </w:r>
            <w:r w:rsidR="00670D75">
              <w:t xml:space="preserve"> adjacent area</w:t>
            </w:r>
            <w:r w:rsidRPr="0042323A">
              <w:t xml:space="preserve"> 3.4 GHz spectrum licences that are directly adjacent to urban excise areas. In this case</w:t>
            </w:r>
            <w:r w:rsidR="00D8269A">
              <w:rPr>
                <w:b/>
                <w:bCs/>
                <w:iCs/>
              </w:rPr>
              <w:t>,</w:t>
            </w:r>
            <w:r w:rsidRPr="0042323A">
              <w:t xml:space="preserve"> synchronisation means operating in accordance with subsections 11(e) and (f) of licence </w:t>
            </w:r>
            <w:r w:rsidR="00D8269A">
              <w:rPr>
                <w:b/>
                <w:bCs/>
                <w:iCs/>
              </w:rPr>
              <w:br/>
            </w:r>
            <w:r w:rsidR="001C5596">
              <w:rPr>
                <w:b/>
                <w:bCs/>
                <w:iCs/>
              </w:rPr>
              <w:t>S</w:t>
            </w:r>
            <w:r w:rsidRPr="0042323A">
              <w:t>chedule 4 of the relevant spectrum licence.</w:t>
            </w:r>
            <w:bookmarkEnd w:id="81"/>
            <w:bookmarkEnd w:id="82"/>
          </w:p>
        </w:tc>
      </w:tr>
      <w:tr w:rsidR="00743EC3" w14:paraId="46EDA336" w14:textId="77777777" w:rsidTr="008D2CD1">
        <w:trPr>
          <w:cantSplit/>
        </w:trPr>
        <w:tc>
          <w:tcPr>
            <w:tcW w:w="1980" w:type="dxa"/>
            <w:shd w:val="clear" w:color="auto" w:fill="auto"/>
          </w:tcPr>
          <w:p w14:paraId="5B5888AD" w14:textId="5965E39F" w:rsidR="00743EC3" w:rsidRDefault="00707A62" w:rsidP="00743EC3">
            <w:pPr>
              <w:spacing w:after="0" w:line="240" w:lineRule="auto"/>
              <w:rPr>
                <w:rFonts w:cs="Arial"/>
                <w:szCs w:val="20"/>
              </w:rPr>
            </w:pPr>
            <w:r>
              <w:rPr>
                <w:rFonts w:cs="Arial"/>
                <w:szCs w:val="20"/>
              </w:rPr>
              <w:t>Additional rules for i</w:t>
            </w:r>
            <w:r w:rsidR="00743EC3">
              <w:rPr>
                <w:rFonts w:cs="Arial"/>
                <w:szCs w:val="20"/>
              </w:rPr>
              <w:t xml:space="preserve">ndoor </w:t>
            </w:r>
            <w:r>
              <w:rPr>
                <w:rFonts w:cs="Arial"/>
                <w:szCs w:val="20"/>
              </w:rPr>
              <w:t>o</w:t>
            </w:r>
            <w:r w:rsidR="00743EC3">
              <w:rPr>
                <w:rFonts w:cs="Arial"/>
                <w:szCs w:val="20"/>
              </w:rPr>
              <w:t>peration</w:t>
            </w:r>
          </w:p>
        </w:tc>
        <w:tc>
          <w:tcPr>
            <w:tcW w:w="7654" w:type="dxa"/>
            <w:shd w:val="clear" w:color="auto" w:fill="auto"/>
          </w:tcPr>
          <w:p w14:paraId="516A6ECA" w14:textId="77777777" w:rsidR="00707A62" w:rsidRPr="00707A62" w:rsidRDefault="00707A62" w:rsidP="00D46D26">
            <w:pPr>
              <w:pStyle w:val="Paragraph"/>
              <w:numPr>
                <w:ilvl w:val="0"/>
                <w:numId w:val="50"/>
              </w:numPr>
              <w:spacing w:after="60"/>
              <w:ind w:left="714" w:hanging="357"/>
              <w:rPr>
                <w:b/>
                <w:bCs/>
                <w:iCs/>
              </w:rPr>
            </w:pPr>
            <w:bookmarkStart w:id="83" w:name="_Toc75275783"/>
            <w:bookmarkStart w:id="84" w:name="_Toc76376851"/>
            <w:r w:rsidRPr="00707A62">
              <w:t>Indoor operation is limited to an area enclosed by permanent walls on all sides and having a permanent roof.</w:t>
            </w:r>
            <w:bookmarkEnd w:id="83"/>
            <w:bookmarkEnd w:id="84"/>
          </w:p>
          <w:p w14:paraId="7B290D6D" w14:textId="77777777" w:rsidR="00707A62" w:rsidRDefault="00707A62" w:rsidP="00D46D26">
            <w:pPr>
              <w:pStyle w:val="Paragraph"/>
              <w:numPr>
                <w:ilvl w:val="0"/>
                <w:numId w:val="50"/>
              </w:numPr>
              <w:spacing w:after="60"/>
              <w:ind w:left="714" w:hanging="357"/>
              <w:rPr>
                <w:b/>
                <w:bCs/>
                <w:iCs/>
              </w:rPr>
            </w:pPr>
            <w:bookmarkStart w:id="85" w:name="_Toc75275784"/>
            <w:bookmarkStart w:id="86" w:name="_Toc76376852"/>
            <w:r w:rsidRPr="0042323A">
              <w:t>The aggregate power flux-density from transmitters on controlled premises must not exceed –64.9 dBm/MHz/m</w:t>
            </w:r>
            <w:r w:rsidRPr="00707A62">
              <w:rPr>
                <w:vertAlign w:val="superscript"/>
              </w:rPr>
              <w:t>2</w:t>
            </w:r>
            <w:r w:rsidRPr="0042323A">
              <w:t xml:space="preserve"> at the external boundary of the controlled premises at a height of 5 metres above ground level.</w:t>
            </w:r>
            <w:bookmarkEnd w:id="85"/>
            <w:bookmarkEnd w:id="86"/>
          </w:p>
          <w:p w14:paraId="6E80313B" w14:textId="77742EC0" w:rsidR="00707A62" w:rsidRPr="00707A62" w:rsidRDefault="00707A62" w:rsidP="00D46D26">
            <w:pPr>
              <w:pStyle w:val="Paragraph"/>
              <w:numPr>
                <w:ilvl w:val="0"/>
                <w:numId w:val="50"/>
              </w:numPr>
              <w:spacing w:after="60"/>
              <w:ind w:left="714" w:hanging="357"/>
              <w:rPr>
                <w:b/>
                <w:bCs/>
                <w:iCs/>
              </w:rPr>
            </w:pPr>
            <w:bookmarkStart w:id="87" w:name="_Toc75275785"/>
            <w:bookmarkStart w:id="88" w:name="_Toc76376853"/>
            <w:r w:rsidRPr="00D06BAC">
              <w:t>The aggregate power flux-density from transmitters on controlled premises must not exceed –99.9 dBm/MHz/m</w:t>
            </w:r>
            <w:r w:rsidRPr="00707A62">
              <w:rPr>
                <w:vertAlign w:val="superscript"/>
              </w:rPr>
              <w:t>2</w:t>
            </w:r>
            <w:r w:rsidRPr="00D06BAC">
              <w:t xml:space="preserve"> at the boundary of </w:t>
            </w:r>
            <w:r>
              <w:t xml:space="preserve">urban excise areas </w:t>
            </w:r>
            <w:r w:rsidRPr="00D06BAC">
              <w:t>at heights between 5 and 100 metres above ground level.</w:t>
            </w:r>
            <w:bookmarkEnd w:id="87"/>
            <w:bookmarkEnd w:id="88"/>
          </w:p>
        </w:tc>
      </w:tr>
      <w:tr w:rsidR="00743EC3" w14:paraId="05BF4679" w14:textId="77777777" w:rsidTr="008D2CD1">
        <w:trPr>
          <w:cantSplit/>
        </w:trPr>
        <w:tc>
          <w:tcPr>
            <w:tcW w:w="1980" w:type="dxa"/>
            <w:shd w:val="clear" w:color="auto" w:fill="F2F2F2" w:themeFill="background1" w:themeFillShade="F2"/>
          </w:tcPr>
          <w:p w14:paraId="595D8885" w14:textId="4AD09B91" w:rsidR="00743EC3" w:rsidRDefault="00707A62" w:rsidP="00743EC3">
            <w:pPr>
              <w:spacing w:after="0" w:line="240" w:lineRule="auto"/>
              <w:rPr>
                <w:rFonts w:cs="Arial"/>
                <w:szCs w:val="20"/>
              </w:rPr>
            </w:pPr>
            <w:r>
              <w:rPr>
                <w:rFonts w:cs="Arial"/>
                <w:szCs w:val="20"/>
              </w:rPr>
              <w:t>Additional rules for o</w:t>
            </w:r>
            <w:r w:rsidR="00743EC3">
              <w:rPr>
                <w:rFonts w:cs="Arial"/>
                <w:szCs w:val="20"/>
              </w:rPr>
              <w:t xml:space="preserve">utdoor </w:t>
            </w:r>
            <w:r>
              <w:rPr>
                <w:rFonts w:cs="Arial"/>
                <w:szCs w:val="20"/>
              </w:rPr>
              <w:t>o</w:t>
            </w:r>
            <w:r w:rsidR="00743EC3">
              <w:rPr>
                <w:rFonts w:cs="Arial"/>
                <w:szCs w:val="20"/>
              </w:rPr>
              <w:t>peration</w:t>
            </w:r>
          </w:p>
        </w:tc>
        <w:tc>
          <w:tcPr>
            <w:tcW w:w="7654" w:type="dxa"/>
            <w:shd w:val="clear" w:color="auto" w:fill="F2F2F2" w:themeFill="background1" w:themeFillShade="F2"/>
          </w:tcPr>
          <w:p w14:paraId="1F141163" w14:textId="77777777" w:rsidR="00707A62" w:rsidRPr="0042323A" w:rsidRDefault="00707A62" w:rsidP="00D46D26">
            <w:pPr>
              <w:pStyle w:val="Paragraph"/>
              <w:numPr>
                <w:ilvl w:val="0"/>
                <w:numId w:val="51"/>
              </w:numPr>
              <w:spacing w:after="60"/>
              <w:ind w:left="714" w:hanging="357"/>
              <w:rPr>
                <w:b/>
                <w:bCs/>
                <w:iCs/>
              </w:rPr>
            </w:pPr>
            <w:bookmarkStart w:id="89" w:name="_Toc75275786"/>
            <w:bookmarkStart w:id="90" w:name="_Toc76376854"/>
            <w:r w:rsidRPr="0042323A">
              <w:t>The aggregate power flux-density from transmitters on controlled premises must not exceed -99.9 dBm/MHz/m</w:t>
            </w:r>
            <w:r w:rsidRPr="00707A62">
              <w:rPr>
                <w:vertAlign w:val="superscript"/>
              </w:rPr>
              <w:t>2</w:t>
            </w:r>
            <w:r w:rsidRPr="0042323A">
              <w:t xml:space="preserve"> at the external boundary of the controlled premises at a height of 5 metres above ground level.</w:t>
            </w:r>
            <w:bookmarkEnd w:id="89"/>
            <w:bookmarkEnd w:id="90"/>
          </w:p>
          <w:p w14:paraId="744B3F10" w14:textId="65093E89" w:rsidR="00743EC3" w:rsidRPr="00707A62" w:rsidRDefault="00707A62" w:rsidP="00D46D26">
            <w:pPr>
              <w:pStyle w:val="Paragraph"/>
              <w:numPr>
                <w:ilvl w:val="0"/>
                <w:numId w:val="51"/>
              </w:numPr>
              <w:spacing w:after="60"/>
              <w:ind w:left="714" w:hanging="357"/>
              <w:rPr>
                <w:b/>
                <w:bCs/>
                <w:iCs/>
              </w:rPr>
            </w:pPr>
            <w:bookmarkStart w:id="91" w:name="_Toc75275787"/>
            <w:bookmarkStart w:id="92" w:name="_Toc76376855"/>
            <w:r w:rsidRPr="0042323A">
              <w:t>The aggregate power flux-density from transmitters on controlled premises must not exceed -64.9 dBm/MHz/m</w:t>
            </w:r>
            <w:r w:rsidRPr="00707A62">
              <w:rPr>
                <w:vertAlign w:val="superscript"/>
              </w:rPr>
              <w:t>2</w:t>
            </w:r>
            <w:r w:rsidRPr="0042323A">
              <w:t xml:space="preserve"> at the boundary of </w:t>
            </w:r>
            <w:r>
              <w:t>urban excise</w:t>
            </w:r>
            <w:r w:rsidRPr="0042323A">
              <w:t xml:space="preserve"> areas at heights between 5 and 100 metres above ground level.</w:t>
            </w:r>
            <w:bookmarkEnd w:id="91"/>
            <w:bookmarkEnd w:id="92"/>
          </w:p>
        </w:tc>
      </w:tr>
    </w:tbl>
    <w:p w14:paraId="40CCEEFF" w14:textId="77777777" w:rsidR="008F796B" w:rsidRPr="00702EA1" w:rsidRDefault="008F796B" w:rsidP="00955C40">
      <w:pPr>
        <w:pStyle w:val="Paragraph"/>
      </w:pPr>
    </w:p>
    <w:p w14:paraId="040D455E" w14:textId="0454E42F" w:rsidR="00847191" w:rsidRPr="007D04B2" w:rsidRDefault="00847191" w:rsidP="00847191">
      <w:pPr>
        <w:pStyle w:val="Heading2"/>
      </w:pPr>
      <w:bookmarkStart w:id="93" w:name="_Toc80877078"/>
      <w:r>
        <w:t xml:space="preserve">Review of the s.145(4) </w:t>
      </w:r>
      <w:r w:rsidR="00E12480">
        <w:t>D</w:t>
      </w:r>
      <w:r>
        <w:t>etermination</w:t>
      </w:r>
      <w:bookmarkEnd w:id="93"/>
    </w:p>
    <w:p w14:paraId="7C18DB6B" w14:textId="47C2A13C" w:rsidR="00847191" w:rsidRDefault="00631B7F" w:rsidP="00631B7F">
      <w:pPr>
        <w:spacing w:before="120" w:line="240" w:lineRule="auto"/>
        <w:rPr>
          <w:rFonts w:cs="Arial"/>
          <w:szCs w:val="20"/>
        </w:rPr>
      </w:pPr>
      <w:r>
        <w:t xml:space="preserve">Within the TLG, all 3.4 GHz spectrum licensees supported the changes to </w:t>
      </w:r>
      <w:r w:rsidR="006E7763">
        <w:rPr>
          <w:rFonts w:cs="Arial"/>
          <w:szCs w:val="20"/>
        </w:rPr>
        <w:t xml:space="preserve">the </w:t>
      </w:r>
      <w:r w:rsidR="00E12480">
        <w:rPr>
          <w:rFonts w:cs="Arial"/>
          <w:szCs w:val="20"/>
        </w:rPr>
        <w:br/>
      </w:r>
      <w:r w:rsidR="00847191" w:rsidRPr="00847191">
        <w:rPr>
          <w:rFonts w:cs="Arial"/>
          <w:szCs w:val="20"/>
        </w:rPr>
        <w:t xml:space="preserve">s.145(4) </w:t>
      </w:r>
      <w:r w:rsidR="00E12480">
        <w:rPr>
          <w:rFonts w:cs="Arial"/>
          <w:szCs w:val="20"/>
        </w:rPr>
        <w:t>D</w:t>
      </w:r>
      <w:r w:rsidR="00847191" w:rsidRPr="00847191">
        <w:rPr>
          <w:rFonts w:cs="Arial"/>
          <w:szCs w:val="20"/>
        </w:rPr>
        <w:t>etermination</w:t>
      </w:r>
      <w:r w:rsidR="006E7763">
        <w:rPr>
          <w:rFonts w:cs="Arial"/>
          <w:szCs w:val="20"/>
        </w:rPr>
        <w:t xml:space="preserve"> detailed </w:t>
      </w:r>
      <w:r w:rsidR="006E7763" w:rsidRPr="002F1AAD">
        <w:rPr>
          <w:rFonts w:cs="Arial"/>
          <w:szCs w:val="20"/>
        </w:rPr>
        <w:t xml:space="preserve">in Table </w:t>
      </w:r>
      <w:r w:rsidR="002F1AAD" w:rsidRPr="002F1AAD">
        <w:rPr>
          <w:rFonts w:cs="Arial"/>
          <w:szCs w:val="20"/>
        </w:rPr>
        <w:t>9</w:t>
      </w:r>
      <w:r w:rsidR="006E7763" w:rsidRPr="002F1AAD">
        <w:rPr>
          <w:rFonts w:cs="Arial"/>
          <w:szCs w:val="20"/>
        </w:rPr>
        <w:t xml:space="preserve">. </w:t>
      </w:r>
      <w:r w:rsidR="00D43C4A">
        <w:rPr>
          <w:rFonts w:cs="Arial"/>
          <w:szCs w:val="20"/>
        </w:rPr>
        <w:t>C</w:t>
      </w:r>
      <w:r>
        <w:rPr>
          <w:rFonts w:cs="Arial"/>
          <w:szCs w:val="20"/>
        </w:rPr>
        <w:t xml:space="preserve">hanges </w:t>
      </w:r>
      <w:r w:rsidR="00D43C4A">
        <w:rPr>
          <w:rFonts w:cs="Arial"/>
          <w:szCs w:val="20"/>
        </w:rPr>
        <w:t xml:space="preserve">discussed within the TLG </w:t>
      </w:r>
      <w:r w:rsidR="00AB7503">
        <w:rPr>
          <w:rFonts w:cs="Arial"/>
          <w:szCs w:val="20"/>
        </w:rPr>
        <w:t xml:space="preserve">generally </w:t>
      </w:r>
      <w:r>
        <w:rPr>
          <w:rFonts w:cs="Arial"/>
          <w:szCs w:val="20"/>
        </w:rPr>
        <w:t xml:space="preserve">align with those </w:t>
      </w:r>
      <w:r w:rsidR="00AB7503">
        <w:rPr>
          <w:rFonts w:cs="Arial"/>
          <w:szCs w:val="20"/>
        </w:rPr>
        <w:t xml:space="preserve">identified </w:t>
      </w:r>
      <w:r>
        <w:rPr>
          <w:rFonts w:cs="Arial"/>
          <w:szCs w:val="20"/>
        </w:rPr>
        <w:t xml:space="preserve">in the review of the </w:t>
      </w:r>
      <w:hyperlink r:id="rId44" w:history="1">
        <w:r w:rsidRPr="00631B7F">
          <w:rPr>
            <w:rStyle w:val="Hyperlink"/>
            <w:rFonts w:cs="Arial"/>
            <w:szCs w:val="20"/>
          </w:rPr>
          <w:t>2.3 GHz technical framework</w:t>
        </w:r>
      </w:hyperlink>
      <w:r>
        <w:rPr>
          <w:rFonts w:cs="Arial"/>
          <w:szCs w:val="20"/>
        </w:rPr>
        <w:t>, the only difference</w:t>
      </w:r>
      <w:r w:rsidR="00AB7503">
        <w:rPr>
          <w:rFonts w:cs="Arial"/>
          <w:szCs w:val="20"/>
        </w:rPr>
        <w:t xml:space="preserve"> being </w:t>
      </w:r>
      <w:r>
        <w:rPr>
          <w:rFonts w:cs="Arial"/>
          <w:szCs w:val="20"/>
        </w:rPr>
        <w:t xml:space="preserve">to the level of protection (LOP). In this case the current LOP was maintained for non-AAS. An 8 dB factor (to account for the dynamic </w:t>
      </w:r>
      <w:r>
        <w:t>interference environment associated with AAS)</w:t>
      </w:r>
      <w:r>
        <w:rPr>
          <w:rFonts w:cs="Arial"/>
          <w:szCs w:val="20"/>
        </w:rPr>
        <w:t xml:space="preserve"> was applied to this to derive the LOP for AAS.  </w:t>
      </w:r>
    </w:p>
    <w:p w14:paraId="37D8EB59" w14:textId="10B0638D" w:rsidR="008C53B4" w:rsidRDefault="008C53B4" w:rsidP="008C53B4">
      <w:bookmarkStart w:id="94" w:name="_Hlk76114939"/>
      <w:r>
        <w:t xml:space="preserve">In addition to these general changes, </w:t>
      </w:r>
      <w:r w:rsidR="00D43C4A">
        <w:t xml:space="preserve">ACMA staff </w:t>
      </w:r>
      <w:r>
        <w:t xml:space="preserve">also proposed to exempt </w:t>
      </w:r>
      <w:proofErr w:type="spellStart"/>
      <w:r>
        <w:t>nbn</w:t>
      </w:r>
      <w:proofErr w:type="spellEnd"/>
      <w:r>
        <w:t xml:space="preserve"> services operating in the 3400</w:t>
      </w:r>
      <w:r w:rsidR="00B80C39">
        <w:t>–</w:t>
      </w:r>
      <w:r>
        <w:t>3475 MHz band from having to meet the DBC at urban excise area boundaries.</w:t>
      </w:r>
      <w:r w:rsidR="00C82418">
        <w:t xml:space="preserve"> </w:t>
      </w:r>
      <w:r w:rsidR="00C82418" w:rsidRPr="00C82418">
        <w:t>The intention is that ultimately</w:t>
      </w:r>
      <w:r w:rsidR="00C82418">
        <w:t xml:space="preserve"> such</w:t>
      </w:r>
      <w:r w:rsidR="00C82418" w:rsidRPr="00C82418">
        <w:t xml:space="preserve"> interference will be managed by</w:t>
      </w:r>
      <w:r w:rsidR="00C82418">
        <w:t xml:space="preserve"> the</w:t>
      </w:r>
      <w:r w:rsidR="00C82418" w:rsidRPr="00C82418">
        <w:t xml:space="preserve"> measures developed</w:t>
      </w:r>
      <w:r w:rsidR="00C82418">
        <w:t xml:space="preserve"> for use of urban excise areas.</w:t>
      </w:r>
      <w:r w:rsidR="003739C4">
        <w:t xml:space="preserve"> </w:t>
      </w:r>
      <w:r w:rsidR="00C82418">
        <w:t xml:space="preserve">This change is being applied now as a temporary measure before these arrangements are finalised and implemented. </w:t>
      </w:r>
      <w:r w:rsidR="00C82418" w:rsidRPr="00C82418">
        <w:t xml:space="preserve">It is proposed to include </w:t>
      </w:r>
      <w:r w:rsidR="00C82418">
        <w:t>it</w:t>
      </w:r>
      <w:r w:rsidR="00C82418" w:rsidRPr="00C82418">
        <w:t xml:space="preserve"> now so </w:t>
      </w:r>
      <w:proofErr w:type="spellStart"/>
      <w:r w:rsidR="00C82418">
        <w:t>nbn</w:t>
      </w:r>
      <w:proofErr w:type="spellEnd"/>
      <w:r w:rsidR="00C82418" w:rsidRPr="00C82418">
        <w:t xml:space="preserve"> are not prevented from registering devices near urban excise areas in the interim period.</w:t>
      </w:r>
    </w:p>
    <w:bookmarkEnd w:id="94"/>
    <w:p w14:paraId="5B37F602" w14:textId="59E7C926" w:rsidR="003739C4" w:rsidRDefault="003739C4" w:rsidP="007832E7">
      <w:pPr>
        <w:spacing w:after="360"/>
        <w:rPr>
          <w:rFonts w:cs="Arial"/>
          <w:szCs w:val="20"/>
        </w:rPr>
      </w:pPr>
      <w:r>
        <w:t xml:space="preserve">A draft update to the s.145(4) </w:t>
      </w:r>
      <w:r w:rsidR="00E12480">
        <w:t>D</w:t>
      </w:r>
      <w:r>
        <w:t xml:space="preserve">etermination is provided at </w:t>
      </w:r>
      <w:r w:rsidRPr="00096E81">
        <w:t>Appendix C</w:t>
      </w:r>
      <w:r w:rsidR="00B80C39">
        <w:t xml:space="preserve"> (found in the key documents section of this consultation)</w:t>
      </w:r>
      <w:r>
        <w:t xml:space="preserve">. </w:t>
      </w:r>
    </w:p>
    <w:p w14:paraId="6207D012" w14:textId="2C1CA819" w:rsidR="006E7763" w:rsidRPr="00A9457C" w:rsidRDefault="006065EE" w:rsidP="006E7763">
      <w:pPr>
        <w:pStyle w:val="Tableheading"/>
        <w:keepLines/>
      </w:pPr>
      <w:r>
        <w:lastRenderedPageBreak/>
        <w:t>A</w:t>
      </w:r>
      <w:r w:rsidR="006E7763">
        <w:t xml:space="preserve">mendments </w:t>
      </w:r>
      <w:r>
        <w:t xml:space="preserve">considered </w:t>
      </w:r>
      <w:r w:rsidR="006E7763">
        <w:t xml:space="preserve">to </w:t>
      </w:r>
      <w:r w:rsidR="006E7763">
        <w:rPr>
          <w:rFonts w:cs="Arial"/>
        </w:rPr>
        <w:t xml:space="preserve">the s.145(4) </w:t>
      </w:r>
      <w:r w:rsidR="00E12480">
        <w:rPr>
          <w:rFonts w:cs="Arial"/>
        </w:rPr>
        <w:t>D</w:t>
      </w:r>
      <w:r w:rsidR="006E7763">
        <w:rPr>
          <w:rFonts w:cs="Arial"/>
        </w:rPr>
        <w:t>etermination</w:t>
      </w:r>
    </w:p>
    <w:tbl>
      <w:tblPr>
        <w:tblStyle w:val="ACMAtablestyle"/>
        <w:tblW w:w="9209" w:type="dxa"/>
        <w:tblLayout w:type="fixed"/>
        <w:tblCellMar>
          <w:left w:w="85" w:type="dxa"/>
          <w:right w:w="85" w:type="dxa"/>
        </w:tblCellMar>
        <w:tblLook w:val="01E0" w:firstRow="1" w:lastRow="1" w:firstColumn="1" w:lastColumn="1" w:noHBand="0" w:noVBand="0"/>
        <w:tblCaption w:val="Table title to go here"/>
        <w:tblDescription w:val="Table description to go here"/>
      </w:tblPr>
      <w:tblGrid>
        <w:gridCol w:w="4604"/>
        <w:gridCol w:w="4605"/>
      </w:tblGrid>
      <w:tr w:rsidR="00847191" w:rsidRPr="006D46E5" w14:paraId="4794DAB7" w14:textId="77777777" w:rsidTr="00096E81">
        <w:trPr>
          <w:cnfStyle w:val="100000000000" w:firstRow="1" w:lastRow="0" w:firstColumn="0" w:lastColumn="0" w:oddVBand="0" w:evenVBand="0" w:oddHBand="0" w:evenHBand="0" w:firstRowFirstColumn="0" w:firstRowLastColumn="0" w:lastRowFirstColumn="0" w:lastRowLastColumn="0"/>
        </w:trPr>
        <w:tc>
          <w:tcPr>
            <w:tcW w:w="0" w:type="dxa"/>
          </w:tcPr>
          <w:p w14:paraId="60A68796" w14:textId="77777777" w:rsidR="00847191" w:rsidRPr="00930510" w:rsidRDefault="00847191" w:rsidP="00847191">
            <w:pPr>
              <w:pStyle w:val="Tableheaderrow"/>
            </w:pPr>
            <w:r>
              <w:t>Item</w:t>
            </w:r>
          </w:p>
        </w:tc>
        <w:tc>
          <w:tcPr>
            <w:tcW w:w="0" w:type="dxa"/>
          </w:tcPr>
          <w:p w14:paraId="6FAC7F19" w14:textId="6C5B40EE" w:rsidR="00847191" w:rsidRPr="00930510" w:rsidRDefault="00D43C4A" w:rsidP="00847191">
            <w:pPr>
              <w:pStyle w:val="Tableheaderrow"/>
            </w:pPr>
            <w:r>
              <w:t>Detail of amendment</w:t>
            </w:r>
          </w:p>
        </w:tc>
      </w:tr>
      <w:tr w:rsidR="00847191" w:rsidRPr="006D46E5" w14:paraId="0A7ADE55" w14:textId="77777777" w:rsidTr="00096E81">
        <w:trPr>
          <w:cnfStyle w:val="000000100000" w:firstRow="0" w:lastRow="0" w:firstColumn="0" w:lastColumn="0" w:oddVBand="0" w:evenVBand="0" w:oddHBand="1" w:evenHBand="0" w:firstRowFirstColumn="0" w:firstRowLastColumn="0" w:lastRowFirstColumn="0" w:lastRowLastColumn="0"/>
        </w:trPr>
        <w:tc>
          <w:tcPr>
            <w:tcW w:w="0" w:type="dxa"/>
          </w:tcPr>
          <w:p w14:paraId="34978967" w14:textId="77777777" w:rsidR="00847191" w:rsidRPr="005053D8" w:rsidRDefault="00847191" w:rsidP="00847191">
            <w:pPr>
              <w:pStyle w:val="TableBody"/>
            </w:pPr>
            <w:r w:rsidRPr="005053D8">
              <w:t>3.4 GHz definition</w:t>
            </w:r>
          </w:p>
        </w:tc>
        <w:tc>
          <w:tcPr>
            <w:tcW w:w="0" w:type="dxa"/>
          </w:tcPr>
          <w:p w14:paraId="347F15FA" w14:textId="77777777" w:rsidR="00847191" w:rsidRPr="005053D8" w:rsidRDefault="00847191" w:rsidP="00847191">
            <w:pPr>
              <w:pStyle w:val="TableBody"/>
            </w:pPr>
            <w:r w:rsidRPr="005053D8">
              <w:t xml:space="preserve">Change to 3400-3700 MHz </w:t>
            </w:r>
          </w:p>
        </w:tc>
      </w:tr>
      <w:tr w:rsidR="00847191" w:rsidRPr="006D46E5" w14:paraId="59758B78" w14:textId="77777777" w:rsidTr="00096E81">
        <w:trPr>
          <w:cnfStyle w:val="000000010000" w:firstRow="0" w:lastRow="0" w:firstColumn="0" w:lastColumn="0" w:oddVBand="0" w:evenVBand="0" w:oddHBand="0" w:evenHBand="1" w:firstRowFirstColumn="0" w:firstRowLastColumn="0" w:lastRowFirstColumn="0" w:lastRowLastColumn="0"/>
        </w:trPr>
        <w:tc>
          <w:tcPr>
            <w:tcW w:w="0" w:type="dxa"/>
          </w:tcPr>
          <w:p w14:paraId="26B0136F" w14:textId="77777777" w:rsidR="00847191" w:rsidRPr="005053D8" w:rsidRDefault="00847191" w:rsidP="00847191">
            <w:pPr>
              <w:pStyle w:val="TableBody"/>
            </w:pPr>
            <w:r w:rsidRPr="005053D8">
              <w:t>L</w:t>
            </w:r>
            <w:r>
              <w:t>evel of protection (LOP)</w:t>
            </w:r>
          </w:p>
        </w:tc>
        <w:tc>
          <w:tcPr>
            <w:tcW w:w="0" w:type="dxa"/>
          </w:tcPr>
          <w:p w14:paraId="4BE657C6" w14:textId="77777777" w:rsidR="00847191" w:rsidRPr="005053D8" w:rsidRDefault="00847191" w:rsidP="00847191">
            <w:pPr>
              <w:pStyle w:val="TableBody"/>
            </w:pPr>
            <w:r w:rsidRPr="005053D8">
              <w:t xml:space="preserve">Non-AAS: -98 dBm/MHz (this is the current LOP) </w:t>
            </w:r>
          </w:p>
          <w:p w14:paraId="5EC22796" w14:textId="77777777" w:rsidR="00847191" w:rsidRPr="005053D8" w:rsidRDefault="00847191" w:rsidP="00847191">
            <w:pPr>
              <w:pStyle w:val="TableBody"/>
            </w:pPr>
            <w:r w:rsidRPr="005053D8">
              <w:t xml:space="preserve">AAS: -90 dBm/MHz </w:t>
            </w:r>
          </w:p>
        </w:tc>
      </w:tr>
      <w:tr w:rsidR="00847191" w:rsidRPr="006D46E5" w14:paraId="664CE11B" w14:textId="77777777" w:rsidTr="00096E81">
        <w:trPr>
          <w:cnfStyle w:val="000000100000" w:firstRow="0" w:lastRow="0" w:firstColumn="0" w:lastColumn="0" w:oddVBand="0" w:evenVBand="0" w:oddHBand="1" w:evenHBand="0" w:firstRowFirstColumn="0" w:firstRowLastColumn="0" w:lastRowFirstColumn="0" w:lastRowLastColumn="0"/>
        </w:trPr>
        <w:tc>
          <w:tcPr>
            <w:tcW w:w="0" w:type="dxa"/>
          </w:tcPr>
          <w:p w14:paraId="0D745C9A" w14:textId="77777777" w:rsidR="00847191" w:rsidRPr="005053D8" w:rsidRDefault="00847191" w:rsidP="00847191">
            <w:pPr>
              <w:pStyle w:val="TableBody"/>
            </w:pPr>
            <w:r w:rsidRPr="005053D8">
              <w:t>D</w:t>
            </w:r>
            <w:r>
              <w:t>igital Elevation Model (DEM)</w:t>
            </w:r>
          </w:p>
        </w:tc>
        <w:tc>
          <w:tcPr>
            <w:tcW w:w="0" w:type="dxa"/>
          </w:tcPr>
          <w:p w14:paraId="441149E6" w14:textId="77777777" w:rsidR="00847191" w:rsidRPr="005053D8" w:rsidRDefault="00847191" w:rsidP="00847191">
            <w:pPr>
              <w:pStyle w:val="TableBody"/>
            </w:pPr>
            <w:r w:rsidRPr="005053D8">
              <w:t>Adopt 3-sec DEM</w:t>
            </w:r>
          </w:p>
        </w:tc>
      </w:tr>
      <w:tr w:rsidR="00847191" w:rsidRPr="006D46E5" w14:paraId="260C2092" w14:textId="77777777" w:rsidTr="00096E81">
        <w:trPr>
          <w:cnfStyle w:val="000000010000" w:firstRow="0" w:lastRow="0" w:firstColumn="0" w:lastColumn="0" w:oddVBand="0" w:evenVBand="0" w:oddHBand="0" w:evenHBand="1" w:firstRowFirstColumn="0" w:firstRowLastColumn="0" w:lastRowFirstColumn="0" w:lastRowLastColumn="0"/>
        </w:trPr>
        <w:tc>
          <w:tcPr>
            <w:tcW w:w="0" w:type="dxa"/>
          </w:tcPr>
          <w:p w14:paraId="2E64BFDF" w14:textId="77777777" w:rsidR="00847191" w:rsidRPr="005053D8" w:rsidRDefault="00847191" w:rsidP="00847191">
            <w:pPr>
              <w:pStyle w:val="TableBody"/>
            </w:pPr>
            <w:r w:rsidRPr="005053D8">
              <w:t>Calculation resolution</w:t>
            </w:r>
          </w:p>
        </w:tc>
        <w:tc>
          <w:tcPr>
            <w:tcW w:w="0" w:type="dxa"/>
          </w:tcPr>
          <w:p w14:paraId="6A21998A" w14:textId="77777777" w:rsidR="00847191" w:rsidRPr="005053D8" w:rsidRDefault="00847191" w:rsidP="00847191">
            <w:pPr>
              <w:pStyle w:val="TableBody"/>
            </w:pPr>
            <w:r w:rsidRPr="005053D8">
              <w:t>100m (current 250m)</w:t>
            </w:r>
          </w:p>
        </w:tc>
      </w:tr>
      <w:tr w:rsidR="00847191" w:rsidRPr="006D46E5" w14:paraId="41A886B2" w14:textId="77777777" w:rsidTr="00096E81">
        <w:trPr>
          <w:cnfStyle w:val="000000100000" w:firstRow="0" w:lastRow="0" w:firstColumn="0" w:lastColumn="0" w:oddVBand="0" w:evenVBand="0" w:oddHBand="1" w:evenHBand="0" w:firstRowFirstColumn="0" w:firstRowLastColumn="0" w:lastRowFirstColumn="0" w:lastRowLastColumn="0"/>
        </w:trPr>
        <w:tc>
          <w:tcPr>
            <w:tcW w:w="0" w:type="dxa"/>
          </w:tcPr>
          <w:p w14:paraId="3A4A47EC" w14:textId="77777777" w:rsidR="00847191" w:rsidRPr="005053D8" w:rsidRDefault="00847191" w:rsidP="00847191">
            <w:pPr>
              <w:pStyle w:val="TableBody"/>
            </w:pPr>
            <w:r w:rsidRPr="005053D8">
              <w:t>Value of m</w:t>
            </w:r>
          </w:p>
        </w:tc>
        <w:tc>
          <w:tcPr>
            <w:tcW w:w="0" w:type="dxa"/>
          </w:tcPr>
          <w:p w14:paraId="4EB5FC21" w14:textId="77777777" w:rsidR="00847191" w:rsidRPr="005053D8" w:rsidRDefault="00847191" w:rsidP="00847191">
            <w:pPr>
              <w:pStyle w:val="TableBody"/>
            </w:pPr>
            <w:r w:rsidRPr="005053D8">
              <w:t xml:space="preserve">1080 – this equates to 108 km </w:t>
            </w:r>
          </w:p>
          <w:p w14:paraId="36965E32" w14:textId="6E35BF91" w:rsidR="00847191" w:rsidRPr="005053D8" w:rsidRDefault="00847191" w:rsidP="00847191">
            <w:pPr>
              <w:pStyle w:val="TableBody"/>
            </w:pPr>
            <w:r w:rsidRPr="005053D8">
              <w:t>(</w:t>
            </w:r>
            <w:proofErr w:type="gramStart"/>
            <w:r w:rsidRPr="005053D8">
              <w:t>currently</w:t>
            </w:r>
            <w:proofErr w:type="gramEnd"/>
            <w:r w:rsidRPr="005053D8">
              <w:t xml:space="preserve"> 432 for 250</w:t>
            </w:r>
            <w:r w:rsidR="00111096">
              <w:t xml:space="preserve"> </w:t>
            </w:r>
            <w:r w:rsidRPr="005053D8">
              <w:t>m resolution</w:t>
            </w:r>
            <w:r w:rsidR="00111096">
              <w:t>,</w:t>
            </w:r>
            <w:r w:rsidRPr="005053D8">
              <w:t xml:space="preserve"> which equates to 108 km)</w:t>
            </w:r>
          </w:p>
        </w:tc>
      </w:tr>
      <w:tr w:rsidR="00847191" w:rsidRPr="006D46E5" w14:paraId="5F1A0B30" w14:textId="77777777" w:rsidTr="00096E81">
        <w:trPr>
          <w:cnfStyle w:val="000000010000" w:firstRow="0" w:lastRow="0" w:firstColumn="0" w:lastColumn="0" w:oddVBand="0" w:evenVBand="0" w:oddHBand="0" w:evenHBand="1" w:firstRowFirstColumn="0" w:firstRowLastColumn="0" w:lastRowFirstColumn="0" w:lastRowLastColumn="0"/>
        </w:trPr>
        <w:tc>
          <w:tcPr>
            <w:tcW w:w="0" w:type="dxa"/>
          </w:tcPr>
          <w:p w14:paraId="79442F08" w14:textId="77777777" w:rsidR="00847191" w:rsidRPr="005053D8" w:rsidRDefault="00847191" w:rsidP="00847191">
            <w:pPr>
              <w:pStyle w:val="TableBody"/>
            </w:pPr>
            <w:r w:rsidRPr="005053D8">
              <w:t>Propagation modelling</w:t>
            </w:r>
          </w:p>
        </w:tc>
        <w:tc>
          <w:tcPr>
            <w:tcW w:w="0" w:type="dxa"/>
          </w:tcPr>
          <w:p w14:paraId="47CD33FA" w14:textId="77777777" w:rsidR="00847191" w:rsidRPr="005053D8" w:rsidRDefault="00847191" w:rsidP="00096E81">
            <w:pPr>
              <w:pStyle w:val="Bulletlevel1"/>
            </w:pPr>
            <w:r w:rsidRPr="005053D8">
              <w:t>Specify that ITU-R P.525 (free-space path loss) is to be used in calculations along with ITU-R P.526 (diffraction)</w:t>
            </w:r>
          </w:p>
          <w:p w14:paraId="264FD138" w14:textId="77777777" w:rsidR="00847191" w:rsidRPr="005053D8" w:rsidRDefault="00847191" w:rsidP="00096E81">
            <w:pPr>
              <w:pStyle w:val="Bulletlevel1last"/>
            </w:pPr>
            <w:r w:rsidRPr="005053D8">
              <w:t xml:space="preserve">Inclusion of clutter loss for stations that are at height 6m or lower based on Recommendation ITU-R P.2108-0. If the loss calculated is less than 0 dB, the calculated loss value is replaced with 0 </w:t>
            </w:r>
            <w:proofErr w:type="spellStart"/>
            <w:r w:rsidRPr="005053D8">
              <w:t>dB.</w:t>
            </w:r>
            <w:proofErr w:type="spellEnd"/>
            <w:r w:rsidRPr="005053D8">
              <w:t xml:space="preserve"> If the loss calculated is greater than 8 dB, the calculated loss value is replaced with 8 </w:t>
            </w:r>
            <w:proofErr w:type="spellStart"/>
            <w:r w:rsidRPr="005053D8">
              <w:t>dB.</w:t>
            </w:r>
            <w:proofErr w:type="spellEnd"/>
          </w:p>
        </w:tc>
      </w:tr>
      <w:tr w:rsidR="00847191" w:rsidRPr="006D46E5" w14:paraId="6EE004EF" w14:textId="77777777" w:rsidTr="00096E81">
        <w:trPr>
          <w:cnfStyle w:val="000000100000" w:firstRow="0" w:lastRow="0" w:firstColumn="0" w:lastColumn="0" w:oddVBand="0" w:evenVBand="0" w:oddHBand="1" w:evenHBand="0" w:firstRowFirstColumn="0" w:firstRowLastColumn="0" w:lastRowFirstColumn="0" w:lastRowLastColumn="0"/>
        </w:trPr>
        <w:tc>
          <w:tcPr>
            <w:tcW w:w="0" w:type="dxa"/>
          </w:tcPr>
          <w:p w14:paraId="052C12F9" w14:textId="77777777" w:rsidR="00847191" w:rsidRPr="005053D8" w:rsidRDefault="00847191" w:rsidP="00847191">
            <w:pPr>
              <w:pStyle w:val="TableBody"/>
            </w:pPr>
            <w:r w:rsidRPr="005053D8">
              <w:t>Grandfathering clause for existing device registrations</w:t>
            </w:r>
          </w:p>
        </w:tc>
        <w:tc>
          <w:tcPr>
            <w:tcW w:w="0" w:type="dxa"/>
          </w:tcPr>
          <w:p w14:paraId="06E08878" w14:textId="6A7CBED4" w:rsidR="00847191" w:rsidRPr="005053D8" w:rsidRDefault="00847191" w:rsidP="00847191">
            <w:pPr>
              <w:pStyle w:val="TableBody"/>
            </w:pPr>
            <w:r w:rsidRPr="005053D8">
              <w:t xml:space="preserve">While changes </w:t>
            </w:r>
            <w:r w:rsidR="00D13CF6">
              <w:t>identified</w:t>
            </w:r>
            <w:r w:rsidR="00D13CF6" w:rsidRPr="005053D8">
              <w:t xml:space="preserve"> </w:t>
            </w:r>
            <w:r w:rsidRPr="005053D8">
              <w:t>are unlikely to affect existing registration, to</w:t>
            </w:r>
            <w:r w:rsidR="00E12480">
              <w:t> </w:t>
            </w:r>
            <w:r w:rsidRPr="005053D8">
              <w:t xml:space="preserve">ensure this an addition clause </w:t>
            </w:r>
            <w:r w:rsidR="00D13CF6">
              <w:t>could be added</w:t>
            </w:r>
            <w:r w:rsidRPr="005053D8">
              <w:t xml:space="preserve">. This will state </w:t>
            </w:r>
            <w:r w:rsidR="00E12480">
              <w:br/>
            </w:r>
            <w:r w:rsidRPr="005053D8">
              <w:t xml:space="preserve">that devices are required to meet the requirements of the </w:t>
            </w:r>
            <w:r w:rsidR="00E12480">
              <w:br/>
            </w:r>
            <w:r w:rsidRPr="005053D8">
              <w:t xml:space="preserve">s.145(4) </w:t>
            </w:r>
            <w:r w:rsidR="00E12480">
              <w:t>D</w:t>
            </w:r>
            <w:r w:rsidRPr="005053D8">
              <w:t xml:space="preserve">etermination that applies at the time of registration.  </w:t>
            </w:r>
          </w:p>
        </w:tc>
      </w:tr>
      <w:tr w:rsidR="008C53B4" w:rsidRPr="006D46E5" w14:paraId="3D548E3D" w14:textId="77777777" w:rsidTr="00096E81">
        <w:trPr>
          <w:cnfStyle w:val="000000010000" w:firstRow="0" w:lastRow="0" w:firstColumn="0" w:lastColumn="0" w:oddVBand="0" w:evenVBand="0" w:oddHBand="0" w:evenHBand="1" w:firstRowFirstColumn="0" w:firstRowLastColumn="0" w:lastRowFirstColumn="0" w:lastRowLastColumn="0"/>
        </w:trPr>
        <w:tc>
          <w:tcPr>
            <w:tcW w:w="0" w:type="dxa"/>
          </w:tcPr>
          <w:p w14:paraId="2D16F138" w14:textId="59DAB529" w:rsidR="008C53B4" w:rsidRPr="005053D8" w:rsidRDefault="008C53B4" w:rsidP="00847191">
            <w:pPr>
              <w:pStyle w:val="TableBody"/>
            </w:pPr>
            <w:r>
              <w:t xml:space="preserve">Exemption </w:t>
            </w:r>
            <w:r w:rsidR="003739C4">
              <w:t xml:space="preserve">for </w:t>
            </w:r>
            <w:proofErr w:type="spellStart"/>
            <w:r>
              <w:t>nbn</w:t>
            </w:r>
            <w:proofErr w:type="spellEnd"/>
            <w:r>
              <w:t xml:space="preserve"> services meeting DBC at urban excise boundary</w:t>
            </w:r>
          </w:p>
        </w:tc>
        <w:tc>
          <w:tcPr>
            <w:tcW w:w="0" w:type="dxa"/>
          </w:tcPr>
          <w:p w14:paraId="6430C077" w14:textId="4EB1C167" w:rsidR="008C53B4" w:rsidRPr="005053D8" w:rsidRDefault="003739C4" w:rsidP="00847191">
            <w:pPr>
              <w:pStyle w:val="TableBody"/>
            </w:pPr>
            <w:r>
              <w:t xml:space="preserve">Transmitters operating under </w:t>
            </w:r>
            <w:proofErr w:type="spellStart"/>
            <w:r>
              <w:t>nbn</w:t>
            </w:r>
            <w:proofErr w:type="spellEnd"/>
            <w:r>
              <w:t xml:space="preserve"> 3.4 GHz spectrum licences, with an occupied bandwidth wholly within the 3400</w:t>
            </w:r>
            <w:r w:rsidR="00111096">
              <w:t>–</w:t>
            </w:r>
            <w:r>
              <w:t xml:space="preserve">3475 MHz band, will not be required to meet the DBC into urban excise areas. </w:t>
            </w:r>
          </w:p>
        </w:tc>
      </w:tr>
    </w:tbl>
    <w:p w14:paraId="232A3E83" w14:textId="266194B5" w:rsidR="00847191" w:rsidRDefault="00847191" w:rsidP="00847191"/>
    <w:p w14:paraId="72C7DAA5" w14:textId="0B22CEE9" w:rsidR="00847191" w:rsidRPr="007D04B2" w:rsidRDefault="00847191" w:rsidP="00847191">
      <w:pPr>
        <w:pStyle w:val="Heading2"/>
      </w:pPr>
      <w:bookmarkStart w:id="95" w:name="_Toc80877079"/>
      <w:r>
        <w:t>Review of the Rx spurious emission limits</w:t>
      </w:r>
      <w:bookmarkEnd w:id="95"/>
    </w:p>
    <w:p w14:paraId="43DF7E3C" w14:textId="7F15BA14" w:rsidR="00847191" w:rsidRPr="00602151" w:rsidRDefault="00847191" w:rsidP="00847191">
      <w:pPr>
        <w:pStyle w:val="ACMATableHeader"/>
        <w:numPr>
          <w:ilvl w:val="0"/>
          <w:numId w:val="0"/>
        </w:numPr>
        <w:spacing w:after="360" w:line="240" w:lineRule="atLeast"/>
      </w:pPr>
      <w:r w:rsidRPr="00AD54B1">
        <w:rPr>
          <w:b w:val="0"/>
          <w:bCs w:val="0"/>
          <w:color w:val="auto"/>
          <w:szCs w:val="24"/>
        </w:rPr>
        <w:t xml:space="preserve">The </w:t>
      </w:r>
      <w:r w:rsidRPr="002F1AAD">
        <w:rPr>
          <w:b w:val="0"/>
          <w:bCs w:val="0"/>
          <w:color w:val="auto"/>
          <w:szCs w:val="24"/>
        </w:rPr>
        <w:t>current unwanted emission limits for registered receivers (i.e.</w:t>
      </w:r>
      <w:r w:rsidR="00111096">
        <w:rPr>
          <w:b w:val="0"/>
          <w:bCs w:val="0"/>
          <w:color w:val="auto"/>
          <w:szCs w:val="24"/>
        </w:rPr>
        <w:t>,</w:t>
      </w:r>
      <w:r w:rsidRPr="002F1AAD">
        <w:rPr>
          <w:b w:val="0"/>
          <w:bCs w:val="0"/>
          <w:color w:val="auto"/>
          <w:szCs w:val="24"/>
        </w:rPr>
        <w:t xml:space="preserve"> base stations) are reproduced in Table </w:t>
      </w:r>
      <w:r w:rsidR="002F1AAD" w:rsidRPr="002F1AAD">
        <w:rPr>
          <w:b w:val="0"/>
          <w:bCs w:val="0"/>
          <w:color w:val="auto"/>
          <w:szCs w:val="24"/>
        </w:rPr>
        <w:t>10</w:t>
      </w:r>
      <w:r w:rsidRPr="002F1AAD">
        <w:rPr>
          <w:b w:val="0"/>
          <w:bCs w:val="0"/>
          <w:color w:val="auto"/>
          <w:szCs w:val="24"/>
        </w:rPr>
        <w:t xml:space="preserve">. </w:t>
      </w:r>
      <w:r w:rsidR="00D43C4A">
        <w:rPr>
          <w:b w:val="0"/>
          <w:bCs w:val="0"/>
          <w:color w:val="auto"/>
          <w:szCs w:val="24"/>
        </w:rPr>
        <w:t>It was identified within the TLG that t</w:t>
      </w:r>
      <w:r w:rsidRPr="002F1AAD">
        <w:rPr>
          <w:b w:val="0"/>
          <w:bCs w:val="0"/>
          <w:color w:val="auto"/>
          <w:szCs w:val="24"/>
        </w:rPr>
        <w:t>hese</w:t>
      </w:r>
      <w:r w:rsidRPr="00AD54B1">
        <w:rPr>
          <w:b w:val="0"/>
          <w:bCs w:val="0"/>
          <w:color w:val="auto"/>
          <w:szCs w:val="24"/>
        </w:rPr>
        <w:t xml:space="preserve"> </w:t>
      </w:r>
      <w:r>
        <w:rPr>
          <w:b w:val="0"/>
          <w:bCs w:val="0"/>
          <w:color w:val="auto"/>
          <w:szCs w:val="24"/>
        </w:rPr>
        <w:t xml:space="preserve">are the </w:t>
      </w:r>
      <w:r w:rsidRPr="00AD54B1">
        <w:rPr>
          <w:b w:val="0"/>
          <w:bCs w:val="0"/>
          <w:color w:val="auto"/>
          <w:szCs w:val="24"/>
        </w:rPr>
        <w:t xml:space="preserve">limits </w:t>
      </w:r>
      <w:r>
        <w:rPr>
          <w:b w:val="0"/>
          <w:bCs w:val="0"/>
          <w:color w:val="auto"/>
          <w:szCs w:val="24"/>
        </w:rPr>
        <w:t xml:space="preserve">that are defined in 3GPP standards for non-AAS Rx and apply to individual receivers. Different limits are </w:t>
      </w:r>
      <w:r w:rsidR="00820299">
        <w:rPr>
          <w:b w:val="0"/>
          <w:bCs w:val="0"/>
          <w:color w:val="auto"/>
          <w:szCs w:val="24"/>
        </w:rPr>
        <w:t xml:space="preserve">also </w:t>
      </w:r>
      <w:r>
        <w:rPr>
          <w:b w:val="0"/>
          <w:bCs w:val="0"/>
          <w:color w:val="auto"/>
          <w:szCs w:val="24"/>
        </w:rPr>
        <w:t xml:space="preserve">defined for </w:t>
      </w:r>
      <w:r w:rsidRPr="00AD54B1">
        <w:rPr>
          <w:b w:val="0"/>
          <w:bCs w:val="0"/>
          <w:color w:val="auto"/>
          <w:szCs w:val="24"/>
        </w:rPr>
        <w:t>AAS</w:t>
      </w:r>
      <w:r>
        <w:rPr>
          <w:b w:val="0"/>
          <w:bCs w:val="0"/>
          <w:color w:val="auto"/>
          <w:szCs w:val="24"/>
        </w:rPr>
        <w:t xml:space="preserve"> Rx</w:t>
      </w:r>
      <w:r w:rsidRPr="00AD54B1">
        <w:rPr>
          <w:b w:val="0"/>
          <w:bCs w:val="0"/>
          <w:color w:val="auto"/>
          <w:szCs w:val="24"/>
        </w:rPr>
        <w:t>.</w:t>
      </w:r>
    </w:p>
    <w:p w14:paraId="6FFAA87F" w14:textId="145565F6" w:rsidR="00847191" w:rsidRPr="00602151" w:rsidRDefault="00847191" w:rsidP="00B4104F">
      <w:pPr>
        <w:pStyle w:val="Tableheading"/>
        <w:keepLines/>
      </w:pPr>
      <w:bookmarkStart w:id="96" w:name="_Hlk62112531"/>
      <w:r w:rsidRPr="00602151">
        <w:t xml:space="preserve">Receiver unwanted emission limits outside the </w:t>
      </w:r>
      <w:r w:rsidR="00111096">
        <w:br/>
      </w:r>
      <w:r>
        <w:t>3360</w:t>
      </w:r>
      <w:r w:rsidR="00111096">
        <w:t>–</w:t>
      </w:r>
      <w:r>
        <w:t>3840</w:t>
      </w:r>
      <w:r w:rsidRPr="00602151">
        <w:t xml:space="preserve"> MHz frequency band </w:t>
      </w:r>
    </w:p>
    <w:tbl>
      <w:tblPr>
        <w:tblW w:w="730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85" w:type="dxa"/>
          <w:bottom w:w="85" w:type="dxa"/>
          <w:right w:w="85" w:type="dxa"/>
        </w:tblCellMar>
        <w:tblLook w:val="04A0" w:firstRow="1" w:lastRow="0" w:firstColumn="1" w:lastColumn="0" w:noHBand="0" w:noVBand="1"/>
      </w:tblPr>
      <w:tblGrid>
        <w:gridCol w:w="2694"/>
        <w:gridCol w:w="2976"/>
        <w:gridCol w:w="1635"/>
      </w:tblGrid>
      <w:tr w:rsidR="00111096" w:rsidRPr="00111096" w14:paraId="45BDDB22" w14:textId="77777777" w:rsidTr="00096E81">
        <w:tc>
          <w:tcPr>
            <w:tcW w:w="2694" w:type="dxa"/>
            <w:shd w:val="clear" w:color="auto" w:fill="404040" w:themeFill="text1" w:themeFillTint="BF"/>
            <w:tcMar>
              <w:top w:w="0" w:type="dxa"/>
              <w:left w:w="108" w:type="dxa"/>
              <w:bottom w:w="0" w:type="dxa"/>
              <w:right w:w="108" w:type="dxa"/>
            </w:tcMar>
            <w:hideMark/>
          </w:tcPr>
          <w:p w14:paraId="097AA314" w14:textId="3584E922" w:rsidR="00847191" w:rsidRPr="00096E81" w:rsidRDefault="00847191">
            <w:pPr>
              <w:pStyle w:val="ListParagraph"/>
              <w:spacing w:after="0"/>
              <w:ind w:left="0"/>
              <w:jc w:val="center"/>
              <w:rPr>
                <w:rFonts w:ascii="Arial" w:hAnsi="Arial" w:cs="Arial"/>
                <w:b/>
                <w:bCs/>
                <w:color w:val="FFFFFF" w:themeColor="background1"/>
                <w:sz w:val="20"/>
                <w:szCs w:val="20"/>
              </w:rPr>
            </w:pPr>
            <w:r w:rsidRPr="00096E81">
              <w:rPr>
                <w:rFonts w:cs="Arial"/>
                <w:b/>
                <w:bCs/>
                <w:color w:val="FFFFFF" w:themeColor="background1"/>
                <w:szCs w:val="20"/>
              </w:rPr>
              <w:t xml:space="preserve">Frequency </w:t>
            </w:r>
            <w:r w:rsidR="00111096">
              <w:rPr>
                <w:rFonts w:ascii="Arial" w:hAnsi="Arial" w:cs="Arial"/>
                <w:b/>
                <w:bCs/>
                <w:color w:val="FFFFFF" w:themeColor="background1"/>
                <w:sz w:val="20"/>
                <w:szCs w:val="20"/>
              </w:rPr>
              <w:br/>
              <w:t>r</w:t>
            </w:r>
            <w:r w:rsidRPr="00096E81">
              <w:rPr>
                <w:rFonts w:cs="Arial"/>
                <w:b/>
                <w:bCs/>
                <w:color w:val="FFFFFF" w:themeColor="background1"/>
                <w:szCs w:val="20"/>
              </w:rPr>
              <w:t>ange</w:t>
            </w:r>
            <w:r w:rsidR="00111096">
              <w:rPr>
                <w:rFonts w:ascii="Arial" w:hAnsi="Arial" w:cs="Arial"/>
                <w:b/>
                <w:bCs/>
                <w:color w:val="FFFFFF" w:themeColor="background1"/>
                <w:sz w:val="20"/>
                <w:szCs w:val="20"/>
              </w:rPr>
              <w:t xml:space="preserve"> </w:t>
            </w:r>
            <w:r w:rsidRPr="00096E81">
              <w:rPr>
                <w:rFonts w:ascii="Arial" w:hAnsi="Arial" w:cs="Arial"/>
                <w:b/>
                <w:bCs/>
                <w:color w:val="FFFFFF" w:themeColor="background1"/>
                <w:sz w:val="20"/>
                <w:szCs w:val="20"/>
              </w:rPr>
              <w:t>(f)</w:t>
            </w:r>
          </w:p>
        </w:tc>
        <w:tc>
          <w:tcPr>
            <w:tcW w:w="2976" w:type="dxa"/>
            <w:shd w:val="clear" w:color="auto" w:fill="404040" w:themeFill="text1" w:themeFillTint="BF"/>
            <w:tcMar>
              <w:top w:w="0" w:type="dxa"/>
              <w:left w:w="108" w:type="dxa"/>
              <w:bottom w:w="0" w:type="dxa"/>
              <w:right w:w="108" w:type="dxa"/>
            </w:tcMar>
            <w:hideMark/>
          </w:tcPr>
          <w:p w14:paraId="40CEF521" w14:textId="7CD56A5A" w:rsidR="00847191" w:rsidRPr="00096E81" w:rsidRDefault="0026070D" w:rsidP="00847191">
            <w:pPr>
              <w:pStyle w:val="ListParagraph"/>
              <w:spacing w:after="0"/>
              <w:ind w:left="0"/>
              <w:jc w:val="center"/>
              <w:rPr>
                <w:rFonts w:ascii="Arial" w:hAnsi="Arial" w:cs="Arial"/>
                <w:b/>
                <w:bCs/>
                <w:color w:val="FFFFFF" w:themeColor="background1"/>
                <w:sz w:val="20"/>
                <w:szCs w:val="20"/>
              </w:rPr>
            </w:pPr>
            <w:r w:rsidRPr="00096E81">
              <w:rPr>
                <w:rFonts w:ascii="Arial" w:hAnsi="Arial" w:cs="Arial"/>
                <w:b/>
                <w:bCs/>
                <w:color w:val="FFFFFF" w:themeColor="background1"/>
                <w:sz w:val="20"/>
                <w:szCs w:val="20"/>
              </w:rPr>
              <w:t>Total radiated power</w:t>
            </w:r>
            <w:r w:rsidR="00847191" w:rsidRPr="00096E81">
              <w:rPr>
                <w:rFonts w:ascii="Arial" w:hAnsi="Arial" w:cs="Arial"/>
                <w:b/>
                <w:bCs/>
                <w:color w:val="FFFFFF" w:themeColor="background1"/>
                <w:sz w:val="20"/>
                <w:szCs w:val="20"/>
              </w:rPr>
              <w:t xml:space="preserve"> </w:t>
            </w:r>
          </w:p>
          <w:p w14:paraId="5E9EDC09" w14:textId="77777777" w:rsidR="00847191" w:rsidRPr="00096E81" w:rsidRDefault="00847191" w:rsidP="00847191">
            <w:pPr>
              <w:pStyle w:val="ListParagraph"/>
              <w:spacing w:after="0"/>
              <w:ind w:left="0"/>
              <w:jc w:val="center"/>
              <w:rPr>
                <w:rFonts w:ascii="Arial" w:hAnsi="Arial" w:cs="Arial"/>
                <w:b/>
                <w:bCs/>
                <w:color w:val="FFFFFF" w:themeColor="background1"/>
                <w:sz w:val="20"/>
                <w:szCs w:val="20"/>
              </w:rPr>
            </w:pPr>
            <w:r w:rsidRPr="00096E81">
              <w:rPr>
                <w:rFonts w:ascii="Arial" w:hAnsi="Arial" w:cs="Arial"/>
                <w:b/>
                <w:bCs/>
                <w:color w:val="FFFFFF" w:themeColor="background1"/>
                <w:sz w:val="20"/>
                <w:szCs w:val="20"/>
              </w:rPr>
              <w:t xml:space="preserve">(dBm) </w:t>
            </w:r>
          </w:p>
        </w:tc>
        <w:tc>
          <w:tcPr>
            <w:tcW w:w="1635" w:type="dxa"/>
            <w:shd w:val="clear" w:color="auto" w:fill="404040" w:themeFill="text1" w:themeFillTint="BF"/>
            <w:tcMar>
              <w:top w:w="0" w:type="dxa"/>
              <w:left w:w="108" w:type="dxa"/>
              <w:bottom w:w="0" w:type="dxa"/>
              <w:right w:w="108" w:type="dxa"/>
            </w:tcMar>
            <w:hideMark/>
          </w:tcPr>
          <w:p w14:paraId="0F6C3870" w14:textId="46F08A14" w:rsidR="00847191" w:rsidRPr="00096E81" w:rsidRDefault="00847191" w:rsidP="00847191">
            <w:pPr>
              <w:pStyle w:val="ListParagraph"/>
              <w:spacing w:after="0"/>
              <w:ind w:left="0"/>
              <w:jc w:val="center"/>
              <w:rPr>
                <w:rFonts w:ascii="Arial" w:hAnsi="Arial" w:cs="Arial"/>
                <w:b/>
                <w:bCs/>
                <w:color w:val="FFFFFF" w:themeColor="background1"/>
                <w:sz w:val="20"/>
                <w:szCs w:val="20"/>
              </w:rPr>
            </w:pPr>
            <w:r w:rsidRPr="00096E81">
              <w:rPr>
                <w:rFonts w:ascii="Arial" w:hAnsi="Arial" w:cs="Arial"/>
                <w:b/>
                <w:bCs/>
                <w:color w:val="FFFFFF" w:themeColor="background1"/>
                <w:sz w:val="20"/>
                <w:szCs w:val="20"/>
              </w:rPr>
              <w:t xml:space="preserve">Measurement </w:t>
            </w:r>
            <w:r w:rsidR="00111096">
              <w:rPr>
                <w:rFonts w:ascii="Arial" w:hAnsi="Arial" w:cs="Arial"/>
                <w:b/>
                <w:bCs/>
                <w:color w:val="FFFFFF" w:themeColor="background1"/>
                <w:sz w:val="20"/>
                <w:szCs w:val="20"/>
              </w:rPr>
              <w:t>b</w:t>
            </w:r>
            <w:r w:rsidRPr="00096E81">
              <w:rPr>
                <w:rFonts w:ascii="Arial" w:hAnsi="Arial" w:cs="Arial"/>
                <w:b/>
                <w:bCs/>
                <w:color w:val="FFFFFF" w:themeColor="background1"/>
                <w:sz w:val="20"/>
                <w:szCs w:val="20"/>
              </w:rPr>
              <w:t>andwidth</w:t>
            </w:r>
          </w:p>
        </w:tc>
      </w:tr>
      <w:tr w:rsidR="00847191" w:rsidRPr="00602151" w14:paraId="6359A84D" w14:textId="77777777" w:rsidTr="00096E81">
        <w:tc>
          <w:tcPr>
            <w:tcW w:w="2694" w:type="dxa"/>
            <w:tcMar>
              <w:top w:w="0" w:type="dxa"/>
              <w:left w:w="108" w:type="dxa"/>
              <w:bottom w:w="0" w:type="dxa"/>
              <w:right w:w="108" w:type="dxa"/>
            </w:tcMar>
            <w:hideMark/>
          </w:tcPr>
          <w:p w14:paraId="1F8C74E8"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30 MHz ≤ f ≤ 1 GHz</w:t>
            </w:r>
          </w:p>
        </w:tc>
        <w:tc>
          <w:tcPr>
            <w:tcW w:w="2976" w:type="dxa"/>
            <w:tcMar>
              <w:top w:w="0" w:type="dxa"/>
              <w:left w:w="108" w:type="dxa"/>
              <w:bottom w:w="0" w:type="dxa"/>
              <w:right w:w="108" w:type="dxa"/>
            </w:tcMar>
            <w:hideMark/>
          </w:tcPr>
          <w:p w14:paraId="6A6D9BAE"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-57</w:t>
            </w:r>
          </w:p>
        </w:tc>
        <w:tc>
          <w:tcPr>
            <w:tcW w:w="1635" w:type="dxa"/>
            <w:tcMar>
              <w:top w:w="0" w:type="dxa"/>
              <w:left w:w="108" w:type="dxa"/>
              <w:bottom w:w="0" w:type="dxa"/>
              <w:right w:w="108" w:type="dxa"/>
            </w:tcMar>
            <w:hideMark/>
          </w:tcPr>
          <w:p w14:paraId="09FA5348"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100 kHz</w:t>
            </w:r>
          </w:p>
        </w:tc>
      </w:tr>
      <w:tr w:rsidR="00847191" w:rsidRPr="00602151" w14:paraId="27CA298A" w14:textId="77777777" w:rsidTr="00096E81">
        <w:tc>
          <w:tcPr>
            <w:tcW w:w="2694" w:type="dxa"/>
            <w:shd w:val="clear" w:color="auto" w:fill="F2F2F2" w:themeFill="background1" w:themeFillShade="F2"/>
            <w:tcMar>
              <w:top w:w="0" w:type="dxa"/>
              <w:left w:w="108" w:type="dxa"/>
              <w:bottom w:w="0" w:type="dxa"/>
              <w:right w:w="108" w:type="dxa"/>
            </w:tcMar>
            <w:hideMark/>
          </w:tcPr>
          <w:p w14:paraId="019A8631"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1 GHz ≤ f ≤ 12.75 GHz</w:t>
            </w:r>
          </w:p>
        </w:tc>
        <w:tc>
          <w:tcPr>
            <w:tcW w:w="2976" w:type="dxa"/>
            <w:shd w:val="clear" w:color="auto" w:fill="F2F2F2" w:themeFill="background1" w:themeFillShade="F2"/>
            <w:tcMar>
              <w:top w:w="0" w:type="dxa"/>
              <w:left w:w="108" w:type="dxa"/>
              <w:bottom w:w="0" w:type="dxa"/>
              <w:right w:w="108" w:type="dxa"/>
            </w:tcMar>
            <w:hideMark/>
          </w:tcPr>
          <w:p w14:paraId="201AAEB7"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-47</w:t>
            </w:r>
          </w:p>
        </w:tc>
        <w:tc>
          <w:tcPr>
            <w:tcW w:w="1635" w:type="dxa"/>
            <w:shd w:val="clear" w:color="auto" w:fill="F2F2F2" w:themeFill="background1" w:themeFillShade="F2"/>
            <w:tcMar>
              <w:top w:w="0" w:type="dxa"/>
              <w:left w:w="108" w:type="dxa"/>
              <w:bottom w:w="0" w:type="dxa"/>
              <w:right w:w="108" w:type="dxa"/>
            </w:tcMar>
            <w:hideMark/>
          </w:tcPr>
          <w:p w14:paraId="3AAD5CB4"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1 MHz</w:t>
            </w:r>
          </w:p>
        </w:tc>
      </w:tr>
    </w:tbl>
    <w:p w14:paraId="4961E924" w14:textId="14EDFB1C" w:rsidR="00820299" w:rsidRDefault="00820299" w:rsidP="00820299">
      <w:pPr>
        <w:spacing w:before="240"/>
      </w:pPr>
      <w:r>
        <w:lastRenderedPageBreak/>
        <w:t xml:space="preserve">3GPP TS 38.104 defines non-AAS Rx spurious emission limits in terms of conducted power for each individual receiver. Having the limits in </w:t>
      </w:r>
      <w:r w:rsidR="005A7573">
        <w:t>T</w:t>
      </w:r>
      <w:r>
        <w:t xml:space="preserve">able 10 defined as a TRP mean they apply to all receivers associated with a device (or equivalently operating within an individual cell/sector) rather than individual receivers. </w:t>
      </w:r>
    </w:p>
    <w:p w14:paraId="1128C364" w14:textId="77777777" w:rsidR="00820299" w:rsidRDefault="00820299" w:rsidP="00820299">
      <w:pPr>
        <w:spacing w:before="240"/>
      </w:pPr>
      <w:r>
        <w:t xml:space="preserve">To align with 3GPP TS 38.104, non-ASS Rx spurious emission limits should be defined in terms of mean power (equivalent to conducted power) per receiver. While this would result in high levels of unwanted emissions, the levels would still be lower than those defined for non-AAS transmitters. Consequently, adopting these limits is expected to have a negligible change in interference environment to adjacent band services. </w:t>
      </w:r>
    </w:p>
    <w:p w14:paraId="3BE23A85" w14:textId="77777777" w:rsidR="00820299" w:rsidRDefault="00D13CF6" w:rsidP="00820299">
      <w:pPr>
        <w:spacing w:before="240"/>
      </w:pPr>
      <w:r>
        <w:t xml:space="preserve">3GPP defined receiver spurious emission limits </w:t>
      </w:r>
      <w:r w:rsidR="001B18B0" w:rsidRPr="001B18B0">
        <w:t xml:space="preserve">for AAS are </w:t>
      </w:r>
      <w:r w:rsidR="001B18B0" w:rsidRPr="002F1AAD">
        <w:t xml:space="preserve">defined in </w:t>
      </w:r>
      <w:r w:rsidR="00847191" w:rsidRPr="002F1AAD">
        <w:t xml:space="preserve">Table </w:t>
      </w:r>
      <w:r w:rsidR="002F1AAD" w:rsidRPr="002F1AAD">
        <w:t>11</w:t>
      </w:r>
      <w:r w:rsidR="00847191" w:rsidRPr="002F1AAD">
        <w:t>.</w:t>
      </w:r>
      <w:r w:rsidR="001B18B0">
        <w:t xml:space="preserve"> </w:t>
      </w:r>
      <w:r w:rsidR="00820299">
        <w:t>As the limit is defined as a TRP, it places a cap on emissions from all Rx associated with a device (or equivalently operating within an individual cell/sector). There is a noticeable difference between 3GPP TS 38.104 and current limits. The 3GPP TS 38.104 limits mirror</w:t>
      </w:r>
      <w:r w:rsidR="00820299" w:rsidRPr="00F51796">
        <w:t xml:space="preserve"> the spurious emission limits currently in place for </w:t>
      </w:r>
      <w:r w:rsidR="00820299">
        <w:t xml:space="preserve">AAS </w:t>
      </w:r>
      <w:r w:rsidR="00820299" w:rsidRPr="00F51796">
        <w:t xml:space="preserve">transmitters in the 3.4 GHz band. </w:t>
      </w:r>
      <w:r w:rsidR="00820299">
        <w:t>Consequently, adopting these limits is expected to have a negligible change in interference environment to adjacent band services.</w:t>
      </w:r>
    </w:p>
    <w:p w14:paraId="11A86183" w14:textId="26DB0882" w:rsidR="00847191" w:rsidRPr="00E137B3" w:rsidRDefault="00847191" w:rsidP="00820299">
      <w:pPr>
        <w:spacing w:before="240" w:after="360"/>
      </w:pPr>
      <w:r w:rsidRPr="00E137B3">
        <w:t xml:space="preserve">Importantly for time division duplex (TDD) systems, the </w:t>
      </w:r>
      <w:r w:rsidR="001B18B0">
        <w:t xml:space="preserve">AAS </w:t>
      </w:r>
      <w:r w:rsidRPr="00E137B3">
        <w:t xml:space="preserve">limits only apply during periods in which the associated transmitter is not operating. </w:t>
      </w:r>
      <w:r>
        <w:t xml:space="preserve">As the limit is defined as a TRP, it places a cap on emissions from all Rx associated with the device. </w:t>
      </w:r>
    </w:p>
    <w:p w14:paraId="03B191EB" w14:textId="5736A412" w:rsidR="00847191" w:rsidRPr="0038741C" w:rsidRDefault="00847191" w:rsidP="00B4104F">
      <w:pPr>
        <w:pStyle w:val="Tableheading"/>
        <w:keepLines/>
      </w:pPr>
      <w:r w:rsidRPr="00602151">
        <w:t xml:space="preserve">3GPP AAS </w:t>
      </w:r>
      <w:r w:rsidR="005A7573">
        <w:t>r</w:t>
      </w:r>
      <w:r w:rsidRPr="00602151">
        <w:t xml:space="preserve">eceiver spurious emission limits outside the </w:t>
      </w:r>
      <w:r w:rsidR="005A7573">
        <w:br/>
      </w:r>
      <w:r>
        <w:t>3360</w:t>
      </w:r>
      <w:r w:rsidR="005A7573">
        <w:t>–</w:t>
      </w:r>
      <w:r>
        <w:t>3840</w:t>
      </w:r>
      <w:r w:rsidRPr="00602151">
        <w:t xml:space="preserve"> MHz frequency band</w:t>
      </w:r>
      <w:r w:rsidRPr="00B4104F">
        <w:rPr>
          <w:vertAlign w:val="superscript"/>
        </w:rPr>
        <w:footnoteReference w:id="5"/>
      </w:r>
    </w:p>
    <w:tbl>
      <w:tblPr>
        <w:tblW w:w="730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85" w:type="dxa"/>
          <w:bottom w:w="85" w:type="dxa"/>
          <w:right w:w="85" w:type="dxa"/>
        </w:tblCellMar>
        <w:tblLook w:val="04A0" w:firstRow="1" w:lastRow="0" w:firstColumn="1" w:lastColumn="0" w:noHBand="0" w:noVBand="1"/>
      </w:tblPr>
      <w:tblGrid>
        <w:gridCol w:w="2694"/>
        <w:gridCol w:w="2976"/>
        <w:gridCol w:w="1635"/>
      </w:tblGrid>
      <w:tr w:rsidR="005A7573" w:rsidRPr="005A7573" w14:paraId="37C624EE" w14:textId="77777777" w:rsidTr="005A7573">
        <w:tc>
          <w:tcPr>
            <w:tcW w:w="2694" w:type="dxa"/>
            <w:shd w:val="clear" w:color="auto" w:fill="404040" w:themeFill="text1" w:themeFillTint="BF"/>
            <w:tcMar>
              <w:top w:w="0" w:type="dxa"/>
              <w:left w:w="108" w:type="dxa"/>
              <w:bottom w:w="0" w:type="dxa"/>
              <w:right w:w="108" w:type="dxa"/>
            </w:tcMar>
            <w:hideMark/>
          </w:tcPr>
          <w:p w14:paraId="4838F571" w14:textId="6F862CBD" w:rsidR="00847191" w:rsidRPr="00096E81" w:rsidRDefault="00847191">
            <w:pPr>
              <w:pStyle w:val="ListParagraph"/>
              <w:spacing w:after="0"/>
              <w:ind w:left="0"/>
              <w:jc w:val="center"/>
              <w:rPr>
                <w:rFonts w:ascii="Arial" w:hAnsi="Arial" w:cs="Arial"/>
                <w:b/>
                <w:bCs/>
                <w:color w:val="FFFFFF" w:themeColor="background1"/>
                <w:sz w:val="20"/>
                <w:szCs w:val="20"/>
              </w:rPr>
            </w:pPr>
            <w:r w:rsidRPr="00096E81">
              <w:rPr>
                <w:rFonts w:cs="Arial"/>
                <w:b/>
                <w:bCs/>
                <w:color w:val="FFFFFF" w:themeColor="background1"/>
                <w:szCs w:val="20"/>
              </w:rPr>
              <w:t xml:space="preserve">Frequency </w:t>
            </w:r>
            <w:r w:rsidR="005A7573">
              <w:rPr>
                <w:rFonts w:ascii="Arial" w:hAnsi="Arial" w:cs="Arial"/>
                <w:b/>
                <w:bCs/>
                <w:color w:val="FFFFFF" w:themeColor="background1"/>
                <w:sz w:val="20"/>
                <w:szCs w:val="20"/>
              </w:rPr>
              <w:br/>
            </w:r>
            <w:r w:rsidR="005A7573" w:rsidRPr="00096E81">
              <w:rPr>
                <w:rFonts w:cs="Arial"/>
                <w:b/>
                <w:bCs/>
                <w:color w:val="FFFFFF" w:themeColor="background1"/>
                <w:szCs w:val="20"/>
              </w:rPr>
              <w:t>r</w:t>
            </w:r>
            <w:r w:rsidRPr="00096E81">
              <w:rPr>
                <w:rFonts w:cs="Arial"/>
                <w:b/>
                <w:bCs/>
                <w:color w:val="FFFFFF" w:themeColor="background1"/>
                <w:szCs w:val="20"/>
              </w:rPr>
              <w:t>ange</w:t>
            </w:r>
            <w:r w:rsidR="005A7573">
              <w:rPr>
                <w:rFonts w:ascii="Arial" w:hAnsi="Arial" w:cs="Arial"/>
                <w:b/>
                <w:bCs/>
                <w:color w:val="FFFFFF" w:themeColor="background1"/>
                <w:sz w:val="20"/>
                <w:szCs w:val="20"/>
              </w:rPr>
              <w:t xml:space="preserve"> </w:t>
            </w:r>
            <w:r w:rsidRPr="00096E81">
              <w:rPr>
                <w:rFonts w:ascii="Arial" w:hAnsi="Arial" w:cs="Arial"/>
                <w:b/>
                <w:bCs/>
                <w:color w:val="FFFFFF" w:themeColor="background1"/>
                <w:sz w:val="20"/>
                <w:szCs w:val="20"/>
              </w:rPr>
              <w:t>(f)</w:t>
            </w:r>
          </w:p>
        </w:tc>
        <w:tc>
          <w:tcPr>
            <w:tcW w:w="2976" w:type="dxa"/>
            <w:shd w:val="clear" w:color="auto" w:fill="404040" w:themeFill="text1" w:themeFillTint="BF"/>
            <w:tcMar>
              <w:top w:w="0" w:type="dxa"/>
              <w:left w:w="108" w:type="dxa"/>
              <w:bottom w:w="0" w:type="dxa"/>
              <w:right w:w="108" w:type="dxa"/>
            </w:tcMar>
            <w:hideMark/>
          </w:tcPr>
          <w:p w14:paraId="4C2CBD87" w14:textId="0C1D7E09" w:rsidR="00847191" w:rsidRPr="00096E81" w:rsidRDefault="00847191" w:rsidP="00847191">
            <w:pPr>
              <w:pStyle w:val="ListParagraph"/>
              <w:spacing w:after="0"/>
              <w:ind w:left="0"/>
              <w:jc w:val="center"/>
              <w:rPr>
                <w:rFonts w:ascii="Arial" w:hAnsi="Arial" w:cs="Arial"/>
                <w:b/>
                <w:bCs/>
                <w:color w:val="FFFFFF" w:themeColor="background1"/>
                <w:sz w:val="20"/>
                <w:szCs w:val="20"/>
              </w:rPr>
            </w:pPr>
            <w:r w:rsidRPr="00096E81">
              <w:rPr>
                <w:rFonts w:ascii="Arial" w:hAnsi="Arial" w:cs="Arial"/>
                <w:b/>
                <w:bCs/>
                <w:color w:val="FFFFFF" w:themeColor="background1"/>
                <w:sz w:val="20"/>
                <w:szCs w:val="20"/>
              </w:rPr>
              <w:t xml:space="preserve">Total </w:t>
            </w:r>
            <w:r w:rsidR="005A7573" w:rsidRPr="00096E81">
              <w:rPr>
                <w:rFonts w:ascii="Arial" w:hAnsi="Arial" w:cs="Arial"/>
                <w:b/>
                <w:bCs/>
                <w:color w:val="FFFFFF" w:themeColor="background1"/>
                <w:sz w:val="20"/>
                <w:szCs w:val="20"/>
              </w:rPr>
              <w:t>r</w:t>
            </w:r>
            <w:r w:rsidRPr="00096E81">
              <w:rPr>
                <w:rFonts w:ascii="Arial" w:hAnsi="Arial" w:cs="Arial"/>
                <w:b/>
                <w:bCs/>
                <w:color w:val="FFFFFF" w:themeColor="background1"/>
                <w:sz w:val="20"/>
                <w:szCs w:val="20"/>
              </w:rPr>
              <w:t xml:space="preserve">adiated </w:t>
            </w:r>
            <w:r w:rsidR="005A7573" w:rsidRPr="00096E81">
              <w:rPr>
                <w:rFonts w:ascii="Arial" w:hAnsi="Arial" w:cs="Arial"/>
                <w:b/>
                <w:bCs/>
                <w:color w:val="FFFFFF" w:themeColor="background1"/>
                <w:sz w:val="20"/>
                <w:szCs w:val="20"/>
              </w:rPr>
              <w:t>p</w:t>
            </w:r>
            <w:r w:rsidRPr="00096E81">
              <w:rPr>
                <w:rFonts w:ascii="Arial" w:hAnsi="Arial" w:cs="Arial"/>
                <w:b/>
                <w:bCs/>
                <w:color w:val="FFFFFF" w:themeColor="background1"/>
                <w:sz w:val="20"/>
                <w:szCs w:val="20"/>
              </w:rPr>
              <w:t>ower (dBm) per cell/sector</w:t>
            </w:r>
          </w:p>
        </w:tc>
        <w:tc>
          <w:tcPr>
            <w:tcW w:w="1635" w:type="dxa"/>
            <w:shd w:val="clear" w:color="auto" w:fill="404040" w:themeFill="text1" w:themeFillTint="BF"/>
            <w:tcMar>
              <w:top w:w="0" w:type="dxa"/>
              <w:left w:w="108" w:type="dxa"/>
              <w:bottom w:w="0" w:type="dxa"/>
              <w:right w:w="108" w:type="dxa"/>
            </w:tcMar>
            <w:hideMark/>
          </w:tcPr>
          <w:p w14:paraId="6B6FB6D6" w14:textId="6278DB5C" w:rsidR="00847191" w:rsidRPr="00096E81" w:rsidRDefault="00847191" w:rsidP="00847191">
            <w:pPr>
              <w:pStyle w:val="ListParagraph"/>
              <w:spacing w:after="0"/>
              <w:ind w:left="0"/>
              <w:jc w:val="center"/>
              <w:rPr>
                <w:rFonts w:ascii="Arial" w:hAnsi="Arial" w:cs="Arial"/>
                <w:b/>
                <w:bCs/>
                <w:color w:val="FFFFFF" w:themeColor="background1"/>
                <w:sz w:val="20"/>
                <w:szCs w:val="20"/>
              </w:rPr>
            </w:pPr>
            <w:r w:rsidRPr="00096E81">
              <w:rPr>
                <w:rFonts w:ascii="Arial" w:hAnsi="Arial" w:cs="Arial"/>
                <w:b/>
                <w:bCs/>
                <w:color w:val="FFFFFF" w:themeColor="background1"/>
                <w:sz w:val="20"/>
                <w:szCs w:val="20"/>
              </w:rPr>
              <w:t xml:space="preserve">Measurement </w:t>
            </w:r>
            <w:r w:rsidR="005A7573" w:rsidRPr="00096E81">
              <w:rPr>
                <w:rFonts w:ascii="Arial" w:hAnsi="Arial" w:cs="Arial"/>
                <w:b/>
                <w:bCs/>
                <w:color w:val="FFFFFF" w:themeColor="background1"/>
                <w:sz w:val="20"/>
                <w:szCs w:val="20"/>
              </w:rPr>
              <w:t>b</w:t>
            </w:r>
            <w:r w:rsidRPr="00096E81">
              <w:rPr>
                <w:rFonts w:ascii="Arial" w:hAnsi="Arial" w:cs="Arial"/>
                <w:b/>
                <w:bCs/>
                <w:color w:val="FFFFFF" w:themeColor="background1"/>
                <w:sz w:val="20"/>
                <w:szCs w:val="20"/>
              </w:rPr>
              <w:t>andwidth</w:t>
            </w:r>
          </w:p>
        </w:tc>
      </w:tr>
      <w:tr w:rsidR="00847191" w:rsidRPr="00602151" w14:paraId="3F502607" w14:textId="77777777" w:rsidTr="00096E81">
        <w:tc>
          <w:tcPr>
            <w:tcW w:w="2694" w:type="dxa"/>
            <w:tcMar>
              <w:top w:w="0" w:type="dxa"/>
              <w:left w:w="108" w:type="dxa"/>
              <w:bottom w:w="0" w:type="dxa"/>
              <w:right w:w="108" w:type="dxa"/>
            </w:tcMar>
            <w:hideMark/>
          </w:tcPr>
          <w:p w14:paraId="47839B99"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30 MHz ≤ f ≤ 1 GHz</w:t>
            </w:r>
          </w:p>
        </w:tc>
        <w:tc>
          <w:tcPr>
            <w:tcW w:w="2976" w:type="dxa"/>
            <w:tcMar>
              <w:top w:w="0" w:type="dxa"/>
              <w:left w:w="108" w:type="dxa"/>
              <w:bottom w:w="0" w:type="dxa"/>
              <w:right w:w="108" w:type="dxa"/>
            </w:tcMar>
            <w:hideMark/>
          </w:tcPr>
          <w:p w14:paraId="1EF50DF5" w14:textId="124B44E6"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w:t>
            </w:r>
            <w:r w:rsidR="00A33907">
              <w:rPr>
                <w:rFonts w:ascii="Arial" w:hAnsi="Arial" w:cs="Arial"/>
                <w:sz w:val="20"/>
                <w:szCs w:val="20"/>
              </w:rPr>
              <w:t>27</w:t>
            </w:r>
          </w:p>
        </w:tc>
        <w:tc>
          <w:tcPr>
            <w:tcW w:w="1635" w:type="dxa"/>
            <w:tcMar>
              <w:top w:w="0" w:type="dxa"/>
              <w:left w:w="108" w:type="dxa"/>
              <w:bottom w:w="0" w:type="dxa"/>
              <w:right w:w="108" w:type="dxa"/>
            </w:tcMar>
            <w:hideMark/>
          </w:tcPr>
          <w:p w14:paraId="3A252D85"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100 kHz</w:t>
            </w:r>
          </w:p>
        </w:tc>
      </w:tr>
      <w:tr w:rsidR="00847191" w:rsidRPr="00602151" w14:paraId="35ED32CE" w14:textId="77777777" w:rsidTr="00096E81">
        <w:tc>
          <w:tcPr>
            <w:tcW w:w="2694" w:type="dxa"/>
            <w:shd w:val="clear" w:color="auto" w:fill="F2F2F2" w:themeFill="background1" w:themeFillShade="F2"/>
            <w:tcMar>
              <w:top w:w="0" w:type="dxa"/>
              <w:left w:w="108" w:type="dxa"/>
              <w:bottom w:w="0" w:type="dxa"/>
              <w:right w:w="108" w:type="dxa"/>
            </w:tcMar>
            <w:hideMark/>
          </w:tcPr>
          <w:p w14:paraId="00CFA4CD"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1 GHz ≤ f ≤ 12.75 GHz</w:t>
            </w:r>
          </w:p>
        </w:tc>
        <w:tc>
          <w:tcPr>
            <w:tcW w:w="2976" w:type="dxa"/>
            <w:shd w:val="clear" w:color="auto" w:fill="F2F2F2" w:themeFill="background1" w:themeFillShade="F2"/>
            <w:tcMar>
              <w:top w:w="0" w:type="dxa"/>
              <w:left w:w="108" w:type="dxa"/>
              <w:bottom w:w="0" w:type="dxa"/>
              <w:right w:w="108" w:type="dxa"/>
            </w:tcMar>
            <w:hideMark/>
          </w:tcPr>
          <w:p w14:paraId="38F2002D" w14:textId="119042D1"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w:t>
            </w:r>
            <w:r w:rsidR="00A33907">
              <w:rPr>
                <w:rFonts w:ascii="Arial" w:hAnsi="Arial" w:cs="Arial"/>
                <w:sz w:val="20"/>
                <w:szCs w:val="20"/>
              </w:rPr>
              <w:t>21</w:t>
            </w:r>
          </w:p>
        </w:tc>
        <w:tc>
          <w:tcPr>
            <w:tcW w:w="1635" w:type="dxa"/>
            <w:shd w:val="clear" w:color="auto" w:fill="F2F2F2" w:themeFill="background1" w:themeFillShade="F2"/>
            <w:tcMar>
              <w:top w:w="0" w:type="dxa"/>
              <w:left w:w="108" w:type="dxa"/>
              <w:bottom w:w="0" w:type="dxa"/>
              <w:right w:w="108" w:type="dxa"/>
            </w:tcMar>
            <w:hideMark/>
          </w:tcPr>
          <w:p w14:paraId="36FD7E90" w14:textId="77777777" w:rsidR="00847191" w:rsidRPr="00847191" w:rsidRDefault="00847191" w:rsidP="00847191">
            <w:pPr>
              <w:pStyle w:val="ListParagraph"/>
              <w:spacing w:after="0"/>
              <w:ind w:left="0"/>
              <w:jc w:val="center"/>
              <w:rPr>
                <w:rFonts w:ascii="Arial" w:hAnsi="Arial" w:cs="Arial"/>
                <w:sz w:val="20"/>
                <w:szCs w:val="20"/>
              </w:rPr>
            </w:pPr>
            <w:r w:rsidRPr="00847191">
              <w:rPr>
                <w:rFonts w:ascii="Arial" w:hAnsi="Arial" w:cs="Arial"/>
                <w:sz w:val="20"/>
                <w:szCs w:val="20"/>
              </w:rPr>
              <w:t>1 MHz</w:t>
            </w:r>
          </w:p>
        </w:tc>
      </w:tr>
    </w:tbl>
    <w:bookmarkEnd w:id="96"/>
    <w:p w14:paraId="37B8D877" w14:textId="7D5C729B" w:rsidR="00847191" w:rsidRPr="002E771A" w:rsidRDefault="00A72A2A" w:rsidP="00847191">
      <w:pPr>
        <w:spacing w:before="240" w:after="80"/>
      </w:pPr>
      <w:r>
        <w:t>In summary</w:t>
      </w:r>
      <w:r w:rsidR="005A7573">
        <w:t>,</w:t>
      </w:r>
      <w:r w:rsidR="00847191">
        <w:t xml:space="preserve"> </w:t>
      </w:r>
      <w:r w:rsidR="000B56EB">
        <w:t xml:space="preserve">the </w:t>
      </w:r>
      <w:r w:rsidR="006065EE">
        <w:t xml:space="preserve">outcomes of </w:t>
      </w:r>
      <w:r w:rsidR="000B56EB">
        <w:t>TLG</w:t>
      </w:r>
      <w:r w:rsidR="00847191" w:rsidRPr="002E771A">
        <w:t xml:space="preserve"> </w:t>
      </w:r>
      <w:r w:rsidR="006065EE">
        <w:t>discussions were to</w:t>
      </w:r>
      <w:r w:rsidR="00847191" w:rsidRPr="002E771A">
        <w:t>:</w:t>
      </w:r>
    </w:p>
    <w:p w14:paraId="495514B6" w14:textId="6483E90E" w:rsidR="00847191" w:rsidRPr="002F1AAD" w:rsidRDefault="005C66E6" w:rsidP="00096E81">
      <w:pPr>
        <w:pStyle w:val="Bulletlevel1"/>
      </w:pPr>
      <w:bookmarkStart w:id="98" w:name="_Hlk62112655"/>
      <w:r>
        <w:t>R</w:t>
      </w:r>
      <w:r w:rsidR="00820299">
        <w:t>edefine the receiver</w:t>
      </w:r>
      <w:r w:rsidR="00820299" w:rsidRPr="00847191">
        <w:t xml:space="preserve"> spurious emission </w:t>
      </w:r>
      <w:r w:rsidR="00820299" w:rsidRPr="002F1AAD">
        <w:t xml:space="preserve">limits </w:t>
      </w:r>
      <w:r w:rsidR="00820299">
        <w:t xml:space="preserve">for non-AAS Rx </w:t>
      </w:r>
      <w:r w:rsidR="00847191" w:rsidRPr="002F1AAD">
        <w:t xml:space="preserve">in Table </w:t>
      </w:r>
      <w:r w:rsidR="002F1AAD" w:rsidRPr="002F1AAD">
        <w:t>10</w:t>
      </w:r>
      <w:r w:rsidR="00847191" w:rsidRPr="002F1AAD">
        <w:t xml:space="preserve"> </w:t>
      </w:r>
      <w:r w:rsidR="00820299">
        <w:t>in terms of mean power (rather than total radiated power)</w:t>
      </w:r>
      <w:r w:rsidR="00820299" w:rsidRPr="002F1AAD">
        <w:t xml:space="preserve"> and clarify that the</w:t>
      </w:r>
      <w:r w:rsidR="00820299">
        <w:t xml:space="preserve"> limits</w:t>
      </w:r>
      <w:r w:rsidR="00820299" w:rsidRPr="002F1AAD">
        <w:t xml:space="preserve"> apply to individual receivers</w:t>
      </w:r>
      <w:r>
        <w:t>.</w:t>
      </w:r>
    </w:p>
    <w:p w14:paraId="60086EE5" w14:textId="4F7FB57B" w:rsidR="00847191" w:rsidRPr="002F1AAD" w:rsidRDefault="005C66E6" w:rsidP="00096E81">
      <w:pPr>
        <w:pStyle w:val="Bulletlevel1"/>
      </w:pPr>
      <w:r>
        <w:t>A</w:t>
      </w:r>
      <w:r w:rsidR="00847191" w:rsidRPr="002F1AAD">
        <w:t xml:space="preserve">dopt the receiver spurious emission limits for AAS set out in Table </w:t>
      </w:r>
      <w:r w:rsidR="002F1AAD" w:rsidRPr="002F1AAD">
        <w:t>11</w:t>
      </w:r>
      <w:r>
        <w:t>.</w:t>
      </w:r>
    </w:p>
    <w:p w14:paraId="0EECF0C8" w14:textId="716215E2" w:rsidR="00D0657A" w:rsidRDefault="005C66E6" w:rsidP="00096E81">
      <w:pPr>
        <w:pStyle w:val="Bulletlevel1last"/>
      </w:pPr>
      <w:r>
        <w:t>I</w:t>
      </w:r>
      <w:r w:rsidR="00847191" w:rsidRPr="00847191">
        <w:t xml:space="preserve">nclude a </w:t>
      </w:r>
      <w:r w:rsidR="00820299">
        <w:t>note</w:t>
      </w:r>
      <w:r w:rsidR="00820299" w:rsidRPr="00847191">
        <w:t xml:space="preserve"> </w:t>
      </w:r>
      <w:r w:rsidR="00847191" w:rsidRPr="00847191">
        <w:t xml:space="preserve">to </w:t>
      </w:r>
      <w:r w:rsidR="000575F2">
        <w:t xml:space="preserve">clarify </w:t>
      </w:r>
      <w:r w:rsidR="00847191" w:rsidRPr="00847191">
        <w:t xml:space="preserve">that, for TDD devices, the receiver spurious emission limits only apply during periods the associated transmitter is not operating. </w:t>
      </w:r>
      <w:bookmarkEnd w:id="98"/>
    </w:p>
    <w:p w14:paraId="69DE42C9" w14:textId="36B0005B" w:rsidR="00D0657A" w:rsidRPr="007D04B2" w:rsidRDefault="00D0657A" w:rsidP="00D0657A">
      <w:pPr>
        <w:pStyle w:val="Heading2"/>
      </w:pPr>
      <w:bookmarkStart w:id="99" w:name="_Toc80877080"/>
      <w:r>
        <w:t>Review of the RAG Rx</w:t>
      </w:r>
      <w:bookmarkEnd w:id="99"/>
    </w:p>
    <w:p w14:paraId="5DF0435D" w14:textId="63CF178E" w:rsidR="00D0657A" w:rsidRPr="00D0657A" w:rsidRDefault="00D0657A" w:rsidP="00D0657A">
      <w:pPr>
        <w:pStyle w:val="ACMATableHeader"/>
        <w:numPr>
          <w:ilvl w:val="0"/>
          <w:numId w:val="0"/>
        </w:numPr>
        <w:spacing w:after="360" w:line="240" w:lineRule="atLeast"/>
        <w:rPr>
          <w:b w:val="0"/>
          <w:bCs w:val="0"/>
          <w:color w:val="auto"/>
          <w:szCs w:val="24"/>
        </w:rPr>
      </w:pPr>
      <w:r>
        <w:rPr>
          <w:b w:val="0"/>
          <w:bCs w:val="0"/>
          <w:color w:val="auto"/>
          <w:szCs w:val="24"/>
        </w:rPr>
        <w:t xml:space="preserve">The scope of the TLG included a possible </w:t>
      </w:r>
      <w:r w:rsidRPr="00D0657A">
        <w:rPr>
          <w:b w:val="0"/>
          <w:bCs w:val="0"/>
          <w:color w:val="auto"/>
          <w:szCs w:val="24"/>
        </w:rPr>
        <w:t xml:space="preserve">review </w:t>
      </w:r>
      <w:r>
        <w:rPr>
          <w:b w:val="0"/>
          <w:bCs w:val="0"/>
          <w:color w:val="auto"/>
          <w:szCs w:val="24"/>
        </w:rPr>
        <w:t xml:space="preserve">of </w:t>
      </w:r>
      <w:r w:rsidRPr="00D0657A">
        <w:rPr>
          <w:b w:val="0"/>
          <w:bCs w:val="0"/>
          <w:color w:val="auto"/>
          <w:szCs w:val="24"/>
        </w:rPr>
        <w:t>text in the RAG Rx relating to interference management with defence radar systems. The aim</w:t>
      </w:r>
      <w:r w:rsidR="00A72A2A">
        <w:rPr>
          <w:b w:val="0"/>
          <w:bCs w:val="0"/>
          <w:color w:val="auto"/>
          <w:szCs w:val="24"/>
        </w:rPr>
        <w:t xml:space="preserve"> was</w:t>
      </w:r>
      <w:r w:rsidRPr="00D0657A">
        <w:rPr>
          <w:b w:val="0"/>
          <w:bCs w:val="0"/>
          <w:color w:val="auto"/>
          <w:szCs w:val="24"/>
        </w:rPr>
        <w:t xml:space="preserve"> to provide greater guidance on the issue</w:t>
      </w:r>
      <w:r w:rsidR="00D43C4A">
        <w:rPr>
          <w:b w:val="0"/>
          <w:bCs w:val="0"/>
          <w:color w:val="auto"/>
          <w:szCs w:val="24"/>
        </w:rPr>
        <w:t xml:space="preserve"> where appropriate</w:t>
      </w:r>
      <w:r w:rsidRPr="00D0657A">
        <w:rPr>
          <w:b w:val="0"/>
          <w:bCs w:val="0"/>
          <w:color w:val="auto"/>
          <w:szCs w:val="24"/>
        </w:rPr>
        <w:t>.</w:t>
      </w:r>
      <w:r>
        <w:rPr>
          <w:b w:val="0"/>
          <w:bCs w:val="0"/>
          <w:color w:val="auto"/>
          <w:szCs w:val="24"/>
        </w:rPr>
        <w:t xml:space="preserve"> After further </w:t>
      </w:r>
      <w:r w:rsidR="00670D75">
        <w:rPr>
          <w:b w:val="0"/>
          <w:bCs w:val="0"/>
          <w:color w:val="auto"/>
          <w:szCs w:val="24"/>
        </w:rPr>
        <w:t>consideration, the Department of Defence decided changes were not required at this time. Consequently</w:t>
      </w:r>
      <w:r w:rsidR="005C66E6">
        <w:rPr>
          <w:b w:val="0"/>
          <w:bCs w:val="0"/>
          <w:color w:val="auto"/>
          <w:szCs w:val="24"/>
        </w:rPr>
        <w:t>,</w:t>
      </w:r>
      <w:r w:rsidR="00670D75">
        <w:rPr>
          <w:b w:val="0"/>
          <w:bCs w:val="0"/>
          <w:color w:val="auto"/>
          <w:szCs w:val="24"/>
        </w:rPr>
        <w:t xml:space="preserve"> there was no further discussion on this issue within the TLG</w:t>
      </w:r>
      <w:r w:rsidR="00FD0518">
        <w:rPr>
          <w:b w:val="0"/>
          <w:bCs w:val="0"/>
          <w:color w:val="auto"/>
          <w:szCs w:val="24"/>
        </w:rPr>
        <w:t xml:space="preserve">. </w:t>
      </w:r>
    </w:p>
    <w:p w14:paraId="04A35268" w14:textId="77777777" w:rsidR="00D0657A" w:rsidRPr="003431B0" w:rsidRDefault="00D0657A" w:rsidP="00D0657A">
      <w:pPr>
        <w:pStyle w:val="ListBullet"/>
        <w:numPr>
          <w:ilvl w:val="0"/>
          <w:numId w:val="0"/>
        </w:numPr>
        <w:ind w:left="295" w:hanging="295"/>
      </w:pPr>
    </w:p>
    <w:p w14:paraId="77F768DE" w14:textId="5E17B890" w:rsidR="00240CE9" w:rsidRPr="00702EA1" w:rsidRDefault="00FF3C69" w:rsidP="00FF3C69">
      <w:pPr>
        <w:pStyle w:val="Heading1"/>
      </w:pPr>
      <w:bookmarkStart w:id="100" w:name="_Appendix_A:_Urban"/>
      <w:bookmarkStart w:id="101" w:name="_Toc348105641"/>
      <w:bookmarkStart w:id="102" w:name="_Toc80877081"/>
      <w:bookmarkEnd w:id="100"/>
      <w:r w:rsidRPr="00702EA1">
        <w:lastRenderedPageBreak/>
        <w:t>Appendix A</w:t>
      </w:r>
      <w:bookmarkEnd w:id="101"/>
      <w:r w:rsidR="00DF0799">
        <w:t xml:space="preserve">: </w:t>
      </w:r>
      <w:r w:rsidR="00D375B6">
        <w:t>Urban excise areas</w:t>
      </w:r>
      <w:bookmarkEnd w:id="102"/>
    </w:p>
    <w:p w14:paraId="7F381067" w14:textId="77777777" w:rsidR="0034255C" w:rsidRPr="0034255C" w:rsidRDefault="0034255C" w:rsidP="0034255C">
      <w:pPr>
        <w:spacing w:after="80" w:line="240" w:lineRule="auto"/>
        <w:rPr>
          <w:rFonts w:cs="Arial"/>
          <w:szCs w:val="20"/>
        </w:rPr>
      </w:pPr>
      <w:bookmarkStart w:id="103" w:name="_Hlk76381393"/>
      <w:r w:rsidRPr="0034255C">
        <w:rPr>
          <w:rFonts w:cs="Arial"/>
          <w:szCs w:val="20"/>
        </w:rPr>
        <w:t>The geographical areas covered by urban excise areas are:</w:t>
      </w:r>
    </w:p>
    <w:p w14:paraId="24DA48C3" w14:textId="0932351F" w:rsidR="0034255C" w:rsidRPr="0034255C" w:rsidRDefault="0005566F" w:rsidP="006643F3">
      <w:pPr>
        <w:pStyle w:val="ListParagraph"/>
        <w:numPr>
          <w:ilvl w:val="0"/>
          <w:numId w:val="16"/>
        </w:numPr>
        <w:spacing w:after="0" w:line="240" w:lineRule="auto"/>
        <w:rPr>
          <w:rFonts w:ascii="Arial" w:eastAsia="Times New Roman" w:hAnsi="Arial" w:cs="Arial"/>
          <w:sz w:val="20"/>
          <w:szCs w:val="20"/>
          <w:lang w:eastAsia="en-AU"/>
        </w:rPr>
      </w:pPr>
      <w:r>
        <w:rPr>
          <w:rFonts w:ascii="Arial" w:eastAsia="Times New Roman" w:hAnsi="Arial" w:cs="Arial"/>
          <w:sz w:val="20"/>
          <w:szCs w:val="20"/>
          <w:lang w:eastAsia="en-AU"/>
        </w:rPr>
        <w:t>d</w:t>
      </w:r>
      <w:r w:rsidR="0034255C" w:rsidRPr="0034255C">
        <w:rPr>
          <w:rFonts w:ascii="Arial" w:eastAsia="Times New Roman" w:hAnsi="Arial" w:cs="Arial"/>
          <w:sz w:val="20"/>
          <w:szCs w:val="20"/>
          <w:lang w:eastAsia="en-AU"/>
        </w:rPr>
        <w:t xml:space="preserve">escribed in Table </w:t>
      </w:r>
      <w:r w:rsidR="002F1AAD">
        <w:rPr>
          <w:rFonts w:ascii="Arial" w:eastAsia="Times New Roman" w:hAnsi="Arial" w:cs="Arial"/>
          <w:sz w:val="20"/>
          <w:szCs w:val="20"/>
          <w:lang w:eastAsia="en-AU"/>
        </w:rPr>
        <w:t>12</w:t>
      </w:r>
    </w:p>
    <w:p w14:paraId="652638BB" w14:textId="662CAC8B" w:rsidR="0034255C" w:rsidRPr="0034255C" w:rsidRDefault="0005566F" w:rsidP="006643F3">
      <w:pPr>
        <w:pStyle w:val="ListParagraph"/>
        <w:numPr>
          <w:ilvl w:val="0"/>
          <w:numId w:val="16"/>
        </w:numPr>
        <w:spacing w:after="0" w:line="240" w:lineRule="auto"/>
        <w:rPr>
          <w:rFonts w:ascii="Arial" w:eastAsia="Times New Roman" w:hAnsi="Arial" w:cs="Arial"/>
          <w:sz w:val="20"/>
          <w:szCs w:val="20"/>
          <w:lang w:eastAsia="en-AU"/>
        </w:rPr>
      </w:pPr>
      <w:r>
        <w:rPr>
          <w:rFonts w:ascii="Arial" w:eastAsia="Times New Roman" w:hAnsi="Arial" w:cs="Arial"/>
          <w:sz w:val="20"/>
          <w:szCs w:val="20"/>
          <w:lang w:eastAsia="en-AU"/>
        </w:rPr>
        <w:t>i</w:t>
      </w:r>
      <w:r w:rsidR="0034255C" w:rsidRPr="0034255C">
        <w:rPr>
          <w:rFonts w:ascii="Arial" w:eastAsia="Times New Roman" w:hAnsi="Arial" w:cs="Arial"/>
          <w:sz w:val="20"/>
          <w:szCs w:val="20"/>
          <w:lang w:eastAsia="en-AU"/>
        </w:rPr>
        <w:t>llustrated in Figure 1</w:t>
      </w:r>
      <w:r>
        <w:rPr>
          <w:rFonts w:ascii="Arial" w:eastAsia="Times New Roman" w:hAnsi="Arial" w:cs="Arial"/>
          <w:sz w:val="20"/>
          <w:szCs w:val="20"/>
          <w:lang w:eastAsia="en-AU"/>
        </w:rPr>
        <w:t>.</w:t>
      </w:r>
    </w:p>
    <w:p w14:paraId="065B3A40" w14:textId="77777777" w:rsidR="0034255C" w:rsidRDefault="0034255C" w:rsidP="0034255C">
      <w:pPr>
        <w:spacing w:after="0" w:line="240" w:lineRule="auto"/>
        <w:rPr>
          <w:rStyle w:val="Heading3Char"/>
        </w:rPr>
      </w:pPr>
    </w:p>
    <w:p w14:paraId="74D65455" w14:textId="77777777" w:rsidR="0034255C" w:rsidRDefault="0034255C" w:rsidP="0034255C">
      <w:pPr>
        <w:spacing w:after="0" w:line="240" w:lineRule="auto"/>
        <w:rPr>
          <w:rStyle w:val="Heading3Char"/>
        </w:rPr>
      </w:pPr>
    </w:p>
    <w:p w14:paraId="5D6E2BBA" w14:textId="77777777" w:rsidR="0034255C" w:rsidRDefault="0034255C" w:rsidP="00B4104F">
      <w:pPr>
        <w:pStyle w:val="Tableheading"/>
        <w:keepLines/>
      </w:pPr>
      <w:r>
        <w:t>HCIS description of urban excise areas</w:t>
      </w:r>
    </w:p>
    <w:tbl>
      <w:tblPr>
        <w:tblStyle w:val="TableGrid"/>
        <w:tblW w:w="8370" w:type="dxa"/>
        <w:tblLayout w:type="fixed"/>
        <w:tblLook w:val="04A0" w:firstRow="1" w:lastRow="0" w:firstColumn="1" w:lastColumn="0" w:noHBand="0" w:noVBand="1"/>
        <w:tblCaption w:val="HCIS description of areas"/>
        <w:tblDescription w:val="Table containing a descirption of the different area re-farming options "/>
      </w:tblPr>
      <w:tblGrid>
        <w:gridCol w:w="1461"/>
        <w:gridCol w:w="6909"/>
      </w:tblGrid>
      <w:tr w:rsidR="0034255C" w14:paraId="1D137301" w14:textId="77777777" w:rsidTr="0034255C">
        <w:trPr>
          <w:cantSplit/>
          <w:tblHeader/>
        </w:trPr>
        <w:tc>
          <w:tcPr>
            <w:tcW w:w="1460"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6690594E" w14:textId="77777777" w:rsidR="0034255C" w:rsidRDefault="0034255C">
            <w:pPr>
              <w:pStyle w:val="TableHeading0"/>
              <w:rPr>
                <w:color w:val="FFFFFF" w:themeColor="background1"/>
              </w:rPr>
            </w:pPr>
            <w:r>
              <w:rPr>
                <w:color w:val="FFFFFF" w:themeColor="background1"/>
              </w:rPr>
              <w:t>Sub-area name</w:t>
            </w:r>
          </w:p>
        </w:tc>
        <w:tc>
          <w:tcPr>
            <w:tcW w:w="6905"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4ABF0444" w14:textId="77777777" w:rsidR="0034255C" w:rsidRDefault="0034255C">
            <w:pPr>
              <w:pStyle w:val="TableHeading0"/>
              <w:rPr>
                <w:color w:val="FFFFFF" w:themeColor="background1"/>
              </w:rPr>
            </w:pPr>
            <w:r>
              <w:rPr>
                <w:color w:val="FFFFFF" w:themeColor="background1"/>
              </w:rPr>
              <w:t>HCIS</w:t>
            </w:r>
          </w:p>
        </w:tc>
      </w:tr>
      <w:tr w:rsidR="0034255C" w14:paraId="77140D16" w14:textId="77777777" w:rsidTr="0034255C">
        <w:trPr>
          <w:cantSplit/>
        </w:trPr>
        <w:tc>
          <w:tcPr>
            <w:tcW w:w="1460" w:type="dxa"/>
            <w:tcBorders>
              <w:top w:val="single" w:sz="4" w:space="0" w:color="auto"/>
              <w:left w:val="single" w:sz="4" w:space="0" w:color="auto"/>
              <w:bottom w:val="single" w:sz="4" w:space="0" w:color="auto"/>
              <w:right w:val="single" w:sz="4" w:space="0" w:color="auto"/>
            </w:tcBorders>
            <w:hideMark/>
          </w:tcPr>
          <w:p w14:paraId="0E2FC016" w14:textId="77777777" w:rsidR="0034255C" w:rsidRDefault="0034255C">
            <w:pPr>
              <w:pStyle w:val="TableBody"/>
              <w:spacing w:line="240" w:lineRule="atLeast"/>
            </w:pPr>
            <w:r>
              <w:t>Adelaide</w:t>
            </w:r>
          </w:p>
        </w:tc>
        <w:tc>
          <w:tcPr>
            <w:tcW w:w="6905" w:type="dxa"/>
            <w:tcBorders>
              <w:top w:val="single" w:sz="4" w:space="0" w:color="auto"/>
              <w:left w:val="single" w:sz="4" w:space="0" w:color="auto"/>
              <w:bottom w:val="single" w:sz="4" w:space="0" w:color="auto"/>
              <w:right w:val="single" w:sz="4" w:space="0" w:color="auto"/>
            </w:tcBorders>
            <w:hideMark/>
          </w:tcPr>
          <w:p w14:paraId="58E8D3D9" w14:textId="77777777" w:rsidR="0034255C" w:rsidRDefault="0034255C">
            <w:pPr>
              <w:pStyle w:val="TableBody"/>
              <w:spacing w:line="240" w:lineRule="atLeast"/>
            </w:pPr>
            <w:r>
              <w:t>IW3N, IW3O4, IW3O5, IW3O7, IW3O8, IW6B1, IW6B2, IW6B3, IW6B5, IW6B6</w:t>
            </w:r>
          </w:p>
        </w:tc>
      </w:tr>
      <w:tr w:rsidR="0034255C" w14:paraId="51499BE7" w14:textId="77777777" w:rsidTr="0034255C">
        <w:trPr>
          <w:cantSplit/>
        </w:trPr>
        <w:tc>
          <w:tcPr>
            <w:tcW w:w="1460" w:type="dxa"/>
            <w:tcBorders>
              <w:top w:val="single" w:sz="4" w:space="0" w:color="auto"/>
              <w:left w:val="single" w:sz="4" w:space="0" w:color="auto"/>
              <w:bottom w:val="single" w:sz="4" w:space="0" w:color="auto"/>
              <w:right w:val="single" w:sz="4" w:space="0" w:color="auto"/>
            </w:tcBorders>
            <w:hideMark/>
          </w:tcPr>
          <w:p w14:paraId="5746FC5A" w14:textId="77777777" w:rsidR="0034255C" w:rsidRDefault="0034255C">
            <w:pPr>
              <w:pStyle w:val="TableBody"/>
              <w:spacing w:line="240" w:lineRule="atLeast"/>
            </w:pPr>
            <w:r>
              <w:t>Brisbane</w:t>
            </w:r>
          </w:p>
        </w:tc>
        <w:tc>
          <w:tcPr>
            <w:tcW w:w="6905" w:type="dxa"/>
            <w:tcBorders>
              <w:top w:val="single" w:sz="4" w:space="0" w:color="auto"/>
              <w:left w:val="single" w:sz="4" w:space="0" w:color="auto"/>
              <w:bottom w:val="single" w:sz="4" w:space="0" w:color="auto"/>
              <w:right w:val="single" w:sz="4" w:space="0" w:color="auto"/>
            </w:tcBorders>
            <w:hideMark/>
          </w:tcPr>
          <w:p w14:paraId="594BF02C" w14:textId="77777777" w:rsidR="0034255C" w:rsidRDefault="0034255C">
            <w:pPr>
              <w:pStyle w:val="TableBody"/>
              <w:spacing w:line="240" w:lineRule="atLeast"/>
            </w:pPr>
            <w:r>
              <w:t>NT9B, NT9C, NT9D, NT9E, NT9F, NT9G, NT9H, NT9K, NT9L, NT8H3, NT8L2, NT8L3, NT8L5, NT8L6, NT8L8, NT8L9, NT9A6, NT9A7, NT9A8, NT9A9, NT9I1, NT9I2, NT9I3, NT9I4, NT9I5, NT9I6, NT9J1, NT9J2, NT9J3, NT9J4, NT9J5, NT9J6, NT9J9, NT9N5, NT9N6, NT9N8, NT9N9, NT9O4, NT9O7, NU3B2, NU3B3, NU3C1, NU3C4</w:t>
            </w:r>
          </w:p>
        </w:tc>
      </w:tr>
      <w:tr w:rsidR="0034255C" w14:paraId="33667CB4" w14:textId="77777777" w:rsidTr="0034255C">
        <w:trPr>
          <w:cantSplit/>
        </w:trPr>
        <w:tc>
          <w:tcPr>
            <w:tcW w:w="1460" w:type="dxa"/>
            <w:tcBorders>
              <w:top w:val="single" w:sz="4" w:space="0" w:color="auto"/>
              <w:left w:val="single" w:sz="4" w:space="0" w:color="auto"/>
              <w:bottom w:val="single" w:sz="4" w:space="0" w:color="auto"/>
              <w:right w:val="single" w:sz="4" w:space="0" w:color="auto"/>
            </w:tcBorders>
            <w:hideMark/>
          </w:tcPr>
          <w:p w14:paraId="0FEED78B" w14:textId="77777777" w:rsidR="0034255C" w:rsidRDefault="0034255C">
            <w:pPr>
              <w:pStyle w:val="TableBody"/>
              <w:spacing w:line="240" w:lineRule="atLeast"/>
            </w:pPr>
            <w:r>
              <w:t xml:space="preserve">Canberra </w:t>
            </w:r>
          </w:p>
        </w:tc>
        <w:tc>
          <w:tcPr>
            <w:tcW w:w="6905" w:type="dxa"/>
            <w:tcBorders>
              <w:top w:val="single" w:sz="4" w:space="0" w:color="auto"/>
              <w:left w:val="single" w:sz="4" w:space="0" w:color="auto"/>
              <w:bottom w:val="single" w:sz="4" w:space="0" w:color="auto"/>
              <w:right w:val="single" w:sz="4" w:space="0" w:color="auto"/>
            </w:tcBorders>
            <w:hideMark/>
          </w:tcPr>
          <w:p w14:paraId="58CFB52E" w14:textId="77777777" w:rsidR="0034255C" w:rsidRDefault="0034255C">
            <w:pPr>
              <w:pStyle w:val="TableBody"/>
              <w:spacing w:line="240" w:lineRule="atLeast"/>
            </w:pPr>
            <w:r>
              <w:t>MW4D, MW4H, MW5A, MW5B, MW5E, MW5F, MW2M5, MW2M6, MW2M7, MW2M8, MW2M9, MW2N4, MW2N5, MW2N7, MW2N8, MW2N9, MW4L1, MW4L2, MW4L3, MW4L5, MW4L6, MW5I1, MW5I2, MW5I3, MW5I4, MW5I5, MW5I6, MW5J1, MW5J2, MW5J4, MW5J5</w:t>
            </w:r>
          </w:p>
        </w:tc>
      </w:tr>
      <w:tr w:rsidR="0034255C" w14:paraId="2AB6F9BA" w14:textId="77777777" w:rsidTr="0034255C">
        <w:trPr>
          <w:cantSplit/>
          <w:trHeight w:val="283"/>
        </w:trPr>
        <w:tc>
          <w:tcPr>
            <w:tcW w:w="1460" w:type="dxa"/>
            <w:tcBorders>
              <w:top w:val="single" w:sz="4" w:space="0" w:color="auto"/>
              <w:left w:val="single" w:sz="4" w:space="0" w:color="auto"/>
              <w:bottom w:val="single" w:sz="4" w:space="0" w:color="auto"/>
              <w:right w:val="single" w:sz="4" w:space="0" w:color="auto"/>
            </w:tcBorders>
            <w:hideMark/>
          </w:tcPr>
          <w:p w14:paraId="7DCADACE" w14:textId="77777777" w:rsidR="0034255C" w:rsidRDefault="0034255C">
            <w:pPr>
              <w:pStyle w:val="TableBody"/>
              <w:spacing w:line="240" w:lineRule="atLeast"/>
            </w:pPr>
            <w:r>
              <w:t>Melbourne</w:t>
            </w:r>
          </w:p>
        </w:tc>
        <w:tc>
          <w:tcPr>
            <w:tcW w:w="6905" w:type="dxa"/>
            <w:tcBorders>
              <w:top w:val="single" w:sz="4" w:space="0" w:color="auto"/>
              <w:left w:val="single" w:sz="4" w:space="0" w:color="auto"/>
              <w:bottom w:val="single" w:sz="4" w:space="0" w:color="auto"/>
              <w:right w:val="single" w:sz="4" w:space="0" w:color="auto"/>
            </w:tcBorders>
            <w:hideMark/>
          </w:tcPr>
          <w:p w14:paraId="6A3913BC" w14:textId="77777777" w:rsidR="0034255C" w:rsidRDefault="0034255C">
            <w:pPr>
              <w:pStyle w:val="TableBody"/>
              <w:spacing w:line="240" w:lineRule="atLeast"/>
            </w:pPr>
            <w:r>
              <w:t>KX3P, KX3L6, KX3L7, KX3L8, KX3L9, KX6D1, KX6D2, KX6D3, KX6D5, KX6D6, LX1M, LX1I7, LX1N4, LX4A1, LX4A2, LX4A3, LX4A4, LX4A5, LX4B1</w:t>
            </w:r>
          </w:p>
        </w:tc>
      </w:tr>
      <w:tr w:rsidR="0034255C" w14:paraId="56F0D759" w14:textId="77777777" w:rsidTr="0034255C">
        <w:trPr>
          <w:cantSplit/>
        </w:trPr>
        <w:tc>
          <w:tcPr>
            <w:tcW w:w="1460" w:type="dxa"/>
            <w:tcBorders>
              <w:top w:val="single" w:sz="4" w:space="0" w:color="auto"/>
              <w:left w:val="single" w:sz="4" w:space="0" w:color="auto"/>
              <w:bottom w:val="single" w:sz="4" w:space="0" w:color="auto"/>
              <w:right w:val="single" w:sz="4" w:space="0" w:color="auto"/>
            </w:tcBorders>
            <w:hideMark/>
          </w:tcPr>
          <w:p w14:paraId="489713A9" w14:textId="77777777" w:rsidR="0034255C" w:rsidRDefault="0034255C">
            <w:pPr>
              <w:pStyle w:val="TableBody"/>
              <w:spacing w:line="240" w:lineRule="atLeast"/>
            </w:pPr>
            <w:r>
              <w:t>Perth</w:t>
            </w:r>
          </w:p>
        </w:tc>
        <w:tc>
          <w:tcPr>
            <w:tcW w:w="6905" w:type="dxa"/>
            <w:tcBorders>
              <w:top w:val="single" w:sz="4" w:space="0" w:color="auto"/>
              <w:left w:val="single" w:sz="4" w:space="0" w:color="auto"/>
              <w:bottom w:val="single" w:sz="4" w:space="0" w:color="auto"/>
              <w:right w:val="single" w:sz="4" w:space="0" w:color="auto"/>
            </w:tcBorders>
            <w:hideMark/>
          </w:tcPr>
          <w:p w14:paraId="66DA11FC" w14:textId="77777777" w:rsidR="0034255C" w:rsidRDefault="0034255C">
            <w:pPr>
              <w:pStyle w:val="TableBody"/>
              <w:spacing w:line="240" w:lineRule="atLeast"/>
            </w:pPr>
            <w:r>
              <w:t>BV1M, BV1N, BV1O, BV4A, BV4B, BV4C, BV1L5, BV1L8, BV1P1, BV1P2, BV1P4, BV1P5, BV1P7, BV1P8, BV4D1, BV4D2, BV4E1, BV4E2, BV4E3, BV4F1, BV4F2, BV4F3, BV4G1, BV4G2, BV1P9, BV4D3, BV4D4, BV4G3</w:t>
            </w:r>
          </w:p>
        </w:tc>
      </w:tr>
      <w:tr w:rsidR="0034255C" w14:paraId="5529BAC3" w14:textId="77777777" w:rsidTr="0034255C">
        <w:trPr>
          <w:cantSplit/>
        </w:trPr>
        <w:tc>
          <w:tcPr>
            <w:tcW w:w="1460" w:type="dxa"/>
            <w:tcBorders>
              <w:top w:val="single" w:sz="4" w:space="0" w:color="auto"/>
              <w:left w:val="single" w:sz="4" w:space="0" w:color="auto"/>
              <w:bottom w:val="single" w:sz="4" w:space="0" w:color="auto"/>
              <w:right w:val="single" w:sz="4" w:space="0" w:color="auto"/>
            </w:tcBorders>
            <w:hideMark/>
          </w:tcPr>
          <w:p w14:paraId="70825343" w14:textId="77777777" w:rsidR="0034255C" w:rsidRDefault="0034255C">
            <w:pPr>
              <w:pStyle w:val="TableBody"/>
              <w:spacing w:line="240" w:lineRule="atLeast"/>
            </w:pPr>
            <w:r>
              <w:t>Sydney</w:t>
            </w:r>
          </w:p>
        </w:tc>
        <w:tc>
          <w:tcPr>
            <w:tcW w:w="6905" w:type="dxa"/>
            <w:tcBorders>
              <w:top w:val="single" w:sz="4" w:space="0" w:color="auto"/>
              <w:left w:val="single" w:sz="4" w:space="0" w:color="auto"/>
              <w:bottom w:val="single" w:sz="4" w:space="0" w:color="auto"/>
              <w:right w:val="single" w:sz="4" w:space="0" w:color="auto"/>
            </w:tcBorders>
            <w:hideMark/>
          </w:tcPr>
          <w:p w14:paraId="52C11AB0" w14:textId="77777777" w:rsidR="0034255C" w:rsidRDefault="0034255C">
            <w:pPr>
              <w:pStyle w:val="TableBody"/>
              <w:spacing w:line="240" w:lineRule="atLeast"/>
            </w:pPr>
            <w:r>
              <w:t>NV7G, NV7H, NV7J, NV7K, NV7L, NV7M, NV7N, NV7O, NV7P, NW1A, NW1B, NW1C, NW1D, NW1E, NW1F, NW1G, NW1H, MV9P2, MV9P3, MV9P5, MV9P6, MV9P7, MV9P8, MV9P9, MW3D1, MW3D2, MW3D3, MW3D5, MW3D6, MW3D8, MW3D9, MW3H2, MW3H3, MW3H5, MW3H6, MW3H9, MW3L2, MW3L3, NV4O7, NV4O8, NV4O9, NV4P7, NV7F6, NV7F8, NV7F9, NV7I6, NV7I8, NV7I9, NW1I1, NW1I2, NW1I3, NW1J1, NW1J2, NW1J3, NW1K1, NW1K2, NW1K3, NW1L1, NW1L2, NW1L3</w:t>
            </w:r>
          </w:p>
        </w:tc>
      </w:tr>
    </w:tbl>
    <w:p w14:paraId="3CEEA91A" w14:textId="5AE438DF" w:rsidR="0034255C" w:rsidRDefault="0005566F" w:rsidP="0034255C">
      <w:pPr>
        <w:pStyle w:val="Tableorfigurenote"/>
        <w:spacing w:before="120"/>
      </w:pPr>
      <w:r>
        <w:t xml:space="preserve">Note: </w:t>
      </w:r>
      <w:r w:rsidR="0034255C">
        <w:t xml:space="preserve">The HCIS coordinates can be converted into a Placemark file (viewable in Google Earth) through a facility on the </w:t>
      </w:r>
      <w:hyperlink r:id="rId45" w:history="1">
        <w:r w:rsidR="0034255C">
          <w:rPr>
            <w:rStyle w:val="Hyperlink"/>
          </w:rPr>
          <w:t>ACMA website</w:t>
        </w:r>
      </w:hyperlink>
      <w:r w:rsidR="0034255C">
        <w:t>.</w:t>
      </w:r>
    </w:p>
    <w:p w14:paraId="2ADA1141" w14:textId="77777777" w:rsidR="0034255C" w:rsidRDefault="0034255C" w:rsidP="0034255C">
      <w:pPr>
        <w:spacing w:after="0" w:line="240" w:lineRule="auto"/>
      </w:pPr>
      <w:r>
        <w:br w:type="page"/>
      </w:r>
    </w:p>
    <w:p w14:paraId="0AD4B70B" w14:textId="77777777" w:rsidR="0034255C" w:rsidRDefault="0034255C" w:rsidP="006643F3">
      <w:pPr>
        <w:pStyle w:val="ACMAFigureHeader"/>
        <w:numPr>
          <w:ilvl w:val="0"/>
          <w:numId w:val="15"/>
        </w:numPr>
        <w:spacing w:after="60"/>
      </w:pPr>
      <w:r>
        <w:lastRenderedPageBreak/>
        <w:t xml:space="preserve">Illustration of urban excise areas (purple areas) </w:t>
      </w:r>
    </w:p>
    <w:p w14:paraId="1D7EDEF7" w14:textId="3138F1C3" w:rsidR="0034255C" w:rsidRDefault="0034255C" w:rsidP="0034255C">
      <w:pPr>
        <w:spacing w:after="60"/>
        <w:ind w:right="-1260"/>
      </w:pPr>
      <w:r>
        <w:rPr>
          <w:noProof/>
        </w:rPr>
        <w:drawing>
          <wp:inline distT="0" distB="0" distL="0" distR="0" wp14:anchorId="2F5D1E15" wp14:editId="0F5371AA">
            <wp:extent cx="2590800" cy="2695575"/>
            <wp:effectExtent l="0" t="0" r="0" b="9525"/>
            <wp:docPr id="8" name="Picture 8" descr="Illustration of Adelaid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Illustration of Adelaide urban excise areas (purple areas) "/>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590800" cy="2695575"/>
                    </a:xfrm>
                    <a:prstGeom prst="rect">
                      <a:avLst/>
                    </a:prstGeom>
                    <a:noFill/>
                    <a:ln>
                      <a:noFill/>
                    </a:ln>
                  </pic:spPr>
                </pic:pic>
              </a:graphicData>
            </a:graphic>
          </wp:inline>
        </w:drawing>
      </w:r>
      <w:r>
        <w:t xml:space="preserve"> </w:t>
      </w:r>
      <w:r>
        <w:rPr>
          <w:noProof/>
        </w:rPr>
        <w:drawing>
          <wp:inline distT="0" distB="0" distL="0" distR="0" wp14:anchorId="2257E76B" wp14:editId="713EA3B6">
            <wp:extent cx="2428875" cy="2695575"/>
            <wp:effectExtent l="0" t="0" r="9525" b="9525"/>
            <wp:docPr id="7" name="Picture 7" descr="Illustration of Brisbane and Gold Coast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llustration of Brisbane and Gold Coast urban excise areas (purple areas) "/>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28875" cy="2695575"/>
                    </a:xfrm>
                    <a:prstGeom prst="rect">
                      <a:avLst/>
                    </a:prstGeom>
                    <a:noFill/>
                    <a:ln>
                      <a:noFill/>
                    </a:ln>
                  </pic:spPr>
                </pic:pic>
              </a:graphicData>
            </a:graphic>
          </wp:inline>
        </w:drawing>
      </w:r>
    </w:p>
    <w:p w14:paraId="273C6586" w14:textId="3DA93C41" w:rsidR="0034255C" w:rsidRDefault="0034255C" w:rsidP="0034255C">
      <w:pPr>
        <w:spacing w:after="60"/>
        <w:ind w:right="-1260"/>
      </w:pPr>
      <w:r>
        <w:rPr>
          <w:noProof/>
        </w:rPr>
        <w:drawing>
          <wp:inline distT="0" distB="0" distL="0" distR="0" wp14:anchorId="2155BAE8" wp14:editId="55029A78">
            <wp:extent cx="2590800" cy="2628900"/>
            <wp:effectExtent l="0" t="0" r="0" b="0"/>
            <wp:docPr id="6" name="Picture 6" descr="Illustration of Canberra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llustration of Canberra urban excise areas (purple areas) "/>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590800" cy="2628900"/>
                    </a:xfrm>
                    <a:prstGeom prst="rect">
                      <a:avLst/>
                    </a:prstGeom>
                    <a:noFill/>
                    <a:ln>
                      <a:noFill/>
                    </a:ln>
                  </pic:spPr>
                </pic:pic>
              </a:graphicData>
            </a:graphic>
          </wp:inline>
        </w:drawing>
      </w:r>
      <w:r>
        <w:t xml:space="preserve"> </w:t>
      </w:r>
      <w:r>
        <w:rPr>
          <w:noProof/>
        </w:rPr>
        <w:drawing>
          <wp:inline distT="0" distB="0" distL="0" distR="0" wp14:anchorId="70F0113F" wp14:editId="5D04BA78">
            <wp:extent cx="2428875" cy="2619375"/>
            <wp:effectExtent l="0" t="0" r="9525" b="9525"/>
            <wp:docPr id="5" name="Picture 5" descr="Illustration of Melbourn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Illustration of Melbourne urban excise areas (purple areas) "/>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428875" cy="2619375"/>
                    </a:xfrm>
                    <a:prstGeom prst="rect">
                      <a:avLst/>
                    </a:prstGeom>
                    <a:noFill/>
                    <a:ln>
                      <a:noFill/>
                    </a:ln>
                  </pic:spPr>
                </pic:pic>
              </a:graphicData>
            </a:graphic>
          </wp:inline>
        </w:drawing>
      </w:r>
    </w:p>
    <w:p w14:paraId="697EFCBD" w14:textId="7BE652C5" w:rsidR="00FF3C69" w:rsidRDefault="0034255C" w:rsidP="0034255C">
      <w:pPr>
        <w:spacing w:after="60"/>
        <w:ind w:right="-1260"/>
      </w:pPr>
      <w:r>
        <w:rPr>
          <w:noProof/>
        </w:rPr>
        <w:drawing>
          <wp:inline distT="0" distB="0" distL="0" distR="0" wp14:anchorId="44D29C37" wp14:editId="4E78B675">
            <wp:extent cx="2590800" cy="3019425"/>
            <wp:effectExtent l="0" t="0" r="0" b="9525"/>
            <wp:docPr id="3" name="Picture 3" descr="Illustration of Sydney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llustration of Sydney urban excise areas (purple areas) "/>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90800" cy="3019425"/>
                    </a:xfrm>
                    <a:prstGeom prst="rect">
                      <a:avLst/>
                    </a:prstGeom>
                    <a:noFill/>
                    <a:ln>
                      <a:noFill/>
                    </a:ln>
                  </pic:spPr>
                </pic:pic>
              </a:graphicData>
            </a:graphic>
          </wp:inline>
        </w:drawing>
      </w:r>
      <w:r>
        <w:rPr>
          <w:noProof/>
        </w:rPr>
        <w:t xml:space="preserve"> </w:t>
      </w:r>
      <w:r>
        <w:rPr>
          <w:noProof/>
        </w:rPr>
        <w:drawing>
          <wp:inline distT="0" distB="0" distL="0" distR="0" wp14:anchorId="5EBFCD69" wp14:editId="61EE27B4">
            <wp:extent cx="2419350" cy="3028950"/>
            <wp:effectExtent l="0" t="0" r="0" b="0"/>
            <wp:docPr id="2" name="Picture 2" descr="Illustration of Perth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llustration of Perth urban excise areas (purple areas) "/>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419350" cy="3028950"/>
                    </a:xfrm>
                    <a:prstGeom prst="rect">
                      <a:avLst/>
                    </a:prstGeom>
                    <a:noFill/>
                    <a:ln>
                      <a:noFill/>
                    </a:ln>
                  </pic:spPr>
                </pic:pic>
              </a:graphicData>
            </a:graphic>
          </wp:inline>
        </w:drawing>
      </w:r>
      <w:r>
        <w:t xml:space="preserve"> </w:t>
      </w:r>
    </w:p>
    <w:p w14:paraId="479BC2D5" w14:textId="19C95755" w:rsidR="00456BC7" w:rsidRPr="00702EA1" w:rsidRDefault="00456BC7" w:rsidP="00456BC7">
      <w:pPr>
        <w:pStyle w:val="Heading1"/>
      </w:pPr>
      <w:bookmarkStart w:id="104" w:name="_Appendix_B:_Summary"/>
      <w:bookmarkStart w:id="105" w:name="_Toc80877082"/>
      <w:bookmarkEnd w:id="103"/>
      <w:bookmarkEnd w:id="104"/>
      <w:r w:rsidRPr="00702EA1">
        <w:lastRenderedPageBreak/>
        <w:t xml:space="preserve">Appendix </w:t>
      </w:r>
      <w:r>
        <w:t xml:space="preserve">B: </w:t>
      </w:r>
      <w:r w:rsidR="00907AF6">
        <w:t xml:space="preserve">Summary of </w:t>
      </w:r>
      <w:r w:rsidR="008F796B">
        <w:t>discussion on</w:t>
      </w:r>
      <w:r w:rsidR="00907AF6">
        <w:t xml:space="preserve"> urban excise interference management criteria</w:t>
      </w:r>
      <w:bookmarkEnd w:id="105"/>
    </w:p>
    <w:p w14:paraId="0E524C14" w14:textId="00669DD4" w:rsidR="008F796B" w:rsidRDefault="008F796B" w:rsidP="00096E81">
      <w:pPr>
        <w:spacing w:after="60"/>
        <w:ind w:right="16"/>
      </w:pPr>
      <w:r>
        <w:t xml:space="preserve">This </w:t>
      </w:r>
      <w:r w:rsidR="0005566F">
        <w:t>a</w:t>
      </w:r>
      <w:r>
        <w:t xml:space="preserve">ppendix summarises TLG discussion on the development of interference management criteria to and from urban excise areas. </w:t>
      </w:r>
    </w:p>
    <w:p w14:paraId="1AA54DF1" w14:textId="77777777" w:rsidR="008F796B" w:rsidRPr="007832E7" w:rsidRDefault="008F796B" w:rsidP="007832E7">
      <w:pPr>
        <w:pStyle w:val="Heading2"/>
        <w:spacing w:before="360"/>
      </w:pPr>
      <w:bookmarkStart w:id="106" w:name="_Toc80877083"/>
      <w:r w:rsidRPr="007832E7">
        <w:t>Interference mechanisms</w:t>
      </w:r>
      <w:bookmarkEnd w:id="106"/>
      <w:r w:rsidRPr="007832E7">
        <w:t xml:space="preserve"> </w:t>
      </w:r>
    </w:p>
    <w:p w14:paraId="52ABE72C" w14:textId="77777777" w:rsidR="008F796B" w:rsidRDefault="008F796B" w:rsidP="00096E81">
      <w:pPr>
        <w:pStyle w:val="Paragraphbeforelist"/>
      </w:pPr>
      <w:bookmarkStart w:id="107" w:name="_Hlk66805302"/>
      <w:r>
        <w:t>To manage interference to/from urban excise areas, the following interference mechanisms were identified for consideration:</w:t>
      </w:r>
    </w:p>
    <w:p w14:paraId="27D06DE9" w14:textId="77777777" w:rsidR="008F796B" w:rsidRPr="00B53EE3" w:rsidRDefault="008F796B" w:rsidP="00096E81">
      <w:pPr>
        <w:pStyle w:val="Bulletlevel1"/>
      </w:pPr>
      <w:r>
        <w:t xml:space="preserve">Base station (BS) to Base </w:t>
      </w:r>
      <w:r w:rsidRPr="00B53EE3">
        <w:t xml:space="preserve">station (BS-BS): Interference between BS operating in adjacent area and frequency licences. </w:t>
      </w:r>
    </w:p>
    <w:p w14:paraId="02153ED8" w14:textId="77777777" w:rsidR="008F796B" w:rsidRPr="00B53EE3" w:rsidRDefault="008F796B" w:rsidP="00096E81">
      <w:pPr>
        <w:pStyle w:val="Bulletlevel1"/>
      </w:pPr>
      <w:r w:rsidRPr="00B53EE3">
        <w:t>BS to user terminals: Interference from a BS to a user terminal operating in operating in adjacent area or frequency licences. Two cases are defined:</w:t>
      </w:r>
    </w:p>
    <w:p w14:paraId="0418849E" w14:textId="55B07530" w:rsidR="008F796B" w:rsidRPr="00B53EE3" w:rsidRDefault="008F796B" w:rsidP="00096E81">
      <w:pPr>
        <w:pStyle w:val="Bulletlevel2"/>
      </w:pPr>
      <w:r w:rsidRPr="00B53EE3">
        <w:t>BS to customer premise equipment (BS-CPE</w:t>
      </w:r>
      <w:bookmarkStart w:id="108" w:name="_Ref54958130"/>
      <w:r w:rsidR="00996BB7">
        <w:t>)</w:t>
      </w:r>
      <w:r w:rsidRPr="00B53EE3">
        <w:rPr>
          <w:rStyle w:val="FootnoteReference"/>
          <w:szCs w:val="20"/>
        </w:rPr>
        <w:footnoteReference w:id="6"/>
      </w:r>
      <w:bookmarkEnd w:id="108"/>
      <w:r w:rsidRPr="00B53EE3">
        <w:t xml:space="preserve">: Interference from a BS operating inside an urban excise area to a CPE operating under </w:t>
      </w:r>
      <w:proofErr w:type="gramStart"/>
      <w:r w:rsidRPr="00B53EE3">
        <w:t>an</w:t>
      </w:r>
      <w:proofErr w:type="gramEnd"/>
      <w:r w:rsidRPr="00B53EE3">
        <w:t xml:space="preserve"> </w:t>
      </w:r>
      <w:proofErr w:type="spellStart"/>
      <w:r>
        <w:t>n</w:t>
      </w:r>
      <w:r w:rsidRPr="00B53EE3">
        <w:t>bn</w:t>
      </w:r>
      <w:proofErr w:type="spellEnd"/>
      <w:r w:rsidRPr="00B53EE3">
        <w:t xml:space="preserve"> licence. </w:t>
      </w:r>
    </w:p>
    <w:p w14:paraId="3BA451F4" w14:textId="77777777" w:rsidR="008F796B" w:rsidRPr="00B53EE3" w:rsidRDefault="008F796B" w:rsidP="00096E81">
      <w:pPr>
        <w:pStyle w:val="Bulletlevel2"/>
      </w:pPr>
      <w:r w:rsidRPr="00B53EE3">
        <w:t>BS to mobile station (BS-MS): Interference from a BS to an MS operating in an adjacent area or frequency licence.</w:t>
      </w:r>
      <w:bookmarkStart w:id="109" w:name="_Ref62208772"/>
      <w:r>
        <w:rPr>
          <w:rStyle w:val="FootnoteReference"/>
          <w:szCs w:val="20"/>
        </w:rPr>
        <w:footnoteReference w:id="7"/>
      </w:r>
      <w:bookmarkEnd w:id="109"/>
      <w:r w:rsidRPr="00B53EE3">
        <w:t xml:space="preserve"> </w:t>
      </w:r>
    </w:p>
    <w:p w14:paraId="29E8E316" w14:textId="77777777" w:rsidR="008F796B" w:rsidRPr="00B53EE3" w:rsidRDefault="008F796B" w:rsidP="00096E81">
      <w:pPr>
        <w:pStyle w:val="Bulletlevel1"/>
      </w:pPr>
      <w:r w:rsidRPr="00B53EE3">
        <w:t>User terminals to BS: Interference from a user terminal to a BS operating in adjacent area and frequency licences. Two cases are defined:</w:t>
      </w:r>
    </w:p>
    <w:p w14:paraId="665C8B4C" w14:textId="2AEC16D7" w:rsidR="008F796B" w:rsidRPr="00B53EE3" w:rsidRDefault="008F796B" w:rsidP="00096E81">
      <w:pPr>
        <w:pStyle w:val="Bulletlevel2"/>
      </w:pPr>
      <w:r w:rsidRPr="00B53EE3">
        <w:t>CPE- BS</w:t>
      </w:r>
      <w:r w:rsidRPr="00B53EE3">
        <w:rPr>
          <w:vertAlign w:val="superscript"/>
        </w:rPr>
        <w:fldChar w:fldCharType="begin"/>
      </w:r>
      <w:r w:rsidRPr="00B53EE3">
        <w:rPr>
          <w:vertAlign w:val="superscript"/>
        </w:rPr>
        <w:instrText xml:space="preserve"> NOTEREF _Ref54958130 \h  \* MERGEFORMAT </w:instrText>
      </w:r>
      <w:r w:rsidRPr="00B53EE3">
        <w:rPr>
          <w:vertAlign w:val="superscript"/>
        </w:rPr>
      </w:r>
      <w:r w:rsidRPr="00B53EE3">
        <w:rPr>
          <w:vertAlign w:val="superscript"/>
        </w:rPr>
        <w:fldChar w:fldCharType="separate"/>
      </w:r>
      <w:r w:rsidR="00473234">
        <w:rPr>
          <w:vertAlign w:val="superscript"/>
        </w:rPr>
        <w:t>3</w:t>
      </w:r>
      <w:r w:rsidRPr="00B53EE3">
        <w:rPr>
          <w:vertAlign w:val="superscript"/>
        </w:rPr>
        <w:fldChar w:fldCharType="end"/>
      </w:r>
      <w:r w:rsidRPr="00B53EE3">
        <w:t xml:space="preserve">: Interference from a CPE operating under </w:t>
      </w:r>
      <w:proofErr w:type="gramStart"/>
      <w:r w:rsidRPr="00B53EE3">
        <w:t>an</w:t>
      </w:r>
      <w:proofErr w:type="gramEnd"/>
      <w:r w:rsidRPr="00B53EE3">
        <w:t xml:space="preserve"> </w:t>
      </w:r>
      <w:proofErr w:type="spellStart"/>
      <w:r w:rsidRPr="00B53EE3">
        <w:t>nbn</w:t>
      </w:r>
      <w:proofErr w:type="spellEnd"/>
      <w:r w:rsidRPr="00B53EE3">
        <w:t xml:space="preserve"> licence to a BS operating in an urban excise area. </w:t>
      </w:r>
    </w:p>
    <w:p w14:paraId="0758C751" w14:textId="12CBBE72" w:rsidR="008F796B" w:rsidRPr="00B53EE3" w:rsidRDefault="008F796B" w:rsidP="00096E81">
      <w:pPr>
        <w:pStyle w:val="Bulletlevel2"/>
      </w:pPr>
      <w:r w:rsidRPr="00B53EE3">
        <w:t>MS-BS: Interference from an MS to a BS operating in an adjacent area or frequency licence.</w:t>
      </w:r>
      <w:r w:rsidRPr="00B53EE3">
        <w:rPr>
          <w:vertAlign w:val="superscript"/>
        </w:rPr>
        <w:fldChar w:fldCharType="begin"/>
      </w:r>
      <w:r w:rsidRPr="00B53EE3">
        <w:rPr>
          <w:vertAlign w:val="superscript"/>
        </w:rPr>
        <w:instrText xml:space="preserve"> NOTEREF _Ref62208772 \h </w:instrText>
      </w:r>
      <w:r>
        <w:rPr>
          <w:vertAlign w:val="superscript"/>
        </w:rPr>
        <w:instrText xml:space="preserve"> \* MERGEFORMAT </w:instrText>
      </w:r>
      <w:r w:rsidRPr="00B53EE3">
        <w:rPr>
          <w:vertAlign w:val="superscript"/>
        </w:rPr>
      </w:r>
      <w:r w:rsidRPr="00B53EE3">
        <w:rPr>
          <w:vertAlign w:val="superscript"/>
        </w:rPr>
        <w:fldChar w:fldCharType="separate"/>
      </w:r>
      <w:r w:rsidR="00473234">
        <w:rPr>
          <w:vertAlign w:val="superscript"/>
        </w:rPr>
        <w:t>4</w:t>
      </w:r>
      <w:r w:rsidRPr="00B53EE3">
        <w:rPr>
          <w:vertAlign w:val="superscript"/>
        </w:rPr>
        <w:fldChar w:fldCharType="end"/>
      </w:r>
    </w:p>
    <w:p w14:paraId="73E326B2" w14:textId="141C8A24" w:rsidR="008F796B" w:rsidRPr="00B53EE3" w:rsidRDefault="008F796B" w:rsidP="00096E81">
      <w:pPr>
        <w:pStyle w:val="Bulletlevel1"/>
      </w:pPr>
      <w:r w:rsidRPr="00B53EE3">
        <w:t>User terminal to user terminal inference (MS/CPE-MS)</w:t>
      </w:r>
      <w:r w:rsidR="00996BB7">
        <w:t>.</w:t>
      </w:r>
      <w:r w:rsidRPr="00B53EE3">
        <w:t xml:space="preserve"> </w:t>
      </w:r>
    </w:p>
    <w:bookmarkEnd w:id="107"/>
    <w:p w14:paraId="45B061D0" w14:textId="2BC9DCA1" w:rsidR="008F796B" w:rsidRDefault="008F796B" w:rsidP="00096E81">
      <w:pPr>
        <w:spacing w:after="60"/>
        <w:ind w:right="16"/>
      </w:pPr>
      <w:r>
        <w:t>In addition to the mechanisms above, the TLG identified a preference to manage interference between adjacent channel 4G and 5G systems when they are using different frame structures.</w:t>
      </w:r>
    </w:p>
    <w:p w14:paraId="7A21E919" w14:textId="5A5CE166" w:rsidR="008171B1" w:rsidRDefault="008171B1" w:rsidP="00096E81">
      <w:pPr>
        <w:pStyle w:val="Paragraphbeforelist"/>
      </w:pPr>
      <w:r>
        <w:t>Two possible deployment scenarios were considered for urban excise areas:</w:t>
      </w:r>
    </w:p>
    <w:p w14:paraId="41EA55CD" w14:textId="25EC3D1A" w:rsidR="008171B1" w:rsidRPr="008171B1" w:rsidRDefault="008171B1" w:rsidP="00096E81">
      <w:pPr>
        <w:pStyle w:val="Bulletlevel1"/>
      </w:pPr>
      <w:r w:rsidRPr="008171B1">
        <w:t>A macro-cell scenario</w:t>
      </w:r>
      <w:r w:rsidR="00996BB7">
        <w:t>.</w:t>
      </w:r>
      <w:r w:rsidRPr="008171B1">
        <w:t xml:space="preserve"> </w:t>
      </w:r>
    </w:p>
    <w:p w14:paraId="6A7A2D9D" w14:textId="6D8C9EC8" w:rsidR="008171B1" w:rsidRPr="008171B1" w:rsidRDefault="008171B1" w:rsidP="00096E81">
      <w:pPr>
        <w:pStyle w:val="Bulletlevel1last"/>
      </w:pPr>
      <w:r w:rsidRPr="008171B1">
        <w:t>A restricted cell scenario</w:t>
      </w:r>
      <w:r>
        <w:t xml:space="preserve">. Under this scenario restrictions </w:t>
      </w:r>
      <w:r w:rsidR="00634EBC">
        <w:t xml:space="preserve">would apply </w:t>
      </w:r>
      <w:r>
        <w:t>such as limits on outdoor antenna heights, lower EIR</w:t>
      </w:r>
      <w:r w:rsidR="00634EBC">
        <w:t>P</w:t>
      </w:r>
      <w:r>
        <w:t xml:space="preserve"> levels</w:t>
      </w:r>
      <w:r w:rsidR="00996BB7">
        <w:t>,</w:t>
      </w:r>
      <w:r>
        <w:t xml:space="preserve"> etc. </w:t>
      </w:r>
    </w:p>
    <w:p w14:paraId="62D33970" w14:textId="45021D17" w:rsidR="008F796B" w:rsidRPr="007832E7" w:rsidRDefault="007832E7" w:rsidP="007832E7">
      <w:pPr>
        <w:pStyle w:val="Heading2"/>
        <w:spacing w:before="360"/>
      </w:pPr>
      <w:bookmarkStart w:id="110" w:name="_Toc80877084"/>
      <w:r w:rsidRPr="007832E7">
        <w:t>Macro</w:t>
      </w:r>
      <w:r w:rsidR="00A33907">
        <w:t>-</w:t>
      </w:r>
      <w:r w:rsidRPr="007832E7">
        <w:t>cell scenario discussion</w:t>
      </w:r>
      <w:bookmarkEnd w:id="110"/>
    </w:p>
    <w:p w14:paraId="0C796701" w14:textId="77777777" w:rsidR="008F796B" w:rsidRDefault="008F796B" w:rsidP="008F796B">
      <w:pPr>
        <w:pStyle w:val="Heading3"/>
      </w:pPr>
      <w:bookmarkStart w:id="111" w:name="_Toc73973851"/>
      <w:bookmarkStart w:id="112" w:name="_Toc75275795"/>
      <w:bookmarkStart w:id="113" w:name="_Toc76376863"/>
      <w:bookmarkStart w:id="114" w:name="_Toc80877085"/>
      <w:r>
        <w:t>BS-BS</w:t>
      </w:r>
      <w:bookmarkEnd w:id="111"/>
      <w:bookmarkEnd w:id="112"/>
      <w:bookmarkEnd w:id="113"/>
      <w:bookmarkEnd w:id="114"/>
    </w:p>
    <w:p w14:paraId="2871557A" w14:textId="77777777" w:rsidR="008F796B" w:rsidRPr="00B8248B" w:rsidRDefault="008F796B" w:rsidP="008F796B">
      <w:pPr>
        <w:spacing w:after="120" w:line="80" w:lineRule="atLeast"/>
      </w:pPr>
      <w:r w:rsidRPr="00B8248B">
        <w:t>It is expected that both co-channel and adjacent BS-BS interference can largely be managed by the application of</w:t>
      </w:r>
      <w:r>
        <w:t xml:space="preserve"> the following existing measures in the 3.4 GHz technical framework</w:t>
      </w:r>
      <w:r w:rsidRPr="00B8248B">
        <w:t xml:space="preserve">: </w:t>
      </w:r>
    </w:p>
    <w:p w14:paraId="1EE8E112" w14:textId="0EA846B1" w:rsidR="008F796B" w:rsidRPr="00B8248B" w:rsidRDefault="006D3F51" w:rsidP="006643F3">
      <w:pPr>
        <w:pStyle w:val="ListParagraph"/>
        <w:numPr>
          <w:ilvl w:val="0"/>
          <w:numId w:val="19"/>
        </w:numPr>
        <w:spacing w:after="160" w:line="80" w:lineRule="atLeast"/>
        <w:rPr>
          <w:rFonts w:ascii="Arial" w:hAnsi="Arial" w:cs="Arial"/>
          <w:sz w:val="20"/>
          <w:szCs w:val="20"/>
        </w:rPr>
      </w:pPr>
      <w:r>
        <w:rPr>
          <w:rFonts w:ascii="Arial" w:hAnsi="Arial" w:cs="Arial"/>
          <w:sz w:val="20"/>
          <w:szCs w:val="20"/>
        </w:rPr>
        <w:lastRenderedPageBreak/>
        <w:t>T</w:t>
      </w:r>
      <w:r w:rsidR="008F796B" w:rsidRPr="00B8248B">
        <w:rPr>
          <w:rFonts w:ascii="Arial" w:hAnsi="Arial" w:cs="Arial"/>
          <w:sz w:val="20"/>
          <w:szCs w:val="20"/>
        </w:rPr>
        <w:t xml:space="preserve">he co-sited devices requirement detailed in </w:t>
      </w:r>
      <w:hyperlink r:id="rId52" w:history="1">
        <w:r w:rsidR="008F796B" w:rsidRPr="00B8248B">
          <w:rPr>
            <w:rStyle w:val="Hyperlink"/>
            <w:rFonts w:ascii="Arial" w:hAnsi="Arial" w:cs="Arial"/>
            <w:sz w:val="20"/>
            <w:szCs w:val="20"/>
          </w:rPr>
          <w:t>clause 3 of Licence Schedule 4 on all 3.4 GHz spectrum licences</w:t>
        </w:r>
      </w:hyperlink>
      <w:r w:rsidR="008F796B" w:rsidRPr="00B8248B">
        <w:rPr>
          <w:rFonts w:ascii="Arial" w:hAnsi="Arial" w:cs="Arial"/>
          <w:sz w:val="20"/>
          <w:szCs w:val="20"/>
        </w:rPr>
        <w:t>.</w:t>
      </w:r>
    </w:p>
    <w:p w14:paraId="670F2868" w14:textId="68ACB2F0" w:rsidR="008F796B" w:rsidRPr="00B8248B" w:rsidRDefault="006D3F51" w:rsidP="006643F3">
      <w:pPr>
        <w:pStyle w:val="ListParagraph"/>
        <w:numPr>
          <w:ilvl w:val="0"/>
          <w:numId w:val="19"/>
        </w:numPr>
        <w:spacing w:after="240" w:line="80" w:lineRule="atLeast"/>
        <w:rPr>
          <w:rFonts w:ascii="Arial" w:hAnsi="Arial" w:cs="Arial"/>
          <w:sz w:val="20"/>
          <w:szCs w:val="20"/>
        </w:rPr>
      </w:pPr>
      <w:r>
        <w:rPr>
          <w:rFonts w:ascii="Arial" w:hAnsi="Arial" w:cs="Arial"/>
          <w:sz w:val="20"/>
          <w:szCs w:val="20"/>
        </w:rPr>
        <w:t>T</w:t>
      </w:r>
      <w:r w:rsidR="008F796B" w:rsidRPr="00B8248B">
        <w:rPr>
          <w:rFonts w:ascii="Arial" w:hAnsi="Arial" w:cs="Arial"/>
          <w:sz w:val="20"/>
          <w:szCs w:val="20"/>
        </w:rPr>
        <w:t>he synchronisation requirement (</w:t>
      </w:r>
      <w:proofErr w:type="spellStart"/>
      <w:r w:rsidR="008F796B" w:rsidRPr="00B8248B">
        <w:rPr>
          <w:rFonts w:ascii="Arial" w:hAnsi="Arial" w:cs="Arial"/>
          <w:sz w:val="20"/>
          <w:szCs w:val="20"/>
        </w:rPr>
        <w:t>SyncRec</w:t>
      </w:r>
      <w:proofErr w:type="spellEnd"/>
      <w:r w:rsidR="008F796B" w:rsidRPr="00B8248B">
        <w:rPr>
          <w:rFonts w:ascii="Arial" w:hAnsi="Arial" w:cs="Arial"/>
          <w:sz w:val="20"/>
          <w:szCs w:val="20"/>
        </w:rPr>
        <w:t xml:space="preserve">) as detailed in </w:t>
      </w:r>
      <w:hyperlink r:id="rId53" w:history="1">
        <w:r w:rsidR="008F796B" w:rsidRPr="00B8248B">
          <w:rPr>
            <w:rStyle w:val="Hyperlink"/>
            <w:rFonts w:ascii="Arial" w:hAnsi="Arial" w:cs="Arial"/>
            <w:sz w:val="20"/>
            <w:szCs w:val="20"/>
          </w:rPr>
          <w:t>clause 11 of Licence Schedule 4 on all 3.4 GHz spectrum licences</w:t>
        </w:r>
      </w:hyperlink>
      <w:r w:rsidR="008F796B" w:rsidRPr="00B8248B">
        <w:rPr>
          <w:rFonts w:ascii="Arial" w:hAnsi="Arial" w:cs="Arial"/>
          <w:sz w:val="20"/>
          <w:szCs w:val="20"/>
        </w:rPr>
        <w:t>.</w:t>
      </w:r>
    </w:p>
    <w:p w14:paraId="255AC725" w14:textId="5522E936" w:rsidR="008F796B" w:rsidRPr="008171B1" w:rsidRDefault="008F796B" w:rsidP="008F796B">
      <w:pPr>
        <w:spacing w:line="80" w:lineRule="atLeast"/>
      </w:pPr>
      <w:r w:rsidRPr="008E6028">
        <w:t xml:space="preserve">The TLG noted that based on the </w:t>
      </w:r>
      <w:proofErr w:type="spellStart"/>
      <w:r w:rsidRPr="008E6028">
        <w:t>SyncRec</w:t>
      </w:r>
      <w:proofErr w:type="spellEnd"/>
      <w:r w:rsidRPr="008E6028">
        <w:t>, the guard period (GP) that applies provides adequate co-channe</w:t>
      </w:r>
      <w:r>
        <w:t>l BS-BS</w:t>
      </w:r>
      <w:r w:rsidRPr="008E6028">
        <w:t xml:space="preserve"> protection out to about 64</w:t>
      </w:r>
      <w:r w:rsidR="00087DC8">
        <w:t xml:space="preserve"> </w:t>
      </w:r>
      <w:r w:rsidRPr="008E6028">
        <w:t xml:space="preserve">km. </w:t>
      </w:r>
      <w:r>
        <w:t>however, there</w:t>
      </w:r>
      <w:r w:rsidRPr="008E6028">
        <w:t xml:space="preserve"> are cases in the 3.4 GHz (and 2.3 GHz) band, where cochannel interference can occur at separation distances beyond this due to anomalous propagation (e.g.</w:t>
      </w:r>
      <w:r w:rsidR="006D3F51">
        <w:t>,</w:t>
      </w:r>
      <w:r w:rsidRPr="008E6028">
        <w:t xml:space="preserve"> ducting). Such interference can be experienced at distance much greater than 64 km from a transmitter</w:t>
      </w:r>
      <w:r w:rsidR="008171B1">
        <w:t xml:space="preserve"> for macro-cell deployments</w:t>
      </w:r>
      <w:r w:rsidRPr="008E6028">
        <w:t>.</w:t>
      </w:r>
      <w:r w:rsidR="008171B1">
        <w:t xml:space="preserve"> It </w:t>
      </w:r>
      <w:r w:rsidR="00670D75">
        <w:rPr>
          <w:rFonts w:cs="Arial"/>
          <w:color w:val="000000" w:themeColor="text1"/>
          <w:szCs w:val="20"/>
        </w:rPr>
        <w:t>can be</w:t>
      </w:r>
      <w:r>
        <w:rPr>
          <w:rFonts w:cs="Arial"/>
          <w:color w:val="000000" w:themeColor="text1"/>
          <w:szCs w:val="20"/>
        </w:rPr>
        <w:t xml:space="preserve"> experienced</w:t>
      </w:r>
      <w:r w:rsidRPr="00F67FD9">
        <w:rPr>
          <w:rFonts w:cs="Arial"/>
          <w:color w:val="000000" w:themeColor="text1"/>
          <w:szCs w:val="20"/>
        </w:rPr>
        <w:t xml:space="preserve"> in specific areas (e.g.</w:t>
      </w:r>
      <w:r w:rsidR="006D3F51">
        <w:rPr>
          <w:rFonts w:cs="Arial"/>
          <w:color w:val="000000" w:themeColor="text1"/>
          <w:szCs w:val="20"/>
        </w:rPr>
        <w:t>,</w:t>
      </w:r>
      <w:r w:rsidRPr="00F67FD9">
        <w:rPr>
          <w:rFonts w:cs="Arial"/>
          <w:color w:val="000000" w:themeColor="text1"/>
          <w:szCs w:val="20"/>
        </w:rPr>
        <w:t xml:space="preserve"> up and down the coast of WA) at certain times of the year. It is currently experienced periodically by all licensees in bands </w:t>
      </w:r>
      <w:r>
        <w:rPr>
          <w:rFonts w:cs="Arial"/>
          <w:color w:val="000000" w:themeColor="text1"/>
          <w:szCs w:val="20"/>
        </w:rPr>
        <w:t xml:space="preserve">TDD </w:t>
      </w:r>
      <w:r w:rsidRPr="00F67FD9">
        <w:rPr>
          <w:rFonts w:cs="Arial"/>
          <w:color w:val="000000" w:themeColor="text1"/>
          <w:szCs w:val="20"/>
        </w:rPr>
        <w:t xml:space="preserve">technologies are deployed, this includes the 2.3 GHz and 3.4 GHz bands. </w:t>
      </w:r>
      <w:r>
        <w:rPr>
          <w:rFonts w:cs="Arial"/>
          <w:color w:val="000000" w:themeColor="text1"/>
          <w:szCs w:val="20"/>
        </w:rPr>
        <w:t xml:space="preserve">Interference due to ducting </w:t>
      </w:r>
      <w:r w:rsidRPr="00F67FD9">
        <w:rPr>
          <w:rFonts w:cs="Arial"/>
          <w:color w:val="000000" w:themeColor="text1"/>
          <w:szCs w:val="20"/>
        </w:rPr>
        <w:t xml:space="preserve">can be caused </w:t>
      </w:r>
      <w:r>
        <w:rPr>
          <w:rFonts w:cs="Arial"/>
          <w:color w:val="000000" w:themeColor="text1"/>
          <w:szCs w:val="20"/>
        </w:rPr>
        <w:t xml:space="preserve">from a licensees’ </w:t>
      </w:r>
      <w:r w:rsidRPr="00F67FD9">
        <w:rPr>
          <w:rFonts w:cs="Arial"/>
          <w:color w:val="000000" w:themeColor="text1"/>
          <w:szCs w:val="20"/>
        </w:rPr>
        <w:t xml:space="preserve">own </w:t>
      </w:r>
      <w:r>
        <w:rPr>
          <w:rFonts w:cs="Arial"/>
          <w:color w:val="000000" w:themeColor="text1"/>
          <w:szCs w:val="20"/>
        </w:rPr>
        <w:t xml:space="preserve">services </w:t>
      </w:r>
      <w:r w:rsidRPr="00F67FD9">
        <w:rPr>
          <w:rFonts w:cs="Arial"/>
          <w:color w:val="000000" w:themeColor="text1"/>
          <w:szCs w:val="20"/>
        </w:rPr>
        <w:t xml:space="preserve">or </w:t>
      </w:r>
      <w:r>
        <w:rPr>
          <w:rFonts w:cs="Arial"/>
          <w:color w:val="000000" w:themeColor="text1"/>
          <w:szCs w:val="20"/>
        </w:rPr>
        <w:t>from other</w:t>
      </w:r>
      <w:r w:rsidRPr="00F67FD9">
        <w:rPr>
          <w:rFonts w:cs="Arial"/>
          <w:color w:val="000000" w:themeColor="text1"/>
          <w:szCs w:val="20"/>
        </w:rPr>
        <w:t xml:space="preserve"> licensees’ services. </w:t>
      </w:r>
    </w:p>
    <w:p w14:paraId="26969948" w14:textId="21C31291" w:rsidR="008F796B" w:rsidRPr="00F67FD9" w:rsidRDefault="008171B1" w:rsidP="008F796B">
      <w:pPr>
        <w:spacing w:line="80" w:lineRule="atLeast"/>
        <w:rPr>
          <w:szCs w:val="20"/>
        </w:rPr>
      </w:pPr>
      <w:r>
        <w:rPr>
          <w:rFonts w:cs="Arial"/>
          <w:color w:val="000000" w:themeColor="text1"/>
          <w:szCs w:val="20"/>
        </w:rPr>
        <w:t>Existing t</w:t>
      </w:r>
      <w:r w:rsidR="008F796B" w:rsidRPr="00F67FD9">
        <w:rPr>
          <w:rFonts w:cs="Arial"/>
          <w:color w:val="000000" w:themeColor="text1"/>
          <w:szCs w:val="20"/>
        </w:rPr>
        <w:t xml:space="preserve">echnical frameworks do not define measures to cater for </w:t>
      </w:r>
      <w:r w:rsidR="008F796B">
        <w:rPr>
          <w:rFonts w:cs="Arial"/>
          <w:color w:val="000000" w:themeColor="text1"/>
          <w:szCs w:val="20"/>
        </w:rPr>
        <w:t xml:space="preserve">interference caused by </w:t>
      </w:r>
      <w:r w:rsidR="008F796B" w:rsidRPr="00F67FD9">
        <w:rPr>
          <w:rFonts w:cs="Arial"/>
          <w:color w:val="000000" w:themeColor="text1"/>
          <w:szCs w:val="20"/>
        </w:rPr>
        <w:t>ducting when it is into wireless broadband receivers</w:t>
      </w:r>
      <w:r>
        <w:rPr>
          <w:rFonts w:cs="Arial"/>
          <w:color w:val="000000" w:themeColor="text1"/>
          <w:szCs w:val="20"/>
        </w:rPr>
        <w:t xml:space="preserve"> (it can consider it for services such as Radio Astronomy)</w:t>
      </w:r>
      <w:r w:rsidR="008F796B" w:rsidRPr="00F67FD9">
        <w:rPr>
          <w:rFonts w:cs="Arial"/>
          <w:color w:val="000000" w:themeColor="text1"/>
          <w:szCs w:val="20"/>
        </w:rPr>
        <w:t xml:space="preserve">. Doing so would greatly reduce utility of the spectrum due to the </w:t>
      </w:r>
      <w:r w:rsidR="008F796B">
        <w:rPr>
          <w:rFonts w:cs="Arial"/>
          <w:color w:val="000000" w:themeColor="text1"/>
          <w:szCs w:val="20"/>
        </w:rPr>
        <w:t xml:space="preserve">large </w:t>
      </w:r>
      <w:r w:rsidR="008F796B" w:rsidRPr="00F67FD9">
        <w:rPr>
          <w:rFonts w:cs="Arial"/>
          <w:color w:val="000000" w:themeColor="text1"/>
          <w:szCs w:val="20"/>
        </w:rPr>
        <w:t>distances this type of interference can occur over.</w:t>
      </w:r>
    </w:p>
    <w:p w14:paraId="7A831387" w14:textId="77777777" w:rsidR="008F796B" w:rsidRDefault="008F796B" w:rsidP="008F796B">
      <w:pPr>
        <w:pStyle w:val="CommentText"/>
        <w:tabs>
          <w:tab w:val="left" w:pos="426"/>
        </w:tabs>
        <w:spacing w:before="120"/>
        <w:rPr>
          <w:rFonts w:cs="Arial"/>
          <w:color w:val="000000" w:themeColor="text1"/>
        </w:rPr>
      </w:pPr>
      <w:proofErr w:type="spellStart"/>
      <w:r>
        <w:rPr>
          <w:rFonts w:cs="Arial"/>
          <w:color w:val="000000" w:themeColor="text1"/>
        </w:rPr>
        <w:t>n</w:t>
      </w:r>
      <w:r w:rsidRPr="00DB09DB">
        <w:rPr>
          <w:rFonts w:cs="Arial"/>
          <w:color w:val="000000" w:themeColor="text1"/>
        </w:rPr>
        <w:t>bn</w:t>
      </w:r>
      <w:proofErr w:type="spellEnd"/>
      <w:r>
        <w:rPr>
          <w:rFonts w:cs="Arial"/>
          <w:color w:val="000000" w:themeColor="text1"/>
        </w:rPr>
        <w:t xml:space="preserve"> indicated</w:t>
      </w:r>
      <w:r w:rsidRPr="00DB09DB">
        <w:rPr>
          <w:rFonts w:cs="Arial"/>
          <w:color w:val="000000" w:themeColor="text1"/>
        </w:rPr>
        <w:t xml:space="preserve"> that urban excise represents a significant shift form the interference scenario they </w:t>
      </w:r>
      <w:r>
        <w:rPr>
          <w:rFonts w:cs="Arial"/>
          <w:color w:val="000000" w:themeColor="text1"/>
        </w:rPr>
        <w:t xml:space="preserve">currently </w:t>
      </w:r>
      <w:r w:rsidRPr="00DB09DB">
        <w:rPr>
          <w:rFonts w:cs="Arial"/>
          <w:color w:val="000000" w:themeColor="text1"/>
        </w:rPr>
        <w:t xml:space="preserve">experience and would introduce a new source of interference. Specifically, they would be moving from a situation where they have no co-channel neighbours in metro areas to one where they do. To manage this, the measure supported by </w:t>
      </w:r>
      <w:proofErr w:type="spellStart"/>
      <w:r w:rsidRPr="00DB09DB">
        <w:rPr>
          <w:rFonts w:cs="Arial"/>
          <w:color w:val="000000" w:themeColor="text1"/>
        </w:rPr>
        <w:t>nbn</w:t>
      </w:r>
      <w:proofErr w:type="spellEnd"/>
      <w:r w:rsidRPr="00DB09DB">
        <w:rPr>
          <w:rFonts w:cs="Arial"/>
          <w:color w:val="000000" w:themeColor="text1"/>
        </w:rPr>
        <w:t xml:space="preserve"> is the inclusion of a secondary fallback scheme to the synchronisation condition. </w:t>
      </w:r>
      <w:r>
        <w:rPr>
          <w:rFonts w:cs="Arial"/>
          <w:color w:val="000000" w:themeColor="text1"/>
        </w:rPr>
        <w:t>The intention is t</w:t>
      </w:r>
      <w:r w:rsidRPr="00DB09DB">
        <w:rPr>
          <w:rFonts w:cs="Arial"/>
          <w:color w:val="000000" w:themeColor="text1"/>
        </w:rPr>
        <w:t>his would only apply during periods ducting is a problem</w:t>
      </w:r>
      <w:r>
        <w:rPr>
          <w:rFonts w:cs="Arial"/>
          <w:color w:val="000000" w:themeColor="text1"/>
        </w:rPr>
        <w:t xml:space="preserve"> (for example during certain times of the year and certain areas)</w:t>
      </w:r>
      <w:r w:rsidRPr="00DB09DB">
        <w:rPr>
          <w:rFonts w:cs="Arial"/>
          <w:color w:val="000000" w:themeColor="text1"/>
        </w:rPr>
        <w:t xml:space="preserve">. </w:t>
      </w:r>
    </w:p>
    <w:p w14:paraId="119120FA" w14:textId="77777777" w:rsidR="008F796B" w:rsidRPr="00DB09DB" w:rsidRDefault="008F796B" w:rsidP="008F796B">
      <w:pPr>
        <w:pStyle w:val="CommentText"/>
        <w:tabs>
          <w:tab w:val="left" w:pos="426"/>
        </w:tabs>
        <w:spacing w:before="120"/>
        <w:rPr>
          <w:rFonts w:cs="Arial"/>
          <w:color w:val="000000" w:themeColor="text1"/>
        </w:rPr>
      </w:pPr>
      <w:r w:rsidRPr="00DB09DB">
        <w:rPr>
          <w:rFonts w:cs="Arial"/>
          <w:color w:val="000000" w:themeColor="text1"/>
        </w:rPr>
        <w:t xml:space="preserve">The secondary fallback measure </w:t>
      </w:r>
      <w:r>
        <w:rPr>
          <w:rFonts w:cs="Arial"/>
          <w:color w:val="000000" w:themeColor="text1"/>
        </w:rPr>
        <w:t xml:space="preserve">would </w:t>
      </w:r>
      <w:r w:rsidRPr="00DB09DB">
        <w:rPr>
          <w:rFonts w:cs="Arial"/>
          <w:color w:val="000000" w:themeColor="text1"/>
        </w:rPr>
        <w:t xml:space="preserve">adopt </w:t>
      </w:r>
      <w:r w:rsidRPr="00DB09DB">
        <w:rPr>
          <w:rFonts w:cs="Arial"/>
          <w:i/>
          <w:iCs/>
        </w:rPr>
        <w:t>special subframe configuration 5</w:t>
      </w:r>
      <w:r w:rsidRPr="00DB09DB">
        <w:rPr>
          <w:rFonts w:cs="Arial"/>
        </w:rPr>
        <w:t xml:space="preserve"> which has a larger guard period than </w:t>
      </w:r>
      <w:r w:rsidRPr="00DB09DB">
        <w:rPr>
          <w:rFonts w:cs="Arial"/>
          <w:i/>
          <w:iCs/>
        </w:rPr>
        <w:t>special subframe configuration 6</w:t>
      </w:r>
      <w:r w:rsidRPr="00DB09DB">
        <w:rPr>
          <w:rFonts w:cs="Arial"/>
        </w:rPr>
        <w:t>.</w:t>
      </w:r>
      <w:r>
        <w:rPr>
          <w:rStyle w:val="FootnoteReference"/>
          <w:rFonts w:cs="Arial"/>
        </w:rPr>
        <w:footnoteReference w:id="8"/>
      </w:r>
      <w:r w:rsidRPr="00DB09DB">
        <w:rPr>
          <w:rFonts w:cs="Arial"/>
        </w:rPr>
        <w:t xml:space="preserve"> This guard period would assist in managing co-channel interference between base stations up to a distance of 193 km. </w:t>
      </w:r>
      <w:r>
        <w:rPr>
          <w:rFonts w:cs="Arial"/>
        </w:rPr>
        <w:t>Due to the larger guard period, t</w:t>
      </w:r>
      <w:r w:rsidRPr="00DB09DB">
        <w:rPr>
          <w:rFonts w:cs="Arial"/>
          <w:color w:val="000000" w:themeColor="text1"/>
        </w:rPr>
        <w:t xml:space="preserve">his fallback scheme is slightly less efficient than the existing. </w:t>
      </w:r>
    </w:p>
    <w:p w14:paraId="07AABEE9" w14:textId="55477C7E" w:rsidR="008F796B" w:rsidRPr="00DB09DB" w:rsidRDefault="008F796B" w:rsidP="008F796B">
      <w:pPr>
        <w:pStyle w:val="CommentText"/>
        <w:tabs>
          <w:tab w:val="left" w:pos="426"/>
        </w:tabs>
        <w:spacing w:before="120"/>
        <w:rPr>
          <w:rFonts w:cs="Arial"/>
          <w:color w:val="000000" w:themeColor="text1"/>
        </w:rPr>
      </w:pPr>
      <w:r>
        <w:rPr>
          <w:rFonts w:cs="Arial"/>
          <w:color w:val="000000" w:themeColor="text1"/>
        </w:rPr>
        <w:t>Mobile network operators</w:t>
      </w:r>
      <w:r w:rsidRPr="00DB09DB">
        <w:rPr>
          <w:rFonts w:cs="Arial"/>
          <w:color w:val="000000" w:themeColor="text1"/>
        </w:rPr>
        <w:t xml:space="preserve"> </w:t>
      </w:r>
      <w:r>
        <w:rPr>
          <w:rFonts w:cs="Arial"/>
          <w:color w:val="000000" w:themeColor="text1"/>
        </w:rPr>
        <w:t xml:space="preserve">(MNOs) </w:t>
      </w:r>
      <w:r w:rsidRPr="00DB09DB">
        <w:rPr>
          <w:rFonts w:cs="Arial"/>
          <w:color w:val="000000" w:themeColor="text1"/>
        </w:rPr>
        <w:t>argue</w:t>
      </w:r>
      <w:r>
        <w:rPr>
          <w:rFonts w:cs="Arial"/>
          <w:color w:val="000000" w:themeColor="text1"/>
        </w:rPr>
        <w:t>d</w:t>
      </w:r>
      <w:r w:rsidRPr="00DB09DB">
        <w:rPr>
          <w:rFonts w:cs="Arial"/>
          <w:color w:val="000000" w:themeColor="text1"/>
        </w:rPr>
        <w:t xml:space="preserve"> that ducting is an existing issue that all licensees experience and </w:t>
      </w:r>
      <w:r>
        <w:rPr>
          <w:rFonts w:cs="Arial"/>
          <w:color w:val="000000" w:themeColor="text1"/>
        </w:rPr>
        <w:t xml:space="preserve">need to </w:t>
      </w:r>
      <w:r w:rsidRPr="00DB09DB">
        <w:rPr>
          <w:rFonts w:cs="Arial"/>
          <w:color w:val="000000" w:themeColor="text1"/>
        </w:rPr>
        <w:t xml:space="preserve">actively manage. They </w:t>
      </w:r>
      <w:r>
        <w:rPr>
          <w:rFonts w:cs="Arial"/>
          <w:color w:val="000000" w:themeColor="text1"/>
        </w:rPr>
        <w:t>did</w:t>
      </w:r>
      <w:r w:rsidRPr="00DB09DB">
        <w:rPr>
          <w:rFonts w:cs="Arial"/>
          <w:color w:val="000000" w:themeColor="text1"/>
        </w:rPr>
        <w:t xml:space="preserve"> not </w:t>
      </w:r>
      <w:r>
        <w:rPr>
          <w:rFonts w:cs="Arial"/>
          <w:color w:val="000000" w:themeColor="text1"/>
        </w:rPr>
        <w:t xml:space="preserve">support </w:t>
      </w:r>
      <w:r w:rsidRPr="00DB09DB">
        <w:rPr>
          <w:rFonts w:cs="Arial"/>
          <w:color w:val="000000" w:themeColor="text1"/>
        </w:rPr>
        <w:t xml:space="preserve">regulatory measures </w:t>
      </w:r>
      <w:r>
        <w:rPr>
          <w:rFonts w:cs="Arial"/>
          <w:color w:val="000000" w:themeColor="text1"/>
        </w:rPr>
        <w:t xml:space="preserve">being defined </w:t>
      </w:r>
      <w:r w:rsidRPr="00DB09DB">
        <w:rPr>
          <w:rFonts w:cs="Arial"/>
          <w:color w:val="000000" w:themeColor="text1"/>
        </w:rPr>
        <w:t xml:space="preserve">to manage it. </w:t>
      </w:r>
      <w:r w:rsidR="006643F3">
        <w:rPr>
          <w:rFonts w:cs="Arial"/>
          <w:color w:val="000000" w:themeColor="text1"/>
        </w:rPr>
        <w:t xml:space="preserve">Adoption of the secondary fallback scheme would reduce system capacity. </w:t>
      </w:r>
      <w:r w:rsidRPr="00DB09DB">
        <w:rPr>
          <w:rFonts w:cs="Arial"/>
          <w:color w:val="000000" w:themeColor="text1"/>
        </w:rPr>
        <w:t>If it is an issue,</w:t>
      </w:r>
      <w:r>
        <w:rPr>
          <w:rFonts w:cs="Arial"/>
          <w:color w:val="000000" w:themeColor="text1"/>
        </w:rPr>
        <w:t xml:space="preserve"> </w:t>
      </w:r>
      <w:r w:rsidR="006643F3">
        <w:rPr>
          <w:rFonts w:cs="Arial"/>
          <w:color w:val="000000" w:themeColor="text1"/>
        </w:rPr>
        <w:t>MNO’s</w:t>
      </w:r>
      <w:r>
        <w:rPr>
          <w:rFonts w:cs="Arial"/>
          <w:color w:val="000000" w:themeColor="text1"/>
        </w:rPr>
        <w:t xml:space="preserve"> believed</w:t>
      </w:r>
      <w:r w:rsidRPr="00DB09DB">
        <w:rPr>
          <w:rFonts w:cs="Arial"/>
          <w:color w:val="000000" w:themeColor="text1"/>
        </w:rPr>
        <w:t xml:space="preserve"> licensees can implement different technical measures and/or negotiate with adjacent area </w:t>
      </w:r>
      <w:r>
        <w:rPr>
          <w:rFonts w:cs="Arial"/>
          <w:color w:val="000000" w:themeColor="text1"/>
        </w:rPr>
        <w:t>licensees</w:t>
      </w:r>
      <w:r w:rsidRPr="00DB09DB">
        <w:rPr>
          <w:rFonts w:cs="Arial"/>
          <w:color w:val="000000" w:themeColor="text1"/>
        </w:rPr>
        <w:t xml:space="preserve"> to manage</w:t>
      </w:r>
      <w:r>
        <w:rPr>
          <w:rFonts w:cs="Arial"/>
          <w:color w:val="000000" w:themeColor="text1"/>
        </w:rPr>
        <w:t xml:space="preserve"> it</w:t>
      </w:r>
      <w:r w:rsidRPr="00DB09DB">
        <w:rPr>
          <w:rFonts w:cs="Arial"/>
          <w:color w:val="000000" w:themeColor="text1"/>
        </w:rPr>
        <w:t xml:space="preserve">. </w:t>
      </w:r>
    </w:p>
    <w:p w14:paraId="3C6AAAF0" w14:textId="77777777" w:rsidR="008F796B" w:rsidRDefault="008F796B" w:rsidP="008F796B">
      <w:pPr>
        <w:pStyle w:val="CommentText"/>
        <w:tabs>
          <w:tab w:val="left" w:pos="426"/>
        </w:tabs>
        <w:spacing w:before="120"/>
        <w:rPr>
          <w:rFonts w:cs="Arial"/>
          <w:color w:val="000000" w:themeColor="text1"/>
        </w:rPr>
      </w:pPr>
      <w:proofErr w:type="spellStart"/>
      <w:r w:rsidRPr="00DB09DB">
        <w:rPr>
          <w:rFonts w:cs="Arial"/>
          <w:color w:val="000000" w:themeColor="text1"/>
        </w:rPr>
        <w:t>nbn</w:t>
      </w:r>
      <w:proofErr w:type="spellEnd"/>
      <w:r w:rsidRPr="00DB09DB">
        <w:rPr>
          <w:rFonts w:cs="Arial"/>
          <w:color w:val="000000" w:themeColor="text1"/>
        </w:rPr>
        <w:t xml:space="preserve"> have stated that they are already implementing possible measures to manage ducting </w:t>
      </w:r>
      <w:r>
        <w:rPr>
          <w:rFonts w:cs="Arial"/>
          <w:color w:val="000000" w:themeColor="text1"/>
        </w:rPr>
        <w:t>between</w:t>
      </w:r>
      <w:r w:rsidRPr="00DB09DB">
        <w:rPr>
          <w:rFonts w:cs="Arial"/>
          <w:color w:val="000000" w:themeColor="text1"/>
        </w:rPr>
        <w:t xml:space="preserve"> their own systems. </w:t>
      </w:r>
      <w:r>
        <w:rPr>
          <w:rFonts w:cs="Arial"/>
          <w:color w:val="000000" w:themeColor="text1"/>
        </w:rPr>
        <w:t>These measures may not be</w:t>
      </w:r>
      <w:r w:rsidRPr="00DB09DB">
        <w:rPr>
          <w:rFonts w:cs="Arial"/>
          <w:color w:val="000000" w:themeColor="text1"/>
        </w:rPr>
        <w:t xml:space="preserve"> sufficient to protect against additional ducting interference from urban excise areas. </w:t>
      </w:r>
      <w:proofErr w:type="spellStart"/>
      <w:r>
        <w:rPr>
          <w:rFonts w:cs="Arial"/>
          <w:color w:val="000000" w:themeColor="text1"/>
        </w:rPr>
        <w:t>nbn</w:t>
      </w:r>
      <w:proofErr w:type="spellEnd"/>
      <w:r>
        <w:rPr>
          <w:rFonts w:cs="Arial"/>
          <w:color w:val="000000" w:themeColor="text1"/>
        </w:rPr>
        <w:t xml:space="preserve"> indicated that the effect of interference could be seen as a reduction in uplink performance in a base station sector or, in the worst case, an outage. Such interference can </w:t>
      </w:r>
      <w:r w:rsidRPr="00DB09DB">
        <w:rPr>
          <w:rFonts w:cs="Arial"/>
          <w:color w:val="000000" w:themeColor="text1"/>
        </w:rPr>
        <w:t xml:space="preserve">occur for periods of an minutes/hours </w:t>
      </w:r>
      <w:r>
        <w:rPr>
          <w:rFonts w:cs="Arial"/>
          <w:color w:val="000000" w:themeColor="text1"/>
        </w:rPr>
        <w:t>or</w:t>
      </w:r>
      <w:r w:rsidRPr="00DB09DB">
        <w:rPr>
          <w:rFonts w:cs="Arial"/>
          <w:color w:val="000000" w:themeColor="text1"/>
        </w:rPr>
        <w:t xml:space="preserve"> even days</w:t>
      </w:r>
      <w:r>
        <w:rPr>
          <w:rFonts w:cs="Arial"/>
          <w:color w:val="000000" w:themeColor="text1"/>
        </w:rPr>
        <w:t xml:space="preserve"> at a time, but events usually occur during specific times of the year. </w:t>
      </w:r>
    </w:p>
    <w:p w14:paraId="632C9F2A" w14:textId="55B7BCE2" w:rsidR="008F796B" w:rsidRPr="00B70035" w:rsidRDefault="008F796B" w:rsidP="008F796B">
      <w:pPr>
        <w:pStyle w:val="Heading4"/>
      </w:pPr>
      <w:r w:rsidRPr="00B70035">
        <w:t xml:space="preserve">TLG </w:t>
      </w:r>
      <w:r w:rsidR="001B7B20">
        <w:t>outcome</w:t>
      </w:r>
    </w:p>
    <w:p w14:paraId="41E2F044" w14:textId="44599BB2" w:rsidR="008F796B" w:rsidRPr="00F97FDB" w:rsidRDefault="008F796B" w:rsidP="008F796B">
      <w:pPr>
        <w:spacing w:after="80" w:line="80" w:lineRule="atLeast"/>
      </w:pPr>
      <w:r w:rsidRPr="00F97FDB">
        <w:t xml:space="preserve">The TLG supported maintaining the existing measures in the 3.4 GHz technical framework to manage BS-BS interference. Regarding interference due to ducting, </w:t>
      </w:r>
      <w:r w:rsidR="00205CFC">
        <w:t>3</w:t>
      </w:r>
      <w:r w:rsidR="006D3F51">
        <w:t> </w:t>
      </w:r>
      <w:r w:rsidRPr="00F97FDB">
        <w:t>possible solutions were considered:</w:t>
      </w:r>
    </w:p>
    <w:p w14:paraId="3A282AA8" w14:textId="77777777" w:rsidR="008F796B" w:rsidRPr="00F97FDB" w:rsidRDefault="008F796B" w:rsidP="008F796B">
      <w:pPr>
        <w:pStyle w:val="Bulletlevel1"/>
      </w:pPr>
      <w:r>
        <w:t>No addition</w:t>
      </w:r>
      <w:r w:rsidRPr="00F97FDB">
        <w:t xml:space="preserve"> measures to manage interference caused by ducting. Licensees can implement technical measures, where possible and as required, to manage </w:t>
      </w:r>
      <w:r w:rsidRPr="00F97FDB">
        <w:lastRenderedPageBreak/>
        <w:t xml:space="preserve">interference due to ducting. This could include negotiating with adjacent area licensees.  </w:t>
      </w:r>
    </w:p>
    <w:p w14:paraId="31F95396" w14:textId="4D0FA8B3" w:rsidR="008F796B" w:rsidRPr="00F97FDB" w:rsidRDefault="008F796B" w:rsidP="006643F3">
      <w:pPr>
        <w:pStyle w:val="Bulletlevel1"/>
        <w:numPr>
          <w:ilvl w:val="0"/>
          <w:numId w:val="18"/>
        </w:numPr>
      </w:pPr>
      <w:r w:rsidRPr="00F97FDB">
        <w:t xml:space="preserve">Require new BS </w:t>
      </w:r>
      <w:r>
        <w:t>in the 3400</w:t>
      </w:r>
      <w:r w:rsidR="006D3F51">
        <w:t>–</w:t>
      </w:r>
      <w:r>
        <w:t xml:space="preserve">3475 MHz band </w:t>
      </w:r>
      <w:r w:rsidRPr="00F97FDB">
        <w:t>to</w:t>
      </w:r>
      <w:r>
        <w:t xml:space="preserve"> be</w:t>
      </w:r>
      <w:r w:rsidRPr="00F97FDB">
        <w:t xml:space="preserve"> coordinate</w:t>
      </w:r>
      <w:r>
        <w:t>d</w:t>
      </w:r>
      <w:r w:rsidRPr="00F97FDB">
        <w:t xml:space="preserve"> with existing co-channel BS located 64 km away. While this option was briefly discussed</w:t>
      </w:r>
      <w:r w:rsidR="006D3F51">
        <w:t>,</w:t>
      </w:r>
      <w:r w:rsidRPr="00F97FDB">
        <w:t xml:space="preserve"> it was identified it would severely reduce utility of urban excise areas due to the large coordination distance involved. </w:t>
      </w:r>
    </w:p>
    <w:p w14:paraId="45087231" w14:textId="3B5A42E8" w:rsidR="008F796B" w:rsidRDefault="008F796B" w:rsidP="006643F3">
      <w:pPr>
        <w:pStyle w:val="ListBullet"/>
        <w:numPr>
          <w:ilvl w:val="0"/>
          <w:numId w:val="18"/>
        </w:numPr>
      </w:pPr>
      <w:r>
        <w:t xml:space="preserve">Include a secondary fallback synchronisation scheme for licences in urban excise aeras and adjacent </w:t>
      </w:r>
      <w:proofErr w:type="spellStart"/>
      <w:r>
        <w:t>nbn</w:t>
      </w:r>
      <w:proofErr w:type="spellEnd"/>
      <w:r>
        <w:t xml:space="preserve"> licences. This would mean that, for devices operating in the 3400-3475 MHz band, </w:t>
      </w:r>
      <w:r w:rsidR="001D734E" w:rsidRPr="00963123">
        <w:rPr>
          <w:rFonts w:cs="Arial"/>
          <w:szCs w:val="20"/>
        </w:rPr>
        <w:t>where interference is transient or temporary</w:t>
      </w:r>
      <w:r w:rsidR="001D734E" w:rsidRPr="001D734E">
        <w:t xml:space="preserve">, </w:t>
      </w:r>
      <w:r w:rsidRPr="001D734E">
        <w:t>if</w:t>
      </w:r>
      <w:r w:rsidR="006D3F51">
        <w:t>:</w:t>
      </w:r>
      <w:r w:rsidRPr="001D734E">
        <w:t xml:space="preserve">  </w:t>
      </w:r>
    </w:p>
    <w:p w14:paraId="70118D53" w14:textId="6CC7B324" w:rsidR="008F796B" w:rsidRPr="00682C0D" w:rsidRDefault="008F796B" w:rsidP="00096E81">
      <w:pPr>
        <w:pStyle w:val="Bulletlevel2"/>
      </w:pPr>
      <w:r>
        <w:t>i</w:t>
      </w:r>
      <w:r w:rsidRPr="00682C0D">
        <w:t>nterference is experienced between a device operating in an urban excise area and a device operating in an adjacent area</w:t>
      </w:r>
    </w:p>
    <w:p w14:paraId="6C67ACF3" w14:textId="44305D4B" w:rsidR="008F796B" w:rsidRPr="00682C0D" w:rsidRDefault="008F796B" w:rsidP="00096E81">
      <w:pPr>
        <w:pStyle w:val="Bulletlevel2"/>
      </w:pPr>
      <w:r w:rsidRPr="00682C0D">
        <w:t>there is no agreement on how to manage the interference</w:t>
      </w:r>
    </w:p>
    <w:p w14:paraId="6062D399" w14:textId="0E77F1C6" w:rsidR="008F796B" w:rsidRPr="00682C0D" w:rsidRDefault="008F796B" w:rsidP="00096E81">
      <w:pPr>
        <w:pStyle w:val="Bulletlevel2"/>
      </w:pPr>
      <w:r w:rsidRPr="00682C0D">
        <w:t>the interference is not adequately resolved by adopting the standard synchronisation requirement</w:t>
      </w:r>
    </w:p>
    <w:p w14:paraId="4A5C6F05" w14:textId="1323E74C" w:rsidR="008F796B" w:rsidRDefault="001D734E" w:rsidP="008F796B">
      <w:pPr>
        <w:pStyle w:val="ListBullet"/>
        <w:numPr>
          <w:ilvl w:val="0"/>
          <w:numId w:val="0"/>
        </w:numPr>
        <w:spacing w:after="240"/>
        <w:ind w:left="295"/>
      </w:pPr>
      <w:r w:rsidRPr="00963123">
        <w:rPr>
          <w:rFonts w:cs="Arial"/>
          <w:szCs w:val="20"/>
        </w:rPr>
        <w:t>then a temporary adoption of special subframe configuration 5 must be implemented within [TBD timeframe] of the notification of the interreference for the duration of the interference event. Normal operation can be restored as agreed between the licensees</w:t>
      </w:r>
      <w:r w:rsidR="008F796B" w:rsidRPr="00682C0D">
        <w:t>.</w:t>
      </w:r>
    </w:p>
    <w:p w14:paraId="571BF5DF" w14:textId="77777777" w:rsidR="008F796B" w:rsidRPr="005B313F" w:rsidRDefault="008F796B" w:rsidP="008F796B">
      <w:pPr>
        <w:pStyle w:val="Heading3"/>
      </w:pPr>
      <w:bookmarkStart w:id="115" w:name="_Toc73973852"/>
      <w:bookmarkStart w:id="116" w:name="_Toc75275796"/>
      <w:bookmarkStart w:id="117" w:name="_Toc76376864"/>
      <w:bookmarkStart w:id="118" w:name="_Toc80877086"/>
      <w:r w:rsidRPr="005B313F">
        <w:t>BS-CPE</w:t>
      </w:r>
      <w:bookmarkEnd w:id="115"/>
      <w:bookmarkEnd w:id="116"/>
      <w:bookmarkEnd w:id="117"/>
      <w:bookmarkEnd w:id="118"/>
    </w:p>
    <w:p w14:paraId="66B44ACB" w14:textId="6AE4E02E" w:rsidR="008F796B" w:rsidRPr="00F85432" w:rsidRDefault="008F796B" w:rsidP="008F796B">
      <w:pPr>
        <w:spacing w:line="80" w:lineRule="atLeast"/>
      </w:pPr>
      <w:r w:rsidRPr="00F85432">
        <w:t xml:space="preserve">For the purposes of the TLG, CPEs were only considered to operate under </w:t>
      </w:r>
      <w:proofErr w:type="spellStart"/>
      <w:r>
        <w:t>nbn</w:t>
      </w:r>
      <w:proofErr w:type="spellEnd"/>
      <w:r w:rsidRPr="00F85432">
        <w:t xml:space="preserve"> licences. This means only co-channel interference from urban excise areas needed to be consider for the BS-CPE case. </w:t>
      </w:r>
      <w:bookmarkStart w:id="119" w:name="_Hlk66805673"/>
      <w:r w:rsidRPr="00F85432">
        <w:t>Usually</w:t>
      </w:r>
      <w:r w:rsidR="00D45422">
        <w:t>,</w:t>
      </w:r>
      <w:r w:rsidRPr="00F85432">
        <w:t xml:space="preserve"> a spectrum licence technical framework does not provide specific protection for BS-CPE interference. However, an inherent level of protection is afforded provided by</w:t>
      </w:r>
      <w:r w:rsidRPr="00F85432">
        <w:rPr>
          <w:rFonts w:cs="Arial"/>
          <w:szCs w:val="20"/>
        </w:rPr>
        <w:t xml:space="preserve"> the Device Boundary Criteria (DBC) specified in the </w:t>
      </w:r>
      <w:hyperlink r:id="rId54" w:history="1">
        <w:r w:rsidRPr="00096E81">
          <w:rPr>
            <w:rStyle w:val="Hyperlink"/>
            <w:rFonts w:cs="Arial"/>
            <w:szCs w:val="20"/>
          </w:rPr>
          <w:t xml:space="preserve">Radiocommunications (Unacceptable Levels of Interference </w:t>
        </w:r>
        <w:r w:rsidR="00D45422" w:rsidRPr="00096E81">
          <w:rPr>
            <w:rStyle w:val="Hyperlink"/>
            <w:rFonts w:cs="Arial"/>
            <w:szCs w:val="20"/>
          </w:rPr>
          <w:br/>
        </w:r>
        <w:r w:rsidRPr="00096E81">
          <w:rPr>
            <w:rStyle w:val="Hyperlink"/>
            <w:rFonts w:cs="Arial"/>
            <w:szCs w:val="20"/>
          </w:rPr>
          <w:t>— 3.4 GHz Band) Determination 2015</w:t>
        </w:r>
      </w:hyperlink>
      <w:r w:rsidRPr="00F85432">
        <w:rPr>
          <w:rFonts w:cs="Arial"/>
          <w:szCs w:val="20"/>
        </w:rPr>
        <w:t>.</w:t>
      </w:r>
    </w:p>
    <w:p w14:paraId="2DA64555" w14:textId="60B41E22" w:rsidR="008F796B" w:rsidRPr="00CE4AB8" w:rsidRDefault="008F796B" w:rsidP="008F796B">
      <w:pPr>
        <w:spacing w:before="240" w:line="80" w:lineRule="atLeast"/>
      </w:pPr>
      <w:r w:rsidRPr="00CE4AB8">
        <w:t xml:space="preserve">The DBC provides a method for limiting the levels of emissions that leave a licence area. The intention is to provide a level of certainty to adjacent area licensees regarding the future usability of their spectrum, irrespective of who deploys services first-in-time. The level of protection (LOP) afforded by the DBC can be set as high or low as desired and is usually a compromise between managing interference and maximising the utility of a spectrum licence. For example, the more stringent the LOP is set, the greater protection licensees have from interference. However, this also results in larger ‘dead-zones’ near licence boundaries where </w:t>
      </w:r>
      <w:r w:rsidR="00087DC8">
        <w:t xml:space="preserve">utility is reduced and </w:t>
      </w:r>
      <w:r w:rsidRPr="00CE4AB8">
        <w:t xml:space="preserve">licensees either cannot deploy or are required to implement various types of mitigation strategies to minimise emissions leaving their licence area.  </w:t>
      </w:r>
    </w:p>
    <w:p w14:paraId="5EBEA3D2" w14:textId="77777777" w:rsidR="008F796B" w:rsidRPr="000B56EB" w:rsidRDefault="008F796B" w:rsidP="00096E81">
      <w:pPr>
        <w:pStyle w:val="Paragraphbeforelist"/>
      </w:pPr>
      <w:r w:rsidRPr="000B56EB">
        <w:t>For the following reasons, the use of the existing DBC to manage BS-CPE interference was not considered appropriate:</w:t>
      </w:r>
    </w:p>
    <w:p w14:paraId="529F963D" w14:textId="04D612A1" w:rsidR="008F796B" w:rsidRPr="000B56EB" w:rsidRDefault="008F796B" w:rsidP="00096E81">
      <w:pPr>
        <w:pStyle w:val="Bulletlevel1"/>
      </w:pPr>
      <w:r w:rsidRPr="000B56EB">
        <w:t xml:space="preserve">When urban excise areas were developed, it was not considered whether existing </w:t>
      </w:r>
      <w:proofErr w:type="spellStart"/>
      <w:r w:rsidRPr="000B56EB">
        <w:t>nbn</w:t>
      </w:r>
      <w:proofErr w:type="spellEnd"/>
      <w:r w:rsidRPr="000B56EB">
        <w:t xml:space="preserve"> BS would meet the DBC with the newly created area. The intention was to identify HCIS in urban (and surrounding suburban) areas that were not part of the </w:t>
      </w:r>
      <w:proofErr w:type="spellStart"/>
      <w:r>
        <w:t>nbn</w:t>
      </w:r>
      <w:proofErr w:type="spellEnd"/>
      <w:r w:rsidRPr="000B56EB">
        <w:t xml:space="preserve"> terrestrial wireless service area. Therefore, many existing </w:t>
      </w:r>
      <w:proofErr w:type="spellStart"/>
      <w:r w:rsidRPr="000B56EB">
        <w:t>nbn</w:t>
      </w:r>
      <w:proofErr w:type="spellEnd"/>
      <w:r w:rsidRPr="000B56EB">
        <w:t xml:space="preserve"> BS would not meet the DBC at the urban excise area boundary. Having to adhere to the DBC would also limit the ability of </w:t>
      </w:r>
      <w:proofErr w:type="spellStart"/>
      <w:r>
        <w:t>n</w:t>
      </w:r>
      <w:r w:rsidRPr="000B56EB">
        <w:t>bn</w:t>
      </w:r>
      <w:proofErr w:type="spellEnd"/>
      <w:r w:rsidRPr="000B56EB">
        <w:t xml:space="preserve"> to </w:t>
      </w:r>
      <w:r w:rsidR="001B7B20">
        <w:t xml:space="preserve">increase sectorisation on existing sites and migrate to AAS (with higher gain antennas) </w:t>
      </w:r>
      <w:r w:rsidRPr="000B56EB">
        <w:t>in the future.</w:t>
      </w:r>
    </w:p>
    <w:p w14:paraId="4F539207" w14:textId="77777777" w:rsidR="008F796B" w:rsidRPr="000B56EB" w:rsidRDefault="008F796B" w:rsidP="00096E81">
      <w:pPr>
        <w:pStyle w:val="Bulletlevel1"/>
      </w:pPr>
      <w:r w:rsidRPr="000B56EB">
        <w:t xml:space="preserve">Changing the DBC to accommodate </w:t>
      </w:r>
      <w:proofErr w:type="spellStart"/>
      <w:r w:rsidRPr="000B56EB">
        <w:t>nbn</w:t>
      </w:r>
      <w:proofErr w:type="spellEnd"/>
      <w:r w:rsidRPr="000B56EB">
        <w:t xml:space="preserve"> BS would </w:t>
      </w:r>
      <w:r>
        <w:t xml:space="preserve">require a </w:t>
      </w:r>
      <w:r w:rsidRPr="000B56EB">
        <w:t>reduc</w:t>
      </w:r>
      <w:r>
        <w:t>tion in</w:t>
      </w:r>
      <w:r w:rsidRPr="000B56EB">
        <w:t xml:space="preserve"> the LOP</w:t>
      </w:r>
      <w:r>
        <w:t>. This would increase the risk of interference</w:t>
      </w:r>
      <w:r w:rsidRPr="000B56EB">
        <w:t xml:space="preserve"> into </w:t>
      </w:r>
      <w:proofErr w:type="spellStart"/>
      <w:r w:rsidRPr="000B56EB">
        <w:t>nbn</w:t>
      </w:r>
      <w:proofErr w:type="spellEnd"/>
      <w:r w:rsidRPr="000B56EB">
        <w:t xml:space="preserve"> </w:t>
      </w:r>
      <w:r>
        <w:t xml:space="preserve">service </w:t>
      </w:r>
      <w:r w:rsidRPr="000B56EB">
        <w:t>areas.</w:t>
      </w:r>
    </w:p>
    <w:p w14:paraId="5415F7A6" w14:textId="77777777" w:rsidR="008F796B" w:rsidRPr="000B56EB" w:rsidRDefault="008F796B" w:rsidP="00096E81">
      <w:pPr>
        <w:pStyle w:val="Bulletlevel1"/>
      </w:pPr>
      <w:r w:rsidRPr="000B56EB">
        <w:t xml:space="preserve">The 3.5 GHz band may be the only frequency available for the delivery of </w:t>
      </w:r>
      <w:proofErr w:type="spellStart"/>
      <w:r>
        <w:t>nbn</w:t>
      </w:r>
      <w:proofErr w:type="spellEnd"/>
      <w:r w:rsidRPr="000B56EB">
        <w:t xml:space="preserve"> services in a number of areas, a method to manage BS-CPE interference is </w:t>
      </w:r>
      <w:r>
        <w:t>required</w:t>
      </w:r>
      <w:r w:rsidRPr="000B56EB">
        <w:t xml:space="preserve">. </w:t>
      </w:r>
    </w:p>
    <w:p w14:paraId="69CA84BA" w14:textId="77777777" w:rsidR="008F796B" w:rsidRPr="000B56EB" w:rsidRDefault="008F796B" w:rsidP="006643F3">
      <w:pPr>
        <w:pStyle w:val="ListParagraph"/>
        <w:numPr>
          <w:ilvl w:val="0"/>
          <w:numId w:val="20"/>
        </w:numPr>
        <w:spacing w:after="160" w:line="80" w:lineRule="atLeast"/>
        <w:rPr>
          <w:rFonts w:ascii="Arial" w:eastAsia="Times New Roman" w:hAnsi="Arial"/>
          <w:sz w:val="20"/>
          <w:szCs w:val="24"/>
          <w:lang w:eastAsia="en-AU"/>
        </w:rPr>
      </w:pPr>
      <w:r>
        <w:rPr>
          <w:rFonts w:ascii="Arial" w:eastAsia="Times New Roman" w:hAnsi="Arial"/>
          <w:sz w:val="20"/>
          <w:szCs w:val="24"/>
          <w:lang w:eastAsia="en-AU"/>
        </w:rPr>
        <w:lastRenderedPageBreak/>
        <w:t>U</w:t>
      </w:r>
      <w:r w:rsidRPr="000B56EB">
        <w:rPr>
          <w:rFonts w:ascii="Arial" w:eastAsia="Times New Roman" w:hAnsi="Arial"/>
          <w:sz w:val="20"/>
          <w:szCs w:val="24"/>
          <w:lang w:eastAsia="en-AU"/>
        </w:rPr>
        <w:t>rban excise areas are smaller than existing metro areas in the 3.4 GHz and other bands</w:t>
      </w:r>
      <w:r>
        <w:rPr>
          <w:rFonts w:ascii="Arial" w:eastAsia="Times New Roman" w:hAnsi="Arial"/>
          <w:sz w:val="20"/>
          <w:szCs w:val="24"/>
          <w:lang w:eastAsia="en-AU"/>
        </w:rPr>
        <w:t>. The area boundary also passes through areas of significant population. T</w:t>
      </w:r>
      <w:r w:rsidRPr="000B56EB">
        <w:rPr>
          <w:rFonts w:ascii="Arial" w:eastAsia="Times New Roman" w:hAnsi="Arial"/>
          <w:sz w:val="20"/>
          <w:szCs w:val="24"/>
          <w:lang w:eastAsia="en-AU"/>
        </w:rPr>
        <w:t>h</w:t>
      </w:r>
      <w:r>
        <w:rPr>
          <w:rFonts w:ascii="Arial" w:eastAsia="Times New Roman" w:hAnsi="Arial"/>
          <w:sz w:val="20"/>
          <w:szCs w:val="24"/>
          <w:lang w:eastAsia="en-AU"/>
        </w:rPr>
        <w:t>is means the</w:t>
      </w:r>
      <w:r w:rsidRPr="000B56EB">
        <w:rPr>
          <w:rFonts w:ascii="Arial" w:eastAsia="Times New Roman" w:hAnsi="Arial"/>
          <w:sz w:val="20"/>
          <w:szCs w:val="24"/>
          <w:lang w:eastAsia="en-AU"/>
        </w:rPr>
        <w:t xml:space="preserve"> dead zones created by</w:t>
      </w:r>
      <w:r>
        <w:rPr>
          <w:rFonts w:ascii="Arial" w:eastAsia="Times New Roman" w:hAnsi="Arial"/>
          <w:sz w:val="20"/>
          <w:szCs w:val="24"/>
          <w:lang w:eastAsia="en-AU"/>
        </w:rPr>
        <w:t xml:space="preserve"> using</w:t>
      </w:r>
      <w:r w:rsidRPr="000B56EB">
        <w:rPr>
          <w:rFonts w:ascii="Arial" w:eastAsia="Times New Roman" w:hAnsi="Arial"/>
          <w:sz w:val="20"/>
          <w:szCs w:val="24"/>
          <w:lang w:eastAsia="en-AU"/>
        </w:rPr>
        <w:t xml:space="preserve"> the existing DBC would greatly restrict the locations new services could be deployed in </w:t>
      </w:r>
      <w:r>
        <w:rPr>
          <w:rFonts w:ascii="Arial" w:eastAsia="Times New Roman" w:hAnsi="Arial"/>
          <w:sz w:val="20"/>
          <w:szCs w:val="24"/>
          <w:lang w:eastAsia="en-AU"/>
        </w:rPr>
        <w:t>urban excise</w:t>
      </w:r>
      <w:r w:rsidRPr="000B56EB">
        <w:rPr>
          <w:rFonts w:ascii="Arial" w:eastAsia="Times New Roman" w:hAnsi="Arial"/>
          <w:sz w:val="20"/>
          <w:szCs w:val="24"/>
          <w:lang w:eastAsia="en-AU"/>
        </w:rPr>
        <w:t xml:space="preserve"> areas</w:t>
      </w:r>
      <w:r>
        <w:rPr>
          <w:rFonts w:ascii="Arial" w:eastAsia="Times New Roman" w:hAnsi="Arial"/>
          <w:sz w:val="20"/>
          <w:szCs w:val="24"/>
          <w:lang w:eastAsia="en-AU"/>
        </w:rPr>
        <w:t>, thereby reducing their utility</w:t>
      </w:r>
      <w:r w:rsidRPr="000B56EB">
        <w:rPr>
          <w:rFonts w:ascii="Arial" w:eastAsia="Times New Roman" w:hAnsi="Arial"/>
          <w:sz w:val="20"/>
          <w:szCs w:val="24"/>
          <w:lang w:eastAsia="en-AU"/>
        </w:rPr>
        <w:t xml:space="preserve">. </w:t>
      </w:r>
    </w:p>
    <w:p w14:paraId="1952C337" w14:textId="2CAFCF24" w:rsidR="008F796B" w:rsidRPr="004B7FCA" w:rsidRDefault="008F796B" w:rsidP="008F796B">
      <w:pPr>
        <w:spacing w:before="240" w:line="80" w:lineRule="atLeast"/>
      </w:pPr>
      <w:bookmarkStart w:id="120" w:name="_Hlk66805725"/>
      <w:bookmarkEnd w:id="119"/>
      <w:r w:rsidRPr="004B7FCA">
        <w:t xml:space="preserve">It was noted that </w:t>
      </w:r>
      <w:proofErr w:type="spellStart"/>
      <w:r w:rsidRPr="004B7FCA">
        <w:t>nbn</w:t>
      </w:r>
      <w:proofErr w:type="spellEnd"/>
      <w:r w:rsidRPr="004B7FCA">
        <w:t xml:space="preserve"> are close to finalising the rollout of their terrestrial wireless network (not accounting for possible densification in the future) and the areas they are required to provide terrestrial wireless broadband service are well defined (noting this may evolve over time with population growth). Taking this into account,</w:t>
      </w:r>
      <w:r w:rsidR="00C86D2D">
        <w:t xml:space="preserve"> </w:t>
      </w:r>
      <w:r w:rsidRPr="004B7FCA">
        <w:t xml:space="preserve">it is considered that a first-in-time coordination approach may be applied to manage BS-CPE interference in this case without significantly impacting </w:t>
      </w:r>
      <w:proofErr w:type="spellStart"/>
      <w:r w:rsidRPr="004B7FCA">
        <w:t>nbn</w:t>
      </w:r>
      <w:proofErr w:type="spellEnd"/>
      <w:r w:rsidRPr="004B7FCA">
        <w:t xml:space="preserve"> services. </w:t>
      </w:r>
    </w:p>
    <w:bookmarkEnd w:id="120"/>
    <w:p w14:paraId="1717E12F" w14:textId="77777777" w:rsidR="008F796B" w:rsidRPr="0024723B" w:rsidRDefault="008F796B" w:rsidP="00096E81">
      <w:pPr>
        <w:pStyle w:val="Paragraphbeforelist"/>
      </w:pPr>
      <w:r w:rsidRPr="0024723B">
        <w:t>Two alternative approaches to the DBC were considered to manage BS-CPE interference:</w:t>
      </w:r>
    </w:p>
    <w:p w14:paraId="0A269780" w14:textId="2A82DF25" w:rsidR="008F796B" w:rsidRPr="00536112" w:rsidRDefault="008F796B" w:rsidP="006643F3">
      <w:pPr>
        <w:pStyle w:val="Bulletlevel1"/>
        <w:numPr>
          <w:ilvl w:val="0"/>
          <w:numId w:val="18"/>
        </w:numPr>
        <w:rPr>
          <w:szCs w:val="20"/>
        </w:rPr>
      </w:pPr>
      <w:r w:rsidRPr="00536112">
        <w:rPr>
          <w:szCs w:val="20"/>
        </w:rPr>
        <w:t xml:space="preserve">Define a PFD criteria: Ensure the PFD from a proposed new BS does not exceed a defined limit at a specified height within </w:t>
      </w:r>
      <w:proofErr w:type="spellStart"/>
      <w:r w:rsidRPr="00536112">
        <w:rPr>
          <w:szCs w:val="20"/>
        </w:rPr>
        <w:t>nbn</w:t>
      </w:r>
      <w:proofErr w:type="spellEnd"/>
      <w:r w:rsidRPr="00536112">
        <w:rPr>
          <w:szCs w:val="20"/>
        </w:rPr>
        <w:t xml:space="preserve"> service areas</w:t>
      </w:r>
      <w:r w:rsidRPr="00536112">
        <w:rPr>
          <w:szCs w:val="20"/>
          <w:vertAlign w:val="superscript"/>
        </w:rPr>
        <w:fldChar w:fldCharType="begin"/>
      </w:r>
      <w:r w:rsidRPr="00536112">
        <w:rPr>
          <w:szCs w:val="20"/>
          <w:vertAlign w:val="superscript"/>
        </w:rPr>
        <w:instrText xml:space="preserve"> NOTEREF _Ref62117931 \h  \* MERGEFORMAT </w:instrText>
      </w:r>
      <w:r w:rsidRPr="00536112">
        <w:rPr>
          <w:szCs w:val="20"/>
          <w:vertAlign w:val="superscript"/>
        </w:rPr>
      </w:r>
      <w:r w:rsidRPr="00536112">
        <w:rPr>
          <w:szCs w:val="20"/>
          <w:vertAlign w:val="superscript"/>
        </w:rPr>
        <w:fldChar w:fldCharType="separate"/>
      </w:r>
      <w:r w:rsidR="00473234">
        <w:rPr>
          <w:szCs w:val="20"/>
          <w:vertAlign w:val="superscript"/>
        </w:rPr>
        <w:t>6</w:t>
      </w:r>
      <w:r w:rsidRPr="00536112">
        <w:rPr>
          <w:szCs w:val="20"/>
          <w:vertAlign w:val="superscript"/>
        </w:rPr>
        <w:fldChar w:fldCharType="end"/>
      </w:r>
      <w:r w:rsidRPr="00536112">
        <w:rPr>
          <w:szCs w:val="20"/>
        </w:rPr>
        <w:t xml:space="preserve">. </w:t>
      </w:r>
      <w:r w:rsidRPr="00536112">
        <w:rPr>
          <w:color w:val="000000" w:themeColor="text1"/>
          <w:szCs w:val="20"/>
        </w:rPr>
        <w:t xml:space="preserve">While this approach would likely provide sufficient protection, MNOs consider it would be overly conservative in cases where </w:t>
      </w:r>
      <w:proofErr w:type="spellStart"/>
      <w:r w:rsidRPr="00536112">
        <w:rPr>
          <w:color w:val="000000" w:themeColor="text1"/>
          <w:szCs w:val="20"/>
        </w:rPr>
        <w:t>nbn</w:t>
      </w:r>
      <w:proofErr w:type="spellEnd"/>
      <w:r w:rsidRPr="00536112">
        <w:rPr>
          <w:color w:val="000000" w:themeColor="text1"/>
          <w:szCs w:val="20"/>
        </w:rPr>
        <w:t xml:space="preserve"> have services deployed close to urban excise areas. This is because it does not </w:t>
      </w:r>
      <w:proofErr w:type="gramStart"/>
      <w:r w:rsidRPr="00536112">
        <w:rPr>
          <w:color w:val="000000" w:themeColor="text1"/>
          <w:szCs w:val="20"/>
        </w:rPr>
        <w:t>take into account</w:t>
      </w:r>
      <w:proofErr w:type="gramEnd"/>
      <w:r w:rsidRPr="00536112">
        <w:rPr>
          <w:color w:val="000000" w:themeColor="text1"/>
          <w:szCs w:val="20"/>
        </w:rPr>
        <w:t xml:space="preserve"> </w:t>
      </w:r>
      <w:r w:rsidR="001B7B20">
        <w:rPr>
          <w:color w:val="000000" w:themeColor="text1"/>
          <w:szCs w:val="20"/>
        </w:rPr>
        <w:t>CPE</w:t>
      </w:r>
      <w:r w:rsidR="001B7B20" w:rsidRPr="00536112">
        <w:rPr>
          <w:color w:val="000000" w:themeColor="text1"/>
          <w:szCs w:val="20"/>
        </w:rPr>
        <w:t xml:space="preserve"> </w:t>
      </w:r>
      <w:r w:rsidRPr="00536112">
        <w:rPr>
          <w:color w:val="000000" w:themeColor="text1"/>
          <w:szCs w:val="20"/>
        </w:rPr>
        <w:t>antenna directionality or scenarios where high levels of interference can be tolerated (</w:t>
      </w:r>
      <w:r w:rsidR="00D82A64" w:rsidRPr="00536112">
        <w:rPr>
          <w:color w:val="000000" w:themeColor="text1"/>
          <w:szCs w:val="20"/>
        </w:rPr>
        <w:t>i.e.,</w:t>
      </w:r>
      <w:r w:rsidRPr="00536112">
        <w:rPr>
          <w:color w:val="000000" w:themeColor="text1"/>
          <w:szCs w:val="20"/>
        </w:rPr>
        <w:t xml:space="preserve"> where </w:t>
      </w:r>
      <w:r w:rsidR="001B7B20">
        <w:rPr>
          <w:color w:val="000000" w:themeColor="text1"/>
          <w:szCs w:val="20"/>
        </w:rPr>
        <w:t>C/(N+I)</w:t>
      </w:r>
      <w:r w:rsidRPr="00536112">
        <w:rPr>
          <w:color w:val="000000" w:themeColor="text1"/>
          <w:szCs w:val="20"/>
        </w:rPr>
        <w:t xml:space="preserve"> margins are high).</w:t>
      </w:r>
    </w:p>
    <w:p w14:paraId="058ED1A9" w14:textId="506861C6" w:rsidR="008F796B" w:rsidRPr="00536112" w:rsidRDefault="008F796B" w:rsidP="006643F3">
      <w:pPr>
        <w:pStyle w:val="Bulletlevel1"/>
        <w:numPr>
          <w:ilvl w:val="0"/>
          <w:numId w:val="18"/>
        </w:numPr>
        <w:rPr>
          <w:szCs w:val="20"/>
        </w:rPr>
      </w:pPr>
      <w:r w:rsidRPr="00536112">
        <w:rPr>
          <w:szCs w:val="20"/>
        </w:rPr>
        <w:t>Define a C/(N</w:t>
      </w:r>
      <w:r w:rsidR="001B7B20">
        <w:rPr>
          <w:szCs w:val="20"/>
        </w:rPr>
        <w:t>+I</w:t>
      </w:r>
      <w:r w:rsidRPr="00536112">
        <w:rPr>
          <w:szCs w:val="20"/>
        </w:rPr>
        <w:t xml:space="preserve">) criteria: Ensure the </w:t>
      </w:r>
      <w:r w:rsidR="001B7B20">
        <w:rPr>
          <w:szCs w:val="20"/>
        </w:rPr>
        <w:t>C/(N+I)</w:t>
      </w:r>
      <w:r w:rsidRPr="00536112">
        <w:rPr>
          <w:szCs w:val="20"/>
        </w:rPr>
        <w:t xml:space="preserve"> into a notional CPE is not exceed. This involves: </w:t>
      </w:r>
    </w:p>
    <w:p w14:paraId="530DF0CC" w14:textId="77777777" w:rsidR="008F796B" w:rsidRDefault="008F796B" w:rsidP="00096E81">
      <w:pPr>
        <w:pStyle w:val="Bulletlevel2"/>
      </w:pPr>
      <w:r w:rsidRPr="00536112">
        <w:t>Defining a notional CPE, including an antenna</w:t>
      </w:r>
      <w:r>
        <w:t xml:space="preserve"> pattern.</w:t>
      </w:r>
    </w:p>
    <w:p w14:paraId="58DBA8FC" w14:textId="294B3445" w:rsidR="008F796B" w:rsidRDefault="008F796B" w:rsidP="00096E81">
      <w:pPr>
        <w:pStyle w:val="Bulletlevel2"/>
      </w:pPr>
      <w:r>
        <w:t xml:space="preserve">Obtaining details of </w:t>
      </w:r>
      <w:proofErr w:type="spellStart"/>
      <w:r>
        <w:t>nbn’s</w:t>
      </w:r>
      <w:proofErr w:type="spellEnd"/>
      <w:r>
        <w:t xml:space="preserve"> service area within 64</w:t>
      </w:r>
      <w:r w:rsidR="00087DC8">
        <w:t xml:space="preserve"> </w:t>
      </w:r>
      <w:r>
        <w:t xml:space="preserve">km of urban excise area boundaries that are accurate as of the time of registering a device. To avoid any privacy issues, this would need to be a generic service area that encompasses locations </w:t>
      </w:r>
      <w:proofErr w:type="spellStart"/>
      <w:r>
        <w:t>nbn</w:t>
      </w:r>
      <w:proofErr w:type="spellEnd"/>
      <w:r>
        <w:t xml:space="preserve"> needs to be able to provide services. Individual CPE sites are not defined.</w:t>
      </w:r>
      <w:bookmarkStart w:id="121" w:name="_Ref62117931"/>
      <w:r>
        <w:rPr>
          <w:rStyle w:val="FootnoteReference"/>
        </w:rPr>
        <w:footnoteReference w:id="9"/>
      </w:r>
      <w:bookmarkEnd w:id="121"/>
      <w:r>
        <w:t xml:space="preserve"> </w:t>
      </w:r>
    </w:p>
    <w:p w14:paraId="7DEEB471" w14:textId="79B75A57" w:rsidR="008F796B" w:rsidRDefault="008F796B" w:rsidP="00096E81">
      <w:pPr>
        <w:pStyle w:val="Bulletlevel2last"/>
      </w:pPr>
      <w:r>
        <w:t xml:space="preserve">Placing registered </w:t>
      </w:r>
      <w:proofErr w:type="spellStart"/>
      <w:r>
        <w:t>nbn</w:t>
      </w:r>
      <w:proofErr w:type="spellEnd"/>
      <w:r>
        <w:t xml:space="preserve"> BS within the service area provided by </w:t>
      </w:r>
      <w:proofErr w:type="spellStart"/>
      <w:r>
        <w:t>nbn</w:t>
      </w:r>
      <w:proofErr w:type="spellEnd"/>
      <w:r w:rsidR="008945C3">
        <w:t>.</w:t>
      </w:r>
      <w:r>
        <w:t xml:space="preserve"> </w:t>
      </w:r>
    </w:p>
    <w:p w14:paraId="498D5EA4" w14:textId="4F7BD0C8" w:rsidR="008F796B" w:rsidRDefault="008F796B" w:rsidP="00096E81">
      <w:pPr>
        <w:pStyle w:val="Paragraph"/>
        <w:rPr>
          <w:color w:val="000000" w:themeColor="text1"/>
          <w:szCs w:val="20"/>
        </w:rPr>
      </w:pPr>
      <w:r>
        <w:t xml:space="preserve">A proposed new BS inside urban excise areas would need to assess the </w:t>
      </w:r>
      <w:r w:rsidR="001B7B20">
        <w:t>C/(N+I)</w:t>
      </w:r>
      <w:r>
        <w:t xml:space="preserve"> into a notional CPE at specified locations within the service area. The notional CPE would be pointed to the closest </w:t>
      </w:r>
      <w:proofErr w:type="spellStart"/>
      <w:r>
        <w:t>nbn</w:t>
      </w:r>
      <w:proofErr w:type="spellEnd"/>
      <w:r>
        <w:t xml:space="preserve"> BS. </w:t>
      </w:r>
      <w:r w:rsidRPr="00536112">
        <w:rPr>
          <w:color w:val="000000" w:themeColor="text1"/>
          <w:szCs w:val="20"/>
        </w:rPr>
        <w:t xml:space="preserve">This would </w:t>
      </w:r>
      <w:proofErr w:type="gramStart"/>
      <w:r w:rsidRPr="00536112">
        <w:rPr>
          <w:color w:val="000000" w:themeColor="text1"/>
          <w:szCs w:val="20"/>
        </w:rPr>
        <w:t>take into account</w:t>
      </w:r>
      <w:proofErr w:type="gramEnd"/>
      <w:r w:rsidRPr="00536112">
        <w:rPr>
          <w:color w:val="000000" w:themeColor="text1"/>
          <w:szCs w:val="20"/>
        </w:rPr>
        <w:t xml:space="preserve"> CPE antenna directionality and scenarios where higher levels of interference can be tolerated.</w:t>
      </w:r>
    </w:p>
    <w:p w14:paraId="4F74A2B4" w14:textId="5C05590E" w:rsidR="008F796B" w:rsidRDefault="008F796B" w:rsidP="00096E81">
      <w:pPr>
        <w:pStyle w:val="Paragraph"/>
      </w:pPr>
      <w:proofErr w:type="spellStart"/>
      <w:r>
        <w:t>nbn</w:t>
      </w:r>
      <w:proofErr w:type="spellEnd"/>
      <w:r>
        <w:t xml:space="preserve"> indicated that CPEs pointed at the best available BS at the time they were deployed. As the network has been densified over time, and CPE pointing not necessarily changed, not all CPEs will be pointing at the closest BS. Consequently, </w:t>
      </w:r>
      <w:proofErr w:type="spellStart"/>
      <w:r>
        <w:t>nbn</w:t>
      </w:r>
      <w:proofErr w:type="spellEnd"/>
      <w:r>
        <w:t xml:space="preserve"> had concern that a </w:t>
      </w:r>
      <w:r w:rsidR="001B7B20">
        <w:t>C/(N+I)</w:t>
      </w:r>
      <w:r>
        <w:t xml:space="preserve"> approach may not accurately reflect the level of interference received in all cases.</w:t>
      </w:r>
    </w:p>
    <w:p w14:paraId="4892A729" w14:textId="52DC3B0F" w:rsidR="008F796B" w:rsidRDefault="008F796B" w:rsidP="008F796B">
      <w:pPr>
        <w:pStyle w:val="ListBullet"/>
        <w:numPr>
          <w:ilvl w:val="0"/>
          <w:numId w:val="0"/>
        </w:numPr>
        <w:spacing w:after="240"/>
      </w:pPr>
      <w:r>
        <w:t xml:space="preserve">Both of the above approaches </w:t>
      </w:r>
      <w:r w:rsidRPr="00536112">
        <w:t>would provide a defined level of protection from BS operating in urban excise into existing service areas</w:t>
      </w:r>
      <w:r>
        <w:t xml:space="preserve">. </w:t>
      </w:r>
      <w:r w:rsidRPr="00536112">
        <w:t xml:space="preserve"> They would not place restrictions on emissions </w:t>
      </w:r>
      <w:r>
        <w:t xml:space="preserve">outside of </w:t>
      </w:r>
      <w:proofErr w:type="spellStart"/>
      <w:r>
        <w:t>nbn</w:t>
      </w:r>
      <w:proofErr w:type="spellEnd"/>
      <w:r>
        <w:t xml:space="preserve"> service areas.</w:t>
      </w:r>
    </w:p>
    <w:p w14:paraId="575D3B98" w14:textId="0A11BBE3" w:rsidR="002F1AAD" w:rsidRDefault="002F1AAD" w:rsidP="002F1AAD">
      <w:pPr>
        <w:pStyle w:val="CommentText"/>
        <w:tabs>
          <w:tab w:val="left" w:pos="426"/>
        </w:tabs>
        <w:spacing w:before="240"/>
        <w:rPr>
          <w:rFonts w:cs="Arial"/>
          <w:color w:val="000000" w:themeColor="text1"/>
        </w:rPr>
      </w:pPr>
      <w:r>
        <w:rPr>
          <w:rFonts w:cs="Arial"/>
          <w:color w:val="000000" w:themeColor="text1"/>
        </w:rPr>
        <w:t xml:space="preserve">ACMA staff performed studies to assess the viability of the </w:t>
      </w:r>
      <w:r w:rsidR="00205CFC">
        <w:rPr>
          <w:rFonts w:cs="Arial"/>
          <w:color w:val="000000" w:themeColor="text1"/>
        </w:rPr>
        <w:t xml:space="preserve">2 </w:t>
      </w:r>
      <w:r>
        <w:rPr>
          <w:rFonts w:cs="Arial"/>
          <w:color w:val="000000" w:themeColor="text1"/>
        </w:rPr>
        <w:t xml:space="preserve">deployment scenarios using an aggregate C/(N+I) criteria for the protection of </w:t>
      </w:r>
      <w:proofErr w:type="spellStart"/>
      <w:r>
        <w:rPr>
          <w:rFonts w:cs="Arial"/>
          <w:color w:val="000000" w:themeColor="text1"/>
        </w:rPr>
        <w:t>nbn</w:t>
      </w:r>
      <w:proofErr w:type="spellEnd"/>
      <w:r>
        <w:rPr>
          <w:rFonts w:cs="Arial"/>
          <w:color w:val="000000" w:themeColor="text1"/>
        </w:rPr>
        <w:t xml:space="preserve"> service areas. These studies are provided in </w:t>
      </w:r>
      <w:r w:rsidRPr="00096E81">
        <w:rPr>
          <w:rFonts w:cs="Arial"/>
          <w:color w:val="000000" w:themeColor="text1"/>
        </w:rPr>
        <w:t>Appendix D</w:t>
      </w:r>
      <w:r w:rsidR="008945C3">
        <w:rPr>
          <w:rFonts w:cs="Arial"/>
          <w:color w:val="000000" w:themeColor="text1"/>
        </w:rPr>
        <w:t xml:space="preserve"> (found in the key documents section of this consultation)</w:t>
      </w:r>
      <w:r>
        <w:rPr>
          <w:rFonts w:cs="Arial"/>
          <w:color w:val="000000" w:themeColor="text1"/>
        </w:rPr>
        <w:t xml:space="preserve">. After reviewing the studies, the TLG concluded that a restricted cell scenario would be feasible while a macro-cell deployment scenario, with reasonable sized network deployed, was not feasible under current equipment capabilities. Some </w:t>
      </w:r>
      <w:r>
        <w:rPr>
          <w:rFonts w:cs="Arial"/>
          <w:color w:val="000000" w:themeColor="text1"/>
        </w:rPr>
        <w:lastRenderedPageBreak/>
        <w:t xml:space="preserve">TLG members believed this may change in the next few years (for example greater control in the elevation plane for AAS beam steering becomes available). </w:t>
      </w:r>
    </w:p>
    <w:p w14:paraId="1CA09E0F" w14:textId="40DF875E" w:rsidR="008F796B" w:rsidRPr="00B70035" w:rsidRDefault="008F796B" w:rsidP="008F796B">
      <w:pPr>
        <w:pStyle w:val="Heading4"/>
      </w:pPr>
      <w:r w:rsidRPr="00B70035">
        <w:t xml:space="preserve">TLG </w:t>
      </w:r>
      <w:r w:rsidR="001B7B20">
        <w:t>outcome</w:t>
      </w:r>
    </w:p>
    <w:p w14:paraId="229B7533" w14:textId="6E203F4A" w:rsidR="008171B1" w:rsidRDefault="008F796B" w:rsidP="008F796B">
      <w:pPr>
        <w:pStyle w:val="ListBullet"/>
        <w:numPr>
          <w:ilvl w:val="0"/>
          <w:numId w:val="0"/>
        </w:numPr>
        <w:spacing w:after="240"/>
      </w:pPr>
      <w:r w:rsidRPr="00F97FDB">
        <w:t xml:space="preserve">The TLG </w:t>
      </w:r>
      <w:r>
        <w:t xml:space="preserve">was unable to reach agreement on the best approach to use when managing BS-CPE interference. Consequently, both </w:t>
      </w:r>
      <w:r w:rsidR="008171B1">
        <w:t>approaches</w:t>
      </w:r>
      <w:r>
        <w:t xml:space="preserve">, the PFD criteria and </w:t>
      </w:r>
      <w:r w:rsidR="001B7B20">
        <w:t>C/(N+I)</w:t>
      </w:r>
      <w:r>
        <w:t xml:space="preserve"> criteria, are </w:t>
      </w:r>
      <w:r w:rsidR="008171B1">
        <w:t>identified as alternative options</w:t>
      </w:r>
      <w:r>
        <w:t xml:space="preserve">. </w:t>
      </w:r>
      <w:r w:rsidR="008171B1">
        <w:t>This criterion</w:t>
      </w:r>
      <w:r>
        <w:t xml:space="preserve"> is only intended to apply to</w:t>
      </w:r>
      <w:r w:rsidR="008945C3">
        <w:t> </w:t>
      </w:r>
      <w:r>
        <w:t xml:space="preserve">manage co-channel interference to and from urban excise areas in the </w:t>
      </w:r>
      <w:r w:rsidR="008945C3">
        <w:br/>
      </w:r>
      <w:r>
        <w:t>3400</w:t>
      </w:r>
      <w:r w:rsidR="008945C3">
        <w:t>–</w:t>
      </w:r>
      <w:r>
        <w:t xml:space="preserve">3475 MHz band. </w:t>
      </w:r>
      <w:r w:rsidR="00D43C4A">
        <w:t xml:space="preserve">The current DBC should continue to apply for all other cases. </w:t>
      </w:r>
    </w:p>
    <w:p w14:paraId="17C253FB" w14:textId="77777777" w:rsidR="008F796B" w:rsidRPr="00E631E5" w:rsidRDefault="008F796B" w:rsidP="008F796B">
      <w:pPr>
        <w:pStyle w:val="Heading3"/>
      </w:pPr>
      <w:bookmarkStart w:id="122" w:name="_Toc73973853"/>
      <w:bookmarkStart w:id="123" w:name="_Toc75275797"/>
      <w:bookmarkStart w:id="124" w:name="_Toc76376865"/>
      <w:bookmarkStart w:id="125" w:name="_Toc80877087"/>
      <w:r w:rsidRPr="00E631E5">
        <w:t>BS-MS</w:t>
      </w:r>
      <w:bookmarkEnd w:id="122"/>
      <w:bookmarkEnd w:id="123"/>
      <w:bookmarkEnd w:id="124"/>
      <w:bookmarkEnd w:id="125"/>
    </w:p>
    <w:p w14:paraId="151C7D35" w14:textId="6628EED8" w:rsidR="008F796B" w:rsidRPr="00896CED" w:rsidRDefault="008F796B" w:rsidP="008F796B">
      <w:pPr>
        <w:spacing w:line="80" w:lineRule="atLeast"/>
      </w:pPr>
      <w:r w:rsidRPr="00896CED">
        <w:t>For the purposes of the TLG, the BS-MS scenario only applies to MS operating within the 3400</w:t>
      </w:r>
      <w:r w:rsidR="008945C3">
        <w:t>–</w:t>
      </w:r>
      <w:r w:rsidRPr="00896CED">
        <w:t>3475 MHz band and inside urban excise areas. In this case</w:t>
      </w:r>
      <w:r w:rsidR="008945C3">
        <w:t>,</w:t>
      </w:r>
      <w:r w:rsidRPr="00896CED">
        <w:t xml:space="preserve"> both adjacent and co-channel interference cases need to be considered. </w:t>
      </w:r>
    </w:p>
    <w:p w14:paraId="00FC1680" w14:textId="77777777" w:rsidR="008F796B" w:rsidRPr="00896CED" w:rsidRDefault="008F796B" w:rsidP="00096E81">
      <w:pPr>
        <w:pStyle w:val="Paragraphbeforelist"/>
      </w:pPr>
      <w:r w:rsidRPr="00896CED">
        <w:t xml:space="preserve">Usually, a spectrum licence technical framework does not provide specific protection for BS-MS interference. However, an inherent level of protection afforded is provided </w:t>
      </w:r>
      <w:r>
        <w:t xml:space="preserve">in the 3.4 GHz technical framework </w:t>
      </w:r>
      <w:r w:rsidRPr="00896CED">
        <w:t xml:space="preserve">by: </w:t>
      </w:r>
    </w:p>
    <w:p w14:paraId="61F7E179" w14:textId="000CB982" w:rsidR="008F796B" w:rsidRPr="00896CED" w:rsidRDefault="008F796B" w:rsidP="00096E81">
      <w:pPr>
        <w:pStyle w:val="Bulletlevel1"/>
      </w:pPr>
      <w:r w:rsidRPr="00896CED">
        <w:t>For the adjacent channel scenario</w:t>
      </w:r>
      <w:r w:rsidR="008945C3">
        <w:t xml:space="preserve"> –</w:t>
      </w:r>
      <w:r w:rsidRPr="00896CED">
        <w:t xml:space="preserve"> unwanted emission limits defined in </w:t>
      </w:r>
      <w:hyperlink r:id="rId55" w:history="1">
        <w:r w:rsidRPr="00896CED">
          <w:rPr>
            <w:rStyle w:val="Hyperlink"/>
            <w:szCs w:val="20"/>
          </w:rPr>
          <w:t xml:space="preserve">licence </w:t>
        </w:r>
        <w:r w:rsidR="001C5596">
          <w:rPr>
            <w:rStyle w:val="Hyperlink"/>
            <w:szCs w:val="20"/>
          </w:rPr>
          <w:br/>
          <w:t>S</w:t>
        </w:r>
        <w:r w:rsidRPr="00896CED">
          <w:rPr>
            <w:rStyle w:val="Hyperlink"/>
            <w:szCs w:val="20"/>
          </w:rPr>
          <w:t>chedule 2 on all 3.4 GHz spectrum licences</w:t>
        </w:r>
      </w:hyperlink>
      <w:r w:rsidR="008945C3">
        <w:t>.</w:t>
      </w:r>
    </w:p>
    <w:p w14:paraId="7D91C8E7" w14:textId="736AC94F" w:rsidR="008F796B" w:rsidRPr="00896CED" w:rsidRDefault="008F796B" w:rsidP="00096E81">
      <w:pPr>
        <w:pStyle w:val="Bulletlevel1last"/>
      </w:pPr>
      <w:r w:rsidRPr="00896CED">
        <w:t>For the co-channel scenario</w:t>
      </w:r>
      <w:r w:rsidR="008945C3">
        <w:t xml:space="preserve"> –</w:t>
      </w:r>
      <w:r w:rsidRPr="00896CED">
        <w:t xml:space="preserve"> the </w:t>
      </w:r>
      <w:r w:rsidR="008945C3">
        <w:t>d</w:t>
      </w:r>
      <w:r w:rsidRPr="00896CED">
        <w:t xml:space="preserve">evice </w:t>
      </w:r>
      <w:r w:rsidR="008945C3">
        <w:t>b</w:t>
      </w:r>
      <w:r w:rsidRPr="00896CED">
        <w:t xml:space="preserve">oundary </w:t>
      </w:r>
      <w:r w:rsidR="008945C3">
        <w:t>c</w:t>
      </w:r>
      <w:r w:rsidRPr="00896CED">
        <w:t xml:space="preserve">riteria (DBC) specified in the </w:t>
      </w:r>
      <w:hyperlink r:id="rId56" w:history="1">
        <w:r w:rsidRPr="00096E81">
          <w:rPr>
            <w:rStyle w:val="Hyperlink"/>
            <w:szCs w:val="20"/>
          </w:rPr>
          <w:t>Radiocommunications (Unacceptable Levels of Interference — 3.4 GHz Band) Determination 2015</w:t>
        </w:r>
      </w:hyperlink>
      <w:r w:rsidRPr="00896CED">
        <w:t>.</w:t>
      </w:r>
    </w:p>
    <w:p w14:paraId="5CD54B70" w14:textId="2C901961" w:rsidR="008F796B" w:rsidRPr="00896CED" w:rsidRDefault="008F796B" w:rsidP="008F796B">
      <w:pPr>
        <w:spacing w:before="240" w:line="80" w:lineRule="atLeast"/>
        <w:rPr>
          <w:rFonts w:cs="Arial"/>
          <w:szCs w:val="20"/>
        </w:rPr>
      </w:pPr>
      <w:r w:rsidRPr="00896CED">
        <w:rPr>
          <w:rFonts w:cs="Arial"/>
          <w:szCs w:val="20"/>
        </w:rPr>
        <w:t>For the adjacent channel BS-MS scenario</w:t>
      </w:r>
      <w:r w:rsidR="008945C3">
        <w:rPr>
          <w:rFonts w:cs="Arial"/>
          <w:szCs w:val="20"/>
        </w:rPr>
        <w:t>,</w:t>
      </w:r>
      <w:r w:rsidRPr="00896CED">
        <w:rPr>
          <w:rFonts w:cs="Arial"/>
          <w:szCs w:val="20"/>
        </w:rPr>
        <w:t xml:space="preserve"> </w:t>
      </w:r>
      <w:r w:rsidR="00D43C4A">
        <w:rPr>
          <w:rFonts w:cs="Arial"/>
          <w:szCs w:val="20"/>
        </w:rPr>
        <w:t>the TLG discussed</w:t>
      </w:r>
      <w:r w:rsidRPr="00896CED">
        <w:rPr>
          <w:rFonts w:cs="Arial"/>
          <w:szCs w:val="20"/>
        </w:rPr>
        <w:t xml:space="preserve"> adopt</w:t>
      </w:r>
      <w:r w:rsidR="00D43C4A">
        <w:rPr>
          <w:rFonts w:cs="Arial"/>
          <w:szCs w:val="20"/>
        </w:rPr>
        <w:t>ing</w:t>
      </w:r>
      <w:r w:rsidRPr="00896CED">
        <w:rPr>
          <w:rFonts w:cs="Arial"/>
          <w:szCs w:val="20"/>
        </w:rPr>
        <w:t xml:space="preserve"> the existing measures in the 3.4 GHz spectrum licence technical framework. Th</w:t>
      </w:r>
      <w:r w:rsidR="00D43C4A">
        <w:rPr>
          <w:rFonts w:cs="Arial"/>
          <w:szCs w:val="20"/>
        </w:rPr>
        <w:t>ese measures</w:t>
      </w:r>
      <w:r w:rsidR="008945C3">
        <w:rPr>
          <w:rFonts w:cs="Arial"/>
          <w:szCs w:val="20"/>
        </w:rPr>
        <w:t>,</w:t>
      </w:r>
      <w:r w:rsidRPr="00896CED">
        <w:rPr>
          <w:rFonts w:cs="Arial"/>
          <w:szCs w:val="20"/>
        </w:rPr>
        <w:t xml:space="preserve"> along with some simple network design principles (e.g.</w:t>
      </w:r>
      <w:r w:rsidR="008945C3">
        <w:rPr>
          <w:rFonts w:cs="Arial"/>
          <w:szCs w:val="20"/>
        </w:rPr>
        <w:t>,</w:t>
      </w:r>
      <w:r w:rsidRPr="00896CED">
        <w:rPr>
          <w:rFonts w:cs="Arial"/>
          <w:szCs w:val="20"/>
        </w:rPr>
        <w:t xml:space="preserve"> to manage ‘near-far’ effects)</w:t>
      </w:r>
      <w:r w:rsidR="008945C3">
        <w:rPr>
          <w:rFonts w:cs="Arial"/>
          <w:szCs w:val="20"/>
        </w:rPr>
        <w:t>,</w:t>
      </w:r>
      <w:r w:rsidRPr="00896CED">
        <w:rPr>
          <w:rFonts w:cs="Arial"/>
          <w:szCs w:val="20"/>
        </w:rPr>
        <w:t xml:space="preserve"> </w:t>
      </w:r>
      <w:r w:rsidR="00473234">
        <w:rPr>
          <w:rFonts w:cs="Arial"/>
          <w:szCs w:val="20"/>
        </w:rPr>
        <w:t>we</w:t>
      </w:r>
      <w:r w:rsidRPr="00896CED">
        <w:rPr>
          <w:rFonts w:cs="Arial"/>
          <w:szCs w:val="20"/>
        </w:rPr>
        <w:t>re considered suitable to manage BS-MS interference.</w:t>
      </w:r>
      <w:bookmarkStart w:id="126" w:name="_Ref62122493"/>
      <w:r>
        <w:rPr>
          <w:rStyle w:val="FootnoteReference"/>
          <w:rFonts w:cs="Arial"/>
          <w:szCs w:val="20"/>
        </w:rPr>
        <w:footnoteReference w:id="10"/>
      </w:r>
      <w:bookmarkEnd w:id="126"/>
    </w:p>
    <w:p w14:paraId="7DBBFBE6" w14:textId="2F2A74DB" w:rsidR="008F796B" w:rsidRDefault="008F796B" w:rsidP="008F796B">
      <w:pPr>
        <w:pStyle w:val="Bulletlevel1"/>
        <w:numPr>
          <w:ilvl w:val="0"/>
          <w:numId w:val="0"/>
        </w:numPr>
        <w:tabs>
          <w:tab w:val="left" w:pos="720"/>
        </w:tabs>
        <w:spacing w:before="240" w:after="240"/>
        <w:rPr>
          <w:szCs w:val="20"/>
        </w:rPr>
      </w:pPr>
      <w:r w:rsidRPr="008A028E">
        <w:rPr>
          <w:szCs w:val="20"/>
        </w:rPr>
        <w:t>For the co-channel case</w:t>
      </w:r>
      <w:r w:rsidR="008945C3">
        <w:rPr>
          <w:szCs w:val="20"/>
        </w:rPr>
        <w:t>,</w:t>
      </w:r>
      <w:r w:rsidRPr="008A028E">
        <w:rPr>
          <w:szCs w:val="20"/>
        </w:rPr>
        <w:t xml:space="preserve"> the same options as identified for the BS-CPE scenario were </w:t>
      </w:r>
      <w:r w:rsidR="00D43C4A">
        <w:rPr>
          <w:szCs w:val="20"/>
        </w:rPr>
        <w:t>considered</w:t>
      </w:r>
      <w:r w:rsidR="00D43C4A" w:rsidRPr="008A028E">
        <w:rPr>
          <w:szCs w:val="20"/>
        </w:rPr>
        <w:t xml:space="preserve"> </w:t>
      </w:r>
      <w:r w:rsidRPr="008A028E">
        <w:rPr>
          <w:szCs w:val="20"/>
        </w:rPr>
        <w:t xml:space="preserve">by the TLG. It is noted that different parameters are </w:t>
      </w:r>
      <w:r w:rsidR="00D43C4A">
        <w:rPr>
          <w:szCs w:val="20"/>
        </w:rPr>
        <w:t>used</w:t>
      </w:r>
      <w:r w:rsidR="00D43C4A" w:rsidRPr="008A028E">
        <w:rPr>
          <w:szCs w:val="20"/>
        </w:rPr>
        <w:t xml:space="preserve"> </w:t>
      </w:r>
      <w:r w:rsidRPr="008A028E">
        <w:rPr>
          <w:szCs w:val="20"/>
        </w:rPr>
        <w:t>for the notional MS to account for the typically lower antenna gain and height of MS compared to CPE’s. The use of clutter in propagation modelling is also proposed</w:t>
      </w:r>
      <w:r>
        <w:rPr>
          <w:szCs w:val="20"/>
        </w:rPr>
        <w:t xml:space="preserve"> for both the PFD and </w:t>
      </w:r>
      <w:r w:rsidR="001B7B20">
        <w:rPr>
          <w:szCs w:val="20"/>
        </w:rPr>
        <w:t>C/(N+I)</w:t>
      </w:r>
      <w:r>
        <w:rPr>
          <w:szCs w:val="20"/>
        </w:rPr>
        <w:t xml:space="preserve"> criteria</w:t>
      </w:r>
      <w:r w:rsidRPr="008A028E">
        <w:rPr>
          <w:szCs w:val="20"/>
        </w:rPr>
        <w:t>.</w:t>
      </w:r>
    </w:p>
    <w:p w14:paraId="2FBB9C32" w14:textId="62EA194D" w:rsidR="008F796B" w:rsidRPr="00B70035" w:rsidRDefault="008F796B" w:rsidP="008F796B">
      <w:pPr>
        <w:pStyle w:val="Heading4"/>
      </w:pPr>
      <w:r w:rsidRPr="00B70035">
        <w:t xml:space="preserve">TLG </w:t>
      </w:r>
      <w:r w:rsidR="001B7B20">
        <w:t>outcome</w:t>
      </w:r>
    </w:p>
    <w:p w14:paraId="4B63E488" w14:textId="0D251677" w:rsidR="008F796B" w:rsidRDefault="008F796B" w:rsidP="008F796B">
      <w:pPr>
        <w:pStyle w:val="ListBullet"/>
        <w:numPr>
          <w:ilvl w:val="0"/>
          <w:numId w:val="0"/>
        </w:numPr>
        <w:spacing w:after="240"/>
      </w:pPr>
      <w:r w:rsidRPr="00F97FDB">
        <w:t xml:space="preserve">The TLG </w:t>
      </w:r>
      <w:r>
        <w:t xml:space="preserve">was unable to reach agreement on the best approach to use when managing BS-MS </w:t>
      </w:r>
      <w:r w:rsidRPr="00473234">
        <w:t xml:space="preserve">interference. Consequently, both options, the PFD criteria and </w:t>
      </w:r>
      <w:r w:rsidR="001B7B20">
        <w:t>C/(N+I)</w:t>
      </w:r>
      <w:r w:rsidRPr="00473234">
        <w:t xml:space="preserve"> criteria, are presented </w:t>
      </w:r>
      <w:r w:rsidR="00473234" w:rsidRPr="00473234">
        <w:t>as possible options</w:t>
      </w:r>
      <w:r w:rsidRPr="00473234">
        <w:t xml:space="preserve">. </w:t>
      </w:r>
      <w:r w:rsidR="00473234">
        <w:t>It is noted that t</w:t>
      </w:r>
      <w:r w:rsidR="00473234" w:rsidRPr="00473234">
        <w:t>his</w:t>
      </w:r>
      <w:r w:rsidR="00473234">
        <w:t xml:space="preserve"> criterion </w:t>
      </w:r>
      <w:r>
        <w:t xml:space="preserve">is only intended to apply </w:t>
      </w:r>
      <w:r w:rsidR="00473234">
        <w:t xml:space="preserve">for the </w:t>
      </w:r>
      <w:r>
        <w:t>manage</w:t>
      </w:r>
      <w:r w:rsidR="00473234">
        <w:t>ment of</w:t>
      </w:r>
      <w:r>
        <w:t xml:space="preserve"> co-channel </w:t>
      </w:r>
      <w:r w:rsidR="00473234">
        <w:t>BS-MS interference in</w:t>
      </w:r>
      <w:r>
        <w:t>to urban excise areas in the 3400</w:t>
      </w:r>
      <w:r w:rsidR="008945C3">
        <w:t>–</w:t>
      </w:r>
      <w:r>
        <w:t xml:space="preserve">3475 MHz band. The </w:t>
      </w:r>
      <w:r w:rsidR="00473234">
        <w:t>current</w:t>
      </w:r>
      <w:r>
        <w:t xml:space="preserve"> DBC </w:t>
      </w:r>
      <w:r w:rsidR="00D43C4A">
        <w:t xml:space="preserve">should </w:t>
      </w:r>
      <w:r>
        <w:t>continue to apply for all other</w:t>
      </w:r>
      <w:r w:rsidR="008945C3">
        <w:t> </w:t>
      </w:r>
      <w:r>
        <w:t xml:space="preserve">cases. </w:t>
      </w:r>
    </w:p>
    <w:p w14:paraId="5243225A" w14:textId="77777777" w:rsidR="008F796B" w:rsidRPr="00E631E5" w:rsidRDefault="008F796B" w:rsidP="008F796B">
      <w:pPr>
        <w:pStyle w:val="Heading3"/>
      </w:pPr>
      <w:bookmarkStart w:id="127" w:name="_Toc73973854"/>
      <w:bookmarkStart w:id="128" w:name="_Toc75275798"/>
      <w:bookmarkStart w:id="129" w:name="_Toc76376866"/>
      <w:bookmarkStart w:id="130" w:name="_Toc80877088"/>
      <w:r w:rsidRPr="00E631E5">
        <w:t>MS/CPE-BS</w:t>
      </w:r>
      <w:bookmarkEnd w:id="127"/>
      <w:bookmarkEnd w:id="128"/>
      <w:bookmarkEnd w:id="129"/>
      <w:bookmarkEnd w:id="130"/>
    </w:p>
    <w:p w14:paraId="7489B494" w14:textId="6E70BB8E" w:rsidR="008F796B" w:rsidRPr="00EB0048" w:rsidRDefault="008F796B" w:rsidP="00096E81">
      <w:pPr>
        <w:pStyle w:val="Paragraphbeforelist"/>
      </w:pPr>
      <w:r w:rsidRPr="00EB0048">
        <w:t>Usually</w:t>
      </w:r>
      <w:r w:rsidR="008945C3">
        <w:t>,</w:t>
      </w:r>
      <w:r w:rsidRPr="00EB0048">
        <w:t xml:space="preserve"> a spectrum licence technical framework does not provide specific </w:t>
      </w:r>
      <w:r>
        <w:t xml:space="preserve">protection </w:t>
      </w:r>
      <w:r w:rsidRPr="00EB0048">
        <w:t xml:space="preserve">for </w:t>
      </w:r>
      <w:r>
        <w:t>MS/</w:t>
      </w:r>
      <w:r w:rsidRPr="00EB0048">
        <w:t xml:space="preserve">CPE interference. An inherent level of protection afforded is provided in the </w:t>
      </w:r>
      <w:r w:rsidR="008945C3">
        <w:br/>
      </w:r>
      <w:r w:rsidRPr="00EB0048">
        <w:t xml:space="preserve">3.4 GHz technical framework by: </w:t>
      </w:r>
    </w:p>
    <w:p w14:paraId="61E18275" w14:textId="599C4B98" w:rsidR="008F796B" w:rsidRPr="00EB0048" w:rsidRDefault="008F796B" w:rsidP="00096E81">
      <w:pPr>
        <w:pStyle w:val="Bulletlevel1"/>
      </w:pPr>
      <w:r w:rsidRPr="00EB0048">
        <w:t>For the adjacent channel scenario</w:t>
      </w:r>
      <w:r w:rsidR="008945C3">
        <w:t xml:space="preserve"> –</w:t>
      </w:r>
      <w:r w:rsidRPr="00EB0048">
        <w:t xml:space="preserve"> unwanted emission limits defined in </w:t>
      </w:r>
      <w:hyperlink r:id="rId57" w:history="1">
        <w:r w:rsidRPr="00EB0048">
          <w:rPr>
            <w:rStyle w:val="Hyperlink"/>
            <w:szCs w:val="20"/>
          </w:rPr>
          <w:t xml:space="preserve">licence </w:t>
        </w:r>
        <w:r w:rsidR="001C5596">
          <w:rPr>
            <w:rStyle w:val="Hyperlink"/>
            <w:szCs w:val="20"/>
          </w:rPr>
          <w:t>S</w:t>
        </w:r>
        <w:r w:rsidRPr="00EB0048">
          <w:rPr>
            <w:rStyle w:val="Hyperlink"/>
            <w:szCs w:val="20"/>
          </w:rPr>
          <w:t>chedule 2 on all 3.4 GHz spectrum licences</w:t>
        </w:r>
      </w:hyperlink>
      <w:r w:rsidR="008945C3">
        <w:t>.</w:t>
      </w:r>
    </w:p>
    <w:p w14:paraId="2356A38A" w14:textId="0B127AE7" w:rsidR="008F796B" w:rsidRPr="00EB0048" w:rsidRDefault="008F796B" w:rsidP="00096E81">
      <w:pPr>
        <w:pStyle w:val="Bulletlevel1"/>
      </w:pPr>
      <w:r w:rsidRPr="00EB0048">
        <w:t>For the co-channel scenario</w:t>
      </w:r>
      <w:r w:rsidR="008945C3">
        <w:t xml:space="preserve"> –</w:t>
      </w:r>
      <w:r w:rsidRPr="00EB0048">
        <w:t xml:space="preserve"> the DBC specified in the </w:t>
      </w:r>
      <w:hyperlink r:id="rId58" w:history="1">
        <w:r w:rsidRPr="00096E81">
          <w:rPr>
            <w:rStyle w:val="Hyperlink"/>
            <w:szCs w:val="20"/>
          </w:rPr>
          <w:t>Radiocommunications (Unacceptable Levels of Interference — 3.4 GHz Band) Determination 2015</w:t>
        </w:r>
      </w:hyperlink>
      <w:r w:rsidR="001C5596">
        <w:t xml:space="preserve"> </w:t>
      </w:r>
      <w:r>
        <w:t>(</w:t>
      </w:r>
      <w:r w:rsidRPr="007366E1">
        <w:t xml:space="preserve">this </w:t>
      </w:r>
      <w:r w:rsidRPr="007366E1">
        <w:lastRenderedPageBreak/>
        <w:t>limits how close a base station, and by association UEs, deploy to a licence boundary</w:t>
      </w:r>
      <w:r>
        <w:t>)</w:t>
      </w:r>
      <w:r w:rsidR="001C5596">
        <w:t>.</w:t>
      </w:r>
      <w:r>
        <w:t xml:space="preserve"> </w:t>
      </w:r>
    </w:p>
    <w:p w14:paraId="4DCCA13A" w14:textId="5F01AAA9" w:rsidR="008F796B" w:rsidRPr="00EB0048" w:rsidRDefault="008F796B" w:rsidP="00096E81">
      <w:pPr>
        <w:pStyle w:val="Bulletlevel1"/>
      </w:pPr>
      <w:r w:rsidRPr="00EB0048">
        <w:t xml:space="preserve">Operation of an MS/CPE is only authorised within a licensee’s spectrum space unless </w:t>
      </w:r>
      <w:r w:rsidR="000A5BE0">
        <w:t>a third</w:t>
      </w:r>
      <w:r w:rsidRPr="00EB0048">
        <w:t xml:space="preserve"> party </w:t>
      </w:r>
      <w:r w:rsidR="000A5BE0">
        <w:t xml:space="preserve">is </w:t>
      </w:r>
      <w:r w:rsidRPr="00EB0048">
        <w:t>authorised to do so by another licensee.</w:t>
      </w:r>
    </w:p>
    <w:p w14:paraId="3E51FB79" w14:textId="5DFCFED1" w:rsidR="008F796B" w:rsidRPr="00EB0048" w:rsidRDefault="008F796B" w:rsidP="00096E81">
      <w:pPr>
        <w:pStyle w:val="Bulletlevel1last"/>
      </w:pPr>
      <w:r w:rsidRPr="00EB0048">
        <w:t>In the event none of the above mechanisms is adequate</w:t>
      </w:r>
      <w:r w:rsidR="001C5596">
        <w:t>,</w:t>
      </w:r>
      <w:r w:rsidRPr="00EB0048">
        <w:t xml:space="preserve"> </w:t>
      </w:r>
      <w:hyperlink r:id="rId59" w:history="1">
        <w:r w:rsidRPr="00EB0048">
          <w:rPr>
            <w:rStyle w:val="Hyperlink"/>
            <w:szCs w:val="20"/>
          </w:rPr>
          <w:t xml:space="preserve">clause 9 of licence </w:t>
        </w:r>
        <w:r w:rsidR="001C5596">
          <w:rPr>
            <w:rStyle w:val="Hyperlink"/>
            <w:szCs w:val="20"/>
          </w:rPr>
          <w:t>S</w:t>
        </w:r>
        <w:r w:rsidRPr="00EB0048">
          <w:rPr>
            <w:rStyle w:val="Hyperlink"/>
            <w:szCs w:val="20"/>
          </w:rPr>
          <w:t>chedule 4 on all 3.4 GHz spectrum licences</w:t>
        </w:r>
      </w:hyperlink>
      <w:r w:rsidRPr="00EB0048">
        <w:t xml:space="preserve"> states that devices exempt from registration (e.g.</w:t>
      </w:r>
      <w:r w:rsidR="001C5596">
        <w:t>,</w:t>
      </w:r>
      <w:r w:rsidRPr="00EB0048">
        <w:t xml:space="preserve"> MS/CPE) must not cause harmful interference.   </w:t>
      </w:r>
    </w:p>
    <w:p w14:paraId="6A291CC8" w14:textId="28D79892" w:rsidR="008F796B" w:rsidRPr="00155CB6" w:rsidRDefault="008F796B" w:rsidP="008F796B">
      <w:pPr>
        <w:pStyle w:val="Bulletlevel1"/>
        <w:numPr>
          <w:ilvl w:val="0"/>
          <w:numId w:val="0"/>
        </w:numPr>
        <w:tabs>
          <w:tab w:val="left" w:pos="720"/>
        </w:tabs>
        <w:spacing w:before="240" w:after="240"/>
        <w:rPr>
          <w:szCs w:val="20"/>
        </w:rPr>
      </w:pPr>
      <w:r w:rsidRPr="00155CB6">
        <w:rPr>
          <w:szCs w:val="20"/>
        </w:rPr>
        <w:t xml:space="preserve">For the adjacent channel </w:t>
      </w:r>
      <w:r w:rsidR="00473234" w:rsidRPr="00155CB6">
        <w:rPr>
          <w:szCs w:val="20"/>
        </w:rPr>
        <w:t>scenario,</w:t>
      </w:r>
      <w:r w:rsidRPr="00155CB6">
        <w:rPr>
          <w:szCs w:val="20"/>
        </w:rPr>
        <w:t xml:space="preserve"> </w:t>
      </w:r>
      <w:r w:rsidR="00D43C4A">
        <w:rPr>
          <w:szCs w:val="20"/>
        </w:rPr>
        <w:t xml:space="preserve">the TLG discussed </w:t>
      </w:r>
      <w:r w:rsidRPr="00155CB6">
        <w:rPr>
          <w:szCs w:val="20"/>
        </w:rPr>
        <w:t>maintain</w:t>
      </w:r>
      <w:r w:rsidR="00D43C4A">
        <w:rPr>
          <w:szCs w:val="20"/>
        </w:rPr>
        <w:t>ing</w:t>
      </w:r>
      <w:r w:rsidRPr="00155CB6">
        <w:rPr>
          <w:szCs w:val="20"/>
        </w:rPr>
        <w:t xml:space="preserve"> the existing measures in the 3.4 GHz spectrum licence technical framework. This along with some simple network design principles are considered suitable to manage MS</w:t>
      </w:r>
      <w:r w:rsidR="00473234">
        <w:rPr>
          <w:szCs w:val="20"/>
        </w:rPr>
        <w:t>/CPE-BS</w:t>
      </w:r>
      <w:r w:rsidRPr="00155CB6">
        <w:rPr>
          <w:szCs w:val="20"/>
        </w:rPr>
        <w:t xml:space="preserve"> interference.</w:t>
      </w:r>
      <w:r w:rsidRPr="00155CB6">
        <w:rPr>
          <w:szCs w:val="20"/>
          <w:vertAlign w:val="superscript"/>
        </w:rPr>
        <w:fldChar w:fldCharType="begin"/>
      </w:r>
      <w:r w:rsidRPr="00155CB6">
        <w:rPr>
          <w:szCs w:val="20"/>
          <w:vertAlign w:val="superscript"/>
        </w:rPr>
        <w:instrText xml:space="preserve"> NOTEREF _Ref62122493 \h  \* MERGEFORMAT </w:instrText>
      </w:r>
      <w:r w:rsidRPr="00155CB6">
        <w:rPr>
          <w:szCs w:val="20"/>
          <w:vertAlign w:val="superscript"/>
        </w:rPr>
      </w:r>
      <w:r w:rsidRPr="00155CB6">
        <w:rPr>
          <w:szCs w:val="20"/>
          <w:vertAlign w:val="superscript"/>
        </w:rPr>
        <w:fldChar w:fldCharType="separate"/>
      </w:r>
      <w:r w:rsidR="00473234">
        <w:rPr>
          <w:szCs w:val="20"/>
          <w:vertAlign w:val="superscript"/>
        </w:rPr>
        <w:t>7</w:t>
      </w:r>
      <w:r w:rsidRPr="00155CB6">
        <w:rPr>
          <w:szCs w:val="20"/>
          <w:vertAlign w:val="superscript"/>
        </w:rPr>
        <w:fldChar w:fldCharType="end"/>
      </w:r>
      <w:r w:rsidRPr="00155CB6">
        <w:rPr>
          <w:szCs w:val="20"/>
          <w:vertAlign w:val="superscript"/>
        </w:rPr>
        <w:t xml:space="preserve"> </w:t>
      </w:r>
    </w:p>
    <w:p w14:paraId="46421DF7" w14:textId="7379F1F2" w:rsidR="008F796B" w:rsidRPr="003778B0" w:rsidRDefault="008F796B" w:rsidP="008F796B">
      <w:pPr>
        <w:pStyle w:val="Bulletlevel1"/>
        <w:numPr>
          <w:ilvl w:val="0"/>
          <w:numId w:val="0"/>
        </w:numPr>
        <w:tabs>
          <w:tab w:val="left" w:pos="720"/>
        </w:tabs>
        <w:spacing w:before="240" w:after="240"/>
        <w:rPr>
          <w:szCs w:val="20"/>
        </w:rPr>
      </w:pPr>
      <w:r w:rsidRPr="00AE2C25">
        <w:rPr>
          <w:szCs w:val="20"/>
        </w:rPr>
        <w:t>For the co-channel scenario</w:t>
      </w:r>
      <w:r w:rsidRPr="003778B0">
        <w:rPr>
          <w:szCs w:val="20"/>
        </w:rPr>
        <w:t xml:space="preserve">, </w:t>
      </w:r>
      <w:r w:rsidRPr="00AE2C25">
        <w:rPr>
          <w:szCs w:val="20"/>
        </w:rPr>
        <w:t xml:space="preserve">noting </w:t>
      </w:r>
      <w:r w:rsidR="00CB1B77">
        <w:rPr>
          <w:szCs w:val="20"/>
        </w:rPr>
        <w:t xml:space="preserve">the limitations identified for </w:t>
      </w:r>
      <w:r w:rsidRPr="00AE2C25">
        <w:rPr>
          <w:szCs w:val="20"/>
        </w:rPr>
        <w:t xml:space="preserve">the </w:t>
      </w:r>
      <w:r w:rsidR="00CB1B77">
        <w:rPr>
          <w:szCs w:val="20"/>
        </w:rPr>
        <w:t xml:space="preserve">current </w:t>
      </w:r>
      <w:r w:rsidRPr="00AE2C25">
        <w:rPr>
          <w:szCs w:val="20"/>
        </w:rPr>
        <w:t>DBC, i</w:t>
      </w:r>
      <w:r w:rsidRPr="003778B0">
        <w:rPr>
          <w:szCs w:val="20"/>
        </w:rPr>
        <w:t xml:space="preserve">t is considered that the alternative mechanisms for the management of BS-CPE and BS-MS interference would assist in managing </w:t>
      </w:r>
      <w:r w:rsidRPr="00AE2C25">
        <w:rPr>
          <w:szCs w:val="20"/>
        </w:rPr>
        <w:t>MS/CPE-BS</w:t>
      </w:r>
      <w:r w:rsidRPr="003778B0">
        <w:rPr>
          <w:szCs w:val="20"/>
        </w:rPr>
        <w:t xml:space="preserve"> interference for new service deployments. Clause 9 of licence </w:t>
      </w:r>
      <w:r w:rsidR="001C5596">
        <w:rPr>
          <w:szCs w:val="20"/>
        </w:rPr>
        <w:t>S</w:t>
      </w:r>
      <w:r w:rsidRPr="003778B0">
        <w:rPr>
          <w:szCs w:val="20"/>
        </w:rPr>
        <w:t xml:space="preserve">chedule 4 would then apply in the event there is interference. However, given existing </w:t>
      </w:r>
      <w:proofErr w:type="spellStart"/>
      <w:r w:rsidRPr="003778B0">
        <w:rPr>
          <w:szCs w:val="20"/>
        </w:rPr>
        <w:t>nbn</w:t>
      </w:r>
      <w:proofErr w:type="spellEnd"/>
      <w:r w:rsidRPr="003778B0">
        <w:rPr>
          <w:szCs w:val="20"/>
        </w:rPr>
        <w:t xml:space="preserve"> services are located much closer to the urban excise boundary then would normally be the case for a 3.4 GHz spectrum license (this is a result of how urban excise areas were developed – refer to BS-CPE discussion), there is an increased risk that CPEs could cause co-channel interference into urban excise areas. It is considered that application of clause 9 of licence </w:t>
      </w:r>
      <w:r w:rsidR="001C5596">
        <w:rPr>
          <w:szCs w:val="20"/>
        </w:rPr>
        <w:t>S</w:t>
      </w:r>
      <w:r w:rsidRPr="003778B0">
        <w:rPr>
          <w:szCs w:val="20"/>
        </w:rPr>
        <w:t xml:space="preserve">chedule 4 could unintentionally result in some CPEs having to modify or cease operation. To avoid this situation, </w:t>
      </w:r>
      <w:r w:rsidR="00CB1B77">
        <w:rPr>
          <w:szCs w:val="20"/>
        </w:rPr>
        <w:t xml:space="preserve">clause 9 of licence </w:t>
      </w:r>
      <w:r w:rsidR="001C5596">
        <w:rPr>
          <w:szCs w:val="20"/>
        </w:rPr>
        <w:t>S</w:t>
      </w:r>
      <w:r w:rsidR="00CB1B77">
        <w:rPr>
          <w:szCs w:val="20"/>
        </w:rPr>
        <w:t xml:space="preserve">chedule 4 should not </w:t>
      </w:r>
      <w:r w:rsidRPr="003778B0">
        <w:rPr>
          <w:szCs w:val="20"/>
        </w:rPr>
        <w:t xml:space="preserve">apply to CPEs associated with delivery of the </w:t>
      </w:r>
      <w:proofErr w:type="spellStart"/>
      <w:r w:rsidRPr="003778B0">
        <w:rPr>
          <w:szCs w:val="20"/>
        </w:rPr>
        <w:t>nbn</w:t>
      </w:r>
      <w:proofErr w:type="spellEnd"/>
      <w:r w:rsidRPr="003778B0">
        <w:rPr>
          <w:szCs w:val="20"/>
        </w:rPr>
        <w:t xml:space="preserve">. </w:t>
      </w:r>
    </w:p>
    <w:p w14:paraId="7184697D" w14:textId="25EE5289" w:rsidR="008F796B" w:rsidRPr="003778B0" w:rsidRDefault="008F796B" w:rsidP="008F796B">
      <w:pPr>
        <w:pStyle w:val="Bulletlevel1"/>
        <w:numPr>
          <w:ilvl w:val="0"/>
          <w:numId w:val="0"/>
        </w:numPr>
        <w:tabs>
          <w:tab w:val="left" w:pos="720"/>
        </w:tabs>
        <w:spacing w:before="240" w:after="240"/>
        <w:rPr>
          <w:szCs w:val="20"/>
        </w:rPr>
      </w:pPr>
      <w:r w:rsidRPr="003778B0">
        <w:rPr>
          <w:szCs w:val="20"/>
        </w:rPr>
        <w:t xml:space="preserve">To provide symmetry with urban excise areas, MNOs proposed a similar condition apply to fixed UEs inside urban excise areas. ACMA </w:t>
      </w:r>
      <w:r w:rsidR="002F1AAD">
        <w:rPr>
          <w:szCs w:val="20"/>
        </w:rPr>
        <w:t xml:space="preserve">staff </w:t>
      </w:r>
      <w:r w:rsidRPr="003778B0">
        <w:rPr>
          <w:szCs w:val="20"/>
        </w:rPr>
        <w:t xml:space="preserve">noted that such a condition would likely increase the risk of harmful interference to </w:t>
      </w:r>
      <w:proofErr w:type="spellStart"/>
      <w:r w:rsidRPr="003778B0">
        <w:rPr>
          <w:szCs w:val="20"/>
        </w:rPr>
        <w:t>nbn</w:t>
      </w:r>
      <w:proofErr w:type="spellEnd"/>
      <w:r w:rsidRPr="003778B0">
        <w:rPr>
          <w:szCs w:val="20"/>
        </w:rPr>
        <w:t xml:space="preserve"> services.  </w:t>
      </w:r>
    </w:p>
    <w:p w14:paraId="7FCFDBAA" w14:textId="3B647C2F" w:rsidR="008F796B" w:rsidRPr="00B70035" w:rsidRDefault="008F796B" w:rsidP="008F796B">
      <w:pPr>
        <w:pStyle w:val="Heading4"/>
      </w:pPr>
      <w:r w:rsidRPr="00B70035">
        <w:t xml:space="preserve">TLG </w:t>
      </w:r>
      <w:r w:rsidR="001B7B20">
        <w:t>outcome</w:t>
      </w:r>
    </w:p>
    <w:p w14:paraId="642B0151" w14:textId="70A290FF" w:rsidR="008F796B" w:rsidRDefault="008F796B" w:rsidP="00096E81">
      <w:pPr>
        <w:pStyle w:val="Paragraphbeforelist"/>
      </w:pPr>
      <w:bookmarkStart w:id="131" w:name="_Hlk77604621"/>
      <w:r w:rsidRPr="00F97FDB">
        <w:t xml:space="preserve">The TLG </w:t>
      </w:r>
      <w:r>
        <w:t xml:space="preserve">was unable to reach agreement on the best approach to use when managing MS/CPE-BS interference. Consequently, </w:t>
      </w:r>
      <w:r w:rsidR="00273A8A">
        <w:t>the following options were identified</w:t>
      </w:r>
      <w:r>
        <w:t>:</w:t>
      </w:r>
    </w:p>
    <w:p w14:paraId="35B053F2" w14:textId="2843BF6F" w:rsidR="00273A8A" w:rsidRPr="00096E81" w:rsidRDefault="00273A8A" w:rsidP="008F796B">
      <w:pPr>
        <w:pStyle w:val="ListBullet"/>
        <w:numPr>
          <w:ilvl w:val="0"/>
          <w:numId w:val="0"/>
        </w:numPr>
        <w:spacing w:after="120"/>
      </w:pPr>
      <w:r w:rsidRPr="00096E81">
        <w:t>For devices outside urban excise areas operating in the 3400</w:t>
      </w:r>
      <w:r w:rsidR="001C5596">
        <w:t>–</w:t>
      </w:r>
      <w:r w:rsidRPr="00096E81">
        <w:t>3475 MHz band:</w:t>
      </w:r>
    </w:p>
    <w:p w14:paraId="333D41D6" w14:textId="42863B39" w:rsidR="00273A8A" w:rsidRDefault="008F796B" w:rsidP="00096E81">
      <w:pPr>
        <w:pStyle w:val="Bulletlevel1"/>
      </w:pPr>
      <w:r>
        <w:t xml:space="preserve">Option 1: </w:t>
      </w:r>
      <w:r w:rsidR="00273A8A">
        <w:t>Adopt existing requirements. This means d</w:t>
      </w:r>
      <w:r w:rsidR="00273A8A">
        <w:rPr>
          <w:lang w:eastAsia="en-US"/>
        </w:rPr>
        <w:t xml:space="preserve">evices exempt from registration operate on a ‘no interference and no protection’ basis. Also, operation is only authorised within a licensee’s spectrum space when </w:t>
      </w:r>
      <w:r w:rsidR="000A5BE0">
        <w:rPr>
          <w:lang w:eastAsia="en-US"/>
        </w:rPr>
        <w:t xml:space="preserve">a third </w:t>
      </w:r>
      <w:r w:rsidR="00273A8A">
        <w:rPr>
          <w:lang w:eastAsia="en-US"/>
        </w:rPr>
        <w:t xml:space="preserve">party </w:t>
      </w:r>
      <w:r w:rsidR="000A5BE0">
        <w:rPr>
          <w:lang w:eastAsia="en-US"/>
        </w:rPr>
        <w:t xml:space="preserve">is </w:t>
      </w:r>
      <w:r w:rsidR="00273A8A">
        <w:rPr>
          <w:lang w:eastAsia="en-US"/>
        </w:rPr>
        <w:t>authorised to do so by that licensee.</w:t>
      </w:r>
    </w:p>
    <w:p w14:paraId="60DE644E" w14:textId="329ADF63" w:rsidR="008F796B" w:rsidRDefault="00273A8A" w:rsidP="00096E81">
      <w:pPr>
        <w:pStyle w:val="Bulletlevel1last"/>
      </w:pPr>
      <w:r>
        <w:t xml:space="preserve">Option 2: </w:t>
      </w:r>
      <w:r>
        <w:rPr>
          <w:lang w:eastAsia="en-US"/>
        </w:rPr>
        <w:t>Existing requirements apply with the exception that CPEs associated with the provision of the NBN in the 3400</w:t>
      </w:r>
      <w:r w:rsidR="001C5596">
        <w:rPr>
          <w:lang w:eastAsia="en-US"/>
        </w:rPr>
        <w:t>–</w:t>
      </w:r>
      <w:r>
        <w:rPr>
          <w:lang w:eastAsia="en-US"/>
        </w:rPr>
        <w:t>3475 MHz band, are deemed</w:t>
      </w:r>
      <w:r w:rsidR="003B0292">
        <w:rPr>
          <w:lang w:eastAsia="en-US"/>
        </w:rPr>
        <w:t xml:space="preserve"> not</w:t>
      </w:r>
      <w:r>
        <w:rPr>
          <w:lang w:eastAsia="en-US"/>
        </w:rPr>
        <w:t xml:space="preserve"> to cause interference into urban excise areas.</w:t>
      </w:r>
    </w:p>
    <w:p w14:paraId="7E372AA0" w14:textId="7A789F18" w:rsidR="00273A8A" w:rsidRPr="00096E81" w:rsidRDefault="00273A8A" w:rsidP="00096E81">
      <w:pPr>
        <w:pStyle w:val="Paragraphbeforelist"/>
      </w:pPr>
      <w:r w:rsidRPr="00096E81">
        <w:t>For devices inside urban excise areas operating in the 3400</w:t>
      </w:r>
      <w:r w:rsidR="001C5596">
        <w:t>–</w:t>
      </w:r>
      <w:r w:rsidRPr="00096E81">
        <w:t>3475 MHz band:</w:t>
      </w:r>
    </w:p>
    <w:p w14:paraId="256B3CB4" w14:textId="3C4E9662" w:rsidR="00273A8A" w:rsidRDefault="00273A8A" w:rsidP="00096E81">
      <w:pPr>
        <w:pStyle w:val="Bulletlevel1"/>
      </w:pPr>
      <w:r>
        <w:t>Option 1: Adopt existing requirements. This means devices exempt from registration operate on a ‘no interference and no protection’ basis. Also, operation is only authorised within a licensee’s spectrum space when</w:t>
      </w:r>
      <w:r w:rsidR="000A5BE0">
        <w:t xml:space="preserve"> a third </w:t>
      </w:r>
      <w:r>
        <w:t xml:space="preserve">party </w:t>
      </w:r>
      <w:r w:rsidR="000A5BE0">
        <w:t xml:space="preserve">is </w:t>
      </w:r>
      <w:r>
        <w:t>authorised to do so by that licensee.</w:t>
      </w:r>
    </w:p>
    <w:p w14:paraId="4EBAE30B" w14:textId="2DEBF576" w:rsidR="008F796B" w:rsidRPr="00955191" w:rsidRDefault="00273A8A" w:rsidP="00096E81">
      <w:pPr>
        <w:pStyle w:val="Bulletlevel1last"/>
      </w:pPr>
      <w:r>
        <w:t xml:space="preserve">Option 2: </w:t>
      </w:r>
      <w:r w:rsidRPr="00963123">
        <w:t>Existing requirements apply with the exception that fixed UEs (or a subset of defined fixed UEs are deemed</w:t>
      </w:r>
      <w:r w:rsidR="003B0292" w:rsidRPr="00963123">
        <w:t xml:space="preserve"> not</w:t>
      </w:r>
      <w:r w:rsidRPr="00963123">
        <w:t xml:space="preserve"> to cause interference to adjacent area</w:t>
      </w:r>
      <w:r w:rsidR="001C5596">
        <w:t> </w:t>
      </w:r>
      <w:r w:rsidRPr="00963123">
        <w:t>licences</w:t>
      </w:r>
      <w:r w:rsidRPr="00682C0D">
        <w:t>.</w:t>
      </w:r>
      <w:bookmarkEnd w:id="131"/>
    </w:p>
    <w:p w14:paraId="72A50D9C" w14:textId="77777777" w:rsidR="008F796B" w:rsidRPr="00E631E5" w:rsidRDefault="008F796B" w:rsidP="00096E81">
      <w:pPr>
        <w:pStyle w:val="Heading3"/>
        <w:keepLines/>
      </w:pPr>
      <w:bookmarkStart w:id="132" w:name="_Toc73973855"/>
      <w:bookmarkStart w:id="133" w:name="_Toc75275799"/>
      <w:bookmarkStart w:id="134" w:name="_Toc76376867"/>
      <w:bookmarkStart w:id="135" w:name="_Toc80877089"/>
      <w:r w:rsidRPr="00E631E5">
        <w:t>MS/CPE-MS</w:t>
      </w:r>
      <w:bookmarkEnd w:id="132"/>
      <w:bookmarkEnd w:id="133"/>
      <w:bookmarkEnd w:id="134"/>
      <w:bookmarkEnd w:id="135"/>
    </w:p>
    <w:p w14:paraId="41081A19" w14:textId="285E8E69" w:rsidR="008F796B" w:rsidRPr="00E228A1" w:rsidRDefault="008F796B" w:rsidP="00096E81">
      <w:pPr>
        <w:pStyle w:val="Paragraphbeforelist"/>
      </w:pPr>
      <w:r w:rsidRPr="00E228A1">
        <w:t xml:space="preserve">A spectrum licence technical framework does not usually provide specific protection for MS/CPE-MS interference. An inherent level of protection </w:t>
      </w:r>
      <w:r w:rsidR="00734727">
        <w:t xml:space="preserve">is </w:t>
      </w:r>
      <w:r w:rsidRPr="00E228A1">
        <w:t xml:space="preserve">provided by: </w:t>
      </w:r>
    </w:p>
    <w:p w14:paraId="6EDE17CE" w14:textId="50346AC3" w:rsidR="008F796B" w:rsidRPr="00E228A1" w:rsidRDefault="008F796B" w:rsidP="00096E81">
      <w:pPr>
        <w:pStyle w:val="Bulletlevel1"/>
      </w:pPr>
      <w:r w:rsidRPr="00E228A1">
        <w:lastRenderedPageBreak/>
        <w:t>Both co-channel and adjacent channel scenarios: The generally lower levels of emissions (including the effects of power control) and statistical nature of any interference</w:t>
      </w:r>
      <w:r w:rsidR="001C5596">
        <w:t>.</w:t>
      </w:r>
    </w:p>
    <w:p w14:paraId="59443B29" w14:textId="05F08BD7" w:rsidR="008F796B" w:rsidRPr="00E228A1" w:rsidRDefault="008F796B" w:rsidP="00096E81">
      <w:pPr>
        <w:pStyle w:val="Bulletlevel1"/>
      </w:pPr>
      <w:r w:rsidRPr="00E228A1">
        <w:t>For both adjacent and co-channel scenarios: the synchronisation requirement (</w:t>
      </w:r>
      <w:proofErr w:type="spellStart"/>
      <w:r w:rsidRPr="00E228A1">
        <w:t>SyncRec</w:t>
      </w:r>
      <w:proofErr w:type="spellEnd"/>
      <w:r w:rsidRPr="00E228A1">
        <w:t xml:space="preserve">) as detailed in </w:t>
      </w:r>
      <w:hyperlink r:id="rId60" w:history="1">
        <w:r w:rsidRPr="00E228A1">
          <w:rPr>
            <w:rStyle w:val="Hyperlink"/>
            <w:szCs w:val="20"/>
          </w:rPr>
          <w:t xml:space="preserve">clause 11 of Licence Schedule 4 on all 3.4 GHz </w:t>
        </w:r>
        <w:r w:rsidR="001C5596">
          <w:rPr>
            <w:rStyle w:val="Hyperlink"/>
            <w:szCs w:val="20"/>
          </w:rPr>
          <w:br/>
        </w:r>
        <w:r w:rsidRPr="00E228A1">
          <w:rPr>
            <w:rStyle w:val="Hyperlink"/>
            <w:szCs w:val="20"/>
          </w:rPr>
          <w:t>spectrum licences</w:t>
        </w:r>
      </w:hyperlink>
      <w:r w:rsidR="001C5596">
        <w:t>.</w:t>
      </w:r>
      <w:r w:rsidRPr="00E228A1">
        <w:t xml:space="preserve">  </w:t>
      </w:r>
    </w:p>
    <w:p w14:paraId="299E8184" w14:textId="07E90DE6" w:rsidR="008F796B" w:rsidRPr="00E228A1" w:rsidRDefault="008F796B" w:rsidP="00096E81">
      <w:pPr>
        <w:pStyle w:val="Bulletlevel1last"/>
      </w:pPr>
      <w:r w:rsidRPr="00E228A1">
        <w:t xml:space="preserve">Operation of an MS/CPE is only authorised within a licensee’s spectrum space </w:t>
      </w:r>
      <w:r w:rsidR="00B01B10">
        <w:t>when it is</w:t>
      </w:r>
      <w:r w:rsidR="00096E81">
        <w:t xml:space="preserve"> a</w:t>
      </w:r>
      <w:r w:rsidR="000A5BE0">
        <w:t xml:space="preserve"> third </w:t>
      </w:r>
      <w:r w:rsidRPr="00E228A1">
        <w:t>party authorised to do so by another licensee.</w:t>
      </w:r>
    </w:p>
    <w:p w14:paraId="40DB74D4" w14:textId="3C6ADEE5" w:rsidR="008F796B" w:rsidRDefault="008F796B" w:rsidP="008F796B">
      <w:pPr>
        <w:spacing w:line="80" w:lineRule="atLeast"/>
      </w:pPr>
      <w:r w:rsidRPr="00E228A1">
        <w:t>For the 3.4 GHz band the main mechanism managing MS/CPE-MS interference is the SyncRec.</w:t>
      </w:r>
      <w:r w:rsidR="002E7077" w:rsidRPr="002E7077">
        <w:rPr>
          <w:vertAlign w:val="superscript"/>
        </w:rPr>
        <w:fldChar w:fldCharType="begin"/>
      </w:r>
      <w:r w:rsidR="002E7077" w:rsidRPr="002E7077">
        <w:rPr>
          <w:vertAlign w:val="superscript"/>
        </w:rPr>
        <w:instrText xml:space="preserve"> NOTEREF _Ref62122493 \h </w:instrText>
      </w:r>
      <w:r w:rsidR="002E7077">
        <w:rPr>
          <w:vertAlign w:val="superscript"/>
        </w:rPr>
        <w:instrText xml:space="preserve"> \* MERGEFORMAT </w:instrText>
      </w:r>
      <w:r w:rsidR="002E7077" w:rsidRPr="002E7077">
        <w:rPr>
          <w:vertAlign w:val="superscript"/>
        </w:rPr>
      </w:r>
      <w:r w:rsidR="002E7077" w:rsidRPr="002E7077">
        <w:rPr>
          <w:vertAlign w:val="superscript"/>
        </w:rPr>
        <w:fldChar w:fldCharType="separate"/>
      </w:r>
      <w:r w:rsidR="002E7077" w:rsidRPr="002E7077">
        <w:rPr>
          <w:vertAlign w:val="superscript"/>
        </w:rPr>
        <w:t>7</w:t>
      </w:r>
      <w:r w:rsidR="002E7077" w:rsidRPr="002E7077">
        <w:rPr>
          <w:vertAlign w:val="superscript"/>
        </w:rPr>
        <w:fldChar w:fldCharType="end"/>
      </w:r>
      <w:r w:rsidRPr="00E228A1">
        <w:t xml:space="preserve"> This would result in adjacent frequency and area MS/CPE transmitting and receiving at the same time, thereby removing the possibility of interference.  It is also considered that other mechanisms </w:t>
      </w:r>
      <w:r w:rsidR="00410659">
        <w:t>identified</w:t>
      </w:r>
      <w:r w:rsidR="00410659" w:rsidRPr="00E228A1">
        <w:t xml:space="preserve"> </w:t>
      </w:r>
      <w:r w:rsidRPr="00E228A1">
        <w:t>for the management of BS-BS, BS-CPE and BS-MS would further assist in managing any co-channel interference in the event services are not synchronised. For this reason,</w:t>
      </w:r>
      <w:r w:rsidR="00CB1B77">
        <w:t xml:space="preserve"> the TLG did</w:t>
      </w:r>
      <w:r w:rsidRPr="00E228A1">
        <w:t xml:space="preserve"> no</w:t>
      </w:r>
      <w:r w:rsidR="00CB1B77">
        <w:t>t identify any</w:t>
      </w:r>
      <w:r w:rsidRPr="00E228A1">
        <w:t xml:space="preserve"> additional specific measures to manage MS/CPE-MS interference scenario.</w:t>
      </w:r>
    </w:p>
    <w:p w14:paraId="706C0B24" w14:textId="77777777" w:rsidR="00CB1B77" w:rsidRPr="00B70035" w:rsidRDefault="00CB1B77" w:rsidP="00CB1B77">
      <w:pPr>
        <w:pStyle w:val="Heading4"/>
      </w:pPr>
      <w:r w:rsidRPr="00B70035">
        <w:t xml:space="preserve">TLG </w:t>
      </w:r>
      <w:r>
        <w:t>outcome</w:t>
      </w:r>
    </w:p>
    <w:p w14:paraId="27472BE7" w14:textId="796D6693" w:rsidR="00CB1B77" w:rsidRPr="004C7C9C" w:rsidRDefault="00CB1B77" w:rsidP="00CB1B77">
      <w:pPr>
        <w:spacing w:line="80" w:lineRule="atLeast"/>
      </w:pPr>
      <w:r>
        <w:t xml:space="preserve">No new measures required in the 3.4 GHz technical framework. </w:t>
      </w:r>
    </w:p>
    <w:p w14:paraId="3E1DB49E" w14:textId="77777777" w:rsidR="008F796B" w:rsidRPr="00E631E5" w:rsidRDefault="008F796B" w:rsidP="008F796B">
      <w:pPr>
        <w:pStyle w:val="Heading3"/>
      </w:pPr>
      <w:bookmarkStart w:id="136" w:name="_Toc73973856"/>
      <w:bookmarkStart w:id="137" w:name="_Toc75275800"/>
      <w:bookmarkStart w:id="138" w:name="_Toc76376868"/>
      <w:bookmarkStart w:id="139" w:name="_Toc80877090"/>
      <w:r>
        <w:t>Adjacent channel 4G and 5G systems</w:t>
      </w:r>
      <w:bookmarkEnd w:id="136"/>
      <w:bookmarkEnd w:id="137"/>
      <w:bookmarkEnd w:id="138"/>
      <w:bookmarkEnd w:id="139"/>
    </w:p>
    <w:p w14:paraId="14A6F5CE" w14:textId="77777777" w:rsidR="008F796B" w:rsidRPr="003778B0" w:rsidRDefault="008F796B" w:rsidP="00096E81">
      <w:pPr>
        <w:pStyle w:val="CommentText"/>
        <w:tabs>
          <w:tab w:val="left" w:pos="426"/>
        </w:tabs>
        <w:spacing w:before="60"/>
        <w:rPr>
          <w:rFonts w:cs="Arial"/>
          <w:color w:val="000000" w:themeColor="text1"/>
        </w:rPr>
      </w:pPr>
      <w:r w:rsidRPr="003778B0">
        <w:rPr>
          <w:rFonts w:cs="Arial"/>
          <w:color w:val="000000" w:themeColor="text1"/>
        </w:rPr>
        <w:t xml:space="preserve">Adjacent channel interference as well as co-channel </w:t>
      </w:r>
      <w:r>
        <w:rPr>
          <w:rFonts w:cs="Arial"/>
          <w:color w:val="000000" w:themeColor="text1"/>
        </w:rPr>
        <w:t>BS-BS</w:t>
      </w:r>
      <w:r w:rsidRPr="003778B0">
        <w:rPr>
          <w:rFonts w:cs="Arial"/>
          <w:color w:val="000000" w:themeColor="text1"/>
        </w:rPr>
        <w:t xml:space="preserve"> interference is managed via </w:t>
      </w:r>
      <w:r>
        <w:rPr>
          <w:rFonts w:cs="Arial"/>
          <w:color w:val="000000" w:themeColor="text1"/>
        </w:rPr>
        <w:t xml:space="preserve">the </w:t>
      </w:r>
      <w:proofErr w:type="spellStart"/>
      <w:r>
        <w:rPr>
          <w:rFonts w:cs="Arial"/>
          <w:color w:val="000000" w:themeColor="text1"/>
        </w:rPr>
        <w:t>SyncRec</w:t>
      </w:r>
      <w:proofErr w:type="spellEnd"/>
      <w:r w:rsidRPr="003778B0">
        <w:rPr>
          <w:rFonts w:cs="Arial"/>
          <w:color w:val="000000" w:themeColor="text1"/>
        </w:rPr>
        <w:t xml:space="preserve">. As </w:t>
      </w:r>
      <w:proofErr w:type="spellStart"/>
      <w:r w:rsidRPr="003778B0">
        <w:rPr>
          <w:rFonts w:cs="Arial"/>
          <w:color w:val="000000" w:themeColor="text1"/>
        </w:rPr>
        <w:t>nbn</w:t>
      </w:r>
      <w:proofErr w:type="spellEnd"/>
      <w:r w:rsidRPr="003778B0">
        <w:rPr>
          <w:rFonts w:cs="Arial"/>
          <w:color w:val="000000" w:themeColor="text1"/>
        </w:rPr>
        <w:t xml:space="preserve"> currently uses 4G technology, this condition mandates use of a 4G frame structure. </w:t>
      </w:r>
    </w:p>
    <w:p w14:paraId="276D5339" w14:textId="632E858E" w:rsidR="002E7077" w:rsidRDefault="008F796B" w:rsidP="008F796B">
      <w:pPr>
        <w:pStyle w:val="CommentText"/>
        <w:tabs>
          <w:tab w:val="left" w:pos="426"/>
        </w:tabs>
        <w:spacing w:before="120"/>
        <w:rPr>
          <w:rFonts w:cs="Arial"/>
          <w:color w:val="000000" w:themeColor="text1"/>
        </w:rPr>
      </w:pPr>
      <w:r w:rsidRPr="003778B0">
        <w:rPr>
          <w:rFonts w:cs="Arial"/>
          <w:color w:val="000000" w:themeColor="text1"/>
        </w:rPr>
        <w:t xml:space="preserve">The </w:t>
      </w:r>
      <w:proofErr w:type="spellStart"/>
      <w:r>
        <w:rPr>
          <w:rFonts w:cs="Arial"/>
          <w:color w:val="000000" w:themeColor="text1"/>
        </w:rPr>
        <w:t>SyncRec</w:t>
      </w:r>
      <w:proofErr w:type="spellEnd"/>
      <w:r w:rsidRPr="003778B0">
        <w:rPr>
          <w:rFonts w:cs="Arial"/>
          <w:color w:val="000000" w:themeColor="text1"/>
        </w:rPr>
        <w:t xml:space="preserve"> only applies if there is interference and there is no agreement on how to manage it. This means adjacent band MNO’s are currently able to implement a 5G optimised frame structure in metropolitan areas as </w:t>
      </w:r>
      <w:proofErr w:type="spellStart"/>
      <w:r w:rsidRPr="003778B0">
        <w:rPr>
          <w:rFonts w:cs="Arial"/>
          <w:color w:val="000000" w:themeColor="text1"/>
        </w:rPr>
        <w:t>nbn</w:t>
      </w:r>
      <w:proofErr w:type="spellEnd"/>
      <w:r w:rsidRPr="003778B0">
        <w:rPr>
          <w:rFonts w:cs="Arial"/>
          <w:color w:val="000000" w:themeColor="text1"/>
        </w:rPr>
        <w:t xml:space="preserve"> has no services deployed there. </w:t>
      </w:r>
      <w:r>
        <w:rPr>
          <w:rFonts w:cs="Arial"/>
          <w:color w:val="000000" w:themeColor="text1"/>
        </w:rPr>
        <w:t>However, i</w:t>
      </w:r>
      <w:r w:rsidRPr="003778B0">
        <w:rPr>
          <w:rFonts w:cs="Arial"/>
          <w:color w:val="000000" w:themeColor="text1"/>
        </w:rPr>
        <w:t xml:space="preserve">f new services are deployed within urban excise, they would be required to synchronise with </w:t>
      </w:r>
      <w:proofErr w:type="spellStart"/>
      <w:r w:rsidRPr="003778B0">
        <w:rPr>
          <w:rFonts w:cs="Arial"/>
          <w:color w:val="000000" w:themeColor="text1"/>
        </w:rPr>
        <w:t>nbn</w:t>
      </w:r>
      <w:proofErr w:type="spellEnd"/>
      <w:r w:rsidRPr="003778B0">
        <w:rPr>
          <w:rFonts w:cs="Arial"/>
          <w:color w:val="000000" w:themeColor="text1"/>
        </w:rPr>
        <w:t xml:space="preserve"> to manage co-channel </w:t>
      </w:r>
      <w:r>
        <w:rPr>
          <w:rFonts w:cs="Arial"/>
          <w:color w:val="000000" w:themeColor="text1"/>
        </w:rPr>
        <w:t>BS-BS</w:t>
      </w:r>
      <w:r w:rsidRPr="003778B0">
        <w:rPr>
          <w:rFonts w:cs="Arial"/>
          <w:color w:val="000000" w:themeColor="text1"/>
        </w:rPr>
        <w:t xml:space="preserve"> interference. Unless a suitable guard band is implemented, this would have a flow on effect of requiring all adjacent frequency </w:t>
      </w:r>
      <w:r>
        <w:rPr>
          <w:rFonts w:cs="Arial"/>
          <w:color w:val="000000" w:themeColor="text1"/>
        </w:rPr>
        <w:t>spectrum licensees</w:t>
      </w:r>
      <w:r w:rsidRPr="003778B0">
        <w:rPr>
          <w:rFonts w:cs="Arial"/>
          <w:color w:val="000000" w:themeColor="text1"/>
        </w:rPr>
        <w:t xml:space="preserve"> to fallback to a less efficient 4G frame structure. </w:t>
      </w:r>
      <w:r w:rsidR="002E7077">
        <w:rPr>
          <w:rFonts w:cs="Arial"/>
          <w:color w:val="000000" w:themeColor="text1"/>
        </w:rPr>
        <w:t xml:space="preserve"> </w:t>
      </w:r>
    </w:p>
    <w:p w14:paraId="0AC696EB" w14:textId="671D0568" w:rsidR="00AD1CA9" w:rsidRDefault="00AD1CA9" w:rsidP="008F796B">
      <w:pPr>
        <w:pStyle w:val="CommentText"/>
        <w:tabs>
          <w:tab w:val="left" w:pos="426"/>
        </w:tabs>
        <w:spacing w:before="120"/>
        <w:rPr>
          <w:rFonts w:cs="Arial"/>
          <w:color w:val="000000" w:themeColor="text1"/>
        </w:rPr>
      </w:pPr>
      <w:r>
        <w:rPr>
          <w:rFonts w:cs="Arial"/>
          <w:color w:val="000000" w:themeColor="text1"/>
        </w:rPr>
        <w:t xml:space="preserve">Advice from 3.4 GHz spectrum licensees was that a 15 MHz guard band would be sufficient to manage interference in this instance. </w:t>
      </w:r>
    </w:p>
    <w:p w14:paraId="38DA9B5A" w14:textId="6AF5BFDF" w:rsidR="008F796B" w:rsidRPr="00B70035" w:rsidRDefault="008F796B" w:rsidP="008F796B">
      <w:pPr>
        <w:pStyle w:val="Heading4"/>
      </w:pPr>
      <w:r w:rsidRPr="00B70035">
        <w:t xml:space="preserve">TLG </w:t>
      </w:r>
      <w:r w:rsidR="001B7B20">
        <w:t>outcome</w:t>
      </w:r>
    </w:p>
    <w:p w14:paraId="3586A862" w14:textId="12C6EDC6" w:rsidR="008F796B" w:rsidRDefault="008F796B" w:rsidP="00096E81">
      <w:pPr>
        <w:pStyle w:val="Paragraphbeforelist"/>
      </w:pPr>
      <w:r w:rsidRPr="00F97FDB">
        <w:t xml:space="preserve">The TLG </w:t>
      </w:r>
      <w:r>
        <w:t xml:space="preserve">identified </w:t>
      </w:r>
      <w:r w:rsidR="00205CFC">
        <w:t xml:space="preserve">2 </w:t>
      </w:r>
      <w:r>
        <w:t>options to manage this issue:</w:t>
      </w:r>
    </w:p>
    <w:p w14:paraId="09F68588" w14:textId="341144F1" w:rsidR="008F796B" w:rsidRDefault="008F796B" w:rsidP="00096E81">
      <w:pPr>
        <w:pStyle w:val="Bulletlevel1"/>
      </w:pPr>
      <w:r>
        <w:t>Option 1: No change to existing requirements</w:t>
      </w:r>
      <w:r w:rsidR="001C5596">
        <w:t>.</w:t>
      </w:r>
    </w:p>
    <w:p w14:paraId="516D6249" w14:textId="158EAA32" w:rsidR="008F796B" w:rsidRDefault="008F796B" w:rsidP="00096E81">
      <w:pPr>
        <w:pStyle w:val="Bulletlevel1last"/>
      </w:pPr>
      <w:r>
        <w:t>Option 2: For devices operating in the 3400</w:t>
      </w:r>
      <w:r w:rsidR="001C5596">
        <w:t>–</w:t>
      </w:r>
      <w:r>
        <w:t xml:space="preserve">3475 MHz band inside urban excise areas, a 15 MHz guard band will apply when a 4G frame structure is used. No guard band is required if the licensee can adopt the same frame structure as the spectrum licensees directly above 3475 </w:t>
      </w:r>
      <w:proofErr w:type="spellStart"/>
      <w:r>
        <w:t>MHz.</w:t>
      </w:r>
      <w:proofErr w:type="spellEnd"/>
      <w:r>
        <w:t xml:space="preserve"> Alternatively, the guard band can be relaxed if there is agreement with the directly adjacent spectrum licensees to do so.</w:t>
      </w:r>
    </w:p>
    <w:p w14:paraId="16440B49" w14:textId="32392848" w:rsidR="007832E7" w:rsidRPr="007832E7" w:rsidRDefault="007832E7" w:rsidP="007832E7">
      <w:pPr>
        <w:pStyle w:val="Heading2"/>
        <w:spacing w:before="360"/>
      </w:pPr>
      <w:bookmarkStart w:id="140" w:name="_Toc80877091"/>
      <w:r w:rsidRPr="007832E7">
        <w:t>Restricted cell scenario discussion</w:t>
      </w:r>
      <w:bookmarkEnd w:id="140"/>
    </w:p>
    <w:p w14:paraId="548982D6" w14:textId="70CEAF31" w:rsidR="00D068A9" w:rsidRDefault="00614C40" w:rsidP="004E3262">
      <w:pPr>
        <w:spacing w:line="80" w:lineRule="atLeast"/>
      </w:pPr>
      <w:r>
        <w:t xml:space="preserve">ACMA staff provided a possible restricted cell model to the TLG. </w:t>
      </w:r>
      <w:r w:rsidR="00D068A9">
        <w:t>A summary of the TLG consideration and d</w:t>
      </w:r>
      <w:r w:rsidR="00FD3BEB">
        <w:t xml:space="preserve">etails of this proposal are </w:t>
      </w:r>
      <w:r w:rsidR="00D068A9">
        <w:t>provided</w:t>
      </w:r>
      <w:r w:rsidR="00FD3BEB">
        <w:t xml:space="preserve"> in the </w:t>
      </w:r>
      <w:r w:rsidR="00FD3BEB">
        <w:rPr>
          <w:i/>
          <w:iCs/>
        </w:rPr>
        <w:t>Proposed restricted cell interference management criteria</w:t>
      </w:r>
      <w:r w:rsidR="00FD3BEB">
        <w:t xml:space="preserve"> section of this paper. </w:t>
      </w:r>
      <w:r>
        <w:t xml:space="preserve"> </w:t>
      </w:r>
    </w:p>
    <w:p w14:paraId="2E3DB6B2" w14:textId="719D35F2" w:rsidR="00743EC3" w:rsidRDefault="00FD3BEB" w:rsidP="004E3262">
      <w:pPr>
        <w:spacing w:line="80" w:lineRule="atLeast"/>
        <w:rPr>
          <w:rFonts w:cs="Arial"/>
        </w:rPr>
      </w:pPr>
      <w:r>
        <w:t xml:space="preserve">Details on how the proposed PFD limits and guard bands were determined are </w:t>
      </w:r>
      <w:r w:rsidR="00D068A9">
        <w:t xml:space="preserve">for </w:t>
      </w:r>
      <w:r w:rsidR="00E45303">
        <w:t>this model are outlined</w:t>
      </w:r>
      <w:r w:rsidR="00D068A9">
        <w:t xml:space="preserve"> </w:t>
      </w:r>
      <w:r>
        <w:t xml:space="preserve">below. </w:t>
      </w:r>
    </w:p>
    <w:p w14:paraId="14E5C203" w14:textId="14A4237A" w:rsidR="0005364C" w:rsidRPr="00C35CCE" w:rsidRDefault="00FD3BEB" w:rsidP="000C3FD9">
      <w:pPr>
        <w:pStyle w:val="Heading3"/>
      </w:pPr>
      <w:bookmarkStart w:id="141" w:name="_Toc76376870"/>
      <w:bookmarkStart w:id="142" w:name="_Toc80877092"/>
      <w:r>
        <w:lastRenderedPageBreak/>
        <w:t>PFD limit development</w:t>
      </w:r>
      <w:bookmarkEnd w:id="141"/>
      <w:bookmarkEnd w:id="142"/>
    </w:p>
    <w:p w14:paraId="0F6B2A68" w14:textId="718C6543" w:rsidR="00743EC3" w:rsidRDefault="00743EC3" w:rsidP="00743EC3">
      <w:pPr>
        <w:pStyle w:val="Paragraph"/>
      </w:pPr>
      <w:r>
        <w:t xml:space="preserve">This </w:t>
      </w:r>
      <w:r w:rsidR="00FD3BEB">
        <w:t xml:space="preserve">section </w:t>
      </w:r>
      <w:r>
        <w:t xml:space="preserve">provides detail on how </w:t>
      </w:r>
      <w:r w:rsidR="00D068A9">
        <w:t xml:space="preserve">ACMA staff developed the </w:t>
      </w:r>
      <w:r w:rsidR="00E45303">
        <w:t xml:space="preserve">notional </w:t>
      </w:r>
      <w:r>
        <w:t xml:space="preserve">PFD limits </w:t>
      </w:r>
      <w:r w:rsidR="00FD3BEB">
        <w:t>for the restricted cell scenario</w:t>
      </w:r>
      <w:r>
        <w:t xml:space="preserve">. </w:t>
      </w:r>
    </w:p>
    <w:p w14:paraId="1D467F0C" w14:textId="77777777" w:rsidR="00743EC3" w:rsidRDefault="00743EC3" w:rsidP="00743EC3">
      <w:pPr>
        <w:pStyle w:val="Tableheading"/>
        <w:spacing w:before="480"/>
      </w:pPr>
      <w:r>
        <w:t>Draft PFD limit at urban excise boundaries</w:t>
      </w:r>
    </w:p>
    <w:tbl>
      <w:tblPr>
        <w:tblStyle w:val="TableGrid"/>
        <w:tblW w:w="9498" w:type="dxa"/>
        <w:tblInd w:w="-572" w:type="dxa"/>
        <w:tblCellMar>
          <w:top w:w="85" w:type="dxa"/>
          <w:bottom w:w="85" w:type="dxa"/>
        </w:tblCellMar>
        <w:tblLook w:val="04A0" w:firstRow="1" w:lastRow="0" w:firstColumn="1" w:lastColumn="0" w:noHBand="0" w:noVBand="1"/>
      </w:tblPr>
      <w:tblGrid>
        <w:gridCol w:w="846"/>
        <w:gridCol w:w="2472"/>
        <w:gridCol w:w="2352"/>
        <w:gridCol w:w="3828"/>
      </w:tblGrid>
      <w:tr w:rsidR="00DE2932" w:rsidRPr="00DE2932" w14:paraId="15AEBF5C" w14:textId="77777777" w:rsidTr="00096E81">
        <w:tc>
          <w:tcPr>
            <w:tcW w:w="846" w:type="dxa"/>
            <w:shd w:val="clear" w:color="auto" w:fill="595959" w:themeFill="text1" w:themeFillTint="A6"/>
          </w:tcPr>
          <w:p w14:paraId="3484A9BB" w14:textId="1D23EF12" w:rsidR="00743EC3" w:rsidRPr="00DE2932" w:rsidRDefault="00DE2932" w:rsidP="00096E81">
            <w:pPr>
              <w:spacing w:after="0"/>
              <w:jc w:val="center"/>
              <w:rPr>
                <w:b/>
                <w:bCs/>
                <w:color w:val="FFFFFF" w:themeColor="background1"/>
              </w:rPr>
            </w:pPr>
            <w:r w:rsidRPr="00DE2932">
              <w:rPr>
                <w:b/>
                <w:bCs/>
                <w:color w:val="FFFFFF" w:themeColor="background1"/>
              </w:rPr>
              <w:t>Item</w:t>
            </w:r>
          </w:p>
        </w:tc>
        <w:tc>
          <w:tcPr>
            <w:tcW w:w="2472" w:type="dxa"/>
            <w:shd w:val="clear" w:color="auto" w:fill="595959" w:themeFill="text1" w:themeFillTint="A6"/>
          </w:tcPr>
          <w:p w14:paraId="60703184" w14:textId="77777777" w:rsidR="00743EC3" w:rsidRPr="00DE2932" w:rsidRDefault="00743EC3" w:rsidP="001172B5">
            <w:pPr>
              <w:spacing w:after="0"/>
              <w:rPr>
                <w:b/>
                <w:bCs/>
                <w:color w:val="FFFFFF" w:themeColor="background1"/>
              </w:rPr>
            </w:pPr>
            <w:r w:rsidRPr="00DE2932">
              <w:rPr>
                <w:b/>
                <w:bCs/>
                <w:color w:val="FFFFFF" w:themeColor="background1"/>
              </w:rPr>
              <w:t>Parameter</w:t>
            </w:r>
          </w:p>
        </w:tc>
        <w:tc>
          <w:tcPr>
            <w:tcW w:w="2352" w:type="dxa"/>
            <w:shd w:val="clear" w:color="auto" w:fill="595959" w:themeFill="text1" w:themeFillTint="A6"/>
          </w:tcPr>
          <w:p w14:paraId="4B2872D7" w14:textId="77777777" w:rsidR="00743EC3" w:rsidRPr="00DE2932" w:rsidRDefault="00743EC3" w:rsidP="001172B5">
            <w:pPr>
              <w:spacing w:after="0"/>
              <w:rPr>
                <w:b/>
                <w:bCs/>
                <w:color w:val="FFFFFF" w:themeColor="background1"/>
              </w:rPr>
            </w:pPr>
            <w:r w:rsidRPr="00DE2932">
              <w:rPr>
                <w:b/>
                <w:bCs/>
                <w:color w:val="FFFFFF" w:themeColor="background1"/>
              </w:rPr>
              <w:t>Value</w:t>
            </w:r>
          </w:p>
        </w:tc>
        <w:tc>
          <w:tcPr>
            <w:tcW w:w="3828" w:type="dxa"/>
            <w:shd w:val="clear" w:color="auto" w:fill="595959" w:themeFill="text1" w:themeFillTint="A6"/>
          </w:tcPr>
          <w:p w14:paraId="69CA6C6F" w14:textId="77777777" w:rsidR="00743EC3" w:rsidRPr="00DE2932" w:rsidRDefault="00743EC3" w:rsidP="001172B5">
            <w:pPr>
              <w:spacing w:after="0"/>
              <w:rPr>
                <w:b/>
                <w:bCs/>
                <w:color w:val="FFFFFF" w:themeColor="background1"/>
              </w:rPr>
            </w:pPr>
            <w:r w:rsidRPr="00DE2932">
              <w:rPr>
                <w:b/>
                <w:bCs/>
                <w:color w:val="FFFFFF" w:themeColor="background1"/>
              </w:rPr>
              <w:t>Reference</w:t>
            </w:r>
          </w:p>
        </w:tc>
      </w:tr>
      <w:tr w:rsidR="00743EC3" w14:paraId="2A89ACAB" w14:textId="77777777" w:rsidTr="00096E81">
        <w:tc>
          <w:tcPr>
            <w:tcW w:w="846" w:type="dxa"/>
            <w:shd w:val="clear" w:color="auto" w:fill="F2F2F2" w:themeFill="background1" w:themeFillShade="F2"/>
          </w:tcPr>
          <w:p w14:paraId="6BEFE883" w14:textId="77777777" w:rsidR="00743EC3" w:rsidRPr="00506474" w:rsidRDefault="00743EC3" w:rsidP="001172B5">
            <w:pPr>
              <w:spacing w:after="0"/>
              <w:jc w:val="center"/>
              <w:rPr>
                <w:b/>
                <w:bCs/>
              </w:rPr>
            </w:pPr>
            <w:r w:rsidRPr="00506474">
              <w:rPr>
                <w:b/>
                <w:bCs/>
              </w:rPr>
              <w:t>A</w:t>
            </w:r>
          </w:p>
        </w:tc>
        <w:tc>
          <w:tcPr>
            <w:tcW w:w="2472" w:type="dxa"/>
          </w:tcPr>
          <w:p w14:paraId="6DB7DD5A" w14:textId="7683B14E" w:rsidR="00743EC3" w:rsidRDefault="00743EC3" w:rsidP="001172B5">
            <w:pPr>
              <w:spacing w:after="0"/>
            </w:pPr>
            <w:r>
              <w:t xml:space="preserve">CPE </w:t>
            </w:r>
            <w:r w:rsidR="00DE2932">
              <w:t>a</w:t>
            </w:r>
            <w:r>
              <w:t xml:space="preserve">ntenna </w:t>
            </w:r>
            <w:r w:rsidR="00DE2932">
              <w:t>g</w:t>
            </w:r>
            <w:r>
              <w:t>ain</w:t>
            </w:r>
          </w:p>
        </w:tc>
        <w:tc>
          <w:tcPr>
            <w:tcW w:w="2352" w:type="dxa"/>
          </w:tcPr>
          <w:p w14:paraId="41B3B7F6" w14:textId="77777777" w:rsidR="00743EC3" w:rsidRDefault="00743EC3" w:rsidP="001172B5">
            <w:pPr>
              <w:spacing w:after="0"/>
            </w:pPr>
            <w:r>
              <w:t xml:space="preserve">20 </w:t>
            </w:r>
            <w:proofErr w:type="spellStart"/>
            <w:r>
              <w:t>dBi</w:t>
            </w:r>
            <w:proofErr w:type="spellEnd"/>
          </w:p>
        </w:tc>
        <w:tc>
          <w:tcPr>
            <w:tcW w:w="3828" w:type="dxa"/>
          </w:tcPr>
          <w:p w14:paraId="26A5325C" w14:textId="3536016F" w:rsidR="00743EC3" w:rsidRDefault="00743EC3" w:rsidP="001172B5">
            <w:pPr>
              <w:spacing w:after="0"/>
            </w:pPr>
            <w:r>
              <w:t xml:space="preserve">Antenna gain for </w:t>
            </w:r>
            <w:proofErr w:type="spellStart"/>
            <w:r w:rsidRPr="00096E81">
              <w:t>nbn</w:t>
            </w:r>
            <w:proofErr w:type="spellEnd"/>
            <w:r>
              <w:t xml:space="preserve"> B42 CPE</w:t>
            </w:r>
          </w:p>
        </w:tc>
      </w:tr>
      <w:tr w:rsidR="00743EC3" w14:paraId="4EFF5383" w14:textId="77777777" w:rsidTr="00096E81">
        <w:tc>
          <w:tcPr>
            <w:tcW w:w="846" w:type="dxa"/>
            <w:shd w:val="clear" w:color="auto" w:fill="F2F2F2" w:themeFill="background1" w:themeFillShade="F2"/>
          </w:tcPr>
          <w:p w14:paraId="7EB1ED44" w14:textId="77777777" w:rsidR="00743EC3" w:rsidRPr="00506474" w:rsidRDefault="00743EC3" w:rsidP="001172B5">
            <w:pPr>
              <w:spacing w:after="0"/>
              <w:jc w:val="center"/>
              <w:rPr>
                <w:b/>
                <w:bCs/>
              </w:rPr>
            </w:pPr>
            <w:r w:rsidRPr="00506474">
              <w:rPr>
                <w:b/>
                <w:bCs/>
              </w:rPr>
              <w:t>B</w:t>
            </w:r>
          </w:p>
        </w:tc>
        <w:tc>
          <w:tcPr>
            <w:tcW w:w="2472" w:type="dxa"/>
          </w:tcPr>
          <w:p w14:paraId="0AE83F0B" w14:textId="77777777" w:rsidR="00743EC3" w:rsidRDefault="00743EC3" w:rsidP="001172B5">
            <w:pPr>
              <w:spacing w:after="0"/>
            </w:pPr>
            <w:r>
              <w:rPr>
                <w:rFonts w:eastAsiaTheme="minorEastAsia"/>
              </w:rPr>
              <w:t>Effective antenna aperture</w:t>
            </w:r>
          </w:p>
        </w:tc>
        <w:tc>
          <w:tcPr>
            <w:tcW w:w="2352" w:type="dxa"/>
          </w:tcPr>
          <w:p w14:paraId="0AC74DDC" w14:textId="08DCCE30" w:rsidR="00743EC3" w:rsidRPr="004E3262" w:rsidRDefault="00743EC3" w:rsidP="001172B5">
            <w:pPr>
              <w:spacing w:after="0"/>
            </w:pPr>
            <w:r>
              <w:t>-14 dB</w:t>
            </w:r>
            <w:r w:rsidR="004E3262">
              <w:t>(m</w:t>
            </w:r>
            <w:r w:rsidR="004E3262">
              <w:rPr>
                <w:vertAlign w:val="superscript"/>
              </w:rPr>
              <w:t>2</w:t>
            </w:r>
            <w:r w:rsidR="004E3262">
              <w:t>)</w:t>
            </w:r>
          </w:p>
        </w:tc>
        <w:tc>
          <w:tcPr>
            <w:tcW w:w="3828" w:type="dxa"/>
          </w:tcPr>
          <w:p w14:paraId="1B02A1A1" w14:textId="77777777" w:rsidR="00743EC3" w:rsidRDefault="00743EC3" w:rsidP="001172B5">
            <w:pPr>
              <w:spacing w:after="0"/>
            </w:pPr>
            <w:r>
              <w:t>Equation 2, for frequency of 3400 MHz</w:t>
            </w:r>
          </w:p>
        </w:tc>
      </w:tr>
      <w:tr w:rsidR="00743EC3" w14:paraId="5BA6307D" w14:textId="77777777" w:rsidTr="00096E81">
        <w:tc>
          <w:tcPr>
            <w:tcW w:w="846" w:type="dxa"/>
            <w:shd w:val="clear" w:color="auto" w:fill="F2F2F2" w:themeFill="background1" w:themeFillShade="F2"/>
          </w:tcPr>
          <w:p w14:paraId="3433A102" w14:textId="77777777" w:rsidR="00743EC3" w:rsidRPr="00506474" w:rsidRDefault="00743EC3" w:rsidP="001172B5">
            <w:pPr>
              <w:spacing w:after="0"/>
              <w:jc w:val="center"/>
              <w:rPr>
                <w:b/>
                <w:bCs/>
              </w:rPr>
            </w:pPr>
            <w:r w:rsidRPr="00506474">
              <w:rPr>
                <w:b/>
                <w:bCs/>
              </w:rPr>
              <w:t>C</w:t>
            </w:r>
          </w:p>
        </w:tc>
        <w:tc>
          <w:tcPr>
            <w:tcW w:w="2472" w:type="dxa"/>
          </w:tcPr>
          <w:p w14:paraId="3BB48A17" w14:textId="3BADE269" w:rsidR="00743EC3" w:rsidRDefault="00743EC3" w:rsidP="001172B5">
            <w:pPr>
              <w:spacing w:after="0"/>
            </w:pPr>
            <w:r>
              <w:t xml:space="preserve">CPE </w:t>
            </w:r>
            <w:r w:rsidR="00DE2932">
              <w:t>no</w:t>
            </w:r>
            <w:r>
              <w:t xml:space="preserve">ise </w:t>
            </w:r>
            <w:r w:rsidR="00DE2932">
              <w:t>f</w:t>
            </w:r>
            <w:r>
              <w:t>igure</w:t>
            </w:r>
          </w:p>
        </w:tc>
        <w:tc>
          <w:tcPr>
            <w:tcW w:w="2352" w:type="dxa"/>
          </w:tcPr>
          <w:p w14:paraId="18226F52" w14:textId="77777777" w:rsidR="00743EC3" w:rsidRDefault="00743EC3" w:rsidP="001172B5">
            <w:pPr>
              <w:spacing w:after="0"/>
            </w:pPr>
            <w:r>
              <w:t>7 dB</w:t>
            </w:r>
          </w:p>
        </w:tc>
        <w:tc>
          <w:tcPr>
            <w:tcW w:w="3828" w:type="dxa"/>
          </w:tcPr>
          <w:p w14:paraId="7C1563E5" w14:textId="77777777" w:rsidR="00743EC3" w:rsidRDefault="00743EC3" w:rsidP="001172B5">
            <w:pPr>
              <w:spacing w:after="0"/>
            </w:pPr>
            <w:r>
              <w:t>Representative noise figure</w:t>
            </w:r>
          </w:p>
        </w:tc>
      </w:tr>
      <w:tr w:rsidR="00743EC3" w14:paraId="75AFC75A" w14:textId="77777777" w:rsidTr="00096E81">
        <w:tc>
          <w:tcPr>
            <w:tcW w:w="846" w:type="dxa"/>
            <w:shd w:val="clear" w:color="auto" w:fill="F2F2F2" w:themeFill="background1" w:themeFillShade="F2"/>
          </w:tcPr>
          <w:p w14:paraId="119F259F" w14:textId="77777777" w:rsidR="00743EC3" w:rsidRPr="00506474" w:rsidRDefault="00743EC3" w:rsidP="001172B5">
            <w:pPr>
              <w:spacing w:after="0"/>
              <w:jc w:val="center"/>
              <w:rPr>
                <w:b/>
                <w:bCs/>
              </w:rPr>
            </w:pPr>
            <w:r w:rsidRPr="00506474">
              <w:rPr>
                <w:b/>
                <w:bCs/>
              </w:rPr>
              <w:t>D</w:t>
            </w:r>
          </w:p>
        </w:tc>
        <w:tc>
          <w:tcPr>
            <w:tcW w:w="2472" w:type="dxa"/>
          </w:tcPr>
          <w:p w14:paraId="2173020E" w14:textId="18D3B3E2" w:rsidR="00743EC3" w:rsidRDefault="00743EC3" w:rsidP="001172B5">
            <w:pPr>
              <w:spacing w:after="0"/>
            </w:pPr>
            <w:r>
              <w:t xml:space="preserve">Thermal </w:t>
            </w:r>
            <w:r w:rsidR="00DE2932">
              <w:t>n</w:t>
            </w:r>
            <w:r>
              <w:t>oise</w:t>
            </w:r>
          </w:p>
        </w:tc>
        <w:tc>
          <w:tcPr>
            <w:tcW w:w="2352" w:type="dxa"/>
          </w:tcPr>
          <w:p w14:paraId="54229CE4" w14:textId="77777777" w:rsidR="00743EC3" w:rsidRDefault="00743EC3" w:rsidP="001172B5">
            <w:pPr>
              <w:spacing w:after="0"/>
            </w:pPr>
            <w:r>
              <w:t>-114 dBm/MHz</w:t>
            </w:r>
          </w:p>
        </w:tc>
        <w:tc>
          <w:tcPr>
            <w:tcW w:w="3828" w:type="dxa"/>
          </w:tcPr>
          <w:p w14:paraId="4EE9AD72" w14:textId="77777777" w:rsidR="00743EC3" w:rsidRDefault="00743EC3" w:rsidP="001172B5">
            <w:pPr>
              <w:spacing w:after="0"/>
            </w:pPr>
            <w:r>
              <w:t xml:space="preserve">= </w:t>
            </w:r>
            <w:proofErr w:type="spellStart"/>
            <w:r>
              <w:t>kTB</w:t>
            </w:r>
            <w:proofErr w:type="spellEnd"/>
            <w:r>
              <w:t>, assuming T = 293 K</w:t>
            </w:r>
          </w:p>
        </w:tc>
      </w:tr>
      <w:tr w:rsidR="00743EC3" w14:paraId="1569FC9A" w14:textId="77777777" w:rsidTr="00096E81">
        <w:tc>
          <w:tcPr>
            <w:tcW w:w="846" w:type="dxa"/>
            <w:shd w:val="clear" w:color="auto" w:fill="F2F2F2" w:themeFill="background1" w:themeFillShade="F2"/>
          </w:tcPr>
          <w:p w14:paraId="737FB8D6" w14:textId="77777777" w:rsidR="00743EC3" w:rsidRPr="00506474" w:rsidRDefault="00743EC3" w:rsidP="001172B5">
            <w:pPr>
              <w:spacing w:after="0"/>
              <w:jc w:val="center"/>
              <w:rPr>
                <w:b/>
                <w:bCs/>
              </w:rPr>
            </w:pPr>
            <w:r w:rsidRPr="00506474">
              <w:rPr>
                <w:b/>
                <w:bCs/>
              </w:rPr>
              <w:t>E</w:t>
            </w:r>
          </w:p>
        </w:tc>
        <w:tc>
          <w:tcPr>
            <w:tcW w:w="2472" w:type="dxa"/>
          </w:tcPr>
          <w:p w14:paraId="05E2CE60" w14:textId="77777777" w:rsidR="00743EC3" w:rsidRDefault="00743EC3" w:rsidP="001172B5">
            <w:pPr>
              <w:spacing w:after="0"/>
            </w:pPr>
            <w:r>
              <w:t>I/N</w:t>
            </w:r>
          </w:p>
        </w:tc>
        <w:tc>
          <w:tcPr>
            <w:tcW w:w="2352" w:type="dxa"/>
          </w:tcPr>
          <w:p w14:paraId="6913EA40" w14:textId="77777777" w:rsidR="00743EC3" w:rsidRDefault="00743EC3" w:rsidP="001172B5">
            <w:pPr>
              <w:spacing w:after="0"/>
            </w:pPr>
            <w:r>
              <w:t>-5 dB</w:t>
            </w:r>
          </w:p>
        </w:tc>
        <w:tc>
          <w:tcPr>
            <w:tcW w:w="3828" w:type="dxa"/>
          </w:tcPr>
          <w:p w14:paraId="3C0E8DFD" w14:textId="77777777" w:rsidR="00743EC3" w:rsidRDefault="00743EC3" w:rsidP="001172B5">
            <w:pPr>
              <w:spacing w:after="0"/>
            </w:pPr>
            <w:r>
              <w:t xml:space="preserve">Provided by </w:t>
            </w:r>
            <w:proofErr w:type="spellStart"/>
            <w:r>
              <w:t>nbn</w:t>
            </w:r>
            <w:proofErr w:type="spellEnd"/>
          </w:p>
        </w:tc>
      </w:tr>
      <w:tr w:rsidR="00743EC3" w14:paraId="7FCB6CF0" w14:textId="77777777" w:rsidTr="00096E81">
        <w:tc>
          <w:tcPr>
            <w:tcW w:w="846" w:type="dxa"/>
            <w:shd w:val="clear" w:color="auto" w:fill="F2F2F2" w:themeFill="background1" w:themeFillShade="F2"/>
          </w:tcPr>
          <w:p w14:paraId="1E0C63AF" w14:textId="77777777" w:rsidR="00743EC3" w:rsidRPr="00506474" w:rsidRDefault="00743EC3" w:rsidP="001172B5">
            <w:pPr>
              <w:spacing w:after="0"/>
              <w:jc w:val="center"/>
              <w:rPr>
                <w:b/>
                <w:bCs/>
              </w:rPr>
            </w:pPr>
            <w:r w:rsidRPr="00506474">
              <w:rPr>
                <w:b/>
                <w:bCs/>
              </w:rPr>
              <w:t>F</w:t>
            </w:r>
          </w:p>
        </w:tc>
        <w:tc>
          <w:tcPr>
            <w:tcW w:w="2472" w:type="dxa"/>
          </w:tcPr>
          <w:p w14:paraId="5C58EBD7" w14:textId="0CA8A17F" w:rsidR="00743EC3" w:rsidRDefault="00743EC3" w:rsidP="001172B5">
            <w:pPr>
              <w:spacing w:after="0"/>
            </w:pPr>
            <w:r>
              <w:t xml:space="preserve">Max. </w:t>
            </w:r>
            <w:r w:rsidR="00DE2932">
              <w:t>i</w:t>
            </w:r>
            <w:r>
              <w:t xml:space="preserve">nterference </w:t>
            </w:r>
          </w:p>
        </w:tc>
        <w:tc>
          <w:tcPr>
            <w:tcW w:w="2352" w:type="dxa"/>
          </w:tcPr>
          <w:p w14:paraId="5A5C8AF1" w14:textId="77777777" w:rsidR="00743EC3" w:rsidRDefault="00743EC3" w:rsidP="001172B5">
            <w:pPr>
              <w:spacing w:after="0"/>
            </w:pPr>
            <w:r>
              <w:t>-112 dBm/MHz</w:t>
            </w:r>
          </w:p>
        </w:tc>
        <w:tc>
          <w:tcPr>
            <w:tcW w:w="3828" w:type="dxa"/>
          </w:tcPr>
          <w:p w14:paraId="2B4B38B6" w14:textId="77777777" w:rsidR="00743EC3" w:rsidRDefault="00743EC3" w:rsidP="001172B5">
            <w:pPr>
              <w:spacing w:after="0"/>
            </w:pPr>
            <w:r>
              <w:t>=C+D+E</w:t>
            </w:r>
          </w:p>
        </w:tc>
      </w:tr>
      <w:tr w:rsidR="00743EC3" w14:paraId="46EBD3C7" w14:textId="77777777" w:rsidTr="00096E81">
        <w:tc>
          <w:tcPr>
            <w:tcW w:w="846" w:type="dxa"/>
            <w:shd w:val="clear" w:color="auto" w:fill="F2F2F2" w:themeFill="background1" w:themeFillShade="F2"/>
          </w:tcPr>
          <w:p w14:paraId="3A1F36B0" w14:textId="77777777" w:rsidR="00743EC3" w:rsidRPr="00506474" w:rsidRDefault="00743EC3" w:rsidP="001172B5">
            <w:pPr>
              <w:spacing w:after="0"/>
              <w:jc w:val="center"/>
              <w:rPr>
                <w:b/>
                <w:bCs/>
              </w:rPr>
            </w:pPr>
            <w:r w:rsidRPr="00506474">
              <w:rPr>
                <w:b/>
                <w:bCs/>
              </w:rPr>
              <w:t>G</w:t>
            </w:r>
          </w:p>
        </w:tc>
        <w:tc>
          <w:tcPr>
            <w:tcW w:w="2472" w:type="dxa"/>
          </w:tcPr>
          <w:p w14:paraId="5A81CF62" w14:textId="77777777" w:rsidR="00743EC3" w:rsidRDefault="00743EC3" w:rsidP="001172B5">
            <w:pPr>
              <w:spacing w:after="0"/>
            </w:pPr>
            <w:r>
              <w:t>PFD limit</w:t>
            </w:r>
          </w:p>
        </w:tc>
        <w:tc>
          <w:tcPr>
            <w:tcW w:w="2352" w:type="dxa"/>
          </w:tcPr>
          <w:p w14:paraId="40FDCD73" w14:textId="77777777" w:rsidR="00743EC3" w:rsidRPr="00340F7D" w:rsidRDefault="00743EC3" w:rsidP="001172B5">
            <w:pPr>
              <w:spacing w:after="0"/>
            </w:pPr>
            <w:r>
              <w:t>-99.9 dBm/(m</w:t>
            </w:r>
            <w:proofErr w:type="gramStart"/>
            <w:r>
              <w:rPr>
                <w:vertAlign w:val="superscript"/>
              </w:rPr>
              <w:t>2</w:t>
            </w:r>
            <w:r>
              <w:t>.MHz</w:t>
            </w:r>
            <w:proofErr w:type="gramEnd"/>
            <w:r>
              <w:t>)</w:t>
            </w:r>
          </w:p>
        </w:tc>
        <w:tc>
          <w:tcPr>
            <w:tcW w:w="3828" w:type="dxa"/>
          </w:tcPr>
          <w:p w14:paraId="63BF8F5D" w14:textId="77777777" w:rsidR="00743EC3" w:rsidRDefault="00743EC3" w:rsidP="001172B5">
            <w:pPr>
              <w:spacing w:after="0"/>
            </w:pPr>
            <w:r>
              <w:t>Equation 1, assumes non-AAS</w:t>
            </w:r>
          </w:p>
        </w:tc>
      </w:tr>
    </w:tbl>
    <w:p w14:paraId="4C79FC14" w14:textId="200404C4" w:rsidR="00D23A10" w:rsidRDefault="00D23A10" w:rsidP="00963123">
      <w:pPr>
        <w:spacing w:before="240" w:line="240" w:lineRule="auto"/>
      </w:pPr>
    </w:p>
    <w:p w14:paraId="058B96B8" w14:textId="77777777" w:rsidR="00743EC3" w:rsidRDefault="00743EC3" w:rsidP="00743EC3">
      <w:pPr>
        <w:pStyle w:val="Tableheading"/>
      </w:pPr>
      <w:r>
        <w:t>Draft PFD limit at controlled premise boundary</w:t>
      </w:r>
    </w:p>
    <w:tbl>
      <w:tblPr>
        <w:tblStyle w:val="TableGrid"/>
        <w:tblW w:w="9498" w:type="dxa"/>
        <w:tblInd w:w="-572" w:type="dxa"/>
        <w:tblCellMar>
          <w:top w:w="85" w:type="dxa"/>
          <w:bottom w:w="85" w:type="dxa"/>
        </w:tblCellMar>
        <w:tblLook w:val="04A0" w:firstRow="1" w:lastRow="0" w:firstColumn="1" w:lastColumn="0" w:noHBand="0" w:noVBand="1"/>
      </w:tblPr>
      <w:tblGrid>
        <w:gridCol w:w="846"/>
        <w:gridCol w:w="2472"/>
        <w:gridCol w:w="2352"/>
        <w:gridCol w:w="3828"/>
      </w:tblGrid>
      <w:tr w:rsidR="00743EC3" w14:paraId="7467BFC4" w14:textId="77777777" w:rsidTr="00096E81">
        <w:tc>
          <w:tcPr>
            <w:tcW w:w="846" w:type="dxa"/>
            <w:shd w:val="clear" w:color="auto" w:fill="595959" w:themeFill="text1" w:themeFillTint="A6"/>
          </w:tcPr>
          <w:p w14:paraId="5721B961" w14:textId="3C48480C" w:rsidR="00743EC3" w:rsidRPr="00506474" w:rsidRDefault="00743EC3" w:rsidP="00096E81">
            <w:pPr>
              <w:spacing w:after="0"/>
              <w:jc w:val="center"/>
              <w:rPr>
                <w:b/>
                <w:bCs/>
                <w:color w:val="FFFFFF" w:themeColor="background1"/>
              </w:rPr>
            </w:pPr>
            <w:r w:rsidRPr="00506474">
              <w:rPr>
                <w:b/>
                <w:bCs/>
                <w:color w:val="FFFFFF" w:themeColor="background1"/>
              </w:rPr>
              <w:t>I</w:t>
            </w:r>
            <w:r w:rsidR="00DE2932">
              <w:rPr>
                <w:b/>
                <w:bCs/>
                <w:color w:val="FFFFFF" w:themeColor="background1"/>
              </w:rPr>
              <w:t>tem</w:t>
            </w:r>
          </w:p>
        </w:tc>
        <w:tc>
          <w:tcPr>
            <w:tcW w:w="2472" w:type="dxa"/>
            <w:shd w:val="clear" w:color="auto" w:fill="595959" w:themeFill="text1" w:themeFillTint="A6"/>
          </w:tcPr>
          <w:p w14:paraId="43D1A258" w14:textId="77777777" w:rsidR="00743EC3" w:rsidRPr="00506474" w:rsidRDefault="00743EC3" w:rsidP="001172B5">
            <w:pPr>
              <w:spacing w:after="0"/>
              <w:rPr>
                <w:b/>
                <w:bCs/>
                <w:color w:val="FFFFFF" w:themeColor="background1"/>
              </w:rPr>
            </w:pPr>
            <w:r w:rsidRPr="00506474">
              <w:rPr>
                <w:b/>
                <w:bCs/>
                <w:color w:val="FFFFFF" w:themeColor="background1"/>
              </w:rPr>
              <w:t>Parameter</w:t>
            </w:r>
          </w:p>
        </w:tc>
        <w:tc>
          <w:tcPr>
            <w:tcW w:w="2352" w:type="dxa"/>
            <w:shd w:val="clear" w:color="auto" w:fill="595959" w:themeFill="text1" w:themeFillTint="A6"/>
          </w:tcPr>
          <w:p w14:paraId="5C4DD738" w14:textId="77777777" w:rsidR="00743EC3" w:rsidRPr="00506474" w:rsidRDefault="00743EC3" w:rsidP="001172B5">
            <w:pPr>
              <w:spacing w:after="0"/>
              <w:rPr>
                <w:b/>
                <w:bCs/>
                <w:color w:val="FFFFFF" w:themeColor="background1"/>
              </w:rPr>
            </w:pPr>
            <w:r w:rsidRPr="00506474">
              <w:rPr>
                <w:b/>
                <w:bCs/>
                <w:color w:val="FFFFFF" w:themeColor="background1"/>
              </w:rPr>
              <w:t>Value</w:t>
            </w:r>
          </w:p>
        </w:tc>
        <w:tc>
          <w:tcPr>
            <w:tcW w:w="3828" w:type="dxa"/>
            <w:shd w:val="clear" w:color="auto" w:fill="595959" w:themeFill="text1" w:themeFillTint="A6"/>
          </w:tcPr>
          <w:p w14:paraId="31466399" w14:textId="77777777" w:rsidR="00743EC3" w:rsidRPr="00506474" w:rsidRDefault="00743EC3" w:rsidP="001172B5">
            <w:pPr>
              <w:spacing w:after="0"/>
              <w:rPr>
                <w:b/>
                <w:bCs/>
                <w:color w:val="FFFFFF" w:themeColor="background1"/>
              </w:rPr>
            </w:pPr>
            <w:r w:rsidRPr="00506474">
              <w:rPr>
                <w:b/>
                <w:bCs/>
                <w:color w:val="FFFFFF" w:themeColor="background1"/>
              </w:rPr>
              <w:t>Reference</w:t>
            </w:r>
          </w:p>
        </w:tc>
      </w:tr>
      <w:tr w:rsidR="00743EC3" w14:paraId="41D7434E" w14:textId="77777777" w:rsidTr="00096E81">
        <w:tc>
          <w:tcPr>
            <w:tcW w:w="846" w:type="dxa"/>
            <w:shd w:val="clear" w:color="auto" w:fill="F2F2F2" w:themeFill="background1" w:themeFillShade="F2"/>
          </w:tcPr>
          <w:p w14:paraId="4B34C494" w14:textId="77777777" w:rsidR="00743EC3" w:rsidRPr="00506474" w:rsidRDefault="00743EC3" w:rsidP="001172B5">
            <w:pPr>
              <w:spacing w:after="0"/>
              <w:jc w:val="center"/>
              <w:rPr>
                <w:b/>
                <w:bCs/>
              </w:rPr>
            </w:pPr>
            <w:r w:rsidRPr="00506474">
              <w:rPr>
                <w:b/>
                <w:bCs/>
              </w:rPr>
              <w:t>A</w:t>
            </w:r>
          </w:p>
        </w:tc>
        <w:tc>
          <w:tcPr>
            <w:tcW w:w="2472" w:type="dxa"/>
          </w:tcPr>
          <w:p w14:paraId="42663DB4" w14:textId="07211EA0" w:rsidR="00743EC3" w:rsidRDefault="00743EC3" w:rsidP="001172B5">
            <w:pPr>
              <w:spacing w:after="0"/>
            </w:pPr>
            <w:r>
              <w:t xml:space="preserve">MS </w:t>
            </w:r>
            <w:r w:rsidR="00DE2932">
              <w:t>a</w:t>
            </w:r>
            <w:r>
              <w:t xml:space="preserve">ntenna </w:t>
            </w:r>
            <w:r w:rsidR="00DE2932">
              <w:t>g</w:t>
            </w:r>
            <w:r>
              <w:t>ain</w:t>
            </w:r>
          </w:p>
        </w:tc>
        <w:tc>
          <w:tcPr>
            <w:tcW w:w="2352" w:type="dxa"/>
          </w:tcPr>
          <w:p w14:paraId="6759F75B" w14:textId="77777777" w:rsidR="00743EC3" w:rsidRDefault="00743EC3" w:rsidP="001172B5">
            <w:pPr>
              <w:spacing w:after="0"/>
            </w:pPr>
            <w:r>
              <w:t xml:space="preserve">-4 </w:t>
            </w:r>
            <w:proofErr w:type="spellStart"/>
            <w:r>
              <w:t>dBi</w:t>
            </w:r>
            <w:proofErr w:type="spellEnd"/>
          </w:p>
        </w:tc>
        <w:tc>
          <w:tcPr>
            <w:tcW w:w="3828" w:type="dxa"/>
          </w:tcPr>
          <w:p w14:paraId="01735D84" w14:textId="77777777" w:rsidR="00743EC3" w:rsidRDefault="00743EC3" w:rsidP="001172B5">
            <w:pPr>
              <w:spacing w:after="0"/>
            </w:pPr>
            <w:r>
              <w:t xml:space="preserve">Recommendation ITU-R M.2292 </w:t>
            </w:r>
          </w:p>
        </w:tc>
      </w:tr>
      <w:tr w:rsidR="00743EC3" w14:paraId="018F8429" w14:textId="77777777" w:rsidTr="00096E81">
        <w:tc>
          <w:tcPr>
            <w:tcW w:w="846" w:type="dxa"/>
            <w:shd w:val="clear" w:color="auto" w:fill="F2F2F2" w:themeFill="background1" w:themeFillShade="F2"/>
          </w:tcPr>
          <w:p w14:paraId="7A3DE392" w14:textId="77777777" w:rsidR="00743EC3" w:rsidRPr="00506474" w:rsidRDefault="00743EC3" w:rsidP="001172B5">
            <w:pPr>
              <w:spacing w:after="0"/>
              <w:jc w:val="center"/>
              <w:rPr>
                <w:b/>
                <w:bCs/>
              </w:rPr>
            </w:pPr>
            <w:r w:rsidRPr="00506474">
              <w:rPr>
                <w:b/>
                <w:bCs/>
              </w:rPr>
              <w:t>B</w:t>
            </w:r>
          </w:p>
        </w:tc>
        <w:tc>
          <w:tcPr>
            <w:tcW w:w="2472" w:type="dxa"/>
          </w:tcPr>
          <w:p w14:paraId="33505459" w14:textId="77777777" w:rsidR="00743EC3" w:rsidRDefault="00743EC3" w:rsidP="001172B5">
            <w:pPr>
              <w:spacing w:after="0"/>
            </w:pPr>
            <w:r>
              <w:rPr>
                <w:rFonts w:eastAsiaTheme="minorEastAsia"/>
              </w:rPr>
              <w:t>Effective antenna aperture</w:t>
            </w:r>
          </w:p>
        </w:tc>
        <w:tc>
          <w:tcPr>
            <w:tcW w:w="2352" w:type="dxa"/>
          </w:tcPr>
          <w:p w14:paraId="2BC09AFF" w14:textId="04845DB0" w:rsidR="00743EC3" w:rsidRDefault="00743EC3" w:rsidP="001172B5">
            <w:pPr>
              <w:spacing w:after="0"/>
            </w:pPr>
            <w:r>
              <w:t>-36.1 dB</w:t>
            </w:r>
            <w:r w:rsidR="004E3262">
              <w:t>(m</w:t>
            </w:r>
            <w:r w:rsidR="004E3262">
              <w:rPr>
                <w:vertAlign w:val="superscript"/>
              </w:rPr>
              <w:t>2</w:t>
            </w:r>
            <w:r w:rsidR="004E3262">
              <w:t>)</w:t>
            </w:r>
          </w:p>
        </w:tc>
        <w:tc>
          <w:tcPr>
            <w:tcW w:w="3828" w:type="dxa"/>
          </w:tcPr>
          <w:p w14:paraId="1706F91D" w14:textId="77777777" w:rsidR="00743EC3" w:rsidRDefault="00743EC3" w:rsidP="001172B5">
            <w:pPr>
              <w:spacing w:after="0"/>
            </w:pPr>
            <w:r>
              <w:t>Equation 2, for frequency of 3400 MHz</w:t>
            </w:r>
          </w:p>
        </w:tc>
      </w:tr>
      <w:tr w:rsidR="00743EC3" w14:paraId="4A67AFE8" w14:textId="77777777" w:rsidTr="00096E81">
        <w:tc>
          <w:tcPr>
            <w:tcW w:w="846" w:type="dxa"/>
            <w:shd w:val="clear" w:color="auto" w:fill="F2F2F2" w:themeFill="background1" w:themeFillShade="F2"/>
          </w:tcPr>
          <w:p w14:paraId="79CDDC54" w14:textId="77777777" w:rsidR="00743EC3" w:rsidRPr="00506474" w:rsidRDefault="00743EC3" w:rsidP="001172B5">
            <w:pPr>
              <w:spacing w:after="0"/>
              <w:jc w:val="center"/>
              <w:rPr>
                <w:b/>
                <w:bCs/>
              </w:rPr>
            </w:pPr>
            <w:r w:rsidRPr="00506474">
              <w:rPr>
                <w:b/>
                <w:bCs/>
              </w:rPr>
              <w:t>C</w:t>
            </w:r>
          </w:p>
        </w:tc>
        <w:tc>
          <w:tcPr>
            <w:tcW w:w="2472" w:type="dxa"/>
          </w:tcPr>
          <w:p w14:paraId="698A6EA3" w14:textId="77777777" w:rsidR="00743EC3" w:rsidRDefault="00743EC3" w:rsidP="001172B5">
            <w:pPr>
              <w:spacing w:after="0"/>
            </w:pPr>
            <w:r>
              <w:t>Body loss</w:t>
            </w:r>
          </w:p>
        </w:tc>
        <w:tc>
          <w:tcPr>
            <w:tcW w:w="2352" w:type="dxa"/>
          </w:tcPr>
          <w:p w14:paraId="7EC34CC9" w14:textId="77777777" w:rsidR="00743EC3" w:rsidRDefault="00743EC3" w:rsidP="001172B5">
            <w:pPr>
              <w:spacing w:after="0"/>
            </w:pPr>
            <w:r>
              <w:t>4 dB</w:t>
            </w:r>
          </w:p>
        </w:tc>
        <w:tc>
          <w:tcPr>
            <w:tcW w:w="3828" w:type="dxa"/>
          </w:tcPr>
          <w:p w14:paraId="2565B89A" w14:textId="77777777" w:rsidR="00743EC3" w:rsidRDefault="00743EC3" w:rsidP="001172B5">
            <w:pPr>
              <w:spacing w:after="0"/>
            </w:pPr>
            <w:r>
              <w:t>Recommendation ITU-R M.2292</w:t>
            </w:r>
          </w:p>
        </w:tc>
      </w:tr>
      <w:tr w:rsidR="00743EC3" w14:paraId="57A75B68" w14:textId="77777777" w:rsidTr="00096E81">
        <w:tc>
          <w:tcPr>
            <w:tcW w:w="846" w:type="dxa"/>
            <w:shd w:val="clear" w:color="auto" w:fill="F2F2F2" w:themeFill="background1" w:themeFillShade="F2"/>
          </w:tcPr>
          <w:p w14:paraId="06D42775" w14:textId="77777777" w:rsidR="00743EC3" w:rsidRPr="00506474" w:rsidRDefault="00743EC3" w:rsidP="001172B5">
            <w:pPr>
              <w:spacing w:after="0"/>
              <w:jc w:val="center"/>
              <w:rPr>
                <w:b/>
                <w:bCs/>
              </w:rPr>
            </w:pPr>
            <w:r w:rsidRPr="00506474">
              <w:rPr>
                <w:b/>
                <w:bCs/>
              </w:rPr>
              <w:t>D</w:t>
            </w:r>
          </w:p>
        </w:tc>
        <w:tc>
          <w:tcPr>
            <w:tcW w:w="2472" w:type="dxa"/>
          </w:tcPr>
          <w:p w14:paraId="13FA749F" w14:textId="559EFFE3" w:rsidR="00743EC3" w:rsidRDefault="00743EC3" w:rsidP="001172B5">
            <w:pPr>
              <w:spacing w:after="0"/>
            </w:pPr>
            <w:r>
              <w:t xml:space="preserve">MS </w:t>
            </w:r>
            <w:r w:rsidR="00DE2932">
              <w:t>n</w:t>
            </w:r>
            <w:r>
              <w:t xml:space="preserve">oise </w:t>
            </w:r>
            <w:r w:rsidR="00DE2932">
              <w:t>f</w:t>
            </w:r>
            <w:r>
              <w:t>igure</w:t>
            </w:r>
          </w:p>
        </w:tc>
        <w:tc>
          <w:tcPr>
            <w:tcW w:w="2352" w:type="dxa"/>
          </w:tcPr>
          <w:p w14:paraId="0A58A552" w14:textId="77777777" w:rsidR="00743EC3" w:rsidRDefault="00743EC3" w:rsidP="001172B5">
            <w:pPr>
              <w:spacing w:after="0"/>
            </w:pPr>
            <w:r>
              <w:t>9 dB</w:t>
            </w:r>
          </w:p>
        </w:tc>
        <w:tc>
          <w:tcPr>
            <w:tcW w:w="3828" w:type="dxa"/>
          </w:tcPr>
          <w:p w14:paraId="05CAFF0D" w14:textId="77777777" w:rsidR="00743EC3" w:rsidRDefault="00743EC3" w:rsidP="001172B5">
            <w:pPr>
              <w:spacing w:after="0"/>
            </w:pPr>
            <w:r>
              <w:t>Recommendation ITU-R M.2292</w:t>
            </w:r>
          </w:p>
        </w:tc>
      </w:tr>
      <w:tr w:rsidR="00743EC3" w14:paraId="49BA8F5B" w14:textId="77777777" w:rsidTr="00096E81">
        <w:tc>
          <w:tcPr>
            <w:tcW w:w="846" w:type="dxa"/>
            <w:shd w:val="clear" w:color="auto" w:fill="F2F2F2" w:themeFill="background1" w:themeFillShade="F2"/>
          </w:tcPr>
          <w:p w14:paraId="4A6A7BC6" w14:textId="77777777" w:rsidR="00743EC3" w:rsidRPr="00506474" w:rsidRDefault="00743EC3" w:rsidP="001172B5">
            <w:pPr>
              <w:spacing w:after="0"/>
              <w:jc w:val="center"/>
              <w:rPr>
                <w:b/>
                <w:bCs/>
              </w:rPr>
            </w:pPr>
            <w:r w:rsidRPr="00506474">
              <w:rPr>
                <w:b/>
                <w:bCs/>
              </w:rPr>
              <w:t>E</w:t>
            </w:r>
          </w:p>
        </w:tc>
        <w:tc>
          <w:tcPr>
            <w:tcW w:w="2472" w:type="dxa"/>
          </w:tcPr>
          <w:p w14:paraId="721B3058" w14:textId="4FCB8114" w:rsidR="00743EC3" w:rsidRDefault="00743EC3" w:rsidP="001172B5">
            <w:pPr>
              <w:spacing w:after="0"/>
            </w:pPr>
            <w:r>
              <w:t xml:space="preserve">Thermal </w:t>
            </w:r>
            <w:r w:rsidR="00DE2932">
              <w:t>n</w:t>
            </w:r>
            <w:r>
              <w:t>oise</w:t>
            </w:r>
          </w:p>
        </w:tc>
        <w:tc>
          <w:tcPr>
            <w:tcW w:w="2352" w:type="dxa"/>
          </w:tcPr>
          <w:p w14:paraId="181AA2DF" w14:textId="77777777" w:rsidR="00743EC3" w:rsidRDefault="00743EC3" w:rsidP="001172B5">
            <w:pPr>
              <w:spacing w:after="0"/>
            </w:pPr>
            <w:r>
              <w:t>-114 dBm/MHz</w:t>
            </w:r>
          </w:p>
        </w:tc>
        <w:tc>
          <w:tcPr>
            <w:tcW w:w="3828" w:type="dxa"/>
          </w:tcPr>
          <w:p w14:paraId="50E70513" w14:textId="77777777" w:rsidR="00743EC3" w:rsidRDefault="00743EC3" w:rsidP="001172B5">
            <w:pPr>
              <w:spacing w:after="0"/>
            </w:pPr>
            <w:r>
              <w:t xml:space="preserve">= </w:t>
            </w:r>
            <w:proofErr w:type="spellStart"/>
            <w:r>
              <w:t>kTB</w:t>
            </w:r>
            <w:proofErr w:type="spellEnd"/>
            <w:r>
              <w:t>, assuming T = 293 K</w:t>
            </w:r>
          </w:p>
        </w:tc>
      </w:tr>
      <w:tr w:rsidR="00743EC3" w14:paraId="36D5F68D" w14:textId="77777777" w:rsidTr="00096E81">
        <w:tc>
          <w:tcPr>
            <w:tcW w:w="846" w:type="dxa"/>
            <w:shd w:val="clear" w:color="auto" w:fill="F2F2F2" w:themeFill="background1" w:themeFillShade="F2"/>
          </w:tcPr>
          <w:p w14:paraId="151A6DA7" w14:textId="77777777" w:rsidR="00743EC3" w:rsidRPr="00506474" w:rsidRDefault="00743EC3" w:rsidP="001172B5">
            <w:pPr>
              <w:spacing w:after="0"/>
              <w:jc w:val="center"/>
              <w:rPr>
                <w:b/>
                <w:bCs/>
              </w:rPr>
            </w:pPr>
            <w:r w:rsidRPr="00506474">
              <w:rPr>
                <w:b/>
                <w:bCs/>
              </w:rPr>
              <w:t>F</w:t>
            </w:r>
          </w:p>
        </w:tc>
        <w:tc>
          <w:tcPr>
            <w:tcW w:w="2472" w:type="dxa"/>
          </w:tcPr>
          <w:p w14:paraId="31ED601C" w14:textId="77777777" w:rsidR="00743EC3" w:rsidRDefault="00743EC3" w:rsidP="001172B5">
            <w:pPr>
              <w:spacing w:after="0"/>
            </w:pPr>
            <w:r>
              <w:t>I/N</w:t>
            </w:r>
          </w:p>
        </w:tc>
        <w:tc>
          <w:tcPr>
            <w:tcW w:w="2352" w:type="dxa"/>
          </w:tcPr>
          <w:p w14:paraId="7A8CCDBD" w14:textId="77777777" w:rsidR="00743EC3" w:rsidRDefault="00743EC3" w:rsidP="001172B5">
            <w:pPr>
              <w:spacing w:after="0"/>
            </w:pPr>
            <w:r>
              <w:t>0 dB</w:t>
            </w:r>
          </w:p>
        </w:tc>
        <w:tc>
          <w:tcPr>
            <w:tcW w:w="3828" w:type="dxa"/>
          </w:tcPr>
          <w:p w14:paraId="06BDB503" w14:textId="77777777" w:rsidR="00743EC3" w:rsidRDefault="00743EC3" w:rsidP="001172B5">
            <w:pPr>
              <w:spacing w:after="0"/>
            </w:pPr>
            <w:r>
              <w:t>Actual level seen would be lower further away from boundary</w:t>
            </w:r>
          </w:p>
        </w:tc>
      </w:tr>
      <w:tr w:rsidR="00743EC3" w14:paraId="7CE41787" w14:textId="77777777" w:rsidTr="00096E81">
        <w:tc>
          <w:tcPr>
            <w:tcW w:w="846" w:type="dxa"/>
            <w:shd w:val="clear" w:color="auto" w:fill="F2F2F2" w:themeFill="background1" w:themeFillShade="F2"/>
          </w:tcPr>
          <w:p w14:paraId="49605D7B" w14:textId="77777777" w:rsidR="00743EC3" w:rsidRPr="00506474" w:rsidRDefault="00743EC3" w:rsidP="001172B5">
            <w:pPr>
              <w:spacing w:after="0"/>
              <w:jc w:val="center"/>
              <w:rPr>
                <w:b/>
                <w:bCs/>
              </w:rPr>
            </w:pPr>
            <w:r w:rsidRPr="00506474">
              <w:rPr>
                <w:b/>
                <w:bCs/>
              </w:rPr>
              <w:t>G</w:t>
            </w:r>
          </w:p>
        </w:tc>
        <w:tc>
          <w:tcPr>
            <w:tcW w:w="2472" w:type="dxa"/>
          </w:tcPr>
          <w:p w14:paraId="10EF24DB" w14:textId="4D23BF65" w:rsidR="00743EC3" w:rsidRDefault="00743EC3" w:rsidP="001172B5">
            <w:pPr>
              <w:spacing w:after="0"/>
            </w:pPr>
            <w:r>
              <w:t xml:space="preserve">Max. </w:t>
            </w:r>
            <w:r w:rsidR="00DE2932">
              <w:t>i</w:t>
            </w:r>
            <w:r>
              <w:t xml:space="preserve">nterference </w:t>
            </w:r>
          </w:p>
        </w:tc>
        <w:tc>
          <w:tcPr>
            <w:tcW w:w="2352" w:type="dxa"/>
          </w:tcPr>
          <w:p w14:paraId="4165B1FC" w14:textId="77777777" w:rsidR="00743EC3" w:rsidRDefault="00743EC3" w:rsidP="001172B5">
            <w:pPr>
              <w:spacing w:after="0"/>
            </w:pPr>
            <w:r>
              <w:t>-101 dBm/MHz</w:t>
            </w:r>
          </w:p>
        </w:tc>
        <w:tc>
          <w:tcPr>
            <w:tcW w:w="3828" w:type="dxa"/>
          </w:tcPr>
          <w:p w14:paraId="7569F4DF" w14:textId="77777777" w:rsidR="00743EC3" w:rsidRDefault="00743EC3" w:rsidP="001172B5">
            <w:pPr>
              <w:spacing w:after="0"/>
            </w:pPr>
            <w:r>
              <w:t>=C+D+E+F</w:t>
            </w:r>
          </w:p>
        </w:tc>
      </w:tr>
      <w:tr w:rsidR="00743EC3" w14:paraId="3AF1877B" w14:textId="77777777" w:rsidTr="00096E81">
        <w:tc>
          <w:tcPr>
            <w:tcW w:w="846" w:type="dxa"/>
            <w:shd w:val="clear" w:color="auto" w:fill="F2F2F2" w:themeFill="background1" w:themeFillShade="F2"/>
          </w:tcPr>
          <w:p w14:paraId="55679472" w14:textId="77777777" w:rsidR="00743EC3" w:rsidRPr="00506474" w:rsidRDefault="00743EC3" w:rsidP="001172B5">
            <w:pPr>
              <w:spacing w:after="0"/>
              <w:jc w:val="center"/>
              <w:rPr>
                <w:b/>
                <w:bCs/>
              </w:rPr>
            </w:pPr>
            <w:r>
              <w:rPr>
                <w:b/>
                <w:bCs/>
              </w:rPr>
              <w:t>H</w:t>
            </w:r>
          </w:p>
        </w:tc>
        <w:tc>
          <w:tcPr>
            <w:tcW w:w="2472" w:type="dxa"/>
          </w:tcPr>
          <w:p w14:paraId="01B6C3BE" w14:textId="77777777" w:rsidR="00743EC3" w:rsidRDefault="00743EC3" w:rsidP="001172B5">
            <w:pPr>
              <w:spacing w:after="0"/>
            </w:pPr>
            <w:r>
              <w:t>PFD limit</w:t>
            </w:r>
          </w:p>
        </w:tc>
        <w:tc>
          <w:tcPr>
            <w:tcW w:w="2352" w:type="dxa"/>
          </w:tcPr>
          <w:p w14:paraId="5B7FF9D5" w14:textId="77777777" w:rsidR="00743EC3" w:rsidRPr="00340F7D" w:rsidRDefault="00743EC3" w:rsidP="001172B5">
            <w:pPr>
              <w:spacing w:after="0"/>
            </w:pPr>
            <w:r>
              <w:t>-64.9 dBm/(m</w:t>
            </w:r>
            <w:proofErr w:type="gramStart"/>
            <w:r>
              <w:rPr>
                <w:vertAlign w:val="superscript"/>
              </w:rPr>
              <w:t>2</w:t>
            </w:r>
            <w:r>
              <w:t>.MHz</w:t>
            </w:r>
            <w:proofErr w:type="gramEnd"/>
            <w:r>
              <w:t>)</w:t>
            </w:r>
          </w:p>
        </w:tc>
        <w:tc>
          <w:tcPr>
            <w:tcW w:w="3828" w:type="dxa"/>
          </w:tcPr>
          <w:p w14:paraId="57A047DB" w14:textId="77777777" w:rsidR="00743EC3" w:rsidRDefault="00743EC3" w:rsidP="001172B5">
            <w:pPr>
              <w:spacing w:after="0"/>
            </w:pPr>
            <w:r>
              <w:t>Equation 1, assumes non-AAS</w:t>
            </w:r>
          </w:p>
        </w:tc>
      </w:tr>
    </w:tbl>
    <w:p w14:paraId="5EE75B3D" w14:textId="77777777" w:rsidR="00743EC3" w:rsidRDefault="00743EC3" w:rsidP="00743EC3"/>
    <w:p w14:paraId="6F6DA9D2" w14:textId="77777777" w:rsidR="00743EC3" w:rsidRDefault="00743EC3" w:rsidP="00743EC3">
      <w:pPr>
        <w:spacing w:after="0" w:line="240" w:lineRule="auto"/>
        <w:rPr>
          <w:rFonts w:cs="Arial"/>
          <w:highlight w:val="yellow"/>
        </w:rPr>
      </w:pPr>
    </w:p>
    <w:p w14:paraId="5D18D21A" w14:textId="77777777" w:rsidR="00743EC3" w:rsidRDefault="00743EC3" w:rsidP="00096E81">
      <w:pPr>
        <w:keepNext/>
        <w:keepLines/>
      </w:pPr>
      <w:r>
        <w:lastRenderedPageBreak/>
        <w:t>The equation for power flux density is:</w:t>
      </w:r>
    </w:p>
    <w:p w14:paraId="1C41102E" w14:textId="77777777" w:rsidR="00743EC3" w:rsidRDefault="00743EC3" w:rsidP="00096E81">
      <w:pPr>
        <w:keepNext/>
        <w:keepLines/>
      </w:pPr>
    </w:p>
    <w:p w14:paraId="07167B4C" w14:textId="77777777" w:rsidR="00743EC3" w:rsidRDefault="00743EC3" w:rsidP="00096E81">
      <w:pPr>
        <w:keepNext/>
        <w:keepLines/>
        <w:jc w:val="center"/>
        <w:rPr>
          <w:rFonts w:eastAsiaTheme="minorEastAsia"/>
        </w:rPr>
      </w:pPr>
      <m:oMath>
        <m:r>
          <m:rPr>
            <m:sty m:val="p"/>
          </m:rPr>
          <w:rPr>
            <w:rFonts w:ascii="Cambria Math" w:hAnsi="Cambria Math"/>
          </w:rPr>
          <m:t>Φ</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r</m:t>
                </m:r>
              </m:sub>
            </m:sSub>
          </m:num>
          <m:den>
            <m:sSub>
              <m:sSubPr>
                <m:ctrlPr>
                  <w:rPr>
                    <w:rFonts w:ascii="Cambria Math" w:hAnsi="Cambria Math"/>
                    <w:i/>
                  </w:rPr>
                </m:ctrlPr>
              </m:sSubPr>
              <m:e>
                <m:r>
                  <w:rPr>
                    <w:rFonts w:ascii="Cambria Math" w:hAnsi="Cambria Math"/>
                  </w:rPr>
                  <m:t>A</m:t>
                </m:r>
              </m:e>
              <m:sub>
                <m:r>
                  <w:rPr>
                    <w:rFonts w:ascii="Cambria Math" w:hAnsi="Cambria Math"/>
                  </w:rPr>
                  <m:t>eff</m:t>
                </m:r>
              </m:sub>
            </m:sSub>
          </m:den>
        </m:f>
      </m:oMath>
      <w:r>
        <w:rPr>
          <w:rFonts w:eastAsiaTheme="minorEastAsia"/>
        </w:rPr>
        <w:t xml:space="preserve">          </w:t>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b/>
          <w:bCs/>
        </w:rPr>
        <w:t>equation 1</w:t>
      </w:r>
    </w:p>
    <w:p w14:paraId="0484CA23" w14:textId="77777777" w:rsidR="00743EC3" w:rsidRDefault="00743EC3" w:rsidP="00096E81">
      <w:pPr>
        <w:keepNext/>
        <w:keepLines/>
        <w:ind w:firstLine="720"/>
        <w:rPr>
          <w:rFonts w:eastAsiaTheme="minorEastAsia"/>
        </w:rPr>
      </w:pPr>
      <w:r>
        <w:rPr>
          <w:rFonts w:eastAsiaTheme="minorEastAsia"/>
        </w:rPr>
        <w:t>Where:</w:t>
      </w:r>
    </w:p>
    <w:p w14:paraId="754B44AD" w14:textId="77777777" w:rsidR="00743EC3" w:rsidRDefault="00743EC3" w:rsidP="00096E81">
      <w:pPr>
        <w:keepNext/>
        <w:keepLines/>
        <w:rPr>
          <w:rFonts w:eastAsiaTheme="minorEastAsia"/>
        </w:rPr>
      </w:pPr>
      <w:r>
        <w:rPr>
          <w:rFonts w:eastAsiaTheme="minorEastAsia"/>
        </w:rPr>
        <w:tab/>
      </w:r>
      <w:r>
        <w:rPr>
          <w:rFonts w:eastAsiaTheme="minorEastAsia"/>
        </w:rPr>
        <w:tab/>
      </w:r>
      <w:r>
        <w:rPr>
          <w:rFonts w:eastAsiaTheme="minorEastAsia"/>
        </w:rPr>
        <w:tab/>
      </w:r>
      <m:oMath>
        <m:r>
          <m:rPr>
            <m:sty m:val="p"/>
          </m:rPr>
          <w:rPr>
            <w:rFonts w:ascii="Cambria Math" w:eastAsiaTheme="minorEastAsia" w:hAnsi="Cambria Math"/>
          </w:rPr>
          <m:t>Φ</m:t>
        </m:r>
      </m:oMath>
      <w:r>
        <w:rPr>
          <w:rFonts w:eastAsiaTheme="minorEastAsia"/>
        </w:rPr>
        <w:t>: Power flux density (W/m</w:t>
      </w:r>
      <w:r>
        <w:rPr>
          <w:rFonts w:eastAsiaTheme="minorEastAsia"/>
          <w:vertAlign w:val="superscript"/>
        </w:rPr>
        <w:t>2</w:t>
      </w:r>
      <w:r>
        <w:rPr>
          <w:rFonts w:eastAsiaTheme="minorEastAsia"/>
        </w:rPr>
        <w:t>)</w:t>
      </w:r>
    </w:p>
    <w:p w14:paraId="6396A83E" w14:textId="77777777" w:rsidR="00743EC3" w:rsidRDefault="00743EC3" w:rsidP="00096E81">
      <w:pPr>
        <w:keepNext/>
        <w:keepLines/>
        <w:rPr>
          <w:rFonts w:eastAsiaTheme="minorEastAsia"/>
        </w:rPr>
      </w:pPr>
      <w:r>
        <w:rPr>
          <w:rFonts w:eastAsiaTheme="minorEastAsia"/>
        </w:rPr>
        <w:tab/>
      </w:r>
      <w:r>
        <w:rPr>
          <w:rFonts w:eastAsiaTheme="minorEastAsia"/>
        </w:rPr>
        <w:tab/>
      </w: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r</m:t>
            </m:r>
          </m:sub>
        </m:sSub>
      </m:oMath>
      <w:r>
        <w:rPr>
          <w:rFonts w:eastAsiaTheme="minorEastAsia"/>
        </w:rPr>
        <w:t>: Received power (W)</w:t>
      </w:r>
    </w:p>
    <w:p w14:paraId="25C1350E" w14:textId="77777777" w:rsidR="00743EC3" w:rsidRPr="00EC78A7" w:rsidRDefault="00743EC3" w:rsidP="00096E81">
      <w:pPr>
        <w:keepNext/>
        <w:keepLines/>
        <w:rPr>
          <w:rFonts w:eastAsiaTheme="minorEastAsia"/>
        </w:rPr>
      </w:pPr>
      <w:r>
        <w:rPr>
          <w:rFonts w:eastAsiaTheme="minorEastAsia"/>
        </w:rPr>
        <w:tab/>
      </w:r>
      <w:r>
        <w:rPr>
          <w:rFonts w:eastAsiaTheme="minorEastAsia"/>
        </w:rPr>
        <w:tab/>
      </w: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eff</m:t>
            </m:r>
          </m:sub>
        </m:sSub>
      </m:oMath>
      <w:r>
        <w:rPr>
          <w:rFonts w:eastAsiaTheme="minorEastAsia"/>
        </w:rPr>
        <w:t>: Effective antenna aperture (m</w:t>
      </w:r>
      <w:r>
        <w:rPr>
          <w:rFonts w:eastAsiaTheme="minorEastAsia"/>
          <w:vertAlign w:val="superscript"/>
        </w:rPr>
        <w:t>2</w:t>
      </w:r>
      <w:r>
        <w:rPr>
          <w:rFonts w:eastAsiaTheme="minorEastAsia"/>
        </w:rPr>
        <w:t>)</w:t>
      </w:r>
    </w:p>
    <w:p w14:paraId="3BAB87AF" w14:textId="77777777" w:rsidR="00FD3BEB" w:rsidRDefault="00FD3BEB" w:rsidP="00096E81">
      <w:pPr>
        <w:keepNext/>
        <w:keepLines/>
        <w:rPr>
          <w:rFonts w:eastAsiaTheme="minorEastAsia"/>
          <w:i/>
        </w:rPr>
      </w:pPr>
    </w:p>
    <w:p w14:paraId="7A8C0635" w14:textId="49F3E596" w:rsidR="00743EC3" w:rsidRDefault="00743EC3" w:rsidP="00743EC3">
      <w:pPr>
        <w:spacing w:after="0" w:line="240" w:lineRule="auto"/>
        <w:rPr>
          <w:rFonts w:eastAsiaTheme="minorEastAsia"/>
        </w:rPr>
      </w:pPr>
    </w:p>
    <w:p w14:paraId="68D718F0" w14:textId="77777777" w:rsidR="00743EC3" w:rsidRPr="00CA55DF" w:rsidRDefault="00743EC3" w:rsidP="00743EC3">
      <w:pPr>
        <w:rPr>
          <w:rFonts w:eastAsiaTheme="minorEastAsia"/>
        </w:rPr>
      </w:pPr>
      <w:r w:rsidRPr="00CA55DF">
        <w:rPr>
          <w:rFonts w:eastAsiaTheme="minorEastAsia"/>
        </w:rPr>
        <w:t xml:space="preserve">The equation for </w:t>
      </w:r>
      <w:r>
        <w:rPr>
          <w:rFonts w:eastAsiaTheme="minorEastAsia"/>
        </w:rPr>
        <w:t>effective antenna aperture is:</w:t>
      </w:r>
    </w:p>
    <w:p w14:paraId="1EE496D1" w14:textId="77777777" w:rsidR="00743EC3" w:rsidRPr="0084680B" w:rsidRDefault="00810F4E" w:rsidP="00743EC3">
      <w:pPr>
        <w:jc w:val="center"/>
        <w:rPr>
          <w:rFonts w:eastAsiaTheme="minorEastAsia"/>
          <w:i/>
        </w:rPr>
      </w:pP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eff</m:t>
            </m:r>
          </m:sub>
        </m:sSub>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G</m:t>
            </m:r>
            <m:sSup>
              <m:sSupPr>
                <m:ctrlPr>
                  <w:rPr>
                    <w:rFonts w:ascii="Cambria Math" w:eastAsiaTheme="minorEastAsia" w:hAnsi="Cambria Math"/>
                    <w:i/>
                  </w:rPr>
                </m:ctrlPr>
              </m:sSupPr>
              <m:e>
                <m:r>
                  <w:rPr>
                    <w:rFonts w:ascii="Cambria Math" w:eastAsiaTheme="minorEastAsia" w:hAnsi="Cambria Math"/>
                  </w:rPr>
                  <m:t>λ</m:t>
                </m:r>
              </m:e>
              <m:sup>
                <m:r>
                  <w:rPr>
                    <w:rFonts w:ascii="Cambria Math" w:eastAsiaTheme="minorEastAsia" w:hAnsi="Cambria Math"/>
                  </w:rPr>
                  <m:t>2</m:t>
                </m:r>
              </m:sup>
            </m:sSup>
          </m:num>
          <m:den>
            <m:r>
              <w:rPr>
                <w:rFonts w:ascii="Cambria Math" w:eastAsiaTheme="minorEastAsia" w:hAnsi="Cambria Math"/>
              </w:rPr>
              <m:t>4π</m:t>
            </m:r>
          </m:den>
        </m:f>
      </m:oMath>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i/>
        </w:rPr>
        <w:tab/>
      </w:r>
      <w:r w:rsidR="00743EC3">
        <w:rPr>
          <w:rFonts w:eastAsiaTheme="minorEastAsia"/>
          <w:b/>
          <w:bCs/>
        </w:rPr>
        <w:t>equation 2</w:t>
      </w:r>
    </w:p>
    <w:p w14:paraId="427A8B6B" w14:textId="77777777" w:rsidR="00743EC3" w:rsidRDefault="00743EC3" w:rsidP="00743EC3">
      <w:pPr>
        <w:rPr>
          <w:rFonts w:eastAsiaTheme="minorEastAsia"/>
        </w:rPr>
      </w:pPr>
      <w:r>
        <w:rPr>
          <w:rFonts w:eastAsiaTheme="minorEastAsia"/>
        </w:rPr>
        <w:tab/>
        <w:t>Where:</w:t>
      </w:r>
    </w:p>
    <w:p w14:paraId="72436A40" w14:textId="77777777" w:rsidR="00743EC3" w:rsidRDefault="00743EC3" w:rsidP="00743EC3">
      <w:pPr>
        <w:rPr>
          <w:rFonts w:eastAsiaTheme="minorEastAsia"/>
        </w:rPr>
      </w:pPr>
      <w:r>
        <w:rPr>
          <w:rFonts w:eastAsiaTheme="minorEastAsia"/>
        </w:rPr>
        <w:tab/>
      </w:r>
      <w:r>
        <w:rPr>
          <w:rFonts w:eastAsiaTheme="minorEastAsia"/>
        </w:rPr>
        <w:tab/>
      </w:r>
      <w:r>
        <w:rPr>
          <w:rFonts w:eastAsiaTheme="minorEastAsia"/>
        </w:rPr>
        <w:tab/>
      </w:r>
      <m:oMath>
        <m:r>
          <w:rPr>
            <w:rFonts w:ascii="Cambria Math" w:eastAsiaTheme="minorEastAsia" w:hAnsi="Cambria Math"/>
          </w:rPr>
          <m:t>G</m:t>
        </m:r>
      </m:oMath>
      <w:r>
        <w:rPr>
          <w:rFonts w:eastAsiaTheme="minorEastAsia"/>
        </w:rPr>
        <w:t xml:space="preserve">: Gain of the receiving antenna </w:t>
      </w:r>
    </w:p>
    <w:p w14:paraId="1F50060C" w14:textId="77777777" w:rsidR="00743EC3" w:rsidRDefault="00743EC3" w:rsidP="00743EC3">
      <w:pPr>
        <w:rPr>
          <w:rFonts w:eastAsiaTheme="minorEastAsia"/>
        </w:rPr>
      </w:pPr>
      <w:r>
        <w:rPr>
          <w:rFonts w:eastAsiaTheme="minorEastAsia"/>
        </w:rPr>
        <w:tab/>
      </w:r>
      <w:r>
        <w:rPr>
          <w:rFonts w:eastAsiaTheme="minorEastAsia"/>
        </w:rPr>
        <w:tab/>
      </w:r>
      <w:r>
        <w:rPr>
          <w:rFonts w:eastAsiaTheme="minorEastAsia"/>
        </w:rPr>
        <w:tab/>
      </w:r>
      <m:oMath>
        <m:r>
          <w:rPr>
            <w:rFonts w:ascii="Cambria Math" w:eastAsiaTheme="minorEastAsia" w:hAnsi="Cambria Math"/>
          </w:rPr>
          <m:t>λ</m:t>
        </m:r>
      </m:oMath>
      <w:r>
        <w:rPr>
          <w:rFonts w:eastAsiaTheme="minorEastAsia"/>
        </w:rPr>
        <w:t>: wavelength (m)</w:t>
      </w:r>
    </w:p>
    <w:p w14:paraId="15B62078" w14:textId="6F3499A7" w:rsidR="000C3FD9" w:rsidRDefault="000C3FD9" w:rsidP="00CF45B7">
      <w:pPr>
        <w:spacing w:before="360" w:after="0" w:line="240" w:lineRule="auto"/>
        <w:rPr>
          <w:rFonts w:cs="Arial"/>
          <w:b/>
          <w:bCs/>
          <w:szCs w:val="26"/>
        </w:rPr>
      </w:pPr>
    </w:p>
    <w:p w14:paraId="73F9E7E2" w14:textId="4FF7961A" w:rsidR="0005364C" w:rsidRPr="00C35CCE" w:rsidRDefault="00FD3BEB" w:rsidP="000C3FD9">
      <w:pPr>
        <w:pStyle w:val="Heading3"/>
      </w:pPr>
      <w:bookmarkStart w:id="143" w:name="_Toc76376871"/>
      <w:bookmarkStart w:id="144" w:name="_Toc80877093"/>
      <w:r>
        <w:t>Guard band development</w:t>
      </w:r>
      <w:bookmarkEnd w:id="143"/>
      <w:bookmarkEnd w:id="144"/>
    </w:p>
    <w:p w14:paraId="5541BD8A" w14:textId="53ACC858" w:rsidR="0005364C" w:rsidRDefault="0005364C" w:rsidP="0005364C">
      <w:pPr>
        <w:pStyle w:val="Paragraph"/>
      </w:pPr>
      <w:r>
        <w:t xml:space="preserve">This </w:t>
      </w:r>
      <w:r w:rsidR="00FD3BEB">
        <w:t>section</w:t>
      </w:r>
      <w:r>
        <w:t xml:space="preserve"> provides </w:t>
      </w:r>
      <w:r w:rsidR="00FD3BEB">
        <w:t>ACMA staffs</w:t>
      </w:r>
      <w:r>
        <w:t xml:space="preserve"> initial high-level thinking on a possible guard band between restricted cell use of urban excise areas and services deployed under adjacent band spectrum licences. </w:t>
      </w:r>
    </w:p>
    <w:p w14:paraId="56113B76" w14:textId="1390C185" w:rsidR="0005364C" w:rsidRDefault="0005364C" w:rsidP="0005364C">
      <w:pPr>
        <w:pStyle w:val="Paragraph"/>
      </w:pPr>
      <w:r>
        <w:t>A guard band below the 3475 MHz frequency boundary would assist in minimising interference from uncoordinated restricted cell deployments in the 3400</w:t>
      </w:r>
      <w:r w:rsidR="00CD69E1">
        <w:t>–</w:t>
      </w:r>
      <w:r>
        <w:t>3475 MHz band into adjacent band 5G services operating under 3.4 GHz spectrum licences. Advice from some TLG members is that a guard band of 15 MHz is sufficient to manage interference between unsynchronised 4G and 5G adjacent band wide area (Tx power &gt; 38 dBm) BSs. A smaller guard band may be possible in the case of lower</w:t>
      </w:r>
      <w:r w:rsidR="00CD69E1">
        <w:t> </w:t>
      </w:r>
      <w:r>
        <w:t xml:space="preserve">powered local area (Tx power ≤ 24 dBm) and medium range </w:t>
      </w:r>
      <w:r w:rsidR="00CD69E1">
        <w:br/>
      </w:r>
      <w:r>
        <w:t xml:space="preserve">(Tx power ≤ 31 dBm) BSs. </w:t>
      </w:r>
    </w:p>
    <w:p w14:paraId="6E230005" w14:textId="078C095F" w:rsidR="0005364C" w:rsidRDefault="00000963" w:rsidP="0005364C">
      <w:pPr>
        <w:pStyle w:val="Paragraph"/>
      </w:pPr>
      <w:r>
        <w:t xml:space="preserve">Figure </w:t>
      </w:r>
      <w:r w:rsidR="00E26D96">
        <w:t>2</w:t>
      </w:r>
      <w:r w:rsidR="0005364C">
        <w:t xml:space="preserve"> compares the unwanted emission limits for the different classes of BS as well as an MS. Local area and medium range BS have lower emissions than wide area BS at less than a few MHz from their operating channel edge. Given 4G and 5G operation is most efficient in BWs that are an integer multiple of 5 MHz, a 5 MHz guard band (along with EIRP restrictions) may be sufficient to manage interference in this case. </w:t>
      </w:r>
    </w:p>
    <w:p w14:paraId="4FC4BE12" w14:textId="18D824B0" w:rsidR="0005364C" w:rsidRDefault="0005364C" w:rsidP="0005364C">
      <w:pPr>
        <w:pStyle w:val="Paragraph"/>
      </w:pPr>
      <w:r>
        <w:t xml:space="preserve">This </w:t>
      </w:r>
      <w:r w:rsidR="00E45303">
        <w:t xml:space="preserve">approach </w:t>
      </w:r>
      <w:r>
        <w:t xml:space="preserve">has not yet considered ACS performance of adjacent band services. </w:t>
      </w:r>
    </w:p>
    <w:p w14:paraId="7A39F40A" w14:textId="230CAD93" w:rsidR="00E26D96" w:rsidRDefault="00E26D96" w:rsidP="00E26D96">
      <w:pPr>
        <w:pStyle w:val="Tableheading"/>
        <w:keepLines/>
        <w:numPr>
          <w:ilvl w:val="0"/>
          <w:numId w:val="0"/>
        </w:numPr>
        <w:ind w:left="964" w:hanging="964"/>
      </w:pPr>
    </w:p>
    <w:p w14:paraId="386B9753" w14:textId="77777777" w:rsidR="00E26D96" w:rsidRDefault="00E26D96" w:rsidP="00E26D96">
      <w:pPr>
        <w:pStyle w:val="Tableheading"/>
        <w:keepLines/>
        <w:numPr>
          <w:ilvl w:val="0"/>
          <w:numId w:val="0"/>
        </w:numPr>
        <w:ind w:left="964" w:hanging="964"/>
      </w:pPr>
    </w:p>
    <w:p w14:paraId="7603D3A2" w14:textId="2E1D5B73" w:rsidR="00E26D96" w:rsidRDefault="00E26D96" w:rsidP="00096E81">
      <w:pPr>
        <w:pStyle w:val="ACMAFigureHeader"/>
        <w:keepNext/>
        <w:keepLines/>
        <w:numPr>
          <w:ilvl w:val="0"/>
          <w:numId w:val="15"/>
        </w:numPr>
      </w:pPr>
      <w:r>
        <w:t>3GPP OOBE limits</w:t>
      </w:r>
    </w:p>
    <w:p w14:paraId="62AA2083" w14:textId="4EF3741B" w:rsidR="0005364C" w:rsidRDefault="00845A31" w:rsidP="00096E81">
      <w:pPr>
        <w:pStyle w:val="Paragraph"/>
        <w:keepNext/>
        <w:keepLines/>
      </w:pPr>
      <w:r>
        <w:rPr>
          <w:noProof/>
        </w:rPr>
        <w:drawing>
          <wp:inline distT="0" distB="0" distL="0" distR="0" wp14:anchorId="6CB9FC28" wp14:editId="29D42645">
            <wp:extent cx="4871085" cy="3063875"/>
            <wp:effectExtent l="0" t="0" r="5715" b="3175"/>
            <wp:docPr id="10" name="Picture 10" descr="Figure 2: 3GPP OOBE lim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Figure 2: 3GPP OOBE limits"/>
                    <pic:cNvPicPr/>
                  </pic:nvPicPr>
                  <pic:blipFill rotWithShape="1">
                    <a:blip r:embed="rId61" cstate="print">
                      <a:extLst>
                        <a:ext uri="{28A0092B-C50C-407E-A947-70E740481C1C}">
                          <a14:useLocalDpi xmlns:a14="http://schemas.microsoft.com/office/drawing/2010/main"/>
                        </a:ext>
                      </a:extLst>
                    </a:blip>
                    <a:srcRect/>
                    <a:stretch/>
                  </pic:blipFill>
                  <pic:spPr bwMode="auto">
                    <a:xfrm>
                      <a:off x="0" y="0"/>
                      <a:ext cx="4871085" cy="3063875"/>
                    </a:xfrm>
                    <a:prstGeom prst="rect">
                      <a:avLst/>
                    </a:prstGeom>
                    <a:ln>
                      <a:noFill/>
                    </a:ln>
                    <a:extLst>
                      <a:ext uri="{53640926-AAD7-44D8-BBD7-CCE9431645EC}">
                        <a14:shadowObscured xmlns:a14="http://schemas.microsoft.com/office/drawing/2010/main"/>
                      </a:ext>
                    </a:extLst>
                  </pic:spPr>
                </pic:pic>
              </a:graphicData>
            </a:graphic>
          </wp:inline>
        </w:drawing>
      </w:r>
    </w:p>
    <w:sectPr w:rsidR="0005364C" w:rsidSect="004E3262">
      <w:headerReference w:type="even" r:id="rId62"/>
      <w:headerReference w:type="default" r:id="rId63"/>
      <w:footerReference w:type="even" r:id="rId64"/>
      <w:footerReference w:type="default" r:id="rId65"/>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BD1058" w14:textId="77777777" w:rsidR="00B53EE3" w:rsidRDefault="00B53EE3">
      <w:r>
        <w:separator/>
      </w:r>
    </w:p>
  </w:endnote>
  <w:endnote w:type="continuationSeparator" w:id="0">
    <w:p w14:paraId="2A83BF88" w14:textId="77777777" w:rsidR="00B53EE3" w:rsidRDefault="00B53EE3">
      <w:r>
        <w:continuationSeparator/>
      </w:r>
    </w:p>
  </w:endnote>
  <w:endnote w:type="continuationNotice" w:id="1">
    <w:p w14:paraId="077095D4" w14:textId="77777777" w:rsidR="009B53FB" w:rsidRDefault="009B53F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Arial"/>
    <w:panose1 w:val="020B0403020202020204"/>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altName w:val="Arial"/>
    <w:panose1 w:val="020B0604020202020204"/>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34D51" w14:textId="77777777" w:rsidR="00B53EE3" w:rsidRDefault="00B53EE3" w:rsidP="005E250B">
    <w:pPr>
      <w:pStyle w:val="Footer"/>
      <w:jc w:val="right"/>
    </w:pPr>
    <w:r w:rsidRPr="005E250B">
      <w:rPr>
        <w:noProof/>
        <w:vertAlign w:val="subscript"/>
      </w:rPr>
      <w:drawing>
        <wp:inline distT="0" distB="0" distL="0" distR="0" wp14:anchorId="166BD80B" wp14:editId="424BDBBD">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8D45D" w14:textId="77777777" w:rsidR="00B53EE3" w:rsidRDefault="00B53EE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AF928" w14:textId="77777777" w:rsidR="00B53EE3" w:rsidRDefault="00B53EE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8A45D" w14:textId="77777777" w:rsidR="00B53EE3" w:rsidRPr="00622A3B" w:rsidRDefault="00B53EE3"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iv</w:t>
    </w:r>
    <w:r w:rsidRPr="002E4DDC">
      <w:rPr>
        <w:color w:val="505050"/>
      </w:rPr>
      <w:fldChar w:fldCharType="end"/>
    </w:r>
  </w:p>
  <w:p w14:paraId="043686B0" w14:textId="77777777" w:rsidR="00B53EE3" w:rsidRPr="00A5474E" w:rsidRDefault="00B53EE3"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0BB74" w14:textId="77777777" w:rsidR="00B53EE3" w:rsidRPr="00622A3B" w:rsidRDefault="00B53EE3"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v</w:t>
    </w:r>
    <w:r w:rsidRPr="002E4DDC">
      <w:rPr>
        <w:color w:val="505050"/>
      </w:rPr>
      <w:fldChar w:fldCharType="end"/>
    </w:r>
  </w:p>
  <w:p w14:paraId="0CE428BC" w14:textId="77777777" w:rsidR="00B53EE3" w:rsidRPr="00A5474E" w:rsidRDefault="00B53EE3"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A323A" w14:textId="77777777" w:rsidR="00B53EE3" w:rsidRPr="00622A3B" w:rsidRDefault="00B53EE3"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iii</w:t>
    </w:r>
    <w:r w:rsidRPr="002E4DDC">
      <w:rPr>
        <w:color w:val="505050"/>
      </w:rPr>
      <w:fldChar w:fldCharType="end"/>
    </w:r>
  </w:p>
  <w:p w14:paraId="2625C46C" w14:textId="77777777" w:rsidR="00B53EE3" w:rsidRPr="00A5474E" w:rsidRDefault="00B53EE3"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ED05D" w14:textId="77777777" w:rsidR="00B53EE3" w:rsidRPr="00473557" w:rsidRDefault="00B53EE3" w:rsidP="00B53EE3">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D5CEA" w14:textId="77777777" w:rsidR="00B53EE3" w:rsidRPr="00622A3B" w:rsidRDefault="00B53EE3" w:rsidP="00B53EE3">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color w:val="505050"/>
      </w:rPr>
      <w:t>1</w:t>
    </w:r>
    <w:r w:rsidRPr="00575AC5">
      <w:rPr>
        <w:color w:val="505050"/>
      </w:rPr>
      <w:fldChar w:fldCharType="end"/>
    </w:r>
  </w:p>
  <w:p w14:paraId="44627438" w14:textId="77777777" w:rsidR="00B53EE3" w:rsidRPr="00A5474E" w:rsidRDefault="00B53EE3" w:rsidP="00B53EE3">
    <w:pPr>
      <w:pStyle w:val="Footer"/>
      <w:jc w:val="right"/>
    </w:pPr>
  </w:p>
  <w:p w14:paraId="101161D0" w14:textId="77777777" w:rsidR="00B53EE3" w:rsidRPr="00473557" w:rsidRDefault="00B53EE3" w:rsidP="00B53EE3">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FE8C9" w14:textId="77777777" w:rsidR="00B53EE3" w:rsidRPr="00622A3B" w:rsidRDefault="00B53EE3"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0B323EEA" w14:textId="77777777" w:rsidR="00B53EE3" w:rsidRPr="00A5474E" w:rsidRDefault="00B53EE3" w:rsidP="00A5474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92474" w14:textId="77777777" w:rsidR="00B53EE3" w:rsidRPr="00622A3B" w:rsidRDefault="00B53EE3"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1</w:t>
    </w:r>
    <w:r w:rsidRPr="00575AC5">
      <w:rPr>
        <w:color w:val="505050"/>
      </w:rPr>
      <w:fldChar w:fldCharType="end"/>
    </w:r>
  </w:p>
  <w:p w14:paraId="40683AA0" w14:textId="77777777" w:rsidR="00B53EE3" w:rsidRPr="00A5474E" w:rsidRDefault="00B53EE3"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80FCDC" w14:textId="77777777" w:rsidR="00B53EE3" w:rsidRDefault="00B53EE3" w:rsidP="00DB3A64">
      <w:pPr>
        <w:spacing w:after="0"/>
      </w:pPr>
      <w:r>
        <w:separator/>
      </w:r>
    </w:p>
  </w:footnote>
  <w:footnote w:type="continuationSeparator" w:id="0">
    <w:p w14:paraId="25517AA8" w14:textId="77777777" w:rsidR="00B53EE3" w:rsidRDefault="00B53EE3">
      <w:r>
        <w:continuationSeparator/>
      </w:r>
    </w:p>
  </w:footnote>
  <w:footnote w:type="continuationNotice" w:id="1">
    <w:p w14:paraId="160FDEA5" w14:textId="77777777" w:rsidR="009B53FB" w:rsidRDefault="009B53FB">
      <w:pPr>
        <w:spacing w:after="0" w:line="240" w:lineRule="auto"/>
      </w:pPr>
    </w:p>
  </w:footnote>
  <w:footnote w:id="2">
    <w:p w14:paraId="0793A2E9" w14:textId="1E875F00" w:rsidR="000C6EA0" w:rsidRDefault="000C6EA0" w:rsidP="000C6EA0">
      <w:pPr>
        <w:pStyle w:val="FootnoteText"/>
      </w:pPr>
      <w:r>
        <w:rPr>
          <w:rStyle w:val="FootnoteReference"/>
        </w:rPr>
        <w:footnoteRef/>
      </w:r>
      <w:r>
        <w:t xml:space="preserve"> A macro-cell is considered to refer to a base station within a mobile network that provides radio coverage to user terminals over a large area. They are typically characterised by transmitters with high</w:t>
      </w:r>
      <w:r w:rsidR="0002477F">
        <w:t>-</w:t>
      </w:r>
      <w:r>
        <w:t>power and high</w:t>
      </w:r>
      <w:r w:rsidR="0002477F">
        <w:t>-</w:t>
      </w:r>
      <w:r>
        <w:t xml:space="preserve">gain antennas with antennas mounted on </w:t>
      </w:r>
      <w:r w:rsidR="00CD6651">
        <w:t>ground-based</w:t>
      </w:r>
      <w:r>
        <w:t xml:space="preserve"> masts, roof</w:t>
      </w:r>
      <w:r w:rsidR="0002477F">
        <w:t xml:space="preserve"> </w:t>
      </w:r>
      <w:r>
        <w:t>tops and other existing structures</w:t>
      </w:r>
      <w:r w:rsidR="00CD6651">
        <w:t xml:space="preserve"> to support wide-area coverage</w:t>
      </w:r>
      <w:r>
        <w:t xml:space="preserve">. </w:t>
      </w:r>
    </w:p>
  </w:footnote>
  <w:footnote w:id="3">
    <w:p w14:paraId="4840C02C" w14:textId="1D41A668" w:rsidR="00CD6651" w:rsidRDefault="00CD6651">
      <w:pPr>
        <w:pStyle w:val="FootnoteText"/>
      </w:pPr>
      <w:r>
        <w:rPr>
          <w:rStyle w:val="FootnoteReference"/>
        </w:rPr>
        <w:footnoteRef/>
      </w:r>
      <w:r>
        <w:t xml:space="preserve"> A restricted cell is considered to be a base station that has some form of restriction on its operation that limits or reduces the size of the radio coverage to user terminals. It encompasses terms such as micro</w:t>
      </w:r>
      <w:r w:rsidR="0002477F">
        <w:t xml:space="preserve"> </w:t>
      </w:r>
      <w:r>
        <w:t>cells, small cells, femtocells</w:t>
      </w:r>
      <w:r w:rsidR="0002477F">
        <w:t>,</w:t>
      </w:r>
      <w:r>
        <w:t xml:space="preserve"> etc.  </w:t>
      </w:r>
    </w:p>
  </w:footnote>
  <w:footnote w:id="4">
    <w:p w14:paraId="72C52725" w14:textId="5912A7AF" w:rsidR="00F2190D" w:rsidRDefault="00F2190D">
      <w:pPr>
        <w:pStyle w:val="FootnoteText"/>
      </w:pPr>
      <w:r>
        <w:rPr>
          <w:rStyle w:val="FootnoteReference"/>
        </w:rPr>
        <w:footnoteRef/>
      </w:r>
      <w:r>
        <w:t xml:space="preserve"> The TLG did not define a percentage of locations to apply this limit. </w:t>
      </w:r>
    </w:p>
  </w:footnote>
  <w:footnote w:id="5">
    <w:p w14:paraId="2F2A4D46" w14:textId="1AC78784" w:rsidR="00B53EE3" w:rsidRDefault="00B53EE3" w:rsidP="00847191">
      <w:pPr>
        <w:pStyle w:val="FootnoteText"/>
      </w:pPr>
      <w:r>
        <w:rPr>
          <w:rStyle w:val="FootnoteReference"/>
        </w:rPr>
        <w:footnoteRef/>
      </w:r>
      <w:r>
        <w:t xml:space="preserve"> </w:t>
      </w:r>
      <w:bookmarkStart w:id="97" w:name="_Hlk56004057"/>
      <w:r>
        <w:t xml:space="preserve">Section 10.7.2 of </w:t>
      </w:r>
      <w:hyperlink r:id="rId1" w:history="1">
        <w:r w:rsidRPr="003A1608">
          <w:rPr>
            <w:rStyle w:val="Hyperlink"/>
          </w:rPr>
          <w:t>3GPP TS 38.104</w:t>
        </w:r>
        <w:bookmarkEnd w:id="97"/>
      </w:hyperlink>
      <w:r w:rsidR="005C66E6" w:rsidRPr="00096E81">
        <w:rPr>
          <w:rStyle w:val="Hyperlink"/>
          <w:color w:val="auto"/>
          <w:u w:val="none"/>
        </w:rPr>
        <w:t>.</w:t>
      </w:r>
    </w:p>
  </w:footnote>
  <w:footnote w:id="6">
    <w:p w14:paraId="63252F65" w14:textId="77777777" w:rsidR="008F796B" w:rsidRDefault="008F796B" w:rsidP="008F796B">
      <w:pPr>
        <w:pStyle w:val="FootnoteText"/>
      </w:pPr>
      <w:r>
        <w:rPr>
          <w:rStyle w:val="FootnoteReference"/>
        </w:rPr>
        <w:footnoteRef/>
      </w:r>
      <w:r>
        <w:t xml:space="preserve"> For the purposes of the TLG, CPEs are defined as fixed, high gain user terminals, typically wall or roof mounted on homes or businesses. They are used to deliver services associated with the NBN.</w:t>
      </w:r>
    </w:p>
  </w:footnote>
  <w:footnote w:id="7">
    <w:p w14:paraId="249829E8" w14:textId="77777777" w:rsidR="008F796B" w:rsidRDefault="008F796B" w:rsidP="008F796B">
      <w:pPr>
        <w:pStyle w:val="FootnoteText"/>
      </w:pPr>
      <w:r>
        <w:rPr>
          <w:rStyle w:val="FootnoteReference"/>
        </w:rPr>
        <w:footnoteRef/>
      </w:r>
      <w:r>
        <w:t xml:space="preserve"> </w:t>
      </w:r>
      <w:r w:rsidRPr="00B53EE3">
        <w:t>For the purposes of the TLG, MS are not considered to operate under nbn licences.</w:t>
      </w:r>
    </w:p>
  </w:footnote>
  <w:footnote w:id="8">
    <w:p w14:paraId="495B8A91" w14:textId="77777777" w:rsidR="008F796B" w:rsidRDefault="008F796B" w:rsidP="008F796B">
      <w:pPr>
        <w:pStyle w:val="FootnoteText"/>
      </w:pPr>
      <w:r>
        <w:rPr>
          <w:rStyle w:val="FootnoteReference"/>
        </w:rPr>
        <w:footnoteRef/>
      </w:r>
      <w:r>
        <w:t xml:space="preserve"> Refer to Table 4.2.2 of </w:t>
      </w:r>
      <w:hyperlink r:id="rId2" w:history="1">
        <w:r>
          <w:rPr>
            <w:rStyle w:val="Hyperlink"/>
          </w:rPr>
          <w:t>3GPP TS 36.211</w:t>
        </w:r>
      </w:hyperlink>
      <w:r>
        <w:t xml:space="preserve"> for a description of special subframes.</w:t>
      </w:r>
    </w:p>
  </w:footnote>
  <w:footnote w:id="9">
    <w:p w14:paraId="57DFBF5B" w14:textId="737A378E" w:rsidR="008F796B" w:rsidRDefault="008F796B" w:rsidP="008F796B">
      <w:pPr>
        <w:pStyle w:val="FootnoteText"/>
      </w:pPr>
      <w:r>
        <w:rPr>
          <w:rStyle w:val="FootnoteReference"/>
        </w:rPr>
        <w:footnoteRef/>
      </w:r>
      <w:r>
        <w:t xml:space="preserve"> </w:t>
      </w:r>
      <w:r w:rsidR="008945C3">
        <w:t>n</w:t>
      </w:r>
      <w:r>
        <w:t xml:space="preserve">bn provided the TLG with kmls and shapefiles of the service areas as of December 2020. </w:t>
      </w:r>
    </w:p>
  </w:footnote>
  <w:footnote w:id="10">
    <w:p w14:paraId="3DBCE85D" w14:textId="77777777" w:rsidR="008F796B" w:rsidRDefault="008F796B" w:rsidP="008F796B">
      <w:pPr>
        <w:pStyle w:val="FootnoteText"/>
      </w:pPr>
      <w:r>
        <w:rPr>
          <w:rStyle w:val="FootnoteReference"/>
        </w:rPr>
        <w:footnoteRef/>
      </w:r>
      <w:r>
        <w:t xml:space="preserve"> The issue of managing interference between adjacent channel 4G and 5G systems when they are using different frame structures is considered in the </w:t>
      </w:r>
      <w:r>
        <w:rPr>
          <w:i/>
          <w:iCs/>
        </w:rPr>
        <w:t xml:space="preserve">Adjacent channel 4G and 5G systems </w:t>
      </w:r>
      <w:r w:rsidRPr="00896CED">
        <w:t>section</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A233C" w14:textId="77777777" w:rsidR="00B53EE3" w:rsidRPr="00A5474E" w:rsidRDefault="00B53EE3" w:rsidP="00A5474E">
    <w:pPr>
      <w:pStyle w:val="Header"/>
    </w:pPr>
    <w:r>
      <w:rPr>
        <w:noProof/>
      </w:rPr>
      <w:drawing>
        <wp:inline distT="0" distB="0" distL="0" distR="0" wp14:anchorId="1A9E99B7" wp14:editId="517BD374">
          <wp:extent cx="6283434" cy="578076"/>
          <wp:effectExtent l="0" t="0" r="3175"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83434" cy="57807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536E2" w14:textId="77777777" w:rsidR="00B53EE3" w:rsidRPr="00A5474E" w:rsidRDefault="00B53EE3"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1A7A6" w14:textId="77777777" w:rsidR="00B53EE3" w:rsidRDefault="00B53EE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5683E" w14:textId="77777777" w:rsidR="00B53EE3" w:rsidRDefault="00B53EE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B53EE3" w14:paraId="6C6A4588" w14:textId="77777777" w:rsidTr="00847191">
      <w:trPr>
        <w:trHeight w:hRule="exact" w:val="988"/>
      </w:trPr>
      <w:tc>
        <w:tcPr>
          <w:tcW w:w="7678" w:type="dxa"/>
          <w:shd w:val="clear" w:color="auto" w:fill="auto"/>
        </w:tcPr>
        <w:p w14:paraId="0ADD71FA" w14:textId="77777777" w:rsidR="00B53EE3" w:rsidRDefault="00B53EE3" w:rsidP="00971914">
          <w:pPr>
            <w:pStyle w:val="Header"/>
          </w:pPr>
        </w:p>
      </w:tc>
    </w:tr>
    <w:tr w:rsidR="00B53EE3" w14:paraId="7603AAC5" w14:textId="77777777" w:rsidTr="00847191">
      <w:tc>
        <w:tcPr>
          <w:tcW w:w="7678" w:type="dxa"/>
          <w:shd w:val="clear" w:color="auto" w:fill="auto"/>
        </w:tcPr>
        <w:p w14:paraId="43FA57B6" w14:textId="77777777" w:rsidR="00B53EE3" w:rsidRDefault="00B53EE3" w:rsidP="00971914">
          <w:pPr>
            <w:pStyle w:val="GridTable31"/>
          </w:pPr>
          <w:r>
            <w:t xml:space="preserve">Contents </w:t>
          </w:r>
          <w:r w:rsidRPr="00915B1C">
            <w:rPr>
              <w:b w:val="0"/>
              <w:spacing w:val="0"/>
              <w:sz w:val="28"/>
              <w:szCs w:val="28"/>
            </w:rPr>
            <w:t>(Continued)</w:t>
          </w:r>
        </w:p>
      </w:tc>
    </w:tr>
    <w:tr w:rsidR="00B53EE3" w14:paraId="7A2AE000" w14:textId="77777777" w:rsidTr="00847191">
      <w:trPr>
        <w:trHeight w:val="1220"/>
      </w:trPr>
      <w:tc>
        <w:tcPr>
          <w:tcW w:w="7678" w:type="dxa"/>
          <w:shd w:val="clear" w:color="auto" w:fill="auto"/>
        </w:tcPr>
        <w:p w14:paraId="05BB369D" w14:textId="77777777" w:rsidR="00B53EE3" w:rsidRDefault="00B53EE3" w:rsidP="00971914"/>
      </w:tc>
    </w:tr>
  </w:tbl>
  <w:p w14:paraId="59E05E54" w14:textId="77777777" w:rsidR="00B53EE3" w:rsidRDefault="00B53EE3"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B53EE3" w14:paraId="27ACBB54" w14:textId="77777777" w:rsidTr="00847191">
      <w:trPr>
        <w:trHeight w:hRule="exact" w:val="988"/>
      </w:trPr>
      <w:tc>
        <w:tcPr>
          <w:tcW w:w="7678" w:type="dxa"/>
          <w:shd w:val="clear" w:color="auto" w:fill="auto"/>
        </w:tcPr>
        <w:p w14:paraId="13F7E22E" w14:textId="77777777" w:rsidR="00B53EE3" w:rsidRDefault="00B53EE3" w:rsidP="00971914">
          <w:pPr>
            <w:pStyle w:val="Header"/>
          </w:pPr>
        </w:p>
      </w:tc>
    </w:tr>
    <w:tr w:rsidR="00B53EE3" w14:paraId="6B585B38" w14:textId="77777777" w:rsidTr="00847191">
      <w:tc>
        <w:tcPr>
          <w:tcW w:w="7678" w:type="dxa"/>
          <w:shd w:val="clear" w:color="auto" w:fill="auto"/>
        </w:tcPr>
        <w:p w14:paraId="289B5D55" w14:textId="77777777" w:rsidR="00B53EE3" w:rsidRDefault="00B53EE3" w:rsidP="00971914">
          <w:pPr>
            <w:pStyle w:val="GridTable31"/>
          </w:pPr>
          <w:r>
            <w:t xml:space="preserve">Contents </w:t>
          </w:r>
          <w:r w:rsidRPr="00915B1C">
            <w:rPr>
              <w:b w:val="0"/>
              <w:spacing w:val="0"/>
              <w:sz w:val="28"/>
              <w:szCs w:val="28"/>
            </w:rPr>
            <w:t>(Continued)</w:t>
          </w:r>
        </w:p>
      </w:tc>
    </w:tr>
    <w:tr w:rsidR="00B53EE3" w14:paraId="06A9BB0E" w14:textId="77777777" w:rsidTr="00847191">
      <w:trPr>
        <w:trHeight w:val="1220"/>
      </w:trPr>
      <w:tc>
        <w:tcPr>
          <w:tcW w:w="7678" w:type="dxa"/>
          <w:shd w:val="clear" w:color="auto" w:fill="auto"/>
        </w:tcPr>
        <w:p w14:paraId="37B06F47" w14:textId="77777777" w:rsidR="00B53EE3" w:rsidRDefault="00B53EE3" w:rsidP="00971914"/>
      </w:tc>
    </w:tr>
  </w:tbl>
  <w:p w14:paraId="3879CDC5" w14:textId="77777777" w:rsidR="00B53EE3" w:rsidRPr="00A5474E" w:rsidRDefault="00B53EE3"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A0D89" w14:textId="77777777" w:rsidR="00B53EE3" w:rsidRDefault="00B53EE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0CF11" w14:textId="77777777" w:rsidR="00B53EE3" w:rsidRDefault="00B53EE3">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BFBEC" w14:textId="77777777" w:rsidR="00B53EE3" w:rsidRDefault="00B53EE3">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D85B5" w14:textId="77777777" w:rsidR="00B53EE3" w:rsidRDefault="00B53E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6EBA4AA8"/>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571C5306"/>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26E70BB"/>
    <w:multiLevelType w:val="hybridMultilevel"/>
    <w:tmpl w:val="1DEC55CC"/>
    <w:lvl w:ilvl="0" w:tplc="0C090001">
      <w:start w:val="1"/>
      <w:numFmt w:val="bullet"/>
      <w:lvlText w:val=""/>
      <w:lvlJc w:val="left"/>
      <w:pPr>
        <w:ind w:left="360" w:hanging="360"/>
      </w:pPr>
      <w:rPr>
        <w:rFonts w:ascii="Symbol" w:hAnsi="Symbol" w:hint="default"/>
        <w:b w:val="0"/>
        <w:bCs/>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0394760B"/>
    <w:multiLevelType w:val="hybridMultilevel"/>
    <w:tmpl w:val="8BE43BF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03D833F9"/>
    <w:multiLevelType w:val="hybridMultilevel"/>
    <w:tmpl w:val="4314DC34"/>
    <w:lvl w:ilvl="0" w:tplc="6068FDFE">
      <w:start w:val="1"/>
      <w:numFmt w:val="lowerLetter"/>
      <w:lvlText w:val="%1)"/>
      <w:lvlJc w:val="left"/>
      <w:pPr>
        <w:ind w:left="720" w:hanging="360"/>
      </w:pPr>
      <w:rPr>
        <w:b w:val="0"/>
        <w:bCs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7171C64"/>
    <w:multiLevelType w:val="hybridMultilevel"/>
    <w:tmpl w:val="9A8A383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09471A51"/>
    <w:multiLevelType w:val="hybridMultilevel"/>
    <w:tmpl w:val="A06E0E3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0953728E"/>
    <w:multiLevelType w:val="hybridMultilevel"/>
    <w:tmpl w:val="252EAD64"/>
    <w:lvl w:ilvl="0" w:tplc="0C090001">
      <w:start w:val="1"/>
      <w:numFmt w:val="bullet"/>
      <w:lvlText w:val=""/>
      <w:lvlJc w:val="left"/>
      <w:pPr>
        <w:ind w:left="360" w:hanging="360"/>
      </w:pPr>
      <w:rPr>
        <w:rFonts w:ascii="Symbol" w:hAnsi="Symbol" w:hint="default"/>
        <w:b w:val="0"/>
        <w:bCs/>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0C320154"/>
    <w:multiLevelType w:val="hybridMultilevel"/>
    <w:tmpl w:val="93DE1B8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0D3A281C"/>
    <w:multiLevelType w:val="hybridMultilevel"/>
    <w:tmpl w:val="E84423F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0D4C3F07"/>
    <w:multiLevelType w:val="hybridMultilevel"/>
    <w:tmpl w:val="74BE285C"/>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0DF472F4"/>
    <w:multiLevelType w:val="hybridMultilevel"/>
    <w:tmpl w:val="8D48938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15:restartNumberingAfterBreak="0">
    <w:nsid w:val="0EB55F81"/>
    <w:multiLevelType w:val="hybridMultilevel"/>
    <w:tmpl w:val="884A1BC8"/>
    <w:lvl w:ilvl="0" w:tplc="32204036">
      <w:start w:val="1"/>
      <w:numFmt w:val="decimal"/>
      <w:pStyle w:val="LegislationLvl1"/>
      <w:lvlText w:val="%1"/>
      <w:lvlJc w:val="left"/>
      <w:pPr>
        <w:tabs>
          <w:tab w:val="num" w:pos="1080"/>
        </w:tabs>
        <w:ind w:left="1080" w:hanging="720"/>
      </w:pPr>
      <w:rPr>
        <w:rFonts w:hint="default"/>
      </w:rPr>
    </w:lvl>
    <w:lvl w:ilvl="1" w:tplc="93C69154">
      <w:start w:val="1"/>
      <w:numFmt w:val="decimal"/>
      <w:pStyle w:val="LegislationLvl2"/>
      <w:lvlText w:val="(%2)"/>
      <w:lvlJc w:val="left"/>
      <w:pPr>
        <w:tabs>
          <w:tab w:val="num" w:pos="1440"/>
        </w:tabs>
        <w:ind w:left="1440" w:hanging="360"/>
      </w:pPr>
      <w:rPr>
        <w:rFonts w:hint="default"/>
      </w:rPr>
    </w:lvl>
    <w:lvl w:ilvl="2" w:tplc="BD8A0056">
      <w:start w:val="1"/>
      <w:numFmt w:val="lowerLetter"/>
      <w:pStyle w:val="LegislationLvl3"/>
      <w:lvlText w:val="(%3)"/>
      <w:lvlJc w:val="left"/>
      <w:pPr>
        <w:tabs>
          <w:tab w:val="num" w:pos="2340"/>
        </w:tabs>
        <w:ind w:left="2340" w:hanging="360"/>
      </w:pPr>
      <w:rPr>
        <w:rFonts w:hint="default"/>
      </w:rPr>
    </w:lvl>
    <w:lvl w:ilvl="3" w:tplc="BF665EE0">
      <w:start w:val="1"/>
      <w:numFmt w:val="lowerRoman"/>
      <w:pStyle w:val="LegislationLvl4"/>
      <w:lvlText w:val="(%4)"/>
      <w:lvlJc w:val="right"/>
      <w:pPr>
        <w:tabs>
          <w:tab w:val="num" w:pos="2700"/>
        </w:tabs>
        <w:ind w:left="2700" w:hanging="180"/>
      </w:pPr>
      <w:rPr>
        <w:rFonts w:hint="default"/>
      </w:r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0FFB5327"/>
    <w:multiLevelType w:val="hybridMultilevel"/>
    <w:tmpl w:val="AA921CFA"/>
    <w:lvl w:ilvl="0" w:tplc="55F2986E">
      <w:start w:val="1"/>
      <w:numFmt w:val="bullet"/>
      <w:lvlText w:val=""/>
      <w:lvlJc w:val="left"/>
      <w:pPr>
        <w:ind w:left="720" w:hanging="360"/>
      </w:pPr>
      <w:rPr>
        <w:rFonts w:ascii="Symbol" w:hAnsi="Symbol" w:hint="default"/>
        <w:b w:val="0"/>
        <w:bCs/>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13EE495C"/>
    <w:multiLevelType w:val="hybridMultilevel"/>
    <w:tmpl w:val="1D8498B0"/>
    <w:lvl w:ilvl="0" w:tplc="A332420E">
      <w:start w:val="1"/>
      <w:numFmt w:val="lowerLetter"/>
      <w:pStyle w:val="ACMAletteredlist"/>
      <w:lvlText w:val="%1."/>
      <w:lvlJc w:val="left"/>
      <w:pPr>
        <w:tabs>
          <w:tab w:val="num" w:pos="360"/>
        </w:tabs>
        <w:ind w:left="360" w:hanging="360"/>
      </w:pPr>
    </w:lvl>
    <w:lvl w:ilvl="1" w:tplc="8EDAE56E">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185F17FB"/>
    <w:multiLevelType w:val="hybridMultilevel"/>
    <w:tmpl w:val="3C72589C"/>
    <w:lvl w:ilvl="0" w:tplc="55F2986E">
      <w:start w:val="1"/>
      <w:numFmt w:val="bullet"/>
      <w:lvlText w:val=""/>
      <w:lvlJc w:val="left"/>
      <w:pPr>
        <w:ind w:left="360" w:hanging="360"/>
      </w:pPr>
      <w:rPr>
        <w:rFonts w:ascii="Symbol" w:hAnsi="Symbol" w:hint="default"/>
        <w:b w:val="0"/>
        <w:bCs/>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15:restartNumberingAfterBreak="0">
    <w:nsid w:val="1CFA4B3A"/>
    <w:multiLevelType w:val="hybridMultilevel"/>
    <w:tmpl w:val="46A22248"/>
    <w:lvl w:ilvl="0" w:tplc="0C090017">
      <w:start w:val="1"/>
      <w:numFmt w:val="lowerLetter"/>
      <w:lvlText w:val="%1)"/>
      <w:lvlJc w:val="left"/>
      <w:pPr>
        <w:ind w:left="568" w:hanging="360"/>
      </w:pPr>
      <w:rPr>
        <w:rFonts w:hint="default"/>
      </w:rPr>
    </w:lvl>
    <w:lvl w:ilvl="1" w:tplc="0C090019" w:tentative="1">
      <w:start w:val="1"/>
      <w:numFmt w:val="lowerLetter"/>
      <w:lvlText w:val="%2."/>
      <w:lvlJc w:val="left"/>
      <w:pPr>
        <w:ind w:left="1288" w:hanging="360"/>
      </w:pPr>
    </w:lvl>
    <w:lvl w:ilvl="2" w:tplc="0C09001B" w:tentative="1">
      <w:start w:val="1"/>
      <w:numFmt w:val="lowerRoman"/>
      <w:lvlText w:val="%3."/>
      <w:lvlJc w:val="right"/>
      <w:pPr>
        <w:ind w:left="2008" w:hanging="180"/>
      </w:pPr>
    </w:lvl>
    <w:lvl w:ilvl="3" w:tplc="0C09000F" w:tentative="1">
      <w:start w:val="1"/>
      <w:numFmt w:val="decimal"/>
      <w:lvlText w:val="%4."/>
      <w:lvlJc w:val="left"/>
      <w:pPr>
        <w:ind w:left="2728" w:hanging="360"/>
      </w:pPr>
    </w:lvl>
    <w:lvl w:ilvl="4" w:tplc="0C090019" w:tentative="1">
      <w:start w:val="1"/>
      <w:numFmt w:val="lowerLetter"/>
      <w:lvlText w:val="%5."/>
      <w:lvlJc w:val="left"/>
      <w:pPr>
        <w:ind w:left="3448" w:hanging="360"/>
      </w:pPr>
    </w:lvl>
    <w:lvl w:ilvl="5" w:tplc="0C09001B" w:tentative="1">
      <w:start w:val="1"/>
      <w:numFmt w:val="lowerRoman"/>
      <w:lvlText w:val="%6."/>
      <w:lvlJc w:val="right"/>
      <w:pPr>
        <w:ind w:left="4168" w:hanging="180"/>
      </w:pPr>
    </w:lvl>
    <w:lvl w:ilvl="6" w:tplc="0C09000F" w:tentative="1">
      <w:start w:val="1"/>
      <w:numFmt w:val="decimal"/>
      <w:lvlText w:val="%7."/>
      <w:lvlJc w:val="left"/>
      <w:pPr>
        <w:ind w:left="4888" w:hanging="360"/>
      </w:pPr>
    </w:lvl>
    <w:lvl w:ilvl="7" w:tplc="0C090019" w:tentative="1">
      <w:start w:val="1"/>
      <w:numFmt w:val="lowerLetter"/>
      <w:lvlText w:val="%8."/>
      <w:lvlJc w:val="left"/>
      <w:pPr>
        <w:ind w:left="5608" w:hanging="360"/>
      </w:pPr>
    </w:lvl>
    <w:lvl w:ilvl="8" w:tplc="0C09001B" w:tentative="1">
      <w:start w:val="1"/>
      <w:numFmt w:val="lowerRoman"/>
      <w:lvlText w:val="%9."/>
      <w:lvlJc w:val="right"/>
      <w:pPr>
        <w:ind w:left="6328" w:hanging="180"/>
      </w:pPr>
    </w:lvl>
  </w:abstractNum>
  <w:abstractNum w:abstractNumId="19" w15:restartNumberingAfterBreak="0">
    <w:nsid w:val="246E5196"/>
    <w:multiLevelType w:val="hybridMultilevel"/>
    <w:tmpl w:val="386849C4"/>
    <w:lvl w:ilvl="0" w:tplc="6EDC7922">
      <w:start w:val="1"/>
      <w:numFmt w:val="lowerLetter"/>
      <w:lvlText w:val="%1)"/>
      <w:lvlJc w:val="left"/>
      <w:pPr>
        <w:ind w:left="720" w:hanging="360"/>
      </w:pPr>
      <w:rPr>
        <w:b w:val="0"/>
        <w:bCs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26792428"/>
    <w:multiLevelType w:val="hybridMultilevel"/>
    <w:tmpl w:val="AC420F58"/>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21" w15:restartNumberingAfterBreak="0">
    <w:nsid w:val="28B86144"/>
    <w:multiLevelType w:val="hybridMultilevel"/>
    <w:tmpl w:val="89167C8C"/>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22" w15:restartNumberingAfterBreak="0">
    <w:nsid w:val="2B082014"/>
    <w:multiLevelType w:val="hybridMultilevel"/>
    <w:tmpl w:val="D16A5FBE"/>
    <w:lvl w:ilvl="0" w:tplc="55F2986E">
      <w:start w:val="1"/>
      <w:numFmt w:val="bullet"/>
      <w:lvlText w:val=""/>
      <w:lvlJc w:val="left"/>
      <w:pPr>
        <w:ind w:left="360" w:hanging="360"/>
      </w:pPr>
      <w:rPr>
        <w:rFonts w:ascii="Symbol" w:hAnsi="Symbol" w:hint="default"/>
        <w:b w:val="0"/>
        <w:bCs/>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4" w15:restartNumberingAfterBreak="0">
    <w:nsid w:val="2EB05929"/>
    <w:multiLevelType w:val="hybridMultilevel"/>
    <w:tmpl w:val="A074067E"/>
    <w:lvl w:ilvl="0" w:tplc="420C40BA">
      <w:start w:val="1"/>
      <w:numFmt w:val="lowerLetter"/>
      <w:lvlText w:val="(%1)"/>
      <w:lvlJc w:val="left"/>
      <w:pPr>
        <w:ind w:left="376" w:hanging="360"/>
      </w:pPr>
      <w:rPr>
        <w:rFonts w:hint="default"/>
      </w:rPr>
    </w:lvl>
    <w:lvl w:ilvl="1" w:tplc="0C090019" w:tentative="1">
      <w:start w:val="1"/>
      <w:numFmt w:val="lowerLetter"/>
      <w:lvlText w:val="%2."/>
      <w:lvlJc w:val="left"/>
      <w:pPr>
        <w:ind w:left="1096" w:hanging="360"/>
      </w:p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25" w15:restartNumberingAfterBreak="0">
    <w:nsid w:val="34E15D01"/>
    <w:multiLevelType w:val="hybridMultilevel"/>
    <w:tmpl w:val="69B83436"/>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15:restartNumberingAfterBreak="0">
    <w:nsid w:val="3B0D240C"/>
    <w:multiLevelType w:val="hybridMultilevel"/>
    <w:tmpl w:val="A2563136"/>
    <w:lvl w:ilvl="0" w:tplc="420C40BA">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4408328D"/>
    <w:multiLevelType w:val="hybridMultilevel"/>
    <w:tmpl w:val="26FCF38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443B44D4"/>
    <w:multiLevelType w:val="hybridMultilevel"/>
    <w:tmpl w:val="A074067E"/>
    <w:lvl w:ilvl="0" w:tplc="420C40BA">
      <w:start w:val="1"/>
      <w:numFmt w:val="lowerLetter"/>
      <w:lvlText w:val="(%1)"/>
      <w:lvlJc w:val="left"/>
      <w:pPr>
        <w:ind w:left="376" w:hanging="360"/>
      </w:pPr>
      <w:rPr>
        <w:rFonts w:hint="default"/>
      </w:rPr>
    </w:lvl>
    <w:lvl w:ilvl="1" w:tplc="0C090019" w:tentative="1">
      <w:start w:val="1"/>
      <w:numFmt w:val="lowerLetter"/>
      <w:lvlText w:val="%2."/>
      <w:lvlJc w:val="left"/>
      <w:pPr>
        <w:ind w:left="1096" w:hanging="360"/>
      </w:p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29" w15:restartNumberingAfterBreak="0">
    <w:nsid w:val="44C4636E"/>
    <w:multiLevelType w:val="hybridMultilevel"/>
    <w:tmpl w:val="A074067E"/>
    <w:lvl w:ilvl="0" w:tplc="420C40BA">
      <w:start w:val="1"/>
      <w:numFmt w:val="lowerLetter"/>
      <w:lvlText w:val="(%1)"/>
      <w:lvlJc w:val="left"/>
      <w:pPr>
        <w:ind w:left="568" w:hanging="360"/>
      </w:pPr>
      <w:rPr>
        <w:rFonts w:hint="default"/>
      </w:rPr>
    </w:lvl>
    <w:lvl w:ilvl="1" w:tplc="0C090019" w:tentative="1">
      <w:start w:val="1"/>
      <w:numFmt w:val="lowerLetter"/>
      <w:lvlText w:val="%2."/>
      <w:lvlJc w:val="left"/>
      <w:pPr>
        <w:ind w:left="1288" w:hanging="360"/>
      </w:pPr>
    </w:lvl>
    <w:lvl w:ilvl="2" w:tplc="0C09001B" w:tentative="1">
      <w:start w:val="1"/>
      <w:numFmt w:val="lowerRoman"/>
      <w:lvlText w:val="%3."/>
      <w:lvlJc w:val="right"/>
      <w:pPr>
        <w:ind w:left="2008" w:hanging="180"/>
      </w:pPr>
    </w:lvl>
    <w:lvl w:ilvl="3" w:tplc="0C09000F" w:tentative="1">
      <w:start w:val="1"/>
      <w:numFmt w:val="decimal"/>
      <w:lvlText w:val="%4."/>
      <w:lvlJc w:val="left"/>
      <w:pPr>
        <w:ind w:left="2728" w:hanging="360"/>
      </w:pPr>
    </w:lvl>
    <w:lvl w:ilvl="4" w:tplc="0C090019" w:tentative="1">
      <w:start w:val="1"/>
      <w:numFmt w:val="lowerLetter"/>
      <w:lvlText w:val="%5."/>
      <w:lvlJc w:val="left"/>
      <w:pPr>
        <w:ind w:left="3448" w:hanging="360"/>
      </w:pPr>
    </w:lvl>
    <w:lvl w:ilvl="5" w:tplc="0C09001B" w:tentative="1">
      <w:start w:val="1"/>
      <w:numFmt w:val="lowerRoman"/>
      <w:lvlText w:val="%6."/>
      <w:lvlJc w:val="right"/>
      <w:pPr>
        <w:ind w:left="4168" w:hanging="180"/>
      </w:pPr>
    </w:lvl>
    <w:lvl w:ilvl="6" w:tplc="0C09000F" w:tentative="1">
      <w:start w:val="1"/>
      <w:numFmt w:val="decimal"/>
      <w:lvlText w:val="%7."/>
      <w:lvlJc w:val="left"/>
      <w:pPr>
        <w:ind w:left="4888" w:hanging="360"/>
      </w:pPr>
    </w:lvl>
    <w:lvl w:ilvl="7" w:tplc="0C090019" w:tentative="1">
      <w:start w:val="1"/>
      <w:numFmt w:val="lowerLetter"/>
      <w:lvlText w:val="%8."/>
      <w:lvlJc w:val="left"/>
      <w:pPr>
        <w:ind w:left="5608" w:hanging="360"/>
      </w:pPr>
    </w:lvl>
    <w:lvl w:ilvl="8" w:tplc="0C09001B" w:tentative="1">
      <w:start w:val="1"/>
      <w:numFmt w:val="lowerRoman"/>
      <w:lvlText w:val="%9."/>
      <w:lvlJc w:val="right"/>
      <w:pPr>
        <w:ind w:left="6328" w:hanging="180"/>
      </w:pPr>
    </w:lvl>
  </w:abstractNum>
  <w:abstractNum w:abstractNumId="30" w15:restartNumberingAfterBreak="0">
    <w:nsid w:val="45E400F5"/>
    <w:multiLevelType w:val="hybridMultilevel"/>
    <w:tmpl w:val="CC3E25D4"/>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4C577CEE"/>
    <w:multiLevelType w:val="hybridMultilevel"/>
    <w:tmpl w:val="F4785608"/>
    <w:lvl w:ilvl="0" w:tplc="1210446E">
      <w:start w:val="1"/>
      <w:numFmt w:val="bullet"/>
      <w:lvlText w:val=""/>
      <w:lvlJc w:val="left"/>
      <w:pPr>
        <w:ind w:left="644" w:hanging="360"/>
      </w:pPr>
      <w:rPr>
        <w:rFonts w:ascii="Symbol" w:hAnsi="Symbol" w:hint="default"/>
      </w:rPr>
    </w:lvl>
    <w:lvl w:ilvl="1" w:tplc="55F2986E">
      <w:start w:val="1"/>
      <w:numFmt w:val="bullet"/>
      <w:lvlText w:val=""/>
      <w:lvlJc w:val="left"/>
      <w:pPr>
        <w:ind w:left="1364" w:hanging="360"/>
      </w:pPr>
      <w:rPr>
        <w:rFonts w:ascii="Symbol" w:hAnsi="Symbol" w:hint="default"/>
      </w:rPr>
    </w:lvl>
    <w:lvl w:ilvl="2" w:tplc="0C090005">
      <w:start w:val="1"/>
      <w:numFmt w:val="bullet"/>
      <w:lvlText w:val=""/>
      <w:lvlJc w:val="left"/>
      <w:pPr>
        <w:ind w:left="2084" w:hanging="360"/>
      </w:pPr>
      <w:rPr>
        <w:rFonts w:ascii="Wingdings" w:hAnsi="Wingdings" w:hint="default"/>
      </w:rPr>
    </w:lvl>
    <w:lvl w:ilvl="3" w:tplc="0C090001">
      <w:start w:val="1"/>
      <w:numFmt w:val="bullet"/>
      <w:lvlText w:val=""/>
      <w:lvlJc w:val="left"/>
      <w:pPr>
        <w:ind w:left="2804" w:hanging="360"/>
      </w:pPr>
      <w:rPr>
        <w:rFonts w:ascii="Symbol" w:hAnsi="Symbol" w:hint="default"/>
      </w:rPr>
    </w:lvl>
    <w:lvl w:ilvl="4" w:tplc="0C090003">
      <w:start w:val="1"/>
      <w:numFmt w:val="bullet"/>
      <w:lvlText w:val="o"/>
      <w:lvlJc w:val="left"/>
      <w:pPr>
        <w:ind w:left="3524" w:hanging="360"/>
      </w:pPr>
      <w:rPr>
        <w:rFonts w:ascii="Courier New" w:hAnsi="Courier New" w:cs="Courier New" w:hint="default"/>
      </w:rPr>
    </w:lvl>
    <w:lvl w:ilvl="5" w:tplc="0C090005">
      <w:start w:val="1"/>
      <w:numFmt w:val="bullet"/>
      <w:lvlText w:val=""/>
      <w:lvlJc w:val="left"/>
      <w:pPr>
        <w:ind w:left="4244" w:hanging="360"/>
      </w:pPr>
      <w:rPr>
        <w:rFonts w:ascii="Wingdings" w:hAnsi="Wingdings" w:hint="default"/>
      </w:rPr>
    </w:lvl>
    <w:lvl w:ilvl="6" w:tplc="0C090001">
      <w:start w:val="1"/>
      <w:numFmt w:val="bullet"/>
      <w:lvlText w:val=""/>
      <w:lvlJc w:val="left"/>
      <w:pPr>
        <w:ind w:left="4964" w:hanging="360"/>
      </w:pPr>
      <w:rPr>
        <w:rFonts w:ascii="Symbol" w:hAnsi="Symbol" w:hint="default"/>
      </w:rPr>
    </w:lvl>
    <w:lvl w:ilvl="7" w:tplc="0C090003">
      <w:start w:val="1"/>
      <w:numFmt w:val="bullet"/>
      <w:lvlText w:val="o"/>
      <w:lvlJc w:val="left"/>
      <w:pPr>
        <w:ind w:left="5684" w:hanging="360"/>
      </w:pPr>
      <w:rPr>
        <w:rFonts w:ascii="Courier New" w:hAnsi="Courier New" w:cs="Courier New" w:hint="default"/>
      </w:rPr>
    </w:lvl>
    <w:lvl w:ilvl="8" w:tplc="0C090005">
      <w:start w:val="1"/>
      <w:numFmt w:val="bullet"/>
      <w:lvlText w:val=""/>
      <w:lvlJc w:val="left"/>
      <w:pPr>
        <w:ind w:left="6404" w:hanging="360"/>
      </w:pPr>
      <w:rPr>
        <w:rFonts w:ascii="Wingdings" w:hAnsi="Wingdings" w:hint="default"/>
      </w:rPr>
    </w:lvl>
  </w:abstractNum>
  <w:abstractNum w:abstractNumId="32" w15:restartNumberingAfterBreak="0">
    <w:nsid w:val="51724D8B"/>
    <w:multiLevelType w:val="hybridMultilevel"/>
    <w:tmpl w:val="76AC0F5E"/>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33" w15:restartNumberingAfterBreak="0">
    <w:nsid w:val="55AA21F0"/>
    <w:multiLevelType w:val="hybridMultilevel"/>
    <w:tmpl w:val="9B5CB936"/>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845242F"/>
    <w:multiLevelType w:val="hybridMultilevel"/>
    <w:tmpl w:val="EF7897F8"/>
    <w:lvl w:ilvl="0" w:tplc="0C090001">
      <w:start w:val="1"/>
      <w:numFmt w:val="bullet"/>
      <w:lvlText w:val=""/>
      <w:lvlJc w:val="left"/>
      <w:pPr>
        <w:ind w:left="360" w:hanging="360"/>
      </w:pPr>
      <w:rPr>
        <w:rFonts w:ascii="Symbol" w:hAnsi="Symbol" w:hint="default"/>
      </w:rPr>
    </w:lvl>
    <w:lvl w:ilvl="1" w:tplc="AD368B42">
      <w:numFmt w:val="bullet"/>
      <w:lvlText w:val="•"/>
      <w:lvlJc w:val="left"/>
      <w:pPr>
        <w:ind w:left="1440" w:hanging="720"/>
      </w:pPr>
      <w:rPr>
        <w:rFonts w:ascii="Calibri" w:eastAsiaTheme="minorHAnsi" w:hAnsi="Calibri" w:cs="Calibri"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58FD2533"/>
    <w:multiLevelType w:val="hybridMultilevel"/>
    <w:tmpl w:val="8B84B162"/>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36" w15:restartNumberingAfterBreak="0">
    <w:nsid w:val="59F6040B"/>
    <w:multiLevelType w:val="hybridMultilevel"/>
    <w:tmpl w:val="13B2FBA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15:restartNumberingAfterBreak="0">
    <w:nsid w:val="5C2D037C"/>
    <w:multiLevelType w:val="hybridMultilevel"/>
    <w:tmpl w:val="BB62517E"/>
    <w:lvl w:ilvl="0" w:tplc="55F2986E">
      <w:start w:val="1"/>
      <w:numFmt w:val="bullet"/>
      <w:lvlText w:val=""/>
      <w:lvlJc w:val="left"/>
      <w:pPr>
        <w:ind w:left="720" w:hanging="360"/>
      </w:pPr>
      <w:rPr>
        <w:rFonts w:ascii="Symbol" w:hAnsi="Symbol" w:hint="default"/>
        <w:b w:val="0"/>
        <w:bCs/>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5071478"/>
    <w:multiLevelType w:val="hybridMultilevel"/>
    <w:tmpl w:val="16D2B96E"/>
    <w:lvl w:ilvl="0" w:tplc="3A9CF91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BDF070D"/>
    <w:multiLevelType w:val="hybridMultilevel"/>
    <w:tmpl w:val="6AA00440"/>
    <w:lvl w:ilvl="0" w:tplc="0C090017">
      <w:start w:val="1"/>
      <w:numFmt w:val="lowerLetter"/>
      <w:lvlText w:val="%1)"/>
      <w:lvlJc w:val="left"/>
      <w:pPr>
        <w:ind w:left="376" w:hanging="360"/>
      </w:pPr>
      <w:rPr>
        <w:rFonts w:hint="default"/>
      </w:rPr>
    </w:lvl>
    <w:lvl w:ilvl="1" w:tplc="0C090019" w:tentative="1">
      <w:start w:val="1"/>
      <w:numFmt w:val="lowerLetter"/>
      <w:lvlText w:val="%2."/>
      <w:lvlJc w:val="left"/>
      <w:pPr>
        <w:ind w:left="1096" w:hanging="360"/>
      </w:p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41"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D812E9D"/>
    <w:multiLevelType w:val="hybridMultilevel"/>
    <w:tmpl w:val="CC5A0FDA"/>
    <w:lvl w:ilvl="0" w:tplc="5BA6523E">
      <w:start w:val="1"/>
      <w:numFmt w:val="lowerLetter"/>
      <w:lvlText w:val="%1)"/>
      <w:lvlJc w:val="left"/>
      <w:pPr>
        <w:ind w:left="720" w:hanging="360"/>
      </w:pPr>
      <w:rPr>
        <w:b w:val="0"/>
        <w:bCs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6DB21773"/>
    <w:multiLevelType w:val="hybridMultilevel"/>
    <w:tmpl w:val="B5D42EA6"/>
    <w:lvl w:ilvl="0" w:tplc="1210446E">
      <w:start w:val="1"/>
      <w:numFmt w:val="bullet"/>
      <w:lvlText w:val=""/>
      <w:lvlJc w:val="left"/>
      <w:pPr>
        <w:ind w:left="644" w:hanging="360"/>
      </w:pPr>
      <w:rPr>
        <w:rFonts w:ascii="Symbol" w:hAnsi="Symbol" w:hint="default"/>
      </w:rPr>
    </w:lvl>
    <w:lvl w:ilvl="1" w:tplc="55F2986E">
      <w:start w:val="1"/>
      <w:numFmt w:val="bullet"/>
      <w:lvlText w:val=""/>
      <w:lvlJc w:val="left"/>
      <w:pPr>
        <w:ind w:left="1364" w:hanging="360"/>
      </w:pPr>
      <w:rPr>
        <w:rFonts w:ascii="Symbol" w:hAnsi="Symbol" w:hint="default"/>
      </w:rPr>
    </w:lvl>
    <w:lvl w:ilvl="2" w:tplc="0C090005">
      <w:start w:val="1"/>
      <w:numFmt w:val="bullet"/>
      <w:lvlText w:val=""/>
      <w:lvlJc w:val="left"/>
      <w:pPr>
        <w:ind w:left="2084" w:hanging="360"/>
      </w:pPr>
      <w:rPr>
        <w:rFonts w:ascii="Wingdings" w:hAnsi="Wingdings" w:hint="default"/>
      </w:rPr>
    </w:lvl>
    <w:lvl w:ilvl="3" w:tplc="0C090001">
      <w:start w:val="1"/>
      <w:numFmt w:val="bullet"/>
      <w:lvlText w:val=""/>
      <w:lvlJc w:val="left"/>
      <w:pPr>
        <w:ind w:left="2804" w:hanging="360"/>
      </w:pPr>
      <w:rPr>
        <w:rFonts w:ascii="Symbol" w:hAnsi="Symbol" w:hint="default"/>
      </w:rPr>
    </w:lvl>
    <w:lvl w:ilvl="4" w:tplc="0C090003">
      <w:start w:val="1"/>
      <w:numFmt w:val="bullet"/>
      <w:lvlText w:val="o"/>
      <w:lvlJc w:val="left"/>
      <w:pPr>
        <w:ind w:left="3524" w:hanging="360"/>
      </w:pPr>
      <w:rPr>
        <w:rFonts w:ascii="Courier New" w:hAnsi="Courier New" w:cs="Courier New" w:hint="default"/>
      </w:rPr>
    </w:lvl>
    <w:lvl w:ilvl="5" w:tplc="0C090005">
      <w:start w:val="1"/>
      <w:numFmt w:val="bullet"/>
      <w:lvlText w:val=""/>
      <w:lvlJc w:val="left"/>
      <w:pPr>
        <w:ind w:left="4244" w:hanging="360"/>
      </w:pPr>
      <w:rPr>
        <w:rFonts w:ascii="Wingdings" w:hAnsi="Wingdings" w:hint="default"/>
      </w:rPr>
    </w:lvl>
    <w:lvl w:ilvl="6" w:tplc="0C090001">
      <w:start w:val="1"/>
      <w:numFmt w:val="bullet"/>
      <w:lvlText w:val=""/>
      <w:lvlJc w:val="left"/>
      <w:pPr>
        <w:ind w:left="4964" w:hanging="360"/>
      </w:pPr>
      <w:rPr>
        <w:rFonts w:ascii="Symbol" w:hAnsi="Symbol" w:hint="default"/>
      </w:rPr>
    </w:lvl>
    <w:lvl w:ilvl="7" w:tplc="0C090003">
      <w:start w:val="1"/>
      <w:numFmt w:val="bullet"/>
      <w:lvlText w:val="o"/>
      <w:lvlJc w:val="left"/>
      <w:pPr>
        <w:ind w:left="5684" w:hanging="360"/>
      </w:pPr>
      <w:rPr>
        <w:rFonts w:ascii="Courier New" w:hAnsi="Courier New" w:cs="Courier New" w:hint="default"/>
      </w:rPr>
    </w:lvl>
    <w:lvl w:ilvl="8" w:tplc="0C090005">
      <w:start w:val="1"/>
      <w:numFmt w:val="bullet"/>
      <w:lvlText w:val=""/>
      <w:lvlJc w:val="left"/>
      <w:pPr>
        <w:ind w:left="6404" w:hanging="360"/>
      </w:pPr>
      <w:rPr>
        <w:rFonts w:ascii="Wingdings" w:hAnsi="Wingdings" w:hint="default"/>
      </w:rPr>
    </w:lvl>
  </w:abstractNum>
  <w:abstractNum w:abstractNumId="44" w15:restartNumberingAfterBreak="0">
    <w:nsid w:val="70E26B50"/>
    <w:multiLevelType w:val="hybridMultilevel"/>
    <w:tmpl w:val="30AA414C"/>
    <w:lvl w:ilvl="0" w:tplc="0C090017">
      <w:start w:val="1"/>
      <w:numFmt w:val="lowerLetter"/>
      <w:lvlText w:val="%1)"/>
      <w:lvlJc w:val="left"/>
      <w:pPr>
        <w:ind w:left="376" w:hanging="360"/>
      </w:pPr>
      <w:rPr>
        <w:rFonts w:hint="default"/>
      </w:rPr>
    </w:lvl>
    <w:lvl w:ilvl="1" w:tplc="0C090019" w:tentative="1">
      <w:start w:val="1"/>
      <w:numFmt w:val="lowerLetter"/>
      <w:lvlText w:val="%2."/>
      <w:lvlJc w:val="left"/>
      <w:pPr>
        <w:ind w:left="1096" w:hanging="360"/>
      </w:pPr>
    </w:lvl>
    <w:lvl w:ilvl="2" w:tplc="0C09001B" w:tentative="1">
      <w:start w:val="1"/>
      <w:numFmt w:val="lowerRoman"/>
      <w:lvlText w:val="%3."/>
      <w:lvlJc w:val="right"/>
      <w:pPr>
        <w:ind w:left="1816" w:hanging="180"/>
      </w:pPr>
    </w:lvl>
    <w:lvl w:ilvl="3" w:tplc="0C09000F" w:tentative="1">
      <w:start w:val="1"/>
      <w:numFmt w:val="decimal"/>
      <w:lvlText w:val="%4."/>
      <w:lvlJc w:val="left"/>
      <w:pPr>
        <w:ind w:left="2536" w:hanging="360"/>
      </w:pPr>
    </w:lvl>
    <w:lvl w:ilvl="4" w:tplc="0C090019" w:tentative="1">
      <w:start w:val="1"/>
      <w:numFmt w:val="lowerLetter"/>
      <w:lvlText w:val="%5."/>
      <w:lvlJc w:val="left"/>
      <w:pPr>
        <w:ind w:left="3256" w:hanging="360"/>
      </w:pPr>
    </w:lvl>
    <w:lvl w:ilvl="5" w:tplc="0C09001B" w:tentative="1">
      <w:start w:val="1"/>
      <w:numFmt w:val="lowerRoman"/>
      <w:lvlText w:val="%6."/>
      <w:lvlJc w:val="right"/>
      <w:pPr>
        <w:ind w:left="3976" w:hanging="180"/>
      </w:pPr>
    </w:lvl>
    <w:lvl w:ilvl="6" w:tplc="0C09000F" w:tentative="1">
      <w:start w:val="1"/>
      <w:numFmt w:val="decimal"/>
      <w:lvlText w:val="%7."/>
      <w:lvlJc w:val="left"/>
      <w:pPr>
        <w:ind w:left="4696" w:hanging="360"/>
      </w:pPr>
    </w:lvl>
    <w:lvl w:ilvl="7" w:tplc="0C090019" w:tentative="1">
      <w:start w:val="1"/>
      <w:numFmt w:val="lowerLetter"/>
      <w:lvlText w:val="%8."/>
      <w:lvlJc w:val="left"/>
      <w:pPr>
        <w:ind w:left="5416" w:hanging="360"/>
      </w:pPr>
    </w:lvl>
    <w:lvl w:ilvl="8" w:tplc="0C09001B" w:tentative="1">
      <w:start w:val="1"/>
      <w:numFmt w:val="lowerRoman"/>
      <w:lvlText w:val="%9."/>
      <w:lvlJc w:val="right"/>
      <w:pPr>
        <w:ind w:left="6136" w:hanging="180"/>
      </w:pPr>
    </w:lvl>
  </w:abstractNum>
  <w:abstractNum w:abstractNumId="45" w15:restartNumberingAfterBreak="0">
    <w:nsid w:val="76A84D1C"/>
    <w:multiLevelType w:val="hybridMultilevel"/>
    <w:tmpl w:val="BF6E5234"/>
    <w:lvl w:ilvl="0" w:tplc="55F298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6" w15:restartNumberingAfterBreak="0">
    <w:nsid w:val="7DB67F3C"/>
    <w:multiLevelType w:val="hybridMultilevel"/>
    <w:tmpl w:val="D0C6BBE4"/>
    <w:lvl w:ilvl="0" w:tplc="C1BE4010">
      <w:start w:val="3"/>
      <w:numFmt w:val="lowerLetter"/>
      <w:lvlText w:val="%1)"/>
      <w:lvlJc w:val="left"/>
      <w:pPr>
        <w:ind w:left="36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7" w15:restartNumberingAfterBreak="0">
    <w:nsid w:val="7FC458F2"/>
    <w:multiLevelType w:val="hybridMultilevel"/>
    <w:tmpl w:val="A074067E"/>
    <w:lvl w:ilvl="0" w:tplc="420C40BA">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0"/>
  </w:num>
  <w:num w:numId="5">
    <w:abstractNumId w:val="23"/>
  </w:num>
  <w:num w:numId="6">
    <w:abstractNumId w:val="39"/>
  </w:num>
  <w:num w:numId="7">
    <w:abstractNumId w:val="33"/>
  </w:num>
  <w:num w:numId="8">
    <w:abstractNumId w:val="38"/>
  </w:num>
  <w:num w:numId="9">
    <w:abstractNumId w:val="41"/>
  </w:num>
  <w:num w:numId="10">
    <w:abstractNumId w:val="16"/>
  </w:num>
  <w:num w:numId="11">
    <w:abstractNumId w:val="45"/>
  </w:num>
  <w:num w:numId="12">
    <w:abstractNumId w:val="14"/>
  </w:num>
  <w:num w:numId="13">
    <w:abstractNumId w:val="46"/>
  </w:num>
  <w:num w:numId="14">
    <w:abstractNumId w:val="34"/>
  </w:num>
  <w:num w:numId="1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2"/>
  </w:num>
  <w:num w:numId="17">
    <w:abstractNumId w:val="21"/>
  </w:num>
  <w:num w:numId="18">
    <w:abstractNumId w:val="3"/>
  </w:num>
  <w:num w:numId="19">
    <w:abstractNumId w:val="35"/>
  </w:num>
  <w:num w:numId="20">
    <w:abstractNumId w:val="20"/>
  </w:num>
  <w:num w:numId="21">
    <w:abstractNumId w:val="25"/>
  </w:num>
  <w:num w:numId="22">
    <w:abstractNumId w:val="15"/>
  </w:num>
  <w:num w:numId="23">
    <w:abstractNumId w:val="31"/>
  </w:num>
  <w:num w:numId="24">
    <w:abstractNumId w:val="43"/>
  </w:num>
  <w:num w:numId="25">
    <w:abstractNumId w:val="17"/>
  </w:num>
  <w:num w:numId="26">
    <w:abstractNumId w:val="37"/>
  </w:num>
  <w:num w:numId="27">
    <w:abstractNumId w:val="22"/>
  </w:num>
  <w:num w:numId="28">
    <w:abstractNumId w:val="30"/>
  </w:num>
  <w:num w:numId="29">
    <w:abstractNumId w:val="9"/>
  </w:num>
  <w:num w:numId="30">
    <w:abstractNumId w:val="5"/>
  </w:num>
  <w:num w:numId="31">
    <w:abstractNumId w:val="27"/>
  </w:num>
  <w:num w:numId="32">
    <w:abstractNumId w:val="36"/>
  </w:num>
  <w:num w:numId="33">
    <w:abstractNumId w:val="11"/>
  </w:num>
  <w:num w:numId="34">
    <w:abstractNumId w:val="4"/>
  </w:num>
  <w:num w:numId="35">
    <w:abstractNumId w:val="10"/>
  </w:num>
  <w:num w:numId="36">
    <w:abstractNumId w:val="8"/>
  </w:num>
  <w:num w:numId="37">
    <w:abstractNumId w:val="29"/>
  </w:num>
  <w:num w:numId="38">
    <w:abstractNumId w:val="47"/>
  </w:num>
  <w:num w:numId="39">
    <w:abstractNumId w:val="28"/>
  </w:num>
  <w:num w:numId="40">
    <w:abstractNumId w:val="26"/>
  </w:num>
  <w:num w:numId="41">
    <w:abstractNumId w:val="24"/>
  </w:num>
  <w:num w:numId="42">
    <w:abstractNumId w:val="12"/>
  </w:num>
  <w:num w:numId="43">
    <w:abstractNumId w:val="7"/>
  </w:num>
  <w:num w:numId="44">
    <w:abstractNumId w:val="13"/>
  </w:num>
  <w:num w:numId="45">
    <w:abstractNumId w:val="3"/>
  </w:num>
  <w:num w:numId="46">
    <w:abstractNumId w:val="18"/>
  </w:num>
  <w:num w:numId="47">
    <w:abstractNumId w:val="40"/>
  </w:num>
  <w:num w:numId="48">
    <w:abstractNumId w:val="44"/>
  </w:num>
  <w:num w:numId="49">
    <w:abstractNumId w:val="42"/>
  </w:num>
  <w:num w:numId="50">
    <w:abstractNumId w:val="19"/>
  </w:num>
  <w:num w:numId="51">
    <w:abstractNumId w:val="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284"/>
  <w:evenAndOddHeaders/>
  <w:drawingGridHorizontalSpacing w:val="100"/>
  <w:displayHorizontalDrawingGridEvery w:val="2"/>
  <w:characterSpacingControl w:val="doNotCompress"/>
  <w:hdrShapeDefaults>
    <o:shapedefaults v:ext="edit" spidmax="61441">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7582"/>
    <w:rsid w:val="00000963"/>
    <w:rsid w:val="00010667"/>
    <w:rsid w:val="00010FBF"/>
    <w:rsid w:val="000129D5"/>
    <w:rsid w:val="00015AE7"/>
    <w:rsid w:val="00016E21"/>
    <w:rsid w:val="0001719C"/>
    <w:rsid w:val="0002224E"/>
    <w:rsid w:val="000245E5"/>
    <w:rsid w:val="0002477F"/>
    <w:rsid w:val="000257F1"/>
    <w:rsid w:val="00026F91"/>
    <w:rsid w:val="00046B48"/>
    <w:rsid w:val="0004764C"/>
    <w:rsid w:val="00047F5D"/>
    <w:rsid w:val="0005011A"/>
    <w:rsid w:val="0005045A"/>
    <w:rsid w:val="00051C1E"/>
    <w:rsid w:val="0005364C"/>
    <w:rsid w:val="000539F9"/>
    <w:rsid w:val="00054C27"/>
    <w:rsid w:val="0005566F"/>
    <w:rsid w:val="00055EC3"/>
    <w:rsid w:val="000563CE"/>
    <w:rsid w:val="000575F2"/>
    <w:rsid w:val="00057B8C"/>
    <w:rsid w:val="000659B6"/>
    <w:rsid w:val="00066253"/>
    <w:rsid w:val="0006686F"/>
    <w:rsid w:val="0006722A"/>
    <w:rsid w:val="000732CF"/>
    <w:rsid w:val="00075B96"/>
    <w:rsid w:val="0008196A"/>
    <w:rsid w:val="00081B88"/>
    <w:rsid w:val="000837FA"/>
    <w:rsid w:val="00087DC8"/>
    <w:rsid w:val="000915ED"/>
    <w:rsid w:val="0009209D"/>
    <w:rsid w:val="00094241"/>
    <w:rsid w:val="0009463C"/>
    <w:rsid w:val="000969BD"/>
    <w:rsid w:val="000969BF"/>
    <w:rsid w:val="00096E81"/>
    <w:rsid w:val="000971BD"/>
    <w:rsid w:val="00097476"/>
    <w:rsid w:val="000A0C22"/>
    <w:rsid w:val="000A1400"/>
    <w:rsid w:val="000A1B6F"/>
    <w:rsid w:val="000A38EE"/>
    <w:rsid w:val="000A3C43"/>
    <w:rsid w:val="000A4369"/>
    <w:rsid w:val="000A4A51"/>
    <w:rsid w:val="000A5BE0"/>
    <w:rsid w:val="000A5D2B"/>
    <w:rsid w:val="000B0FB6"/>
    <w:rsid w:val="000B311E"/>
    <w:rsid w:val="000B4664"/>
    <w:rsid w:val="000B56EB"/>
    <w:rsid w:val="000B5DE3"/>
    <w:rsid w:val="000B5F6A"/>
    <w:rsid w:val="000C0A57"/>
    <w:rsid w:val="000C230C"/>
    <w:rsid w:val="000C3FD9"/>
    <w:rsid w:val="000C481B"/>
    <w:rsid w:val="000C4FBE"/>
    <w:rsid w:val="000C6AB4"/>
    <w:rsid w:val="000C6EA0"/>
    <w:rsid w:val="000D2C4C"/>
    <w:rsid w:val="000D71D9"/>
    <w:rsid w:val="000D76E0"/>
    <w:rsid w:val="000D7E8B"/>
    <w:rsid w:val="000E4449"/>
    <w:rsid w:val="000E6097"/>
    <w:rsid w:val="000F21C4"/>
    <w:rsid w:val="000F416E"/>
    <w:rsid w:val="00100599"/>
    <w:rsid w:val="00100753"/>
    <w:rsid w:val="0010267F"/>
    <w:rsid w:val="00103829"/>
    <w:rsid w:val="00111096"/>
    <w:rsid w:val="00111FCE"/>
    <w:rsid w:val="00113F84"/>
    <w:rsid w:val="001229A5"/>
    <w:rsid w:val="00122D60"/>
    <w:rsid w:val="00124176"/>
    <w:rsid w:val="0012489B"/>
    <w:rsid w:val="00130017"/>
    <w:rsid w:val="00130F91"/>
    <w:rsid w:val="001349ED"/>
    <w:rsid w:val="00137424"/>
    <w:rsid w:val="00140318"/>
    <w:rsid w:val="00141AD9"/>
    <w:rsid w:val="00146CE6"/>
    <w:rsid w:val="00147D69"/>
    <w:rsid w:val="00151D74"/>
    <w:rsid w:val="00152903"/>
    <w:rsid w:val="00153FD5"/>
    <w:rsid w:val="00155CB6"/>
    <w:rsid w:val="0015614F"/>
    <w:rsid w:val="001577C2"/>
    <w:rsid w:val="00162486"/>
    <w:rsid w:val="001633C4"/>
    <w:rsid w:val="001704D5"/>
    <w:rsid w:val="00171591"/>
    <w:rsid w:val="00173981"/>
    <w:rsid w:val="00173EF5"/>
    <w:rsid w:val="0017719D"/>
    <w:rsid w:val="00183FD7"/>
    <w:rsid w:val="00184783"/>
    <w:rsid w:val="00185CAB"/>
    <w:rsid w:val="001875B7"/>
    <w:rsid w:val="00187CB3"/>
    <w:rsid w:val="0019050A"/>
    <w:rsid w:val="001910D4"/>
    <w:rsid w:val="00191E70"/>
    <w:rsid w:val="00194902"/>
    <w:rsid w:val="00194EA9"/>
    <w:rsid w:val="0019717A"/>
    <w:rsid w:val="001976E3"/>
    <w:rsid w:val="00197C37"/>
    <w:rsid w:val="001A1A9B"/>
    <w:rsid w:val="001A44EC"/>
    <w:rsid w:val="001B18B0"/>
    <w:rsid w:val="001B28D9"/>
    <w:rsid w:val="001B58AA"/>
    <w:rsid w:val="001B5910"/>
    <w:rsid w:val="001B7B20"/>
    <w:rsid w:val="001B7E48"/>
    <w:rsid w:val="001C17CE"/>
    <w:rsid w:val="001C328E"/>
    <w:rsid w:val="001C36CA"/>
    <w:rsid w:val="001C44D1"/>
    <w:rsid w:val="001C5596"/>
    <w:rsid w:val="001C6AEE"/>
    <w:rsid w:val="001C7630"/>
    <w:rsid w:val="001D2A55"/>
    <w:rsid w:val="001D4DD0"/>
    <w:rsid w:val="001D57C2"/>
    <w:rsid w:val="001D6D15"/>
    <w:rsid w:val="001D734E"/>
    <w:rsid w:val="001E4462"/>
    <w:rsid w:val="001F07BD"/>
    <w:rsid w:val="001F3AB5"/>
    <w:rsid w:val="001F7558"/>
    <w:rsid w:val="00205B57"/>
    <w:rsid w:val="00205CFC"/>
    <w:rsid w:val="00207BC7"/>
    <w:rsid w:val="002157E0"/>
    <w:rsid w:val="00216A57"/>
    <w:rsid w:val="00217448"/>
    <w:rsid w:val="00217D47"/>
    <w:rsid w:val="0022334F"/>
    <w:rsid w:val="002255D2"/>
    <w:rsid w:val="00226819"/>
    <w:rsid w:val="00230C15"/>
    <w:rsid w:val="00233101"/>
    <w:rsid w:val="00233817"/>
    <w:rsid w:val="00235790"/>
    <w:rsid w:val="002367FF"/>
    <w:rsid w:val="002376C8"/>
    <w:rsid w:val="00240CE9"/>
    <w:rsid w:val="002434BA"/>
    <w:rsid w:val="00243CCA"/>
    <w:rsid w:val="00246089"/>
    <w:rsid w:val="00246093"/>
    <w:rsid w:val="002462DF"/>
    <w:rsid w:val="00246702"/>
    <w:rsid w:val="0024723B"/>
    <w:rsid w:val="00247BC4"/>
    <w:rsid w:val="00247C59"/>
    <w:rsid w:val="00247F2E"/>
    <w:rsid w:val="00250582"/>
    <w:rsid w:val="00250ADC"/>
    <w:rsid w:val="00250B07"/>
    <w:rsid w:val="0025505D"/>
    <w:rsid w:val="00257553"/>
    <w:rsid w:val="0026070D"/>
    <w:rsid w:val="00260FB2"/>
    <w:rsid w:val="00261897"/>
    <w:rsid w:val="00262128"/>
    <w:rsid w:val="00270426"/>
    <w:rsid w:val="0027165D"/>
    <w:rsid w:val="00273A8A"/>
    <w:rsid w:val="00273CEB"/>
    <w:rsid w:val="00281670"/>
    <w:rsid w:val="00281C89"/>
    <w:rsid w:val="0028282F"/>
    <w:rsid w:val="00284222"/>
    <w:rsid w:val="00284A74"/>
    <w:rsid w:val="0029536F"/>
    <w:rsid w:val="0029593B"/>
    <w:rsid w:val="00297FC5"/>
    <w:rsid w:val="002A0270"/>
    <w:rsid w:val="002A0417"/>
    <w:rsid w:val="002A16D8"/>
    <w:rsid w:val="002A1BC8"/>
    <w:rsid w:val="002A3EF2"/>
    <w:rsid w:val="002A5BA4"/>
    <w:rsid w:val="002A6282"/>
    <w:rsid w:val="002B0DED"/>
    <w:rsid w:val="002B19A2"/>
    <w:rsid w:val="002B379F"/>
    <w:rsid w:val="002B381A"/>
    <w:rsid w:val="002B4FCC"/>
    <w:rsid w:val="002B7408"/>
    <w:rsid w:val="002B7CFD"/>
    <w:rsid w:val="002C1480"/>
    <w:rsid w:val="002C172E"/>
    <w:rsid w:val="002C210F"/>
    <w:rsid w:val="002C3685"/>
    <w:rsid w:val="002D3600"/>
    <w:rsid w:val="002D746D"/>
    <w:rsid w:val="002E4DDC"/>
    <w:rsid w:val="002E7077"/>
    <w:rsid w:val="002F1AAD"/>
    <w:rsid w:val="002F4077"/>
    <w:rsid w:val="00300D93"/>
    <w:rsid w:val="00302480"/>
    <w:rsid w:val="00302758"/>
    <w:rsid w:val="00313059"/>
    <w:rsid w:val="00313EA2"/>
    <w:rsid w:val="00315E0F"/>
    <w:rsid w:val="003165E6"/>
    <w:rsid w:val="0031756D"/>
    <w:rsid w:val="003215B5"/>
    <w:rsid w:val="003221CF"/>
    <w:rsid w:val="003233ED"/>
    <w:rsid w:val="00324D9F"/>
    <w:rsid w:val="00327948"/>
    <w:rsid w:val="0033000F"/>
    <w:rsid w:val="00330952"/>
    <w:rsid w:val="00332011"/>
    <w:rsid w:val="00332518"/>
    <w:rsid w:val="00332925"/>
    <w:rsid w:val="003332ED"/>
    <w:rsid w:val="00333FE2"/>
    <w:rsid w:val="003368DC"/>
    <w:rsid w:val="0034255C"/>
    <w:rsid w:val="003431B0"/>
    <w:rsid w:val="00345927"/>
    <w:rsid w:val="00350584"/>
    <w:rsid w:val="00351857"/>
    <w:rsid w:val="00352357"/>
    <w:rsid w:val="003545E8"/>
    <w:rsid w:val="00360BFB"/>
    <w:rsid w:val="003610E1"/>
    <w:rsid w:val="003671BE"/>
    <w:rsid w:val="00372485"/>
    <w:rsid w:val="00373200"/>
    <w:rsid w:val="003739C4"/>
    <w:rsid w:val="0037589D"/>
    <w:rsid w:val="00375EF5"/>
    <w:rsid w:val="003767A5"/>
    <w:rsid w:val="003778B0"/>
    <w:rsid w:val="00381D15"/>
    <w:rsid w:val="00385254"/>
    <w:rsid w:val="00394C15"/>
    <w:rsid w:val="003A04DB"/>
    <w:rsid w:val="003A5F5B"/>
    <w:rsid w:val="003A6C0E"/>
    <w:rsid w:val="003A789A"/>
    <w:rsid w:val="003B0292"/>
    <w:rsid w:val="003B12EC"/>
    <w:rsid w:val="003C4DD2"/>
    <w:rsid w:val="003C77E0"/>
    <w:rsid w:val="003D17D7"/>
    <w:rsid w:val="003D2678"/>
    <w:rsid w:val="003D71A3"/>
    <w:rsid w:val="003E032B"/>
    <w:rsid w:val="003E2B8A"/>
    <w:rsid w:val="003E5555"/>
    <w:rsid w:val="003F10EE"/>
    <w:rsid w:val="003F16F6"/>
    <w:rsid w:val="003F4A4E"/>
    <w:rsid w:val="003F4AA4"/>
    <w:rsid w:val="003F4DC7"/>
    <w:rsid w:val="003F5235"/>
    <w:rsid w:val="004027E4"/>
    <w:rsid w:val="00407116"/>
    <w:rsid w:val="00410659"/>
    <w:rsid w:val="0041071D"/>
    <w:rsid w:val="00414AFC"/>
    <w:rsid w:val="004151A7"/>
    <w:rsid w:val="00415310"/>
    <w:rsid w:val="00421709"/>
    <w:rsid w:val="00423763"/>
    <w:rsid w:val="0042762F"/>
    <w:rsid w:val="00427DC7"/>
    <w:rsid w:val="00431613"/>
    <w:rsid w:val="00431792"/>
    <w:rsid w:val="0043297A"/>
    <w:rsid w:val="00432EB2"/>
    <w:rsid w:val="0043714F"/>
    <w:rsid w:val="00437582"/>
    <w:rsid w:val="004438B5"/>
    <w:rsid w:val="00447037"/>
    <w:rsid w:val="004500D4"/>
    <w:rsid w:val="004511C5"/>
    <w:rsid w:val="0045124D"/>
    <w:rsid w:val="00454596"/>
    <w:rsid w:val="0045605D"/>
    <w:rsid w:val="00456BC7"/>
    <w:rsid w:val="0046135B"/>
    <w:rsid w:val="00461D47"/>
    <w:rsid w:val="00463C25"/>
    <w:rsid w:val="004718CC"/>
    <w:rsid w:val="00473234"/>
    <w:rsid w:val="00481695"/>
    <w:rsid w:val="00491824"/>
    <w:rsid w:val="00492290"/>
    <w:rsid w:val="0049507A"/>
    <w:rsid w:val="00495A96"/>
    <w:rsid w:val="00495BB3"/>
    <w:rsid w:val="004A56BB"/>
    <w:rsid w:val="004A70D6"/>
    <w:rsid w:val="004B1751"/>
    <w:rsid w:val="004B54DD"/>
    <w:rsid w:val="004B6765"/>
    <w:rsid w:val="004B7FCA"/>
    <w:rsid w:val="004C0253"/>
    <w:rsid w:val="004C60C0"/>
    <w:rsid w:val="004C7C9C"/>
    <w:rsid w:val="004D5158"/>
    <w:rsid w:val="004D56FF"/>
    <w:rsid w:val="004E3262"/>
    <w:rsid w:val="004E39D3"/>
    <w:rsid w:val="004E508A"/>
    <w:rsid w:val="004E616D"/>
    <w:rsid w:val="004F1880"/>
    <w:rsid w:val="004F1BDE"/>
    <w:rsid w:val="004F2CEE"/>
    <w:rsid w:val="004F556E"/>
    <w:rsid w:val="004F591C"/>
    <w:rsid w:val="004F7F44"/>
    <w:rsid w:val="005002DF"/>
    <w:rsid w:val="00501360"/>
    <w:rsid w:val="005037B4"/>
    <w:rsid w:val="005063F5"/>
    <w:rsid w:val="0050657B"/>
    <w:rsid w:val="005079BF"/>
    <w:rsid w:val="0051269A"/>
    <w:rsid w:val="005144FA"/>
    <w:rsid w:val="005219E7"/>
    <w:rsid w:val="00521ED4"/>
    <w:rsid w:val="00527ABB"/>
    <w:rsid w:val="00531B9A"/>
    <w:rsid w:val="00531D15"/>
    <w:rsid w:val="00536112"/>
    <w:rsid w:val="00537604"/>
    <w:rsid w:val="00542377"/>
    <w:rsid w:val="00543FCD"/>
    <w:rsid w:val="005476EB"/>
    <w:rsid w:val="00551753"/>
    <w:rsid w:val="00551782"/>
    <w:rsid w:val="00563EF1"/>
    <w:rsid w:val="00566AB4"/>
    <w:rsid w:val="00575563"/>
    <w:rsid w:val="00575AC5"/>
    <w:rsid w:val="0057605D"/>
    <w:rsid w:val="00581347"/>
    <w:rsid w:val="00581AC9"/>
    <w:rsid w:val="005849F8"/>
    <w:rsid w:val="005938DF"/>
    <w:rsid w:val="00594E9C"/>
    <w:rsid w:val="005A099B"/>
    <w:rsid w:val="005A22D8"/>
    <w:rsid w:val="005A2D9C"/>
    <w:rsid w:val="005A3CBE"/>
    <w:rsid w:val="005A55FE"/>
    <w:rsid w:val="005A6A11"/>
    <w:rsid w:val="005A7573"/>
    <w:rsid w:val="005B1DA4"/>
    <w:rsid w:val="005B313F"/>
    <w:rsid w:val="005B37DA"/>
    <w:rsid w:val="005C37C5"/>
    <w:rsid w:val="005C45A2"/>
    <w:rsid w:val="005C66E6"/>
    <w:rsid w:val="005D2502"/>
    <w:rsid w:val="005D2575"/>
    <w:rsid w:val="005D40BB"/>
    <w:rsid w:val="005D47F3"/>
    <w:rsid w:val="005D49BF"/>
    <w:rsid w:val="005D4AA5"/>
    <w:rsid w:val="005D6F4E"/>
    <w:rsid w:val="005D7C73"/>
    <w:rsid w:val="005E250B"/>
    <w:rsid w:val="005E34F9"/>
    <w:rsid w:val="005E3ACD"/>
    <w:rsid w:val="005E7226"/>
    <w:rsid w:val="005E7A57"/>
    <w:rsid w:val="005F24B0"/>
    <w:rsid w:val="00601B57"/>
    <w:rsid w:val="00604315"/>
    <w:rsid w:val="00604E26"/>
    <w:rsid w:val="0060523F"/>
    <w:rsid w:val="006052CF"/>
    <w:rsid w:val="006065EE"/>
    <w:rsid w:val="00607B8D"/>
    <w:rsid w:val="00611F5C"/>
    <w:rsid w:val="006142C6"/>
    <w:rsid w:val="00614C40"/>
    <w:rsid w:val="006159DE"/>
    <w:rsid w:val="00616E09"/>
    <w:rsid w:val="00622378"/>
    <w:rsid w:val="00622A3B"/>
    <w:rsid w:val="00622E7A"/>
    <w:rsid w:val="00622EEA"/>
    <w:rsid w:val="0062396C"/>
    <w:rsid w:val="00623FF9"/>
    <w:rsid w:val="00627D4E"/>
    <w:rsid w:val="00631B7F"/>
    <w:rsid w:val="00632B89"/>
    <w:rsid w:val="0063346D"/>
    <w:rsid w:val="00634478"/>
    <w:rsid w:val="00634EBC"/>
    <w:rsid w:val="006416DB"/>
    <w:rsid w:val="00644373"/>
    <w:rsid w:val="00645915"/>
    <w:rsid w:val="00650075"/>
    <w:rsid w:val="006519C3"/>
    <w:rsid w:val="00652069"/>
    <w:rsid w:val="00652B30"/>
    <w:rsid w:val="0065607F"/>
    <w:rsid w:val="00656345"/>
    <w:rsid w:val="00656DC6"/>
    <w:rsid w:val="00660EC6"/>
    <w:rsid w:val="00664110"/>
    <w:rsid w:val="006643F3"/>
    <w:rsid w:val="00664D17"/>
    <w:rsid w:val="00666520"/>
    <w:rsid w:val="00667C5B"/>
    <w:rsid w:val="00670D75"/>
    <w:rsid w:val="00680763"/>
    <w:rsid w:val="00684800"/>
    <w:rsid w:val="00691EB8"/>
    <w:rsid w:val="00692CDE"/>
    <w:rsid w:val="00693073"/>
    <w:rsid w:val="006977FF"/>
    <w:rsid w:val="0069796B"/>
    <w:rsid w:val="006A01FA"/>
    <w:rsid w:val="006A0E9E"/>
    <w:rsid w:val="006A231B"/>
    <w:rsid w:val="006A2405"/>
    <w:rsid w:val="006A25C7"/>
    <w:rsid w:val="006A4AAD"/>
    <w:rsid w:val="006A6DA2"/>
    <w:rsid w:val="006A7AB2"/>
    <w:rsid w:val="006B4EC1"/>
    <w:rsid w:val="006B52DE"/>
    <w:rsid w:val="006B5717"/>
    <w:rsid w:val="006B582F"/>
    <w:rsid w:val="006B5EB2"/>
    <w:rsid w:val="006B7F20"/>
    <w:rsid w:val="006C0CEB"/>
    <w:rsid w:val="006C1631"/>
    <w:rsid w:val="006C3B1E"/>
    <w:rsid w:val="006C47FD"/>
    <w:rsid w:val="006C5C19"/>
    <w:rsid w:val="006C63AA"/>
    <w:rsid w:val="006C70A0"/>
    <w:rsid w:val="006D0BA5"/>
    <w:rsid w:val="006D27CB"/>
    <w:rsid w:val="006D2F08"/>
    <w:rsid w:val="006D3F51"/>
    <w:rsid w:val="006D576C"/>
    <w:rsid w:val="006D5865"/>
    <w:rsid w:val="006D7F66"/>
    <w:rsid w:val="006E4B1B"/>
    <w:rsid w:val="006E5445"/>
    <w:rsid w:val="006E7763"/>
    <w:rsid w:val="006E7D93"/>
    <w:rsid w:val="007029A3"/>
    <w:rsid w:val="00702EA1"/>
    <w:rsid w:val="00706E4E"/>
    <w:rsid w:val="007073F1"/>
    <w:rsid w:val="0070791C"/>
    <w:rsid w:val="00707A62"/>
    <w:rsid w:val="0071383C"/>
    <w:rsid w:val="007141A7"/>
    <w:rsid w:val="007152CD"/>
    <w:rsid w:val="00715722"/>
    <w:rsid w:val="007164EF"/>
    <w:rsid w:val="00720CD3"/>
    <w:rsid w:val="00721032"/>
    <w:rsid w:val="00721B55"/>
    <w:rsid w:val="00724366"/>
    <w:rsid w:val="00725C5E"/>
    <w:rsid w:val="00726CE4"/>
    <w:rsid w:val="00731B9F"/>
    <w:rsid w:val="00734143"/>
    <w:rsid w:val="00734727"/>
    <w:rsid w:val="00735CD9"/>
    <w:rsid w:val="007366E1"/>
    <w:rsid w:val="00737E47"/>
    <w:rsid w:val="00740EAC"/>
    <w:rsid w:val="00743EC3"/>
    <w:rsid w:val="00744956"/>
    <w:rsid w:val="00745A5C"/>
    <w:rsid w:val="0074605F"/>
    <w:rsid w:val="00747E94"/>
    <w:rsid w:val="00747F43"/>
    <w:rsid w:val="0075348B"/>
    <w:rsid w:val="00753E7A"/>
    <w:rsid w:val="00754C83"/>
    <w:rsid w:val="00761E5C"/>
    <w:rsid w:val="00765DF8"/>
    <w:rsid w:val="00766749"/>
    <w:rsid w:val="00767C1B"/>
    <w:rsid w:val="007714A9"/>
    <w:rsid w:val="00774F88"/>
    <w:rsid w:val="00774FDB"/>
    <w:rsid w:val="00775126"/>
    <w:rsid w:val="00777BA2"/>
    <w:rsid w:val="00781408"/>
    <w:rsid w:val="007832E7"/>
    <w:rsid w:val="00784F7F"/>
    <w:rsid w:val="007878BD"/>
    <w:rsid w:val="0079439A"/>
    <w:rsid w:val="00796F25"/>
    <w:rsid w:val="007A1592"/>
    <w:rsid w:val="007A2E98"/>
    <w:rsid w:val="007A3BA3"/>
    <w:rsid w:val="007A6CC0"/>
    <w:rsid w:val="007A7FEC"/>
    <w:rsid w:val="007B0D46"/>
    <w:rsid w:val="007B1499"/>
    <w:rsid w:val="007B18EC"/>
    <w:rsid w:val="007B1BBF"/>
    <w:rsid w:val="007B2960"/>
    <w:rsid w:val="007B355D"/>
    <w:rsid w:val="007B7980"/>
    <w:rsid w:val="007C0DEF"/>
    <w:rsid w:val="007C13D2"/>
    <w:rsid w:val="007C5D5A"/>
    <w:rsid w:val="007C607F"/>
    <w:rsid w:val="007C636E"/>
    <w:rsid w:val="007C6B32"/>
    <w:rsid w:val="007C6E44"/>
    <w:rsid w:val="007C79DD"/>
    <w:rsid w:val="007D186A"/>
    <w:rsid w:val="007D1A97"/>
    <w:rsid w:val="007D26F7"/>
    <w:rsid w:val="007D2CD6"/>
    <w:rsid w:val="007D3063"/>
    <w:rsid w:val="007D3CEB"/>
    <w:rsid w:val="007E3375"/>
    <w:rsid w:val="007E3700"/>
    <w:rsid w:val="007E7683"/>
    <w:rsid w:val="007F49FA"/>
    <w:rsid w:val="007F54C4"/>
    <w:rsid w:val="007F6E9A"/>
    <w:rsid w:val="0080082E"/>
    <w:rsid w:val="00800CCD"/>
    <w:rsid w:val="008044D4"/>
    <w:rsid w:val="00810AB4"/>
    <w:rsid w:val="00810F4E"/>
    <w:rsid w:val="008171B1"/>
    <w:rsid w:val="00817B56"/>
    <w:rsid w:val="00820299"/>
    <w:rsid w:val="008203A9"/>
    <w:rsid w:val="00821A88"/>
    <w:rsid w:val="0082495D"/>
    <w:rsid w:val="00831AC3"/>
    <w:rsid w:val="00836FCE"/>
    <w:rsid w:val="008408FF"/>
    <w:rsid w:val="00845A31"/>
    <w:rsid w:val="00847191"/>
    <w:rsid w:val="00851F3F"/>
    <w:rsid w:val="00853AE1"/>
    <w:rsid w:val="00854A2B"/>
    <w:rsid w:val="00855686"/>
    <w:rsid w:val="0085618F"/>
    <w:rsid w:val="00856EDC"/>
    <w:rsid w:val="008623B5"/>
    <w:rsid w:val="008677B7"/>
    <w:rsid w:val="00870ABA"/>
    <w:rsid w:val="008710E1"/>
    <w:rsid w:val="008716E5"/>
    <w:rsid w:val="008738BA"/>
    <w:rsid w:val="00873F8A"/>
    <w:rsid w:val="008762A7"/>
    <w:rsid w:val="00881CA9"/>
    <w:rsid w:val="00883628"/>
    <w:rsid w:val="00885439"/>
    <w:rsid w:val="00885544"/>
    <w:rsid w:val="0088634E"/>
    <w:rsid w:val="00893AB8"/>
    <w:rsid w:val="008945C3"/>
    <w:rsid w:val="00896CED"/>
    <w:rsid w:val="008A028E"/>
    <w:rsid w:val="008A04C8"/>
    <w:rsid w:val="008A0EC3"/>
    <w:rsid w:val="008A2FDF"/>
    <w:rsid w:val="008A4F04"/>
    <w:rsid w:val="008A6913"/>
    <w:rsid w:val="008B1AA2"/>
    <w:rsid w:val="008B393B"/>
    <w:rsid w:val="008B70F3"/>
    <w:rsid w:val="008B71C4"/>
    <w:rsid w:val="008B76DF"/>
    <w:rsid w:val="008C051C"/>
    <w:rsid w:val="008C10F4"/>
    <w:rsid w:val="008C53B4"/>
    <w:rsid w:val="008C65F7"/>
    <w:rsid w:val="008D1819"/>
    <w:rsid w:val="008D1BAF"/>
    <w:rsid w:val="008D2CD1"/>
    <w:rsid w:val="008E2B04"/>
    <w:rsid w:val="008E4767"/>
    <w:rsid w:val="008E6028"/>
    <w:rsid w:val="008E7A8C"/>
    <w:rsid w:val="008F0171"/>
    <w:rsid w:val="008F1E35"/>
    <w:rsid w:val="008F796B"/>
    <w:rsid w:val="0090203B"/>
    <w:rsid w:val="00903285"/>
    <w:rsid w:val="00905AEF"/>
    <w:rsid w:val="00906F40"/>
    <w:rsid w:val="0090731E"/>
    <w:rsid w:val="00907A29"/>
    <w:rsid w:val="00907AF6"/>
    <w:rsid w:val="00915B1C"/>
    <w:rsid w:val="00915C36"/>
    <w:rsid w:val="009174F3"/>
    <w:rsid w:val="0091797D"/>
    <w:rsid w:val="00923CBA"/>
    <w:rsid w:val="009242EB"/>
    <w:rsid w:val="00926703"/>
    <w:rsid w:val="00927691"/>
    <w:rsid w:val="00927A5F"/>
    <w:rsid w:val="00930510"/>
    <w:rsid w:val="00935B63"/>
    <w:rsid w:val="0094078F"/>
    <w:rsid w:val="00940FA3"/>
    <w:rsid w:val="00941FB0"/>
    <w:rsid w:val="009426D4"/>
    <w:rsid w:val="00942834"/>
    <w:rsid w:val="009438EC"/>
    <w:rsid w:val="00947F25"/>
    <w:rsid w:val="00950159"/>
    <w:rsid w:val="00951D44"/>
    <w:rsid w:val="0095490B"/>
    <w:rsid w:val="00955191"/>
    <w:rsid w:val="00955C40"/>
    <w:rsid w:val="00960A33"/>
    <w:rsid w:val="00961173"/>
    <w:rsid w:val="00963123"/>
    <w:rsid w:val="00971914"/>
    <w:rsid w:val="00973919"/>
    <w:rsid w:val="00974363"/>
    <w:rsid w:val="00981898"/>
    <w:rsid w:val="009818B8"/>
    <w:rsid w:val="00984F31"/>
    <w:rsid w:val="00990C80"/>
    <w:rsid w:val="0099577C"/>
    <w:rsid w:val="00996BB7"/>
    <w:rsid w:val="009B0893"/>
    <w:rsid w:val="009B24A5"/>
    <w:rsid w:val="009B2601"/>
    <w:rsid w:val="009B4E9E"/>
    <w:rsid w:val="009B53FB"/>
    <w:rsid w:val="009C1690"/>
    <w:rsid w:val="009C6881"/>
    <w:rsid w:val="009C7759"/>
    <w:rsid w:val="009D043D"/>
    <w:rsid w:val="009D07C8"/>
    <w:rsid w:val="009D1D05"/>
    <w:rsid w:val="009D6C71"/>
    <w:rsid w:val="009E022E"/>
    <w:rsid w:val="009E0631"/>
    <w:rsid w:val="009E16D0"/>
    <w:rsid w:val="009E2051"/>
    <w:rsid w:val="009E38FD"/>
    <w:rsid w:val="009E5268"/>
    <w:rsid w:val="009F06F7"/>
    <w:rsid w:val="009F13D6"/>
    <w:rsid w:val="009F4C6B"/>
    <w:rsid w:val="009F78A8"/>
    <w:rsid w:val="00A02AD6"/>
    <w:rsid w:val="00A07096"/>
    <w:rsid w:val="00A07318"/>
    <w:rsid w:val="00A11370"/>
    <w:rsid w:val="00A17FA3"/>
    <w:rsid w:val="00A224CE"/>
    <w:rsid w:val="00A22522"/>
    <w:rsid w:val="00A24328"/>
    <w:rsid w:val="00A2440D"/>
    <w:rsid w:val="00A24882"/>
    <w:rsid w:val="00A24AFD"/>
    <w:rsid w:val="00A24F5C"/>
    <w:rsid w:val="00A32F96"/>
    <w:rsid w:val="00A33907"/>
    <w:rsid w:val="00A40871"/>
    <w:rsid w:val="00A40B3D"/>
    <w:rsid w:val="00A412AB"/>
    <w:rsid w:val="00A4193E"/>
    <w:rsid w:val="00A42773"/>
    <w:rsid w:val="00A440E0"/>
    <w:rsid w:val="00A442EF"/>
    <w:rsid w:val="00A47A39"/>
    <w:rsid w:val="00A51D1A"/>
    <w:rsid w:val="00A5418D"/>
    <w:rsid w:val="00A5474E"/>
    <w:rsid w:val="00A64234"/>
    <w:rsid w:val="00A70ADF"/>
    <w:rsid w:val="00A71466"/>
    <w:rsid w:val="00A72A2A"/>
    <w:rsid w:val="00A74B5E"/>
    <w:rsid w:val="00A755A5"/>
    <w:rsid w:val="00A80177"/>
    <w:rsid w:val="00A81BED"/>
    <w:rsid w:val="00A81EC4"/>
    <w:rsid w:val="00A824E8"/>
    <w:rsid w:val="00A90828"/>
    <w:rsid w:val="00A90F26"/>
    <w:rsid w:val="00A91EE9"/>
    <w:rsid w:val="00A9457C"/>
    <w:rsid w:val="00A963D3"/>
    <w:rsid w:val="00A967FD"/>
    <w:rsid w:val="00AA1819"/>
    <w:rsid w:val="00AA2DE5"/>
    <w:rsid w:val="00AA3398"/>
    <w:rsid w:val="00AA4546"/>
    <w:rsid w:val="00AB156C"/>
    <w:rsid w:val="00AB6814"/>
    <w:rsid w:val="00AB7503"/>
    <w:rsid w:val="00AC04BA"/>
    <w:rsid w:val="00AC0E39"/>
    <w:rsid w:val="00AC4B09"/>
    <w:rsid w:val="00AC6E8D"/>
    <w:rsid w:val="00AD0534"/>
    <w:rsid w:val="00AD1C8C"/>
    <w:rsid w:val="00AD1CA9"/>
    <w:rsid w:val="00AD3082"/>
    <w:rsid w:val="00AD32B4"/>
    <w:rsid w:val="00AD4AD0"/>
    <w:rsid w:val="00AD5436"/>
    <w:rsid w:val="00AD60CD"/>
    <w:rsid w:val="00AD6C8C"/>
    <w:rsid w:val="00AD6CAB"/>
    <w:rsid w:val="00AE091D"/>
    <w:rsid w:val="00AE0995"/>
    <w:rsid w:val="00AE2C25"/>
    <w:rsid w:val="00AE3B60"/>
    <w:rsid w:val="00AE461C"/>
    <w:rsid w:val="00AE53A1"/>
    <w:rsid w:val="00AF2484"/>
    <w:rsid w:val="00AF63E7"/>
    <w:rsid w:val="00AF64F5"/>
    <w:rsid w:val="00AF6E17"/>
    <w:rsid w:val="00B0165D"/>
    <w:rsid w:val="00B01B10"/>
    <w:rsid w:val="00B01B60"/>
    <w:rsid w:val="00B031F3"/>
    <w:rsid w:val="00B052A4"/>
    <w:rsid w:val="00B125DE"/>
    <w:rsid w:val="00B13FAC"/>
    <w:rsid w:val="00B13FDD"/>
    <w:rsid w:val="00B22EB2"/>
    <w:rsid w:val="00B2695B"/>
    <w:rsid w:val="00B27442"/>
    <w:rsid w:val="00B30EB0"/>
    <w:rsid w:val="00B31167"/>
    <w:rsid w:val="00B329D8"/>
    <w:rsid w:val="00B32BB9"/>
    <w:rsid w:val="00B33AE1"/>
    <w:rsid w:val="00B37C38"/>
    <w:rsid w:val="00B4104F"/>
    <w:rsid w:val="00B4288C"/>
    <w:rsid w:val="00B43262"/>
    <w:rsid w:val="00B437DC"/>
    <w:rsid w:val="00B43D5F"/>
    <w:rsid w:val="00B44100"/>
    <w:rsid w:val="00B46CBA"/>
    <w:rsid w:val="00B46F94"/>
    <w:rsid w:val="00B53EE3"/>
    <w:rsid w:val="00B6003C"/>
    <w:rsid w:val="00B61F03"/>
    <w:rsid w:val="00B626E4"/>
    <w:rsid w:val="00B70035"/>
    <w:rsid w:val="00B72F4A"/>
    <w:rsid w:val="00B80C39"/>
    <w:rsid w:val="00B8248B"/>
    <w:rsid w:val="00B83C27"/>
    <w:rsid w:val="00B843DD"/>
    <w:rsid w:val="00B84BC3"/>
    <w:rsid w:val="00B84BDD"/>
    <w:rsid w:val="00B926A7"/>
    <w:rsid w:val="00B92812"/>
    <w:rsid w:val="00B950EE"/>
    <w:rsid w:val="00BB45A1"/>
    <w:rsid w:val="00BB7686"/>
    <w:rsid w:val="00BC23F9"/>
    <w:rsid w:val="00BC3421"/>
    <w:rsid w:val="00BC732C"/>
    <w:rsid w:val="00BD0C0A"/>
    <w:rsid w:val="00BD4421"/>
    <w:rsid w:val="00BD7249"/>
    <w:rsid w:val="00BE10F9"/>
    <w:rsid w:val="00BE2580"/>
    <w:rsid w:val="00BE266D"/>
    <w:rsid w:val="00BE35CB"/>
    <w:rsid w:val="00BE3938"/>
    <w:rsid w:val="00BE4C11"/>
    <w:rsid w:val="00BE6805"/>
    <w:rsid w:val="00BE71C0"/>
    <w:rsid w:val="00BF4D7D"/>
    <w:rsid w:val="00BF610C"/>
    <w:rsid w:val="00C0060B"/>
    <w:rsid w:val="00C012C3"/>
    <w:rsid w:val="00C01A6C"/>
    <w:rsid w:val="00C0277D"/>
    <w:rsid w:val="00C053A1"/>
    <w:rsid w:val="00C12BF4"/>
    <w:rsid w:val="00C1595D"/>
    <w:rsid w:val="00C16198"/>
    <w:rsid w:val="00C17A8A"/>
    <w:rsid w:val="00C2083D"/>
    <w:rsid w:val="00C24A53"/>
    <w:rsid w:val="00C34A05"/>
    <w:rsid w:val="00C353FC"/>
    <w:rsid w:val="00C35CCE"/>
    <w:rsid w:val="00C4032F"/>
    <w:rsid w:val="00C44047"/>
    <w:rsid w:val="00C45155"/>
    <w:rsid w:val="00C5498F"/>
    <w:rsid w:val="00C55235"/>
    <w:rsid w:val="00C63380"/>
    <w:rsid w:val="00C64CD0"/>
    <w:rsid w:val="00C6684F"/>
    <w:rsid w:val="00C70E70"/>
    <w:rsid w:val="00C729E8"/>
    <w:rsid w:val="00C75F8D"/>
    <w:rsid w:val="00C7667D"/>
    <w:rsid w:val="00C77380"/>
    <w:rsid w:val="00C82418"/>
    <w:rsid w:val="00C82940"/>
    <w:rsid w:val="00C830A7"/>
    <w:rsid w:val="00C86D2D"/>
    <w:rsid w:val="00C87E8A"/>
    <w:rsid w:val="00C924E4"/>
    <w:rsid w:val="00C96DC9"/>
    <w:rsid w:val="00C97736"/>
    <w:rsid w:val="00CA0A91"/>
    <w:rsid w:val="00CA25F1"/>
    <w:rsid w:val="00CA345A"/>
    <w:rsid w:val="00CA3E75"/>
    <w:rsid w:val="00CB1B77"/>
    <w:rsid w:val="00CB1E82"/>
    <w:rsid w:val="00CB4547"/>
    <w:rsid w:val="00CB4BA8"/>
    <w:rsid w:val="00CB52D7"/>
    <w:rsid w:val="00CB7E2C"/>
    <w:rsid w:val="00CC490E"/>
    <w:rsid w:val="00CC6566"/>
    <w:rsid w:val="00CC6732"/>
    <w:rsid w:val="00CD3378"/>
    <w:rsid w:val="00CD6651"/>
    <w:rsid w:val="00CD69E1"/>
    <w:rsid w:val="00CE0BB5"/>
    <w:rsid w:val="00CE12D0"/>
    <w:rsid w:val="00CE3C96"/>
    <w:rsid w:val="00CE4AB8"/>
    <w:rsid w:val="00CE51A8"/>
    <w:rsid w:val="00CE7FCD"/>
    <w:rsid w:val="00CF27B7"/>
    <w:rsid w:val="00CF369B"/>
    <w:rsid w:val="00CF3B6D"/>
    <w:rsid w:val="00CF45B7"/>
    <w:rsid w:val="00CF5AD5"/>
    <w:rsid w:val="00D00329"/>
    <w:rsid w:val="00D00E28"/>
    <w:rsid w:val="00D0269E"/>
    <w:rsid w:val="00D03CE5"/>
    <w:rsid w:val="00D05D6C"/>
    <w:rsid w:val="00D0657A"/>
    <w:rsid w:val="00D068A9"/>
    <w:rsid w:val="00D13CF6"/>
    <w:rsid w:val="00D155ED"/>
    <w:rsid w:val="00D15810"/>
    <w:rsid w:val="00D16D4E"/>
    <w:rsid w:val="00D16FE3"/>
    <w:rsid w:val="00D23A10"/>
    <w:rsid w:val="00D27904"/>
    <w:rsid w:val="00D27F41"/>
    <w:rsid w:val="00D36441"/>
    <w:rsid w:val="00D375B6"/>
    <w:rsid w:val="00D37C9C"/>
    <w:rsid w:val="00D4064E"/>
    <w:rsid w:val="00D414E9"/>
    <w:rsid w:val="00D42EF0"/>
    <w:rsid w:val="00D43C4A"/>
    <w:rsid w:val="00D44E9B"/>
    <w:rsid w:val="00D45422"/>
    <w:rsid w:val="00D45FD2"/>
    <w:rsid w:val="00D46D26"/>
    <w:rsid w:val="00D47AEB"/>
    <w:rsid w:val="00D50DB9"/>
    <w:rsid w:val="00D51302"/>
    <w:rsid w:val="00D51918"/>
    <w:rsid w:val="00D52C43"/>
    <w:rsid w:val="00D6507F"/>
    <w:rsid w:val="00D6694A"/>
    <w:rsid w:val="00D67B4C"/>
    <w:rsid w:val="00D730BC"/>
    <w:rsid w:val="00D73912"/>
    <w:rsid w:val="00D81623"/>
    <w:rsid w:val="00D8167E"/>
    <w:rsid w:val="00D8269A"/>
    <w:rsid w:val="00D82A64"/>
    <w:rsid w:val="00D85226"/>
    <w:rsid w:val="00D85CD4"/>
    <w:rsid w:val="00D86D3B"/>
    <w:rsid w:val="00D8773C"/>
    <w:rsid w:val="00D87B94"/>
    <w:rsid w:val="00D92825"/>
    <w:rsid w:val="00D92D49"/>
    <w:rsid w:val="00D92EC1"/>
    <w:rsid w:val="00D9408A"/>
    <w:rsid w:val="00D96DEA"/>
    <w:rsid w:val="00DA4125"/>
    <w:rsid w:val="00DA4E41"/>
    <w:rsid w:val="00DA7ED6"/>
    <w:rsid w:val="00DB09DB"/>
    <w:rsid w:val="00DB117A"/>
    <w:rsid w:val="00DB3A64"/>
    <w:rsid w:val="00DB5173"/>
    <w:rsid w:val="00DB7873"/>
    <w:rsid w:val="00DC187B"/>
    <w:rsid w:val="00DC27D4"/>
    <w:rsid w:val="00DC7DEF"/>
    <w:rsid w:val="00DD18A4"/>
    <w:rsid w:val="00DD1A43"/>
    <w:rsid w:val="00DD320C"/>
    <w:rsid w:val="00DD73C2"/>
    <w:rsid w:val="00DE2932"/>
    <w:rsid w:val="00DE319B"/>
    <w:rsid w:val="00DF0799"/>
    <w:rsid w:val="00DF34FE"/>
    <w:rsid w:val="00DF56AA"/>
    <w:rsid w:val="00DF56AF"/>
    <w:rsid w:val="00DF78E7"/>
    <w:rsid w:val="00E04689"/>
    <w:rsid w:val="00E110E0"/>
    <w:rsid w:val="00E12480"/>
    <w:rsid w:val="00E15371"/>
    <w:rsid w:val="00E228A1"/>
    <w:rsid w:val="00E23372"/>
    <w:rsid w:val="00E24104"/>
    <w:rsid w:val="00E26D96"/>
    <w:rsid w:val="00E27711"/>
    <w:rsid w:val="00E302D0"/>
    <w:rsid w:val="00E35707"/>
    <w:rsid w:val="00E36AA1"/>
    <w:rsid w:val="00E41D38"/>
    <w:rsid w:val="00E41ECB"/>
    <w:rsid w:val="00E42676"/>
    <w:rsid w:val="00E448E6"/>
    <w:rsid w:val="00E45303"/>
    <w:rsid w:val="00E5112D"/>
    <w:rsid w:val="00E54FDB"/>
    <w:rsid w:val="00E5617D"/>
    <w:rsid w:val="00E563D7"/>
    <w:rsid w:val="00E631E5"/>
    <w:rsid w:val="00E663F4"/>
    <w:rsid w:val="00E666F2"/>
    <w:rsid w:val="00E66DD4"/>
    <w:rsid w:val="00E67B1A"/>
    <w:rsid w:val="00E748CC"/>
    <w:rsid w:val="00E75415"/>
    <w:rsid w:val="00E775B1"/>
    <w:rsid w:val="00E77F1A"/>
    <w:rsid w:val="00E8152A"/>
    <w:rsid w:val="00E83EB8"/>
    <w:rsid w:val="00E93629"/>
    <w:rsid w:val="00E93AE0"/>
    <w:rsid w:val="00E93B5C"/>
    <w:rsid w:val="00E94CEC"/>
    <w:rsid w:val="00E96208"/>
    <w:rsid w:val="00EA04EF"/>
    <w:rsid w:val="00EA6F19"/>
    <w:rsid w:val="00EB0048"/>
    <w:rsid w:val="00EB0AE5"/>
    <w:rsid w:val="00EB3948"/>
    <w:rsid w:val="00EB7090"/>
    <w:rsid w:val="00EC15E6"/>
    <w:rsid w:val="00EC1BBE"/>
    <w:rsid w:val="00EC2B68"/>
    <w:rsid w:val="00EC3AEF"/>
    <w:rsid w:val="00EC5CD7"/>
    <w:rsid w:val="00ED2E5E"/>
    <w:rsid w:val="00EE5FB3"/>
    <w:rsid w:val="00EE7F79"/>
    <w:rsid w:val="00EF0AF2"/>
    <w:rsid w:val="00EF470C"/>
    <w:rsid w:val="00EF715A"/>
    <w:rsid w:val="00F0061B"/>
    <w:rsid w:val="00F01BC3"/>
    <w:rsid w:val="00F06E14"/>
    <w:rsid w:val="00F10E6C"/>
    <w:rsid w:val="00F14697"/>
    <w:rsid w:val="00F179D4"/>
    <w:rsid w:val="00F2190D"/>
    <w:rsid w:val="00F23DE7"/>
    <w:rsid w:val="00F256E0"/>
    <w:rsid w:val="00F25F1B"/>
    <w:rsid w:val="00F33C56"/>
    <w:rsid w:val="00F34352"/>
    <w:rsid w:val="00F347C7"/>
    <w:rsid w:val="00F34848"/>
    <w:rsid w:val="00F41F5F"/>
    <w:rsid w:val="00F42D46"/>
    <w:rsid w:val="00F4496C"/>
    <w:rsid w:val="00F44F3A"/>
    <w:rsid w:val="00F45DD5"/>
    <w:rsid w:val="00F51F10"/>
    <w:rsid w:val="00F529A5"/>
    <w:rsid w:val="00F55BC6"/>
    <w:rsid w:val="00F55DCB"/>
    <w:rsid w:val="00F60F00"/>
    <w:rsid w:val="00F614C0"/>
    <w:rsid w:val="00F61C77"/>
    <w:rsid w:val="00F61C8A"/>
    <w:rsid w:val="00F67FD9"/>
    <w:rsid w:val="00F750D0"/>
    <w:rsid w:val="00F82931"/>
    <w:rsid w:val="00F83848"/>
    <w:rsid w:val="00F85432"/>
    <w:rsid w:val="00F975E9"/>
    <w:rsid w:val="00F97FDB"/>
    <w:rsid w:val="00FA0FCC"/>
    <w:rsid w:val="00FA1B7D"/>
    <w:rsid w:val="00FC07B9"/>
    <w:rsid w:val="00FC4E21"/>
    <w:rsid w:val="00FC5F6D"/>
    <w:rsid w:val="00FD0107"/>
    <w:rsid w:val="00FD0518"/>
    <w:rsid w:val="00FD2C2F"/>
    <w:rsid w:val="00FD3B31"/>
    <w:rsid w:val="00FD3BEB"/>
    <w:rsid w:val="00FE1823"/>
    <w:rsid w:val="00FE487A"/>
    <w:rsid w:val="00FE5854"/>
    <w:rsid w:val="00FF0569"/>
    <w:rsid w:val="00FF1C33"/>
    <w:rsid w:val="00FF206E"/>
    <w:rsid w:val="00FF3C69"/>
    <w:rsid w:val="00FF4063"/>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41">
      <o:colormru v:ext="edit" colors="red,#4d4d4f"/>
    </o:shapedefaults>
    <o:shapelayout v:ext="edit">
      <o:idmap v:ext="edit" data="1"/>
    </o:shapelayout>
  </w:shapeDefaults>
  <w:decimalSymbol w:val="."/>
  <w:listSeparator w:val=","/>
  <w14:docId w14:val="113B0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heading 1" w:qFormat="1"/>
    <w:lsdException w:name="heading 2" w:uiPriority="1" w:qFormat="1"/>
    <w:lsdException w:name="heading 3"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qFormat="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CE0BB5"/>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Paragraph"/>
    <w:link w:val="Heading2Char"/>
    <w:uiPriority w:val="1"/>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uiPriority w:val="2"/>
    <w:qFormat/>
    <w:rsid w:val="00C55235"/>
    <w:pPr>
      <w:keepNext/>
      <w:spacing w:before="60" w:after="60"/>
      <w:outlineLvl w:val="2"/>
    </w:pPr>
    <w:rPr>
      <w:rFonts w:cs="Arial"/>
      <w:b/>
      <w:bCs/>
      <w:szCs w:val="26"/>
    </w:rPr>
  </w:style>
  <w:style w:type="paragraph" w:styleId="Heading4">
    <w:name w:val="heading 4"/>
    <w:basedOn w:val="BodySubHeader"/>
    <w:next w:val="Normal"/>
    <w:uiPriority w:val="2"/>
    <w:qFormat/>
    <w:rsid w:val="0085618F"/>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semiHidden/>
    <w:qFormat/>
    <w:rsid w:val="00E8152A"/>
    <w:pPr>
      <w:numPr>
        <w:numId w:val="9"/>
      </w:numPr>
      <w:spacing w:after="0"/>
    </w:pPr>
    <w:rPr>
      <w:b/>
      <w:bCs/>
      <w:color w:val="323232"/>
      <w:szCs w:val="20"/>
    </w:rPr>
  </w:style>
  <w:style w:type="paragraph" w:customStyle="1" w:styleId="BodySubHeader">
    <w:name w:val="BodySubHeader"/>
    <w:basedOn w:val="Normal"/>
    <w:next w:val="Normal"/>
    <w:semiHidden/>
    <w:rsid w:val="00146CE6"/>
    <w:pPr>
      <w:spacing w:before="240" w:after="0"/>
    </w:pPr>
    <w:rPr>
      <w:b/>
      <w:i/>
    </w:rPr>
  </w:style>
  <w:style w:type="paragraph" w:styleId="ListBullet">
    <w:name w:val="List Bullet"/>
    <w:basedOn w:val="Normal"/>
    <w:link w:val="ListBulletChar"/>
    <w:qFormat/>
    <w:rsid w:val="001C6AEE"/>
    <w:pPr>
      <w:numPr>
        <w:numId w:val="1"/>
      </w:numPr>
      <w:spacing w:after="80"/>
    </w:p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semiHidden/>
    <w:qFormat/>
    <w:rsid w:val="00C24A53"/>
    <w:pPr>
      <w:numPr>
        <w:numId w:val="3"/>
      </w:numPr>
      <w:spacing w:after="80"/>
    </w:pPr>
  </w:style>
  <w:style w:type="paragraph" w:styleId="ListNumber2">
    <w:name w:val="List Number 2"/>
    <w:basedOn w:val="Normal"/>
    <w:semiHidden/>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C35CCE"/>
    <w:rPr>
      <w:color w:val="0000FF"/>
      <w:u w:val="single" w:color="0000FF"/>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Style 13,FR"/>
    <w:basedOn w:val="DefaultParagraphFont"/>
    <w:uiPriority w:val="99"/>
    <w:rsid w:val="00566AB4"/>
    <w:rPr>
      <w:rFonts w:ascii="Arial" w:hAnsi="Arial"/>
      <w:vertAlign w:val="superscript"/>
    </w:rPr>
  </w:style>
  <w:style w:type="paragraph" w:styleId="FootnoteText">
    <w:name w:val="footnote text"/>
    <w:aliases w:val="Footnote text,ACMA Footnote Text,ABA Footnote Text,footnote text,Footnote Text Char1,Footnote Text Char Char,Footnote Text Char1 Char Char,Footnote Text Char Char Char Char,Footnote Text Char1 Char Char Char Char,f,fn"/>
    <w:basedOn w:val="Normal"/>
    <w:link w:val="FootnoteTextChar"/>
    <w:uiPriority w:val="99"/>
    <w:rsid w:val="007C6E44"/>
    <w:pPr>
      <w:spacing w:after="0"/>
    </w:pPr>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semiHidden/>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semiHidden/>
    <w:qFormat/>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uiPriority w:val="1"/>
    <w:rsid w:val="00CE0BB5"/>
    <w:rPr>
      <w:rFonts w:ascii="Arial" w:hAnsi="Arial" w:cs="Arial"/>
      <w:bCs/>
      <w:color w:val="323232"/>
      <w:kern w:val="32"/>
      <w:sz w:val="53"/>
      <w:szCs w:val="32"/>
    </w:rPr>
  </w:style>
  <w:style w:type="character" w:customStyle="1" w:styleId="Heading2Char">
    <w:name w:val="Heading 2 Char"/>
    <w:aliases w:val="RIS Heading 2 Char"/>
    <w:basedOn w:val="DefaultParagraphFont"/>
    <w:link w:val="Heading2"/>
    <w:uiPriority w:val="1"/>
    <w:rsid w:val="00800CCD"/>
    <w:rPr>
      <w:rFonts w:ascii="Arial" w:hAnsi="Arial" w:cs="Arial"/>
      <w:b/>
      <w:bCs/>
      <w:iCs/>
      <w:sz w:val="28"/>
      <w:szCs w:val="28"/>
    </w:rPr>
  </w:style>
  <w:style w:type="character" w:styleId="UnresolvedMention">
    <w:name w:val="Unresolved Mention"/>
    <w:basedOn w:val="DefaultParagraphFont"/>
    <w:uiPriority w:val="99"/>
    <w:semiHidden/>
    <w:unhideWhenUsed/>
    <w:rsid w:val="006B52DE"/>
    <w:rPr>
      <w:color w:val="605E5C"/>
      <w:shd w:val="clear" w:color="auto" w:fill="E1DFDD"/>
    </w:rPr>
  </w:style>
  <w:style w:type="character" w:customStyle="1" w:styleId="Heading3Char">
    <w:name w:val="Heading 3 Char"/>
    <w:basedOn w:val="DefaultParagraphFont"/>
    <w:link w:val="Heading3"/>
    <w:uiPriority w:val="2"/>
    <w:rsid w:val="00800CCD"/>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C82940"/>
    <w:pPr>
      <w:tabs>
        <w:tab w:val="clear" w:pos="845"/>
        <w:tab w:val="left" w:pos="295"/>
      </w:tabs>
      <w:ind w:left="590" w:hanging="295"/>
    </w:pPr>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C82940"/>
    <w:pPr>
      <w:ind w:left="766" w:hanging="295"/>
    </w:pPr>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BE35CB"/>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Pr/>
      <w:tcPr>
        <w:shd w:val="clear" w:color="auto" w:fill="F2F2F2" w:themeFill="background1" w:themeFillShade="F2"/>
      </w:tcPr>
    </w:tblStylePr>
    <w:tblStylePr w:type="band2Horz">
      <w:rPr>
        <w:rFonts w:ascii="Arial" w:hAnsi="Arial"/>
        <w:sz w:val="20"/>
      </w:rPr>
    </w:tblStylePr>
  </w:style>
  <w:style w:type="paragraph" w:customStyle="1" w:styleId="Tableheading">
    <w:name w:val="Table heading"/>
    <w:basedOn w:val="ACMATableHeader"/>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customStyle="1" w:styleId="Protectivemarking">
    <w:name w:val="Protective marking"/>
    <w:basedOn w:val="Normal"/>
    <w:uiPriority w:val="99"/>
    <w:qFormat/>
    <w:rsid w:val="007E3375"/>
    <w:pPr>
      <w:tabs>
        <w:tab w:val="left" w:pos="720"/>
      </w:tabs>
      <w:spacing w:after="0" w:line="240" w:lineRule="auto"/>
      <w:jc w:val="center"/>
    </w:pPr>
    <w:rPr>
      <w:rFonts w:cs="Arial"/>
      <w:b/>
      <w:bCs/>
      <w:color w:val="FF0000"/>
      <w:sz w:val="32"/>
      <w:lang w:eastAsia="en-US"/>
    </w:rPr>
  </w:style>
  <w:style w:type="paragraph" w:styleId="BalloonText">
    <w:name w:val="Balloon Text"/>
    <w:basedOn w:val="Normal"/>
    <w:link w:val="BalloonTextChar"/>
    <w:semiHidden/>
    <w:unhideWhenUsed/>
    <w:rsid w:val="004511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4511C5"/>
    <w:rPr>
      <w:rFonts w:ascii="Segoe UI" w:hAnsi="Segoe UI" w:cs="Segoe UI"/>
      <w:sz w:val="18"/>
      <w:szCs w:val="18"/>
    </w:rPr>
  </w:style>
  <w:style w:type="paragraph" w:styleId="Revision">
    <w:name w:val="Revision"/>
    <w:hidden/>
    <w:semiHidden/>
    <w:rsid w:val="004511C5"/>
    <w:rPr>
      <w:rFonts w:ascii="Arial" w:hAnsi="Arial"/>
      <w:sz w:val="20"/>
    </w:rPr>
  </w:style>
  <w:style w:type="character" w:customStyle="1" w:styleId="ListBulletChar">
    <w:name w:val="List Bullet Char"/>
    <w:basedOn w:val="DefaultParagraphFont"/>
    <w:link w:val="ListBullet"/>
    <w:rsid w:val="00437582"/>
    <w:rPr>
      <w:rFonts w:ascii="Arial" w:hAnsi="Arial"/>
      <w:sz w:val="20"/>
    </w:rPr>
  </w:style>
  <w:style w:type="paragraph" w:customStyle="1" w:styleId="ACMAletteredlist">
    <w:name w:val="ACMA lettered list"/>
    <w:rsid w:val="00885439"/>
    <w:pPr>
      <w:numPr>
        <w:numId w:val="10"/>
      </w:numPr>
      <w:spacing w:before="20" w:after="20"/>
      <w:ind w:left="0" w:firstLine="0"/>
    </w:pPr>
    <w:rPr>
      <w:szCs w:val="20"/>
      <w:lang w:eastAsia="en-US"/>
    </w:rPr>
  </w:style>
  <w:style w:type="paragraph" w:customStyle="1" w:styleId="ACMABodyText">
    <w:name w:val="ACMA Body Text"/>
    <w:link w:val="ACMABodyTextChar"/>
    <w:rsid w:val="00A9457C"/>
    <w:pPr>
      <w:suppressAutoHyphens/>
      <w:spacing w:before="80" w:after="120" w:line="280" w:lineRule="atLeast"/>
    </w:pPr>
    <w:rPr>
      <w:snapToGrid w:val="0"/>
      <w:szCs w:val="20"/>
      <w:lang w:eastAsia="en-US"/>
    </w:rPr>
  </w:style>
  <w:style w:type="paragraph" w:customStyle="1" w:styleId="LegislationLvl1">
    <w:name w:val="Legislation Lvl 1"/>
    <w:rsid w:val="00A9457C"/>
    <w:pPr>
      <w:numPr>
        <w:numId w:val="12"/>
      </w:numPr>
      <w:tabs>
        <w:tab w:val="clear" w:pos="1080"/>
        <w:tab w:val="num" w:pos="360"/>
      </w:tabs>
      <w:ind w:left="0" w:firstLine="0"/>
    </w:pPr>
    <w:rPr>
      <w:bCs/>
      <w:sz w:val="22"/>
      <w:szCs w:val="20"/>
      <w:lang w:eastAsia="en-US"/>
    </w:rPr>
  </w:style>
  <w:style w:type="paragraph" w:customStyle="1" w:styleId="LegislationLvl2">
    <w:name w:val="Legislation Lvl 2"/>
    <w:rsid w:val="00A9457C"/>
    <w:pPr>
      <w:numPr>
        <w:ilvl w:val="1"/>
        <w:numId w:val="12"/>
      </w:numPr>
      <w:tabs>
        <w:tab w:val="clear" w:pos="1440"/>
        <w:tab w:val="num" w:pos="360"/>
      </w:tabs>
      <w:ind w:left="0" w:firstLine="0"/>
    </w:pPr>
    <w:rPr>
      <w:sz w:val="22"/>
      <w:szCs w:val="20"/>
      <w:lang w:eastAsia="en-US"/>
    </w:rPr>
  </w:style>
  <w:style w:type="paragraph" w:customStyle="1" w:styleId="LegislationLvl3">
    <w:name w:val="Legislation Lvl 3"/>
    <w:rsid w:val="00A9457C"/>
    <w:pPr>
      <w:numPr>
        <w:ilvl w:val="2"/>
        <w:numId w:val="12"/>
      </w:numPr>
      <w:tabs>
        <w:tab w:val="clear" w:pos="2340"/>
        <w:tab w:val="num" w:pos="360"/>
      </w:tabs>
      <w:ind w:left="0" w:firstLine="0"/>
    </w:pPr>
    <w:rPr>
      <w:sz w:val="22"/>
      <w:szCs w:val="20"/>
      <w:lang w:eastAsia="en-US"/>
    </w:rPr>
  </w:style>
  <w:style w:type="paragraph" w:customStyle="1" w:styleId="LegislationLvl4">
    <w:name w:val="Legislation Lvl 4"/>
    <w:rsid w:val="00A9457C"/>
    <w:pPr>
      <w:numPr>
        <w:ilvl w:val="3"/>
        <w:numId w:val="12"/>
      </w:numPr>
      <w:tabs>
        <w:tab w:val="clear" w:pos="2700"/>
        <w:tab w:val="num" w:pos="360"/>
      </w:tabs>
      <w:ind w:left="0" w:firstLine="0"/>
    </w:pPr>
    <w:rPr>
      <w:sz w:val="22"/>
      <w:szCs w:val="20"/>
      <w:lang w:eastAsia="en-US"/>
    </w:rPr>
  </w:style>
  <w:style w:type="paragraph" w:styleId="ListParagraph">
    <w:name w:val="List Paragraph"/>
    <w:aliases w:val="List Paragraph1,Recommendation"/>
    <w:basedOn w:val="Normal"/>
    <w:link w:val="ListParagraphChar"/>
    <w:uiPriority w:val="34"/>
    <w:qFormat/>
    <w:rsid w:val="00A9457C"/>
    <w:pPr>
      <w:spacing w:after="200" w:line="276" w:lineRule="auto"/>
      <w:ind w:left="720"/>
      <w:contextualSpacing/>
    </w:pPr>
    <w:rPr>
      <w:rFonts w:ascii="Calibri" w:eastAsia="Calibri" w:hAnsi="Calibri"/>
      <w:sz w:val="22"/>
      <w:szCs w:val="22"/>
      <w:lang w:eastAsia="en-US"/>
    </w:rPr>
  </w:style>
  <w:style w:type="character" w:customStyle="1" w:styleId="ACMABodyTextChar">
    <w:name w:val="ACMA Body Text Char"/>
    <w:basedOn w:val="DefaultParagraphFont"/>
    <w:link w:val="ACMABodyText"/>
    <w:locked/>
    <w:rsid w:val="00A9457C"/>
    <w:rPr>
      <w:snapToGrid w:val="0"/>
      <w:szCs w:val="20"/>
      <w:lang w:eastAsia="en-US"/>
    </w:rPr>
  </w:style>
  <w:style w:type="character" w:customStyle="1" w:styleId="ListParagraphChar">
    <w:name w:val="List Paragraph Char"/>
    <w:aliases w:val="List Paragraph1 Char,Recommendation Char"/>
    <w:basedOn w:val="DefaultParagraphFont"/>
    <w:link w:val="ListParagraph"/>
    <w:uiPriority w:val="34"/>
    <w:locked/>
    <w:rsid w:val="00A9457C"/>
    <w:rPr>
      <w:rFonts w:ascii="Calibri" w:eastAsia="Calibri" w:hAnsi="Calibri"/>
      <w:sz w:val="22"/>
      <w:szCs w:val="22"/>
      <w:lang w:eastAsia="en-US"/>
    </w:rPr>
  </w:style>
  <w:style w:type="character" w:customStyle="1" w:styleId="FootnoteTextChar">
    <w:name w:val="Footnote Text Char"/>
    <w:aliases w:val="Footnote text Char,ACMA Footnote Text Char,ABA Footnote Text Char,footnote text Char,Footnote Text Char1 Char,Footnote Text Char Char Char,Footnote Text Char1 Char Char Char,Footnote Text Char Char Char Char Char,f Char,fn Char"/>
    <w:basedOn w:val="DefaultParagraphFont"/>
    <w:link w:val="FootnoteText"/>
    <w:uiPriority w:val="99"/>
    <w:rsid w:val="00847191"/>
    <w:rPr>
      <w:rFonts w:ascii="Arial" w:hAnsi="Arial"/>
      <w:sz w:val="16"/>
      <w:szCs w:val="16"/>
    </w:rPr>
  </w:style>
  <w:style w:type="paragraph" w:customStyle="1" w:styleId="TableHeading0">
    <w:name w:val="Table Heading"/>
    <w:basedOn w:val="Normal"/>
    <w:qFormat/>
    <w:rsid w:val="0034255C"/>
    <w:pPr>
      <w:spacing w:after="0"/>
    </w:pPr>
    <w:rPr>
      <w:b/>
    </w:rPr>
  </w:style>
  <w:style w:type="paragraph" w:customStyle="1" w:styleId="Pre-NumberedLegisLvl3">
    <w:name w:val="Pre-Numbered Legis Lvl 3"/>
    <w:rsid w:val="00990C80"/>
    <w:pPr>
      <w:ind w:left="1985" w:hanging="567"/>
    </w:pPr>
    <w:rPr>
      <w:sz w:val="22"/>
      <w:szCs w:val="20"/>
      <w:lang w:eastAsia="en-US"/>
    </w:rPr>
  </w:style>
  <w:style w:type="character" w:styleId="LineNumber">
    <w:name w:val="line number"/>
    <w:basedOn w:val="DefaultParagraphFont"/>
    <w:semiHidden/>
    <w:unhideWhenUsed/>
    <w:rsid w:val="008D18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09156">
      <w:bodyDiv w:val="1"/>
      <w:marLeft w:val="0"/>
      <w:marRight w:val="0"/>
      <w:marTop w:val="0"/>
      <w:marBottom w:val="0"/>
      <w:divBdr>
        <w:top w:val="none" w:sz="0" w:space="0" w:color="auto"/>
        <w:left w:val="none" w:sz="0" w:space="0" w:color="auto"/>
        <w:bottom w:val="none" w:sz="0" w:space="0" w:color="auto"/>
        <w:right w:val="none" w:sz="0" w:space="0" w:color="auto"/>
      </w:divBdr>
    </w:div>
    <w:div w:id="125854845">
      <w:bodyDiv w:val="1"/>
      <w:marLeft w:val="0"/>
      <w:marRight w:val="0"/>
      <w:marTop w:val="0"/>
      <w:marBottom w:val="0"/>
      <w:divBdr>
        <w:top w:val="none" w:sz="0" w:space="0" w:color="auto"/>
        <w:left w:val="none" w:sz="0" w:space="0" w:color="auto"/>
        <w:bottom w:val="none" w:sz="0" w:space="0" w:color="auto"/>
        <w:right w:val="none" w:sz="0" w:space="0" w:color="auto"/>
      </w:divBdr>
    </w:div>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1155535901">
      <w:bodyDiv w:val="1"/>
      <w:marLeft w:val="0"/>
      <w:marRight w:val="0"/>
      <w:marTop w:val="0"/>
      <w:marBottom w:val="0"/>
      <w:divBdr>
        <w:top w:val="none" w:sz="0" w:space="0" w:color="auto"/>
        <w:left w:val="none" w:sz="0" w:space="0" w:color="auto"/>
        <w:bottom w:val="none" w:sz="0" w:space="0" w:color="auto"/>
        <w:right w:val="none" w:sz="0" w:space="0" w:color="auto"/>
      </w:divBdr>
    </w:div>
    <w:div w:id="1196314759">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431121574">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621183829">
      <w:bodyDiv w:val="1"/>
      <w:marLeft w:val="0"/>
      <w:marRight w:val="0"/>
      <w:marTop w:val="0"/>
      <w:marBottom w:val="0"/>
      <w:divBdr>
        <w:top w:val="none" w:sz="0" w:space="0" w:color="auto"/>
        <w:left w:val="none" w:sz="0" w:space="0" w:color="auto"/>
        <w:bottom w:val="none" w:sz="0" w:space="0" w:color="auto"/>
        <w:right w:val="none" w:sz="0" w:space="0" w:color="auto"/>
      </w:divBdr>
    </w:div>
    <w:div w:id="1668096659">
      <w:bodyDiv w:val="1"/>
      <w:marLeft w:val="0"/>
      <w:marRight w:val="0"/>
      <w:marTop w:val="0"/>
      <w:marBottom w:val="0"/>
      <w:divBdr>
        <w:top w:val="none" w:sz="0" w:space="0" w:color="auto"/>
        <w:left w:val="none" w:sz="0" w:space="0" w:color="auto"/>
        <w:bottom w:val="none" w:sz="0" w:space="0" w:color="auto"/>
        <w:right w:val="none" w:sz="0" w:space="0" w:color="auto"/>
      </w:divBdr>
    </w:div>
    <w:div w:id="1671103825">
      <w:bodyDiv w:val="1"/>
      <w:marLeft w:val="0"/>
      <w:marRight w:val="0"/>
      <w:marTop w:val="0"/>
      <w:marBottom w:val="0"/>
      <w:divBdr>
        <w:top w:val="none" w:sz="0" w:space="0" w:color="auto"/>
        <w:left w:val="none" w:sz="0" w:space="0" w:color="auto"/>
        <w:bottom w:val="none" w:sz="0" w:space="0" w:color="auto"/>
        <w:right w:val="none" w:sz="0" w:space="0" w:color="auto"/>
      </w:divBdr>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4.0/" TargetMode="External"/><Relationship Id="rId18" Type="http://schemas.openxmlformats.org/officeDocument/2006/relationships/footer" Target="footer3.xml"/><Relationship Id="rId26" Type="http://schemas.openxmlformats.org/officeDocument/2006/relationships/footer" Target="footer7.xml"/><Relationship Id="rId39" Type="http://schemas.openxmlformats.org/officeDocument/2006/relationships/hyperlink" Target="https://www.acma.gov.au/34-ghz-technical-framework" TargetMode="External"/><Relationship Id="rId21" Type="http://schemas.openxmlformats.org/officeDocument/2006/relationships/footer" Target="footer4.xml"/><Relationship Id="rId34" Type="http://schemas.openxmlformats.org/officeDocument/2006/relationships/hyperlink" Target="https://web.acma.gov.au/rrl/browse_licences.licence_list?pSV_ID=85&amp;pSS_ID=861" TargetMode="External"/><Relationship Id="rId42" Type="http://schemas.openxmlformats.org/officeDocument/2006/relationships/hyperlink" Target="https://www.acma.gov.au/consultations/2019-08/optimising-3400-3575-mhz-band-consultation-122019" TargetMode="External"/><Relationship Id="rId47" Type="http://schemas.openxmlformats.org/officeDocument/2006/relationships/image" Target="media/image5.png"/><Relationship Id="rId50" Type="http://schemas.openxmlformats.org/officeDocument/2006/relationships/image" Target="media/image8.jpeg"/><Relationship Id="rId55" Type="http://schemas.openxmlformats.org/officeDocument/2006/relationships/hyperlink" Target="https://web.acma.gov.au/rrl/licence_image.extract_pdf?pLICENCE_NO=10917464" TargetMode="External"/><Relationship Id="rId63" Type="http://schemas.openxmlformats.org/officeDocument/2006/relationships/header" Target="header10.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acma.gov.au/spectrum-licence-technical-liaison-group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creativecommons.org/l/by/3.0/88x31.png" TargetMode="External"/><Relationship Id="rId24" Type="http://schemas.openxmlformats.org/officeDocument/2006/relationships/header" Target="header7.xml"/><Relationship Id="rId32" Type="http://schemas.openxmlformats.org/officeDocument/2006/relationships/hyperlink" Target="https://www.legislation.gov.au/Details/F2018C00568" TargetMode="External"/><Relationship Id="rId37" Type="http://schemas.openxmlformats.org/officeDocument/2006/relationships/hyperlink" Target="https://www.legislation.gov.au/Series/F2015L00729" TargetMode="External"/><Relationship Id="rId40" Type="http://schemas.openxmlformats.org/officeDocument/2006/relationships/hyperlink" Target="https://www.acma.gov.au/node/847" TargetMode="External"/><Relationship Id="rId45" Type="http://schemas.openxmlformats.org/officeDocument/2006/relationships/hyperlink" Target="https://acma.gov.au/convert-hcis-area-description-placemark-0" TargetMode="External"/><Relationship Id="rId53" Type="http://schemas.openxmlformats.org/officeDocument/2006/relationships/hyperlink" Target="https://web.acma.gov.au/rrl/licence_image.extract_pdf?pLICENCE_NO=10917464" TargetMode="External"/><Relationship Id="rId58" Type="http://schemas.openxmlformats.org/officeDocument/2006/relationships/hyperlink" Target="https://www.legislation.gov.au/Details/F2018C00557" TargetMode="External"/><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hyperlink" Target="https://www.acma.gov.au/consultations/2019-08/optimising-3400-3575-mhz-band-consultation-122019" TargetMode="External"/><Relationship Id="rId36" Type="http://schemas.openxmlformats.org/officeDocument/2006/relationships/hyperlink" Target="https://www.legislation.gov.au/Series/F2015L00728" TargetMode="External"/><Relationship Id="rId49" Type="http://schemas.openxmlformats.org/officeDocument/2006/relationships/image" Target="media/image7.jpeg"/><Relationship Id="rId57" Type="http://schemas.openxmlformats.org/officeDocument/2006/relationships/hyperlink" Target="https://web.acma.gov.au/rrl/licence_image.extract_pdf?pLICENCE_NO=10917464" TargetMode="External"/><Relationship Id="rId61" Type="http://schemas.openxmlformats.org/officeDocument/2006/relationships/image" Target="media/image10.png"/><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hyperlink" Target="https://www.legislation.gov.au/Details/F2018C00557" TargetMode="External"/><Relationship Id="rId44" Type="http://schemas.openxmlformats.org/officeDocument/2006/relationships/hyperlink" Target="https://www.acma.gov.au/consultations/2020-12/review-23-ghz-spectrum-licencing-technical-framework-consultation-372020" TargetMode="External"/><Relationship Id="rId52" Type="http://schemas.openxmlformats.org/officeDocument/2006/relationships/hyperlink" Target="https://web.acma.gov.au/rrl/licence_image.extract_pdf?pLICENCE_NO=10917464" TargetMode="External"/><Relationship Id="rId60" Type="http://schemas.openxmlformats.org/officeDocument/2006/relationships/hyperlink" Target="https://web.acma.gov.au/rrl/licence_image.extract_pdf?pLICENCE_NO=10917464" TargetMode="External"/><Relationship Id="rId65" Type="http://schemas.openxmlformats.org/officeDocument/2006/relationships/footer" Target="footer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footer" Target="footer8.xml"/><Relationship Id="rId30" Type="http://schemas.openxmlformats.org/officeDocument/2006/relationships/hyperlink" Target="https://www.acma.gov.au/34-ghz-technical-framework" TargetMode="External"/><Relationship Id="rId35" Type="http://schemas.openxmlformats.org/officeDocument/2006/relationships/hyperlink" Target="https://www.legislation.gov.au/Series/F2015L00727" TargetMode="External"/><Relationship Id="rId43" Type="http://schemas.openxmlformats.org/officeDocument/2006/relationships/hyperlink" Target="https://www.acma.gov.au/consultations/2019-08/optimising-3400-3575-mhz-band-consultation-122019" TargetMode="External"/><Relationship Id="rId48" Type="http://schemas.openxmlformats.org/officeDocument/2006/relationships/image" Target="media/image6.jpeg"/><Relationship Id="rId56" Type="http://schemas.openxmlformats.org/officeDocument/2006/relationships/hyperlink" Target="https://www.legislation.gov.au/Details/F2018C00557" TargetMode="External"/><Relationship Id="rId64" Type="http://schemas.openxmlformats.org/officeDocument/2006/relationships/footer" Target="footer9.xml"/><Relationship Id="rId8" Type="http://schemas.openxmlformats.org/officeDocument/2006/relationships/header" Target="header1.xml"/><Relationship Id="rId51" Type="http://schemas.openxmlformats.org/officeDocument/2006/relationships/image" Target="media/image9.jpe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eader" Target="header8.xml"/><Relationship Id="rId33" Type="http://schemas.openxmlformats.org/officeDocument/2006/relationships/hyperlink" Target="https://www.acma.gov.au/publications/2012-12/guide/spectrum-licencees-know-your-obligations" TargetMode="External"/><Relationship Id="rId38" Type="http://schemas.openxmlformats.org/officeDocument/2006/relationships/hyperlink" Target="https://www.acma.gov.au/spectrum-licence-technical-liaison-groups" TargetMode="External"/><Relationship Id="rId46" Type="http://schemas.openxmlformats.org/officeDocument/2006/relationships/image" Target="media/image4.jpeg"/><Relationship Id="rId59" Type="http://schemas.openxmlformats.org/officeDocument/2006/relationships/hyperlink" Target="https://web.acma.gov.au/rrl/licence_image.extract_pdf?pLICENCE_NO=10917464" TargetMode="External"/><Relationship Id="rId67" Type="http://schemas.openxmlformats.org/officeDocument/2006/relationships/theme" Target="theme/theme1.xml"/><Relationship Id="rId20" Type="http://schemas.openxmlformats.org/officeDocument/2006/relationships/header" Target="header6.xml"/><Relationship Id="rId41" Type="http://schemas.openxmlformats.org/officeDocument/2006/relationships/hyperlink" Target="https://www.acma.gov.au/node/847" TargetMode="External"/><Relationship Id="rId54" Type="http://schemas.openxmlformats.org/officeDocument/2006/relationships/hyperlink" Target="https://www.legislation.gov.au/Details/F2018C00557" TargetMode="External"/><Relationship Id="rId62" Type="http://schemas.openxmlformats.org/officeDocument/2006/relationships/header" Target="header9.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portal.3gpp.org/desktopmodules/Specifications/SpecificationDetails.aspx?specificationId=2425" TargetMode="External"/><Relationship Id="rId1" Type="http://schemas.openxmlformats.org/officeDocument/2006/relationships/hyperlink" Target="https://www.3gpp.org/DynaReport/38104.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C86DBA-C773-4DAC-958D-07E48CB3DC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10924</Words>
  <Characters>62272</Characters>
  <Application>Microsoft Office Word</Application>
  <DocSecurity>0</DocSecurity>
  <Lines>518</Lines>
  <Paragraphs>146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73050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2021-08-26T03:27:00Z</dcterms:created>
  <dcterms:modified xsi:type="dcterms:W3CDTF">2021-08-26T03:31:00Z</dcterms:modified>
  <cp:category/>
</cp:coreProperties>
</file>