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8.xml" ContentType="application/vnd.openxmlformats-officedocument.wordprocessingml.header+xml"/>
  <Override PartName="/word/footer6.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1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themeColor="background1"/>
  <w:body>
    <w:p w14:paraId="0E9FEDA3" w14:textId="5D3D7033" w:rsidR="00533234" w:rsidRDefault="00533234" w:rsidP="0065265D">
      <w:pPr>
        <w:pStyle w:val="Reportsubtitle"/>
        <w:spacing w:after="0"/>
        <w:rPr>
          <w:b/>
          <w:bCs/>
        </w:rPr>
      </w:pPr>
      <w:r w:rsidRPr="005E6CDF">
        <w:rPr>
          <w:b/>
          <w:bCs/>
        </w:rPr>
        <w:t xml:space="preserve">Proposal to remake </w:t>
      </w:r>
      <w:r w:rsidRPr="005E6CDF">
        <w:rPr>
          <w:rFonts w:cs="Arial"/>
          <w:b/>
          <w:bCs/>
          <w:snapToGrid w:val="0"/>
        </w:rPr>
        <w:t xml:space="preserve">the </w:t>
      </w:r>
      <w:r w:rsidR="0073330F">
        <w:rPr>
          <w:rFonts w:cs="Arial"/>
          <w:b/>
          <w:bCs/>
          <w:snapToGrid w:val="0"/>
        </w:rPr>
        <w:t>anti-terrorism standards</w:t>
      </w:r>
      <w:r w:rsidRPr="005E6CDF">
        <w:rPr>
          <w:b/>
          <w:bCs/>
        </w:rPr>
        <w:t xml:space="preserve"> </w:t>
      </w:r>
    </w:p>
    <w:p w14:paraId="286C357F" w14:textId="674F2FDC" w:rsidR="00533234" w:rsidRPr="003E1FB8" w:rsidRDefault="00AB045C" w:rsidP="00533234">
      <w:pPr>
        <w:pStyle w:val="Reportsubtitle"/>
        <w:rPr>
          <w:rFonts w:cs="Arial"/>
          <w:snapToGrid w:val="0"/>
        </w:rPr>
      </w:pPr>
      <w:r>
        <w:rPr>
          <w:rFonts w:cs="Arial"/>
          <w:snapToGrid w:val="0"/>
        </w:rPr>
        <w:t>Consultation</w:t>
      </w:r>
      <w:r w:rsidR="00533234">
        <w:rPr>
          <w:rFonts w:cs="Arial"/>
          <w:snapToGrid w:val="0"/>
        </w:rPr>
        <w:t xml:space="preserve"> paper</w:t>
      </w:r>
    </w:p>
    <w:p w14:paraId="5A4D1437" w14:textId="547F85B5" w:rsidR="00533234" w:rsidRPr="000D76E0" w:rsidRDefault="00D9698D" w:rsidP="00533234">
      <w:pPr>
        <w:pStyle w:val="Reportdate"/>
        <w:spacing w:after="720"/>
        <w:rPr>
          <w:rFonts w:cs="Arial"/>
        </w:rPr>
        <w:sectPr w:rsidR="00533234" w:rsidRPr="000D76E0" w:rsidSect="0021426C">
          <w:headerReference w:type="default" r:id="rId8"/>
          <w:footerReference w:type="default" r:id="rId9"/>
          <w:headerReference w:type="first" r:id="rId10"/>
          <w:pgSz w:w="11906" w:h="16838" w:code="9"/>
          <w:pgMar w:top="3924" w:right="992" w:bottom="1440" w:left="1134" w:header="709" w:footer="454" w:gutter="0"/>
          <w:cols w:space="708"/>
          <w:docGrid w:linePitch="360"/>
        </w:sectPr>
      </w:pPr>
      <w:r>
        <w:t>June</w:t>
      </w:r>
      <w:r w:rsidR="00122EE7">
        <w:t xml:space="preserve"> </w:t>
      </w:r>
      <w:r w:rsidR="00533234">
        <w:t>202</w:t>
      </w:r>
      <w:r w:rsidR="00A0080F">
        <w:t>1</w:t>
      </w:r>
    </w:p>
    <w:p w14:paraId="5A0D5BF8" w14:textId="77777777" w:rsidR="00533234" w:rsidRPr="00F44F3A" w:rsidRDefault="00533234" w:rsidP="00533234">
      <w:pPr>
        <w:pStyle w:val="ACMACorporateAddressHeader"/>
      </w:pPr>
      <w:r w:rsidRPr="00F44F3A">
        <w:lastRenderedPageBreak/>
        <w:t>Canberra</w:t>
      </w:r>
    </w:p>
    <w:p w14:paraId="4D8E18B4" w14:textId="77777777" w:rsidR="00533234" w:rsidRPr="00FC07B9" w:rsidRDefault="00533234" w:rsidP="00533234">
      <w:pPr>
        <w:pStyle w:val="ACMACorporateAddresses"/>
      </w:pPr>
      <w:r w:rsidRPr="00FC07B9">
        <w:t xml:space="preserve">Red Building </w:t>
      </w:r>
      <w:r w:rsidRPr="00FC07B9">
        <w:br/>
        <w:t>Benjamin Offices</w:t>
      </w:r>
      <w:r w:rsidRPr="00FC07B9">
        <w:br/>
        <w:t xml:space="preserve">Chan Street </w:t>
      </w:r>
      <w:r w:rsidRPr="00FC07B9">
        <w:br/>
        <w:t>Belconnen ACT</w:t>
      </w:r>
    </w:p>
    <w:p w14:paraId="5F568289" w14:textId="77777777" w:rsidR="00533234" w:rsidRPr="00FC07B9" w:rsidRDefault="00533234" w:rsidP="00533234">
      <w:pPr>
        <w:pStyle w:val="ACMACorporateAddresses"/>
      </w:pPr>
      <w:r w:rsidRPr="00FC07B9">
        <w:t>PO Box 78</w:t>
      </w:r>
      <w:r w:rsidRPr="00FC07B9">
        <w:br/>
        <w:t>Belconnen ACT 2616</w:t>
      </w:r>
    </w:p>
    <w:p w14:paraId="14DAB71C" w14:textId="77777777" w:rsidR="00533234" w:rsidRPr="00FC07B9" w:rsidRDefault="00533234" w:rsidP="00533234">
      <w:pPr>
        <w:pStyle w:val="ACMACorporateAddresses"/>
      </w:pPr>
      <w:r w:rsidRPr="00FC07B9">
        <w:t>T</w:t>
      </w:r>
      <w:r w:rsidRPr="00FC07B9">
        <w:tab/>
        <w:t>+61 2 6219 5555</w:t>
      </w:r>
      <w:r w:rsidRPr="00FC07B9">
        <w:br/>
        <w:t>F</w:t>
      </w:r>
      <w:r w:rsidRPr="00FC07B9">
        <w:tab/>
        <w:t>+61 2 6219 5353</w:t>
      </w:r>
    </w:p>
    <w:p w14:paraId="25AF71E2" w14:textId="77777777" w:rsidR="00533234" w:rsidRPr="00F44F3A" w:rsidRDefault="00533234" w:rsidP="00533234">
      <w:pPr>
        <w:pStyle w:val="ACMACorporateAddressHeader"/>
      </w:pPr>
      <w:r w:rsidRPr="00F44F3A">
        <w:t>Melbourne</w:t>
      </w:r>
    </w:p>
    <w:p w14:paraId="56B0B43B" w14:textId="77777777" w:rsidR="00533234" w:rsidRPr="00F44F3A" w:rsidRDefault="00533234" w:rsidP="00533234">
      <w:pPr>
        <w:pStyle w:val="ACMACorporateAddresses"/>
      </w:pPr>
      <w:r w:rsidRPr="00F44F3A">
        <w:t xml:space="preserve">Level 32 </w:t>
      </w:r>
      <w:r w:rsidRPr="00F44F3A">
        <w:br/>
        <w:t>Melbourne Central Tower</w:t>
      </w:r>
      <w:r w:rsidRPr="00F44F3A">
        <w:br/>
        <w:t xml:space="preserve">360 Elizabeth Street </w:t>
      </w:r>
      <w:r w:rsidRPr="00F44F3A">
        <w:br/>
        <w:t>Melbourne VIC</w:t>
      </w:r>
    </w:p>
    <w:p w14:paraId="53FF2010" w14:textId="77777777" w:rsidR="00533234" w:rsidRPr="00F44F3A" w:rsidRDefault="00533234" w:rsidP="00533234">
      <w:pPr>
        <w:pStyle w:val="ACMACorporateAddresses"/>
      </w:pPr>
      <w:r w:rsidRPr="00F44F3A">
        <w:t>PO Box 13112</w:t>
      </w:r>
      <w:r w:rsidRPr="00F44F3A">
        <w:br/>
        <w:t xml:space="preserve">Law Courts </w:t>
      </w:r>
      <w:r w:rsidRPr="00F44F3A">
        <w:br/>
        <w:t>Melbourne VIC 8010</w:t>
      </w:r>
    </w:p>
    <w:p w14:paraId="7D7DDD7A" w14:textId="77777777" w:rsidR="00533234" w:rsidRPr="00F44F3A" w:rsidRDefault="00533234" w:rsidP="00533234">
      <w:pPr>
        <w:pStyle w:val="ACMACorporateAddresses"/>
      </w:pPr>
      <w:r w:rsidRPr="00F44F3A">
        <w:t>T</w:t>
      </w:r>
      <w:r w:rsidRPr="00F44F3A">
        <w:tab/>
        <w:t>+61 3 9963 6800</w:t>
      </w:r>
      <w:r w:rsidRPr="00F44F3A">
        <w:br/>
        <w:t>F</w:t>
      </w:r>
      <w:r w:rsidRPr="00F44F3A">
        <w:tab/>
        <w:t>+61 3 9963 6899</w:t>
      </w:r>
    </w:p>
    <w:p w14:paraId="60A67F17" w14:textId="77777777" w:rsidR="00533234" w:rsidRPr="00F44F3A" w:rsidRDefault="00533234" w:rsidP="00533234">
      <w:pPr>
        <w:pStyle w:val="ACMACorporateAddressHeader"/>
      </w:pPr>
      <w:r w:rsidRPr="00F44F3A">
        <w:t>Sydney</w:t>
      </w:r>
    </w:p>
    <w:p w14:paraId="6E66733D" w14:textId="77777777" w:rsidR="00533234" w:rsidRPr="00F44F3A" w:rsidRDefault="00533234" w:rsidP="00533234">
      <w:pPr>
        <w:pStyle w:val="ACMACorporateAddresses"/>
      </w:pPr>
      <w:r w:rsidRPr="00F44F3A">
        <w:t xml:space="preserve">Level 5 </w:t>
      </w:r>
      <w:r w:rsidRPr="00F44F3A">
        <w:br/>
        <w:t>The Bay Centre</w:t>
      </w:r>
      <w:r w:rsidRPr="00F44F3A">
        <w:br/>
        <w:t xml:space="preserve">65 Pirrama Road </w:t>
      </w:r>
      <w:r w:rsidRPr="00F44F3A">
        <w:br/>
        <w:t>Pyrmont NSW</w:t>
      </w:r>
    </w:p>
    <w:p w14:paraId="6B5FDBDA" w14:textId="77777777" w:rsidR="00533234" w:rsidRPr="00F44F3A" w:rsidRDefault="00533234" w:rsidP="00533234">
      <w:pPr>
        <w:pStyle w:val="ACMACorporateAddresses"/>
      </w:pPr>
      <w:r w:rsidRPr="00F44F3A">
        <w:t>PO Box Q500</w:t>
      </w:r>
      <w:r w:rsidRPr="00F44F3A">
        <w:br/>
        <w:t xml:space="preserve">Queen Victoria Building </w:t>
      </w:r>
      <w:r w:rsidRPr="00F44F3A">
        <w:br/>
        <w:t>NSW 1230</w:t>
      </w:r>
    </w:p>
    <w:p w14:paraId="57821B3A" w14:textId="77777777" w:rsidR="00533234" w:rsidRPr="00F44F3A" w:rsidRDefault="00533234" w:rsidP="00533234">
      <w:pPr>
        <w:pStyle w:val="ACMACorporateAddresses"/>
      </w:pPr>
      <w:r w:rsidRPr="00F44F3A">
        <w:t>T</w:t>
      </w:r>
      <w:r w:rsidRPr="00F44F3A">
        <w:tab/>
        <w:t>+61 2 9334 7700 or 1800 226 667</w:t>
      </w:r>
      <w:r w:rsidRPr="00F44F3A">
        <w:br/>
        <w:t>F</w:t>
      </w:r>
      <w:r w:rsidRPr="00F44F3A">
        <w:tab/>
        <w:t>+61 2 9334 7799</w:t>
      </w:r>
    </w:p>
    <w:p w14:paraId="355B629A" w14:textId="77777777" w:rsidR="00533234" w:rsidRPr="006D46E5" w:rsidRDefault="00533234" w:rsidP="00533234">
      <w:pPr>
        <w:pStyle w:val="ACMACopyrightHeader"/>
      </w:pPr>
      <w:r w:rsidRPr="00140318">
        <w:t>Copyright notice</w:t>
      </w:r>
    </w:p>
    <w:p w14:paraId="0DE28251" w14:textId="77777777" w:rsidR="00533234" w:rsidRPr="006D46E5" w:rsidRDefault="00533234" w:rsidP="00533234">
      <w:pPr>
        <w:pStyle w:val="ACMACClogo"/>
      </w:pPr>
      <w:r>
        <w:rPr>
          <w:noProof/>
        </w:rPr>
        <w:drawing>
          <wp:inline distT="0" distB="0" distL="0" distR="0" wp14:anchorId="06217B7E" wp14:editId="48373BA0">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2">
                      <a:extLst>
                        <a:ext uri="{28A0092B-C50C-407E-A947-70E740481C1C}">
                          <a14:useLocalDpi xmlns:a14="http://schemas.microsoft.com/office/drawing/2010/main" val="0"/>
                        </a:ext>
                      </a:extLst>
                    </a:blip>
                    <a:stretch>
                      <a:fillRect/>
                    </a:stretch>
                  </pic:blipFill>
                  <pic:spPr>
                    <a:xfrm>
                      <a:off x="0" y="0"/>
                      <a:ext cx="838200" cy="295275"/>
                    </a:xfrm>
                    <a:prstGeom prst="rect">
                      <a:avLst/>
                    </a:prstGeom>
                  </pic:spPr>
                </pic:pic>
              </a:graphicData>
            </a:graphic>
          </wp:inline>
        </w:drawing>
      </w:r>
    </w:p>
    <w:p w14:paraId="45AE2522" w14:textId="77777777" w:rsidR="00533234" w:rsidRDefault="00B7154C" w:rsidP="00533234">
      <w:pPr>
        <w:pStyle w:val="ACMACorporateAddresses"/>
        <w:rPr>
          <w:rStyle w:val="Hyperlink"/>
        </w:rPr>
      </w:pPr>
      <w:hyperlink r:id="rId13" w:history="1">
        <w:r w:rsidR="00533234">
          <w:rPr>
            <w:rStyle w:val="Hyperlink"/>
          </w:rPr>
          <w:t>https://creativecommons.org/licenses/by/4.0/</w:t>
        </w:r>
      </w:hyperlink>
    </w:p>
    <w:p w14:paraId="44D35CAC" w14:textId="77777777" w:rsidR="00533234" w:rsidRDefault="00533234" w:rsidP="00533234">
      <w:pPr>
        <w:pStyle w:val="ACMACorporateAddresses"/>
      </w:pPr>
      <w:r>
        <w:t xml:space="preserve">With the exception of coats of arms, logos, emblems, images, other third-party material or devices protected by a trademark, this content is made available under the terms of the Creative Commons Attribution 4.0 International (CC BY 4.0) licence. </w:t>
      </w:r>
    </w:p>
    <w:p w14:paraId="7B970BB8" w14:textId="6FE35567" w:rsidR="00533234" w:rsidRDefault="00533234" w:rsidP="00533234">
      <w:pPr>
        <w:pStyle w:val="ACMACorporateAddresses"/>
      </w:pPr>
      <w:r>
        <w:t>We request attribution as © Commonwealth of Australia (Australian Communications and Media Authority) 202</w:t>
      </w:r>
      <w:r w:rsidR="00E06274">
        <w:t>1</w:t>
      </w:r>
      <w:r>
        <w:t>.</w:t>
      </w:r>
    </w:p>
    <w:p w14:paraId="6CA99EDB" w14:textId="77777777" w:rsidR="00533234" w:rsidRDefault="00533234" w:rsidP="00533234">
      <w:pPr>
        <w:pStyle w:val="ACMACorporateAddresses"/>
      </w:pPr>
      <w:r>
        <w:t>All other rights are reserved.</w:t>
      </w:r>
    </w:p>
    <w:p w14:paraId="42403211" w14:textId="77777777" w:rsidR="00533234" w:rsidRDefault="00533234" w:rsidP="00533234">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33CD8F6B" w14:textId="77777777" w:rsidR="00533234" w:rsidRDefault="00533234" w:rsidP="00533234">
      <w:pPr>
        <w:pStyle w:val="ACMACorporateAddresses"/>
      </w:pPr>
      <w:r>
        <w:t>Written enquiries may be sent to:</w:t>
      </w:r>
    </w:p>
    <w:p w14:paraId="7003BC28" w14:textId="77777777" w:rsidR="00533234" w:rsidRDefault="00533234" w:rsidP="00533234">
      <w:pPr>
        <w:pStyle w:val="ACMACorporateAddresses"/>
        <w:rPr>
          <w:rStyle w:val="Hyperlink"/>
        </w:rPr>
      </w:pPr>
      <w:r>
        <w:t>Manager, Editorial Services</w:t>
      </w:r>
      <w:r>
        <w:br/>
        <w:t>PO Box 13112</w:t>
      </w:r>
      <w:r>
        <w:br/>
        <w:t>Law Courts</w:t>
      </w:r>
      <w:r>
        <w:br/>
        <w:t>Melbourne VIC 8010</w:t>
      </w:r>
      <w:r>
        <w:br/>
        <w:t xml:space="preserve">Email: </w:t>
      </w:r>
      <w:hyperlink r:id="rId14" w:history="1">
        <w:r>
          <w:rPr>
            <w:rStyle w:val="Hyperlink"/>
          </w:rPr>
          <w:t>info@acma.gov.au</w:t>
        </w:r>
      </w:hyperlink>
    </w:p>
    <w:p w14:paraId="5A5644E3" w14:textId="77777777" w:rsidR="00533234" w:rsidRDefault="00533234" w:rsidP="00533234">
      <w:pPr>
        <w:pStyle w:val="ACMACorporateAddresses"/>
        <w:rPr>
          <w:rStyle w:val="Hyperlink"/>
        </w:rPr>
      </w:pPr>
    </w:p>
    <w:p w14:paraId="3A9DAA22" w14:textId="77777777" w:rsidR="00533234" w:rsidRPr="00D16FE3" w:rsidRDefault="00533234" w:rsidP="00533234">
      <w:pPr>
        <w:pStyle w:val="ACMACorporateAddresses"/>
        <w:sectPr w:rsidR="00533234" w:rsidRPr="00D16FE3">
          <w:headerReference w:type="even" r:id="rId15"/>
          <w:headerReference w:type="default" r:id="rId16"/>
          <w:footerReference w:type="even" r:id="rId17"/>
          <w:footerReference w:type="default" r:id="rId18"/>
          <w:headerReference w:type="first" r:id="rId19"/>
          <w:pgSz w:w="11906" w:h="16838" w:code="9"/>
          <w:pgMar w:top="3924" w:right="1797" w:bottom="697" w:left="1134" w:header="709" w:footer="119" w:gutter="0"/>
          <w:cols w:space="708"/>
          <w:docGrid w:linePitch="360"/>
        </w:sectPr>
      </w:pPr>
    </w:p>
    <w:p w14:paraId="17020BA6" w14:textId="38D8A843" w:rsidR="007261E4" w:rsidRDefault="00533234">
      <w:pPr>
        <w:pStyle w:val="TOC1"/>
        <w:rPr>
          <w:rFonts w:asciiTheme="minorHAnsi" w:eastAsiaTheme="minorEastAsia" w:hAnsiTheme="minorHAnsi" w:cstheme="minorBidi"/>
          <w:b w:val="0"/>
          <w:spacing w:val="0"/>
          <w:sz w:val="22"/>
          <w:szCs w:val="22"/>
        </w:rPr>
      </w:pPr>
      <w:r>
        <w:rPr>
          <w:rFonts w:cs="Arial"/>
          <w:b w:val="0"/>
        </w:rPr>
        <w:lastRenderedPageBreak/>
        <w:fldChar w:fldCharType="begin"/>
      </w:r>
      <w:r>
        <w:rPr>
          <w:rFonts w:cs="Arial"/>
          <w:b w:val="0"/>
        </w:rPr>
        <w:instrText xml:space="preserve"> TOC \o "1-2" \t "Exec summary heading,1" </w:instrText>
      </w:r>
      <w:r>
        <w:rPr>
          <w:rFonts w:cs="Arial"/>
          <w:b w:val="0"/>
        </w:rPr>
        <w:fldChar w:fldCharType="separate"/>
      </w:r>
      <w:r w:rsidR="007261E4">
        <w:t>Background</w:t>
      </w:r>
      <w:r w:rsidR="007261E4">
        <w:tab/>
      </w:r>
      <w:r w:rsidR="007261E4">
        <w:fldChar w:fldCharType="begin"/>
      </w:r>
      <w:r w:rsidR="007261E4">
        <w:instrText xml:space="preserve"> PAGEREF _Toc73539703 \h </w:instrText>
      </w:r>
      <w:r w:rsidR="007261E4">
        <w:fldChar w:fldCharType="separate"/>
      </w:r>
      <w:r w:rsidR="007261E4">
        <w:t>1</w:t>
      </w:r>
      <w:r w:rsidR="007261E4">
        <w:fldChar w:fldCharType="end"/>
      </w:r>
    </w:p>
    <w:p w14:paraId="4485915B" w14:textId="5F90AD2D" w:rsidR="007261E4" w:rsidRDefault="007261E4">
      <w:pPr>
        <w:pStyle w:val="TOC2"/>
        <w:rPr>
          <w:rFonts w:asciiTheme="minorHAnsi" w:eastAsiaTheme="minorEastAsia" w:hAnsiTheme="minorHAnsi" w:cstheme="minorBidi"/>
          <w:spacing w:val="0"/>
          <w:sz w:val="22"/>
          <w:szCs w:val="22"/>
        </w:rPr>
      </w:pPr>
      <w:r>
        <w:t>Automatic sunsetting of legislative instruments</w:t>
      </w:r>
      <w:r>
        <w:tab/>
      </w:r>
      <w:r>
        <w:fldChar w:fldCharType="begin"/>
      </w:r>
      <w:r>
        <w:instrText xml:space="preserve"> PAGEREF _Toc73539704 \h </w:instrText>
      </w:r>
      <w:r>
        <w:fldChar w:fldCharType="separate"/>
      </w:r>
      <w:r>
        <w:t>1</w:t>
      </w:r>
      <w:r>
        <w:fldChar w:fldCharType="end"/>
      </w:r>
    </w:p>
    <w:p w14:paraId="532636C9" w14:textId="3C0E2976" w:rsidR="007261E4" w:rsidRDefault="007261E4">
      <w:pPr>
        <w:pStyle w:val="TOC1"/>
        <w:rPr>
          <w:rFonts w:asciiTheme="minorHAnsi" w:eastAsiaTheme="minorEastAsia" w:hAnsiTheme="minorHAnsi" w:cstheme="minorBidi"/>
          <w:b w:val="0"/>
          <w:spacing w:val="0"/>
          <w:sz w:val="22"/>
          <w:szCs w:val="22"/>
        </w:rPr>
      </w:pPr>
      <w:r>
        <w:t>Brief details about the legislative instruments</w:t>
      </w:r>
      <w:r>
        <w:tab/>
      </w:r>
      <w:r>
        <w:fldChar w:fldCharType="begin"/>
      </w:r>
      <w:r>
        <w:instrText xml:space="preserve"> PAGEREF _Toc73539705 \h </w:instrText>
      </w:r>
      <w:r>
        <w:fldChar w:fldCharType="separate"/>
      </w:r>
      <w:r>
        <w:t>2</w:t>
      </w:r>
      <w:r>
        <w:fldChar w:fldCharType="end"/>
      </w:r>
    </w:p>
    <w:p w14:paraId="7C1097FB" w14:textId="6F65BFE9" w:rsidR="007261E4" w:rsidRDefault="007261E4">
      <w:pPr>
        <w:pStyle w:val="TOC2"/>
        <w:rPr>
          <w:rFonts w:asciiTheme="minorHAnsi" w:eastAsiaTheme="minorEastAsia" w:hAnsiTheme="minorHAnsi" w:cstheme="minorBidi"/>
          <w:spacing w:val="0"/>
          <w:sz w:val="22"/>
          <w:szCs w:val="22"/>
        </w:rPr>
      </w:pPr>
      <w:r>
        <w:t>Context</w:t>
      </w:r>
      <w:r>
        <w:tab/>
      </w:r>
      <w:r>
        <w:tab/>
      </w:r>
      <w:r>
        <w:fldChar w:fldCharType="begin"/>
      </w:r>
      <w:r>
        <w:instrText xml:space="preserve"> PAGEREF _Toc73539706 \h </w:instrText>
      </w:r>
      <w:r>
        <w:fldChar w:fldCharType="separate"/>
      </w:r>
      <w:r>
        <w:t>2</w:t>
      </w:r>
      <w:r>
        <w:fldChar w:fldCharType="end"/>
      </w:r>
    </w:p>
    <w:p w14:paraId="23A365A8" w14:textId="6B1525A7" w:rsidR="007261E4" w:rsidRDefault="007261E4">
      <w:pPr>
        <w:pStyle w:val="TOC2"/>
        <w:rPr>
          <w:rFonts w:asciiTheme="minorHAnsi" w:eastAsiaTheme="minorEastAsia" w:hAnsiTheme="minorHAnsi" w:cstheme="minorBidi"/>
          <w:spacing w:val="0"/>
          <w:sz w:val="22"/>
          <w:szCs w:val="22"/>
        </w:rPr>
      </w:pPr>
      <w:r>
        <w:t>What the instruments do</w:t>
      </w:r>
      <w:r>
        <w:tab/>
      </w:r>
      <w:r>
        <w:fldChar w:fldCharType="begin"/>
      </w:r>
      <w:r>
        <w:instrText xml:space="preserve"> PAGEREF _Toc73539707 \h </w:instrText>
      </w:r>
      <w:r>
        <w:fldChar w:fldCharType="separate"/>
      </w:r>
      <w:r>
        <w:t>2</w:t>
      </w:r>
      <w:r>
        <w:fldChar w:fldCharType="end"/>
      </w:r>
    </w:p>
    <w:p w14:paraId="4E7FA00B" w14:textId="064081B3" w:rsidR="007261E4" w:rsidRDefault="007261E4">
      <w:pPr>
        <w:pStyle w:val="TOC2"/>
        <w:rPr>
          <w:rFonts w:asciiTheme="minorHAnsi" w:eastAsiaTheme="minorEastAsia" w:hAnsiTheme="minorHAnsi" w:cstheme="minorBidi"/>
          <w:spacing w:val="0"/>
          <w:sz w:val="22"/>
          <w:szCs w:val="22"/>
        </w:rPr>
      </w:pPr>
      <w:r>
        <w:t>Development of the legislative instruments</w:t>
      </w:r>
      <w:r>
        <w:tab/>
      </w:r>
      <w:r>
        <w:fldChar w:fldCharType="begin"/>
      </w:r>
      <w:r>
        <w:instrText xml:space="preserve"> PAGEREF _Toc73539708 \h </w:instrText>
      </w:r>
      <w:r>
        <w:fldChar w:fldCharType="separate"/>
      </w:r>
      <w:r>
        <w:t>3</w:t>
      </w:r>
      <w:r>
        <w:fldChar w:fldCharType="end"/>
      </w:r>
    </w:p>
    <w:p w14:paraId="112BA0D0" w14:textId="56E9D082" w:rsidR="007261E4" w:rsidRDefault="007261E4">
      <w:pPr>
        <w:pStyle w:val="TOC1"/>
        <w:rPr>
          <w:rFonts w:asciiTheme="minorHAnsi" w:eastAsiaTheme="minorEastAsia" w:hAnsiTheme="minorHAnsi" w:cstheme="minorBidi"/>
          <w:b w:val="0"/>
          <w:spacing w:val="0"/>
          <w:sz w:val="22"/>
          <w:szCs w:val="22"/>
        </w:rPr>
      </w:pPr>
      <w:r>
        <w:t>Regulatory environment</w:t>
      </w:r>
      <w:r>
        <w:tab/>
      </w:r>
      <w:r>
        <w:fldChar w:fldCharType="begin"/>
      </w:r>
      <w:r>
        <w:instrText xml:space="preserve"> PAGEREF _Toc73539709 \h </w:instrText>
      </w:r>
      <w:r>
        <w:fldChar w:fldCharType="separate"/>
      </w:r>
      <w:r>
        <w:t>4</w:t>
      </w:r>
      <w:r>
        <w:fldChar w:fldCharType="end"/>
      </w:r>
    </w:p>
    <w:p w14:paraId="51C504BB" w14:textId="3D9C8EE8" w:rsidR="007261E4" w:rsidRDefault="007261E4">
      <w:pPr>
        <w:pStyle w:val="TOC2"/>
        <w:rPr>
          <w:rFonts w:asciiTheme="minorHAnsi" w:eastAsiaTheme="minorEastAsia" w:hAnsiTheme="minorHAnsi" w:cstheme="minorBidi"/>
          <w:spacing w:val="0"/>
          <w:sz w:val="22"/>
          <w:szCs w:val="22"/>
        </w:rPr>
      </w:pPr>
      <w:r>
        <w:t>Nature of narrowcast television services</w:t>
      </w:r>
      <w:r>
        <w:tab/>
      </w:r>
      <w:r>
        <w:fldChar w:fldCharType="begin"/>
      </w:r>
      <w:r>
        <w:instrText xml:space="preserve"> PAGEREF _Toc73539710 \h </w:instrText>
      </w:r>
      <w:r>
        <w:fldChar w:fldCharType="separate"/>
      </w:r>
      <w:r>
        <w:t>4</w:t>
      </w:r>
      <w:r>
        <w:fldChar w:fldCharType="end"/>
      </w:r>
    </w:p>
    <w:p w14:paraId="0E536A7B" w14:textId="3A2CEC86" w:rsidR="007261E4" w:rsidRDefault="007261E4">
      <w:pPr>
        <w:pStyle w:val="TOC2"/>
        <w:rPr>
          <w:rFonts w:asciiTheme="minorHAnsi" w:eastAsiaTheme="minorEastAsia" w:hAnsiTheme="minorHAnsi" w:cstheme="minorBidi"/>
          <w:spacing w:val="0"/>
          <w:sz w:val="22"/>
          <w:szCs w:val="22"/>
        </w:rPr>
      </w:pPr>
      <w:r>
        <w:t>Regulation applicable to narrowcast television services</w:t>
      </w:r>
      <w:r>
        <w:tab/>
      </w:r>
      <w:r>
        <w:fldChar w:fldCharType="begin"/>
      </w:r>
      <w:r>
        <w:instrText xml:space="preserve"> PAGEREF _Toc73539711 \h </w:instrText>
      </w:r>
      <w:r>
        <w:fldChar w:fldCharType="separate"/>
      </w:r>
      <w:r>
        <w:t>5</w:t>
      </w:r>
      <w:r>
        <w:fldChar w:fldCharType="end"/>
      </w:r>
    </w:p>
    <w:p w14:paraId="31289D6B" w14:textId="463686B4" w:rsidR="007261E4" w:rsidRDefault="007261E4">
      <w:pPr>
        <w:pStyle w:val="TOC1"/>
        <w:rPr>
          <w:rFonts w:asciiTheme="minorHAnsi" w:eastAsiaTheme="minorEastAsia" w:hAnsiTheme="minorHAnsi" w:cstheme="minorBidi"/>
          <w:b w:val="0"/>
          <w:spacing w:val="0"/>
          <w:sz w:val="22"/>
          <w:szCs w:val="22"/>
        </w:rPr>
      </w:pPr>
      <w:r>
        <w:t>Issues for comment</w:t>
      </w:r>
      <w:r>
        <w:tab/>
      </w:r>
      <w:r>
        <w:fldChar w:fldCharType="begin"/>
      </w:r>
      <w:r>
        <w:instrText xml:space="preserve"> PAGEREF _Toc73539712 \h </w:instrText>
      </w:r>
      <w:r>
        <w:fldChar w:fldCharType="separate"/>
      </w:r>
      <w:r>
        <w:t>7</w:t>
      </w:r>
      <w:r>
        <w:fldChar w:fldCharType="end"/>
      </w:r>
    </w:p>
    <w:p w14:paraId="7E2BD634" w14:textId="1EC1BE32" w:rsidR="007261E4" w:rsidRDefault="007261E4">
      <w:pPr>
        <w:pStyle w:val="TOC2"/>
        <w:rPr>
          <w:rFonts w:asciiTheme="minorHAnsi" w:eastAsiaTheme="minorEastAsia" w:hAnsiTheme="minorHAnsi" w:cstheme="minorBidi"/>
          <w:spacing w:val="0"/>
          <w:sz w:val="22"/>
          <w:szCs w:val="22"/>
        </w:rPr>
      </w:pPr>
      <w:r>
        <w:t>Proposed minor changes to the legislative instruments</w:t>
      </w:r>
      <w:r>
        <w:tab/>
      </w:r>
      <w:r>
        <w:fldChar w:fldCharType="begin"/>
      </w:r>
      <w:r>
        <w:instrText xml:space="preserve"> PAGEREF _Toc73539713 \h </w:instrText>
      </w:r>
      <w:r>
        <w:fldChar w:fldCharType="separate"/>
      </w:r>
      <w:r>
        <w:t>9</w:t>
      </w:r>
      <w:r>
        <w:fldChar w:fldCharType="end"/>
      </w:r>
    </w:p>
    <w:p w14:paraId="72C57BE7" w14:textId="6E517A84" w:rsidR="007261E4" w:rsidRDefault="007261E4">
      <w:pPr>
        <w:pStyle w:val="TOC1"/>
        <w:rPr>
          <w:rFonts w:asciiTheme="minorHAnsi" w:eastAsiaTheme="minorEastAsia" w:hAnsiTheme="minorHAnsi" w:cstheme="minorBidi"/>
          <w:b w:val="0"/>
          <w:spacing w:val="0"/>
          <w:sz w:val="22"/>
          <w:szCs w:val="22"/>
        </w:rPr>
      </w:pPr>
      <w:r>
        <w:t>Invitation to comment</w:t>
      </w:r>
      <w:r>
        <w:tab/>
      </w:r>
      <w:r>
        <w:fldChar w:fldCharType="begin"/>
      </w:r>
      <w:r>
        <w:instrText xml:space="preserve"> PAGEREF _Toc73539714 \h </w:instrText>
      </w:r>
      <w:r>
        <w:fldChar w:fldCharType="separate"/>
      </w:r>
      <w:r>
        <w:t>10</w:t>
      </w:r>
      <w:r>
        <w:fldChar w:fldCharType="end"/>
      </w:r>
    </w:p>
    <w:p w14:paraId="1D2F463B" w14:textId="1CA48A99" w:rsidR="007261E4" w:rsidRDefault="007261E4">
      <w:pPr>
        <w:pStyle w:val="TOC2"/>
        <w:rPr>
          <w:rFonts w:asciiTheme="minorHAnsi" w:eastAsiaTheme="minorEastAsia" w:hAnsiTheme="minorHAnsi" w:cstheme="minorBidi"/>
          <w:spacing w:val="0"/>
          <w:sz w:val="22"/>
          <w:szCs w:val="22"/>
        </w:rPr>
      </w:pPr>
      <w:r>
        <w:t>Making a submission</w:t>
      </w:r>
      <w:r>
        <w:tab/>
      </w:r>
      <w:r>
        <w:fldChar w:fldCharType="begin"/>
      </w:r>
      <w:r>
        <w:instrText xml:space="preserve"> PAGEREF _Toc73539715 \h </w:instrText>
      </w:r>
      <w:r>
        <w:fldChar w:fldCharType="separate"/>
      </w:r>
      <w:r>
        <w:t>10</w:t>
      </w:r>
      <w:r>
        <w:fldChar w:fldCharType="end"/>
      </w:r>
    </w:p>
    <w:p w14:paraId="01E99395" w14:textId="39A5FBE8" w:rsidR="00533234" w:rsidRPr="000D76E0" w:rsidRDefault="00533234" w:rsidP="00533234">
      <w:pPr>
        <w:rPr>
          <w:rFonts w:cs="Arial"/>
        </w:rPr>
        <w:sectPr w:rsidR="00533234" w:rsidRPr="000D76E0" w:rsidSect="00C77380">
          <w:headerReference w:type="even" r:id="rId20"/>
          <w:headerReference w:type="default" r:id="rId21"/>
          <w:footerReference w:type="even" r:id="rId22"/>
          <w:footerReference w:type="default" r:id="rId23"/>
          <w:headerReference w:type="first" r:id="rId24"/>
          <w:footerReference w:type="first" r:id="rId25"/>
          <w:pgSz w:w="11906" w:h="16838" w:code="9"/>
          <w:pgMar w:top="3646" w:right="3101" w:bottom="1134" w:left="1134" w:header="709" w:footer="119" w:gutter="0"/>
          <w:cols w:space="708"/>
          <w:titlePg/>
          <w:docGrid w:linePitch="360"/>
        </w:sectPr>
      </w:pPr>
      <w:r>
        <w:rPr>
          <w:rFonts w:cs="Arial"/>
          <w:b/>
          <w:noProof/>
          <w:spacing w:val="-14"/>
          <w:sz w:val="28"/>
        </w:rPr>
        <w:fldChar w:fldCharType="end"/>
      </w:r>
    </w:p>
    <w:p w14:paraId="78CF75DF" w14:textId="77777777" w:rsidR="00533234" w:rsidRDefault="00533234" w:rsidP="00533234">
      <w:pPr>
        <w:pStyle w:val="Heading1"/>
      </w:pPr>
      <w:bookmarkStart w:id="0" w:name="_Toc73539703"/>
      <w:r>
        <w:lastRenderedPageBreak/>
        <w:t>Background</w:t>
      </w:r>
      <w:bookmarkEnd w:id="0"/>
    </w:p>
    <w:p w14:paraId="49E9D570" w14:textId="77777777" w:rsidR="00533234" w:rsidRDefault="00533234" w:rsidP="0061353A">
      <w:pPr>
        <w:pStyle w:val="Heading2"/>
      </w:pPr>
      <w:bookmarkStart w:id="1" w:name="_Toc73539704"/>
      <w:r>
        <w:t>Automatic sunsetting of legislative instruments</w:t>
      </w:r>
      <w:bookmarkEnd w:id="1"/>
    </w:p>
    <w:p w14:paraId="2AAE09F9" w14:textId="19063497" w:rsidR="00533234" w:rsidRDefault="00533234" w:rsidP="00606508">
      <w:pPr>
        <w:pStyle w:val="Paragraph"/>
      </w:pPr>
      <w:r>
        <w:t xml:space="preserve">Part 4 of Chapter 3 of the </w:t>
      </w:r>
      <w:r>
        <w:rPr>
          <w:i/>
        </w:rPr>
        <w:t>Legislation Act 2003</w:t>
      </w:r>
      <w:r w:rsidR="00305A85">
        <w:rPr>
          <w:iCs/>
        </w:rPr>
        <w:t xml:space="preserve"> sets out the provisions for sunsetting of legislative instruments. </w:t>
      </w:r>
      <w:r w:rsidR="00305A85">
        <w:t>Generally,</w:t>
      </w:r>
      <w:r>
        <w:t xml:space="preserve"> legislative instruments </w:t>
      </w:r>
      <w:r w:rsidR="001B7C4F">
        <w:t>sunset (</w:t>
      </w:r>
      <w:r>
        <w:t>automatically repeal</w:t>
      </w:r>
      <w:r w:rsidR="001B7C4F">
        <w:t>)</w:t>
      </w:r>
      <w:r>
        <w:t xml:space="preserve"> on 1 April or 1 October </w:t>
      </w:r>
      <w:r w:rsidR="00AD6BD7">
        <w:t xml:space="preserve">that </w:t>
      </w:r>
      <w:r w:rsidR="00F81E75">
        <w:t xml:space="preserve">first </w:t>
      </w:r>
      <w:r w:rsidR="00AD6BD7">
        <w:t xml:space="preserve">occurs </w:t>
      </w:r>
      <w:r w:rsidR="001B7C4F">
        <w:t xml:space="preserve">after the </w:t>
      </w:r>
      <w:r w:rsidR="0073330F">
        <w:t>10</w:t>
      </w:r>
      <w:r w:rsidR="0073330F" w:rsidRPr="0065265D">
        <w:rPr>
          <w:vertAlign w:val="superscript"/>
        </w:rPr>
        <w:t>th</w:t>
      </w:r>
      <w:r w:rsidR="0073330F">
        <w:t xml:space="preserve"> </w:t>
      </w:r>
      <w:r w:rsidR="002A4F79">
        <w:t>anniversary of their</w:t>
      </w:r>
      <w:r>
        <w:t xml:space="preserve"> </w:t>
      </w:r>
      <w:r w:rsidR="001B7C4F">
        <w:t>registration</w:t>
      </w:r>
      <w:r>
        <w:t xml:space="preserve">. </w:t>
      </w:r>
    </w:p>
    <w:p w14:paraId="71C15897" w14:textId="36FCBA7C" w:rsidR="00533234" w:rsidRDefault="00533234" w:rsidP="00330D47">
      <w:pPr>
        <w:pStyle w:val="Paragraph"/>
      </w:pPr>
      <w:r>
        <w:t>Among the legislative instruments made by the Australian Communications and Media Authority (ACMA) due to sunset are the following instruments:</w:t>
      </w:r>
    </w:p>
    <w:tbl>
      <w:tblPr>
        <w:tblStyle w:val="ACMAtablestyle"/>
        <w:tblW w:w="7792" w:type="dxa"/>
        <w:tblCellMar>
          <w:top w:w="57" w:type="dxa"/>
          <w:bottom w:w="57" w:type="dxa"/>
        </w:tblCellMar>
        <w:tblLook w:val="04A0" w:firstRow="1" w:lastRow="0" w:firstColumn="1" w:lastColumn="0" w:noHBand="0" w:noVBand="1"/>
        <w:tblCaption w:val="Name of instrument/s and sunset date/s"/>
      </w:tblPr>
      <w:tblGrid>
        <w:gridCol w:w="5665"/>
        <w:gridCol w:w="2127"/>
      </w:tblGrid>
      <w:tr w:rsidR="00533234" w14:paraId="123BBA85" w14:textId="77777777" w:rsidTr="007F19BE">
        <w:trPr>
          <w:cnfStyle w:val="100000000000" w:firstRow="1" w:lastRow="0" w:firstColumn="0" w:lastColumn="0" w:oddVBand="0" w:evenVBand="0" w:oddHBand="0" w:evenHBand="0" w:firstRowFirstColumn="0" w:firstRowLastColumn="0" w:lastRowFirstColumn="0" w:lastRowLastColumn="0"/>
        </w:trPr>
        <w:tc>
          <w:tcPr>
            <w:tcW w:w="5665" w:type="dxa"/>
            <w:hideMark/>
          </w:tcPr>
          <w:p w14:paraId="21708F78" w14:textId="77777777" w:rsidR="00533234" w:rsidRDefault="00533234" w:rsidP="00606508">
            <w:pPr>
              <w:pStyle w:val="TableHeading0"/>
              <w:spacing w:after="240"/>
            </w:pPr>
            <w:r>
              <w:t>Name of instrument</w:t>
            </w:r>
          </w:p>
        </w:tc>
        <w:tc>
          <w:tcPr>
            <w:tcW w:w="2127" w:type="dxa"/>
            <w:hideMark/>
          </w:tcPr>
          <w:p w14:paraId="763CB6BF" w14:textId="77777777" w:rsidR="00533234" w:rsidRDefault="00533234" w:rsidP="00606508">
            <w:pPr>
              <w:pStyle w:val="TableHeading0"/>
              <w:spacing w:after="240"/>
            </w:pPr>
            <w:r>
              <w:t>Sunset date</w:t>
            </w:r>
          </w:p>
        </w:tc>
      </w:tr>
      <w:tr w:rsidR="00533234" w14:paraId="0A3EE305" w14:textId="77777777" w:rsidTr="007F19BE">
        <w:trPr>
          <w:cnfStyle w:val="000000100000" w:firstRow="0" w:lastRow="0" w:firstColumn="0" w:lastColumn="0" w:oddVBand="0" w:evenVBand="0" w:oddHBand="1" w:evenHBand="0" w:firstRowFirstColumn="0" w:firstRowLastColumn="0" w:lastRowFirstColumn="0" w:lastRowLastColumn="0"/>
          <w:trHeight w:val="137"/>
        </w:trPr>
        <w:tc>
          <w:tcPr>
            <w:tcW w:w="5665" w:type="dxa"/>
            <w:tcBorders>
              <w:top w:val="single" w:sz="4" w:space="0" w:color="auto"/>
              <w:left w:val="single" w:sz="4" w:space="0" w:color="auto"/>
              <w:bottom w:val="single" w:sz="4" w:space="0" w:color="auto"/>
              <w:right w:val="single" w:sz="4" w:space="0" w:color="auto"/>
            </w:tcBorders>
            <w:hideMark/>
          </w:tcPr>
          <w:p w14:paraId="186F40FB" w14:textId="207A870F" w:rsidR="00533234" w:rsidRDefault="00B7154C" w:rsidP="00606508">
            <w:pPr>
              <w:pStyle w:val="TableBody"/>
              <w:spacing w:after="240" w:line="240" w:lineRule="atLeast"/>
            </w:pPr>
            <w:hyperlink r:id="rId26" w:history="1">
              <w:r w:rsidR="00533234" w:rsidRPr="004A4D96">
                <w:rPr>
                  <w:rStyle w:val="Hyperlink"/>
                </w:rPr>
                <w:t>Broadcasting Services (Anti-</w:t>
              </w:r>
              <w:r w:rsidR="00661E73">
                <w:rPr>
                  <w:rStyle w:val="Hyperlink"/>
                </w:rPr>
                <w:t>t</w:t>
              </w:r>
              <w:r w:rsidR="00533234" w:rsidRPr="004A4D96">
                <w:rPr>
                  <w:rStyle w:val="Hyperlink"/>
                </w:rPr>
                <w:t>errorism Requirements for Subscription Television Narrowcasting Services) Standard 2011</w:t>
              </w:r>
            </w:hyperlink>
          </w:p>
        </w:tc>
        <w:tc>
          <w:tcPr>
            <w:tcW w:w="2127" w:type="dxa"/>
            <w:tcBorders>
              <w:top w:val="single" w:sz="4" w:space="0" w:color="auto"/>
              <w:left w:val="single" w:sz="4" w:space="0" w:color="auto"/>
              <w:bottom w:val="single" w:sz="4" w:space="0" w:color="auto"/>
              <w:right w:val="single" w:sz="4" w:space="0" w:color="auto"/>
            </w:tcBorders>
            <w:hideMark/>
          </w:tcPr>
          <w:p w14:paraId="7F1CADA7" w14:textId="77777777" w:rsidR="00533234" w:rsidRDefault="00533234" w:rsidP="00606508">
            <w:pPr>
              <w:pStyle w:val="TableBody"/>
              <w:spacing w:after="240" w:line="240" w:lineRule="atLeast"/>
            </w:pPr>
            <w:r>
              <w:t>1 October 2021</w:t>
            </w:r>
          </w:p>
        </w:tc>
      </w:tr>
      <w:tr w:rsidR="00533234" w14:paraId="19E6655D" w14:textId="77777777" w:rsidTr="007F19BE">
        <w:trPr>
          <w:cnfStyle w:val="000000010000" w:firstRow="0" w:lastRow="0" w:firstColumn="0" w:lastColumn="0" w:oddVBand="0" w:evenVBand="0" w:oddHBand="0" w:evenHBand="1" w:firstRowFirstColumn="0" w:firstRowLastColumn="0" w:lastRowFirstColumn="0" w:lastRowLastColumn="0"/>
        </w:trPr>
        <w:tc>
          <w:tcPr>
            <w:tcW w:w="5665" w:type="dxa"/>
            <w:tcBorders>
              <w:top w:val="single" w:sz="4" w:space="0" w:color="auto"/>
              <w:left w:val="single" w:sz="4" w:space="0" w:color="auto"/>
              <w:bottom w:val="single" w:sz="4" w:space="0" w:color="auto"/>
              <w:right w:val="single" w:sz="4" w:space="0" w:color="auto"/>
            </w:tcBorders>
            <w:shd w:val="clear" w:color="auto" w:fill="FFFFFF" w:themeFill="background1"/>
          </w:tcPr>
          <w:p w14:paraId="2997FA54" w14:textId="102BBF33" w:rsidR="00533234" w:rsidRDefault="00B7154C" w:rsidP="00606508">
            <w:pPr>
              <w:pStyle w:val="TableBody"/>
              <w:spacing w:after="240" w:line="240" w:lineRule="atLeast"/>
            </w:pPr>
            <w:hyperlink r:id="rId27" w:history="1">
              <w:r w:rsidR="00533234" w:rsidRPr="004A4D96">
                <w:rPr>
                  <w:rStyle w:val="Hyperlink"/>
                </w:rPr>
                <w:t>Broadcasting Services (Anti-</w:t>
              </w:r>
              <w:r w:rsidR="00661E73">
                <w:rPr>
                  <w:rStyle w:val="Hyperlink"/>
                </w:rPr>
                <w:t>t</w:t>
              </w:r>
              <w:r w:rsidR="00533234" w:rsidRPr="004A4D96">
                <w:rPr>
                  <w:rStyle w:val="Hyperlink"/>
                </w:rPr>
                <w:t>errorism Requirements for Open Narrowcasting Television Services) Standard 2011</w:t>
              </w:r>
            </w:hyperlink>
          </w:p>
        </w:tc>
        <w:tc>
          <w:tcPr>
            <w:tcW w:w="2127" w:type="dxa"/>
            <w:tcBorders>
              <w:top w:val="single" w:sz="4" w:space="0" w:color="auto"/>
              <w:left w:val="single" w:sz="4" w:space="0" w:color="auto"/>
              <w:bottom w:val="single" w:sz="4" w:space="0" w:color="auto"/>
              <w:right w:val="single" w:sz="4" w:space="0" w:color="auto"/>
            </w:tcBorders>
            <w:shd w:val="clear" w:color="auto" w:fill="FFFFFF" w:themeFill="background1"/>
          </w:tcPr>
          <w:p w14:paraId="466B353E" w14:textId="77777777" w:rsidR="00533234" w:rsidRDefault="00533234" w:rsidP="00606508">
            <w:pPr>
              <w:pStyle w:val="TableBody"/>
              <w:spacing w:after="240" w:line="240" w:lineRule="atLeast"/>
            </w:pPr>
            <w:r>
              <w:t>1 October 2021</w:t>
            </w:r>
          </w:p>
        </w:tc>
      </w:tr>
    </w:tbl>
    <w:p w14:paraId="36CB7275" w14:textId="560ACE20" w:rsidR="00533234" w:rsidRDefault="0017678D" w:rsidP="00606508">
      <w:pPr>
        <w:pStyle w:val="Paragraph"/>
        <w:spacing w:before="240"/>
      </w:pPr>
      <w:r>
        <w:t xml:space="preserve">Copies of the respective instruments are </w:t>
      </w:r>
      <w:r w:rsidR="00562CED">
        <w:t>available at the links above</w:t>
      </w:r>
      <w:r>
        <w:t xml:space="preserve">. </w:t>
      </w:r>
      <w:r w:rsidR="00533234">
        <w:t xml:space="preserve">The ACMA </w:t>
      </w:r>
      <w:r w:rsidR="00485DEF">
        <w:t>is</w:t>
      </w:r>
      <w:r w:rsidR="0097417D">
        <w:t xml:space="preserve"> considering whether the instruments (which are structurally identical and referred to here as the </w:t>
      </w:r>
      <w:r w:rsidR="00330D47">
        <w:t>‘anti-terrorism standards</w:t>
      </w:r>
      <w:r w:rsidR="00330D47" w:rsidRPr="0065265D">
        <w:t>’</w:t>
      </w:r>
      <w:r w:rsidR="0097417D">
        <w:t xml:space="preserve">) are operating </w:t>
      </w:r>
      <w:r w:rsidR="00DE15DB">
        <w:t xml:space="preserve">efficiently and </w:t>
      </w:r>
      <w:r w:rsidR="0097417D">
        <w:t xml:space="preserve">effectively </w:t>
      </w:r>
      <w:r w:rsidR="00533234">
        <w:t>within the current legislative framework</w:t>
      </w:r>
      <w:r w:rsidR="00DE15DB">
        <w:t xml:space="preserve"> and should be remade</w:t>
      </w:r>
      <w:r w:rsidR="00334BAE">
        <w:t xml:space="preserve"> prior to the sunsetting date.</w:t>
      </w:r>
    </w:p>
    <w:p w14:paraId="3E84DE6B" w14:textId="779663B0" w:rsidR="00533234" w:rsidRPr="003F2F9F" w:rsidRDefault="00E411AD" w:rsidP="00606508">
      <w:pPr>
        <w:pStyle w:val="Paragraph"/>
      </w:pPr>
      <w:r>
        <w:t>The</w:t>
      </w:r>
      <w:r w:rsidR="00050CEC">
        <w:t xml:space="preserve"> ACMA’s</w:t>
      </w:r>
      <w:r>
        <w:t xml:space="preserve"> </w:t>
      </w:r>
      <w:r w:rsidR="00DE15DB">
        <w:t xml:space="preserve">preliminary </w:t>
      </w:r>
      <w:r w:rsidR="0001699B">
        <w:t xml:space="preserve">view </w:t>
      </w:r>
      <w:r w:rsidR="00DE15DB">
        <w:t xml:space="preserve">is </w:t>
      </w:r>
      <w:bookmarkStart w:id="2" w:name="_Hlk46743272"/>
      <w:r>
        <w:t xml:space="preserve">the </w:t>
      </w:r>
      <w:r w:rsidR="00330D47">
        <w:t>a</w:t>
      </w:r>
      <w:r>
        <w:t xml:space="preserve">nti-terrorism </w:t>
      </w:r>
      <w:r w:rsidR="00330D47">
        <w:t>s</w:t>
      </w:r>
      <w:r w:rsidRPr="003F2F9F">
        <w:t>tand</w:t>
      </w:r>
      <w:bookmarkEnd w:id="2"/>
      <w:r w:rsidRPr="003F2F9F">
        <w:t>ards</w:t>
      </w:r>
      <w:r>
        <w:t xml:space="preserve"> should continue, </w:t>
      </w:r>
      <w:r w:rsidR="008D2CA4">
        <w:t>and</w:t>
      </w:r>
      <w:r w:rsidR="001A044D">
        <w:t xml:space="preserve"> that </w:t>
      </w:r>
      <w:r w:rsidR="0095235D">
        <w:t>the</w:t>
      </w:r>
      <w:r w:rsidR="006D4A6D">
        <w:t xml:space="preserve"> </w:t>
      </w:r>
      <w:r>
        <w:t>instruments are</w:t>
      </w:r>
      <w:r w:rsidR="001A044D">
        <w:t xml:space="preserve"> largely</w:t>
      </w:r>
      <w:r>
        <w:t xml:space="preserve"> fit</w:t>
      </w:r>
      <w:r w:rsidR="00330D47">
        <w:t>-</w:t>
      </w:r>
      <w:r>
        <w:t>for</w:t>
      </w:r>
      <w:r w:rsidR="00330D47">
        <w:t>-</w:t>
      </w:r>
      <w:r>
        <w:t>purpose</w:t>
      </w:r>
      <w:r w:rsidR="003D43D4">
        <w:t>. It considers the instruments</w:t>
      </w:r>
      <w:r>
        <w:t xml:space="preserve"> should be</w:t>
      </w:r>
      <w:r w:rsidR="002C7F28">
        <w:t xml:space="preserve"> </w:t>
      </w:r>
      <w:r>
        <w:t xml:space="preserve">remade </w:t>
      </w:r>
      <w:r w:rsidR="00C56B0C">
        <w:t xml:space="preserve">as a single instrument </w:t>
      </w:r>
      <w:r w:rsidR="00533234" w:rsidRPr="003F2F9F">
        <w:t xml:space="preserve">with </w:t>
      </w:r>
      <w:r w:rsidR="00AD6BD7">
        <w:t xml:space="preserve">only </w:t>
      </w:r>
      <w:r w:rsidR="00533234">
        <w:t xml:space="preserve">minor </w:t>
      </w:r>
      <w:r w:rsidR="00533234" w:rsidRPr="003F2F9F">
        <w:t xml:space="preserve">changes. </w:t>
      </w:r>
      <w:r w:rsidR="008D3CAD">
        <w:t>This paper invites</w:t>
      </w:r>
      <w:r w:rsidR="001A044D">
        <w:t xml:space="preserve"> </w:t>
      </w:r>
      <w:r w:rsidR="00533234" w:rsidRPr="00B70BB6">
        <w:t xml:space="preserve">comment on </w:t>
      </w:r>
      <w:r w:rsidR="00533234">
        <w:t>these instruments and their place in the regulatory framework</w:t>
      </w:r>
      <w:r w:rsidR="003348BB">
        <w:t>,</w:t>
      </w:r>
      <w:r w:rsidR="00533234">
        <w:t xml:space="preserve"> through a number of targeted questions.</w:t>
      </w:r>
    </w:p>
    <w:p w14:paraId="0C4E181B" w14:textId="77777777" w:rsidR="00533234" w:rsidRDefault="00533234" w:rsidP="00533234">
      <w:pPr>
        <w:pStyle w:val="Heading1"/>
      </w:pPr>
      <w:bookmarkStart w:id="3" w:name="_Toc73539705"/>
      <w:r>
        <w:lastRenderedPageBreak/>
        <w:t>Brief details about the legislative instruments</w:t>
      </w:r>
      <w:bookmarkEnd w:id="3"/>
    </w:p>
    <w:p w14:paraId="4AAE50AE" w14:textId="77777777" w:rsidR="00B34736" w:rsidRPr="009F643B" w:rsidRDefault="00B34736" w:rsidP="00335046">
      <w:pPr>
        <w:pStyle w:val="Heading2"/>
        <w:spacing w:after="60"/>
      </w:pPr>
      <w:bookmarkStart w:id="4" w:name="_Toc71897575"/>
      <w:bookmarkStart w:id="5" w:name="_Toc72161167"/>
      <w:bookmarkStart w:id="6" w:name="_Toc72399848"/>
      <w:bookmarkStart w:id="7" w:name="_Toc72410315"/>
      <w:bookmarkStart w:id="8" w:name="_Toc72755640"/>
      <w:bookmarkStart w:id="9" w:name="_Toc73010917"/>
      <w:bookmarkStart w:id="10" w:name="_Toc73539706"/>
      <w:r w:rsidRPr="00330D47">
        <w:t>Context</w:t>
      </w:r>
      <w:bookmarkEnd w:id="4"/>
      <w:bookmarkEnd w:id="5"/>
      <w:bookmarkEnd w:id="6"/>
      <w:bookmarkEnd w:id="7"/>
      <w:bookmarkEnd w:id="8"/>
      <w:bookmarkEnd w:id="9"/>
      <w:bookmarkEnd w:id="10"/>
    </w:p>
    <w:p w14:paraId="1C5A0658" w14:textId="1A9F8842" w:rsidR="00B34736" w:rsidRPr="0022379B" w:rsidRDefault="00917D85" w:rsidP="00B34736">
      <w:pPr>
        <w:pStyle w:val="Paragraph"/>
      </w:pPr>
      <w:r>
        <w:t xml:space="preserve">The </w:t>
      </w:r>
      <w:r w:rsidR="00330D47">
        <w:t>a</w:t>
      </w:r>
      <w:r w:rsidR="00B34736">
        <w:t xml:space="preserve">nti-terrorism </w:t>
      </w:r>
      <w:r w:rsidR="00330D47">
        <w:t>s</w:t>
      </w:r>
      <w:r w:rsidR="00B34736">
        <w:t>tandards</w:t>
      </w:r>
      <w:r>
        <w:t xml:space="preserve"> are one of several </w:t>
      </w:r>
      <w:r w:rsidR="00E43341">
        <w:t>regulatory levers</w:t>
      </w:r>
      <w:r w:rsidR="00B34736">
        <w:t xml:space="preserve"> that seek to prevent the spread of </w:t>
      </w:r>
      <w:r w:rsidR="00B34736" w:rsidDel="00967546">
        <w:t xml:space="preserve">terrorist </w:t>
      </w:r>
      <w:r w:rsidR="00B34736">
        <w:t>material on narrowcast television</w:t>
      </w:r>
      <w:r w:rsidR="00AC120E">
        <w:t xml:space="preserve"> services</w:t>
      </w:r>
      <w:r w:rsidR="00E43341">
        <w:t xml:space="preserve">. These levers include </w:t>
      </w:r>
      <w:r w:rsidR="00B34736">
        <w:t>class licence conditions</w:t>
      </w:r>
      <w:r w:rsidR="00077B36">
        <w:t xml:space="preserve"> </w:t>
      </w:r>
      <w:r w:rsidR="002C7F28">
        <w:t>and classification</w:t>
      </w:r>
      <w:r w:rsidR="00B34736">
        <w:t xml:space="preserve"> obligations</w:t>
      </w:r>
      <w:r w:rsidR="002C7F28">
        <w:t>.</w:t>
      </w:r>
      <w:r w:rsidR="00B34736">
        <w:t xml:space="preserve"> This section details the operation </w:t>
      </w:r>
      <w:r w:rsidR="00582367">
        <w:t xml:space="preserve">and development </w:t>
      </w:r>
      <w:r w:rsidR="00B34736">
        <w:t>of the legislative instruments</w:t>
      </w:r>
      <w:r w:rsidR="00582367">
        <w:t>.</w:t>
      </w:r>
    </w:p>
    <w:p w14:paraId="2AFF7E54" w14:textId="44E4F8EF" w:rsidR="00533234" w:rsidRPr="000F26F2" w:rsidRDefault="00533234" w:rsidP="00335046">
      <w:pPr>
        <w:pStyle w:val="Heading2"/>
        <w:spacing w:after="60"/>
      </w:pPr>
      <w:bookmarkStart w:id="11" w:name="_Toc73539707"/>
      <w:r w:rsidRPr="000F26F2">
        <w:t>What the instruments do</w:t>
      </w:r>
      <w:bookmarkEnd w:id="11"/>
    </w:p>
    <w:p w14:paraId="269E3109" w14:textId="760EE2EE" w:rsidR="00533234" w:rsidRPr="008054B7" w:rsidRDefault="00533234" w:rsidP="00335046">
      <w:pPr>
        <w:pStyle w:val="Paragraphbeforelist"/>
      </w:pPr>
      <w:r>
        <w:t xml:space="preserve">The ACMA determined the current </w:t>
      </w:r>
      <w:r w:rsidR="00330D47">
        <w:t>a</w:t>
      </w:r>
      <w:r>
        <w:t>nti-</w:t>
      </w:r>
      <w:r w:rsidR="00661E73">
        <w:t>t</w:t>
      </w:r>
      <w:r>
        <w:t xml:space="preserve">errorism </w:t>
      </w:r>
      <w:r w:rsidR="00330D47">
        <w:t>s</w:t>
      </w:r>
      <w:r>
        <w:t xml:space="preserve">tandards under subsection 125(2) of the </w:t>
      </w:r>
      <w:r w:rsidRPr="003B7949">
        <w:rPr>
          <w:i/>
          <w:iCs/>
        </w:rPr>
        <w:t>Broadcasting Services Act 1992</w:t>
      </w:r>
      <w:r>
        <w:t xml:space="preserve"> (the BSA) on 2</w:t>
      </w:r>
      <w:r w:rsidR="00C775D1">
        <w:t>9</w:t>
      </w:r>
      <w:r>
        <w:t xml:space="preserve"> March 2011. Specifically, the </w:t>
      </w:r>
      <w:r w:rsidR="00900DBC">
        <w:t>a</w:t>
      </w:r>
      <w:r w:rsidR="00661E73">
        <w:t xml:space="preserve">nti-terrorism </w:t>
      </w:r>
      <w:r w:rsidR="00900DBC">
        <w:t>s</w:t>
      </w:r>
      <w:r>
        <w:t>tandards</w:t>
      </w:r>
      <w:r w:rsidRPr="008054B7">
        <w:t xml:space="preserve"> prohibit </w:t>
      </w:r>
      <w:r w:rsidR="007355A7">
        <w:t>3</w:t>
      </w:r>
      <w:r w:rsidR="007355A7" w:rsidRPr="008054B7">
        <w:t xml:space="preserve"> </w:t>
      </w:r>
      <w:r w:rsidRPr="008054B7">
        <w:t xml:space="preserve">categories of content: </w:t>
      </w:r>
    </w:p>
    <w:p w14:paraId="1DCBFBEA" w14:textId="3424C5CA" w:rsidR="00533234" w:rsidRPr="008054B7" w:rsidRDefault="00533234" w:rsidP="00335046">
      <w:pPr>
        <w:pStyle w:val="Bulletlevel1"/>
      </w:pPr>
      <w:r w:rsidRPr="008054B7">
        <w:t>content that directly recruits a person to join, or participate in the activities of a listed terrorist</w:t>
      </w:r>
    </w:p>
    <w:p w14:paraId="358C0B16" w14:textId="01C49DA5" w:rsidR="00533234" w:rsidRPr="008054B7" w:rsidRDefault="00533234" w:rsidP="00335046">
      <w:pPr>
        <w:pStyle w:val="Bulletlevel1"/>
      </w:pPr>
      <w:r w:rsidRPr="008054B7">
        <w:t>content that solicits funds for or assists in the collection or provision of funds for a listed terrorist</w:t>
      </w:r>
      <w:r>
        <w:t xml:space="preserve">  </w:t>
      </w:r>
    </w:p>
    <w:p w14:paraId="589224FB" w14:textId="77777777" w:rsidR="00533234" w:rsidRDefault="00533234" w:rsidP="00335046">
      <w:pPr>
        <w:pStyle w:val="Bulletlevel1last"/>
      </w:pPr>
      <w:r w:rsidRPr="008054B7">
        <w:t>content that advocates the doing of a terrorist act</w:t>
      </w:r>
      <w:r>
        <w:t>.</w:t>
      </w:r>
    </w:p>
    <w:p w14:paraId="3D2C344A" w14:textId="32AD69BF" w:rsidR="00ED76BB" w:rsidRPr="00ED76BB" w:rsidRDefault="00ED76BB" w:rsidP="00ED76BB">
      <w:pPr>
        <w:pStyle w:val="ACMABodyText"/>
        <w:spacing w:before="0" w:after="240" w:line="240" w:lineRule="atLeast"/>
        <w:rPr>
          <w:rFonts w:cs="Arial"/>
          <w:snapToGrid/>
          <w:sz w:val="20"/>
          <w:lang w:eastAsia="en-AU"/>
        </w:rPr>
      </w:pPr>
      <w:r w:rsidRPr="00ED76BB">
        <w:rPr>
          <w:rFonts w:cs="Arial"/>
          <w:snapToGrid/>
          <w:sz w:val="20"/>
          <w:lang w:eastAsia="en-AU"/>
        </w:rPr>
        <w:t xml:space="preserve">‘Listed terrorist’ is a defined term in the </w:t>
      </w:r>
      <w:r w:rsidR="00900DBC">
        <w:rPr>
          <w:rFonts w:cs="Arial"/>
          <w:snapToGrid/>
          <w:sz w:val="20"/>
          <w:lang w:eastAsia="en-AU"/>
        </w:rPr>
        <w:t>a</w:t>
      </w:r>
      <w:r w:rsidRPr="00ED76BB">
        <w:rPr>
          <w:rFonts w:cs="Arial"/>
          <w:snapToGrid/>
          <w:sz w:val="20"/>
          <w:lang w:eastAsia="en-AU"/>
        </w:rPr>
        <w:t xml:space="preserve">nti-terrorism </w:t>
      </w:r>
      <w:r w:rsidR="00900DBC">
        <w:rPr>
          <w:rFonts w:cs="Arial"/>
          <w:snapToGrid/>
          <w:sz w:val="20"/>
          <w:lang w:eastAsia="en-AU"/>
        </w:rPr>
        <w:t>s</w:t>
      </w:r>
      <w:r w:rsidRPr="00ED76BB">
        <w:rPr>
          <w:rFonts w:cs="Arial"/>
          <w:snapToGrid/>
          <w:sz w:val="20"/>
          <w:lang w:eastAsia="en-AU"/>
        </w:rPr>
        <w:t>tandards</w:t>
      </w:r>
      <w:r>
        <w:rPr>
          <w:rFonts w:cs="Arial"/>
          <w:snapToGrid/>
          <w:sz w:val="20"/>
          <w:lang w:eastAsia="en-AU"/>
        </w:rPr>
        <w:t xml:space="preserve"> and refers to </w:t>
      </w:r>
      <w:r w:rsidRPr="00ED76BB">
        <w:rPr>
          <w:rFonts w:cs="Arial"/>
          <w:snapToGrid/>
          <w:sz w:val="20"/>
          <w:lang w:eastAsia="en-AU"/>
        </w:rPr>
        <w:t xml:space="preserve">persons or organisations listed as terrorists under the Schedule to the </w:t>
      </w:r>
      <w:r w:rsidRPr="23900A5E">
        <w:rPr>
          <w:rFonts w:cs="Arial"/>
          <w:i/>
          <w:snapToGrid/>
          <w:sz w:val="20"/>
          <w:lang w:eastAsia="en-AU"/>
        </w:rPr>
        <w:t>Criminal Code Act 1995</w:t>
      </w:r>
      <w:r>
        <w:rPr>
          <w:rFonts w:cs="Arial"/>
          <w:snapToGrid/>
          <w:sz w:val="20"/>
          <w:lang w:eastAsia="en-AU"/>
        </w:rPr>
        <w:t xml:space="preserve"> (Cth) (the Criminal Code)</w:t>
      </w:r>
      <w:r w:rsidR="74D6B187" w:rsidRPr="00ED76BB">
        <w:rPr>
          <w:rFonts w:cs="Arial"/>
          <w:snapToGrid/>
          <w:sz w:val="20"/>
          <w:lang w:eastAsia="en-AU"/>
        </w:rPr>
        <w:t>.</w:t>
      </w:r>
    </w:p>
    <w:p w14:paraId="6358E249" w14:textId="4810F105" w:rsidR="00164E7F" w:rsidRPr="00164E7F" w:rsidRDefault="00C709AF" w:rsidP="00164E7F">
      <w:pPr>
        <w:pStyle w:val="ACMABodyText"/>
        <w:spacing w:before="0" w:after="240" w:line="240" w:lineRule="atLeast"/>
        <w:rPr>
          <w:rFonts w:cs="Arial"/>
          <w:snapToGrid/>
          <w:sz w:val="20"/>
          <w:szCs w:val="24"/>
          <w:lang w:eastAsia="en-AU"/>
        </w:rPr>
      </w:pPr>
      <w:r>
        <w:rPr>
          <w:rFonts w:cs="Arial"/>
          <w:snapToGrid/>
          <w:sz w:val="20"/>
          <w:szCs w:val="24"/>
          <w:lang w:eastAsia="en-AU"/>
        </w:rPr>
        <w:t>A</w:t>
      </w:r>
      <w:r w:rsidR="00164E7F" w:rsidRPr="00164E7F">
        <w:rPr>
          <w:rFonts w:cs="Arial"/>
          <w:snapToGrid/>
          <w:sz w:val="20"/>
          <w:szCs w:val="24"/>
          <w:lang w:eastAsia="en-AU"/>
        </w:rPr>
        <w:t xml:space="preserve">pplication of the </w:t>
      </w:r>
      <w:r w:rsidR="00900DBC">
        <w:rPr>
          <w:rFonts w:cs="Arial"/>
          <w:snapToGrid/>
          <w:sz w:val="20"/>
          <w:szCs w:val="24"/>
          <w:lang w:eastAsia="en-AU"/>
        </w:rPr>
        <w:t>a</w:t>
      </w:r>
      <w:r w:rsidR="00EB1AB7" w:rsidRPr="00ED76BB">
        <w:rPr>
          <w:rFonts w:cs="Arial"/>
          <w:snapToGrid/>
          <w:sz w:val="20"/>
          <w:szCs w:val="24"/>
          <w:lang w:eastAsia="en-AU"/>
        </w:rPr>
        <w:t xml:space="preserve">nti-terrorism </w:t>
      </w:r>
      <w:r w:rsidR="00900DBC">
        <w:rPr>
          <w:rFonts w:cs="Arial"/>
          <w:snapToGrid/>
          <w:sz w:val="20"/>
          <w:szCs w:val="24"/>
          <w:lang w:eastAsia="en-AU"/>
        </w:rPr>
        <w:t>s</w:t>
      </w:r>
      <w:r w:rsidR="00164E7F" w:rsidRPr="00164E7F">
        <w:rPr>
          <w:rFonts w:cs="Arial"/>
          <w:snapToGrid/>
          <w:sz w:val="20"/>
          <w:szCs w:val="24"/>
          <w:lang w:eastAsia="en-AU"/>
        </w:rPr>
        <w:t>tandards is not limited to depictions of terrorist activity, but material that directly counsels, urges, or provides instruction on the doing of a terrorist act or encourages people to join or finance listed terrorists.</w:t>
      </w:r>
    </w:p>
    <w:p w14:paraId="79A190CA" w14:textId="37709BCC" w:rsidR="00533234" w:rsidRDefault="008643F9" w:rsidP="00606508">
      <w:pPr>
        <w:pStyle w:val="ACMABodyText"/>
        <w:spacing w:before="0" w:after="240" w:line="240" w:lineRule="atLeast"/>
        <w:rPr>
          <w:rFonts w:cs="Arial"/>
          <w:snapToGrid/>
          <w:sz w:val="20"/>
          <w:szCs w:val="24"/>
          <w:lang w:eastAsia="en-AU"/>
        </w:rPr>
      </w:pPr>
      <w:r>
        <w:rPr>
          <w:rFonts w:cs="Arial"/>
          <w:snapToGrid/>
          <w:sz w:val="20"/>
          <w:szCs w:val="24"/>
          <w:lang w:eastAsia="en-AU"/>
        </w:rPr>
        <w:t xml:space="preserve">There is a </w:t>
      </w:r>
      <w:r w:rsidR="00533234">
        <w:rPr>
          <w:rFonts w:cs="Arial"/>
          <w:snapToGrid/>
          <w:sz w:val="20"/>
          <w:szCs w:val="24"/>
          <w:lang w:eastAsia="en-AU"/>
        </w:rPr>
        <w:t>general</w:t>
      </w:r>
      <w:r>
        <w:rPr>
          <w:rFonts w:cs="Arial"/>
          <w:snapToGrid/>
          <w:sz w:val="20"/>
          <w:szCs w:val="24"/>
          <w:lang w:eastAsia="en-AU"/>
        </w:rPr>
        <w:t xml:space="preserve"> </w:t>
      </w:r>
      <w:r w:rsidR="00533234">
        <w:rPr>
          <w:rFonts w:cs="Arial"/>
          <w:snapToGrid/>
          <w:sz w:val="20"/>
          <w:szCs w:val="24"/>
          <w:lang w:eastAsia="en-AU"/>
        </w:rPr>
        <w:t>exclu</w:t>
      </w:r>
      <w:r>
        <w:rPr>
          <w:rFonts w:cs="Arial"/>
          <w:snapToGrid/>
          <w:sz w:val="20"/>
          <w:szCs w:val="24"/>
          <w:lang w:eastAsia="en-AU"/>
        </w:rPr>
        <w:t>sion for</w:t>
      </w:r>
      <w:r w:rsidR="00533234">
        <w:rPr>
          <w:rFonts w:cs="Arial"/>
          <w:snapToGrid/>
          <w:sz w:val="20"/>
          <w:szCs w:val="24"/>
          <w:lang w:eastAsia="en-AU"/>
        </w:rPr>
        <w:t xml:space="preserve"> content that is </w:t>
      </w:r>
      <w:r w:rsidR="00533234" w:rsidRPr="00676266">
        <w:rPr>
          <w:rFonts w:cs="Arial"/>
          <w:snapToGrid/>
          <w:sz w:val="20"/>
          <w:szCs w:val="24"/>
          <w:lang w:eastAsia="en-AU"/>
        </w:rPr>
        <w:t>included as part of a bona fide news</w:t>
      </w:r>
      <w:r w:rsidR="00533234">
        <w:rPr>
          <w:rFonts w:cs="Arial"/>
          <w:snapToGrid/>
          <w:sz w:val="20"/>
          <w:szCs w:val="24"/>
          <w:lang w:eastAsia="en-AU"/>
        </w:rPr>
        <w:t>, current affairs</w:t>
      </w:r>
      <w:r w:rsidR="00533234" w:rsidRPr="00676266">
        <w:rPr>
          <w:rFonts w:cs="Arial"/>
          <w:snapToGrid/>
          <w:sz w:val="20"/>
          <w:szCs w:val="24"/>
          <w:lang w:eastAsia="en-AU"/>
        </w:rPr>
        <w:t xml:space="preserve"> or documentary report or comment on a matter of public interest, debate, entertainment, or satire, or </w:t>
      </w:r>
      <w:r w:rsidR="00B51C18">
        <w:rPr>
          <w:rFonts w:cs="Arial"/>
          <w:snapToGrid/>
          <w:sz w:val="20"/>
          <w:szCs w:val="24"/>
          <w:lang w:eastAsia="en-AU"/>
        </w:rPr>
        <w:t xml:space="preserve">that </w:t>
      </w:r>
      <w:r w:rsidR="00533234" w:rsidRPr="00676266">
        <w:rPr>
          <w:rFonts w:cs="Arial"/>
          <w:snapToGrid/>
          <w:sz w:val="20"/>
          <w:szCs w:val="24"/>
          <w:lang w:eastAsia="en-AU"/>
        </w:rPr>
        <w:t xml:space="preserve">merely </w:t>
      </w:r>
      <w:r w:rsidR="00533234">
        <w:rPr>
          <w:rFonts w:cs="Arial"/>
          <w:snapToGrid/>
          <w:sz w:val="20"/>
          <w:szCs w:val="24"/>
          <w:lang w:eastAsia="en-AU"/>
        </w:rPr>
        <w:t>provides</w:t>
      </w:r>
      <w:r w:rsidR="00533234" w:rsidRPr="00676266">
        <w:rPr>
          <w:rFonts w:cs="Arial"/>
          <w:snapToGrid/>
          <w:sz w:val="20"/>
          <w:szCs w:val="24"/>
          <w:lang w:eastAsia="en-AU"/>
        </w:rPr>
        <w:t xml:space="preserve"> information about the beliefs or opinions of a listed terrorist</w:t>
      </w:r>
      <w:r w:rsidR="00533234">
        <w:rPr>
          <w:rFonts w:cs="Arial"/>
          <w:snapToGrid/>
          <w:sz w:val="20"/>
          <w:szCs w:val="24"/>
          <w:lang w:eastAsia="en-AU"/>
        </w:rPr>
        <w:t xml:space="preserve">. </w:t>
      </w:r>
    </w:p>
    <w:p w14:paraId="463C8CE5" w14:textId="593D95C1" w:rsidR="00533234" w:rsidRPr="00AC5E40" w:rsidRDefault="00533234" w:rsidP="00606508">
      <w:pPr>
        <w:pStyle w:val="ListBulletLast"/>
        <w:numPr>
          <w:ilvl w:val="0"/>
          <w:numId w:val="0"/>
        </w:numPr>
      </w:pPr>
      <w:r w:rsidRPr="009D0A56">
        <w:rPr>
          <w:szCs w:val="20"/>
        </w:rPr>
        <w:t xml:space="preserve">Under </w:t>
      </w:r>
      <w:r w:rsidR="000D3657">
        <w:rPr>
          <w:szCs w:val="20"/>
        </w:rPr>
        <w:t xml:space="preserve">Part 7 of Schedule 2 to </w:t>
      </w:r>
      <w:r w:rsidRPr="009D0A56">
        <w:rPr>
          <w:szCs w:val="20"/>
        </w:rPr>
        <w:t xml:space="preserve">the </w:t>
      </w:r>
      <w:r w:rsidRPr="00AA18B2">
        <w:rPr>
          <w:szCs w:val="20"/>
        </w:rPr>
        <w:t xml:space="preserve">BSA, compliance with the </w:t>
      </w:r>
      <w:r w:rsidR="00900DBC">
        <w:rPr>
          <w:szCs w:val="20"/>
        </w:rPr>
        <w:t>a</w:t>
      </w:r>
      <w:r w:rsidR="00661E73">
        <w:rPr>
          <w:szCs w:val="20"/>
        </w:rPr>
        <w:t xml:space="preserve">nti-terrorism </w:t>
      </w:r>
      <w:r w:rsidR="00900DBC">
        <w:rPr>
          <w:szCs w:val="20"/>
        </w:rPr>
        <w:t>s</w:t>
      </w:r>
      <w:r w:rsidRPr="00AA18B2">
        <w:rPr>
          <w:szCs w:val="20"/>
        </w:rPr>
        <w:t>tandards is a licence condition</w:t>
      </w:r>
      <w:r>
        <w:rPr>
          <w:szCs w:val="20"/>
        </w:rPr>
        <w:t xml:space="preserve"> for s</w:t>
      </w:r>
      <w:r w:rsidRPr="007C13AB">
        <w:rPr>
          <w:szCs w:val="20"/>
        </w:rPr>
        <w:t xml:space="preserve">ubscription </w:t>
      </w:r>
      <w:r>
        <w:rPr>
          <w:szCs w:val="20"/>
        </w:rPr>
        <w:t>and o</w:t>
      </w:r>
      <w:r w:rsidRPr="007C13AB">
        <w:rPr>
          <w:szCs w:val="20"/>
        </w:rPr>
        <w:t xml:space="preserve">pen </w:t>
      </w:r>
      <w:r>
        <w:rPr>
          <w:szCs w:val="20"/>
        </w:rPr>
        <w:t>n</w:t>
      </w:r>
      <w:r w:rsidRPr="007C13AB">
        <w:rPr>
          <w:szCs w:val="20"/>
        </w:rPr>
        <w:t xml:space="preserve">arrowcasting </w:t>
      </w:r>
      <w:r w:rsidR="006E04A1">
        <w:rPr>
          <w:szCs w:val="20"/>
        </w:rPr>
        <w:t xml:space="preserve">television </w:t>
      </w:r>
      <w:r>
        <w:rPr>
          <w:szCs w:val="20"/>
        </w:rPr>
        <w:t>s</w:t>
      </w:r>
      <w:r w:rsidRPr="007C13AB">
        <w:rPr>
          <w:szCs w:val="20"/>
        </w:rPr>
        <w:t>ervices</w:t>
      </w:r>
      <w:r w:rsidR="00AE1563">
        <w:rPr>
          <w:szCs w:val="20"/>
        </w:rPr>
        <w:t xml:space="preserve"> and a breach of that condition is an offence (</w:t>
      </w:r>
      <w:r w:rsidR="00AD6BD7">
        <w:rPr>
          <w:szCs w:val="20"/>
        </w:rPr>
        <w:t>sub</w:t>
      </w:r>
      <w:r w:rsidR="00AE1563" w:rsidRPr="00AE1563">
        <w:rPr>
          <w:szCs w:val="20"/>
        </w:rPr>
        <w:t>section 139(6) of the BSA).</w:t>
      </w:r>
    </w:p>
    <w:p w14:paraId="1BF5FC3E" w14:textId="62E24EB0" w:rsidR="00533234" w:rsidRPr="00AA18B2" w:rsidRDefault="002653C3" w:rsidP="00335046">
      <w:pPr>
        <w:pStyle w:val="Paragraphbeforelist"/>
      </w:pPr>
      <w:r>
        <w:t xml:space="preserve">In the event of a </w:t>
      </w:r>
      <w:r w:rsidR="00465EBE">
        <w:t>bre</w:t>
      </w:r>
      <w:r>
        <w:t>ach of the</w:t>
      </w:r>
      <w:r w:rsidR="00533234" w:rsidRPr="00AA18B2">
        <w:t xml:space="preserve"> </w:t>
      </w:r>
      <w:r w:rsidR="00900DBC">
        <w:t>a</w:t>
      </w:r>
      <w:r w:rsidR="00533234" w:rsidRPr="00AA18B2">
        <w:t>nti-</w:t>
      </w:r>
      <w:r w:rsidR="00661E73">
        <w:t>t</w:t>
      </w:r>
      <w:r w:rsidR="00533234" w:rsidRPr="00AA18B2">
        <w:t xml:space="preserve">errorism </w:t>
      </w:r>
      <w:r w:rsidR="00900DBC">
        <w:t>s</w:t>
      </w:r>
      <w:r w:rsidR="00533234" w:rsidRPr="00AA18B2">
        <w:t>tandards, the ACMA’s powers under the BSA are to:</w:t>
      </w:r>
    </w:p>
    <w:p w14:paraId="46DAA233" w14:textId="0D5DC3D8" w:rsidR="00533234" w:rsidRPr="008C727F" w:rsidRDefault="00533234" w:rsidP="00335046">
      <w:pPr>
        <w:pStyle w:val="Bulletlevel1"/>
      </w:pPr>
      <w:r w:rsidRPr="008C727F">
        <w:t>issue a</w:t>
      </w:r>
      <w:r w:rsidR="00AD6BD7">
        <w:t xml:space="preserve"> remedial</w:t>
      </w:r>
      <w:r w:rsidRPr="008C727F">
        <w:t xml:space="preserve"> direction to the licensee, directing action to ensure that it does not breach the</w:t>
      </w:r>
      <w:r w:rsidR="00661E73">
        <w:t xml:space="preserve"> </w:t>
      </w:r>
      <w:r w:rsidR="00900DBC">
        <w:t>a</w:t>
      </w:r>
      <w:r w:rsidR="00661E73">
        <w:t>nti-terrorism</w:t>
      </w:r>
      <w:r w:rsidRPr="008C727F">
        <w:t xml:space="preserve"> </w:t>
      </w:r>
      <w:r w:rsidR="00900DBC">
        <w:t>s</w:t>
      </w:r>
      <w:r w:rsidRPr="008C727F">
        <w:t>tandards</w:t>
      </w:r>
      <w:r w:rsidR="008C5ACF">
        <w:t xml:space="preserve"> in future</w:t>
      </w:r>
      <w:r w:rsidR="00E303D7">
        <w:t xml:space="preserve"> (section 141)</w:t>
      </w:r>
      <w:r w:rsidRPr="008C727F">
        <w:t xml:space="preserve"> </w:t>
      </w:r>
    </w:p>
    <w:p w14:paraId="4C8D69E6" w14:textId="612EE891" w:rsidR="00533234" w:rsidRPr="008C727F" w:rsidRDefault="00533234" w:rsidP="00335046">
      <w:pPr>
        <w:pStyle w:val="Bulletlevel1"/>
      </w:pPr>
      <w:r w:rsidRPr="008C727F">
        <w:t>apply to the Federal Court for an order, directing the service provider to cease providing the service</w:t>
      </w:r>
      <w:r w:rsidR="00D94CC3">
        <w:t xml:space="preserve"> (section 144)</w:t>
      </w:r>
    </w:p>
    <w:p w14:paraId="5B8B1F18" w14:textId="5D8151C7" w:rsidR="00533234" w:rsidRDefault="00533234" w:rsidP="00335046">
      <w:pPr>
        <w:pStyle w:val="Bulletlevel1last"/>
      </w:pPr>
      <w:r w:rsidRPr="008C727F">
        <w:t>apply to the Federal Court for a civil penalty</w:t>
      </w:r>
      <w:r w:rsidR="00AB4651">
        <w:t xml:space="preserve"> order (Division</w:t>
      </w:r>
      <w:r w:rsidR="00343443">
        <w:t xml:space="preserve"> </w:t>
      </w:r>
      <w:r w:rsidR="00AB4651">
        <w:t>2 of Part 14B)</w:t>
      </w:r>
      <w:r>
        <w:t>.</w:t>
      </w:r>
    </w:p>
    <w:p w14:paraId="452B15FC" w14:textId="25580683" w:rsidR="0013454A" w:rsidRPr="003D2449" w:rsidRDefault="0013454A" w:rsidP="0013454A">
      <w:pPr>
        <w:pStyle w:val="Paragraph"/>
      </w:pPr>
      <w:r>
        <w:t xml:space="preserve">The </w:t>
      </w:r>
      <w:r w:rsidR="00900DBC">
        <w:t>a</w:t>
      </w:r>
      <w:r>
        <w:t xml:space="preserve">nti-terrorism </w:t>
      </w:r>
      <w:r w:rsidR="00900DBC">
        <w:t>s</w:t>
      </w:r>
      <w:r>
        <w:t>tandards</w:t>
      </w:r>
      <w:r w:rsidRPr="00D82488">
        <w:t xml:space="preserve"> are</w:t>
      </w:r>
      <w:r>
        <w:t xml:space="preserve"> also</w:t>
      </w:r>
      <w:r w:rsidRPr="00D82488">
        <w:t xml:space="preserve"> </w:t>
      </w:r>
      <w:hyperlink r:id="rId28" w:history="1">
        <w:r w:rsidR="007355A7">
          <w:rPr>
            <w:rStyle w:val="Hyperlink"/>
          </w:rPr>
          <w:t>supported by g</w:t>
        </w:r>
        <w:r w:rsidRPr="00541771">
          <w:rPr>
            <w:rStyle w:val="Hyperlink"/>
          </w:rPr>
          <w:t>uidelines</w:t>
        </w:r>
      </w:hyperlink>
      <w:r w:rsidRPr="00D82488">
        <w:t xml:space="preserve"> </w:t>
      </w:r>
      <w:r>
        <w:t>developed by the ACMA in 2011 to</w:t>
      </w:r>
      <w:r w:rsidRPr="00D82488">
        <w:t xml:space="preserve"> assist licensees in interpreting the effect of provisions</w:t>
      </w:r>
      <w:r>
        <w:t>. The guidelines define key terminology and provide</w:t>
      </w:r>
      <w:r w:rsidRPr="00D82488">
        <w:t xml:space="preserve"> </w:t>
      </w:r>
      <w:r>
        <w:t xml:space="preserve">additional </w:t>
      </w:r>
      <w:r w:rsidRPr="00D82488">
        <w:t>guidance to licensees on how to make an informed assessment of whether programs comply with the</w:t>
      </w:r>
      <w:r>
        <w:t xml:space="preserve"> </w:t>
      </w:r>
      <w:r w:rsidR="007355A7">
        <w:t>s</w:t>
      </w:r>
      <w:r>
        <w:t>tandards</w:t>
      </w:r>
      <w:r w:rsidRPr="00D82488">
        <w:t>.</w:t>
      </w:r>
    </w:p>
    <w:p w14:paraId="0334B4E3" w14:textId="77777777" w:rsidR="00533234" w:rsidRPr="00566C6D" w:rsidRDefault="00533234" w:rsidP="00335046">
      <w:pPr>
        <w:pStyle w:val="Heading2"/>
        <w:keepNext/>
        <w:spacing w:after="60"/>
      </w:pPr>
      <w:bookmarkStart w:id="12" w:name="_Toc73539708"/>
      <w:r>
        <w:lastRenderedPageBreak/>
        <w:t>Development</w:t>
      </w:r>
      <w:r w:rsidRPr="00566C6D">
        <w:t xml:space="preserve"> of the </w:t>
      </w:r>
      <w:r>
        <w:t xml:space="preserve">legislative </w:t>
      </w:r>
      <w:r w:rsidRPr="00566C6D">
        <w:t>instruments</w:t>
      </w:r>
      <w:bookmarkEnd w:id="12"/>
    </w:p>
    <w:p w14:paraId="5929D04C" w14:textId="663D14AA" w:rsidR="00CD0082" w:rsidRPr="00930066" w:rsidRDefault="00AD6BD7" w:rsidP="00CD0082">
      <w:pPr>
        <w:pStyle w:val="Paragraph"/>
      </w:pPr>
      <w:r>
        <w:t>Instruments in the form of the</w:t>
      </w:r>
      <w:r w:rsidRPr="00930066">
        <w:t xml:space="preserve"> </w:t>
      </w:r>
      <w:r w:rsidR="00900DBC">
        <w:t>a</w:t>
      </w:r>
      <w:r w:rsidR="00533234" w:rsidRPr="00930066">
        <w:t>nti-</w:t>
      </w:r>
      <w:r w:rsidR="00661E73" w:rsidRPr="00930066">
        <w:t>t</w:t>
      </w:r>
      <w:r w:rsidR="00533234" w:rsidRPr="00930066">
        <w:t xml:space="preserve">errorism </w:t>
      </w:r>
      <w:r w:rsidR="00900DBC">
        <w:t>s</w:t>
      </w:r>
      <w:r w:rsidR="00533234" w:rsidRPr="00930066">
        <w:t>tandards were first determined on 16</w:t>
      </w:r>
      <w:r w:rsidR="009978D5">
        <w:t> </w:t>
      </w:r>
      <w:r w:rsidR="00533234" w:rsidRPr="00930066">
        <w:t>March 2006</w:t>
      </w:r>
      <w:r>
        <w:t>,</w:t>
      </w:r>
      <w:r w:rsidR="002C7F28">
        <w:t xml:space="preserve"> </w:t>
      </w:r>
      <w:r w:rsidR="000D3657" w:rsidRPr="00930066">
        <w:t>follow</w:t>
      </w:r>
      <w:r w:rsidR="00E078C4">
        <w:t>ing</w:t>
      </w:r>
      <w:r w:rsidR="000D3657" w:rsidRPr="00930066">
        <w:t xml:space="preserve"> an investigation into an open narrowcast television service known as Television and Radio Broadcasting Services (TARBS) that broadcast programming from an overseas-based channel (Al-Manar</w:t>
      </w:r>
      <w:r w:rsidR="00CD0082" w:rsidRPr="00930066">
        <w:t xml:space="preserve"> Television</w:t>
      </w:r>
      <w:r w:rsidR="000D3657" w:rsidRPr="00930066">
        <w:t>)</w:t>
      </w:r>
      <w:r w:rsidR="00930066" w:rsidRPr="00930066">
        <w:t xml:space="preserve"> into Australia.</w:t>
      </w:r>
    </w:p>
    <w:p w14:paraId="4D5C5275" w14:textId="3CFEA72E" w:rsidR="000D3657" w:rsidRDefault="000D3657" w:rsidP="00CD0082">
      <w:pPr>
        <w:pStyle w:val="Paragraph"/>
      </w:pPr>
      <w:r w:rsidRPr="00930066">
        <w:t>While the investigation was terminated before findings were made</w:t>
      </w:r>
      <w:r w:rsidR="00930066" w:rsidRPr="00930066">
        <w:t>,</w:t>
      </w:r>
      <w:r w:rsidRPr="00930066">
        <w:t xml:space="preserve"> owing to the cessation of the TARBS business, </w:t>
      </w:r>
      <w:r w:rsidR="009978D5">
        <w:t>it</w:t>
      </w:r>
      <w:r w:rsidRPr="00930066">
        <w:t xml:space="preserve"> </w:t>
      </w:r>
      <w:r w:rsidR="00EF100F">
        <w:t xml:space="preserve">identified that the Al Manar programs </w:t>
      </w:r>
      <w:r w:rsidR="00930066" w:rsidRPr="00930066">
        <w:t>included material directed towards soliciting funds and promoting the activities of a terrorist organisation.</w:t>
      </w:r>
    </w:p>
    <w:p w14:paraId="4F3AC492" w14:textId="28E4E013" w:rsidR="00533234" w:rsidRDefault="00533234" w:rsidP="00533234">
      <w:pPr>
        <w:pStyle w:val="Paragraph"/>
      </w:pPr>
      <w:r>
        <w:t xml:space="preserve">In </w:t>
      </w:r>
      <w:r w:rsidR="001A044D">
        <w:t xml:space="preserve">moving to determine </w:t>
      </w:r>
      <w:r w:rsidR="009978D5">
        <w:t>s</w:t>
      </w:r>
      <w:r w:rsidR="001A044D">
        <w:t>tandards</w:t>
      </w:r>
      <w:r w:rsidR="00A06522">
        <w:t>,</w:t>
      </w:r>
      <w:r>
        <w:t xml:space="preserve"> the ACMA </w:t>
      </w:r>
      <w:r w:rsidR="001A044D">
        <w:t xml:space="preserve">concluded </w:t>
      </w:r>
      <w:r>
        <w:t xml:space="preserve">that </w:t>
      </w:r>
      <w:r w:rsidR="00D171DA">
        <w:t>e</w:t>
      </w:r>
      <w:r w:rsidR="00664895">
        <w:t xml:space="preserve">xisting </w:t>
      </w:r>
      <w:r>
        <w:t>codes of practice did not provide appropriate community safeguards on this issue and that a standard was required to better protect citizens.</w:t>
      </w:r>
      <w:r w:rsidR="000E4245">
        <w:rPr>
          <w:rStyle w:val="FootnoteReference"/>
        </w:rPr>
        <w:footnoteReference w:id="2"/>
      </w:r>
      <w:r w:rsidR="00930066">
        <w:t xml:space="preserve"> </w:t>
      </w:r>
      <w:r>
        <w:t>T</w:t>
      </w:r>
      <w:r w:rsidRPr="00236944">
        <w:t xml:space="preserve">he operation of </w:t>
      </w:r>
      <w:r>
        <w:t>the</w:t>
      </w:r>
      <w:r w:rsidR="00661E73">
        <w:t xml:space="preserve"> </w:t>
      </w:r>
      <w:r w:rsidR="007355A7">
        <w:t>a</w:t>
      </w:r>
      <w:r w:rsidR="00661E73">
        <w:t>nti-terrorism</w:t>
      </w:r>
      <w:r>
        <w:t xml:space="preserve"> </w:t>
      </w:r>
      <w:r w:rsidR="007355A7">
        <w:t>s</w:t>
      </w:r>
      <w:r>
        <w:t>tandards</w:t>
      </w:r>
      <w:r w:rsidRPr="00236944">
        <w:t xml:space="preserve"> </w:t>
      </w:r>
      <w:r>
        <w:t xml:space="preserve">was confined </w:t>
      </w:r>
      <w:r w:rsidRPr="00236944">
        <w:t>to subscription and open narrowcast</w:t>
      </w:r>
      <w:r>
        <w:t xml:space="preserve"> television</w:t>
      </w:r>
      <w:r w:rsidRPr="00236944">
        <w:t xml:space="preserve"> as there was no evidence of similar issues </w:t>
      </w:r>
      <w:r w:rsidR="00E50729">
        <w:t xml:space="preserve">in other sectors </w:t>
      </w:r>
      <w:r w:rsidR="00E06274">
        <w:t xml:space="preserve">or </w:t>
      </w:r>
      <w:r w:rsidRPr="00236944">
        <w:t>services</w:t>
      </w:r>
      <w:r>
        <w:t xml:space="preserve"> at that time</w:t>
      </w:r>
      <w:r w:rsidRPr="00236944">
        <w:t>.</w:t>
      </w:r>
      <w:r>
        <w:t xml:space="preserve"> </w:t>
      </w:r>
    </w:p>
    <w:p w14:paraId="1C93F76C" w14:textId="3A584782" w:rsidR="00533234" w:rsidRDefault="00533234" w:rsidP="00533234">
      <w:pPr>
        <w:pStyle w:val="Paragraph"/>
      </w:pPr>
      <w:r w:rsidRPr="00F06E4A">
        <w:t xml:space="preserve">The </w:t>
      </w:r>
      <w:r w:rsidR="007355A7">
        <w:t>a</w:t>
      </w:r>
      <w:r w:rsidRPr="00F06E4A">
        <w:t>nti-</w:t>
      </w:r>
      <w:r w:rsidR="00661E73">
        <w:t>t</w:t>
      </w:r>
      <w:r w:rsidRPr="00F06E4A">
        <w:t xml:space="preserve">errorism </w:t>
      </w:r>
      <w:r w:rsidR="007355A7">
        <w:t>s</w:t>
      </w:r>
      <w:r w:rsidRPr="00F06E4A">
        <w:t xml:space="preserve">tandards were </w:t>
      </w:r>
      <w:r>
        <w:t>remade</w:t>
      </w:r>
      <w:r w:rsidRPr="00F06E4A">
        <w:t xml:space="preserve"> in 2008 and 2011</w:t>
      </w:r>
      <w:r>
        <w:t xml:space="preserve"> with minor amendments</w:t>
      </w:r>
      <w:r w:rsidRPr="00F06E4A">
        <w:t xml:space="preserve">. </w:t>
      </w:r>
      <w:r w:rsidRPr="00F06E4A">
        <w:rPr>
          <w:szCs w:val="20"/>
        </w:rPr>
        <w:t xml:space="preserve">The </w:t>
      </w:r>
      <w:r w:rsidRPr="00F06E4A">
        <w:rPr>
          <w:szCs w:val="22"/>
        </w:rPr>
        <w:t>first</w:t>
      </w:r>
      <w:r>
        <w:rPr>
          <w:szCs w:val="22"/>
        </w:rPr>
        <w:t xml:space="preserve"> change in 2008</w:t>
      </w:r>
      <w:r w:rsidRPr="00F06E4A">
        <w:rPr>
          <w:szCs w:val="22"/>
        </w:rPr>
        <w:t xml:space="preserve"> followed a </w:t>
      </w:r>
      <w:r>
        <w:rPr>
          <w:szCs w:val="22"/>
        </w:rPr>
        <w:t>recommendation</w:t>
      </w:r>
      <w:r w:rsidRPr="00F06E4A">
        <w:rPr>
          <w:szCs w:val="22"/>
        </w:rPr>
        <w:t xml:space="preserve"> by the </w:t>
      </w:r>
      <w:r w:rsidR="00E078C4">
        <w:rPr>
          <w:szCs w:val="22"/>
        </w:rPr>
        <w:t xml:space="preserve">then </w:t>
      </w:r>
      <w:r w:rsidRPr="00F06E4A">
        <w:rPr>
          <w:szCs w:val="22"/>
        </w:rPr>
        <w:t xml:space="preserve">Senate Standing Committee on Regulations and Ordinances </w:t>
      </w:r>
      <w:r>
        <w:rPr>
          <w:szCs w:val="22"/>
        </w:rPr>
        <w:t>that the</w:t>
      </w:r>
      <w:r w:rsidRPr="00F06E4A">
        <w:rPr>
          <w:szCs w:val="22"/>
        </w:rPr>
        <w:t xml:space="preserve"> </w:t>
      </w:r>
      <w:r>
        <w:rPr>
          <w:szCs w:val="22"/>
        </w:rPr>
        <w:t xml:space="preserve">term </w:t>
      </w:r>
      <w:r w:rsidRPr="00F06E4A">
        <w:rPr>
          <w:szCs w:val="22"/>
        </w:rPr>
        <w:t>‘terrorist organisation</w:t>
      </w:r>
      <w:r>
        <w:rPr>
          <w:szCs w:val="22"/>
        </w:rPr>
        <w:t xml:space="preserve">’ be </w:t>
      </w:r>
      <w:r w:rsidRPr="00F06E4A">
        <w:rPr>
          <w:szCs w:val="22"/>
        </w:rPr>
        <w:t xml:space="preserve">replaced with </w:t>
      </w:r>
      <w:r>
        <w:rPr>
          <w:szCs w:val="22"/>
        </w:rPr>
        <w:t>the</w:t>
      </w:r>
      <w:r w:rsidRPr="00F06E4A">
        <w:rPr>
          <w:szCs w:val="22"/>
        </w:rPr>
        <w:t xml:space="preserve"> term</w:t>
      </w:r>
      <w:r>
        <w:rPr>
          <w:szCs w:val="22"/>
        </w:rPr>
        <w:t xml:space="preserve"> </w:t>
      </w:r>
      <w:r w:rsidRPr="00F06E4A">
        <w:rPr>
          <w:szCs w:val="22"/>
        </w:rPr>
        <w:t>‘listed terrorist</w:t>
      </w:r>
      <w:r>
        <w:rPr>
          <w:szCs w:val="22"/>
        </w:rPr>
        <w:t>’</w:t>
      </w:r>
      <w:r w:rsidRPr="00F06E4A">
        <w:rPr>
          <w:szCs w:val="22"/>
        </w:rPr>
        <w:t>.</w:t>
      </w:r>
      <w:r w:rsidR="008B204A">
        <w:rPr>
          <w:szCs w:val="22"/>
        </w:rPr>
        <w:t xml:space="preserve"> </w:t>
      </w:r>
      <w:r w:rsidR="008B204A" w:rsidRPr="00397AB6">
        <w:rPr>
          <w:szCs w:val="22"/>
        </w:rPr>
        <w:t xml:space="preserve">The amendment </w:t>
      </w:r>
      <w:r w:rsidR="008B204A" w:rsidRPr="00397AB6">
        <w:t xml:space="preserve">resolved concerns about the difficulty of applying the </w:t>
      </w:r>
      <w:r w:rsidR="008B204A">
        <w:rPr>
          <w:iCs/>
        </w:rPr>
        <w:t xml:space="preserve">Criminal Code </w:t>
      </w:r>
      <w:r w:rsidR="008B204A" w:rsidRPr="00397AB6">
        <w:t xml:space="preserve">to determine whether an organisation was a ‘terrorist organisation’. </w:t>
      </w:r>
      <w:r w:rsidRPr="00F06E4A">
        <w:rPr>
          <w:szCs w:val="20"/>
        </w:rPr>
        <w:t xml:space="preserve">The </w:t>
      </w:r>
      <w:r w:rsidR="007355A7">
        <w:rPr>
          <w:szCs w:val="20"/>
        </w:rPr>
        <w:t>a</w:t>
      </w:r>
      <w:r w:rsidR="00661E73">
        <w:rPr>
          <w:szCs w:val="20"/>
        </w:rPr>
        <w:t xml:space="preserve">nti-terrorism </w:t>
      </w:r>
      <w:r w:rsidR="007355A7">
        <w:rPr>
          <w:szCs w:val="20"/>
        </w:rPr>
        <w:t>s</w:t>
      </w:r>
      <w:r w:rsidRPr="00F06E4A">
        <w:rPr>
          <w:szCs w:val="20"/>
        </w:rPr>
        <w:t xml:space="preserve">tandards were </w:t>
      </w:r>
      <w:r>
        <w:rPr>
          <w:szCs w:val="20"/>
        </w:rPr>
        <w:t xml:space="preserve">again </w:t>
      </w:r>
      <w:r w:rsidRPr="00F06E4A">
        <w:rPr>
          <w:szCs w:val="20"/>
        </w:rPr>
        <w:t xml:space="preserve">amended in 2011 </w:t>
      </w:r>
      <w:r>
        <w:rPr>
          <w:szCs w:val="20"/>
        </w:rPr>
        <w:t>to prohibit</w:t>
      </w:r>
      <w:r w:rsidRPr="00F06E4A">
        <w:rPr>
          <w:szCs w:val="20"/>
        </w:rPr>
        <w:t xml:space="preserve"> the broadcast of a program that advocates the doing of a terrorist act</w:t>
      </w:r>
      <w:r>
        <w:rPr>
          <w:szCs w:val="20"/>
        </w:rPr>
        <w:t>, in alignment with other legislation.</w:t>
      </w:r>
      <w:r w:rsidR="000E4245">
        <w:rPr>
          <w:rStyle w:val="FootnoteReference"/>
          <w:szCs w:val="20"/>
        </w:rPr>
        <w:footnoteReference w:id="3"/>
      </w:r>
      <w:r>
        <w:t xml:space="preserve"> </w:t>
      </w:r>
    </w:p>
    <w:p w14:paraId="7387B0AA" w14:textId="0A1A3A82" w:rsidR="00533234" w:rsidRDefault="00533234" w:rsidP="00533234">
      <w:pPr>
        <w:pStyle w:val="Paragraph"/>
      </w:pPr>
      <w:r>
        <w:t xml:space="preserve">Since the </w:t>
      </w:r>
      <w:r w:rsidR="007355A7">
        <w:t>a</w:t>
      </w:r>
      <w:r w:rsidR="00661E73">
        <w:t xml:space="preserve">nti-terrorism </w:t>
      </w:r>
      <w:r w:rsidR="007355A7">
        <w:t>s</w:t>
      </w:r>
      <w:r>
        <w:t xml:space="preserve">tandards were introduced, community concern about terrorism and seriously harmful material has </w:t>
      </w:r>
      <w:r w:rsidR="000C0679">
        <w:t xml:space="preserve">persisted </w:t>
      </w:r>
      <w:r>
        <w:t xml:space="preserve">and counter-terrorism continues to be a priority policy area for </w:t>
      </w:r>
      <w:r w:rsidR="00610F59">
        <w:t>the Australian G</w:t>
      </w:r>
      <w:r>
        <w:t>overnment. In particular, the online environment has enabled the easy, rapid and extensive dissemination of content and significantly expanded opportunities for the spread of terrorist and other seriously harmful material.</w:t>
      </w:r>
      <w:r>
        <w:rPr>
          <w:rStyle w:val="FootnoteReference"/>
        </w:rPr>
        <w:footnoteReference w:id="4"/>
      </w:r>
      <w:r>
        <w:t xml:space="preserve"> </w:t>
      </w:r>
    </w:p>
    <w:p w14:paraId="05F31596" w14:textId="266E0EA4" w:rsidR="00930066" w:rsidRDefault="00533234" w:rsidP="00533234">
      <w:pPr>
        <w:pStyle w:val="Paragraph"/>
      </w:pPr>
      <w:r>
        <w:t xml:space="preserve">Government intervention has </w:t>
      </w:r>
      <w:r w:rsidR="00A06522">
        <w:t>sought to</w:t>
      </w:r>
      <w:r>
        <w:t xml:space="preserve"> prevent and disrupt the dissemination of terrorist and seriously harmful material on the internet. This includes establishing new offences in the</w:t>
      </w:r>
      <w:r w:rsidR="00713C0A">
        <w:rPr>
          <w:i/>
          <w:iCs/>
        </w:rPr>
        <w:t xml:space="preserve"> </w:t>
      </w:r>
      <w:r w:rsidR="00713C0A">
        <w:t>Criminal Code</w:t>
      </w:r>
      <w:r>
        <w:t xml:space="preserve"> relating to the use of carriage services for sharing abhorrent violent material</w:t>
      </w:r>
      <w:r w:rsidR="00706DDC">
        <w:t>.</w:t>
      </w:r>
      <w:r w:rsidR="00C13EB7">
        <w:rPr>
          <w:rStyle w:val="FootnoteReference"/>
        </w:rPr>
        <w:footnoteReference w:id="5"/>
      </w:r>
    </w:p>
    <w:p w14:paraId="50C1596F" w14:textId="778BE307" w:rsidR="00A47394" w:rsidRDefault="00E75B0E" w:rsidP="00E75B0E">
      <w:pPr>
        <w:pStyle w:val="Heading1"/>
      </w:pPr>
      <w:bookmarkStart w:id="13" w:name="_Toc73539709"/>
      <w:r>
        <w:lastRenderedPageBreak/>
        <w:t>Regulatory environment</w:t>
      </w:r>
      <w:bookmarkEnd w:id="13"/>
    </w:p>
    <w:p w14:paraId="525A9B79" w14:textId="7AB7B6DC" w:rsidR="003416D5" w:rsidRDefault="00E75B0E" w:rsidP="00606508">
      <w:pPr>
        <w:pStyle w:val="Paragraph"/>
      </w:pPr>
      <w:r>
        <w:t>T</w:t>
      </w:r>
      <w:r w:rsidR="00533234" w:rsidRPr="007948ED">
        <w:t>his section</w:t>
      </w:r>
      <w:r w:rsidR="0022379B">
        <w:t xml:space="preserve"> </w:t>
      </w:r>
      <w:r w:rsidR="00533234">
        <w:t xml:space="preserve">discusses key aspects of the </w:t>
      </w:r>
      <w:r w:rsidR="007355A7">
        <w:t>a</w:t>
      </w:r>
      <w:r w:rsidR="00533234">
        <w:t>nti-</w:t>
      </w:r>
      <w:r w:rsidR="00661E73">
        <w:t>t</w:t>
      </w:r>
      <w:r w:rsidR="00533234">
        <w:t xml:space="preserve">errorism </w:t>
      </w:r>
      <w:r w:rsidR="007355A7">
        <w:t>s</w:t>
      </w:r>
      <w:r w:rsidR="00533234">
        <w:t>tandards</w:t>
      </w:r>
      <w:r w:rsidR="008C5676">
        <w:t xml:space="preserve"> while noting the current policy and regulatory environment</w:t>
      </w:r>
      <w:r w:rsidR="00334BAE">
        <w:t>,</w:t>
      </w:r>
      <w:r w:rsidR="00533234">
        <w:t xml:space="preserve"> </w:t>
      </w:r>
      <w:r w:rsidR="008C5676">
        <w:t>followed by</w:t>
      </w:r>
      <w:r w:rsidR="00334BAE">
        <w:t xml:space="preserve"> </w:t>
      </w:r>
      <w:r w:rsidR="00533234">
        <w:t xml:space="preserve">questions about their continuing </w:t>
      </w:r>
      <w:r w:rsidR="0056535A">
        <w:t xml:space="preserve">need, </w:t>
      </w:r>
      <w:r w:rsidR="00533234">
        <w:t>operation and effectiveness.</w:t>
      </w:r>
      <w:r w:rsidR="007F0EAA">
        <w:t xml:space="preserve"> </w:t>
      </w:r>
    </w:p>
    <w:p w14:paraId="3CDE2387" w14:textId="77777777" w:rsidR="009C0F44" w:rsidRDefault="009C0F44" w:rsidP="00335046">
      <w:pPr>
        <w:pStyle w:val="Heading2"/>
        <w:spacing w:after="60"/>
      </w:pPr>
      <w:bookmarkStart w:id="14" w:name="_Toc73539710"/>
      <w:r>
        <w:t xml:space="preserve">Nature of </w:t>
      </w:r>
      <w:r w:rsidRPr="0061353A">
        <w:t>narrowcast</w:t>
      </w:r>
      <w:r>
        <w:t xml:space="preserve"> television services</w:t>
      </w:r>
      <w:bookmarkEnd w:id="14"/>
    </w:p>
    <w:p w14:paraId="2B1CBA57" w14:textId="297C0828" w:rsidR="00334BAE" w:rsidRDefault="00334BAE" w:rsidP="00335046">
      <w:pPr>
        <w:pStyle w:val="Paragraphbeforelist"/>
      </w:pPr>
      <w:r>
        <w:t>Narrowcast television services cater to specialised interests and generally have narrowly defined audiences. Sections 17 and 18 of the BSA define subscription and open narrowcast television services as those whose reception is limited:</w:t>
      </w:r>
    </w:p>
    <w:p w14:paraId="08256989" w14:textId="401EA9F5" w:rsidR="00334BAE" w:rsidRDefault="00334BAE" w:rsidP="007261E4">
      <w:pPr>
        <w:pStyle w:val="Bulletlevel1"/>
      </w:pPr>
      <w:r>
        <w:t>by being targeted to special interest groups</w:t>
      </w:r>
    </w:p>
    <w:p w14:paraId="1E4E5CA7" w14:textId="736AE043" w:rsidR="00334BAE" w:rsidRDefault="00334BAE" w:rsidP="007261E4">
      <w:pPr>
        <w:pStyle w:val="Bulletlevel1"/>
      </w:pPr>
      <w:r>
        <w:t>by being intended only for limited locations</w:t>
      </w:r>
    </w:p>
    <w:p w14:paraId="3F4528C4" w14:textId="662A5662" w:rsidR="00334BAE" w:rsidRDefault="00334BAE" w:rsidP="007261E4">
      <w:pPr>
        <w:pStyle w:val="Bulletlevel1"/>
      </w:pPr>
      <w:r>
        <w:t>by being provided during a limited period or to cover a special event</w:t>
      </w:r>
    </w:p>
    <w:p w14:paraId="3E1AC683" w14:textId="51AB1BAC" w:rsidR="009633B3" w:rsidRDefault="00334BAE" w:rsidP="007261E4">
      <w:pPr>
        <w:pStyle w:val="Bulletlevel1last"/>
      </w:pPr>
      <w:r>
        <w:t>because they provide programs of limited appeal</w:t>
      </w:r>
      <w:r w:rsidR="00BF270C">
        <w:t>.</w:t>
      </w:r>
    </w:p>
    <w:p w14:paraId="73B4579D" w14:textId="092FBEF0" w:rsidR="004B5BAD" w:rsidRDefault="00B221CA" w:rsidP="00334BAE">
      <w:r>
        <w:t xml:space="preserve">They may also include </w:t>
      </w:r>
      <w:r w:rsidR="004B5BAD">
        <w:t xml:space="preserve">broadcasting services </w:t>
      </w:r>
      <w:r w:rsidRPr="004B5BAD">
        <w:t xml:space="preserve">that comply with any determinations or clarifications under section 19 </w:t>
      </w:r>
      <w:r w:rsidR="004B5BAD">
        <w:t xml:space="preserve">of the BSA </w:t>
      </w:r>
      <w:r w:rsidRPr="004B5BAD">
        <w:t>in relation to open narrowcasting services.</w:t>
      </w:r>
      <w:r w:rsidR="00FC2B79">
        <w:rPr>
          <w:rStyle w:val="FootnoteReference"/>
        </w:rPr>
        <w:footnoteReference w:id="6"/>
      </w:r>
      <w:r w:rsidR="004B5BAD">
        <w:t xml:space="preserve"> </w:t>
      </w:r>
    </w:p>
    <w:p w14:paraId="064F4BD4" w14:textId="46FC5B99" w:rsidR="00334BAE" w:rsidRPr="00334BAE" w:rsidRDefault="00334BAE" w:rsidP="00334BAE">
      <w:r>
        <w:t xml:space="preserve">Subscription narrowcast television services </w:t>
      </w:r>
      <w:r w:rsidR="00B40406">
        <w:t xml:space="preserve">differ </w:t>
      </w:r>
      <w:r>
        <w:t>slightly in that they are only made available on the payment of subscription fees.</w:t>
      </w:r>
      <w:r w:rsidR="00BF270C">
        <w:t xml:space="preserve"> </w:t>
      </w:r>
    </w:p>
    <w:p w14:paraId="3FD5AD97" w14:textId="7C61EAC8" w:rsidR="00930066" w:rsidRDefault="009C0F44" w:rsidP="009C0F44">
      <w:r>
        <w:t>Open and subscription narrowcast television services operate under class licences</w:t>
      </w:r>
      <w:r w:rsidRPr="0017678D">
        <w:t xml:space="preserve">. </w:t>
      </w:r>
      <w:r>
        <w:t>C</w:t>
      </w:r>
      <w:r w:rsidRPr="0017678D">
        <w:t>lass licences act as a standing authority for any operator to enter the market and provide a service. They do not involve a</w:t>
      </w:r>
      <w:r>
        <w:t xml:space="preserve"> formal licence application process or merit assessment (beyond the issue of any relevant transmitter licences).</w:t>
      </w:r>
      <w:r w:rsidRPr="0017678D">
        <w:t xml:space="preserve"> </w:t>
      </w:r>
    </w:p>
    <w:p w14:paraId="5A159623" w14:textId="5378FFBA" w:rsidR="009C0F44" w:rsidRDefault="009C0F44" w:rsidP="009C0F44">
      <w:r w:rsidRPr="00583EB0">
        <w:t>Accordingly, there is relatively less</w:t>
      </w:r>
      <w:r w:rsidR="00A566FF">
        <w:t xml:space="preserve"> direct</w:t>
      </w:r>
      <w:r w:rsidRPr="00583EB0">
        <w:t xml:space="preserve"> visibility of the operations of individual licensees as compared to other classes of broadcasting service</w:t>
      </w:r>
      <w:r w:rsidR="008217E7">
        <w:t>,</w:t>
      </w:r>
      <w:r w:rsidR="00911CAA">
        <w:t xml:space="preserve"> where this is a direct licensing arrangement between the individual licensee and the ACMA</w:t>
      </w:r>
      <w:r w:rsidRPr="00583EB0">
        <w:t>.</w:t>
      </w:r>
      <w:r w:rsidR="00930066" w:rsidRPr="00583EB0">
        <w:t xml:space="preserve"> </w:t>
      </w:r>
      <w:r w:rsidRPr="00583EB0">
        <w:t>There</w:t>
      </w:r>
      <w:r>
        <w:t xml:space="preserve"> is</w:t>
      </w:r>
      <w:r w:rsidDel="00840388">
        <w:t xml:space="preserve"> </w:t>
      </w:r>
      <w:r>
        <w:t xml:space="preserve">also </w:t>
      </w:r>
      <w:r w:rsidR="0025700E">
        <w:t>no evidence of a</w:t>
      </w:r>
      <w:r w:rsidRPr="00606508">
        <w:t xml:space="preserve"> strong industry</w:t>
      </w:r>
      <w:r w:rsidR="001A760F">
        <w:t xml:space="preserve"> representative or coordinating body</w:t>
      </w:r>
      <w:r w:rsidR="00911CAA">
        <w:t xml:space="preserve"> across the narrowcasting sector</w:t>
      </w:r>
      <w:r>
        <w:t>.</w:t>
      </w:r>
      <w:r w:rsidRPr="00606508">
        <w:rPr>
          <w:rStyle w:val="FootnoteReference"/>
        </w:rPr>
        <w:footnoteReference w:id="7"/>
      </w:r>
    </w:p>
    <w:p w14:paraId="714D0791" w14:textId="339A60B5" w:rsidR="0056095E" w:rsidRDefault="00C757A9" w:rsidP="009C0F44">
      <w:r>
        <w:t>The</w:t>
      </w:r>
      <w:r w:rsidR="009C0F44" w:rsidRPr="0017678D">
        <w:t xml:space="preserve"> circumstances that led to the determin</w:t>
      </w:r>
      <w:r w:rsidR="00E078C4">
        <w:t>ation</w:t>
      </w:r>
      <w:r w:rsidR="009C0F44" w:rsidRPr="0017678D">
        <w:t xml:space="preserve"> of the </w:t>
      </w:r>
      <w:r w:rsidR="007355A7">
        <w:t>a</w:t>
      </w:r>
      <w:r w:rsidR="009C0F44" w:rsidRPr="0017678D">
        <w:t xml:space="preserve">nti-terrorism </w:t>
      </w:r>
      <w:r w:rsidR="007355A7">
        <w:t>s</w:t>
      </w:r>
      <w:r w:rsidR="009C0F44" w:rsidRPr="0017678D">
        <w:t xml:space="preserve">tandards in 2006 </w:t>
      </w:r>
      <w:r w:rsidR="00334BAE">
        <w:t xml:space="preserve">also </w:t>
      </w:r>
      <w:r w:rsidR="009C0F44" w:rsidRPr="0017678D">
        <w:t xml:space="preserve">continue to be </w:t>
      </w:r>
      <w:r w:rsidR="009C0F44">
        <w:t>relevant</w:t>
      </w:r>
      <w:r w:rsidR="009C0F44" w:rsidRPr="0017678D">
        <w:t xml:space="preserve"> because</w:t>
      </w:r>
      <w:r w:rsidR="004551AB">
        <w:t>, in addition to services originating in Australia,</w:t>
      </w:r>
      <w:r w:rsidR="009C0F44" w:rsidRPr="0017678D">
        <w:t xml:space="preserve"> a class licence service may </w:t>
      </w:r>
      <w:r w:rsidR="009C0F44">
        <w:t xml:space="preserve">be transmitted into Australia </w:t>
      </w:r>
      <w:r w:rsidR="009C0F44" w:rsidRPr="0017678D">
        <w:t xml:space="preserve">via satellite. </w:t>
      </w:r>
      <w:r w:rsidR="00804E7C">
        <w:t>N</w:t>
      </w:r>
      <w:r w:rsidR="00930066">
        <w:t>arrowcast</w:t>
      </w:r>
      <w:r w:rsidR="009C0F44">
        <w:t xml:space="preserve"> services</w:t>
      </w:r>
      <w:r w:rsidR="00804E7C">
        <w:t>, which by their nature are narrowly targeted and offer niche programming, may</w:t>
      </w:r>
      <w:r w:rsidR="009C0F44" w:rsidRPr="0017678D">
        <w:t xml:space="preserve"> facilitate the ‘pass-through’ of programs from </w:t>
      </w:r>
      <w:r w:rsidR="00FB6DAF">
        <w:t>overseas</w:t>
      </w:r>
      <w:r w:rsidR="00804E7C">
        <w:t xml:space="preserve"> with limited regulatory oversight. T</w:t>
      </w:r>
      <w:r w:rsidR="00930066">
        <w:t>herefore</w:t>
      </w:r>
      <w:r w:rsidR="00804E7C">
        <w:t>,</w:t>
      </w:r>
      <w:r w:rsidR="001E4FF7">
        <w:t xml:space="preserve"> </w:t>
      </w:r>
      <w:r w:rsidR="00930066">
        <w:t xml:space="preserve">it is possible that </w:t>
      </w:r>
      <w:r w:rsidR="00804E7C">
        <w:t xml:space="preserve">services provided under a class licence </w:t>
      </w:r>
      <w:r w:rsidR="00930066">
        <w:t xml:space="preserve">may </w:t>
      </w:r>
      <w:r w:rsidR="001E4FF7">
        <w:t xml:space="preserve">act as </w:t>
      </w:r>
      <w:r w:rsidR="001E4FF7" w:rsidRPr="00606508">
        <w:t>potential conduits for the spread of terrorism material</w:t>
      </w:r>
      <w:r w:rsidR="00911CAA">
        <w:t xml:space="preserve"> originating overseas</w:t>
      </w:r>
      <w:r w:rsidR="00804E7C">
        <w:t>.</w:t>
      </w:r>
    </w:p>
    <w:p w14:paraId="6A19E59A" w14:textId="77777777" w:rsidR="009C0F44" w:rsidRDefault="009C0F44" w:rsidP="007261E4">
      <w:pPr>
        <w:pStyle w:val="Heading2"/>
        <w:keepNext/>
        <w:keepLines/>
        <w:spacing w:after="60"/>
      </w:pPr>
      <w:bookmarkStart w:id="15" w:name="_Toc73539711"/>
      <w:r>
        <w:lastRenderedPageBreak/>
        <w:t>Regulation applicable to narrowcast television services</w:t>
      </w:r>
      <w:bookmarkEnd w:id="15"/>
    </w:p>
    <w:p w14:paraId="395C9B19" w14:textId="0144D578" w:rsidR="00F30790" w:rsidRPr="00F80675" w:rsidRDefault="00931C08" w:rsidP="00335046">
      <w:pPr>
        <w:pStyle w:val="Paragraph"/>
        <w:keepNext/>
        <w:keepLines/>
      </w:pPr>
      <w:r>
        <w:t xml:space="preserve">In addition to the </w:t>
      </w:r>
      <w:r w:rsidR="007355A7">
        <w:t>a</w:t>
      </w:r>
      <w:r w:rsidR="00FD2C5B">
        <w:t>nti-terror</w:t>
      </w:r>
      <w:r w:rsidR="008750BD">
        <w:t>ism</w:t>
      </w:r>
      <w:r w:rsidR="00FD2C5B">
        <w:t xml:space="preserve"> </w:t>
      </w:r>
      <w:r w:rsidR="007355A7">
        <w:t>s</w:t>
      </w:r>
      <w:r>
        <w:t>tandards</w:t>
      </w:r>
      <w:r w:rsidR="00E534DA">
        <w:t>,</w:t>
      </w:r>
      <w:r w:rsidR="00594DA4">
        <w:t xml:space="preserve"> </w:t>
      </w:r>
      <w:r w:rsidR="00E534DA">
        <w:t>t</w:t>
      </w:r>
      <w:r w:rsidR="00F30790">
        <w:t>here are a number of</w:t>
      </w:r>
      <w:r>
        <w:t xml:space="preserve"> additional and complementary</w:t>
      </w:r>
      <w:r w:rsidR="0022379B">
        <w:t xml:space="preserve"> </w:t>
      </w:r>
      <w:r w:rsidR="00F30790">
        <w:t xml:space="preserve">safeguards in place that seek to </w:t>
      </w:r>
      <w:r w:rsidR="00F30790" w:rsidRPr="00F80675">
        <w:t>prevent the spread of</w:t>
      </w:r>
      <w:r w:rsidR="00FD2C5B">
        <w:t xml:space="preserve"> extreme</w:t>
      </w:r>
      <w:r w:rsidR="00276290">
        <w:t xml:space="preserve"> and/or</w:t>
      </w:r>
      <w:r w:rsidR="00F30790" w:rsidRPr="00F80675">
        <w:t xml:space="preserve"> terrorist material on narrowcast television, including class licence conditions</w:t>
      </w:r>
      <w:r w:rsidR="00E851D7" w:rsidRPr="00F80675">
        <w:t xml:space="preserve"> </w:t>
      </w:r>
      <w:r w:rsidR="00F30790" w:rsidRPr="00F80675">
        <w:t xml:space="preserve">and code of practice provisions. </w:t>
      </w:r>
      <w:r w:rsidR="00E851D7" w:rsidRPr="00F80675">
        <w:t>Classification obligations</w:t>
      </w:r>
      <w:r w:rsidR="00F80675" w:rsidRPr="00F80675">
        <w:t xml:space="preserve"> also</w:t>
      </w:r>
      <w:r w:rsidR="00E851D7" w:rsidRPr="00F80675">
        <w:t xml:space="preserve"> apply to content on narrowcast television </w:t>
      </w:r>
      <w:r w:rsidR="00F80675" w:rsidRPr="00F80675">
        <w:t>as set out under relevant</w:t>
      </w:r>
      <w:r w:rsidR="00E851D7" w:rsidRPr="00F80675">
        <w:t xml:space="preserve"> licence conditions and code provisions. </w:t>
      </w:r>
    </w:p>
    <w:p w14:paraId="7E8A28F9" w14:textId="533A65A6" w:rsidR="009C0F44" w:rsidRPr="00F80675" w:rsidRDefault="009C0F44" w:rsidP="00335046">
      <w:pPr>
        <w:pStyle w:val="Heading3"/>
        <w:spacing w:after="60"/>
      </w:pPr>
      <w:r w:rsidRPr="00F80675">
        <w:t xml:space="preserve">Legislative obligations under the BSA </w:t>
      </w:r>
    </w:p>
    <w:p w14:paraId="1552C51B" w14:textId="3DAC5D86" w:rsidR="009C0F44" w:rsidRPr="00F80675" w:rsidRDefault="009C0F44" w:rsidP="00335046">
      <w:pPr>
        <w:pStyle w:val="Paragraphbeforelist"/>
      </w:pPr>
      <w:r w:rsidRPr="00F80675">
        <w:t>Subscription and open narrowcast television services are subject to class licence conditions</w:t>
      </w:r>
      <w:r w:rsidR="0026731A">
        <w:t>,</w:t>
      </w:r>
      <w:r w:rsidRPr="00F80675">
        <w:t xml:space="preserve"> as set out in Part 7 of Schedule 2 to the BSA</w:t>
      </w:r>
      <w:r w:rsidR="00846ABF">
        <w:t xml:space="preserve">, including a condition requiring </w:t>
      </w:r>
      <w:r w:rsidR="0026731A">
        <w:t>c</w:t>
      </w:r>
      <w:r w:rsidRPr="00F80675">
        <w:t xml:space="preserve">ompliance with </w:t>
      </w:r>
      <w:r w:rsidR="0026731A">
        <w:t xml:space="preserve">the </w:t>
      </w:r>
      <w:r w:rsidR="007355A7">
        <w:t>a</w:t>
      </w:r>
      <w:r w:rsidRPr="00F80675">
        <w:t xml:space="preserve">nti-terrorism </w:t>
      </w:r>
      <w:r w:rsidR="007355A7">
        <w:t>s</w:t>
      </w:r>
      <w:r w:rsidRPr="00F80675">
        <w:t>tandards</w:t>
      </w:r>
      <w:r w:rsidR="0026731A">
        <w:t>.</w:t>
      </w:r>
      <w:r w:rsidRPr="00F80675">
        <w:t xml:space="preserve"> </w:t>
      </w:r>
      <w:r w:rsidR="0026731A">
        <w:t>O</w:t>
      </w:r>
      <w:r w:rsidRPr="00F80675">
        <w:t xml:space="preserve">ther relevant conditions </w:t>
      </w:r>
      <w:r w:rsidR="0026731A">
        <w:t xml:space="preserve">in Part 7 of Schedule 2 </w:t>
      </w:r>
      <w:r w:rsidRPr="00F80675">
        <w:t>include:</w:t>
      </w:r>
    </w:p>
    <w:p w14:paraId="23605EF9" w14:textId="188CB858" w:rsidR="009C0F44" w:rsidRPr="00F80675" w:rsidRDefault="00A11B54" w:rsidP="00335046">
      <w:pPr>
        <w:pStyle w:val="Bulletlevel1"/>
      </w:pPr>
      <w:r>
        <w:t>A</w:t>
      </w:r>
      <w:r w:rsidR="009C0F44" w:rsidRPr="00F80675">
        <w:t xml:space="preserve"> requirement that a person will not use a broadcasting service in the commission of an offence against another Act or State or Territory law.</w:t>
      </w:r>
      <w:r w:rsidR="009C0F44" w:rsidRPr="00F80675">
        <w:rPr>
          <w:rStyle w:val="FootnoteReference"/>
        </w:rPr>
        <w:footnoteReference w:id="8"/>
      </w:r>
    </w:p>
    <w:p w14:paraId="432838D8" w14:textId="6988D990" w:rsidR="009C0F44" w:rsidRPr="00F80675" w:rsidRDefault="00A11B54" w:rsidP="00335046">
      <w:pPr>
        <w:pStyle w:val="Bulletlevel1last"/>
      </w:pPr>
      <w:r>
        <w:t>A</w:t>
      </w:r>
      <w:r w:rsidR="009C0F44" w:rsidRPr="00F80675">
        <w:t xml:space="preserve"> prohibition on </w:t>
      </w:r>
      <w:r w:rsidR="009C0F44" w:rsidRPr="00F80675">
        <w:rPr>
          <w:rFonts w:cs="Times New Roman"/>
        </w:rPr>
        <w:t xml:space="preserve">the broadcast of programs </w:t>
      </w:r>
      <w:r w:rsidR="00E851D7" w:rsidRPr="00F80675">
        <w:rPr>
          <w:rFonts w:cs="Times New Roman"/>
        </w:rPr>
        <w:t xml:space="preserve">on subscription narrowcast television </w:t>
      </w:r>
      <w:r w:rsidR="009C0F44" w:rsidRPr="00F80675">
        <w:rPr>
          <w:rFonts w:cs="Times New Roman"/>
        </w:rPr>
        <w:t>that</w:t>
      </w:r>
      <w:r w:rsidR="009C0F44" w:rsidRPr="00F80675">
        <w:t xml:space="preserve"> have been refused classification (‘RC’) or classified X18+ by the Classification Board.</w:t>
      </w:r>
    </w:p>
    <w:p w14:paraId="79198DC2" w14:textId="08A6602F" w:rsidR="009C0F44" w:rsidRDefault="009C0F44" w:rsidP="009C0F44">
      <w:pPr>
        <w:pStyle w:val="Paragraph"/>
      </w:pPr>
      <w:r w:rsidRPr="008D4C3F">
        <w:t>It is an offence for a person to provid</w:t>
      </w:r>
      <w:r w:rsidR="00B7154C">
        <w:t>e</w:t>
      </w:r>
      <w:r w:rsidRPr="008D4C3F">
        <w:t xml:space="preserve"> a television narrowcasting </w:t>
      </w:r>
      <w:r w:rsidRPr="008D4C3F" w:rsidDel="00126270">
        <w:t xml:space="preserve">service </w:t>
      </w:r>
      <w:r w:rsidR="00126270">
        <w:t xml:space="preserve">to </w:t>
      </w:r>
      <w:r w:rsidRPr="008D4C3F">
        <w:t>engage in conduct that breaches a licence condition.</w:t>
      </w:r>
      <w:r w:rsidRPr="008D4C3F">
        <w:rPr>
          <w:rStyle w:val="FootnoteReference"/>
        </w:rPr>
        <w:footnoteReference w:id="9"/>
      </w:r>
      <w:r w:rsidR="00F30790" w:rsidRPr="008D4C3F">
        <w:t xml:space="preserve"> </w:t>
      </w:r>
    </w:p>
    <w:p w14:paraId="15567F9B" w14:textId="6D5AAB18" w:rsidR="00E75B0E" w:rsidRDefault="00E75B0E" w:rsidP="00E75B0E">
      <w:pPr>
        <w:pStyle w:val="Paragraph"/>
      </w:pPr>
      <w:r>
        <w:t>Narrowcasters only commit an offence and breach the condition if they intend to use a broadcasting service to commit the offence or are reckless in their knowledge of whether the service is being used to commit the offence.</w:t>
      </w:r>
      <w:r w:rsidRPr="00E75B0E">
        <w:rPr>
          <w:rStyle w:val="FootnoteReference"/>
        </w:rPr>
        <w:t xml:space="preserve"> </w:t>
      </w:r>
      <w:r>
        <w:rPr>
          <w:rStyle w:val="FootnoteReference"/>
        </w:rPr>
        <w:footnoteReference w:id="10"/>
      </w:r>
      <w:r>
        <w:t xml:space="preserve"> In most cases, narrowcasters will not have the intention or direct knowledge required for such an offence due to the nature of their services. The service itself is not necessarily directly involved in program production, may acquire content from third parties or may not have viewed the programs it </w:t>
      </w:r>
      <w:r w:rsidR="00126270">
        <w:t xml:space="preserve">has </w:t>
      </w:r>
      <w:r>
        <w:t xml:space="preserve">broadcast. </w:t>
      </w:r>
    </w:p>
    <w:p w14:paraId="326A1C06" w14:textId="63332B6D" w:rsidR="00E75B0E" w:rsidRDefault="00E75B0E" w:rsidP="00E75B0E">
      <w:pPr>
        <w:pStyle w:val="Paragraph"/>
      </w:pPr>
      <w:r>
        <w:t xml:space="preserve">The </w:t>
      </w:r>
      <w:r w:rsidR="007355A7">
        <w:t>a</w:t>
      </w:r>
      <w:r>
        <w:t xml:space="preserve">nti-terrorism </w:t>
      </w:r>
      <w:r w:rsidR="007355A7">
        <w:t>s</w:t>
      </w:r>
      <w:r>
        <w:t>tandards address this gap by holding licensees responsible for the content broadcast, regardless of a narrowcaster’s intention or knowledge about the program content. This is to encourage licensees to set up effective systems for checking programs before they go to air</w:t>
      </w:r>
      <w:r w:rsidR="00A11B54">
        <w:t>,</w:t>
      </w:r>
      <w:r>
        <w:t xml:space="preserve"> and in the event of a breach, ensuring there are swift and effective enforcement mechanisms in place.</w:t>
      </w:r>
    </w:p>
    <w:p w14:paraId="6B5AC5B4" w14:textId="77777777" w:rsidR="006320E2" w:rsidRPr="006320E2" w:rsidRDefault="009C0F44" w:rsidP="00335046">
      <w:pPr>
        <w:pStyle w:val="Heading3"/>
        <w:spacing w:after="240"/>
        <w:rPr>
          <w:b w:val="0"/>
          <w:bCs w:val="0"/>
          <w:szCs w:val="24"/>
        </w:rPr>
      </w:pPr>
      <w:r w:rsidRPr="006320E2">
        <w:rPr>
          <w:b w:val="0"/>
          <w:bCs w:val="0"/>
          <w:szCs w:val="24"/>
        </w:rPr>
        <w:t xml:space="preserve">The licence condition concerning RC content </w:t>
      </w:r>
      <w:r w:rsidR="00F30790" w:rsidRPr="006320E2">
        <w:rPr>
          <w:b w:val="0"/>
          <w:bCs w:val="0"/>
          <w:szCs w:val="24"/>
        </w:rPr>
        <w:t>(noted above)</w:t>
      </w:r>
      <w:r w:rsidRPr="006320E2">
        <w:rPr>
          <w:b w:val="0"/>
          <w:bCs w:val="0"/>
          <w:szCs w:val="24"/>
        </w:rPr>
        <w:t xml:space="preserve"> applies</w:t>
      </w:r>
      <w:r w:rsidR="00F30790" w:rsidRPr="006320E2">
        <w:rPr>
          <w:b w:val="0"/>
          <w:bCs w:val="0"/>
          <w:szCs w:val="24"/>
        </w:rPr>
        <w:t xml:space="preserve"> only</w:t>
      </w:r>
      <w:r w:rsidRPr="006320E2">
        <w:rPr>
          <w:b w:val="0"/>
          <w:bCs w:val="0"/>
          <w:szCs w:val="24"/>
        </w:rPr>
        <w:t xml:space="preserve"> to content that has been classified RC by the Classification Board. It does not cover content that would be, or has a substantial likelihood of being, refused classification. </w:t>
      </w:r>
    </w:p>
    <w:p w14:paraId="02FC6D81" w14:textId="42E1CBF8" w:rsidR="009C0F44" w:rsidRDefault="009C0F44" w:rsidP="00335046">
      <w:pPr>
        <w:pStyle w:val="Heading3"/>
        <w:spacing w:after="60"/>
      </w:pPr>
      <w:r w:rsidRPr="00E51C6F">
        <w:t xml:space="preserve">Co-regulatory codes framework </w:t>
      </w:r>
    </w:p>
    <w:p w14:paraId="50C4A6A3" w14:textId="60962EEE" w:rsidR="00C72371" w:rsidRDefault="00C72371" w:rsidP="00C72371">
      <w:pPr>
        <w:pStyle w:val="Paragraph"/>
      </w:pPr>
      <w:r>
        <w:t xml:space="preserve">Under section 123 of the BSA, representative industry groups develop codes of practice in consultation with the ACMA. Once registered by the ACMA, the subscription and open narrowcasting television sectors must comply with their respective codes. </w:t>
      </w:r>
    </w:p>
    <w:p w14:paraId="2901A8FC" w14:textId="2D1A619F" w:rsidR="009C0F44" w:rsidRDefault="009C0F44" w:rsidP="009C0F44">
      <w:pPr>
        <w:pStyle w:val="Paragraph"/>
        <w:spacing w:before="240"/>
      </w:pPr>
      <w:r>
        <w:t>Subscription and open</w:t>
      </w:r>
      <w:r w:rsidRPr="00200725">
        <w:t xml:space="preserve"> </w:t>
      </w:r>
      <w:r>
        <w:t>narrowcast television services</w:t>
      </w:r>
      <w:r w:rsidRPr="00200725">
        <w:t xml:space="preserve"> are </w:t>
      </w:r>
      <w:r>
        <w:t>subject to</w:t>
      </w:r>
      <w:r w:rsidRPr="00200725">
        <w:t xml:space="preserve"> the Subscription Narrowcast Television Codes of Practice 2013 and the Open Narrowcast Television Codes of Practice 200</w:t>
      </w:r>
      <w:r>
        <w:t xml:space="preserve">9. </w:t>
      </w:r>
      <w:r w:rsidRPr="0017678D">
        <w:t xml:space="preserve">The </w:t>
      </w:r>
      <w:r>
        <w:t xml:space="preserve">codes </w:t>
      </w:r>
      <w:r w:rsidR="00C72371" w:rsidRPr="00EE2A98">
        <w:t>limit the ability of narrowcasters to broadcast views that are likely to</w:t>
      </w:r>
      <w:r w:rsidR="00C72371" w:rsidRPr="00662E8E">
        <w:t xml:space="preserve"> </w:t>
      </w:r>
      <w:r w:rsidR="00C72371" w:rsidRPr="008B271B">
        <w:t>perpet</w:t>
      </w:r>
      <w:r w:rsidR="00B554F3">
        <w:t>u</w:t>
      </w:r>
      <w:r w:rsidR="00C72371" w:rsidRPr="008B271B">
        <w:t>ate</w:t>
      </w:r>
      <w:r w:rsidR="00C72371">
        <w:t xml:space="preserve"> or provoke</w:t>
      </w:r>
      <w:r w:rsidR="00C72371" w:rsidRPr="008B271B">
        <w:t xml:space="preserve"> intense dislike, serious contempt or </w:t>
      </w:r>
      <w:r w:rsidR="00C72371" w:rsidRPr="008B271B">
        <w:lastRenderedPageBreak/>
        <w:t>severe ridicule against a person or group</w:t>
      </w:r>
      <w:r w:rsidR="00C72371">
        <w:t xml:space="preserve">. They also </w:t>
      </w:r>
      <w:r w:rsidRPr="0017678D">
        <w:t>cover matters such as accuracy and fairness</w:t>
      </w:r>
      <w:r w:rsidR="00932D1A">
        <w:t xml:space="preserve"> </w:t>
      </w:r>
      <w:r>
        <w:t>and go further than the</w:t>
      </w:r>
      <w:r w:rsidR="00C72371">
        <w:t xml:space="preserve"> relevant</w:t>
      </w:r>
      <w:r>
        <w:t xml:space="preserve"> licence condition by </w:t>
      </w:r>
      <w:r w:rsidRPr="0017678D">
        <w:t>prohibit</w:t>
      </w:r>
      <w:r>
        <w:t>ing</w:t>
      </w:r>
      <w:r w:rsidRPr="0017678D">
        <w:t xml:space="preserve"> material that </w:t>
      </w:r>
      <w:r w:rsidRPr="003F4500">
        <w:t>would be</w:t>
      </w:r>
      <w:r w:rsidRPr="0017678D">
        <w:t xml:space="preserve"> classified RC if submitted for </w:t>
      </w:r>
      <w:r>
        <w:t>classification.</w:t>
      </w:r>
    </w:p>
    <w:p w14:paraId="60F844E6" w14:textId="0C32671C" w:rsidR="00E57EC6" w:rsidRDefault="008F22DA" w:rsidP="009C0F44">
      <w:pPr>
        <w:pStyle w:val="Paragraph"/>
        <w:spacing w:before="240"/>
      </w:pPr>
      <w:r>
        <w:t xml:space="preserve">At the time of determining the </w:t>
      </w:r>
      <w:r w:rsidR="007355A7">
        <w:t>a</w:t>
      </w:r>
      <w:r w:rsidR="00B2365B">
        <w:t xml:space="preserve">nti-terrorism </w:t>
      </w:r>
      <w:r w:rsidR="007355A7">
        <w:t>s</w:t>
      </w:r>
      <w:r>
        <w:t>tandards in 2006, the narrowcasting codes were found not to provide appropriate community safeguards on the issue of terrorist material. D</w:t>
      </w:r>
      <w:r w:rsidR="00465EBE" w:rsidRPr="00EE2A98">
        <w:t xml:space="preserve">etermining standards was preferred </w:t>
      </w:r>
      <w:r w:rsidR="00E851D7">
        <w:t xml:space="preserve">to amending codes of practice </w:t>
      </w:r>
      <w:r w:rsidR="00465EBE" w:rsidRPr="00EE2A98">
        <w:t xml:space="preserve">because a standard </w:t>
      </w:r>
      <w:r w:rsidR="00465EBE">
        <w:t>may enable</w:t>
      </w:r>
      <w:r w:rsidR="00465EBE" w:rsidRPr="00EE2A98">
        <w:t xml:space="preserve"> </w:t>
      </w:r>
      <w:r w:rsidR="004D2A39">
        <w:t xml:space="preserve">a </w:t>
      </w:r>
      <w:r w:rsidR="004D2A39" w:rsidRPr="006406F6">
        <w:t>greater range of enforcement</w:t>
      </w:r>
      <w:r w:rsidR="00465EBE" w:rsidRPr="006406F6">
        <w:t xml:space="preserve"> mechanisms</w:t>
      </w:r>
      <w:r w:rsidR="004D2A39" w:rsidRPr="006406F6">
        <w:t xml:space="preserve"> and penalties</w:t>
      </w:r>
      <w:r w:rsidR="00465EBE" w:rsidRPr="006406F6">
        <w:t xml:space="preserve"> in the</w:t>
      </w:r>
      <w:r w:rsidR="00465EBE" w:rsidRPr="00EE2A98">
        <w:t xml:space="preserve"> event of a breach</w:t>
      </w:r>
      <w:r w:rsidR="00126270">
        <w:t>.</w:t>
      </w:r>
      <w:r w:rsidR="00465EBE" w:rsidRPr="00EE2A98">
        <w:t xml:space="preserve"> </w:t>
      </w:r>
    </w:p>
    <w:p w14:paraId="367A0991" w14:textId="04AA45F0" w:rsidR="00B82F44" w:rsidRDefault="00E57EC6" w:rsidP="000839D5">
      <w:pPr>
        <w:pStyle w:val="Paragraph"/>
        <w:spacing w:before="240"/>
      </w:pPr>
      <w:r w:rsidRPr="00701BB9">
        <w:t>The open</w:t>
      </w:r>
      <w:r w:rsidR="00692592">
        <w:t xml:space="preserve"> and subscription</w:t>
      </w:r>
      <w:r w:rsidRPr="00701BB9">
        <w:t xml:space="preserve"> narrowcast</w:t>
      </w:r>
      <w:r w:rsidR="00B05A6C" w:rsidRPr="00701BB9">
        <w:t xml:space="preserve"> television</w:t>
      </w:r>
      <w:r w:rsidRPr="00701BB9">
        <w:t xml:space="preserve"> codes were last </w:t>
      </w:r>
      <w:r w:rsidR="00671AD9">
        <w:t xml:space="preserve">holistically </w:t>
      </w:r>
      <w:r w:rsidRPr="00701BB9">
        <w:t>reviewed</w:t>
      </w:r>
      <w:r w:rsidR="00671AD9">
        <w:t xml:space="preserve"> </w:t>
      </w:r>
      <w:r w:rsidRPr="00701BB9">
        <w:t xml:space="preserve">in </w:t>
      </w:r>
      <w:r w:rsidR="00B05A6C" w:rsidRPr="00701BB9">
        <w:t>20</w:t>
      </w:r>
      <w:r w:rsidR="001A0660">
        <w:t>09</w:t>
      </w:r>
      <w:r w:rsidRPr="00701BB9">
        <w:t xml:space="preserve"> and </w:t>
      </w:r>
      <w:r w:rsidR="00701BB9" w:rsidRPr="00701BB9">
        <w:t>20</w:t>
      </w:r>
      <w:r w:rsidR="001A0660">
        <w:t>13</w:t>
      </w:r>
      <w:r w:rsidRPr="00701BB9">
        <w:t xml:space="preserve"> respectively.</w:t>
      </w:r>
      <w:r w:rsidR="00113C8C" w:rsidRPr="00701BB9">
        <w:rPr>
          <w:rStyle w:val="FootnoteReference"/>
        </w:rPr>
        <w:footnoteReference w:id="11"/>
      </w:r>
      <w:r w:rsidR="00003C8F">
        <w:t xml:space="preserve"> The codes do not </w:t>
      </w:r>
      <w:r w:rsidR="001D104A">
        <w:t xml:space="preserve">contain specific provisions which go to preventing </w:t>
      </w:r>
      <w:r w:rsidR="00B82F44">
        <w:t xml:space="preserve">the broadcast of </w:t>
      </w:r>
      <w:r w:rsidR="001D104A">
        <w:t>terrorist material on these services</w:t>
      </w:r>
      <w:r w:rsidR="00003C8F">
        <w:t xml:space="preserve">. As such, </w:t>
      </w:r>
      <w:r w:rsidR="001D104A">
        <w:t xml:space="preserve">it </w:t>
      </w:r>
      <w:r w:rsidR="004D2A39">
        <w:t>would be reasonable to conclude</w:t>
      </w:r>
      <w:r w:rsidR="001D104A">
        <w:t xml:space="preserve"> that the codes</w:t>
      </w:r>
      <w:r>
        <w:t xml:space="preserve"> </w:t>
      </w:r>
      <w:r w:rsidR="002B2F77">
        <w:t xml:space="preserve">will continue not </w:t>
      </w:r>
      <w:r>
        <w:t xml:space="preserve">to provide appropriate </w:t>
      </w:r>
      <w:r w:rsidR="001D104A">
        <w:t>community safeguards on th</w:t>
      </w:r>
      <w:r w:rsidR="00B82F44">
        <w:t>is issue</w:t>
      </w:r>
      <w:r w:rsidR="00003C8F">
        <w:t xml:space="preserve"> and</w:t>
      </w:r>
      <w:r w:rsidR="002B63AA">
        <w:t xml:space="preserve"> </w:t>
      </w:r>
      <w:r w:rsidR="00990CFF">
        <w:t>that</w:t>
      </w:r>
      <w:r w:rsidR="00003C8F">
        <w:t xml:space="preserve"> </w:t>
      </w:r>
      <w:r w:rsidR="00812B63">
        <w:t>s</w:t>
      </w:r>
      <w:r w:rsidR="00003C8F">
        <w:t>tandards</w:t>
      </w:r>
      <w:r w:rsidR="00A50F31">
        <w:t xml:space="preserve"> </w:t>
      </w:r>
      <w:r w:rsidR="002B2F77">
        <w:t>will</w:t>
      </w:r>
      <w:r w:rsidR="00003C8F">
        <w:t xml:space="preserve"> </w:t>
      </w:r>
      <w:r w:rsidR="00990CFF">
        <w:t>continue to be useful in</w:t>
      </w:r>
      <w:r w:rsidR="00003C8F">
        <w:t xml:space="preserve"> bridg</w:t>
      </w:r>
      <w:r w:rsidR="00990CFF">
        <w:t>ing</w:t>
      </w:r>
      <w:r w:rsidR="00003C8F">
        <w:t xml:space="preserve"> this gap.</w:t>
      </w:r>
      <w:r w:rsidR="000839D5">
        <w:t xml:space="preserve"> </w:t>
      </w:r>
    </w:p>
    <w:p w14:paraId="65166127" w14:textId="1E7A54F9" w:rsidR="00832C24" w:rsidRDefault="00832C24" w:rsidP="00832C24">
      <w:pPr>
        <w:pStyle w:val="Heading1"/>
      </w:pPr>
      <w:bookmarkStart w:id="16" w:name="_Toc73539712"/>
      <w:r>
        <w:lastRenderedPageBreak/>
        <w:t>Issues for comment</w:t>
      </w:r>
      <w:bookmarkEnd w:id="16"/>
    </w:p>
    <w:p w14:paraId="4E72BE80" w14:textId="0D9D46D9" w:rsidR="00517360" w:rsidRDefault="00153B94" w:rsidP="00EF1184">
      <w:pPr>
        <w:pStyle w:val="Paragraph"/>
      </w:pPr>
      <w:r w:rsidRPr="0022379B">
        <w:t xml:space="preserve">The ACMA is seeking comment on the continuing need for the </w:t>
      </w:r>
      <w:r w:rsidR="007355A7">
        <w:t>a</w:t>
      </w:r>
      <w:r w:rsidRPr="0022379B">
        <w:t xml:space="preserve">nti-terrorism </w:t>
      </w:r>
      <w:r w:rsidR="007355A7">
        <w:t>s</w:t>
      </w:r>
      <w:r w:rsidRPr="0022379B">
        <w:t xml:space="preserve">tandards and information that may assist in determining whether the instruments are effective and fit for purpose. </w:t>
      </w:r>
      <w:r w:rsidR="00AE0581">
        <w:t>Comment is also sought on</w:t>
      </w:r>
      <w:r w:rsidRPr="0022379B">
        <w:t xml:space="preserve"> </w:t>
      </w:r>
      <w:r w:rsidR="00AE0581" w:rsidRPr="00994341">
        <w:t xml:space="preserve">minor amendments </w:t>
      </w:r>
      <w:r w:rsidR="00AE0581">
        <w:t>t</w:t>
      </w:r>
      <w:r w:rsidR="00AE0581" w:rsidRPr="00994341">
        <w:t xml:space="preserve">o </w:t>
      </w:r>
      <w:r w:rsidR="00652451">
        <w:t xml:space="preserve">combine and </w:t>
      </w:r>
      <w:r w:rsidR="00AE0581" w:rsidRPr="00994341">
        <w:t>modernise the instruments in accordance with current drafting practices</w:t>
      </w:r>
      <w:r w:rsidR="00AA035D">
        <w:t xml:space="preserve"> if the</w:t>
      </w:r>
      <w:r w:rsidR="00652451">
        <w:t>y</w:t>
      </w:r>
      <w:r w:rsidR="00AA035D">
        <w:t xml:space="preserve"> </w:t>
      </w:r>
      <w:r w:rsidR="006B05D8">
        <w:t xml:space="preserve">are </w:t>
      </w:r>
      <w:r w:rsidR="00652451">
        <w:t xml:space="preserve">to be </w:t>
      </w:r>
      <w:r w:rsidR="006B05D8">
        <w:t>remade</w:t>
      </w:r>
      <w:r w:rsidR="00633461">
        <w:t xml:space="preserve">. </w:t>
      </w:r>
    </w:p>
    <w:p w14:paraId="03EE18CA" w14:textId="49DF48BE" w:rsidR="003F4500" w:rsidRDefault="00A11B54" w:rsidP="007261E4">
      <w:pPr>
        <w:pStyle w:val="Paragraph"/>
        <w:spacing w:after="60"/>
        <w:rPr>
          <w:b/>
          <w:szCs w:val="26"/>
        </w:rPr>
      </w:pPr>
      <w:r>
        <w:rPr>
          <w:b/>
          <w:szCs w:val="26"/>
        </w:rPr>
        <w:t xml:space="preserve">The </w:t>
      </w:r>
      <w:r w:rsidR="00335046">
        <w:rPr>
          <w:b/>
          <w:szCs w:val="26"/>
        </w:rPr>
        <w:t xml:space="preserve">continued </w:t>
      </w:r>
      <w:r>
        <w:rPr>
          <w:b/>
          <w:szCs w:val="26"/>
        </w:rPr>
        <w:t xml:space="preserve">need for </w:t>
      </w:r>
      <w:r w:rsidR="00832C24" w:rsidRPr="003F4500">
        <w:rPr>
          <w:b/>
          <w:szCs w:val="26"/>
        </w:rPr>
        <w:t xml:space="preserve">the </w:t>
      </w:r>
      <w:r>
        <w:rPr>
          <w:b/>
          <w:szCs w:val="26"/>
        </w:rPr>
        <w:t>s</w:t>
      </w:r>
      <w:r w:rsidR="00832C24" w:rsidRPr="003F4500">
        <w:rPr>
          <w:b/>
          <w:szCs w:val="26"/>
        </w:rPr>
        <w:t>tandards</w:t>
      </w:r>
    </w:p>
    <w:p w14:paraId="1C170357" w14:textId="130DACF3" w:rsidR="006E7DA7" w:rsidRDefault="00690ACD" w:rsidP="00EF1184">
      <w:pPr>
        <w:pStyle w:val="Paragraph"/>
      </w:pPr>
      <w:r>
        <w:t xml:space="preserve">In the intervening years since the </w:t>
      </w:r>
      <w:r w:rsidR="007355A7">
        <w:t>a</w:t>
      </w:r>
      <w:r>
        <w:t xml:space="preserve">nti-terrorism </w:t>
      </w:r>
      <w:r w:rsidR="007355A7">
        <w:t>s</w:t>
      </w:r>
      <w:r>
        <w:t xml:space="preserve">tandards were first determined in 2006, community concern about terrorist material has </w:t>
      </w:r>
      <w:r w:rsidR="00DE6978">
        <w:t>continued</w:t>
      </w:r>
      <w:r>
        <w:t xml:space="preserve">. </w:t>
      </w:r>
      <w:r w:rsidRPr="00BC0843">
        <w:t xml:space="preserve">In February 2020, the Director-General </w:t>
      </w:r>
      <w:r>
        <w:t xml:space="preserve">of the Australian Security Intelligence </w:t>
      </w:r>
      <w:r w:rsidR="00990CFF">
        <w:t xml:space="preserve">Organisation </w:t>
      </w:r>
      <w:r>
        <w:t xml:space="preserve">(ASIO) </w:t>
      </w:r>
      <w:r w:rsidRPr="00BC0843">
        <w:t>delivered the Annual Threat Assessment which highlighted the ongoing threat of terrorist activity in Australia.</w:t>
      </w:r>
      <w:r>
        <w:rPr>
          <w:rStyle w:val="FootnoteReference"/>
        </w:rPr>
        <w:footnoteReference w:id="12"/>
      </w:r>
      <w:r w:rsidRPr="00BC0843">
        <w:t xml:space="preserve"> </w:t>
      </w:r>
      <w:r w:rsidR="00632578">
        <w:t>In 2021, ASIO announced that the terrorist threat level</w:t>
      </w:r>
      <w:r w:rsidR="00F46B36">
        <w:t xml:space="preserve"> </w:t>
      </w:r>
      <w:r w:rsidR="00003BCC">
        <w:t>is</w:t>
      </w:r>
      <w:r w:rsidR="00F46B36">
        <w:t xml:space="preserve"> </w:t>
      </w:r>
      <w:r w:rsidR="00632578">
        <w:t>at ‘probable’.</w:t>
      </w:r>
      <w:r w:rsidR="00AB5A80">
        <w:rPr>
          <w:rStyle w:val="FootnoteReference"/>
        </w:rPr>
        <w:footnoteReference w:id="13"/>
      </w:r>
      <w:r w:rsidR="00632578">
        <w:t xml:space="preserve"> </w:t>
      </w:r>
    </w:p>
    <w:p w14:paraId="36C3CA78" w14:textId="2AA514A7" w:rsidR="00305A20" w:rsidRDefault="00305A20" w:rsidP="00EF1184">
      <w:pPr>
        <w:pStyle w:val="Paragraph"/>
      </w:pPr>
      <w:r>
        <w:t xml:space="preserve">The ACMA is aware of the evolving </w:t>
      </w:r>
      <w:r w:rsidR="00003BCC">
        <w:t xml:space="preserve">threat </w:t>
      </w:r>
      <w:r>
        <w:t xml:space="preserve">environment and </w:t>
      </w:r>
      <w:r w:rsidR="00851B67">
        <w:t>understands the Parliamentary Joint Committee on Intelligence and Security</w:t>
      </w:r>
      <w:r w:rsidR="003E6766">
        <w:t xml:space="preserve"> (PJCIS)</w:t>
      </w:r>
      <w:r w:rsidR="00851B67">
        <w:t xml:space="preserve"> is currently </w:t>
      </w:r>
      <w:r w:rsidR="001C6FD9">
        <w:t xml:space="preserve">considering </w:t>
      </w:r>
      <w:r w:rsidR="00684FE3">
        <w:t xml:space="preserve">related issues as part of its </w:t>
      </w:r>
      <w:hyperlink r:id="rId29" w:history="1">
        <w:r w:rsidR="00684FE3" w:rsidRPr="00684FE3">
          <w:rPr>
            <w:rStyle w:val="Hyperlink"/>
          </w:rPr>
          <w:t xml:space="preserve">inquiry into </w:t>
        </w:r>
        <w:r w:rsidR="001C6FD9" w:rsidRPr="00684FE3">
          <w:rPr>
            <w:rStyle w:val="Hyperlink"/>
          </w:rPr>
          <w:t>extremist movements and radicalism in Australia</w:t>
        </w:r>
      </w:hyperlink>
      <w:r w:rsidR="001C6FD9">
        <w:t>.</w:t>
      </w:r>
      <w:r w:rsidR="001C6FD9">
        <w:rPr>
          <w:rStyle w:val="FootnoteReference"/>
        </w:rPr>
        <w:footnoteReference w:id="14"/>
      </w:r>
      <w:r w:rsidR="00832C24">
        <w:t xml:space="preserve"> The inquiry is also considering the operation of current terrorist organisation listing laws</w:t>
      </w:r>
      <w:r w:rsidR="00684FE3">
        <w:t xml:space="preserve">. While our preliminary view is that only minor changes are required to the </w:t>
      </w:r>
      <w:r w:rsidR="007355A7">
        <w:t>a</w:t>
      </w:r>
      <w:r w:rsidR="003F059A">
        <w:t>nti-terrorism</w:t>
      </w:r>
      <w:r w:rsidR="00684FE3">
        <w:t xml:space="preserve"> </w:t>
      </w:r>
      <w:r w:rsidR="007355A7">
        <w:t>s</w:t>
      </w:r>
      <w:r w:rsidR="00684FE3">
        <w:t xml:space="preserve">tandards, we recognise that the instruments may need to be </w:t>
      </w:r>
      <w:r w:rsidR="00990CFF">
        <w:t xml:space="preserve">considered afresh </w:t>
      </w:r>
      <w:r w:rsidR="00684FE3">
        <w:t>in light of any recommendations emerging from that process.</w:t>
      </w:r>
    </w:p>
    <w:p w14:paraId="119E3F58" w14:textId="6039BA73" w:rsidR="00EF1184" w:rsidRDefault="00003BCC" w:rsidP="00EF1184">
      <w:pPr>
        <w:pStyle w:val="Paragraph"/>
        <w:rPr>
          <w:szCs w:val="18"/>
        </w:rPr>
      </w:pPr>
      <w:r>
        <w:rPr>
          <w:szCs w:val="18"/>
        </w:rPr>
        <w:t>Moreover, t</w:t>
      </w:r>
      <w:r w:rsidR="00611436">
        <w:rPr>
          <w:szCs w:val="18"/>
        </w:rPr>
        <w:t>he</w:t>
      </w:r>
      <w:r w:rsidR="00B87F12" w:rsidRPr="00B87F12">
        <w:rPr>
          <w:szCs w:val="18"/>
        </w:rPr>
        <w:t xml:space="preserve"> 2019 Christchurch terror attack </w:t>
      </w:r>
      <w:r w:rsidR="003B5AB8">
        <w:rPr>
          <w:szCs w:val="18"/>
        </w:rPr>
        <w:t>highlighted</w:t>
      </w:r>
      <w:r w:rsidR="00B87F12" w:rsidRPr="00B87F12">
        <w:rPr>
          <w:szCs w:val="18"/>
        </w:rPr>
        <w:t xml:space="preserve"> the ongoing potential for</w:t>
      </w:r>
      <w:r w:rsidR="003B5AB8">
        <w:rPr>
          <w:szCs w:val="18"/>
        </w:rPr>
        <w:t xml:space="preserve"> </w:t>
      </w:r>
      <w:r w:rsidR="00B87F12" w:rsidRPr="00B87F12">
        <w:rPr>
          <w:szCs w:val="18"/>
        </w:rPr>
        <w:t xml:space="preserve">graphic terrorism-related material </w:t>
      </w:r>
      <w:r w:rsidR="00AB5A80">
        <w:rPr>
          <w:szCs w:val="18"/>
        </w:rPr>
        <w:t>to be</w:t>
      </w:r>
      <w:r w:rsidR="00632578">
        <w:rPr>
          <w:szCs w:val="18"/>
        </w:rPr>
        <w:t xml:space="preserve"> </w:t>
      </w:r>
      <w:r w:rsidR="00B87F12" w:rsidRPr="00B87F12">
        <w:rPr>
          <w:szCs w:val="18"/>
        </w:rPr>
        <w:t>shown on broadcasting and narrowcasting television services</w:t>
      </w:r>
      <w:r w:rsidR="00B87F12">
        <w:rPr>
          <w:szCs w:val="18"/>
        </w:rPr>
        <w:t xml:space="preserve"> and </w:t>
      </w:r>
      <w:r w:rsidR="00802F3C">
        <w:rPr>
          <w:szCs w:val="18"/>
        </w:rPr>
        <w:t xml:space="preserve">therefore, </w:t>
      </w:r>
      <w:r w:rsidR="00B87F12">
        <w:rPr>
          <w:szCs w:val="18"/>
        </w:rPr>
        <w:t>the need for audiences to be adequately protected</w:t>
      </w:r>
      <w:r w:rsidR="00B87F12" w:rsidRPr="00B87F12">
        <w:rPr>
          <w:szCs w:val="18"/>
        </w:rPr>
        <w:t>.</w:t>
      </w:r>
      <w:r w:rsidR="00B87F12" w:rsidRPr="00B87F12">
        <w:rPr>
          <w:rStyle w:val="FootnoteReference"/>
          <w:szCs w:val="18"/>
        </w:rPr>
        <w:footnoteReference w:id="15"/>
      </w:r>
    </w:p>
    <w:p w14:paraId="52FB9647" w14:textId="5E47039D" w:rsidR="00C86907" w:rsidRPr="00F55B16" w:rsidRDefault="00C86907" w:rsidP="00335046">
      <w:pPr>
        <w:pStyle w:val="Paragraphbeforelist"/>
      </w:pPr>
      <w:r w:rsidRPr="00F55B16">
        <w:t xml:space="preserve">In considering the role of the </w:t>
      </w:r>
      <w:r w:rsidR="007355A7">
        <w:t>a</w:t>
      </w:r>
      <w:r w:rsidRPr="00F55B16">
        <w:t xml:space="preserve">nti-terrorism </w:t>
      </w:r>
      <w:r w:rsidR="007355A7">
        <w:t>s</w:t>
      </w:r>
      <w:r w:rsidRPr="00F55B16">
        <w:t xml:space="preserve">tandards in the broader context of content regulation, the preservation of program standards dealing with </w:t>
      </w:r>
      <w:r w:rsidR="003C4C12">
        <w:t>this type of</w:t>
      </w:r>
      <w:r w:rsidR="003C4C12" w:rsidRPr="00F55B16">
        <w:t xml:space="preserve"> </w:t>
      </w:r>
      <w:r w:rsidRPr="00F55B16">
        <w:t>material</w:t>
      </w:r>
      <w:r w:rsidR="00690ACD">
        <w:t xml:space="preserve"> on narrowcast television</w:t>
      </w:r>
      <w:r w:rsidRPr="00F55B16">
        <w:t xml:space="preserve"> may be preferable because: </w:t>
      </w:r>
    </w:p>
    <w:p w14:paraId="02472DC8" w14:textId="6562813D" w:rsidR="00832C24" w:rsidRDefault="00A9620B" w:rsidP="00335046">
      <w:pPr>
        <w:pStyle w:val="Bulletlevel1"/>
      </w:pPr>
      <w:r>
        <w:t>T</w:t>
      </w:r>
      <w:r w:rsidR="00106372">
        <w:t xml:space="preserve">errorism material is fundamentally harmful and preventing its spread through services previously found to have </w:t>
      </w:r>
      <w:r w:rsidR="00D228D9">
        <w:t>broadcast such material is of high importance.</w:t>
      </w:r>
    </w:p>
    <w:p w14:paraId="18C11316" w14:textId="2C7C75B3" w:rsidR="00C86907" w:rsidRDefault="00A9620B" w:rsidP="00335046">
      <w:pPr>
        <w:pStyle w:val="Bulletlevel1"/>
      </w:pPr>
      <w:r>
        <w:t>T</w:t>
      </w:r>
      <w:r w:rsidR="00990CFF">
        <w:t xml:space="preserve">he </w:t>
      </w:r>
      <w:r w:rsidR="007355A7">
        <w:t>a</w:t>
      </w:r>
      <w:r w:rsidR="00990CFF">
        <w:t xml:space="preserve">nti-terrorism </w:t>
      </w:r>
      <w:r w:rsidR="007355A7">
        <w:t>s</w:t>
      </w:r>
      <w:r w:rsidR="00990CFF">
        <w:t>tandards are enforceable via</w:t>
      </w:r>
      <w:r w:rsidR="00C86907">
        <w:t xml:space="preserve"> conditions on </w:t>
      </w:r>
      <w:r w:rsidR="00C228DE">
        <w:t xml:space="preserve">class </w:t>
      </w:r>
      <w:r w:rsidR="00C86907">
        <w:t xml:space="preserve">licences and in the event of a breach, enable the </w:t>
      </w:r>
      <w:r w:rsidR="00C86907" w:rsidRPr="00787564">
        <w:t xml:space="preserve">ACMA to </w:t>
      </w:r>
      <w:r w:rsidR="00C86907">
        <w:t xml:space="preserve">issue a </w:t>
      </w:r>
      <w:r w:rsidR="00990CFF">
        <w:t xml:space="preserve">remedial </w:t>
      </w:r>
      <w:r w:rsidR="00C86907">
        <w:t xml:space="preserve">direction to the licensee or </w:t>
      </w:r>
      <w:r w:rsidR="00C86907" w:rsidRPr="00787564">
        <w:t>apply to the Federal Court for an order that the person cease providing the service</w:t>
      </w:r>
      <w:r>
        <w:t>.</w:t>
      </w:r>
    </w:p>
    <w:p w14:paraId="04D121AA" w14:textId="3DBC1AAF" w:rsidR="008D4E02" w:rsidRDefault="00A9620B" w:rsidP="00335046">
      <w:pPr>
        <w:pStyle w:val="Bulletlevel1last"/>
      </w:pPr>
      <w:r>
        <w:t>C</w:t>
      </w:r>
      <w:r w:rsidR="00C86907">
        <w:t xml:space="preserve">omplaints may be made directly to the ACMA and be dealt with quickly and with high priority. </w:t>
      </w:r>
    </w:p>
    <w:p w14:paraId="6BBEDAD4" w14:textId="15436CF1" w:rsidR="002A41B2" w:rsidRPr="00EF1184" w:rsidRDefault="00624B8C" w:rsidP="00114679">
      <w:pPr>
        <w:pStyle w:val="ACMABodyText"/>
        <w:keepNext/>
        <w:keepLines/>
        <w:spacing w:before="0" w:after="240" w:line="240" w:lineRule="atLeast"/>
        <w:rPr>
          <w:rFonts w:cs="Arial"/>
          <w:snapToGrid/>
          <w:sz w:val="18"/>
          <w:szCs w:val="22"/>
          <w:lang w:eastAsia="en-AU"/>
        </w:rPr>
      </w:pPr>
      <w:r w:rsidRPr="00EF1184">
        <w:rPr>
          <w:sz w:val="20"/>
          <w:szCs w:val="18"/>
        </w:rPr>
        <w:lastRenderedPageBreak/>
        <w:t>It is important to note that the</w:t>
      </w:r>
      <w:r w:rsidR="00C86907" w:rsidRPr="00EF1184">
        <w:rPr>
          <w:sz w:val="20"/>
          <w:szCs w:val="18"/>
        </w:rPr>
        <w:t xml:space="preserve"> broader context that may cause this type of content to be broadcast has not changed significantly since the </w:t>
      </w:r>
      <w:r w:rsidR="007355A7">
        <w:rPr>
          <w:sz w:val="20"/>
          <w:szCs w:val="18"/>
        </w:rPr>
        <w:t>a</w:t>
      </w:r>
      <w:r w:rsidR="00C86907" w:rsidRPr="00EF1184">
        <w:rPr>
          <w:sz w:val="20"/>
          <w:szCs w:val="18"/>
        </w:rPr>
        <w:t xml:space="preserve">nti-terrorism </w:t>
      </w:r>
      <w:r w:rsidR="007355A7">
        <w:rPr>
          <w:sz w:val="20"/>
          <w:szCs w:val="18"/>
        </w:rPr>
        <w:t>s</w:t>
      </w:r>
      <w:r w:rsidR="00C86907" w:rsidRPr="00EF1184">
        <w:rPr>
          <w:sz w:val="20"/>
          <w:szCs w:val="18"/>
        </w:rPr>
        <w:t xml:space="preserve">tandards were remade in 2011. The class licensing arrangements and </w:t>
      </w:r>
      <w:r w:rsidR="003711CE">
        <w:rPr>
          <w:sz w:val="20"/>
          <w:szCs w:val="18"/>
        </w:rPr>
        <w:t xml:space="preserve">broad </w:t>
      </w:r>
      <w:r w:rsidR="00C86907" w:rsidRPr="00EF1184">
        <w:rPr>
          <w:sz w:val="20"/>
          <w:szCs w:val="18"/>
        </w:rPr>
        <w:t>code provisions directed at limiting or preventing harmful material from being broadcast on narrowcast television have remained unchanged.</w:t>
      </w:r>
    </w:p>
    <w:p w14:paraId="4DF4F78E" w14:textId="47AC7504" w:rsidR="00832C24" w:rsidRDefault="00AD7127" w:rsidP="00832C24">
      <w:pPr>
        <w:pStyle w:val="ACMABodyText"/>
        <w:spacing w:before="0" w:after="240" w:line="240" w:lineRule="atLeast"/>
        <w:rPr>
          <w:highlight w:val="yellow"/>
        </w:rPr>
      </w:pPr>
      <w:r w:rsidRPr="00114679">
        <w:rPr>
          <w:rFonts w:cs="Arial"/>
          <w:snapToGrid/>
          <w:sz w:val="20"/>
          <w:szCs w:val="24"/>
          <w:lang w:eastAsia="en-AU"/>
        </w:rPr>
        <w:t>Given the</w:t>
      </w:r>
      <w:r w:rsidR="0047480D" w:rsidRPr="00114679">
        <w:rPr>
          <w:rFonts w:cs="Arial"/>
          <w:snapToGrid/>
          <w:sz w:val="20"/>
          <w:szCs w:val="24"/>
          <w:lang w:eastAsia="en-AU"/>
        </w:rPr>
        <w:t xml:space="preserve"> potential harms that may result from the broadcast of </w:t>
      </w:r>
      <w:r w:rsidR="008F0D8D" w:rsidRPr="00114679">
        <w:rPr>
          <w:rFonts w:cs="Arial"/>
          <w:snapToGrid/>
          <w:sz w:val="20"/>
          <w:szCs w:val="24"/>
          <w:lang w:eastAsia="en-AU"/>
        </w:rPr>
        <w:t>this</w:t>
      </w:r>
      <w:r w:rsidR="0047480D" w:rsidRPr="00114679">
        <w:rPr>
          <w:rFonts w:cs="Arial"/>
          <w:snapToGrid/>
          <w:sz w:val="20"/>
          <w:szCs w:val="24"/>
          <w:lang w:eastAsia="en-AU"/>
        </w:rPr>
        <w:t xml:space="preserve"> material </w:t>
      </w:r>
      <w:r w:rsidRPr="00114679">
        <w:rPr>
          <w:rFonts w:cs="Arial"/>
          <w:snapToGrid/>
          <w:sz w:val="20"/>
          <w:szCs w:val="24"/>
          <w:lang w:eastAsia="en-AU"/>
        </w:rPr>
        <w:t xml:space="preserve">on </w:t>
      </w:r>
      <w:r w:rsidR="00B873D1" w:rsidRPr="00114679">
        <w:rPr>
          <w:rFonts w:cs="Arial"/>
          <w:snapToGrid/>
          <w:sz w:val="20"/>
          <w:szCs w:val="24"/>
          <w:lang w:eastAsia="en-AU"/>
        </w:rPr>
        <w:t xml:space="preserve">subscription and open </w:t>
      </w:r>
      <w:r w:rsidRPr="00114679">
        <w:rPr>
          <w:rFonts w:cs="Arial"/>
          <w:snapToGrid/>
          <w:sz w:val="20"/>
          <w:szCs w:val="24"/>
          <w:lang w:eastAsia="en-AU"/>
        </w:rPr>
        <w:t>narrowcast television,</w:t>
      </w:r>
      <w:r w:rsidR="007C3176" w:rsidRPr="00114679">
        <w:rPr>
          <w:rFonts w:cs="Arial"/>
          <w:snapToGrid/>
          <w:sz w:val="20"/>
          <w:szCs w:val="24"/>
          <w:lang w:eastAsia="en-AU"/>
        </w:rPr>
        <w:t xml:space="preserve"> and the continuing community concern about </w:t>
      </w:r>
      <w:r w:rsidR="001715BF" w:rsidRPr="00114679">
        <w:rPr>
          <w:rFonts w:cs="Arial"/>
          <w:snapToGrid/>
          <w:sz w:val="20"/>
          <w:szCs w:val="24"/>
          <w:lang w:eastAsia="en-AU"/>
        </w:rPr>
        <w:t>terrorism and national security</w:t>
      </w:r>
      <w:r w:rsidR="007C3176" w:rsidRPr="00114679">
        <w:rPr>
          <w:rFonts w:cs="Arial"/>
          <w:snapToGrid/>
          <w:sz w:val="20"/>
          <w:szCs w:val="24"/>
          <w:lang w:eastAsia="en-AU"/>
        </w:rPr>
        <w:t>,</w:t>
      </w:r>
      <w:r w:rsidR="00BF4A73" w:rsidRPr="00114679">
        <w:rPr>
          <w:rFonts w:cs="Arial"/>
          <w:snapToGrid/>
          <w:sz w:val="20"/>
          <w:szCs w:val="24"/>
          <w:lang w:eastAsia="en-AU"/>
        </w:rPr>
        <w:t xml:space="preserve"> we consider there is a good case to support remaking the </w:t>
      </w:r>
      <w:r w:rsidR="007355A7" w:rsidRPr="00114679">
        <w:rPr>
          <w:rFonts w:cs="Arial"/>
          <w:snapToGrid/>
          <w:sz w:val="20"/>
          <w:szCs w:val="24"/>
          <w:lang w:eastAsia="en-AU"/>
        </w:rPr>
        <w:t>a</w:t>
      </w:r>
      <w:r w:rsidR="00D665B0" w:rsidRPr="00114679">
        <w:rPr>
          <w:rFonts w:cs="Arial"/>
          <w:snapToGrid/>
          <w:sz w:val="20"/>
          <w:szCs w:val="24"/>
          <w:lang w:eastAsia="en-AU"/>
        </w:rPr>
        <w:t xml:space="preserve">nti-terrorism </w:t>
      </w:r>
      <w:r w:rsidR="007355A7" w:rsidRPr="00114679">
        <w:rPr>
          <w:rFonts w:cs="Arial"/>
          <w:snapToGrid/>
          <w:sz w:val="20"/>
          <w:szCs w:val="24"/>
          <w:lang w:eastAsia="en-AU"/>
        </w:rPr>
        <w:t>s</w:t>
      </w:r>
      <w:r w:rsidR="00BF4A73" w:rsidRPr="00114679">
        <w:rPr>
          <w:rFonts w:cs="Arial"/>
          <w:snapToGrid/>
          <w:sz w:val="20"/>
          <w:szCs w:val="24"/>
          <w:lang w:eastAsia="en-AU"/>
        </w:rPr>
        <w:t>tandards</w:t>
      </w:r>
      <w:r w:rsidR="00BC2428" w:rsidRPr="00114679">
        <w:rPr>
          <w:rFonts w:cs="Arial"/>
          <w:snapToGrid/>
          <w:sz w:val="20"/>
          <w:szCs w:val="24"/>
          <w:lang w:eastAsia="en-AU"/>
        </w:rPr>
        <w:t xml:space="preserve"> </w:t>
      </w:r>
      <w:r w:rsidR="00652451" w:rsidRPr="00114679">
        <w:rPr>
          <w:rFonts w:cs="Arial"/>
          <w:snapToGrid/>
          <w:sz w:val="20"/>
          <w:szCs w:val="24"/>
          <w:lang w:eastAsia="en-AU"/>
        </w:rPr>
        <w:t xml:space="preserve">as a single </w:t>
      </w:r>
      <w:r w:rsidR="002443A5" w:rsidRPr="00114679">
        <w:rPr>
          <w:rFonts w:cs="Arial"/>
          <w:snapToGrid/>
          <w:sz w:val="20"/>
          <w:szCs w:val="24"/>
          <w:lang w:eastAsia="en-AU"/>
        </w:rPr>
        <w:t xml:space="preserve">instrument </w:t>
      </w:r>
      <w:r w:rsidR="008B667D" w:rsidRPr="00114679">
        <w:rPr>
          <w:rFonts w:cs="Arial"/>
          <w:snapToGrid/>
          <w:sz w:val="20"/>
          <w:szCs w:val="24"/>
          <w:lang w:eastAsia="en-AU"/>
        </w:rPr>
        <w:t xml:space="preserve">(for simplification and efficiency) </w:t>
      </w:r>
      <w:r w:rsidR="00BF4A73" w:rsidRPr="00114679">
        <w:rPr>
          <w:rFonts w:cs="Arial"/>
          <w:snapToGrid/>
          <w:sz w:val="20"/>
          <w:szCs w:val="24"/>
          <w:lang w:eastAsia="en-AU"/>
        </w:rPr>
        <w:t>with</w:t>
      </w:r>
      <w:r w:rsidR="00990CFF" w:rsidRPr="00114679">
        <w:rPr>
          <w:rFonts w:cs="Arial"/>
          <w:snapToGrid/>
          <w:sz w:val="20"/>
          <w:szCs w:val="24"/>
          <w:lang w:eastAsia="en-AU"/>
        </w:rPr>
        <w:t xml:space="preserve"> only</w:t>
      </w:r>
      <w:r w:rsidR="00BF4A73" w:rsidRPr="00114679">
        <w:rPr>
          <w:rFonts w:cs="Arial"/>
          <w:snapToGrid/>
          <w:sz w:val="20"/>
          <w:szCs w:val="24"/>
          <w:lang w:eastAsia="en-AU"/>
        </w:rPr>
        <w:t xml:space="preserve"> minor revisions.</w:t>
      </w:r>
      <w:r w:rsidR="00BF4A73">
        <w:rPr>
          <w:rFonts w:cs="Arial"/>
          <w:snapToGrid/>
          <w:sz w:val="20"/>
          <w:szCs w:val="24"/>
          <w:lang w:eastAsia="en-AU"/>
        </w:rPr>
        <w:t xml:space="preserve"> If these </w:t>
      </w:r>
      <w:r w:rsidR="00B873D1">
        <w:rPr>
          <w:rFonts w:cs="Arial"/>
          <w:snapToGrid/>
          <w:sz w:val="20"/>
          <w:szCs w:val="24"/>
          <w:lang w:eastAsia="en-AU"/>
        </w:rPr>
        <w:t>instruments</w:t>
      </w:r>
      <w:r w:rsidR="00BF4A73">
        <w:rPr>
          <w:rFonts w:cs="Arial"/>
          <w:snapToGrid/>
          <w:sz w:val="20"/>
          <w:szCs w:val="24"/>
          <w:lang w:eastAsia="en-AU"/>
        </w:rPr>
        <w:t xml:space="preserve"> were not remade, there would be limited options for recourse if a narrowcast</w:t>
      </w:r>
      <w:r w:rsidR="00B873D1">
        <w:rPr>
          <w:rFonts w:cs="Arial"/>
          <w:snapToGrid/>
          <w:sz w:val="20"/>
          <w:szCs w:val="24"/>
          <w:lang w:eastAsia="en-AU"/>
        </w:rPr>
        <w:t xml:space="preserve"> television</w:t>
      </w:r>
      <w:r w:rsidR="00BF4A73">
        <w:rPr>
          <w:rFonts w:cs="Arial"/>
          <w:snapToGrid/>
          <w:sz w:val="20"/>
          <w:szCs w:val="24"/>
          <w:lang w:eastAsia="en-AU"/>
        </w:rPr>
        <w:t xml:space="preserve"> </w:t>
      </w:r>
      <w:r w:rsidR="00033731">
        <w:rPr>
          <w:rFonts w:cs="Arial"/>
          <w:snapToGrid/>
          <w:sz w:val="20"/>
          <w:szCs w:val="24"/>
          <w:lang w:eastAsia="en-AU"/>
        </w:rPr>
        <w:t>licensee decided to broadcast this materia</w:t>
      </w:r>
      <w:r w:rsidR="00227EE4">
        <w:rPr>
          <w:rFonts w:cs="Arial"/>
          <w:snapToGrid/>
          <w:sz w:val="20"/>
          <w:szCs w:val="24"/>
          <w:lang w:eastAsia="en-AU"/>
        </w:rPr>
        <w:t xml:space="preserve">l </w:t>
      </w:r>
      <w:r w:rsidR="00637C64">
        <w:rPr>
          <w:rFonts w:cs="Arial"/>
          <w:snapToGrid/>
          <w:sz w:val="20"/>
          <w:szCs w:val="24"/>
          <w:lang w:eastAsia="en-AU"/>
        </w:rPr>
        <w:t xml:space="preserve">which </w:t>
      </w:r>
      <w:r w:rsidR="00227EE4">
        <w:rPr>
          <w:rFonts w:cs="Arial"/>
          <w:snapToGrid/>
          <w:sz w:val="20"/>
          <w:szCs w:val="24"/>
          <w:lang w:eastAsia="en-AU"/>
        </w:rPr>
        <w:t xml:space="preserve">warrants </w:t>
      </w:r>
      <w:r w:rsidR="00F86DB6">
        <w:rPr>
          <w:rFonts w:cs="Arial"/>
          <w:snapToGrid/>
          <w:sz w:val="20"/>
          <w:szCs w:val="24"/>
          <w:lang w:eastAsia="en-AU"/>
        </w:rPr>
        <w:t>additional protections.</w:t>
      </w:r>
      <w:r w:rsidR="00832C24" w:rsidRPr="00832C24">
        <w:rPr>
          <w:highlight w:val="yellow"/>
        </w:rPr>
        <w:t xml:space="preserve"> </w:t>
      </w:r>
    </w:p>
    <w:p w14:paraId="06CA392F" w14:textId="2FB4A49D" w:rsidR="00106372" w:rsidRDefault="00106372" w:rsidP="00236A8B">
      <w:pPr>
        <w:pBdr>
          <w:top w:val="single" w:sz="4" w:space="1" w:color="auto"/>
          <w:left w:val="single" w:sz="4" w:space="4" w:color="auto"/>
          <w:bottom w:val="single" w:sz="4" w:space="0" w:color="auto"/>
          <w:right w:val="single" w:sz="4" w:space="4" w:color="auto"/>
        </w:pBdr>
        <w:shd w:val="clear" w:color="auto" w:fill="F2F2F2" w:themeFill="background1" w:themeFillShade="F2"/>
        <w:spacing w:after="60"/>
        <w:rPr>
          <w:b/>
          <w:bCs/>
        </w:rPr>
      </w:pPr>
      <w:r>
        <w:rPr>
          <w:b/>
          <w:bCs/>
        </w:rPr>
        <w:t>Question 1</w:t>
      </w:r>
    </w:p>
    <w:p w14:paraId="69532B1B" w14:textId="1BCD1557" w:rsidR="00106372" w:rsidRPr="00B85744" w:rsidRDefault="00106372" w:rsidP="006E7B39">
      <w:pPr>
        <w:pBdr>
          <w:top w:val="single" w:sz="4" w:space="1" w:color="auto"/>
          <w:left w:val="single" w:sz="4" w:space="4" w:color="auto"/>
          <w:bottom w:val="single" w:sz="4" w:space="0" w:color="auto"/>
          <w:right w:val="single" w:sz="4" w:space="4" w:color="auto"/>
        </w:pBdr>
        <w:shd w:val="clear" w:color="auto" w:fill="F2F2F2" w:themeFill="background1" w:themeFillShade="F2"/>
      </w:pPr>
      <w:r>
        <w:t>Are the instruments still required?</w:t>
      </w:r>
      <w:r w:rsidR="00476E34">
        <w:t xml:space="preserve">  Why or why not?</w:t>
      </w:r>
    </w:p>
    <w:p w14:paraId="2EC621CB" w14:textId="055F5FE2" w:rsidR="00A307F1" w:rsidRPr="00A307F1" w:rsidRDefault="00A307F1" w:rsidP="00236A8B">
      <w:pPr>
        <w:pStyle w:val="Heading3"/>
        <w:spacing w:before="240" w:after="60"/>
        <w:rPr>
          <w:highlight w:val="yellow"/>
        </w:rPr>
      </w:pPr>
      <w:r>
        <w:t>Effectiveness and efficiency of the instruments</w:t>
      </w:r>
    </w:p>
    <w:p w14:paraId="4C9E8F13" w14:textId="2D62B8C7" w:rsidR="00566FF6" w:rsidRDefault="00566FF6" w:rsidP="00566FF6">
      <w:pPr>
        <w:pStyle w:val="Paragraph"/>
      </w:pPr>
      <w:r>
        <w:t>We are also of the preliminary view that the</w:t>
      </w:r>
      <w:r w:rsidR="00D665B0">
        <w:t xml:space="preserve"> </w:t>
      </w:r>
      <w:r w:rsidR="007355A7">
        <w:t>a</w:t>
      </w:r>
      <w:r w:rsidR="00D665B0">
        <w:t>nti-terrorism</w:t>
      </w:r>
      <w:r>
        <w:t xml:space="preserve"> </w:t>
      </w:r>
      <w:r w:rsidR="007355A7">
        <w:t>s</w:t>
      </w:r>
      <w:r>
        <w:t>tandards</w:t>
      </w:r>
      <w:r w:rsidRPr="00D82488">
        <w:t xml:space="preserve"> are clear and easily </w:t>
      </w:r>
      <w:r>
        <w:t>comprehensible</w:t>
      </w:r>
      <w:r w:rsidRPr="00D82488">
        <w:t xml:space="preserve">. </w:t>
      </w:r>
      <w:r>
        <w:t xml:space="preserve">The provisions are sufficiently broad to allow for a wide range of material to be captured without overstepping their intended purpose. Their application is not limited to depictions of terrorist activity, but any material that directly counsels, urges, or provides instruction on the doing of a terrorist act. </w:t>
      </w:r>
    </w:p>
    <w:p w14:paraId="49B8CAD4" w14:textId="3F576689" w:rsidR="00BF1DA8" w:rsidRDefault="005D5BFA" w:rsidP="005D5BFA">
      <w:pPr>
        <w:pStyle w:val="Paragraph"/>
        <w:rPr>
          <w:szCs w:val="20"/>
        </w:rPr>
      </w:pPr>
      <w:r>
        <w:rPr>
          <w:szCs w:val="20"/>
        </w:rPr>
        <w:t xml:space="preserve">As noted above </w:t>
      </w:r>
      <w:r w:rsidR="0014221E">
        <w:rPr>
          <w:szCs w:val="20"/>
        </w:rPr>
        <w:t xml:space="preserve">– </w:t>
      </w:r>
      <w:r>
        <w:rPr>
          <w:szCs w:val="20"/>
        </w:rPr>
        <w:t>and due to the class</w:t>
      </w:r>
      <w:r w:rsidR="00AC5705">
        <w:rPr>
          <w:szCs w:val="20"/>
        </w:rPr>
        <w:t>-</w:t>
      </w:r>
      <w:r w:rsidR="002F534E">
        <w:rPr>
          <w:szCs w:val="20"/>
        </w:rPr>
        <w:t>based</w:t>
      </w:r>
      <w:r w:rsidR="00055CDC">
        <w:rPr>
          <w:szCs w:val="20"/>
        </w:rPr>
        <w:t>,</w:t>
      </w:r>
      <w:r>
        <w:rPr>
          <w:szCs w:val="20"/>
        </w:rPr>
        <w:t xml:space="preserve"> rather than individual licensing regime applicable to narrowcasters</w:t>
      </w:r>
      <w:r w:rsidR="0014221E">
        <w:rPr>
          <w:szCs w:val="20"/>
        </w:rPr>
        <w:t xml:space="preserve"> –</w:t>
      </w:r>
      <w:r w:rsidR="00532EA7">
        <w:rPr>
          <w:szCs w:val="20"/>
        </w:rPr>
        <w:t xml:space="preserve"> </w:t>
      </w:r>
      <w:r>
        <w:rPr>
          <w:szCs w:val="20"/>
        </w:rPr>
        <w:t xml:space="preserve">the ACMA has limited visibility of specific services currently in operation. </w:t>
      </w:r>
    </w:p>
    <w:p w14:paraId="01DDC159" w14:textId="46D102C2" w:rsidR="005D5BFA" w:rsidRDefault="005D5BFA" w:rsidP="005D5BFA">
      <w:pPr>
        <w:pStyle w:val="Paragraph"/>
      </w:pPr>
      <w:r>
        <w:rPr>
          <w:szCs w:val="20"/>
        </w:rPr>
        <w:t>As of 1 April 2021, t</w:t>
      </w:r>
      <w:r w:rsidRPr="00DA1988">
        <w:t xml:space="preserve">he ACMA </w:t>
      </w:r>
      <w:r w:rsidR="00FF69F8">
        <w:t xml:space="preserve">was </w:t>
      </w:r>
      <w:r>
        <w:t>aware of 6 services</w:t>
      </w:r>
      <w:r w:rsidRPr="00DA1988">
        <w:t xml:space="preserve"> that hold current high-power open narrowcast television apparatus licences</w:t>
      </w:r>
      <w:r w:rsidR="003D52ED">
        <w:t>. H</w:t>
      </w:r>
      <w:r>
        <w:t>owever</w:t>
      </w:r>
      <w:r w:rsidR="0014221E">
        <w:t>,</w:t>
      </w:r>
      <w:r>
        <w:t xml:space="preserve"> this is not necessarily indicative of services currently in operation.</w:t>
      </w:r>
      <w:r>
        <w:rPr>
          <w:rStyle w:val="FootnoteReference"/>
        </w:rPr>
        <w:footnoteReference w:id="16"/>
      </w:r>
      <w:r>
        <w:t xml:space="preserve"> </w:t>
      </w:r>
      <w:r w:rsidRPr="00F55B16">
        <w:t xml:space="preserve">The switch to digital television, restacking of spectrum and government policy </w:t>
      </w:r>
      <w:r>
        <w:t>interventions</w:t>
      </w:r>
      <w:r w:rsidRPr="00F55B16">
        <w:t xml:space="preserve"> </w:t>
      </w:r>
      <w:r w:rsidR="00990CFF">
        <w:t>have</w:t>
      </w:r>
      <w:r w:rsidR="00990CFF" w:rsidRPr="00F55B16">
        <w:t xml:space="preserve"> </w:t>
      </w:r>
      <w:r w:rsidRPr="00F55B16">
        <w:t xml:space="preserve">effectively foreclosed open narrowcasting television opportunities in any densely populated </w:t>
      </w:r>
      <w:r w:rsidRPr="003A368F">
        <w:t>areas. Subscription narrowcast television services are represented by ASTRA and generally include individual channels provided through subscription television services (such</w:t>
      </w:r>
      <w:r>
        <w:t xml:space="preserve"> as Foxtel).</w:t>
      </w:r>
    </w:p>
    <w:p w14:paraId="7BFDA59A" w14:textId="18048DB5" w:rsidR="008438B7" w:rsidRPr="00566FF6" w:rsidRDefault="006D4D3A" w:rsidP="00F55B16">
      <w:pPr>
        <w:pStyle w:val="Paragraph"/>
      </w:pPr>
      <w:r>
        <w:t>O</w:t>
      </w:r>
      <w:r>
        <w:rPr>
          <w:szCs w:val="20"/>
        </w:rPr>
        <w:t xml:space="preserve">ver the past 10 years, the ACMA has not had cause to conduct any formal investigations into compliance with the </w:t>
      </w:r>
      <w:r w:rsidR="007355A7">
        <w:rPr>
          <w:szCs w:val="20"/>
        </w:rPr>
        <w:t>a</w:t>
      </w:r>
      <w:r>
        <w:rPr>
          <w:szCs w:val="20"/>
        </w:rPr>
        <w:t xml:space="preserve">nti-terrorism </w:t>
      </w:r>
      <w:r w:rsidR="007355A7">
        <w:rPr>
          <w:szCs w:val="20"/>
        </w:rPr>
        <w:t>s</w:t>
      </w:r>
      <w:r>
        <w:rPr>
          <w:szCs w:val="20"/>
        </w:rPr>
        <w:t>tandards.</w:t>
      </w:r>
      <w:r w:rsidR="00566FF6">
        <w:t xml:space="preserve"> </w:t>
      </w:r>
      <w:r w:rsidR="00532EA7">
        <w:t xml:space="preserve">Notwithstanding and, perhaps </w:t>
      </w:r>
      <w:r>
        <w:t xml:space="preserve">because of the relative opacity of this sector, the ACMA is of the view that </w:t>
      </w:r>
      <w:r w:rsidR="00566FF6">
        <w:rPr>
          <w:szCs w:val="20"/>
        </w:rPr>
        <w:t>these safeguards</w:t>
      </w:r>
      <w:r w:rsidR="003F4500">
        <w:rPr>
          <w:szCs w:val="20"/>
        </w:rPr>
        <w:t>,</w:t>
      </w:r>
      <w:r w:rsidR="002F534E">
        <w:rPr>
          <w:szCs w:val="20"/>
        </w:rPr>
        <w:t xml:space="preserve"> and </w:t>
      </w:r>
      <w:r w:rsidR="00566FF6">
        <w:rPr>
          <w:szCs w:val="20"/>
        </w:rPr>
        <w:t xml:space="preserve">the </w:t>
      </w:r>
      <w:r w:rsidR="002F534E">
        <w:rPr>
          <w:szCs w:val="20"/>
        </w:rPr>
        <w:t>serious potential harms they seek to prevent</w:t>
      </w:r>
      <w:r w:rsidR="003F4500">
        <w:rPr>
          <w:szCs w:val="20"/>
        </w:rPr>
        <w:t>,</w:t>
      </w:r>
      <w:r w:rsidR="002F534E">
        <w:rPr>
          <w:szCs w:val="20"/>
        </w:rPr>
        <w:t xml:space="preserve"> should be retained</w:t>
      </w:r>
      <w:r w:rsidR="00566FF6">
        <w:rPr>
          <w:szCs w:val="20"/>
        </w:rPr>
        <w:t>.</w:t>
      </w:r>
      <w:r w:rsidR="002F534E">
        <w:rPr>
          <w:szCs w:val="20"/>
        </w:rPr>
        <w:t xml:space="preserve">  </w:t>
      </w:r>
    </w:p>
    <w:p w14:paraId="414AD100" w14:textId="5A3C6986" w:rsidR="003F41F4" w:rsidRDefault="00566FF6" w:rsidP="00F55B16">
      <w:pPr>
        <w:pStyle w:val="Paragraph"/>
      </w:pPr>
      <w:r>
        <w:t>Overall, t</w:t>
      </w:r>
      <w:r w:rsidR="003F41F4">
        <w:t xml:space="preserve">he ACMA considers that the </w:t>
      </w:r>
      <w:r w:rsidR="007355A7">
        <w:t>a</w:t>
      </w:r>
      <w:r w:rsidR="003F41F4">
        <w:t xml:space="preserve">nti-terrorism </w:t>
      </w:r>
      <w:r w:rsidR="007355A7">
        <w:t>s</w:t>
      </w:r>
      <w:r w:rsidR="003F41F4">
        <w:t xml:space="preserve">tandards are operating effectively and </w:t>
      </w:r>
      <w:r w:rsidR="002621B3">
        <w:t>efficiently and</w:t>
      </w:r>
      <w:r w:rsidR="00990CFF">
        <w:t xml:space="preserve"> </w:t>
      </w:r>
      <w:r w:rsidR="003F41F4">
        <w:t xml:space="preserve">providing appropriate safeguards on an issue not adequately addressed by narrowcast television codes of practice. </w:t>
      </w:r>
      <w:r w:rsidR="003F41F4" w:rsidRPr="00236A8B">
        <w:t>The ACMA’s preliminary view is that</w:t>
      </w:r>
      <w:r w:rsidR="00BC2428" w:rsidRPr="00236A8B">
        <w:t xml:space="preserve"> for the purposes of administrative efficiency and simplicity, rather than </w:t>
      </w:r>
      <w:r w:rsidR="007355A7" w:rsidRPr="00236A8B">
        <w:t xml:space="preserve">2 </w:t>
      </w:r>
      <w:r w:rsidR="00BC2428" w:rsidRPr="00236A8B">
        <w:t>separate instruments, the</w:t>
      </w:r>
      <w:r w:rsidR="003F41F4" w:rsidRPr="00236A8B">
        <w:t xml:space="preserve"> </w:t>
      </w:r>
      <w:r w:rsidR="007355A7" w:rsidRPr="00236A8B">
        <w:t>a</w:t>
      </w:r>
      <w:r w:rsidR="00AD302E" w:rsidRPr="00236A8B">
        <w:t xml:space="preserve">nti-terrorism </w:t>
      </w:r>
      <w:r w:rsidR="007355A7" w:rsidRPr="00236A8B">
        <w:t>s</w:t>
      </w:r>
      <w:r w:rsidR="00AD302E" w:rsidRPr="00236A8B">
        <w:t xml:space="preserve">tandards </w:t>
      </w:r>
      <w:r w:rsidR="003F41F4" w:rsidRPr="00236A8B">
        <w:t xml:space="preserve">should be remade </w:t>
      </w:r>
      <w:r w:rsidR="00AD302E" w:rsidRPr="00236A8B">
        <w:t xml:space="preserve">as a single instrument </w:t>
      </w:r>
      <w:r w:rsidR="003F41F4" w:rsidRPr="00236A8B">
        <w:t>with only minor revisions to align with current drafting practices and existing legislation</w:t>
      </w:r>
      <w:r w:rsidR="003F41F4">
        <w:t xml:space="preserve"> (see </w:t>
      </w:r>
      <w:hyperlink w:anchor="_Proposed_minor_changes" w:history="1">
        <w:r w:rsidR="003F41F4" w:rsidRPr="00236A8B">
          <w:rPr>
            <w:rStyle w:val="Hyperlink"/>
          </w:rPr>
          <w:t>Proposed minor changes to the legislative instruments</w:t>
        </w:r>
      </w:hyperlink>
      <w:r w:rsidR="006B2819">
        <w:t xml:space="preserve"> section in this document)</w:t>
      </w:r>
      <w:r w:rsidR="003F41F4">
        <w:t>.</w:t>
      </w:r>
    </w:p>
    <w:p w14:paraId="72A7D0ED" w14:textId="77777777" w:rsidR="00E13AF5" w:rsidRDefault="00E13AF5" w:rsidP="00F55B16">
      <w:pPr>
        <w:pStyle w:val="Paragraph"/>
      </w:pPr>
    </w:p>
    <w:p w14:paraId="58086223" w14:textId="155FDB4C" w:rsidR="00054AB0" w:rsidRDefault="00054AB0" w:rsidP="00236A8B">
      <w:pPr>
        <w:pBdr>
          <w:top w:val="single" w:sz="4" w:space="1" w:color="auto"/>
          <w:left w:val="single" w:sz="4" w:space="4" w:color="auto"/>
          <w:bottom w:val="single" w:sz="4" w:space="1" w:color="auto"/>
          <w:right w:val="single" w:sz="4" w:space="4" w:color="auto"/>
        </w:pBdr>
        <w:shd w:val="clear" w:color="auto" w:fill="F2F2F2" w:themeFill="background1" w:themeFillShade="F2"/>
        <w:spacing w:after="60"/>
        <w:rPr>
          <w:b/>
          <w:bCs/>
        </w:rPr>
      </w:pPr>
      <w:r>
        <w:rPr>
          <w:b/>
          <w:bCs/>
        </w:rPr>
        <w:lastRenderedPageBreak/>
        <w:t xml:space="preserve">Question </w:t>
      </w:r>
      <w:r w:rsidR="00476E34">
        <w:rPr>
          <w:b/>
          <w:bCs/>
        </w:rPr>
        <w:t>2</w:t>
      </w:r>
    </w:p>
    <w:p w14:paraId="0082C0A6" w14:textId="15F67A57" w:rsidR="00054AB0" w:rsidRPr="00054AB0" w:rsidRDefault="00054AB0" w:rsidP="00054AB0">
      <w:pPr>
        <w:pBdr>
          <w:top w:val="single" w:sz="4" w:space="1" w:color="auto"/>
          <w:left w:val="single" w:sz="4" w:space="4" w:color="auto"/>
          <w:bottom w:val="single" w:sz="4" w:space="1" w:color="auto"/>
          <w:right w:val="single" w:sz="4" w:space="4" w:color="auto"/>
        </w:pBdr>
        <w:shd w:val="clear" w:color="auto" w:fill="F2F2F2" w:themeFill="background1" w:themeFillShade="F2"/>
      </w:pPr>
      <w:r>
        <w:t xml:space="preserve">Are the instruments </w:t>
      </w:r>
      <w:r w:rsidR="00A732E2">
        <w:t>operating</w:t>
      </w:r>
      <w:r w:rsidR="00654FBA">
        <w:t xml:space="preserve"> effectively and efficiently</w:t>
      </w:r>
      <w:r w:rsidR="00A732E2">
        <w:t>?</w:t>
      </w:r>
    </w:p>
    <w:p w14:paraId="3174971E" w14:textId="6A4DD595" w:rsidR="00E7506F" w:rsidRPr="000A0407" w:rsidRDefault="00E7506F" w:rsidP="0061353A">
      <w:pPr>
        <w:pStyle w:val="Heading2"/>
        <w:rPr>
          <w:sz w:val="20"/>
          <w:szCs w:val="24"/>
        </w:rPr>
      </w:pPr>
      <w:bookmarkStart w:id="17" w:name="_Proposed_minor_changes"/>
      <w:bookmarkStart w:id="18" w:name="_Toc73539713"/>
      <w:bookmarkEnd w:id="17"/>
      <w:r w:rsidRPr="00BE5ADD">
        <w:t xml:space="preserve">Proposed </w:t>
      </w:r>
      <w:r w:rsidR="00BE5509">
        <w:t xml:space="preserve">minor </w:t>
      </w:r>
      <w:r w:rsidRPr="00BE5ADD">
        <w:t>changes to the legislative instruments</w:t>
      </w:r>
      <w:bookmarkEnd w:id="18"/>
    </w:p>
    <w:p w14:paraId="35258CAD" w14:textId="1B1E976B" w:rsidR="00C46372" w:rsidRPr="003D0E83" w:rsidRDefault="00E7506F" w:rsidP="003D0E83">
      <w:pPr>
        <w:pStyle w:val="Paragraphbeforelist"/>
      </w:pPr>
      <w:r w:rsidRPr="003D0E83">
        <w:t xml:space="preserve">In the event that the </w:t>
      </w:r>
      <w:r w:rsidR="007355A7" w:rsidRPr="003D0E83">
        <w:t>a</w:t>
      </w:r>
      <w:r w:rsidRPr="003D0E83">
        <w:t xml:space="preserve">nti-terrorism </w:t>
      </w:r>
      <w:r w:rsidR="007355A7" w:rsidRPr="003D0E83">
        <w:t>s</w:t>
      </w:r>
      <w:r w:rsidRPr="003D0E83">
        <w:t>tandards are remade</w:t>
      </w:r>
      <w:r w:rsidR="002533CD" w:rsidRPr="003D0E83">
        <w:t xml:space="preserve"> in line with the ACMA’s preliminary view</w:t>
      </w:r>
      <w:r w:rsidR="00452E1F" w:rsidRPr="003D0E83">
        <w:t xml:space="preserve">, </w:t>
      </w:r>
      <w:r w:rsidR="007A43CE" w:rsidRPr="003D0E83">
        <w:t xml:space="preserve">we propose combining the </w:t>
      </w:r>
      <w:r w:rsidR="007355A7" w:rsidRPr="003D0E83">
        <w:t>s</w:t>
      </w:r>
      <w:r w:rsidR="00A63AB3" w:rsidRPr="003D0E83">
        <w:t>tandards</w:t>
      </w:r>
      <w:r w:rsidR="007A43CE" w:rsidRPr="003D0E83">
        <w:t xml:space="preserve"> into a single</w:t>
      </w:r>
      <w:r w:rsidR="00A63AB3" w:rsidRPr="003D0E83">
        <w:t xml:space="preserve"> legislative instrument</w:t>
      </w:r>
      <w:r w:rsidR="00315039" w:rsidRPr="003D0E83">
        <w:t xml:space="preserve"> for simplification and efficiency</w:t>
      </w:r>
      <w:r w:rsidR="00A63AB3" w:rsidRPr="003D0E83">
        <w:t xml:space="preserve">. The </w:t>
      </w:r>
      <w:r w:rsidR="00E45760" w:rsidRPr="003D0E83">
        <w:t xml:space="preserve">current </w:t>
      </w:r>
      <w:r w:rsidR="00A63AB3" w:rsidRPr="003D0E83">
        <w:t>instruments</w:t>
      </w:r>
      <w:r w:rsidR="00C46372" w:rsidRPr="003D0E83">
        <w:t>,</w:t>
      </w:r>
      <w:r w:rsidR="009F49A5" w:rsidRPr="003D0E83">
        <w:t xml:space="preserve"> </w:t>
      </w:r>
      <w:r w:rsidR="001D23C6" w:rsidRPr="003D0E83">
        <w:t xml:space="preserve">and </w:t>
      </w:r>
      <w:r w:rsidR="008353DB" w:rsidRPr="003D0E83">
        <w:t xml:space="preserve">the </w:t>
      </w:r>
      <w:r w:rsidR="001D23C6" w:rsidRPr="003D0E83">
        <w:t>provisions therein</w:t>
      </w:r>
      <w:r w:rsidR="00C46372" w:rsidRPr="003D0E83">
        <w:t>,</w:t>
      </w:r>
      <w:r w:rsidR="001D23C6" w:rsidRPr="003D0E83">
        <w:t xml:space="preserve"> </w:t>
      </w:r>
      <w:r w:rsidR="009F49A5" w:rsidRPr="003D0E83">
        <w:t xml:space="preserve">are </w:t>
      </w:r>
      <w:r w:rsidR="00B239FA" w:rsidRPr="003D0E83">
        <w:t>nearly</w:t>
      </w:r>
      <w:r w:rsidR="009F49A5" w:rsidRPr="003D0E83">
        <w:t xml:space="preserve"> identical</w:t>
      </w:r>
      <w:r w:rsidR="00C46372" w:rsidRPr="003D0E83">
        <w:t>. We propose the following minor amendments to give effect to this proposal:</w:t>
      </w:r>
    </w:p>
    <w:p w14:paraId="4A6E971F" w14:textId="7FA3A2E2" w:rsidR="000538D6" w:rsidRPr="000A4B81" w:rsidRDefault="00F52ABA" w:rsidP="003D0E83">
      <w:pPr>
        <w:pStyle w:val="Bulletlevel1"/>
      </w:pPr>
      <w:r>
        <w:t>A</w:t>
      </w:r>
      <w:r w:rsidR="00C46372" w:rsidRPr="000A4B81">
        <w:t>mending the definition of ‘licensee</w:t>
      </w:r>
      <w:r w:rsidR="000A774D" w:rsidRPr="000A4B81">
        <w:t>’ to capture both types of services</w:t>
      </w:r>
      <w:r w:rsidR="000538D6" w:rsidRPr="000A4B81">
        <w:t>:</w:t>
      </w:r>
    </w:p>
    <w:p w14:paraId="3A4FD8D1" w14:textId="77777777" w:rsidR="000538D6" w:rsidRPr="007261E4" w:rsidRDefault="000538D6" w:rsidP="000538D6">
      <w:pPr>
        <w:pStyle w:val="NormalWeb"/>
        <w:spacing w:before="0" w:beforeAutospacing="0" w:after="0" w:afterAutospacing="0"/>
        <w:ind w:left="720"/>
        <w:rPr>
          <w:rFonts w:ascii="Arial" w:hAnsi="Arial" w:cs="Arial"/>
          <w:color w:val="000000"/>
          <w:sz w:val="20"/>
          <w:szCs w:val="20"/>
        </w:rPr>
      </w:pPr>
      <w:r w:rsidRPr="007261E4">
        <w:rPr>
          <w:rFonts w:ascii="Arial" w:hAnsi="Arial" w:cs="Arial"/>
          <w:b/>
          <w:bCs/>
          <w:color w:val="000000"/>
          <w:sz w:val="20"/>
          <w:szCs w:val="20"/>
          <w:shd w:val="clear" w:color="auto" w:fill="FFFFFF"/>
        </w:rPr>
        <w:t>licensee</w:t>
      </w:r>
      <w:r w:rsidRPr="007261E4">
        <w:rPr>
          <w:rFonts w:ascii="Arial" w:hAnsi="Arial" w:cs="Arial"/>
          <w:color w:val="000000"/>
          <w:sz w:val="20"/>
          <w:szCs w:val="20"/>
          <w:shd w:val="clear" w:color="auto" w:fill="FFFFFF"/>
        </w:rPr>
        <w:t> means a person who provides:</w:t>
      </w:r>
    </w:p>
    <w:p w14:paraId="243DA4BE" w14:textId="59302B42" w:rsidR="000538D6" w:rsidRPr="007261E4" w:rsidRDefault="000538D6" w:rsidP="000538D6">
      <w:pPr>
        <w:pStyle w:val="NormalWeb"/>
        <w:spacing w:before="0" w:beforeAutospacing="0" w:after="0" w:afterAutospacing="0"/>
        <w:ind w:left="720"/>
        <w:rPr>
          <w:rFonts w:ascii="Arial" w:hAnsi="Arial" w:cs="Arial"/>
          <w:sz w:val="20"/>
          <w:szCs w:val="20"/>
        </w:rPr>
      </w:pPr>
      <w:r w:rsidRPr="007261E4">
        <w:rPr>
          <w:rFonts w:ascii="Arial" w:hAnsi="Arial" w:cs="Arial"/>
          <w:sz w:val="20"/>
          <w:szCs w:val="20"/>
        </w:rPr>
        <w:t xml:space="preserve">(a) </w:t>
      </w:r>
      <w:r w:rsidRPr="007261E4">
        <w:rPr>
          <w:rFonts w:ascii="Arial" w:hAnsi="Arial" w:cs="Arial"/>
          <w:color w:val="000000"/>
          <w:sz w:val="20"/>
          <w:szCs w:val="20"/>
          <w:shd w:val="clear" w:color="auto" w:fill="FFFFFF"/>
        </w:rPr>
        <w:t>a subscription television narrowcasting</w:t>
      </w:r>
      <w:r w:rsidR="007261E4" w:rsidRPr="007261E4">
        <w:rPr>
          <w:rFonts w:ascii="Arial" w:hAnsi="Arial" w:cs="Arial"/>
          <w:color w:val="000000"/>
          <w:sz w:val="20"/>
          <w:szCs w:val="20"/>
          <w:shd w:val="clear" w:color="auto" w:fill="FFFFFF"/>
        </w:rPr>
        <w:t>; or</w:t>
      </w:r>
    </w:p>
    <w:p w14:paraId="6BE5C631" w14:textId="00BC8028" w:rsidR="000538D6" w:rsidRPr="007261E4" w:rsidRDefault="000538D6" w:rsidP="000538D6">
      <w:pPr>
        <w:pStyle w:val="NormalWeb"/>
        <w:spacing w:before="0" w:beforeAutospacing="0" w:after="0" w:afterAutospacing="0"/>
        <w:ind w:left="720"/>
        <w:rPr>
          <w:rFonts w:ascii="Arial" w:hAnsi="Arial" w:cs="Arial"/>
          <w:color w:val="000000"/>
          <w:sz w:val="20"/>
          <w:szCs w:val="20"/>
          <w:shd w:val="clear" w:color="auto" w:fill="FFFFFF"/>
        </w:rPr>
      </w:pPr>
      <w:r w:rsidRPr="007261E4">
        <w:rPr>
          <w:rFonts w:ascii="Arial" w:hAnsi="Arial" w:cs="Arial"/>
          <w:color w:val="000000"/>
          <w:sz w:val="20"/>
          <w:szCs w:val="20"/>
          <w:shd w:val="clear" w:color="auto" w:fill="FFFFFF"/>
        </w:rPr>
        <w:t xml:space="preserve">(b) an open television narrowcasting service </w:t>
      </w:r>
    </w:p>
    <w:p w14:paraId="717D47F9" w14:textId="2708F72F" w:rsidR="002400F9" w:rsidRDefault="000538D6" w:rsidP="003D0E83">
      <w:pPr>
        <w:pStyle w:val="NormalWeb"/>
        <w:spacing w:before="0" w:beforeAutospacing="0" w:after="0" w:afterAutospacing="0"/>
        <w:ind w:left="568" w:firstLine="152"/>
        <w:rPr>
          <w:rFonts w:ascii="Arial" w:hAnsi="Arial" w:cs="Arial"/>
          <w:color w:val="000000"/>
          <w:sz w:val="20"/>
          <w:szCs w:val="20"/>
          <w:shd w:val="clear" w:color="auto" w:fill="FFFFFF"/>
        </w:rPr>
      </w:pPr>
      <w:r w:rsidRPr="007F19BE">
        <w:rPr>
          <w:rFonts w:ascii="Arial" w:hAnsi="Arial" w:cs="Arial"/>
          <w:color w:val="000000"/>
          <w:sz w:val="20"/>
          <w:szCs w:val="20"/>
          <w:shd w:val="clear" w:color="auto" w:fill="FFFFFF"/>
        </w:rPr>
        <w:t>under a class licence determined under paragraphs 117(c) or (e) of the Act.</w:t>
      </w:r>
    </w:p>
    <w:p w14:paraId="0490E588" w14:textId="53A896D0" w:rsidR="002400F9" w:rsidRDefault="002400F9" w:rsidP="002400F9">
      <w:pPr>
        <w:pStyle w:val="NormalWeb"/>
        <w:spacing w:before="0" w:beforeAutospacing="0" w:after="0" w:afterAutospacing="0"/>
        <w:rPr>
          <w:rFonts w:ascii="Arial" w:hAnsi="Arial" w:cs="Arial"/>
          <w:color w:val="000000"/>
          <w:sz w:val="20"/>
          <w:szCs w:val="20"/>
          <w:shd w:val="clear" w:color="auto" w:fill="FFFFFF"/>
        </w:rPr>
      </w:pPr>
    </w:p>
    <w:p w14:paraId="05AE79BD" w14:textId="501B9CC5" w:rsidR="002400F9" w:rsidRDefault="00F52ABA" w:rsidP="000A4B81">
      <w:pPr>
        <w:pStyle w:val="Bulletlevel1"/>
        <w:spacing w:after="240"/>
        <w:rPr>
          <w:shd w:val="clear" w:color="auto" w:fill="FFFFFF"/>
        </w:rPr>
      </w:pPr>
      <w:r>
        <w:rPr>
          <w:shd w:val="clear" w:color="auto" w:fill="FFFFFF"/>
        </w:rPr>
        <w:t>R</w:t>
      </w:r>
      <w:r w:rsidR="002400F9">
        <w:rPr>
          <w:shd w:val="clear" w:color="auto" w:fill="FFFFFF"/>
        </w:rPr>
        <w:t xml:space="preserve">etitling the </w:t>
      </w:r>
      <w:r w:rsidR="002400F9" w:rsidRPr="002400F9">
        <w:rPr>
          <w:shd w:val="clear" w:color="auto" w:fill="FFFFFF"/>
        </w:rPr>
        <w:t xml:space="preserve">instrument as the ‘Broadcasting Services (Anti-terrorism Requirements for Television Narrowcasting Services) Standard 2021’. </w:t>
      </w:r>
    </w:p>
    <w:p w14:paraId="60D63349" w14:textId="0B75CB9C" w:rsidR="00E7506F" w:rsidRPr="00994341" w:rsidRDefault="000A774D" w:rsidP="006A4D22">
      <w:pPr>
        <w:pStyle w:val="Paragraphbeforelist"/>
      </w:pPr>
      <w:r>
        <w:t>A</w:t>
      </w:r>
      <w:r w:rsidR="00EA1BEC">
        <w:t xml:space="preserve"> </w:t>
      </w:r>
      <w:r w:rsidR="00E7506F" w:rsidRPr="00994341">
        <w:t xml:space="preserve">number of </w:t>
      </w:r>
      <w:r>
        <w:t xml:space="preserve">other </w:t>
      </w:r>
      <w:r w:rsidR="00E7506F" w:rsidRPr="00994341">
        <w:t xml:space="preserve">minor amendments </w:t>
      </w:r>
      <w:r w:rsidR="002533CD">
        <w:t>are proposed t</w:t>
      </w:r>
      <w:r w:rsidR="00E7506F" w:rsidRPr="00994341">
        <w:t>o modernise the instruments in accordance with current drafting practices. These include:</w:t>
      </w:r>
    </w:p>
    <w:p w14:paraId="147A6C1C" w14:textId="511DF4AD" w:rsidR="00E7506F" w:rsidRPr="00994341" w:rsidRDefault="00F52ABA" w:rsidP="006A4D22">
      <w:pPr>
        <w:pStyle w:val="Bulletlevel1"/>
      </w:pPr>
      <w:r>
        <w:t>I</w:t>
      </w:r>
      <w:r w:rsidR="00E7506F" w:rsidRPr="00994341">
        <w:t>dentifying the enabling legislation in Part 1 under a new ‘Authority’ provision, following the ‘Commencement’ provision.</w:t>
      </w:r>
    </w:p>
    <w:p w14:paraId="379239ED" w14:textId="05406EBD" w:rsidR="00E7506F" w:rsidRPr="00994341" w:rsidRDefault="00F52ABA" w:rsidP="006A4D22">
      <w:pPr>
        <w:pStyle w:val="Bulletlevel1"/>
      </w:pPr>
      <w:r>
        <w:t>R</w:t>
      </w:r>
      <w:r w:rsidR="00E7506F" w:rsidRPr="00994341">
        <w:t>eplacing the ‘Revocation’ title in Part 1 with a ‘Repeal’ title to reflect the style of similar legislative instruments.</w:t>
      </w:r>
    </w:p>
    <w:p w14:paraId="7FC50512" w14:textId="13E4ECA1" w:rsidR="00E7506F" w:rsidRPr="00994341" w:rsidRDefault="00F52ABA" w:rsidP="006A4D22">
      <w:pPr>
        <w:pStyle w:val="Bulletlevel1"/>
      </w:pPr>
      <w:r>
        <w:t>M</w:t>
      </w:r>
      <w:r w:rsidR="00E7506F" w:rsidRPr="00994341">
        <w:t>oving the ‘Object of standard’ and ‘Application’ provisions to Part 2 in line with current practices for drafting legislative instruments.</w:t>
      </w:r>
    </w:p>
    <w:p w14:paraId="44608AC9" w14:textId="50569728" w:rsidR="00E7506F" w:rsidRDefault="00F52ABA" w:rsidP="006A4D22">
      <w:pPr>
        <w:pStyle w:val="Bulletlevel1"/>
      </w:pPr>
      <w:r>
        <w:t>M</w:t>
      </w:r>
      <w:r w:rsidR="00E7506F" w:rsidRPr="00994341">
        <w:t xml:space="preserve">oving ‘Definitions’ from Part 2 to Part 1 so that all definitions are presented up front. </w:t>
      </w:r>
    </w:p>
    <w:p w14:paraId="30037B40" w14:textId="24F1BBFD" w:rsidR="00EF7107" w:rsidRDefault="00F52ABA" w:rsidP="006A4D22">
      <w:pPr>
        <w:pStyle w:val="Bulletlevel1last"/>
      </w:pPr>
      <w:r>
        <w:t>R</w:t>
      </w:r>
      <w:r w:rsidR="00EF7107">
        <w:t xml:space="preserve">emoving </w:t>
      </w:r>
      <w:r w:rsidR="00571EAC">
        <w:t xml:space="preserve">paragraph </w:t>
      </w:r>
      <w:r w:rsidR="00216598">
        <w:t>(b) from</w:t>
      </w:r>
      <w:r w:rsidR="00216598" w:rsidRPr="00216598">
        <w:t xml:space="preserve"> the definition of ‘listed terrorist’. </w:t>
      </w:r>
      <w:r w:rsidR="00216598">
        <w:t>T</w:t>
      </w:r>
      <w:r w:rsidR="00216598" w:rsidRPr="00216598">
        <w:t xml:space="preserve">errorist organisations are no longer listed in the </w:t>
      </w:r>
      <w:r w:rsidR="00216598" w:rsidRPr="00216598">
        <w:rPr>
          <w:i/>
          <w:iCs/>
        </w:rPr>
        <w:t>Gazette</w:t>
      </w:r>
      <w:r w:rsidR="00216598" w:rsidRPr="00216598">
        <w:t xml:space="preserve"> by the Minister for Foreign Affairs pursuant to section 15 of the Charter of the United Nations Act 1945.</w:t>
      </w:r>
    </w:p>
    <w:p w14:paraId="46B9159D" w14:textId="018A16E5" w:rsidR="00E7506F" w:rsidRPr="00994341" w:rsidRDefault="00E7506F" w:rsidP="006A4D22">
      <w:pPr>
        <w:pStyle w:val="Paragraphbeforelist"/>
      </w:pPr>
      <w:r w:rsidRPr="00994341">
        <w:t xml:space="preserve">Additionally, a more substantial amendment to section 9 of the </w:t>
      </w:r>
      <w:r w:rsidR="007355A7">
        <w:t>a</w:t>
      </w:r>
      <w:r w:rsidRPr="00994341">
        <w:t xml:space="preserve">nti-terrorism </w:t>
      </w:r>
      <w:r w:rsidR="007355A7">
        <w:t>s</w:t>
      </w:r>
      <w:r w:rsidRPr="00994341">
        <w:t>tandards is proposed:</w:t>
      </w:r>
    </w:p>
    <w:p w14:paraId="34E21B43" w14:textId="0673B7B2" w:rsidR="00E7506F" w:rsidRPr="00994341" w:rsidRDefault="00E7506F" w:rsidP="006A4D22">
      <w:pPr>
        <w:pStyle w:val="Bulletlevel1last"/>
      </w:pPr>
      <w:r w:rsidRPr="00994341">
        <w:t xml:space="preserve">Paragraph 102.1(1A)(a) of the Criminal Code includes the words ‘promotes’ and ‘encourages’, in addition to ‘counsels’ and ‘urges’, in the definition of advocating a terrorist act. Section 9A of the </w:t>
      </w:r>
      <w:r w:rsidR="00F84A07" w:rsidRPr="00F84A07">
        <w:rPr>
          <w:i/>
          <w:iCs/>
        </w:rPr>
        <w:t>Classification (Publications, Films and Computer Games) Act 1995</w:t>
      </w:r>
      <w:r w:rsidRPr="00994341">
        <w:t xml:space="preserve"> also reflects this wording.</w:t>
      </w:r>
      <w:r w:rsidR="003863DD">
        <w:t xml:space="preserve"> </w:t>
      </w:r>
      <w:r w:rsidRPr="00994341">
        <w:t>To maintain consistency</w:t>
      </w:r>
      <w:r w:rsidR="00B719E3">
        <w:t xml:space="preserve"> with these legislative instruments</w:t>
      </w:r>
      <w:r w:rsidRPr="00994341">
        <w:t xml:space="preserve">, it is proposed that paragraph 9(3)(a) of the </w:t>
      </w:r>
      <w:r w:rsidR="007355A7">
        <w:t>a</w:t>
      </w:r>
      <w:r w:rsidRPr="00994341">
        <w:t xml:space="preserve">nti-terrorism </w:t>
      </w:r>
      <w:r w:rsidR="007355A7">
        <w:t>s</w:t>
      </w:r>
      <w:r w:rsidRPr="00994341">
        <w:t xml:space="preserve">tandards be amended to read ‘it directly or indirectly counsels, promotes, encourages or urges the doing of a terrorist act’. This expands on the current provision by adding ‘promotes’ and ‘encourages’ to the existing </w:t>
      </w:r>
      <w:r w:rsidR="00571EAC">
        <w:t>words</w:t>
      </w:r>
      <w:r w:rsidRPr="003863DD">
        <w:rPr>
          <w:color w:val="000000"/>
          <w:shd w:val="clear" w:color="auto" w:fill="FFFFFF"/>
        </w:rPr>
        <w:t>.</w:t>
      </w:r>
    </w:p>
    <w:p w14:paraId="21A6433C" w14:textId="2C3A6ED4" w:rsidR="000A0407" w:rsidRDefault="00E7506F" w:rsidP="00E7506F">
      <w:pPr>
        <w:pStyle w:val="ACMABodyText"/>
        <w:spacing w:before="0" w:after="240" w:line="240" w:lineRule="atLeast"/>
        <w:rPr>
          <w:rFonts w:cs="Arial"/>
          <w:snapToGrid/>
          <w:sz w:val="20"/>
          <w:szCs w:val="24"/>
          <w:lang w:eastAsia="en-AU"/>
        </w:rPr>
      </w:pPr>
      <w:r w:rsidRPr="00994341">
        <w:rPr>
          <w:rFonts w:cs="Arial"/>
          <w:snapToGrid/>
          <w:sz w:val="20"/>
          <w:szCs w:val="24"/>
          <w:lang w:eastAsia="en-AU"/>
        </w:rPr>
        <w:t xml:space="preserve">The ACMA </w:t>
      </w:r>
      <w:r>
        <w:rPr>
          <w:rFonts w:cs="Arial"/>
          <w:snapToGrid/>
          <w:sz w:val="20"/>
          <w:szCs w:val="24"/>
          <w:lang w:eastAsia="en-AU"/>
        </w:rPr>
        <w:t xml:space="preserve">welcomes </w:t>
      </w:r>
      <w:r w:rsidRPr="00994341">
        <w:rPr>
          <w:rFonts w:cs="Arial"/>
          <w:snapToGrid/>
          <w:sz w:val="20"/>
          <w:szCs w:val="24"/>
          <w:lang w:eastAsia="en-AU"/>
        </w:rPr>
        <w:t xml:space="preserve">views on the proposed </w:t>
      </w:r>
      <w:r w:rsidR="00EA1BEC">
        <w:rPr>
          <w:rFonts w:cs="Arial"/>
          <w:snapToGrid/>
          <w:sz w:val="20"/>
          <w:szCs w:val="24"/>
          <w:lang w:eastAsia="en-AU"/>
        </w:rPr>
        <w:t>amendments</w:t>
      </w:r>
      <w:r>
        <w:rPr>
          <w:rFonts w:cs="Arial"/>
          <w:snapToGrid/>
          <w:sz w:val="20"/>
          <w:szCs w:val="24"/>
          <w:lang w:eastAsia="en-AU"/>
        </w:rPr>
        <w:t xml:space="preserve"> </w:t>
      </w:r>
      <w:r w:rsidR="00BE5509">
        <w:rPr>
          <w:rFonts w:cs="Arial"/>
          <w:snapToGrid/>
          <w:sz w:val="20"/>
          <w:szCs w:val="24"/>
          <w:lang w:eastAsia="en-AU"/>
        </w:rPr>
        <w:t>including</w:t>
      </w:r>
      <w:r>
        <w:rPr>
          <w:rFonts w:cs="Arial"/>
          <w:snapToGrid/>
          <w:sz w:val="20"/>
          <w:szCs w:val="24"/>
          <w:lang w:eastAsia="en-AU"/>
        </w:rPr>
        <w:t xml:space="preserve"> any additional </w:t>
      </w:r>
      <w:r w:rsidR="00573C4B">
        <w:rPr>
          <w:rFonts w:cs="Arial"/>
          <w:snapToGrid/>
          <w:sz w:val="20"/>
          <w:szCs w:val="24"/>
          <w:lang w:eastAsia="en-AU"/>
        </w:rPr>
        <w:t xml:space="preserve">suggestions </w:t>
      </w:r>
      <w:r>
        <w:rPr>
          <w:rFonts w:cs="Arial"/>
          <w:snapToGrid/>
          <w:sz w:val="20"/>
          <w:szCs w:val="24"/>
          <w:lang w:eastAsia="en-AU"/>
        </w:rPr>
        <w:t>on how the instruments, if remade, could be</w:t>
      </w:r>
      <w:r w:rsidR="00EA1BEC">
        <w:rPr>
          <w:rFonts w:cs="Arial"/>
          <w:snapToGrid/>
          <w:sz w:val="20"/>
          <w:szCs w:val="24"/>
          <w:lang w:eastAsia="en-AU"/>
        </w:rPr>
        <w:t xml:space="preserve"> further</w:t>
      </w:r>
      <w:r>
        <w:rPr>
          <w:rFonts w:cs="Arial"/>
          <w:snapToGrid/>
          <w:sz w:val="20"/>
          <w:szCs w:val="24"/>
          <w:lang w:eastAsia="en-AU"/>
        </w:rPr>
        <w:t xml:space="preserve"> enhanced to align with existing legislation.</w:t>
      </w:r>
    </w:p>
    <w:p w14:paraId="06F65DDE" w14:textId="18DD7F88" w:rsidR="005B2E72" w:rsidRDefault="005B2E72" w:rsidP="006A4D22">
      <w:pPr>
        <w:keepNext/>
        <w:keepLines/>
        <w:pBdr>
          <w:top w:val="single" w:sz="4" w:space="1" w:color="auto"/>
          <w:left w:val="single" w:sz="4" w:space="4" w:color="auto"/>
          <w:bottom w:val="single" w:sz="4" w:space="1" w:color="auto"/>
          <w:right w:val="single" w:sz="4" w:space="4" w:color="auto"/>
        </w:pBdr>
        <w:shd w:val="clear" w:color="auto" w:fill="F2F2F2" w:themeFill="background1" w:themeFillShade="F2"/>
        <w:spacing w:after="60"/>
        <w:rPr>
          <w:b/>
          <w:bCs/>
        </w:rPr>
      </w:pPr>
      <w:r>
        <w:rPr>
          <w:b/>
          <w:bCs/>
        </w:rPr>
        <w:t xml:space="preserve">Question </w:t>
      </w:r>
      <w:r w:rsidR="00C4374C">
        <w:rPr>
          <w:b/>
          <w:bCs/>
        </w:rPr>
        <w:t>3</w:t>
      </w:r>
    </w:p>
    <w:p w14:paraId="2760E120" w14:textId="1DFF9606" w:rsidR="00D60F4D" w:rsidRPr="00D60F4D" w:rsidRDefault="00D60F4D" w:rsidP="006A4D22">
      <w:pPr>
        <w:keepNext/>
        <w:keepLines/>
        <w:pBdr>
          <w:top w:val="single" w:sz="4" w:space="1" w:color="auto"/>
          <w:left w:val="single" w:sz="4" w:space="4" w:color="auto"/>
          <w:bottom w:val="single" w:sz="4" w:space="1" w:color="auto"/>
          <w:right w:val="single" w:sz="4" w:space="4" w:color="auto"/>
        </w:pBdr>
        <w:shd w:val="clear" w:color="auto" w:fill="F2F2F2" w:themeFill="background1" w:themeFillShade="F2"/>
      </w:pPr>
      <w:r>
        <w:t>Are the proposed amendments appropriate? Are additional amendments required?</w:t>
      </w:r>
      <w:bookmarkStart w:id="19" w:name="_Toc69910864"/>
    </w:p>
    <w:bookmarkEnd w:id="19"/>
    <w:p w14:paraId="5C8043A1" w14:textId="3FAF55AC" w:rsidR="00E870F4" w:rsidRDefault="00E870F4" w:rsidP="00606508">
      <w:pPr>
        <w:pStyle w:val="ACMABodyText"/>
        <w:spacing w:before="0" w:after="240" w:line="240" w:lineRule="atLeast"/>
        <w:rPr>
          <w:rFonts w:cs="Arial"/>
          <w:b/>
          <w:bCs/>
          <w:i/>
          <w:iCs/>
          <w:snapToGrid/>
          <w:sz w:val="20"/>
          <w:szCs w:val="24"/>
          <w:lang w:eastAsia="en-AU"/>
        </w:rPr>
      </w:pPr>
    </w:p>
    <w:p w14:paraId="20A426B3" w14:textId="77777777" w:rsidR="00E870F4" w:rsidRDefault="00E870F4" w:rsidP="00E870F4">
      <w:pPr>
        <w:pStyle w:val="Heading1"/>
      </w:pPr>
      <w:bookmarkStart w:id="20" w:name="_Toc16685794"/>
      <w:bookmarkStart w:id="21" w:name="_Toc73539714"/>
      <w:r>
        <w:lastRenderedPageBreak/>
        <w:t>Invitation to comment</w:t>
      </w:r>
      <w:bookmarkEnd w:id="20"/>
      <w:bookmarkEnd w:id="21"/>
    </w:p>
    <w:p w14:paraId="546D5BC5" w14:textId="77777777" w:rsidR="00E870F4" w:rsidRDefault="00E870F4" w:rsidP="006A4D22">
      <w:pPr>
        <w:pStyle w:val="Heading2"/>
        <w:spacing w:after="60"/>
      </w:pPr>
      <w:bookmarkStart w:id="22" w:name="_Toc433122131"/>
      <w:bookmarkStart w:id="23" w:name="_Toc348105637"/>
      <w:bookmarkStart w:id="24" w:name="_Toc300909556"/>
      <w:bookmarkStart w:id="25" w:name="_Toc298924673"/>
      <w:bookmarkStart w:id="26" w:name="_Toc16685795"/>
      <w:bookmarkStart w:id="27" w:name="_Toc73539715"/>
      <w:bookmarkStart w:id="28" w:name="_Toc348105638"/>
      <w:bookmarkStart w:id="29" w:name="_Toc300909557"/>
      <w:bookmarkStart w:id="30" w:name="_Toc298924674"/>
      <w:bookmarkStart w:id="31" w:name="_Toc274296357"/>
      <w:r>
        <w:t>Making a submission</w:t>
      </w:r>
      <w:bookmarkEnd w:id="22"/>
      <w:bookmarkEnd w:id="23"/>
      <w:bookmarkEnd w:id="24"/>
      <w:bookmarkEnd w:id="25"/>
      <w:bookmarkEnd w:id="26"/>
      <w:bookmarkEnd w:id="27"/>
    </w:p>
    <w:p w14:paraId="02667DFF" w14:textId="7ACEC5D1" w:rsidR="00E870F4" w:rsidRDefault="00E870F4" w:rsidP="00E870F4">
      <w:r>
        <w:t xml:space="preserve">The ACMA invites comments on the issues set out in this </w:t>
      </w:r>
      <w:r w:rsidR="00571EAC">
        <w:t xml:space="preserve">consultation </w:t>
      </w:r>
      <w:r>
        <w:t xml:space="preserve">paper. </w:t>
      </w:r>
    </w:p>
    <w:p w14:paraId="30FC428E" w14:textId="77777777" w:rsidR="00E870F4" w:rsidRDefault="00B7154C" w:rsidP="00E870F4">
      <w:pPr>
        <w:pStyle w:val="Bulletlevel1"/>
      </w:pPr>
      <w:hyperlink r:id="rId30" w:history="1">
        <w:r w:rsidR="00E870F4">
          <w:rPr>
            <w:rStyle w:val="Hyperlink"/>
          </w:rPr>
          <w:t>Online submissions</w:t>
        </w:r>
      </w:hyperlink>
      <w:r w:rsidR="00E870F4">
        <w:t xml:space="preserve"> can be made by </w:t>
      </w:r>
      <w:r w:rsidR="00E870F4" w:rsidRPr="0070133D">
        <w:t>uploading</w:t>
      </w:r>
      <w:r w:rsidR="00E870F4">
        <w:t xml:space="preserve"> a document. Submissions in PDF, Microsoft Word or Rich Text Format are preferred.</w:t>
      </w:r>
    </w:p>
    <w:p w14:paraId="58920DCA" w14:textId="77777777" w:rsidR="00E870F4" w:rsidRDefault="00E870F4" w:rsidP="00E870F4">
      <w:pPr>
        <w:pStyle w:val="Bulletlevel1"/>
      </w:pPr>
      <w:r>
        <w:t xml:space="preserve">Submissions by post can be sent to: </w:t>
      </w:r>
    </w:p>
    <w:p w14:paraId="7627E4CF" w14:textId="77777777" w:rsidR="00E870F4" w:rsidRPr="009D798E" w:rsidRDefault="00E870F4" w:rsidP="00E870F4">
      <w:pPr>
        <w:tabs>
          <w:tab w:val="num" w:pos="295"/>
        </w:tabs>
        <w:spacing w:after="0"/>
        <w:ind w:left="295"/>
        <w:rPr>
          <w:szCs w:val="20"/>
        </w:rPr>
      </w:pPr>
      <w:r w:rsidRPr="009D798E">
        <w:rPr>
          <w:szCs w:val="20"/>
        </w:rPr>
        <w:t>The Manager</w:t>
      </w:r>
    </w:p>
    <w:p w14:paraId="7381BEA6" w14:textId="5786D562" w:rsidR="00E870F4" w:rsidRPr="009D798E" w:rsidRDefault="002D418E" w:rsidP="00E870F4">
      <w:pPr>
        <w:spacing w:after="0"/>
        <w:ind w:left="295"/>
        <w:rPr>
          <w:szCs w:val="20"/>
        </w:rPr>
      </w:pPr>
      <w:r w:rsidRPr="009D798E">
        <w:rPr>
          <w:szCs w:val="20"/>
        </w:rPr>
        <w:t>Content and Platform Projects</w:t>
      </w:r>
      <w:r w:rsidR="00E870F4" w:rsidRPr="009D798E">
        <w:rPr>
          <w:szCs w:val="20"/>
        </w:rPr>
        <w:t xml:space="preserve"> Section</w:t>
      </w:r>
    </w:p>
    <w:p w14:paraId="537BE468" w14:textId="77777777" w:rsidR="00E870F4" w:rsidRPr="009D798E" w:rsidRDefault="00E870F4" w:rsidP="00E870F4">
      <w:pPr>
        <w:spacing w:after="0"/>
        <w:ind w:left="295"/>
        <w:rPr>
          <w:szCs w:val="20"/>
        </w:rPr>
      </w:pPr>
      <w:r w:rsidRPr="009D798E">
        <w:rPr>
          <w:szCs w:val="20"/>
        </w:rPr>
        <w:t>Australian Communications and Media Authority</w:t>
      </w:r>
    </w:p>
    <w:p w14:paraId="52F65E98" w14:textId="77777777" w:rsidR="00E870F4" w:rsidRPr="009D798E" w:rsidRDefault="00E870F4" w:rsidP="00E870F4">
      <w:pPr>
        <w:spacing w:after="0"/>
        <w:ind w:left="295"/>
        <w:rPr>
          <w:szCs w:val="20"/>
        </w:rPr>
      </w:pPr>
      <w:r w:rsidRPr="009D798E">
        <w:rPr>
          <w:szCs w:val="20"/>
        </w:rPr>
        <w:t>PO Box 78</w:t>
      </w:r>
    </w:p>
    <w:p w14:paraId="5097CDE0" w14:textId="77777777" w:rsidR="00E870F4" w:rsidRDefault="00E870F4" w:rsidP="00E870F4">
      <w:pPr>
        <w:ind w:left="295"/>
        <w:rPr>
          <w:szCs w:val="20"/>
        </w:rPr>
      </w:pPr>
      <w:r w:rsidRPr="009D798E">
        <w:rPr>
          <w:szCs w:val="20"/>
        </w:rPr>
        <w:t>Belconnen ACT 2616</w:t>
      </w:r>
    </w:p>
    <w:p w14:paraId="6AC1F05A" w14:textId="2FEFD0E5" w:rsidR="00E870F4" w:rsidRDefault="00E870F4" w:rsidP="00E870F4">
      <w:r>
        <w:t xml:space="preserve">The closing date for submissions is </w:t>
      </w:r>
      <w:r w:rsidRPr="006A4D22">
        <w:rPr>
          <w:b/>
          <w:bCs/>
        </w:rPr>
        <w:t xml:space="preserve">COB, </w:t>
      </w:r>
      <w:r w:rsidR="00590367">
        <w:rPr>
          <w:b/>
          <w:bCs/>
        </w:rPr>
        <w:t>Wednesday 21</w:t>
      </w:r>
      <w:r w:rsidR="00A87D96">
        <w:rPr>
          <w:b/>
          <w:bCs/>
        </w:rPr>
        <w:t xml:space="preserve"> </w:t>
      </w:r>
      <w:r w:rsidR="006E7B39" w:rsidRPr="006A4D22">
        <w:rPr>
          <w:b/>
          <w:bCs/>
        </w:rPr>
        <w:t>July 2021</w:t>
      </w:r>
      <w:r>
        <w:t>.</w:t>
      </w:r>
    </w:p>
    <w:p w14:paraId="2D2E8EB4" w14:textId="37115B9F" w:rsidR="00E870F4" w:rsidRDefault="00E870F4" w:rsidP="00E870F4">
      <w:pPr>
        <w:rPr>
          <w:szCs w:val="20"/>
        </w:rPr>
      </w:pPr>
      <w:r>
        <w:t xml:space="preserve">Consultation enquiries can be </w:t>
      </w:r>
      <w:r w:rsidRPr="00F073BD">
        <w:t xml:space="preserve">emailed </w:t>
      </w:r>
      <w:r w:rsidRPr="00F073BD">
        <w:rPr>
          <w:szCs w:val="20"/>
        </w:rPr>
        <w:t>to</w:t>
      </w:r>
      <w:r w:rsidR="00F073BD" w:rsidRPr="00F073BD">
        <w:t xml:space="preserve"> </w:t>
      </w:r>
      <w:hyperlink r:id="rId31" w:history="1">
        <w:r w:rsidR="00F073BD" w:rsidRPr="00F073BD">
          <w:rPr>
            <w:rStyle w:val="Hyperlink"/>
          </w:rPr>
          <w:t>haveyoursay</w:t>
        </w:r>
        <w:r w:rsidR="00F073BD" w:rsidRPr="00F073BD">
          <w:rPr>
            <w:rStyle w:val="Hyperlink"/>
            <w:szCs w:val="20"/>
          </w:rPr>
          <w:t>@acma.gov.au</w:t>
        </w:r>
      </w:hyperlink>
      <w:r w:rsidR="00F073BD">
        <w:rPr>
          <w:szCs w:val="20"/>
          <w:u w:color="0000FF"/>
          <w:shd w:val="clear" w:color="auto" w:fill="FFFF00"/>
        </w:rPr>
        <w:t xml:space="preserve"> </w:t>
      </w:r>
    </w:p>
    <w:p w14:paraId="6E255958" w14:textId="77777777" w:rsidR="00E870F4" w:rsidRDefault="00E870F4" w:rsidP="00E870F4">
      <w:pPr>
        <w:pStyle w:val="Heading4"/>
      </w:pPr>
      <w:bookmarkStart w:id="32" w:name="_Toc348105639"/>
      <w:bookmarkStart w:id="33" w:name="_Toc300909558"/>
      <w:bookmarkEnd w:id="28"/>
      <w:bookmarkEnd w:id="29"/>
      <w:r>
        <w:t xml:space="preserve">Publication of </w:t>
      </w:r>
      <w:r w:rsidRPr="005B2F0D">
        <w:t>submissions</w:t>
      </w:r>
      <w:bookmarkEnd w:id="30"/>
      <w:bookmarkEnd w:id="31"/>
      <w:bookmarkEnd w:id="32"/>
      <w:bookmarkEnd w:id="33"/>
    </w:p>
    <w:p w14:paraId="29E16986" w14:textId="77777777" w:rsidR="00E870F4" w:rsidRDefault="00E870F4" w:rsidP="00E870F4">
      <w:bookmarkStart w:id="34" w:name="_Toc348105640"/>
      <w:bookmarkStart w:id="35" w:name="_Toc300909559"/>
      <w:bookmarkStart w:id="36" w:name="_Toc265246234"/>
      <w:r>
        <w:t>The ACMA publishes submissions on our website</w:t>
      </w:r>
      <w:r>
        <w:rPr>
          <w:rFonts w:cs="Arial"/>
        </w:rPr>
        <w:t>, including personal information (such as names and contact details)</w:t>
      </w:r>
      <w:r>
        <w:t xml:space="preserve">, except for information that you have claimed (and we have accepted) is confidential. </w:t>
      </w:r>
    </w:p>
    <w:p w14:paraId="479A0A87" w14:textId="77777777" w:rsidR="00E870F4" w:rsidRDefault="00E870F4" w:rsidP="00E870F4">
      <w:r>
        <w:t>Confidential information will not be published or otherwise released unless required or authorised by law.</w:t>
      </w:r>
    </w:p>
    <w:p w14:paraId="7B92B681" w14:textId="77777777" w:rsidR="00E870F4" w:rsidRDefault="00E870F4" w:rsidP="00E870F4">
      <w:pPr>
        <w:pStyle w:val="Heading4"/>
      </w:pPr>
      <w:r>
        <w:t>Privacy</w:t>
      </w:r>
    </w:p>
    <w:p w14:paraId="46706E6C" w14:textId="77777777" w:rsidR="00E870F4" w:rsidRDefault="00E870F4" w:rsidP="00E870F4">
      <w:pPr>
        <w:pStyle w:val="Paragraph"/>
      </w:pPr>
      <w:r>
        <w:t xml:space="preserve">View information about our policy on the </w:t>
      </w:r>
      <w:hyperlink r:id="rId32" w:history="1">
        <w:r>
          <w:rPr>
            <w:rStyle w:val="Hyperlink"/>
          </w:rPr>
          <w:t>p</w:t>
        </w:r>
        <w:r w:rsidRPr="00E21056">
          <w:rPr>
            <w:rStyle w:val="Hyperlink"/>
          </w:rPr>
          <w:t>ublication of submissions</w:t>
        </w:r>
      </w:hyperlink>
      <w:r>
        <w:t>, including collection of personal information during consultation and how we handle that information.</w:t>
      </w:r>
    </w:p>
    <w:bookmarkEnd w:id="34"/>
    <w:bookmarkEnd w:id="35"/>
    <w:bookmarkEnd w:id="36"/>
    <w:p w14:paraId="6248ECF0" w14:textId="77777777" w:rsidR="00E870F4" w:rsidRPr="0041233F" w:rsidRDefault="00E870F4" w:rsidP="00E870F4">
      <w:pPr>
        <w:pStyle w:val="Paragraph"/>
      </w:pPr>
      <w:r>
        <w:t xml:space="preserve">Information on the </w:t>
      </w:r>
      <w:r>
        <w:rPr>
          <w:i/>
        </w:rPr>
        <w:t xml:space="preserve">Privacy Act 1988, </w:t>
      </w:r>
      <w:r>
        <w:t xml:space="preserve">how to access or correct personal information, how to make a privacy complaint and how we will deal with the complaint, is available in our </w:t>
      </w:r>
      <w:hyperlink r:id="rId33" w:history="1">
        <w:r w:rsidRPr="00E21056">
          <w:rPr>
            <w:rStyle w:val="Hyperlink"/>
          </w:rPr>
          <w:t>privacy policy</w:t>
        </w:r>
      </w:hyperlink>
      <w:r>
        <w:t xml:space="preserve">. </w:t>
      </w:r>
    </w:p>
    <w:p w14:paraId="50607CE4" w14:textId="77777777" w:rsidR="00E870F4" w:rsidRDefault="00E870F4" w:rsidP="00606508">
      <w:pPr>
        <w:pStyle w:val="ACMABodyText"/>
        <w:spacing w:before="0" w:after="240" w:line="240" w:lineRule="atLeast"/>
        <w:rPr>
          <w:rFonts w:cs="Arial"/>
          <w:b/>
          <w:bCs/>
          <w:i/>
          <w:iCs/>
          <w:snapToGrid/>
          <w:sz w:val="20"/>
          <w:szCs w:val="24"/>
          <w:lang w:eastAsia="en-AU"/>
        </w:rPr>
      </w:pPr>
    </w:p>
    <w:p w14:paraId="5DBCD904" w14:textId="77777777" w:rsidR="00B21514" w:rsidRDefault="00B21514" w:rsidP="00606508">
      <w:pPr>
        <w:pStyle w:val="ACMABodyText"/>
        <w:spacing w:before="0" w:after="240" w:line="240" w:lineRule="atLeast"/>
        <w:rPr>
          <w:rFonts w:cs="Arial"/>
          <w:b/>
          <w:bCs/>
          <w:i/>
          <w:iCs/>
          <w:snapToGrid/>
          <w:sz w:val="20"/>
          <w:szCs w:val="24"/>
          <w:lang w:eastAsia="en-AU"/>
        </w:rPr>
      </w:pPr>
    </w:p>
    <w:p w14:paraId="5A62D899" w14:textId="77777777" w:rsidR="00B21514" w:rsidRDefault="00B21514" w:rsidP="00606508">
      <w:pPr>
        <w:pStyle w:val="ACMABodyText"/>
        <w:spacing w:before="0" w:after="240" w:line="240" w:lineRule="atLeast"/>
        <w:rPr>
          <w:rFonts w:cs="Arial"/>
          <w:b/>
          <w:bCs/>
          <w:i/>
          <w:iCs/>
          <w:snapToGrid/>
          <w:sz w:val="20"/>
          <w:szCs w:val="24"/>
          <w:lang w:eastAsia="en-AU"/>
        </w:rPr>
      </w:pPr>
    </w:p>
    <w:p w14:paraId="61F02A6D" w14:textId="77777777" w:rsidR="00B21514" w:rsidRDefault="00B21514" w:rsidP="00606508">
      <w:pPr>
        <w:pStyle w:val="ACMABodyText"/>
        <w:spacing w:before="0" w:after="240" w:line="240" w:lineRule="atLeast"/>
        <w:rPr>
          <w:rFonts w:cs="Arial"/>
          <w:b/>
          <w:bCs/>
          <w:i/>
          <w:iCs/>
          <w:snapToGrid/>
          <w:sz w:val="20"/>
          <w:szCs w:val="24"/>
          <w:lang w:eastAsia="en-AU"/>
        </w:rPr>
      </w:pPr>
    </w:p>
    <w:p w14:paraId="590490A7" w14:textId="77777777" w:rsidR="00B21514" w:rsidRDefault="00B21514" w:rsidP="00606508">
      <w:pPr>
        <w:pStyle w:val="ACMABodyText"/>
        <w:spacing w:before="0" w:after="240" w:line="240" w:lineRule="atLeast"/>
        <w:rPr>
          <w:rFonts w:cs="Arial"/>
          <w:b/>
          <w:bCs/>
          <w:i/>
          <w:iCs/>
          <w:snapToGrid/>
          <w:sz w:val="20"/>
          <w:szCs w:val="24"/>
          <w:lang w:eastAsia="en-AU"/>
        </w:rPr>
      </w:pPr>
    </w:p>
    <w:p w14:paraId="4D2F788F" w14:textId="77777777" w:rsidR="00B21514" w:rsidRDefault="00B21514" w:rsidP="00606508">
      <w:pPr>
        <w:pStyle w:val="ACMABodyText"/>
        <w:spacing w:before="0" w:after="240" w:line="240" w:lineRule="atLeast"/>
        <w:rPr>
          <w:rFonts w:cs="Arial"/>
          <w:b/>
          <w:bCs/>
          <w:i/>
          <w:iCs/>
          <w:snapToGrid/>
          <w:sz w:val="20"/>
          <w:szCs w:val="24"/>
          <w:lang w:eastAsia="en-AU"/>
        </w:rPr>
      </w:pPr>
    </w:p>
    <w:p w14:paraId="39E3C71E" w14:textId="77777777" w:rsidR="00B21514" w:rsidRDefault="00B21514" w:rsidP="00606508">
      <w:pPr>
        <w:pStyle w:val="ACMABodyText"/>
        <w:spacing w:before="0" w:after="240" w:line="240" w:lineRule="atLeast"/>
        <w:rPr>
          <w:rFonts w:cs="Arial"/>
          <w:b/>
          <w:bCs/>
          <w:i/>
          <w:iCs/>
          <w:snapToGrid/>
          <w:sz w:val="20"/>
          <w:szCs w:val="24"/>
          <w:lang w:eastAsia="en-AU"/>
        </w:rPr>
      </w:pPr>
    </w:p>
    <w:p w14:paraId="1959C612" w14:textId="77777777" w:rsidR="00B21514" w:rsidRDefault="00B21514" w:rsidP="00606508">
      <w:pPr>
        <w:pStyle w:val="ACMABodyText"/>
        <w:spacing w:before="0" w:after="240" w:line="240" w:lineRule="atLeast"/>
        <w:rPr>
          <w:rFonts w:cs="Arial"/>
          <w:b/>
          <w:bCs/>
          <w:i/>
          <w:iCs/>
          <w:snapToGrid/>
          <w:sz w:val="20"/>
          <w:szCs w:val="24"/>
          <w:lang w:eastAsia="en-AU"/>
        </w:rPr>
      </w:pPr>
    </w:p>
    <w:p w14:paraId="21E0D759" w14:textId="77777777" w:rsidR="00327932" w:rsidRPr="009A321B" w:rsidRDefault="00327932" w:rsidP="009A321B">
      <w:pPr>
        <w:tabs>
          <w:tab w:val="left" w:pos="284"/>
        </w:tabs>
        <w:spacing w:before="120" w:after="160"/>
        <w:rPr>
          <w:rFonts w:cs="Arial"/>
          <w:b/>
          <w:sz w:val="24"/>
          <w:szCs w:val="32"/>
        </w:rPr>
      </w:pPr>
    </w:p>
    <w:sectPr w:rsidR="00327932" w:rsidRPr="009A321B" w:rsidSect="00C77380">
      <w:headerReference w:type="even" r:id="rId34"/>
      <w:headerReference w:type="default" r:id="rId35"/>
      <w:footerReference w:type="even" r:id="rId36"/>
      <w:footerReference w:type="default" r:id="rId37"/>
      <w:headerReference w:type="first" r:id="rId38"/>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F5DFF4" w14:textId="77777777" w:rsidR="002716F6" w:rsidRDefault="002716F6">
      <w:r>
        <w:separator/>
      </w:r>
    </w:p>
  </w:endnote>
  <w:endnote w:type="continuationSeparator" w:id="0">
    <w:p w14:paraId="6041FE9A" w14:textId="77777777" w:rsidR="002716F6" w:rsidRDefault="002716F6">
      <w:r>
        <w:continuationSeparator/>
      </w:r>
    </w:p>
  </w:endnote>
  <w:endnote w:type="continuationNotice" w:id="1">
    <w:p w14:paraId="1A4F3C9C" w14:textId="77777777" w:rsidR="002716F6" w:rsidRDefault="002716F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Arial"/>
    <w:panose1 w:val="020B0403020202020204"/>
    <w:charset w:val="00"/>
    <w:family w:val="swiss"/>
    <w:notTrueType/>
    <w:pitch w:val="variable"/>
    <w:sig w:usb0="800000AF" w:usb1="4000204A"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NeueLT Std">
    <w:altName w:val="Arial"/>
    <w:panose1 w:val="020B0604020202020204"/>
    <w:charset w:val="00"/>
    <w:family w:val="swiss"/>
    <w:notTrueType/>
    <w:pitch w:val="variable"/>
    <w:sig w:usb0="800000AF" w:usb1="4000204A" w:usb2="00000000" w:usb3="00000000" w:csb0="0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BBCEBA" w14:textId="77777777" w:rsidR="00F52ABA" w:rsidRDefault="00F52ABA" w:rsidP="005E250B">
    <w:pPr>
      <w:pStyle w:val="Footer"/>
      <w:jc w:val="right"/>
    </w:pPr>
    <w:r>
      <w:rPr>
        <w:noProof/>
      </w:rPr>
      <w:drawing>
        <wp:inline distT="0" distB="0" distL="0" distR="0" wp14:anchorId="354722F3" wp14:editId="4E4A6DEF">
          <wp:extent cx="1066800" cy="277368"/>
          <wp:effectExtent l="0" t="0" r="0" b="0"/>
          <wp:docPr id="3" name="Picture 3"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pic:nvPicPr>
                <pic:blipFill>
                  <a:blip r:embed="rId2">
                    <a:extLst>
                      <a:ext uri="{28A0092B-C50C-407E-A947-70E740481C1C}">
                        <a14:useLocalDpi xmlns:a14="http://schemas.microsoft.com/office/drawing/2010/main" val="0"/>
                      </a:ext>
                    </a:extLst>
                  </a:blip>
                  <a:stretch>
                    <a:fillRect/>
                  </a:stretch>
                </pic:blipFill>
                <pic:spPr>
                  <a:xfrm>
                    <a:off x="0" y="0"/>
                    <a:ext cx="1066800" cy="277368"/>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02D666" w14:textId="77777777" w:rsidR="00F52ABA" w:rsidRDefault="00F52AB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1B724F" w14:textId="77777777" w:rsidR="00F52ABA" w:rsidRDefault="00F52ABA">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F4BB2F" w14:textId="77777777" w:rsidR="00F52ABA" w:rsidRPr="00622A3B" w:rsidRDefault="00F52ABA"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4BBDE00D" w14:textId="77777777" w:rsidR="00F52ABA" w:rsidRPr="00A5474E" w:rsidRDefault="00F52ABA"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78B3E3" w14:textId="77777777" w:rsidR="00F52ABA" w:rsidRPr="00622A3B" w:rsidRDefault="00F52ABA"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5699F004" w14:textId="77777777" w:rsidR="00F52ABA" w:rsidRPr="00A5474E" w:rsidRDefault="00F52ABA"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7B537C" w14:textId="77777777" w:rsidR="00F52ABA" w:rsidRPr="00A5474E" w:rsidRDefault="00F52ABA"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BCAD93" w14:textId="77777777" w:rsidR="00F52ABA" w:rsidRPr="00622A3B" w:rsidRDefault="00F52ABA"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1C5BE76D" w14:textId="77777777" w:rsidR="00F52ABA" w:rsidRPr="00A5474E" w:rsidRDefault="00F52ABA"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7CB95E" w14:textId="77777777" w:rsidR="00F52ABA" w:rsidRPr="00622A3B" w:rsidRDefault="00F52ABA"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1</w:t>
    </w:r>
    <w:r w:rsidRPr="00575AC5">
      <w:rPr>
        <w:color w:val="505050"/>
      </w:rPr>
      <w:fldChar w:fldCharType="end"/>
    </w:r>
  </w:p>
  <w:p w14:paraId="17E00CDD" w14:textId="77777777" w:rsidR="00F52ABA" w:rsidRPr="00A5474E" w:rsidRDefault="00F52ABA"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B18462" w14:textId="77777777" w:rsidR="002716F6" w:rsidRDefault="002716F6">
      <w:r>
        <w:separator/>
      </w:r>
    </w:p>
  </w:footnote>
  <w:footnote w:type="continuationSeparator" w:id="0">
    <w:p w14:paraId="738CA2D3" w14:textId="77777777" w:rsidR="002716F6" w:rsidRDefault="002716F6">
      <w:r>
        <w:continuationSeparator/>
      </w:r>
    </w:p>
  </w:footnote>
  <w:footnote w:type="continuationNotice" w:id="1">
    <w:p w14:paraId="04DF1B1B" w14:textId="77777777" w:rsidR="002716F6" w:rsidRDefault="002716F6">
      <w:pPr>
        <w:spacing w:after="0" w:line="240" w:lineRule="auto"/>
      </w:pPr>
    </w:p>
  </w:footnote>
  <w:footnote w:id="2">
    <w:p w14:paraId="5465F510" w14:textId="2BCECDAF" w:rsidR="00F52ABA" w:rsidRPr="006D4A6D" w:rsidRDefault="00F52ABA">
      <w:pPr>
        <w:pStyle w:val="FootnoteText"/>
      </w:pPr>
      <w:r w:rsidRPr="006D4A6D">
        <w:rPr>
          <w:rStyle w:val="FootnoteReference"/>
        </w:rPr>
        <w:footnoteRef/>
      </w:r>
      <w:r w:rsidRPr="006D4A6D">
        <w:t xml:space="preserve"> Under section 125 of the BSA, the ACMA may determine program standards if satisfied that there is convincing evidence that a code of practice is not operating to provide appropriate community safeguards.</w:t>
      </w:r>
    </w:p>
  </w:footnote>
  <w:footnote w:id="3">
    <w:p w14:paraId="0C9484B6" w14:textId="6A44B005" w:rsidR="00F52ABA" w:rsidRPr="00363D72" w:rsidRDefault="00F52ABA">
      <w:pPr>
        <w:pStyle w:val="FootnoteText"/>
        <w:rPr>
          <w:i/>
          <w:iCs/>
        </w:rPr>
      </w:pPr>
      <w:r w:rsidRPr="006D4A6D">
        <w:rPr>
          <w:rStyle w:val="FootnoteReference"/>
        </w:rPr>
        <w:footnoteRef/>
      </w:r>
      <w:r w:rsidRPr="006D4A6D">
        <w:t xml:space="preserve"> This includes the </w:t>
      </w:r>
      <w:r w:rsidRPr="006D4A6D">
        <w:rPr>
          <w:i/>
          <w:iCs/>
        </w:rPr>
        <w:t>Criminal Code Act 1995</w:t>
      </w:r>
      <w:r w:rsidRPr="006D4A6D">
        <w:t xml:space="preserve">, which covers matters related to national security and violent and abhorrent material, as well as the </w:t>
      </w:r>
      <w:r w:rsidRPr="006D4A6D">
        <w:rPr>
          <w:i/>
          <w:iCs/>
        </w:rPr>
        <w:t>Classification (Publications, Films and Computer Games) Act 1995.</w:t>
      </w:r>
    </w:p>
  </w:footnote>
  <w:footnote w:id="4">
    <w:p w14:paraId="28C9F6E1" w14:textId="68C09B9C" w:rsidR="00F52ABA" w:rsidRDefault="00F52ABA" w:rsidP="00533234">
      <w:pPr>
        <w:pStyle w:val="FootnoteText"/>
      </w:pPr>
      <w:r>
        <w:rPr>
          <w:rStyle w:val="FootnoteReference"/>
        </w:rPr>
        <w:footnoteRef/>
      </w:r>
      <w:r>
        <w:t xml:space="preserve"> Department of the Prime Minister and Cabinet, </w:t>
      </w:r>
      <w:r w:rsidRPr="00EF459D">
        <w:rPr>
          <w:i/>
          <w:iCs/>
        </w:rPr>
        <w:t>Review of Australia’s Counter-Terrorism Machinery,</w:t>
      </w:r>
      <w:r>
        <w:t xml:space="preserve"> 2015, </w:t>
      </w:r>
      <w:hyperlink r:id="rId1" w:history="1">
        <w:r w:rsidRPr="00325FA3">
          <w:rPr>
            <w:rStyle w:val="Hyperlink"/>
          </w:rPr>
          <w:t>https://www.homeaffairs.gov.au/nat-security/files/review-australia-ct-machinery.pdf</w:t>
        </w:r>
      </w:hyperlink>
    </w:p>
  </w:footnote>
  <w:footnote w:id="5">
    <w:p w14:paraId="20F4C96C" w14:textId="6971053C" w:rsidR="00F52ABA" w:rsidRDefault="00F52ABA">
      <w:pPr>
        <w:pStyle w:val="FootnoteText"/>
      </w:pPr>
      <w:r>
        <w:rPr>
          <w:rStyle w:val="FootnoteReference"/>
        </w:rPr>
        <w:footnoteRef/>
      </w:r>
      <w:r>
        <w:t xml:space="preserve"> </w:t>
      </w:r>
      <w:hyperlink r:id="rId2" w:history="1">
        <w:r w:rsidRPr="006E214A">
          <w:rPr>
            <w:rStyle w:val="Hyperlink"/>
          </w:rPr>
          <w:t>https://www.legislation.gov.au/Details/C2019A00038</w:t>
        </w:r>
      </w:hyperlink>
      <w:r>
        <w:t>.</w:t>
      </w:r>
    </w:p>
  </w:footnote>
  <w:footnote w:id="6">
    <w:p w14:paraId="07BCA098" w14:textId="24CC31B0" w:rsidR="00F52ABA" w:rsidRDefault="00F52ABA">
      <w:pPr>
        <w:pStyle w:val="FootnoteText"/>
      </w:pPr>
      <w:r>
        <w:rPr>
          <w:rStyle w:val="FootnoteReference"/>
        </w:rPr>
        <w:footnoteRef/>
      </w:r>
      <w:r>
        <w:t xml:space="preserve"> Section 19 of the BSA provides that the ACMA may determine additional criteria or clarify existing criteria for the purposes of distinguishing between categories of broadcasting services.</w:t>
      </w:r>
    </w:p>
  </w:footnote>
  <w:footnote w:id="7">
    <w:p w14:paraId="37B8B772" w14:textId="0140EB1C" w:rsidR="00F52ABA" w:rsidRDefault="00F52ABA" w:rsidP="009C0F44">
      <w:pPr>
        <w:pStyle w:val="FootnoteText"/>
      </w:pPr>
      <w:r w:rsidRPr="00606508">
        <w:rPr>
          <w:rStyle w:val="FootnoteReference"/>
        </w:rPr>
        <w:footnoteRef/>
      </w:r>
      <w:r w:rsidRPr="00606508">
        <w:t xml:space="preserve"> </w:t>
      </w:r>
      <w:r w:rsidRPr="00A21323">
        <w:rPr>
          <w:rFonts w:cs="Arial"/>
        </w:rPr>
        <w:t xml:space="preserve">Historically, </w:t>
      </w:r>
      <w:r>
        <w:rPr>
          <w:rFonts w:cs="Arial"/>
        </w:rPr>
        <w:t xml:space="preserve">the </w:t>
      </w:r>
      <w:r w:rsidRPr="00A21323">
        <w:rPr>
          <w:rFonts w:cs="Arial"/>
        </w:rPr>
        <w:t>A</w:t>
      </w:r>
      <w:r>
        <w:rPr>
          <w:rFonts w:cs="Arial"/>
        </w:rPr>
        <w:t xml:space="preserve">ustralian </w:t>
      </w:r>
      <w:r w:rsidRPr="00A21323">
        <w:rPr>
          <w:rFonts w:cs="Arial"/>
        </w:rPr>
        <w:t>S</w:t>
      </w:r>
      <w:r>
        <w:rPr>
          <w:rFonts w:cs="Arial"/>
        </w:rPr>
        <w:t xml:space="preserve">ubscription </w:t>
      </w:r>
      <w:r w:rsidRPr="00A21323">
        <w:rPr>
          <w:rFonts w:cs="Arial"/>
        </w:rPr>
        <w:t>T</w:t>
      </w:r>
      <w:r>
        <w:rPr>
          <w:rFonts w:cs="Arial"/>
        </w:rPr>
        <w:t xml:space="preserve">elevision and </w:t>
      </w:r>
      <w:r w:rsidRPr="00A21323">
        <w:rPr>
          <w:rFonts w:cs="Arial"/>
        </w:rPr>
        <w:t>R</w:t>
      </w:r>
      <w:r>
        <w:rPr>
          <w:rFonts w:cs="Arial"/>
        </w:rPr>
        <w:t xml:space="preserve">adio </w:t>
      </w:r>
      <w:r w:rsidRPr="00A21323">
        <w:rPr>
          <w:rFonts w:cs="Arial"/>
        </w:rPr>
        <w:t>A</w:t>
      </w:r>
      <w:r>
        <w:rPr>
          <w:rFonts w:cs="Arial"/>
        </w:rPr>
        <w:t>ssociation (ASTRA)</w:t>
      </w:r>
      <w:r w:rsidRPr="00A21323">
        <w:rPr>
          <w:rFonts w:cs="Arial"/>
        </w:rPr>
        <w:t xml:space="preserve"> represent</w:t>
      </w:r>
      <w:r>
        <w:rPr>
          <w:rFonts w:cs="Arial"/>
        </w:rPr>
        <w:t>ed</w:t>
      </w:r>
      <w:r w:rsidRPr="00A21323">
        <w:rPr>
          <w:rFonts w:cs="Arial"/>
        </w:rPr>
        <w:t xml:space="preserve"> open narrowcast television services. </w:t>
      </w:r>
      <w:r>
        <w:rPr>
          <w:rFonts w:cs="Arial"/>
        </w:rPr>
        <w:t xml:space="preserve">Since 2012, noting that it was not aware of any of its members providing open narrowcasting services, ASTRA indicated that it would no longer be an appropriate representative body but would continue to represent </w:t>
      </w:r>
      <w:r w:rsidRPr="00EB44E6">
        <w:rPr>
          <w:rFonts w:cs="Arial"/>
        </w:rPr>
        <w:t>subscription television narrowcasters</w:t>
      </w:r>
      <w:r w:rsidRPr="00EB44E6" w:rsidDel="00592C6C">
        <w:rPr>
          <w:rFonts w:cs="Arial"/>
        </w:rPr>
        <w:t>.</w:t>
      </w:r>
    </w:p>
  </w:footnote>
  <w:footnote w:id="8">
    <w:p w14:paraId="0480455D" w14:textId="77777777" w:rsidR="00F52ABA" w:rsidRDefault="00F52ABA" w:rsidP="009C0F44">
      <w:pPr>
        <w:pStyle w:val="FootnoteText"/>
      </w:pPr>
      <w:r>
        <w:rPr>
          <w:rStyle w:val="FootnoteReference"/>
        </w:rPr>
        <w:footnoteRef/>
      </w:r>
      <w:r>
        <w:t xml:space="preserve"> For example, </w:t>
      </w:r>
      <w:r w:rsidRPr="00344BE8">
        <w:t>terrorism-related offences in the Criminal Code and incitement to racial offences in section 20D of the</w:t>
      </w:r>
      <w:r>
        <w:t xml:space="preserve"> </w:t>
      </w:r>
      <w:r w:rsidRPr="00344BE8">
        <w:rPr>
          <w:i/>
          <w:iCs/>
        </w:rPr>
        <w:t>Anti-Discrimination Act 1977</w:t>
      </w:r>
      <w:r>
        <w:rPr>
          <w:i/>
          <w:iCs/>
        </w:rPr>
        <w:t xml:space="preserve"> </w:t>
      </w:r>
      <w:r>
        <w:t>(NSW).</w:t>
      </w:r>
    </w:p>
  </w:footnote>
  <w:footnote w:id="9">
    <w:p w14:paraId="47F1B443" w14:textId="19BEB820" w:rsidR="00F52ABA" w:rsidRPr="009B21D5" w:rsidRDefault="00F52ABA" w:rsidP="009C0F44">
      <w:pPr>
        <w:pStyle w:val="FootnoteText"/>
      </w:pPr>
      <w:r>
        <w:rPr>
          <w:rStyle w:val="FootnoteReference"/>
        </w:rPr>
        <w:footnoteRef/>
      </w:r>
      <w:r>
        <w:t xml:space="preserve"> Subsection 139(6) of the </w:t>
      </w:r>
      <w:r>
        <w:rPr>
          <w:i/>
          <w:iCs/>
        </w:rPr>
        <w:t xml:space="preserve">Broadcasting Services Act 1992 </w:t>
      </w:r>
      <w:r>
        <w:t>(Cth).</w:t>
      </w:r>
    </w:p>
  </w:footnote>
  <w:footnote w:id="10">
    <w:p w14:paraId="2BC1ED4B" w14:textId="4CE226EB" w:rsidR="00F52ABA" w:rsidRPr="009B21D5" w:rsidRDefault="00F52ABA" w:rsidP="00E75B0E">
      <w:pPr>
        <w:pStyle w:val="FootnoteText"/>
      </w:pPr>
      <w:r>
        <w:rPr>
          <w:rStyle w:val="FootnoteReference"/>
        </w:rPr>
        <w:footnoteRef/>
      </w:r>
      <w:r>
        <w:t xml:space="preserve"> Subsection 139(6) of the </w:t>
      </w:r>
      <w:r>
        <w:rPr>
          <w:i/>
          <w:iCs/>
        </w:rPr>
        <w:t xml:space="preserve">Broadcasting Services Act 1992 </w:t>
      </w:r>
      <w:r>
        <w:t>(Cth)</w:t>
      </w:r>
    </w:p>
  </w:footnote>
  <w:footnote w:id="11">
    <w:p w14:paraId="37EECBBE" w14:textId="32884E2A" w:rsidR="00F52ABA" w:rsidRDefault="00F52ABA">
      <w:pPr>
        <w:pStyle w:val="FootnoteText"/>
      </w:pPr>
      <w:r>
        <w:rPr>
          <w:rStyle w:val="FootnoteReference"/>
        </w:rPr>
        <w:footnoteRef/>
      </w:r>
      <w:r>
        <w:t xml:space="preserve"> </w:t>
      </w:r>
      <w:r w:rsidRPr="00113C8C">
        <w:rPr>
          <w:rFonts w:cs="Arial"/>
        </w:rPr>
        <w:t>The current ASTRA code review proposes to combine the currently separate subscription broadcast television and subscription narrowcast television codes of practice but otherwise has not flagged incorporating stricter provisions relating to terrorism and other seriously harmful material.</w:t>
      </w:r>
    </w:p>
  </w:footnote>
  <w:footnote w:id="12">
    <w:p w14:paraId="4CE99529" w14:textId="10EC5676" w:rsidR="00F52ABA" w:rsidRDefault="00F52ABA" w:rsidP="00690ACD">
      <w:pPr>
        <w:pStyle w:val="FootnoteText"/>
      </w:pPr>
      <w:r>
        <w:rPr>
          <w:rStyle w:val="FootnoteReference"/>
        </w:rPr>
        <w:footnoteRef/>
      </w:r>
      <w:r>
        <w:t xml:space="preserve"> </w:t>
      </w:r>
      <w:hyperlink r:id="rId3" w:history="1">
        <w:r w:rsidRPr="00381934">
          <w:rPr>
            <w:rStyle w:val="Hyperlink"/>
          </w:rPr>
          <w:t>https://www.asio.gov.au/publications/speeches-and-statements/director-general-annual-threat-assessment-0.html</w:t>
        </w:r>
      </w:hyperlink>
      <w:r w:rsidRPr="00ED637A">
        <w:rPr>
          <w:rStyle w:val="Hyperlink"/>
          <w:color w:val="auto"/>
          <w:u w:val="none"/>
        </w:rPr>
        <w:t>.</w:t>
      </w:r>
    </w:p>
  </w:footnote>
  <w:footnote w:id="13">
    <w:p w14:paraId="2F725CB3" w14:textId="55BDA164" w:rsidR="00F52ABA" w:rsidRDefault="00F52ABA">
      <w:pPr>
        <w:pStyle w:val="FootnoteText"/>
      </w:pPr>
      <w:r>
        <w:rPr>
          <w:rStyle w:val="FootnoteReference"/>
        </w:rPr>
        <w:footnoteRef/>
      </w:r>
      <w:r>
        <w:t xml:space="preserve"> </w:t>
      </w:r>
      <w:hyperlink r:id="rId4" w:history="1">
        <w:r w:rsidRPr="005F112A">
          <w:rPr>
            <w:rStyle w:val="Hyperlink"/>
          </w:rPr>
          <w:t>https://www.asio.gov.au/publications/speeches-and-statements/director-generals-annual-threat-assessment-2021.html</w:t>
        </w:r>
      </w:hyperlink>
      <w:r>
        <w:t>.</w:t>
      </w:r>
    </w:p>
  </w:footnote>
  <w:footnote w:id="14">
    <w:p w14:paraId="10CED0B1" w14:textId="66E55FD4" w:rsidR="00F52ABA" w:rsidRDefault="00F52ABA">
      <w:pPr>
        <w:pStyle w:val="FootnoteText"/>
      </w:pPr>
      <w:r>
        <w:rPr>
          <w:rStyle w:val="FootnoteReference"/>
        </w:rPr>
        <w:footnoteRef/>
      </w:r>
      <w:r>
        <w:t xml:space="preserve"> The ACMA’s submission to the PJCIS inquiry,  </w:t>
      </w:r>
      <w:hyperlink r:id="rId5" w:history="1">
        <w:r w:rsidRPr="00E41292">
          <w:rPr>
            <w:rStyle w:val="Hyperlink"/>
          </w:rPr>
          <w:t>https://www.aph.gov.au/DocumentStore.ashx?id=dd559e49-539b-4df2-8e04-2019076107f6&amp;subId=702965</w:t>
        </w:r>
      </w:hyperlink>
      <w:r>
        <w:t xml:space="preserve"> </w:t>
      </w:r>
    </w:p>
  </w:footnote>
  <w:footnote w:id="15">
    <w:p w14:paraId="644152F9" w14:textId="089A3471" w:rsidR="00F52ABA" w:rsidRDefault="00F52ABA" w:rsidP="00B87F12">
      <w:pPr>
        <w:pStyle w:val="FootnoteText"/>
      </w:pPr>
      <w:r>
        <w:rPr>
          <w:rStyle w:val="FootnoteReference"/>
        </w:rPr>
        <w:footnoteRef/>
      </w:r>
      <w:r>
        <w:t xml:space="preserve"> ACMA investigation into coverage of the Christchurch terrorist attack, 22 July 2019, </w:t>
      </w:r>
      <w:hyperlink r:id="rId6" w:history="1">
        <w:r w:rsidRPr="005F112A">
          <w:rPr>
            <w:rStyle w:val="Hyperlink"/>
          </w:rPr>
          <w:t>https://www.acma.gov.au/publications/2019-09/report/acma-investigation-coverage-christchurch-terrorist-attack</w:t>
        </w:r>
      </w:hyperlink>
      <w:r>
        <w:t>.</w:t>
      </w:r>
    </w:p>
  </w:footnote>
  <w:footnote w:id="16">
    <w:p w14:paraId="334F28C2" w14:textId="77777777" w:rsidR="00F52ABA" w:rsidRDefault="00F52ABA" w:rsidP="005D5BFA">
      <w:pPr>
        <w:pStyle w:val="FootnoteText"/>
      </w:pPr>
      <w:r>
        <w:rPr>
          <w:rStyle w:val="FootnoteReference"/>
        </w:rPr>
        <w:footnoteRef/>
      </w:r>
      <w:r>
        <w:t xml:space="preserve"> These include apparatus licence holders in the </w:t>
      </w:r>
      <w:r w:rsidRPr="00FE7787">
        <w:rPr>
          <w:rFonts w:eastAsia="Calibri"/>
        </w:rPr>
        <w:t>Snowy Mountains, remote WA and remote NT</w:t>
      </w:r>
      <w:r>
        <w:rPr>
          <w:rFonts w:eastAsia="Calibri"/>
        </w:rPr>
        <w:t xml:space="preserve"> areas</w:t>
      </w:r>
      <w: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C3595B" w14:textId="774AD322" w:rsidR="00F52ABA" w:rsidRDefault="00F52ABA" w:rsidP="00A5474E">
    <w:pPr>
      <w:pStyle w:val="Header"/>
    </w:pPr>
    <w:r>
      <w:rPr>
        <w:noProof/>
      </w:rPr>
      <w:drawing>
        <wp:inline distT="0" distB="0" distL="0" distR="0" wp14:anchorId="13D33326" wp14:editId="0A943A19">
          <wp:extent cx="6210298" cy="571134"/>
          <wp:effectExtent l="0" t="0" r="0" b="0"/>
          <wp:docPr id="2" name="Picture 2"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210298" cy="571134"/>
                  </a:xfrm>
                  <a:prstGeom prst="rect">
                    <a:avLst/>
                  </a:prstGeom>
                </pic:spPr>
              </pic:pic>
            </a:graphicData>
          </a:graphic>
        </wp:inline>
      </w:drawing>
    </w:r>
  </w:p>
  <w:p w14:paraId="1BB3CE11" w14:textId="5BF51FEA" w:rsidR="00F52ABA" w:rsidRDefault="00F52ABA" w:rsidP="00A5474E">
    <w:pPr>
      <w:pStyle w:val="Header"/>
    </w:pPr>
  </w:p>
  <w:p w14:paraId="65D6479F" w14:textId="3EE9F64C" w:rsidR="00F52ABA" w:rsidRPr="00994341" w:rsidRDefault="00F52ABA" w:rsidP="00994341">
    <w:pPr>
      <w:pStyle w:val="Header"/>
      <w:jc w:val="center"/>
      <w:rPr>
        <w:b/>
        <w:bCs/>
        <w:color w:val="FF0000"/>
        <w:sz w:val="24"/>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A04D08" w14:textId="6CFC3323" w:rsidR="00F52ABA" w:rsidRPr="00A5474E" w:rsidRDefault="00F52ABA"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2EFFAE" w14:textId="712B0607" w:rsidR="00F52ABA" w:rsidRDefault="00F52AB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6BD1E7" w14:textId="1A932EAF" w:rsidR="00F52ABA" w:rsidRDefault="00F52ABA">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4ED96B" w14:textId="0C92A75B" w:rsidR="00F52ABA" w:rsidRDefault="00F52ABA">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F52ABA" w14:paraId="35AABBE3" w14:textId="77777777" w:rsidTr="00C406A1">
      <w:trPr>
        <w:trHeight w:hRule="exact" w:val="988"/>
      </w:trPr>
      <w:tc>
        <w:tcPr>
          <w:tcW w:w="7678" w:type="dxa"/>
          <w:shd w:val="clear" w:color="auto" w:fill="auto"/>
        </w:tcPr>
        <w:p w14:paraId="7A4EA206" w14:textId="77777777" w:rsidR="00F52ABA" w:rsidRDefault="00F52ABA" w:rsidP="00971914">
          <w:pPr>
            <w:pStyle w:val="Header"/>
          </w:pPr>
        </w:p>
      </w:tc>
    </w:tr>
    <w:tr w:rsidR="00F52ABA" w14:paraId="238E0241" w14:textId="77777777" w:rsidTr="00C406A1">
      <w:tc>
        <w:tcPr>
          <w:tcW w:w="7678" w:type="dxa"/>
          <w:shd w:val="clear" w:color="auto" w:fill="auto"/>
        </w:tcPr>
        <w:p w14:paraId="71F6C91B" w14:textId="77777777" w:rsidR="00F52ABA" w:rsidRDefault="00F52ABA" w:rsidP="00971914">
          <w:pPr>
            <w:pStyle w:val="GridTable31"/>
          </w:pPr>
          <w:r>
            <w:t xml:space="preserve">Contents </w:t>
          </w:r>
          <w:r w:rsidRPr="00915B1C">
            <w:rPr>
              <w:b w:val="0"/>
              <w:spacing w:val="0"/>
              <w:sz w:val="28"/>
              <w:szCs w:val="28"/>
            </w:rPr>
            <w:t>(Continued)</w:t>
          </w:r>
        </w:p>
      </w:tc>
    </w:tr>
    <w:tr w:rsidR="00F52ABA" w14:paraId="07026284" w14:textId="77777777" w:rsidTr="00C406A1">
      <w:trPr>
        <w:trHeight w:val="1220"/>
      </w:trPr>
      <w:tc>
        <w:tcPr>
          <w:tcW w:w="7678" w:type="dxa"/>
          <w:shd w:val="clear" w:color="auto" w:fill="auto"/>
        </w:tcPr>
        <w:p w14:paraId="19F92B64" w14:textId="77777777" w:rsidR="00F52ABA" w:rsidRDefault="00F52ABA" w:rsidP="00971914"/>
      </w:tc>
    </w:tr>
  </w:tbl>
  <w:p w14:paraId="018A0480" w14:textId="1B0AD730" w:rsidR="00F52ABA" w:rsidRDefault="00F52ABA" w:rsidP="0097191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F52ABA" w14:paraId="26E8D46D" w14:textId="77777777" w:rsidTr="00C406A1">
      <w:trPr>
        <w:trHeight w:hRule="exact" w:val="988"/>
      </w:trPr>
      <w:tc>
        <w:tcPr>
          <w:tcW w:w="7678" w:type="dxa"/>
          <w:shd w:val="clear" w:color="auto" w:fill="auto"/>
        </w:tcPr>
        <w:p w14:paraId="45FA1AF4" w14:textId="77777777" w:rsidR="00F52ABA" w:rsidRDefault="00F52ABA" w:rsidP="00971914">
          <w:pPr>
            <w:pStyle w:val="Header"/>
          </w:pPr>
        </w:p>
      </w:tc>
    </w:tr>
    <w:tr w:rsidR="00F52ABA" w14:paraId="65A29144" w14:textId="77777777" w:rsidTr="00C406A1">
      <w:tc>
        <w:tcPr>
          <w:tcW w:w="7678" w:type="dxa"/>
          <w:shd w:val="clear" w:color="auto" w:fill="auto"/>
        </w:tcPr>
        <w:p w14:paraId="4D2A2A38" w14:textId="77777777" w:rsidR="00F52ABA" w:rsidRDefault="00F52ABA" w:rsidP="00971914">
          <w:pPr>
            <w:pStyle w:val="GridTable31"/>
          </w:pPr>
          <w:r>
            <w:t xml:space="preserve">Contents </w:t>
          </w:r>
          <w:r w:rsidRPr="00915B1C">
            <w:rPr>
              <w:b w:val="0"/>
              <w:spacing w:val="0"/>
              <w:sz w:val="28"/>
              <w:szCs w:val="28"/>
            </w:rPr>
            <w:t>(Continued)</w:t>
          </w:r>
        </w:p>
      </w:tc>
    </w:tr>
    <w:tr w:rsidR="00F52ABA" w14:paraId="5FD533D9" w14:textId="77777777" w:rsidTr="00C406A1">
      <w:trPr>
        <w:trHeight w:val="1220"/>
      </w:trPr>
      <w:tc>
        <w:tcPr>
          <w:tcW w:w="7678" w:type="dxa"/>
          <w:shd w:val="clear" w:color="auto" w:fill="auto"/>
        </w:tcPr>
        <w:p w14:paraId="28ABBF43" w14:textId="77777777" w:rsidR="00F52ABA" w:rsidRDefault="00F52ABA" w:rsidP="00971914"/>
      </w:tc>
    </w:tr>
  </w:tbl>
  <w:p w14:paraId="1132E2C1" w14:textId="09EDFC78" w:rsidR="00F52ABA" w:rsidRPr="00A5474E" w:rsidRDefault="00F52ABA" w:rsidP="00A5474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583412" w14:textId="1B72B808" w:rsidR="00F52ABA" w:rsidRDefault="00F52AB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2E23D5" w14:textId="089136A2" w:rsidR="00F52ABA" w:rsidRDefault="00F52ABA" w:rsidP="0099434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CF54B2" w14:textId="45E9A1D8" w:rsidR="00F52ABA" w:rsidRDefault="00F52AB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5B518" w14:textId="09FB4BA2" w:rsidR="00F52ABA" w:rsidRDefault="00F52AB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51B60EB2"/>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11366A3"/>
    <w:multiLevelType w:val="hybridMultilevel"/>
    <w:tmpl w:val="F8B86CB8"/>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5" w15:restartNumberingAfterBreak="0">
    <w:nsid w:val="01997E11"/>
    <w:multiLevelType w:val="hybridMultilevel"/>
    <w:tmpl w:val="0EE6DC06"/>
    <w:lvl w:ilvl="0" w:tplc="6C4E4784">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2AF1222"/>
    <w:multiLevelType w:val="hybridMultilevel"/>
    <w:tmpl w:val="BC6E3CCC"/>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0F2352C7"/>
    <w:multiLevelType w:val="hybridMultilevel"/>
    <w:tmpl w:val="AC560BCE"/>
    <w:lvl w:ilvl="0" w:tplc="0C090003">
      <w:start w:val="1"/>
      <w:numFmt w:val="bullet"/>
      <w:lvlText w:val="o"/>
      <w:lvlJc w:val="left"/>
      <w:pPr>
        <w:ind w:left="1080" w:hanging="360"/>
      </w:pPr>
      <w:rPr>
        <w:rFonts w:ascii="Courier New" w:hAnsi="Courier New" w:cs="Courier New" w:hint="default"/>
      </w:rPr>
    </w:lvl>
    <w:lvl w:ilvl="1" w:tplc="0C090003">
      <w:start w:val="1"/>
      <w:numFmt w:val="bullet"/>
      <w:lvlText w:val="o"/>
      <w:lvlJc w:val="left"/>
      <w:pPr>
        <w:ind w:left="1800" w:hanging="360"/>
      </w:pPr>
      <w:rPr>
        <w:rFonts w:ascii="Courier New" w:hAnsi="Courier New" w:cs="Courier New" w:hint="default"/>
      </w:rPr>
    </w:lvl>
    <w:lvl w:ilvl="2" w:tplc="0C090005">
      <w:start w:val="1"/>
      <w:numFmt w:val="bullet"/>
      <w:lvlText w:val=""/>
      <w:lvlJc w:val="left"/>
      <w:pPr>
        <w:ind w:left="2520" w:hanging="360"/>
      </w:pPr>
      <w:rPr>
        <w:rFonts w:ascii="Wingdings" w:hAnsi="Wingdings" w:hint="default"/>
      </w:rPr>
    </w:lvl>
    <w:lvl w:ilvl="3" w:tplc="0C090001">
      <w:start w:val="1"/>
      <w:numFmt w:val="bullet"/>
      <w:lvlText w:val=""/>
      <w:lvlJc w:val="left"/>
      <w:pPr>
        <w:ind w:left="3240" w:hanging="360"/>
      </w:pPr>
      <w:rPr>
        <w:rFonts w:ascii="Symbol" w:hAnsi="Symbol" w:hint="default"/>
      </w:rPr>
    </w:lvl>
    <w:lvl w:ilvl="4" w:tplc="0C090003">
      <w:start w:val="1"/>
      <w:numFmt w:val="bullet"/>
      <w:lvlText w:val="o"/>
      <w:lvlJc w:val="left"/>
      <w:pPr>
        <w:ind w:left="3960" w:hanging="360"/>
      </w:pPr>
      <w:rPr>
        <w:rFonts w:ascii="Courier New" w:hAnsi="Courier New" w:cs="Courier New" w:hint="default"/>
      </w:rPr>
    </w:lvl>
    <w:lvl w:ilvl="5" w:tplc="0C090005">
      <w:start w:val="1"/>
      <w:numFmt w:val="bullet"/>
      <w:lvlText w:val=""/>
      <w:lvlJc w:val="left"/>
      <w:pPr>
        <w:ind w:left="4680" w:hanging="360"/>
      </w:pPr>
      <w:rPr>
        <w:rFonts w:ascii="Wingdings" w:hAnsi="Wingdings" w:hint="default"/>
      </w:rPr>
    </w:lvl>
    <w:lvl w:ilvl="6" w:tplc="0C090001">
      <w:start w:val="1"/>
      <w:numFmt w:val="bullet"/>
      <w:lvlText w:val=""/>
      <w:lvlJc w:val="left"/>
      <w:pPr>
        <w:ind w:left="5400" w:hanging="360"/>
      </w:pPr>
      <w:rPr>
        <w:rFonts w:ascii="Symbol" w:hAnsi="Symbol" w:hint="default"/>
      </w:rPr>
    </w:lvl>
    <w:lvl w:ilvl="7" w:tplc="0C090003">
      <w:start w:val="1"/>
      <w:numFmt w:val="bullet"/>
      <w:lvlText w:val="o"/>
      <w:lvlJc w:val="left"/>
      <w:pPr>
        <w:ind w:left="6120" w:hanging="360"/>
      </w:pPr>
      <w:rPr>
        <w:rFonts w:ascii="Courier New" w:hAnsi="Courier New" w:cs="Courier New" w:hint="default"/>
      </w:rPr>
    </w:lvl>
    <w:lvl w:ilvl="8" w:tplc="0C090005">
      <w:start w:val="1"/>
      <w:numFmt w:val="bullet"/>
      <w:lvlText w:val=""/>
      <w:lvlJc w:val="left"/>
      <w:pPr>
        <w:ind w:left="6840" w:hanging="360"/>
      </w:pPr>
      <w:rPr>
        <w:rFonts w:ascii="Wingdings" w:hAnsi="Wingdings" w:hint="default"/>
      </w:rPr>
    </w:lvl>
  </w:abstractNum>
  <w:abstractNum w:abstractNumId="9" w15:restartNumberingAfterBreak="0">
    <w:nsid w:val="194518B4"/>
    <w:multiLevelType w:val="hybridMultilevel"/>
    <w:tmpl w:val="062C2CC0"/>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197B34D6"/>
    <w:multiLevelType w:val="multilevel"/>
    <w:tmpl w:val="591268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1E061017"/>
    <w:multiLevelType w:val="hybridMultilevel"/>
    <w:tmpl w:val="312E341E"/>
    <w:lvl w:ilvl="0" w:tplc="65B68B4A">
      <w:start w:val="1"/>
      <w:numFmt w:val="bullet"/>
      <w:lvlText w:val="&gt;"/>
      <w:lvlJc w:val="left"/>
      <w:pPr>
        <w:ind w:left="360" w:hanging="360"/>
      </w:pPr>
      <w:rPr>
        <w:rFonts w:ascii="Calibri" w:hAnsi="Calibri"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2" w15:restartNumberingAfterBreak="0">
    <w:nsid w:val="216F5557"/>
    <w:multiLevelType w:val="hybridMultilevel"/>
    <w:tmpl w:val="3FF0241C"/>
    <w:lvl w:ilvl="0" w:tplc="0C090001">
      <w:start w:val="1"/>
      <w:numFmt w:val="bullet"/>
      <w:lvlText w:val=""/>
      <w:lvlJc w:val="left"/>
      <w:pPr>
        <w:ind w:left="1080" w:hanging="360"/>
      </w:pPr>
      <w:rPr>
        <w:rFonts w:ascii="Symbol" w:hAnsi="Symbol" w:hint="default"/>
      </w:rPr>
    </w:lvl>
    <w:lvl w:ilvl="1" w:tplc="0C090003">
      <w:start w:val="1"/>
      <w:numFmt w:val="decimal"/>
      <w:lvlText w:val="%2."/>
      <w:lvlJc w:val="left"/>
      <w:pPr>
        <w:tabs>
          <w:tab w:val="num" w:pos="1800"/>
        </w:tabs>
        <w:ind w:left="1800" w:hanging="360"/>
      </w:pPr>
    </w:lvl>
    <w:lvl w:ilvl="2" w:tplc="0C090005">
      <w:start w:val="1"/>
      <w:numFmt w:val="decimal"/>
      <w:lvlText w:val="%3."/>
      <w:lvlJc w:val="left"/>
      <w:pPr>
        <w:tabs>
          <w:tab w:val="num" w:pos="2520"/>
        </w:tabs>
        <w:ind w:left="2520" w:hanging="360"/>
      </w:pPr>
    </w:lvl>
    <w:lvl w:ilvl="3" w:tplc="0C090001">
      <w:start w:val="1"/>
      <w:numFmt w:val="decimal"/>
      <w:lvlText w:val="%4."/>
      <w:lvlJc w:val="left"/>
      <w:pPr>
        <w:tabs>
          <w:tab w:val="num" w:pos="3240"/>
        </w:tabs>
        <w:ind w:left="3240" w:hanging="360"/>
      </w:pPr>
    </w:lvl>
    <w:lvl w:ilvl="4" w:tplc="0C090003">
      <w:start w:val="1"/>
      <w:numFmt w:val="decimal"/>
      <w:lvlText w:val="%5."/>
      <w:lvlJc w:val="left"/>
      <w:pPr>
        <w:tabs>
          <w:tab w:val="num" w:pos="3960"/>
        </w:tabs>
        <w:ind w:left="3960" w:hanging="360"/>
      </w:pPr>
    </w:lvl>
    <w:lvl w:ilvl="5" w:tplc="0C090005">
      <w:start w:val="1"/>
      <w:numFmt w:val="decimal"/>
      <w:lvlText w:val="%6."/>
      <w:lvlJc w:val="left"/>
      <w:pPr>
        <w:tabs>
          <w:tab w:val="num" w:pos="4680"/>
        </w:tabs>
        <w:ind w:left="4680" w:hanging="360"/>
      </w:pPr>
    </w:lvl>
    <w:lvl w:ilvl="6" w:tplc="0C090001">
      <w:start w:val="1"/>
      <w:numFmt w:val="decimal"/>
      <w:lvlText w:val="%7."/>
      <w:lvlJc w:val="left"/>
      <w:pPr>
        <w:tabs>
          <w:tab w:val="num" w:pos="5400"/>
        </w:tabs>
        <w:ind w:left="5400" w:hanging="360"/>
      </w:pPr>
    </w:lvl>
    <w:lvl w:ilvl="7" w:tplc="0C090003">
      <w:start w:val="1"/>
      <w:numFmt w:val="decimal"/>
      <w:lvlText w:val="%8."/>
      <w:lvlJc w:val="left"/>
      <w:pPr>
        <w:tabs>
          <w:tab w:val="num" w:pos="6120"/>
        </w:tabs>
        <w:ind w:left="6120" w:hanging="360"/>
      </w:pPr>
    </w:lvl>
    <w:lvl w:ilvl="8" w:tplc="0C090005">
      <w:start w:val="1"/>
      <w:numFmt w:val="decimal"/>
      <w:lvlText w:val="%9."/>
      <w:lvlJc w:val="left"/>
      <w:pPr>
        <w:tabs>
          <w:tab w:val="num" w:pos="6840"/>
        </w:tabs>
        <w:ind w:left="6840" w:hanging="360"/>
      </w:pPr>
    </w:lvl>
  </w:abstractNum>
  <w:abstractNum w:abstractNumId="13" w15:restartNumberingAfterBreak="0">
    <w:nsid w:val="281D1869"/>
    <w:multiLevelType w:val="hybridMultilevel"/>
    <w:tmpl w:val="44CCDBB4"/>
    <w:lvl w:ilvl="0" w:tplc="B4DE576E">
      <w:start w:val="1"/>
      <w:numFmt w:val="decimal"/>
      <w:pStyle w:val="ACMANumberedList"/>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5" w15:restartNumberingAfterBreak="0">
    <w:nsid w:val="2F5A5080"/>
    <w:multiLevelType w:val="hybridMultilevel"/>
    <w:tmpl w:val="BE2AF6CE"/>
    <w:lvl w:ilvl="0" w:tplc="D05E2434">
      <w:start w:val="1"/>
      <w:numFmt w:val="bullet"/>
      <w:pStyle w:val="ACMABulletLevel1"/>
      <w:lvlText w:val="●"/>
      <w:lvlJc w:val="left"/>
      <w:pPr>
        <w:ind w:left="357" w:hanging="357"/>
      </w:pPr>
      <w:rPr>
        <w:rFonts w:ascii="Arial" w:hAnsi="Arial" w:cs="Arial" w:hint="default"/>
        <w:sz w:val="20"/>
        <w:szCs w:val="20"/>
      </w:rPr>
    </w:lvl>
    <w:lvl w:ilvl="1" w:tplc="04090003">
      <w:start w:val="1"/>
      <w:numFmt w:val="bullet"/>
      <w:lvlText w:val="o"/>
      <w:lvlJc w:val="left"/>
      <w:pPr>
        <w:tabs>
          <w:tab w:val="num" w:pos="1728"/>
        </w:tabs>
        <w:ind w:left="1728" w:hanging="360"/>
      </w:pPr>
      <w:rPr>
        <w:rFonts w:ascii="Courier New" w:hAnsi="Courier New" w:cs="Times New Roman" w:hint="default"/>
      </w:rPr>
    </w:lvl>
    <w:lvl w:ilvl="2" w:tplc="04090005">
      <w:start w:val="1"/>
      <w:numFmt w:val="bullet"/>
      <w:lvlText w:val=""/>
      <w:lvlJc w:val="left"/>
      <w:pPr>
        <w:tabs>
          <w:tab w:val="num" w:pos="2448"/>
        </w:tabs>
        <w:ind w:left="2448" w:hanging="360"/>
      </w:pPr>
      <w:rPr>
        <w:rFonts w:ascii="Wingdings" w:hAnsi="Wingdings" w:hint="default"/>
      </w:rPr>
    </w:lvl>
    <w:lvl w:ilvl="3" w:tplc="04090001">
      <w:start w:val="1"/>
      <w:numFmt w:val="bullet"/>
      <w:lvlText w:val=""/>
      <w:lvlJc w:val="left"/>
      <w:pPr>
        <w:tabs>
          <w:tab w:val="num" w:pos="3168"/>
        </w:tabs>
        <w:ind w:left="3168" w:hanging="360"/>
      </w:pPr>
      <w:rPr>
        <w:rFonts w:ascii="Symbol" w:hAnsi="Symbol" w:hint="default"/>
      </w:rPr>
    </w:lvl>
    <w:lvl w:ilvl="4" w:tplc="04090003">
      <w:start w:val="1"/>
      <w:numFmt w:val="bullet"/>
      <w:lvlText w:val="o"/>
      <w:lvlJc w:val="left"/>
      <w:pPr>
        <w:tabs>
          <w:tab w:val="num" w:pos="3888"/>
        </w:tabs>
        <w:ind w:left="3888" w:hanging="360"/>
      </w:pPr>
      <w:rPr>
        <w:rFonts w:ascii="Courier New" w:hAnsi="Courier New" w:cs="Times New Roman" w:hint="default"/>
      </w:rPr>
    </w:lvl>
    <w:lvl w:ilvl="5" w:tplc="04090005">
      <w:start w:val="1"/>
      <w:numFmt w:val="bullet"/>
      <w:lvlText w:val=""/>
      <w:lvlJc w:val="left"/>
      <w:pPr>
        <w:tabs>
          <w:tab w:val="num" w:pos="4608"/>
        </w:tabs>
        <w:ind w:left="4608" w:hanging="360"/>
      </w:pPr>
      <w:rPr>
        <w:rFonts w:ascii="Wingdings" w:hAnsi="Wingdings" w:hint="default"/>
      </w:rPr>
    </w:lvl>
    <w:lvl w:ilvl="6" w:tplc="04090001">
      <w:start w:val="1"/>
      <w:numFmt w:val="bullet"/>
      <w:lvlText w:val=""/>
      <w:lvlJc w:val="left"/>
      <w:pPr>
        <w:tabs>
          <w:tab w:val="num" w:pos="5328"/>
        </w:tabs>
        <w:ind w:left="5328" w:hanging="360"/>
      </w:pPr>
      <w:rPr>
        <w:rFonts w:ascii="Symbol" w:hAnsi="Symbol" w:hint="default"/>
      </w:rPr>
    </w:lvl>
    <w:lvl w:ilvl="7" w:tplc="04090003">
      <w:start w:val="1"/>
      <w:numFmt w:val="bullet"/>
      <w:lvlText w:val="o"/>
      <w:lvlJc w:val="left"/>
      <w:pPr>
        <w:tabs>
          <w:tab w:val="num" w:pos="6048"/>
        </w:tabs>
        <w:ind w:left="6048" w:hanging="360"/>
      </w:pPr>
      <w:rPr>
        <w:rFonts w:ascii="Courier New" w:hAnsi="Courier New" w:cs="Times New Roman" w:hint="default"/>
      </w:rPr>
    </w:lvl>
    <w:lvl w:ilvl="8" w:tplc="04090005">
      <w:start w:val="1"/>
      <w:numFmt w:val="bullet"/>
      <w:lvlText w:val=""/>
      <w:lvlJc w:val="left"/>
      <w:pPr>
        <w:tabs>
          <w:tab w:val="num" w:pos="6768"/>
        </w:tabs>
        <w:ind w:left="6768" w:hanging="360"/>
      </w:pPr>
      <w:rPr>
        <w:rFonts w:ascii="Wingdings" w:hAnsi="Wingdings" w:hint="default"/>
      </w:rPr>
    </w:lvl>
  </w:abstractNum>
  <w:abstractNum w:abstractNumId="16" w15:restartNumberingAfterBreak="0">
    <w:nsid w:val="33A167A3"/>
    <w:multiLevelType w:val="hybridMultilevel"/>
    <w:tmpl w:val="F6E8D6F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36B45E0A"/>
    <w:multiLevelType w:val="hybridMultilevel"/>
    <w:tmpl w:val="A77829C8"/>
    <w:lvl w:ilvl="0" w:tplc="FD2647AA">
      <w:start w:val="1"/>
      <w:numFmt w:val="bullet"/>
      <w:lvlText w:val=""/>
      <w:lvlJc w:val="left"/>
      <w:pPr>
        <w:tabs>
          <w:tab w:val="num" w:pos="1441"/>
        </w:tabs>
        <w:ind w:left="1441" w:hanging="901"/>
      </w:pPr>
      <w:rPr>
        <w:rFonts w:ascii="Symbol" w:hAnsi="Symbol" w:hint="default"/>
      </w:rPr>
    </w:lvl>
    <w:lvl w:ilvl="1" w:tplc="0C090003">
      <w:start w:val="1"/>
      <w:numFmt w:val="bullet"/>
      <w:lvlText w:val="o"/>
      <w:lvlJc w:val="left"/>
      <w:pPr>
        <w:tabs>
          <w:tab w:val="num" w:pos="2161"/>
        </w:tabs>
        <w:ind w:left="2161" w:hanging="360"/>
      </w:pPr>
      <w:rPr>
        <w:rFonts w:ascii="Courier New" w:hAnsi="Courier New" w:cs="Courier New" w:hint="default"/>
      </w:rPr>
    </w:lvl>
    <w:lvl w:ilvl="2" w:tplc="0C090005">
      <w:start w:val="1"/>
      <w:numFmt w:val="bullet"/>
      <w:lvlText w:val=""/>
      <w:lvlJc w:val="left"/>
      <w:pPr>
        <w:tabs>
          <w:tab w:val="num" w:pos="2881"/>
        </w:tabs>
        <w:ind w:left="2881" w:hanging="360"/>
      </w:pPr>
      <w:rPr>
        <w:rFonts w:ascii="Wingdings" w:hAnsi="Wingdings" w:hint="default"/>
      </w:rPr>
    </w:lvl>
    <w:lvl w:ilvl="3" w:tplc="0C090001">
      <w:start w:val="1"/>
      <w:numFmt w:val="bullet"/>
      <w:lvlText w:val=""/>
      <w:lvlJc w:val="left"/>
      <w:pPr>
        <w:tabs>
          <w:tab w:val="num" w:pos="3601"/>
        </w:tabs>
        <w:ind w:left="3601" w:hanging="360"/>
      </w:pPr>
      <w:rPr>
        <w:rFonts w:ascii="Symbol" w:hAnsi="Symbol" w:hint="default"/>
      </w:rPr>
    </w:lvl>
    <w:lvl w:ilvl="4" w:tplc="0C090003">
      <w:start w:val="1"/>
      <w:numFmt w:val="bullet"/>
      <w:lvlText w:val="o"/>
      <w:lvlJc w:val="left"/>
      <w:pPr>
        <w:tabs>
          <w:tab w:val="num" w:pos="4321"/>
        </w:tabs>
        <w:ind w:left="4321" w:hanging="360"/>
      </w:pPr>
      <w:rPr>
        <w:rFonts w:ascii="Courier New" w:hAnsi="Courier New" w:cs="Courier New" w:hint="default"/>
      </w:rPr>
    </w:lvl>
    <w:lvl w:ilvl="5" w:tplc="0C090005">
      <w:start w:val="1"/>
      <w:numFmt w:val="bullet"/>
      <w:lvlText w:val=""/>
      <w:lvlJc w:val="left"/>
      <w:pPr>
        <w:tabs>
          <w:tab w:val="num" w:pos="5041"/>
        </w:tabs>
        <w:ind w:left="5041" w:hanging="360"/>
      </w:pPr>
      <w:rPr>
        <w:rFonts w:ascii="Wingdings" w:hAnsi="Wingdings" w:hint="default"/>
      </w:rPr>
    </w:lvl>
    <w:lvl w:ilvl="6" w:tplc="0C090001">
      <w:start w:val="1"/>
      <w:numFmt w:val="bullet"/>
      <w:lvlText w:val=""/>
      <w:lvlJc w:val="left"/>
      <w:pPr>
        <w:tabs>
          <w:tab w:val="num" w:pos="5761"/>
        </w:tabs>
        <w:ind w:left="5761" w:hanging="360"/>
      </w:pPr>
      <w:rPr>
        <w:rFonts w:ascii="Symbol" w:hAnsi="Symbol" w:hint="default"/>
      </w:rPr>
    </w:lvl>
    <w:lvl w:ilvl="7" w:tplc="0C090003">
      <w:start w:val="1"/>
      <w:numFmt w:val="bullet"/>
      <w:lvlText w:val="o"/>
      <w:lvlJc w:val="left"/>
      <w:pPr>
        <w:tabs>
          <w:tab w:val="num" w:pos="6481"/>
        </w:tabs>
        <w:ind w:left="6481" w:hanging="360"/>
      </w:pPr>
      <w:rPr>
        <w:rFonts w:ascii="Courier New" w:hAnsi="Courier New" w:cs="Courier New" w:hint="default"/>
      </w:rPr>
    </w:lvl>
    <w:lvl w:ilvl="8" w:tplc="0C090005">
      <w:start w:val="1"/>
      <w:numFmt w:val="bullet"/>
      <w:lvlText w:val=""/>
      <w:lvlJc w:val="left"/>
      <w:pPr>
        <w:tabs>
          <w:tab w:val="num" w:pos="7201"/>
        </w:tabs>
        <w:ind w:left="7201" w:hanging="360"/>
      </w:pPr>
      <w:rPr>
        <w:rFonts w:ascii="Wingdings" w:hAnsi="Wingdings" w:hint="default"/>
      </w:rPr>
    </w:lvl>
  </w:abstractNum>
  <w:abstractNum w:abstractNumId="18" w15:restartNumberingAfterBreak="0">
    <w:nsid w:val="3B487807"/>
    <w:multiLevelType w:val="hybridMultilevel"/>
    <w:tmpl w:val="0DF4A7F4"/>
    <w:lvl w:ilvl="0" w:tplc="0C090003">
      <w:start w:val="1"/>
      <w:numFmt w:val="bullet"/>
      <w:lvlText w:val="o"/>
      <w:lvlJc w:val="left"/>
      <w:pPr>
        <w:ind w:left="1077" w:hanging="360"/>
      </w:pPr>
      <w:rPr>
        <w:rFonts w:ascii="Courier New" w:hAnsi="Courier New" w:cs="Courier New" w:hint="default"/>
      </w:rPr>
    </w:lvl>
    <w:lvl w:ilvl="1" w:tplc="0C090003">
      <w:start w:val="1"/>
      <w:numFmt w:val="bullet"/>
      <w:lvlText w:val="o"/>
      <w:lvlJc w:val="left"/>
      <w:pPr>
        <w:ind w:left="1797" w:hanging="360"/>
      </w:pPr>
      <w:rPr>
        <w:rFonts w:ascii="Courier New" w:hAnsi="Courier New" w:cs="Courier New" w:hint="default"/>
      </w:rPr>
    </w:lvl>
    <w:lvl w:ilvl="2" w:tplc="0C090005">
      <w:start w:val="1"/>
      <w:numFmt w:val="bullet"/>
      <w:lvlText w:val=""/>
      <w:lvlJc w:val="left"/>
      <w:pPr>
        <w:ind w:left="2517" w:hanging="360"/>
      </w:pPr>
      <w:rPr>
        <w:rFonts w:ascii="Wingdings" w:hAnsi="Wingdings" w:hint="default"/>
      </w:rPr>
    </w:lvl>
    <w:lvl w:ilvl="3" w:tplc="0C090001">
      <w:start w:val="1"/>
      <w:numFmt w:val="bullet"/>
      <w:lvlText w:val=""/>
      <w:lvlJc w:val="left"/>
      <w:pPr>
        <w:ind w:left="3237" w:hanging="360"/>
      </w:pPr>
      <w:rPr>
        <w:rFonts w:ascii="Symbol" w:hAnsi="Symbol" w:hint="default"/>
      </w:rPr>
    </w:lvl>
    <w:lvl w:ilvl="4" w:tplc="0C090003">
      <w:start w:val="1"/>
      <w:numFmt w:val="bullet"/>
      <w:lvlText w:val="o"/>
      <w:lvlJc w:val="left"/>
      <w:pPr>
        <w:ind w:left="3957" w:hanging="360"/>
      </w:pPr>
      <w:rPr>
        <w:rFonts w:ascii="Courier New" w:hAnsi="Courier New" w:cs="Courier New" w:hint="default"/>
      </w:rPr>
    </w:lvl>
    <w:lvl w:ilvl="5" w:tplc="0C090005">
      <w:start w:val="1"/>
      <w:numFmt w:val="bullet"/>
      <w:lvlText w:val=""/>
      <w:lvlJc w:val="left"/>
      <w:pPr>
        <w:ind w:left="4677" w:hanging="360"/>
      </w:pPr>
      <w:rPr>
        <w:rFonts w:ascii="Wingdings" w:hAnsi="Wingdings" w:hint="default"/>
      </w:rPr>
    </w:lvl>
    <w:lvl w:ilvl="6" w:tplc="0C090001">
      <w:start w:val="1"/>
      <w:numFmt w:val="bullet"/>
      <w:lvlText w:val=""/>
      <w:lvlJc w:val="left"/>
      <w:pPr>
        <w:ind w:left="5397" w:hanging="360"/>
      </w:pPr>
      <w:rPr>
        <w:rFonts w:ascii="Symbol" w:hAnsi="Symbol" w:hint="default"/>
      </w:rPr>
    </w:lvl>
    <w:lvl w:ilvl="7" w:tplc="0C090003">
      <w:start w:val="1"/>
      <w:numFmt w:val="bullet"/>
      <w:lvlText w:val="o"/>
      <w:lvlJc w:val="left"/>
      <w:pPr>
        <w:ind w:left="6117" w:hanging="360"/>
      </w:pPr>
      <w:rPr>
        <w:rFonts w:ascii="Courier New" w:hAnsi="Courier New" w:cs="Courier New" w:hint="default"/>
      </w:rPr>
    </w:lvl>
    <w:lvl w:ilvl="8" w:tplc="0C090005">
      <w:start w:val="1"/>
      <w:numFmt w:val="bullet"/>
      <w:lvlText w:val=""/>
      <w:lvlJc w:val="left"/>
      <w:pPr>
        <w:ind w:left="6837" w:hanging="360"/>
      </w:pPr>
      <w:rPr>
        <w:rFonts w:ascii="Wingdings" w:hAnsi="Wingdings" w:hint="default"/>
      </w:rPr>
    </w:lvl>
  </w:abstractNum>
  <w:abstractNum w:abstractNumId="19" w15:restartNumberingAfterBreak="0">
    <w:nsid w:val="48162506"/>
    <w:multiLevelType w:val="multilevel"/>
    <w:tmpl w:val="2120210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2F008E2"/>
    <w:multiLevelType w:val="hybridMultilevel"/>
    <w:tmpl w:val="0BB2166C"/>
    <w:lvl w:ilvl="0" w:tplc="ABB0ED9C">
      <w:start w:val="1"/>
      <w:numFmt w:val="bullet"/>
      <w:lvlText w:val="&gt;"/>
      <w:lvlJc w:val="left"/>
      <w:pPr>
        <w:ind w:left="720" w:hanging="360"/>
      </w:pPr>
      <w:rPr>
        <w:rFonts w:ascii="Arial" w:hAnsi="Arial" w:cs="Times New Roman"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1"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5B43230"/>
    <w:multiLevelType w:val="hybridMultilevel"/>
    <w:tmpl w:val="37FAE64E"/>
    <w:lvl w:ilvl="0" w:tplc="0C090001">
      <w:numFmt w:val="decimal"/>
      <w:lvlText w:val=""/>
      <w:lvlJc w:val="left"/>
      <w:pPr>
        <w:tabs>
          <w:tab w:val="num" w:pos="360"/>
        </w:tabs>
        <w:ind w:left="360" w:hanging="360"/>
      </w:pPr>
      <w:rPr>
        <w:rFonts w:ascii="Symbol" w:hAnsi="Symbol" w:hint="default"/>
      </w:rPr>
    </w:lvl>
    <w:lvl w:ilvl="1" w:tplc="0C090003">
      <w:start w:val="1"/>
      <w:numFmt w:val="bullet"/>
      <w:lvlText w:val="o"/>
      <w:lvlJc w:val="left"/>
      <w:pPr>
        <w:tabs>
          <w:tab w:val="num" w:pos="1080"/>
        </w:tabs>
        <w:ind w:left="1080" w:hanging="360"/>
      </w:pPr>
      <w:rPr>
        <w:rFonts w:ascii="Courier New" w:hAnsi="Courier New" w:cs="Courier New" w:hint="default"/>
      </w:rPr>
    </w:lvl>
    <w:lvl w:ilvl="2" w:tplc="0C090005">
      <w:start w:val="1"/>
      <w:numFmt w:val="bullet"/>
      <w:lvlText w:val=""/>
      <w:lvlJc w:val="left"/>
      <w:pPr>
        <w:tabs>
          <w:tab w:val="num" w:pos="1800"/>
        </w:tabs>
        <w:ind w:left="1800" w:hanging="360"/>
      </w:pPr>
      <w:rPr>
        <w:rFonts w:ascii="Wingdings" w:hAnsi="Wingdings" w:hint="default"/>
      </w:rPr>
    </w:lvl>
    <w:lvl w:ilvl="3" w:tplc="0C090001">
      <w:start w:val="1"/>
      <w:numFmt w:val="bullet"/>
      <w:lvlText w:val=""/>
      <w:lvlJc w:val="left"/>
      <w:pPr>
        <w:tabs>
          <w:tab w:val="num" w:pos="2520"/>
        </w:tabs>
        <w:ind w:left="2520" w:hanging="360"/>
      </w:pPr>
      <w:rPr>
        <w:rFonts w:ascii="Symbol" w:hAnsi="Symbol" w:hint="default"/>
      </w:rPr>
    </w:lvl>
    <w:lvl w:ilvl="4" w:tplc="0C090003">
      <w:start w:val="1"/>
      <w:numFmt w:val="bullet"/>
      <w:lvlText w:val="o"/>
      <w:lvlJc w:val="left"/>
      <w:pPr>
        <w:tabs>
          <w:tab w:val="num" w:pos="3240"/>
        </w:tabs>
        <w:ind w:left="3240" w:hanging="360"/>
      </w:pPr>
      <w:rPr>
        <w:rFonts w:ascii="Courier New" w:hAnsi="Courier New" w:cs="Courier New" w:hint="default"/>
      </w:rPr>
    </w:lvl>
    <w:lvl w:ilvl="5" w:tplc="0C090005">
      <w:start w:val="1"/>
      <w:numFmt w:val="bullet"/>
      <w:lvlText w:val=""/>
      <w:lvlJc w:val="left"/>
      <w:pPr>
        <w:tabs>
          <w:tab w:val="num" w:pos="3960"/>
        </w:tabs>
        <w:ind w:left="3960" w:hanging="360"/>
      </w:pPr>
      <w:rPr>
        <w:rFonts w:ascii="Wingdings" w:hAnsi="Wingdings" w:hint="default"/>
      </w:rPr>
    </w:lvl>
    <w:lvl w:ilvl="6" w:tplc="0C090001">
      <w:start w:val="1"/>
      <w:numFmt w:val="bullet"/>
      <w:lvlText w:val=""/>
      <w:lvlJc w:val="left"/>
      <w:pPr>
        <w:tabs>
          <w:tab w:val="num" w:pos="4680"/>
        </w:tabs>
        <w:ind w:left="4680" w:hanging="360"/>
      </w:pPr>
      <w:rPr>
        <w:rFonts w:ascii="Symbol" w:hAnsi="Symbol" w:hint="default"/>
      </w:rPr>
    </w:lvl>
    <w:lvl w:ilvl="7" w:tplc="0C090003">
      <w:start w:val="1"/>
      <w:numFmt w:val="bullet"/>
      <w:lvlText w:val="o"/>
      <w:lvlJc w:val="left"/>
      <w:pPr>
        <w:tabs>
          <w:tab w:val="num" w:pos="5400"/>
        </w:tabs>
        <w:ind w:left="5400" w:hanging="360"/>
      </w:pPr>
      <w:rPr>
        <w:rFonts w:ascii="Courier New" w:hAnsi="Courier New" w:cs="Courier New" w:hint="default"/>
      </w:rPr>
    </w:lvl>
    <w:lvl w:ilvl="8" w:tplc="0C090005">
      <w:start w:val="1"/>
      <w:numFmt w:val="bullet"/>
      <w:lvlText w:val=""/>
      <w:lvlJc w:val="left"/>
      <w:pPr>
        <w:tabs>
          <w:tab w:val="num" w:pos="6120"/>
        </w:tabs>
        <w:ind w:left="6120" w:hanging="360"/>
      </w:pPr>
      <w:rPr>
        <w:rFonts w:ascii="Wingdings" w:hAnsi="Wingdings" w:hint="default"/>
      </w:rPr>
    </w:lvl>
  </w:abstractNum>
  <w:abstractNum w:abstractNumId="23" w15:restartNumberingAfterBreak="0">
    <w:nsid w:val="5F6C6D02"/>
    <w:multiLevelType w:val="hybridMultilevel"/>
    <w:tmpl w:val="5038F9DC"/>
    <w:lvl w:ilvl="0" w:tplc="DA98BCDC">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0BA1369"/>
    <w:multiLevelType w:val="hybridMultilevel"/>
    <w:tmpl w:val="BDF4BBEC"/>
    <w:lvl w:ilvl="0" w:tplc="0C090003">
      <w:start w:val="1"/>
      <w:numFmt w:val="bullet"/>
      <w:lvlText w:val="o"/>
      <w:lvlJc w:val="left"/>
      <w:pPr>
        <w:ind w:left="1004" w:hanging="360"/>
      </w:pPr>
      <w:rPr>
        <w:rFonts w:ascii="Courier New" w:hAnsi="Courier New" w:cs="Courier New"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25"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5A06973"/>
    <w:multiLevelType w:val="hybridMultilevel"/>
    <w:tmpl w:val="3EB86DC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6D3B526B"/>
    <w:multiLevelType w:val="hybridMultilevel"/>
    <w:tmpl w:val="B7C48070"/>
    <w:lvl w:ilvl="0" w:tplc="7F9CF1C8">
      <w:start w:val="1"/>
      <w:numFmt w:val="decimal"/>
      <w:lvlText w:val="%1."/>
      <w:lvlJc w:val="left"/>
      <w:pPr>
        <w:tabs>
          <w:tab w:val="num" w:pos="540"/>
        </w:tabs>
        <w:ind w:left="540" w:hanging="360"/>
      </w:pPr>
      <w:rPr>
        <w:rFonts w:ascii="Arial" w:hAnsi="Arial" w:cs="Arial" w:hint="default"/>
      </w:rPr>
    </w:lvl>
    <w:lvl w:ilvl="1" w:tplc="0C090001">
      <w:start w:val="1"/>
      <w:numFmt w:val="bullet"/>
      <w:lvlText w:val=""/>
      <w:lvlJc w:val="left"/>
      <w:pPr>
        <w:tabs>
          <w:tab w:val="num" w:pos="1080"/>
        </w:tabs>
        <w:ind w:left="1080" w:hanging="360"/>
      </w:pPr>
      <w:rPr>
        <w:rFonts w:ascii="Symbol" w:hAnsi="Symbol" w:hint="default"/>
      </w:rPr>
    </w:lvl>
    <w:lvl w:ilvl="2" w:tplc="0C09001B" w:tentative="1">
      <w:start w:val="1"/>
      <w:numFmt w:val="lowerRoman"/>
      <w:lvlText w:val="%3."/>
      <w:lvlJc w:val="right"/>
      <w:pPr>
        <w:tabs>
          <w:tab w:val="num" w:pos="1800"/>
        </w:tabs>
        <w:ind w:left="1800" w:hanging="180"/>
      </w:pPr>
    </w:lvl>
    <w:lvl w:ilvl="3" w:tplc="0C09000F" w:tentative="1">
      <w:start w:val="1"/>
      <w:numFmt w:val="decimal"/>
      <w:lvlText w:val="%4."/>
      <w:lvlJc w:val="left"/>
      <w:pPr>
        <w:tabs>
          <w:tab w:val="num" w:pos="2520"/>
        </w:tabs>
        <w:ind w:left="2520" w:hanging="360"/>
      </w:pPr>
    </w:lvl>
    <w:lvl w:ilvl="4" w:tplc="0C090019" w:tentative="1">
      <w:start w:val="1"/>
      <w:numFmt w:val="lowerLetter"/>
      <w:lvlText w:val="%5."/>
      <w:lvlJc w:val="left"/>
      <w:pPr>
        <w:tabs>
          <w:tab w:val="num" w:pos="3240"/>
        </w:tabs>
        <w:ind w:left="3240" w:hanging="360"/>
      </w:pPr>
    </w:lvl>
    <w:lvl w:ilvl="5" w:tplc="0C09001B" w:tentative="1">
      <w:start w:val="1"/>
      <w:numFmt w:val="lowerRoman"/>
      <w:lvlText w:val="%6."/>
      <w:lvlJc w:val="right"/>
      <w:pPr>
        <w:tabs>
          <w:tab w:val="num" w:pos="3960"/>
        </w:tabs>
        <w:ind w:left="3960" w:hanging="180"/>
      </w:pPr>
    </w:lvl>
    <w:lvl w:ilvl="6" w:tplc="0C09000F" w:tentative="1">
      <w:start w:val="1"/>
      <w:numFmt w:val="decimal"/>
      <w:lvlText w:val="%7."/>
      <w:lvlJc w:val="left"/>
      <w:pPr>
        <w:tabs>
          <w:tab w:val="num" w:pos="4680"/>
        </w:tabs>
        <w:ind w:left="4680" w:hanging="360"/>
      </w:pPr>
    </w:lvl>
    <w:lvl w:ilvl="7" w:tplc="0C090019" w:tentative="1">
      <w:start w:val="1"/>
      <w:numFmt w:val="lowerLetter"/>
      <w:lvlText w:val="%8."/>
      <w:lvlJc w:val="left"/>
      <w:pPr>
        <w:tabs>
          <w:tab w:val="num" w:pos="5400"/>
        </w:tabs>
        <w:ind w:left="5400" w:hanging="360"/>
      </w:pPr>
    </w:lvl>
    <w:lvl w:ilvl="8" w:tplc="0C09001B" w:tentative="1">
      <w:start w:val="1"/>
      <w:numFmt w:val="lowerRoman"/>
      <w:lvlText w:val="%9."/>
      <w:lvlJc w:val="right"/>
      <w:pPr>
        <w:tabs>
          <w:tab w:val="num" w:pos="6120"/>
        </w:tabs>
        <w:ind w:left="6120" w:hanging="180"/>
      </w:pPr>
    </w:lvl>
  </w:abstractNum>
  <w:abstractNum w:abstractNumId="29"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03D1312"/>
    <w:multiLevelType w:val="hybridMultilevel"/>
    <w:tmpl w:val="832A76C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1" w15:restartNumberingAfterBreak="0">
    <w:nsid w:val="76C77608"/>
    <w:multiLevelType w:val="hybridMultilevel"/>
    <w:tmpl w:val="E118FD04"/>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2" w15:restartNumberingAfterBreak="0">
    <w:nsid w:val="77391C84"/>
    <w:multiLevelType w:val="hybridMultilevel"/>
    <w:tmpl w:val="78222E28"/>
    <w:lvl w:ilvl="0" w:tplc="468E1D64">
      <w:start w:val="1"/>
      <w:numFmt w:val="bullet"/>
      <w:lvlText w:val=""/>
      <w:lvlJc w:val="left"/>
      <w:pPr>
        <w:tabs>
          <w:tab w:val="num" w:pos="902"/>
        </w:tabs>
        <w:ind w:left="902" w:hanging="362"/>
      </w:pPr>
      <w:rPr>
        <w:rFonts w:ascii="Symbol" w:hAnsi="Symbol" w:hint="default"/>
      </w:rPr>
    </w:lvl>
    <w:lvl w:ilvl="1" w:tplc="0C090003">
      <w:start w:val="1"/>
      <w:numFmt w:val="bullet"/>
      <w:lvlText w:val="o"/>
      <w:lvlJc w:val="left"/>
      <w:pPr>
        <w:tabs>
          <w:tab w:val="num" w:pos="2161"/>
        </w:tabs>
        <w:ind w:left="2161" w:hanging="360"/>
      </w:pPr>
      <w:rPr>
        <w:rFonts w:ascii="Courier New" w:hAnsi="Courier New" w:cs="Courier New" w:hint="default"/>
      </w:rPr>
    </w:lvl>
    <w:lvl w:ilvl="2" w:tplc="0C090005">
      <w:start w:val="1"/>
      <w:numFmt w:val="bullet"/>
      <w:lvlText w:val=""/>
      <w:lvlJc w:val="left"/>
      <w:pPr>
        <w:tabs>
          <w:tab w:val="num" w:pos="2881"/>
        </w:tabs>
        <w:ind w:left="2881" w:hanging="360"/>
      </w:pPr>
      <w:rPr>
        <w:rFonts w:ascii="Wingdings" w:hAnsi="Wingdings" w:hint="default"/>
      </w:rPr>
    </w:lvl>
    <w:lvl w:ilvl="3" w:tplc="0C090001">
      <w:start w:val="1"/>
      <w:numFmt w:val="bullet"/>
      <w:lvlText w:val=""/>
      <w:lvlJc w:val="left"/>
      <w:pPr>
        <w:tabs>
          <w:tab w:val="num" w:pos="3601"/>
        </w:tabs>
        <w:ind w:left="3601" w:hanging="360"/>
      </w:pPr>
      <w:rPr>
        <w:rFonts w:ascii="Symbol" w:hAnsi="Symbol" w:hint="default"/>
      </w:rPr>
    </w:lvl>
    <w:lvl w:ilvl="4" w:tplc="0C090003">
      <w:start w:val="1"/>
      <w:numFmt w:val="bullet"/>
      <w:lvlText w:val="o"/>
      <w:lvlJc w:val="left"/>
      <w:pPr>
        <w:tabs>
          <w:tab w:val="num" w:pos="4321"/>
        </w:tabs>
        <w:ind w:left="4321" w:hanging="360"/>
      </w:pPr>
      <w:rPr>
        <w:rFonts w:ascii="Courier New" w:hAnsi="Courier New" w:cs="Courier New" w:hint="default"/>
      </w:rPr>
    </w:lvl>
    <w:lvl w:ilvl="5" w:tplc="0C090005">
      <w:start w:val="1"/>
      <w:numFmt w:val="bullet"/>
      <w:lvlText w:val=""/>
      <w:lvlJc w:val="left"/>
      <w:pPr>
        <w:tabs>
          <w:tab w:val="num" w:pos="5041"/>
        </w:tabs>
        <w:ind w:left="5041" w:hanging="360"/>
      </w:pPr>
      <w:rPr>
        <w:rFonts w:ascii="Wingdings" w:hAnsi="Wingdings" w:hint="default"/>
      </w:rPr>
    </w:lvl>
    <w:lvl w:ilvl="6" w:tplc="0C090001">
      <w:start w:val="1"/>
      <w:numFmt w:val="bullet"/>
      <w:lvlText w:val=""/>
      <w:lvlJc w:val="left"/>
      <w:pPr>
        <w:tabs>
          <w:tab w:val="num" w:pos="5761"/>
        </w:tabs>
        <w:ind w:left="5761" w:hanging="360"/>
      </w:pPr>
      <w:rPr>
        <w:rFonts w:ascii="Symbol" w:hAnsi="Symbol" w:hint="default"/>
      </w:rPr>
    </w:lvl>
    <w:lvl w:ilvl="7" w:tplc="0C090003">
      <w:start w:val="1"/>
      <w:numFmt w:val="bullet"/>
      <w:lvlText w:val="o"/>
      <w:lvlJc w:val="left"/>
      <w:pPr>
        <w:tabs>
          <w:tab w:val="num" w:pos="6481"/>
        </w:tabs>
        <w:ind w:left="6481" w:hanging="360"/>
      </w:pPr>
      <w:rPr>
        <w:rFonts w:ascii="Courier New" w:hAnsi="Courier New" w:cs="Courier New" w:hint="default"/>
      </w:rPr>
    </w:lvl>
    <w:lvl w:ilvl="8" w:tplc="0C090005">
      <w:start w:val="1"/>
      <w:numFmt w:val="bullet"/>
      <w:lvlText w:val=""/>
      <w:lvlJc w:val="left"/>
      <w:pPr>
        <w:tabs>
          <w:tab w:val="num" w:pos="7201"/>
        </w:tabs>
        <w:ind w:left="7201" w:hanging="360"/>
      </w:pPr>
      <w:rPr>
        <w:rFonts w:ascii="Wingdings" w:hAnsi="Wingdings" w:hint="default"/>
      </w:rPr>
    </w:lvl>
  </w:abstractNum>
  <w:abstractNum w:abstractNumId="33" w15:restartNumberingAfterBreak="0">
    <w:nsid w:val="78965F3F"/>
    <w:multiLevelType w:val="hybridMultilevel"/>
    <w:tmpl w:val="82C42C9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78B040BA"/>
    <w:multiLevelType w:val="hybridMultilevel"/>
    <w:tmpl w:val="AA982794"/>
    <w:lvl w:ilvl="0" w:tplc="DA98BCDC">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7C534AFE"/>
    <w:multiLevelType w:val="hybridMultilevel"/>
    <w:tmpl w:val="5B624636"/>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6" w15:restartNumberingAfterBreak="0">
    <w:nsid w:val="7E8D3704"/>
    <w:multiLevelType w:val="hybridMultilevel"/>
    <w:tmpl w:val="3B9C5EB0"/>
    <w:lvl w:ilvl="0" w:tplc="2D568B30">
      <w:start w:val="1"/>
      <w:numFmt w:val="decimal"/>
      <w:lvlText w:val="%1."/>
      <w:lvlJc w:val="left"/>
      <w:pPr>
        <w:ind w:left="720" w:hanging="360"/>
      </w:pPr>
      <w:rPr>
        <w:rFonts w:hint="default"/>
        <w:sz w:val="16"/>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7FDE36EC"/>
    <w:multiLevelType w:val="hybridMultilevel"/>
    <w:tmpl w:val="B77CB010"/>
    <w:lvl w:ilvl="0" w:tplc="16505260">
      <w:start w:val="5"/>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2"/>
  </w:num>
  <w:num w:numId="4">
    <w:abstractNumId w:val="0"/>
  </w:num>
  <w:num w:numId="5">
    <w:abstractNumId w:val="14"/>
  </w:num>
  <w:num w:numId="6">
    <w:abstractNumId w:val="26"/>
  </w:num>
  <w:num w:numId="7">
    <w:abstractNumId w:val="21"/>
  </w:num>
  <w:num w:numId="8">
    <w:abstractNumId w:val="25"/>
  </w:num>
  <w:num w:numId="9">
    <w:abstractNumId w:val="29"/>
  </w:num>
  <w:num w:numId="10">
    <w:abstractNumId w:val="7"/>
  </w:num>
  <w:num w:numId="11">
    <w:abstractNumId w:val="6"/>
  </w:num>
  <w:num w:numId="12">
    <w:abstractNumId w:val="3"/>
  </w:num>
  <w:num w:numId="13">
    <w:abstractNumId w:val="2"/>
    <w:lvlOverride w:ilvl="0">
      <w:startOverride w:val="1"/>
    </w:lvlOverride>
  </w:num>
  <w:num w:numId="14">
    <w:abstractNumId w:val="2"/>
    <w:lvlOverride w:ilvl="0">
      <w:startOverride w:val="1"/>
    </w:lvlOverride>
  </w:num>
  <w:num w:numId="15">
    <w:abstractNumId w:val="2"/>
    <w:lvlOverride w:ilvl="0">
      <w:startOverride w:val="1"/>
    </w:lvlOverride>
  </w:num>
  <w:num w:numId="16">
    <w:abstractNumId w:val="15"/>
  </w:num>
  <w:num w:numId="17">
    <w:abstractNumId w:val="22"/>
  </w:num>
  <w:num w:numId="18">
    <w:abstractNumId w:val="8"/>
  </w:num>
  <w:num w:numId="19">
    <w:abstractNumId w:val="24"/>
  </w:num>
  <w:num w:numId="20">
    <w:abstractNumId w:val="17"/>
  </w:num>
  <w:num w:numId="21">
    <w:abstractNumId w:val="32"/>
  </w:num>
  <w:num w:numId="22">
    <w:abstractNumId w:val="3"/>
  </w:num>
  <w:num w:numId="23">
    <w:abstractNumId w:val="20"/>
  </w:num>
  <w:num w:numId="24">
    <w:abstractNumId w:val="9"/>
  </w:num>
  <w:num w:numId="25">
    <w:abstractNumId w:val="31"/>
  </w:num>
  <w:num w:numId="26">
    <w:abstractNumId w:val="3"/>
  </w:num>
  <w:num w:numId="27">
    <w:abstractNumId w:val="23"/>
  </w:num>
  <w:num w:numId="28">
    <w:abstractNumId w:val="37"/>
  </w:num>
  <w:num w:numId="29">
    <w:abstractNumId w:val="16"/>
  </w:num>
  <w:num w:numId="30">
    <w:abstractNumId w:val="35"/>
  </w:num>
  <w:num w:numId="31">
    <w:abstractNumId w:val="3"/>
  </w:num>
  <w:num w:numId="32">
    <w:abstractNumId w:val="13"/>
  </w:num>
  <w:num w:numId="33">
    <w:abstractNumId w:val="28"/>
  </w:num>
  <w:num w:numId="34">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30"/>
  </w:num>
  <w:num w:numId="36">
    <w:abstractNumId w:val="4"/>
  </w:num>
  <w:num w:numId="37">
    <w:abstractNumId w:val="18"/>
  </w:num>
  <w:num w:numId="38">
    <w:abstractNumId w:val="3"/>
  </w:num>
  <w:num w:numId="39">
    <w:abstractNumId w:val="11"/>
  </w:num>
  <w:num w:numId="40">
    <w:abstractNumId w:val="19"/>
  </w:num>
  <w:num w:numId="41">
    <w:abstractNumId w:val="27"/>
  </w:num>
  <w:num w:numId="42">
    <w:abstractNumId w:val="5"/>
  </w:num>
  <w:num w:numId="43">
    <w:abstractNumId w:val="10"/>
  </w:num>
  <w:num w:numId="44">
    <w:abstractNumId w:val="36"/>
  </w:num>
  <w:num w:numId="45">
    <w:abstractNumId w:val="33"/>
  </w:num>
  <w:num w:numId="46">
    <w:abstractNumId w:val="34"/>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removePersonalInformation/>
  <w:removeDateAndTime/>
  <w:displayBackgroundShape/>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12289">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3639"/>
    <w:rsid w:val="000006D3"/>
    <w:rsid w:val="00000F85"/>
    <w:rsid w:val="000019A1"/>
    <w:rsid w:val="00001BF8"/>
    <w:rsid w:val="000022C6"/>
    <w:rsid w:val="000029C4"/>
    <w:rsid w:val="00002A9C"/>
    <w:rsid w:val="0000330C"/>
    <w:rsid w:val="00003BCC"/>
    <w:rsid w:val="00003C8F"/>
    <w:rsid w:val="00003DC3"/>
    <w:rsid w:val="000065AA"/>
    <w:rsid w:val="000066A7"/>
    <w:rsid w:val="000066EC"/>
    <w:rsid w:val="00007435"/>
    <w:rsid w:val="0000766A"/>
    <w:rsid w:val="00010392"/>
    <w:rsid w:val="00010667"/>
    <w:rsid w:val="00011A5D"/>
    <w:rsid w:val="000121AA"/>
    <w:rsid w:val="000129D5"/>
    <w:rsid w:val="00012D74"/>
    <w:rsid w:val="000132A8"/>
    <w:rsid w:val="00013586"/>
    <w:rsid w:val="00014F55"/>
    <w:rsid w:val="00015AE7"/>
    <w:rsid w:val="0001699B"/>
    <w:rsid w:val="00016D23"/>
    <w:rsid w:val="00016E21"/>
    <w:rsid w:val="0001719C"/>
    <w:rsid w:val="00020437"/>
    <w:rsid w:val="0002224E"/>
    <w:rsid w:val="00022B06"/>
    <w:rsid w:val="0002388C"/>
    <w:rsid w:val="000245E5"/>
    <w:rsid w:val="00024FD3"/>
    <w:rsid w:val="0002516F"/>
    <w:rsid w:val="0002598E"/>
    <w:rsid w:val="00025C87"/>
    <w:rsid w:val="00026D5C"/>
    <w:rsid w:val="00026F91"/>
    <w:rsid w:val="0003043D"/>
    <w:rsid w:val="0003098B"/>
    <w:rsid w:val="0003152B"/>
    <w:rsid w:val="00032621"/>
    <w:rsid w:val="000331B4"/>
    <w:rsid w:val="00033731"/>
    <w:rsid w:val="0003436B"/>
    <w:rsid w:val="00035425"/>
    <w:rsid w:val="00035461"/>
    <w:rsid w:val="000368C8"/>
    <w:rsid w:val="000426DE"/>
    <w:rsid w:val="00042AD2"/>
    <w:rsid w:val="00044391"/>
    <w:rsid w:val="0004565E"/>
    <w:rsid w:val="00046232"/>
    <w:rsid w:val="000470F2"/>
    <w:rsid w:val="0004764C"/>
    <w:rsid w:val="0005011A"/>
    <w:rsid w:val="000501F7"/>
    <w:rsid w:val="000502A9"/>
    <w:rsid w:val="0005045A"/>
    <w:rsid w:val="00050CEC"/>
    <w:rsid w:val="00051780"/>
    <w:rsid w:val="00051C1E"/>
    <w:rsid w:val="00052ADB"/>
    <w:rsid w:val="000538B1"/>
    <w:rsid w:val="000538D6"/>
    <w:rsid w:val="000539F9"/>
    <w:rsid w:val="00054AB0"/>
    <w:rsid w:val="00054C27"/>
    <w:rsid w:val="000555EB"/>
    <w:rsid w:val="00055CDC"/>
    <w:rsid w:val="00055EC3"/>
    <w:rsid w:val="000563CE"/>
    <w:rsid w:val="00057F22"/>
    <w:rsid w:val="000614C7"/>
    <w:rsid w:val="00062057"/>
    <w:rsid w:val="0006299F"/>
    <w:rsid w:val="00063C0A"/>
    <w:rsid w:val="00064780"/>
    <w:rsid w:val="00065425"/>
    <w:rsid w:val="000659B6"/>
    <w:rsid w:val="0006686F"/>
    <w:rsid w:val="0006722A"/>
    <w:rsid w:val="0007062C"/>
    <w:rsid w:val="0007067E"/>
    <w:rsid w:val="000711D2"/>
    <w:rsid w:val="000729ED"/>
    <w:rsid w:val="000732CF"/>
    <w:rsid w:val="00074846"/>
    <w:rsid w:val="000751CD"/>
    <w:rsid w:val="00075B96"/>
    <w:rsid w:val="00077B36"/>
    <w:rsid w:val="00077E9B"/>
    <w:rsid w:val="00080AC4"/>
    <w:rsid w:val="0008196A"/>
    <w:rsid w:val="00081D72"/>
    <w:rsid w:val="0008274C"/>
    <w:rsid w:val="0008288A"/>
    <w:rsid w:val="000839D5"/>
    <w:rsid w:val="00084C4E"/>
    <w:rsid w:val="000877C1"/>
    <w:rsid w:val="0008788E"/>
    <w:rsid w:val="000915ED"/>
    <w:rsid w:val="00091A96"/>
    <w:rsid w:val="00091E8D"/>
    <w:rsid w:val="0009209D"/>
    <w:rsid w:val="00092618"/>
    <w:rsid w:val="00092D8D"/>
    <w:rsid w:val="00093359"/>
    <w:rsid w:val="00093579"/>
    <w:rsid w:val="0009463C"/>
    <w:rsid w:val="000961F7"/>
    <w:rsid w:val="0009621F"/>
    <w:rsid w:val="000969BD"/>
    <w:rsid w:val="000969BF"/>
    <w:rsid w:val="000A0291"/>
    <w:rsid w:val="000A0407"/>
    <w:rsid w:val="000A054A"/>
    <w:rsid w:val="000A0BC9"/>
    <w:rsid w:val="000A0C22"/>
    <w:rsid w:val="000A1400"/>
    <w:rsid w:val="000A228C"/>
    <w:rsid w:val="000A24A6"/>
    <w:rsid w:val="000A2648"/>
    <w:rsid w:val="000A2653"/>
    <w:rsid w:val="000A2896"/>
    <w:rsid w:val="000A2C91"/>
    <w:rsid w:val="000A3C43"/>
    <w:rsid w:val="000A4A51"/>
    <w:rsid w:val="000A4B81"/>
    <w:rsid w:val="000A5363"/>
    <w:rsid w:val="000A5745"/>
    <w:rsid w:val="000A5D2B"/>
    <w:rsid w:val="000A615B"/>
    <w:rsid w:val="000A715A"/>
    <w:rsid w:val="000A748A"/>
    <w:rsid w:val="000A774D"/>
    <w:rsid w:val="000B0A77"/>
    <w:rsid w:val="000B0EB4"/>
    <w:rsid w:val="000B30F3"/>
    <w:rsid w:val="000B3442"/>
    <w:rsid w:val="000B4664"/>
    <w:rsid w:val="000B4721"/>
    <w:rsid w:val="000B5DE3"/>
    <w:rsid w:val="000B761A"/>
    <w:rsid w:val="000B7C60"/>
    <w:rsid w:val="000C0603"/>
    <w:rsid w:val="000C066E"/>
    <w:rsid w:val="000C0679"/>
    <w:rsid w:val="000C0A57"/>
    <w:rsid w:val="000C1E06"/>
    <w:rsid w:val="000C230C"/>
    <w:rsid w:val="000C387D"/>
    <w:rsid w:val="000C49B8"/>
    <w:rsid w:val="000C5CB9"/>
    <w:rsid w:val="000C62E2"/>
    <w:rsid w:val="000C65CA"/>
    <w:rsid w:val="000C6AB4"/>
    <w:rsid w:val="000C7072"/>
    <w:rsid w:val="000D1405"/>
    <w:rsid w:val="000D2B17"/>
    <w:rsid w:val="000D3657"/>
    <w:rsid w:val="000D5C01"/>
    <w:rsid w:val="000D6B06"/>
    <w:rsid w:val="000D71D9"/>
    <w:rsid w:val="000D76E0"/>
    <w:rsid w:val="000D7E8B"/>
    <w:rsid w:val="000D7FB8"/>
    <w:rsid w:val="000E01DE"/>
    <w:rsid w:val="000E04E4"/>
    <w:rsid w:val="000E10BB"/>
    <w:rsid w:val="000E30A5"/>
    <w:rsid w:val="000E4245"/>
    <w:rsid w:val="000E4449"/>
    <w:rsid w:val="000E4A53"/>
    <w:rsid w:val="000E6097"/>
    <w:rsid w:val="000F02F7"/>
    <w:rsid w:val="000F1D6F"/>
    <w:rsid w:val="000F2561"/>
    <w:rsid w:val="000F26F2"/>
    <w:rsid w:val="000F34EF"/>
    <w:rsid w:val="000F4731"/>
    <w:rsid w:val="000F4D02"/>
    <w:rsid w:val="000F611D"/>
    <w:rsid w:val="000F614A"/>
    <w:rsid w:val="000F7076"/>
    <w:rsid w:val="00100092"/>
    <w:rsid w:val="00101D30"/>
    <w:rsid w:val="001021FF"/>
    <w:rsid w:val="00103571"/>
    <w:rsid w:val="00103829"/>
    <w:rsid w:val="00103E2C"/>
    <w:rsid w:val="00105242"/>
    <w:rsid w:val="00106372"/>
    <w:rsid w:val="00106E75"/>
    <w:rsid w:val="0011026D"/>
    <w:rsid w:val="001105B0"/>
    <w:rsid w:val="001113FA"/>
    <w:rsid w:val="00111FCE"/>
    <w:rsid w:val="0011259B"/>
    <w:rsid w:val="00112F54"/>
    <w:rsid w:val="00113A19"/>
    <w:rsid w:val="00113C8C"/>
    <w:rsid w:val="00114327"/>
    <w:rsid w:val="00114679"/>
    <w:rsid w:val="00115F40"/>
    <w:rsid w:val="00117092"/>
    <w:rsid w:val="0012045F"/>
    <w:rsid w:val="00121573"/>
    <w:rsid w:val="001229A5"/>
    <w:rsid w:val="00122BDC"/>
    <w:rsid w:val="00122EE7"/>
    <w:rsid w:val="001230C8"/>
    <w:rsid w:val="0012433E"/>
    <w:rsid w:val="0012489B"/>
    <w:rsid w:val="00124903"/>
    <w:rsid w:val="00126270"/>
    <w:rsid w:val="00130017"/>
    <w:rsid w:val="00130CF3"/>
    <w:rsid w:val="00130F91"/>
    <w:rsid w:val="001331F0"/>
    <w:rsid w:val="0013454A"/>
    <w:rsid w:val="001349ED"/>
    <w:rsid w:val="00137424"/>
    <w:rsid w:val="00140318"/>
    <w:rsid w:val="0014089E"/>
    <w:rsid w:val="00140E9B"/>
    <w:rsid w:val="00141429"/>
    <w:rsid w:val="00141859"/>
    <w:rsid w:val="00141AD9"/>
    <w:rsid w:val="001420E6"/>
    <w:rsid w:val="0014221E"/>
    <w:rsid w:val="00142F8C"/>
    <w:rsid w:val="00143A58"/>
    <w:rsid w:val="001456BC"/>
    <w:rsid w:val="00145CF8"/>
    <w:rsid w:val="00146051"/>
    <w:rsid w:val="00146CE6"/>
    <w:rsid w:val="00146E57"/>
    <w:rsid w:val="0015238E"/>
    <w:rsid w:val="00152903"/>
    <w:rsid w:val="00153B94"/>
    <w:rsid w:val="00153FD5"/>
    <w:rsid w:val="00154230"/>
    <w:rsid w:val="001559CE"/>
    <w:rsid w:val="0015614F"/>
    <w:rsid w:val="001577C2"/>
    <w:rsid w:val="00157897"/>
    <w:rsid w:val="0016124E"/>
    <w:rsid w:val="0016220F"/>
    <w:rsid w:val="00162BEB"/>
    <w:rsid w:val="001633C4"/>
    <w:rsid w:val="00164E7F"/>
    <w:rsid w:val="001667E7"/>
    <w:rsid w:val="00167167"/>
    <w:rsid w:val="001700AC"/>
    <w:rsid w:val="001704B4"/>
    <w:rsid w:val="001704D5"/>
    <w:rsid w:val="00170B5E"/>
    <w:rsid w:val="00171591"/>
    <w:rsid w:val="001715BF"/>
    <w:rsid w:val="00171649"/>
    <w:rsid w:val="001720AC"/>
    <w:rsid w:val="0017223D"/>
    <w:rsid w:val="00172F73"/>
    <w:rsid w:val="00173981"/>
    <w:rsid w:val="00174708"/>
    <w:rsid w:val="0017678D"/>
    <w:rsid w:val="0017719D"/>
    <w:rsid w:val="00180DF0"/>
    <w:rsid w:val="00180EDF"/>
    <w:rsid w:val="00182499"/>
    <w:rsid w:val="0018307C"/>
    <w:rsid w:val="00183FC2"/>
    <w:rsid w:val="00183FD7"/>
    <w:rsid w:val="00184F00"/>
    <w:rsid w:val="001855BA"/>
    <w:rsid w:val="00185825"/>
    <w:rsid w:val="00185CAB"/>
    <w:rsid w:val="00186C1E"/>
    <w:rsid w:val="001875B7"/>
    <w:rsid w:val="00187CB3"/>
    <w:rsid w:val="0019050A"/>
    <w:rsid w:val="0019055E"/>
    <w:rsid w:val="001910D4"/>
    <w:rsid w:val="00191961"/>
    <w:rsid w:val="00191DE4"/>
    <w:rsid w:val="00194395"/>
    <w:rsid w:val="0019697E"/>
    <w:rsid w:val="001976E3"/>
    <w:rsid w:val="001A044D"/>
    <w:rsid w:val="001A0660"/>
    <w:rsid w:val="001A0EF7"/>
    <w:rsid w:val="001A127B"/>
    <w:rsid w:val="001A12D8"/>
    <w:rsid w:val="001A26EE"/>
    <w:rsid w:val="001A3644"/>
    <w:rsid w:val="001A392D"/>
    <w:rsid w:val="001A4096"/>
    <w:rsid w:val="001A44EC"/>
    <w:rsid w:val="001A69FD"/>
    <w:rsid w:val="001A6D10"/>
    <w:rsid w:val="001A760F"/>
    <w:rsid w:val="001A7CC8"/>
    <w:rsid w:val="001B2DB8"/>
    <w:rsid w:val="001B48A1"/>
    <w:rsid w:val="001B58AA"/>
    <w:rsid w:val="001B5C50"/>
    <w:rsid w:val="001B613C"/>
    <w:rsid w:val="001B6A38"/>
    <w:rsid w:val="001B707B"/>
    <w:rsid w:val="001B733A"/>
    <w:rsid w:val="001B73F8"/>
    <w:rsid w:val="001B7C4F"/>
    <w:rsid w:val="001B7E48"/>
    <w:rsid w:val="001C0EE6"/>
    <w:rsid w:val="001C17CE"/>
    <w:rsid w:val="001C22E6"/>
    <w:rsid w:val="001C283F"/>
    <w:rsid w:val="001C312F"/>
    <w:rsid w:val="001C36CA"/>
    <w:rsid w:val="001C3BCF"/>
    <w:rsid w:val="001C3CB2"/>
    <w:rsid w:val="001C44D1"/>
    <w:rsid w:val="001C5A16"/>
    <w:rsid w:val="001C6AEE"/>
    <w:rsid w:val="001C6BB0"/>
    <w:rsid w:val="001C6FD9"/>
    <w:rsid w:val="001C7630"/>
    <w:rsid w:val="001C7776"/>
    <w:rsid w:val="001C7EA1"/>
    <w:rsid w:val="001D104A"/>
    <w:rsid w:val="001D173A"/>
    <w:rsid w:val="001D23C6"/>
    <w:rsid w:val="001D2616"/>
    <w:rsid w:val="001D368F"/>
    <w:rsid w:val="001D47B4"/>
    <w:rsid w:val="001D6D15"/>
    <w:rsid w:val="001D738F"/>
    <w:rsid w:val="001D75D6"/>
    <w:rsid w:val="001E06B5"/>
    <w:rsid w:val="001E0C35"/>
    <w:rsid w:val="001E3928"/>
    <w:rsid w:val="001E3B46"/>
    <w:rsid w:val="001E4FF7"/>
    <w:rsid w:val="001E54CA"/>
    <w:rsid w:val="001E6354"/>
    <w:rsid w:val="001F4537"/>
    <w:rsid w:val="001F50F7"/>
    <w:rsid w:val="001F5CCD"/>
    <w:rsid w:val="001F7558"/>
    <w:rsid w:val="001F7AF6"/>
    <w:rsid w:val="00200FD3"/>
    <w:rsid w:val="00201299"/>
    <w:rsid w:val="00201EE2"/>
    <w:rsid w:val="0020210A"/>
    <w:rsid w:val="00205865"/>
    <w:rsid w:val="00205B57"/>
    <w:rsid w:val="00206E5A"/>
    <w:rsid w:val="00207320"/>
    <w:rsid w:val="0021152C"/>
    <w:rsid w:val="00211CFF"/>
    <w:rsid w:val="00213459"/>
    <w:rsid w:val="0021426C"/>
    <w:rsid w:val="00214F3F"/>
    <w:rsid w:val="002157E0"/>
    <w:rsid w:val="00215C8A"/>
    <w:rsid w:val="00216598"/>
    <w:rsid w:val="0021694C"/>
    <w:rsid w:val="00216A57"/>
    <w:rsid w:val="00217448"/>
    <w:rsid w:val="002175DB"/>
    <w:rsid w:val="002211C2"/>
    <w:rsid w:val="002224E9"/>
    <w:rsid w:val="00222C8F"/>
    <w:rsid w:val="00222F0C"/>
    <w:rsid w:val="0022334F"/>
    <w:rsid w:val="002234CF"/>
    <w:rsid w:val="0022379B"/>
    <w:rsid w:val="00223D23"/>
    <w:rsid w:val="002244DA"/>
    <w:rsid w:val="00224DF6"/>
    <w:rsid w:val="00226819"/>
    <w:rsid w:val="00227EA2"/>
    <w:rsid w:val="00227EE4"/>
    <w:rsid w:val="00230650"/>
    <w:rsid w:val="00230F74"/>
    <w:rsid w:val="00231885"/>
    <w:rsid w:val="00232DBC"/>
    <w:rsid w:val="00232DF0"/>
    <w:rsid w:val="00233101"/>
    <w:rsid w:val="00233372"/>
    <w:rsid w:val="00233817"/>
    <w:rsid w:val="002339E1"/>
    <w:rsid w:val="0023521B"/>
    <w:rsid w:val="002367FF"/>
    <w:rsid w:val="00236944"/>
    <w:rsid w:val="002369E7"/>
    <w:rsid w:val="00236A8B"/>
    <w:rsid w:val="002400F9"/>
    <w:rsid w:val="00240CE9"/>
    <w:rsid w:val="00241057"/>
    <w:rsid w:val="0024165D"/>
    <w:rsid w:val="00241A77"/>
    <w:rsid w:val="00241DD4"/>
    <w:rsid w:val="002434BA"/>
    <w:rsid w:val="00243A54"/>
    <w:rsid w:val="002443A5"/>
    <w:rsid w:val="00245334"/>
    <w:rsid w:val="0024565E"/>
    <w:rsid w:val="00246089"/>
    <w:rsid w:val="00246093"/>
    <w:rsid w:val="00246702"/>
    <w:rsid w:val="00246C4E"/>
    <w:rsid w:val="00247721"/>
    <w:rsid w:val="00247C29"/>
    <w:rsid w:val="00247C59"/>
    <w:rsid w:val="00247F2E"/>
    <w:rsid w:val="00250ADC"/>
    <w:rsid w:val="00250B07"/>
    <w:rsid w:val="0025199C"/>
    <w:rsid w:val="00252375"/>
    <w:rsid w:val="00252801"/>
    <w:rsid w:val="002528DE"/>
    <w:rsid w:val="00252CD3"/>
    <w:rsid w:val="002533CD"/>
    <w:rsid w:val="00255091"/>
    <w:rsid w:val="00255BDC"/>
    <w:rsid w:val="00255C75"/>
    <w:rsid w:val="002567BE"/>
    <w:rsid w:val="0025700E"/>
    <w:rsid w:val="00257553"/>
    <w:rsid w:val="00260A9C"/>
    <w:rsid w:val="00260DB9"/>
    <w:rsid w:val="00260FB2"/>
    <w:rsid w:val="00261744"/>
    <w:rsid w:val="00262128"/>
    <w:rsid w:val="002621B3"/>
    <w:rsid w:val="002637C1"/>
    <w:rsid w:val="002638B3"/>
    <w:rsid w:val="00263966"/>
    <w:rsid w:val="00264793"/>
    <w:rsid w:val="002653C3"/>
    <w:rsid w:val="00265D7E"/>
    <w:rsid w:val="00265E08"/>
    <w:rsid w:val="00266569"/>
    <w:rsid w:val="00267041"/>
    <w:rsid w:val="002672BB"/>
    <w:rsid w:val="0026731A"/>
    <w:rsid w:val="00267A32"/>
    <w:rsid w:val="00267FA7"/>
    <w:rsid w:val="0027142C"/>
    <w:rsid w:val="0027165D"/>
    <w:rsid w:val="002716F6"/>
    <w:rsid w:val="00271975"/>
    <w:rsid w:val="00273CEB"/>
    <w:rsid w:val="00273F25"/>
    <w:rsid w:val="00274071"/>
    <w:rsid w:val="00276290"/>
    <w:rsid w:val="002770F6"/>
    <w:rsid w:val="0028072C"/>
    <w:rsid w:val="00281C89"/>
    <w:rsid w:val="0028282F"/>
    <w:rsid w:val="002852A2"/>
    <w:rsid w:val="00286063"/>
    <w:rsid w:val="00286389"/>
    <w:rsid w:val="00286E97"/>
    <w:rsid w:val="00287302"/>
    <w:rsid w:val="002902B4"/>
    <w:rsid w:val="00290A18"/>
    <w:rsid w:val="00290A3C"/>
    <w:rsid w:val="00291D6A"/>
    <w:rsid w:val="002923E2"/>
    <w:rsid w:val="002934E1"/>
    <w:rsid w:val="002940D0"/>
    <w:rsid w:val="00294611"/>
    <w:rsid w:val="00294AC3"/>
    <w:rsid w:val="00294E83"/>
    <w:rsid w:val="00294F70"/>
    <w:rsid w:val="00294F8C"/>
    <w:rsid w:val="0029593B"/>
    <w:rsid w:val="002964E5"/>
    <w:rsid w:val="00297454"/>
    <w:rsid w:val="00297FC5"/>
    <w:rsid w:val="002A0397"/>
    <w:rsid w:val="002A0417"/>
    <w:rsid w:val="002A0D35"/>
    <w:rsid w:val="002A16D8"/>
    <w:rsid w:val="002A1BC8"/>
    <w:rsid w:val="002A30DB"/>
    <w:rsid w:val="002A3350"/>
    <w:rsid w:val="002A3D90"/>
    <w:rsid w:val="002A3EF2"/>
    <w:rsid w:val="002A4130"/>
    <w:rsid w:val="002A41B2"/>
    <w:rsid w:val="002A4B8F"/>
    <w:rsid w:val="002A4F79"/>
    <w:rsid w:val="002A5D8B"/>
    <w:rsid w:val="002A5DB3"/>
    <w:rsid w:val="002A6272"/>
    <w:rsid w:val="002A6DB3"/>
    <w:rsid w:val="002A7DF2"/>
    <w:rsid w:val="002B0D7B"/>
    <w:rsid w:val="002B0DED"/>
    <w:rsid w:val="002B0F8C"/>
    <w:rsid w:val="002B19A2"/>
    <w:rsid w:val="002B1F91"/>
    <w:rsid w:val="002B2F77"/>
    <w:rsid w:val="002B381A"/>
    <w:rsid w:val="002B42DB"/>
    <w:rsid w:val="002B4FCC"/>
    <w:rsid w:val="002B501E"/>
    <w:rsid w:val="002B508A"/>
    <w:rsid w:val="002B63AA"/>
    <w:rsid w:val="002B6710"/>
    <w:rsid w:val="002B6B52"/>
    <w:rsid w:val="002B7408"/>
    <w:rsid w:val="002B7677"/>
    <w:rsid w:val="002B7CFD"/>
    <w:rsid w:val="002C008A"/>
    <w:rsid w:val="002C0530"/>
    <w:rsid w:val="002C113A"/>
    <w:rsid w:val="002C210F"/>
    <w:rsid w:val="002C2211"/>
    <w:rsid w:val="002C2B7E"/>
    <w:rsid w:val="002C41C7"/>
    <w:rsid w:val="002C4F56"/>
    <w:rsid w:val="002C51DA"/>
    <w:rsid w:val="002C7A59"/>
    <w:rsid w:val="002C7F28"/>
    <w:rsid w:val="002C7F9A"/>
    <w:rsid w:val="002D09D0"/>
    <w:rsid w:val="002D3600"/>
    <w:rsid w:val="002D418E"/>
    <w:rsid w:val="002D4DD2"/>
    <w:rsid w:val="002D5242"/>
    <w:rsid w:val="002D7782"/>
    <w:rsid w:val="002E07C3"/>
    <w:rsid w:val="002E3484"/>
    <w:rsid w:val="002E4DDC"/>
    <w:rsid w:val="002E5E0F"/>
    <w:rsid w:val="002E642E"/>
    <w:rsid w:val="002E668C"/>
    <w:rsid w:val="002E6E1A"/>
    <w:rsid w:val="002E7307"/>
    <w:rsid w:val="002F0FF7"/>
    <w:rsid w:val="002F1EFD"/>
    <w:rsid w:val="002F24A6"/>
    <w:rsid w:val="002F2C67"/>
    <w:rsid w:val="002F3324"/>
    <w:rsid w:val="002F3487"/>
    <w:rsid w:val="002F47DD"/>
    <w:rsid w:val="002F4EB3"/>
    <w:rsid w:val="002F534E"/>
    <w:rsid w:val="0030031C"/>
    <w:rsid w:val="00302480"/>
    <w:rsid w:val="00302758"/>
    <w:rsid w:val="00302DFD"/>
    <w:rsid w:val="00304B33"/>
    <w:rsid w:val="00304FA9"/>
    <w:rsid w:val="00305A1E"/>
    <w:rsid w:val="00305A20"/>
    <w:rsid w:val="00305A85"/>
    <w:rsid w:val="0030612C"/>
    <w:rsid w:val="0031000C"/>
    <w:rsid w:val="003102AB"/>
    <w:rsid w:val="00310C80"/>
    <w:rsid w:val="00310CE6"/>
    <w:rsid w:val="003116CE"/>
    <w:rsid w:val="00311BBB"/>
    <w:rsid w:val="00312A06"/>
    <w:rsid w:val="0031319D"/>
    <w:rsid w:val="00313A8E"/>
    <w:rsid w:val="00313CB5"/>
    <w:rsid w:val="00314E22"/>
    <w:rsid w:val="00315039"/>
    <w:rsid w:val="003158F2"/>
    <w:rsid w:val="00316127"/>
    <w:rsid w:val="003165E6"/>
    <w:rsid w:val="003169BF"/>
    <w:rsid w:val="00316E83"/>
    <w:rsid w:val="003203E9"/>
    <w:rsid w:val="00320E25"/>
    <w:rsid w:val="003215B5"/>
    <w:rsid w:val="00321CE6"/>
    <w:rsid w:val="003221CF"/>
    <w:rsid w:val="003233ED"/>
    <w:rsid w:val="003234A8"/>
    <w:rsid w:val="003237BA"/>
    <w:rsid w:val="00323B1D"/>
    <w:rsid w:val="003241C7"/>
    <w:rsid w:val="00324D9F"/>
    <w:rsid w:val="00326BF6"/>
    <w:rsid w:val="00327932"/>
    <w:rsid w:val="00327948"/>
    <w:rsid w:val="00327CD6"/>
    <w:rsid w:val="0033000F"/>
    <w:rsid w:val="00330D47"/>
    <w:rsid w:val="00332011"/>
    <w:rsid w:val="00332518"/>
    <w:rsid w:val="00332925"/>
    <w:rsid w:val="00332E3F"/>
    <w:rsid w:val="003330F6"/>
    <w:rsid w:val="003332ED"/>
    <w:rsid w:val="003348BB"/>
    <w:rsid w:val="00334BAE"/>
    <w:rsid w:val="00334C36"/>
    <w:rsid w:val="00334DB8"/>
    <w:rsid w:val="00335046"/>
    <w:rsid w:val="003368DC"/>
    <w:rsid w:val="003405C5"/>
    <w:rsid w:val="00341229"/>
    <w:rsid w:val="003416D5"/>
    <w:rsid w:val="00341C38"/>
    <w:rsid w:val="00341D68"/>
    <w:rsid w:val="0034295F"/>
    <w:rsid w:val="00342E40"/>
    <w:rsid w:val="00343443"/>
    <w:rsid w:val="00343653"/>
    <w:rsid w:val="00344BE8"/>
    <w:rsid w:val="00345927"/>
    <w:rsid w:val="00345C8C"/>
    <w:rsid w:val="00346A16"/>
    <w:rsid w:val="00347B0F"/>
    <w:rsid w:val="00347C3D"/>
    <w:rsid w:val="00350584"/>
    <w:rsid w:val="00350FAC"/>
    <w:rsid w:val="00351857"/>
    <w:rsid w:val="00352E42"/>
    <w:rsid w:val="003545E8"/>
    <w:rsid w:val="00354DF6"/>
    <w:rsid w:val="003564D2"/>
    <w:rsid w:val="00356A48"/>
    <w:rsid w:val="00356ECB"/>
    <w:rsid w:val="003610E1"/>
    <w:rsid w:val="0036197A"/>
    <w:rsid w:val="003636EE"/>
    <w:rsid w:val="00363D72"/>
    <w:rsid w:val="003648B9"/>
    <w:rsid w:val="00365C59"/>
    <w:rsid w:val="00365EDF"/>
    <w:rsid w:val="003670B5"/>
    <w:rsid w:val="003671BE"/>
    <w:rsid w:val="003711CE"/>
    <w:rsid w:val="00372485"/>
    <w:rsid w:val="00372B62"/>
    <w:rsid w:val="00373200"/>
    <w:rsid w:val="003746CC"/>
    <w:rsid w:val="00374983"/>
    <w:rsid w:val="00374ADA"/>
    <w:rsid w:val="003758BF"/>
    <w:rsid w:val="00375EF5"/>
    <w:rsid w:val="00376286"/>
    <w:rsid w:val="003767A5"/>
    <w:rsid w:val="00376C06"/>
    <w:rsid w:val="00380A11"/>
    <w:rsid w:val="00380BC7"/>
    <w:rsid w:val="00381148"/>
    <w:rsid w:val="00381504"/>
    <w:rsid w:val="00381D15"/>
    <w:rsid w:val="0038285E"/>
    <w:rsid w:val="0038374D"/>
    <w:rsid w:val="0038450D"/>
    <w:rsid w:val="00385254"/>
    <w:rsid w:val="003863DD"/>
    <w:rsid w:val="0039118F"/>
    <w:rsid w:val="00391C51"/>
    <w:rsid w:val="00392FEB"/>
    <w:rsid w:val="00393362"/>
    <w:rsid w:val="003933DD"/>
    <w:rsid w:val="003933E8"/>
    <w:rsid w:val="00393C9C"/>
    <w:rsid w:val="00394031"/>
    <w:rsid w:val="003950D7"/>
    <w:rsid w:val="003969B6"/>
    <w:rsid w:val="00396DC2"/>
    <w:rsid w:val="003976E9"/>
    <w:rsid w:val="00397FC4"/>
    <w:rsid w:val="003A02EF"/>
    <w:rsid w:val="003A04DB"/>
    <w:rsid w:val="003A062F"/>
    <w:rsid w:val="003A0B95"/>
    <w:rsid w:val="003A14B7"/>
    <w:rsid w:val="003A1C3A"/>
    <w:rsid w:val="003A368F"/>
    <w:rsid w:val="003A496E"/>
    <w:rsid w:val="003A4DDE"/>
    <w:rsid w:val="003A4E23"/>
    <w:rsid w:val="003A516D"/>
    <w:rsid w:val="003A516F"/>
    <w:rsid w:val="003A5F5B"/>
    <w:rsid w:val="003A6723"/>
    <w:rsid w:val="003A6AE5"/>
    <w:rsid w:val="003A6EE5"/>
    <w:rsid w:val="003A706E"/>
    <w:rsid w:val="003A7595"/>
    <w:rsid w:val="003A789A"/>
    <w:rsid w:val="003B110D"/>
    <w:rsid w:val="003B1121"/>
    <w:rsid w:val="003B12EC"/>
    <w:rsid w:val="003B2300"/>
    <w:rsid w:val="003B26CD"/>
    <w:rsid w:val="003B433B"/>
    <w:rsid w:val="003B5876"/>
    <w:rsid w:val="003B5922"/>
    <w:rsid w:val="003B5AB8"/>
    <w:rsid w:val="003B69F0"/>
    <w:rsid w:val="003B73CE"/>
    <w:rsid w:val="003B74E2"/>
    <w:rsid w:val="003B7949"/>
    <w:rsid w:val="003B7EF7"/>
    <w:rsid w:val="003C03B8"/>
    <w:rsid w:val="003C0525"/>
    <w:rsid w:val="003C0A30"/>
    <w:rsid w:val="003C2EA2"/>
    <w:rsid w:val="003C389E"/>
    <w:rsid w:val="003C4C12"/>
    <w:rsid w:val="003C77E0"/>
    <w:rsid w:val="003C7B6A"/>
    <w:rsid w:val="003D06DF"/>
    <w:rsid w:val="003D0DF1"/>
    <w:rsid w:val="003D0E83"/>
    <w:rsid w:val="003D17D7"/>
    <w:rsid w:val="003D1B67"/>
    <w:rsid w:val="003D2449"/>
    <w:rsid w:val="003D2678"/>
    <w:rsid w:val="003D2A17"/>
    <w:rsid w:val="003D43D4"/>
    <w:rsid w:val="003D52ED"/>
    <w:rsid w:val="003D71A3"/>
    <w:rsid w:val="003D772F"/>
    <w:rsid w:val="003D7BE6"/>
    <w:rsid w:val="003E03C5"/>
    <w:rsid w:val="003E065E"/>
    <w:rsid w:val="003E1FB8"/>
    <w:rsid w:val="003E23A1"/>
    <w:rsid w:val="003E2B8A"/>
    <w:rsid w:val="003E3816"/>
    <w:rsid w:val="003E3C20"/>
    <w:rsid w:val="003E3C99"/>
    <w:rsid w:val="003E43D4"/>
    <w:rsid w:val="003E4649"/>
    <w:rsid w:val="003E4A14"/>
    <w:rsid w:val="003E585A"/>
    <w:rsid w:val="003E5CB2"/>
    <w:rsid w:val="003E6766"/>
    <w:rsid w:val="003E68A5"/>
    <w:rsid w:val="003F042D"/>
    <w:rsid w:val="003F059A"/>
    <w:rsid w:val="003F0FB6"/>
    <w:rsid w:val="003F10EE"/>
    <w:rsid w:val="003F1226"/>
    <w:rsid w:val="003F16F6"/>
    <w:rsid w:val="003F29EE"/>
    <w:rsid w:val="003F2CCA"/>
    <w:rsid w:val="003F2F9F"/>
    <w:rsid w:val="003F3379"/>
    <w:rsid w:val="003F41F4"/>
    <w:rsid w:val="003F4477"/>
    <w:rsid w:val="003F4500"/>
    <w:rsid w:val="003F48FC"/>
    <w:rsid w:val="003F4DC7"/>
    <w:rsid w:val="003F501E"/>
    <w:rsid w:val="003F5235"/>
    <w:rsid w:val="003F63F9"/>
    <w:rsid w:val="003F7ABC"/>
    <w:rsid w:val="003F7DCA"/>
    <w:rsid w:val="00400A60"/>
    <w:rsid w:val="00400FB6"/>
    <w:rsid w:val="0040191E"/>
    <w:rsid w:val="004022AA"/>
    <w:rsid w:val="004023D0"/>
    <w:rsid w:val="004027E4"/>
    <w:rsid w:val="00403A0A"/>
    <w:rsid w:val="00403FDF"/>
    <w:rsid w:val="00404329"/>
    <w:rsid w:val="00405452"/>
    <w:rsid w:val="00405B52"/>
    <w:rsid w:val="0041071D"/>
    <w:rsid w:val="00410BBA"/>
    <w:rsid w:val="0041191A"/>
    <w:rsid w:val="00411DA4"/>
    <w:rsid w:val="0041238D"/>
    <w:rsid w:val="00412ADC"/>
    <w:rsid w:val="004148B9"/>
    <w:rsid w:val="00414AFC"/>
    <w:rsid w:val="004151A7"/>
    <w:rsid w:val="00415310"/>
    <w:rsid w:val="00416615"/>
    <w:rsid w:val="00416964"/>
    <w:rsid w:val="004170B6"/>
    <w:rsid w:val="00417958"/>
    <w:rsid w:val="004179AB"/>
    <w:rsid w:val="00417CD1"/>
    <w:rsid w:val="00421479"/>
    <w:rsid w:val="00421709"/>
    <w:rsid w:val="00423763"/>
    <w:rsid w:val="00425EC9"/>
    <w:rsid w:val="00426241"/>
    <w:rsid w:val="0042668F"/>
    <w:rsid w:val="0042762F"/>
    <w:rsid w:val="00427A66"/>
    <w:rsid w:val="00427DC7"/>
    <w:rsid w:val="00430012"/>
    <w:rsid w:val="00431613"/>
    <w:rsid w:val="00431792"/>
    <w:rsid w:val="0043297A"/>
    <w:rsid w:val="00432E23"/>
    <w:rsid w:val="00432EB2"/>
    <w:rsid w:val="00433C7F"/>
    <w:rsid w:val="00435567"/>
    <w:rsid w:val="00435728"/>
    <w:rsid w:val="004357F6"/>
    <w:rsid w:val="00435EDC"/>
    <w:rsid w:val="0043714F"/>
    <w:rsid w:val="004377D7"/>
    <w:rsid w:val="00440746"/>
    <w:rsid w:val="00441B1E"/>
    <w:rsid w:val="004429BA"/>
    <w:rsid w:val="004438B5"/>
    <w:rsid w:val="004438D7"/>
    <w:rsid w:val="00445C65"/>
    <w:rsid w:val="004468E4"/>
    <w:rsid w:val="00447037"/>
    <w:rsid w:val="0045124D"/>
    <w:rsid w:val="00451C4B"/>
    <w:rsid w:val="004523B5"/>
    <w:rsid w:val="00452E1F"/>
    <w:rsid w:val="00453D29"/>
    <w:rsid w:val="00454596"/>
    <w:rsid w:val="0045484C"/>
    <w:rsid w:val="004551AB"/>
    <w:rsid w:val="0045605D"/>
    <w:rsid w:val="004579F5"/>
    <w:rsid w:val="0046135B"/>
    <w:rsid w:val="00461D47"/>
    <w:rsid w:val="00461E30"/>
    <w:rsid w:val="0046211C"/>
    <w:rsid w:val="00462177"/>
    <w:rsid w:val="00463C89"/>
    <w:rsid w:val="004650E3"/>
    <w:rsid w:val="00465EBE"/>
    <w:rsid w:val="00466DD1"/>
    <w:rsid w:val="004677A4"/>
    <w:rsid w:val="00470DCD"/>
    <w:rsid w:val="0047114C"/>
    <w:rsid w:val="004718CC"/>
    <w:rsid w:val="00472694"/>
    <w:rsid w:val="00472ECD"/>
    <w:rsid w:val="00472F62"/>
    <w:rsid w:val="00472FF1"/>
    <w:rsid w:val="00473788"/>
    <w:rsid w:val="00474322"/>
    <w:rsid w:val="0047480D"/>
    <w:rsid w:val="00475AFA"/>
    <w:rsid w:val="00476E34"/>
    <w:rsid w:val="0047743A"/>
    <w:rsid w:val="00477D22"/>
    <w:rsid w:val="0048006E"/>
    <w:rsid w:val="0048011B"/>
    <w:rsid w:val="004811CA"/>
    <w:rsid w:val="00481695"/>
    <w:rsid w:val="00482E9D"/>
    <w:rsid w:val="00484E08"/>
    <w:rsid w:val="00485DEF"/>
    <w:rsid w:val="004871C8"/>
    <w:rsid w:val="004878F0"/>
    <w:rsid w:val="00487CC1"/>
    <w:rsid w:val="00491CD6"/>
    <w:rsid w:val="004942B3"/>
    <w:rsid w:val="00495A96"/>
    <w:rsid w:val="00495BB3"/>
    <w:rsid w:val="004A2EB8"/>
    <w:rsid w:val="004A3219"/>
    <w:rsid w:val="004A35F8"/>
    <w:rsid w:val="004A3B77"/>
    <w:rsid w:val="004A4D96"/>
    <w:rsid w:val="004A56BB"/>
    <w:rsid w:val="004A5DDF"/>
    <w:rsid w:val="004A70D6"/>
    <w:rsid w:val="004A76F6"/>
    <w:rsid w:val="004A7A00"/>
    <w:rsid w:val="004B0BA8"/>
    <w:rsid w:val="004B1751"/>
    <w:rsid w:val="004B28D7"/>
    <w:rsid w:val="004B5BAD"/>
    <w:rsid w:val="004B6145"/>
    <w:rsid w:val="004B7D39"/>
    <w:rsid w:val="004B7D43"/>
    <w:rsid w:val="004C0253"/>
    <w:rsid w:val="004C0282"/>
    <w:rsid w:val="004C166D"/>
    <w:rsid w:val="004C4A29"/>
    <w:rsid w:val="004D20E7"/>
    <w:rsid w:val="004D2A39"/>
    <w:rsid w:val="004D31A8"/>
    <w:rsid w:val="004D3424"/>
    <w:rsid w:val="004D47FA"/>
    <w:rsid w:val="004D566E"/>
    <w:rsid w:val="004D56FF"/>
    <w:rsid w:val="004D6626"/>
    <w:rsid w:val="004D6780"/>
    <w:rsid w:val="004D6D54"/>
    <w:rsid w:val="004D6DCB"/>
    <w:rsid w:val="004E35B4"/>
    <w:rsid w:val="004E39A7"/>
    <w:rsid w:val="004E39D3"/>
    <w:rsid w:val="004E4CEA"/>
    <w:rsid w:val="004E508A"/>
    <w:rsid w:val="004E5B94"/>
    <w:rsid w:val="004E616D"/>
    <w:rsid w:val="004E6221"/>
    <w:rsid w:val="004F1BDE"/>
    <w:rsid w:val="004F2CEE"/>
    <w:rsid w:val="004F2F94"/>
    <w:rsid w:val="004F3362"/>
    <w:rsid w:val="004F3972"/>
    <w:rsid w:val="004F556E"/>
    <w:rsid w:val="004F591C"/>
    <w:rsid w:val="004F5F4F"/>
    <w:rsid w:val="004F66B9"/>
    <w:rsid w:val="004F7241"/>
    <w:rsid w:val="004F7700"/>
    <w:rsid w:val="004F7F44"/>
    <w:rsid w:val="00502315"/>
    <w:rsid w:val="005037B4"/>
    <w:rsid w:val="00504956"/>
    <w:rsid w:val="00505423"/>
    <w:rsid w:val="00505FE1"/>
    <w:rsid w:val="00506A27"/>
    <w:rsid w:val="00506BFE"/>
    <w:rsid w:val="005079BF"/>
    <w:rsid w:val="00507CA0"/>
    <w:rsid w:val="005119C5"/>
    <w:rsid w:val="0051269A"/>
    <w:rsid w:val="00512E49"/>
    <w:rsid w:val="0051366A"/>
    <w:rsid w:val="00514BC5"/>
    <w:rsid w:val="0051610B"/>
    <w:rsid w:val="00517360"/>
    <w:rsid w:val="00517ECB"/>
    <w:rsid w:val="00521338"/>
    <w:rsid w:val="005214D8"/>
    <w:rsid w:val="005219E7"/>
    <w:rsid w:val="00522316"/>
    <w:rsid w:val="005223B8"/>
    <w:rsid w:val="005224FE"/>
    <w:rsid w:val="00522C93"/>
    <w:rsid w:val="0052346D"/>
    <w:rsid w:val="00523A92"/>
    <w:rsid w:val="00525389"/>
    <w:rsid w:val="0052561F"/>
    <w:rsid w:val="0053064C"/>
    <w:rsid w:val="00531B9A"/>
    <w:rsid w:val="00531D15"/>
    <w:rsid w:val="00532754"/>
    <w:rsid w:val="00532EA7"/>
    <w:rsid w:val="00533234"/>
    <w:rsid w:val="00534254"/>
    <w:rsid w:val="00535032"/>
    <w:rsid w:val="00535D10"/>
    <w:rsid w:val="00536D12"/>
    <w:rsid w:val="00536DA2"/>
    <w:rsid w:val="00536DBA"/>
    <w:rsid w:val="00536EBE"/>
    <w:rsid w:val="00537604"/>
    <w:rsid w:val="00537A1B"/>
    <w:rsid w:val="0054063A"/>
    <w:rsid w:val="0054072D"/>
    <w:rsid w:val="00541754"/>
    <w:rsid w:val="00541771"/>
    <w:rsid w:val="00542377"/>
    <w:rsid w:val="005439DE"/>
    <w:rsid w:val="00543F5C"/>
    <w:rsid w:val="005444A5"/>
    <w:rsid w:val="00545757"/>
    <w:rsid w:val="00545C4A"/>
    <w:rsid w:val="00546352"/>
    <w:rsid w:val="005476EB"/>
    <w:rsid w:val="00547AFE"/>
    <w:rsid w:val="00551782"/>
    <w:rsid w:val="00551812"/>
    <w:rsid w:val="005521E8"/>
    <w:rsid w:val="005529F8"/>
    <w:rsid w:val="00553197"/>
    <w:rsid w:val="00553323"/>
    <w:rsid w:val="0055342D"/>
    <w:rsid w:val="005541B6"/>
    <w:rsid w:val="00554444"/>
    <w:rsid w:val="00554A7A"/>
    <w:rsid w:val="00554B68"/>
    <w:rsid w:val="005552F5"/>
    <w:rsid w:val="00556BAE"/>
    <w:rsid w:val="00557B0B"/>
    <w:rsid w:val="00557BEC"/>
    <w:rsid w:val="00557DF8"/>
    <w:rsid w:val="0056095E"/>
    <w:rsid w:val="00560C6E"/>
    <w:rsid w:val="005624D9"/>
    <w:rsid w:val="00562A23"/>
    <w:rsid w:val="00562B13"/>
    <w:rsid w:val="00562CED"/>
    <w:rsid w:val="005635BF"/>
    <w:rsid w:val="00563EF1"/>
    <w:rsid w:val="0056535A"/>
    <w:rsid w:val="005658CC"/>
    <w:rsid w:val="00565910"/>
    <w:rsid w:val="00565C28"/>
    <w:rsid w:val="00565E81"/>
    <w:rsid w:val="0056676D"/>
    <w:rsid w:val="00566AB4"/>
    <w:rsid w:val="00566C6D"/>
    <w:rsid w:val="00566FF6"/>
    <w:rsid w:val="005676A5"/>
    <w:rsid w:val="00567F31"/>
    <w:rsid w:val="005709F3"/>
    <w:rsid w:val="00571D32"/>
    <w:rsid w:val="00571EAC"/>
    <w:rsid w:val="00572A33"/>
    <w:rsid w:val="00573812"/>
    <w:rsid w:val="00573C4B"/>
    <w:rsid w:val="00574367"/>
    <w:rsid w:val="00574541"/>
    <w:rsid w:val="00575AC5"/>
    <w:rsid w:val="0057602C"/>
    <w:rsid w:val="0057605D"/>
    <w:rsid w:val="00577A85"/>
    <w:rsid w:val="00577AA5"/>
    <w:rsid w:val="00577D57"/>
    <w:rsid w:val="00580C53"/>
    <w:rsid w:val="00581347"/>
    <w:rsid w:val="00581AC9"/>
    <w:rsid w:val="00582302"/>
    <w:rsid w:val="00582367"/>
    <w:rsid w:val="00582757"/>
    <w:rsid w:val="00583DBA"/>
    <w:rsid w:val="00583EB0"/>
    <w:rsid w:val="00583F2C"/>
    <w:rsid w:val="00583F4D"/>
    <w:rsid w:val="005845FB"/>
    <w:rsid w:val="0058479D"/>
    <w:rsid w:val="005849F8"/>
    <w:rsid w:val="00585492"/>
    <w:rsid w:val="00585953"/>
    <w:rsid w:val="00587458"/>
    <w:rsid w:val="005874D1"/>
    <w:rsid w:val="00587894"/>
    <w:rsid w:val="00587F2E"/>
    <w:rsid w:val="00590367"/>
    <w:rsid w:val="005919CA"/>
    <w:rsid w:val="00591C7A"/>
    <w:rsid w:val="00591E0B"/>
    <w:rsid w:val="005926D5"/>
    <w:rsid w:val="005938DF"/>
    <w:rsid w:val="0059457E"/>
    <w:rsid w:val="00594DA4"/>
    <w:rsid w:val="00594E9C"/>
    <w:rsid w:val="00597854"/>
    <w:rsid w:val="00597B1F"/>
    <w:rsid w:val="005A099B"/>
    <w:rsid w:val="005A0C54"/>
    <w:rsid w:val="005A10F0"/>
    <w:rsid w:val="005A19C2"/>
    <w:rsid w:val="005A2D5A"/>
    <w:rsid w:val="005A2D9C"/>
    <w:rsid w:val="005A321F"/>
    <w:rsid w:val="005A35FB"/>
    <w:rsid w:val="005A4CE3"/>
    <w:rsid w:val="005A55FE"/>
    <w:rsid w:val="005A6A11"/>
    <w:rsid w:val="005A792F"/>
    <w:rsid w:val="005B178B"/>
    <w:rsid w:val="005B198E"/>
    <w:rsid w:val="005B2E72"/>
    <w:rsid w:val="005B2F0D"/>
    <w:rsid w:val="005B61CE"/>
    <w:rsid w:val="005B76F7"/>
    <w:rsid w:val="005C0051"/>
    <w:rsid w:val="005C0D14"/>
    <w:rsid w:val="005C262E"/>
    <w:rsid w:val="005C34EF"/>
    <w:rsid w:val="005C3514"/>
    <w:rsid w:val="005C48C9"/>
    <w:rsid w:val="005C543D"/>
    <w:rsid w:val="005C5FFA"/>
    <w:rsid w:val="005C7E50"/>
    <w:rsid w:val="005D018B"/>
    <w:rsid w:val="005D083B"/>
    <w:rsid w:val="005D2502"/>
    <w:rsid w:val="005D253B"/>
    <w:rsid w:val="005D404D"/>
    <w:rsid w:val="005D40BB"/>
    <w:rsid w:val="005D47F3"/>
    <w:rsid w:val="005D49BF"/>
    <w:rsid w:val="005D4AA5"/>
    <w:rsid w:val="005D5BFA"/>
    <w:rsid w:val="005D5CD2"/>
    <w:rsid w:val="005D6F4E"/>
    <w:rsid w:val="005D7C73"/>
    <w:rsid w:val="005D7DE5"/>
    <w:rsid w:val="005E0012"/>
    <w:rsid w:val="005E250B"/>
    <w:rsid w:val="005E317C"/>
    <w:rsid w:val="005E3ACD"/>
    <w:rsid w:val="005E46B9"/>
    <w:rsid w:val="005E536A"/>
    <w:rsid w:val="005E5872"/>
    <w:rsid w:val="005E6734"/>
    <w:rsid w:val="005E6CDF"/>
    <w:rsid w:val="005E7226"/>
    <w:rsid w:val="005E7A57"/>
    <w:rsid w:val="005F05DC"/>
    <w:rsid w:val="005F15AB"/>
    <w:rsid w:val="005F24B0"/>
    <w:rsid w:val="005F3E11"/>
    <w:rsid w:val="005F44F5"/>
    <w:rsid w:val="005F46C6"/>
    <w:rsid w:val="005F4CF9"/>
    <w:rsid w:val="005F5CAC"/>
    <w:rsid w:val="005F6309"/>
    <w:rsid w:val="005F6333"/>
    <w:rsid w:val="005F67A7"/>
    <w:rsid w:val="00600790"/>
    <w:rsid w:val="00604315"/>
    <w:rsid w:val="00604651"/>
    <w:rsid w:val="00604E26"/>
    <w:rsid w:val="00604FCD"/>
    <w:rsid w:val="0060523F"/>
    <w:rsid w:val="006052CF"/>
    <w:rsid w:val="00605E68"/>
    <w:rsid w:val="00606508"/>
    <w:rsid w:val="00607B8D"/>
    <w:rsid w:val="00607D4F"/>
    <w:rsid w:val="00607E20"/>
    <w:rsid w:val="00610B42"/>
    <w:rsid w:val="00610F59"/>
    <w:rsid w:val="00611436"/>
    <w:rsid w:val="00611F5C"/>
    <w:rsid w:val="00612E0E"/>
    <w:rsid w:val="0061353A"/>
    <w:rsid w:val="00613AEC"/>
    <w:rsid w:val="006140D7"/>
    <w:rsid w:val="006145A8"/>
    <w:rsid w:val="00614D58"/>
    <w:rsid w:val="00615013"/>
    <w:rsid w:val="00615D83"/>
    <w:rsid w:val="00616A0E"/>
    <w:rsid w:val="00616E09"/>
    <w:rsid w:val="006206A8"/>
    <w:rsid w:val="0062164F"/>
    <w:rsid w:val="00622A3B"/>
    <w:rsid w:val="00622EEA"/>
    <w:rsid w:val="0062327B"/>
    <w:rsid w:val="0062396C"/>
    <w:rsid w:val="00623FB7"/>
    <w:rsid w:val="00623FF9"/>
    <w:rsid w:val="00624B8C"/>
    <w:rsid w:val="00625B5D"/>
    <w:rsid w:val="00625EA1"/>
    <w:rsid w:val="00626AA5"/>
    <w:rsid w:val="00626F3B"/>
    <w:rsid w:val="00627D4E"/>
    <w:rsid w:val="00631344"/>
    <w:rsid w:val="006320E2"/>
    <w:rsid w:val="0063226D"/>
    <w:rsid w:val="00632578"/>
    <w:rsid w:val="00632B07"/>
    <w:rsid w:val="00632B89"/>
    <w:rsid w:val="00633461"/>
    <w:rsid w:val="0063346D"/>
    <w:rsid w:val="00634478"/>
    <w:rsid w:val="00635C54"/>
    <w:rsid w:val="006366C6"/>
    <w:rsid w:val="00636DDA"/>
    <w:rsid w:val="0063714D"/>
    <w:rsid w:val="00637C64"/>
    <w:rsid w:val="00637E6E"/>
    <w:rsid w:val="006405B7"/>
    <w:rsid w:val="006406F6"/>
    <w:rsid w:val="00642FF0"/>
    <w:rsid w:val="006432D8"/>
    <w:rsid w:val="00643F29"/>
    <w:rsid w:val="00644373"/>
    <w:rsid w:val="0064441C"/>
    <w:rsid w:val="0064516A"/>
    <w:rsid w:val="0064546B"/>
    <w:rsid w:val="00645915"/>
    <w:rsid w:val="00645B08"/>
    <w:rsid w:val="0064675E"/>
    <w:rsid w:val="00646CC4"/>
    <w:rsid w:val="00647320"/>
    <w:rsid w:val="0065042D"/>
    <w:rsid w:val="00650930"/>
    <w:rsid w:val="006519C3"/>
    <w:rsid w:val="006522C6"/>
    <w:rsid w:val="00652451"/>
    <w:rsid w:val="0065265D"/>
    <w:rsid w:val="00652B30"/>
    <w:rsid w:val="00653A9A"/>
    <w:rsid w:val="00653E10"/>
    <w:rsid w:val="00653FCF"/>
    <w:rsid w:val="0065401E"/>
    <w:rsid w:val="00654D63"/>
    <w:rsid w:val="00654FBA"/>
    <w:rsid w:val="00656345"/>
    <w:rsid w:val="00656DC6"/>
    <w:rsid w:val="00657865"/>
    <w:rsid w:val="00660EC6"/>
    <w:rsid w:val="00661A36"/>
    <w:rsid w:val="00661E73"/>
    <w:rsid w:val="00662CFB"/>
    <w:rsid w:val="00662CFD"/>
    <w:rsid w:val="006632B2"/>
    <w:rsid w:val="00664110"/>
    <w:rsid w:val="00664546"/>
    <w:rsid w:val="00664895"/>
    <w:rsid w:val="00664CB1"/>
    <w:rsid w:val="00664D17"/>
    <w:rsid w:val="00666520"/>
    <w:rsid w:val="00666753"/>
    <w:rsid w:val="00667766"/>
    <w:rsid w:val="0066782A"/>
    <w:rsid w:val="00667C5B"/>
    <w:rsid w:val="006700D4"/>
    <w:rsid w:val="00670BA8"/>
    <w:rsid w:val="00670DB7"/>
    <w:rsid w:val="00671AD9"/>
    <w:rsid w:val="00672022"/>
    <w:rsid w:val="00673975"/>
    <w:rsid w:val="006747C2"/>
    <w:rsid w:val="00676266"/>
    <w:rsid w:val="00677B30"/>
    <w:rsid w:val="00680CA5"/>
    <w:rsid w:val="00681C0C"/>
    <w:rsid w:val="00681EF4"/>
    <w:rsid w:val="0068274E"/>
    <w:rsid w:val="00682844"/>
    <w:rsid w:val="00682F08"/>
    <w:rsid w:val="00684659"/>
    <w:rsid w:val="00684FE3"/>
    <w:rsid w:val="00686377"/>
    <w:rsid w:val="00686F7F"/>
    <w:rsid w:val="0068709A"/>
    <w:rsid w:val="00687B64"/>
    <w:rsid w:val="00687C93"/>
    <w:rsid w:val="0069033E"/>
    <w:rsid w:val="00690ACD"/>
    <w:rsid w:val="00690CA5"/>
    <w:rsid w:val="00691EB8"/>
    <w:rsid w:val="00692592"/>
    <w:rsid w:val="006929F7"/>
    <w:rsid w:val="00692CDE"/>
    <w:rsid w:val="00693073"/>
    <w:rsid w:val="006930BB"/>
    <w:rsid w:val="00693D36"/>
    <w:rsid w:val="00693E71"/>
    <w:rsid w:val="00696026"/>
    <w:rsid w:val="006977FF"/>
    <w:rsid w:val="006A01FA"/>
    <w:rsid w:val="006A031E"/>
    <w:rsid w:val="006A052E"/>
    <w:rsid w:val="006A0E9E"/>
    <w:rsid w:val="006A1895"/>
    <w:rsid w:val="006A1899"/>
    <w:rsid w:val="006A25C7"/>
    <w:rsid w:val="006A2DDD"/>
    <w:rsid w:val="006A4AAD"/>
    <w:rsid w:val="006A4CCA"/>
    <w:rsid w:val="006A4D22"/>
    <w:rsid w:val="006A5B1D"/>
    <w:rsid w:val="006A67CD"/>
    <w:rsid w:val="006A6DA2"/>
    <w:rsid w:val="006A7AB2"/>
    <w:rsid w:val="006A7DFD"/>
    <w:rsid w:val="006B05D8"/>
    <w:rsid w:val="006B2819"/>
    <w:rsid w:val="006B3865"/>
    <w:rsid w:val="006B3FD8"/>
    <w:rsid w:val="006B4BB6"/>
    <w:rsid w:val="006B52DE"/>
    <w:rsid w:val="006B5717"/>
    <w:rsid w:val="006B582F"/>
    <w:rsid w:val="006B5EB2"/>
    <w:rsid w:val="006C0508"/>
    <w:rsid w:val="006C0CEB"/>
    <w:rsid w:val="006C0F11"/>
    <w:rsid w:val="006C1631"/>
    <w:rsid w:val="006C26FA"/>
    <w:rsid w:val="006C31EB"/>
    <w:rsid w:val="006C3B1E"/>
    <w:rsid w:val="006C4357"/>
    <w:rsid w:val="006C47FD"/>
    <w:rsid w:val="006C563E"/>
    <w:rsid w:val="006C5C19"/>
    <w:rsid w:val="006C663F"/>
    <w:rsid w:val="006C6868"/>
    <w:rsid w:val="006C70A0"/>
    <w:rsid w:val="006D15EA"/>
    <w:rsid w:val="006D220A"/>
    <w:rsid w:val="006D27CB"/>
    <w:rsid w:val="006D2F08"/>
    <w:rsid w:val="006D4A6D"/>
    <w:rsid w:val="006D4D3A"/>
    <w:rsid w:val="006D5681"/>
    <w:rsid w:val="006D576C"/>
    <w:rsid w:val="006D5865"/>
    <w:rsid w:val="006E04A1"/>
    <w:rsid w:val="006E04FD"/>
    <w:rsid w:val="006E1DDB"/>
    <w:rsid w:val="006E2623"/>
    <w:rsid w:val="006E3D2A"/>
    <w:rsid w:val="006E4B1B"/>
    <w:rsid w:val="006E5445"/>
    <w:rsid w:val="006E5918"/>
    <w:rsid w:val="006E6587"/>
    <w:rsid w:val="006E6C9D"/>
    <w:rsid w:val="006E7B39"/>
    <w:rsid w:val="006E7D93"/>
    <w:rsid w:val="006E7DA7"/>
    <w:rsid w:val="006E7DDD"/>
    <w:rsid w:val="006F01D7"/>
    <w:rsid w:val="006F0C78"/>
    <w:rsid w:val="006F1EF7"/>
    <w:rsid w:val="006F2BD1"/>
    <w:rsid w:val="006F3E05"/>
    <w:rsid w:val="006F46CA"/>
    <w:rsid w:val="006F610F"/>
    <w:rsid w:val="006F6530"/>
    <w:rsid w:val="0070030A"/>
    <w:rsid w:val="007009B1"/>
    <w:rsid w:val="00700EC6"/>
    <w:rsid w:val="0070133D"/>
    <w:rsid w:val="007019F9"/>
    <w:rsid w:val="00701BB9"/>
    <w:rsid w:val="00702550"/>
    <w:rsid w:val="007029A3"/>
    <w:rsid w:val="00702A87"/>
    <w:rsid w:val="0070524F"/>
    <w:rsid w:val="00705D0B"/>
    <w:rsid w:val="00706DB2"/>
    <w:rsid w:val="00706DDC"/>
    <w:rsid w:val="00706E4E"/>
    <w:rsid w:val="007078A5"/>
    <w:rsid w:val="0070791C"/>
    <w:rsid w:val="00711534"/>
    <w:rsid w:val="00711664"/>
    <w:rsid w:val="00711BEC"/>
    <w:rsid w:val="00712154"/>
    <w:rsid w:val="0071318B"/>
    <w:rsid w:val="0071343D"/>
    <w:rsid w:val="0071383C"/>
    <w:rsid w:val="00713841"/>
    <w:rsid w:val="00713C0A"/>
    <w:rsid w:val="00713DCC"/>
    <w:rsid w:val="007141A7"/>
    <w:rsid w:val="0071447C"/>
    <w:rsid w:val="00715382"/>
    <w:rsid w:val="00715722"/>
    <w:rsid w:val="007159CF"/>
    <w:rsid w:val="00715BAF"/>
    <w:rsid w:val="00715C9E"/>
    <w:rsid w:val="00716098"/>
    <w:rsid w:val="00717A49"/>
    <w:rsid w:val="00720125"/>
    <w:rsid w:val="00720D30"/>
    <w:rsid w:val="00721032"/>
    <w:rsid w:val="00721473"/>
    <w:rsid w:val="00721B55"/>
    <w:rsid w:val="00723587"/>
    <w:rsid w:val="00723648"/>
    <w:rsid w:val="00724F69"/>
    <w:rsid w:val="007253A0"/>
    <w:rsid w:val="0072566E"/>
    <w:rsid w:val="007261E4"/>
    <w:rsid w:val="00726CE4"/>
    <w:rsid w:val="00730536"/>
    <w:rsid w:val="007306E9"/>
    <w:rsid w:val="007317C3"/>
    <w:rsid w:val="0073330F"/>
    <w:rsid w:val="00733B41"/>
    <w:rsid w:val="00733BD2"/>
    <w:rsid w:val="00734143"/>
    <w:rsid w:val="007346CF"/>
    <w:rsid w:val="007355A7"/>
    <w:rsid w:val="00735E4A"/>
    <w:rsid w:val="00736CC9"/>
    <w:rsid w:val="00737E47"/>
    <w:rsid w:val="00740C34"/>
    <w:rsid w:val="00740EAC"/>
    <w:rsid w:val="00742535"/>
    <w:rsid w:val="00742AB3"/>
    <w:rsid w:val="007443D5"/>
    <w:rsid w:val="007448E5"/>
    <w:rsid w:val="00744956"/>
    <w:rsid w:val="0074540C"/>
    <w:rsid w:val="00745A5C"/>
    <w:rsid w:val="0074605F"/>
    <w:rsid w:val="00747356"/>
    <w:rsid w:val="00747E42"/>
    <w:rsid w:val="00747E94"/>
    <w:rsid w:val="0075182F"/>
    <w:rsid w:val="00751AC6"/>
    <w:rsid w:val="00751C89"/>
    <w:rsid w:val="00754C83"/>
    <w:rsid w:val="00754F04"/>
    <w:rsid w:val="00755174"/>
    <w:rsid w:val="00756391"/>
    <w:rsid w:val="00756733"/>
    <w:rsid w:val="00760316"/>
    <w:rsid w:val="00761E5C"/>
    <w:rsid w:val="00762329"/>
    <w:rsid w:val="00762347"/>
    <w:rsid w:val="007633E1"/>
    <w:rsid w:val="00763C16"/>
    <w:rsid w:val="00765494"/>
    <w:rsid w:val="0076574D"/>
    <w:rsid w:val="00765DF8"/>
    <w:rsid w:val="007660CE"/>
    <w:rsid w:val="00766749"/>
    <w:rsid w:val="00767C1B"/>
    <w:rsid w:val="007700F7"/>
    <w:rsid w:val="007701FF"/>
    <w:rsid w:val="0077021C"/>
    <w:rsid w:val="00770B3F"/>
    <w:rsid w:val="007714A9"/>
    <w:rsid w:val="00771EB1"/>
    <w:rsid w:val="0077276B"/>
    <w:rsid w:val="00772EE4"/>
    <w:rsid w:val="00772FC7"/>
    <w:rsid w:val="00773C84"/>
    <w:rsid w:val="00774F88"/>
    <w:rsid w:val="00774FDB"/>
    <w:rsid w:val="00776E2F"/>
    <w:rsid w:val="00777451"/>
    <w:rsid w:val="00777BA2"/>
    <w:rsid w:val="00777FC9"/>
    <w:rsid w:val="00781408"/>
    <w:rsid w:val="00781C8C"/>
    <w:rsid w:val="00782B65"/>
    <w:rsid w:val="00784F7F"/>
    <w:rsid w:val="00785200"/>
    <w:rsid w:val="007853BC"/>
    <w:rsid w:val="007865EA"/>
    <w:rsid w:val="0078746A"/>
    <w:rsid w:val="007878BD"/>
    <w:rsid w:val="00787B4E"/>
    <w:rsid w:val="00791DF4"/>
    <w:rsid w:val="00792653"/>
    <w:rsid w:val="00792762"/>
    <w:rsid w:val="007941ED"/>
    <w:rsid w:val="00796A5E"/>
    <w:rsid w:val="00796F25"/>
    <w:rsid w:val="0079710E"/>
    <w:rsid w:val="0079762F"/>
    <w:rsid w:val="007976DC"/>
    <w:rsid w:val="00797E1A"/>
    <w:rsid w:val="007A0DE4"/>
    <w:rsid w:val="007A255D"/>
    <w:rsid w:val="007A2D28"/>
    <w:rsid w:val="007A2E98"/>
    <w:rsid w:val="007A3BA3"/>
    <w:rsid w:val="007A43CE"/>
    <w:rsid w:val="007A4EAF"/>
    <w:rsid w:val="007A527D"/>
    <w:rsid w:val="007A6B5A"/>
    <w:rsid w:val="007A6CC0"/>
    <w:rsid w:val="007A7B0F"/>
    <w:rsid w:val="007A7FEC"/>
    <w:rsid w:val="007B1499"/>
    <w:rsid w:val="007B1818"/>
    <w:rsid w:val="007B1BBF"/>
    <w:rsid w:val="007B2960"/>
    <w:rsid w:val="007B2EAD"/>
    <w:rsid w:val="007B2FC8"/>
    <w:rsid w:val="007B355D"/>
    <w:rsid w:val="007B35D2"/>
    <w:rsid w:val="007B48FF"/>
    <w:rsid w:val="007B5C3A"/>
    <w:rsid w:val="007B7975"/>
    <w:rsid w:val="007B7980"/>
    <w:rsid w:val="007C0DEF"/>
    <w:rsid w:val="007C0E08"/>
    <w:rsid w:val="007C138B"/>
    <w:rsid w:val="007C1E43"/>
    <w:rsid w:val="007C2061"/>
    <w:rsid w:val="007C24E2"/>
    <w:rsid w:val="007C2B2E"/>
    <w:rsid w:val="007C3176"/>
    <w:rsid w:val="007C49CB"/>
    <w:rsid w:val="007C5B4E"/>
    <w:rsid w:val="007C5D5A"/>
    <w:rsid w:val="007C607F"/>
    <w:rsid w:val="007C7399"/>
    <w:rsid w:val="007C79DD"/>
    <w:rsid w:val="007D1A97"/>
    <w:rsid w:val="007D2661"/>
    <w:rsid w:val="007D2CD3"/>
    <w:rsid w:val="007D2CD6"/>
    <w:rsid w:val="007D3063"/>
    <w:rsid w:val="007D3087"/>
    <w:rsid w:val="007D3CEB"/>
    <w:rsid w:val="007D4426"/>
    <w:rsid w:val="007D4672"/>
    <w:rsid w:val="007D4D59"/>
    <w:rsid w:val="007D51C0"/>
    <w:rsid w:val="007E0044"/>
    <w:rsid w:val="007E1C07"/>
    <w:rsid w:val="007E24DB"/>
    <w:rsid w:val="007E3C44"/>
    <w:rsid w:val="007E5275"/>
    <w:rsid w:val="007E5EBB"/>
    <w:rsid w:val="007E64C3"/>
    <w:rsid w:val="007E6B0C"/>
    <w:rsid w:val="007E7683"/>
    <w:rsid w:val="007F0AA9"/>
    <w:rsid w:val="007F0EAA"/>
    <w:rsid w:val="007F19BE"/>
    <w:rsid w:val="007F3355"/>
    <w:rsid w:val="007F35CB"/>
    <w:rsid w:val="007F4408"/>
    <w:rsid w:val="007F49FA"/>
    <w:rsid w:val="007F54C4"/>
    <w:rsid w:val="007F57A1"/>
    <w:rsid w:val="007F6E9A"/>
    <w:rsid w:val="00800CCD"/>
    <w:rsid w:val="00802958"/>
    <w:rsid w:val="00802F3C"/>
    <w:rsid w:val="008044D4"/>
    <w:rsid w:val="00804E7C"/>
    <w:rsid w:val="008054B7"/>
    <w:rsid w:val="00805731"/>
    <w:rsid w:val="00806D31"/>
    <w:rsid w:val="00806E5A"/>
    <w:rsid w:val="00807442"/>
    <w:rsid w:val="00810AB4"/>
    <w:rsid w:val="00810C35"/>
    <w:rsid w:val="008118F0"/>
    <w:rsid w:val="00811FB5"/>
    <w:rsid w:val="008124E8"/>
    <w:rsid w:val="00812B63"/>
    <w:rsid w:val="00813D88"/>
    <w:rsid w:val="00813E10"/>
    <w:rsid w:val="0081405C"/>
    <w:rsid w:val="0081410D"/>
    <w:rsid w:val="00814B25"/>
    <w:rsid w:val="00816272"/>
    <w:rsid w:val="0081764C"/>
    <w:rsid w:val="008179DF"/>
    <w:rsid w:val="00817B56"/>
    <w:rsid w:val="008217E7"/>
    <w:rsid w:val="00821A88"/>
    <w:rsid w:val="0082254F"/>
    <w:rsid w:val="00822F64"/>
    <w:rsid w:val="0082322E"/>
    <w:rsid w:val="0082382E"/>
    <w:rsid w:val="00823836"/>
    <w:rsid w:val="0082495D"/>
    <w:rsid w:val="00824B94"/>
    <w:rsid w:val="00824E57"/>
    <w:rsid w:val="00825E71"/>
    <w:rsid w:val="00826900"/>
    <w:rsid w:val="00827279"/>
    <w:rsid w:val="0083101A"/>
    <w:rsid w:val="00831AC3"/>
    <w:rsid w:val="00832244"/>
    <w:rsid w:val="00832C24"/>
    <w:rsid w:val="008353DB"/>
    <w:rsid w:val="00835FF7"/>
    <w:rsid w:val="00836991"/>
    <w:rsid w:val="00836B39"/>
    <w:rsid w:val="00836FAF"/>
    <w:rsid w:val="00836FCE"/>
    <w:rsid w:val="00837315"/>
    <w:rsid w:val="0083768C"/>
    <w:rsid w:val="008408FF"/>
    <w:rsid w:val="00840B47"/>
    <w:rsid w:val="00840DE0"/>
    <w:rsid w:val="008416EF"/>
    <w:rsid w:val="00842369"/>
    <w:rsid w:val="008424DF"/>
    <w:rsid w:val="008438B7"/>
    <w:rsid w:val="0084497A"/>
    <w:rsid w:val="00846ABF"/>
    <w:rsid w:val="00846BA3"/>
    <w:rsid w:val="008502C4"/>
    <w:rsid w:val="00851B67"/>
    <w:rsid w:val="00851D4E"/>
    <w:rsid w:val="00851F3F"/>
    <w:rsid w:val="0085206F"/>
    <w:rsid w:val="00852DEB"/>
    <w:rsid w:val="008535B5"/>
    <w:rsid w:val="00853C0F"/>
    <w:rsid w:val="008546D7"/>
    <w:rsid w:val="00854EE6"/>
    <w:rsid w:val="0085507D"/>
    <w:rsid w:val="00856E01"/>
    <w:rsid w:val="00856EDC"/>
    <w:rsid w:val="00856F65"/>
    <w:rsid w:val="008604CD"/>
    <w:rsid w:val="00861111"/>
    <w:rsid w:val="00862046"/>
    <w:rsid w:val="008623B5"/>
    <w:rsid w:val="00863E9D"/>
    <w:rsid w:val="00864202"/>
    <w:rsid w:val="0086420F"/>
    <w:rsid w:val="008643F9"/>
    <w:rsid w:val="00864BA4"/>
    <w:rsid w:val="00865342"/>
    <w:rsid w:val="0086561E"/>
    <w:rsid w:val="008706F8"/>
    <w:rsid w:val="00870ABA"/>
    <w:rsid w:val="008710E1"/>
    <w:rsid w:val="008716E5"/>
    <w:rsid w:val="00874CB6"/>
    <w:rsid w:val="008750BD"/>
    <w:rsid w:val="0087670C"/>
    <w:rsid w:val="00880900"/>
    <w:rsid w:val="00880B6E"/>
    <w:rsid w:val="00881CA9"/>
    <w:rsid w:val="008821D6"/>
    <w:rsid w:val="00882457"/>
    <w:rsid w:val="00883628"/>
    <w:rsid w:val="00883D89"/>
    <w:rsid w:val="00884F8D"/>
    <w:rsid w:val="00885544"/>
    <w:rsid w:val="00885627"/>
    <w:rsid w:val="0088634E"/>
    <w:rsid w:val="008874D6"/>
    <w:rsid w:val="00890167"/>
    <w:rsid w:val="0089149E"/>
    <w:rsid w:val="0089244F"/>
    <w:rsid w:val="00893AB8"/>
    <w:rsid w:val="00895950"/>
    <w:rsid w:val="00897677"/>
    <w:rsid w:val="008A04C8"/>
    <w:rsid w:val="008A4EC7"/>
    <w:rsid w:val="008A4F1B"/>
    <w:rsid w:val="008A5A17"/>
    <w:rsid w:val="008A6069"/>
    <w:rsid w:val="008A6913"/>
    <w:rsid w:val="008A6A61"/>
    <w:rsid w:val="008A78EF"/>
    <w:rsid w:val="008A7E7E"/>
    <w:rsid w:val="008B204A"/>
    <w:rsid w:val="008B293B"/>
    <w:rsid w:val="008B2F4B"/>
    <w:rsid w:val="008B2F60"/>
    <w:rsid w:val="008B3341"/>
    <w:rsid w:val="008B4360"/>
    <w:rsid w:val="008B4C2B"/>
    <w:rsid w:val="008B5254"/>
    <w:rsid w:val="008B552C"/>
    <w:rsid w:val="008B6389"/>
    <w:rsid w:val="008B6445"/>
    <w:rsid w:val="008B667D"/>
    <w:rsid w:val="008B6A18"/>
    <w:rsid w:val="008B6F54"/>
    <w:rsid w:val="008B6F6A"/>
    <w:rsid w:val="008B70F3"/>
    <w:rsid w:val="008B71C4"/>
    <w:rsid w:val="008B746D"/>
    <w:rsid w:val="008B76DF"/>
    <w:rsid w:val="008C10F4"/>
    <w:rsid w:val="008C218C"/>
    <w:rsid w:val="008C2A8C"/>
    <w:rsid w:val="008C318E"/>
    <w:rsid w:val="008C4600"/>
    <w:rsid w:val="008C50E1"/>
    <w:rsid w:val="008C5676"/>
    <w:rsid w:val="008C5ACF"/>
    <w:rsid w:val="008C5BBC"/>
    <w:rsid w:val="008C65F7"/>
    <w:rsid w:val="008C727F"/>
    <w:rsid w:val="008D251E"/>
    <w:rsid w:val="008D2CA4"/>
    <w:rsid w:val="008D3CAD"/>
    <w:rsid w:val="008D4118"/>
    <w:rsid w:val="008D41EF"/>
    <w:rsid w:val="008D4C3F"/>
    <w:rsid w:val="008D4E02"/>
    <w:rsid w:val="008D5ECA"/>
    <w:rsid w:val="008D7E0B"/>
    <w:rsid w:val="008D7E81"/>
    <w:rsid w:val="008E0428"/>
    <w:rsid w:val="008E1334"/>
    <w:rsid w:val="008E1558"/>
    <w:rsid w:val="008E2A18"/>
    <w:rsid w:val="008E3091"/>
    <w:rsid w:val="008E3775"/>
    <w:rsid w:val="008E3900"/>
    <w:rsid w:val="008E4767"/>
    <w:rsid w:val="008E572C"/>
    <w:rsid w:val="008E5745"/>
    <w:rsid w:val="008E5F0A"/>
    <w:rsid w:val="008E6307"/>
    <w:rsid w:val="008E6892"/>
    <w:rsid w:val="008E7730"/>
    <w:rsid w:val="008E7A8C"/>
    <w:rsid w:val="008F00FD"/>
    <w:rsid w:val="008F0D8D"/>
    <w:rsid w:val="008F0DAD"/>
    <w:rsid w:val="008F1AA5"/>
    <w:rsid w:val="008F22DA"/>
    <w:rsid w:val="008F26EB"/>
    <w:rsid w:val="008F4960"/>
    <w:rsid w:val="008F516C"/>
    <w:rsid w:val="008F7EBA"/>
    <w:rsid w:val="009003D2"/>
    <w:rsid w:val="00900BFB"/>
    <w:rsid w:val="00900DBC"/>
    <w:rsid w:val="00900EEA"/>
    <w:rsid w:val="0090203B"/>
    <w:rsid w:val="00903285"/>
    <w:rsid w:val="00903F7F"/>
    <w:rsid w:val="00904A29"/>
    <w:rsid w:val="00905C84"/>
    <w:rsid w:val="00906253"/>
    <w:rsid w:val="00906AD5"/>
    <w:rsid w:val="00906F40"/>
    <w:rsid w:val="009071A0"/>
    <w:rsid w:val="0090731E"/>
    <w:rsid w:val="00911CAA"/>
    <w:rsid w:val="00912D13"/>
    <w:rsid w:val="0091383F"/>
    <w:rsid w:val="00914285"/>
    <w:rsid w:val="009152CE"/>
    <w:rsid w:val="00915B1C"/>
    <w:rsid w:val="009174F3"/>
    <w:rsid w:val="00917642"/>
    <w:rsid w:val="0091797D"/>
    <w:rsid w:val="00917D85"/>
    <w:rsid w:val="00920BCB"/>
    <w:rsid w:val="00921A52"/>
    <w:rsid w:val="00921AD0"/>
    <w:rsid w:val="00923CBA"/>
    <w:rsid w:val="00923F9F"/>
    <w:rsid w:val="00925140"/>
    <w:rsid w:val="00926703"/>
    <w:rsid w:val="00927691"/>
    <w:rsid w:val="00927A5F"/>
    <w:rsid w:val="00927A63"/>
    <w:rsid w:val="00930066"/>
    <w:rsid w:val="00930510"/>
    <w:rsid w:val="009305F2"/>
    <w:rsid w:val="0093128E"/>
    <w:rsid w:val="00931550"/>
    <w:rsid w:val="009318C3"/>
    <w:rsid w:val="00931C08"/>
    <w:rsid w:val="00932D1A"/>
    <w:rsid w:val="00932E33"/>
    <w:rsid w:val="00933C55"/>
    <w:rsid w:val="00935B63"/>
    <w:rsid w:val="009366F1"/>
    <w:rsid w:val="00936E95"/>
    <w:rsid w:val="009370E0"/>
    <w:rsid w:val="0094078F"/>
    <w:rsid w:val="00940A13"/>
    <w:rsid w:val="00940FA3"/>
    <w:rsid w:val="00941DEE"/>
    <w:rsid w:val="00941E28"/>
    <w:rsid w:val="00941FB0"/>
    <w:rsid w:val="00942300"/>
    <w:rsid w:val="009426D4"/>
    <w:rsid w:val="00942DB5"/>
    <w:rsid w:val="009435CB"/>
    <w:rsid w:val="009438AD"/>
    <w:rsid w:val="00943B8F"/>
    <w:rsid w:val="00945882"/>
    <w:rsid w:val="00945CC4"/>
    <w:rsid w:val="009463AA"/>
    <w:rsid w:val="00946A52"/>
    <w:rsid w:val="00946FDB"/>
    <w:rsid w:val="00947897"/>
    <w:rsid w:val="00947D12"/>
    <w:rsid w:val="00947F25"/>
    <w:rsid w:val="00950159"/>
    <w:rsid w:val="00950BBB"/>
    <w:rsid w:val="009517B6"/>
    <w:rsid w:val="0095181E"/>
    <w:rsid w:val="0095235D"/>
    <w:rsid w:val="00952AF4"/>
    <w:rsid w:val="0095490B"/>
    <w:rsid w:val="00955FC0"/>
    <w:rsid w:val="00960A33"/>
    <w:rsid w:val="009626DE"/>
    <w:rsid w:val="009633B3"/>
    <w:rsid w:val="00963F43"/>
    <w:rsid w:val="009640B4"/>
    <w:rsid w:val="009640F5"/>
    <w:rsid w:val="009641D1"/>
    <w:rsid w:val="0096433B"/>
    <w:rsid w:val="009648A7"/>
    <w:rsid w:val="00965E11"/>
    <w:rsid w:val="009670BC"/>
    <w:rsid w:val="00967546"/>
    <w:rsid w:val="009675AD"/>
    <w:rsid w:val="00967BFA"/>
    <w:rsid w:val="009704FE"/>
    <w:rsid w:val="0097052A"/>
    <w:rsid w:val="00971914"/>
    <w:rsid w:val="00971CB0"/>
    <w:rsid w:val="00972D06"/>
    <w:rsid w:val="00972FD5"/>
    <w:rsid w:val="0097417D"/>
    <w:rsid w:val="00974363"/>
    <w:rsid w:val="009769F7"/>
    <w:rsid w:val="00977570"/>
    <w:rsid w:val="00980672"/>
    <w:rsid w:val="009807A5"/>
    <w:rsid w:val="00981898"/>
    <w:rsid w:val="00981D08"/>
    <w:rsid w:val="009829B6"/>
    <w:rsid w:val="00983339"/>
    <w:rsid w:val="009854F2"/>
    <w:rsid w:val="0098602C"/>
    <w:rsid w:val="009863A8"/>
    <w:rsid w:val="0098680A"/>
    <w:rsid w:val="009868E7"/>
    <w:rsid w:val="009868EC"/>
    <w:rsid w:val="00986EE2"/>
    <w:rsid w:val="00987F0D"/>
    <w:rsid w:val="00990CFF"/>
    <w:rsid w:val="00990ED2"/>
    <w:rsid w:val="00990F9F"/>
    <w:rsid w:val="00991D38"/>
    <w:rsid w:val="00992379"/>
    <w:rsid w:val="00992FFA"/>
    <w:rsid w:val="00994341"/>
    <w:rsid w:val="0099467D"/>
    <w:rsid w:val="00994FAF"/>
    <w:rsid w:val="0099577C"/>
    <w:rsid w:val="00995C8C"/>
    <w:rsid w:val="009968C0"/>
    <w:rsid w:val="009974E2"/>
    <w:rsid w:val="009978D5"/>
    <w:rsid w:val="00997987"/>
    <w:rsid w:val="009A021C"/>
    <w:rsid w:val="009A11EA"/>
    <w:rsid w:val="009A25CC"/>
    <w:rsid w:val="009A321B"/>
    <w:rsid w:val="009A3A41"/>
    <w:rsid w:val="009A3CBD"/>
    <w:rsid w:val="009A6961"/>
    <w:rsid w:val="009B0973"/>
    <w:rsid w:val="009B1722"/>
    <w:rsid w:val="009B21D5"/>
    <w:rsid w:val="009B24A5"/>
    <w:rsid w:val="009B2601"/>
    <w:rsid w:val="009B4E9E"/>
    <w:rsid w:val="009B56E2"/>
    <w:rsid w:val="009B58CA"/>
    <w:rsid w:val="009B5F35"/>
    <w:rsid w:val="009B6755"/>
    <w:rsid w:val="009C007C"/>
    <w:rsid w:val="009C01CE"/>
    <w:rsid w:val="009C0705"/>
    <w:rsid w:val="009C0F44"/>
    <w:rsid w:val="009C152F"/>
    <w:rsid w:val="009C1690"/>
    <w:rsid w:val="009C19D6"/>
    <w:rsid w:val="009C1F0B"/>
    <w:rsid w:val="009C2321"/>
    <w:rsid w:val="009C3D69"/>
    <w:rsid w:val="009C5A7E"/>
    <w:rsid w:val="009C6881"/>
    <w:rsid w:val="009C74C1"/>
    <w:rsid w:val="009C7759"/>
    <w:rsid w:val="009D043D"/>
    <w:rsid w:val="009D07C8"/>
    <w:rsid w:val="009D0A56"/>
    <w:rsid w:val="009D1AE7"/>
    <w:rsid w:val="009D1C4A"/>
    <w:rsid w:val="009D2F40"/>
    <w:rsid w:val="009D3B28"/>
    <w:rsid w:val="009D4592"/>
    <w:rsid w:val="009D4C85"/>
    <w:rsid w:val="009D597A"/>
    <w:rsid w:val="009D5AF1"/>
    <w:rsid w:val="009D633D"/>
    <w:rsid w:val="009D6C71"/>
    <w:rsid w:val="009D77A1"/>
    <w:rsid w:val="009D798E"/>
    <w:rsid w:val="009D7B55"/>
    <w:rsid w:val="009E0631"/>
    <w:rsid w:val="009E0B6F"/>
    <w:rsid w:val="009E16D0"/>
    <w:rsid w:val="009E2051"/>
    <w:rsid w:val="009E3339"/>
    <w:rsid w:val="009E360E"/>
    <w:rsid w:val="009E38FD"/>
    <w:rsid w:val="009E6CAA"/>
    <w:rsid w:val="009E7A73"/>
    <w:rsid w:val="009F03B3"/>
    <w:rsid w:val="009F13D6"/>
    <w:rsid w:val="009F16FE"/>
    <w:rsid w:val="009F30FA"/>
    <w:rsid w:val="009F39E9"/>
    <w:rsid w:val="009F41BE"/>
    <w:rsid w:val="009F439A"/>
    <w:rsid w:val="009F49A5"/>
    <w:rsid w:val="009F4C6B"/>
    <w:rsid w:val="009F643B"/>
    <w:rsid w:val="009F7847"/>
    <w:rsid w:val="009F78A8"/>
    <w:rsid w:val="009F7E8B"/>
    <w:rsid w:val="00A0080F"/>
    <w:rsid w:val="00A01A2B"/>
    <w:rsid w:val="00A01EC3"/>
    <w:rsid w:val="00A02AD6"/>
    <w:rsid w:val="00A02E0F"/>
    <w:rsid w:val="00A02F15"/>
    <w:rsid w:val="00A03DAB"/>
    <w:rsid w:val="00A040BD"/>
    <w:rsid w:val="00A054BF"/>
    <w:rsid w:val="00A06359"/>
    <w:rsid w:val="00A06522"/>
    <w:rsid w:val="00A07096"/>
    <w:rsid w:val="00A070A6"/>
    <w:rsid w:val="00A07318"/>
    <w:rsid w:val="00A10394"/>
    <w:rsid w:val="00A106F4"/>
    <w:rsid w:val="00A1088F"/>
    <w:rsid w:val="00A10921"/>
    <w:rsid w:val="00A11370"/>
    <w:rsid w:val="00A11979"/>
    <w:rsid w:val="00A11B54"/>
    <w:rsid w:val="00A12618"/>
    <w:rsid w:val="00A128EF"/>
    <w:rsid w:val="00A131B7"/>
    <w:rsid w:val="00A16A9B"/>
    <w:rsid w:val="00A173AF"/>
    <w:rsid w:val="00A17B50"/>
    <w:rsid w:val="00A20CAE"/>
    <w:rsid w:val="00A21323"/>
    <w:rsid w:val="00A224CE"/>
    <w:rsid w:val="00A22522"/>
    <w:rsid w:val="00A231AA"/>
    <w:rsid w:val="00A239B8"/>
    <w:rsid w:val="00A24AFD"/>
    <w:rsid w:val="00A24F5C"/>
    <w:rsid w:val="00A254FB"/>
    <w:rsid w:val="00A264DD"/>
    <w:rsid w:val="00A272D7"/>
    <w:rsid w:val="00A276E8"/>
    <w:rsid w:val="00A27F43"/>
    <w:rsid w:val="00A307F1"/>
    <w:rsid w:val="00A3246B"/>
    <w:rsid w:val="00A32F96"/>
    <w:rsid w:val="00A33017"/>
    <w:rsid w:val="00A36B5D"/>
    <w:rsid w:val="00A36DEA"/>
    <w:rsid w:val="00A36E36"/>
    <w:rsid w:val="00A36F60"/>
    <w:rsid w:val="00A3773A"/>
    <w:rsid w:val="00A40871"/>
    <w:rsid w:val="00A412AB"/>
    <w:rsid w:val="00A4193E"/>
    <w:rsid w:val="00A427B3"/>
    <w:rsid w:val="00A428FD"/>
    <w:rsid w:val="00A440E0"/>
    <w:rsid w:val="00A442EF"/>
    <w:rsid w:val="00A451EB"/>
    <w:rsid w:val="00A45226"/>
    <w:rsid w:val="00A458FB"/>
    <w:rsid w:val="00A45948"/>
    <w:rsid w:val="00A47394"/>
    <w:rsid w:val="00A50641"/>
    <w:rsid w:val="00A50F31"/>
    <w:rsid w:val="00A51D1A"/>
    <w:rsid w:val="00A5215C"/>
    <w:rsid w:val="00A53110"/>
    <w:rsid w:val="00A53A6C"/>
    <w:rsid w:val="00A5418D"/>
    <w:rsid w:val="00A54589"/>
    <w:rsid w:val="00A5474E"/>
    <w:rsid w:val="00A5585B"/>
    <w:rsid w:val="00A56429"/>
    <w:rsid w:val="00A566FF"/>
    <w:rsid w:val="00A6065B"/>
    <w:rsid w:val="00A60ED9"/>
    <w:rsid w:val="00A63AB3"/>
    <w:rsid w:val="00A64234"/>
    <w:rsid w:val="00A70717"/>
    <w:rsid w:val="00A70ADF"/>
    <w:rsid w:val="00A71466"/>
    <w:rsid w:val="00A7163C"/>
    <w:rsid w:val="00A72650"/>
    <w:rsid w:val="00A732E2"/>
    <w:rsid w:val="00A73353"/>
    <w:rsid w:val="00A737F8"/>
    <w:rsid w:val="00A740D9"/>
    <w:rsid w:val="00A7436F"/>
    <w:rsid w:val="00A745F7"/>
    <w:rsid w:val="00A74B5E"/>
    <w:rsid w:val="00A74D1A"/>
    <w:rsid w:val="00A74E37"/>
    <w:rsid w:val="00A753A9"/>
    <w:rsid w:val="00A76718"/>
    <w:rsid w:val="00A81BED"/>
    <w:rsid w:val="00A81C59"/>
    <w:rsid w:val="00A81EC4"/>
    <w:rsid w:val="00A824E8"/>
    <w:rsid w:val="00A82661"/>
    <w:rsid w:val="00A852C4"/>
    <w:rsid w:val="00A85916"/>
    <w:rsid w:val="00A8720B"/>
    <w:rsid w:val="00A87D96"/>
    <w:rsid w:val="00A87DFD"/>
    <w:rsid w:val="00A920F2"/>
    <w:rsid w:val="00A93F0E"/>
    <w:rsid w:val="00A93FCF"/>
    <w:rsid w:val="00A9412D"/>
    <w:rsid w:val="00A95AD4"/>
    <w:rsid w:val="00A9620B"/>
    <w:rsid w:val="00A965D5"/>
    <w:rsid w:val="00A967FD"/>
    <w:rsid w:val="00AA035D"/>
    <w:rsid w:val="00AA1025"/>
    <w:rsid w:val="00AA18B2"/>
    <w:rsid w:val="00AA2DE5"/>
    <w:rsid w:val="00AA3372"/>
    <w:rsid w:val="00AA34C6"/>
    <w:rsid w:val="00AA384E"/>
    <w:rsid w:val="00AA5754"/>
    <w:rsid w:val="00AB045C"/>
    <w:rsid w:val="00AB156C"/>
    <w:rsid w:val="00AB1EE0"/>
    <w:rsid w:val="00AB2E17"/>
    <w:rsid w:val="00AB4651"/>
    <w:rsid w:val="00AB561C"/>
    <w:rsid w:val="00AB5A80"/>
    <w:rsid w:val="00AB66DD"/>
    <w:rsid w:val="00AB6814"/>
    <w:rsid w:val="00AB694D"/>
    <w:rsid w:val="00AB7A0A"/>
    <w:rsid w:val="00AC04BA"/>
    <w:rsid w:val="00AC0E39"/>
    <w:rsid w:val="00AC120E"/>
    <w:rsid w:val="00AC2944"/>
    <w:rsid w:val="00AC35D6"/>
    <w:rsid w:val="00AC3766"/>
    <w:rsid w:val="00AC3A84"/>
    <w:rsid w:val="00AC49DF"/>
    <w:rsid w:val="00AC5705"/>
    <w:rsid w:val="00AC5E40"/>
    <w:rsid w:val="00AC5E4E"/>
    <w:rsid w:val="00AC6540"/>
    <w:rsid w:val="00AC6BE6"/>
    <w:rsid w:val="00AC6F96"/>
    <w:rsid w:val="00AC7630"/>
    <w:rsid w:val="00AC77C2"/>
    <w:rsid w:val="00AD0173"/>
    <w:rsid w:val="00AD10D5"/>
    <w:rsid w:val="00AD29B6"/>
    <w:rsid w:val="00AD302E"/>
    <w:rsid w:val="00AD3082"/>
    <w:rsid w:val="00AD32B4"/>
    <w:rsid w:val="00AD4617"/>
    <w:rsid w:val="00AD4AD0"/>
    <w:rsid w:val="00AD5436"/>
    <w:rsid w:val="00AD60CD"/>
    <w:rsid w:val="00AD6550"/>
    <w:rsid w:val="00AD6BD7"/>
    <w:rsid w:val="00AD6C8C"/>
    <w:rsid w:val="00AD7127"/>
    <w:rsid w:val="00AD7C73"/>
    <w:rsid w:val="00AE0581"/>
    <w:rsid w:val="00AE091D"/>
    <w:rsid w:val="00AE1563"/>
    <w:rsid w:val="00AE2504"/>
    <w:rsid w:val="00AE311B"/>
    <w:rsid w:val="00AE3B60"/>
    <w:rsid w:val="00AE3D6B"/>
    <w:rsid w:val="00AE510A"/>
    <w:rsid w:val="00AE53A1"/>
    <w:rsid w:val="00AE5E3A"/>
    <w:rsid w:val="00AF0051"/>
    <w:rsid w:val="00AF128C"/>
    <w:rsid w:val="00AF17C0"/>
    <w:rsid w:val="00AF2484"/>
    <w:rsid w:val="00AF29FE"/>
    <w:rsid w:val="00AF31A5"/>
    <w:rsid w:val="00AF36E1"/>
    <w:rsid w:val="00AF53C7"/>
    <w:rsid w:val="00AF62DD"/>
    <w:rsid w:val="00AF63E7"/>
    <w:rsid w:val="00AF66CA"/>
    <w:rsid w:val="00AF6E17"/>
    <w:rsid w:val="00AF7210"/>
    <w:rsid w:val="00B009CC"/>
    <w:rsid w:val="00B0165D"/>
    <w:rsid w:val="00B01B60"/>
    <w:rsid w:val="00B01EB6"/>
    <w:rsid w:val="00B031F3"/>
    <w:rsid w:val="00B038AB"/>
    <w:rsid w:val="00B04A14"/>
    <w:rsid w:val="00B052A4"/>
    <w:rsid w:val="00B05A6C"/>
    <w:rsid w:val="00B05A99"/>
    <w:rsid w:val="00B064B6"/>
    <w:rsid w:val="00B07B8D"/>
    <w:rsid w:val="00B07E56"/>
    <w:rsid w:val="00B10BD4"/>
    <w:rsid w:val="00B116EE"/>
    <w:rsid w:val="00B125DE"/>
    <w:rsid w:val="00B13FDD"/>
    <w:rsid w:val="00B14A39"/>
    <w:rsid w:val="00B14D78"/>
    <w:rsid w:val="00B16765"/>
    <w:rsid w:val="00B17CBA"/>
    <w:rsid w:val="00B20588"/>
    <w:rsid w:val="00B21514"/>
    <w:rsid w:val="00B221CA"/>
    <w:rsid w:val="00B22EB2"/>
    <w:rsid w:val="00B2365B"/>
    <w:rsid w:val="00B23850"/>
    <w:rsid w:val="00B239FA"/>
    <w:rsid w:val="00B24FB8"/>
    <w:rsid w:val="00B27442"/>
    <w:rsid w:val="00B27781"/>
    <w:rsid w:val="00B309E2"/>
    <w:rsid w:val="00B31167"/>
    <w:rsid w:val="00B329D8"/>
    <w:rsid w:val="00B32BB9"/>
    <w:rsid w:val="00B33AE1"/>
    <w:rsid w:val="00B33C15"/>
    <w:rsid w:val="00B34736"/>
    <w:rsid w:val="00B35360"/>
    <w:rsid w:val="00B3564E"/>
    <w:rsid w:val="00B3650F"/>
    <w:rsid w:val="00B37BEC"/>
    <w:rsid w:val="00B37C38"/>
    <w:rsid w:val="00B401FA"/>
    <w:rsid w:val="00B40406"/>
    <w:rsid w:val="00B41D51"/>
    <w:rsid w:val="00B4288C"/>
    <w:rsid w:val="00B4299C"/>
    <w:rsid w:val="00B43262"/>
    <w:rsid w:val="00B44100"/>
    <w:rsid w:val="00B452FB"/>
    <w:rsid w:val="00B45D01"/>
    <w:rsid w:val="00B46CBA"/>
    <w:rsid w:val="00B46D04"/>
    <w:rsid w:val="00B46F94"/>
    <w:rsid w:val="00B47E8D"/>
    <w:rsid w:val="00B51C18"/>
    <w:rsid w:val="00B52FEE"/>
    <w:rsid w:val="00B54E3A"/>
    <w:rsid w:val="00B554F3"/>
    <w:rsid w:val="00B57848"/>
    <w:rsid w:val="00B6003C"/>
    <w:rsid w:val="00B60B19"/>
    <w:rsid w:val="00B61183"/>
    <w:rsid w:val="00B61F03"/>
    <w:rsid w:val="00B626E4"/>
    <w:rsid w:val="00B635D6"/>
    <w:rsid w:val="00B63887"/>
    <w:rsid w:val="00B63E17"/>
    <w:rsid w:val="00B65BAD"/>
    <w:rsid w:val="00B676D4"/>
    <w:rsid w:val="00B67C26"/>
    <w:rsid w:val="00B70856"/>
    <w:rsid w:val="00B71159"/>
    <w:rsid w:val="00B7154C"/>
    <w:rsid w:val="00B719E3"/>
    <w:rsid w:val="00B71E6B"/>
    <w:rsid w:val="00B727D7"/>
    <w:rsid w:val="00B72C4E"/>
    <w:rsid w:val="00B72F4A"/>
    <w:rsid w:val="00B742E6"/>
    <w:rsid w:val="00B74959"/>
    <w:rsid w:val="00B755E4"/>
    <w:rsid w:val="00B758E0"/>
    <w:rsid w:val="00B75F5C"/>
    <w:rsid w:val="00B76402"/>
    <w:rsid w:val="00B766A8"/>
    <w:rsid w:val="00B775EC"/>
    <w:rsid w:val="00B776F2"/>
    <w:rsid w:val="00B802C0"/>
    <w:rsid w:val="00B81ADA"/>
    <w:rsid w:val="00B82F44"/>
    <w:rsid w:val="00B83C27"/>
    <w:rsid w:val="00B8400C"/>
    <w:rsid w:val="00B84BC3"/>
    <w:rsid w:val="00B84BDD"/>
    <w:rsid w:val="00B85535"/>
    <w:rsid w:val="00B855DC"/>
    <w:rsid w:val="00B85744"/>
    <w:rsid w:val="00B867D3"/>
    <w:rsid w:val="00B873D1"/>
    <w:rsid w:val="00B87F12"/>
    <w:rsid w:val="00B90187"/>
    <w:rsid w:val="00B917AA"/>
    <w:rsid w:val="00B92812"/>
    <w:rsid w:val="00B92EDA"/>
    <w:rsid w:val="00B93549"/>
    <w:rsid w:val="00B94C5D"/>
    <w:rsid w:val="00B94E48"/>
    <w:rsid w:val="00B96485"/>
    <w:rsid w:val="00BA2083"/>
    <w:rsid w:val="00BA389D"/>
    <w:rsid w:val="00BA38FD"/>
    <w:rsid w:val="00BA42F2"/>
    <w:rsid w:val="00BA646E"/>
    <w:rsid w:val="00BA714F"/>
    <w:rsid w:val="00BB07F4"/>
    <w:rsid w:val="00BB10D2"/>
    <w:rsid w:val="00BB1BFC"/>
    <w:rsid w:val="00BB1C8A"/>
    <w:rsid w:val="00BB2E57"/>
    <w:rsid w:val="00BB45A1"/>
    <w:rsid w:val="00BB5DA4"/>
    <w:rsid w:val="00BB6335"/>
    <w:rsid w:val="00BB685D"/>
    <w:rsid w:val="00BB7359"/>
    <w:rsid w:val="00BB7686"/>
    <w:rsid w:val="00BB76C8"/>
    <w:rsid w:val="00BB7802"/>
    <w:rsid w:val="00BB7963"/>
    <w:rsid w:val="00BC0843"/>
    <w:rsid w:val="00BC13C2"/>
    <w:rsid w:val="00BC23F9"/>
    <w:rsid w:val="00BC2428"/>
    <w:rsid w:val="00BC2E42"/>
    <w:rsid w:val="00BC3421"/>
    <w:rsid w:val="00BC4C4C"/>
    <w:rsid w:val="00BC5980"/>
    <w:rsid w:val="00BC6E50"/>
    <w:rsid w:val="00BC732C"/>
    <w:rsid w:val="00BD012F"/>
    <w:rsid w:val="00BD01F1"/>
    <w:rsid w:val="00BD275F"/>
    <w:rsid w:val="00BD4421"/>
    <w:rsid w:val="00BD6A8D"/>
    <w:rsid w:val="00BD78C3"/>
    <w:rsid w:val="00BD7FC9"/>
    <w:rsid w:val="00BE2580"/>
    <w:rsid w:val="00BE266D"/>
    <w:rsid w:val="00BE3938"/>
    <w:rsid w:val="00BE3B64"/>
    <w:rsid w:val="00BE4C11"/>
    <w:rsid w:val="00BE5509"/>
    <w:rsid w:val="00BE6816"/>
    <w:rsid w:val="00BE71C0"/>
    <w:rsid w:val="00BF19A9"/>
    <w:rsid w:val="00BF1DA8"/>
    <w:rsid w:val="00BF2259"/>
    <w:rsid w:val="00BF23AA"/>
    <w:rsid w:val="00BF270C"/>
    <w:rsid w:val="00BF4A73"/>
    <w:rsid w:val="00BF5ED0"/>
    <w:rsid w:val="00BF610C"/>
    <w:rsid w:val="00BF6626"/>
    <w:rsid w:val="00BF7ACF"/>
    <w:rsid w:val="00C00335"/>
    <w:rsid w:val="00C003A1"/>
    <w:rsid w:val="00C0060B"/>
    <w:rsid w:val="00C01A6C"/>
    <w:rsid w:val="00C0277D"/>
    <w:rsid w:val="00C02F26"/>
    <w:rsid w:val="00C02F29"/>
    <w:rsid w:val="00C0492F"/>
    <w:rsid w:val="00C04C03"/>
    <w:rsid w:val="00C053A1"/>
    <w:rsid w:val="00C077AC"/>
    <w:rsid w:val="00C1105C"/>
    <w:rsid w:val="00C12290"/>
    <w:rsid w:val="00C1277B"/>
    <w:rsid w:val="00C13EB7"/>
    <w:rsid w:val="00C13EC1"/>
    <w:rsid w:val="00C13EE2"/>
    <w:rsid w:val="00C14BF3"/>
    <w:rsid w:val="00C16198"/>
    <w:rsid w:val="00C16A48"/>
    <w:rsid w:val="00C1712E"/>
    <w:rsid w:val="00C17A4B"/>
    <w:rsid w:val="00C2083D"/>
    <w:rsid w:val="00C21297"/>
    <w:rsid w:val="00C21F0F"/>
    <w:rsid w:val="00C228DE"/>
    <w:rsid w:val="00C22C8C"/>
    <w:rsid w:val="00C22FEC"/>
    <w:rsid w:val="00C24522"/>
    <w:rsid w:val="00C24A53"/>
    <w:rsid w:val="00C25139"/>
    <w:rsid w:val="00C25A3F"/>
    <w:rsid w:val="00C25C1E"/>
    <w:rsid w:val="00C31C06"/>
    <w:rsid w:val="00C332B1"/>
    <w:rsid w:val="00C343C7"/>
    <w:rsid w:val="00C34A05"/>
    <w:rsid w:val="00C34BB1"/>
    <w:rsid w:val="00C35CCE"/>
    <w:rsid w:val="00C37697"/>
    <w:rsid w:val="00C37BA6"/>
    <w:rsid w:val="00C4032F"/>
    <w:rsid w:val="00C406A1"/>
    <w:rsid w:val="00C41F21"/>
    <w:rsid w:val="00C41FC2"/>
    <w:rsid w:val="00C4374C"/>
    <w:rsid w:val="00C44047"/>
    <w:rsid w:val="00C45155"/>
    <w:rsid w:val="00C46127"/>
    <w:rsid w:val="00C46372"/>
    <w:rsid w:val="00C463DD"/>
    <w:rsid w:val="00C476A2"/>
    <w:rsid w:val="00C47BCB"/>
    <w:rsid w:val="00C5498F"/>
    <w:rsid w:val="00C54FC5"/>
    <w:rsid w:val="00C55235"/>
    <w:rsid w:val="00C55850"/>
    <w:rsid w:val="00C56B0C"/>
    <w:rsid w:val="00C6181D"/>
    <w:rsid w:val="00C626FD"/>
    <w:rsid w:val="00C62DE0"/>
    <w:rsid w:val="00C63662"/>
    <w:rsid w:val="00C6380A"/>
    <w:rsid w:val="00C64CD0"/>
    <w:rsid w:val="00C65F61"/>
    <w:rsid w:val="00C6684F"/>
    <w:rsid w:val="00C671AE"/>
    <w:rsid w:val="00C67C11"/>
    <w:rsid w:val="00C67D0F"/>
    <w:rsid w:val="00C70988"/>
    <w:rsid w:val="00C709AF"/>
    <w:rsid w:val="00C70E70"/>
    <w:rsid w:val="00C715F4"/>
    <w:rsid w:val="00C71834"/>
    <w:rsid w:val="00C71EAC"/>
    <w:rsid w:val="00C72154"/>
    <w:rsid w:val="00C72371"/>
    <w:rsid w:val="00C72E19"/>
    <w:rsid w:val="00C72F8A"/>
    <w:rsid w:val="00C757A9"/>
    <w:rsid w:val="00C75E28"/>
    <w:rsid w:val="00C75F8D"/>
    <w:rsid w:val="00C76561"/>
    <w:rsid w:val="00C77380"/>
    <w:rsid w:val="00C775D1"/>
    <w:rsid w:val="00C80B41"/>
    <w:rsid w:val="00C81969"/>
    <w:rsid w:val="00C82CC0"/>
    <w:rsid w:val="00C84DD5"/>
    <w:rsid w:val="00C850DA"/>
    <w:rsid w:val="00C86374"/>
    <w:rsid w:val="00C86907"/>
    <w:rsid w:val="00C8720C"/>
    <w:rsid w:val="00C87D1D"/>
    <w:rsid w:val="00C87E8A"/>
    <w:rsid w:val="00C900CC"/>
    <w:rsid w:val="00C90836"/>
    <w:rsid w:val="00C90D1B"/>
    <w:rsid w:val="00C913D6"/>
    <w:rsid w:val="00C9141F"/>
    <w:rsid w:val="00C9187A"/>
    <w:rsid w:val="00C919E6"/>
    <w:rsid w:val="00C92B09"/>
    <w:rsid w:val="00C9379A"/>
    <w:rsid w:val="00C94103"/>
    <w:rsid w:val="00C9495E"/>
    <w:rsid w:val="00C95D2F"/>
    <w:rsid w:val="00C96562"/>
    <w:rsid w:val="00C96896"/>
    <w:rsid w:val="00C97736"/>
    <w:rsid w:val="00C97E60"/>
    <w:rsid w:val="00CA09E3"/>
    <w:rsid w:val="00CA0A1B"/>
    <w:rsid w:val="00CA166F"/>
    <w:rsid w:val="00CA1DAA"/>
    <w:rsid w:val="00CA2AF5"/>
    <w:rsid w:val="00CA345A"/>
    <w:rsid w:val="00CA3C8A"/>
    <w:rsid w:val="00CA5AA6"/>
    <w:rsid w:val="00CA5E06"/>
    <w:rsid w:val="00CA6747"/>
    <w:rsid w:val="00CA6E2C"/>
    <w:rsid w:val="00CB0206"/>
    <w:rsid w:val="00CB08BC"/>
    <w:rsid w:val="00CB12C1"/>
    <w:rsid w:val="00CB1E82"/>
    <w:rsid w:val="00CB3A7A"/>
    <w:rsid w:val="00CB4BA8"/>
    <w:rsid w:val="00CB52D7"/>
    <w:rsid w:val="00CB5609"/>
    <w:rsid w:val="00CB5C86"/>
    <w:rsid w:val="00CB7A20"/>
    <w:rsid w:val="00CC0516"/>
    <w:rsid w:val="00CC0652"/>
    <w:rsid w:val="00CC20D6"/>
    <w:rsid w:val="00CC2B8C"/>
    <w:rsid w:val="00CC39B6"/>
    <w:rsid w:val="00CC6698"/>
    <w:rsid w:val="00CC66B7"/>
    <w:rsid w:val="00CC6732"/>
    <w:rsid w:val="00CC7205"/>
    <w:rsid w:val="00CD0082"/>
    <w:rsid w:val="00CD131B"/>
    <w:rsid w:val="00CD214B"/>
    <w:rsid w:val="00CD379C"/>
    <w:rsid w:val="00CD49FB"/>
    <w:rsid w:val="00CD559A"/>
    <w:rsid w:val="00CD5EB8"/>
    <w:rsid w:val="00CD6659"/>
    <w:rsid w:val="00CD6ACF"/>
    <w:rsid w:val="00CD7283"/>
    <w:rsid w:val="00CD7847"/>
    <w:rsid w:val="00CD797A"/>
    <w:rsid w:val="00CD7D14"/>
    <w:rsid w:val="00CE18A9"/>
    <w:rsid w:val="00CE244E"/>
    <w:rsid w:val="00CE260D"/>
    <w:rsid w:val="00CE2B8F"/>
    <w:rsid w:val="00CE3281"/>
    <w:rsid w:val="00CE341E"/>
    <w:rsid w:val="00CE3557"/>
    <w:rsid w:val="00CE3C96"/>
    <w:rsid w:val="00CE4C68"/>
    <w:rsid w:val="00CE51A8"/>
    <w:rsid w:val="00CE569D"/>
    <w:rsid w:val="00CE6821"/>
    <w:rsid w:val="00CF0BFE"/>
    <w:rsid w:val="00CF1453"/>
    <w:rsid w:val="00CF2220"/>
    <w:rsid w:val="00CF2874"/>
    <w:rsid w:val="00CF2A17"/>
    <w:rsid w:val="00CF369B"/>
    <w:rsid w:val="00CF3F83"/>
    <w:rsid w:val="00CF428E"/>
    <w:rsid w:val="00CF4535"/>
    <w:rsid w:val="00CF4E80"/>
    <w:rsid w:val="00CF574A"/>
    <w:rsid w:val="00CF6C7C"/>
    <w:rsid w:val="00CF70E7"/>
    <w:rsid w:val="00D00E28"/>
    <w:rsid w:val="00D02515"/>
    <w:rsid w:val="00D0269E"/>
    <w:rsid w:val="00D02E27"/>
    <w:rsid w:val="00D05198"/>
    <w:rsid w:val="00D05A46"/>
    <w:rsid w:val="00D05ACD"/>
    <w:rsid w:val="00D05D6C"/>
    <w:rsid w:val="00D06584"/>
    <w:rsid w:val="00D11F3B"/>
    <w:rsid w:val="00D14349"/>
    <w:rsid w:val="00D15810"/>
    <w:rsid w:val="00D15CBC"/>
    <w:rsid w:val="00D164C3"/>
    <w:rsid w:val="00D16D4E"/>
    <w:rsid w:val="00D16FE3"/>
    <w:rsid w:val="00D171DA"/>
    <w:rsid w:val="00D17272"/>
    <w:rsid w:val="00D2005E"/>
    <w:rsid w:val="00D200E3"/>
    <w:rsid w:val="00D20A35"/>
    <w:rsid w:val="00D2193F"/>
    <w:rsid w:val="00D21C05"/>
    <w:rsid w:val="00D22347"/>
    <w:rsid w:val="00D224E9"/>
    <w:rsid w:val="00D228D9"/>
    <w:rsid w:val="00D23296"/>
    <w:rsid w:val="00D238C1"/>
    <w:rsid w:val="00D24AA5"/>
    <w:rsid w:val="00D24F0E"/>
    <w:rsid w:val="00D26876"/>
    <w:rsid w:val="00D26DFE"/>
    <w:rsid w:val="00D27846"/>
    <w:rsid w:val="00D27EF7"/>
    <w:rsid w:val="00D27F41"/>
    <w:rsid w:val="00D341B2"/>
    <w:rsid w:val="00D352B6"/>
    <w:rsid w:val="00D36441"/>
    <w:rsid w:val="00D3754D"/>
    <w:rsid w:val="00D377FF"/>
    <w:rsid w:val="00D37C31"/>
    <w:rsid w:val="00D37FDB"/>
    <w:rsid w:val="00D4064E"/>
    <w:rsid w:val="00D41131"/>
    <w:rsid w:val="00D41330"/>
    <w:rsid w:val="00D41C20"/>
    <w:rsid w:val="00D41E8A"/>
    <w:rsid w:val="00D43D7C"/>
    <w:rsid w:val="00D43F22"/>
    <w:rsid w:val="00D440DD"/>
    <w:rsid w:val="00D446B7"/>
    <w:rsid w:val="00D44E9B"/>
    <w:rsid w:val="00D45440"/>
    <w:rsid w:val="00D45F93"/>
    <w:rsid w:val="00D46870"/>
    <w:rsid w:val="00D47AEB"/>
    <w:rsid w:val="00D47AFA"/>
    <w:rsid w:val="00D50DB9"/>
    <w:rsid w:val="00D51302"/>
    <w:rsid w:val="00D52289"/>
    <w:rsid w:val="00D52C43"/>
    <w:rsid w:val="00D560E8"/>
    <w:rsid w:val="00D60F4D"/>
    <w:rsid w:val="00D61243"/>
    <w:rsid w:val="00D61EDE"/>
    <w:rsid w:val="00D622F2"/>
    <w:rsid w:val="00D62B0B"/>
    <w:rsid w:val="00D62C53"/>
    <w:rsid w:val="00D6507F"/>
    <w:rsid w:val="00D6537B"/>
    <w:rsid w:val="00D655C2"/>
    <w:rsid w:val="00D65894"/>
    <w:rsid w:val="00D663BE"/>
    <w:rsid w:val="00D665B0"/>
    <w:rsid w:val="00D730BC"/>
    <w:rsid w:val="00D73912"/>
    <w:rsid w:val="00D73BBB"/>
    <w:rsid w:val="00D73D39"/>
    <w:rsid w:val="00D75E20"/>
    <w:rsid w:val="00D76800"/>
    <w:rsid w:val="00D77F14"/>
    <w:rsid w:val="00D80660"/>
    <w:rsid w:val="00D82015"/>
    <w:rsid w:val="00D82488"/>
    <w:rsid w:val="00D82588"/>
    <w:rsid w:val="00D849D1"/>
    <w:rsid w:val="00D84D6A"/>
    <w:rsid w:val="00D85226"/>
    <w:rsid w:val="00D87B94"/>
    <w:rsid w:val="00D90AFE"/>
    <w:rsid w:val="00D912F2"/>
    <w:rsid w:val="00D91F5E"/>
    <w:rsid w:val="00D9223F"/>
    <w:rsid w:val="00D92D49"/>
    <w:rsid w:val="00D92EC1"/>
    <w:rsid w:val="00D9342E"/>
    <w:rsid w:val="00D93AE4"/>
    <w:rsid w:val="00D94166"/>
    <w:rsid w:val="00D94CC3"/>
    <w:rsid w:val="00D9698D"/>
    <w:rsid w:val="00D96DEA"/>
    <w:rsid w:val="00D9790C"/>
    <w:rsid w:val="00D97FAF"/>
    <w:rsid w:val="00DA0B33"/>
    <w:rsid w:val="00DA17ED"/>
    <w:rsid w:val="00DA1988"/>
    <w:rsid w:val="00DA28E5"/>
    <w:rsid w:val="00DA3AAA"/>
    <w:rsid w:val="00DA3B4F"/>
    <w:rsid w:val="00DA3F23"/>
    <w:rsid w:val="00DA4E41"/>
    <w:rsid w:val="00DA5F12"/>
    <w:rsid w:val="00DA6718"/>
    <w:rsid w:val="00DB1159"/>
    <w:rsid w:val="00DB117A"/>
    <w:rsid w:val="00DB185E"/>
    <w:rsid w:val="00DB24AD"/>
    <w:rsid w:val="00DB48A0"/>
    <w:rsid w:val="00DB49F1"/>
    <w:rsid w:val="00DB5173"/>
    <w:rsid w:val="00DB5B99"/>
    <w:rsid w:val="00DB7873"/>
    <w:rsid w:val="00DC09DC"/>
    <w:rsid w:val="00DC0E9C"/>
    <w:rsid w:val="00DC187B"/>
    <w:rsid w:val="00DC2BDC"/>
    <w:rsid w:val="00DC4AF5"/>
    <w:rsid w:val="00DC5F74"/>
    <w:rsid w:val="00DC695D"/>
    <w:rsid w:val="00DD1A43"/>
    <w:rsid w:val="00DD1ECB"/>
    <w:rsid w:val="00DD3CB8"/>
    <w:rsid w:val="00DD431A"/>
    <w:rsid w:val="00DD56F6"/>
    <w:rsid w:val="00DD6C40"/>
    <w:rsid w:val="00DD7099"/>
    <w:rsid w:val="00DD73C2"/>
    <w:rsid w:val="00DD7AF3"/>
    <w:rsid w:val="00DE15DB"/>
    <w:rsid w:val="00DE16CF"/>
    <w:rsid w:val="00DE1926"/>
    <w:rsid w:val="00DE1ABF"/>
    <w:rsid w:val="00DE27C0"/>
    <w:rsid w:val="00DE319B"/>
    <w:rsid w:val="00DE3639"/>
    <w:rsid w:val="00DE48EB"/>
    <w:rsid w:val="00DE52B2"/>
    <w:rsid w:val="00DE5BA1"/>
    <w:rsid w:val="00DE5E76"/>
    <w:rsid w:val="00DE63C2"/>
    <w:rsid w:val="00DE6978"/>
    <w:rsid w:val="00DE797F"/>
    <w:rsid w:val="00DF02F9"/>
    <w:rsid w:val="00DF2D42"/>
    <w:rsid w:val="00DF34FE"/>
    <w:rsid w:val="00DF446B"/>
    <w:rsid w:val="00DF453D"/>
    <w:rsid w:val="00DF4B67"/>
    <w:rsid w:val="00DF56AA"/>
    <w:rsid w:val="00DF56AF"/>
    <w:rsid w:val="00DF62B9"/>
    <w:rsid w:val="00DF6C8C"/>
    <w:rsid w:val="00DF78E7"/>
    <w:rsid w:val="00E0067F"/>
    <w:rsid w:val="00E0201A"/>
    <w:rsid w:val="00E03894"/>
    <w:rsid w:val="00E0483B"/>
    <w:rsid w:val="00E053A7"/>
    <w:rsid w:val="00E0612A"/>
    <w:rsid w:val="00E06274"/>
    <w:rsid w:val="00E06AAD"/>
    <w:rsid w:val="00E06BE3"/>
    <w:rsid w:val="00E06E11"/>
    <w:rsid w:val="00E078C4"/>
    <w:rsid w:val="00E110E0"/>
    <w:rsid w:val="00E1116B"/>
    <w:rsid w:val="00E11604"/>
    <w:rsid w:val="00E13AF5"/>
    <w:rsid w:val="00E14662"/>
    <w:rsid w:val="00E14E32"/>
    <w:rsid w:val="00E15371"/>
    <w:rsid w:val="00E15D86"/>
    <w:rsid w:val="00E16011"/>
    <w:rsid w:val="00E16921"/>
    <w:rsid w:val="00E16BA0"/>
    <w:rsid w:val="00E1768D"/>
    <w:rsid w:val="00E201AC"/>
    <w:rsid w:val="00E21056"/>
    <w:rsid w:val="00E21B69"/>
    <w:rsid w:val="00E22522"/>
    <w:rsid w:val="00E22B47"/>
    <w:rsid w:val="00E22C99"/>
    <w:rsid w:val="00E24104"/>
    <w:rsid w:val="00E251D2"/>
    <w:rsid w:val="00E25CCF"/>
    <w:rsid w:val="00E26090"/>
    <w:rsid w:val="00E26F4C"/>
    <w:rsid w:val="00E26F90"/>
    <w:rsid w:val="00E302D0"/>
    <w:rsid w:val="00E303D7"/>
    <w:rsid w:val="00E30888"/>
    <w:rsid w:val="00E31E2D"/>
    <w:rsid w:val="00E322BC"/>
    <w:rsid w:val="00E32CE2"/>
    <w:rsid w:val="00E33F1B"/>
    <w:rsid w:val="00E34E4D"/>
    <w:rsid w:val="00E35707"/>
    <w:rsid w:val="00E363C1"/>
    <w:rsid w:val="00E36850"/>
    <w:rsid w:val="00E36AA1"/>
    <w:rsid w:val="00E36DC2"/>
    <w:rsid w:val="00E37010"/>
    <w:rsid w:val="00E37579"/>
    <w:rsid w:val="00E37626"/>
    <w:rsid w:val="00E411AD"/>
    <w:rsid w:val="00E41831"/>
    <w:rsid w:val="00E41ECB"/>
    <w:rsid w:val="00E4213D"/>
    <w:rsid w:val="00E42676"/>
    <w:rsid w:val="00E43341"/>
    <w:rsid w:val="00E447ED"/>
    <w:rsid w:val="00E45760"/>
    <w:rsid w:val="00E47142"/>
    <w:rsid w:val="00E47B1D"/>
    <w:rsid w:val="00E50729"/>
    <w:rsid w:val="00E5092C"/>
    <w:rsid w:val="00E51862"/>
    <w:rsid w:val="00E51892"/>
    <w:rsid w:val="00E52E0D"/>
    <w:rsid w:val="00E5338B"/>
    <w:rsid w:val="00E534DA"/>
    <w:rsid w:val="00E53E43"/>
    <w:rsid w:val="00E53ED3"/>
    <w:rsid w:val="00E54474"/>
    <w:rsid w:val="00E5470E"/>
    <w:rsid w:val="00E54FDB"/>
    <w:rsid w:val="00E5617D"/>
    <w:rsid w:val="00E563D7"/>
    <w:rsid w:val="00E56E6D"/>
    <w:rsid w:val="00E57EC6"/>
    <w:rsid w:val="00E606DC"/>
    <w:rsid w:val="00E61107"/>
    <w:rsid w:val="00E61FBC"/>
    <w:rsid w:val="00E6269A"/>
    <w:rsid w:val="00E6280E"/>
    <w:rsid w:val="00E62B37"/>
    <w:rsid w:val="00E65406"/>
    <w:rsid w:val="00E663F4"/>
    <w:rsid w:val="00E666F2"/>
    <w:rsid w:val="00E66DD4"/>
    <w:rsid w:val="00E67B03"/>
    <w:rsid w:val="00E70391"/>
    <w:rsid w:val="00E715D3"/>
    <w:rsid w:val="00E71872"/>
    <w:rsid w:val="00E71FD5"/>
    <w:rsid w:val="00E748CC"/>
    <w:rsid w:val="00E7506F"/>
    <w:rsid w:val="00E75415"/>
    <w:rsid w:val="00E75B0E"/>
    <w:rsid w:val="00E75F98"/>
    <w:rsid w:val="00E76442"/>
    <w:rsid w:val="00E7709A"/>
    <w:rsid w:val="00E775B1"/>
    <w:rsid w:val="00E810A7"/>
    <w:rsid w:val="00E81339"/>
    <w:rsid w:val="00E8152A"/>
    <w:rsid w:val="00E821ED"/>
    <w:rsid w:val="00E825B9"/>
    <w:rsid w:val="00E826B4"/>
    <w:rsid w:val="00E851D7"/>
    <w:rsid w:val="00E85C82"/>
    <w:rsid w:val="00E86553"/>
    <w:rsid w:val="00E86D3B"/>
    <w:rsid w:val="00E870F4"/>
    <w:rsid w:val="00E87869"/>
    <w:rsid w:val="00E87930"/>
    <w:rsid w:val="00E900FA"/>
    <w:rsid w:val="00E909B7"/>
    <w:rsid w:val="00E909E7"/>
    <w:rsid w:val="00E91EC9"/>
    <w:rsid w:val="00E93356"/>
    <w:rsid w:val="00E93629"/>
    <w:rsid w:val="00E93B5C"/>
    <w:rsid w:val="00E93B88"/>
    <w:rsid w:val="00E9423D"/>
    <w:rsid w:val="00E94CEC"/>
    <w:rsid w:val="00E95A55"/>
    <w:rsid w:val="00E96639"/>
    <w:rsid w:val="00E97CF7"/>
    <w:rsid w:val="00EA04EF"/>
    <w:rsid w:val="00EA1A45"/>
    <w:rsid w:val="00EA1BEC"/>
    <w:rsid w:val="00EA2248"/>
    <w:rsid w:val="00EA6549"/>
    <w:rsid w:val="00EA6C79"/>
    <w:rsid w:val="00EA6F19"/>
    <w:rsid w:val="00EB0B1C"/>
    <w:rsid w:val="00EB1AB7"/>
    <w:rsid w:val="00EB1AEC"/>
    <w:rsid w:val="00EB4120"/>
    <w:rsid w:val="00EB44E6"/>
    <w:rsid w:val="00EB52BD"/>
    <w:rsid w:val="00EB64AA"/>
    <w:rsid w:val="00EB7090"/>
    <w:rsid w:val="00EB73C3"/>
    <w:rsid w:val="00EB7BDD"/>
    <w:rsid w:val="00EB7E15"/>
    <w:rsid w:val="00EC0763"/>
    <w:rsid w:val="00EC1BBE"/>
    <w:rsid w:val="00EC1FF2"/>
    <w:rsid w:val="00EC2043"/>
    <w:rsid w:val="00EC22F4"/>
    <w:rsid w:val="00EC2B68"/>
    <w:rsid w:val="00EC2C6F"/>
    <w:rsid w:val="00EC3AEF"/>
    <w:rsid w:val="00EC5CD7"/>
    <w:rsid w:val="00EC5D9A"/>
    <w:rsid w:val="00ED0CD1"/>
    <w:rsid w:val="00ED2824"/>
    <w:rsid w:val="00ED3891"/>
    <w:rsid w:val="00ED48F4"/>
    <w:rsid w:val="00ED4D99"/>
    <w:rsid w:val="00ED637A"/>
    <w:rsid w:val="00ED6F55"/>
    <w:rsid w:val="00ED76BB"/>
    <w:rsid w:val="00ED77AC"/>
    <w:rsid w:val="00ED7DF2"/>
    <w:rsid w:val="00EE075D"/>
    <w:rsid w:val="00EE0B27"/>
    <w:rsid w:val="00EE0D01"/>
    <w:rsid w:val="00EE1BF7"/>
    <w:rsid w:val="00EE303C"/>
    <w:rsid w:val="00EE39C3"/>
    <w:rsid w:val="00EE592F"/>
    <w:rsid w:val="00EE5FB3"/>
    <w:rsid w:val="00EE65EE"/>
    <w:rsid w:val="00EE6839"/>
    <w:rsid w:val="00EE747C"/>
    <w:rsid w:val="00EE7C4E"/>
    <w:rsid w:val="00EE7E9A"/>
    <w:rsid w:val="00EE7F79"/>
    <w:rsid w:val="00EF0893"/>
    <w:rsid w:val="00EF100F"/>
    <w:rsid w:val="00EF1184"/>
    <w:rsid w:val="00EF1E9E"/>
    <w:rsid w:val="00EF2529"/>
    <w:rsid w:val="00EF2D70"/>
    <w:rsid w:val="00EF3230"/>
    <w:rsid w:val="00EF331C"/>
    <w:rsid w:val="00EF398A"/>
    <w:rsid w:val="00EF4303"/>
    <w:rsid w:val="00EF459D"/>
    <w:rsid w:val="00EF6F90"/>
    <w:rsid w:val="00EF7107"/>
    <w:rsid w:val="00EF715A"/>
    <w:rsid w:val="00EF7278"/>
    <w:rsid w:val="00EF7A8D"/>
    <w:rsid w:val="00F008B4"/>
    <w:rsid w:val="00F011A6"/>
    <w:rsid w:val="00F01868"/>
    <w:rsid w:val="00F01A2A"/>
    <w:rsid w:val="00F01AA1"/>
    <w:rsid w:val="00F02186"/>
    <w:rsid w:val="00F02C34"/>
    <w:rsid w:val="00F037E8"/>
    <w:rsid w:val="00F04171"/>
    <w:rsid w:val="00F0443D"/>
    <w:rsid w:val="00F04887"/>
    <w:rsid w:val="00F06A2B"/>
    <w:rsid w:val="00F06E14"/>
    <w:rsid w:val="00F06E4A"/>
    <w:rsid w:val="00F07060"/>
    <w:rsid w:val="00F073BD"/>
    <w:rsid w:val="00F07D71"/>
    <w:rsid w:val="00F10C4C"/>
    <w:rsid w:val="00F10DE7"/>
    <w:rsid w:val="00F10FD6"/>
    <w:rsid w:val="00F12009"/>
    <w:rsid w:val="00F12506"/>
    <w:rsid w:val="00F13C86"/>
    <w:rsid w:val="00F14C96"/>
    <w:rsid w:val="00F156C2"/>
    <w:rsid w:val="00F16CBB"/>
    <w:rsid w:val="00F1733A"/>
    <w:rsid w:val="00F179D4"/>
    <w:rsid w:val="00F2002C"/>
    <w:rsid w:val="00F20B2B"/>
    <w:rsid w:val="00F21F91"/>
    <w:rsid w:val="00F22A23"/>
    <w:rsid w:val="00F22A5C"/>
    <w:rsid w:val="00F2382B"/>
    <w:rsid w:val="00F245B5"/>
    <w:rsid w:val="00F24948"/>
    <w:rsid w:val="00F253F9"/>
    <w:rsid w:val="00F2569F"/>
    <w:rsid w:val="00F278C0"/>
    <w:rsid w:val="00F30380"/>
    <w:rsid w:val="00F30702"/>
    <w:rsid w:val="00F30790"/>
    <w:rsid w:val="00F3272C"/>
    <w:rsid w:val="00F32CE4"/>
    <w:rsid w:val="00F33C56"/>
    <w:rsid w:val="00F347C7"/>
    <w:rsid w:val="00F34848"/>
    <w:rsid w:val="00F42D46"/>
    <w:rsid w:val="00F441FD"/>
    <w:rsid w:val="00F4496C"/>
    <w:rsid w:val="00F44BDE"/>
    <w:rsid w:val="00F44F3A"/>
    <w:rsid w:val="00F46B36"/>
    <w:rsid w:val="00F46FB1"/>
    <w:rsid w:val="00F47002"/>
    <w:rsid w:val="00F47195"/>
    <w:rsid w:val="00F476B4"/>
    <w:rsid w:val="00F47723"/>
    <w:rsid w:val="00F519F2"/>
    <w:rsid w:val="00F51A37"/>
    <w:rsid w:val="00F51F10"/>
    <w:rsid w:val="00F529A5"/>
    <w:rsid w:val="00F52ABA"/>
    <w:rsid w:val="00F5310D"/>
    <w:rsid w:val="00F53773"/>
    <w:rsid w:val="00F53836"/>
    <w:rsid w:val="00F541B4"/>
    <w:rsid w:val="00F5551E"/>
    <w:rsid w:val="00F55B16"/>
    <w:rsid w:val="00F56863"/>
    <w:rsid w:val="00F56FEC"/>
    <w:rsid w:val="00F60164"/>
    <w:rsid w:val="00F60F00"/>
    <w:rsid w:val="00F614C0"/>
    <w:rsid w:val="00F62DA1"/>
    <w:rsid w:val="00F63816"/>
    <w:rsid w:val="00F64777"/>
    <w:rsid w:val="00F64817"/>
    <w:rsid w:val="00F65AC1"/>
    <w:rsid w:val="00F675D1"/>
    <w:rsid w:val="00F715D3"/>
    <w:rsid w:val="00F716E2"/>
    <w:rsid w:val="00F75E1E"/>
    <w:rsid w:val="00F76DE8"/>
    <w:rsid w:val="00F76E96"/>
    <w:rsid w:val="00F77347"/>
    <w:rsid w:val="00F7790A"/>
    <w:rsid w:val="00F80675"/>
    <w:rsid w:val="00F810EF"/>
    <w:rsid w:val="00F81E75"/>
    <w:rsid w:val="00F82E3E"/>
    <w:rsid w:val="00F83848"/>
    <w:rsid w:val="00F848C8"/>
    <w:rsid w:val="00F84A07"/>
    <w:rsid w:val="00F867F6"/>
    <w:rsid w:val="00F86DB6"/>
    <w:rsid w:val="00F87B0D"/>
    <w:rsid w:val="00F87FAF"/>
    <w:rsid w:val="00F90D95"/>
    <w:rsid w:val="00F92B77"/>
    <w:rsid w:val="00F930D0"/>
    <w:rsid w:val="00F9496A"/>
    <w:rsid w:val="00F951A7"/>
    <w:rsid w:val="00F966F8"/>
    <w:rsid w:val="00F975E9"/>
    <w:rsid w:val="00FA15E2"/>
    <w:rsid w:val="00FA18A5"/>
    <w:rsid w:val="00FA1AC7"/>
    <w:rsid w:val="00FA1B7D"/>
    <w:rsid w:val="00FA1E51"/>
    <w:rsid w:val="00FA2561"/>
    <w:rsid w:val="00FA4DD7"/>
    <w:rsid w:val="00FA6208"/>
    <w:rsid w:val="00FA65F4"/>
    <w:rsid w:val="00FA684C"/>
    <w:rsid w:val="00FA737C"/>
    <w:rsid w:val="00FA7B0E"/>
    <w:rsid w:val="00FB02B5"/>
    <w:rsid w:val="00FB2A1D"/>
    <w:rsid w:val="00FB2A77"/>
    <w:rsid w:val="00FB2B53"/>
    <w:rsid w:val="00FB2E97"/>
    <w:rsid w:val="00FB4C3F"/>
    <w:rsid w:val="00FB5A0D"/>
    <w:rsid w:val="00FB6BF9"/>
    <w:rsid w:val="00FB6DAF"/>
    <w:rsid w:val="00FC0428"/>
    <w:rsid w:val="00FC07B9"/>
    <w:rsid w:val="00FC095B"/>
    <w:rsid w:val="00FC1763"/>
    <w:rsid w:val="00FC2301"/>
    <w:rsid w:val="00FC2B79"/>
    <w:rsid w:val="00FC2FB4"/>
    <w:rsid w:val="00FC3627"/>
    <w:rsid w:val="00FC4E21"/>
    <w:rsid w:val="00FC5F6D"/>
    <w:rsid w:val="00FC6642"/>
    <w:rsid w:val="00FC7EE4"/>
    <w:rsid w:val="00FD0107"/>
    <w:rsid w:val="00FD2C2F"/>
    <w:rsid w:val="00FD2C5B"/>
    <w:rsid w:val="00FD3B31"/>
    <w:rsid w:val="00FD415F"/>
    <w:rsid w:val="00FD6FA3"/>
    <w:rsid w:val="00FE1795"/>
    <w:rsid w:val="00FE1823"/>
    <w:rsid w:val="00FE2213"/>
    <w:rsid w:val="00FE487A"/>
    <w:rsid w:val="00FE4AE6"/>
    <w:rsid w:val="00FE6A9F"/>
    <w:rsid w:val="00FF0569"/>
    <w:rsid w:val="00FF0834"/>
    <w:rsid w:val="00FF0BC4"/>
    <w:rsid w:val="00FF0F5C"/>
    <w:rsid w:val="00FF1447"/>
    <w:rsid w:val="00FF1558"/>
    <w:rsid w:val="00FF206E"/>
    <w:rsid w:val="00FF26EE"/>
    <w:rsid w:val="00FF3A24"/>
    <w:rsid w:val="00FF3C69"/>
    <w:rsid w:val="00FF4455"/>
    <w:rsid w:val="00FF4DD0"/>
    <w:rsid w:val="00FF5AE2"/>
    <w:rsid w:val="00FF5BA9"/>
    <w:rsid w:val="00FF69F8"/>
    <w:rsid w:val="00FF6C31"/>
    <w:rsid w:val="00FF6E0A"/>
    <w:rsid w:val="00FF7749"/>
    <w:rsid w:val="23900A5E"/>
    <w:rsid w:val="74D6B187"/>
  </w:rsids>
  <m:mathPr>
    <m:mathFont m:val="Cambria Math"/>
    <m:brkBin m:val="before"/>
    <m:brkBinSub m:val="--"/>
    <m:smallFrac/>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2289">
      <o:colormru v:ext="edit" colors="red,#4d4d4f"/>
    </o:shapedefaults>
    <o:shapelayout v:ext="edit">
      <o:idmap v:ext="edit" data="1"/>
    </o:shapelayout>
  </w:shapeDefaults>
  <w:decimalSymbol w:val="."/>
  <w:listSeparator w:val=","/>
  <w14:docId w14:val="6D50A9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23" w:unhideWhenUsed="1"/>
    <w:lsdException w:name="annotation text" w:semiHidden="1" w:uiPriority="99"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uiPriority="34" w:qFormat="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533234"/>
    <w:pPr>
      <w:spacing w:after="240" w:line="240" w:lineRule="atLeast"/>
    </w:pPr>
    <w:rPr>
      <w:rFonts w:ascii="Arial" w:hAnsi="Arial"/>
      <w:sz w:val="20"/>
    </w:rPr>
  </w:style>
  <w:style w:type="paragraph" w:styleId="Heading1">
    <w:name w:val="heading 1"/>
    <w:basedOn w:val="Normal"/>
    <w:next w:val="Normal"/>
    <w:link w:val="Heading1Char"/>
    <w:uiPriority w:val="1"/>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Paragraph"/>
    <w:next w:val="Paragraph"/>
    <w:link w:val="Heading2Char"/>
    <w:uiPriority w:val="1"/>
    <w:qFormat/>
    <w:rsid w:val="0061353A"/>
    <w:pPr>
      <w:outlineLvl w:val="1"/>
    </w:pPr>
    <w:rPr>
      <w:b/>
      <w:bCs/>
      <w:iCs/>
      <w:sz w:val="28"/>
      <w:szCs w:val="28"/>
    </w:rPr>
  </w:style>
  <w:style w:type="paragraph" w:styleId="Heading3">
    <w:name w:val="heading 3"/>
    <w:basedOn w:val="Normal"/>
    <w:next w:val="Normal"/>
    <w:link w:val="Heading3Char"/>
    <w:qFormat/>
    <w:rsid w:val="0061353A"/>
    <w:pPr>
      <w:keepNext/>
      <w:spacing w:before="120" w:after="120"/>
      <w:outlineLvl w:val="2"/>
    </w:pPr>
    <w:rPr>
      <w:rFonts w:cs="Arial"/>
      <w:b/>
      <w:bCs/>
      <w:szCs w:val="26"/>
    </w:rPr>
  </w:style>
  <w:style w:type="paragraph" w:styleId="Heading4">
    <w:name w:val="heading 4"/>
    <w:basedOn w:val="BodySubHeader"/>
    <w:next w:val="Normal"/>
    <w:link w:val="Heading4Char"/>
    <w:uiPriority w:val="2"/>
    <w:qFormat/>
    <w:rsid w:val="005B2F0D"/>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qFormat/>
    <w:rsid w:val="00146CE6"/>
    <w:pPr>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aliases w:val="(NECG) Footnote Reference,(NECG) Footnote Reference1,(NECG) Footnote Reference2,o"/>
    <w:basedOn w:val="DefaultParagraphFont"/>
    <w:rsid w:val="00566AB4"/>
    <w:rPr>
      <w:rFonts w:ascii="Arial" w:hAnsi="Arial"/>
      <w:vertAlign w:val="superscript"/>
    </w:rPr>
  </w:style>
  <w:style w:type="paragraph" w:styleId="FootnoteText">
    <w:name w:val="footnote text"/>
    <w:aliases w:val="Footnote text,ACMA Footnote Text,ABA Footnote Text,ACMA_FootnoteText"/>
    <w:basedOn w:val="Normal"/>
    <w:link w:val="FootnoteTextChar"/>
    <w:uiPriority w:val="23"/>
    <w:rsid w:val="00D61243"/>
    <w:pPr>
      <w:spacing w:after="0"/>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uiPriority w:val="99"/>
    <w:semiHidden/>
    <w:rsid w:val="00EE7F79"/>
    <w:pPr>
      <w:spacing w:line="240" w:lineRule="auto"/>
    </w:pPr>
    <w:rPr>
      <w:szCs w:val="20"/>
    </w:rPr>
  </w:style>
  <w:style w:type="character" w:customStyle="1" w:styleId="CommentTextChar">
    <w:name w:val="Comment Text Char"/>
    <w:basedOn w:val="DefaultParagraphFont"/>
    <w:link w:val="CommentText"/>
    <w:uiPriority w:val="99"/>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uiPriority w:val="1"/>
    <w:rsid w:val="00F5310D"/>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61353A"/>
    <w:rPr>
      <w:rFonts w:ascii="Arial" w:hAnsi="Arial" w:cs="Arial"/>
      <w:b/>
      <w:bCs/>
      <w:iCs/>
      <w:sz w:val="28"/>
      <w:szCs w:val="28"/>
    </w:rPr>
  </w:style>
  <w:style w:type="character" w:styleId="UnresolvedMention">
    <w:name w:val="Unresolved Mention"/>
    <w:basedOn w:val="DefaultParagraphFont"/>
    <w:uiPriority w:val="99"/>
    <w:unhideWhenUsed/>
    <w:rsid w:val="006B52DE"/>
    <w:rPr>
      <w:color w:val="605E5C"/>
      <w:shd w:val="clear" w:color="auto" w:fill="E1DFDD"/>
    </w:rPr>
  </w:style>
  <w:style w:type="character" w:customStyle="1" w:styleId="Heading3Char">
    <w:name w:val="Heading 3 Char"/>
    <w:basedOn w:val="DefaultParagraphFont"/>
    <w:link w:val="Heading3"/>
    <w:rsid w:val="0061353A"/>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A824E8"/>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4A70D6"/>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63346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next w:val="Paragraph"/>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next w:val="Paragraph"/>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styleId="BalloonText">
    <w:name w:val="Balloon Text"/>
    <w:basedOn w:val="Normal"/>
    <w:link w:val="BalloonTextChar"/>
    <w:semiHidden/>
    <w:unhideWhenUsed/>
    <w:rsid w:val="003933E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3933E8"/>
    <w:rPr>
      <w:rFonts w:ascii="Segoe UI" w:hAnsi="Segoe UI" w:cs="Segoe UI"/>
      <w:sz w:val="18"/>
      <w:szCs w:val="18"/>
    </w:rPr>
  </w:style>
  <w:style w:type="paragraph" w:customStyle="1" w:styleId="Note">
    <w:name w:val="Note"/>
    <w:basedOn w:val="ACMANotes"/>
    <w:uiPriority w:val="23"/>
    <w:semiHidden/>
    <w:qFormat/>
    <w:rsid w:val="00D61243"/>
  </w:style>
  <w:style w:type="paragraph" w:customStyle="1" w:styleId="ACMABulletLevel1">
    <w:name w:val="ACMA Bullet Level 1"/>
    <w:rsid w:val="005C34EF"/>
    <w:pPr>
      <w:numPr>
        <w:numId w:val="16"/>
      </w:numPr>
      <w:tabs>
        <w:tab w:val="num" w:pos="-31680"/>
      </w:tabs>
      <w:spacing w:after="120"/>
    </w:pPr>
    <w:rPr>
      <w:szCs w:val="20"/>
      <w:lang w:eastAsia="en-US"/>
    </w:rPr>
  </w:style>
  <w:style w:type="paragraph" w:customStyle="1" w:styleId="Protectivemarking">
    <w:name w:val="Protective marking"/>
    <w:basedOn w:val="ACMABulletLevel1"/>
    <w:uiPriority w:val="99"/>
    <w:qFormat/>
    <w:rsid w:val="005C34EF"/>
    <w:pPr>
      <w:numPr>
        <w:numId w:val="0"/>
      </w:numPr>
      <w:tabs>
        <w:tab w:val="left" w:pos="720"/>
      </w:tabs>
      <w:spacing w:after="0"/>
      <w:jc w:val="center"/>
    </w:pPr>
    <w:rPr>
      <w:rFonts w:ascii="Arial" w:hAnsi="Arial" w:cs="Arial"/>
      <w:b/>
      <w:bCs/>
      <w:color w:val="FF0000"/>
      <w:sz w:val="32"/>
      <w:szCs w:val="24"/>
    </w:rPr>
  </w:style>
  <w:style w:type="paragraph" w:customStyle="1" w:styleId="TableHeading0">
    <w:name w:val="Table Heading"/>
    <w:basedOn w:val="Normal"/>
    <w:semiHidden/>
    <w:qFormat/>
    <w:rsid w:val="00583DBA"/>
    <w:pPr>
      <w:spacing w:after="0"/>
    </w:pPr>
    <w:rPr>
      <w:b/>
    </w:rPr>
  </w:style>
  <w:style w:type="paragraph" w:customStyle="1" w:styleId="ACMABodyText">
    <w:name w:val="ACMA Body Text"/>
    <w:link w:val="ACMABodyTextChar"/>
    <w:qFormat/>
    <w:rsid w:val="00676266"/>
    <w:pPr>
      <w:suppressAutoHyphens/>
      <w:spacing w:before="80" w:after="120" w:line="280" w:lineRule="atLeast"/>
    </w:pPr>
    <w:rPr>
      <w:rFonts w:ascii="Arial" w:hAnsi="Arial"/>
      <w:snapToGrid w:val="0"/>
      <w:sz w:val="22"/>
      <w:szCs w:val="20"/>
      <w:lang w:eastAsia="en-US"/>
    </w:rPr>
  </w:style>
  <w:style w:type="character" w:customStyle="1" w:styleId="ACMABodyTextChar">
    <w:name w:val="ACMA Body Text Char"/>
    <w:basedOn w:val="DefaultParagraphFont"/>
    <w:link w:val="ACMABodyText"/>
    <w:locked/>
    <w:rsid w:val="00676266"/>
    <w:rPr>
      <w:rFonts w:ascii="Arial" w:hAnsi="Arial"/>
      <w:snapToGrid w:val="0"/>
      <w:sz w:val="22"/>
      <w:szCs w:val="20"/>
      <w:lang w:eastAsia="en-US"/>
    </w:rPr>
  </w:style>
  <w:style w:type="character" w:customStyle="1" w:styleId="FootnoteTextChar">
    <w:name w:val="Footnote Text Char"/>
    <w:aliases w:val="Footnote text Char,ACMA Footnote Text Char,ABA Footnote Text Char,ACMA_FootnoteText Char"/>
    <w:basedOn w:val="DefaultParagraphFont"/>
    <w:link w:val="FootnoteText"/>
    <w:rsid w:val="005F6333"/>
    <w:rPr>
      <w:rFonts w:ascii="Arial" w:hAnsi="Arial"/>
      <w:sz w:val="16"/>
      <w:szCs w:val="16"/>
    </w:rPr>
  </w:style>
  <w:style w:type="paragraph" w:styleId="ListParagraph">
    <w:name w:val="List Paragraph"/>
    <w:basedOn w:val="Normal"/>
    <w:uiPriority w:val="34"/>
    <w:qFormat/>
    <w:rsid w:val="00827279"/>
    <w:pPr>
      <w:ind w:left="720"/>
      <w:contextualSpacing/>
    </w:pPr>
  </w:style>
  <w:style w:type="paragraph" w:customStyle="1" w:styleId="ACMANumberedList">
    <w:name w:val="ACMA Numbered List"/>
    <w:rsid w:val="001A3644"/>
    <w:pPr>
      <w:numPr>
        <w:numId w:val="32"/>
      </w:numPr>
      <w:spacing w:before="20" w:after="20"/>
    </w:pPr>
    <w:rPr>
      <w:szCs w:val="20"/>
      <w:lang w:eastAsia="en-US"/>
    </w:rPr>
  </w:style>
  <w:style w:type="paragraph" w:customStyle="1" w:styleId="Style">
    <w:name w:val="Style"/>
    <w:basedOn w:val="Normal"/>
    <w:rsid w:val="00782B65"/>
    <w:pPr>
      <w:spacing w:after="160" w:line="240" w:lineRule="exact"/>
    </w:pPr>
    <w:rPr>
      <w:rFonts w:ascii="Verdana" w:eastAsia="MS Mincho" w:hAnsi="Verdana" w:cs="Verdana"/>
      <w:szCs w:val="20"/>
      <w:lang w:val="en-US" w:eastAsia="en-US"/>
    </w:rPr>
  </w:style>
  <w:style w:type="paragraph" w:customStyle="1" w:styleId="subsection">
    <w:name w:val="subsection"/>
    <w:basedOn w:val="Normal"/>
    <w:rsid w:val="00A6065B"/>
    <w:pPr>
      <w:spacing w:before="100" w:beforeAutospacing="1" w:after="100" w:afterAutospacing="1" w:line="240" w:lineRule="auto"/>
    </w:pPr>
    <w:rPr>
      <w:rFonts w:ascii="Times New Roman" w:hAnsi="Times New Roman"/>
      <w:sz w:val="24"/>
    </w:rPr>
  </w:style>
  <w:style w:type="paragraph" w:customStyle="1" w:styleId="paragraph0">
    <w:name w:val="paragraph"/>
    <w:basedOn w:val="Normal"/>
    <w:rsid w:val="00A6065B"/>
    <w:pPr>
      <w:spacing w:before="100" w:beforeAutospacing="1" w:after="100" w:afterAutospacing="1" w:line="240" w:lineRule="auto"/>
    </w:pPr>
    <w:rPr>
      <w:rFonts w:ascii="Times New Roman" w:hAnsi="Times New Roman"/>
      <w:sz w:val="24"/>
    </w:rPr>
  </w:style>
  <w:style w:type="paragraph" w:customStyle="1" w:styleId="subsection2">
    <w:name w:val="subsection2"/>
    <w:basedOn w:val="Normal"/>
    <w:rsid w:val="00A6065B"/>
    <w:pPr>
      <w:spacing w:before="100" w:beforeAutospacing="1" w:after="100" w:afterAutospacing="1" w:line="240" w:lineRule="auto"/>
    </w:pPr>
    <w:rPr>
      <w:rFonts w:ascii="Times New Roman" w:hAnsi="Times New Roman"/>
      <w:sz w:val="24"/>
    </w:rPr>
  </w:style>
  <w:style w:type="paragraph" w:customStyle="1" w:styleId="ACMAHeading3">
    <w:name w:val="ACMA Heading 3"/>
    <w:next w:val="Normal"/>
    <w:rsid w:val="00B21514"/>
    <w:pPr>
      <w:keepNext/>
      <w:suppressAutoHyphens/>
      <w:spacing w:before="240"/>
      <w:outlineLvl w:val="3"/>
    </w:pPr>
    <w:rPr>
      <w:rFonts w:ascii="Arial" w:hAnsi="Arial"/>
      <w:b/>
      <w:szCs w:val="20"/>
      <w:lang w:val="en-US" w:eastAsia="en-US"/>
    </w:rPr>
  </w:style>
  <w:style w:type="character" w:customStyle="1" w:styleId="Heading4Char">
    <w:name w:val="Heading 4 Char"/>
    <w:basedOn w:val="DefaultParagraphFont"/>
    <w:link w:val="Heading4"/>
    <w:uiPriority w:val="2"/>
    <w:rsid w:val="00E870F4"/>
    <w:rPr>
      <w:rFonts w:ascii="Arial" w:hAnsi="Arial" w:cs="Arial"/>
      <w:b/>
      <w:i/>
      <w:sz w:val="20"/>
    </w:rPr>
  </w:style>
  <w:style w:type="paragraph" w:customStyle="1" w:styleId="CharChar2Char">
    <w:name w:val="Char Char2 Char"/>
    <w:basedOn w:val="Normal"/>
    <w:rsid w:val="00AE1563"/>
    <w:pPr>
      <w:spacing w:after="160" w:line="240" w:lineRule="exact"/>
    </w:pPr>
    <w:rPr>
      <w:rFonts w:ascii="Times New Roman" w:hAnsi="Times New Roman"/>
      <w:noProof/>
      <w:szCs w:val="20"/>
      <w:lang w:val="en-GB"/>
    </w:rPr>
  </w:style>
  <w:style w:type="paragraph" w:styleId="NormalWeb">
    <w:name w:val="Normal (Web)"/>
    <w:basedOn w:val="Normal"/>
    <w:uiPriority w:val="99"/>
    <w:unhideWhenUsed/>
    <w:rsid w:val="007C49CB"/>
    <w:pPr>
      <w:spacing w:before="100" w:beforeAutospacing="1" w:after="100" w:afterAutospacing="1" w:line="240" w:lineRule="auto"/>
    </w:pPr>
    <w:rPr>
      <w:rFonts w:ascii="Times New Roman" w:hAnsi="Times New Roman"/>
      <w:sz w:val="24"/>
    </w:rPr>
  </w:style>
  <w:style w:type="character" w:customStyle="1" w:styleId="file">
    <w:name w:val="file"/>
    <w:basedOn w:val="DefaultParagraphFont"/>
    <w:rsid w:val="007C49CB"/>
  </w:style>
  <w:style w:type="paragraph" w:styleId="Revision">
    <w:name w:val="Revision"/>
    <w:hidden/>
    <w:semiHidden/>
    <w:rsid w:val="002A4B8F"/>
    <w:rPr>
      <w:rFonts w:ascii="Arial" w:hAnsi="Arial"/>
      <w:sz w:val="20"/>
    </w:rPr>
  </w:style>
  <w:style w:type="character" w:styleId="Mention">
    <w:name w:val="Mention"/>
    <w:basedOn w:val="DefaultParagraphFont"/>
    <w:uiPriority w:val="99"/>
    <w:unhideWhenUsed/>
    <w:rsid w:val="00D75E20"/>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7061109">
      <w:bodyDiv w:val="1"/>
      <w:marLeft w:val="0"/>
      <w:marRight w:val="0"/>
      <w:marTop w:val="0"/>
      <w:marBottom w:val="0"/>
      <w:divBdr>
        <w:top w:val="none" w:sz="0" w:space="0" w:color="auto"/>
        <w:left w:val="none" w:sz="0" w:space="0" w:color="auto"/>
        <w:bottom w:val="none" w:sz="0" w:space="0" w:color="auto"/>
        <w:right w:val="none" w:sz="0" w:space="0" w:color="auto"/>
      </w:divBdr>
    </w:div>
    <w:div w:id="222760205">
      <w:bodyDiv w:val="1"/>
      <w:marLeft w:val="0"/>
      <w:marRight w:val="0"/>
      <w:marTop w:val="0"/>
      <w:marBottom w:val="0"/>
      <w:divBdr>
        <w:top w:val="none" w:sz="0" w:space="0" w:color="auto"/>
        <w:left w:val="none" w:sz="0" w:space="0" w:color="auto"/>
        <w:bottom w:val="none" w:sz="0" w:space="0" w:color="auto"/>
        <w:right w:val="none" w:sz="0" w:space="0" w:color="auto"/>
      </w:divBdr>
    </w:div>
    <w:div w:id="282813674">
      <w:bodyDiv w:val="1"/>
      <w:marLeft w:val="0"/>
      <w:marRight w:val="0"/>
      <w:marTop w:val="0"/>
      <w:marBottom w:val="0"/>
      <w:divBdr>
        <w:top w:val="none" w:sz="0" w:space="0" w:color="auto"/>
        <w:left w:val="none" w:sz="0" w:space="0" w:color="auto"/>
        <w:bottom w:val="none" w:sz="0" w:space="0" w:color="auto"/>
        <w:right w:val="none" w:sz="0" w:space="0" w:color="auto"/>
      </w:divBdr>
    </w:div>
    <w:div w:id="358895910">
      <w:bodyDiv w:val="1"/>
      <w:marLeft w:val="0"/>
      <w:marRight w:val="0"/>
      <w:marTop w:val="0"/>
      <w:marBottom w:val="0"/>
      <w:divBdr>
        <w:top w:val="none" w:sz="0" w:space="0" w:color="auto"/>
        <w:left w:val="none" w:sz="0" w:space="0" w:color="auto"/>
        <w:bottom w:val="none" w:sz="0" w:space="0" w:color="auto"/>
        <w:right w:val="none" w:sz="0" w:space="0" w:color="auto"/>
      </w:divBdr>
    </w:div>
    <w:div w:id="474571974">
      <w:bodyDiv w:val="1"/>
      <w:marLeft w:val="0"/>
      <w:marRight w:val="0"/>
      <w:marTop w:val="0"/>
      <w:marBottom w:val="0"/>
      <w:divBdr>
        <w:top w:val="none" w:sz="0" w:space="0" w:color="auto"/>
        <w:left w:val="none" w:sz="0" w:space="0" w:color="auto"/>
        <w:bottom w:val="none" w:sz="0" w:space="0" w:color="auto"/>
        <w:right w:val="none" w:sz="0" w:space="0" w:color="auto"/>
      </w:divBdr>
    </w:div>
    <w:div w:id="529613617">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772169145">
      <w:bodyDiv w:val="1"/>
      <w:marLeft w:val="0"/>
      <w:marRight w:val="0"/>
      <w:marTop w:val="0"/>
      <w:marBottom w:val="0"/>
      <w:divBdr>
        <w:top w:val="none" w:sz="0" w:space="0" w:color="auto"/>
        <w:left w:val="none" w:sz="0" w:space="0" w:color="auto"/>
        <w:bottom w:val="none" w:sz="0" w:space="0" w:color="auto"/>
        <w:right w:val="none" w:sz="0" w:space="0" w:color="auto"/>
      </w:divBdr>
    </w:div>
    <w:div w:id="1105076494">
      <w:bodyDiv w:val="1"/>
      <w:marLeft w:val="0"/>
      <w:marRight w:val="0"/>
      <w:marTop w:val="0"/>
      <w:marBottom w:val="0"/>
      <w:divBdr>
        <w:top w:val="none" w:sz="0" w:space="0" w:color="auto"/>
        <w:left w:val="none" w:sz="0" w:space="0" w:color="auto"/>
        <w:bottom w:val="none" w:sz="0" w:space="0" w:color="auto"/>
        <w:right w:val="none" w:sz="0" w:space="0" w:color="auto"/>
      </w:divBdr>
    </w:div>
    <w:div w:id="1109593583">
      <w:bodyDiv w:val="1"/>
      <w:marLeft w:val="0"/>
      <w:marRight w:val="0"/>
      <w:marTop w:val="0"/>
      <w:marBottom w:val="0"/>
      <w:divBdr>
        <w:top w:val="none" w:sz="0" w:space="0" w:color="auto"/>
        <w:left w:val="none" w:sz="0" w:space="0" w:color="auto"/>
        <w:bottom w:val="none" w:sz="0" w:space="0" w:color="auto"/>
        <w:right w:val="none" w:sz="0" w:space="0" w:color="auto"/>
      </w:divBdr>
    </w:div>
    <w:div w:id="1387339846">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416170513">
      <w:bodyDiv w:val="1"/>
      <w:marLeft w:val="0"/>
      <w:marRight w:val="0"/>
      <w:marTop w:val="0"/>
      <w:marBottom w:val="0"/>
      <w:divBdr>
        <w:top w:val="none" w:sz="0" w:space="0" w:color="auto"/>
        <w:left w:val="none" w:sz="0" w:space="0" w:color="auto"/>
        <w:bottom w:val="none" w:sz="0" w:space="0" w:color="auto"/>
        <w:right w:val="none" w:sz="0" w:space="0" w:color="auto"/>
      </w:divBdr>
    </w:div>
    <w:div w:id="1426682811">
      <w:bodyDiv w:val="1"/>
      <w:marLeft w:val="0"/>
      <w:marRight w:val="0"/>
      <w:marTop w:val="0"/>
      <w:marBottom w:val="0"/>
      <w:divBdr>
        <w:top w:val="none" w:sz="0" w:space="0" w:color="auto"/>
        <w:left w:val="none" w:sz="0" w:space="0" w:color="auto"/>
        <w:bottom w:val="none" w:sz="0" w:space="0" w:color="auto"/>
        <w:right w:val="none" w:sz="0" w:space="0" w:color="auto"/>
      </w:divBdr>
    </w:div>
    <w:div w:id="1532494954">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572151269">
      <w:bodyDiv w:val="1"/>
      <w:marLeft w:val="0"/>
      <w:marRight w:val="0"/>
      <w:marTop w:val="0"/>
      <w:marBottom w:val="0"/>
      <w:divBdr>
        <w:top w:val="none" w:sz="0" w:space="0" w:color="auto"/>
        <w:left w:val="none" w:sz="0" w:space="0" w:color="auto"/>
        <w:bottom w:val="none" w:sz="0" w:space="0" w:color="auto"/>
        <w:right w:val="none" w:sz="0" w:space="0" w:color="auto"/>
      </w:divBdr>
    </w:div>
    <w:div w:id="1585452742">
      <w:bodyDiv w:val="1"/>
      <w:marLeft w:val="0"/>
      <w:marRight w:val="0"/>
      <w:marTop w:val="0"/>
      <w:marBottom w:val="0"/>
      <w:divBdr>
        <w:top w:val="none" w:sz="0" w:space="0" w:color="auto"/>
        <w:left w:val="none" w:sz="0" w:space="0" w:color="auto"/>
        <w:bottom w:val="none" w:sz="0" w:space="0" w:color="auto"/>
        <w:right w:val="none" w:sz="0" w:space="0" w:color="auto"/>
      </w:divBdr>
    </w:div>
    <w:div w:id="1777361262">
      <w:bodyDiv w:val="1"/>
      <w:marLeft w:val="0"/>
      <w:marRight w:val="0"/>
      <w:marTop w:val="0"/>
      <w:marBottom w:val="0"/>
      <w:divBdr>
        <w:top w:val="none" w:sz="0" w:space="0" w:color="auto"/>
        <w:left w:val="none" w:sz="0" w:space="0" w:color="auto"/>
        <w:bottom w:val="none" w:sz="0" w:space="0" w:color="auto"/>
        <w:right w:val="none" w:sz="0" w:space="0" w:color="auto"/>
      </w:divBdr>
    </w:div>
    <w:div w:id="1856915822">
      <w:bodyDiv w:val="1"/>
      <w:marLeft w:val="0"/>
      <w:marRight w:val="0"/>
      <w:marTop w:val="0"/>
      <w:marBottom w:val="0"/>
      <w:divBdr>
        <w:top w:val="none" w:sz="0" w:space="0" w:color="auto"/>
        <w:left w:val="none" w:sz="0" w:space="0" w:color="auto"/>
        <w:bottom w:val="none" w:sz="0" w:space="0" w:color="auto"/>
        <w:right w:val="none" w:sz="0" w:space="0" w:color="auto"/>
      </w:divBdr>
    </w:div>
    <w:div w:id="1865050003">
      <w:bodyDiv w:val="1"/>
      <w:marLeft w:val="0"/>
      <w:marRight w:val="0"/>
      <w:marTop w:val="0"/>
      <w:marBottom w:val="0"/>
      <w:divBdr>
        <w:top w:val="none" w:sz="0" w:space="0" w:color="auto"/>
        <w:left w:val="none" w:sz="0" w:space="0" w:color="auto"/>
        <w:bottom w:val="none" w:sz="0" w:space="0" w:color="auto"/>
        <w:right w:val="none" w:sz="0" w:space="0" w:color="auto"/>
      </w:divBdr>
    </w:div>
    <w:div w:id="1924604003">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 w:id="2001618489">
      <w:bodyDiv w:val="1"/>
      <w:marLeft w:val="0"/>
      <w:marRight w:val="0"/>
      <w:marTop w:val="0"/>
      <w:marBottom w:val="0"/>
      <w:divBdr>
        <w:top w:val="none" w:sz="0" w:space="0" w:color="auto"/>
        <w:left w:val="none" w:sz="0" w:space="0" w:color="auto"/>
        <w:bottom w:val="none" w:sz="0" w:space="0" w:color="auto"/>
        <w:right w:val="none" w:sz="0" w:space="0" w:color="auto"/>
      </w:divBdr>
    </w:div>
    <w:div w:id="2063602090">
      <w:bodyDiv w:val="1"/>
      <w:marLeft w:val="0"/>
      <w:marRight w:val="0"/>
      <w:marTop w:val="0"/>
      <w:marBottom w:val="0"/>
      <w:divBdr>
        <w:top w:val="none" w:sz="0" w:space="0" w:color="auto"/>
        <w:left w:val="none" w:sz="0" w:space="0" w:color="auto"/>
        <w:bottom w:val="none" w:sz="0" w:space="0" w:color="auto"/>
        <w:right w:val="none" w:sz="0" w:space="0" w:color="auto"/>
      </w:divBdr>
    </w:div>
    <w:div w:id="20741157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hyperlink" Target="https://www.legislation.gov.au/Details/F2011L00581" TargetMode="External"/><Relationship Id="rId39"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eader" Target="header7.xml"/><Relationship Id="rId34" Type="http://schemas.openxmlformats.org/officeDocument/2006/relationships/header" Target="header9.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footer" Target="footer6.xml"/><Relationship Id="rId33" Type="http://schemas.openxmlformats.org/officeDocument/2006/relationships/hyperlink" Target="https://www.acma.gov.au/privacy-policy" TargetMode="External"/><Relationship Id="rId38" Type="http://schemas.openxmlformats.org/officeDocument/2006/relationships/header" Target="header11.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hyperlink" Target="https://www.aph.gov.au/Parliamentary_Business/Committees/Joint/Intelligence_and_Security/ExtremistMovements"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eader" Target="header8.xml"/><Relationship Id="rId32" Type="http://schemas.openxmlformats.org/officeDocument/2006/relationships/hyperlink" Target="https://www.acma.gov.au/publication-submissions" TargetMode="External"/><Relationship Id="rId37" Type="http://schemas.openxmlformats.org/officeDocument/2006/relationships/footer" Target="footer8.xml"/><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5.xml"/><Relationship Id="rId28" Type="http://schemas.openxmlformats.org/officeDocument/2006/relationships/hyperlink" Target="https://www.acma.gov.au/publications/2019-11/guide/guidelines-anti-terrorism-standards" TargetMode="External"/><Relationship Id="rId36" Type="http://schemas.openxmlformats.org/officeDocument/2006/relationships/footer" Target="footer7.xml"/><Relationship Id="rId10" Type="http://schemas.openxmlformats.org/officeDocument/2006/relationships/header" Target="header2.xml"/><Relationship Id="rId19" Type="http://schemas.openxmlformats.org/officeDocument/2006/relationships/header" Target="header5.xml"/><Relationship Id="rId31" Type="http://schemas.openxmlformats.org/officeDocument/2006/relationships/hyperlink" Target="mailto:haveyoursay@acma.gov.au"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4.xml"/><Relationship Id="rId27" Type="http://schemas.openxmlformats.org/officeDocument/2006/relationships/hyperlink" Target="https://www.legislation.gov.au/Details/F2011L00579" TargetMode="External"/><Relationship Id="rId30" Type="http://schemas.openxmlformats.org/officeDocument/2006/relationships/hyperlink" Target="https://www.acma.gov.au/have-your-say" TargetMode="External"/><Relationship Id="rId35" Type="http://schemas.openxmlformats.org/officeDocument/2006/relationships/header" Target="header10.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s://www.asio.gov.au/publications/speeches-and-statements/director-general-annual-threat-assessment-0.html" TargetMode="External"/><Relationship Id="rId2" Type="http://schemas.openxmlformats.org/officeDocument/2006/relationships/hyperlink" Target="https://www.legislation.gov.au/Details/C2019A00038" TargetMode="External"/><Relationship Id="rId1" Type="http://schemas.openxmlformats.org/officeDocument/2006/relationships/hyperlink" Target="https://www.homeaffairs.gov.au/nat-security/files/review-australia-ct-machinery.pdf" TargetMode="External"/><Relationship Id="rId6" Type="http://schemas.openxmlformats.org/officeDocument/2006/relationships/hyperlink" Target="https://www.acma.gov.au/publications/2019-09/report/acma-investigation-coverage-christchurch-terrorist-attack" TargetMode="External"/><Relationship Id="rId5" Type="http://schemas.openxmlformats.org/officeDocument/2006/relationships/hyperlink" Target="https://www.aph.gov.au/DocumentStore.ashx?id=dd559e49-539b-4df2-8e04-2019076107f6&amp;subId=702965" TargetMode="External"/><Relationship Id="rId4" Type="http://schemas.openxmlformats.org/officeDocument/2006/relationships/hyperlink" Target="https://www.asio.gov.au/publications/speeches-and-statements/director-generals-annual-threat-assessment-2021.html"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204CBDD-FDB0-4AEE-BB5C-82282EF260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Pages>
  <Words>3795</Words>
  <Characters>21635</Characters>
  <Application>Microsoft Office Word</Application>
  <DocSecurity>0</DocSecurity>
  <Lines>180</Lines>
  <Paragraphs>50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25380</CharactersWithSpaces>
  <SharedDoc>false</SharedDoc>
  <HyperlinkBase/>
  <HLinks>
    <vt:vector size="108" baseType="variant">
      <vt:variant>
        <vt:i4>2097192</vt:i4>
      </vt:variant>
      <vt:variant>
        <vt:i4>72</vt:i4>
      </vt:variant>
      <vt:variant>
        <vt:i4>0</vt:i4>
      </vt:variant>
      <vt:variant>
        <vt:i4>5</vt:i4>
      </vt:variant>
      <vt:variant>
        <vt:lpwstr>https://www.acma.gov.au/privacy-policy</vt:lpwstr>
      </vt:variant>
      <vt:variant>
        <vt:lpwstr/>
      </vt:variant>
      <vt:variant>
        <vt:i4>3473455</vt:i4>
      </vt:variant>
      <vt:variant>
        <vt:i4>69</vt:i4>
      </vt:variant>
      <vt:variant>
        <vt:i4>0</vt:i4>
      </vt:variant>
      <vt:variant>
        <vt:i4>5</vt:i4>
      </vt:variant>
      <vt:variant>
        <vt:lpwstr>https://www.acma.gov.au/publication-submissions</vt:lpwstr>
      </vt:variant>
      <vt:variant>
        <vt:lpwstr/>
      </vt:variant>
      <vt:variant>
        <vt:i4>7602176</vt:i4>
      </vt:variant>
      <vt:variant>
        <vt:i4>66</vt:i4>
      </vt:variant>
      <vt:variant>
        <vt:i4>0</vt:i4>
      </vt:variant>
      <vt:variant>
        <vt:i4>5</vt:i4>
      </vt:variant>
      <vt:variant>
        <vt:lpwstr>mailto:xxx@acma.gov.au</vt:lpwstr>
      </vt:variant>
      <vt:variant>
        <vt:lpwstr/>
      </vt:variant>
      <vt:variant>
        <vt:i4>5308427</vt:i4>
      </vt:variant>
      <vt:variant>
        <vt:i4>63</vt:i4>
      </vt:variant>
      <vt:variant>
        <vt:i4>0</vt:i4>
      </vt:variant>
      <vt:variant>
        <vt:i4>5</vt:i4>
      </vt:variant>
      <vt:variant>
        <vt:lpwstr>https://www.acma.gov.au/have-your-say</vt:lpwstr>
      </vt:variant>
      <vt:variant>
        <vt:lpwstr/>
      </vt:variant>
      <vt:variant>
        <vt:i4>7340126</vt:i4>
      </vt:variant>
      <vt:variant>
        <vt:i4>60</vt:i4>
      </vt:variant>
      <vt:variant>
        <vt:i4>0</vt:i4>
      </vt:variant>
      <vt:variant>
        <vt:i4>5</vt:i4>
      </vt:variant>
      <vt:variant>
        <vt:lpwstr/>
      </vt:variant>
      <vt:variant>
        <vt:lpwstr>_Proposed_minor_changes</vt:lpwstr>
      </vt:variant>
      <vt:variant>
        <vt:i4>6553600</vt:i4>
      </vt:variant>
      <vt:variant>
        <vt:i4>57</vt:i4>
      </vt:variant>
      <vt:variant>
        <vt:i4>0</vt:i4>
      </vt:variant>
      <vt:variant>
        <vt:i4>5</vt:i4>
      </vt:variant>
      <vt:variant>
        <vt:lpwstr>https://www.aph.gov.au/Parliamentary_Business/Committees/Joint/Intelligence_and_Security/ExtremistMovements</vt:lpwstr>
      </vt:variant>
      <vt:variant>
        <vt:lpwstr/>
      </vt:variant>
      <vt:variant>
        <vt:i4>2359345</vt:i4>
      </vt:variant>
      <vt:variant>
        <vt:i4>54</vt:i4>
      </vt:variant>
      <vt:variant>
        <vt:i4>0</vt:i4>
      </vt:variant>
      <vt:variant>
        <vt:i4>5</vt:i4>
      </vt:variant>
      <vt:variant>
        <vt:lpwstr>https://www.acma.gov.au/publications/2019-11/guide/guidelines-anti-terrorism-standards</vt:lpwstr>
      </vt:variant>
      <vt:variant>
        <vt:lpwstr/>
      </vt:variant>
      <vt:variant>
        <vt:i4>7864366</vt:i4>
      </vt:variant>
      <vt:variant>
        <vt:i4>51</vt:i4>
      </vt:variant>
      <vt:variant>
        <vt:i4>0</vt:i4>
      </vt:variant>
      <vt:variant>
        <vt:i4>5</vt:i4>
      </vt:variant>
      <vt:variant>
        <vt:lpwstr>https://www.legislation.gov.au/Details/F2011L00579</vt:lpwstr>
      </vt:variant>
      <vt:variant>
        <vt:lpwstr/>
      </vt:variant>
      <vt:variant>
        <vt:i4>7340065</vt:i4>
      </vt:variant>
      <vt:variant>
        <vt:i4>48</vt:i4>
      </vt:variant>
      <vt:variant>
        <vt:i4>0</vt:i4>
      </vt:variant>
      <vt:variant>
        <vt:i4>5</vt:i4>
      </vt:variant>
      <vt:variant>
        <vt:lpwstr>https://www.legislation.gov.au/Details/F2011L00581</vt:lpwstr>
      </vt:variant>
      <vt:variant>
        <vt:lpwstr/>
      </vt:variant>
      <vt:variant>
        <vt:i4>6225960</vt:i4>
      </vt:variant>
      <vt:variant>
        <vt:i4>3</vt:i4>
      </vt:variant>
      <vt:variant>
        <vt:i4>0</vt:i4>
      </vt:variant>
      <vt:variant>
        <vt:i4>5</vt:i4>
      </vt:variant>
      <vt:variant>
        <vt:lpwstr>mailto:info@acma.gov.au</vt:lpwstr>
      </vt:variant>
      <vt:variant>
        <vt:lpwstr/>
      </vt:variant>
      <vt:variant>
        <vt:i4>5308424</vt:i4>
      </vt:variant>
      <vt:variant>
        <vt:i4>0</vt:i4>
      </vt:variant>
      <vt:variant>
        <vt:i4>0</vt:i4>
      </vt:variant>
      <vt:variant>
        <vt:i4>5</vt:i4>
      </vt:variant>
      <vt:variant>
        <vt:lpwstr>https://creativecommons.org/licenses/by/4.0/</vt:lpwstr>
      </vt:variant>
      <vt:variant>
        <vt:lpwstr/>
      </vt:variant>
      <vt:variant>
        <vt:i4>393241</vt:i4>
      </vt:variant>
      <vt:variant>
        <vt:i4>15</vt:i4>
      </vt:variant>
      <vt:variant>
        <vt:i4>0</vt:i4>
      </vt:variant>
      <vt:variant>
        <vt:i4>5</vt:i4>
      </vt:variant>
      <vt:variant>
        <vt:lpwstr>https://www.acma.gov.au/publications/2019-09/report/acma-investigation-coverage-christchurch-terrorist-attack</vt:lpwstr>
      </vt:variant>
      <vt:variant>
        <vt:lpwstr/>
      </vt:variant>
      <vt:variant>
        <vt:i4>7012477</vt:i4>
      </vt:variant>
      <vt:variant>
        <vt:i4>12</vt:i4>
      </vt:variant>
      <vt:variant>
        <vt:i4>0</vt:i4>
      </vt:variant>
      <vt:variant>
        <vt:i4>5</vt:i4>
      </vt:variant>
      <vt:variant>
        <vt:lpwstr>https://www.aph.gov.au/DocumentStore.ashx?id=dd559e49-539b-4df2-8e04-2019076107f6&amp;subId=702965</vt:lpwstr>
      </vt:variant>
      <vt:variant>
        <vt:lpwstr/>
      </vt:variant>
      <vt:variant>
        <vt:i4>4390913</vt:i4>
      </vt:variant>
      <vt:variant>
        <vt:i4>9</vt:i4>
      </vt:variant>
      <vt:variant>
        <vt:i4>0</vt:i4>
      </vt:variant>
      <vt:variant>
        <vt:i4>5</vt:i4>
      </vt:variant>
      <vt:variant>
        <vt:lpwstr>https://www.asio.gov.au/publications/speeches-and-statements/director-generals-annual-threat-assessment-2021.html</vt:lpwstr>
      </vt:variant>
      <vt:variant>
        <vt:lpwstr/>
      </vt:variant>
      <vt:variant>
        <vt:i4>7798901</vt:i4>
      </vt:variant>
      <vt:variant>
        <vt:i4>6</vt:i4>
      </vt:variant>
      <vt:variant>
        <vt:i4>0</vt:i4>
      </vt:variant>
      <vt:variant>
        <vt:i4>5</vt:i4>
      </vt:variant>
      <vt:variant>
        <vt:lpwstr>https://www.asio.gov.au/director-generals-annual-threat-assessment.html</vt:lpwstr>
      </vt:variant>
      <vt:variant>
        <vt:lpwstr/>
      </vt:variant>
      <vt:variant>
        <vt:i4>7405607</vt:i4>
      </vt:variant>
      <vt:variant>
        <vt:i4>3</vt:i4>
      </vt:variant>
      <vt:variant>
        <vt:i4>0</vt:i4>
      </vt:variant>
      <vt:variant>
        <vt:i4>5</vt:i4>
      </vt:variant>
      <vt:variant>
        <vt:lpwstr>https://www.legislation.gov.au/Details/C2019A00038</vt:lpwstr>
      </vt:variant>
      <vt:variant>
        <vt:lpwstr/>
      </vt:variant>
      <vt:variant>
        <vt:i4>2752549</vt:i4>
      </vt:variant>
      <vt:variant>
        <vt:i4>0</vt:i4>
      </vt:variant>
      <vt:variant>
        <vt:i4>0</vt:i4>
      </vt:variant>
      <vt:variant>
        <vt:i4>5</vt:i4>
      </vt:variant>
      <vt:variant>
        <vt:lpwstr>https://www.homeaffairs.gov.au/nat-security/files/review-australia-ct-machinery.pdf</vt:lpwstr>
      </vt:variant>
      <vt:variant>
        <vt:lpwstr/>
      </vt:variant>
      <vt:variant>
        <vt:i4>3735643</vt:i4>
      </vt:variant>
      <vt:variant>
        <vt:i4>0</vt:i4>
      </vt:variant>
      <vt:variant>
        <vt:i4>0</vt:i4>
      </vt:variant>
      <vt:variant>
        <vt:i4>5</vt:i4>
      </vt:variant>
      <vt:variant>
        <vt:lpwstr>mailto:misinformation@acma.gov.au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2021-06-03T07:59:00Z</dcterms:created>
  <dcterms:modified xsi:type="dcterms:W3CDTF">2021-06-08T23:21:00Z</dcterms:modified>
  <cp:category/>
</cp:coreProperties>
</file>