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185AB" w14:textId="05FF0836"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 xml:space="preserve">o. </w:t>
      </w:r>
      <w:r w:rsidR="00EF41B0" w:rsidRPr="00B4006C">
        <w:rPr>
          <w:rStyle w:val="Emphasis"/>
          <w:i w:val="0"/>
        </w:rPr>
        <w:t>BI</w:t>
      </w:r>
      <w:r w:rsidR="00F26B3E" w:rsidRPr="00B4006C">
        <w:rPr>
          <w:rStyle w:val="Emphasis"/>
          <w:i w:val="0"/>
        </w:rPr>
        <w:t>-</w:t>
      </w:r>
      <w:r w:rsidR="00DD5DEF">
        <w:rPr>
          <w:rStyle w:val="Emphasis"/>
          <w:i w:val="0"/>
        </w:rPr>
        <w:t>585</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3E7F68E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1101CFD5" w14:textId="77777777" w:rsidR="005E47E5" w:rsidRPr="0033104B" w:rsidRDefault="003E08A5" w:rsidP="0033104B">
            <w:pPr>
              <w:pStyle w:val="ACMATableHeading"/>
            </w:pPr>
            <w:bookmarkStart w:id="0" w:name="ColumnTitle"/>
            <w:r w:rsidRPr="0033104B">
              <w:t>Summary</w:t>
            </w:r>
          </w:p>
        </w:tc>
        <w:tc>
          <w:tcPr>
            <w:tcW w:w="5724" w:type="dxa"/>
          </w:tcPr>
          <w:p w14:paraId="0D8EE8A3" w14:textId="77777777" w:rsidR="005E47E5" w:rsidRPr="00B261EE" w:rsidRDefault="005E47E5" w:rsidP="00955B09">
            <w:pPr>
              <w:pStyle w:val="ACMATableHeading"/>
            </w:pPr>
          </w:p>
        </w:tc>
      </w:tr>
      <w:bookmarkEnd w:id="0"/>
      <w:tr w:rsidR="00F26B3E" w14:paraId="383C7FA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8E8BF96" w14:textId="69EE9821" w:rsidR="00F26B3E" w:rsidRPr="0033104B" w:rsidRDefault="00F26B3E" w:rsidP="00F26B3E">
            <w:pPr>
              <w:pStyle w:val="ACMATableBody"/>
              <w:rPr>
                <w:b/>
              </w:rPr>
            </w:pPr>
            <w:r w:rsidRPr="0014756F">
              <w:rPr>
                <w:b/>
              </w:rPr>
              <w:t>Licensee</w:t>
            </w:r>
            <w:r w:rsidR="00663862">
              <w:rPr>
                <w:b/>
              </w:rPr>
              <w:t xml:space="preserve"> [service]</w:t>
            </w:r>
          </w:p>
        </w:tc>
        <w:tc>
          <w:tcPr>
            <w:tcW w:w="5724" w:type="dxa"/>
            <w:tcBorders>
              <w:top w:val="single" w:sz="4" w:space="0" w:color="auto"/>
              <w:left w:val="single" w:sz="4" w:space="0" w:color="auto"/>
              <w:bottom w:val="single" w:sz="4" w:space="0" w:color="auto"/>
            </w:tcBorders>
            <w:shd w:val="clear" w:color="auto" w:fill="auto"/>
          </w:tcPr>
          <w:p w14:paraId="540AAA84" w14:textId="0E755C8E" w:rsidR="00F26B3E" w:rsidRPr="00A93947" w:rsidRDefault="00A93947" w:rsidP="00A93947">
            <w:pPr>
              <w:pStyle w:val="ACMATableBody"/>
              <w:rPr>
                <w:rFonts w:cs="Arial"/>
              </w:rPr>
            </w:pPr>
            <w:bookmarkStart w:id="1" w:name="_Hlk67480414"/>
            <w:r w:rsidRPr="00A93947">
              <w:rPr>
                <w:rFonts w:cs="Arial"/>
              </w:rPr>
              <w:t>Swan Television &amp; Radio Broadcasters Pty Ltd</w:t>
            </w:r>
            <w:r w:rsidR="00663862">
              <w:rPr>
                <w:rFonts w:cs="Arial"/>
              </w:rPr>
              <w:t xml:space="preserve"> </w:t>
            </w:r>
            <w:bookmarkEnd w:id="1"/>
            <w:r w:rsidR="00663862">
              <w:rPr>
                <w:rFonts w:cs="Arial"/>
              </w:rPr>
              <w:t>[Nine]</w:t>
            </w:r>
          </w:p>
        </w:tc>
      </w:tr>
      <w:tr w:rsidR="00F26B3E" w14:paraId="2C8751F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3FA8450" w14:textId="5B98E4E6" w:rsidR="00F26B3E" w:rsidRPr="0033104B" w:rsidRDefault="0074779E" w:rsidP="00F26B3E">
            <w:pPr>
              <w:pStyle w:val="ACMATableBody"/>
              <w:rPr>
                <w:b/>
              </w:rPr>
            </w:pPr>
            <w:r>
              <w:rPr>
                <w:b/>
              </w:rPr>
              <w:t>F</w:t>
            </w:r>
            <w:r w:rsidR="00B1004E">
              <w:rPr>
                <w:b/>
              </w:rPr>
              <w:t>inding</w:t>
            </w:r>
          </w:p>
        </w:tc>
        <w:tc>
          <w:tcPr>
            <w:tcW w:w="5724" w:type="dxa"/>
            <w:tcBorders>
              <w:top w:val="single" w:sz="4" w:space="0" w:color="auto"/>
              <w:left w:val="single" w:sz="4" w:space="0" w:color="auto"/>
              <w:bottom w:val="single" w:sz="4" w:space="0" w:color="auto"/>
            </w:tcBorders>
            <w:shd w:val="clear" w:color="auto" w:fill="auto"/>
          </w:tcPr>
          <w:p w14:paraId="3CF18297" w14:textId="77777777" w:rsidR="00165FC0" w:rsidRPr="00165FC0" w:rsidRDefault="00165FC0" w:rsidP="00C86961">
            <w:pPr>
              <w:pStyle w:val="ACMATableBody"/>
              <w:spacing w:after="0" w:line="240" w:lineRule="auto"/>
              <w:rPr>
                <w:rFonts w:cs="Arial"/>
              </w:rPr>
            </w:pPr>
            <w:r w:rsidRPr="00165FC0">
              <w:rPr>
                <w:rFonts w:cs="Arial"/>
              </w:rPr>
              <w:t>Breach of subclause 4(2) [identification of certain political matter]</w:t>
            </w:r>
          </w:p>
          <w:p w14:paraId="3CB2A596" w14:textId="4D3DB45C" w:rsidR="00F26B3E" w:rsidRPr="0082292B" w:rsidRDefault="00165FC0" w:rsidP="0082292B">
            <w:pPr>
              <w:pStyle w:val="ACMATableBody"/>
              <w:spacing w:line="240" w:lineRule="auto"/>
              <w:rPr>
                <w:rFonts w:cs="Arial"/>
              </w:rPr>
            </w:pPr>
            <w:r w:rsidRPr="00165FC0">
              <w:rPr>
                <w:rFonts w:cs="Arial"/>
              </w:rPr>
              <w:t xml:space="preserve">Breach of </w:t>
            </w:r>
            <w:bookmarkStart w:id="2" w:name="_Hlk67321385"/>
            <w:r w:rsidRPr="00165FC0">
              <w:rPr>
                <w:rFonts w:cs="Arial"/>
              </w:rPr>
              <w:t>paragraph 7(1)(j) [comply with subclause 4(2)]</w:t>
            </w:r>
            <w:bookmarkEnd w:id="2"/>
          </w:p>
        </w:tc>
      </w:tr>
      <w:tr w:rsidR="00F26B3E" w14:paraId="316BF08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E6169B1" w14:textId="7B21B336" w:rsidR="00F26B3E" w:rsidRPr="0033104B" w:rsidRDefault="00F26B3E" w:rsidP="00F26B3E">
            <w:pPr>
              <w:pStyle w:val="ACMATableBody"/>
              <w:rPr>
                <w:b/>
              </w:rPr>
            </w:pPr>
            <w:r w:rsidRPr="0014756F">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5A20A522" w14:textId="266175A4" w:rsidR="00F26B3E" w:rsidRPr="00747CC0" w:rsidRDefault="007F3F6B" w:rsidP="00F26B3E">
            <w:pPr>
              <w:pStyle w:val="ACMATableBody"/>
              <w:rPr>
                <w:highlight w:val="yellow"/>
              </w:rPr>
            </w:pPr>
            <w:r>
              <w:rPr>
                <w:rFonts w:cs="Arial"/>
              </w:rPr>
              <w:t xml:space="preserve">Schedule 2 to the </w:t>
            </w:r>
            <w:r w:rsidR="00F26B3E" w:rsidRPr="00396EF4">
              <w:rPr>
                <w:rFonts w:cs="Arial"/>
                <w:i/>
                <w:iCs/>
              </w:rPr>
              <w:t>Broadcasting Services Act 1992</w:t>
            </w:r>
          </w:p>
        </w:tc>
      </w:tr>
      <w:tr w:rsidR="00F26B3E" w14:paraId="6F39B7A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4F74975" w14:textId="28E12AE6" w:rsidR="00F26B3E" w:rsidRPr="0033104B" w:rsidRDefault="00663862" w:rsidP="00F26B3E">
            <w:pPr>
              <w:pStyle w:val="ACMATableBody"/>
              <w:rPr>
                <w:b/>
              </w:rPr>
            </w:pPr>
            <w:r>
              <w:rPr>
                <w:b/>
              </w:rPr>
              <w:t>Broadcasting matter</w:t>
            </w:r>
          </w:p>
        </w:tc>
        <w:tc>
          <w:tcPr>
            <w:tcW w:w="5724" w:type="dxa"/>
            <w:tcBorders>
              <w:top w:val="single" w:sz="4" w:space="0" w:color="auto"/>
              <w:left w:val="single" w:sz="4" w:space="0" w:color="auto"/>
              <w:bottom w:val="single" w:sz="4" w:space="0" w:color="auto"/>
            </w:tcBorders>
            <w:shd w:val="clear" w:color="auto" w:fill="auto"/>
          </w:tcPr>
          <w:p w14:paraId="6DC9BBE2" w14:textId="0D358412" w:rsidR="00F26B3E" w:rsidRPr="00213AFF" w:rsidRDefault="00DD5DEF" w:rsidP="00F26B3E">
            <w:pPr>
              <w:pStyle w:val="ACMATableBody"/>
              <w:rPr>
                <w:i/>
                <w:highlight w:val="yellow"/>
              </w:rPr>
            </w:pPr>
            <w:r>
              <w:rPr>
                <w:rFonts w:cs="Arial"/>
              </w:rPr>
              <w:t xml:space="preserve">WA Labor </w:t>
            </w:r>
            <w:r w:rsidR="00F26B3E" w:rsidRPr="00BE34F3">
              <w:rPr>
                <w:rFonts w:cs="Arial"/>
              </w:rPr>
              <w:t>advertisement</w:t>
            </w:r>
            <w:r w:rsidR="00F26B3E" w:rsidRPr="00396EF4">
              <w:rPr>
                <w:rFonts w:cs="Arial"/>
              </w:rPr>
              <w:t xml:space="preserve"> </w:t>
            </w:r>
          </w:p>
        </w:tc>
      </w:tr>
      <w:tr w:rsidR="00F26B3E" w14:paraId="2D66572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4474089" w14:textId="1C04FB68" w:rsidR="00F26B3E" w:rsidRPr="0033104B" w:rsidRDefault="00F26B3E" w:rsidP="00F26B3E">
            <w:pPr>
              <w:pStyle w:val="ACMATableBody"/>
              <w:rPr>
                <w:b/>
              </w:rPr>
            </w:pPr>
            <w:r w:rsidRPr="0014756F">
              <w:rPr>
                <w:b/>
              </w:rPr>
              <w:t>Date of broadcast</w:t>
            </w:r>
          </w:p>
        </w:tc>
        <w:tc>
          <w:tcPr>
            <w:tcW w:w="5724" w:type="dxa"/>
            <w:tcBorders>
              <w:top w:val="single" w:sz="4" w:space="0" w:color="auto"/>
              <w:left w:val="single" w:sz="4" w:space="0" w:color="auto"/>
              <w:bottom w:val="single" w:sz="4" w:space="0" w:color="auto"/>
            </w:tcBorders>
            <w:shd w:val="clear" w:color="auto" w:fill="auto"/>
          </w:tcPr>
          <w:p w14:paraId="0C838A89" w14:textId="3DC25B36" w:rsidR="00F26B3E" w:rsidRDefault="0055644E" w:rsidP="00F26B3E">
            <w:pPr>
              <w:pStyle w:val="ACMATableBody"/>
            </w:pPr>
            <w:bookmarkStart w:id="3" w:name="_Hlk67480499"/>
            <w:r w:rsidRPr="0055644E">
              <w:rPr>
                <w:rFonts w:cs="Arial"/>
              </w:rPr>
              <w:t>21 February 2021</w:t>
            </w:r>
            <w:bookmarkEnd w:id="3"/>
          </w:p>
        </w:tc>
      </w:tr>
      <w:tr w:rsidR="00F6455B" w14:paraId="0E8FBE38" w14:textId="77777777" w:rsidTr="00A57834">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EDA7E61" w14:textId="038BC13A" w:rsidR="00F6455B" w:rsidRPr="0014756F" w:rsidRDefault="007414BD" w:rsidP="00F26B3E">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3F2F2448" w14:textId="5D8975E9" w:rsidR="00F6455B" w:rsidRPr="00B143A9" w:rsidRDefault="00A57834" w:rsidP="00F26B3E">
            <w:pPr>
              <w:pStyle w:val="ACMATableBody"/>
              <w:rPr>
                <w:rFonts w:cs="Arial"/>
              </w:rPr>
            </w:pPr>
            <w:r>
              <w:rPr>
                <w:rFonts w:cs="Arial"/>
              </w:rPr>
              <w:t>13 May 2021</w:t>
            </w:r>
          </w:p>
        </w:tc>
      </w:tr>
      <w:tr w:rsidR="00F26B3E" w14:paraId="123C27C5" w14:textId="77777777" w:rsidTr="00F26B3E">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6E6A351" w14:textId="422AF349" w:rsidR="00F26B3E" w:rsidRPr="0033104B" w:rsidRDefault="00F26B3E" w:rsidP="00F26B3E">
            <w:pPr>
              <w:pStyle w:val="ACMATableBody"/>
              <w:rPr>
                <w:b/>
              </w:rPr>
            </w:pPr>
            <w:r w:rsidRPr="0014756F">
              <w:rPr>
                <w:b/>
              </w:rPr>
              <w:t>Type of service</w:t>
            </w:r>
          </w:p>
        </w:tc>
        <w:tc>
          <w:tcPr>
            <w:tcW w:w="5724" w:type="dxa"/>
            <w:tcBorders>
              <w:top w:val="single" w:sz="4" w:space="0" w:color="auto"/>
              <w:left w:val="single" w:sz="4" w:space="0" w:color="auto"/>
              <w:bottom w:val="single" w:sz="4" w:space="0" w:color="auto"/>
            </w:tcBorders>
            <w:shd w:val="clear" w:color="auto" w:fill="auto"/>
          </w:tcPr>
          <w:p w14:paraId="6908D0B9" w14:textId="07F119A8" w:rsidR="00F26B3E" w:rsidRPr="0088427E" w:rsidRDefault="00F26B3E" w:rsidP="00F26B3E">
            <w:pPr>
              <w:pStyle w:val="ACMATableBody"/>
              <w:rPr>
                <w:rFonts w:cs="Arial"/>
                <w:highlight w:val="yellow"/>
              </w:rPr>
            </w:pPr>
            <w:r w:rsidRPr="00B143A9">
              <w:rPr>
                <w:rFonts w:cs="Arial"/>
              </w:rPr>
              <w:t>Commercial</w:t>
            </w:r>
            <w:r w:rsidR="00AD306B">
              <w:rPr>
                <w:rFonts w:cs="Arial"/>
              </w:rPr>
              <w:t xml:space="preserve"> – </w:t>
            </w:r>
            <w:r w:rsidRPr="00B143A9">
              <w:rPr>
                <w:rFonts w:cs="Arial"/>
              </w:rPr>
              <w:t>Television</w:t>
            </w:r>
          </w:p>
        </w:tc>
      </w:tr>
      <w:tr w:rsidR="00AD306B" w14:paraId="517E0C82" w14:textId="77777777" w:rsidTr="00955B09">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18188E8" w14:textId="6E9B2B8B" w:rsidR="00AD306B" w:rsidRPr="0014756F" w:rsidRDefault="00AD306B" w:rsidP="00AD306B">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51E25E6B" w14:textId="7B030E24" w:rsidR="00AD306B" w:rsidRDefault="00AD306B" w:rsidP="0055644E">
            <w:pPr>
              <w:pStyle w:val="ACMABodyText"/>
              <w:spacing w:before="40" w:after="120"/>
            </w:pPr>
            <w:r>
              <w:rPr>
                <w:b/>
                <w:bCs/>
              </w:rPr>
              <w:t>A</w:t>
            </w:r>
            <w:r>
              <w:t xml:space="preserve"> - extract of the complaint to the ACMA</w:t>
            </w:r>
          </w:p>
          <w:p w14:paraId="744D1080" w14:textId="77777777" w:rsidR="00AD306B" w:rsidRDefault="00AD306B" w:rsidP="0055644E">
            <w:pPr>
              <w:pStyle w:val="ACMABodyText"/>
              <w:spacing w:before="40" w:after="120"/>
              <w:ind w:left="315" w:hanging="315"/>
              <w:rPr>
                <w:b/>
                <w:bCs/>
              </w:rPr>
            </w:pPr>
            <w:r>
              <w:rPr>
                <w:b/>
                <w:bCs/>
              </w:rPr>
              <w:t>B</w:t>
            </w:r>
            <w:r>
              <w:t xml:space="preserve"> - extracts of the licensee’s submissions to the ACMA</w:t>
            </w:r>
            <w:r>
              <w:rPr>
                <w:b/>
                <w:bCs/>
              </w:rPr>
              <w:t xml:space="preserve"> </w:t>
            </w:r>
          </w:p>
          <w:p w14:paraId="616DEF31" w14:textId="05891EFF" w:rsidR="00AD306B" w:rsidRPr="0055644E" w:rsidRDefault="00AD306B" w:rsidP="0055644E">
            <w:pPr>
              <w:pStyle w:val="ACMABodyText"/>
              <w:spacing w:before="40" w:after="120"/>
              <w:rPr>
                <w:b/>
                <w:bCs/>
              </w:rPr>
            </w:pPr>
            <w:r>
              <w:rPr>
                <w:b/>
              </w:rPr>
              <w:t>C -</w:t>
            </w:r>
            <w:r w:rsidR="0025285D">
              <w:rPr>
                <w:b/>
              </w:rPr>
              <w:t xml:space="preserve"> </w:t>
            </w:r>
            <w:r w:rsidR="0025285D" w:rsidRPr="0025285D">
              <w:rPr>
                <w:bCs/>
              </w:rPr>
              <w:t>extracts of</w:t>
            </w:r>
            <w:r>
              <w:rPr>
                <w:b/>
              </w:rPr>
              <w:t xml:space="preserve"> </w:t>
            </w:r>
            <w:bookmarkStart w:id="4" w:name="_Hlk67479987"/>
            <w:r>
              <w:rPr>
                <w:b/>
              </w:rPr>
              <w:t>r</w:t>
            </w:r>
            <w:r>
              <w:t xml:space="preserve">elevant legislation and </w:t>
            </w:r>
            <w:r w:rsidR="0025285D">
              <w:t xml:space="preserve">the </w:t>
            </w:r>
            <w:r>
              <w:t>ACMA</w:t>
            </w:r>
            <w:r w:rsidR="0025285D">
              <w:t>’s</w:t>
            </w:r>
            <w:r>
              <w:t xml:space="preserve"> assessment process</w:t>
            </w:r>
            <w:bookmarkEnd w:id="4"/>
          </w:p>
        </w:tc>
      </w:tr>
    </w:tbl>
    <w:p w14:paraId="28CE6CE3" w14:textId="77777777" w:rsidR="001C6546" w:rsidRPr="00972DB3" w:rsidRDefault="00D668E3" w:rsidP="00972DB3">
      <w:pPr>
        <w:pStyle w:val="ACMABodyText"/>
        <w:rPr>
          <w:rFonts w:eastAsiaTheme="minorHAnsi"/>
          <w:i/>
        </w:rPr>
      </w:pPr>
      <w:r>
        <w:br w:type="page"/>
      </w:r>
    </w:p>
    <w:p w14:paraId="13685995" w14:textId="1F8BB20E" w:rsidR="00F26B3E" w:rsidRPr="00B67EA1" w:rsidRDefault="007F3F6B" w:rsidP="00B42460">
      <w:pPr>
        <w:pStyle w:val="ACMAHeading2"/>
      </w:pPr>
      <w:r>
        <w:lastRenderedPageBreak/>
        <w:t>Background</w:t>
      </w:r>
    </w:p>
    <w:p w14:paraId="396D22D5" w14:textId="27FE6BB9" w:rsidR="00280409" w:rsidRDefault="007C5BAD" w:rsidP="007C5BAD">
      <w:pPr>
        <w:pStyle w:val="ACMABodyText"/>
      </w:pPr>
      <w:bookmarkStart w:id="5" w:name="_Hlk14263277"/>
      <w:r>
        <w:t xml:space="preserve">In </w:t>
      </w:r>
      <w:r w:rsidR="0090522B">
        <w:t>February 2021</w:t>
      </w:r>
      <w:r w:rsidR="00F301C6">
        <w:t>,</w:t>
      </w:r>
      <w:r>
        <w:t xml:space="preserve"> the </w:t>
      </w:r>
      <w:r w:rsidR="00522474">
        <w:t xml:space="preserve">Australian Communications and Media Authority (the </w:t>
      </w:r>
      <w:r w:rsidRPr="00020BA8">
        <w:rPr>
          <w:b/>
          <w:bCs/>
        </w:rPr>
        <w:t>ACMA</w:t>
      </w:r>
      <w:r w:rsidR="00522474">
        <w:t>)</w:t>
      </w:r>
      <w:r>
        <w:t xml:space="preserve"> </w:t>
      </w:r>
      <w:r w:rsidR="0090522B">
        <w:t xml:space="preserve">commenced an investigation </w:t>
      </w:r>
      <w:r w:rsidR="00522474">
        <w:t xml:space="preserve">under the </w:t>
      </w:r>
      <w:r w:rsidR="00522474" w:rsidRPr="00522474">
        <w:rPr>
          <w:i/>
          <w:iCs/>
        </w:rPr>
        <w:t>Broadcasting Services Act 1992</w:t>
      </w:r>
      <w:r w:rsidR="00522474">
        <w:t xml:space="preserve"> (the </w:t>
      </w:r>
      <w:r w:rsidR="00522474" w:rsidRPr="00020BA8">
        <w:rPr>
          <w:b/>
          <w:bCs/>
        </w:rPr>
        <w:t>BSA</w:t>
      </w:r>
      <w:r w:rsidR="00522474">
        <w:t>) into a broadcast</w:t>
      </w:r>
      <w:r w:rsidR="00280409">
        <w:t xml:space="preserve"> of a </w:t>
      </w:r>
      <w:r w:rsidR="006D1379">
        <w:t>W</w:t>
      </w:r>
      <w:r w:rsidR="008A08CA">
        <w:t xml:space="preserve">est </w:t>
      </w:r>
      <w:r w:rsidR="006D1379">
        <w:t>A</w:t>
      </w:r>
      <w:r w:rsidR="008A08CA">
        <w:t>ustralian</w:t>
      </w:r>
      <w:r w:rsidR="00F301C6">
        <w:t xml:space="preserve"> (</w:t>
      </w:r>
      <w:r w:rsidR="00F301C6" w:rsidRPr="00A013F2">
        <w:rPr>
          <w:b/>
          <w:bCs/>
        </w:rPr>
        <w:t>WA</w:t>
      </w:r>
      <w:r w:rsidR="005E573F">
        <w:t xml:space="preserve">) </w:t>
      </w:r>
      <w:r w:rsidR="0090522B" w:rsidRPr="0090522B">
        <w:t xml:space="preserve">Labor </w:t>
      </w:r>
      <w:r w:rsidR="00FD4F38">
        <w:t xml:space="preserve">Party </w:t>
      </w:r>
      <w:r w:rsidR="0090522B">
        <w:t xml:space="preserve">advertisement </w:t>
      </w:r>
      <w:r w:rsidR="00280409">
        <w:t>that refer</w:t>
      </w:r>
      <w:r w:rsidR="00FF2611">
        <w:t>red to</w:t>
      </w:r>
      <w:r w:rsidR="004A0F0B">
        <w:t xml:space="preserve"> a can</w:t>
      </w:r>
      <w:r w:rsidR="00A14CC2">
        <w:t>didate contesting the WA state election</w:t>
      </w:r>
      <w:r w:rsidR="004F4F5A">
        <w:t xml:space="preserve"> </w:t>
      </w:r>
      <w:bookmarkStart w:id="6" w:name="_Hlk67479502"/>
      <w:r w:rsidR="00664986">
        <w:t xml:space="preserve">(the </w:t>
      </w:r>
      <w:r w:rsidR="00664986" w:rsidRPr="00664986">
        <w:rPr>
          <w:b/>
          <w:bCs/>
        </w:rPr>
        <w:t>advertisement)</w:t>
      </w:r>
      <w:r w:rsidR="006251C9" w:rsidRPr="00664986">
        <w:rPr>
          <w:b/>
          <w:bCs/>
        </w:rPr>
        <w:t>.</w:t>
      </w:r>
      <w:bookmarkEnd w:id="6"/>
    </w:p>
    <w:p w14:paraId="62E111EA" w14:textId="1F99996F" w:rsidR="00664986" w:rsidRDefault="00664986" w:rsidP="007C5BAD">
      <w:pPr>
        <w:pStyle w:val="ACMABodyText"/>
      </w:pPr>
      <w:r>
        <w:t xml:space="preserve">The advertisement was broadcast </w:t>
      </w:r>
      <w:r w:rsidR="00FD4F38">
        <w:rPr>
          <w:rFonts w:cs="Arial"/>
        </w:rPr>
        <w:t xml:space="preserve">in the lead up to the WA state election </w:t>
      </w:r>
      <w:r>
        <w:t xml:space="preserve">on Nine by </w:t>
      </w:r>
      <w:r w:rsidR="006969D9">
        <w:t xml:space="preserve">the commercial television broadcasting licensee </w:t>
      </w:r>
      <w:r w:rsidRPr="00664986">
        <w:t>Swan Television &amp; Radio Broadcasters Pty Ltd</w:t>
      </w:r>
      <w:r>
        <w:t xml:space="preserve"> on </w:t>
      </w:r>
      <w:r w:rsidRPr="00664986">
        <w:t>21 February 2021</w:t>
      </w:r>
      <w:r w:rsidR="00920B47" w:rsidRPr="00920B47">
        <w:t xml:space="preserve"> at 7:49</w:t>
      </w:r>
      <w:r w:rsidR="00C90198">
        <w:t xml:space="preserve"> </w:t>
      </w:r>
      <w:r w:rsidR="00920B47" w:rsidRPr="00920B47">
        <w:t>pm</w:t>
      </w:r>
      <w:r>
        <w:t>.</w:t>
      </w:r>
    </w:p>
    <w:p w14:paraId="35C6ACC0" w14:textId="77A8E178" w:rsidR="00FD4F38" w:rsidRDefault="00FD4F38" w:rsidP="00FD4F38">
      <w:pPr>
        <w:pStyle w:val="NormalWeb"/>
        <w:spacing w:before="0" w:beforeAutospacing="0" w:after="240" w:afterAutospacing="0" w:line="240" w:lineRule="atLeast"/>
        <w:rPr>
          <w:rFonts w:ascii="Arial" w:hAnsi="Arial" w:cs="Arial"/>
          <w:sz w:val="20"/>
          <w:szCs w:val="20"/>
        </w:rPr>
      </w:pPr>
      <w:r>
        <w:rPr>
          <w:rFonts w:ascii="Arial" w:hAnsi="Arial" w:cs="Arial"/>
          <w:sz w:val="20"/>
          <w:szCs w:val="20"/>
        </w:rPr>
        <w:t xml:space="preserve">The advertisement was 16 seconds in duration and included several images of </w:t>
      </w:r>
      <w:r w:rsidR="00A14CC2">
        <w:rPr>
          <w:rFonts w:ascii="Arial" w:hAnsi="Arial" w:cs="Arial"/>
          <w:sz w:val="20"/>
          <w:szCs w:val="20"/>
        </w:rPr>
        <w:t>the candidate</w:t>
      </w:r>
      <w:r>
        <w:rPr>
          <w:rFonts w:ascii="Arial" w:hAnsi="Arial" w:cs="Arial"/>
          <w:sz w:val="20"/>
          <w:szCs w:val="20"/>
        </w:rPr>
        <w:t xml:space="preserve"> with accompanying voiceovers and written text </w:t>
      </w:r>
      <w:r w:rsidR="00446208">
        <w:rPr>
          <w:rFonts w:ascii="Arial" w:hAnsi="Arial" w:cs="Arial"/>
          <w:sz w:val="20"/>
          <w:szCs w:val="20"/>
        </w:rPr>
        <w:t>and</w:t>
      </w:r>
      <w:r>
        <w:rPr>
          <w:rFonts w:ascii="Arial" w:hAnsi="Arial" w:cs="Arial"/>
          <w:sz w:val="20"/>
          <w:szCs w:val="20"/>
        </w:rPr>
        <w:t xml:space="preserve"> statements about </w:t>
      </w:r>
      <w:r w:rsidR="00A14CC2">
        <w:rPr>
          <w:rFonts w:ascii="Arial" w:hAnsi="Arial" w:cs="Arial"/>
          <w:sz w:val="20"/>
          <w:szCs w:val="20"/>
        </w:rPr>
        <w:t>their leadership potential.</w:t>
      </w:r>
    </w:p>
    <w:p w14:paraId="0609AE30" w14:textId="7CF07EF5" w:rsidR="00FD4F38" w:rsidRDefault="00FD4F38" w:rsidP="00FD4F38">
      <w:pPr>
        <w:pStyle w:val="ACMABodyText"/>
      </w:pPr>
      <w:r>
        <w:t>The ACMA received a complaint alleging the spoken portion of the ‘required particulars’ at the conclusion of the advertisement was delivered at such a fast speed as to render them ‘totally incomprehensible’.</w:t>
      </w:r>
    </w:p>
    <w:p w14:paraId="21208888" w14:textId="053155D4" w:rsidR="00280409" w:rsidRDefault="00280409" w:rsidP="00280409">
      <w:pPr>
        <w:pStyle w:val="ACMABodyText"/>
        <w:rPr>
          <w:rFonts w:cs="Arial"/>
        </w:rPr>
      </w:pPr>
      <w:r>
        <w:rPr>
          <w:rFonts w:cs="Arial"/>
        </w:rPr>
        <w:t>The ACMA investigated the licensee’s compliance with</w:t>
      </w:r>
      <w:r w:rsidR="00FF2611" w:rsidRPr="00FF2611">
        <w:rPr>
          <w:rFonts w:cs="Arial"/>
        </w:rPr>
        <w:t xml:space="preserve"> </w:t>
      </w:r>
      <w:r w:rsidR="00FF2611">
        <w:rPr>
          <w:rFonts w:cs="Arial"/>
        </w:rPr>
        <w:t xml:space="preserve">subclause 4(2) and </w:t>
      </w:r>
      <w:r>
        <w:rPr>
          <w:bCs/>
        </w:rPr>
        <w:t xml:space="preserve">paragraph 7(1)(j) </w:t>
      </w:r>
      <w:r w:rsidRPr="00E07669">
        <w:rPr>
          <w:rFonts w:cs="Arial"/>
        </w:rPr>
        <w:t>of Schedule 2 to the BSA</w:t>
      </w:r>
      <w:r w:rsidR="00FF2611">
        <w:rPr>
          <w:rFonts w:cs="Arial"/>
        </w:rPr>
        <w:t>.</w:t>
      </w:r>
    </w:p>
    <w:p w14:paraId="7822833F" w14:textId="4A4257CF" w:rsidR="00280409" w:rsidRPr="00FF02D3" w:rsidRDefault="00280409" w:rsidP="00280409">
      <w:pPr>
        <w:pStyle w:val="ACMABodyText"/>
      </w:pPr>
      <w:r>
        <w:t>S</w:t>
      </w:r>
      <w:r w:rsidRPr="00FF02D3">
        <w:t xml:space="preserve">ubclause 4(2) requires </w:t>
      </w:r>
      <w:r w:rsidR="00FD4F38">
        <w:t xml:space="preserve">that, when </w:t>
      </w:r>
      <w:r w:rsidRPr="00FF02D3">
        <w:t>a</w:t>
      </w:r>
      <w:r w:rsidR="006969D9">
        <w:t xml:space="preserve"> broadcaster</w:t>
      </w:r>
      <w:r w:rsidR="0029316C">
        <w:t>,</w:t>
      </w:r>
      <w:r w:rsidR="006969D9">
        <w:t xml:space="preserve"> </w:t>
      </w:r>
      <w:r w:rsidR="0029316C">
        <w:t>such as the</w:t>
      </w:r>
      <w:r w:rsidRPr="00FF02D3">
        <w:t xml:space="preserve"> licensee</w:t>
      </w:r>
      <w:r w:rsidR="0029316C">
        <w:t>,</w:t>
      </w:r>
      <w:r w:rsidR="00FD4F38">
        <w:t xml:space="preserve"> broadcasts political matter</w:t>
      </w:r>
      <w:r w:rsidR="004E4DB3">
        <w:t xml:space="preserve"> at the request of another person</w:t>
      </w:r>
      <w:r w:rsidR="00FD4F38">
        <w:t>,</w:t>
      </w:r>
      <w:r w:rsidRPr="00FF02D3">
        <w:t xml:space="preserve"> </w:t>
      </w:r>
      <w:r w:rsidR="00FD4F38">
        <w:t xml:space="preserve">it </w:t>
      </w:r>
      <w:r w:rsidR="00AF2E0E">
        <w:t>must</w:t>
      </w:r>
      <w:r w:rsidR="00FD4F38">
        <w:t xml:space="preserve"> </w:t>
      </w:r>
      <w:r w:rsidR="000C1855">
        <w:t xml:space="preserve">ensure that the </w:t>
      </w:r>
      <w:r w:rsidR="00FD4F38">
        <w:t>‘</w:t>
      </w:r>
      <w:r>
        <w:t>required particulars</w:t>
      </w:r>
      <w:r w:rsidR="00FD4F38">
        <w:t xml:space="preserve">’ </w:t>
      </w:r>
      <w:r w:rsidR="00765AD2">
        <w:t>in relation to the matter</w:t>
      </w:r>
      <w:r>
        <w:t xml:space="preserve"> </w:t>
      </w:r>
      <w:r w:rsidR="00A75DB0">
        <w:t xml:space="preserve">are announced </w:t>
      </w:r>
      <w:r>
        <w:t xml:space="preserve">in accordance with any requirements determined under subsection 321D(7) of the </w:t>
      </w:r>
      <w:r w:rsidRPr="008B7B5B">
        <w:rPr>
          <w:i/>
        </w:rPr>
        <w:t>Commonwealth Electoral Act 1918</w:t>
      </w:r>
      <w:r w:rsidR="00020BA8">
        <w:rPr>
          <w:i/>
        </w:rPr>
        <w:t xml:space="preserve"> </w:t>
      </w:r>
      <w:r w:rsidR="00020BA8">
        <w:rPr>
          <w:iCs/>
        </w:rPr>
        <w:t xml:space="preserve">(the </w:t>
      </w:r>
      <w:r w:rsidR="00020BA8" w:rsidRPr="00020BA8">
        <w:rPr>
          <w:b/>
          <w:bCs/>
          <w:iCs/>
        </w:rPr>
        <w:t>Electoral Act</w:t>
      </w:r>
      <w:r w:rsidR="00020BA8">
        <w:rPr>
          <w:iCs/>
        </w:rPr>
        <w:t>)</w:t>
      </w:r>
      <w:r w:rsidRPr="00FF02D3">
        <w:t xml:space="preserve">. </w:t>
      </w:r>
      <w:r w:rsidR="00FD4F38">
        <w:t>P</w:t>
      </w:r>
      <w:r w:rsidR="00FD4F38">
        <w:rPr>
          <w:bCs/>
        </w:rPr>
        <w:t xml:space="preserve">aragraph 7(1)(j) </w:t>
      </w:r>
      <w:r w:rsidR="00446208">
        <w:rPr>
          <w:bCs/>
        </w:rPr>
        <w:t xml:space="preserve">of the BSA </w:t>
      </w:r>
      <w:r w:rsidR="00FD4F38">
        <w:rPr>
          <w:rFonts w:cs="Arial"/>
        </w:rPr>
        <w:t>makes it a condition of all commercial television</w:t>
      </w:r>
      <w:r w:rsidR="00A92681">
        <w:rPr>
          <w:rFonts w:cs="Arial"/>
        </w:rPr>
        <w:t xml:space="preserve"> broadcasting</w:t>
      </w:r>
      <w:r w:rsidR="00FD4F38">
        <w:rPr>
          <w:rFonts w:cs="Arial"/>
        </w:rPr>
        <w:t xml:space="preserve"> licences that licensees comply with subclause 4(2).</w:t>
      </w:r>
    </w:p>
    <w:p w14:paraId="4A0B8182" w14:textId="77777777" w:rsidR="007F3F6B" w:rsidRPr="00B67EA1" w:rsidRDefault="007F3F6B" w:rsidP="007F3F6B">
      <w:pPr>
        <w:pStyle w:val="ACMAHeading2"/>
      </w:pPr>
      <w:r>
        <w:t xml:space="preserve">Issue: </w:t>
      </w:r>
      <w:r w:rsidRPr="00447892">
        <w:t>Identification of political matter</w:t>
      </w:r>
    </w:p>
    <w:bookmarkEnd w:id="5"/>
    <w:p w14:paraId="1A81EB9D" w14:textId="6E86CF93" w:rsidR="001123A4" w:rsidRDefault="001123A4" w:rsidP="003B3EC1">
      <w:pPr>
        <w:pStyle w:val="ACMAHeading2"/>
        <w:spacing w:before="240"/>
      </w:pPr>
      <w:r>
        <w:t>Finding</w:t>
      </w:r>
    </w:p>
    <w:p w14:paraId="0538ACFF" w14:textId="0B532AC6" w:rsidR="001123A4" w:rsidRPr="000B5EFB" w:rsidRDefault="001123A4" w:rsidP="001123A4">
      <w:pPr>
        <w:pStyle w:val="ACMABodyText"/>
        <w:spacing w:after="360"/>
        <w:rPr>
          <w:rFonts w:cs="Arial"/>
        </w:rPr>
      </w:pPr>
      <w:bookmarkStart w:id="7" w:name="_Hlk14263300"/>
      <w:r w:rsidRPr="000B5EFB">
        <w:rPr>
          <w:rFonts w:cs="Arial"/>
        </w:rPr>
        <w:t>The</w:t>
      </w:r>
      <w:r>
        <w:rPr>
          <w:rFonts w:cs="Arial"/>
        </w:rPr>
        <w:t xml:space="preserve"> ACMA</w:t>
      </w:r>
      <w:r w:rsidR="0074779E">
        <w:rPr>
          <w:rFonts w:cs="Arial"/>
        </w:rPr>
        <w:t xml:space="preserve"> finds</w:t>
      </w:r>
      <w:r>
        <w:rPr>
          <w:rFonts w:cs="Arial"/>
        </w:rPr>
        <w:t xml:space="preserve"> that</w:t>
      </w:r>
      <w:r w:rsidR="00A92681">
        <w:rPr>
          <w:rFonts w:cs="Arial"/>
        </w:rPr>
        <w:t xml:space="preserve"> the</w:t>
      </w:r>
      <w:r w:rsidRPr="000B5EFB">
        <w:rPr>
          <w:rFonts w:cs="Arial"/>
        </w:rPr>
        <w:t xml:space="preserve"> licensee breached </w:t>
      </w:r>
      <w:r w:rsidRPr="000B5EFB">
        <w:rPr>
          <w:bCs/>
        </w:rPr>
        <w:t>subclause 4(2</w:t>
      </w:r>
      <w:bookmarkStart w:id="8" w:name="_Hlk67397042"/>
      <w:r w:rsidRPr="000B5EFB">
        <w:rPr>
          <w:bCs/>
        </w:rPr>
        <w:t xml:space="preserve">) </w:t>
      </w:r>
      <w:r>
        <w:t xml:space="preserve">and </w:t>
      </w:r>
      <w:r w:rsidR="00170EBE">
        <w:t xml:space="preserve">also, </w:t>
      </w:r>
      <w:r>
        <w:t>as a consequence,</w:t>
      </w:r>
      <w:r w:rsidR="008A13F0">
        <w:t xml:space="preserve"> </w:t>
      </w:r>
      <w:r>
        <w:t>breached</w:t>
      </w:r>
      <w:r w:rsidRPr="00344B04">
        <w:rPr>
          <w:bCs/>
        </w:rPr>
        <w:t xml:space="preserve"> </w:t>
      </w:r>
      <w:r>
        <w:rPr>
          <w:bCs/>
        </w:rPr>
        <w:t xml:space="preserve">paragraph 7(1)(j) </w:t>
      </w:r>
      <w:r w:rsidRPr="000B5EFB">
        <w:rPr>
          <w:bCs/>
        </w:rPr>
        <w:t xml:space="preserve">of Schedule 2 to the </w:t>
      </w:r>
      <w:r w:rsidRPr="000B5EFB">
        <w:t>BSA</w:t>
      </w:r>
      <w:r>
        <w:t xml:space="preserve"> with respect to the broadcast of the advertisement</w:t>
      </w:r>
      <w:r w:rsidRPr="000B5EFB">
        <w:rPr>
          <w:rFonts w:cs="Arial"/>
        </w:rPr>
        <w:t xml:space="preserve">. </w:t>
      </w:r>
      <w:bookmarkEnd w:id="8"/>
    </w:p>
    <w:p w14:paraId="6A5166A2" w14:textId="77777777" w:rsidR="001123A4" w:rsidRDefault="001123A4" w:rsidP="001123A4">
      <w:pPr>
        <w:pStyle w:val="ACMAHeading2"/>
      </w:pPr>
      <w:r>
        <w:t>Reasons</w:t>
      </w:r>
    </w:p>
    <w:p w14:paraId="4FDB574D" w14:textId="77777777" w:rsidR="001123A4" w:rsidRPr="007960F3" w:rsidRDefault="001123A4" w:rsidP="001123A4">
      <w:pPr>
        <w:pStyle w:val="ACMABodyText"/>
        <w:rPr>
          <w:rFonts w:cs="Arial"/>
          <w:i/>
        </w:rPr>
      </w:pPr>
      <w:r w:rsidRPr="00C821D7">
        <w:rPr>
          <w:rFonts w:cs="Arial"/>
        </w:rPr>
        <w:t xml:space="preserve">In assessing compliance with </w:t>
      </w:r>
      <w:r w:rsidRPr="000B5EFB">
        <w:rPr>
          <w:bCs/>
        </w:rPr>
        <w:t>subclause 4(2) of Schedule 2</w:t>
      </w:r>
      <w:r>
        <w:rPr>
          <w:bCs/>
        </w:rPr>
        <w:t xml:space="preserve"> to the BSA</w:t>
      </w:r>
      <w:r w:rsidRPr="00C821D7">
        <w:rPr>
          <w:rFonts w:cs="Arial"/>
        </w:rPr>
        <w:t xml:space="preserve">, the ACMA asks: </w:t>
      </w:r>
    </w:p>
    <w:p w14:paraId="2CB107E1" w14:textId="77777777" w:rsidR="001123A4" w:rsidRPr="00FF02D3" w:rsidRDefault="001123A4" w:rsidP="001123A4">
      <w:pPr>
        <w:pStyle w:val="ACMABodyText0"/>
        <w:numPr>
          <w:ilvl w:val="0"/>
          <w:numId w:val="30"/>
        </w:numPr>
        <w:spacing w:before="0" w:line="240" w:lineRule="atLeast"/>
        <w:ind w:left="927"/>
        <w:rPr>
          <w:rFonts w:ascii="Arial" w:hAnsi="Arial" w:cs="Arial"/>
          <w:sz w:val="20"/>
        </w:rPr>
      </w:pPr>
      <w:r w:rsidRPr="00FF02D3">
        <w:rPr>
          <w:rFonts w:ascii="Arial" w:hAnsi="Arial" w:cs="Arial"/>
          <w:sz w:val="20"/>
        </w:rPr>
        <w:t>W</w:t>
      </w:r>
      <w:r>
        <w:rPr>
          <w:rFonts w:ascii="Arial" w:hAnsi="Arial" w:cs="Arial"/>
          <w:sz w:val="20"/>
        </w:rPr>
        <w:t>as</w:t>
      </w:r>
      <w:r w:rsidRPr="00FF02D3">
        <w:rPr>
          <w:rFonts w:ascii="Arial" w:hAnsi="Arial" w:cs="Arial"/>
          <w:sz w:val="20"/>
        </w:rPr>
        <w:t xml:space="preserve"> the </w:t>
      </w:r>
      <w:r>
        <w:rPr>
          <w:rFonts w:ascii="Arial" w:hAnsi="Arial" w:cs="Arial"/>
          <w:sz w:val="20"/>
        </w:rPr>
        <w:t>a</w:t>
      </w:r>
      <w:r w:rsidRPr="00FF02D3">
        <w:rPr>
          <w:rFonts w:ascii="Arial" w:hAnsi="Arial" w:cs="Arial"/>
          <w:sz w:val="20"/>
        </w:rPr>
        <w:t xml:space="preserve">dvertisement </w:t>
      </w:r>
      <w:r>
        <w:rPr>
          <w:rFonts w:ascii="Arial" w:hAnsi="Arial" w:cs="Arial"/>
          <w:sz w:val="20"/>
        </w:rPr>
        <w:t>‘</w:t>
      </w:r>
      <w:r w:rsidRPr="00FF02D3">
        <w:rPr>
          <w:rFonts w:ascii="Arial" w:hAnsi="Arial" w:cs="Arial"/>
          <w:sz w:val="20"/>
        </w:rPr>
        <w:t>political matter</w:t>
      </w:r>
      <w:r>
        <w:rPr>
          <w:rFonts w:ascii="Arial" w:hAnsi="Arial" w:cs="Arial"/>
          <w:sz w:val="20"/>
        </w:rPr>
        <w:t>’</w:t>
      </w:r>
      <w:r w:rsidRPr="00FF02D3">
        <w:rPr>
          <w:rFonts w:ascii="Arial" w:hAnsi="Arial" w:cs="Arial"/>
          <w:sz w:val="20"/>
        </w:rPr>
        <w:t>?</w:t>
      </w:r>
    </w:p>
    <w:p w14:paraId="1E881397" w14:textId="77777777" w:rsidR="001123A4" w:rsidRPr="00FF02D3" w:rsidRDefault="001123A4" w:rsidP="001123A4">
      <w:pPr>
        <w:pStyle w:val="ACMABodyText0"/>
        <w:numPr>
          <w:ilvl w:val="0"/>
          <w:numId w:val="30"/>
        </w:numPr>
        <w:ind w:left="927"/>
        <w:rPr>
          <w:rFonts w:ascii="Arial" w:hAnsi="Arial" w:cs="Arial"/>
          <w:sz w:val="20"/>
        </w:rPr>
      </w:pPr>
      <w:r w:rsidRPr="00FF02D3">
        <w:rPr>
          <w:rFonts w:ascii="Arial" w:hAnsi="Arial" w:cs="Arial"/>
          <w:sz w:val="20"/>
        </w:rPr>
        <w:t xml:space="preserve">If so, </w:t>
      </w:r>
      <w:r>
        <w:rPr>
          <w:rFonts w:ascii="Arial" w:hAnsi="Arial" w:cs="Arial"/>
          <w:sz w:val="20"/>
        </w:rPr>
        <w:t xml:space="preserve">was the political matter broadcast </w:t>
      </w:r>
      <w:r w:rsidRPr="003F67F8">
        <w:rPr>
          <w:rFonts w:ascii="Arial" w:hAnsi="Arial" w:cs="Arial"/>
          <w:sz w:val="20"/>
        </w:rPr>
        <w:t>at the request of another person</w:t>
      </w:r>
      <w:r w:rsidRPr="00FF02D3">
        <w:rPr>
          <w:rFonts w:ascii="Arial" w:hAnsi="Arial" w:cs="Arial"/>
          <w:sz w:val="20"/>
        </w:rPr>
        <w:t>?</w:t>
      </w:r>
    </w:p>
    <w:p w14:paraId="65643AF4" w14:textId="77777777" w:rsidR="001123A4" w:rsidRPr="00FF02D3" w:rsidRDefault="001123A4" w:rsidP="001123A4">
      <w:pPr>
        <w:pStyle w:val="ACMABodyText0"/>
        <w:numPr>
          <w:ilvl w:val="0"/>
          <w:numId w:val="30"/>
        </w:numPr>
        <w:spacing w:before="0" w:after="240" w:line="240" w:lineRule="atLeast"/>
        <w:ind w:left="924" w:hanging="357"/>
        <w:rPr>
          <w:rFonts w:ascii="Arial" w:hAnsi="Arial" w:cs="Arial"/>
          <w:sz w:val="20"/>
        </w:rPr>
      </w:pPr>
      <w:bookmarkStart w:id="9" w:name="_Hlk5371510"/>
      <w:r w:rsidRPr="00FF02D3">
        <w:rPr>
          <w:rFonts w:ascii="Arial" w:hAnsi="Arial" w:cs="Arial"/>
          <w:sz w:val="20"/>
        </w:rPr>
        <w:t>If so</w:t>
      </w:r>
      <w:bookmarkStart w:id="10" w:name="_Hlk67326342"/>
      <w:r w:rsidRPr="00FF02D3">
        <w:rPr>
          <w:rFonts w:ascii="Arial" w:hAnsi="Arial" w:cs="Arial"/>
          <w:sz w:val="20"/>
        </w:rPr>
        <w:t xml:space="preserve">, did the </w:t>
      </w:r>
      <w:r>
        <w:rPr>
          <w:rFonts w:ascii="Arial" w:hAnsi="Arial" w:cs="Arial"/>
          <w:sz w:val="20"/>
        </w:rPr>
        <w:t>broadcaster ensure that the</w:t>
      </w:r>
      <w:r w:rsidRPr="00FF02D3">
        <w:rPr>
          <w:rFonts w:ascii="Arial" w:hAnsi="Arial" w:cs="Arial"/>
          <w:sz w:val="20"/>
        </w:rPr>
        <w:t xml:space="preserve"> required particulars </w:t>
      </w:r>
      <w:r>
        <w:rPr>
          <w:rFonts w:ascii="Arial" w:hAnsi="Arial" w:cs="Arial"/>
          <w:sz w:val="20"/>
        </w:rPr>
        <w:t>were</w:t>
      </w:r>
      <w:r w:rsidRPr="00FF02D3">
        <w:rPr>
          <w:rFonts w:ascii="Arial" w:hAnsi="Arial" w:cs="Arial"/>
          <w:sz w:val="20"/>
        </w:rPr>
        <w:t xml:space="preserve"> announced </w:t>
      </w:r>
      <w:r>
        <w:rPr>
          <w:rFonts w:ascii="Arial" w:hAnsi="Arial" w:cs="Arial"/>
          <w:sz w:val="20"/>
        </w:rPr>
        <w:t xml:space="preserve">in accordance with the requirements specified in subclause 4(2) of Schedule 2 to the BSA? </w:t>
      </w:r>
      <w:bookmarkEnd w:id="10"/>
    </w:p>
    <w:bookmarkEnd w:id="9"/>
    <w:p w14:paraId="45A4BD3A" w14:textId="2554C58A" w:rsidR="004D2557" w:rsidRPr="00BF443D" w:rsidRDefault="00165606" w:rsidP="00BF443D">
      <w:pPr>
        <w:pStyle w:val="ACMABodyText"/>
      </w:pPr>
      <w:r>
        <w:t>Extracts of relevant</w:t>
      </w:r>
      <w:r w:rsidR="00E638C7" w:rsidRPr="00E638C7">
        <w:t xml:space="preserve"> legislation</w:t>
      </w:r>
      <w:r w:rsidR="00E638C7">
        <w:t xml:space="preserve"> </w:t>
      </w:r>
      <w:r w:rsidR="006251C9" w:rsidRPr="006251C9">
        <w:t xml:space="preserve">are set out </w:t>
      </w:r>
      <w:r w:rsidR="00AF2E0E">
        <w:t>in</w:t>
      </w:r>
      <w:r w:rsidR="006251C9" w:rsidRPr="006251C9">
        <w:t xml:space="preserve"> </w:t>
      </w:r>
      <w:r w:rsidR="006251C9" w:rsidRPr="00E638C7">
        <w:rPr>
          <w:b/>
          <w:bCs/>
        </w:rPr>
        <w:t>Attachment C</w:t>
      </w:r>
      <w:r w:rsidR="006251C9" w:rsidRPr="006251C9">
        <w:t>.</w:t>
      </w:r>
    </w:p>
    <w:p w14:paraId="51369E32" w14:textId="52814E46" w:rsidR="001123A4" w:rsidRDefault="001123A4" w:rsidP="001123A4">
      <w:pPr>
        <w:pStyle w:val="ACMABodyText"/>
        <w:rPr>
          <w:b/>
          <w:bCs/>
          <w:i/>
          <w:iCs/>
        </w:rPr>
      </w:pPr>
      <w:r w:rsidRPr="00EF4016">
        <w:rPr>
          <w:b/>
          <w:bCs/>
          <w:i/>
          <w:iCs/>
        </w:rPr>
        <w:t>W</w:t>
      </w:r>
      <w:r>
        <w:rPr>
          <w:b/>
          <w:bCs/>
          <w:i/>
          <w:iCs/>
        </w:rPr>
        <w:t>as</w:t>
      </w:r>
      <w:r w:rsidRPr="00EF4016">
        <w:rPr>
          <w:b/>
          <w:bCs/>
          <w:i/>
          <w:iCs/>
        </w:rPr>
        <w:t xml:space="preserve"> the broadcast </w:t>
      </w:r>
      <w:r>
        <w:rPr>
          <w:b/>
          <w:bCs/>
          <w:i/>
          <w:iCs/>
        </w:rPr>
        <w:t>‘</w:t>
      </w:r>
      <w:r w:rsidRPr="00EF4016">
        <w:rPr>
          <w:b/>
          <w:bCs/>
          <w:i/>
          <w:iCs/>
        </w:rPr>
        <w:t>political matter’?</w:t>
      </w:r>
    </w:p>
    <w:bookmarkEnd w:id="7"/>
    <w:p w14:paraId="375FD229" w14:textId="755E3868" w:rsidR="001123A4" w:rsidRDefault="001123A4" w:rsidP="001123A4">
      <w:pPr>
        <w:pStyle w:val="NormalWeb"/>
        <w:spacing w:before="0" w:beforeAutospacing="0" w:after="240" w:afterAutospacing="0" w:line="240" w:lineRule="atLeast"/>
        <w:rPr>
          <w:rFonts w:ascii="Arial" w:hAnsi="Arial" w:cs="Arial"/>
          <w:sz w:val="20"/>
          <w:szCs w:val="20"/>
        </w:rPr>
      </w:pPr>
      <w:r>
        <w:rPr>
          <w:rFonts w:ascii="Arial" w:hAnsi="Arial" w:cs="Arial"/>
          <w:sz w:val="20"/>
          <w:szCs w:val="20"/>
        </w:rPr>
        <w:t>As stated, the advertisement was broadcast in the lead up to the WA state election</w:t>
      </w:r>
      <w:r w:rsidR="00A14CC2">
        <w:rPr>
          <w:rFonts w:ascii="Arial" w:hAnsi="Arial" w:cs="Arial"/>
          <w:sz w:val="20"/>
          <w:szCs w:val="20"/>
        </w:rPr>
        <w:t xml:space="preserve">, featured a candidate contesting the election </w:t>
      </w:r>
      <w:r w:rsidR="003C6661">
        <w:rPr>
          <w:rFonts w:ascii="Arial" w:hAnsi="Arial" w:cs="Arial"/>
          <w:sz w:val="20"/>
          <w:szCs w:val="20"/>
        </w:rPr>
        <w:t>and</w:t>
      </w:r>
      <w:r>
        <w:rPr>
          <w:rFonts w:ascii="Arial" w:hAnsi="Arial" w:cs="Arial"/>
          <w:sz w:val="20"/>
          <w:szCs w:val="20"/>
        </w:rPr>
        <w:t xml:space="preserve"> included several statements about </w:t>
      </w:r>
      <w:r w:rsidR="00A14CC2">
        <w:rPr>
          <w:rFonts w:ascii="Arial" w:hAnsi="Arial" w:cs="Arial"/>
          <w:sz w:val="20"/>
          <w:szCs w:val="20"/>
        </w:rPr>
        <w:t xml:space="preserve">their </w:t>
      </w:r>
      <w:r>
        <w:rPr>
          <w:rFonts w:ascii="Arial" w:hAnsi="Arial" w:cs="Arial"/>
          <w:sz w:val="20"/>
          <w:szCs w:val="20"/>
        </w:rPr>
        <w:t>ability to lead.</w:t>
      </w:r>
    </w:p>
    <w:p w14:paraId="4EB0C717" w14:textId="475A934B" w:rsidR="0084168F" w:rsidRDefault="0084168F" w:rsidP="001123A4">
      <w:pPr>
        <w:pStyle w:val="NormalWeb"/>
        <w:spacing w:before="0" w:beforeAutospacing="0" w:after="240" w:afterAutospacing="0" w:line="240" w:lineRule="atLeast"/>
        <w:rPr>
          <w:rFonts w:ascii="Arial" w:hAnsi="Arial" w:cs="Arial"/>
          <w:sz w:val="20"/>
          <w:szCs w:val="20"/>
        </w:rPr>
      </w:pPr>
      <w:r>
        <w:rPr>
          <w:rFonts w:ascii="Arial" w:hAnsi="Arial" w:cs="Arial"/>
          <w:sz w:val="20"/>
          <w:szCs w:val="20"/>
        </w:rPr>
        <w:t>The advertisement was ‘political matter’.</w:t>
      </w:r>
    </w:p>
    <w:p w14:paraId="4F871037" w14:textId="06117581" w:rsidR="00446208" w:rsidRDefault="001123A4" w:rsidP="001123A4">
      <w:pPr>
        <w:pStyle w:val="NormalWeb"/>
        <w:spacing w:before="0" w:beforeAutospacing="0" w:after="240" w:afterAutospacing="0" w:line="240" w:lineRule="atLeast"/>
        <w:rPr>
          <w:rFonts w:ascii="Arial" w:hAnsi="Arial" w:cs="Arial"/>
          <w:sz w:val="20"/>
          <w:szCs w:val="20"/>
        </w:rPr>
      </w:pPr>
      <w:r>
        <w:rPr>
          <w:rFonts w:ascii="Arial" w:hAnsi="Arial" w:cs="Arial"/>
          <w:sz w:val="20"/>
          <w:szCs w:val="20"/>
        </w:rPr>
        <w:lastRenderedPageBreak/>
        <w:t xml:space="preserve">The ACMA considers that the </w:t>
      </w:r>
      <w:r w:rsidR="00CA06D9">
        <w:rPr>
          <w:rFonts w:ascii="Arial" w:hAnsi="Arial" w:cs="Arial"/>
          <w:sz w:val="20"/>
          <w:szCs w:val="20"/>
        </w:rPr>
        <w:t>audience</w:t>
      </w:r>
      <w:r>
        <w:rPr>
          <w:rFonts w:ascii="Arial" w:hAnsi="Arial" w:cs="Arial"/>
          <w:sz w:val="20"/>
          <w:szCs w:val="20"/>
        </w:rPr>
        <w:t xml:space="preserve"> would have understood from the tone of the speaker, visual elements, meaning conveyed and the context of the advertisement that it was an election advertisement trying to dissuade the viewer from voting for </w:t>
      </w:r>
      <w:r w:rsidR="00E15FCF">
        <w:rPr>
          <w:rFonts w:ascii="Arial" w:hAnsi="Arial" w:cs="Arial"/>
          <w:sz w:val="20"/>
          <w:szCs w:val="20"/>
        </w:rPr>
        <w:t xml:space="preserve">a </w:t>
      </w:r>
      <w:r>
        <w:rPr>
          <w:rFonts w:ascii="Arial" w:hAnsi="Arial" w:cs="Arial"/>
          <w:sz w:val="20"/>
          <w:szCs w:val="20"/>
        </w:rPr>
        <w:t>Liberal party candidate in the election. C</w:t>
      </w:r>
      <w:r w:rsidRPr="008E15B7">
        <w:rPr>
          <w:rFonts w:ascii="Arial" w:hAnsi="Arial" w:cs="Arial"/>
          <w:sz w:val="20"/>
          <w:szCs w:val="20"/>
        </w:rPr>
        <w:t>ontent that seeks to influence voters in an election is political</w:t>
      </w:r>
      <w:r>
        <w:rPr>
          <w:rFonts w:ascii="Arial" w:hAnsi="Arial" w:cs="Arial"/>
          <w:sz w:val="20"/>
          <w:szCs w:val="20"/>
        </w:rPr>
        <w:t xml:space="preserve"> in </w:t>
      </w:r>
      <w:r w:rsidRPr="008E15B7">
        <w:rPr>
          <w:rFonts w:ascii="Arial" w:hAnsi="Arial" w:cs="Arial"/>
          <w:sz w:val="20"/>
          <w:szCs w:val="20"/>
        </w:rPr>
        <w:t xml:space="preserve">nature. </w:t>
      </w:r>
    </w:p>
    <w:p w14:paraId="2703BD40" w14:textId="77777777" w:rsidR="001123A4" w:rsidRDefault="001123A4" w:rsidP="001123A4">
      <w:pPr>
        <w:pStyle w:val="NormalWeb"/>
        <w:spacing w:before="0" w:beforeAutospacing="0" w:after="240" w:afterAutospacing="0" w:line="240" w:lineRule="atLeast"/>
        <w:rPr>
          <w:rFonts w:ascii="Arial" w:hAnsi="Arial" w:cs="Arial"/>
          <w:sz w:val="20"/>
          <w:szCs w:val="20"/>
        </w:rPr>
      </w:pPr>
      <w:r>
        <w:rPr>
          <w:rFonts w:ascii="Arial" w:hAnsi="Arial" w:cs="Arial"/>
          <w:sz w:val="20"/>
          <w:szCs w:val="20"/>
        </w:rPr>
        <w:t xml:space="preserve">In its submission to the ACMA, the licensee agreed that the advertisement was political matter. </w:t>
      </w:r>
    </w:p>
    <w:p w14:paraId="2A98E284" w14:textId="77777777" w:rsidR="001123A4" w:rsidRPr="00502D08" w:rsidRDefault="001123A4" w:rsidP="001123A4">
      <w:pPr>
        <w:pStyle w:val="ACMABodyText0"/>
        <w:tabs>
          <w:tab w:val="left" w:pos="1134"/>
        </w:tabs>
        <w:spacing w:before="0" w:after="240" w:line="240" w:lineRule="atLeast"/>
        <w:rPr>
          <w:rFonts w:ascii="Arial" w:hAnsi="Arial" w:cs="Arial"/>
          <w:b/>
          <w:bCs/>
          <w:i/>
          <w:sz w:val="20"/>
        </w:rPr>
      </w:pPr>
      <w:r w:rsidRPr="00502D08">
        <w:rPr>
          <w:rFonts w:ascii="Arial" w:hAnsi="Arial" w:cs="Arial"/>
          <w:b/>
          <w:bCs/>
          <w:i/>
          <w:sz w:val="20"/>
        </w:rPr>
        <w:t xml:space="preserve">If so, was the political matter broadcast at the request of another person? </w:t>
      </w:r>
    </w:p>
    <w:p w14:paraId="4636B98B" w14:textId="1B3582FD" w:rsidR="001123A4" w:rsidRDefault="001123A4" w:rsidP="001123A4">
      <w:pPr>
        <w:spacing w:before="0" w:line="240" w:lineRule="atLeast"/>
        <w:rPr>
          <w:rFonts w:cs="Arial"/>
          <w:i w:val="0"/>
          <w:szCs w:val="20"/>
        </w:rPr>
      </w:pPr>
      <w:r>
        <w:rPr>
          <w:rFonts w:cs="Arial"/>
          <w:i w:val="0"/>
          <w:szCs w:val="20"/>
        </w:rPr>
        <w:t>The licensee advised that the advertisement w</w:t>
      </w:r>
      <w:r w:rsidR="00AF2E0E">
        <w:rPr>
          <w:rFonts w:cs="Arial"/>
          <w:i w:val="0"/>
          <w:szCs w:val="20"/>
        </w:rPr>
        <w:t>as</w:t>
      </w:r>
      <w:r>
        <w:rPr>
          <w:rFonts w:cs="Arial"/>
          <w:i w:val="0"/>
          <w:szCs w:val="20"/>
        </w:rPr>
        <w:t xml:space="preserve"> broadcast at the request </w:t>
      </w:r>
      <w:r w:rsidRPr="008D007A">
        <w:rPr>
          <w:rFonts w:cs="Arial"/>
          <w:i w:val="0"/>
          <w:szCs w:val="20"/>
        </w:rPr>
        <w:t xml:space="preserve">of </w:t>
      </w:r>
      <w:r>
        <w:rPr>
          <w:rFonts w:cs="Arial"/>
          <w:i w:val="0"/>
          <w:szCs w:val="20"/>
        </w:rPr>
        <w:t>‘</w:t>
      </w:r>
      <w:r w:rsidRPr="008D007A">
        <w:rPr>
          <w:rFonts w:cs="Arial"/>
          <w:i w:val="0"/>
          <w:szCs w:val="20"/>
        </w:rPr>
        <w:t>the WA Labor Party</w:t>
      </w:r>
      <w:r>
        <w:rPr>
          <w:rFonts w:cs="Arial"/>
          <w:i w:val="0"/>
          <w:szCs w:val="20"/>
        </w:rPr>
        <w:t>’</w:t>
      </w:r>
      <w:r w:rsidRPr="008D007A">
        <w:rPr>
          <w:rFonts w:cs="Arial"/>
          <w:i w:val="0"/>
          <w:szCs w:val="20"/>
        </w:rPr>
        <w:t>.</w:t>
      </w:r>
    </w:p>
    <w:p w14:paraId="2938D696" w14:textId="77777777" w:rsidR="00A9248D" w:rsidRDefault="001123A4" w:rsidP="00A03F38">
      <w:pPr>
        <w:pStyle w:val="ACMABodyText"/>
      </w:pPr>
      <w:r>
        <w:t>Therefore, the political matter was broadcast at the request of another person.</w:t>
      </w:r>
    </w:p>
    <w:p w14:paraId="06A7758B" w14:textId="2020E689" w:rsidR="001123A4" w:rsidRPr="00184DBD" w:rsidRDefault="001123A4" w:rsidP="00A03F38">
      <w:pPr>
        <w:pStyle w:val="ACMABodyText"/>
        <w:rPr>
          <w:rFonts w:cs="Arial"/>
          <w:b/>
          <w:i/>
        </w:rPr>
      </w:pPr>
      <w:r w:rsidRPr="005D463A">
        <w:rPr>
          <w:rFonts w:cs="Arial"/>
          <w:b/>
          <w:i/>
        </w:rPr>
        <w:t xml:space="preserve">If so, did the broadcaster ensure that the required particulars </w:t>
      </w:r>
      <w:r>
        <w:rPr>
          <w:rFonts w:cs="Arial"/>
          <w:b/>
          <w:i/>
        </w:rPr>
        <w:t>were</w:t>
      </w:r>
      <w:r w:rsidRPr="005D463A">
        <w:rPr>
          <w:rFonts w:cs="Arial"/>
          <w:b/>
          <w:i/>
        </w:rPr>
        <w:t xml:space="preserve"> announced in accordance with the requirements specified in subclause 4(2) of Schedule 2 to the BSA?</w:t>
      </w:r>
      <w:r w:rsidRPr="00184DBD">
        <w:rPr>
          <w:rFonts w:cs="Arial"/>
          <w:b/>
          <w:i/>
        </w:rPr>
        <w:t xml:space="preserve"> </w:t>
      </w:r>
    </w:p>
    <w:p w14:paraId="6155187B" w14:textId="77777777" w:rsidR="001123A4" w:rsidRPr="00C705DE" w:rsidRDefault="001123A4" w:rsidP="001123A4">
      <w:pPr>
        <w:pStyle w:val="ACMABodyText0"/>
        <w:spacing w:before="0" w:after="240" w:line="240" w:lineRule="atLeast"/>
        <w:rPr>
          <w:rFonts w:ascii="Arial" w:hAnsi="Arial" w:cs="Arial"/>
          <w:i/>
          <w:iCs/>
          <w:sz w:val="20"/>
        </w:rPr>
      </w:pPr>
      <w:r w:rsidRPr="00C705DE">
        <w:rPr>
          <w:rFonts w:ascii="Arial" w:hAnsi="Arial" w:cs="Arial"/>
          <w:i/>
          <w:iCs/>
          <w:sz w:val="20"/>
        </w:rPr>
        <w:t>Content of the</w:t>
      </w:r>
      <w:r>
        <w:rPr>
          <w:rFonts w:ascii="Arial" w:hAnsi="Arial" w:cs="Arial"/>
          <w:i/>
          <w:iCs/>
          <w:sz w:val="20"/>
        </w:rPr>
        <w:t xml:space="preserve"> required</w:t>
      </w:r>
      <w:r w:rsidRPr="00C705DE">
        <w:rPr>
          <w:rFonts w:ascii="Arial" w:hAnsi="Arial" w:cs="Arial"/>
          <w:i/>
          <w:iCs/>
          <w:sz w:val="20"/>
        </w:rPr>
        <w:t xml:space="preserve"> particulars</w:t>
      </w:r>
    </w:p>
    <w:p w14:paraId="18990F5C" w14:textId="77777777" w:rsidR="001123A4" w:rsidRDefault="001123A4" w:rsidP="001123A4">
      <w:pPr>
        <w:pStyle w:val="ACMABodyText0"/>
        <w:spacing w:before="0" w:after="240" w:line="240" w:lineRule="atLeast"/>
        <w:rPr>
          <w:rFonts w:ascii="Arial" w:hAnsi="Arial" w:cs="Arial"/>
          <w:sz w:val="20"/>
        </w:rPr>
      </w:pPr>
      <w:r w:rsidRPr="00300540">
        <w:rPr>
          <w:rFonts w:ascii="Arial" w:hAnsi="Arial" w:cs="Arial"/>
          <w:sz w:val="20"/>
        </w:rPr>
        <w:t xml:space="preserve">Under the BSA, the content of the required particulars is determined by </w:t>
      </w:r>
      <w:r>
        <w:rPr>
          <w:rFonts w:ascii="Arial" w:hAnsi="Arial" w:cs="Arial"/>
          <w:sz w:val="20"/>
        </w:rPr>
        <w:t>the nature of the entity that</w:t>
      </w:r>
      <w:r w:rsidRPr="00300540">
        <w:rPr>
          <w:rFonts w:ascii="Arial" w:hAnsi="Arial" w:cs="Arial"/>
          <w:sz w:val="20"/>
        </w:rPr>
        <w:t xml:space="preserve"> authorised the broadcast of the political matter and its content</w:t>
      </w:r>
      <w:r>
        <w:rPr>
          <w:rFonts w:ascii="Arial" w:hAnsi="Arial" w:cs="Arial"/>
          <w:sz w:val="20"/>
        </w:rPr>
        <w:t>.</w:t>
      </w:r>
    </w:p>
    <w:p w14:paraId="42EF0CBF" w14:textId="4D3E0B14" w:rsidR="001123A4" w:rsidRPr="00300540" w:rsidRDefault="001123A4" w:rsidP="001123A4">
      <w:pPr>
        <w:pStyle w:val="ACMABodyText0"/>
        <w:spacing w:before="0" w:after="240" w:line="240" w:lineRule="atLeast"/>
        <w:rPr>
          <w:rFonts w:ascii="Arial" w:hAnsi="Arial" w:cs="Arial"/>
          <w:sz w:val="20"/>
        </w:rPr>
      </w:pPr>
      <w:r w:rsidRPr="00300540">
        <w:rPr>
          <w:rFonts w:ascii="Arial" w:hAnsi="Arial" w:cs="Arial"/>
          <w:sz w:val="20"/>
        </w:rPr>
        <w:t>The ACMA is satisfied</w:t>
      </w:r>
      <w:r w:rsidR="00A92681">
        <w:rPr>
          <w:rFonts w:ascii="Arial" w:hAnsi="Arial" w:cs="Arial"/>
          <w:sz w:val="20"/>
        </w:rPr>
        <w:t>,</w:t>
      </w:r>
      <w:r w:rsidRPr="00300540">
        <w:rPr>
          <w:rFonts w:ascii="Arial" w:hAnsi="Arial" w:cs="Arial"/>
          <w:sz w:val="20"/>
        </w:rPr>
        <w:t xml:space="preserve"> on the evidence supplied by the licensee, that the broadcasts were authorised</w:t>
      </w:r>
      <w:r>
        <w:rPr>
          <w:rFonts w:ascii="Arial" w:hAnsi="Arial" w:cs="Arial"/>
          <w:sz w:val="20"/>
        </w:rPr>
        <w:t xml:space="preserve"> by a ‘disclosure entity’ that was not a natural person – in this case, a registered political party</w:t>
      </w:r>
      <w:r w:rsidRPr="00300540">
        <w:rPr>
          <w:rFonts w:ascii="Arial" w:hAnsi="Arial" w:cs="Arial"/>
          <w:sz w:val="20"/>
        </w:rPr>
        <w:t xml:space="preserve">. </w:t>
      </w:r>
    </w:p>
    <w:p w14:paraId="67C8CA6F" w14:textId="15996989" w:rsidR="001123A4" w:rsidRDefault="00B76CD0" w:rsidP="00BF443D">
      <w:pPr>
        <w:pStyle w:val="ACMABodyText0"/>
        <w:spacing w:before="0" w:after="240" w:line="240" w:lineRule="atLeast"/>
        <w:rPr>
          <w:rFonts w:ascii="Arial" w:hAnsi="Arial" w:cs="Arial"/>
          <w:sz w:val="20"/>
        </w:rPr>
      </w:pPr>
      <w:r>
        <w:rPr>
          <w:rFonts w:ascii="Arial" w:hAnsi="Arial" w:cs="Arial"/>
          <w:iCs/>
          <w:sz w:val="20"/>
          <w:lang w:eastAsia="en-AU"/>
        </w:rPr>
        <w:t>A</w:t>
      </w:r>
      <w:r w:rsidR="001123A4">
        <w:rPr>
          <w:rFonts w:ascii="Arial" w:hAnsi="Arial" w:cs="Arial"/>
          <w:iCs/>
          <w:sz w:val="20"/>
          <w:lang w:eastAsia="en-AU"/>
        </w:rPr>
        <w:t xml:space="preserve">s specified under ‘Item 1’ </w:t>
      </w:r>
      <w:r>
        <w:rPr>
          <w:rFonts w:ascii="Arial" w:hAnsi="Arial" w:cs="Arial"/>
          <w:iCs/>
          <w:sz w:val="20"/>
          <w:lang w:eastAsia="en-AU"/>
        </w:rPr>
        <w:t>of</w:t>
      </w:r>
      <w:r w:rsidR="001123A4">
        <w:rPr>
          <w:rFonts w:ascii="Arial" w:hAnsi="Arial" w:cs="Arial"/>
          <w:iCs/>
          <w:sz w:val="20"/>
          <w:lang w:eastAsia="en-AU"/>
        </w:rPr>
        <w:t xml:space="preserve"> the table </w:t>
      </w:r>
      <w:r>
        <w:rPr>
          <w:rFonts w:ascii="Arial" w:hAnsi="Arial" w:cs="Arial"/>
          <w:iCs/>
          <w:sz w:val="20"/>
          <w:lang w:eastAsia="en-AU"/>
        </w:rPr>
        <w:t>in</w:t>
      </w:r>
      <w:r w:rsidR="001123A4">
        <w:rPr>
          <w:rFonts w:ascii="Arial" w:hAnsi="Arial" w:cs="Arial"/>
          <w:iCs/>
          <w:sz w:val="20"/>
          <w:lang w:eastAsia="en-AU"/>
        </w:rPr>
        <w:t xml:space="preserve"> </w:t>
      </w:r>
      <w:r w:rsidR="001123A4" w:rsidRPr="005109DB">
        <w:rPr>
          <w:rFonts w:ascii="Arial" w:hAnsi="Arial" w:cs="Arial"/>
          <w:iCs/>
          <w:sz w:val="20"/>
          <w:lang w:eastAsia="en-AU"/>
        </w:rPr>
        <w:t>subclause 1(2) of Schedule 2 to the BSA</w:t>
      </w:r>
      <w:r>
        <w:rPr>
          <w:rFonts w:ascii="Arial" w:hAnsi="Arial" w:cs="Arial"/>
          <w:iCs/>
          <w:sz w:val="20"/>
          <w:lang w:eastAsia="en-AU"/>
        </w:rPr>
        <w:t>, the required particulars</w:t>
      </w:r>
      <w:r w:rsidR="001123A4">
        <w:rPr>
          <w:rFonts w:ascii="Arial" w:hAnsi="Arial" w:cs="Arial"/>
          <w:iCs/>
          <w:sz w:val="20"/>
          <w:lang w:eastAsia="en-AU"/>
        </w:rPr>
        <w:t xml:space="preserve"> </w:t>
      </w:r>
      <w:r w:rsidR="0084168F">
        <w:rPr>
          <w:rFonts w:ascii="Arial" w:hAnsi="Arial" w:cs="Arial"/>
          <w:iCs/>
          <w:sz w:val="20"/>
          <w:lang w:eastAsia="en-AU"/>
        </w:rPr>
        <w:t xml:space="preserve">for a ‘disclosure entity’ </w:t>
      </w:r>
      <w:r w:rsidR="001123A4">
        <w:rPr>
          <w:rFonts w:ascii="Arial" w:hAnsi="Arial" w:cs="Arial"/>
          <w:iCs/>
          <w:sz w:val="20"/>
          <w:lang w:eastAsia="en-AU"/>
        </w:rPr>
        <w:t>are:</w:t>
      </w:r>
    </w:p>
    <w:p w14:paraId="1D0AF65E" w14:textId="7AD3C25A" w:rsidR="001123A4" w:rsidRPr="00A03F38" w:rsidRDefault="001123A4" w:rsidP="00BF443D">
      <w:pPr>
        <w:pStyle w:val="ACMABodyText0"/>
        <w:tabs>
          <w:tab w:val="left" w:pos="1134"/>
        </w:tabs>
        <w:spacing w:before="0" w:line="240" w:lineRule="atLeast"/>
        <w:ind w:left="567"/>
        <w:rPr>
          <w:rFonts w:ascii="Arial" w:hAnsi="Arial" w:cs="Arial"/>
          <w:sz w:val="18"/>
          <w:szCs w:val="18"/>
        </w:rPr>
      </w:pPr>
      <w:r w:rsidRPr="00A03F38">
        <w:rPr>
          <w:rFonts w:ascii="Arial" w:hAnsi="Arial" w:cs="Arial"/>
          <w:sz w:val="18"/>
          <w:szCs w:val="18"/>
        </w:rPr>
        <w:t xml:space="preserve">(a) the name of the entity </w:t>
      </w:r>
      <w:r w:rsidR="00B76CD0" w:rsidRPr="00A03F38">
        <w:rPr>
          <w:rFonts w:ascii="Arial" w:hAnsi="Arial" w:cs="Arial"/>
          <w:sz w:val="18"/>
          <w:szCs w:val="18"/>
        </w:rPr>
        <w:t xml:space="preserve">(as included in the most recent return given in relation to the entity under Part XX of the </w:t>
      </w:r>
      <w:r w:rsidR="00B76CD0" w:rsidRPr="00A03F38">
        <w:rPr>
          <w:rFonts w:ascii="Arial" w:hAnsi="Arial" w:cs="Arial"/>
          <w:i/>
          <w:iCs/>
          <w:sz w:val="18"/>
          <w:szCs w:val="18"/>
        </w:rPr>
        <w:t>Commonwealth Electoral Act 1918</w:t>
      </w:r>
      <w:r w:rsidR="00B76CD0" w:rsidRPr="00A03F38">
        <w:rPr>
          <w:rFonts w:ascii="Arial" w:hAnsi="Arial" w:cs="Arial"/>
          <w:sz w:val="18"/>
          <w:szCs w:val="18"/>
        </w:rPr>
        <w:t>, if a return has been given in relation to the entity under that Part)</w:t>
      </w:r>
    </w:p>
    <w:p w14:paraId="489A3928" w14:textId="77777777" w:rsidR="001123A4" w:rsidRPr="00A03F38" w:rsidRDefault="001123A4" w:rsidP="00BF443D">
      <w:pPr>
        <w:pStyle w:val="ACMABodyText0"/>
        <w:tabs>
          <w:tab w:val="left" w:pos="1134"/>
        </w:tabs>
        <w:spacing w:before="0" w:line="240" w:lineRule="atLeast"/>
        <w:ind w:left="567"/>
        <w:rPr>
          <w:rFonts w:ascii="Arial" w:hAnsi="Arial" w:cs="Arial"/>
          <w:sz w:val="18"/>
          <w:szCs w:val="18"/>
        </w:rPr>
      </w:pPr>
      <w:r w:rsidRPr="00A03F38">
        <w:rPr>
          <w:rFonts w:ascii="Arial" w:hAnsi="Arial" w:cs="Arial"/>
          <w:sz w:val="18"/>
          <w:szCs w:val="18"/>
        </w:rPr>
        <w:t>(b) the relevant town or city of the entity</w:t>
      </w:r>
    </w:p>
    <w:p w14:paraId="5F8F9888" w14:textId="77777777" w:rsidR="001123A4" w:rsidRPr="00A03F38" w:rsidRDefault="001123A4" w:rsidP="001123A4">
      <w:pPr>
        <w:pStyle w:val="ACMABodyText0"/>
        <w:tabs>
          <w:tab w:val="left" w:pos="1134"/>
        </w:tabs>
        <w:spacing w:before="0" w:after="240" w:line="240" w:lineRule="atLeast"/>
        <w:ind w:left="567"/>
        <w:rPr>
          <w:rFonts w:ascii="Arial" w:hAnsi="Arial" w:cs="Arial"/>
          <w:sz w:val="18"/>
          <w:szCs w:val="18"/>
        </w:rPr>
      </w:pPr>
      <w:r w:rsidRPr="00A03F38">
        <w:rPr>
          <w:rFonts w:ascii="Arial" w:hAnsi="Arial" w:cs="Arial"/>
          <w:sz w:val="18"/>
          <w:szCs w:val="18"/>
        </w:rPr>
        <w:t>(c) the name of the natural person responsible for giving effect to the authorisation.</w:t>
      </w:r>
    </w:p>
    <w:p w14:paraId="22DB93EB" w14:textId="77777777" w:rsidR="001123A4" w:rsidRDefault="001123A4" w:rsidP="00BF443D">
      <w:pPr>
        <w:pStyle w:val="ACMABodyText0"/>
        <w:tabs>
          <w:tab w:val="left" w:pos="1134"/>
        </w:tabs>
        <w:spacing w:before="0" w:after="240" w:line="240" w:lineRule="atLeast"/>
        <w:rPr>
          <w:rFonts w:ascii="Arial" w:hAnsi="Arial" w:cs="Arial"/>
          <w:sz w:val="20"/>
        </w:rPr>
      </w:pPr>
      <w:r>
        <w:rPr>
          <w:rFonts w:ascii="Arial" w:hAnsi="Arial" w:cs="Arial"/>
          <w:sz w:val="20"/>
        </w:rPr>
        <w:t xml:space="preserve">The licensee submitted to the </w:t>
      </w:r>
      <w:r w:rsidRPr="008C17DE">
        <w:rPr>
          <w:rFonts w:ascii="Arial" w:hAnsi="Arial" w:cs="Arial"/>
          <w:sz w:val="20"/>
        </w:rPr>
        <w:t>ACMA that the</w:t>
      </w:r>
      <w:r>
        <w:rPr>
          <w:rFonts w:ascii="Arial" w:hAnsi="Arial" w:cs="Arial"/>
          <w:sz w:val="20"/>
        </w:rPr>
        <w:t xml:space="preserve"> particulars</w:t>
      </w:r>
      <w:r w:rsidRPr="008C17DE">
        <w:rPr>
          <w:rFonts w:ascii="Arial" w:hAnsi="Arial" w:cs="Arial"/>
          <w:sz w:val="20"/>
        </w:rPr>
        <w:t xml:space="preserve"> </w:t>
      </w:r>
      <w:r>
        <w:rPr>
          <w:rFonts w:ascii="Arial" w:hAnsi="Arial" w:cs="Arial"/>
          <w:sz w:val="20"/>
        </w:rPr>
        <w:t>included in the broadcast were</w:t>
      </w:r>
      <w:r w:rsidRPr="008C17DE">
        <w:rPr>
          <w:rFonts w:ascii="Arial" w:hAnsi="Arial" w:cs="Arial"/>
          <w:sz w:val="20"/>
        </w:rPr>
        <w:t>:</w:t>
      </w:r>
      <w:r>
        <w:rPr>
          <w:rFonts w:ascii="Arial" w:hAnsi="Arial" w:cs="Arial"/>
          <w:sz w:val="20"/>
        </w:rPr>
        <w:t xml:space="preserve"> </w:t>
      </w:r>
    </w:p>
    <w:p w14:paraId="5CC6512C" w14:textId="3019A616" w:rsidR="001123A4" w:rsidRPr="008C17DE" w:rsidRDefault="001123A4" w:rsidP="001123A4">
      <w:pPr>
        <w:pStyle w:val="ACMABodyText0"/>
        <w:numPr>
          <w:ilvl w:val="0"/>
          <w:numId w:val="28"/>
        </w:numPr>
        <w:tabs>
          <w:tab w:val="left" w:pos="851"/>
        </w:tabs>
        <w:spacing w:before="0" w:line="240" w:lineRule="atLeast"/>
        <w:rPr>
          <w:rFonts w:ascii="Arial" w:hAnsi="Arial" w:cs="Arial"/>
          <w:sz w:val="20"/>
        </w:rPr>
      </w:pPr>
      <w:r w:rsidRPr="008C17DE">
        <w:rPr>
          <w:rFonts w:ascii="Arial" w:hAnsi="Arial" w:cs="Arial"/>
          <w:sz w:val="20"/>
        </w:rPr>
        <w:t xml:space="preserve">written text: “Authorised by </w:t>
      </w:r>
      <w:r w:rsidR="00A14CC2">
        <w:rPr>
          <w:rFonts w:ascii="Arial" w:hAnsi="Arial" w:cs="Arial"/>
          <w:sz w:val="20"/>
        </w:rPr>
        <w:t>[name of person]</w:t>
      </w:r>
      <w:r w:rsidRPr="008C17DE">
        <w:rPr>
          <w:rFonts w:ascii="Arial" w:hAnsi="Arial" w:cs="Arial"/>
          <w:sz w:val="20"/>
        </w:rPr>
        <w:t xml:space="preserve">. Australian Labor Party (Western Australia Branch). Level 1, 22 Eastbrook Terrace, East Perth 6004 Perth”; and </w:t>
      </w:r>
    </w:p>
    <w:p w14:paraId="3F24E4AB" w14:textId="53281A00" w:rsidR="001123A4" w:rsidRPr="008C17DE" w:rsidRDefault="001123A4" w:rsidP="001123A4">
      <w:pPr>
        <w:pStyle w:val="ACMABodyText0"/>
        <w:numPr>
          <w:ilvl w:val="0"/>
          <w:numId w:val="28"/>
        </w:numPr>
        <w:tabs>
          <w:tab w:val="left" w:pos="851"/>
        </w:tabs>
        <w:spacing w:before="0" w:after="240" w:line="240" w:lineRule="atLeast"/>
        <w:rPr>
          <w:rFonts w:ascii="Arial" w:hAnsi="Arial" w:cs="Arial"/>
          <w:sz w:val="20"/>
        </w:rPr>
      </w:pPr>
      <w:r w:rsidRPr="008C17DE">
        <w:rPr>
          <w:rFonts w:ascii="Arial" w:hAnsi="Arial" w:cs="Arial"/>
          <w:sz w:val="20"/>
        </w:rPr>
        <w:t xml:space="preserve">spoken statement: “Authorised by </w:t>
      </w:r>
      <w:r w:rsidR="00A14CC2">
        <w:rPr>
          <w:rFonts w:ascii="Arial" w:hAnsi="Arial" w:cs="Arial"/>
          <w:sz w:val="20"/>
        </w:rPr>
        <w:t>[name of person]</w:t>
      </w:r>
      <w:r w:rsidRPr="008C17DE">
        <w:rPr>
          <w:rFonts w:ascii="Arial" w:hAnsi="Arial" w:cs="Arial"/>
          <w:sz w:val="20"/>
        </w:rPr>
        <w:t xml:space="preserve">. Australian Labor Party Western Australia Branch Perth”. </w:t>
      </w:r>
    </w:p>
    <w:p w14:paraId="5822FC56" w14:textId="448BB11D" w:rsidR="005F515A" w:rsidRDefault="00B76CD0" w:rsidP="00A03F38">
      <w:pPr>
        <w:pStyle w:val="ACMABodyText0"/>
        <w:tabs>
          <w:tab w:val="left" w:pos="1134"/>
        </w:tabs>
        <w:spacing w:before="0" w:after="240" w:line="240" w:lineRule="atLeast"/>
        <w:rPr>
          <w:rFonts w:cs="Arial"/>
          <w:iCs/>
        </w:rPr>
      </w:pPr>
      <w:r>
        <w:rPr>
          <w:rFonts w:ascii="Arial" w:hAnsi="Arial" w:cs="Arial"/>
          <w:sz w:val="20"/>
        </w:rPr>
        <w:t>Having confirmed the relevant name of the entity on the relevant register published by the Australian Electoral Commission</w:t>
      </w:r>
      <w:r w:rsidR="002A2CEB">
        <w:rPr>
          <w:rFonts w:ascii="Arial" w:hAnsi="Arial" w:cs="Arial"/>
          <w:sz w:val="20"/>
        </w:rPr>
        <w:t xml:space="preserve"> (AEC)</w:t>
      </w:r>
      <w:r>
        <w:rPr>
          <w:rStyle w:val="FootnoteReference"/>
          <w:rFonts w:ascii="Arial" w:hAnsi="Arial" w:cs="Arial"/>
          <w:sz w:val="20"/>
        </w:rPr>
        <w:footnoteReference w:id="1"/>
      </w:r>
      <w:r>
        <w:rPr>
          <w:rFonts w:ascii="Arial" w:hAnsi="Arial" w:cs="Arial"/>
          <w:sz w:val="20"/>
        </w:rPr>
        <w:t>, t</w:t>
      </w:r>
      <w:r w:rsidR="001123A4" w:rsidRPr="004032CA">
        <w:rPr>
          <w:rFonts w:ascii="Arial" w:hAnsi="Arial" w:cs="Arial"/>
          <w:sz w:val="20"/>
        </w:rPr>
        <w:t xml:space="preserve">he ACMA accepts that the content of </w:t>
      </w:r>
      <w:r w:rsidR="00D73507">
        <w:rPr>
          <w:rFonts w:ascii="Arial" w:hAnsi="Arial" w:cs="Arial"/>
          <w:sz w:val="20"/>
        </w:rPr>
        <w:t xml:space="preserve">the written </w:t>
      </w:r>
      <w:r w:rsidR="00541A73">
        <w:rPr>
          <w:rFonts w:ascii="Arial" w:hAnsi="Arial" w:cs="Arial"/>
          <w:sz w:val="20"/>
        </w:rPr>
        <w:t xml:space="preserve">text </w:t>
      </w:r>
      <w:r w:rsidR="00D73507">
        <w:rPr>
          <w:rFonts w:ascii="Arial" w:hAnsi="Arial" w:cs="Arial"/>
          <w:sz w:val="20"/>
        </w:rPr>
        <w:t>and the</w:t>
      </w:r>
      <w:r w:rsidR="001123A4" w:rsidRPr="004032CA">
        <w:rPr>
          <w:rFonts w:ascii="Arial" w:hAnsi="Arial" w:cs="Arial"/>
          <w:sz w:val="20"/>
        </w:rPr>
        <w:t xml:space="preserve"> </w:t>
      </w:r>
      <w:r w:rsidR="00B710C6">
        <w:rPr>
          <w:rFonts w:ascii="Arial" w:hAnsi="Arial" w:cs="Arial"/>
          <w:sz w:val="20"/>
        </w:rPr>
        <w:t xml:space="preserve">script for the </w:t>
      </w:r>
      <w:r w:rsidR="00D73507">
        <w:rPr>
          <w:rFonts w:ascii="Arial" w:hAnsi="Arial" w:cs="Arial"/>
          <w:sz w:val="20"/>
        </w:rPr>
        <w:t>spoken statement,</w:t>
      </w:r>
      <w:r w:rsidR="001123A4" w:rsidRPr="004032CA">
        <w:rPr>
          <w:rFonts w:ascii="Arial" w:hAnsi="Arial" w:cs="Arial"/>
          <w:sz w:val="20"/>
        </w:rPr>
        <w:t xml:space="preserve"> as </w:t>
      </w:r>
      <w:r w:rsidR="00D73507">
        <w:rPr>
          <w:rFonts w:ascii="Arial" w:hAnsi="Arial" w:cs="Arial"/>
          <w:sz w:val="20"/>
        </w:rPr>
        <w:t>reported</w:t>
      </w:r>
      <w:r w:rsidR="001123A4" w:rsidRPr="004032CA">
        <w:rPr>
          <w:rFonts w:ascii="Arial" w:hAnsi="Arial" w:cs="Arial"/>
          <w:sz w:val="20"/>
        </w:rPr>
        <w:t xml:space="preserve"> by the licensee, contained the</w:t>
      </w:r>
      <w:r w:rsidR="001123A4">
        <w:rPr>
          <w:rFonts w:ascii="Arial" w:hAnsi="Arial" w:cs="Arial"/>
          <w:sz w:val="20"/>
        </w:rPr>
        <w:t xml:space="preserve"> correct </w:t>
      </w:r>
      <w:r w:rsidR="001123A4" w:rsidRPr="004032CA">
        <w:rPr>
          <w:rFonts w:ascii="Arial" w:hAnsi="Arial" w:cs="Arial"/>
          <w:sz w:val="20"/>
        </w:rPr>
        <w:t>information</w:t>
      </w:r>
      <w:r w:rsidR="001123A4">
        <w:rPr>
          <w:rFonts w:ascii="Arial" w:hAnsi="Arial" w:cs="Arial"/>
          <w:sz w:val="20"/>
        </w:rPr>
        <w:t xml:space="preserve"> specified</w:t>
      </w:r>
      <w:r w:rsidR="001123A4" w:rsidRPr="004032CA">
        <w:rPr>
          <w:rFonts w:ascii="Arial" w:hAnsi="Arial" w:cs="Arial"/>
          <w:sz w:val="20"/>
        </w:rPr>
        <w:t xml:space="preserve"> under the BSA</w:t>
      </w:r>
      <w:r w:rsidR="001123A4">
        <w:rPr>
          <w:rFonts w:ascii="Arial" w:hAnsi="Arial" w:cs="Arial"/>
          <w:sz w:val="20"/>
        </w:rPr>
        <w:t xml:space="preserve"> </w:t>
      </w:r>
      <w:r w:rsidR="001123A4" w:rsidRPr="004032CA">
        <w:rPr>
          <w:rFonts w:ascii="Arial" w:hAnsi="Arial" w:cs="Arial"/>
          <w:sz w:val="20"/>
        </w:rPr>
        <w:t>for the</w:t>
      </w:r>
      <w:r w:rsidR="001123A4">
        <w:rPr>
          <w:rFonts w:ascii="Arial" w:hAnsi="Arial" w:cs="Arial"/>
          <w:sz w:val="20"/>
        </w:rPr>
        <w:t xml:space="preserve"> </w:t>
      </w:r>
      <w:r w:rsidR="001123A4" w:rsidRPr="004032CA">
        <w:rPr>
          <w:rFonts w:ascii="Arial" w:hAnsi="Arial" w:cs="Arial"/>
          <w:sz w:val="20"/>
        </w:rPr>
        <w:t>required particulars</w:t>
      </w:r>
      <w:r w:rsidR="001123A4">
        <w:rPr>
          <w:rFonts w:ascii="Arial" w:hAnsi="Arial" w:cs="Arial"/>
          <w:sz w:val="20"/>
        </w:rPr>
        <w:t>.</w:t>
      </w:r>
    </w:p>
    <w:p w14:paraId="1A2A8B04" w14:textId="45BBFE99" w:rsidR="001123A4" w:rsidRDefault="001123A4" w:rsidP="00E6559B">
      <w:pPr>
        <w:pStyle w:val="ACMABodyText0"/>
        <w:keepNext/>
        <w:tabs>
          <w:tab w:val="left" w:pos="1134"/>
        </w:tabs>
        <w:spacing w:before="0" w:after="240" w:line="240" w:lineRule="atLeast"/>
        <w:rPr>
          <w:rFonts w:ascii="Arial" w:hAnsi="Arial" w:cs="Arial"/>
          <w:i/>
          <w:iCs/>
          <w:sz w:val="20"/>
        </w:rPr>
      </w:pPr>
      <w:r>
        <w:rPr>
          <w:rFonts w:ascii="Arial" w:hAnsi="Arial" w:cs="Arial"/>
          <w:i/>
          <w:iCs/>
          <w:sz w:val="20"/>
        </w:rPr>
        <w:lastRenderedPageBreak/>
        <w:t>A</w:t>
      </w:r>
      <w:r w:rsidRPr="004032CA">
        <w:rPr>
          <w:rFonts w:ascii="Arial" w:hAnsi="Arial" w:cs="Arial"/>
          <w:i/>
          <w:iCs/>
          <w:sz w:val="20"/>
        </w:rPr>
        <w:t>nnouncement of the required particulars</w:t>
      </w:r>
    </w:p>
    <w:p w14:paraId="6D23DD89" w14:textId="05398CF9" w:rsidR="001123A4" w:rsidRDefault="001123A4" w:rsidP="00E6559B">
      <w:pPr>
        <w:pStyle w:val="ACMABodyText0"/>
        <w:keepNext/>
        <w:tabs>
          <w:tab w:val="left" w:pos="1134"/>
        </w:tabs>
        <w:spacing w:before="0" w:after="240" w:line="240" w:lineRule="atLeast"/>
        <w:rPr>
          <w:rFonts w:ascii="Arial" w:hAnsi="Arial" w:cs="Arial"/>
          <w:bCs/>
          <w:iCs/>
          <w:sz w:val="20"/>
        </w:rPr>
      </w:pPr>
      <w:r w:rsidRPr="00445979">
        <w:rPr>
          <w:rFonts w:ascii="Arial" w:hAnsi="Arial" w:cs="Arial"/>
          <w:bCs/>
          <w:iCs/>
          <w:sz w:val="20"/>
        </w:rPr>
        <w:t>The complaint was that the ‘verbal portion’ of the required particulars w</w:t>
      </w:r>
      <w:r w:rsidR="00B76CD0">
        <w:rPr>
          <w:rFonts w:ascii="Arial" w:hAnsi="Arial" w:cs="Arial"/>
          <w:bCs/>
          <w:iCs/>
          <w:sz w:val="20"/>
        </w:rPr>
        <w:t>as</w:t>
      </w:r>
      <w:r w:rsidRPr="00445979">
        <w:rPr>
          <w:rFonts w:ascii="Arial" w:hAnsi="Arial" w:cs="Arial"/>
          <w:bCs/>
          <w:iCs/>
          <w:sz w:val="20"/>
        </w:rPr>
        <w:t xml:space="preserve"> ‘nothing less than a joke spoken at a ridiculous speed and totally incomprehensible’.</w:t>
      </w:r>
    </w:p>
    <w:p w14:paraId="13F6BCBF" w14:textId="28DD9DAF" w:rsidR="001123A4" w:rsidRDefault="001123A4" w:rsidP="001123A4">
      <w:pPr>
        <w:pStyle w:val="ACMABodyText0"/>
        <w:tabs>
          <w:tab w:val="left" w:pos="1134"/>
        </w:tabs>
        <w:spacing w:before="0" w:after="240" w:line="240" w:lineRule="atLeast"/>
        <w:rPr>
          <w:rFonts w:ascii="Arial" w:hAnsi="Arial" w:cs="Arial"/>
          <w:bCs/>
          <w:iCs/>
          <w:sz w:val="20"/>
        </w:rPr>
      </w:pPr>
      <w:r>
        <w:rPr>
          <w:rFonts w:ascii="Arial" w:hAnsi="Arial" w:cs="Arial"/>
          <w:bCs/>
          <w:iCs/>
          <w:sz w:val="20"/>
        </w:rPr>
        <w:t>Under s</w:t>
      </w:r>
      <w:r w:rsidRPr="000C514B">
        <w:rPr>
          <w:rFonts w:ascii="Arial" w:hAnsi="Arial" w:cs="Arial"/>
          <w:bCs/>
          <w:iCs/>
          <w:sz w:val="20"/>
        </w:rPr>
        <w:t>ubclause 4(2) of Schedule 2 to the BSA</w:t>
      </w:r>
      <w:r>
        <w:rPr>
          <w:rFonts w:ascii="Arial" w:hAnsi="Arial" w:cs="Arial"/>
          <w:bCs/>
          <w:iCs/>
          <w:sz w:val="20"/>
        </w:rPr>
        <w:t xml:space="preserve">, the </w:t>
      </w:r>
      <w:r w:rsidRPr="00883EB1">
        <w:rPr>
          <w:rFonts w:ascii="Arial" w:hAnsi="Arial" w:cs="Arial"/>
          <w:bCs/>
          <w:iCs/>
          <w:sz w:val="20"/>
        </w:rPr>
        <w:t xml:space="preserve">broadcaster must ensure the required particulars are </w:t>
      </w:r>
      <w:r w:rsidR="007955A1">
        <w:rPr>
          <w:rFonts w:ascii="Arial" w:hAnsi="Arial" w:cs="Arial"/>
          <w:bCs/>
          <w:iCs/>
          <w:sz w:val="20"/>
        </w:rPr>
        <w:t>‘</w:t>
      </w:r>
      <w:r w:rsidRPr="00883EB1">
        <w:rPr>
          <w:rFonts w:ascii="Arial" w:hAnsi="Arial" w:cs="Arial"/>
          <w:bCs/>
          <w:iCs/>
          <w:sz w:val="20"/>
        </w:rPr>
        <w:t>announced</w:t>
      </w:r>
      <w:r w:rsidR="007955A1">
        <w:rPr>
          <w:rFonts w:ascii="Arial" w:hAnsi="Arial" w:cs="Arial"/>
          <w:bCs/>
          <w:iCs/>
          <w:sz w:val="20"/>
        </w:rPr>
        <w:t>’</w:t>
      </w:r>
      <w:r w:rsidRPr="00883EB1">
        <w:rPr>
          <w:rFonts w:ascii="Arial" w:hAnsi="Arial" w:cs="Arial"/>
          <w:bCs/>
          <w:iCs/>
          <w:sz w:val="20"/>
        </w:rPr>
        <w:t xml:space="preserve"> in accordance with </w:t>
      </w:r>
      <w:r>
        <w:rPr>
          <w:rFonts w:ascii="Arial" w:hAnsi="Arial" w:cs="Arial"/>
          <w:bCs/>
          <w:iCs/>
          <w:sz w:val="20"/>
        </w:rPr>
        <w:t>any</w:t>
      </w:r>
      <w:r w:rsidRPr="00883EB1">
        <w:rPr>
          <w:rFonts w:ascii="Arial" w:hAnsi="Arial" w:cs="Arial"/>
          <w:bCs/>
          <w:iCs/>
          <w:sz w:val="20"/>
        </w:rPr>
        <w:t xml:space="preserve"> requirements </w:t>
      </w:r>
      <w:r>
        <w:rPr>
          <w:rFonts w:ascii="Arial" w:hAnsi="Arial" w:cs="Arial"/>
          <w:bCs/>
          <w:iCs/>
          <w:sz w:val="20"/>
        </w:rPr>
        <w:t xml:space="preserve">determined under </w:t>
      </w:r>
      <w:r w:rsidRPr="00883EB1">
        <w:rPr>
          <w:rFonts w:ascii="Arial" w:hAnsi="Arial" w:cs="Arial"/>
          <w:bCs/>
          <w:iCs/>
          <w:sz w:val="20"/>
        </w:rPr>
        <w:t xml:space="preserve">subsection 321D(7) of </w:t>
      </w:r>
      <w:r>
        <w:rPr>
          <w:rFonts w:ascii="Arial" w:hAnsi="Arial" w:cs="Arial"/>
          <w:bCs/>
          <w:iCs/>
          <w:sz w:val="20"/>
        </w:rPr>
        <w:t>the Electoral Act.</w:t>
      </w:r>
    </w:p>
    <w:p w14:paraId="3590627D" w14:textId="73DC2359" w:rsidR="00E31250" w:rsidRDefault="00DB33F4" w:rsidP="00B70282">
      <w:pPr>
        <w:pStyle w:val="ACMABodyText0"/>
        <w:tabs>
          <w:tab w:val="left" w:pos="1134"/>
        </w:tabs>
        <w:spacing w:before="0" w:after="240" w:line="240" w:lineRule="atLeast"/>
        <w:rPr>
          <w:rFonts w:ascii="Arial" w:hAnsi="Arial" w:cs="Arial"/>
          <w:sz w:val="20"/>
        </w:rPr>
      </w:pPr>
      <w:r>
        <w:rPr>
          <w:rFonts w:ascii="Arial" w:hAnsi="Arial" w:cs="Arial"/>
          <w:bCs/>
          <w:sz w:val="20"/>
        </w:rPr>
        <w:t xml:space="preserve">A relevant </w:t>
      </w:r>
      <w:r w:rsidR="0050582D">
        <w:rPr>
          <w:rFonts w:ascii="Arial" w:hAnsi="Arial" w:cs="Arial"/>
          <w:bCs/>
          <w:sz w:val="20"/>
        </w:rPr>
        <w:t>determination made</w:t>
      </w:r>
      <w:r>
        <w:rPr>
          <w:rFonts w:ascii="Arial" w:hAnsi="Arial" w:cs="Arial"/>
          <w:bCs/>
          <w:sz w:val="20"/>
        </w:rPr>
        <w:t xml:space="preserve"> under 321D(7) of the Electoral Act is </w:t>
      </w:r>
      <w:r w:rsidR="00B76CD0">
        <w:rPr>
          <w:rFonts w:ascii="Arial" w:hAnsi="Arial" w:cs="Arial"/>
          <w:sz w:val="20"/>
        </w:rPr>
        <w:t>t</w:t>
      </w:r>
      <w:r w:rsidR="001123A4" w:rsidRPr="00334DCF">
        <w:rPr>
          <w:rFonts w:ascii="Arial" w:hAnsi="Arial" w:cs="Arial"/>
          <w:sz w:val="20"/>
        </w:rPr>
        <w:t xml:space="preserve">he </w:t>
      </w:r>
      <w:r w:rsidR="001123A4" w:rsidRPr="00334DCF">
        <w:rPr>
          <w:rFonts w:ascii="Arial" w:hAnsi="Arial" w:cs="Arial"/>
          <w:i/>
          <w:iCs/>
          <w:sz w:val="20"/>
        </w:rPr>
        <w:t>Commonwealth Electoral (Authorisation of Voter Communication) Determination 2018</w:t>
      </w:r>
      <w:r w:rsidR="001123A4" w:rsidRPr="00334DCF">
        <w:rPr>
          <w:rFonts w:ascii="Arial" w:hAnsi="Arial" w:cs="Arial"/>
          <w:sz w:val="20"/>
        </w:rPr>
        <w:t xml:space="preserve"> </w:t>
      </w:r>
      <w:r w:rsidR="001123A4">
        <w:rPr>
          <w:rFonts w:ascii="Arial" w:hAnsi="Arial" w:cs="Arial"/>
          <w:sz w:val="20"/>
        </w:rPr>
        <w:t xml:space="preserve">(the </w:t>
      </w:r>
      <w:r w:rsidR="001123A4" w:rsidRPr="006F153C">
        <w:rPr>
          <w:rFonts w:ascii="Arial" w:hAnsi="Arial" w:cs="Arial"/>
          <w:b/>
          <w:bCs/>
          <w:sz w:val="20"/>
        </w:rPr>
        <w:t>Determination</w:t>
      </w:r>
      <w:r w:rsidR="001123A4">
        <w:rPr>
          <w:rFonts w:ascii="Arial" w:hAnsi="Arial" w:cs="Arial"/>
          <w:sz w:val="20"/>
        </w:rPr>
        <w:t>)</w:t>
      </w:r>
      <w:r>
        <w:rPr>
          <w:rFonts w:ascii="Arial" w:hAnsi="Arial" w:cs="Arial"/>
          <w:sz w:val="20"/>
        </w:rPr>
        <w:t xml:space="preserve">. </w:t>
      </w:r>
      <w:r w:rsidR="0040487D">
        <w:rPr>
          <w:rFonts w:ascii="Arial" w:hAnsi="Arial" w:cs="Arial"/>
          <w:sz w:val="20"/>
        </w:rPr>
        <w:t>Item 2 of the Table in s</w:t>
      </w:r>
      <w:r>
        <w:rPr>
          <w:rFonts w:ascii="Arial" w:hAnsi="Arial" w:cs="Arial"/>
          <w:sz w:val="20"/>
        </w:rPr>
        <w:t>ection 10 of th</w:t>
      </w:r>
      <w:r w:rsidR="0050582D">
        <w:rPr>
          <w:rFonts w:ascii="Arial" w:hAnsi="Arial" w:cs="Arial"/>
          <w:sz w:val="20"/>
        </w:rPr>
        <w:t>e</w:t>
      </w:r>
      <w:r>
        <w:rPr>
          <w:rFonts w:ascii="Arial" w:hAnsi="Arial" w:cs="Arial"/>
          <w:sz w:val="20"/>
        </w:rPr>
        <w:t xml:space="preserve"> Determination </w:t>
      </w:r>
      <w:r w:rsidR="001123A4">
        <w:rPr>
          <w:rFonts w:ascii="Arial" w:hAnsi="Arial" w:cs="Arial"/>
          <w:sz w:val="20"/>
        </w:rPr>
        <w:t xml:space="preserve">specifies </w:t>
      </w:r>
      <w:r w:rsidR="001123A4" w:rsidRPr="00334DCF">
        <w:rPr>
          <w:rFonts w:ascii="Arial" w:hAnsi="Arial" w:cs="Arial"/>
          <w:sz w:val="20"/>
        </w:rPr>
        <w:t>that</w:t>
      </w:r>
      <w:r w:rsidR="00A92681">
        <w:rPr>
          <w:rFonts w:ascii="Arial" w:hAnsi="Arial" w:cs="Arial"/>
          <w:sz w:val="20"/>
        </w:rPr>
        <w:t>,</w:t>
      </w:r>
      <w:r w:rsidR="001123A4">
        <w:rPr>
          <w:rFonts w:ascii="Arial" w:hAnsi="Arial" w:cs="Arial"/>
          <w:sz w:val="20"/>
        </w:rPr>
        <w:t xml:space="preserve"> </w:t>
      </w:r>
      <w:r w:rsidR="001123A4" w:rsidRPr="00334DCF">
        <w:rPr>
          <w:rFonts w:ascii="Arial" w:hAnsi="Arial" w:cs="Arial"/>
          <w:sz w:val="20"/>
        </w:rPr>
        <w:t>if the required particulars are</w:t>
      </w:r>
      <w:r w:rsidR="002A2CEB">
        <w:rPr>
          <w:rFonts w:ascii="Arial" w:hAnsi="Arial" w:cs="Arial"/>
          <w:sz w:val="20"/>
        </w:rPr>
        <w:t xml:space="preserve"> </w:t>
      </w:r>
      <w:r w:rsidR="001123A4" w:rsidRPr="00334DCF">
        <w:rPr>
          <w:rFonts w:ascii="Arial" w:hAnsi="Arial" w:cs="Arial"/>
          <w:sz w:val="20"/>
        </w:rPr>
        <w:t>broadcast by television</w:t>
      </w:r>
      <w:r w:rsidR="00A92681">
        <w:rPr>
          <w:rFonts w:ascii="Arial" w:hAnsi="Arial" w:cs="Arial"/>
          <w:sz w:val="20"/>
        </w:rPr>
        <w:t>,</w:t>
      </w:r>
      <w:r w:rsidR="001123A4" w:rsidRPr="00334DCF">
        <w:rPr>
          <w:rFonts w:ascii="Arial" w:hAnsi="Arial" w:cs="Arial"/>
          <w:sz w:val="20"/>
        </w:rPr>
        <w:t xml:space="preserve"> they must be </w:t>
      </w:r>
      <w:r w:rsidR="001123A4" w:rsidRPr="00B33DF0">
        <w:rPr>
          <w:rFonts w:ascii="Arial" w:hAnsi="Arial" w:cs="Arial"/>
          <w:b/>
          <w:bCs/>
          <w:sz w:val="20"/>
        </w:rPr>
        <w:t xml:space="preserve">announced </w:t>
      </w:r>
      <w:r w:rsidR="001123A4" w:rsidRPr="00334DCF">
        <w:rPr>
          <w:rFonts w:ascii="Arial" w:hAnsi="Arial" w:cs="Arial"/>
          <w:sz w:val="20"/>
        </w:rPr>
        <w:t xml:space="preserve">and </w:t>
      </w:r>
      <w:r w:rsidR="001123A4" w:rsidRPr="00B33DF0">
        <w:rPr>
          <w:rFonts w:ascii="Arial" w:hAnsi="Arial" w:cs="Arial"/>
          <w:b/>
          <w:bCs/>
          <w:sz w:val="20"/>
        </w:rPr>
        <w:t>shown</w:t>
      </w:r>
      <w:r w:rsidR="001123A4" w:rsidRPr="00334DCF">
        <w:rPr>
          <w:rFonts w:ascii="Arial" w:hAnsi="Arial" w:cs="Arial"/>
          <w:sz w:val="20"/>
        </w:rPr>
        <w:t xml:space="preserve"> at the end of the</w:t>
      </w:r>
      <w:r w:rsidR="002A2CEB">
        <w:rPr>
          <w:rFonts w:ascii="Arial" w:hAnsi="Arial" w:cs="Arial"/>
          <w:sz w:val="20"/>
        </w:rPr>
        <w:t xml:space="preserve"> </w:t>
      </w:r>
      <w:r w:rsidR="001123A4" w:rsidRPr="00334DCF">
        <w:rPr>
          <w:rFonts w:ascii="Arial" w:hAnsi="Arial" w:cs="Arial"/>
          <w:sz w:val="20"/>
        </w:rPr>
        <w:t>communication in the language used for the rest of the communication</w:t>
      </w:r>
      <w:r w:rsidR="001123A4">
        <w:rPr>
          <w:rFonts w:ascii="Arial" w:hAnsi="Arial" w:cs="Arial"/>
          <w:sz w:val="20"/>
        </w:rPr>
        <w:t>.</w:t>
      </w:r>
      <w:r w:rsidR="00E31250">
        <w:rPr>
          <w:rFonts w:ascii="Arial" w:hAnsi="Arial" w:cs="Arial"/>
          <w:sz w:val="20"/>
        </w:rPr>
        <w:t xml:space="preserve"> The ACMA considers that the general purpose of these requirements is to promote informed voting at elections by ensuring accountability and transparency of political matter in advertisements. Ensuring that required particulars are announced and shown in a television broadcast gives audience members details about the origin of the political matter in an advertisement so that they can scrutinise the material, contact the disclos</w:t>
      </w:r>
      <w:r w:rsidR="003A21B9">
        <w:rPr>
          <w:rFonts w:ascii="Arial" w:hAnsi="Arial" w:cs="Arial"/>
          <w:sz w:val="20"/>
        </w:rPr>
        <w:t>ure</w:t>
      </w:r>
      <w:r w:rsidR="00E31250">
        <w:rPr>
          <w:rFonts w:ascii="Arial" w:hAnsi="Arial" w:cs="Arial"/>
          <w:sz w:val="20"/>
        </w:rPr>
        <w:t xml:space="preserve"> entity to speak</w:t>
      </w:r>
      <w:r w:rsidR="00A92681">
        <w:rPr>
          <w:rFonts w:ascii="Arial" w:hAnsi="Arial" w:cs="Arial"/>
          <w:sz w:val="20"/>
        </w:rPr>
        <w:t>,</w:t>
      </w:r>
      <w:r w:rsidR="00E31250">
        <w:rPr>
          <w:rFonts w:ascii="Arial" w:hAnsi="Arial" w:cs="Arial"/>
          <w:sz w:val="20"/>
        </w:rPr>
        <w:t xml:space="preserve"> or complain</w:t>
      </w:r>
      <w:r w:rsidR="00A92681">
        <w:rPr>
          <w:rFonts w:ascii="Arial" w:hAnsi="Arial" w:cs="Arial"/>
          <w:sz w:val="20"/>
        </w:rPr>
        <w:t>,</w:t>
      </w:r>
      <w:r w:rsidR="00E31250">
        <w:rPr>
          <w:rFonts w:ascii="Arial" w:hAnsi="Arial" w:cs="Arial"/>
          <w:sz w:val="20"/>
        </w:rPr>
        <w:t xml:space="preserve"> to the party/candidate, or complain </w:t>
      </w:r>
      <w:r w:rsidR="00E31250" w:rsidRPr="00175B28">
        <w:rPr>
          <w:rFonts w:ascii="Arial" w:hAnsi="Arial" w:cs="Arial"/>
          <w:sz w:val="20"/>
        </w:rPr>
        <w:t xml:space="preserve">to the </w:t>
      </w:r>
      <w:r w:rsidR="00E31250">
        <w:rPr>
          <w:rFonts w:ascii="Arial" w:hAnsi="Arial" w:cs="Arial"/>
          <w:sz w:val="20"/>
        </w:rPr>
        <w:t xml:space="preserve">AEC.  </w:t>
      </w:r>
    </w:p>
    <w:p w14:paraId="336CA6C5" w14:textId="49595B6B" w:rsidR="001123A4" w:rsidRPr="00AA542B" w:rsidRDefault="001123A4" w:rsidP="00BF443D">
      <w:pPr>
        <w:pStyle w:val="ACMABodyText0"/>
        <w:tabs>
          <w:tab w:val="left" w:pos="1134"/>
        </w:tabs>
        <w:spacing w:before="0" w:after="240" w:line="240" w:lineRule="atLeast"/>
        <w:rPr>
          <w:rFonts w:ascii="Arial" w:hAnsi="Arial" w:cs="Arial"/>
          <w:sz w:val="20"/>
        </w:rPr>
      </w:pPr>
      <w:r>
        <w:rPr>
          <w:rFonts w:ascii="Arial" w:hAnsi="Arial" w:cs="Arial"/>
          <w:sz w:val="20"/>
        </w:rPr>
        <w:t xml:space="preserve">The licensee submitted that </w:t>
      </w:r>
      <w:r w:rsidRPr="00B23A23">
        <w:rPr>
          <w:rFonts w:ascii="Arial" w:hAnsi="Arial"/>
          <w:sz w:val="20"/>
        </w:rPr>
        <w:t xml:space="preserve">the </w:t>
      </w:r>
      <w:r>
        <w:rPr>
          <w:rFonts w:ascii="Arial" w:hAnsi="Arial"/>
          <w:sz w:val="20"/>
        </w:rPr>
        <w:t xml:space="preserve">political matter </w:t>
      </w:r>
      <w:r w:rsidRPr="00B23A23">
        <w:rPr>
          <w:rFonts w:ascii="Arial" w:hAnsi="Arial"/>
          <w:sz w:val="20"/>
        </w:rPr>
        <w:t>complied with the required particulars</w:t>
      </w:r>
      <w:r w:rsidR="002A2CEB">
        <w:rPr>
          <w:rFonts w:ascii="Arial" w:hAnsi="Arial"/>
          <w:sz w:val="20"/>
        </w:rPr>
        <w:t>,</w:t>
      </w:r>
      <w:r w:rsidRPr="00B23A23">
        <w:rPr>
          <w:rFonts w:ascii="Arial" w:hAnsi="Arial"/>
          <w:sz w:val="20"/>
        </w:rPr>
        <w:t xml:space="preserve"> </w:t>
      </w:r>
      <w:r>
        <w:rPr>
          <w:rFonts w:ascii="Arial" w:hAnsi="Arial"/>
          <w:sz w:val="20"/>
        </w:rPr>
        <w:t>noting</w:t>
      </w:r>
      <w:r w:rsidR="002A2CEB">
        <w:rPr>
          <w:rFonts w:ascii="Arial" w:hAnsi="Arial"/>
          <w:sz w:val="20"/>
        </w:rPr>
        <w:t>:</w:t>
      </w:r>
      <w:r w:rsidRPr="00B23A23">
        <w:rPr>
          <w:rFonts w:ascii="Arial" w:hAnsi="Arial"/>
          <w:sz w:val="20"/>
        </w:rPr>
        <w:t xml:space="preserve"> </w:t>
      </w:r>
    </w:p>
    <w:p w14:paraId="6A46AB9B" w14:textId="705AED32" w:rsidR="001123A4" w:rsidRPr="00AA542B" w:rsidRDefault="001123A4" w:rsidP="001123A4">
      <w:pPr>
        <w:pStyle w:val="ACMABodyText0"/>
        <w:tabs>
          <w:tab w:val="left" w:pos="1134"/>
        </w:tabs>
        <w:spacing w:before="0" w:after="240" w:line="240" w:lineRule="atLeast"/>
        <w:ind w:left="567"/>
        <w:rPr>
          <w:rFonts w:ascii="Arial" w:hAnsi="Arial"/>
          <w:sz w:val="18"/>
          <w:szCs w:val="18"/>
        </w:rPr>
      </w:pPr>
      <w:r>
        <w:rPr>
          <w:rFonts w:ascii="Arial" w:hAnsi="Arial"/>
          <w:sz w:val="18"/>
          <w:szCs w:val="18"/>
        </w:rPr>
        <w:t>…</w:t>
      </w:r>
      <w:r w:rsidRPr="00AA542B">
        <w:rPr>
          <w:rFonts w:ascii="Arial" w:hAnsi="Arial"/>
          <w:sz w:val="18"/>
          <w:szCs w:val="18"/>
        </w:rPr>
        <w:t>that the legislative framework mandates the content of the particulars which need to be included in such advertisements. Nine is not aware of any provisions which specify the speed at which the tag must be spoken. The requirement under section 10 of the Determination is that the tag must be in the same language as the rest of the communication. Nine confirms that both the content of the Broadcast and the tag were both in the same language - namely English</w:t>
      </w:r>
      <w:r>
        <w:rPr>
          <w:rFonts w:ascii="Arial" w:hAnsi="Arial"/>
          <w:sz w:val="18"/>
          <w:szCs w:val="18"/>
        </w:rPr>
        <w:t>.</w:t>
      </w:r>
    </w:p>
    <w:p w14:paraId="3432438F" w14:textId="3BE95F84" w:rsidR="001123A4" w:rsidRDefault="001123A4" w:rsidP="001123A4">
      <w:pPr>
        <w:pStyle w:val="ACMABodyText0"/>
        <w:tabs>
          <w:tab w:val="left" w:pos="1134"/>
        </w:tabs>
        <w:spacing w:before="0" w:after="240" w:line="240" w:lineRule="atLeast"/>
        <w:rPr>
          <w:rFonts w:ascii="Arial" w:hAnsi="Arial" w:cs="Arial"/>
          <w:sz w:val="20"/>
        </w:rPr>
      </w:pPr>
      <w:r w:rsidRPr="009D3B5D">
        <w:rPr>
          <w:rFonts w:ascii="Arial" w:hAnsi="Arial" w:cs="Arial"/>
          <w:sz w:val="20"/>
        </w:rPr>
        <w:t>The ACMA does not accept th</w:t>
      </w:r>
      <w:r w:rsidR="002A2CEB">
        <w:rPr>
          <w:rFonts w:ascii="Arial" w:hAnsi="Arial" w:cs="Arial"/>
          <w:sz w:val="20"/>
        </w:rPr>
        <w:t xml:space="preserve">e inference of this </w:t>
      </w:r>
      <w:r w:rsidR="00A14B60">
        <w:rPr>
          <w:rFonts w:ascii="Arial" w:hAnsi="Arial" w:cs="Arial"/>
          <w:sz w:val="20"/>
        </w:rPr>
        <w:t>submission,</w:t>
      </w:r>
      <w:r w:rsidR="002A2CEB">
        <w:rPr>
          <w:rFonts w:ascii="Arial" w:hAnsi="Arial" w:cs="Arial"/>
          <w:sz w:val="20"/>
        </w:rPr>
        <w:t xml:space="preserve"> which is that, in the absence of any explicit provision, licensees may broadcast the spoken component of the announcement at any speed they wish</w:t>
      </w:r>
      <w:r w:rsidR="0097541D">
        <w:rPr>
          <w:rFonts w:ascii="Arial" w:hAnsi="Arial" w:cs="Arial"/>
          <w:sz w:val="20"/>
        </w:rPr>
        <w:t>, even if it</w:t>
      </w:r>
      <w:r w:rsidR="00170EBE">
        <w:rPr>
          <w:rFonts w:ascii="Arial" w:hAnsi="Arial" w:cs="Arial"/>
          <w:sz w:val="20"/>
        </w:rPr>
        <w:t xml:space="preserve"> is</w:t>
      </w:r>
      <w:r w:rsidR="0097541D">
        <w:rPr>
          <w:rFonts w:ascii="Arial" w:hAnsi="Arial" w:cs="Arial"/>
          <w:sz w:val="20"/>
        </w:rPr>
        <w:t xml:space="preserve"> </w:t>
      </w:r>
      <w:r w:rsidR="00B04C5F">
        <w:rPr>
          <w:rFonts w:ascii="Arial" w:hAnsi="Arial" w:cs="Arial"/>
          <w:sz w:val="20"/>
        </w:rPr>
        <w:t xml:space="preserve">so fast that </w:t>
      </w:r>
      <w:r w:rsidR="0097541D">
        <w:rPr>
          <w:rFonts w:ascii="Arial" w:hAnsi="Arial" w:cs="Arial"/>
          <w:sz w:val="20"/>
        </w:rPr>
        <w:t xml:space="preserve">is </w:t>
      </w:r>
      <w:r w:rsidR="00AC7867">
        <w:rPr>
          <w:rFonts w:ascii="Arial" w:hAnsi="Arial" w:cs="Arial"/>
          <w:sz w:val="20"/>
        </w:rPr>
        <w:t>incomprehensible</w:t>
      </w:r>
      <w:r w:rsidR="0097541D">
        <w:rPr>
          <w:rFonts w:ascii="Arial" w:hAnsi="Arial" w:cs="Arial"/>
          <w:sz w:val="20"/>
        </w:rPr>
        <w:t xml:space="preserve"> to </w:t>
      </w:r>
      <w:r w:rsidR="00FA0373">
        <w:rPr>
          <w:rFonts w:ascii="Arial" w:hAnsi="Arial" w:cs="Arial"/>
          <w:sz w:val="20"/>
        </w:rPr>
        <w:t>the audience</w:t>
      </w:r>
      <w:r w:rsidRPr="009D3B5D">
        <w:rPr>
          <w:rFonts w:ascii="Arial" w:hAnsi="Arial" w:cs="Arial"/>
          <w:sz w:val="20"/>
        </w:rPr>
        <w:t xml:space="preserve">. </w:t>
      </w:r>
    </w:p>
    <w:p w14:paraId="6E75E8AB" w14:textId="77777777" w:rsidR="00000CB9" w:rsidRDefault="001123A4" w:rsidP="001123A4">
      <w:pPr>
        <w:pStyle w:val="ACMABodyText0"/>
        <w:tabs>
          <w:tab w:val="left" w:pos="1134"/>
        </w:tabs>
        <w:spacing w:before="0" w:after="240" w:line="240" w:lineRule="atLeast"/>
        <w:rPr>
          <w:rFonts w:ascii="Arial" w:hAnsi="Arial" w:cs="Arial"/>
          <w:sz w:val="20"/>
        </w:rPr>
      </w:pPr>
      <w:r w:rsidRPr="0094588B">
        <w:rPr>
          <w:rFonts w:ascii="Arial" w:hAnsi="Arial" w:cs="Arial"/>
          <w:sz w:val="20"/>
        </w:rPr>
        <w:t>As there is no definition provided for ‘announced’ in either the BSA, the Electoral Act or associated legislation, the ACMA relies upon the natural</w:t>
      </w:r>
      <w:r w:rsidR="002A2CEB">
        <w:rPr>
          <w:rFonts w:ascii="Arial" w:hAnsi="Arial" w:cs="Arial"/>
          <w:sz w:val="20"/>
        </w:rPr>
        <w:t>,</w:t>
      </w:r>
      <w:r w:rsidRPr="0094588B">
        <w:rPr>
          <w:rFonts w:ascii="Arial" w:hAnsi="Arial" w:cs="Arial"/>
          <w:sz w:val="20"/>
        </w:rPr>
        <w:t xml:space="preserve"> ordinary meaning of the word</w:t>
      </w:r>
      <w:r w:rsidR="00DF4296">
        <w:rPr>
          <w:rFonts w:ascii="Arial" w:hAnsi="Arial" w:cs="Arial"/>
          <w:sz w:val="20"/>
        </w:rPr>
        <w:t xml:space="preserve"> that is appropriate to the legislative context and</w:t>
      </w:r>
      <w:r w:rsidRPr="0094588B">
        <w:rPr>
          <w:rFonts w:ascii="Arial" w:hAnsi="Arial" w:cs="Arial"/>
          <w:sz w:val="20"/>
        </w:rPr>
        <w:t xml:space="preserve"> best achieve</w:t>
      </w:r>
      <w:r w:rsidR="00DF4296">
        <w:rPr>
          <w:rFonts w:ascii="Arial" w:hAnsi="Arial" w:cs="Arial"/>
          <w:sz w:val="20"/>
        </w:rPr>
        <w:t>s</w:t>
      </w:r>
      <w:r w:rsidRPr="0094588B">
        <w:rPr>
          <w:rFonts w:ascii="Arial" w:hAnsi="Arial" w:cs="Arial"/>
          <w:sz w:val="20"/>
        </w:rPr>
        <w:t xml:space="preserve"> the </w:t>
      </w:r>
      <w:r w:rsidR="00DF4296">
        <w:rPr>
          <w:rFonts w:ascii="Arial" w:hAnsi="Arial" w:cs="Arial"/>
          <w:sz w:val="20"/>
        </w:rPr>
        <w:t xml:space="preserve">relevant legislative </w:t>
      </w:r>
      <w:r w:rsidRPr="0094588B">
        <w:rPr>
          <w:rFonts w:ascii="Arial" w:hAnsi="Arial" w:cs="Arial"/>
          <w:sz w:val="20"/>
        </w:rPr>
        <w:t>purpose or object</w:t>
      </w:r>
      <w:r>
        <w:rPr>
          <w:rFonts w:ascii="Arial" w:hAnsi="Arial" w:cs="Arial"/>
          <w:sz w:val="20"/>
        </w:rPr>
        <w:t>.</w:t>
      </w:r>
    </w:p>
    <w:p w14:paraId="5C40F573" w14:textId="182EF9B7" w:rsidR="00093433" w:rsidRDefault="004C521E" w:rsidP="001123A4">
      <w:pPr>
        <w:pStyle w:val="ACMABodyText0"/>
        <w:tabs>
          <w:tab w:val="left" w:pos="1134"/>
        </w:tabs>
        <w:spacing w:before="0" w:after="240" w:line="240" w:lineRule="atLeast"/>
        <w:rPr>
          <w:rFonts w:ascii="Arial" w:hAnsi="Arial" w:cs="Arial"/>
          <w:sz w:val="20"/>
        </w:rPr>
      </w:pPr>
      <w:r>
        <w:rPr>
          <w:rFonts w:ascii="Arial" w:hAnsi="Arial" w:cs="Arial"/>
          <w:sz w:val="20"/>
        </w:rPr>
        <w:t>Relevantly, t</w:t>
      </w:r>
      <w:r w:rsidR="001123A4">
        <w:rPr>
          <w:rFonts w:ascii="Arial" w:hAnsi="Arial" w:cs="Arial"/>
          <w:sz w:val="20"/>
        </w:rPr>
        <w:t xml:space="preserve">he </w:t>
      </w:r>
      <w:r w:rsidR="001123A4" w:rsidRPr="009A2586">
        <w:rPr>
          <w:rFonts w:ascii="Arial" w:hAnsi="Arial" w:cs="Arial"/>
          <w:i/>
          <w:iCs/>
          <w:sz w:val="20"/>
        </w:rPr>
        <w:t>Macquarie Dictionary</w:t>
      </w:r>
      <w:r w:rsidR="001123A4">
        <w:rPr>
          <w:rFonts w:ascii="Arial" w:hAnsi="Arial" w:cs="Arial"/>
          <w:sz w:val="20"/>
        </w:rPr>
        <w:t xml:space="preserve"> </w:t>
      </w:r>
      <w:r>
        <w:rPr>
          <w:rFonts w:ascii="Arial" w:hAnsi="Arial" w:cs="Arial"/>
          <w:sz w:val="20"/>
        </w:rPr>
        <w:t>defines</w:t>
      </w:r>
      <w:r w:rsidR="001123A4">
        <w:rPr>
          <w:rFonts w:ascii="Arial" w:hAnsi="Arial" w:cs="Arial"/>
          <w:sz w:val="20"/>
        </w:rPr>
        <w:t xml:space="preserve"> ‘announce’ </w:t>
      </w:r>
      <w:r>
        <w:rPr>
          <w:rFonts w:ascii="Arial" w:hAnsi="Arial" w:cs="Arial"/>
          <w:sz w:val="20"/>
        </w:rPr>
        <w:t>a</w:t>
      </w:r>
      <w:r w:rsidR="001123A4">
        <w:rPr>
          <w:rFonts w:ascii="Arial" w:hAnsi="Arial" w:cs="Arial"/>
          <w:sz w:val="20"/>
        </w:rPr>
        <w:t xml:space="preserve">s to </w:t>
      </w:r>
      <w:r w:rsidR="001123A4" w:rsidRPr="008F7F9D">
        <w:rPr>
          <w:rFonts w:ascii="Arial" w:hAnsi="Arial" w:cs="Arial"/>
          <w:sz w:val="20"/>
        </w:rPr>
        <w:t>‘</w:t>
      </w:r>
      <w:r w:rsidR="006075E0">
        <w:rPr>
          <w:rFonts w:ascii="Arial" w:hAnsi="Arial" w:cs="Arial"/>
          <w:sz w:val="20"/>
        </w:rPr>
        <w:t xml:space="preserve">1. </w:t>
      </w:r>
      <w:r w:rsidR="001123A4" w:rsidRPr="008F7F9D">
        <w:rPr>
          <w:rFonts w:ascii="Arial" w:hAnsi="Arial" w:cs="Arial"/>
          <w:sz w:val="20"/>
        </w:rPr>
        <w:t>make known publicly; give notice of</w:t>
      </w:r>
      <w:r w:rsidR="006075E0">
        <w:rPr>
          <w:rFonts w:ascii="Arial" w:hAnsi="Arial" w:cs="Arial"/>
          <w:sz w:val="20"/>
        </w:rPr>
        <w:t>’</w:t>
      </w:r>
      <w:r w:rsidR="001123A4" w:rsidRPr="008F7F9D">
        <w:rPr>
          <w:rFonts w:ascii="Arial" w:hAnsi="Arial" w:cs="Arial"/>
          <w:sz w:val="20"/>
        </w:rPr>
        <w:t xml:space="preserve">, </w:t>
      </w:r>
      <w:r w:rsidR="006075E0">
        <w:rPr>
          <w:rFonts w:ascii="Arial" w:hAnsi="Arial" w:cs="Arial"/>
          <w:sz w:val="20"/>
        </w:rPr>
        <w:t xml:space="preserve">‘2. </w:t>
      </w:r>
      <w:r w:rsidR="001123A4" w:rsidRPr="008F7F9D">
        <w:rPr>
          <w:rFonts w:ascii="Arial" w:hAnsi="Arial" w:cs="Arial"/>
          <w:sz w:val="20"/>
        </w:rPr>
        <w:t xml:space="preserve">to state </w:t>
      </w:r>
      <w:r w:rsidR="001123A4" w:rsidRPr="003E10B5">
        <w:rPr>
          <w:rFonts w:ascii="Arial" w:hAnsi="Arial" w:cs="Arial"/>
          <w:sz w:val="20"/>
        </w:rPr>
        <w:t>the approach or presence of</w:t>
      </w:r>
      <w:r w:rsidR="006075E0">
        <w:rPr>
          <w:rFonts w:ascii="Arial" w:hAnsi="Arial" w:cs="Arial"/>
          <w:sz w:val="20"/>
        </w:rPr>
        <w:t>’</w:t>
      </w:r>
      <w:r w:rsidR="001123A4" w:rsidRPr="003E10B5">
        <w:rPr>
          <w:rFonts w:ascii="Arial" w:hAnsi="Arial" w:cs="Arial"/>
          <w:sz w:val="20"/>
        </w:rPr>
        <w:t xml:space="preserve">, and </w:t>
      </w:r>
      <w:r w:rsidR="006075E0">
        <w:rPr>
          <w:rFonts w:ascii="Arial" w:hAnsi="Arial" w:cs="Arial"/>
          <w:sz w:val="20"/>
        </w:rPr>
        <w:t xml:space="preserve">‘3. </w:t>
      </w:r>
      <w:r w:rsidR="001123A4" w:rsidRPr="003E10B5">
        <w:rPr>
          <w:rFonts w:ascii="Arial" w:hAnsi="Arial" w:cs="Arial"/>
          <w:sz w:val="20"/>
        </w:rPr>
        <w:t>to make known to the mind or senses</w:t>
      </w:r>
      <w:r w:rsidR="00856569" w:rsidRPr="003E10B5">
        <w:rPr>
          <w:rFonts w:ascii="Arial" w:hAnsi="Arial" w:cs="Arial"/>
          <w:sz w:val="20"/>
        </w:rPr>
        <w:t>’</w:t>
      </w:r>
      <w:r w:rsidR="00856569">
        <w:rPr>
          <w:rFonts w:ascii="Arial" w:hAnsi="Arial" w:cs="Arial"/>
          <w:sz w:val="20"/>
        </w:rPr>
        <w:t>.</w:t>
      </w:r>
      <w:r w:rsidR="001123A4" w:rsidRPr="003E10B5">
        <w:rPr>
          <w:rStyle w:val="FootnoteReference"/>
          <w:rFonts w:ascii="Arial" w:hAnsi="Arial" w:cs="Arial"/>
          <w:sz w:val="20"/>
        </w:rPr>
        <w:footnoteReference w:id="2"/>
      </w:r>
      <w:r w:rsidR="001123A4" w:rsidRPr="003E10B5">
        <w:rPr>
          <w:rFonts w:ascii="Arial" w:hAnsi="Arial" w:cs="Arial"/>
          <w:sz w:val="20"/>
        </w:rPr>
        <w:t xml:space="preserve"> </w:t>
      </w:r>
    </w:p>
    <w:p w14:paraId="423D14A8" w14:textId="4BBBCBB6" w:rsidR="00214FB8" w:rsidRDefault="009149F8" w:rsidP="001123A4">
      <w:pPr>
        <w:pStyle w:val="ACMABodyText0"/>
        <w:tabs>
          <w:tab w:val="left" w:pos="1134"/>
        </w:tabs>
        <w:spacing w:before="0" w:after="240" w:line="240" w:lineRule="atLeast"/>
        <w:rPr>
          <w:rFonts w:ascii="Arial" w:hAnsi="Arial" w:cs="Arial"/>
          <w:sz w:val="20"/>
        </w:rPr>
      </w:pPr>
      <w:r>
        <w:rPr>
          <w:rFonts w:ascii="Arial" w:hAnsi="Arial" w:cs="Arial"/>
          <w:sz w:val="20"/>
        </w:rPr>
        <w:t xml:space="preserve">The ACMA considers that </w:t>
      </w:r>
      <w:r w:rsidR="003D33FD">
        <w:rPr>
          <w:rFonts w:ascii="Arial" w:hAnsi="Arial" w:cs="Arial"/>
          <w:sz w:val="20"/>
        </w:rPr>
        <w:t xml:space="preserve">the </w:t>
      </w:r>
      <w:r>
        <w:rPr>
          <w:rFonts w:ascii="Arial" w:hAnsi="Arial" w:cs="Arial"/>
          <w:sz w:val="20"/>
        </w:rPr>
        <w:t>crucial element</w:t>
      </w:r>
      <w:r w:rsidR="003D33FD">
        <w:rPr>
          <w:rFonts w:ascii="Arial" w:hAnsi="Arial" w:cs="Arial"/>
          <w:sz w:val="20"/>
        </w:rPr>
        <w:t>s</w:t>
      </w:r>
      <w:r>
        <w:rPr>
          <w:rFonts w:ascii="Arial" w:hAnsi="Arial" w:cs="Arial"/>
          <w:sz w:val="20"/>
        </w:rPr>
        <w:t xml:space="preserve"> of this definition</w:t>
      </w:r>
      <w:r w:rsidR="003D33FD">
        <w:rPr>
          <w:rFonts w:ascii="Arial" w:hAnsi="Arial" w:cs="Arial"/>
          <w:sz w:val="20"/>
        </w:rPr>
        <w:t>,</w:t>
      </w:r>
      <w:r>
        <w:rPr>
          <w:rFonts w:ascii="Arial" w:hAnsi="Arial" w:cs="Arial"/>
          <w:sz w:val="20"/>
        </w:rPr>
        <w:t xml:space="preserve"> </w:t>
      </w:r>
      <w:r w:rsidR="003D33FD">
        <w:rPr>
          <w:rFonts w:ascii="Arial" w:hAnsi="Arial" w:cs="Arial"/>
          <w:sz w:val="20"/>
        </w:rPr>
        <w:t>which</w:t>
      </w:r>
      <w:r w:rsidR="00B70282">
        <w:rPr>
          <w:rFonts w:ascii="Arial" w:hAnsi="Arial" w:cs="Arial"/>
          <w:sz w:val="20"/>
        </w:rPr>
        <w:t xml:space="preserve"> promote the purpose of the requirements</w:t>
      </w:r>
      <w:r w:rsidR="000A3B0B">
        <w:rPr>
          <w:rFonts w:ascii="Arial" w:hAnsi="Arial" w:cs="Arial"/>
          <w:sz w:val="20"/>
        </w:rPr>
        <w:t>,</w:t>
      </w:r>
      <w:r w:rsidR="00B70282">
        <w:rPr>
          <w:rFonts w:ascii="Arial" w:hAnsi="Arial" w:cs="Arial"/>
          <w:sz w:val="20"/>
        </w:rPr>
        <w:t xml:space="preserve"> </w:t>
      </w:r>
      <w:r>
        <w:rPr>
          <w:rFonts w:ascii="Arial" w:hAnsi="Arial" w:cs="Arial"/>
          <w:sz w:val="20"/>
        </w:rPr>
        <w:t xml:space="preserve">is that the details of the </w:t>
      </w:r>
      <w:r w:rsidR="000E1A2B">
        <w:rPr>
          <w:rFonts w:ascii="Arial" w:hAnsi="Arial" w:cs="Arial"/>
          <w:sz w:val="20"/>
        </w:rPr>
        <w:t xml:space="preserve">required </w:t>
      </w:r>
      <w:r>
        <w:rPr>
          <w:rFonts w:ascii="Arial" w:hAnsi="Arial" w:cs="Arial"/>
          <w:sz w:val="20"/>
        </w:rPr>
        <w:t>particulars are made known publicly and to the mind or senses</w:t>
      </w:r>
      <w:r w:rsidR="00303085">
        <w:rPr>
          <w:rFonts w:ascii="Arial" w:hAnsi="Arial" w:cs="Arial"/>
          <w:sz w:val="20"/>
        </w:rPr>
        <w:t>. That is,</w:t>
      </w:r>
      <w:r w:rsidR="000E1A2B">
        <w:rPr>
          <w:rFonts w:ascii="Arial" w:hAnsi="Arial" w:cs="Arial"/>
          <w:sz w:val="20"/>
        </w:rPr>
        <w:t xml:space="preserve"> the</w:t>
      </w:r>
      <w:r w:rsidR="00303085">
        <w:rPr>
          <w:rFonts w:ascii="Arial" w:hAnsi="Arial" w:cs="Arial"/>
          <w:sz w:val="20"/>
        </w:rPr>
        <w:t xml:space="preserve"> spoken component of the announcement</w:t>
      </w:r>
      <w:r w:rsidR="000E1A2B">
        <w:rPr>
          <w:rFonts w:ascii="Arial" w:hAnsi="Arial" w:cs="Arial"/>
          <w:sz w:val="20"/>
        </w:rPr>
        <w:t xml:space="preserve"> must be </w:t>
      </w:r>
      <w:r>
        <w:rPr>
          <w:rFonts w:ascii="Arial" w:hAnsi="Arial" w:cs="Arial"/>
          <w:sz w:val="20"/>
        </w:rPr>
        <w:t>capable of being understood by the audience</w:t>
      </w:r>
      <w:r w:rsidR="00093433">
        <w:rPr>
          <w:rFonts w:ascii="Arial" w:hAnsi="Arial" w:cs="Arial"/>
          <w:sz w:val="20"/>
        </w:rPr>
        <w:t>.</w:t>
      </w:r>
      <w:r w:rsidR="009D2E7D">
        <w:rPr>
          <w:rFonts w:ascii="Arial" w:hAnsi="Arial" w:cs="Arial"/>
          <w:sz w:val="20"/>
        </w:rPr>
        <w:t xml:space="preserve"> </w:t>
      </w:r>
    </w:p>
    <w:p w14:paraId="233C9889" w14:textId="39614155" w:rsidR="001123A4" w:rsidRPr="00FF1628" w:rsidRDefault="00937954" w:rsidP="00BF443D">
      <w:pPr>
        <w:pStyle w:val="ACMABodyText0"/>
        <w:tabs>
          <w:tab w:val="left" w:pos="1134"/>
        </w:tabs>
        <w:spacing w:before="0" w:after="240" w:line="240" w:lineRule="atLeast"/>
        <w:rPr>
          <w:rFonts w:ascii="Arial" w:hAnsi="Arial" w:cs="Arial"/>
          <w:sz w:val="20"/>
        </w:rPr>
      </w:pPr>
      <w:r>
        <w:rPr>
          <w:rFonts w:ascii="Arial" w:hAnsi="Arial" w:cs="Arial"/>
          <w:sz w:val="20"/>
        </w:rPr>
        <w:t>Otherwise, the audience would not be in a position to judge the origin of the advertisement</w:t>
      </w:r>
      <w:r w:rsidR="009761C6">
        <w:rPr>
          <w:rFonts w:ascii="Arial" w:hAnsi="Arial" w:cs="Arial"/>
          <w:sz w:val="20"/>
        </w:rPr>
        <w:t>, which would defeat</w:t>
      </w:r>
      <w:r>
        <w:rPr>
          <w:rFonts w:ascii="Arial" w:hAnsi="Arial" w:cs="Arial"/>
          <w:sz w:val="20"/>
        </w:rPr>
        <w:t xml:space="preserve"> the purpose of subclause 4(2) of Schedule 2 to the BSA and the Determination.</w:t>
      </w:r>
      <w:r w:rsidR="0054469C">
        <w:rPr>
          <w:rFonts w:ascii="Arial" w:hAnsi="Arial" w:cs="Arial"/>
          <w:sz w:val="20"/>
        </w:rPr>
        <w:t xml:space="preserve"> </w:t>
      </w:r>
      <w:r w:rsidR="0057258F">
        <w:rPr>
          <w:rFonts w:ascii="Arial" w:hAnsi="Arial" w:cs="Arial"/>
          <w:sz w:val="20"/>
        </w:rPr>
        <w:t xml:space="preserve">The </w:t>
      </w:r>
      <w:r w:rsidR="00864283">
        <w:rPr>
          <w:rFonts w:ascii="Arial" w:hAnsi="Arial" w:cs="Arial"/>
          <w:sz w:val="20"/>
        </w:rPr>
        <w:t>importance</w:t>
      </w:r>
      <w:r w:rsidR="00C90012">
        <w:rPr>
          <w:rFonts w:ascii="Arial" w:hAnsi="Arial" w:cs="Arial"/>
          <w:sz w:val="20"/>
        </w:rPr>
        <w:t xml:space="preserve"> of </w:t>
      </w:r>
      <w:r w:rsidR="0057258F">
        <w:rPr>
          <w:rFonts w:ascii="Arial" w:hAnsi="Arial" w:cs="Arial"/>
          <w:sz w:val="20"/>
        </w:rPr>
        <w:t xml:space="preserve">the </w:t>
      </w:r>
      <w:r w:rsidR="00C07651">
        <w:rPr>
          <w:rFonts w:ascii="Arial" w:hAnsi="Arial" w:cs="Arial"/>
          <w:sz w:val="20"/>
        </w:rPr>
        <w:t xml:space="preserve">required particulars </w:t>
      </w:r>
      <w:r w:rsidR="002A2CEB">
        <w:rPr>
          <w:rFonts w:ascii="Arial" w:hAnsi="Arial" w:cs="Arial"/>
          <w:sz w:val="20"/>
        </w:rPr>
        <w:t xml:space="preserve">in </w:t>
      </w:r>
      <w:r w:rsidR="00BF443D">
        <w:rPr>
          <w:rFonts w:ascii="Arial" w:hAnsi="Arial" w:cs="Arial"/>
          <w:sz w:val="20"/>
        </w:rPr>
        <w:t xml:space="preserve">political matter </w:t>
      </w:r>
      <w:r w:rsidR="00C90012">
        <w:rPr>
          <w:rFonts w:ascii="Arial" w:hAnsi="Arial" w:cs="Arial"/>
          <w:sz w:val="20"/>
        </w:rPr>
        <w:t>being</w:t>
      </w:r>
      <w:r w:rsidR="001A5281">
        <w:rPr>
          <w:rFonts w:ascii="Arial" w:hAnsi="Arial" w:cs="Arial"/>
          <w:sz w:val="20"/>
        </w:rPr>
        <w:t xml:space="preserve"> </w:t>
      </w:r>
      <w:r w:rsidR="002C6B57">
        <w:rPr>
          <w:rFonts w:ascii="Arial" w:hAnsi="Arial" w:cs="Arial"/>
          <w:sz w:val="20"/>
        </w:rPr>
        <w:t xml:space="preserve">readily accessible </w:t>
      </w:r>
      <w:r w:rsidR="00730DDD">
        <w:rPr>
          <w:rFonts w:ascii="Arial" w:hAnsi="Arial" w:cs="Arial"/>
          <w:sz w:val="20"/>
        </w:rPr>
        <w:t>and understood by</w:t>
      </w:r>
      <w:r w:rsidR="002C6B57">
        <w:rPr>
          <w:rFonts w:ascii="Arial" w:hAnsi="Arial" w:cs="Arial"/>
          <w:sz w:val="20"/>
        </w:rPr>
        <w:t xml:space="preserve"> </w:t>
      </w:r>
      <w:r w:rsidR="00146AB2">
        <w:rPr>
          <w:rFonts w:ascii="Arial" w:hAnsi="Arial" w:cs="Arial"/>
          <w:sz w:val="20"/>
        </w:rPr>
        <w:t>audiences</w:t>
      </w:r>
      <w:r w:rsidR="00827056">
        <w:rPr>
          <w:rFonts w:ascii="Arial" w:hAnsi="Arial" w:cs="Arial"/>
          <w:sz w:val="20"/>
        </w:rPr>
        <w:t xml:space="preserve"> with diverse needs</w:t>
      </w:r>
      <w:r w:rsidR="00E31250">
        <w:rPr>
          <w:rFonts w:ascii="Arial" w:hAnsi="Arial" w:cs="Arial"/>
          <w:sz w:val="20"/>
        </w:rPr>
        <w:t xml:space="preserve"> (</w:t>
      </w:r>
      <w:r w:rsidR="00F5119C">
        <w:rPr>
          <w:rFonts w:ascii="Arial" w:hAnsi="Arial" w:cs="Arial"/>
          <w:sz w:val="20"/>
        </w:rPr>
        <w:t>including</w:t>
      </w:r>
      <w:r w:rsidR="00827056">
        <w:rPr>
          <w:rFonts w:ascii="Arial" w:hAnsi="Arial" w:cs="Arial"/>
          <w:sz w:val="20"/>
        </w:rPr>
        <w:t xml:space="preserve"> the vision impaired</w:t>
      </w:r>
      <w:r w:rsidR="00E31250">
        <w:rPr>
          <w:rFonts w:ascii="Arial" w:hAnsi="Arial" w:cs="Arial"/>
          <w:sz w:val="20"/>
        </w:rPr>
        <w:t>)</w:t>
      </w:r>
      <w:r w:rsidR="002C6B57">
        <w:rPr>
          <w:rFonts w:ascii="Arial" w:hAnsi="Arial" w:cs="Arial"/>
          <w:sz w:val="20"/>
        </w:rPr>
        <w:t xml:space="preserve"> </w:t>
      </w:r>
      <w:r w:rsidR="00C90012">
        <w:rPr>
          <w:rFonts w:ascii="Arial" w:hAnsi="Arial" w:cs="Arial"/>
          <w:sz w:val="20"/>
        </w:rPr>
        <w:t>is</w:t>
      </w:r>
      <w:r w:rsidR="00C11393">
        <w:rPr>
          <w:rFonts w:ascii="Arial" w:hAnsi="Arial" w:cs="Arial"/>
          <w:sz w:val="20"/>
        </w:rPr>
        <w:t xml:space="preserve"> </w:t>
      </w:r>
      <w:r w:rsidR="00246F7A">
        <w:rPr>
          <w:rFonts w:ascii="Arial" w:hAnsi="Arial" w:cs="Arial"/>
          <w:sz w:val="20"/>
        </w:rPr>
        <w:t xml:space="preserve">highlighted </w:t>
      </w:r>
      <w:r w:rsidR="0057258F">
        <w:rPr>
          <w:rFonts w:ascii="Arial" w:hAnsi="Arial" w:cs="Arial"/>
          <w:sz w:val="20"/>
        </w:rPr>
        <w:t xml:space="preserve">by the </w:t>
      </w:r>
      <w:r w:rsidR="0057258F" w:rsidRPr="00FF1628">
        <w:rPr>
          <w:rFonts w:ascii="Arial" w:hAnsi="Arial" w:cs="Arial"/>
          <w:sz w:val="20"/>
        </w:rPr>
        <w:t>AEC</w:t>
      </w:r>
      <w:r w:rsidR="00586301">
        <w:rPr>
          <w:rFonts w:ascii="Arial" w:hAnsi="Arial" w:cs="Arial"/>
          <w:sz w:val="20"/>
        </w:rPr>
        <w:t>, wh</w:t>
      </w:r>
      <w:r w:rsidR="00A45227">
        <w:rPr>
          <w:rFonts w:ascii="Arial" w:hAnsi="Arial" w:cs="Arial"/>
          <w:sz w:val="20"/>
        </w:rPr>
        <w:t>ich</w:t>
      </w:r>
      <w:r w:rsidR="00586301">
        <w:rPr>
          <w:rFonts w:ascii="Arial" w:hAnsi="Arial" w:cs="Arial"/>
          <w:sz w:val="20"/>
        </w:rPr>
        <w:t xml:space="preserve"> state</w:t>
      </w:r>
      <w:r w:rsidR="00AE6CE3">
        <w:rPr>
          <w:rFonts w:ascii="Arial" w:hAnsi="Arial" w:cs="Arial"/>
          <w:sz w:val="20"/>
        </w:rPr>
        <w:t>s</w:t>
      </w:r>
      <w:r w:rsidR="005F515A">
        <w:rPr>
          <w:rFonts w:ascii="Arial" w:hAnsi="Arial" w:cs="Arial"/>
          <w:sz w:val="20"/>
        </w:rPr>
        <w:t>:</w:t>
      </w:r>
      <w:r w:rsidR="001123A4" w:rsidRPr="00FF1628">
        <w:rPr>
          <w:rFonts w:ascii="Arial" w:hAnsi="Arial" w:cs="Arial"/>
          <w:sz w:val="20"/>
        </w:rPr>
        <w:t xml:space="preserve"> </w:t>
      </w:r>
    </w:p>
    <w:p w14:paraId="66B473B1" w14:textId="137C20A9" w:rsidR="001123A4" w:rsidRDefault="001123A4" w:rsidP="001123A4">
      <w:pPr>
        <w:pStyle w:val="ACMABodyText0"/>
        <w:tabs>
          <w:tab w:val="left" w:pos="1134"/>
        </w:tabs>
        <w:spacing w:before="0" w:after="240" w:line="240" w:lineRule="atLeast"/>
        <w:ind w:left="567"/>
        <w:rPr>
          <w:rFonts w:ascii="Arial" w:hAnsi="Arial" w:cs="Arial"/>
          <w:sz w:val="20"/>
        </w:rPr>
      </w:pPr>
      <w:r w:rsidRPr="00902A0B">
        <w:rPr>
          <w:rFonts w:ascii="Arial" w:hAnsi="Arial" w:cs="Arial"/>
          <w:sz w:val="18"/>
          <w:szCs w:val="18"/>
        </w:rPr>
        <w:lastRenderedPageBreak/>
        <w:t>The requirement for particulars to be both announced and shown where communication is a broadcast enables access for vision and hearing-impaired voters. The requirement for particulars to be in the same language of the communications ensures that members of the target audience for the communication can understand the authorisation information</w:t>
      </w:r>
      <w:r w:rsidRPr="00FF1628">
        <w:rPr>
          <w:rFonts w:ascii="Arial" w:hAnsi="Arial" w:cs="Arial"/>
          <w:sz w:val="20"/>
        </w:rPr>
        <w:t>.</w:t>
      </w:r>
      <w:r w:rsidR="000C7398">
        <w:rPr>
          <w:rStyle w:val="FootnoteReference"/>
          <w:rFonts w:ascii="Arial" w:hAnsi="Arial" w:cs="Arial"/>
          <w:sz w:val="20"/>
        </w:rPr>
        <w:footnoteReference w:id="3"/>
      </w:r>
    </w:p>
    <w:p w14:paraId="33C748C9" w14:textId="69A56884" w:rsidR="001123A4" w:rsidRDefault="001123A4" w:rsidP="001123A4">
      <w:pPr>
        <w:pStyle w:val="ACMABodyText0"/>
        <w:tabs>
          <w:tab w:val="left" w:pos="1134"/>
        </w:tabs>
        <w:spacing w:before="0" w:after="240" w:line="240" w:lineRule="atLeast"/>
        <w:rPr>
          <w:rFonts w:ascii="Arial" w:hAnsi="Arial" w:cs="Arial"/>
          <w:sz w:val="20"/>
        </w:rPr>
      </w:pPr>
      <w:r>
        <w:rPr>
          <w:rFonts w:ascii="Arial" w:hAnsi="Arial" w:cs="Arial"/>
          <w:sz w:val="20"/>
        </w:rPr>
        <w:t xml:space="preserve">The ACMA assessed the copy of the advertisement provided by the licensee and found </w:t>
      </w:r>
      <w:r w:rsidR="002813A9">
        <w:rPr>
          <w:rFonts w:ascii="Arial" w:hAnsi="Arial" w:cs="Arial"/>
          <w:sz w:val="20"/>
        </w:rPr>
        <w:t>that</w:t>
      </w:r>
      <w:r w:rsidR="00170EBE">
        <w:rPr>
          <w:rFonts w:ascii="Arial" w:hAnsi="Arial" w:cs="Arial"/>
          <w:sz w:val="20"/>
        </w:rPr>
        <w:t>,</w:t>
      </w:r>
      <w:r w:rsidR="002813A9">
        <w:rPr>
          <w:rFonts w:ascii="Arial" w:hAnsi="Arial" w:cs="Arial"/>
          <w:sz w:val="20"/>
        </w:rPr>
        <w:t xml:space="preserve"> while the</w:t>
      </w:r>
      <w:r w:rsidR="0045570A">
        <w:rPr>
          <w:rFonts w:ascii="Arial" w:hAnsi="Arial" w:cs="Arial"/>
          <w:sz w:val="20"/>
        </w:rPr>
        <w:t xml:space="preserve"> </w:t>
      </w:r>
      <w:r w:rsidR="00CC370C">
        <w:rPr>
          <w:rFonts w:ascii="Arial" w:hAnsi="Arial" w:cs="Arial"/>
          <w:sz w:val="20"/>
        </w:rPr>
        <w:t xml:space="preserve">required </w:t>
      </w:r>
      <w:r w:rsidR="002813A9">
        <w:rPr>
          <w:rFonts w:ascii="Arial" w:hAnsi="Arial" w:cs="Arial"/>
          <w:sz w:val="20"/>
        </w:rPr>
        <w:t>particulars were</w:t>
      </w:r>
      <w:r w:rsidR="00C83237">
        <w:rPr>
          <w:rFonts w:ascii="Arial" w:hAnsi="Arial" w:cs="Arial"/>
          <w:sz w:val="20"/>
        </w:rPr>
        <w:t xml:space="preserve"> </w:t>
      </w:r>
      <w:r w:rsidR="005F030D">
        <w:rPr>
          <w:rFonts w:ascii="Arial" w:hAnsi="Arial" w:cs="Arial"/>
          <w:sz w:val="20"/>
        </w:rPr>
        <w:t xml:space="preserve">correct and </w:t>
      </w:r>
      <w:r w:rsidR="002E3C75">
        <w:rPr>
          <w:rFonts w:ascii="Arial" w:hAnsi="Arial" w:cs="Arial"/>
          <w:sz w:val="20"/>
        </w:rPr>
        <w:t>present</w:t>
      </w:r>
      <w:r w:rsidR="00C83237">
        <w:rPr>
          <w:rFonts w:ascii="Arial" w:hAnsi="Arial" w:cs="Arial"/>
          <w:sz w:val="20"/>
        </w:rPr>
        <w:t xml:space="preserve"> </w:t>
      </w:r>
      <w:r w:rsidR="00CC370C">
        <w:rPr>
          <w:rFonts w:ascii="Arial" w:hAnsi="Arial" w:cs="Arial"/>
          <w:sz w:val="20"/>
        </w:rPr>
        <w:t>in the written form</w:t>
      </w:r>
      <w:r w:rsidR="00EB6893">
        <w:rPr>
          <w:rFonts w:ascii="Arial" w:hAnsi="Arial" w:cs="Arial"/>
          <w:sz w:val="20"/>
        </w:rPr>
        <w:t xml:space="preserve"> prepared </w:t>
      </w:r>
      <w:r w:rsidR="00170EBE">
        <w:rPr>
          <w:rFonts w:ascii="Arial" w:hAnsi="Arial" w:cs="Arial"/>
          <w:sz w:val="20"/>
        </w:rPr>
        <w:t>for broadcast</w:t>
      </w:r>
      <w:r w:rsidR="002E3C75">
        <w:rPr>
          <w:rFonts w:ascii="Arial" w:hAnsi="Arial" w:cs="Arial"/>
          <w:sz w:val="20"/>
        </w:rPr>
        <w:t>,</w:t>
      </w:r>
      <w:r w:rsidR="002813A9">
        <w:rPr>
          <w:rFonts w:ascii="Arial" w:hAnsi="Arial" w:cs="Arial"/>
          <w:sz w:val="20"/>
        </w:rPr>
        <w:t xml:space="preserve"> </w:t>
      </w:r>
      <w:r>
        <w:rPr>
          <w:rFonts w:ascii="Arial" w:hAnsi="Arial" w:cs="Arial"/>
          <w:sz w:val="20"/>
        </w:rPr>
        <w:t>the speed at which the</w:t>
      </w:r>
      <w:r w:rsidR="009831E6">
        <w:rPr>
          <w:rFonts w:ascii="Arial" w:hAnsi="Arial" w:cs="Arial"/>
          <w:sz w:val="20"/>
        </w:rPr>
        <w:t>y were</w:t>
      </w:r>
      <w:r w:rsidR="00C83237">
        <w:rPr>
          <w:rFonts w:ascii="Arial" w:hAnsi="Arial" w:cs="Arial"/>
          <w:sz w:val="20"/>
        </w:rPr>
        <w:t xml:space="preserve"> </w:t>
      </w:r>
      <w:r w:rsidR="002E3C75">
        <w:rPr>
          <w:rFonts w:ascii="Arial" w:hAnsi="Arial" w:cs="Arial"/>
          <w:sz w:val="20"/>
        </w:rPr>
        <w:t xml:space="preserve">spoken </w:t>
      </w:r>
      <w:r w:rsidR="00C83237">
        <w:rPr>
          <w:rFonts w:ascii="Arial" w:hAnsi="Arial" w:cs="Arial"/>
          <w:sz w:val="20"/>
        </w:rPr>
        <w:t xml:space="preserve">was so </w:t>
      </w:r>
      <w:r w:rsidR="00CC370C">
        <w:rPr>
          <w:rFonts w:ascii="Arial" w:hAnsi="Arial" w:cs="Arial"/>
          <w:sz w:val="20"/>
        </w:rPr>
        <w:t>rapid</w:t>
      </w:r>
      <w:r w:rsidR="00C83237">
        <w:rPr>
          <w:rFonts w:ascii="Arial" w:hAnsi="Arial" w:cs="Arial"/>
          <w:sz w:val="20"/>
        </w:rPr>
        <w:t xml:space="preserve"> as to </w:t>
      </w:r>
      <w:r>
        <w:rPr>
          <w:rFonts w:ascii="Arial" w:hAnsi="Arial" w:cs="Arial"/>
          <w:sz w:val="20"/>
        </w:rPr>
        <w:t>render</w:t>
      </w:r>
      <w:r w:rsidR="00C83237">
        <w:rPr>
          <w:rFonts w:ascii="Arial" w:hAnsi="Arial" w:cs="Arial"/>
          <w:sz w:val="20"/>
        </w:rPr>
        <w:t xml:space="preserve"> </w:t>
      </w:r>
      <w:r>
        <w:rPr>
          <w:rFonts w:ascii="Arial" w:hAnsi="Arial" w:cs="Arial"/>
          <w:sz w:val="20"/>
        </w:rPr>
        <w:t>the</w:t>
      </w:r>
      <w:r w:rsidR="002E3C75">
        <w:rPr>
          <w:rFonts w:ascii="Arial" w:hAnsi="Arial" w:cs="Arial"/>
          <w:sz w:val="20"/>
        </w:rPr>
        <w:t xml:space="preserve"> </w:t>
      </w:r>
      <w:r>
        <w:rPr>
          <w:rFonts w:ascii="Arial" w:hAnsi="Arial" w:cs="Arial"/>
          <w:sz w:val="20"/>
        </w:rPr>
        <w:t>information unintelligible.</w:t>
      </w:r>
      <w:r w:rsidR="00920485">
        <w:rPr>
          <w:rFonts w:ascii="Arial" w:hAnsi="Arial" w:cs="Arial"/>
          <w:sz w:val="20"/>
        </w:rPr>
        <w:t xml:space="preserve"> </w:t>
      </w:r>
    </w:p>
    <w:p w14:paraId="1FA50C3D" w14:textId="18F8695B" w:rsidR="00DB5F24" w:rsidRDefault="001123A4" w:rsidP="001123A4">
      <w:pPr>
        <w:pStyle w:val="ACMABodyText0"/>
        <w:tabs>
          <w:tab w:val="left" w:pos="1134"/>
        </w:tabs>
        <w:spacing w:before="0" w:after="240" w:line="240" w:lineRule="atLeast"/>
        <w:rPr>
          <w:rFonts w:ascii="Arial" w:hAnsi="Arial" w:cs="Arial"/>
          <w:sz w:val="20"/>
        </w:rPr>
      </w:pPr>
      <w:r>
        <w:rPr>
          <w:rFonts w:ascii="Arial" w:hAnsi="Arial" w:cs="Arial"/>
          <w:sz w:val="20"/>
        </w:rPr>
        <w:t xml:space="preserve">In a </w:t>
      </w:r>
      <w:r w:rsidR="00677938">
        <w:rPr>
          <w:rFonts w:ascii="Arial" w:hAnsi="Arial" w:cs="Arial"/>
          <w:sz w:val="20"/>
        </w:rPr>
        <w:t xml:space="preserve">television </w:t>
      </w:r>
      <w:r>
        <w:rPr>
          <w:rFonts w:ascii="Arial" w:hAnsi="Arial" w:cs="Arial"/>
          <w:sz w:val="20"/>
        </w:rPr>
        <w:t>broadcast format, this would have had the effect of making it very difficult, if not impossible, for a</w:t>
      </w:r>
      <w:r w:rsidR="00F25983">
        <w:rPr>
          <w:rFonts w:ascii="Arial" w:hAnsi="Arial" w:cs="Arial"/>
          <w:sz w:val="20"/>
        </w:rPr>
        <w:t xml:space="preserve">ll audience members, </w:t>
      </w:r>
      <w:r w:rsidR="00720B40">
        <w:rPr>
          <w:rFonts w:ascii="Arial" w:hAnsi="Arial" w:cs="Arial"/>
          <w:sz w:val="20"/>
        </w:rPr>
        <w:t>but especially those</w:t>
      </w:r>
      <w:r>
        <w:rPr>
          <w:rFonts w:ascii="Arial" w:hAnsi="Arial" w:cs="Arial"/>
          <w:sz w:val="20"/>
        </w:rPr>
        <w:t xml:space="preserve"> viewer</w:t>
      </w:r>
      <w:r w:rsidR="00720B40">
        <w:rPr>
          <w:rFonts w:ascii="Arial" w:hAnsi="Arial" w:cs="Arial"/>
          <w:sz w:val="20"/>
        </w:rPr>
        <w:t>s</w:t>
      </w:r>
      <w:r>
        <w:rPr>
          <w:rFonts w:ascii="Arial" w:hAnsi="Arial" w:cs="Arial"/>
          <w:sz w:val="20"/>
        </w:rPr>
        <w:t xml:space="preserve"> with a vision impairment, or a person who was listening to the broadcast without viewing the screen, to have </w:t>
      </w:r>
      <w:r w:rsidR="00170EBE">
        <w:rPr>
          <w:rFonts w:ascii="Arial" w:hAnsi="Arial" w:cs="Arial"/>
          <w:sz w:val="20"/>
        </w:rPr>
        <w:t>understood</w:t>
      </w:r>
      <w:r>
        <w:rPr>
          <w:rFonts w:ascii="Arial" w:hAnsi="Arial" w:cs="Arial"/>
          <w:sz w:val="20"/>
        </w:rPr>
        <w:t xml:space="preserve"> who had authorised the advertisement. </w:t>
      </w:r>
    </w:p>
    <w:p w14:paraId="0CEE7971" w14:textId="43DB7C7E" w:rsidR="00256C7B" w:rsidRDefault="00256C7B" w:rsidP="001123A4">
      <w:pPr>
        <w:pStyle w:val="ACMABodyText0"/>
        <w:tabs>
          <w:tab w:val="left" w:pos="1134"/>
        </w:tabs>
        <w:spacing w:before="0" w:after="240" w:line="240" w:lineRule="atLeast"/>
        <w:rPr>
          <w:rFonts w:ascii="Arial" w:hAnsi="Arial" w:cs="Arial"/>
          <w:sz w:val="20"/>
        </w:rPr>
      </w:pPr>
      <w:r>
        <w:rPr>
          <w:rFonts w:ascii="Arial" w:hAnsi="Arial" w:cs="Arial"/>
          <w:sz w:val="20"/>
        </w:rPr>
        <w:t xml:space="preserve">The licensee </w:t>
      </w:r>
      <w:r w:rsidR="00851C1B">
        <w:rPr>
          <w:rFonts w:ascii="Arial" w:hAnsi="Arial" w:cs="Arial"/>
          <w:sz w:val="20"/>
        </w:rPr>
        <w:t xml:space="preserve">further </w:t>
      </w:r>
      <w:r>
        <w:rPr>
          <w:rFonts w:ascii="Arial" w:hAnsi="Arial" w:cs="Arial"/>
          <w:sz w:val="20"/>
        </w:rPr>
        <w:t>submitted that it secured approval of the advertisement from an external party:</w:t>
      </w:r>
    </w:p>
    <w:p w14:paraId="0C3F6AB3" w14:textId="5B7D589C" w:rsidR="00256C7B" w:rsidRDefault="00256C7B" w:rsidP="00256C7B">
      <w:pPr>
        <w:pStyle w:val="ACMABodyText0"/>
        <w:tabs>
          <w:tab w:val="left" w:pos="1134"/>
        </w:tabs>
        <w:spacing w:before="0" w:after="240" w:line="240" w:lineRule="atLeast"/>
        <w:ind w:left="720"/>
        <w:rPr>
          <w:rFonts w:ascii="Arial" w:hAnsi="Arial" w:cs="Arial"/>
          <w:sz w:val="18"/>
          <w:szCs w:val="18"/>
        </w:rPr>
      </w:pPr>
      <w:r w:rsidRPr="00256C7B">
        <w:rPr>
          <w:rFonts w:ascii="Arial" w:hAnsi="Arial" w:cs="Arial"/>
          <w:sz w:val="18"/>
          <w:szCs w:val="18"/>
        </w:rPr>
        <w:t>Nine is informed that in providing their approval of the Broadcast, ClearAds did in fact consider the speed of the required particulars at the close of the Broadcast. Their view was that the speed of the required particulars in the Broadcast was consistent with their general recommendations. </w:t>
      </w:r>
    </w:p>
    <w:p w14:paraId="0A2949DA" w14:textId="51CA7925" w:rsidR="00256C7B" w:rsidRDefault="00256C7B" w:rsidP="00256C7B">
      <w:pPr>
        <w:pStyle w:val="ACMABodyText0"/>
        <w:tabs>
          <w:tab w:val="left" w:pos="1134"/>
        </w:tabs>
        <w:spacing w:before="0" w:after="240" w:line="240" w:lineRule="atLeast"/>
        <w:rPr>
          <w:rFonts w:ascii="Arial" w:hAnsi="Arial" w:cs="Arial"/>
          <w:sz w:val="20"/>
        </w:rPr>
      </w:pPr>
      <w:r>
        <w:rPr>
          <w:rFonts w:ascii="Arial" w:hAnsi="Arial" w:cs="Arial"/>
          <w:sz w:val="20"/>
        </w:rPr>
        <w:t>The ACMA notes that ClearAds provides commercial television licensees with classification services with regard to advertising content and that the licensee</w:t>
      </w:r>
      <w:r w:rsidR="00881EB6">
        <w:rPr>
          <w:rFonts w:ascii="Arial" w:hAnsi="Arial" w:cs="Arial"/>
          <w:sz w:val="20"/>
        </w:rPr>
        <w:t>,</w:t>
      </w:r>
      <w:r>
        <w:rPr>
          <w:rFonts w:ascii="Arial" w:hAnsi="Arial" w:cs="Arial"/>
          <w:sz w:val="20"/>
        </w:rPr>
        <w:t xml:space="preserve"> in this instance</w:t>
      </w:r>
      <w:r w:rsidR="00881EB6">
        <w:rPr>
          <w:rFonts w:ascii="Arial" w:hAnsi="Arial" w:cs="Arial"/>
          <w:sz w:val="20"/>
        </w:rPr>
        <w:t>,</w:t>
      </w:r>
      <w:r>
        <w:rPr>
          <w:rFonts w:ascii="Arial" w:hAnsi="Arial" w:cs="Arial"/>
          <w:sz w:val="20"/>
        </w:rPr>
        <w:t xml:space="preserve"> relied on the advice provided by ClearAds that the advertisement was suitable for broadcast.</w:t>
      </w:r>
    </w:p>
    <w:p w14:paraId="7F6C67E2" w14:textId="22502962" w:rsidR="00256C7B" w:rsidRPr="00256C7B" w:rsidRDefault="00256C7B" w:rsidP="00256C7B">
      <w:pPr>
        <w:pStyle w:val="ACMABodyText0"/>
        <w:tabs>
          <w:tab w:val="left" w:pos="1134"/>
        </w:tabs>
        <w:spacing w:before="0" w:after="240" w:line="240" w:lineRule="atLeast"/>
        <w:rPr>
          <w:rFonts w:ascii="Arial" w:hAnsi="Arial" w:cs="Arial"/>
          <w:sz w:val="20"/>
        </w:rPr>
      </w:pPr>
      <w:r>
        <w:rPr>
          <w:rFonts w:ascii="Arial" w:hAnsi="Arial" w:cs="Arial"/>
          <w:sz w:val="20"/>
        </w:rPr>
        <w:t>However, reliance by licensees on third party services does not relieve licensees of their obligation to comply with their licence conditions. It</w:t>
      </w:r>
      <w:r w:rsidR="00881EB6">
        <w:rPr>
          <w:rFonts w:ascii="Arial" w:hAnsi="Arial" w:cs="Arial"/>
          <w:sz w:val="20"/>
        </w:rPr>
        <w:t xml:space="preserve"> therefore</w:t>
      </w:r>
      <w:r>
        <w:rPr>
          <w:rFonts w:ascii="Arial" w:hAnsi="Arial" w:cs="Arial"/>
          <w:sz w:val="20"/>
        </w:rPr>
        <w:t xml:space="preserve"> remained a responsibility of the licensee to ensure that it complied with the requirements of the BSA with respect to </w:t>
      </w:r>
      <w:r w:rsidR="00881EB6">
        <w:rPr>
          <w:rFonts w:ascii="Arial" w:hAnsi="Arial" w:cs="Arial"/>
          <w:sz w:val="20"/>
        </w:rPr>
        <w:t>broadcasting</w:t>
      </w:r>
      <w:r>
        <w:rPr>
          <w:rFonts w:ascii="Arial" w:hAnsi="Arial" w:cs="Arial"/>
          <w:sz w:val="20"/>
        </w:rPr>
        <w:t xml:space="preserve"> the ‘required particulars’. </w:t>
      </w:r>
    </w:p>
    <w:p w14:paraId="5673950C" w14:textId="2E5B97D6" w:rsidR="001123A4" w:rsidRDefault="001123A4" w:rsidP="001123A4">
      <w:pPr>
        <w:pStyle w:val="ACMABodyText0"/>
        <w:tabs>
          <w:tab w:val="left" w:pos="1134"/>
        </w:tabs>
        <w:spacing w:before="0" w:after="240" w:line="240" w:lineRule="atLeast"/>
        <w:rPr>
          <w:rFonts w:ascii="Arial" w:hAnsi="Arial" w:cs="Arial"/>
          <w:sz w:val="20"/>
        </w:rPr>
      </w:pPr>
      <w:r>
        <w:rPr>
          <w:rFonts w:ascii="Arial" w:hAnsi="Arial" w:cs="Arial"/>
          <w:sz w:val="20"/>
        </w:rPr>
        <w:t>Th</w:t>
      </w:r>
      <w:r w:rsidR="002C0651">
        <w:rPr>
          <w:rFonts w:ascii="Arial" w:hAnsi="Arial" w:cs="Arial"/>
          <w:sz w:val="20"/>
        </w:rPr>
        <w:t xml:space="preserve">e ACMA considers that </w:t>
      </w:r>
      <w:r w:rsidR="00EA384A">
        <w:rPr>
          <w:rFonts w:ascii="Arial" w:hAnsi="Arial" w:cs="Arial"/>
          <w:sz w:val="20"/>
        </w:rPr>
        <w:t xml:space="preserve">the required particulars were not </w:t>
      </w:r>
      <w:r w:rsidR="00170EBE">
        <w:rPr>
          <w:rFonts w:ascii="Arial" w:hAnsi="Arial" w:cs="Arial"/>
          <w:sz w:val="20"/>
        </w:rPr>
        <w:t>spoken in a manner that made them intelligible to</w:t>
      </w:r>
      <w:r w:rsidR="00F27071">
        <w:rPr>
          <w:rFonts w:ascii="Arial" w:hAnsi="Arial" w:cs="Arial"/>
          <w:sz w:val="20"/>
        </w:rPr>
        <w:t xml:space="preserve"> </w:t>
      </w:r>
      <w:r w:rsidR="00EA384A">
        <w:rPr>
          <w:rFonts w:ascii="Arial" w:hAnsi="Arial" w:cs="Arial"/>
          <w:sz w:val="20"/>
        </w:rPr>
        <w:t>the audience</w:t>
      </w:r>
      <w:r w:rsidR="00170EBE">
        <w:rPr>
          <w:rFonts w:ascii="Arial" w:hAnsi="Arial" w:cs="Arial"/>
          <w:sz w:val="20"/>
        </w:rPr>
        <w:t>,</w:t>
      </w:r>
      <w:r w:rsidR="00256C7B">
        <w:rPr>
          <w:rFonts w:ascii="Arial" w:hAnsi="Arial" w:cs="Arial"/>
          <w:sz w:val="20"/>
        </w:rPr>
        <w:t xml:space="preserve"> and this should have been evident to the licensee</w:t>
      </w:r>
      <w:r w:rsidR="00881EB6">
        <w:rPr>
          <w:rFonts w:ascii="Arial" w:hAnsi="Arial" w:cs="Arial"/>
          <w:sz w:val="20"/>
        </w:rPr>
        <w:t>.</w:t>
      </w:r>
      <w:r w:rsidR="00256C7B">
        <w:rPr>
          <w:rFonts w:ascii="Arial" w:hAnsi="Arial" w:cs="Arial"/>
          <w:sz w:val="20"/>
        </w:rPr>
        <w:t xml:space="preserve"> As the ‘required particulars’ were unintelligible</w:t>
      </w:r>
      <w:r w:rsidR="00881EB6">
        <w:rPr>
          <w:rFonts w:ascii="Arial" w:hAnsi="Arial" w:cs="Arial"/>
          <w:sz w:val="20"/>
        </w:rPr>
        <w:t>,</w:t>
      </w:r>
      <w:r w:rsidR="00256C7B">
        <w:rPr>
          <w:rFonts w:ascii="Arial" w:hAnsi="Arial" w:cs="Arial"/>
          <w:sz w:val="20"/>
        </w:rPr>
        <w:t xml:space="preserve"> they were</w:t>
      </w:r>
      <w:r w:rsidR="006661B4">
        <w:rPr>
          <w:rFonts w:ascii="Arial" w:hAnsi="Arial" w:cs="Arial"/>
          <w:sz w:val="20"/>
        </w:rPr>
        <w:t xml:space="preserve"> </w:t>
      </w:r>
      <w:r w:rsidR="00E44370">
        <w:rPr>
          <w:rFonts w:ascii="Arial" w:hAnsi="Arial" w:cs="Arial"/>
          <w:sz w:val="20"/>
        </w:rPr>
        <w:t xml:space="preserve">not </w:t>
      </w:r>
      <w:r>
        <w:rPr>
          <w:rFonts w:ascii="Arial" w:hAnsi="Arial" w:cs="Arial"/>
          <w:sz w:val="20"/>
        </w:rPr>
        <w:t xml:space="preserve">‘announced’ in </w:t>
      </w:r>
      <w:r w:rsidR="006661B4">
        <w:rPr>
          <w:rFonts w:ascii="Arial" w:hAnsi="Arial" w:cs="Arial"/>
          <w:sz w:val="20"/>
        </w:rPr>
        <w:t>the</w:t>
      </w:r>
      <w:r>
        <w:rPr>
          <w:rFonts w:ascii="Arial" w:hAnsi="Arial" w:cs="Arial"/>
          <w:sz w:val="20"/>
        </w:rPr>
        <w:t xml:space="preserve"> television broadcast </w:t>
      </w:r>
      <w:r w:rsidR="00170EBE">
        <w:rPr>
          <w:rFonts w:ascii="Arial" w:hAnsi="Arial" w:cs="Arial"/>
          <w:sz w:val="20"/>
        </w:rPr>
        <w:t>as</w:t>
      </w:r>
      <w:r w:rsidR="00B20956">
        <w:rPr>
          <w:rFonts w:ascii="Arial" w:hAnsi="Arial" w:cs="Arial"/>
          <w:sz w:val="20"/>
        </w:rPr>
        <w:t xml:space="preserve"> that term</w:t>
      </w:r>
      <w:r w:rsidR="00170EBE">
        <w:rPr>
          <w:rFonts w:ascii="Arial" w:hAnsi="Arial" w:cs="Arial"/>
          <w:sz w:val="20"/>
        </w:rPr>
        <w:t xml:space="preserve"> must be understood in the context, and</w:t>
      </w:r>
      <w:r w:rsidR="00B20956">
        <w:rPr>
          <w:rFonts w:ascii="Arial" w:hAnsi="Arial" w:cs="Arial"/>
          <w:sz w:val="20"/>
        </w:rPr>
        <w:t xml:space="preserve"> </w:t>
      </w:r>
      <w:r>
        <w:rPr>
          <w:rFonts w:ascii="Arial" w:hAnsi="Arial" w:cs="Arial"/>
          <w:sz w:val="20"/>
        </w:rPr>
        <w:t>for the purposes</w:t>
      </w:r>
      <w:r w:rsidR="00170EBE">
        <w:rPr>
          <w:rFonts w:ascii="Arial" w:hAnsi="Arial" w:cs="Arial"/>
          <w:sz w:val="20"/>
        </w:rPr>
        <w:t>,</w:t>
      </w:r>
      <w:r>
        <w:rPr>
          <w:rFonts w:ascii="Arial" w:hAnsi="Arial" w:cs="Arial"/>
          <w:sz w:val="20"/>
        </w:rPr>
        <w:t xml:space="preserve"> of </w:t>
      </w:r>
      <w:r w:rsidRPr="00B7009E">
        <w:rPr>
          <w:rFonts w:ascii="Arial" w:hAnsi="Arial" w:cs="Arial"/>
          <w:sz w:val="20"/>
        </w:rPr>
        <w:t>subclause 4(2) of Schedule 2 to the BSA</w:t>
      </w:r>
      <w:r w:rsidR="006661B4" w:rsidRPr="006661B4">
        <w:rPr>
          <w:rFonts w:ascii="Arial" w:hAnsi="Arial" w:cs="Arial"/>
          <w:sz w:val="20"/>
        </w:rPr>
        <w:t xml:space="preserve"> </w:t>
      </w:r>
      <w:r w:rsidR="006661B4">
        <w:rPr>
          <w:rFonts w:ascii="Arial" w:hAnsi="Arial" w:cs="Arial"/>
          <w:sz w:val="20"/>
        </w:rPr>
        <w:t>and section 10 of the Determination</w:t>
      </w:r>
      <w:r>
        <w:rPr>
          <w:rFonts w:ascii="Arial" w:hAnsi="Arial" w:cs="Arial"/>
          <w:sz w:val="20"/>
        </w:rPr>
        <w:t>.</w:t>
      </w:r>
    </w:p>
    <w:p w14:paraId="2B29CA7F" w14:textId="77777777" w:rsidR="001123A4" w:rsidRDefault="001123A4" w:rsidP="001123A4">
      <w:pPr>
        <w:pStyle w:val="ACMABodyText0"/>
        <w:tabs>
          <w:tab w:val="left" w:pos="1134"/>
        </w:tabs>
        <w:spacing w:before="0" w:after="240" w:line="240" w:lineRule="atLeast"/>
        <w:rPr>
          <w:rFonts w:ascii="Arial" w:hAnsi="Arial" w:cs="Arial"/>
          <w:sz w:val="20"/>
        </w:rPr>
      </w:pPr>
      <w:r>
        <w:rPr>
          <w:rFonts w:ascii="Arial" w:hAnsi="Arial" w:cs="Arial"/>
          <w:sz w:val="20"/>
        </w:rPr>
        <w:t>Therefore, the licensee</w:t>
      </w:r>
      <w:r w:rsidRPr="006B33D3">
        <w:rPr>
          <w:rFonts w:ascii="Arial" w:hAnsi="Arial" w:cs="Arial"/>
          <w:sz w:val="20"/>
        </w:rPr>
        <w:t xml:space="preserve"> </w:t>
      </w:r>
      <w:r>
        <w:rPr>
          <w:rFonts w:ascii="Arial" w:hAnsi="Arial" w:cs="Arial"/>
          <w:sz w:val="20"/>
        </w:rPr>
        <w:t xml:space="preserve">did not </w:t>
      </w:r>
      <w:r w:rsidRPr="006B33D3">
        <w:rPr>
          <w:rFonts w:ascii="Arial" w:hAnsi="Arial" w:cs="Arial"/>
          <w:sz w:val="20"/>
        </w:rPr>
        <w:t>ensure that the required particulars were announced in accordance with the requirements specified in subclause 4(2) of Schedule 2 to the BSA</w:t>
      </w:r>
      <w:r>
        <w:rPr>
          <w:rFonts w:ascii="Arial" w:hAnsi="Arial" w:cs="Arial"/>
          <w:sz w:val="20"/>
        </w:rPr>
        <w:t>.</w:t>
      </w:r>
    </w:p>
    <w:p w14:paraId="7D4A3B81" w14:textId="3F762C33" w:rsidR="002B2A72" w:rsidRDefault="001123A4" w:rsidP="001123A4">
      <w:pPr>
        <w:pStyle w:val="ACMABodyText0"/>
        <w:tabs>
          <w:tab w:val="left" w:pos="1134"/>
        </w:tabs>
        <w:spacing w:before="0" w:after="240" w:line="240" w:lineRule="atLeast"/>
        <w:rPr>
          <w:rFonts w:ascii="Arial" w:hAnsi="Arial" w:cs="Arial"/>
          <w:sz w:val="20"/>
        </w:rPr>
      </w:pPr>
      <w:r>
        <w:rPr>
          <w:rFonts w:ascii="Arial" w:hAnsi="Arial" w:cs="Arial"/>
          <w:sz w:val="20"/>
        </w:rPr>
        <w:t xml:space="preserve">Accordingly, </w:t>
      </w:r>
      <w:r w:rsidRPr="003F67F8">
        <w:rPr>
          <w:rFonts w:ascii="Arial" w:hAnsi="Arial" w:cs="Arial"/>
          <w:sz w:val="20"/>
        </w:rPr>
        <w:t>the</w:t>
      </w:r>
      <w:r>
        <w:rPr>
          <w:rFonts w:ascii="Arial" w:hAnsi="Arial" w:cs="Arial"/>
          <w:sz w:val="20"/>
        </w:rPr>
        <w:t xml:space="preserve"> ACMA</w:t>
      </w:r>
      <w:r w:rsidR="001C356E">
        <w:rPr>
          <w:rFonts w:ascii="Arial" w:hAnsi="Arial" w:cs="Arial"/>
          <w:sz w:val="20"/>
        </w:rPr>
        <w:t xml:space="preserve"> finds</w:t>
      </w:r>
      <w:r>
        <w:rPr>
          <w:rFonts w:ascii="Arial" w:hAnsi="Arial" w:cs="Arial"/>
          <w:sz w:val="20"/>
        </w:rPr>
        <w:t xml:space="preserve"> that the</w:t>
      </w:r>
      <w:r w:rsidRPr="003F67F8">
        <w:rPr>
          <w:rFonts w:ascii="Arial" w:hAnsi="Arial" w:cs="Arial"/>
          <w:sz w:val="20"/>
        </w:rPr>
        <w:t xml:space="preserve"> licensee breach</w:t>
      </w:r>
      <w:r>
        <w:rPr>
          <w:rFonts w:ascii="Arial" w:hAnsi="Arial" w:cs="Arial"/>
          <w:sz w:val="20"/>
        </w:rPr>
        <w:t>ed</w:t>
      </w:r>
      <w:r w:rsidRPr="003F67F8">
        <w:rPr>
          <w:rFonts w:ascii="Arial" w:hAnsi="Arial" w:cs="Arial"/>
          <w:sz w:val="20"/>
        </w:rPr>
        <w:t xml:space="preserve"> </w:t>
      </w:r>
      <w:r w:rsidR="002C0651">
        <w:rPr>
          <w:rFonts w:ascii="Arial" w:hAnsi="Arial" w:cs="Arial"/>
          <w:sz w:val="20"/>
        </w:rPr>
        <w:t>sub</w:t>
      </w:r>
      <w:r w:rsidRPr="003F67F8">
        <w:rPr>
          <w:rFonts w:ascii="Arial" w:hAnsi="Arial" w:cs="Arial"/>
          <w:sz w:val="20"/>
        </w:rPr>
        <w:t xml:space="preserve">clause 4(2) of Schedule 2 to the </w:t>
      </w:r>
      <w:r>
        <w:rPr>
          <w:rFonts w:ascii="Arial" w:hAnsi="Arial" w:cs="Arial"/>
          <w:sz w:val="20"/>
        </w:rPr>
        <w:t>BSA</w:t>
      </w:r>
      <w:r w:rsidRPr="003E10B5">
        <w:rPr>
          <w:rFonts w:ascii="Arial" w:hAnsi="Arial" w:cs="Arial"/>
          <w:sz w:val="20"/>
        </w:rPr>
        <w:t xml:space="preserve"> and </w:t>
      </w:r>
      <w:r w:rsidR="00170EBE">
        <w:rPr>
          <w:rFonts w:ascii="Arial" w:hAnsi="Arial" w:cs="Arial"/>
          <w:sz w:val="20"/>
        </w:rPr>
        <w:t xml:space="preserve">also, </w:t>
      </w:r>
      <w:r w:rsidRPr="003E10B5">
        <w:rPr>
          <w:rFonts w:ascii="Arial" w:hAnsi="Arial" w:cs="Arial"/>
          <w:sz w:val="20"/>
        </w:rPr>
        <w:t>as a consequence, breached paragraph 7(1)(j) of Schedule 2 to the BSA with respect to the broadcast of the advertisement.</w:t>
      </w:r>
    </w:p>
    <w:p w14:paraId="338A84B5" w14:textId="77777777" w:rsidR="002B2A72" w:rsidRDefault="002B2A72" w:rsidP="003A25E1">
      <w:pPr>
        <w:pStyle w:val="ACMABodyText"/>
      </w:pPr>
      <w:r>
        <w:br w:type="page"/>
      </w:r>
    </w:p>
    <w:p w14:paraId="1804A38E" w14:textId="4B2827F1" w:rsidR="006A02B1" w:rsidRPr="00153F9D" w:rsidRDefault="006A02B1" w:rsidP="00075F5D">
      <w:pPr>
        <w:pStyle w:val="ACMAHeading2"/>
        <w:pageBreakBefore/>
        <w:spacing w:after="240"/>
        <w:jc w:val="right"/>
      </w:pPr>
      <w:r w:rsidRPr="00153F9D">
        <w:lastRenderedPageBreak/>
        <w:t xml:space="preserve">Attachment </w:t>
      </w:r>
      <w:r w:rsidR="00F26B3E">
        <w:t>A</w:t>
      </w:r>
    </w:p>
    <w:p w14:paraId="05034625" w14:textId="77777777" w:rsidR="006A02B1" w:rsidRDefault="006A02B1" w:rsidP="006A02B1">
      <w:pPr>
        <w:pStyle w:val="ACMABodyTextBold"/>
      </w:pPr>
      <w:r>
        <w:t xml:space="preserve">Complaint </w:t>
      </w:r>
    </w:p>
    <w:p w14:paraId="656DAC41" w14:textId="61692F21" w:rsidR="00BF3486" w:rsidRPr="00160831" w:rsidRDefault="00BF3486" w:rsidP="00BF3486">
      <w:pPr>
        <w:pStyle w:val="ACMABodyText"/>
        <w:rPr>
          <w:b/>
          <w:i/>
        </w:rPr>
      </w:pPr>
      <w:r w:rsidRPr="00160831">
        <w:rPr>
          <w:b/>
          <w:i/>
        </w:rPr>
        <w:t xml:space="preserve">Complaint to the ACMA </w:t>
      </w:r>
    </w:p>
    <w:p w14:paraId="4F3E121B" w14:textId="77777777" w:rsidR="00B42460" w:rsidRDefault="00B42460" w:rsidP="00B42460">
      <w:pPr>
        <w:spacing w:before="0" w:line="240" w:lineRule="atLeast"/>
        <w:outlineLvl w:val="0"/>
        <w:rPr>
          <w:rFonts w:eastAsia="Calibri" w:cs="Arial"/>
          <w:i w:val="0"/>
          <w:szCs w:val="20"/>
          <w:lang w:eastAsia="en-AU"/>
        </w:rPr>
      </w:pPr>
      <w:r w:rsidRPr="00B42460">
        <w:rPr>
          <w:rFonts w:eastAsia="Calibri" w:cs="Arial"/>
          <w:i w:val="0"/>
          <w:szCs w:val="20"/>
          <w:lang w:eastAsia="en-AU"/>
        </w:rPr>
        <w:t xml:space="preserve">There is an advertisement broadcast on TV promoting the WA Labour Party where, as per the rules of "required details" there is a summary in print of who and what is providing the advertisement which includes the verbal announcement of the same. </w:t>
      </w:r>
    </w:p>
    <w:p w14:paraId="4CE87A08" w14:textId="3F9A8090" w:rsidR="00B42460" w:rsidRPr="00B42460" w:rsidRDefault="00B42460" w:rsidP="00B42460">
      <w:pPr>
        <w:spacing w:before="0" w:line="240" w:lineRule="atLeast"/>
        <w:outlineLvl w:val="0"/>
        <w:rPr>
          <w:rFonts w:eastAsia="Calibri" w:cs="Arial"/>
          <w:i w:val="0"/>
          <w:szCs w:val="20"/>
          <w:lang w:eastAsia="en-AU"/>
        </w:rPr>
      </w:pPr>
      <w:r w:rsidRPr="00B42460">
        <w:rPr>
          <w:rFonts w:eastAsia="Calibri" w:cs="Arial"/>
          <w:i w:val="0"/>
          <w:szCs w:val="20"/>
          <w:lang w:eastAsia="en-AU"/>
        </w:rPr>
        <w:t>The verbal portion is nothing less than a joke spoken at a ridiculous speed and totally incomprehensible. It should be withdrawn and delivered in a manner that meets the purpose of the rule</w:t>
      </w:r>
      <w:r>
        <w:rPr>
          <w:rFonts w:eastAsia="Calibri" w:cs="Arial"/>
          <w:i w:val="0"/>
          <w:szCs w:val="20"/>
          <w:lang w:eastAsia="en-AU"/>
        </w:rPr>
        <w:t>.</w:t>
      </w:r>
      <w:r w:rsidRPr="00B42460">
        <w:rPr>
          <w:rFonts w:eastAsia="Calibri" w:cs="Arial"/>
          <w:i w:val="0"/>
          <w:szCs w:val="20"/>
          <w:lang w:eastAsia="en-AU"/>
        </w:rPr>
        <w:t xml:space="preserve"> </w:t>
      </w:r>
    </w:p>
    <w:p w14:paraId="3B7614A7" w14:textId="2C743DF0" w:rsidR="00E449F6" w:rsidRDefault="00E449F6">
      <w:pPr>
        <w:spacing w:before="0" w:after="0" w:line="240" w:lineRule="auto"/>
      </w:pPr>
      <w:r>
        <w:br w:type="page"/>
      </w:r>
    </w:p>
    <w:p w14:paraId="7149C99C" w14:textId="77777777" w:rsidR="00E449F6" w:rsidRPr="00153F9D" w:rsidRDefault="00E449F6" w:rsidP="00E449F6">
      <w:pPr>
        <w:pStyle w:val="ACMAHeading2"/>
        <w:pageBreakBefore/>
        <w:spacing w:after="240"/>
        <w:jc w:val="right"/>
      </w:pPr>
      <w:r w:rsidRPr="00153F9D">
        <w:lastRenderedPageBreak/>
        <w:t xml:space="preserve">Attachment </w:t>
      </w:r>
      <w:r>
        <w:t>B</w:t>
      </w:r>
    </w:p>
    <w:p w14:paraId="36C85923" w14:textId="0C6B4DEB" w:rsidR="00E449F6" w:rsidRPr="00153F9D" w:rsidRDefault="00E449F6" w:rsidP="00E449F6">
      <w:pPr>
        <w:pStyle w:val="ACMABodyTextBold"/>
      </w:pPr>
      <w:r w:rsidRPr="00D34A5D">
        <w:t>Licensee’s</w:t>
      </w:r>
      <w:r w:rsidRPr="00153F9D">
        <w:t xml:space="preserve"> submissions</w:t>
      </w:r>
    </w:p>
    <w:p w14:paraId="3F106A1C" w14:textId="77777777" w:rsidR="00E449F6" w:rsidRDefault="00E449F6" w:rsidP="00E449F6">
      <w:pPr>
        <w:pStyle w:val="ACMABodyText"/>
        <w:rPr>
          <w:b/>
          <w:i/>
        </w:rPr>
      </w:pPr>
      <w:bookmarkStart w:id="11" w:name="_Hlk67060788"/>
      <w:r w:rsidRPr="00D2549F">
        <w:rPr>
          <w:b/>
          <w:i/>
        </w:rPr>
        <w:t>Licensee submission</w:t>
      </w:r>
      <w:r w:rsidRPr="00160831">
        <w:rPr>
          <w:b/>
          <w:i/>
        </w:rPr>
        <w:t xml:space="preserve"> to the ACMA dated </w:t>
      </w:r>
      <w:r>
        <w:rPr>
          <w:b/>
          <w:i/>
        </w:rPr>
        <w:t>16 March 2021</w:t>
      </w:r>
    </w:p>
    <w:p w14:paraId="2CE76066" w14:textId="77777777" w:rsidR="00E449F6" w:rsidRDefault="00E449F6" w:rsidP="00E449F6">
      <w:pPr>
        <w:pStyle w:val="Default"/>
        <w:spacing w:after="240" w:line="240" w:lineRule="atLeast"/>
        <w:rPr>
          <w:sz w:val="20"/>
          <w:szCs w:val="20"/>
        </w:rPr>
      </w:pPr>
      <w:r>
        <w:rPr>
          <w:b/>
          <w:bCs/>
          <w:sz w:val="20"/>
          <w:szCs w:val="20"/>
        </w:rPr>
        <w:t xml:space="preserve">Introduction </w:t>
      </w:r>
    </w:p>
    <w:p w14:paraId="4369E61F" w14:textId="0C0E901F" w:rsidR="00E449F6" w:rsidRDefault="00E449F6" w:rsidP="00E449F6">
      <w:pPr>
        <w:pStyle w:val="Default"/>
        <w:spacing w:after="240" w:line="240" w:lineRule="atLeast"/>
        <w:rPr>
          <w:sz w:val="20"/>
          <w:szCs w:val="20"/>
        </w:rPr>
      </w:pPr>
      <w:r>
        <w:rPr>
          <w:sz w:val="20"/>
          <w:szCs w:val="20"/>
        </w:rPr>
        <w:t xml:space="preserve">1. On 21 February 2012 at approximately 7:49pm, Nine broadcast an advertisement for WA Labor which referred to </w:t>
      </w:r>
      <w:r w:rsidR="00911946">
        <w:rPr>
          <w:sz w:val="20"/>
          <w:szCs w:val="20"/>
        </w:rPr>
        <w:t>[name of candidate]</w:t>
      </w:r>
      <w:r w:rsidR="00A14CC2">
        <w:rPr>
          <w:sz w:val="20"/>
          <w:szCs w:val="20"/>
        </w:rPr>
        <w:t xml:space="preserve"> </w:t>
      </w:r>
      <w:r>
        <w:rPr>
          <w:sz w:val="20"/>
          <w:szCs w:val="20"/>
        </w:rPr>
        <w:t>(</w:t>
      </w:r>
      <w:r>
        <w:rPr>
          <w:b/>
          <w:bCs/>
          <w:sz w:val="20"/>
          <w:szCs w:val="20"/>
        </w:rPr>
        <w:t>the Broadcast</w:t>
      </w:r>
      <w:r>
        <w:rPr>
          <w:sz w:val="20"/>
          <w:szCs w:val="20"/>
        </w:rPr>
        <w:t xml:space="preserve">). The ACMA has indicated it is investigating the Broadcast’s compliance with sub-clause 4(2) and paragraph 7(1)(j) of Schedule 2 to the BSA. </w:t>
      </w:r>
    </w:p>
    <w:p w14:paraId="50AE0E86" w14:textId="30CAFD47" w:rsidR="00E449F6" w:rsidRDefault="00E449F6" w:rsidP="00E449F6">
      <w:pPr>
        <w:pStyle w:val="Default"/>
        <w:spacing w:after="240" w:line="240" w:lineRule="atLeast"/>
        <w:rPr>
          <w:sz w:val="20"/>
          <w:szCs w:val="20"/>
        </w:rPr>
      </w:pPr>
      <w:r>
        <w:rPr>
          <w:sz w:val="20"/>
          <w:szCs w:val="20"/>
        </w:rPr>
        <w:t xml:space="preserve">2. Specifically, the ACMA has indicated it received a complaint that the Broadcast </w:t>
      </w:r>
      <w:r>
        <w:rPr>
          <w:i/>
          <w:iCs/>
          <w:sz w:val="20"/>
          <w:szCs w:val="20"/>
        </w:rPr>
        <w:t>‘gave the required particulars at a speed that they could not be understood’</w:t>
      </w:r>
      <w:r>
        <w:rPr>
          <w:sz w:val="20"/>
          <w:szCs w:val="20"/>
        </w:rPr>
        <w:t>. If any other elements of the Broadcast are being investigated, Nine would request the ACMA</w:t>
      </w:r>
      <w:r w:rsidR="00284527">
        <w:rPr>
          <w:sz w:val="20"/>
          <w:szCs w:val="20"/>
        </w:rPr>
        <w:t xml:space="preserve"> [to</w:t>
      </w:r>
      <w:r w:rsidR="002B6324">
        <w:rPr>
          <w:sz w:val="20"/>
          <w:szCs w:val="20"/>
        </w:rPr>
        <w:t xml:space="preserve"> provide further]</w:t>
      </w:r>
      <w:r>
        <w:rPr>
          <w:sz w:val="20"/>
          <w:szCs w:val="20"/>
        </w:rPr>
        <w:t xml:space="preserve"> </w:t>
      </w:r>
      <w:r w:rsidRPr="001957B8">
        <w:rPr>
          <w:sz w:val="20"/>
          <w:szCs w:val="20"/>
        </w:rPr>
        <w:t>particulars</w:t>
      </w:r>
      <w:r>
        <w:rPr>
          <w:sz w:val="20"/>
          <w:szCs w:val="20"/>
        </w:rPr>
        <w:t xml:space="preserve"> </w:t>
      </w:r>
      <w:r w:rsidR="002B6324">
        <w:rPr>
          <w:sz w:val="20"/>
          <w:szCs w:val="20"/>
        </w:rPr>
        <w:t xml:space="preserve">[of] </w:t>
      </w:r>
      <w:r>
        <w:rPr>
          <w:sz w:val="20"/>
          <w:szCs w:val="20"/>
        </w:rPr>
        <w:t xml:space="preserve">the elements which are being investigated and Nine be given an opportunity to provide submissions with respect to same. </w:t>
      </w:r>
    </w:p>
    <w:p w14:paraId="40700DA9" w14:textId="77777777" w:rsidR="00E449F6" w:rsidRDefault="00E449F6" w:rsidP="005E27FD">
      <w:pPr>
        <w:pStyle w:val="Default"/>
        <w:spacing w:after="240" w:line="240" w:lineRule="atLeast"/>
        <w:rPr>
          <w:sz w:val="20"/>
          <w:szCs w:val="20"/>
        </w:rPr>
      </w:pPr>
      <w:r>
        <w:rPr>
          <w:b/>
          <w:bCs/>
          <w:sz w:val="20"/>
          <w:szCs w:val="20"/>
        </w:rPr>
        <w:t xml:space="preserve">Legislative Framework </w:t>
      </w:r>
    </w:p>
    <w:p w14:paraId="25C8E436" w14:textId="77777777" w:rsidR="00E449F6" w:rsidRDefault="00E449F6" w:rsidP="005E27FD">
      <w:pPr>
        <w:pStyle w:val="Default"/>
        <w:spacing w:after="240" w:line="240" w:lineRule="atLeast"/>
        <w:rPr>
          <w:sz w:val="20"/>
          <w:szCs w:val="20"/>
        </w:rPr>
      </w:pPr>
      <w:r>
        <w:rPr>
          <w:sz w:val="20"/>
          <w:szCs w:val="20"/>
        </w:rPr>
        <w:t xml:space="preserve">3. Paragraph 7(1)(j) of Schedule 2 to the BSA stipulates that commercial television broadcasting licenses are subject to the condition that Licensees comply with the requirements of, inter alia, clause 4 of Schedule 2 to the BSA. </w:t>
      </w:r>
    </w:p>
    <w:p w14:paraId="26E7C0F6" w14:textId="77777777" w:rsidR="00E449F6" w:rsidRDefault="00E449F6" w:rsidP="005E27FD">
      <w:pPr>
        <w:pStyle w:val="Default"/>
        <w:spacing w:after="240" w:line="240" w:lineRule="atLeast"/>
        <w:rPr>
          <w:sz w:val="20"/>
          <w:szCs w:val="20"/>
        </w:rPr>
      </w:pPr>
      <w:r>
        <w:rPr>
          <w:sz w:val="20"/>
          <w:szCs w:val="20"/>
        </w:rPr>
        <w:t>4. Subclause 4(2) of Schedule 2 to the BSA deals with the identification of certain political matter and mandates the inclusion of ‘</w:t>
      </w:r>
      <w:r>
        <w:rPr>
          <w:i/>
          <w:iCs/>
          <w:sz w:val="20"/>
          <w:szCs w:val="20"/>
        </w:rPr>
        <w:t>required particulars’</w:t>
      </w:r>
      <w:r>
        <w:rPr>
          <w:sz w:val="20"/>
          <w:szCs w:val="20"/>
        </w:rPr>
        <w:t xml:space="preserve">. It provides: </w:t>
      </w:r>
    </w:p>
    <w:p w14:paraId="23E272F0" w14:textId="77777777" w:rsidR="00E449F6" w:rsidRDefault="00E449F6" w:rsidP="005E27FD">
      <w:pPr>
        <w:pStyle w:val="Default"/>
        <w:spacing w:after="240" w:line="240" w:lineRule="atLeast"/>
        <w:ind w:left="567"/>
        <w:rPr>
          <w:i/>
          <w:iCs/>
          <w:sz w:val="18"/>
          <w:szCs w:val="18"/>
        </w:rPr>
      </w:pPr>
      <w:r>
        <w:rPr>
          <w:i/>
          <w:iCs/>
          <w:sz w:val="18"/>
          <w:szCs w:val="18"/>
        </w:rPr>
        <w:t xml:space="preserve">If a broadcaster broadcasts political matter at the request of another person, the broadcaster must ensure that the required particulars in relation to the matter are announced in accordance with any requirements determined under subsection 321D(7) of the Commonwealth Electoral Act 1918 for the purposes of this subclause. </w:t>
      </w:r>
    </w:p>
    <w:p w14:paraId="4160254C" w14:textId="77777777" w:rsidR="00E449F6" w:rsidRDefault="00E449F6" w:rsidP="005E27FD">
      <w:pPr>
        <w:pStyle w:val="Default"/>
        <w:spacing w:after="240" w:line="240" w:lineRule="atLeast"/>
        <w:rPr>
          <w:sz w:val="20"/>
          <w:szCs w:val="20"/>
        </w:rPr>
      </w:pPr>
      <w:r>
        <w:rPr>
          <w:sz w:val="20"/>
          <w:szCs w:val="20"/>
        </w:rPr>
        <w:t xml:space="preserve">5. Subsection 321D(7) of the </w:t>
      </w:r>
      <w:r>
        <w:rPr>
          <w:i/>
          <w:iCs/>
          <w:sz w:val="20"/>
          <w:szCs w:val="20"/>
        </w:rPr>
        <w:t xml:space="preserve">Commonwealth Electoral Act 1918 </w:t>
      </w:r>
      <w:r>
        <w:rPr>
          <w:sz w:val="20"/>
          <w:szCs w:val="20"/>
        </w:rPr>
        <w:t>(Cth) (</w:t>
      </w:r>
      <w:r>
        <w:rPr>
          <w:b/>
          <w:bCs/>
          <w:sz w:val="20"/>
          <w:szCs w:val="20"/>
        </w:rPr>
        <w:t>the CEA</w:t>
      </w:r>
      <w:r>
        <w:rPr>
          <w:sz w:val="20"/>
          <w:szCs w:val="20"/>
        </w:rPr>
        <w:t xml:space="preserve">) states, inter alia, that the Electoral Commissioner may, by legislative instrument, determine requirements or particulars for the purposes of paragraph 1(2)(b) and subclause 4(2) of Schedule 2 to the BSA. </w:t>
      </w:r>
    </w:p>
    <w:p w14:paraId="2083B2B9" w14:textId="77777777" w:rsidR="00E449F6" w:rsidRDefault="00E449F6" w:rsidP="005E27FD">
      <w:pPr>
        <w:pStyle w:val="Default"/>
        <w:spacing w:after="240" w:line="240" w:lineRule="atLeast"/>
        <w:rPr>
          <w:sz w:val="20"/>
          <w:szCs w:val="20"/>
        </w:rPr>
      </w:pPr>
      <w:r>
        <w:rPr>
          <w:sz w:val="20"/>
          <w:szCs w:val="20"/>
        </w:rPr>
        <w:t xml:space="preserve">6. Relevantly, section 10 of the </w:t>
      </w:r>
      <w:r>
        <w:rPr>
          <w:i/>
          <w:iCs/>
          <w:sz w:val="20"/>
          <w:szCs w:val="20"/>
        </w:rPr>
        <w:t xml:space="preserve">Commonwealth Electoral (Authorisation of Voter Communication) Determination 2018 </w:t>
      </w:r>
      <w:r>
        <w:rPr>
          <w:sz w:val="20"/>
          <w:szCs w:val="20"/>
        </w:rPr>
        <w:t>(Cth) (</w:t>
      </w:r>
      <w:r>
        <w:rPr>
          <w:b/>
          <w:bCs/>
          <w:sz w:val="20"/>
          <w:szCs w:val="20"/>
        </w:rPr>
        <w:t>the Determination</w:t>
      </w:r>
      <w:r>
        <w:rPr>
          <w:sz w:val="20"/>
          <w:szCs w:val="20"/>
        </w:rPr>
        <w:t>) sets out requirements for notifying particulars for the purposes of subclause 4(2) of Schedule 2 to the BSA – namely that: if the communication is broadcast by television, the particulars must ‘</w:t>
      </w:r>
      <w:r>
        <w:rPr>
          <w:i/>
          <w:iCs/>
          <w:sz w:val="20"/>
          <w:szCs w:val="20"/>
        </w:rPr>
        <w:t>be announced and shown at the end of the communication in the language used for the rest of the communication</w:t>
      </w:r>
      <w:r>
        <w:rPr>
          <w:sz w:val="20"/>
          <w:szCs w:val="20"/>
        </w:rPr>
        <w:t xml:space="preserve">’. </w:t>
      </w:r>
    </w:p>
    <w:p w14:paraId="776C1C13" w14:textId="77777777" w:rsidR="00E449F6" w:rsidRDefault="00E449F6" w:rsidP="005E27FD">
      <w:pPr>
        <w:pStyle w:val="Default"/>
        <w:spacing w:after="240" w:line="240" w:lineRule="atLeast"/>
        <w:rPr>
          <w:sz w:val="20"/>
          <w:szCs w:val="20"/>
        </w:rPr>
      </w:pPr>
      <w:r>
        <w:rPr>
          <w:sz w:val="20"/>
          <w:szCs w:val="20"/>
        </w:rPr>
        <w:t>7. Subclause 1(2) of Schedule 2 to the BSA also defines ‘</w:t>
      </w:r>
      <w:r>
        <w:rPr>
          <w:i/>
          <w:iCs/>
          <w:sz w:val="20"/>
          <w:szCs w:val="20"/>
        </w:rPr>
        <w:t>required particulars’</w:t>
      </w:r>
      <w:r>
        <w:rPr>
          <w:sz w:val="20"/>
          <w:szCs w:val="20"/>
        </w:rPr>
        <w:t xml:space="preserve">. It sets out four scenarios and the corresponding particulars that are required. The scenarios are distinguished on the basis of whether the authorisation for the broadcast of political matter is made by a ‘disclosure entity’, and also whether the authorisation is made by an entity or a natural person. </w:t>
      </w:r>
    </w:p>
    <w:p w14:paraId="097DFFF0" w14:textId="77777777" w:rsidR="00E449F6" w:rsidRDefault="00E449F6" w:rsidP="005E27FD">
      <w:pPr>
        <w:pStyle w:val="Default"/>
        <w:spacing w:after="240" w:line="240" w:lineRule="atLeast"/>
        <w:rPr>
          <w:sz w:val="20"/>
          <w:szCs w:val="20"/>
        </w:rPr>
      </w:pPr>
      <w:r>
        <w:rPr>
          <w:sz w:val="20"/>
          <w:szCs w:val="20"/>
        </w:rPr>
        <w:t>8. Under subclause 1(1) of Schedule 2 to the BSA, ‘</w:t>
      </w:r>
      <w:r>
        <w:rPr>
          <w:i/>
          <w:iCs/>
          <w:sz w:val="20"/>
          <w:szCs w:val="20"/>
        </w:rPr>
        <w:t xml:space="preserve">disclosure entity’ </w:t>
      </w:r>
      <w:r>
        <w:rPr>
          <w:sz w:val="20"/>
          <w:szCs w:val="20"/>
        </w:rPr>
        <w:t xml:space="preserve">is given the same definition as section 321B of the CEA which for current purposes includes a </w:t>
      </w:r>
      <w:r>
        <w:rPr>
          <w:i/>
          <w:iCs/>
          <w:sz w:val="20"/>
          <w:szCs w:val="20"/>
        </w:rPr>
        <w:t>‘registered political party’</w:t>
      </w:r>
      <w:r>
        <w:rPr>
          <w:sz w:val="20"/>
          <w:szCs w:val="20"/>
        </w:rPr>
        <w:t xml:space="preserve">. </w:t>
      </w:r>
    </w:p>
    <w:p w14:paraId="258390DF" w14:textId="77777777" w:rsidR="003A2595" w:rsidRDefault="003A2595">
      <w:pPr>
        <w:spacing w:before="0" w:after="0" w:line="240" w:lineRule="auto"/>
        <w:rPr>
          <w:rFonts w:cs="Arial"/>
          <w:b/>
          <w:bCs/>
          <w:i w:val="0"/>
          <w:color w:val="000000"/>
          <w:szCs w:val="20"/>
          <w:lang w:eastAsia="en-AU"/>
        </w:rPr>
      </w:pPr>
      <w:r>
        <w:rPr>
          <w:b/>
          <w:bCs/>
          <w:szCs w:val="20"/>
        </w:rPr>
        <w:br w:type="page"/>
      </w:r>
    </w:p>
    <w:p w14:paraId="41D0578E" w14:textId="5F8251A8" w:rsidR="00E449F6" w:rsidRDefault="00E449F6" w:rsidP="005E27FD">
      <w:pPr>
        <w:pStyle w:val="Default"/>
        <w:spacing w:after="240" w:line="240" w:lineRule="atLeast"/>
        <w:rPr>
          <w:sz w:val="20"/>
          <w:szCs w:val="20"/>
        </w:rPr>
      </w:pPr>
      <w:r>
        <w:rPr>
          <w:b/>
          <w:bCs/>
          <w:sz w:val="20"/>
          <w:szCs w:val="20"/>
        </w:rPr>
        <w:lastRenderedPageBreak/>
        <w:t xml:space="preserve">Compliance </w:t>
      </w:r>
    </w:p>
    <w:p w14:paraId="70BBB35B" w14:textId="77777777" w:rsidR="00E449F6" w:rsidRDefault="00E449F6" w:rsidP="005E27FD">
      <w:pPr>
        <w:pStyle w:val="Default"/>
        <w:spacing w:line="240" w:lineRule="atLeast"/>
        <w:rPr>
          <w:sz w:val="20"/>
          <w:szCs w:val="20"/>
        </w:rPr>
      </w:pPr>
      <w:r>
        <w:rPr>
          <w:sz w:val="20"/>
          <w:szCs w:val="20"/>
        </w:rPr>
        <w:t xml:space="preserve">9. Nine accepts that the Broadcast did contain ‘political matter’ and therefore it would be required to comply with the requirements of subclause 4(2) of Schedule 2 to the BSA. </w:t>
      </w:r>
    </w:p>
    <w:p w14:paraId="6BDCA2EA" w14:textId="77777777" w:rsidR="00E449F6" w:rsidRDefault="00E449F6" w:rsidP="005E27FD">
      <w:pPr>
        <w:pStyle w:val="Default"/>
        <w:spacing w:line="240" w:lineRule="atLeast"/>
        <w:rPr>
          <w:sz w:val="20"/>
          <w:szCs w:val="20"/>
        </w:rPr>
      </w:pPr>
    </w:p>
    <w:p w14:paraId="0A62EAC4" w14:textId="77777777" w:rsidR="00E449F6" w:rsidRDefault="00E449F6" w:rsidP="005E27FD">
      <w:pPr>
        <w:pStyle w:val="Default"/>
        <w:spacing w:line="240" w:lineRule="atLeast"/>
        <w:rPr>
          <w:sz w:val="20"/>
          <w:szCs w:val="20"/>
        </w:rPr>
      </w:pPr>
      <w:r>
        <w:rPr>
          <w:sz w:val="20"/>
          <w:szCs w:val="20"/>
        </w:rPr>
        <w:t xml:space="preserve">10. In the case of television advertisements for political parties, the required particulars are commonly announced at the end of the advertisement in what is colloquially known as a ‘tag’. This is consistent with the requirements under section 10 of the Determination. </w:t>
      </w:r>
    </w:p>
    <w:p w14:paraId="0FD50925" w14:textId="77777777" w:rsidR="00E449F6" w:rsidRDefault="00E449F6" w:rsidP="005E27FD">
      <w:pPr>
        <w:pStyle w:val="Default"/>
        <w:spacing w:line="240" w:lineRule="atLeast"/>
        <w:rPr>
          <w:sz w:val="20"/>
          <w:szCs w:val="20"/>
        </w:rPr>
      </w:pPr>
    </w:p>
    <w:p w14:paraId="7ACC7CCC" w14:textId="77777777" w:rsidR="00E449F6" w:rsidRDefault="00E449F6" w:rsidP="005E27FD">
      <w:pPr>
        <w:pStyle w:val="Default"/>
        <w:numPr>
          <w:ilvl w:val="1"/>
          <w:numId w:val="26"/>
        </w:numPr>
        <w:spacing w:after="240" w:line="240" w:lineRule="atLeast"/>
        <w:rPr>
          <w:sz w:val="20"/>
          <w:szCs w:val="20"/>
        </w:rPr>
      </w:pPr>
      <w:r>
        <w:rPr>
          <w:sz w:val="20"/>
          <w:szCs w:val="20"/>
        </w:rPr>
        <w:t xml:space="preserve">11. Nine notes that as a registered political party, the WA branch of the Australian Labor Party would fall within the definition of </w:t>
      </w:r>
      <w:r>
        <w:rPr>
          <w:i/>
          <w:iCs/>
          <w:sz w:val="20"/>
          <w:szCs w:val="20"/>
        </w:rPr>
        <w:t xml:space="preserve">‘disclosure entity’ </w:t>
      </w:r>
      <w:r>
        <w:rPr>
          <w:sz w:val="20"/>
          <w:szCs w:val="20"/>
        </w:rPr>
        <w:t xml:space="preserve">under the CEA and as it was the entity that authorised the Broadcast, the relevant ‘required particulars’ under subclause 1(2) of Schedule 2 to the BSA would be: </w:t>
      </w:r>
    </w:p>
    <w:p w14:paraId="11DC8C55" w14:textId="77777777" w:rsidR="00E449F6" w:rsidRDefault="00E449F6" w:rsidP="005E27FD">
      <w:pPr>
        <w:pStyle w:val="Default"/>
        <w:numPr>
          <w:ilvl w:val="1"/>
          <w:numId w:val="26"/>
        </w:numPr>
        <w:spacing w:after="13" w:line="240" w:lineRule="atLeast"/>
        <w:ind w:left="567"/>
        <w:rPr>
          <w:sz w:val="20"/>
          <w:szCs w:val="20"/>
        </w:rPr>
      </w:pPr>
      <w:r>
        <w:rPr>
          <w:sz w:val="20"/>
          <w:szCs w:val="20"/>
        </w:rPr>
        <w:t xml:space="preserve">a) the name of the entity; </w:t>
      </w:r>
    </w:p>
    <w:p w14:paraId="550053D9" w14:textId="77777777" w:rsidR="00E449F6" w:rsidRDefault="00E449F6" w:rsidP="005E27FD">
      <w:pPr>
        <w:pStyle w:val="Default"/>
        <w:numPr>
          <w:ilvl w:val="1"/>
          <w:numId w:val="26"/>
        </w:numPr>
        <w:spacing w:after="13" w:line="240" w:lineRule="atLeast"/>
        <w:ind w:left="567"/>
        <w:rPr>
          <w:sz w:val="20"/>
          <w:szCs w:val="20"/>
        </w:rPr>
      </w:pPr>
      <w:r>
        <w:rPr>
          <w:sz w:val="20"/>
          <w:szCs w:val="20"/>
        </w:rPr>
        <w:t xml:space="preserve">b) the relevant town or city of the entity; and </w:t>
      </w:r>
    </w:p>
    <w:p w14:paraId="089D83CD" w14:textId="77777777" w:rsidR="00E449F6" w:rsidRDefault="00E449F6" w:rsidP="005E27FD">
      <w:pPr>
        <w:pStyle w:val="Default"/>
        <w:numPr>
          <w:ilvl w:val="1"/>
          <w:numId w:val="26"/>
        </w:numPr>
        <w:spacing w:after="240" w:line="240" w:lineRule="atLeast"/>
        <w:ind w:left="567"/>
        <w:rPr>
          <w:sz w:val="20"/>
          <w:szCs w:val="20"/>
        </w:rPr>
      </w:pPr>
      <w:r>
        <w:rPr>
          <w:sz w:val="20"/>
          <w:szCs w:val="20"/>
        </w:rPr>
        <w:t xml:space="preserve">c) the name of the natural person responsible for giving effect to the authorisation. </w:t>
      </w:r>
    </w:p>
    <w:p w14:paraId="1DD60C64" w14:textId="77777777" w:rsidR="00E449F6" w:rsidRDefault="00E449F6" w:rsidP="005E27FD">
      <w:pPr>
        <w:pStyle w:val="Default"/>
        <w:numPr>
          <w:ilvl w:val="1"/>
          <w:numId w:val="27"/>
        </w:numPr>
        <w:spacing w:after="240" w:line="240" w:lineRule="atLeast"/>
        <w:rPr>
          <w:sz w:val="20"/>
          <w:szCs w:val="20"/>
        </w:rPr>
      </w:pPr>
      <w:r>
        <w:rPr>
          <w:sz w:val="20"/>
          <w:szCs w:val="20"/>
        </w:rPr>
        <w:t xml:space="preserve">12. </w:t>
      </w:r>
      <w:bookmarkStart w:id="12" w:name="_Hlk67061961"/>
      <w:r>
        <w:rPr>
          <w:sz w:val="20"/>
          <w:szCs w:val="20"/>
        </w:rPr>
        <w:t xml:space="preserve">The particulars included in the tag for the Broadcast were: </w:t>
      </w:r>
    </w:p>
    <w:p w14:paraId="37A625A8" w14:textId="560A0FBD" w:rsidR="00E449F6" w:rsidRDefault="00E449F6" w:rsidP="005E27FD">
      <w:pPr>
        <w:pStyle w:val="Default"/>
        <w:numPr>
          <w:ilvl w:val="1"/>
          <w:numId w:val="27"/>
        </w:numPr>
        <w:spacing w:after="120" w:line="240" w:lineRule="atLeast"/>
        <w:ind w:left="567"/>
        <w:rPr>
          <w:sz w:val="20"/>
          <w:szCs w:val="20"/>
        </w:rPr>
      </w:pPr>
      <w:r>
        <w:rPr>
          <w:sz w:val="20"/>
          <w:szCs w:val="20"/>
        </w:rPr>
        <w:t xml:space="preserve">a) written text: </w:t>
      </w:r>
      <w:r>
        <w:rPr>
          <w:i/>
          <w:iCs/>
          <w:sz w:val="20"/>
          <w:szCs w:val="20"/>
        </w:rPr>
        <w:t xml:space="preserve">“Authorised by </w:t>
      </w:r>
      <w:r w:rsidR="00A14CC2" w:rsidRPr="004F4F5A">
        <w:rPr>
          <w:sz w:val="20"/>
          <w:szCs w:val="20"/>
        </w:rPr>
        <w:t>[name of person]</w:t>
      </w:r>
      <w:r w:rsidRPr="004F4F5A">
        <w:rPr>
          <w:sz w:val="20"/>
          <w:szCs w:val="20"/>
        </w:rPr>
        <w:t>.</w:t>
      </w:r>
      <w:r>
        <w:rPr>
          <w:i/>
          <w:iCs/>
          <w:sz w:val="20"/>
          <w:szCs w:val="20"/>
        </w:rPr>
        <w:t xml:space="preserve"> Australian Labor Party (Western Australia Branch). Level 1, 22 Eastbrook Terrace, East Perth 6004 Perth”</w:t>
      </w:r>
      <w:r>
        <w:rPr>
          <w:sz w:val="20"/>
          <w:szCs w:val="20"/>
        </w:rPr>
        <w:t xml:space="preserve">; and </w:t>
      </w:r>
    </w:p>
    <w:p w14:paraId="7BFF62E3" w14:textId="7E69C177" w:rsidR="00E449F6" w:rsidRDefault="00E449F6" w:rsidP="005E27FD">
      <w:pPr>
        <w:pStyle w:val="Default"/>
        <w:numPr>
          <w:ilvl w:val="1"/>
          <w:numId w:val="27"/>
        </w:numPr>
        <w:spacing w:after="240" w:line="240" w:lineRule="atLeast"/>
        <w:ind w:left="567"/>
        <w:rPr>
          <w:sz w:val="20"/>
          <w:szCs w:val="20"/>
        </w:rPr>
      </w:pPr>
      <w:r>
        <w:rPr>
          <w:sz w:val="20"/>
          <w:szCs w:val="20"/>
        </w:rPr>
        <w:t xml:space="preserve">b) spoken statement: </w:t>
      </w:r>
      <w:r>
        <w:rPr>
          <w:i/>
          <w:iCs/>
          <w:sz w:val="20"/>
          <w:szCs w:val="20"/>
        </w:rPr>
        <w:t xml:space="preserve">“Authorised by </w:t>
      </w:r>
      <w:r w:rsidR="00A14CC2" w:rsidRPr="004F4F5A">
        <w:rPr>
          <w:sz w:val="20"/>
          <w:szCs w:val="20"/>
        </w:rPr>
        <w:t>[name of person]</w:t>
      </w:r>
      <w:r w:rsidRPr="004F4F5A">
        <w:rPr>
          <w:sz w:val="20"/>
          <w:szCs w:val="20"/>
        </w:rPr>
        <w:t>.</w:t>
      </w:r>
      <w:r>
        <w:rPr>
          <w:i/>
          <w:iCs/>
          <w:sz w:val="20"/>
          <w:szCs w:val="20"/>
        </w:rPr>
        <w:t xml:space="preserve"> Australian Labor Party Western Australia Branch Perth”</w:t>
      </w:r>
      <w:r>
        <w:rPr>
          <w:sz w:val="20"/>
          <w:szCs w:val="20"/>
        </w:rPr>
        <w:t xml:space="preserve">. </w:t>
      </w:r>
    </w:p>
    <w:p w14:paraId="0F819BE6" w14:textId="77777777" w:rsidR="00E449F6" w:rsidRDefault="00E449F6" w:rsidP="005E27FD">
      <w:pPr>
        <w:pStyle w:val="Default"/>
        <w:spacing w:line="240" w:lineRule="atLeast"/>
        <w:rPr>
          <w:sz w:val="20"/>
          <w:szCs w:val="20"/>
        </w:rPr>
      </w:pPr>
      <w:bookmarkStart w:id="13" w:name="_Hlk67309509"/>
      <w:bookmarkEnd w:id="12"/>
      <w:r>
        <w:rPr>
          <w:sz w:val="20"/>
          <w:szCs w:val="20"/>
        </w:rPr>
        <w:t xml:space="preserve">13. Nine submits the above particulars complied with the required particulars under subclause 4(2) of Schedule 2 to the BSA. </w:t>
      </w:r>
    </w:p>
    <w:p w14:paraId="7A467CBA" w14:textId="77777777" w:rsidR="00E449F6" w:rsidRDefault="00E449F6" w:rsidP="005E27FD">
      <w:pPr>
        <w:pStyle w:val="Default"/>
        <w:spacing w:line="240" w:lineRule="atLeast"/>
        <w:rPr>
          <w:sz w:val="20"/>
          <w:szCs w:val="20"/>
        </w:rPr>
      </w:pPr>
    </w:p>
    <w:p w14:paraId="7D2BD1EB" w14:textId="77777777" w:rsidR="00E449F6" w:rsidRDefault="00E449F6" w:rsidP="005E27FD">
      <w:pPr>
        <w:pStyle w:val="Default"/>
        <w:spacing w:line="240" w:lineRule="atLeast"/>
        <w:rPr>
          <w:sz w:val="20"/>
          <w:szCs w:val="20"/>
        </w:rPr>
      </w:pPr>
      <w:r>
        <w:rPr>
          <w:sz w:val="20"/>
          <w:szCs w:val="20"/>
        </w:rPr>
        <w:t>14. Nine notes that the legislative framework mandates the content of the particulars which need to be included in such advertisements. Nine is not aware of any provisions which specify the speed at which the tag must be spoken. The requirement under section 10 of the Determination is that the tag must be in the same language as the rest of the communication. Nine confirms that both the content of the Broadcast and the tag were both in the same language - namely English</w:t>
      </w:r>
      <w:bookmarkEnd w:id="13"/>
      <w:r>
        <w:rPr>
          <w:sz w:val="20"/>
          <w:szCs w:val="20"/>
        </w:rPr>
        <w:t xml:space="preserve">. </w:t>
      </w:r>
    </w:p>
    <w:p w14:paraId="1521295F" w14:textId="77777777" w:rsidR="00E449F6" w:rsidRDefault="00E449F6" w:rsidP="005E27FD">
      <w:pPr>
        <w:pStyle w:val="Default"/>
        <w:spacing w:line="240" w:lineRule="atLeast"/>
        <w:rPr>
          <w:sz w:val="20"/>
          <w:szCs w:val="20"/>
        </w:rPr>
      </w:pPr>
    </w:p>
    <w:p w14:paraId="343CE4E0" w14:textId="77777777" w:rsidR="00E449F6" w:rsidRDefault="00E449F6" w:rsidP="005E27FD">
      <w:pPr>
        <w:pStyle w:val="Default"/>
        <w:spacing w:after="240" w:line="240" w:lineRule="atLeast"/>
        <w:rPr>
          <w:sz w:val="20"/>
          <w:szCs w:val="20"/>
        </w:rPr>
      </w:pPr>
      <w:r>
        <w:rPr>
          <w:b/>
          <w:bCs/>
          <w:sz w:val="20"/>
          <w:szCs w:val="20"/>
        </w:rPr>
        <w:t xml:space="preserve">Conclusion </w:t>
      </w:r>
    </w:p>
    <w:p w14:paraId="1F25242B" w14:textId="77777777" w:rsidR="00E449F6" w:rsidRDefault="00E449F6" w:rsidP="005E27FD">
      <w:pPr>
        <w:pStyle w:val="Default"/>
        <w:spacing w:line="240" w:lineRule="atLeast"/>
        <w:rPr>
          <w:sz w:val="20"/>
          <w:szCs w:val="20"/>
        </w:rPr>
      </w:pPr>
      <w:r>
        <w:rPr>
          <w:sz w:val="20"/>
          <w:szCs w:val="20"/>
        </w:rPr>
        <w:t xml:space="preserve">15. In light of the submissions above, Nine submits that the Broadcast did not breach any requirements of the BSA as it contained the relevant required particulars in its tag. </w:t>
      </w:r>
    </w:p>
    <w:p w14:paraId="6EE94156" w14:textId="77777777" w:rsidR="00E449F6" w:rsidRDefault="00E449F6" w:rsidP="005E27FD">
      <w:pPr>
        <w:pStyle w:val="Default"/>
        <w:spacing w:line="240" w:lineRule="atLeast"/>
        <w:rPr>
          <w:sz w:val="20"/>
          <w:szCs w:val="20"/>
        </w:rPr>
      </w:pPr>
    </w:p>
    <w:bookmarkEnd w:id="11"/>
    <w:p w14:paraId="057C7788" w14:textId="53F8A4F7" w:rsidR="00E449F6" w:rsidRDefault="00364849" w:rsidP="005E27FD">
      <w:pPr>
        <w:pStyle w:val="ACMABodyText"/>
        <w:rPr>
          <w:b/>
          <w:i/>
        </w:rPr>
      </w:pPr>
      <w:r>
        <w:rPr>
          <w:b/>
          <w:i/>
        </w:rPr>
        <w:t>L</w:t>
      </w:r>
      <w:r w:rsidR="00E449F6" w:rsidRPr="00D34A5D">
        <w:rPr>
          <w:b/>
          <w:i/>
        </w:rPr>
        <w:t xml:space="preserve">icensee submission to the ACMA dated </w:t>
      </w:r>
      <w:r w:rsidR="00E449F6">
        <w:rPr>
          <w:b/>
          <w:i/>
        </w:rPr>
        <w:t>17 March 2021</w:t>
      </w:r>
    </w:p>
    <w:p w14:paraId="1302567B" w14:textId="56516D9B" w:rsidR="00E449F6" w:rsidRDefault="00E449F6" w:rsidP="005E27FD">
      <w:pPr>
        <w:pStyle w:val="ACMABodyText"/>
        <w:rPr>
          <w:rFonts w:cs="Arial"/>
        </w:rPr>
      </w:pPr>
      <w:r>
        <w:rPr>
          <w:rFonts w:cs="Arial"/>
        </w:rPr>
        <w:t xml:space="preserve">Further to Nine’s submissions provided to the ACMA yesterday, Nine also confirms the relevant advertisement was </w:t>
      </w:r>
      <w:r w:rsidRPr="002D3891">
        <w:rPr>
          <w:rFonts w:cs="Arial"/>
        </w:rPr>
        <w:t>approved with a CAD number</w:t>
      </w:r>
      <w:r>
        <w:rPr>
          <w:rFonts w:cs="Arial"/>
        </w:rPr>
        <w:t xml:space="preserve"> […].</w:t>
      </w:r>
    </w:p>
    <w:p w14:paraId="7ED2D85F" w14:textId="77777777" w:rsidR="00B6056D" w:rsidRDefault="00B6056D" w:rsidP="00B6056D">
      <w:pPr>
        <w:pStyle w:val="ACMABodyText"/>
        <w:rPr>
          <w:rFonts w:cs="Arial"/>
          <w:b/>
          <w:bCs/>
          <w:i/>
          <w:iCs/>
        </w:rPr>
      </w:pPr>
      <w:r w:rsidRPr="00364849">
        <w:rPr>
          <w:rFonts w:cs="Arial"/>
          <w:b/>
          <w:bCs/>
          <w:i/>
          <w:iCs/>
        </w:rPr>
        <w:t>Licensee submission to the ACMA dated 21 April 2021:</w:t>
      </w:r>
    </w:p>
    <w:p w14:paraId="79C3AB58" w14:textId="77777777" w:rsidR="00B6056D" w:rsidRPr="00364849" w:rsidRDefault="00B6056D" w:rsidP="00B6056D">
      <w:pPr>
        <w:rPr>
          <w:rFonts w:cs="Arial"/>
          <w:i w:val="0"/>
          <w:iCs/>
          <w:szCs w:val="20"/>
        </w:rPr>
      </w:pPr>
      <w:r w:rsidRPr="00364849">
        <w:rPr>
          <w:rFonts w:cs="Arial"/>
          <w:i w:val="0"/>
          <w:iCs/>
          <w:szCs w:val="20"/>
        </w:rPr>
        <w:t>On the issue of the ACMA’s preliminary findings, Nine would respectfully make the following submissions:</w:t>
      </w:r>
    </w:p>
    <w:p w14:paraId="62915277" w14:textId="77777777" w:rsidR="00B6056D" w:rsidRPr="00364849" w:rsidRDefault="00B6056D" w:rsidP="00B6056D">
      <w:pPr>
        <w:pStyle w:val="ListParagraph"/>
        <w:numPr>
          <w:ilvl w:val="0"/>
          <w:numId w:val="39"/>
        </w:numPr>
        <w:spacing w:before="0" w:after="0" w:line="240" w:lineRule="auto"/>
        <w:contextualSpacing w:val="0"/>
        <w:rPr>
          <w:rFonts w:cs="Arial"/>
          <w:i w:val="0"/>
          <w:iCs/>
          <w:szCs w:val="20"/>
        </w:rPr>
      </w:pPr>
      <w:r w:rsidRPr="00364849">
        <w:rPr>
          <w:rFonts w:cs="Arial"/>
          <w:i w:val="0"/>
          <w:iCs/>
          <w:szCs w:val="20"/>
        </w:rPr>
        <w:t xml:space="preserve">As previously advised, the Broadcast had been approved by ClearAds (CAD number: </w:t>
      </w:r>
      <w:r>
        <w:rPr>
          <w:rFonts w:cs="Arial"/>
          <w:i w:val="0"/>
          <w:iCs/>
          <w:szCs w:val="20"/>
        </w:rPr>
        <w:t>[…]</w:t>
      </w:r>
      <w:r w:rsidRPr="00364849">
        <w:rPr>
          <w:rFonts w:cs="Arial"/>
          <w:i w:val="0"/>
          <w:iCs/>
          <w:szCs w:val="20"/>
        </w:rPr>
        <w:t xml:space="preserve">).  Nine notes that the ACMA’s preliminary findings do not appear to engage with this issue.  Nine would submit that this ClearAds approval is a highly relevant and indeed a potentially determinative factor in this investigation.  </w:t>
      </w:r>
    </w:p>
    <w:p w14:paraId="7C15970A" w14:textId="77777777" w:rsidR="00B6056D" w:rsidRDefault="00B6056D" w:rsidP="00B6056D">
      <w:pPr>
        <w:pStyle w:val="ListParagraph"/>
        <w:rPr>
          <w:rFonts w:eastAsiaTheme="minorHAnsi" w:cs="Arial"/>
          <w:szCs w:val="20"/>
        </w:rPr>
      </w:pPr>
    </w:p>
    <w:p w14:paraId="6350457B" w14:textId="77777777" w:rsidR="00B6056D" w:rsidRPr="00364849" w:rsidRDefault="00B6056D" w:rsidP="00B6056D">
      <w:pPr>
        <w:pStyle w:val="ListParagraph"/>
        <w:numPr>
          <w:ilvl w:val="0"/>
          <w:numId w:val="39"/>
        </w:numPr>
        <w:spacing w:before="0" w:after="0" w:line="240" w:lineRule="auto"/>
        <w:contextualSpacing w:val="0"/>
        <w:rPr>
          <w:rFonts w:cs="Arial"/>
          <w:i w:val="0"/>
          <w:iCs/>
          <w:szCs w:val="20"/>
        </w:rPr>
      </w:pPr>
      <w:r w:rsidRPr="00364849">
        <w:rPr>
          <w:rFonts w:cs="Arial"/>
          <w:i w:val="0"/>
          <w:iCs/>
          <w:szCs w:val="20"/>
        </w:rPr>
        <w:lastRenderedPageBreak/>
        <w:t xml:space="preserve">Nine is informed that in providing their approval of the Broadcast, ClearAds did in fact consider the speed of the required particulars at the close of the Broadcast.  Their view was that the speed of the required particulars in the Broadcast was consistent with their general recommendations.  Please see </w:t>
      </w:r>
      <w:r w:rsidRPr="00364849">
        <w:rPr>
          <w:rFonts w:cs="Arial"/>
          <w:b/>
          <w:bCs/>
          <w:i w:val="0"/>
          <w:iCs/>
          <w:szCs w:val="20"/>
        </w:rPr>
        <w:t xml:space="preserve">attached </w:t>
      </w:r>
      <w:r w:rsidRPr="00364849">
        <w:rPr>
          <w:rFonts w:cs="Arial"/>
          <w:i w:val="0"/>
          <w:iCs/>
          <w:szCs w:val="20"/>
        </w:rPr>
        <w:t xml:space="preserve">correspondence </w:t>
      </w:r>
      <w:r>
        <w:rPr>
          <w:rFonts w:cs="Arial"/>
          <w:i w:val="0"/>
          <w:iCs/>
          <w:szCs w:val="20"/>
        </w:rPr>
        <w:t xml:space="preserve">[not included in this report] </w:t>
      </w:r>
      <w:r w:rsidRPr="00364849">
        <w:rPr>
          <w:rFonts w:cs="Arial"/>
          <w:i w:val="0"/>
          <w:iCs/>
          <w:szCs w:val="20"/>
        </w:rPr>
        <w:t>from ClearAds on this issue.  We would respectfully draw the ACMA’s attention to the following extracts from ClearAds’ correspondence:</w:t>
      </w:r>
    </w:p>
    <w:p w14:paraId="19865A6D" w14:textId="77777777" w:rsidR="00B6056D" w:rsidRDefault="00B6056D" w:rsidP="00B6056D">
      <w:pPr>
        <w:pStyle w:val="ListParagraph"/>
        <w:rPr>
          <w:rFonts w:eastAsiaTheme="minorHAnsi" w:cs="Arial"/>
          <w:iCs/>
          <w:szCs w:val="20"/>
        </w:rPr>
      </w:pPr>
    </w:p>
    <w:p w14:paraId="5247B9CC" w14:textId="77777777" w:rsidR="00B6056D" w:rsidRPr="00364849" w:rsidRDefault="00B6056D" w:rsidP="00B6056D">
      <w:pPr>
        <w:pStyle w:val="ListParagraph"/>
        <w:numPr>
          <w:ilvl w:val="1"/>
          <w:numId w:val="39"/>
        </w:numPr>
        <w:spacing w:before="0" w:after="0" w:line="240" w:lineRule="auto"/>
        <w:contextualSpacing w:val="0"/>
        <w:rPr>
          <w:rFonts w:cs="Arial"/>
          <w:szCs w:val="20"/>
        </w:rPr>
      </w:pPr>
      <w:r w:rsidRPr="00364849">
        <w:rPr>
          <w:rFonts w:cs="Arial"/>
          <w:szCs w:val="20"/>
        </w:rPr>
        <w:t>‘The speed and audibility of the ‘required particulars’ is one of the factors that we take into consideration when assigning a CAD number for advertisements that contain political or election matter as it is not uncommon for the ‘required particulars’ to be faster than the body of the advertisement.’;</w:t>
      </w:r>
    </w:p>
    <w:p w14:paraId="24AFBBC6" w14:textId="77777777" w:rsidR="00B6056D" w:rsidRPr="00364849" w:rsidRDefault="00B6056D" w:rsidP="00B6056D">
      <w:pPr>
        <w:pStyle w:val="ListParagraph"/>
        <w:ind w:left="1440"/>
        <w:rPr>
          <w:rFonts w:eastAsiaTheme="minorHAnsi" w:cs="Arial"/>
          <w:szCs w:val="20"/>
        </w:rPr>
      </w:pPr>
    </w:p>
    <w:p w14:paraId="04C36DA8" w14:textId="77777777" w:rsidR="00B6056D" w:rsidRPr="00364849" w:rsidRDefault="00B6056D" w:rsidP="00B6056D">
      <w:pPr>
        <w:pStyle w:val="ListParagraph"/>
        <w:numPr>
          <w:ilvl w:val="1"/>
          <w:numId w:val="39"/>
        </w:numPr>
        <w:spacing w:before="0" w:after="0" w:line="240" w:lineRule="auto"/>
        <w:contextualSpacing w:val="0"/>
        <w:rPr>
          <w:rFonts w:cs="Arial"/>
          <w:szCs w:val="20"/>
        </w:rPr>
      </w:pPr>
      <w:r w:rsidRPr="00364849">
        <w:rPr>
          <w:rFonts w:cs="Arial"/>
          <w:szCs w:val="20"/>
        </w:rPr>
        <w:t>‘As you may be aware, the Broadcasting Services Act 1992 (Cth) and the Electoral Act 1907 (WA) do not stipulate any specific requirements or guidelines as to the speed of the ‘required particulars’. There are also no guidelines provided by the ACMA or any other regulatory body on this specific issue. The legislation is silent on the technical specifications as to the audibility of the soundtrack for ‘required particulars’;</w:t>
      </w:r>
    </w:p>
    <w:p w14:paraId="58526786" w14:textId="77777777" w:rsidR="00B6056D" w:rsidRPr="00364849" w:rsidRDefault="00B6056D" w:rsidP="00B6056D">
      <w:pPr>
        <w:pStyle w:val="ListParagraph"/>
        <w:rPr>
          <w:rFonts w:eastAsiaTheme="minorHAnsi" w:cs="Arial"/>
          <w:szCs w:val="20"/>
        </w:rPr>
      </w:pPr>
    </w:p>
    <w:p w14:paraId="6C5A60EF" w14:textId="77777777" w:rsidR="00B6056D" w:rsidRPr="00364849" w:rsidRDefault="00B6056D" w:rsidP="00B6056D">
      <w:pPr>
        <w:pStyle w:val="ListParagraph"/>
        <w:numPr>
          <w:ilvl w:val="1"/>
          <w:numId w:val="39"/>
        </w:numPr>
        <w:spacing w:before="0" w:after="0" w:line="240" w:lineRule="auto"/>
        <w:contextualSpacing w:val="0"/>
        <w:rPr>
          <w:rFonts w:cs="Arial"/>
          <w:szCs w:val="20"/>
        </w:rPr>
      </w:pPr>
      <w:r w:rsidRPr="00364849">
        <w:rPr>
          <w:rFonts w:cs="Arial"/>
          <w:szCs w:val="20"/>
        </w:rPr>
        <w:t>‘The ClearAds review of political and election television advertisements includes adhering to internal guidelines and recommendations that take into consideration whether there is sufficient time for the ‘required particulars’ to be understood and audible. For example, we recommend a 2 second minimum for 10 words or less and in this particular instance the authorisation tag appears for over 2 seconds and meets our general recommendations.’; and</w:t>
      </w:r>
    </w:p>
    <w:p w14:paraId="6245A82F" w14:textId="77777777" w:rsidR="00B6056D" w:rsidRPr="00364849" w:rsidRDefault="00B6056D" w:rsidP="00B6056D">
      <w:pPr>
        <w:pStyle w:val="ListParagraph"/>
        <w:rPr>
          <w:rFonts w:eastAsiaTheme="minorHAnsi" w:cs="Arial"/>
          <w:szCs w:val="20"/>
        </w:rPr>
      </w:pPr>
    </w:p>
    <w:p w14:paraId="2551FA8D" w14:textId="77777777" w:rsidR="00B6056D" w:rsidRPr="00364849" w:rsidRDefault="00B6056D" w:rsidP="00B6056D">
      <w:pPr>
        <w:pStyle w:val="ListParagraph"/>
        <w:numPr>
          <w:ilvl w:val="1"/>
          <w:numId w:val="39"/>
        </w:numPr>
        <w:spacing w:before="0" w:after="0" w:line="240" w:lineRule="auto"/>
        <w:contextualSpacing w:val="0"/>
        <w:rPr>
          <w:rFonts w:cs="Arial"/>
          <w:szCs w:val="20"/>
        </w:rPr>
      </w:pPr>
      <w:r w:rsidRPr="00364849">
        <w:rPr>
          <w:rFonts w:cs="Arial"/>
          <w:szCs w:val="20"/>
        </w:rPr>
        <w:t>‘We also consider other factors such as whether the ‘required particulars’ are clearly separated from the body of the advertisement, ensuring that no visuals or sounds from the main body of the advertisement bleeds into the ‘required particulars’ and further that there are no other texts, sounds or graphics on screen that overlap or distract from the ‘required particulars’. We also look at the size of the text, it’s contrast from the background as well as overall legibility and clarity and in this particular instance all these requirements were met’.</w:t>
      </w:r>
    </w:p>
    <w:p w14:paraId="5505C724" w14:textId="77777777" w:rsidR="00B6056D" w:rsidRPr="00364849" w:rsidRDefault="00B6056D" w:rsidP="00B6056D">
      <w:pPr>
        <w:pStyle w:val="ListParagraph"/>
        <w:rPr>
          <w:rFonts w:eastAsiaTheme="minorHAnsi" w:cs="Arial"/>
          <w:szCs w:val="20"/>
        </w:rPr>
      </w:pPr>
    </w:p>
    <w:p w14:paraId="59B59AB3" w14:textId="77777777" w:rsidR="00B6056D" w:rsidRPr="00364849" w:rsidRDefault="00B6056D" w:rsidP="00B6056D">
      <w:pPr>
        <w:pStyle w:val="ListParagraph"/>
        <w:numPr>
          <w:ilvl w:val="0"/>
          <w:numId w:val="39"/>
        </w:numPr>
        <w:spacing w:before="0" w:after="0" w:line="240" w:lineRule="auto"/>
        <w:contextualSpacing w:val="0"/>
        <w:rPr>
          <w:rFonts w:cs="Arial"/>
          <w:i w:val="0"/>
          <w:iCs/>
          <w:szCs w:val="20"/>
        </w:rPr>
      </w:pPr>
      <w:r w:rsidRPr="00364849">
        <w:rPr>
          <w:rFonts w:cs="Arial"/>
          <w:i w:val="0"/>
          <w:iCs/>
          <w:szCs w:val="20"/>
        </w:rPr>
        <w:t xml:space="preserve">As the Broadcast had received approval from ClearAds, Nine had no reason to believe or suspect that the Broadcast was not compliant with the relevant requirements of the BSA.  Indeed, the very process of ClearAds approval demonstrates that the Broadcast was considered comply with their internal guidelines on the speed of required particulars such that they were deemed to be capable of being ‘understood and audible’. Nine therefore relied on this approval. </w:t>
      </w:r>
    </w:p>
    <w:p w14:paraId="26FCB113" w14:textId="77777777" w:rsidR="00B6056D" w:rsidRPr="00364849" w:rsidRDefault="00B6056D" w:rsidP="00B6056D">
      <w:pPr>
        <w:pStyle w:val="ListParagraph"/>
        <w:rPr>
          <w:rFonts w:eastAsiaTheme="minorHAnsi" w:cs="Arial"/>
          <w:i w:val="0"/>
          <w:iCs/>
          <w:szCs w:val="20"/>
        </w:rPr>
      </w:pPr>
    </w:p>
    <w:p w14:paraId="4721FCE5" w14:textId="77777777" w:rsidR="00B6056D" w:rsidRPr="00364849" w:rsidRDefault="00B6056D" w:rsidP="00B6056D">
      <w:pPr>
        <w:pStyle w:val="ListParagraph"/>
        <w:numPr>
          <w:ilvl w:val="0"/>
          <w:numId w:val="39"/>
        </w:numPr>
        <w:spacing w:before="0" w:after="0" w:line="240" w:lineRule="auto"/>
        <w:contextualSpacing w:val="0"/>
        <w:rPr>
          <w:rFonts w:cs="Arial"/>
          <w:i w:val="0"/>
          <w:iCs/>
          <w:szCs w:val="20"/>
        </w:rPr>
      </w:pPr>
      <w:r w:rsidRPr="00364849">
        <w:rPr>
          <w:rFonts w:cs="Arial"/>
          <w:i w:val="0"/>
          <w:iCs/>
          <w:szCs w:val="20"/>
        </w:rPr>
        <w:t xml:space="preserve">Having regard to the above, Nine would respectfully request that the ACMA reconsider its preliminary finding in this investigation. </w:t>
      </w:r>
    </w:p>
    <w:p w14:paraId="7DEFB29B" w14:textId="77777777" w:rsidR="00B6056D" w:rsidRPr="00364849" w:rsidRDefault="00B6056D" w:rsidP="00B6056D">
      <w:pPr>
        <w:pStyle w:val="ListParagraph"/>
        <w:rPr>
          <w:rFonts w:eastAsiaTheme="minorHAnsi" w:cs="Arial"/>
          <w:i w:val="0"/>
          <w:iCs/>
          <w:szCs w:val="20"/>
        </w:rPr>
      </w:pPr>
    </w:p>
    <w:p w14:paraId="6FA3E735" w14:textId="4405C65E" w:rsidR="00B6056D" w:rsidRPr="00364849" w:rsidRDefault="00B6056D" w:rsidP="00B6056D">
      <w:pPr>
        <w:pStyle w:val="ListParagraph"/>
        <w:numPr>
          <w:ilvl w:val="0"/>
          <w:numId w:val="39"/>
        </w:numPr>
        <w:spacing w:before="0" w:after="0" w:line="240" w:lineRule="auto"/>
        <w:contextualSpacing w:val="0"/>
        <w:rPr>
          <w:rFonts w:cs="Arial"/>
          <w:i w:val="0"/>
          <w:iCs/>
          <w:szCs w:val="20"/>
        </w:rPr>
      </w:pPr>
      <w:r w:rsidRPr="00364849">
        <w:rPr>
          <w:rFonts w:cs="Arial"/>
          <w:i w:val="0"/>
          <w:iCs/>
          <w:szCs w:val="20"/>
        </w:rPr>
        <w:t>In the event the ACMA is not minded to depart from its preliminary finding, Nine would submit that the recording of a breach finding against it would not be appropriate in the circumstances.  The facts of this case demonstrate that notwithstanding the absence of any specific requirements, technical specifications or guidelines about the speed of the required particulars, efforts were made to ensure the Broadcast was compliant with the relevant obligations under the BSA – namely the approval of the content obtained from ClearAds.</w:t>
      </w:r>
    </w:p>
    <w:p w14:paraId="5BBC5764" w14:textId="2E2807E7" w:rsidR="00E449F6" w:rsidRPr="000B02C3" w:rsidRDefault="000B02C3" w:rsidP="005E27FD">
      <w:pPr>
        <w:pStyle w:val="ACMABodyText"/>
        <w:rPr>
          <w:bCs/>
          <w:iCs/>
        </w:rPr>
      </w:pPr>
      <w:r w:rsidRPr="000B02C3">
        <w:rPr>
          <w:bCs/>
          <w:iCs/>
        </w:rPr>
        <w:t>[…]</w:t>
      </w:r>
    </w:p>
    <w:p w14:paraId="637185B2" w14:textId="77777777" w:rsidR="00E449F6" w:rsidRDefault="00E449F6" w:rsidP="00E449F6">
      <w:pPr>
        <w:spacing w:before="0" w:after="0" w:line="240" w:lineRule="auto"/>
        <w:rPr>
          <w:b/>
          <w:snapToGrid w:val="0"/>
          <w:szCs w:val="20"/>
        </w:rPr>
      </w:pPr>
      <w:r>
        <w:rPr>
          <w:b/>
          <w:i w:val="0"/>
        </w:rPr>
        <w:br w:type="page"/>
      </w:r>
    </w:p>
    <w:p w14:paraId="1522ECDC" w14:textId="77777777" w:rsidR="00E449F6" w:rsidRPr="0060190A" w:rsidRDefault="00E449F6" w:rsidP="00E449F6">
      <w:pPr>
        <w:pStyle w:val="ACMAHeading2"/>
        <w:pageBreakBefore/>
        <w:spacing w:after="240"/>
        <w:jc w:val="right"/>
      </w:pPr>
      <w:r w:rsidRPr="0060190A">
        <w:lastRenderedPageBreak/>
        <w:t xml:space="preserve">Attachment </w:t>
      </w:r>
      <w:r>
        <w:t>C</w:t>
      </w:r>
    </w:p>
    <w:p w14:paraId="77E57CAD" w14:textId="77777777" w:rsidR="00E449F6" w:rsidRDefault="00E449F6" w:rsidP="00E449F6">
      <w:pPr>
        <w:pStyle w:val="ACMAHeading2"/>
        <w:spacing w:before="0" w:after="240" w:line="240" w:lineRule="atLeast"/>
        <w:rPr>
          <w:b w:val="0"/>
        </w:rPr>
      </w:pPr>
      <w:r w:rsidRPr="0025201D">
        <w:t xml:space="preserve">Relevant </w:t>
      </w:r>
      <w:r>
        <w:t xml:space="preserve">legislation and </w:t>
      </w:r>
      <w:r w:rsidRPr="00B67EA1">
        <w:t xml:space="preserve">the ACMA’s </w:t>
      </w:r>
      <w:r>
        <w:t xml:space="preserve">assessment </w:t>
      </w:r>
      <w:r w:rsidRPr="00B67EA1">
        <w:t>process</w:t>
      </w:r>
    </w:p>
    <w:p w14:paraId="39ECE100" w14:textId="77777777" w:rsidR="00E449F6" w:rsidRPr="00796833" w:rsidRDefault="00E449F6" w:rsidP="00E449F6">
      <w:pPr>
        <w:pStyle w:val="ACMABodyText0"/>
        <w:spacing w:before="160"/>
        <w:ind w:right="660"/>
        <w:rPr>
          <w:rFonts w:ascii="Arial" w:hAnsi="Arial" w:cs="Arial"/>
          <w:b/>
          <w:szCs w:val="24"/>
        </w:rPr>
      </w:pPr>
      <w:r w:rsidRPr="00796833">
        <w:rPr>
          <w:rFonts w:ascii="Arial" w:hAnsi="Arial" w:cs="Arial"/>
          <w:b/>
          <w:i/>
          <w:iCs/>
          <w:szCs w:val="24"/>
        </w:rPr>
        <w:t>Broadcasting Services Act 1992</w:t>
      </w:r>
    </w:p>
    <w:p w14:paraId="4F80830F" w14:textId="77777777" w:rsidR="00E449F6" w:rsidRPr="00CD4AA4" w:rsidRDefault="00E449F6" w:rsidP="00E449F6">
      <w:pPr>
        <w:pStyle w:val="ACMABodyText0"/>
        <w:spacing w:before="160"/>
        <w:ind w:right="660"/>
        <w:rPr>
          <w:rFonts w:ascii="Arial" w:hAnsi="Arial" w:cs="Arial"/>
          <w:b/>
          <w:sz w:val="22"/>
          <w:szCs w:val="22"/>
        </w:rPr>
      </w:pPr>
      <w:r w:rsidRPr="00CD4AA4">
        <w:rPr>
          <w:rFonts w:ascii="Arial" w:hAnsi="Arial" w:cs="Arial"/>
          <w:b/>
          <w:sz w:val="22"/>
          <w:szCs w:val="22"/>
        </w:rPr>
        <w:t>Part 1—Preliminary</w:t>
      </w:r>
    </w:p>
    <w:p w14:paraId="2E3D4A77" w14:textId="77777777" w:rsidR="00E449F6" w:rsidRPr="00CD4AA4" w:rsidRDefault="00E449F6" w:rsidP="00A71E68">
      <w:pPr>
        <w:pStyle w:val="ACMABodyText0"/>
        <w:spacing w:before="120"/>
        <w:ind w:right="660"/>
        <w:rPr>
          <w:rFonts w:ascii="Arial" w:hAnsi="Arial" w:cs="Arial"/>
          <w:b/>
          <w:sz w:val="22"/>
          <w:szCs w:val="22"/>
        </w:rPr>
      </w:pPr>
      <w:r w:rsidRPr="00CD4AA4">
        <w:rPr>
          <w:rFonts w:ascii="Arial" w:hAnsi="Arial" w:cs="Arial"/>
          <w:b/>
          <w:sz w:val="22"/>
          <w:szCs w:val="22"/>
        </w:rPr>
        <w:t>Schedule 2—Standard conditions</w:t>
      </w:r>
    </w:p>
    <w:p w14:paraId="005E9259" w14:textId="77777777" w:rsidR="00E449F6" w:rsidRDefault="00E449F6" w:rsidP="00E449F6">
      <w:pPr>
        <w:pStyle w:val="ACMABodyText0"/>
        <w:tabs>
          <w:tab w:val="left" w:pos="284"/>
        </w:tabs>
        <w:ind w:right="660"/>
        <w:rPr>
          <w:rFonts w:ascii="Arial" w:hAnsi="Arial" w:cs="Arial"/>
          <w:b/>
          <w:sz w:val="20"/>
        </w:rPr>
      </w:pPr>
      <w:r>
        <w:rPr>
          <w:rFonts w:ascii="Arial" w:hAnsi="Arial" w:cs="Arial"/>
          <w:b/>
          <w:sz w:val="20"/>
        </w:rPr>
        <w:t>Part 1—Interpretation</w:t>
      </w:r>
    </w:p>
    <w:p w14:paraId="47210F03" w14:textId="77777777" w:rsidR="00E449F6" w:rsidRPr="00DE31CF" w:rsidRDefault="00E449F6" w:rsidP="00E449F6">
      <w:pPr>
        <w:pStyle w:val="ACMABodyText0"/>
        <w:tabs>
          <w:tab w:val="left" w:pos="284"/>
        </w:tabs>
        <w:ind w:right="660"/>
        <w:rPr>
          <w:rFonts w:ascii="Arial" w:hAnsi="Arial" w:cs="Arial"/>
          <w:b/>
          <w:sz w:val="20"/>
        </w:rPr>
      </w:pPr>
      <w:r w:rsidRPr="007F70D3">
        <w:rPr>
          <w:rFonts w:ascii="Arial" w:hAnsi="Arial" w:cs="Arial"/>
          <w:b/>
          <w:sz w:val="20"/>
        </w:rPr>
        <w:t xml:space="preserve">1 </w:t>
      </w:r>
      <w:r w:rsidRPr="00DE31CF">
        <w:rPr>
          <w:rFonts w:ascii="Arial" w:hAnsi="Arial" w:cs="Arial"/>
          <w:b/>
          <w:sz w:val="20"/>
        </w:rPr>
        <w:t>Definitions</w:t>
      </w:r>
    </w:p>
    <w:p w14:paraId="5A49C626" w14:textId="77777777" w:rsidR="00E449F6" w:rsidRPr="00DE31CF" w:rsidRDefault="00E449F6" w:rsidP="00E449F6">
      <w:pPr>
        <w:pStyle w:val="ACMABodyText0"/>
        <w:numPr>
          <w:ilvl w:val="0"/>
          <w:numId w:val="25"/>
        </w:numPr>
        <w:tabs>
          <w:tab w:val="left" w:pos="284"/>
        </w:tabs>
        <w:ind w:right="660"/>
        <w:rPr>
          <w:rFonts w:ascii="Arial" w:hAnsi="Arial" w:cs="Arial"/>
          <w:sz w:val="20"/>
        </w:rPr>
      </w:pPr>
      <w:r w:rsidRPr="00DE31CF">
        <w:rPr>
          <w:rFonts w:ascii="Arial" w:hAnsi="Arial" w:cs="Arial"/>
          <w:sz w:val="20"/>
        </w:rPr>
        <w:t>In this Schedule</w:t>
      </w:r>
    </w:p>
    <w:p w14:paraId="5B4382C9" w14:textId="77777777" w:rsidR="00E449F6" w:rsidRPr="00DE31CF" w:rsidRDefault="00E449F6" w:rsidP="00E449F6">
      <w:pPr>
        <w:pStyle w:val="ACMABodyText0"/>
        <w:spacing w:before="0" w:line="240" w:lineRule="atLeast"/>
        <w:ind w:left="567" w:right="660"/>
        <w:rPr>
          <w:rFonts w:ascii="Arial" w:hAnsi="Arial" w:cs="Arial"/>
          <w:sz w:val="20"/>
        </w:rPr>
      </w:pPr>
      <w:r w:rsidRPr="00DE31CF">
        <w:rPr>
          <w:rFonts w:ascii="Arial" w:hAnsi="Arial" w:cs="Arial"/>
          <w:sz w:val="20"/>
        </w:rPr>
        <w:t>[…]</w:t>
      </w:r>
    </w:p>
    <w:p w14:paraId="47FD30D6" w14:textId="77777777" w:rsidR="00E449F6" w:rsidRPr="009649A1" w:rsidRDefault="00E449F6" w:rsidP="00E449F6">
      <w:pPr>
        <w:pStyle w:val="ACMABodyText0"/>
        <w:spacing w:before="0" w:line="240" w:lineRule="atLeast"/>
        <w:ind w:left="567" w:right="660"/>
        <w:rPr>
          <w:rFonts w:ascii="Arial" w:hAnsi="Arial" w:cs="Arial"/>
          <w:bCs/>
          <w:iCs/>
          <w:sz w:val="20"/>
        </w:rPr>
      </w:pPr>
      <w:r w:rsidRPr="001B6080">
        <w:rPr>
          <w:rFonts w:ascii="Arial" w:hAnsi="Arial" w:cs="Arial"/>
          <w:b/>
          <w:i/>
          <w:sz w:val="20"/>
        </w:rPr>
        <w:t>disclosure entity</w:t>
      </w:r>
      <w:r w:rsidRPr="009649A1">
        <w:rPr>
          <w:rFonts w:ascii="Arial" w:hAnsi="Arial" w:cs="Arial"/>
          <w:bCs/>
          <w:iCs/>
          <w:sz w:val="20"/>
        </w:rPr>
        <w:t xml:space="preserve"> has the meaning given by:</w:t>
      </w:r>
    </w:p>
    <w:p w14:paraId="57475716" w14:textId="77777777" w:rsidR="00E449F6" w:rsidRPr="009649A1" w:rsidRDefault="00E449F6" w:rsidP="00E449F6">
      <w:pPr>
        <w:pStyle w:val="ACMABodyText0"/>
        <w:spacing w:before="0" w:line="240" w:lineRule="atLeast"/>
        <w:ind w:left="851" w:right="235" w:hanging="1277"/>
        <w:rPr>
          <w:rFonts w:ascii="Arial" w:hAnsi="Arial" w:cs="Arial"/>
          <w:bCs/>
          <w:iCs/>
          <w:sz w:val="20"/>
        </w:rPr>
      </w:pPr>
      <w:r w:rsidRPr="009649A1">
        <w:rPr>
          <w:rFonts w:ascii="Arial" w:hAnsi="Arial" w:cs="Arial"/>
          <w:bCs/>
          <w:iCs/>
          <w:sz w:val="20"/>
        </w:rPr>
        <w:t xml:space="preserve">                     (a)  section 321B of the </w:t>
      </w:r>
      <w:r w:rsidRPr="009649A1">
        <w:rPr>
          <w:rFonts w:ascii="Arial" w:hAnsi="Arial" w:cs="Arial"/>
          <w:bCs/>
          <w:i/>
          <w:sz w:val="20"/>
        </w:rPr>
        <w:t>Commonwealth Electoral Act 1918</w:t>
      </w:r>
      <w:r w:rsidRPr="009649A1">
        <w:rPr>
          <w:rFonts w:ascii="Arial" w:hAnsi="Arial" w:cs="Arial"/>
          <w:bCs/>
          <w:iCs/>
          <w:sz w:val="20"/>
        </w:rPr>
        <w:t>; or</w:t>
      </w:r>
    </w:p>
    <w:p w14:paraId="66E4BC8F" w14:textId="77777777" w:rsidR="00E449F6" w:rsidRDefault="00E449F6" w:rsidP="00E449F6">
      <w:pPr>
        <w:pStyle w:val="ACMABodyText0"/>
        <w:tabs>
          <w:tab w:val="left" w:pos="993"/>
        </w:tabs>
        <w:spacing w:before="0" w:line="240" w:lineRule="atLeast"/>
        <w:ind w:left="851" w:right="235" w:hanging="1277"/>
        <w:rPr>
          <w:rFonts w:ascii="Arial" w:hAnsi="Arial" w:cs="Arial"/>
          <w:b/>
          <w:i/>
          <w:sz w:val="20"/>
        </w:rPr>
      </w:pPr>
      <w:r w:rsidRPr="009649A1">
        <w:rPr>
          <w:rFonts w:ascii="Arial" w:hAnsi="Arial" w:cs="Arial"/>
          <w:bCs/>
          <w:iCs/>
          <w:sz w:val="20"/>
        </w:rPr>
        <w:t xml:space="preserve">                     (b)  paragraph (e) of the definition of disclosure entity in section</w:t>
      </w:r>
      <w:r>
        <w:rPr>
          <w:rFonts w:ascii="Arial" w:hAnsi="Arial" w:cs="Arial"/>
          <w:bCs/>
          <w:iCs/>
          <w:sz w:val="20"/>
        </w:rPr>
        <w:t xml:space="preserve"> </w:t>
      </w:r>
      <w:r w:rsidRPr="009649A1">
        <w:rPr>
          <w:rFonts w:ascii="Arial" w:hAnsi="Arial" w:cs="Arial"/>
          <w:bCs/>
          <w:iCs/>
          <w:sz w:val="20"/>
        </w:rPr>
        <w:t xml:space="preserve">110A of the </w:t>
      </w:r>
      <w:r w:rsidRPr="00C6773B">
        <w:rPr>
          <w:rFonts w:ascii="Arial" w:hAnsi="Arial" w:cs="Arial"/>
          <w:bCs/>
          <w:i/>
          <w:sz w:val="20"/>
        </w:rPr>
        <w:t>Referendum (Machinery Provisions) Act 1984</w:t>
      </w:r>
      <w:r w:rsidRPr="001B6080">
        <w:rPr>
          <w:rFonts w:ascii="Arial" w:hAnsi="Arial" w:cs="Arial"/>
          <w:b/>
          <w:i/>
          <w:sz w:val="20"/>
        </w:rPr>
        <w:t>.</w:t>
      </w:r>
    </w:p>
    <w:p w14:paraId="7022A46B" w14:textId="77777777" w:rsidR="00E449F6" w:rsidRPr="009649A1" w:rsidRDefault="00E449F6" w:rsidP="00E449F6">
      <w:pPr>
        <w:pStyle w:val="ACMABodyText0"/>
        <w:spacing w:before="0" w:line="240" w:lineRule="atLeast"/>
        <w:ind w:left="567" w:right="660"/>
        <w:rPr>
          <w:rFonts w:ascii="Arial" w:hAnsi="Arial" w:cs="Arial"/>
          <w:bCs/>
          <w:iCs/>
          <w:sz w:val="20"/>
        </w:rPr>
      </w:pPr>
      <w:r w:rsidRPr="009649A1">
        <w:rPr>
          <w:rFonts w:ascii="Arial" w:hAnsi="Arial" w:cs="Arial"/>
          <w:bCs/>
          <w:iCs/>
          <w:sz w:val="20"/>
        </w:rPr>
        <w:t>[…]</w:t>
      </w:r>
    </w:p>
    <w:p w14:paraId="7C0AA157" w14:textId="77777777" w:rsidR="00E449F6" w:rsidRPr="00DE31CF" w:rsidRDefault="00E449F6" w:rsidP="00E449F6">
      <w:pPr>
        <w:pStyle w:val="ACMABodyText0"/>
        <w:spacing w:before="0" w:line="240" w:lineRule="atLeast"/>
        <w:ind w:left="567" w:right="660"/>
        <w:rPr>
          <w:rFonts w:ascii="Arial" w:hAnsi="Arial" w:cs="Arial"/>
          <w:sz w:val="20"/>
        </w:rPr>
      </w:pPr>
      <w:r w:rsidRPr="00DE31CF">
        <w:rPr>
          <w:rFonts w:ascii="Arial" w:hAnsi="Arial" w:cs="Arial"/>
          <w:b/>
          <w:i/>
          <w:sz w:val="20"/>
        </w:rPr>
        <w:t>person</w:t>
      </w:r>
      <w:r w:rsidRPr="00DE31CF">
        <w:rPr>
          <w:rFonts w:ascii="Arial" w:hAnsi="Arial" w:cs="Arial"/>
          <w:sz w:val="20"/>
        </w:rPr>
        <w:t xml:space="preserve"> includes a political party, a corporation and any other association (whether incorporated or unincorporated).</w:t>
      </w:r>
    </w:p>
    <w:p w14:paraId="3EDC8C34" w14:textId="77777777" w:rsidR="00E449F6" w:rsidRPr="00DE31CF" w:rsidRDefault="00E449F6" w:rsidP="00E449F6">
      <w:pPr>
        <w:pStyle w:val="ACMABodyText0"/>
        <w:spacing w:before="0" w:line="240" w:lineRule="atLeast"/>
        <w:ind w:left="567" w:right="658"/>
        <w:rPr>
          <w:rFonts w:ascii="Arial" w:hAnsi="Arial" w:cs="Arial"/>
          <w:sz w:val="20"/>
        </w:rPr>
      </w:pPr>
      <w:r w:rsidRPr="00DE31CF">
        <w:rPr>
          <w:rFonts w:ascii="Arial" w:hAnsi="Arial" w:cs="Arial"/>
          <w:b/>
          <w:i/>
          <w:sz w:val="20"/>
        </w:rPr>
        <w:t>political matter</w:t>
      </w:r>
      <w:r w:rsidRPr="00DE31CF">
        <w:rPr>
          <w:rFonts w:ascii="Arial" w:hAnsi="Arial" w:cs="Arial"/>
          <w:sz w:val="20"/>
        </w:rPr>
        <w:t xml:space="preserve"> means any political matter, including the policy launch of a political party.</w:t>
      </w:r>
    </w:p>
    <w:p w14:paraId="2DFB7BA3" w14:textId="77777777" w:rsidR="00E449F6" w:rsidRPr="00DE31CF" w:rsidRDefault="00E449F6" w:rsidP="00E449F6">
      <w:pPr>
        <w:pStyle w:val="ACMABodyText0"/>
        <w:spacing w:before="0" w:line="240" w:lineRule="atLeast"/>
        <w:ind w:right="658" w:firstLine="567"/>
        <w:rPr>
          <w:rFonts w:ascii="Arial" w:hAnsi="Arial" w:cs="Arial"/>
          <w:sz w:val="20"/>
        </w:rPr>
      </w:pPr>
      <w:r w:rsidRPr="00DE31CF">
        <w:rPr>
          <w:rFonts w:ascii="Arial" w:hAnsi="Arial" w:cs="Arial"/>
          <w:sz w:val="20"/>
        </w:rPr>
        <w:t>[…]</w:t>
      </w:r>
    </w:p>
    <w:p w14:paraId="23C2E067" w14:textId="77777777" w:rsidR="00E449F6" w:rsidRPr="005B6997" w:rsidRDefault="00E449F6" w:rsidP="00E449F6">
      <w:pPr>
        <w:pStyle w:val="ListParagraph"/>
        <w:numPr>
          <w:ilvl w:val="0"/>
          <w:numId w:val="25"/>
        </w:numPr>
        <w:spacing w:before="0" w:after="120" w:line="240" w:lineRule="atLeast"/>
        <w:rPr>
          <w:rFonts w:cs="Arial"/>
          <w:i w:val="0"/>
          <w:snapToGrid w:val="0"/>
          <w:szCs w:val="20"/>
        </w:rPr>
      </w:pPr>
      <w:r w:rsidRPr="005B6997">
        <w:rPr>
          <w:rFonts w:cs="Arial"/>
          <w:i w:val="0"/>
          <w:snapToGrid w:val="0"/>
          <w:szCs w:val="20"/>
        </w:rPr>
        <w:t xml:space="preserve">The </w:t>
      </w:r>
      <w:r w:rsidRPr="005B6997">
        <w:rPr>
          <w:rFonts w:cs="Arial"/>
          <w:b/>
          <w:snapToGrid w:val="0"/>
          <w:szCs w:val="20"/>
        </w:rPr>
        <w:t>required particulars</w:t>
      </w:r>
      <w:r w:rsidRPr="005B6997">
        <w:rPr>
          <w:rFonts w:cs="Arial"/>
          <w:i w:val="0"/>
          <w:snapToGrid w:val="0"/>
          <w:szCs w:val="20"/>
        </w:rPr>
        <w:t xml:space="preserve"> are:</w:t>
      </w:r>
    </w:p>
    <w:p w14:paraId="06278E23" w14:textId="77777777" w:rsidR="00E449F6" w:rsidRPr="00DE31CF" w:rsidRDefault="00E449F6" w:rsidP="00E449F6">
      <w:pPr>
        <w:spacing w:before="0" w:after="120" w:line="240" w:lineRule="atLeast"/>
        <w:ind w:left="567"/>
        <w:rPr>
          <w:rFonts w:cs="Arial"/>
          <w:i w:val="0"/>
          <w:szCs w:val="20"/>
          <w:lang w:eastAsia="en-AU"/>
        </w:rPr>
      </w:pPr>
      <w:r w:rsidRPr="00DE31CF">
        <w:rPr>
          <w:rFonts w:cs="Arial"/>
          <w:i w:val="0"/>
          <w:szCs w:val="20"/>
          <w:lang w:eastAsia="en-AU"/>
        </w:rPr>
        <w:t xml:space="preserve">(a) the particulars set out in the following table; and </w:t>
      </w:r>
    </w:p>
    <w:p w14:paraId="36848977" w14:textId="77777777" w:rsidR="00E449F6" w:rsidRPr="00DE31CF" w:rsidRDefault="00E449F6" w:rsidP="00E449F6">
      <w:pPr>
        <w:spacing w:before="0" w:after="0" w:line="240" w:lineRule="atLeast"/>
        <w:ind w:left="567"/>
        <w:rPr>
          <w:rFonts w:cs="Arial"/>
          <w:i w:val="0"/>
          <w:szCs w:val="20"/>
          <w:lang w:eastAsia="en-AU"/>
        </w:rPr>
      </w:pPr>
      <w:r w:rsidRPr="00DE31CF">
        <w:rPr>
          <w:rFonts w:cs="Arial"/>
          <w:i w:val="0"/>
          <w:szCs w:val="20"/>
          <w:lang w:eastAsia="en-AU"/>
        </w:rPr>
        <w:t xml:space="preserve">(b) any other particulars determined under subsection 321D(7) of the </w:t>
      </w:r>
      <w:r w:rsidRPr="00DE31CF">
        <w:rPr>
          <w:rFonts w:cs="Arial"/>
          <w:iCs/>
          <w:szCs w:val="20"/>
          <w:lang w:eastAsia="en-AU"/>
        </w:rPr>
        <w:t xml:space="preserve">Commonwealth Electoral Act 1918 </w:t>
      </w:r>
      <w:r w:rsidRPr="00DE31CF">
        <w:rPr>
          <w:rFonts w:cs="Arial"/>
          <w:i w:val="0"/>
          <w:szCs w:val="20"/>
          <w:lang w:eastAsia="en-AU"/>
        </w:rPr>
        <w:t xml:space="preserve">for the purposes of this paragraph. </w:t>
      </w:r>
    </w:p>
    <w:tbl>
      <w:tblPr>
        <w:tblpPr w:leftFromText="181" w:rightFromText="181" w:vertAnchor="text" w:horzAnchor="page" w:tblpX="2343" w:tblpY="171"/>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87"/>
        <w:gridCol w:w="1965"/>
        <w:gridCol w:w="4820"/>
      </w:tblGrid>
      <w:tr w:rsidR="00E449F6" w:rsidRPr="00BF3F0F" w14:paraId="60ABB07C" w14:textId="77777777" w:rsidTr="00A71E68">
        <w:trPr>
          <w:tblHeader/>
        </w:trPr>
        <w:tc>
          <w:tcPr>
            <w:tcW w:w="7372" w:type="dxa"/>
            <w:gridSpan w:val="3"/>
            <w:tcBorders>
              <w:top w:val="single" w:sz="12" w:space="0" w:color="auto"/>
              <w:left w:val="nil"/>
              <w:bottom w:val="single" w:sz="8" w:space="0" w:color="auto"/>
              <w:right w:val="nil"/>
            </w:tcBorders>
            <w:tcMar>
              <w:top w:w="0" w:type="dxa"/>
              <w:left w:w="108" w:type="dxa"/>
              <w:bottom w:w="0" w:type="dxa"/>
              <w:right w:w="108" w:type="dxa"/>
            </w:tcMar>
            <w:hideMark/>
          </w:tcPr>
          <w:p w14:paraId="159A6F47" w14:textId="77777777" w:rsidR="00E449F6" w:rsidRPr="00EB1E8B" w:rsidRDefault="00E449F6" w:rsidP="00A71E68">
            <w:pPr>
              <w:spacing w:before="0" w:after="100" w:afterAutospacing="1" w:line="240" w:lineRule="auto"/>
              <w:rPr>
                <w:rFonts w:cs="Arial"/>
                <w:b/>
                <w:i w:val="0"/>
                <w:sz w:val="18"/>
                <w:szCs w:val="18"/>
                <w:lang w:eastAsia="en-AU"/>
              </w:rPr>
            </w:pPr>
            <w:r w:rsidRPr="00EB1E8B">
              <w:rPr>
                <w:rFonts w:cs="Arial"/>
                <w:b/>
                <w:i w:val="0"/>
                <w:sz w:val="18"/>
                <w:szCs w:val="18"/>
                <w:lang w:eastAsia="en-AU"/>
              </w:rPr>
              <w:t xml:space="preserve">Required particulars </w:t>
            </w:r>
          </w:p>
        </w:tc>
      </w:tr>
      <w:tr w:rsidR="00E449F6" w:rsidRPr="00BF3F0F" w14:paraId="2741E7A9" w14:textId="77777777" w:rsidTr="00A71E68">
        <w:trPr>
          <w:tblHeader/>
        </w:trPr>
        <w:tc>
          <w:tcPr>
            <w:tcW w:w="587" w:type="dxa"/>
            <w:tcBorders>
              <w:top w:val="nil"/>
              <w:left w:val="nil"/>
              <w:bottom w:val="single" w:sz="12" w:space="0" w:color="auto"/>
              <w:right w:val="nil"/>
            </w:tcBorders>
            <w:tcMar>
              <w:top w:w="0" w:type="dxa"/>
              <w:left w:w="108" w:type="dxa"/>
              <w:bottom w:w="0" w:type="dxa"/>
              <w:right w:w="108" w:type="dxa"/>
            </w:tcMar>
            <w:hideMark/>
          </w:tcPr>
          <w:p w14:paraId="359E8001" w14:textId="77777777" w:rsidR="00E449F6" w:rsidRPr="00EB1E8B" w:rsidRDefault="00E449F6" w:rsidP="00A71E68">
            <w:pPr>
              <w:spacing w:before="100" w:beforeAutospacing="1" w:after="100" w:afterAutospacing="1" w:line="240" w:lineRule="auto"/>
              <w:rPr>
                <w:rFonts w:cs="Arial"/>
                <w:b/>
                <w:i w:val="0"/>
                <w:sz w:val="18"/>
                <w:szCs w:val="18"/>
                <w:lang w:eastAsia="en-AU"/>
              </w:rPr>
            </w:pPr>
            <w:r w:rsidRPr="00EB1E8B">
              <w:rPr>
                <w:rFonts w:cs="Arial"/>
                <w:b/>
                <w:i w:val="0"/>
                <w:sz w:val="18"/>
                <w:szCs w:val="18"/>
                <w:lang w:eastAsia="en-AU"/>
              </w:rPr>
              <w:t xml:space="preserve">Item </w:t>
            </w:r>
          </w:p>
        </w:tc>
        <w:tc>
          <w:tcPr>
            <w:tcW w:w="1965" w:type="dxa"/>
            <w:tcBorders>
              <w:top w:val="nil"/>
              <w:left w:val="nil"/>
              <w:bottom w:val="single" w:sz="12" w:space="0" w:color="auto"/>
              <w:right w:val="nil"/>
            </w:tcBorders>
            <w:tcMar>
              <w:top w:w="0" w:type="dxa"/>
              <w:left w:w="108" w:type="dxa"/>
              <w:bottom w:w="0" w:type="dxa"/>
              <w:right w:w="108" w:type="dxa"/>
            </w:tcMar>
            <w:hideMark/>
          </w:tcPr>
          <w:p w14:paraId="1CA182FA" w14:textId="77777777" w:rsidR="00E449F6" w:rsidRPr="00EB1E8B" w:rsidRDefault="00E449F6" w:rsidP="00A71E68">
            <w:pPr>
              <w:spacing w:before="100" w:beforeAutospacing="1" w:after="100" w:afterAutospacing="1" w:line="240" w:lineRule="auto"/>
              <w:rPr>
                <w:rFonts w:cs="Arial"/>
                <w:b/>
                <w:i w:val="0"/>
                <w:sz w:val="18"/>
                <w:szCs w:val="18"/>
                <w:lang w:eastAsia="en-AU"/>
              </w:rPr>
            </w:pPr>
            <w:r w:rsidRPr="00EB1E8B">
              <w:rPr>
                <w:rFonts w:cs="Arial"/>
                <w:b/>
                <w:i w:val="0"/>
                <w:sz w:val="18"/>
                <w:szCs w:val="18"/>
                <w:lang w:eastAsia="en-AU"/>
              </w:rPr>
              <w:t xml:space="preserve">If ... </w:t>
            </w:r>
          </w:p>
        </w:tc>
        <w:tc>
          <w:tcPr>
            <w:tcW w:w="4820" w:type="dxa"/>
            <w:tcBorders>
              <w:top w:val="nil"/>
              <w:left w:val="nil"/>
              <w:bottom w:val="single" w:sz="12" w:space="0" w:color="auto"/>
              <w:right w:val="nil"/>
            </w:tcBorders>
            <w:tcMar>
              <w:top w:w="0" w:type="dxa"/>
              <w:left w:w="108" w:type="dxa"/>
              <w:bottom w:w="0" w:type="dxa"/>
              <w:right w:w="108" w:type="dxa"/>
            </w:tcMar>
            <w:hideMark/>
          </w:tcPr>
          <w:p w14:paraId="7B2A77C6" w14:textId="77777777" w:rsidR="00E449F6" w:rsidRPr="00EB1E8B" w:rsidRDefault="00E449F6" w:rsidP="00A71E68">
            <w:pPr>
              <w:spacing w:before="100" w:beforeAutospacing="1" w:after="100" w:afterAutospacing="1" w:line="240" w:lineRule="auto"/>
              <w:rPr>
                <w:rFonts w:cs="Arial"/>
                <w:b/>
                <w:i w:val="0"/>
                <w:sz w:val="18"/>
                <w:szCs w:val="18"/>
                <w:lang w:eastAsia="en-AU"/>
              </w:rPr>
            </w:pPr>
            <w:r w:rsidRPr="00EB1E8B">
              <w:rPr>
                <w:rFonts w:cs="Arial"/>
                <w:b/>
                <w:i w:val="0"/>
                <w:sz w:val="18"/>
                <w:szCs w:val="18"/>
                <w:lang w:eastAsia="en-AU"/>
              </w:rPr>
              <w:t xml:space="preserve">the </w:t>
            </w:r>
            <w:r w:rsidRPr="00EB1E8B">
              <w:rPr>
                <w:rFonts w:cs="Arial"/>
                <w:b/>
                <w:iCs/>
                <w:sz w:val="18"/>
                <w:szCs w:val="18"/>
                <w:lang w:eastAsia="en-AU"/>
              </w:rPr>
              <w:t xml:space="preserve">required particulars </w:t>
            </w:r>
            <w:r w:rsidRPr="00EB1E8B">
              <w:rPr>
                <w:rFonts w:cs="Arial"/>
                <w:b/>
                <w:i w:val="0"/>
                <w:sz w:val="18"/>
                <w:szCs w:val="18"/>
                <w:lang w:eastAsia="en-AU"/>
              </w:rPr>
              <w:t xml:space="preserve">are the following ... </w:t>
            </w:r>
          </w:p>
        </w:tc>
      </w:tr>
      <w:tr w:rsidR="00E449F6" w:rsidRPr="00BF3F0F" w14:paraId="165C6B5A" w14:textId="77777777" w:rsidTr="00A71E68">
        <w:tc>
          <w:tcPr>
            <w:tcW w:w="587" w:type="dxa"/>
            <w:tcBorders>
              <w:top w:val="nil"/>
              <w:left w:val="nil"/>
              <w:bottom w:val="single" w:sz="8" w:space="0" w:color="auto"/>
              <w:right w:val="nil"/>
            </w:tcBorders>
            <w:tcMar>
              <w:top w:w="0" w:type="dxa"/>
              <w:left w:w="108" w:type="dxa"/>
              <w:bottom w:w="0" w:type="dxa"/>
              <w:right w:w="108" w:type="dxa"/>
            </w:tcMar>
            <w:hideMark/>
          </w:tcPr>
          <w:p w14:paraId="2660F445" w14:textId="77777777" w:rsidR="00E449F6" w:rsidRPr="00EB1E8B" w:rsidRDefault="00E449F6" w:rsidP="00A71E68">
            <w:pPr>
              <w:spacing w:before="100" w:beforeAutospacing="1" w:after="100" w:afterAutospacing="1" w:line="240" w:lineRule="auto"/>
              <w:rPr>
                <w:rFonts w:cs="Arial"/>
                <w:i w:val="0"/>
                <w:sz w:val="18"/>
                <w:szCs w:val="18"/>
                <w:lang w:eastAsia="en-AU"/>
              </w:rPr>
            </w:pPr>
            <w:r w:rsidRPr="00EB1E8B">
              <w:rPr>
                <w:rFonts w:cs="Arial"/>
                <w:i w:val="0"/>
                <w:sz w:val="18"/>
                <w:szCs w:val="18"/>
                <w:lang w:eastAsia="en-AU"/>
              </w:rPr>
              <w:t xml:space="preserve">1 </w:t>
            </w:r>
          </w:p>
        </w:tc>
        <w:tc>
          <w:tcPr>
            <w:tcW w:w="1965" w:type="dxa"/>
            <w:tcBorders>
              <w:top w:val="nil"/>
              <w:left w:val="nil"/>
              <w:bottom w:val="single" w:sz="8" w:space="0" w:color="auto"/>
              <w:right w:val="nil"/>
            </w:tcBorders>
            <w:tcMar>
              <w:top w:w="0" w:type="dxa"/>
              <w:left w:w="108" w:type="dxa"/>
              <w:bottom w:w="0" w:type="dxa"/>
              <w:right w:w="108" w:type="dxa"/>
            </w:tcMar>
            <w:hideMark/>
          </w:tcPr>
          <w:p w14:paraId="7087C58B" w14:textId="77777777" w:rsidR="00E449F6" w:rsidRPr="00EB1E8B" w:rsidRDefault="00E449F6" w:rsidP="00A71E68">
            <w:pPr>
              <w:spacing w:before="100" w:beforeAutospacing="1" w:after="100" w:afterAutospacing="1" w:line="240" w:lineRule="auto"/>
              <w:rPr>
                <w:rFonts w:cs="Arial"/>
                <w:i w:val="0"/>
                <w:sz w:val="18"/>
                <w:szCs w:val="18"/>
                <w:lang w:eastAsia="en-AU"/>
              </w:rPr>
            </w:pPr>
            <w:r w:rsidRPr="00EB1E8B">
              <w:rPr>
                <w:rFonts w:cs="Arial"/>
                <w:i w:val="0"/>
                <w:sz w:val="18"/>
                <w:szCs w:val="18"/>
                <w:lang w:eastAsia="en-AU"/>
              </w:rPr>
              <w:t xml:space="preserve">the broadcast is authorised by a disclosure entity that is not a natural person </w:t>
            </w:r>
          </w:p>
        </w:tc>
        <w:tc>
          <w:tcPr>
            <w:tcW w:w="4820" w:type="dxa"/>
            <w:tcBorders>
              <w:top w:val="nil"/>
              <w:left w:val="nil"/>
              <w:bottom w:val="single" w:sz="8" w:space="0" w:color="auto"/>
              <w:right w:val="nil"/>
            </w:tcBorders>
            <w:tcMar>
              <w:top w:w="0" w:type="dxa"/>
              <w:left w:w="108" w:type="dxa"/>
              <w:bottom w:w="0" w:type="dxa"/>
              <w:right w:w="108" w:type="dxa"/>
            </w:tcMar>
            <w:hideMark/>
          </w:tcPr>
          <w:p w14:paraId="23B25478" w14:textId="77777777" w:rsidR="00E449F6" w:rsidRPr="00EB1E8B" w:rsidRDefault="00E449F6" w:rsidP="00A71E68">
            <w:pPr>
              <w:spacing w:before="0" w:after="80" w:line="240" w:lineRule="auto"/>
              <w:rPr>
                <w:rFonts w:cs="Arial"/>
                <w:i w:val="0"/>
                <w:sz w:val="18"/>
                <w:szCs w:val="18"/>
                <w:lang w:eastAsia="en-AU"/>
              </w:rPr>
            </w:pPr>
            <w:r w:rsidRPr="00EB1E8B">
              <w:rPr>
                <w:rFonts w:cs="Arial"/>
                <w:i w:val="0"/>
                <w:sz w:val="18"/>
                <w:szCs w:val="18"/>
                <w:lang w:eastAsia="en-AU"/>
              </w:rPr>
              <w:t xml:space="preserve">(a) the name of the entity (as included in the most recent return given in relation to the entity under Part XX of the </w:t>
            </w:r>
            <w:r w:rsidRPr="00EB1E8B">
              <w:rPr>
                <w:rFonts w:cs="Arial"/>
                <w:iCs/>
                <w:sz w:val="18"/>
                <w:szCs w:val="18"/>
                <w:lang w:eastAsia="en-AU"/>
              </w:rPr>
              <w:t>Commonwealth Electoral Act 1918</w:t>
            </w:r>
            <w:r w:rsidRPr="00EB1E8B">
              <w:rPr>
                <w:rFonts w:cs="Arial"/>
                <w:i w:val="0"/>
                <w:sz w:val="18"/>
                <w:szCs w:val="18"/>
                <w:lang w:eastAsia="en-AU"/>
              </w:rPr>
              <w:t xml:space="preserve">, if a return has been given in relation to the entity under that Part); </w:t>
            </w:r>
          </w:p>
          <w:p w14:paraId="0B5F3386" w14:textId="77777777" w:rsidR="00E449F6" w:rsidRPr="00EB1E8B" w:rsidRDefault="00E449F6" w:rsidP="00A71E68">
            <w:pPr>
              <w:spacing w:before="0" w:after="80" w:line="240" w:lineRule="auto"/>
              <w:rPr>
                <w:rFonts w:cs="Arial"/>
                <w:i w:val="0"/>
                <w:sz w:val="18"/>
                <w:szCs w:val="18"/>
                <w:lang w:eastAsia="en-AU"/>
              </w:rPr>
            </w:pPr>
            <w:r w:rsidRPr="00EB1E8B">
              <w:rPr>
                <w:rFonts w:cs="Arial"/>
                <w:i w:val="0"/>
                <w:sz w:val="18"/>
                <w:szCs w:val="18"/>
                <w:lang w:eastAsia="en-AU"/>
              </w:rPr>
              <w:t xml:space="preserve">(b) the relevant town or city of the entity; </w:t>
            </w:r>
          </w:p>
          <w:p w14:paraId="5E484A6F" w14:textId="77777777" w:rsidR="00E449F6" w:rsidRPr="00EB1E8B" w:rsidRDefault="00E449F6" w:rsidP="00A71E68">
            <w:pPr>
              <w:spacing w:before="0" w:after="80" w:line="240" w:lineRule="auto"/>
              <w:rPr>
                <w:rFonts w:cs="Arial"/>
                <w:i w:val="0"/>
                <w:sz w:val="18"/>
                <w:szCs w:val="18"/>
                <w:lang w:eastAsia="en-AU"/>
              </w:rPr>
            </w:pPr>
            <w:r w:rsidRPr="00EB1E8B">
              <w:rPr>
                <w:rFonts w:cs="Arial"/>
                <w:i w:val="0"/>
                <w:sz w:val="18"/>
                <w:szCs w:val="18"/>
                <w:lang w:eastAsia="en-AU"/>
              </w:rPr>
              <w:t xml:space="preserve">(c) the name of the natural person responsible for giving effect to the authorisation </w:t>
            </w:r>
          </w:p>
        </w:tc>
      </w:tr>
      <w:tr w:rsidR="00E449F6" w:rsidRPr="00BF3F0F" w14:paraId="4529432F" w14:textId="77777777" w:rsidTr="00A71E68">
        <w:tc>
          <w:tcPr>
            <w:tcW w:w="587" w:type="dxa"/>
            <w:tcBorders>
              <w:top w:val="nil"/>
              <w:left w:val="nil"/>
              <w:bottom w:val="single" w:sz="8" w:space="0" w:color="auto"/>
              <w:right w:val="nil"/>
            </w:tcBorders>
            <w:tcMar>
              <w:top w:w="0" w:type="dxa"/>
              <w:left w:w="108" w:type="dxa"/>
              <w:bottom w:w="0" w:type="dxa"/>
              <w:right w:w="108" w:type="dxa"/>
            </w:tcMar>
            <w:hideMark/>
          </w:tcPr>
          <w:p w14:paraId="728F2C2A" w14:textId="77777777" w:rsidR="00E449F6" w:rsidRPr="00052DAF" w:rsidRDefault="00E449F6" w:rsidP="00A71E68">
            <w:pPr>
              <w:spacing w:before="100" w:beforeAutospacing="1" w:after="100" w:afterAutospacing="1" w:line="240" w:lineRule="auto"/>
              <w:rPr>
                <w:rFonts w:cs="Arial"/>
                <w:b/>
                <w:bCs/>
                <w:i w:val="0"/>
                <w:sz w:val="18"/>
                <w:szCs w:val="18"/>
                <w:lang w:eastAsia="en-AU"/>
              </w:rPr>
            </w:pPr>
            <w:r w:rsidRPr="00052DAF">
              <w:rPr>
                <w:rFonts w:cs="Arial"/>
                <w:b/>
                <w:bCs/>
                <w:i w:val="0"/>
                <w:sz w:val="18"/>
                <w:szCs w:val="18"/>
                <w:lang w:eastAsia="en-AU"/>
              </w:rPr>
              <w:t xml:space="preserve">2 </w:t>
            </w:r>
          </w:p>
        </w:tc>
        <w:tc>
          <w:tcPr>
            <w:tcW w:w="1965" w:type="dxa"/>
            <w:tcBorders>
              <w:top w:val="nil"/>
              <w:left w:val="nil"/>
              <w:bottom w:val="single" w:sz="8" w:space="0" w:color="auto"/>
              <w:right w:val="nil"/>
            </w:tcBorders>
            <w:tcMar>
              <w:top w:w="0" w:type="dxa"/>
              <w:left w:w="108" w:type="dxa"/>
              <w:bottom w:w="0" w:type="dxa"/>
              <w:right w:w="108" w:type="dxa"/>
            </w:tcMar>
            <w:hideMark/>
          </w:tcPr>
          <w:p w14:paraId="799E4A9B" w14:textId="77777777" w:rsidR="00E449F6" w:rsidRPr="00052DAF" w:rsidRDefault="00E449F6" w:rsidP="00A71E68">
            <w:pPr>
              <w:spacing w:before="100" w:beforeAutospacing="1" w:after="0" w:line="240" w:lineRule="auto"/>
              <w:rPr>
                <w:rFonts w:cs="Arial"/>
                <w:i w:val="0"/>
                <w:sz w:val="18"/>
                <w:szCs w:val="18"/>
                <w:lang w:eastAsia="en-AU"/>
              </w:rPr>
            </w:pPr>
            <w:r w:rsidRPr="00052DAF">
              <w:rPr>
                <w:rFonts w:cs="Arial"/>
                <w:i w:val="0"/>
                <w:sz w:val="18"/>
                <w:szCs w:val="18"/>
                <w:lang w:eastAsia="en-AU"/>
              </w:rPr>
              <w:t xml:space="preserve">the broadcast is authorised by a disclosure entity who is a natural person </w:t>
            </w:r>
          </w:p>
        </w:tc>
        <w:tc>
          <w:tcPr>
            <w:tcW w:w="4820" w:type="dxa"/>
            <w:tcBorders>
              <w:top w:val="nil"/>
              <w:left w:val="nil"/>
              <w:bottom w:val="single" w:sz="8" w:space="0" w:color="auto"/>
              <w:right w:val="nil"/>
            </w:tcBorders>
            <w:tcMar>
              <w:top w:w="0" w:type="dxa"/>
              <w:left w:w="108" w:type="dxa"/>
              <w:bottom w:w="0" w:type="dxa"/>
              <w:right w:w="108" w:type="dxa"/>
            </w:tcMar>
            <w:hideMark/>
          </w:tcPr>
          <w:p w14:paraId="48A1062F" w14:textId="77777777" w:rsidR="00E449F6" w:rsidRPr="00052DAF" w:rsidRDefault="00E449F6" w:rsidP="00A71E68">
            <w:pPr>
              <w:spacing w:after="120" w:line="240" w:lineRule="auto"/>
              <w:rPr>
                <w:rFonts w:cs="Arial"/>
                <w:i w:val="0"/>
                <w:sz w:val="18"/>
                <w:szCs w:val="18"/>
                <w:lang w:eastAsia="en-AU"/>
              </w:rPr>
            </w:pPr>
            <w:r w:rsidRPr="00052DAF">
              <w:rPr>
                <w:rFonts w:cs="Arial"/>
                <w:i w:val="0"/>
                <w:sz w:val="18"/>
                <w:szCs w:val="18"/>
                <w:lang w:eastAsia="en-AU"/>
              </w:rPr>
              <w:t xml:space="preserve">(a) the name of the person; </w:t>
            </w:r>
          </w:p>
          <w:p w14:paraId="647705E0" w14:textId="77777777" w:rsidR="00E449F6" w:rsidRPr="00052DAF" w:rsidRDefault="00E449F6" w:rsidP="00A71E68">
            <w:pPr>
              <w:spacing w:before="0" w:after="0" w:line="240" w:lineRule="auto"/>
              <w:rPr>
                <w:rFonts w:cs="Arial"/>
                <w:i w:val="0"/>
                <w:sz w:val="18"/>
                <w:szCs w:val="18"/>
                <w:lang w:eastAsia="en-AU"/>
              </w:rPr>
            </w:pPr>
            <w:r w:rsidRPr="00052DAF">
              <w:rPr>
                <w:rFonts w:cs="Arial"/>
                <w:i w:val="0"/>
                <w:sz w:val="18"/>
                <w:szCs w:val="18"/>
                <w:lang w:eastAsia="en-AU"/>
              </w:rPr>
              <w:t xml:space="preserve">(b) the town or city in which the person lives </w:t>
            </w:r>
          </w:p>
        </w:tc>
      </w:tr>
      <w:tr w:rsidR="00E449F6" w:rsidRPr="00BF3F0F" w14:paraId="5E496638" w14:textId="77777777" w:rsidTr="00A71E68">
        <w:tc>
          <w:tcPr>
            <w:tcW w:w="587" w:type="dxa"/>
            <w:tcBorders>
              <w:top w:val="nil"/>
              <w:left w:val="nil"/>
              <w:bottom w:val="single" w:sz="8" w:space="0" w:color="auto"/>
              <w:right w:val="nil"/>
            </w:tcBorders>
            <w:tcMar>
              <w:top w:w="0" w:type="dxa"/>
              <w:left w:w="108" w:type="dxa"/>
              <w:bottom w:w="0" w:type="dxa"/>
              <w:right w:w="108" w:type="dxa"/>
            </w:tcMar>
            <w:hideMark/>
          </w:tcPr>
          <w:p w14:paraId="5B032FA0" w14:textId="77777777" w:rsidR="00E449F6" w:rsidRPr="00052DAF" w:rsidRDefault="00E449F6" w:rsidP="00A71E68">
            <w:pPr>
              <w:spacing w:before="100" w:beforeAutospacing="1" w:after="100" w:afterAutospacing="1" w:line="240" w:lineRule="auto"/>
              <w:rPr>
                <w:rFonts w:cs="Arial"/>
                <w:b/>
                <w:bCs/>
                <w:i w:val="0"/>
                <w:sz w:val="18"/>
                <w:szCs w:val="18"/>
                <w:lang w:eastAsia="en-AU"/>
              </w:rPr>
            </w:pPr>
            <w:r w:rsidRPr="00052DAF">
              <w:rPr>
                <w:rFonts w:cs="Arial"/>
                <w:b/>
                <w:bCs/>
                <w:i w:val="0"/>
                <w:sz w:val="18"/>
                <w:szCs w:val="18"/>
                <w:lang w:eastAsia="en-AU"/>
              </w:rPr>
              <w:t xml:space="preserve">3 </w:t>
            </w:r>
          </w:p>
        </w:tc>
        <w:tc>
          <w:tcPr>
            <w:tcW w:w="1965" w:type="dxa"/>
            <w:tcBorders>
              <w:top w:val="nil"/>
              <w:left w:val="nil"/>
              <w:bottom w:val="single" w:sz="8" w:space="0" w:color="auto"/>
              <w:right w:val="nil"/>
            </w:tcBorders>
            <w:tcMar>
              <w:top w:w="0" w:type="dxa"/>
              <w:left w:w="108" w:type="dxa"/>
              <w:bottom w:w="0" w:type="dxa"/>
              <w:right w:w="108" w:type="dxa"/>
            </w:tcMar>
            <w:hideMark/>
          </w:tcPr>
          <w:p w14:paraId="2446E6E4" w14:textId="77777777" w:rsidR="00E449F6" w:rsidRPr="00052DAF" w:rsidRDefault="00E449F6" w:rsidP="00A71E68">
            <w:pPr>
              <w:spacing w:before="100" w:beforeAutospacing="1" w:after="100" w:afterAutospacing="1" w:line="240" w:lineRule="auto"/>
              <w:rPr>
                <w:rFonts w:cs="Arial"/>
                <w:i w:val="0"/>
                <w:sz w:val="18"/>
                <w:szCs w:val="18"/>
                <w:lang w:eastAsia="en-AU"/>
              </w:rPr>
            </w:pPr>
            <w:r w:rsidRPr="00052DAF">
              <w:rPr>
                <w:rFonts w:cs="Arial"/>
                <w:i w:val="0"/>
                <w:sz w:val="18"/>
                <w:szCs w:val="18"/>
                <w:lang w:eastAsia="en-AU"/>
              </w:rPr>
              <w:t xml:space="preserve">the broadcast is authorised by an entity that is not a disclosure entity or a natural person </w:t>
            </w:r>
          </w:p>
        </w:tc>
        <w:tc>
          <w:tcPr>
            <w:tcW w:w="4820" w:type="dxa"/>
            <w:tcBorders>
              <w:top w:val="nil"/>
              <w:left w:val="nil"/>
              <w:bottom w:val="single" w:sz="8" w:space="0" w:color="auto"/>
              <w:right w:val="nil"/>
            </w:tcBorders>
            <w:tcMar>
              <w:top w:w="0" w:type="dxa"/>
              <w:left w:w="108" w:type="dxa"/>
              <w:bottom w:w="0" w:type="dxa"/>
              <w:right w:w="108" w:type="dxa"/>
            </w:tcMar>
            <w:hideMark/>
          </w:tcPr>
          <w:p w14:paraId="4F148388" w14:textId="77777777" w:rsidR="00E449F6" w:rsidRPr="00052DAF" w:rsidRDefault="00E449F6" w:rsidP="00A71E68">
            <w:pPr>
              <w:spacing w:after="120" w:line="240" w:lineRule="auto"/>
              <w:rPr>
                <w:rFonts w:cs="Arial"/>
                <w:i w:val="0"/>
                <w:sz w:val="18"/>
                <w:szCs w:val="18"/>
                <w:lang w:eastAsia="en-AU"/>
              </w:rPr>
            </w:pPr>
            <w:r w:rsidRPr="00052DAF">
              <w:rPr>
                <w:rFonts w:cs="Arial"/>
                <w:i w:val="0"/>
                <w:sz w:val="18"/>
                <w:szCs w:val="18"/>
                <w:lang w:eastAsia="en-AU"/>
              </w:rPr>
              <w:t xml:space="preserve">(a) the name of the entity; </w:t>
            </w:r>
          </w:p>
          <w:p w14:paraId="6106D5EA" w14:textId="77777777" w:rsidR="00E449F6" w:rsidRPr="00052DAF" w:rsidRDefault="00E449F6" w:rsidP="00A71E68">
            <w:pPr>
              <w:spacing w:before="0" w:after="100" w:afterAutospacing="1" w:line="240" w:lineRule="auto"/>
              <w:rPr>
                <w:rFonts w:cs="Arial"/>
                <w:i w:val="0"/>
                <w:sz w:val="18"/>
                <w:szCs w:val="18"/>
                <w:lang w:eastAsia="en-AU"/>
              </w:rPr>
            </w:pPr>
            <w:r w:rsidRPr="00052DAF">
              <w:rPr>
                <w:rFonts w:cs="Arial"/>
                <w:i w:val="0"/>
                <w:sz w:val="18"/>
                <w:szCs w:val="18"/>
                <w:lang w:eastAsia="en-AU"/>
              </w:rPr>
              <w:t xml:space="preserve">(b) the relevant town or city of the entity </w:t>
            </w:r>
          </w:p>
        </w:tc>
      </w:tr>
      <w:tr w:rsidR="00E449F6" w:rsidRPr="00BF3F0F" w14:paraId="2E0487F8" w14:textId="77777777" w:rsidTr="00A71E68">
        <w:tc>
          <w:tcPr>
            <w:tcW w:w="587" w:type="dxa"/>
            <w:tcBorders>
              <w:top w:val="nil"/>
              <w:left w:val="nil"/>
              <w:bottom w:val="single" w:sz="12" w:space="0" w:color="auto"/>
              <w:right w:val="nil"/>
            </w:tcBorders>
            <w:shd w:val="clear" w:color="auto" w:fill="auto"/>
            <w:tcMar>
              <w:top w:w="0" w:type="dxa"/>
              <w:left w:w="108" w:type="dxa"/>
              <w:bottom w:w="0" w:type="dxa"/>
              <w:right w:w="108" w:type="dxa"/>
            </w:tcMar>
            <w:hideMark/>
          </w:tcPr>
          <w:p w14:paraId="40E367FB" w14:textId="77777777" w:rsidR="00E449F6" w:rsidRPr="00052DAF" w:rsidRDefault="00E449F6" w:rsidP="00A71E68">
            <w:pPr>
              <w:spacing w:before="100" w:beforeAutospacing="1" w:after="100" w:afterAutospacing="1" w:line="240" w:lineRule="auto"/>
              <w:rPr>
                <w:rFonts w:cs="Arial"/>
                <w:b/>
                <w:bCs/>
                <w:i w:val="0"/>
                <w:sz w:val="18"/>
                <w:szCs w:val="18"/>
                <w:lang w:eastAsia="en-AU"/>
              </w:rPr>
            </w:pPr>
            <w:r w:rsidRPr="00052DAF">
              <w:rPr>
                <w:rFonts w:cs="Arial"/>
                <w:b/>
                <w:bCs/>
                <w:i w:val="0"/>
                <w:sz w:val="18"/>
                <w:szCs w:val="18"/>
                <w:lang w:eastAsia="en-AU"/>
              </w:rPr>
              <w:t xml:space="preserve">4 </w:t>
            </w:r>
          </w:p>
        </w:tc>
        <w:tc>
          <w:tcPr>
            <w:tcW w:w="1965" w:type="dxa"/>
            <w:tcBorders>
              <w:top w:val="nil"/>
              <w:left w:val="nil"/>
              <w:bottom w:val="single" w:sz="12" w:space="0" w:color="auto"/>
              <w:right w:val="nil"/>
            </w:tcBorders>
            <w:shd w:val="clear" w:color="auto" w:fill="auto"/>
            <w:tcMar>
              <w:top w:w="0" w:type="dxa"/>
              <w:left w:w="108" w:type="dxa"/>
              <w:bottom w:w="0" w:type="dxa"/>
              <w:right w:w="108" w:type="dxa"/>
            </w:tcMar>
            <w:hideMark/>
          </w:tcPr>
          <w:p w14:paraId="6F18E8C3" w14:textId="77777777" w:rsidR="00E449F6" w:rsidRPr="00052DAF" w:rsidRDefault="00E449F6" w:rsidP="00A71E68">
            <w:pPr>
              <w:spacing w:before="100" w:beforeAutospacing="1" w:after="100" w:afterAutospacing="1" w:line="240" w:lineRule="auto"/>
              <w:rPr>
                <w:rFonts w:cs="Arial"/>
                <w:i w:val="0"/>
                <w:sz w:val="18"/>
                <w:szCs w:val="18"/>
                <w:lang w:eastAsia="en-AU"/>
              </w:rPr>
            </w:pPr>
            <w:r w:rsidRPr="00052DAF">
              <w:rPr>
                <w:rFonts w:cs="Arial"/>
                <w:i w:val="0"/>
                <w:sz w:val="18"/>
                <w:szCs w:val="18"/>
                <w:lang w:eastAsia="en-AU"/>
              </w:rPr>
              <w:t xml:space="preserve">the broadcast is authorised by a natural person who is not a disclosure entity </w:t>
            </w:r>
          </w:p>
        </w:tc>
        <w:tc>
          <w:tcPr>
            <w:tcW w:w="4820" w:type="dxa"/>
            <w:tcBorders>
              <w:top w:val="nil"/>
              <w:left w:val="nil"/>
              <w:bottom w:val="single" w:sz="12" w:space="0" w:color="auto"/>
              <w:right w:val="nil"/>
            </w:tcBorders>
            <w:shd w:val="clear" w:color="auto" w:fill="auto"/>
            <w:tcMar>
              <w:top w:w="0" w:type="dxa"/>
              <w:left w:w="108" w:type="dxa"/>
              <w:bottom w:w="0" w:type="dxa"/>
              <w:right w:w="108" w:type="dxa"/>
            </w:tcMar>
            <w:hideMark/>
          </w:tcPr>
          <w:p w14:paraId="29A68637" w14:textId="77777777" w:rsidR="00E449F6" w:rsidRPr="00052DAF" w:rsidRDefault="00E449F6" w:rsidP="00A71E68">
            <w:pPr>
              <w:spacing w:before="100" w:beforeAutospacing="1" w:after="120" w:line="240" w:lineRule="auto"/>
              <w:rPr>
                <w:rFonts w:cs="Arial"/>
                <w:i w:val="0"/>
                <w:sz w:val="18"/>
                <w:szCs w:val="18"/>
                <w:lang w:eastAsia="en-AU"/>
              </w:rPr>
            </w:pPr>
            <w:r w:rsidRPr="00052DAF">
              <w:rPr>
                <w:rFonts w:cs="Arial"/>
                <w:i w:val="0"/>
                <w:sz w:val="18"/>
                <w:szCs w:val="18"/>
                <w:lang w:eastAsia="en-AU"/>
              </w:rPr>
              <w:t xml:space="preserve">(a) the name of the person; </w:t>
            </w:r>
          </w:p>
          <w:p w14:paraId="7477ABBE" w14:textId="77777777" w:rsidR="00E449F6" w:rsidRPr="00052DAF" w:rsidRDefault="00E449F6" w:rsidP="00A71E68">
            <w:pPr>
              <w:spacing w:before="0" w:after="100" w:afterAutospacing="1" w:line="240" w:lineRule="auto"/>
              <w:rPr>
                <w:rFonts w:cs="Arial"/>
                <w:i w:val="0"/>
                <w:sz w:val="18"/>
                <w:szCs w:val="18"/>
                <w:lang w:eastAsia="en-AU"/>
              </w:rPr>
            </w:pPr>
            <w:r w:rsidRPr="00052DAF">
              <w:rPr>
                <w:rFonts w:cs="Arial"/>
                <w:i w:val="0"/>
                <w:sz w:val="18"/>
                <w:szCs w:val="18"/>
                <w:lang w:eastAsia="en-AU"/>
              </w:rPr>
              <w:t xml:space="preserve">(b) the town or city in which the person lives </w:t>
            </w:r>
          </w:p>
        </w:tc>
      </w:tr>
    </w:tbl>
    <w:p w14:paraId="7EE0F6F4" w14:textId="77777777" w:rsidR="00E449F6" w:rsidRDefault="00E449F6" w:rsidP="00E449F6">
      <w:pPr>
        <w:spacing w:before="0" w:after="0" w:line="240" w:lineRule="auto"/>
        <w:ind w:firstLine="142"/>
        <w:rPr>
          <w:rFonts w:cs="Arial"/>
          <w:b/>
        </w:rPr>
      </w:pPr>
      <w:r w:rsidRPr="00FF02D3">
        <w:rPr>
          <w:rFonts w:cs="Arial"/>
          <w:b/>
        </w:rPr>
        <w:tab/>
      </w:r>
    </w:p>
    <w:p w14:paraId="030BB2FC" w14:textId="77777777" w:rsidR="00E449F6" w:rsidRPr="00843714" w:rsidRDefault="00E449F6" w:rsidP="00E449F6">
      <w:pPr>
        <w:spacing w:before="0" w:after="120" w:line="240" w:lineRule="auto"/>
        <w:rPr>
          <w:rFonts w:cs="Arial"/>
          <w:b/>
          <w:i w:val="0"/>
          <w:iCs/>
          <w:sz w:val="22"/>
          <w:szCs w:val="22"/>
        </w:rPr>
      </w:pPr>
      <w:r w:rsidRPr="00843714">
        <w:rPr>
          <w:rFonts w:cs="Arial"/>
          <w:b/>
          <w:i w:val="0"/>
          <w:iCs/>
          <w:sz w:val="22"/>
          <w:szCs w:val="22"/>
        </w:rPr>
        <w:lastRenderedPageBreak/>
        <w:t>Part 2—Special conditions</w:t>
      </w:r>
    </w:p>
    <w:p w14:paraId="72DE21B2" w14:textId="77777777" w:rsidR="00E449F6" w:rsidRPr="00076623" w:rsidRDefault="00E449F6" w:rsidP="00E449F6">
      <w:pPr>
        <w:spacing w:before="120" w:after="120" w:line="240" w:lineRule="auto"/>
        <w:rPr>
          <w:rFonts w:cs="Arial"/>
          <w:b/>
          <w:i w:val="0"/>
          <w:iCs/>
          <w:szCs w:val="20"/>
        </w:rPr>
      </w:pPr>
      <w:r w:rsidRPr="00076623">
        <w:rPr>
          <w:rFonts w:cs="Arial"/>
          <w:b/>
          <w:i w:val="0"/>
          <w:iCs/>
          <w:szCs w:val="20"/>
        </w:rPr>
        <w:t>4   Identification of certain political matter</w:t>
      </w:r>
    </w:p>
    <w:p w14:paraId="4EBF93B0" w14:textId="77777777" w:rsidR="00E449F6" w:rsidRPr="00076623" w:rsidRDefault="00E449F6" w:rsidP="00E449F6">
      <w:pPr>
        <w:pStyle w:val="ACMABodyText0"/>
        <w:tabs>
          <w:tab w:val="left" w:pos="284"/>
        </w:tabs>
        <w:spacing w:before="0" w:line="240" w:lineRule="atLeast"/>
        <w:ind w:left="284" w:right="658"/>
        <w:rPr>
          <w:rFonts w:ascii="Arial" w:hAnsi="Arial" w:cs="Arial"/>
          <w:sz w:val="20"/>
        </w:rPr>
      </w:pPr>
      <w:r w:rsidRPr="00076623">
        <w:rPr>
          <w:rFonts w:ascii="Arial" w:hAnsi="Arial" w:cs="Arial"/>
          <w:sz w:val="20"/>
        </w:rPr>
        <w:t>[…]</w:t>
      </w:r>
    </w:p>
    <w:p w14:paraId="2691B89B" w14:textId="77777777" w:rsidR="00E449F6" w:rsidRPr="00076623" w:rsidRDefault="00E449F6" w:rsidP="00E449F6">
      <w:pPr>
        <w:pStyle w:val="ACMABodyText0"/>
        <w:tabs>
          <w:tab w:val="left" w:pos="284"/>
        </w:tabs>
        <w:spacing w:before="0" w:line="240" w:lineRule="atLeast"/>
        <w:ind w:right="658" w:firstLine="284"/>
        <w:rPr>
          <w:rFonts w:ascii="Arial" w:hAnsi="Arial" w:cs="Arial"/>
          <w:i/>
          <w:sz w:val="20"/>
        </w:rPr>
      </w:pPr>
      <w:r w:rsidRPr="00076623">
        <w:rPr>
          <w:rFonts w:ascii="Arial" w:hAnsi="Arial" w:cs="Arial"/>
          <w:i/>
          <w:sz w:val="20"/>
        </w:rPr>
        <w:t>Announcing required particulars</w:t>
      </w:r>
    </w:p>
    <w:p w14:paraId="3F63DAD7" w14:textId="77777777" w:rsidR="00E449F6" w:rsidRPr="00076623" w:rsidRDefault="00E449F6" w:rsidP="00E449F6">
      <w:pPr>
        <w:pStyle w:val="ACMABodyText0"/>
        <w:spacing w:before="0" w:line="240" w:lineRule="atLeast"/>
        <w:ind w:left="709" w:right="658" w:hanging="425"/>
        <w:rPr>
          <w:rFonts w:ascii="Arial" w:hAnsi="Arial" w:cs="Arial"/>
          <w:sz w:val="20"/>
        </w:rPr>
      </w:pPr>
      <w:r w:rsidRPr="00076623">
        <w:rPr>
          <w:rFonts w:ascii="Arial" w:hAnsi="Arial" w:cs="Arial"/>
          <w:sz w:val="20"/>
        </w:rPr>
        <w:t>(2)</w:t>
      </w:r>
      <w:r w:rsidRPr="00076623">
        <w:rPr>
          <w:rFonts w:ascii="Arial" w:hAnsi="Arial" w:cs="Arial"/>
          <w:sz w:val="20"/>
        </w:rPr>
        <w:tab/>
        <w:t xml:space="preserve">If a broadcaster broadcasts political matter at the request of another person, the broadcaster must ensure that the required particulars in relation to the matter are announced in accordance with any requirements determined under subsection 321D(7) of the </w:t>
      </w:r>
      <w:r w:rsidRPr="00076623">
        <w:rPr>
          <w:rFonts w:ascii="Arial" w:hAnsi="Arial" w:cs="Arial"/>
          <w:i/>
          <w:sz w:val="20"/>
        </w:rPr>
        <w:t>Commonwealth Electoral Act 1918</w:t>
      </w:r>
      <w:r w:rsidRPr="00076623">
        <w:rPr>
          <w:rFonts w:ascii="Arial" w:hAnsi="Arial" w:cs="Arial"/>
          <w:sz w:val="20"/>
        </w:rPr>
        <w:t xml:space="preserve"> for the purposes of this subclause.</w:t>
      </w:r>
    </w:p>
    <w:p w14:paraId="74CF3D59" w14:textId="77777777" w:rsidR="00E449F6" w:rsidRPr="00076623" w:rsidRDefault="00E449F6" w:rsidP="00E449F6">
      <w:pPr>
        <w:pStyle w:val="ACMABodyText0"/>
        <w:spacing w:before="0" w:line="240" w:lineRule="atLeast"/>
        <w:ind w:left="1560" w:right="658" w:hanging="839"/>
        <w:rPr>
          <w:rFonts w:ascii="Arial" w:hAnsi="Arial" w:cs="Arial"/>
          <w:sz w:val="20"/>
        </w:rPr>
      </w:pPr>
      <w:r w:rsidRPr="00076623">
        <w:rPr>
          <w:rFonts w:ascii="Arial" w:hAnsi="Arial" w:cs="Arial"/>
          <w:sz w:val="20"/>
        </w:rPr>
        <w:t>Note:     A broadcaster is taken to have ensured that required particulars are announced in certain circumstances (see subclause (5)).</w:t>
      </w:r>
    </w:p>
    <w:p w14:paraId="4D7177F7" w14:textId="77777777" w:rsidR="00E449F6" w:rsidRPr="00076623" w:rsidRDefault="00E449F6" w:rsidP="00E449F6">
      <w:pPr>
        <w:pStyle w:val="ACMABodyText0"/>
        <w:spacing w:before="0" w:line="240" w:lineRule="atLeast"/>
        <w:ind w:left="284" w:right="658"/>
        <w:rPr>
          <w:rFonts w:ascii="Arial" w:hAnsi="Arial" w:cs="Arial"/>
          <w:sz w:val="20"/>
        </w:rPr>
      </w:pPr>
      <w:r w:rsidRPr="00076623">
        <w:rPr>
          <w:rFonts w:ascii="Arial" w:hAnsi="Arial" w:cs="Arial"/>
          <w:sz w:val="20"/>
        </w:rPr>
        <w:t>[…]</w:t>
      </w:r>
    </w:p>
    <w:p w14:paraId="151429A8" w14:textId="77777777" w:rsidR="00E449F6" w:rsidRPr="00076623" w:rsidRDefault="00E449F6" w:rsidP="00E449F6">
      <w:pPr>
        <w:pStyle w:val="ACMABodyText0"/>
        <w:tabs>
          <w:tab w:val="left" w:pos="284"/>
        </w:tabs>
        <w:spacing w:before="0" w:line="240" w:lineRule="atLeast"/>
        <w:ind w:right="658" w:firstLine="284"/>
        <w:rPr>
          <w:rFonts w:ascii="Arial" w:hAnsi="Arial" w:cs="Arial"/>
          <w:i/>
          <w:sz w:val="20"/>
        </w:rPr>
      </w:pPr>
      <w:r w:rsidRPr="00076623">
        <w:rPr>
          <w:rFonts w:ascii="Arial" w:hAnsi="Arial" w:cs="Arial"/>
          <w:i/>
          <w:sz w:val="20"/>
        </w:rPr>
        <w:t xml:space="preserve">Particulars taken to be announced </w:t>
      </w:r>
    </w:p>
    <w:p w14:paraId="418ECD3A" w14:textId="77777777" w:rsidR="00E449F6" w:rsidRPr="00076623" w:rsidRDefault="00E449F6" w:rsidP="00E449F6">
      <w:pPr>
        <w:pStyle w:val="ACMABodyText0"/>
        <w:tabs>
          <w:tab w:val="left" w:pos="284"/>
        </w:tabs>
        <w:spacing w:before="0" w:line="240" w:lineRule="atLeast"/>
        <w:ind w:left="716" w:right="658" w:hanging="432"/>
        <w:rPr>
          <w:rFonts w:ascii="Arial" w:hAnsi="Arial" w:cs="Arial"/>
          <w:snapToGrid/>
          <w:sz w:val="20"/>
        </w:rPr>
      </w:pPr>
      <w:r w:rsidRPr="00076623">
        <w:rPr>
          <w:rFonts w:ascii="Arial" w:hAnsi="Arial" w:cs="Arial"/>
          <w:sz w:val="20"/>
        </w:rPr>
        <w:t>(</w:t>
      </w:r>
      <w:r w:rsidRPr="00076623">
        <w:rPr>
          <w:rFonts w:ascii="Arial" w:hAnsi="Arial" w:cs="Arial"/>
          <w:snapToGrid/>
          <w:sz w:val="20"/>
        </w:rPr>
        <w:t xml:space="preserve">5)  </w:t>
      </w:r>
      <w:r w:rsidRPr="00076623">
        <w:rPr>
          <w:rFonts w:ascii="Arial" w:hAnsi="Arial" w:cs="Arial"/>
          <w:snapToGrid/>
          <w:sz w:val="20"/>
        </w:rPr>
        <w:tab/>
        <w:t>A broadcaster that broadcasts political matter is taken to have ensured that required particulars are announced if:</w:t>
      </w:r>
    </w:p>
    <w:p w14:paraId="1E63F095" w14:textId="77777777" w:rsidR="00E449F6" w:rsidRPr="00076623" w:rsidRDefault="00E449F6" w:rsidP="00E449F6">
      <w:pPr>
        <w:pStyle w:val="ACMABodyText0"/>
        <w:tabs>
          <w:tab w:val="left" w:pos="284"/>
        </w:tabs>
        <w:spacing w:before="0" w:line="240" w:lineRule="atLeast"/>
        <w:ind w:left="1148" w:right="658" w:hanging="432"/>
        <w:rPr>
          <w:rFonts w:ascii="Arial" w:hAnsi="Arial" w:cs="Arial"/>
          <w:snapToGrid/>
          <w:sz w:val="20"/>
        </w:rPr>
      </w:pPr>
      <w:r w:rsidRPr="00076623">
        <w:rPr>
          <w:rFonts w:ascii="Arial" w:hAnsi="Arial" w:cs="Arial"/>
          <w:snapToGrid/>
          <w:sz w:val="20"/>
        </w:rPr>
        <w:tab/>
        <w:t>(a)  particulars were announced in relation to the matter for the purposes of this Act; and</w:t>
      </w:r>
    </w:p>
    <w:p w14:paraId="7B1134AE" w14:textId="77777777" w:rsidR="00E449F6" w:rsidRPr="00076623" w:rsidRDefault="00E449F6" w:rsidP="00E449F6">
      <w:pPr>
        <w:pStyle w:val="ACMABodyText0"/>
        <w:tabs>
          <w:tab w:val="left" w:pos="284"/>
        </w:tabs>
        <w:spacing w:before="0" w:line="240" w:lineRule="atLeast"/>
        <w:ind w:left="1148" w:right="658" w:hanging="432"/>
        <w:rPr>
          <w:rFonts w:ascii="Arial" w:hAnsi="Arial" w:cs="Arial"/>
          <w:snapToGrid/>
          <w:sz w:val="20"/>
        </w:rPr>
      </w:pPr>
      <w:r w:rsidRPr="00076623">
        <w:rPr>
          <w:rFonts w:ascii="Arial" w:hAnsi="Arial" w:cs="Arial"/>
          <w:snapToGrid/>
          <w:sz w:val="20"/>
        </w:rPr>
        <w:tab/>
        <w:t xml:space="preserve">(b)  those particulars purported to be particulars referred to in item 3 or 4 of the table in subclause 1(2); and </w:t>
      </w:r>
    </w:p>
    <w:p w14:paraId="5E1EEC06" w14:textId="77777777" w:rsidR="00E449F6" w:rsidRPr="00076623" w:rsidRDefault="00E449F6" w:rsidP="00E449F6">
      <w:pPr>
        <w:pStyle w:val="ACMABodyText0"/>
        <w:tabs>
          <w:tab w:val="left" w:pos="284"/>
        </w:tabs>
        <w:spacing w:before="0" w:line="240" w:lineRule="atLeast"/>
        <w:ind w:left="1148" w:right="658" w:hanging="432"/>
        <w:rPr>
          <w:rFonts w:ascii="Arial" w:hAnsi="Arial" w:cs="Arial"/>
          <w:snapToGrid/>
          <w:sz w:val="20"/>
        </w:rPr>
      </w:pPr>
      <w:r w:rsidRPr="00076623">
        <w:rPr>
          <w:rFonts w:ascii="Arial" w:hAnsi="Arial" w:cs="Arial"/>
          <w:snapToGrid/>
          <w:sz w:val="20"/>
        </w:rPr>
        <w:tab/>
        <w:t xml:space="preserve">(c)  as a result of steps taken by the broadcaster, it was reasonable for the broadcaster to rely on the particulars that were provided for the purposes of this Act. </w:t>
      </w:r>
    </w:p>
    <w:p w14:paraId="635182E9" w14:textId="77777777" w:rsidR="00E449F6" w:rsidRPr="00076623" w:rsidRDefault="00E449F6" w:rsidP="00E449F6">
      <w:pPr>
        <w:pStyle w:val="ACMABodyText0"/>
        <w:spacing w:before="0" w:line="240" w:lineRule="atLeast"/>
        <w:ind w:left="1843" w:right="658" w:hanging="709"/>
        <w:rPr>
          <w:rFonts w:ascii="Arial" w:hAnsi="Arial" w:cs="Arial"/>
          <w:sz w:val="20"/>
        </w:rPr>
      </w:pPr>
      <w:r w:rsidRPr="00076623">
        <w:rPr>
          <w:rFonts w:ascii="Arial" w:hAnsi="Arial" w:cs="Arial"/>
          <w:sz w:val="20"/>
        </w:rPr>
        <w:t>Note:    An example of steps that may be taken by the broadcaster</w:t>
      </w:r>
      <w:r>
        <w:rPr>
          <w:rFonts w:ascii="Arial" w:hAnsi="Arial" w:cs="Arial"/>
          <w:sz w:val="20"/>
        </w:rPr>
        <w:t xml:space="preserve"> </w:t>
      </w:r>
      <w:r w:rsidRPr="00076623">
        <w:rPr>
          <w:rFonts w:ascii="Arial" w:hAnsi="Arial" w:cs="Arial"/>
          <w:sz w:val="20"/>
        </w:rPr>
        <w:t xml:space="preserve">include: </w:t>
      </w:r>
    </w:p>
    <w:p w14:paraId="49181197" w14:textId="77777777" w:rsidR="00E449F6" w:rsidRPr="00076623" w:rsidRDefault="00E449F6" w:rsidP="00E449F6">
      <w:pPr>
        <w:pStyle w:val="ACMABodyText0"/>
        <w:spacing w:before="0" w:line="240" w:lineRule="atLeast"/>
        <w:ind w:left="1843" w:right="658"/>
        <w:rPr>
          <w:rFonts w:ascii="Arial" w:hAnsi="Arial" w:cs="Arial"/>
          <w:sz w:val="20"/>
        </w:rPr>
      </w:pPr>
      <w:r w:rsidRPr="00076623">
        <w:rPr>
          <w:rFonts w:ascii="Arial" w:hAnsi="Arial" w:cs="Arial"/>
          <w:sz w:val="20"/>
        </w:rPr>
        <w:t xml:space="preserve">(a)    notifying a person wanting to broadcast political matter that the name of the person required to be announced as having authorised the broadcast depends on whether the person is a disclosure entity; and </w:t>
      </w:r>
    </w:p>
    <w:p w14:paraId="3B67ABBE" w14:textId="77777777" w:rsidR="00E449F6" w:rsidRPr="00076623" w:rsidRDefault="00E449F6" w:rsidP="00E449F6">
      <w:pPr>
        <w:pStyle w:val="ACMABodyText0"/>
        <w:spacing w:before="0" w:line="240" w:lineRule="atLeast"/>
        <w:ind w:left="1843" w:right="658"/>
        <w:rPr>
          <w:rFonts w:ascii="Arial" w:hAnsi="Arial" w:cs="Arial"/>
          <w:sz w:val="20"/>
        </w:rPr>
      </w:pPr>
      <w:r w:rsidRPr="00076623">
        <w:rPr>
          <w:rFonts w:ascii="Arial" w:hAnsi="Arial" w:cs="Arial"/>
          <w:sz w:val="20"/>
        </w:rPr>
        <w:t xml:space="preserve">(b)    seeking a verification from that person that the person is or is not a disclosure entity. </w:t>
      </w:r>
    </w:p>
    <w:p w14:paraId="1334625B" w14:textId="77777777" w:rsidR="00E449F6" w:rsidRPr="00076623" w:rsidRDefault="00E449F6" w:rsidP="00E449F6">
      <w:pPr>
        <w:pStyle w:val="ACMABodyText0"/>
        <w:tabs>
          <w:tab w:val="left" w:pos="284"/>
        </w:tabs>
        <w:ind w:right="660"/>
        <w:rPr>
          <w:rFonts w:ascii="Arial" w:hAnsi="Arial" w:cs="Arial"/>
          <w:b/>
          <w:sz w:val="20"/>
        </w:rPr>
      </w:pPr>
      <w:r w:rsidRPr="00076623">
        <w:rPr>
          <w:rFonts w:ascii="Arial" w:hAnsi="Arial" w:cs="Arial"/>
          <w:b/>
          <w:sz w:val="20"/>
        </w:rPr>
        <w:t>7</w:t>
      </w:r>
      <w:r w:rsidRPr="00076623">
        <w:rPr>
          <w:rFonts w:ascii="Arial" w:hAnsi="Arial" w:cs="Arial"/>
          <w:b/>
          <w:sz w:val="20"/>
        </w:rPr>
        <w:tab/>
        <w:t xml:space="preserve">Conditions of commercial television broadcasting licenses </w:t>
      </w:r>
    </w:p>
    <w:p w14:paraId="5BADF7BA" w14:textId="72779FAE" w:rsidR="00E449F6" w:rsidRPr="00076623" w:rsidRDefault="00E449F6" w:rsidP="00E449F6">
      <w:pPr>
        <w:pStyle w:val="ACMABodyText0"/>
        <w:spacing w:after="0"/>
        <w:ind w:left="709" w:right="660" w:hanging="425"/>
        <w:rPr>
          <w:rFonts w:ascii="Arial" w:hAnsi="Arial" w:cs="Arial"/>
          <w:sz w:val="20"/>
        </w:rPr>
      </w:pPr>
      <w:r w:rsidRPr="00076623">
        <w:rPr>
          <w:rFonts w:ascii="Arial" w:hAnsi="Arial" w:cs="Arial"/>
          <w:sz w:val="20"/>
        </w:rPr>
        <w:t xml:space="preserve">(1) Each commercial television broadcasting licence is subject to the following conditions: </w:t>
      </w:r>
    </w:p>
    <w:p w14:paraId="3C057D07" w14:textId="77777777" w:rsidR="00E449F6" w:rsidRPr="00076623" w:rsidRDefault="00E449F6" w:rsidP="00E449F6">
      <w:pPr>
        <w:pStyle w:val="ACMABodyText0"/>
        <w:spacing w:after="0"/>
        <w:ind w:left="709" w:right="660"/>
        <w:rPr>
          <w:rFonts w:ascii="Arial" w:hAnsi="Arial" w:cs="Arial"/>
          <w:sz w:val="20"/>
        </w:rPr>
      </w:pPr>
      <w:r w:rsidRPr="00076623">
        <w:rPr>
          <w:rFonts w:ascii="Arial" w:hAnsi="Arial" w:cs="Arial"/>
          <w:sz w:val="20"/>
        </w:rPr>
        <w:t xml:space="preserve">[…] </w:t>
      </w:r>
    </w:p>
    <w:p w14:paraId="399A42F2" w14:textId="77777777" w:rsidR="00E449F6" w:rsidRPr="00076623" w:rsidRDefault="00E449F6" w:rsidP="000B1E1E">
      <w:pPr>
        <w:pStyle w:val="ACMABodyText0"/>
        <w:tabs>
          <w:tab w:val="left" w:pos="993"/>
        </w:tabs>
        <w:spacing w:after="240"/>
        <w:ind w:right="658" w:firstLine="709"/>
        <w:rPr>
          <w:rFonts w:ascii="Arial" w:hAnsi="Arial" w:cs="Arial"/>
          <w:sz w:val="20"/>
        </w:rPr>
      </w:pPr>
      <w:r w:rsidRPr="00076623">
        <w:rPr>
          <w:rFonts w:ascii="Arial" w:hAnsi="Arial" w:cs="Arial"/>
          <w:sz w:val="20"/>
        </w:rPr>
        <w:t xml:space="preserve">(j) the licensee will comply with the requirements of clauses 3, 3A, 4, 5 and 6; </w:t>
      </w:r>
    </w:p>
    <w:p w14:paraId="1F0D90F9" w14:textId="77777777" w:rsidR="00E449F6" w:rsidRPr="004F4BC3" w:rsidRDefault="00E449F6" w:rsidP="004446F8">
      <w:pPr>
        <w:pStyle w:val="ACMABodyText0"/>
        <w:spacing w:before="0" w:after="0"/>
        <w:ind w:right="658"/>
        <w:rPr>
          <w:rFonts w:ascii="Arial" w:hAnsi="Arial" w:cs="Arial"/>
          <w:b/>
          <w:szCs w:val="24"/>
        </w:rPr>
      </w:pPr>
      <w:bookmarkStart w:id="14" w:name="_Hlk67316160"/>
      <w:r w:rsidRPr="004F4BC3">
        <w:rPr>
          <w:rFonts w:ascii="Arial" w:hAnsi="Arial" w:cs="Arial"/>
          <w:b/>
          <w:i/>
          <w:szCs w:val="24"/>
        </w:rPr>
        <w:t>Commonwealth Electoral Act 1918</w:t>
      </w:r>
      <w:r w:rsidRPr="004F4BC3">
        <w:rPr>
          <w:rFonts w:ascii="Arial" w:hAnsi="Arial" w:cs="Arial"/>
          <w:b/>
          <w:szCs w:val="24"/>
        </w:rPr>
        <w:t xml:space="preserve"> </w:t>
      </w:r>
    </w:p>
    <w:p w14:paraId="667F56EE" w14:textId="77777777" w:rsidR="00E449F6" w:rsidRPr="00CD4AA4" w:rsidRDefault="00E449F6" w:rsidP="00E449F6">
      <w:pPr>
        <w:pStyle w:val="ACMABodyText0"/>
        <w:spacing w:before="240" w:after="0"/>
        <w:ind w:right="658"/>
        <w:rPr>
          <w:rFonts w:ascii="Arial" w:hAnsi="Arial" w:cs="Arial"/>
          <w:b/>
          <w:sz w:val="22"/>
          <w:szCs w:val="22"/>
        </w:rPr>
      </w:pPr>
      <w:r w:rsidRPr="00CD4AA4">
        <w:rPr>
          <w:rFonts w:ascii="Arial" w:hAnsi="Arial" w:cs="Arial"/>
          <w:b/>
          <w:sz w:val="22"/>
          <w:szCs w:val="22"/>
        </w:rPr>
        <w:t>Part XXA—Authorisation of electoral matter</w:t>
      </w:r>
    </w:p>
    <w:bookmarkEnd w:id="14"/>
    <w:p w14:paraId="3E36C453" w14:textId="77777777" w:rsidR="00E449F6" w:rsidRPr="00CD4AA4" w:rsidRDefault="00E449F6" w:rsidP="00E449F6">
      <w:pPr>
        <w:pStyle w:val="ACMABodyText0"/>
        <w:spacing w:before="120" w:after="0"/>
        <w:ind w:right="658"/>
        <w:rPr>
          <w:rFonts w:ascii="Arial" w:hAnsi="Arial" w:cs="Arial"/>
          <w:b/>
          <w:sz w:val="20"/>
        </w:rPr>
      </w:pPr>
      <w:r w:rsidRPr="00CD4AA4">
        <w:rPr>
          <w:rFonts w:ascii="Arial" w:hAnsi="Arial" w:cs="Arial"/>
          <w:b/>
          <w:sz w:val="20"/>
        </w:rPr>
        <w:t>Division 1—Preliminary</w:t>
      </w:r>
    </w:p>
    <w:p w14:paraId="56167227" w14:textId="77777777" w:rsidR="00E449F6" w:rsidRPr="00CB4209" w:rsidRDefault="00E449F6" w:rsidP="00E449F6">
      <w:pPr>
        <w:pStyle w:val="ACMABodyText0"/>
        <w:spacing w:before="120" w:after="0"/>
        <w:ind w:right="658"/>
        <w:rPr>
          <w:rFonts w:ascii="Arial" w:hAnsi="Arial" w:cs="Arial"/>
          <w:b/>
          <w:sz w:val="20"/>
        </w:rPr>
      </w:pPr>
      <w:r w:rsidRPr="00CB4209">
        <w:rPr>
          <w:rFonts w:ascii="Arial" w:hAnsi="Arial" w:cs="Arial"/>
          <w:b/>
          <w:sz w:val="20"/>
        </w:rPr>
        <w:t>321B Definitions</w:t>
      </w:r>
    </w:p>
    <w:p w14:paraId="36261F61" w14:textId="77777777" w:rsidR="00E449F6" w:rsidRPr="001F6739" w:rsidRDefault="00E449F6" w:rsidP="00E449F6">
      <w:pPr>
        <w:pStyle w:val="definition"/>
        <w:shd w:val="clear" w:color="auto" w:fill="FFFFFF"/>
        <w:spacing w:before="180" w:beforeAutospacing="0" w:after="0" w:afterAutospacing="0"/>
        <w:ind w:left="567"/>
        <w:rPr>
          <w:rFonts w:ascii="Arial" w:hAnsi="Arial" w:cs="Arial"/>
          <w:color w:val="000000"/>
          <w:sz w:val="20"/>
          <w:szCs w:val="20"/>
        </w:rPr>
      </w:pPr>
      <w:r w:rsidRPr="001F6739">
        <w:rPr>
          <w:rFonts w:ascii="Arial" w:hAnsi="Arial" w:cs="Arial"/>
          <w:b/>
          <w:bCs/>
          <w:i/>
          <w:iCs/>
          <w:color w:val="000000"/>
          <w:sz w:val="20"/>
          <w:szCs w:val="20"/>
        </w:rPr>
        <w:t>disclosure entity</w:t>
      </w:r>
      <w:r w:rsidRPr="001F6739">
        <w:rPr>
          <w:rFonts w:ascii="Arial" w:hAnsi="Arial" w:cs="Arial"/>
          <w:color w:val="000000"/>
          <w:sz w:val="20"/>
          <w:szCs w:val="20"/>
        </w:rPr>
        <w:t>: a person or entity is a </w:t>
      </w:r>
      <w:r w:rsidRPr="001F6739">
        <w:rPr>
          <w:rFonts w:ascii="Arial" w:hAnsi="Arial" w:cs="Arial"/>
          <w:b/>
          <w:bCs/>
          <w:i/>
          <w:iCs/>
          <w:color w:val="000000"/>
          <w:sz w:val="20"/>
          <w:szCs w:val="20"/>
        </w:rPr>
        <w:t>disclosure entity</w:t>
      </w:r>
      <w:r w:rsidRPr="001F6739">
        <w:rPr>
          <w:rFonts w:ascii="Arial" w:hAnsi="Arial" w:cs="Arial"/>
          <w:color w:val="000000"/>
          <w:sz w:val="20"/>
          <w:szCs w:val="20"/>
        </w:rPr>
        <w:t> at a particular time if the person or entity is any of the following at that time:</w:t>
      </w:r>
    </w:p>
    <w:p w14:paraId="6F8EA493" w14:textId="77777777" w:rsidR="00E449F6" w:rsidRPr="001F6739" w:rsidRDefault="00E449F6" w:rsidP="00E449F6">
      <w:pPr>
        <w:pStyle w:val="paragraph"/>
        <w:numPr>
          <w:ilvl w:val="0"/>
          <w:numId w:val="31"/>
        </w:numPr>
        <w:shd w:val="clear" w:color="auto" w:fill="FFFFFF"/>
        <w:spacing w:before="40" w:beforeAutospacing="0" w:after="120" w:afterAutospacing="0"/>
        <w:rPr>
          <w:rFonts w:ascii="Arial" w:hAnsi="Arial" w:cs="Arial"/>
          <w:color w:val="000000"/>
          <w:sz w:val="20"/>
          <w:szCs w:val="20"/>
        </w:rPr>
      </w:pPr>
      <w:r w:rsidRPr="001F6739">
        <w:rPr>
          <w:rFonts w:ascii="Arial" w:hAnsi="Arial" w:cs="Arial"/>
          <w:color w:val="000000"/>
          <w:sz w:val="20"/>
          <w:szCs w:val="20"/>
        </w:rPr>
        <w:t>a registered political party;</w:t>
      </w:r>
    </w:p>
    <w:p w14:paraId="4E4CA186" w14:textId="77777777" w:rsidR="00E449F6" w:rsidRPr="00E92F5A" w:rsidRDefault="00E449F6" w:rsidP="00E449F6">
      <w:pPr>
        <w:pStyle w:val="paragraph"/>
        <w:shd w:val="clear" w:color="auto" w:fill="FFFFFF"/>
        <w:spacing w:before="40" w:beforeAutospacing="0" w:after="0" w:afterAutospacing="0"/>
        <w:ind w:left="729"/>
        <w:rPr>
          <w:rFonts w:ascii="Arial" w:hAnsi="Arial" w:cs="Arial"/>
          <w:color w:val="000000"/>
          <w:sz w:val="20"/>
          <w:szCs w:val="20"/>
        </w:rPr>
      </w:pPr>
      <w:r w:rsidRPr="001F6739">
        <w:rPr>
          <w:rFonts w:ascii="Arial" w:hAnsi="Arial" w:cs="Arial"/>
          <w:color w:val="000000"/>
          <w:sz w:val="20"/>
          <w:szCs w:val="20"/>
        </w:rPr>
        <w:t>[…]</w:t>
      </w:r>
    </w:p>
    <w:p w14:paraId="6CDD70E9" w14:textId="77777777" w:rsidR="00E449F6" w:rsidRPr="00CD4AA4" w:rsidRDefault="00E449F6" w:rsidP="00E449F6">
      <w:pPr>
        <w:pStyle w:val="ACMABodyText0"/>
        <w:ind w:right="658"/>
        <w:rPr>
          <w:rFonts w:ascii="Arial" w:hAnsi="Arial" w:cs="Arial"/>
          <w:b/>
          <w:sz w:val="20"/>
        </w:rPr>
      </w:pPr>
      <w:r w:rsidRPr="00CD4AA4">
        <w:rPr>
          <w:rFonts w:ascii="Arial" w:hAnsi="Arial" w:cs="Arial"/>
          <w:b/>
          <w:sz w:val="20"/>
        </w:rPr>
        <w:lastRenderedPageBreak/>
        <w:t>Division 2—Authorisation of certain electoral matter</w:t>
      </w:r>
    </w:p>
    <w:p w14:paraId="064195AE" w14:textId="77777777" w:rsidR="00E449F6" w:rsidRPr="00A03641" w:rsidRDefault="00E449F6" w:rsidP="00E449F6">
      <w:pPr>
        <w:pStyle w:val="ACMABodyText0"/>
        <w:spacing w:before="120"/>
        <w:ind w:right="658"/>
        <w:rPr>
          <w:rFonts w:ascii="Arial" w:hAnsi="Arial" w:cs="Arial"/>
          <w:b/>
          <w:sz w:val="20"/>
        </w:rPr>
      </w:pPr>
      <w:r w:rsidRPr="00A03641">
        <w:rPr>
          <w:rFonts w:ascii="Arial" w:hAnsi="Arial" w:cs="Arial"/>
          <w:b/>
          <w:sz w:val="20"/>
        </w:rPr>
        <w:t>321D Authorisation of certain electoral matter</w:t>
      </w:r>
    </w:p>
    <w:p w14:paraId="1D17F194" w14:textId="77777777" w:rsidR="00E449F6" w:rsidRPr="002770CF" w:rsidRDefault="00E449F6" w:rsidP="00E449F6">
      <w:pPr>
        <w:spacing w:before="0" w:after="120" w:line="240" w:lineRule="atLeast"/>
        <w:rPr>
          <w:rFonts w:cs="Arial"/>
          <w:i w:val="0"/>
          <w:szCs w:val="20"/>
        </w:rPr>
      </w:pPr>
      <w:r w:rsidRPr="002770CF">
        <w:rPr>
          <w:rFonts w:cs="Arial"/>
          <w:i w:val="0"/>
          <w:szCs w:val="20"/>
        </w:rPr>
        <w:t>[…]</w:t>
      </w:r>
    </w:p>
    <w:p w14:paraId="3A9B8B8A" w14:textId="77777777" w:rsidR="00E449F6" w:rsidRPr="002770CF" w:rsidRDefault="00E449F6" w:rsidP="00E449F6">
      <w:pPr>
        <w:spacing w:before="0" w:after="120" w:line="240" w:lineRule="atLeast"/>
        <w:rPr>
          <w:rFonts w:cs="Arial"/>
          <w:iCs/>
          <w:szCs w:val="20"/>
        </w:rPr>
      </w:pPr>
      <w:r w:rsidRPr="002770CF">
        <w:rPr>
          <w:rFonts w:cs="Arial"/>
          <w:iCs/>
          <w:szCs w:val="20"/>
        </w:rPr>
        <w:t xml:space="preserve">Legislative instrument </w:t>
      </w:r>
    </w:p>
    <w:p w14:paraId="7C44FFA0" w14:textId="77777777" w:rsidR="00E449F6" w:rsidRPr="002770CF" w:rsidRDefault="00E449F6" w:rsidP="00E449F6">
      <w:pPr>
        <w:pStyle w:val="ACMABodyText0"/>
        <w:spacing w:before="0" w:line="240" w:lineRule="atLeast"/>
        <w:ind w:left="709" w:right="660" w:hanging="425"/>
        <w:rPr>
          <w:rFonts w:ascii="Arial" w:hAnsi="Arial" w:cs="Arial"/>
          <w:sz w:val="20"/>
        </w:rPr>
      </w:pPr>
      <w:r w:rsidRPr="002770CF">
        <w:rPr>
          <w:rFonts w:ascii="Arial" w:hAnsi="Arial" w:cs="Arial"/>
          <w:sz w:val="20"/>
        </w:rPr>
        <w:t>(7</w:t>
      </w:r>
      <w:bookmarkStart w:id="15" w:name="_Hlk67316845"/>
      <w:r w:rsidRPr="002770CF">
        <w:rPr>
          <w:rFonts w:ascii="Arial" w:hAnsi="Arial" w:cs="Arial"/>
          <w:sz w:val="20"/>
        </w:rPr>
        <w:t xml:space="preserve">)  The </w:t>
      </w:r>
      <w:hyperlink r:id="rId8" w:anchor="electoral_commissioner" w:history="1">
        <w:r w:rsidRPr="002770CF">
          <w:rPr>
            <w:rFonts w:ascii="Arial" w:hAnsi="Arial" w:cs="Arial"/>
            <w:sz w:val="20"/>
          </w:rPr>
          <w:t>Electoral Commissioner</w:t>
        </w:r>
      </w:hyperlink>
      <w:r w:rsidRPr="002770CF">
        <w:rPr>
          <w:rFonts w:ascii="Arial" w:hAnsi="Arial" w:cs="Arial"/>
          <w:sz w:val="20"/>
        </w:rPr>
        <w:t xml:space="preserve"> may, by legislative instrument, determine: </w:t>
      </w:r>
    </w:p>
    <w:p w14:paraId="7E0F9CCD" w14:textId="77777777" w:rsidR="00E449F6" w:rsidRPr="002770CF" w:rsidRDefault="00E449F6" w:rsidP="00E449F6">
      <w:pPr>
        <w:pStyle w:val="ACMABodyText0"/>
        <w:spacing w:before="0" w:line="240" w:lineRule="atLeast"/>
        <w:ind w:right="660" w:firstLine="709"/>
        <w:rPr>
          <w:rFonts w:ascii="Arial" w:hAnsi="Arial" w:cs="Arial"/>
          <w:sz w:val="20"/>
        </w:rPr>
      </w:pPr>
      <w:r w:rsidRPr="002770CF">
        <w:rPr>
          <w:rFonts w:ascii="Arial" w:hAnsi="Arial" w:cs="Arial"/>
          <w:sz w:val="20"/>
        </w:rPr>
        <w:t>[…]</w:t>
      </w:r>
    </w:p>
    <w:p w14:paraId="37FF5218" w14:textId="77777777" w:rsidR="00E449F6" w:rsidRPr="002770CF" w:rsidRDefault="00E449F6" w:rsidP="00E449F6">
      <w:pPr>
        <w:spacing w:before="0" w:after="120" w:line="240" w:lineRule="atLeast"/>
        <w:ind w:left="993" w:hanging="993"/>
        <w:rPr>
          <w:rFonts w:cs="Arial"/>
          <w:i w:val="0"/>
          <w:szCs w:val="20"/>
        </w:rPr>
      </w:pPr>
      <w:r w:rsidRPr="002770CF">
        <w:rPr>
          <w:rFonts w:cs="Arial"/>
          <w:i w:val="0"/>
          <w:szCs w:val="20"/>
        </w:rPr>
        <w:t>             </w:t>
      </w:r>
      <w:r w:rsidRPr="002770CF">
        <w:rPr>
          <w:rFonts w:cs="Arial"/>
          <w:i w:val="0"/>
          <w:szCs w:val="20"/>
        </w:rPr>
        <w:tab/>
        <w:t xml:space="preserve">(b)  requirements or </w:t>
      </w:r>
      <w:hyperlink r:id="rId9" w:anchor="part" w:history="1">
        <w:r w:rsidRPr="002770CF">
          <w:rPr>
            <w:rFonts w:cs="Arial"/>
            <w:i w:val="0"/>
            <w:szCs w:val="20"/>
          </w:rPr>
          <w:t>particulars</w:t>
        </w:r>
      </w:hyperlink>
      <w:r w:rsidRPr="002770CF">
        <w:rPr>
          <w:rFonts w:cs="Arial"/>
          <w:i w:val="0"/>
          <w:szCs w:val="20"/>
        </w:rPr>
        <w:t xml:space="preserve"> for the purposes of any one or more of the following: </w:t>
      </w:r>
    </w:p>
    <w:bookmarkEnd w:id="15"/>
    <w:p w14:paraId="58FD32AB" w14:textId="77777777" w:rsidR="00E449F6" w:rsidRPr="002770CF" w:rsidRDefault="00E449F6" w:rsidP="00E449F6">
      <w:pPr>
        <w:spacing w:before="0" w:after="120" w:line="240" w:lineRule="atLeast"/>
        <w:ind w:left="720" w:firstLine="720"/>
        <w:rPr>
          <w:rFonts w:cs="Arial"/>
          <w:i w:val="0"/>
          <w:szCs w:val="20"/>
        </w:rPr>
      </w:pPr>
      <w:r w:rsidRPr="002770CF">
        <w:rPr>
          <w:rFonts w:cs="Arial"/>
          <w:i w:val="0"/>
          <w:szCs w:val="20"/>
        </w:rPr>
        <w:t>[…]</w:t>
      </w:r>
    </w:p>
    <w:p w14:paraId="048D9CB2" w14:textId="77777777" w:rsidR="00E449F6" w:rsidRPr="002770CF" w:rsidRDefault="00E449F6" w:rsidP="00E449F6">
      <w:pPr>
        <w:spacing w:before="0" w:after="120" w:line="240" w:lineRule="atLeast"/>
        <w:ind w:left="1440"/>
        <w:rPr>
          <w:rFonts w:cs="Arial"/>
          <w:i w:val="0"/>
          <w:szCs w:val="20"/>
        </w:rPr>
      </w:pPr>
      <w:r w:rsidRPr="002770CF">
        <w:rPr>
          <w:rFonts w:cs="Arial"/>
          <w:i w:val="0"/>
          <w:szCs w:val="20"/>
        </w:rPr>
        <w:t xml:space="preserve">(iv)  </w:t>
      </w:r>
      <w:hyperlink r:id="rId10" w:anchor="paragraph" w:history="1">
        <w:r w:rsidRPr="002770CF">
          <w:rPr>
            <w:rFonts w:cs="Arial"/>
            <w:i w:val="0"/>
            <w:szCs w:val="20"/>
          </w:rPr>
          <w:t>paragraph</w:t>
        </w:r>
      </w:hyperlink>
      <w:r w:rsidRPr="002770CF">
        <w:rPr>
          <w:rFonts w:cs="Arial"/>
          <w:i w:val="0"/>
          <w:szCs w:val="20"/>
        </w:rPr>
        <w:t xml:space="preserve"> 1(2)(b) and </w:t>
      </w:r>
      <w:bookmarkStart w:id="16" w:name="_Hlk67316932"/>
      <w:r w:rsidRPr="002770CF">
        <w:rPr>
          <w:rFonts w:cs="Arial"/>
          <w:i w:val="0"/>
          <w:szCs w:val="20"/>
        </w:rPr>
        <w:t xml:space="preserve">subclause 4(2) of Schedule 2 to the </w:t>
      </w:r>
      <w:r w:rsidRPr="002770CF">
        <w:rPr>
          <w:rFonts w:cs="Arial"/>
          <w:szCs w:val="20"/>
        </w:rPr>
        <w:t>Broadcasting Services Act 1992</w:t>
      </w:r>
      <w:bookmarkEnd w:id="16"/>
      <w:r w:rsidRPr="002770CF">
        <w:rPr>
          <w:rFonts w:cs="Arial"/>
          <w:i w:val="0"/>
          <w:szCs w:val="20"/>
        </w:rPr>
        <w:t>;</w:t>
      </w:r>
    </w:p>
    <w:p w14:paraId="47C11295" w14:textId="77777777" w:rsidR="00E449F6" w:rsidRPr="004F4BC3" w:rsidRDefault="00E449F6" w:rsidP="00E449F6">
      <w:pPr>
        <w:pStyle w:val="ACMABodyText0"/>
        <w:spacing w:before="240" w:after="0"/>
        <w:ind w:right="658"/>
        <w:rPr>
          <w:rFonts w:cs="Arial"/>
          <w:b/>
          <w:i/>
          <w:szCs w:val="24"/>
        </w:rPr>
      </w:pPr>
      <w:bookmarkStart w:id="17" w:name="_Hlk67317757"/>
      <w:r w:rsidRPr="004F4BC3">
        <w:rPr>
          <w:rFonts w:ascii="Arial" w:hAnsi="Arial" w:cs="Arial"/>
          <w:b/>
          <w:i/>
          <w:szCs w:val="24"/>
        </w:rPr>
        <w:t>Commonwealth Electoral (Authorisation of Voter Communication) Determination 2018</w:t>
      </w:r>
    </w:p>
    <w:bookmarkEnd w:id="17"/>
    <w:p w14:paraId="54F2C7A1" w14:textId="77777777" w:rsidR="00E449F6" w:rsidRPr="00CD4AA4" w:rsidRDefault="00E449F6" w:rsidP="00E449F6">
      <w:pPr>
        <w:pStyle w:val="ACMABodyText0"/>
        <w:ind w:right="660"/>
        <w:rPr>
          <w:rFonts w:ascii="Arial" w:hAnsi="Arial" w:cs="Arial"/>
          <w:b/>
          <w:sz w:val="22"/>
          <w:szCs w:val="22"/>
        </w:rPr>
      </w:pPr>
      <w:r w:rsidRPr="00CD4AA4">
        <w:rPr>
          <w:rFonts w:ascii="Arial" w:hAnsi="Arial" w:cs="Arial"/>
          <w:b/>
          <w:sz w:val="22"/>
          <w:szCs w:val="22"/>
        </w:rPr>
        <w:t>Part 1—Preliminary</w:t>
      </w:r>
    </w:p>
    <w:p w14:paraId="00E13BBE" w14:textId="77777777" w:rsidR="00E449F6" w:rsidRPr="001F04BB" w:rsidRDefault="00E449F6" w:rsidP="00E449F6">
      <w:pPr>
        <w:pStyle w:val="ACMABodyText0"/>
        <w:ind w:right="660"/>
        <w:rPr>
          <w:rFonts w:ascii="Arial" w:hAnsi="Arial" w:cs="Arial"/>
          <w:b/>
          <w:sz w:val="20"/>
        </w:rPr>
      </w:pPr>
      <w:r w:rsidRPr="001F04BB">
        <w:rPr>
          <w:rFonts w:ascii="Arial" w:hAnsi="Arial" w:cs="Arial"/>
          <w:b/>
          <w:sz w:val="20"/>
        </w:rPr>
        <w:t>3 Authority</w:t>
      </w:r>
    </w:p>
    <w:p w14:paraId="5BBD89BD" w14:textId="77777777" w:rsidR="00E449F6" w:rsidRPr="001F04BB" w:rsidRDefault="00E449F6" w:rsidP="00E449F6">
      <w:pPr>
        <w:pStyle w:val="ACMABodyText0"/>
        <w:spacing w:after="0"/>
        <w:ind w:left="567" w:right="660"/>
        <w:rPr>
          <w:rFonts w:ascii="Arial" w:hAnsi="Arial" w:cs="Arial"/>
          <w:bCs/>
          <w:sz w:val="20"/>
        </w:rPr>
      </w:pPr>
      <w:r w:rsidRPr="001F04BB">
        <w:rPr>
          <w:rFonts w:ascii="Arial" w:hAnsi="Arial" w:cs="Arial"/>
          <w:bCs/>
          <w:sz w:val="20"/>
        </w:rPr>
        <w:t xml:space="preserve">This instrument is made under subsection 321D(7) of the </w:t>
      </w:r>
      <w:r w:rsidRPr="00D44E9A">
        <w:rPr>
          <w:rFonts w:ascii="Arial" w:hAnsi="Arial" w:cs="Arial"/>
          <w:bCs/>
          <w:i/>
          <w:iCs/>
          <w:sz w:val="20"/>
        </w:rPr>
        <w:t>Commonwealth Electoral Act 1918</w:t>
      </w:r>
      <w:r w:rsidRPr="00D44E9A">
        <w:rPr>
          <w:rFonts w:ascii="Arial" w:hAnsi="Arial" w:cs="Arial"/>
          <w:bCs/>
          <w:sz w:val="20"/>
        </w:rPr>
        <w:t>.</w:t>
      </w:r>
    </w:p>
    <w:p w14:paraId="115A0DD4" w14:textId="77777777" w:rsidR="00E449F6" w:rsidRPr="00450839" w:rsidRDefault="00E449F6" w:rsidP="00E449F6">
      <w:pPr>
        <w:pStyle w:val="ACMABodyText0"/>
        <w:spacing w:after="0"/>
        <w:ind w:right="660"/>
        <w:rPr>
          <w:rFonts w:ascii="Arial" w:hAnsi="Arial" w:cs="Arial"/>
          <w:bCs/>
          <w:sz w:val="20"/>
        </w:rPr>
      </w:pPr>
      <w:r w:rsidRPr="00450839">
        <w:rPr>
          <w:rFonts w:ascii="Arial" w:hAnsi="Arial" w:cs="Arial"/>
          <w:bCs/>
          <w:sz w:val="20"/>
        </w:rPr>
        <w:t>[…]</w:t>
      </w:r>
    </w:p>
    <w:p w14:paraId="46D127C0" w14:textId="77777777" w:rsidR="00E449F6" w:rsidRPr="00CD4AA4" w:rsidRDefault="00E449F6" w:rsidP="00E449F6">
      <w:pPr>
        <w:pStyle w:val="ACMABodyText0"/>
        <w:spacing w:after="0"/>
        <w:ind w:right="660"/>
        <w:rPr>
          <w:rFonts w:ascii="Arial" w:hAnsi="Arial" w:cs="Arial"/>
          <w:b/>
          <w:sz w:val="22"/>
          <w:szCs w:val="22"/>
        </w:rPr>
      </w:pPr>
      <w:r w:rsidRPr="00CD4AA4">
        <w:rPr>
          <w:rFonts w:ascii="Arial" w:hAnsi="Arial" w:cs="Arial"/>
          <w:b/>
          <w:sz w:val="22"/>
          <w:szCs w:val="22"/>
        </w:rPr>
        <w:t>Part 3—Requirements and particulars</w:t>
      </w:r>
    </w:p>
    <w:p w14:paraId="60EED142" w14:textId="77777777" w:rsidR="00E449F6" w:rsidRPr="004D410A" w:rsidRDefault="00E449F6" w:rsidP="00E449F6">
      <w:pPr>
        <w:pStyle w:val="ACMABodyText0"/>
        <w:spacing w:after="0"/>
        <w:ind w:right="660"/>
        <w:rPr>
          <w:rFonts w:ascii="Arial" w:hAnsi="Arial" w:cs="Arial"/>
          <w:bCs/>
          <w:sz w:val="20"/>
        </w:rPr>
      </w:pPr>
      <w:r w:rsidRPr="004D410A">
        <w:rPr>
          <w:rFonts w:ascii="Arial" w:hAnsi="Arial" w:cs="Arial"/>
          <w:bCs/>
          <w:sz w:val="20"/>
        </w:rPr>
        <w:t>[…]</w:t>
      </w:r>
    </w:p>
    <w:p w14:paraId="44DEA904" w14:textId="77777777" w:rsidR="00E449F6" w:rsidRPr="004D410A" w:rsidRDefault="00E449F6" w:rsidP="00E449F6">
      <w:pPr>
        <w:pStyle w:val="ACMABodyText0"/>
        <w:spacing w:after="0"/>
        <w:ind w:right="660"/>
        <w:rPr>
          <w:rFonts w:cs="Arial"/>
          <w:b/>
          <w:i/>
          <w:sz w:val="20"/>
        </w:rPr>
      </w:pPr>
      <w:r w:rsidRPr="004D410A">
        <w:rPr>
          <w:rFonts w:ascii="Arial" w:hAnsi="Arial" w:cs="Arial"/>
          <w:b/>
          <w:sz w:val="20"/>
        </w:rPr>
        <w:t>10 Broadcasting Acts</w:t>
      </w:r>
    </w:p>
    <w:p w14:paraId="2D06E8B4" w14:textId="77777777" w:rsidR="00E449F6" w:rsidRPr="004D410A" w:rsidRDefault="00E449F6" w:rsidP="00E449F6">
      <w:pPr>
        <w:spacing w:before="120" w:after="120" w:line="240" w:lineRule="auto"/>
        <w:rPr>
          <w:rFonts w:cs="Arial"/>
          <w:i w:val="0"/>
          <w:szCs w:val="20"/>
          <w:lang w:val="en-US"/>
        </w:rPr>
      </w:pPr>
      <w:r w:rsidRPr="004D410A">
        <w:rPr>
          <w:rFonts w:cs="Arial"/>
          <w:i w:val="0"/>
          <w:szCs w:val="20"/>
        </w:rPr>
        <w:t>The following table sets out requirements for notifying particulars for the purposes of the following provisions:</w:t>
      </w:r>
    </w:p>
    <w:p w14:paraId="7D1A0A98" w14:textId="77777777" w:rsidR="00E449F6" w:rsidRPr="004D410A" w:rsidRDefault="00E449F6" w:rsidP="00E449F6">
      <w:pPr>
        <w:spacing w:before="120" w:after="120" w:line="240" w:lineRule="auto"/>
        <w:ind w:left="426"/>
        <w:rPr>
          <w:rFonts w:cs="Arial"/>
          <w:i w:val="0"/>
          <w:szCs w:val="20"/>
          <w:lang w:val="en-US"/>
        </w:rPr>
      </w:pPr>
      <w:r w:rsidRPr="004D410A">
        <w:rPr>
          <w:rFonts w:cs="Arial"/>
          <w:i w:val="0"/>
          <w:szCs w:val="20"/>
        </w:rPr>
        <w:t>     </w:t>
      </w:r>
      <w:r>
        <w:rPr>
          <w:rFonts w:cs="Arial"/>
          <w:i w:val="0"/>
          <w:szCs w:val="20"/>
        </w:rPr>
        <w:t>[...]</w:t>
      </w:r>
      <w:r w:rsidRPr="004D410A">
        <w:rPr>
          <w:rFonts w:cs="Arial"/>
          <w:i w:val="0"/>
          <w:szCs w:val="20"/>
        </w:rPr>
        <w:t> </w:t>
      </w:r>
    </w:p>
    <w:p w14:paraId="6B1554D0" w14:textId="77777777" w:rsidR="00E449F6" w:rsidRPr="004D410A" w:rsidRDefault="00E449F6" w:rsidP="00E449F6">
      <w:pPr>
        <w:spacing w:before="120" w:after="120" w:line="240" w:lineRule="auto"/>
        <w:rPr>
          <w:rFonts w:cs="Arial"/>
          <w:i w:val="0"/>
          <w:szCs w:val="20"/>
          <w:lang w:val="en-US"/>
        </w:rPr>
      </w:pPr>
      <w:r w:rsidRPr="004D410A">
        <w:rPr>
          <w:rFonts w:cs="Arial"/>
          <w:i w:val="0"/>
          <w:szCs w:val="20"/>
        </w:rPr>
        <w:t>            </w:t>
      </w:r>
      <w:r w:rsidRPr="004D410A">
        <w:rPr>
          <w:rFonts w:cs="Arial"/>
          <w:i w:val="0"/>
          <w:szCs w:val="20"/>
        </w:rPr>
        <w:tab/>
        <w:t xml:space="preserve">(b)  subclause 4(2) of Schedule 2 to the </w:t>
      </w:r>
      <w:r w:rsidRPr="004D410A">
        <w:rPr>
          <w:rFonts w:cs="Arial"/>
          <w:iCs/>
          <w:szCs w:val="20"/>
        </w:rPr>
        <w:t>Broadcasting Services Act 1992</w:t>
      </w:r>
      <w:r w:rsidRPr="004D410A">
        <w:rPr>
          <w:rFonts w:cs="Arial"/>
          <w:i w:val="0"/>
          <w:szCs w:val="20"/>
        </w:rPr>
        <w:t>;</w:t>
      </w:r>
    </w:p>
    <w:p w14:paraId="2C63A979" w14:textId="77777777" w:rsidR="00E449F6" w:rsidRPr="004D410A" w:rsidRDefault="00E449F6" w:rsidP="00E449F6">
      <w:pPr>
        <w:spacing w:before="120" w:line="240" w:lineRule="auto"/>
        <w:rPr>
          <w:rFonts w:cs="Arial"/>
          <w:i w:val="0"/>
          <w:szCs w:val="20"/>
          <w:lang w:val="en-US"/>
        </w:rPr>
      </w:pPr>
      <w:r w:rsidRPr="004D410A">
        <w:rPr>
          <w:rFonts w:cs="Arial"/>
          <w:i w:val="0"/>
          <w:szCs w:val="20"/>
        </w:rPr>
        <w:t>            </w:t>
      </w:r>
      <w:r w:rsidRPr="004D410A">
        <w:rPr>
          <w:rFonts w:cs="Arial"/>
          <w:i w:val="0"/>
          <w:szCs w:val="20"/>
        </w:rPr>
        <w:tab/>
      </w:r>
      <w:r>
        <w:rPr>
          <w:rFonts w:cs="Arial"/>
          <w:i w:val="0"/>
          <w:szCs w:val="20"/>
        </w:rPr>
        <w:t>[...]</w:t>
      </w:r>
    </w:p>
    <w:tbl>
      <w:tblPr>
        <w:tblW w:w="0" w:type="auto"/>
        <w:tblInd w:w="113"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35"/>
        <w:gridCol w:w="2654"/>
        <w:gridCol w:w="4913"/>
      </w:tblGrid>
      <w:tr w:rsidR="00E449F6" w:rsidRPr="004D410A" w14:paraId="110162D3" w14:textId="77777777" w:rsidTr="00AF2E0E">
        <w:trPr>
          <w:tblHeader/>
        </w:trPr>
        <w:tc>
          <w:tcPr>
            <w:tcW w:w="8202" w:type="dxa"/>
            <w:gridSpan w:val="3"/>
            <w:tcBorders>
              <w:top w:val="single" w:sz="4" w:space="0" w:color="auto"/>
              <w:left w:val="nil"/>
              <w:bottom w:val="single" w:sz="8" w:space="0" w:color="auto"/>
              <w:right w:val="nil"/>
            </w:tcBorders>
            <w:tcMar>
              <w:top w:w="0" w:type="dxa"/>
              <w:left w:w="108" w:type="dxa"/>
              <w:bottom w:w="0" w:type="dxa"/>
              <w:right w:w="108" w:type="dxa"/>
            </w:tcMar>
            <w:hideMark/>
          </w:tcPr>
          <w:p w14:paraId="06694ED1" w14:textId="77777777" w:rsidR="00E449F6" w:rsidRPr="00EB1E8B" w:rsidRDefault="00E449F6" w:rsidP="00AF2E0E">
            <w:pPr>
              <w:spacing w:before="120" w:after="120" w:line="240" w:lineRule="auto"/>
              <w:rPr>
                <w:rFonts w:cs="Arial"/>
                <w:b/>
                <w:i w:val="0"/>
                <w:sz w:val="18"/>
                <w:szCs w:val="18"/>
              </w:rPr>
            </w:pPr>
            <w:r w:rsidRPr="00EB1E8B">
              <w:rPr>
                <w:rFonts w:cs="Arial"/>
                <w:i w:val="0"/>
                <w:sz w:val="18"/>
                <w:szCs w:val="18"/>
              </w:rPr>
              <w:t> </w:t>
            </w:r>
            <w:r w:rsidRPr="00EB1E8B">
              <w:rPr>
                <w:rFonts w:cs="Arial"/>
                <w:b/>
                <w:i w:val="0"/>
                <w:sz w:val="18"/>
                <w:szCs w:val="18"/>
              </w:rPr>
              <w:t>Requirements for notifying particulars—broadcasting Acts</w:t>
            </w:r>
          </w:p>
        </w:tc>
      </w:tr>
      <w:tr w:rsidR="00E449F6" w:rsidRPr="004D410A" w14:paraId="66C9A851" w14:textId="77777777" w:rsidTr="00AF2E0E">
        <w:trPr>
          <w:tblHeader/>
        </w:trPr>
        <w:tc>
          <w:tcPr>
            <w:tcW w:w="635" w:type="dxa"/>
            <w:tcBorders>
              <w:top w:val="nil"/>
              <w:left w:val="nil"/>
              <w:bottom w:val="single" w:sz="4" w:space="0" w:color="auto"/>
              <w:right w:val="nil"/>
            </w:tcBorders>
            <w:tcMar>
              <w:top w:w="0" w:type="dxa"/>
              <w:left w:w="108" w:type="dxa"/>
              <w:bottom w:w="0" w:type="dxa"/>
              <w:right w:w="108" w:type="dxa"/>
            </w:tcMar>
            <w:hideMark/>
          </w:tcPr>
          <w:p w14:paraId="7D38E348" w14:textId="77777777" w:rsidR="00E449F6" w:rsidRPr="00EB1E8B" w:rsidRDefault="00E449F6" w:rsidP="00AF2E0E">
            <w:pPr>
              <w:spacing w:before="120" w:after="120" w:line="240" w:lineRule="auto"/>
              <w:rPr>
                <w:rFonts w:cs="Arial"/>
                <w:b/>
                <w:i w:val="0"/>
                <w:sz w:val="18"/>
                <w:szCs w:val="18"/>
              </w:rPr>
            </w:pPr>
            <w:r w:rsidRPr="00EB1E8B">
              <w:rPr>
                <w:rFonts w:cs="Arial"/>
                <w:b/>
                <w:i w:val="0"/>
                <w:sz w:val="18"/>
                <w:szCs w:val="18"/>
              </w:rPr>
              <w:t>Item</w:t>
            </w:r>
          </w:p>
        </w:tc>
        <w:tc>
          <w:tcPr>
            <w:tcW w:w="2654" w:type="dxa"/>
            <w:tcBorders>
              <w:top w:val="nil"/>
              <w:left w:val="nil"/>
              <w:bottom w:val="single" w:sz="4" w:space="0" w:color="auto"/>
              <w:right w:val="nil"/>
            </w:tcBorders>
            <w:tcMar>
              <w:top w:w="0" w:type="dxa"/>
              <w:left w:w="108" w:type="dxa"/>
              <w:bottom w:w="0" w:type="dxa"/>
              <w:right w:w="108" w:type="dxa"/>
            </w:tcMar>
            <w:hideMark/>
          </w:tcPr>
          <w:p w14:paraId="0A744EED" w14:textId="77777777" w:rsidR="00E449F6" w:rsidRPr="00EB1E8B" w:rsidRDefault="00E449F6" w:rsidP="00AF2E0E">
            <w:pPr>
              <w:spacing w:before="120" w:after="120" w:line="240" w:lineRule="auto"/>
              <w:rPr>
                <w:rFonts w:cs="Arial"/>
                <w:b/>
                <w:i w:val="0"/>
                <w:sz w:val="18"/>
                <w:szCs w:val="18"/>
              </w:rPr>
            </w:pPr>
            <w:r w:rsidRPr="00EB1E8B">
              <w:rPr>
                <w:rFonts w:cs="Arial"/>
                <w:b/>
                <w:i w:val="0"/>
                <w:sz w:val="18"/>
                <w:szCs w:val="18"/>
              </w:rPr>
              <w:t xml:space="preserve">If the communication is... </w:t>
            </w:r>
          </w:p>
        </w:tc>
        <w:tc>
          <w:tcPr>
            <w:tcW w:w="4913" w:type="dxa"/>
            <w:tcBorders>
              <w:top w:val="nil"/>
              <w:left w:val="nil"/>
              <w:bottom w:val="single" w:sz="4" w:space="0" w:color="auto"/>
              <w:right w:val="nil"/>
            </w:tcBorders>
            <w:tcMar>
              <w:top w:w="0" w:type="dxa"/>
              <w:left w:w="108" w:type="dxa"/>
              <w:bottom w:w="0" w:type="dxa"/>
              <w:right w:w="108" w:type="dxa"/>
            </w:tcMar>
            <w:hideMark/>
          </w:tcPr>
          <w:p w14:paraId="2B0480B0" w14:textId="77777777" w:rsidR="00E449F6" w:rsidRPr="00EB1E8B" w:rsidRDefault="00E449F6" w:rsidP="00AF2E0E">
            <w:pPr>
              <w:spacing w:before="120" w:after="120" w:line="240" w:lineRule="auto"/>
              <w:rPr>
                <w:rFonts w:cs="Arial"/>
                <w:b/>
                <w:i w:val="0"/>
                <w:sz w:val="18"/>
                <w:szCs w:val="18"/>
              </w:rPr>
            </w:pPr>
            <w:r w:rsidRPr="00EB1E8B">
              <w:rPr>
                <w:rFonts w:cs="Arial"/>
                <w:b/>
                <w:i w:val="0"/>
                <w:sz w:val="18"/>
                <w:szCs w:val="18"/>
              </w:rPr>
              <w:t>the particulars must …</w:t>
            </w:r>
          </w:p>
        </w:tc>
      </w:tr>
      <w:tr w:rsidR="00E449F6" w:rsidRPr="004D410A" w14:paraId="70C0062F" w14:textId="77777777" w:rsidTr="00AF2E0E">
        <w:tc>
          <w:tcPr>
            <w:tcW w:w="635" w:type="dxa"/>
            <w:tcBorders>
              <w:top w:val="single" w:sz="4" w:space="0" w:color="auto"/>
              <w:left w:val="nil"/>
              <w:bottom w:val="single" w:sz="8" w:space="0" w:color="auto"/>
              <w:right w:val="nil"/>
            </w:tcBorders>
            <w:tcMar>
              <w:top w:w="0" w:type="dxa"/>
              <w:left w:w="108" w:type="dxa"/>
              <w:bottom w:w="0" w:type="dxa"/>
              <w:right w:w="108" w:type="dxa"/>
            </w:tcMar>
            <w:hideMark/>
          </w:tcPr>
          <w:p w14:paraId="614B1719" w14:textId="77777777" w:rsidR="00E449F6" w:rsidRPr="00EB1E8B" w:rsidRDefault="00E449F6" w:rsidP="00AF2E0E">
            <w:pPr>
              <w:spacing w:before="120" w:after="120" w:line="240" w:lineRule="auto"/>
              <w:rPr>
                <w:rFonts w:cs="Arial"/>
                <w:i w:val="0"/>
                <w:sz w:val="18"/>
                <w:szCs w:val="18"/>
              </w:rPr>
            </w:pPr>
            <w:r w:rsidRPr="00EB1E8B">
              <w:rPr>
                <w:rFonts w:cs="Arial"/>
                <w:i w:val="0"/>
                <w:sz w:val="18"/>
                <w:szCs w:val="18"/>
              </w:rPr>
              <w:t>1</w:t>
            </w:r>
          </w:p>
        </w:tc>
        <w:tc>
          <w:tcPr>
            <w:tcW w:w="2654" w:type="dxa"/>
            <w:tcBorders>
              <w:top w:val="single" w:sz="4" w:space="0" w:color="auto"/>
              <w:left w:val="nil"/>
              <w:bottom w:val="single" w:sz="8" w:space="0" w:color="auto"/>
              <w:right w:val="nil"/>
            </w:tcBorders>
            <w:tcMar>
              <w:top w:w="0" w:type="dxa"/>
              <w:left w:w="108" w:type="dxa"/>
              <w:bottom w:w="0" w:type="dxa"/>
              <w:right w:w="108" w:type="dxa"/>
            </w:tcMar>
            <w:hideMark/>
          </w:tcPr>
          <w:p w14:paraId="18C1F499" w14:textId="77777777" w:rsidR="00E449F6" w:rsidRPr="00EB1E8B" w:rsidRDefault="00E449F6" w:rsidP="00AF2E0E">
            <w:pPr>
              <w:spacing w:before="120" w:after="120" w:line="240" w:lineRule="auto"/>
              <w:rPr>
                <w:rFonts w:cs="Arial"/>
                <w:i w:val="0"/>
                <w:sz w:val="18"/>
                <w:szCs w:val="18"/>
              </w:rPr>
            </w:pPr>
            <w:r w:rsidRPr="00EB1E8B">
              <w:rPr>
                <w:rFonts w:cs="Arial"/>
                <w:i w:val="0"/>
                <w:sz w:val="18"/>
                <w:szCs w:val="18"/>
              </w:rPr>
              <w:t>a broadcast by radio</w:t>
            </w:r>
          </w:p>
        </w:tc>
        <w:tc>
          <w:tcPr>
            <w:tcW w:w="4913" w:type="dxa"/>
            <w:tcBorders>
              <w:top w:val="single" w:sz="4" w:space="0" w:color="auto"/>
              <w:left w:val="nil"/>
              <w:bottom w:val="single" w:sz="8" w:space="0" w:color="auto"/>
              <w:right w:val="nil"/>
            </w:tcBorders>
            <w:tcMar>
              <w:top w:w="0" w:type="dxa"/>
              <w:left w:w="108" w:type="dxa"/>
              <w:bottom w:w="0" w:type="dxa"/>
              <w:right w:w="108" w:type="dxa"/>
            </w:tcMar>
            <w:hideMark/>
          </w:tcPr>
          <w:p w14:paraId="63D1553E" w14:textId="77777777" w:rsidR="00E449F6" w:rsidRPr="00EB1E8B" w:rsidRDefault="00E449F6" w:rsidP="00AF2E0E">
            <w:pPr>
              <w:spacing w:before="120" w:after="60" w:line="240" w:lineRule="auto"/>
              <w:rPr>
                <w:rFonts w:cs="Arial"/>
                <w:i w:val="0"/>
                <w:sz w:val="18"/>
                <w:szCs w:val="18"/>
              </w:rPr>
            </w:pPr>
            <w:r w:rsidRPr="00EB1E8B">
              <w:rPr>
                <w:rFonts w:cs="Arial"/>
                <w:i w:val="0"/>
                <w:sz w:val="18"/>
                <w:szCs w:val="18"/>
              </w:rPr>
              <w:t>be announced at the end of the communication in the language used for the rest of the communication.</w:t>
            </w:r>
          </w:p>
        </w:tc>
      </w:tr>
      <w:tr w:rsidR="00E449F6" w:rsidRPr="004D410A" w14:paraId="3890C593" w14:textId="77777777" w:rsidTr="00033319">
        <w:trPr>
          <w:trHeight w:val="520"/>
        </w:trPr>
        <w:tc>
          <w:tcPr>
            <w:tcW w:w="635" w:type="dxa"/>
            <w:tcBorders>
              <w:top w:val="nil"/>
              <w:left w:val="nil"/>
              <w:bottom w:val="single" w:sz="12" w:space="0" w:color="auto"/>
              <w:right w:val="nil"/>
            </w:tcBorders>
            <w:tcMar>
              <w:top w:w="0" w:type="dxa"/>
              <w:left w:w="108" w:type="dxa"/>
              <w:bottom w:w="0" w:type="dxa"/>
              <w:right w:w="108" w:type="dxa"/>
            </w:tcMar>
            <w:hideMark/>
          </w:tcPr>
          <w:p w14:paraId="11BA310A" w14:textId="77777777" w:rsidR="00E449F6" w:rsidRPr="00EB1E8B" w:rsidRDefault="00E449F6" w:rsidP="00AF2E0E">
            <w:pPr>
              <w:spacing w:before="120" w:after="120" w:line="240" w:lineRule="auto"/>
              <w:rPr>
                <w:rFonts w:cs="Arial"/>
                <w:b/>
                <w:bCs/>
                <w:i w:val="0"/>
                <w:sz w:val="18"/>
                <w:szCs w:val="18"/>
              </w:rPr>
            </w:pPr>
            <w:r w:rsidRPr="00EB1E8B">
              <w:rPr>
                <w:rFonts w:cs="Arial"/>
                <w:b/>
                <w:bCs/>
                <w:i w:val="0"/>
                <w:sz w:val="18"/>
                <w:szCs w:val="18"/>
              </w:rPr>
              <w:t>2</w:t>
            </w:r>
          </w:p>
        </w:tc>
        <w:tc>
          <w:tcPr>
            <w:tcW w:w="2654" w:type="dxa"/>
            <w:tcBorders>
              <w:top w:val="nil"/>
              <w:left w:val="nil"/>
              <w:bottom w:val="single" w:sz="12" w:space="0" w:color="auto"/>
              <w:right w:val="nil"/>
            </w:tcBorders>
            <w:tcMar>
              <w:top w:w="0" w:type="dxa"/>
              <w:left w:w="108" w:type="dxa"/>
              <w:bottom w:w="0" w:type="dxa"/>
              <w:right w:w="108" w:type="dxa"/>
            </w:tcMar>
            <w:hideMark/>
          </w:tcPr>
          <w:p w14:paraId="2EF7F8C4" w14:textId="77777777" w:rsidR="00E449F6" w:rsidRPr="00EB1E8B" w:rsidRDefault="00E449F6" w:rsidP="00AF2E0E">
            <w:pPr>
              <w:spacing w:before="120" w:after="120" w:line="240" w:lineRule="auto"/>
              <w:rPr>
                <w:rFonts w:cs="Arial"/>
                <w:i w:val="0"/>
                <w:sz w:val="18"/>
                <w:szCs w:val="18"/>
              </w:rPr>
            </w:pPr>
            <w:r w:rsidRPr="00EB1E8B">
              <w:rPr>
                <w:rFonts w:cs="Arial"/>
                <w:i w:val="0"/>
                <w:sz w:val="18"/>
                <w:szCs w:val="18"/>
              </w:rPr>
              <w:t>a broadcast by television</w:t>
            </w:r>
          </w:p>
        </w:tc>
        <w:tc>
          <w:tcPr>
            <w:tcW w:w="4913" w:type="dxa"/>
            <w:tcBorders>
              <w:top w:val="nil"/>
              <w:left w:val="nil"/>
              <w:bottom w:val="single" w:sz="12" w:space="0" w:color="auto"/>
              <w:right w:val="nil"/>
            </w:tcBorders>
            <w:tcMar>
              <w:top w:w="0" w:type="dxa"/>
              <w:left w:w="108" w:type="dxa"/>
              <w:bottom w:w="0" w:type="dxa"/>
              <w:right w:w="108" w:type="dxa"/>
            </w:tcMar>
            <w:hideMark/>
          </w:tcPr>
          <w:p w14:paraId="7A0F5084" w14:textId="77777777" w:rsidR="00E449F6" w:rsidRPr="00EB1E8B" w:rsidRDefault="00E449F6" w:rsidP="00AF2E0E">
            <w:pPr>
              <w:spacing w:before="120" w:after="60" w:line="240" w:lineRule="auto"/>
              <w:rPr>
                <w:rFonts w:cs="Arial"/>
                <w:i w:val="0"/>
                <w:sz w:val="18"/>
                <w:szCs w:val="18"/>
              </w:rPr>
            </w:pPr>
            <w:bookmarkStart w:id="18" w:name="_Hlk67314871"/>
            <w:r w:rsidRPr="00EB1E8B">
              <w:rPr>
                <w:rFonts w:cs="Arial"/>
                <w:i w:val="0"/>
                <w:sz w:val="18"/>
                <w:szCs w:val="18"/>
              </w:rPr>
              <w:t>be announced and shown at the end of the communication in the language used for the rest of the communication.</w:t>
            </w:r>
            <w:bookmarkEnd w:id="18"/>
          </w:p>
        </w:tc>
      </w:tr>
    </w:tbl>
    <w:p w14:paraId="1AACC0C1" w14:textId="77777777" w:rsidR="00E449F6" w:rsidRDefault="00E449F6" w:rsidP="00E449F6"/>
    <w:p w14:paraId="0278D89D" w14:textId="77777777" w:rsidR="006A02B1" w:rsidRPr="00E449F6" w:rsidRDefault="006A02B1" w:rsidP="00E449F6"/>
    <w:sectPr w:rsidR="006A02B1" w:rsidRPr="00E449F6" w:rsidSect="00A71E68">
      <w:headerReference w:type="even" r:id="rId11"/>
      <w:footerReference w:type="even" r:id="rId12"/>
      <w:footerReference w:type="default" r:id="rId13"/>
      <w:headerReference w:type="first" r:id="rId14"/>
      <w:footerReference w:type="first" r:id="rId15"/>
      <w:pgSz w:w="11909" w:h="16834" w:code="9"/>
      <w:pgMar w:top="1741" w:right="1797" w:bottom="1304"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1BFD1B" w14:textId="77777777" w:rsidR="00073F82" w:rsidRDefault="00073F82">
      <w:r>
        <w:separator/>
      </w:r>
    </w:p>
  </w:endnote>
  <w:endnote w:type="continuationSeparator" w:id="0">
    <w:p w14:paraId="6C9A4691" w14:textId="77777777" w:rsidR="00073F82" w:rsidRDefault="00073F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TKaiti">
    <w:charset w:val="86"/>
    <w:family w:val="auto"/>
    <w:pitch w:val="variable"/>
    <w:sig w:usb0="00000287" w:usb1="080F0000" w:usb2="00000010" w:usb3="00000000" w:csb0="0004009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14BD7" w14:textId="77777777" w:rsidR="001C356E" w:rsidRDefault="001C356E">
    <w:pPr>
      <w:framePr w:wrap="around" w:vAnchor="text" w:hAnchor="margin" w:xAlign="right" w:y="1"/>
    </w:pPr>
    <w:r>
      <w:fldChar w:fldCharType="begin"/>
    </w:r>
    <w:r>
      <w:instrText xml:space="preserve">PAGE  </w:instrText>
    </w:r>
    <w:r>
      <w:fldChar w:fldCharType="end"/>
    </w:r>
  </w:p>
  <w:p w14:paraId="13A747F5" w14:textId="77777777" w:rsidR="001C356E" w:rsidRDefault="001C356E">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22201" w14:textId="43C5D441" w:rsidR="001C356E" w:rsidRPr="00816ADF" w:rsidRDefault="001C356E" w:rsidP="00EF7A2A">
    <w:pPr>
      <w:pStyle w:val="ACMAFooter"/>
      <w:rPr>
        <w:sz w:val="16"/>
        <w:szCs w:val="16"/>
      </w:rPr>
    </w:pPr>
    <w:r w:rsidRPr="00816ADF">
      <w:rPr>
        <w:sz w:val="16"/>
        <w:szCs w:val="16"/>
      </w:rPr>
      <w:t>ACMA</w:t>
    </w:r>
    <w:r>
      <w:rPr>
        <w:sz w:val="16"/>
        <w:szCs w:val="16"/>
      </w:rPr>
      <w:t xml:space="preserve"> </w:t>
    </w:r>
    <w:r w:rsidRPr="00816ADF">
      <w:rPr>
        <w:sz w:val="16"/>
        <w:szCs w:val="16"/>
      </w:rPr>
      <w:t xml:space="preserve">Investigation </w:t>
    </w:r>
    <w:r>
      <w:rPr>
        <w:sz w:val="16"/>
        <w:szCs w:val="16"/>
      </w:rPr>
      <w:t>r</w:t>
    </w:r>
    <w:r w:rsidRPr="00816ADF">
      <w:rPr>
        <w:sz w:val="16"/>
        <w:szCs w:val="16"/>
      </w:rPr>
      <w:t>eport</w:t>
    </w:r>
    <w:r>
      <w:rPr>
        <w:sz w:val="16"/>
        <w:szCs w:val="16"/>
      </w:rPr>
      <w:t xml:space="preserve"> – </w:t>
    </w:r>
    <w:r>
      <w:rPr>
        <w:iCs/>
        <w:sz w:val="16"/>
        <w:szCs w:val="16"/>
      </w:rPr>
      <w:t>WA Labor</w:t>
    </w:r>
    <w:r w:rsidRPr="00EF4016">
      <w:rPr>
        <w:iCs/>
        <w:sz w:val="16"/>
        <w:szCs w:val="16"/>
      </w:rPr>
      <w:t xml:space="preserve"> advertisement</w:t>
    </w:r>
    <w:r>
      <w:rPr>
        <w:i/>
        <w:sz w:val="16"/>
        <w:szCs w:val="16"/>
      </w:rPr>
      <w:t xml:space="preserve"> </w:t>
    </w:r>
    <w:r w:rsidRPr="00816ADF">
      <w:rPr>
        <w:sz w:val="16"/>
        <w:szCs w:val="16"/>
      </w:rPr>
      <w:t xml:space="preserve">broadcast </w:t>
    </w:r>
    <w:r>
      <w:rPr>
        <w:sz w:val="16"/>
        <w:szCs w:val="16"/>
      </w:rPr>
      <w:t>on</w:t>
    </w:r>
    <w:r w:rsidRPr="00816ADF">
      <w:rPr>
        <w:sz w:val="16"/>
        <w:szCs w:val="16"/>
      </w:rPr>
      <w:t xml:space="preserve"> </w:t>
    </w:r>
    <w:r>
      <w:rPr>
        <w:sz w:val="16"/>
        <w:szCs w:val="16"/>
      </w:rPr>
      <w:t>Nine</w:t>
    </w:r>
    <w:r w:rsidRPr="00816ADF">
      <w:rPr>
        <w:sz w:val="16"/>
        <w:szCs w:val="16"/>
      </w:rPr>
      <w:t xml:space="preserve"> on </w:t>
    </w:r>
    <w:r w:rsidRPr="0007731D">
      <w:rPr>
        <w:sz w:val="16"/>
        <w:szCs w:val="16"/>
      </w:rPr>
      <w:t>21 February 2021</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737F69">
      <w:rPr>
        <w:noProof/>
        <w:sz w:val="16"/>
        <w:szCs w:val="16"/>
      </w:rPr>
      <w:t>12</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C5CF1" w14:textId="77777777" w:rsidR="001C356E" w:rsidRPr="00211185" w:rsidRDefault="001C356E" w:rsidP="009B461B">
    <w:pPr>
      <w:pStyle w:val="Footer"/>
    </w:pPr>
    <w:r>
      <w:rPr>
        <w:noProof/>
        <w:lang w:eastAsia="en-AU"/>
      </w:rPr>
      <w:drawing>
        <wp:inline distT="0" distB="0" distL="0" distR="0" wp14:anchorId="41DAE515" wp14:editId="05932E26">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244C88" w14:textId="77777777" w:rsidR="00073F82" w:rsidRDefault="00073F82">
      <w:r>
        <w:separator/>
      </w:r>
    </w:p>
  </w:footnote>
  <w:footnote w:type="continuationSeparator" w:id="0">
    <w:p w14:paraId="2F47A2EF" w14:textId="77777777" w:rsidR="00073F82" w:rsidRDefault="00073F82">
      <w:r>
        <w:continuationSeparator/>
      </w:r>
    </w:p>
  </w:footnote>
  <w:footnote w:id="1">
    <w:p w14:paraId="65428218" w14:textId="1715B793" w:rsidR="001C356E" w:rsidRDefault="001C356E">
      <w:pPr>
        <w:pStyle w:val="FootnoteText"/>
      </w:pPr>
      <w:r>
        <w:rPr>
          <w:rStyle w:val="FootnoteReference"/>
        </w:rPr>
        <w:footnoteRef/>
      </w:r>
      <w:r>
        <w:t xml:space="preserve"> See </w:t>
      </w:r>
      <w:hyperlink r:id="rId1" w:history="1">
        <w:r w:rsidRPr="00DA3EDA">
          <w:rPr>
            <w:rStyle w:val="Hyperlink"/>
          </w:rPr>
          <w:t>https://transparency.aec.gov.au/AnnualPoliticalParty</w:t>
        </w:r>
      </w:hyperlink>
      <w:r>
        <w:t>, accessed 24 March 2021.</w:t>
      </w:r>
    </w:p>
  </w:footnote>
  <w:footnote w:id="2">
    <w:p w14:paraId="211D433A" w14:textId="22FDA796" w:rsidR="001C356E" w:rsidRDefault="001C356E" w:rsidP="001123A4">
      <w:pPr>
        <w:pStyle w:val="FootnoteText"/>
      </w:pPr>
      <w:r>
        <w:rPr>
          <w:rStyle w:val="FootnoteReference"/>
        </w:rPr>
        <w:footnoteRef/>
      </w:r>
      <w:r>
        <w:t xml:space="preserve"> </w:t>
      </w:r>
      <w:hyperlink r:id="rId2" w:history="1">
        <w:r w:rsidRPr="002017D2">
          <w:rPr>
            <w:rStyle w:val="Hyperlink"/>
          </w:rPr>
          <w:t>https://www.macquariedictionary.com.au/features/word/search/?search_word_type=Dictionary&amp;word=announce</w:t>
        </w:r>
      </w:hyperlink>
      <w:r>
        <w:t>, accessed 22 March 2021.</w:t>
      </w:r>
    </w:p>
  </w:footnote>
  <w:footnote w:id="3">
    <w:p w14:paraId="1BFD9DBB" w14:textId="4C09FD3A" w:rsidR="001C356E" w:rsidRDefault="001C356E">
      <w:pPr>
        <w:pStyle w:val="FootnoteText"/>
      </w:pPr>
      <w:r>
        <w:rPr>
          <w:rStyle w:val="FootnoteReference"/>
        </w:rPr>
        <w:footnoteRef/>
      </w:r>
      <w:r>
        <w:t xml:space="preserve"> </w:t>
      </w:r>
      <w:hyperlink r:id="rId3" w:history="1">
        <w:r w:rsidRPr="00952988">
          <w:rPr>
            <w:rStyle w:val="Hyperlink"/>
          </w:rPr>
          <w:t>https://www.aec.gov.au/About_AEC/Publications/Backgrounders/authorisation.htm</w:t>
        </w:r>
      </w:hyperlink>
      <w:r>
        <w:t>, accessed 22 March 2021.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ED3EF" w14:textId="77777777" w:rsidR="001C356E" w:rsidRDefault="001C356E">
    <w:r>
      <w:fldChar w:fldCharType="begin"/>
    </w:r>
    <w:r>
      <w:instrText xml:space="preserve"> REF ReportTitle \h </w:instrText>
    </w:r>
    <w:r>
      <w:fldChar w:fldCharType="separate"/>
    </w:r>
    <w:r>
      <w:rPr>
        <w:b/>
      </w:rPr>
      <w:t>Error! Reference source not found.</w:t>
    </w:r>
    <w:r>
      <w:fldChar w:fldCharType="end"/>
    </w:r>
  </w:p>
  <w:p w14:paraId="6155260E" w14:textId="77777777" w:rsidR="001C356E" w:rsidRDefault="001C356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15D37" w14:textId="77777777" w:rsidR="001C356E" w:rsidRDefault="001C356E" w:rsidP="00521BCF">
    <w:pPr>
      <w:pStyle w:val="ACMAInConfidence"/>
    </w:pPr>
  </w:p>
  <w:p w14:paraId="1291DA87" w14:textId="77777777" w:rsidR="001C356E" w:rsidRPr="005F22AA" w:rsidRDefault="001C356E" w:rsidP="005F22AA">
    <w:pPr>
      <w:pStyle w:val="ACMAHeaderGraphicSpace"/>
    </w:pPr>
    <w:r>
      <w:rPr>
        <w:noProof/>
        <w:snapToGrid/>
        <w:lang w:eastAsia="en-AU"/>
      </w:rPr>
      <w:drawing>
        <wp:inline distT="0" distB="0" distL="0" distR="0" wp14:anchorId="2D1CD90E" wp14:editId="46BFA99E">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91A62"/>
    <w:multiLevelType w:val="hybridMultilevel"/>
    <w:tmpl w:val="CE3EB8C4"/>
    <w:lvl w:ilvl="0" w:tplc="AFDAB072">
      <w:start w:val="1"/>
      <w:numFmt w:val="bullet"/>
      <w:lvlText w:val="&gt;"/>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6D71CD8"/>
    <w:multiLevelType w:val="hybridMultilevel"/>
    <w:tmpl w:val="9058F546"/>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77F3F81"/>
    <w:multiLevelType w:val="hybridMultilevel"/>
    <w:tmpl w:val="D4D45DCC"/>
    <w:lvl w:ilvl="0" w:tplc="3E7A4148">
      <w:start w:val="1"/>
      <w:numFmt w:val="lowerLetter"/>
      <w:lvlText w:val="%1)"/>
      <w:lvlJc w:val="left"/>
      <w:pPr>
        <w:ind w:left="1213" w:hanging="360"/>
      </w:pPr>
      <w:rPr>
        <w:rFonts w:hint="default"/>
      </w:rPr>
    </w:lvl>
    <w:lvl w:ilvl="1" w:tplc="0C090019" w:tentative="1">
      <w:start w:val="1"/>
      <w:numFmt w:val="lowerLetter"/>
      <w:lvlText w:val="%2."/>
      <w:lvlJc w:val="left"/>
      <w:pPr>
        <w:ind w:left="1933" w:hanging="360"/>
      </w:pPr>
    </w:lvl>
    <w:lvl w:ilvl="2" w:tplc="0C09001B" w:tentative="1">
      <w:start w:val="1"/>
      <w:numFmt w:val="lowerRoman"/>
      <w:lvlText w:val="%3."/>
      <w:lvlJc w:val="right"/>
      <w:pPr>
        <w:ind w:left="2653" w:hanging="180"/>
      </w:pPr>
    </w:lvl>
    <w:lvl w:ilvl="3" w:tplc="0C09000F" w:tentative="1">
      <w:start w:val="1"/>
      <w:numFmt w:val="decimal"/>
      <w:lvlText w:val="%4."/>
      <w:lvlJc w:val="left"/>
      <w:pPr>
        <w:ind w:left="3373" w:hanging="360"/>
      </w:pPr>
    </w:lvl>
    <w:lvl w:ilvl="4" w:tplc="0C090019" w:tentative="1">
      <w:start w:val="1"/>
      <w:numFmt w:val="lowerLetter"/>
      <w:lvlText w:val="%5."/>
      <w:lvlJc w:val="left"/>
      <w:pPr>
        <w:ind w:left="4093" w:hanging="360"/>
      </w:pPr>
    </w:lvl>
    <w:lvl w:ilvl="5" w:tplc="0C09001B" w:tentative="1">
      <w:start w:val="1"/>
      <w:numFmt w:val="lowerRoman"/>
      <w:lvlText w:val="%6."/>
      <w:lvlJc w:val="right"/>
      <w:pPr>
        <w:ind w:left="4813" w:hanging="180"/>
      </w:pPr>
    </w:lvl>
    <w:lvl w:ilvl="6" w:tplc="0C09000F" w:tentative="1">
      <w:start w:val="1"/>
      <w:numFmt w:val="decimal"/>
      <w:lvlText w:val="%7."/>
      <w:lvlJc w:val="left"/>
      <w:pPr>
        <w:ind w:left="5533" w:hanging="360"/>
      </w:pPr>
    </w:lvl>
    <w:lvl w:ilvl="7" w:tplc="0C090019" w:tentative="1">
      <w:start w:val="1"/>
      <w:numFmt w:val="lowerLetter"/>
      <w:lvlText w:val="%8."/>
      <w:lvlJc w:val="left"/>
      <w:pPr>
        <w:ind w:left="6253" w:hanging="360"/>
      </w:pPr>
    </w:lvl>
    <w:lvl w:ilvl="8" w:tplc="0C09001B" w:tentative="1">
      <w:start w:val="1"/>
      <w:numFmt w:val="lowerRoman"/>
      <w:lvlText w:val="%9."/>
      <w:lvlJc w:val="right"/>
      <w:pPr>
        <w:ind w:left="6973" w:hanging="180"/>
      </w:pPr>
    </w:lvl>
  </w:abstractNum>
  <w:abstractNum w:abstractNumId="5" w15:restartNumberingAfterBreak="0">
    <w:nsid w:val="0A4D5D60"/>
    <w:multiLevelType w:val="hybridMultilevel"/>
    <w:tmpl w:val="B1C699BC"/>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BFB3F21"/>
    <w:multiLevelType w:val="hybridMultilevel"/>
    <w:tmpl w:val="A1E454D8"/>
    <w:lvl w:ilvl="0" w:tplc="5D1EC29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3D57ECF"/>
    <w:multiLevelType w:val="hybridMultilevel"/>
    <w:tmpl w:val="3C420E04"/>
    <w:lvl w:ilvl="0" w:tplc="B830BA90">
      <w:start w:val="1"/>
      <w:numFmt w:val="bullet"/>
      <w:lvlText w:val="&gt;"/>
      <w:lvlJc w:val="left"/>
      <w:pPr>
        <w:ind w:left="720" w:hanging="360"/>
      </w:pPr>
      <w:rPr>
        <w:rFonts w:ascii="Arial" w:hAnsi="Aria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9B97919"/>
    <w:multiLevelType w:val="hybridMultilevel"/>
    <w:tmpl w:val="01B02AB8"/>
    <w:lvl w:ilvl="0" w:tplc="0C09000F">
      <w:start w:val="1"/>
      <w:numFmt w:val="decimal"/>
      <w:lvlText w:val="%1."/>
      <w:lvlJc w:val="left"/>
      <w:pPr>
        <w:ind w:left="720" w:hanging="360"/>
      </w:pPr>
    </w:lvl>
    <w:lvl w:ilvl="1" w:tplc="4EE4105C">
      <w:start w:val="1"/>
      <w:numFmt w:val="lowerLetter"/>
      <w:lvlText w:val="%2)"/>
      <w:lvlJc w:val="left"/>
      <w:pPr>
        <w:ind w:left="1440" w:hanging="360"/>
      </w:pPr>
      <w:rPr>
        <w:i w:val="0"/>
        <w:iCs w:val="0"/>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1C6D4B37"/>
    <w:multiLevelType w:val="hybridMultilevel"/>
    <w:tmpl w:val="C4F80DFE"/>
    <w:lvl w:ilvl="0" w:tplc="2EA4A6E8">
      <w:start w:val="1"/>
      <w:numFmt w:val="lowerLetter"/>
      <w:lvlText w:val="(%1)"/>
      <w:lvlJc w:val="left"/>
      <w:pPr>
        <w:ind w:left="1089" w:hanging="360"/>
      </w:pPr>
      <w:rPr>
        <w:rFonts w:hint="default"/>
      </w:rPr>
    </w:lvl>
    <w:lvl w:ilvl="1" w:tplc="0C090019" w:tentative="1">
      <w:start w:val="1"/>
      <w:numFmt w:val="lowerLetter"/>
      <w:lvlText w:val="%2."/>
      <w:lvlJc w:val="left"/>
      <w:pPr>
        <w:ind w:left="1809" w:hanging="360"/>
      </w:pPr>
    </w:lvl>
    <w:lvl w:ilvl="2" w:tplc="0C09001B" w:tentative="1">
      <w:start w:val="1"/>
      <w:numFmt w:val="lowerRoman"/>
      <w:lvlText w:val="%3."/>
      <w:lvlJc w:val="right"/>
      <w:pPr>
        <w:ind w:left="2529" w:hanging="180"/>
      </w:pPr>
    </w:lvl>
    <w:lvl w:ilvl="3" w:tplc="0C09000F" w:tentative="1">
      <w:start w:val="1"/>
      <w:numFmt w:val="decimal"/>
      <w:lvlText w:val="%4."/>
      <w:lvlJc w:val="left"/>
      <w:pPr>
        <w:ind w:left="3249" w:hanging="360"/>
      </w:pPr>
    </w:lvl>
    <w:lvl w:ilvl="4" w:tplc="0C090019" w:tentative="1">
      <w:start w:val="1"/>
      <w:numFmt w:val="lowerLetter"/>
      <w:lvlText w:val="%5."/>
      <w:lvlJc w:val="left"/>
      <w:pPr>
        <w:ind w:left="3969" w:hanging="360"/>
      </w:pPr>
    </w:lvl>
    <w:lvl w:ilvl="5" w:tplc="0C09001B" w:tentative="1">
      <w:start w:val="1"/>
      <w:numFmt w:val="lowerRoman"/>
      <w:lvlText w:val="%6."/>
      <w:lvlJc w:val="right"/>
      <w:pPr>
        <w:ind w:left="4689" w:hanging="180"/>
      </w:pPr>
    </w:lvl>
    <w:lvl w:ilvl="6" w:tplc="0C09000F" w:tentative="1">
      <w:start w:val="1"/>
      <w:numFmt w:val="decimal"/>
      <w:lvlText w:val="%7."/>
      <w:lvlJc w:val="left"/>
      <w:pPr>
        <w:ind w:left="5409" w:hanging="360"/>
      </w:pPr>
    </w:lvl>
    <w:lvl w:ilvl="7" w:tplc="0C090019" w:tentative="1">
      <w:start w:val="1"/>
      <w:numFmt w:val="lowerLetter"/>
      <w:lvlText w:val="%8."/>
      <w:lvlJc w:val="left"/>
      <w:pPr>
        <w:ind w:left="6129" w:hanging="360"/>
      </w:pPr>
    </w:lvl>
    <w:lvl w:ilvl="8" w:tplc="0C09001B" w:tentative="1">
      <w:start w:val="1"/>
      <w:numFmt w:val="lowerRoman"/>
      <w:lvlText w:val="%9."/>
      <w:lvlJc w:val="right"/>
      <w:pPr>
        <w:ind w:left="6849" w:hanging="180"/>
      </w:pPr>
    </w:lvl>
  </w:abstractNum>
  <w:abstractNum w:abstractNumId="11" w15:restartNumberingAfterBreak="0">
    <w:nsid w:val="22C50D90"/>
    <w:multiLevelType w:val="hybridMultilevel"/>
    <w:tmpl w:val="F0663CE6"/>
    <w:lvl w:ilvl="0" w:tplc="6CD46BBE">
      <w:start w:val="1"/>
      <w:numFmt w:val="bullet"/>
      <w:lvlText w:val="-"/>
      <w:lvlJc w:val="left"/>
      <w:pPr>
        <w:ind w:left="1890" w:hanging="360"/>
      </w:pPr>
      <w:rPr>
        <w:rFonts w:ascii="STKaiti" w:eastAsia="STKaiti" w:hAnsi="STKaiti" w:hint="eastAsia"/>
      </w:rPr>
    </w:lvl>
    <w:lvl w:ilvl="1" w:tplc="0C090003" w:tentative="1">
      <w:start w:val="1"/>
      <w:numFmt w:val="bullet"/>
      <w:lvlText w:val="o"/>
      <w:lvlJc w:val="left"/>
      <w:pPr>
        <w:ind w:left="2610" w:hanging="360"/>
      </w:pPr>
      <w:rPr>
        <w:rFonts w:ascii="Courier New" w:hAnsi="Courier New" w:cs="Courier New" w:hint="default"/>
      </w:rPr>
    </w:lvl>
    <w:lvl w:ilvl="2" w:tplc="0C090005" w:tentative="1">
      <w:start w:val="1"/>
      <w:numFmt w:val="bullet"/>
      <w:lvlText w:val=""/>
      <w:lvlJc w:val="left"/>
      <w:pPr>
        <w:ind w:left="3330" w:hanging="360"/>
      </w:pPr>
      <w:rPr>
        <w:rFonts w:ascii="Wingdings" w:hAnsi="Wingdings" w:hint="default"/>
      </w:rPr>
    </w:lvl>
    <w:lvl w:ilvl="3" w:tplc="0C090001" w:tentative="1">
      <w:start w:val="1"/>
      <w:numFmt w:val="bullet"/>
      <w:lvlText w:val=""/>
      <w:lvlJc w:val="left"/>
      <w:pPr>
        <w:ind w:left="4050" w:hanging="360"/>
      </w:pPr>
      <w:rPr>
        <w:rFonts w:ascii="Symbol" w:hAnsi="Symbol" w:hint="default"/>
      </w:rPr>
    </w:lvl>
    <w:lvl w:ilvl="4" w:tplc="0C090003" w:tentative="1">
      <w:start w:val="1"/>
      <w:numFmt w:val="bullet"/>
      <w:lvlText w:val="o"/>
      <w:lvlJc w:val="left"/>
      <w:pPr>
        <w:ind w:left="4770" w:hanging="360"/>
      </w:pPr>
      <w:rPr>
        <w:rFonts w:ascii="Courier New" w:hAnsi="Courier New" w:cs="Courier New" w:hint="default"/>
      </w:rPr>
    </w:lvl>
    <w:lvl w:ilvl="5" w:tplc="0C090005" w:tentative="1">
      <w:start w:val="1"/>
      <w:numFmt w:val="bullet"/>
      <w:lvlText w:val=""/>
      <w:lvlJc w:val="left"/>
      <w:pPr>
        <w:ind w:left="5490" w:hanging="360"/>
      </w:pPr>
      <w:rPr>
        <w:rFonts w:ascii="Wingdings" w:hAnsi="Wingdings" w:hint="default"/>
      </w:rPr>
    </w:lvl>
    <w:lvl w:ilvl="6" w:tplc="0C090001" w:tentative="1">
      <w:start w:val="1"/>
      <w:numFmt w:val="bullet"/>
      <w:lvlText w:val=""/>
      <w:lvlJc w:val="left"/>
      <w:pPr>
        <w:ind w:left="6210" w:hanging="360"/>
      </w:pPr>
      <w:rPr>
        <w:rFonts w:ascii="Symbol" w:hAnsi="Symbol" w:hint="default"/>
      </w:rPr>
    </w:lvl>
    <w:lvl w:ilvl="7" w:tplc="0C090003" w:tentative="1">
      <w:start w:val="1"/>
      <w:numFmt w:val="bullet"/>
      <w:lvlText w:val="o"/>
      <w:lvlJc w:val="left"/>
      <w:pPr>
        <w:ind w:left="6930" w:hanging="360"/>
      </w:pPr>
      <w:rPr>
        <w:rFonts w:ascii="Courier New" w:hAnsi="Courier New" w:cs="Courier New" w:hint="default"/>
      </w:rPr>
    </w:lvl>
    <w:lvl w:ilvl="8" w:tplc="0C090005" w:tentative="1">
      <w:start w:val="1"/>
      <w:numFmt w:val="bullet"/>
      <w:lvlText w:val=""/>
      <w:lvlJc w:val="left"/>
      <w:pPr>
        <w:ind w:left="7650" w:hanging="360"/>
      </w:pPr>
      <w:rPr>
        <w:rFonts w:ascii="Wingdings" w:hAnsi="Wingdings" w:hint="default"/>
      </w:rPr>
    </w:lvl>
  </w:abstractNum>
  <w:abstractNum w:abstractNumId="12" w15:restartNumberingAfterBreak="0">
    <w:nsid w:val="242B462D"/>
    <w:multiLevelType w:val="hybridMultilevel"/>
    <w:tmpl w:val="DD9A1B22"/>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6427A16"/>
    <w:multiLevelType w:val="hybridMultilevel"/>
    <w:tmpl w:val="689A37B4"/>
    <w:lvl w:ilvl="0" w:tplc="52BEA424">
      <w:start w:val="1"/>
      <w:numFmt w:val="decimal"/>
      <w:lvlText w:val="(%1)"/>
      <w:lvlJc w:val="left"/>
      <w:pPr>
        <w:ind w:left="928"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4"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7B45452"/>
    <w:multiLevelType w:val="hybridMultilevel"/>
    <w:tmpl w:val="ED08CEC2"/>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812751C"/>
    <w:multiLevelType w:val="hybridMultilevel"/>
    <w:tmpl w:val="E586C1CA"/>
    <w:lvl w:ilvl="0" w:tplc="6D8C0A58">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EE70D65"/>
    <w:multiLevelType w:val="hybridMultilevel"/>
    <w:tmpl w:val="8C80B5CA"/>
    <w:lvl w:ilvl="0" w:tplc="130643C0">
      <w:start w:val="1"/>
      <w:numFmt w:val="decimal"/>
      <w:lvlText w:val="(%1)"/>
      <w:lvlJc w:val="left"/>
      <w:pPr>
        <w:ind w:left="480" w:hanging="375"/>
      </w:pPr>
      <w:rPr>
        <w:rFonts w:hint="default"/>
      </w:rPr>
    </w:lvl>
    <w:lvl w:ilvl="1" w:tplc="0C090019">
      <w:start w:val="1"/>
      <w:numFmt w:val="lowerLetter"/>
      <w:lvlText w:val="%2."/>
      <w:lvlJc w:val="left"/>
      <w:pPr>
        <w:ind w:left="1070" w:hanging="360"/>
      </w:pPr>
    </w:lvl>
    <w:lvl w:ilvl="2" w:tplc="0C09001B" w:tentative="1">
      <w:start w:val="1"/>
      <w:numFmt w:val="lowerRoman"/>
      <w:lvlText w:val="%3."/>
      <w:lvlJc w:val="right"/>
      <w:pPr>
        <w:ind w:left="1905" w:hanging="180"/>
      </w:pPr>
    </w:lvl>
    <w:lvl w:ilvl="3" w:tplc="0C09000F" w:tentative="1">
      <w:start w:val="1"/>
      <w:numFmt w:val="decimal"/>
      <w:lvlText w:val="%4."/>
      <w:lvlJc w:val="left"/>
      <w:pPr>
        <w:ind w:left="2625" w:hanging="360"/>
      </w:pPr>
    </w:lvl>
    <w:lvl w:ilvl="4" w:tplc="0C090019" w:tentative="1">
      <w:start w:val="1"/>
      <w:numFmt w:val="lowerLetter"/>
      <w:lvlText w:val="%5."/>
      <w:lvlJc w:val="left"/>
      <w:pPr>
        <w:ind w:left="3345" w:hanging="360"/>
      </w:pPr>
    </w:lvl>
    <w:lvl w:ilvl="5" w:tplc="0C09001B" w:tentative="1">
      <w:start w:val="1"/>
      <w:numFmt w:val="lowerRoman"/>
      <w:lvlText w:val="%6."/>
      <w:lvlJc w:val="right"/>
      <w:pPr>
        <w:ind w:left="4065" w:hanging="180"/>
      </w:pPr>
    </w:lvl>
    <w:lvl w:ilvl="6" w:tplc="0C09000F" w:tentative="1">
      <w:start w:val="1"/>
      <w:numFmt w:val="decimal"/>
      <w:lvlText w:val="%7."/>
      <w:lvlJc w:val="left"/>
      <w:pPr>
        <w:ind w:left="4785" w:hanging="360"/>
      </w:pPr>
    </w:lvl>
    <w:lvl w:ilvl="7" w:tplc="0C090019" w:tentative="1">
      <w:start w:val="1"/>
      <w:numFmt w:val="lowerLetter"/>
      <w:lvlText w:val="%8."/>
      <w:lvlJc w:val="left"/>
      <w:pPr>
        <w:ind w:left="5505" w:hanging="360"/>
      </w:pPr>
    </w:lvl>
    <w:lvl w:ilvl="8" w:tplc="0C09001B" w:tentative="1">
      <w:start w:val="1"/>
      <w:numFmt w:val="lowerRoman"/>
      <w:lvlText w:val="%9."/>
      <w:lvlJc w:val="right"/>
      <w:pPr>
        <w:ind w:left="6225" w:hanging="180"/>
      </w:pPr>
    </w:lvl>
  </w:abstractNum>
  <w:abstractNum w:abstractNumId="19"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20" w15:restartNumberingAfterBreak="0">
    <w:nsid w:val="37E887FD"/>
    <w:multiLevelType w:val="hybridMultilevel"/>
    <w:tmpl w:val="7E3A5F5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2" w15:restartNumberingAfterBreak="0">
    <w:nsid w:val="3F1F8462"/>
    <w:multiLevelType w:val="hybridMultilevel"/>
    <w:tmpl w:val="0344223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3"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52892B58"/>
    <w:multiLevelType w:val="hybridMultilevel"/>
    <w:tmpl w:val="28D26A24"/>
    <w:lvl w:ilvl="0" w:tplc="8E804E3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55AD0346"/>
    <w:multiLevelType w:val="hybridMultilevel"/>
    <w:tmpl w:val="72ACBCD0"/>
    <w:lvl w:ilvl="0" w:tplc="6D8C0A58">
      <w:start w:val="1"/>
      <w:numFmt w:val="bullet"/>
      <w:lvlText w:val=""/>
      <w:lvlJc w:val="left"/>
      <w:pPr>
        <w:ind w:left="1890" w:hanging="360"/>
      </w:pPr>
      <w:rPr>
        <w:rFonts w:ascii="Symbol" w:hAnsi="Symbol" w:hint="default"/>
      </w:rPr>
    </w:lvl>
    <w:lvl w:ilvl="1" w:tplc="0C090003" w:tentative="1">
      <w:start w:val="1"/>
      <w:numFmt w:val="bullet"/>
      <w:lvlText w:val="o"/>
      <w:lvlJc w:val="left"/>
      <w:pPr>
        <w:ind w:left="2610" w:hanging="360"/>
      </w:pPr>
      <w:rPr>
        <w:rFonts w:ascii="Courier New" w:hAnsi="Courier New" w:cs="Courier New" w:hint="default"/>
      </w:rPr>
    </w:lvl>
    <w:lvl w:ilvl="2" w:tplc="0C090005" w:tentative="1">
      <w:start w:val="1"/>
      <w:numFmt w:val="bullet"/>
      <w:lvlText w:val=""/>
      <w:lvlJc w:val="left"/>
      <w:pPr>
        <w:ind w:left="3330" w:hanging="360"/>
      </w:pPr>
      <w:rPr>
        <w:rFonts w:ascii="Wingdings" w:hAnsi="Wingdings" w:hint="default"/>
      </w:rPr>
    </w:lvl>
    <w:lvl w:ilvl="3" w:tplc="0C090001" w:tentative="1">
      <w:start w:val="1"/>
      <w:numFmt w:val="bullet"/>
      <w:lvlText w:val=""/>
      <w:lvlJc w:val="left"/>
      <w:pPr>
        <w:ind w:left="4050" w:hanging="360"/>
      </w:pPr>
      <w:rPr>
        <w:rFonts w:ascii="Symbol" w:hAnsi="Symbol" w:hint="default"/>
      </w:rPr>
    </w:lvl>
    <w:lvl w:ilvl="4" w:tplc="0C090003" w:tentative="1">
      <w:start w:val="1"/>
      <w:numFmt w:val="bullet"/>
      <w:lvlText w:val="o"/>
      <w:lvlJc w:val="left"/>
      <w:pPr>
        <w:ind w:left="4770" w:hanging="360"/>
      </w:pPr>
      <w:rPr>
        <w:rFonts w:ascii="Courier New" w:hAnsi="Courier New" w:cs="Courier New" w:hint="default"/>
      </w:rPr>
    </w:lvl>
    <w:lvl w:ilvl="5" w:tplc="0C090005" w:tentative="1">
      <w:start w:val="1"/>
      <w:numFmt w:val="bullet"/>
      <w:lvlText w:val=""/>
      <w:lvlJc w:val="left"/>
      <w:pPr>
        <w:ind w:left="5490" w:hanging="360"/>
      </w:pPr>
      <w:rPr>
        <w:rFonts w:ascii="Wingdings" w:hAnsi="Wingdings" w:hint="default"/>
      </w:rPr>
    </w:lvl>
    <w:lvl w:ilvl="6" w:tplc="0C090001" w:tentative="1">
      <w:start w:val="1"/>
      <w:numFmt w:val="bullet"/>
      <w:lvlText w:val=""/>
      <w:lvlJc w:val="left"/>
      <w:pPr>
        <w:ind w:left="6210" w:hanging="360"/>
      </w:pPr>
      <w:rPr>
        <w:rFonts w:ascii="Symbol" w:hAnsi="Symbol" w:hint="default"/>
      </w:rPr>
    </w:lvl>
    <w:lvl w:ilvl="7" w:tplc="0C090003" w:tentative="1">
      <w:start w:val="1"/>
      <w:numFmt w:val="bullet"/>
      <w:lvlText w:val="o"/>
      <w:lvlJc w:val="left"/>
      <w:pPr>
        <w:ind w:left="6930" w:hanging="360"/>
      </w:pPr>
      <w:rPr>
        <w:rFonts w:ascii="Courier New" w:hAnsi="Courier New" w:cs="Courier New" w:hint="default"/>
      </w:rPr>
    </w:lvl>
    <w:lvl w:ilvl="8" w:tplc="0C090005" w:tentative="1">
      <w:start w:val="1"/>
      <w:numFmt w:val="bullet"/>
      <w:lvlText w:val=""/>
      <w:lvlJc w:val="left"/>
      <w:pPr>
        <w:ind w:left="7650" w:hanging="360"/>
      </w:pPr>
      <w:rPr>
        <w:rFonts w:ascii="Wingdings" w:hAnsi="Wingdings" w:hint="default"/>
      </w:rPr>
    </w:lvl>
  </w:abstractNum>
  <w:abstractNum w:abstractNumId="27" w15:restartNumberingAfterBreak="0">
    <w:nsid w:val="5AB471F5"/>
    <w:multiLevelType w:val="hybridMultilevel"/>
    <w:tmpl w:val="0D3866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9CF7521"/>
    <w:multiLevelType w:val="hybridMultilevel"/>
    <w:tmpl w:val="75FE191E"/>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2" w15:restartNumberingAfterBreak="0">
    <w:nsid w:val="6B0D17ED"/>
    <w:multiLevelType w:val="hybridMultilevel"/>
    <w:tmpl w:val="2138D374"/>
    <w:lvl w:ilvl="0" w:tplc="8E804E34">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3"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B69729A"/>
    <w:multiLevelType w:val="hybridMultilevel"/>
    <w:tmpl w:val="FDD452AC"/>
    <w:lvl w:ilvl="0" w:tplc="D932EB56">
      <w:start w:val="1"/>
      <w:numFmt w:val="lowerLetter"/>
      <w:lvlText w:val="(%1)"/>
      <w:lvlJc w:val="left"/>
      <w:pPr>
        <w:ind w:left="1530" w:hanging="360"/>
      </w:pPr>
      <w:rPr>
        <w:rFonts w:hint="default"/>
      </w:rPr>
    </w:lvl>
    <w:lvl w:ilvl="1" w:tplc="0C090019" w:tentative="1">
      <w:start w:val="1"/>
      <w:numFmt w:val="lowerLetter"/>
      <w:lvlText w:val="%2."/>
      <w:lvlJc w:val="left"/>
      <w:pPr>
        <w:ind w:left="2250" w:hanging="360"/>
      </w:pPr>
    </w:lvl>
    <w:lvl w:ilvl="2" w:tplc="0C09001B" w:tentative="1">
      <w:start w:val="1"/>
      <w:numFmt w:val="lowerRoman"/>
      <w:lvlText w:val="%3."/>
      <w:lvlJc w:val="right"/>
      <w:pPr>
        <w:ind w:left="2970" w:hanging="180"/>
      </w:pPr>
    </w:lvl>
    <w:lvl w:ilvl="3" w:tplc="0C09000F" w:tentative="1">
      <w:start w:val="1"/>
      <w:numFmt w:val="decimal"/>
      <w:lvlText w:val="%4."/>
      <w:lvlJc w:val="left"/>
      <w:pPr>
        <w:ind w:left="3690" w:hanging="360"/>
      </w:pPr>
    </w:lvl>
    <w:lvl w:ilvl="4" w:tplc="0C090019" w:tentative="1">
      <w:start w:val="1"/>
      <w:numFmt w:val="lowerLetter"/>
      <w:lvlText w:val="%5."/>
      <w:lvlJc w:val="left"/>
      <w:pPr>
        <w:ind w:left="4410" w:hanging="360"/>
      </w:pPr>
    </w:lvl>
    <w:lvl w:ilvl="5" w:tplc="0C09001B" w:tentative="1">
      <w:start w:val="1"/>
      <w:numFmt w:val="lowerRoman"/>
      <w:lvlText w:val="%6."/>
      <w:lvlJc w:val="right"/>
      <w:pPr>
        <w:ind w:left="5130" w:hanging="180"/>
      </w:pPr>
    </w:lvl>
    <w:lvl w:ilvl="6" w:tplc="0C09000F" w:tentative="1">
      <w:start w:val="1"/>
      <w:numFmt w:val="decimal"/>
      <w:lvlText w:val="%7."/>
      <w:lvlJc w:val="left"/>
      <w:pPr>
        <w:ind w:left="5850" w:hanging="360"/>
      </w:pPr>
    </w:lvl>
    <w:lvl w:ilvl="7" w:tplc="0C090019" w:tentative="1">
      <w:start w:val="1"/>
      <w:numFmt w:val="lowerLetter"/>
      <w:lvlText w:val="%8."/>
      <w:lvlJc w:val="left"/>
      <w:pPr>
        <w:ind w:left="6570" w:hanging="360"/>
      </w:pPr>
    </w:lvl>
    <w:lvl w:ilvl="8" w:tplc="0C09001B" w:tentative="1">
      <w:start w:val="1"/>
      <w:numFmt w:val="lowerRoman"/>
      <w:lvlText w:val="%9."/>
      <w:lvlJc w:val="right"/>
      <w:pPr>
        <w:ind w:left="7290" w:hanging="180"/>
      </w:pPr>
    </w:lvl>
  </w:abstractNum>
  <w:abstractNum w:abstractNumId="35"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6FAF5F59"/>
    <w:multiLevelType w:val="hybridMultilevel"/>
    <w:tmpl w:val="6284CBF0"/>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1077BC0"/>
    <w:multiLevelType w:val="hybridMultilevel"/>
    <w:tmpl w:val="9F6442BE"/>
    <w:lvl w:ilvl="0" w:tplc="03A2AB32">
      <w:numFmt w:val="bullet"/>
      <w:lvlText w:val="-"/>
      <w:lvlJc w:val="left"/>
      <w:pPr>
        <w:ind w:left="720" w:hanging="360"/>
      </w:pPr>
      <w:rPr>
        <w:rFonts w:ascii="Arial" w:eastAsia="Times New Roman" w:hAnsi="Arial" w:cs="Arial" w:hint="default"/>
        <w:i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9"/>
  </w:num>
  <w:num w:numId="2">
    <w:abstractNumId w:val="2"/>
  </w:num>
  <w:num w:numId="3">
    <w:abstractNumId w:val="21"/>
  </w:num>
  <w:num w:numId="4">
    <w:abstractNumId w:val="33"/>
  </w:num>
  <w:num w:numId="5">
    <w:abstractNumId w:val="28"/>
  </w:num>
  <w:num w:numId="6">
    <w:abstractNumId w:val="23"/>
  </w:num>
  <w:num w:numId="7">
    <w:abstractNumId w:val="17"/>
  </w:num>
  <w:num w:numId="8">
    <w:abstractNumId w:val="6"/>
  </w:num>
  <w:num w:numId="9">
    <w:abstractNumId w:val="1"/>
  </w:num>
  <w:num w:numId="10">
    <w:abstractNumId w:val="29"/>
  </w:num>
  <w:num w:numId="11">
    <w:abstractNumId w:val="35"/>
  </w:num>
  <w:num w:numId="12">
    <w:abstractNumId w:val="24"/>
  </w:num>
  <w:num w:numId="13">
    <w:abstractNumId w:val="14"/>
  </w:num>
  <w:num w:numId="14">
    <w:abstractNumId w:val="38"/>
  </w:num>
  <w:num w:numId="15">
    <w:abstractNumId w:val="30"/>
  </w:num>
  <w:num w:numId="16">
    <w:abstractNumId w:val="39"/>
  </w:num>
  <w:num w:numId="17">
    <w:abstractNumId w:val="27"/>
  </w:num>
  <w:num w:numId="18">
    <w:abstractNumId w:val="5"/>
  </w:num>
  <w:num w:numId="19">
    <w:abstractNumId w:val="3"/>
  </w:num>
  <w:num w:numId="20">
    <w:abstractNumId w:val="31"/>
  </w:num>
  <w:num w:numId="21">
    <w:abstractNumId w:val="13"/>
  </w:num>
  <w:num w:numId="22">
    <w:abstractNumId w:val="37"/>
  </w:num>
  <w:num w:numId="23">
    <w:abstractNumId w:val="25"/>
  </w:num>
  <w:num w:numId="24">
    <w:abstractNumId w:val="0"/>
  </w:num>
  <w:num w:numId="25">
    <w:abstractNumId w:val="7"/>
  </w:num>
  <w:num w:numId="26">
    <w:abstractNumId w:val="22"/>
  </w:num>
  <w:num w:numId="27">
    <w:abstractNumId w:val="20"/>
  </w:num>
  <w:num w:numId="28">
    <w:abstractNumId w:val="8"/>
  </w:num>
  <w:num w:numId="29">
    <w:abstractNumId w:val="4"/>
  </w:num>
  <w:num w:numId="30">
    <w:abstractNumId w:val="16"/>
  </w:num>
  <w:num w:numId="31">
    <w:abstractNumId w:val="10"/>
  </w:num>
  <w:num w:numId="32">
    <w:abstractNumId w:val="36"/>
  </w:num>
  <w:num w:numId="33">
    <w:abstractNumId w:val="12"/>
  </w:num>
  <w:num w:numId="34">
    <w:abstractNumId w:val="11"/>
  </w:num>
  <w:num w:numId="35">
    <w:abstractNumId w:val="34"/>
  </w:num>
  <w:num w:numId="36">
    <w:abstractNumId w:val="26"/>
  </w:num>
  <w:num w:numId="37">
    <w:abstractNumId w:val="32"/>
  </w:num>
  <w:num w:numId="38">
    <w:abstractNumId w:val="18"/>
  </w:num>
  <w:num w:numId="39">
    <w:abstractNumId w:val="9"/>
    <w:lvlOverride w:ilvl="0">
      <w:startOverride w:val="1"/>
    </w:lvlOverride>
    <w:lvlOverride w:ilvl="1">
      <w:startOverride w:val="1"/>
    </w:lvlOverride>
    <w:lvlOverride w:ilvl="2"/>
    <w:lvlOverride w:ilvl="3"/>
    <w:lvlOverride w:ilvl="4"/>
    <w:lvlOverride w:ilvl="5"/>
    <w:lvlOverride w:ilvl="6"/>
    <w:lvlOverride w:ilvl="7"/>
    <w:lvlOverride w:ilvl="8"/>
  </w:num>
  <w:num w:numId="40">
    <w:abstractNumId w:val="1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DviOJrKokCAwqGPEj02DVwTf8vFyRLMmXX/I3TnIc7GUL3a6W+IsKH947FySobs8A+KhNyR+kKOy29MUVkf6Pw==" w:saltValue="XcdL4S7TT6EZNITLFcYyfg==" w:algorithmName="SHA-512"/>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8A8"/>
    <w:rsid w:val="00000ABE"/>
    <w:rsid w:val="00000CB9"/>
    <w:rsid w:val="00000DFC"/>
    <w:rsid w:val="00001254"/>
    <w:rsid w:val="00004A0E"/>
    <w:rsid w:val="0000588E"/>
    <w:rsid w:val="0000661F"/>
    <w:rsid w:val="000101EF"/>
    <w:rsid w:val="00010DC7"/>
    <w:rsid w:val="00011F78"/>
    <w:rsid w:val="00013452"/>
    <w:rsid w:val="00013EAC"/>
    <w:rsid w:val="00014D90"/>
    <w:rsid w:val="00017C66"/>
    <w:rsid w:val="00020BA8"/>
    <w:rsid w:val="00022865"/>
    <w:rsid w:val="000307EE"/>
    <w:rsid w:val="000332CF"/>
    <w:rsid w:val="00033319"/>
    <w:rsid w:val="00033C33"/>
    <w:rsid w:val="000370C8"/>
    <w:rsid w:val="00043DE2"/>
    <w:rsid w:val="0005058A"/>
    <w:rsid w:val="00052DAF"/>
    <w:rsid w:val="00053457"/>
    <w:rsid w:val="000555E2"/>
    <w:rsid w:val="000571C1"/>
    <w:rsid w:val="00061AF4"/>
    <w:rsid w:val="00073CED"/>
    <w:rsid w:val="00073F82"/>
    <w:rsid w:val="00074516"/>
    <w:rsid w:val="00075F5D"/>
    <w:rsid w:val="00076623"/>
    <w:rsid w:val="00076CB6"/>
    <w:rsid w:val="0007731D"/>
    <w:rsid w:val="00080715"/>
    <w:rsid w:val="000845A8"/>
    <w:rsid w:val="00084627"/>
    <w:rsid w:val="0008519F"/>
    <w:rsid w:val="00093433"/>
    <w:rsid w:val="00094589"/>
    <w:rsid w:val="000A0747"/>
    <w:rsid w:val="000A30CF"/>
    <w:rsid w:val="000A35A7"/>
    <w:rsid w:val="000A3B0B"/>
    <w:rsid w:val="000B02C3"/>
    <w:rsid w:val="000B1E1E"/>
    <w:rsid w:val="000B4DD9"/>
    <w:rsid w:val="000C1855"/>
    <w:rsid w:val="000C41ED"/>
    <w:rsid w:val="000C4D29"/>
    <w:rsid w:val="000C514B"/>
    <w:rsid w:val="000C637F"/>
    <w:rsid w:val="000C7398"/>
    <w:rsid w:val="000D0502"/>
    <w:rsid w:val="000D13EA"/>
    <w:rsid w:val="000D31F7"/>
    <w:rsid w:val="000D4908"/>
    <w:rsid w:val="000D6F2B"/>
    <w:rsid w:val="000D76CB"/>
    <w:rsid w:val="000E0C29"/>
    <w:rsid w:val="000E103F"/>
    <w:rsid w:val="000E1A2B"/>
    <w:rsid w:val="000E3ACD"/>
    <w:rsid w:val="000E4F0D"/>
    <w:rsid w:val="000E5030"/>
    <w:rsid w:val="000F12E8"/>
    <w:rsid w:val="000F3189"/>
    <w:rsid w:val="000F6056"/>
    <w:rsid w:val="00102AB2"/>
    <w:rsid w:val="00105A7D"/>
    <w:rsid w:val="00105C54"/>
    <w:rsid w:val="001123A4"/>
    <w:rsid w:val="00113573"/>
    <w:rsid w:val="00114386"/>
    <w:rsid w:val="00114D54"/>
    <w:rsid w:val="001164DF"/>
    <w:rsid w:val="00116864"/>
    <w:rsid w:val="0011733F"/>
    <w:rsid w:val="00117997"/>
    <w:rsid w:val="0012282B"/>
    <w:rsid w:val="00122D75"/>
    <w:rsid w:val="001252FB"/>
    <w:rsid w:val="001258C9"/>
    <w:rsid w:val="001262BD"/>
    <w:rsid w:val="001272FF"/>
    <w:rsid w:val="00127309"/>
    <w:rsid w:val="00130A18"/>
    <w:rsid w:val="00131277"/>
    <w:rsid w:val="0013198F"/>
    <w:rsid w:val="0013275A"/>
    <w:rsid w:val="001327E1"/>
    <w:rsid w:val="00140D49"/>
    <w:rsid w:val="00141CDB"/>
    <w:rsid w:val="00146895"/>
    <w:rsid w:val="00146AB2"/>
    <w:rsid w:val="00146E30"/>
    <w:rsid w:val="00150823"/>
    <w:rsid w:val="001514B9"/>
    <w:rsid w:val="001528B2"/>
    <w:rsid w:val="00152D42"/>
    <w:rsid w:val="00155DC1"/>
    <w:rsid w:val="001573E1"/>
    <w:rsid w:val="00160771"/>
    <w:rsid w:val="00160831"/>
    <w:rsid w:val="00161803"/>
    <w:rsid w:val="00161F35"/>
    <w:rsid w:val="00163765"/>
    <w:rsid w:val="00165606"/>
    <w:rsid w:val="00165FC0"/>
    <w:rsid w:val="00167554"/>
    <w:rsid w:val="00170EBE"/>
    <w:rsid w:val="0017164E"/>
    <w:rsid w:val="00172267"/>
    <w:rsid w:val="00174162"/>
    <w:rsid w:val="00175B28"/>
    <w:rsid w:val="00177AAD"/>
    <w:rsid w:val="0018053F"/>
    <w:rsid w:val="001814F2"/>
    <w:rsid w:val="00182F20"/>
    <w:rsid w:val="001831A8"/>
    <w:rsid w:val="00187224"/>
    <w:rsid w:val="00187E47"/>
    <w:rsid w:val="00191BDE"/>
    <w:rsid w:val="00191E26"/>
    <w:rsid w:val="00193016"/>
    <w:rsid w:val="00193093"/>
    <w:rsid w:val="00193E24"/>
    <w:rsid w:val="001957B8"/>
    <w:rsid w:val="00197E2F"/>
    <w:rsid w:val="001A2636"/>
    <w:rsid w:val="001A375C"/>
    <w:rsid w:val="001A5281"/>
    <w:rsid w:val="001B2524"/>
    <w:rsid w:val="001B2EA7"/>
    <w:rsid w:val="001B6080"/>
    <w:rsid w:val="001B7335"/>
    <w:rsid w:val="001B7B29"/>
    <w:rsid w:val="001B7E7F"/>
    <w:rsid w:val="001C285C"/>
    <w:rsid w:val="001C356E"/>
    <w:rsid w:val="001C40F6"/>
    <w:rsid w:val="001C6546"/>
    <w:rsid w:val="001C792F"/>
    <w:rsid w:val="001D22A4"/>
    <w:rsid w:val="001D325E"/>
    <w:rsid w:val="001D430E"/>
    <w:rsid w:val="001D5514"/>
    <w:rsid w:val="001D5D4A"/>
    <w:rsid w:val="001E2D6A"/>
    <w:rsid w:val="001E3098"/>
    <w:rsid w:val="001E4501"/>
    <w:rsid w:val="001E63DF"/>
    <w:rsid w:val="001E6F16"/>
    <w:rsid w:val="001F04BB"/>
    <w:rsid w:val="001F2D5B"/>
    <w:rsid w:val="001F423C"/>
    <w:rsid w:val="001F6739"/>
    <w:rsid w:val="00200550"/>
    <w:rsid w:val="00204986"/>
    <w:rsid w:val="0020500E"/>
    <w:rsid w:val="002052EA"/>
    <w:rsid w:val="00205CDE"/>
    <w:rsid w:val="00210199"/>
    <w:rsid w:val="00210520"/>
    <w:rsid w:val="00211185"/>
    <w:rsid w:val="0021141C"/>
    <w:rsid w:val="002114D9"/>
    <w:rsid w:val="0021356A"/>
    <w:rsid w:val="0021377B"/>
    <w:rsid w:val="00213AFF"/>
    <w:rsid w:val="00213BB8"/>
    <w:rsid w:val="00214950"/>
    <w:rsid w:val="00214FB8"/>
    <w:rsid w:val="00220261"/>
    <w:rsid w:val="002243C5"/>
    <w:rsid w:val="00224A5E"/>
    <w:rsid w:val="00227744"/>
    <w:rsid w:val="00230D12"/>
    <w:rsid w:val="00231C41"/>
    <w:rsid w:val="002325DB"/>
    <w:rsid w:val="00233E99"/>
    <w:rsid w:val="00236D6B"/>
    <w:rsid w:val="0024000F"/>
    <w:rsid w:val="0024060D"/>
    <w:rsid w:val="00245CE7"/>
    <w:rsid w:val="00246F7A"/>
    <w:rsid w:val="0025285D"/>
    <w:rsid w:val="00253814"/>
    <w:rsid w:val="00256C7B"/>
    <w:rsid w:val="00260953"/>
    <w:rsid w:val="00267125"/>
    <w:rsid w:val="00270105"/>
    <w:rsid w:val="00270182"/>
    <w:rsid w:val="0027366A"/>
    <w:rsid w:val="002770CF"/>
    <w:rsid w:val="00280409"/>
    <w:rsid w:val="002813A9"/>
    <w:rsid w:val="00281F78"/>
    <w:rsid w:val="00284527"/>
    <w:rsid w:val="00286AFC"/>
    <w:rsid w:val="002870BC"/>
    <w:rsid w:val="0028781C"/>
    <w:rsid w:val="0029316C"/>
    <w:rsid w:val="002A1902"/>
    <w:rsid w:val="002A2CEB"/>
    <w:rsid w:val="002A48F5"/>
    <w:rsid w:val="002A709C"/>
    <w:rsid w:val="002A7687"/>
    <w:rsid w:val="002B0831"/>
    <w:rsid w:val="002B1843"/>
    <w:rsid w:val="002B2A72"/>
    <w:rsid w:val="002B2ABE"/>
    <w:rsid w:val="002B6324"/>
    <w:rsid w:val="002B6DEC"/>
    <w:rsid w:val="002C0651"/>
    <w:rsid w:val="002C091A"/>
    <w:rsid w:val="002C3721"/>
    <w:rsid w:val="002C3B2E"/>
    <w:rsid w:val="002C44DC"/>
    <w:rsid w:val="002C5952"/>
    <w:rsid w:val="002C6235"/>
    <w:rsid w:val="002C6465"/>
    <w:rsid w:val="002C6B57"/>
    <w:rsid w:val="002D1F99"/>
    <w:rsid w:val="002D3179"/>
    <w:rsid w:val="002D3891"/>
    <w:rsid w:val="002D7E3D"/>
    <w:rsid w:val="002E1A33"/>
    <w:rsid w:val="002E3B76"/>
    <w:rsid w:val="002E3BE0"/>
    <w:rsid w:val="002E3C75"/>
    <w:rsid w:val="002E4B93"/>
    <w:rsid w:val="002E64F5"/>
    <w:rsid w:val="002F1908"/>
    <w:rsid w:val="002F3B30"/>
    <w:rsid w:val="00303085"/>
    <w:rsid w:val="003042E0"/>
    <w:rsid w:val="00311F72"/>
    <w:rsid w:val="00314384"/>
    <w:rsid w:val="003163A9"/>
    <w:rsid w:val="003169B0"/>
    <w:rsid w:val="00320122"/>
    <w:rsid w:val="0032049F"/>
    <w:rsid w:val="00321A85"/>
    <w:rsid w:val="00322C79"/>
    <w:rsid w:val="00324D27"/>
    <w:rsid w:val="0032659D"/>
    <w:rsid w:val="0032664E"/>
    <w:rsid w:val="00327382"/>
    <w:rsid w:val="0033104B"/>
    <w:rsid w:val="003324DA"/>
    <w:rsid w:val="003329A6"/>
    <w:rsid w:val="00334DCF"/>
    <w:rsid w:val="003364DB"/>
    <w:rsid w:val="0033706D"/>
    <w:rsid w:val="0033721C"/>
    <w:rsid w:val="0034625A"/>
    <w:rsid w:val="00346A8C"/>
    <w:rsid w:val="003470D1"/>
    <w:rsid w:val="003505C0"/>
    <w:rsid w:val="00357507"/>
    <w:rsid w:val="00357512"/>
    <w:rsid w:val="003615D1"/>
    <w:rsid w:val="003634AA"/>
    <w:rsid w:val="00364849"/>
    <w:rsid w:val="00370FC9"/>
    <w:rsid w:val="00371957"/>
    <w:rsid w:val="00374277"/>
    <w:rsid w:val="003742CA"/>
    <w:rsid w:val="00382846"/>
    <w:rsid w:val="003832F2"/>
    <w:rsid w:val="00383507"/>
    <w:rsid w:val="00383C45"/>
    <w:rsid w:val="003906BD"/>
    <w:rsid w:val="0039082F"/>
    <w:rsid w:val="0039406A"/>
    <w:rsid w:val="00395815"/>
    <w:rsid w:val="003A0BCB"/>
    <w:rsid w:val="003A1FF5"/>
    <w:rsid w:val="003A21B9"/>
    <w:rsid w:val="003A22C0"/>
    <w:rsid w:val="003A2595"/>
    <w:rsid w:val="003A25E1"/>
    <w:rsid w:val="003A2C1A"/>
    <w:rsid w:val="003A4C94"/>
    <w:rsid w:val="003A7EFD"/>
    <w:rsid w:val="003B1977"/>
    <w:rsid w:val="003B19E2"/>
    <w:rsid w:val="003B3EC1"/>
    <w:rsid w:val="003B6466"/>
    <w:rsid w:val="003B6843"/>
    <w:rsid w:val="003C0345"/>
    <w:rsid w:val="003C1096"/>
    <w:rsid w:val="003C2FC0"/>
    <w:rsid w:val="003C3384"/>
    <w:rsid w:val="003C42DB"/>
    <w:rsid w:val="003C6661"/>
    <w:rsid w:val="003D33FD"/>
    <w:rsid w:val="003D34B4"/>
    <w:rsid w:val="003D3DB5"/>
    <w:rsid w:val="003D4D59"/>
    <w:rsid w:val="003D52A3"/>
    <w:rsid w:val="003D6EA6"/>
    <w:rsid w:val="003D7A22"/>
    <w:rsid w:val="003E01C3"/>
    <w:rsid w:val="003E08A5"/>
    <w:rsid w:val="003E1C81"/>
    <w:rsid w:val="003F117C"/>
    <w:rsid w:val="00401D8B"/>
    <w:rsid w:val="004027D2"/>
    <w:rsid w:val="004032CA"/>
    <w:rsid w:val="0040487D"/>
    <w:rsid w:val="0040529A"/>
    <w:rsid w:val="004054CE"/>
    <w:rsid w:val="0040743D"/>
    <w:rsid w:val="00407B55"/>
    <w:rsid w:val="00407D44"/>
    <w:rsid w:val="00407D6A"/>
    <w:rsid w:val="00411DE9"/>
    <w:rsid w:val="004132DE"/>
    <w:rsid w:val="00420BA9"/>
    <w:rsid w:val="00420F9B"/>
    <w:rsid w:val="00421558"/>
    <w:rsid w:val="004266E1"/>
    <w:rsid w:val="00426A3E"/>
    <w:rsid w:val="004309E6"/>
    <w:rsid w:val="00431E14"/>
    <w:rsid w:val="00432BB5"/>
    <w:rsid w:val="00433468"/>
    <w:rsid w:val="00435A06"/>
    <w:rsid w:val="004413F1"/>
    <w:rsid w:val="00441634"/>
    <w:rsid w:val="00441743"/>
    <w:rsid w:val="00441B06"/>
    <w:rsid w:val="004446F8"/>
    <w:rsid w:val="00444C27"/>
    <w:rsid w:val="00445979"/>
    <w:rsid w:val="00446208"/>
    <w:rsid w:val="00446343"/>
    <w:rsid w:val="00447AEF"/>
    <w:rsid w:val="0045038C"/>
    <w:rsid w:val="00450839"/>
    <w:rsid w:val="00450D2D"/>
    <w:rsid w:val="004532E3"/>
    <w:rsid w:val="0045570A"/>
    <w:rsid w:val="00460DF0"/>
    <w:rsid w:val="0046513F"/>
    <w:rsid w:val="004664F0"/>
    <w:rsid w:val="00470EAF"/>
    <w:rsid w:val="00471235"/>
    <w:rsid w:val="00471822"/>
    <w:rsid w:val="004776AC"/>
    <w:rsid w:val="00484285"/>
    <w:rsid w:val="00490770"/>
    <w:rsid w:val="00491E61"/>
    <w:rsid w:val="004957AC"/>
    <w:rsid w:val="0049754C"/>
    <w:rsid w:val="004A0F0B"/>
    <w:rsid w:val="004B038E"/>
    <w:rsid w:val="004B0E66"/>
    <w:rsid w:val="004B5E59"/>
    <w:rsid w:val="004B6C38"/>
    <w:rsid w:val="004C07C5"/>
    <w:rsid w:val="004C08C8"/>
    <w:rsid w:val="004C0AFA"/>
    <w:rsid w:val="004C1516"/>
    <w:rsid w:val="004C3A71"/>
    <w:rsid w:val="004C521E"/>
    <w:rsid w:val="004C7378"/>
    <w:rsid w:val="004D0B12"/>
    <w:rsid w:val="004D1505"/>
    <w:rsid w:val="004D2557"/>
    <w:rsid w:val="004D410A"/>
    <w:rsid w:val="004D47E1"/>
    <w:rsid w:val="004D6C6A"/>
    <w:rsid w:val="004E08CB"/>
    <w:rsid w:val="004E1601"/>
    <w:rsid w:val="004E2A31"/>
    <w:rsid w:val="004E4380"/>
    <w:rsid w:val="004E4DB3"/>
    <w:rsid w:val="004E6B88"/>
    <w:rsid w:val="004E7647"/>
    <w:rsid w:val="004F04A9"/>
    <w:rsid w:val="004F330E"/>
    <w:rsid w:val="004F4F5A"/>
    <w:rsid w:val="004F7A2B"/>
    <w:rsid w:val="0050049F"/>
    <w:rsid w:val="00502D08"/>
    <w:rsid w:val="00504249"/>
    <w:rsid w:val="0050582D"/>
    <w:rsid w:val="00507237"/>
    <w:rsid w:val="00507982"/>
    <w:rsid w:val="00510AD9"/>
    <w:rsid w:val="005122AF"/>
    <w:rsid w:val="00513585"/>
    <w:rsid w:val="005158CB"/>
    <w:rsid w:val="00517163"/>
    <w:rsid w:val="00521BCF"/>
    <w:rsid w:val="00522026"/>
    <w:rsid w:val="00522474"/>
    <w:rsid w:val="00522731"/>
    <w:rsid w:val="00522F45"/>
    <w:rsid w:val="00523712"/>
    <w:rsid w:val="00523FC5"/>
    <w:rsid w:val="00524E2E"/>
    <w:rsid w:val="00531C27"/>
    <w:rsid w:val="005321D1"/>
    <w:rsid w:val="0053354C"/>
    <w:rsid w:val="00535423"/>
    <w:rsid w:val="00535EE2"/>
    <w:rsid w:val="00540DDB"/>
    <w:rsid w:val="00541A73"/>
    <w:rsid w:val="0054469C"/>
    <w:rsid w:val="00546F2D"/>
    <w:rsid w:val="00550001"/>
    <w:rsid w:val="00553189"/>
    <w:rsid w:val="00553B5B"/>
    <w:rsid w:val="00554755"/>
    <w:rsid w:val="00554E5F"/>
    <w:rsid w:val="0055644E"/>
    <w:rsid w:val="005566FE"/>
    <w:rsid w:val="005610A6"/>
    <w:rsid w:val="005631CB"/>
    <w:rsid w:val="005652B6"/>
    <w:rsid w:val="00565785"/>
    <w:rsid w:val="005703E5"/>
    <w:rsid w:val="0057258F"/>
    <w:rsid w:val="00573E12"/>
    <w:rsid w:val="005836D3"/>
    <w:rsid w:val="00586301"/>
    <w:rsid w:val="00586E25"/>
    <w:rsid w:val="00587C34"/>
    <w:rsid w:val="005967B5"/>
    <w:rsid w:val="005A227A"/>
    <w:rsid w:val="005A2628"/>
    <w:rsid w:val="005A4F08"/>
    <w:rsid w:val="005A58D4"/>
    <w:rsid w:val="005A5AE5"/>
    <w:rsid w:val="005A5CF6"/>
    <w:rsid w:val="005A5F0E"/>
    <w:rsid w:val="005A613B"/>
    <w:rsid w:val="005B170F"/>
    <w:rsid w:val="005B1DEB"/>
    <w:rsid w:val="005B6997"/>
    <w:rsid w:val="005B6BDA"/>
    <w:rsid w:val="005C0F1E"/>
    <w:rsid w:val="005C2A6D"/>
    <w:rsid w:val="005C3922"/>
    <w:rsid w:val="005C459D"/>
    <w:rsid w:val="005C5EB3"/>
    <w:rsid w:val="005C7AC5"/>
    <w:rsid w:val="005D0A26"/>
    <w:rsid w:val="005D1265"/>
    <w:rsid w:val="005D1425"/>
    <w:rsid w:val="005D267B"/>
    <w:rsid w:val="005E27FD"/>
    <w:rsid w:val="005E47E5"/>
    <w:rsid w:val="005E4892"/>
    <w:rsid w:val="005E5599"/>
    <w:rsid w:val="005E573F"/>
    <w:rsid w:val="005E65F7"/>
    <w:rsid w:val="005E7138"/>
    <w:rsid w:val="005F030D"/>
    <w:rsid w:val="005F0C51"/>
    <w:rsid w:val="005F22AA"/>
    <w:rsid w:val="005F36B0"/>
    <w:rsid w:val="005F4BCF"/>
    <w:rsid w:val="005F515A"/>
    <w:rsid w:val="005F69F1"/>
    <w:rsid w:val="00600D5B"/>
    <w:rsid w:val="00600DFE"/>
    <w:rsid w:val="0060163B"/>
    <w:rsid w:val="006032B6"/>
    <w:rsid w:val="00603BFE"/>
    <w:rsid w:val="00604442"/>
    <w:rsid w:val="006050EA"/>
    <w:rsid w:val="006059D1"/>
    <w:rsid w:val="00605E62"/>
    <w:rsid w:val="006075E0"/>
    <w:rsid w:val="00613195"/>
    <w:rsid w:val="00614008"/>
    <w:rsid w:val="0061569D"/>
    <w:rsid w:val="006162E4"/>
    <w:rsid w:val="0061642E"/>
    <w:rsid w:val="00616BA2"/>
    <w:rsid w:val="00622051"/>
    <w:rsid w:val="0062234A"/>
    <w:rsid w:val="00622D38"/>
    <w:rsid w:val="006251C9"/>
    <w:rsid w:val="00625E1E"/>
    <w:rsid w:val="0062605B"/>
    <w:rsid w:val="00626BE5"/>
    <w:rsid w:val="006308A9"/>
    <w:rsid w:val="00633229"/>
    <w:rsid w:val="00637492"/>
    <w:rsid w:val="0064196A"/>
    <w:rsid w:val="00643968"/>
    <w:rsid w:val="00643DF0"/>
    <w:rsid w:val="00645F94"/>
    <w:rsid w:val="006471F9"/>
    <w:rsid w:val="00647DD3"/>
    <w:rsid w:val="006526F9"/>
    <w:rsid w:val="0065633C"/>
    <w:rsid w:val="006601D3"/>
    <w:rsid w:val="00661163"/>
    <w:rsid w:val="00663862"/>
    <w:rsid w:val="00664986"/>
    <w:rsid w:val="006661B4"/>
    <w:rsid w:val="006708CE"/>
    <w:rsid w:val="0067393B"/>
    <w:rsid w:val="00673AEA"/>
    <w:rsid w:val="006745CD"/>
    <w:rsid w:val="00677938"/>
    <w:rsid w:val="00684B32"/>
    <w:rsid w:val="00686D58"/>
    <w:rsid w:val="006877FC"/>
    <w:rsid w:val="00690C86"/>
    <w:rsid w:val="0069247F"/>
    <w:rsid w:val="006958B4"/>
    <w:rsid w:val="006959C2"/>
    <w:rsid w:val="0069604A"/>
    <w:rsid w:val="006969D9"/>
    <w:rsid w:val="006A02B1"/>
    <w:rsid w:val="006A40B9"/>
    <w:rsid w:val="006B32E0"/>
    <w:rsid w:val="006B504D"/>
    <w:rsid w:val="006B7982"/>
    <w:rsid w:val="006C0A2C"/>
    <w:rsid w:val="006C65C5"/>
    <w:rsid w:val="006C78D0"/>
    <w:rsid w:val="006C7E2C"/>
    <w:rsid w:val="006D1379"/>
    <w:rsid w:val="006D24FD"/>
    <w:rsid w:val="006D2BA1"/>
    <w:rsid w:val="006D7DB1"/>
    <w:rsid w:val="006E1969"/>
    <w:rsid w:val="006E1C68"/>
    <w:rsid w:val="006E219A"/>
    <w:rsid w:val="006E2405"/>
    <w:rsid w:val="006E2D96"/>
    <w:rsid w:val="006E340C"/>
    <w:rsid w:val="006E4297"/>
    <w:rsid w:val="006F062D"/>
    <w:rsid w:val="006F153C"/>
    <w:rsid w:val="006F24EE"/>
    <w:rsid w:val="006F3066"/>
    <w:rsid w:val="006F3554"/>
    <w:rsid w:val="006F5176"/>
    <w:rsid w:val="006F60A9"/>
    <w:rsid w:val="006F6CA7"/>
    <w:rsid w:val="007008FA"/>
    <w:rsid w:val="007011EF"/>
    <w:rsid w:val="0070186F"/>
    <w:rsid w:val="00701E0D"/>
    <w:rsid w:val="00705092"/>
    <w:rsid w:val="007073C2"/>
    <w:rsid w:val="007138F8"/>
    <w:rsid w:val="00713916"/>
    <w:rsid w:val="00714AD5"/>
    <w:rsid w:val="00715297"/>
    <w:rsid w:val="00715C35"/>
    <w:rsid w:val="007200D1"/>
    <w:rsid w:val="00720B18"/>
    <w:rsid w:val="00720B40"/>
    <w:rsid w:val="00720CC7"/>
    <w:rsid w:val="0072120E"/>
    <w:rsid w:val="00721C04"/>
    <w:rsid w:val="007232C6"/>
    <w:rsid w:val="00725D8A"/>
    <w:rsid w:val="00730DDD"/>
    <w:rsid w:val="007335E8"/>
    <w:rsid w:val="00733663"/>
    <w:rsid w:val="00733F89"/>
    <w:rsid w:val="00734881"/>
    <w:rsid w:val="007354ED"/>
    <w:rsid w:val="007379F4"/>
    <w:rsid w:val="00737F69"/>
    <w:rsid w:val="007411F1"/>
    <w:rsid w:val="007414BD"/>
    <w:rsid w:val="00741721"/>
    <w:rsid w:val="007422A2"/>
    <w:rsid w:val="00743156"/>
    <w:rsid w:val="007451C5"/>
    <w:rsid w:val="0074779E"/>
    <w:rsid w:val="00747CC0"/>
    <w:rsid w:val="00750D40"/>
    <w:rsid w:val="00751159"/>
    <w:rsid w:val="00754C70"/>
    <w:rsid w:val="00755B0C"/>
    <w:rsid w:val="007566CE"/>
    <w:rsid w:val="007579B1"/>
    <w:rsid w:val="0076150C"/>
    <w:rsid w:val="00761791"/>
    <w:rsid w:val="00765AD2"/>
    <w:rsid w:val="00766D75"/>
    <w:rsid w:val="00772E29"/>
    <w:rsid w:val="00772EF4"/>
    <w:rsid w:val="007734B0"/>
    <w:rsid w:val="00775052"/>
    <w:rsid w:val="00782384"/>
    <w:rsid w:val="00783189"/>
    <w:rsid w:val="007833DE"/>
    <w:rsid w:val="00785DDD"/>
    <w:rsid w:val="007873B8"/>
    <w:rsid w:val="0079000D"/>
    <w:rsid w:val="00791133"/>
    <w:rsid w:val="0079221C"/>
    <w:rsid w:val="0079419E"/>
    <w:rsid w:val="007955A1"/>
    <w:rsid w:val="007A04DD"/>
    <w:rsid w:val="007A3FE6"/>
    <w:rsid w:val="007A4A1A"/>
    <w:rsid w:val="007A56F7"/>
    <w:rsid w:val="007B047A"/>
    <w:rsid w:val="007B1CC6"/>
    <w:rsid w:val="007B240C"/>
    <w:rsid w:val="007B368E"/>
    <w:rsid w:val="007B4828"/>
    <w:rsid w:val="007B5728"/>
    <w:rsid w:val="007B5CCE"/>
    <w:rsid w:val="007B6E2B"/>
    <w:rsid w:val="007B7D9B"/>
    <w:rsid w:val="007C2559"/>
    <w:rsid w:val="007C3D2A"/>
    <w:rsid w:val="007C50C6"/>
    <w:rsid w:val="007C5BAD"/>
    <w:rsid w:val="007C63D7"/>
    <w:rsid w:val="007D1E0F"/>
    <w:rsid w:val="007D201F"/>
    <w:rsid w:val="007D22D1"/>
    <w:rsid w:val="007D2ECC"/>
    <w:rsid w:val="007D4C05"/>
    <w:rsid w:val="007D6B6D"/>
    <w:rsid w:val="007E1EAA"/>
    <w:rsid w:val="007E275F"/>
    <w:rsid w:val="007E642A"/>
    <w:rsid w:val="007F1CCD"/>
    <w:rsid w:val="007F3F6B"/>
    <w:rsid w:val="007F5EF2"/>
    <w:rsid w:val="007F617B"/>
    <w:rsid w:val="007F66DE"/>
    <w:rsid w:val="00803211"/>
    <w:rsid w:val="00804D47"/>
    <w:rsid w:val="00805F13"/>
    <w:rsid w:val="00806160"/>
    <w:rsid w:val="0081181E"/>
    <w:rsid w:val="00814705"/>
    <w:rsid w:val="00814A45"/>
    <w:rsid w:val="0081646E"/>
    <w:rsid w:val="00816ADF"/>
    <w:rsid w:val="008214D8"/>
    <w:rsid w:val="0082292B"/>
    <w:rsid w:val="008238FE"/>
    <w:rsid w:val="00823B7D"/>
    <w:rsid w:val="00824A20"/>
    <w:rsid w:val="00827056"/>
    <w:rsid w:val="008278C9"/>
    <w:rsid w:val="00834930"/>
    <w:rsid w:val="00836620"/>
    <w:rsid w:val="00841189"/>
    <w:rsid w:val="0084168F"/>
    <w:rsid w:val="00844F3E"/>
    <w:rsid w:val="00845F36"/>
    <w:rsid w:val="008503FE"/>
    <w:rsid w:val="008505DE"/>
    <w:rsid w:val="0085074F"/>
    <w:rsid w:val="00850A91"/>
    <w:rsid w:val="00851C1B"/>
    <w:rsid w:val="00851F1C"/>
    <w:rsid w:val="008531F9"/>
    <w:rsid w:val="0085370E"/>
    <w:rsid w:val="00854605"/>
    <w:rsid w:val="0085498B"/>
    <w:rsid w:val="00855076"/>
    <w:rsid w:val="00856569"/>
    <w:rsid w:val="00860DF7"/>
    <w:rsid w:val="00863B2E"/>
    <w:rsid w:val="00864283"/>
    <w:rsid w:val="008712E6"/>
    <w:rsid w:val="0087360D"/>
    <w:rsid w:val="0087380E"/>
    <w:rsid w:val="00874227"/>
    <w:rsid w:val="008746E9"/>
    <w:rsid w:val="008764C7"/>
    <w:rsid w:val="00880246"/>
    <w:rsid w:val="00881EB6"/>
    <w:rsid w:val="008825F3"/>
    <w:rsid w:val="00883556"/>
    <w:rsid w:val="008837B5"/>
    <w:rsid w:val="00883EB1"/>
    <w:rsid w:val="0088427E"/>
    <w:rsid w:val="008850FE"/>
    <w:rsid w:val="00886324"/>
    <w:rsid w:val="008946C0"/>
    <w:rsid w:val="008A009B"/>
    <w:rsid w:val="008A08CA"/>
    <w:rsid w:val="008A13F0"/>
    <w:rsid w:val="008A49D7"/>
    <w:rsid w:val="008A559D"/>
    <w:rsid w:val="008A7415"/>
    <w:rsid w:val="008B0505"/>
    <w:rsid w:val="008B42DA"/>
    <w:rsid w:val="008B4571"/>
    <w:rsid w:val="008B68FC"/>
    <w:rsid w:val="008C1455"/>
    <w:rsid w:val="008C17DE"/>
    <w:rsid w:val="008C2CAB"/>
    <w:rsid w:val="008C3242"/>
    <w:rsid w:val="008C4640"/>
    <w:rsid w:val="008C5E63"/>
    <w:rsid w:val="008C6B1C"/>
    <w:rsid w:val="008D007A"/>
    <w:rsid w:val="008D1173"/>
    <w:rsid w:val="008D7F7A"/>
    <w:rsid w:val="008E1444"/>
    <w:rsid w:val="008E4AEE"/>
    <w:rsid w:val="008E7A16"/>
    <w:rsid w:val="008F0E8E"/>
    <w:rsid w:val="008F2BA5"/>
    <w:rsid w:val="008F2CB6"/>
    <w:rsid w:val="008F2EEF"/>
    <w:rsid w:val="008F3277"/>
    <w:rsid w:val="008F4B7B"/>
    <w:rsid w:val="008F7267"/>
    <w:rsid w:val="008F7F9D"/>
    <w:rsid w:val="0090106D"/>
    <w:rsid w:val="00902A0B"/>
    <w:rsid w:val="00903100"/>
    <w:rsid w:val="0090522B"/>
    <w:rsid w:val="00905A66"/>
    <w:rsid w:val="00905F2F"/>
    <w:rsid w:val="00906284"/>
    <w:rsid w:val="0091106B"/>
    <w:rsid w:val="0091127E"/>
    <w:rsid w:val="00911946"/>
    <w:rsid w:val="00913557"/>
    <w:rsid w:val="00913D30"/>
    <w:rsid w:val="009149F8"/>
    <w:rsid w:val="00920322"/>
    <w:rsid w:val="00920485"/>
    <w:rsid w:val="00920B47"/>
    <w:rsid w:val="00922A72"/>
    <w:rsid w:val="00925ED2"/>
    <w:rsid w:val="00927327"/>
    <w:rsid w:val="0093042F"/>
    <w:rsid w:val="00933001"/>
    <w:rsid w:val="00934ECC"/>
    <w:rsid w:val="009359ED"/>
    <w:rsid w:val="009359FA"/>
    <w:rsid w:val="00937954"/>
    <w:rsid w:val="00937C1F"/>
    <w:rsid w:val="0094588B"/>
    <w:rsid w:val="00947985"/>
    <w:rsid w:val="00950C59"/>
    <w:rsid w:val="00951990"/>
    <w:rsid w:val="009521A6"/>
    <w:rsid w:val="0095267E"/>
    <w:rsid w:val="0095427A"/>
    <w:rsid w:val="00955B09"/>
    <w:rsid w:val="00956AE4"/>
    <w:rsid w:val="00957713"/>
    <w:rsid w:val="00962A0A"/>
    <w:rsid w:val="00963260"/>
    <w:rsid w:val="009639D4"/>
    <w:rsid w:val="009649A1"/>
    <w:rsid w:val="00966CC7"/>
    <w:rsid w:val="009705C2"/>
    <w:rsid w:val="00972DB3"/>
    <w:rsid w:val="0097380B"/>
    <w:rsid w:val="0097541D"/>
    <w:rsid w:val="009761C6"/>
    <w:rsid w:val="009762A4"/>
    <w:rsid w:val="009822A1"/>
    <w:rsid w:val="009831E6"/>
    <w:rsid w:val="00987D46"/>
    <w:rsid w:val="00993E75"/>
    <w:rsid w:val="00994578"/>
    <w:rsid w:val="0099622D"/>
    <w:rsid w:val="00997E79"/>
    <w:rsid w:val="009A01CB"/>
    <w:rsid w:val="009A052C"/>
    <w:rsid w:val="009A1C2B"/>
    <w:rsid w:val="009A35E5"/>
    <w:rsid w:val="009A5AC7"/>
    <w:rsid w:val="009A5F90"/>
    <w:rsid w:val="009A7B23"/>
    <w:rsid w:val="009B2B79"/>
    <w:rsid w:val="009B3072"/>
    <w:rsid w:val="009B461B"/>
    <w:rsid w:val="009D0EFF"/>
    <w:rsid w:val="009D2E7D"/>
    <w:rsid w:val="009D3591"/>
    <w:rsid w:val="009D3AD2"/>
    <w:rsid w:val="009D4132"/>
    <w:rsid w:val="009D753B"/>
    <w:rsid w:val="009E1C12"/>
    <w:rsid w:val="009E1F57"/>
    <w:rsid w:val="009E28CC"/>
    <w:rsid w:val="009E41C7"/>
    <w:rsid w:val="009E5EA1"/>
    <w:rsid w:val="009E6A9F"/>
    <w:rsid w:val="009E7B47"/>
    <w:rsid w:val="009E7E53"/>
    <w:rsid w:val="009F2CE0"/>
    <w:rsid w:val="009F5D03"/>
    <w:rsid w:val="00A00EEE"/>
    <w:rsid w:val="00A013F2"/>
    <w:rsid w:val="00A0310A"/>
    <w:rsid w:val="00A03641"/>
    <w:rsid w:val="00A03F38"/>
    <w:rsid w:val="00A04A54"/>
    <w:rsid w:val="00A056D6"/>
    <w:rsid w:val="00A05AF4"/>
    <w:rsid w:val="00A05F1E"/>
    <w:rsid w:val="00A1101D"/>
    <w:rsid w:val="00A12959"/>
    <w:rsid w:val="00A14B60"/>
    <w:rsid w:val="00A14CC2"/>
    <w:rsid w:val="00A15205"/>
    <w:rsid w:val="00A2236D"/>
    <w:rsid w:val="00A2344C"/>
    <w:rsid w:val="00A2443C"/>
    <w:rsid w:val="00A26170"/>
    <w:rsid w:val="00A2623E"/>
    <w:rsid w:val="00A26608"/>
    <w:rsid w:val="00A26989"/>
    <w:rsid w:val="00A27088"/>
    <w:rsid w:val="00A30A10"/>
    <w:rsid w:val="00A31B1A"/>
    <w:rsid w:val="00A33828"/>
    <w:rsid w:val="00A33D8F"/>
    <w:rsid w:val="00A41930"/>
    <w:rsid w:val="00A43C96"/>
    <w:rsid w:val="00A44CC4"/>
    <w:rsid w:val="00A44ED8"/>
    <w:rsid w:val="00A45227"/>
    <w:rsid w:val="00A47E02"/>
    <w:rsid w:val="00A5055A"/>
    <w:rsid w:val="00A57834"/>
    <w:rsid w:val="00A57D5D"/>
    <w:rsid w:val="00A650BD"/>
    <w:rsid w:val="00A65C16"/>
    <w:rsid w:val="00A71E68"/>
    <w:rsid w:val="00A7236D"/>
    <w:rsid w:val="00A72393"/>
    <w:rsid w:val="00A72BE6"/>
    <w:rsid w:val="00A73486"/>
    <w:rsid w:val="00A739A5"/>
    <w:rsid w:val="00A7488A"/>
    <w:rsid w:val="00A74C3F"/>
    <w:rsid w:val="00A75DB0"/>
    <w:rsid w:val="00A81081"/>
    <w:rsid w:val="00A8208D"/>
    <w:rsid w:val="00A8779A"/>
    <w:rsid w:val="00A87B92"/>
    <w:rsid w:val="00A91F7F"/>
    <w:rsid w:val="00A9248D"/>
    <w:rsid w:val="00A92681"/>
    <w:rsid w:val="00A93947"/>
    <w:rsid w:val="00A94B19"/>
    <w:rsid w:val="00A96D5F"/>
    <w:rsid w:val="00AA0EEA"/>
    <w:rsid w:val="00AA12EF"/>
    <w:rsid w:val="00AA3D14"/>
    <w:rsid w:val="00AA4C6F"/>
    <w:rsid w:val="00AA542B"/>
    <w:rsid w:val="00AA5690"/>
    <w:rsid w:val="00AA5CF0"/>
    <w:rsid w:val="00AB0023"/>
    <w:rsid w:val="00AB01E8"/>
    <w:rsid w:val="00AB2513"/>
    <w:rsid w:val="00AB4897"/>
    <w:rsid w:val="00AB604C"/>
    <w:rsid w:val="00AB7A0F"/>
    <w:rsid w:val="00AC22AF"/>
    <w:rsid w:val="00AC4AF1"/>
    <w:rsid w:val="00AC5010"/>
    <w:rsid w:val="00AC7867"/>
    <w:rsid w:val="00AD198A"/>
    <w:rsid w:val="00AD1C18"/>
    <w:rsid w:val="00AD22C5"/>
    <w:rsid w:val="00AD2B67"/>
    <w:rsid w:val="00AD306B"/>
    <w:rsid w:val="00AD4CD6"/>
    <w:rsid w:val="00AE20DD"/>
    <w:rsid w:val="00AE3F19"/>
    <w:rsid w:val="00AE47AB"/>
    <w:rsid w:val="00AE6BD3"/>
    <w:rsid w:val="00AE6CE3"/>
    <w:rsid w:val="00AF056F"/>
    <w:rsid w:val="00AF0D57"/>
    <w:rsid w:val="00AF1E20"/>
    <w:rsid w:val="00AF27CD"/>
    <w:rsid w:val="00AF2E0E"/>
    <w:rsid w:val="00AF4BD8"/>
    <w:rsid w:val="00AF4D29"/>
    <w:rsid w:val="00AF54D9"/>
    <w:rsid w:val="00AF56BF"/>
    <w:rsid w:val="00B00E4D"/>
    <w:rsid w:val="00B0310E"/>
    <w:rsid w:val="00B03801"/>
    <w:rsid w:val="00B04C5F"/>
    <w:rsid w:val="00B06B5E"/>
    <w:rsid w:val="00B07D45"/>
    <w:rsid w:val="00B1004E"/>
    <w:rsid w:val="00B11CE0"/>
    <w:rsid w:val="00B163D6"/>
    <w:rsid w:val="00B207CD"/>
    <w:rsid w:val="00B20956"/>
    <w:rsid w:val="00B23A23"/>
    <w:rsid w:val="00B24F9D"/>
    <w:rsid w:val="00B265F7"/>
    <w:rsid w:val="00B30A6C"/>
    <w:rsid w:val="00B33046"/>
    <w:rsid w:val="00B338D8"/>
    <w:rsid w:val="00B33DF0"/>
    <w:rsid w:val="00B369A9"/>
    <w:rsid w:val="00B4006C"/>
    <w:rsid w:val="00B42460"/>
    <w:rsid w:val="00B42984"/>
    <w:rsid w:val="00B44FCC"/>
    <w:rsid w:val="00B45694"/>
    <w:rsid w:val="00B469C0"/>
    <w:rsid w:val="00B50095"/>
    <w:rsid w:val="00B507BE"/>
    <w:rsid w:val="00B5115A"/>
    <w:rsid w:val="00B52507"/>
    <w:rsid w:val="00B5424A"/>
    <w:rsid w:val="00B56B9B"/>
    <w:rsid w:val="00B6056D"/>
    <w:rsid w:val="00B65A69"/>
    <w:rsid w:val="00B66835"/>
    <w:rsid w:val="00B674D9"/>
    <w:rsid w:val="00B70282"/>
    <w:rsid w:val="00B709F0"/>
    <w:rsid w:val="00B710C6"/>
    <w:rsid w:val="00B71C58"/>
    <w:rsid w:val="00B72F23"/>
    <w:rsid w:val="00B7699F"/>
    <w:rsid w:val="00B76CD0"/>
    <w:rsid w:val="00B8072C"/>
    <w:rsid w:val="00B84BC2"/>
    <w:rsid w:val="00B85BE5"/>
    <w:rsid w:val="00B861A6"/>
    <w:rsid w:val="00B86A58"/>
    <w:rsid w:val="00B87163"/>
    <w:rsid w:val="00B94DC3"/>
    <w:rsid w:val="00B95723"/>
    <w:rsid w:val="00B97665"/>
    <w:rsid w:val="00BA0C67"/>
    <w:rsid w:val="00BA0DA8"/>
    <w:rsid w:val="00BA2A9D"/>
    <w:rsid w:val="00BA3BBA"/>
    <w:rsid w:val="00BA6640"/>
    <w:rsid w:val="00BB6563"/>
    <w:rsid w:val="00BB7014"/>
    <w:rsid w:val="00BC0378"/>
    <w:rsid w:val="00BC1155"/>
    <w:rsid w:val="00BC3CF3"/>
    <w:rsid w:val="00BC4728"/>
    <w:rsid w:val="00BD04BA"/>
    <w:rsid w:val="00BD4621"/>
    <w:rsid w:val="00BE2A3C"/>
    <w:rsid w:val="00BE2E03"/>
    <w:rsid w:val="00BE2EB8"/>
    <w:rsid w:val="00BE393E"/>
    <w:rsid w:val="00BE3EBD"/>
    <w:rsid w:val="00BE459D"/>
    <w:rsid w:val="00BE54BE"/>
    <w:rsid w:val="00BE7CE0"/>
    <w:rsid w:val="00BF0B30"/>
    <w:rsid w:val="00BF3486"/>
    <w:rsid w:val="00BF3CC8"/>
    <w:rsid w:val="00BF443D"/>
    <w:rsid w:val="00BF554B"/>
    <w:rsid w:val="00BF6906"/>
    <w:rsid w:val="00BF7AE3"/>
    <w:rsid w:val="00C01DB8"/>
    <w:rsid w:val="00C0205F"/>
    <w:rsid w:val="00C02427"/>
    <w:rsid w:val="00C0320D"/>
    <w:rsid w:val="00C038E9"/>
    <w:rsid w:val="00C03DE1"/>
    <w:rsid w:val="00C04AF0"/>
    <w:rsid w:val="00C05671"/>
    <w:rsid w:val="00C07073"/>
    <w:rsid w:val="00C07651"/>
    <w:rsid w:val="00C07B88"/>
    <w:rsid w:val="00C11393"/>
    <w:rsid w:val="00C11CE2"/>
    <w:rsid w:val="00C12CCD"/>
    <w:rsid w:val="00C13EC4"/>
    <w:rsid w:val="00C153D4"/>
    <w:rsid w:val="00C201F2"/>
    <w:rsid w:val="00C2160C"/>
    <w:rsid w:val="00C22B6B"/>
    <w:rsid w:val="00C24A9A"/>
    <w:rsid w:val="00C24B21"/>
    <w:rsid w:val="00C24B25"/>
    <w:rsid w:val="00C2537D"/>
    <w:rsid w:val="00C30843"/>
    <w:rsid w:val="00C30E51"/>
    <w:rsid w:val="00C32D97"/>
    <w:rsid w:val="00C3399F"/>
    <w:rsid w:val="00C33E60"/>
    <w:rsid w:val="00C34B4D"/>
    <w:rsid w:val="00C34F7D"/>
    <w:rsid w:val="00C35B8B"/>
    <w:rsid w:val="00C37DDE"/>
    <w:rsid w:val="00C40428"/>
    <w:rsid w:val="00C44CC1"/>
    <w:rsid w:val="00C53E5D"/>
    <w:rsid w:val="00C5561E"/>
    <w:rsid w:val="00C5672B"/>
    <w:rsid w:val="00C60135"/>
    <w:rsid w:val="00C627DA"/>
    <w:rsid w:val="00C65EB0"/>
    <w:rsid w:val="00C6773B"/>
    <w:rsid w:val="00C705DE"/>
    <w:rsid w:val="00C72978"/>
    <w:rsid w:val="00C76D75"/>
    <w:rsid w:val="00C80A59"/>
    <w:rsid w:val="00C830A7"/>
    <w:rsid w:val="00C83237"/>
    <w:rsid w:val="00C84C3E"/>
    <w:rsid w:val="00C85028"/>
    <w:rsid w:val="00C857F8"/>
    <w:rsid w:val="00C866C6"/>
    <w:rsid w:val="00C86961"/>
    <w:rsid w:val="00C873A9"/>
    <w:rsid w:val="00C90012"/>
    <w:rsid w:val="00C90198"/>
    <w:rsid w:val="00C92E7E"/>
    <w:rsid w:val="00C947E2"/>
    <w:rsid w:val="00C96A53"/>
    <w:rsid w:val="00CA06D9"/>
    <w:rsid w:val="00CA21AE"/>
    <w:rsid w:val="00CA36A4"/>
    <w:rsid w:val="00CA3AA6"/>
    <w:rsid w:val="00CA4BF1"/>
    <w:rsid w:val="00CB2A3C"/>
    <w:rsid w:val="00CB39B3"/>
    <w:rsid w:val="00CB4209"/>
    <w:rsid w:val="00CC1193"/>
    <w:rsid w:val="00CC16BE"/>
    <w:rsid w:val="00CC1EB4"/>
    <w:rsid w:val="00CC370C"/>
    <w:rsid w:val="00CC421E"/>
    <w:rsid w:val="00CC597A"/>
    <w:rsid w:val="00CC6EB1"/>
    <w:rsid w:val="00CC7A32"/>
    <w:rsid w:val="00CD2711"/>
    <w:rsid w:val="00CD3452"/>
    <w:rsid w:val="00CD4158"/>
    <w:rsid w:val="00CD5989"/>
    <w:rsid w:val="00CE2C66"/>
    <w:rsid w:val="00CE2DC3"/>
    <w:rsid w:val="00CE34C7"/>
    <w:rsid w:val="00CF246A"/>
    <w:rsid w:val="00CF3E93"/>
    <w:rsid w:val="00CF40D3"/>
    <w:rsid w:val="00CF5789"/>
    <w:rsid w:val="00CF5EB3"/>
    <w:rsid w:val="00CF6D64"/>
    <w:rsid w:val="00D01406"/>
    <w:rsid w:val="00D05B9E"/>
    <w:rsid w:val="00D05FFC"/>
    <w:rsid w:val="00D106CA"/>
    <w:rsid w:val="00D11455"/>
    <w:rsid w:val="00D13D21"/>
    <w:rsid w:val="00D150F2"/>
    <w:rsid w:val="00D1637C"/>
    <w:rsid w:val="00D171F2"/>
    <w:rsid w:val="00D2288C"/>
    <w:rsid w:val="00D22E3F"/>
    <w:rsid w:val="00D24D99"/>
    <w:rsid w:val="00D2549F"/>
    <w:rsid w:val="00D3071B"/>
    <w:rsid w:val="00D331ED"/>
    <w:rsid w:val="00D34A5D"/>
    <w:rsid w:val="00D36446"/>
    <w:rsid w:val="00D368C8"/>
    <w:rsid w:val="00D4047A"/>
    <w:rsid w:val="00D44E9A"/>
    <w:rsid w:val="00D457D5"/>
    <w:rsid w:val="00D46937"/>
    <w:rsid w:val="00D46A3C"/>
    <w:rsid w:val="00D46F22"/>
    <w:rsid w:val="00D530A5"/>
    <w:rsid w:val="00D54D93"/>
    <w:rsid w:val="00D576C4"/>
    <w:rsid w:val="00D6266E"/>
    <w:rsid w:val="00D62F1F"/>
    <w:rsid w:val="00D64088"/>
    <w:rsid w:val="00D65F0E"/>
    <w:rsid w:val="00D668E3"/>
    <w:rsid w:val="00D6705E"/>
    <w:rsid w:val="00D6718B"/>
    <w:rsid w:val="00D73507"/>
    <w:rsid w:val="00D773C1"/>
    <w:rsid w:val="00D80A8C"/>
    <w:rsid w:val="00D80CCA"/>
    <w:rsid w:val="00D81F94"/>
    <w:rsid w:val="00D83EF0"/>
    <w:rsid w:val="00D840AC"/>
    <w:rsid w:val="00D84538"/>
    <w:rsid w:val="00D8657A"/>
    <w:rsid w:val="00D9593A"/>
    <w:rsid w:val="00D9595C"/>
    <w:rsid w:val="00DA4B9A"/>
    <w:rsid w:val="00DA68D9"/>
    <w:rsid w:val="00DB33F4"/>
    <w:rsid w:val="00DB34DB"/>
    <w:rsid w:val="00DB37DE"/>
    <w:rsid w:val="00DB5F24"/>
    <w:rsid w:val="00DC007F"/>
    <w:rsid w:val="00DC099F"/>
    <w:rsid w:val="00DC2DE8"/>
    <w:rsid w:val="00DC4A6C"/>
    <w:rsid w:val="00DD04D3"/>
    <w:rsid w:val="00DD22B8"/>
    <w:rsid w:val="00DD5DEF"/>
    <w:rsid w:val="00DE03B7"/>
    <w:rsid w:val="00DE31CF"/>
    <w:rsid w:val="00DE31DE"/>
    <w:rsid w:val="00DE52D4"/>
    <w:rsid w:val="00DF0C59"/>
    <w:rsid w:val="00DF3CFE"/>
    <w:rsid w:val="00DF3DE3"/>
    <w:rsid w:val="00DF4296"/>
    <w:rsid w:val="00DF5321"/>
    <w:rsid w:val="00E00A66"/>
    <w:rsid w:val="00E00CFB"/>
    <w:rsid w:val="00E063E8"/>
    <w:rsid w:val="00E06BF1"/>
    <w:rsid w:val="00E06E0F"/>
    <w:rsid w:val="00E07BCA"/>
    <w:rsid w:val="00E07CA2"/>
    <w:rsid w:val="00E104BD"/>
    <w:rsid w:val="00E11692"/>
    <w:rsid w:val="00E15FCF"/>
    <w:rsid w:val="00E165E5"/>
    <w:rsid w:val="00E22749"/>
    <w:rsid w:val="00E227E6"/>
    <w:rsid w:val="00E271EB"/>
    <w:rsid w:val="00E27E12"/>
    <w:rsid w:val="00E30230"/>
    <w:rsid w:val="00E31250"/>
    <w:rsid w:val="00E33CF9"/>
    <w:rsid w:val="00E35210"/>
    <w:rsid w:val="00E368DF"/>
    <w:rsid w:val="00E416C9"/>
    <w:rsid w:val="00E437A9"/>
    <w:rsid w:val="00E44370"/>
    <w:rsid w:val="00E44705"/>
    <w:rsid w:val="00E449F6"/>
    <w:rsid w:val="00E44E27"/>
    <w:rsid w:val="00E46944"/>
    <w:rsid w:val="00E46959"/>
    <w:rsid w:val="00E51DBC"/>
    <w:rsid w:val="00E5212D"/>
    <w:rsid w:val="00E52144"/>
    <w:rsid w:val="00E52BEF"/>
    <w:rsid w:val="00E52C39"/>
    <w:rsid w:val="00E53221"/>
    <w:rsid w:val="00E53480"/>
    <w:rsid w:val="00E536EE"/>
    <w:rsid w:val="00E54318"/>
    <w:rsid w:val="00E55CD3"/>
    <w:rsid w:val="00E56161"/>
    <w:rsid w:val="00E574DE"/>
    <w:rsid w:val="00E638C7"/>
    <w:rsid w:val="00E64144"/>
    <w:rsid w:val="00E6559B"/>
    <w:rsid w:val="00E67D3D"/>
    <w:rsid w:val="00E71018"/>
    <w:rsid w:val="00E71217"/>
    <w:rsid w:val="00E71533"/>
    <w:rsid w:val="00E738AF"/>
    <w:rsid w:val="00E75EF3"/>
    <w:rsid w:val="00E7638D"/>
    <w:rsid w:val="00E76DFD"/>
    <w:rsid w:val="00E772CA"/>
    <w:rsid w:val="00E80D8F"/>
    <w:rsid w:val="00E829F9"/>
    <w:rsid w:val="00E8312E"/>
    <w:rsid w:val="00E85C40"/>
    <w:rsid w:val="00E86146"/>
    <w:rsid w:val="00E86EA1"/>
    <w:rsid w:val="00E91944"/>
    <w:rsid w:val="00E9229B"/>
    <w:rsid w:val="00E92A4F"/>
    <w:rsid w:val="00E94C9A"/>
    <w:rsid w:val="00E97CED"/>
    <w:rsid w:val="00EA098C"/>
    <w:rsid w:val="00EA384A"/>
    <w:rsid w:val="00EA51AB"/>
    <w:rsid w:val="00EB19B4"/>
    <w:rsid w:val="00EB1E8B"/>
    <w:rsid w:val="00EB2C4F"/>
    <w:rsid w:val="00EB569B"/>
    <w:rsid w:val="00EB6893"/>
    <w:rsid w:val="00EB7881"/>
    <w:rsid w:val="00EB7D85"/>
    <w:rsid w:val="00EC2C69"/>
    <w:rsid w:val="00EC435B"/>
    <w:rsid w:val="00EC491A"/>
    <w:rsid w:val="00EC6C3A"/>
    <w:rsid w:val="00EC7793"/>
    <w:rsid w:val="00EC7B73"/>
    <w:rsid w:val="00ED079E"/>
    <w:rsid w:val="00ED5724"/>
    <w:rsid w:val="00ED616B"/>
    <w:rsid w:val="00EE20DA"/>
    <w:rsid w:val="00EE26E2"/>
    <w:rsid w:val="00EE2842"/>
    <w:rsid w:val="00EE29CB"/>
    <w:rsid w:val="00EE513B"/>
    <w:rsid w:val="00EF1D52"/>
    <w:rsid w:val="00EF2656"/>
    <w:rsid w:val="00EF4016"/>
    <w:rsid w:val="00EF41B0"/>
    <w:rsid w:val="00EF64C2"/>
    <w:rsid w:val="00EF7A2A"/>
    <w:rsid w:val="00F03742"/>
    <w:rsid w:val="00F04DE7"/>
    <w:rsid w:val="00F07C6B"/>
    <w:rsid w:val="00F10968"/>
    <w:rsid w:val="00F1352F"/>
    <w:rsid w:val="00F1388F"/>
    <w:rsid w:val="00F13AF3"/>
    <w:rsid w:val="00F13ED1"/>
    <w:rsid w:val="00F14F73"/>
    <w:rsid w:val="00F15660"/>
    <w:rsid w:val="00F15D3C"/>
    <w:rsid w:val="00F169A2"/>
    <w:rsid w:val="00F17AFB"/>
    <w:rsid w:val="00F2003D"/>
    <w:rsid w:val="00F22F41"/>
    <w:rsid w:val="00F232B3"/>
    <w:rsid w:val="00F2457D"/>
    <w:rsid w:val="00F25983"/>
    <w:rsid w:val="00F25B0C"/>
    <w:rsid w:val="00F26B3E"/>
    <w:rsid w:val="00F27071"/>
    <w:rsid w:val="00F301C6"/>
    <w:rsid w:val="00F305D1"/>
    <w:rsid w:val="00F3302E"/>
    <w:rsid w:val="00F3319C"/>
    <w:rsid w:val="00F354B4"/>
    <w:rsid w:val="00F3581D"/>
    <w:rsid w:val="00F35B96"/>
    <w:rsid w:val="00F40E2A"/>
    <w:rsid w:val="00F414E6"/>
    <w:rsid w:val="00F41E76"/>
    <w:rsid w:val="00F42D92"/>
    <w:rsid w:val="00F4702E"/>
    <w:rsid w:val="00F5002E"/>
    <w:rsid w:val="00F5119C"/>
    <w:rsid w:val="00F5139C"/>
    <w:rsid w:val="00F56232"/>
    <w:rsid w:val="00F56960"/>
    <w:rsid w:val="00F61B7E"/>
    <w:rsid w:val="00F621FB"/>
    <w:rsid w:val="00F625FD"/>
    <w:rsid w:val="00F63813"/>
    <w:rsid w:val="00F63B27"/>
    <w:rsid w:val="00F64156"/>
    <w:rsid w:val="00F6455B"/>
    <w:rsid w:val="00F675DC"/>
    <w:rsid w:val="00F67BB9"/>
    <w:rsid w:val="00F70DAF"/>
    <w:rsid w:val="00F72A8A"/>
    <w:rsid w:val="00F7406F"/>
    <w:rsid w:val="00F74097"/>
    <w:rsid w:val="00F80519"/>
    <w:rsid w:val="00F80927"/>
    <w:rsid w:val="00F81B33"/>
    <w:rsid w:val="00F82124"/>
    <w:rsid w:val="00F82933"/>
    <w:rsid w:val="00F82974"/>
    <w:rsid w:val="00F82D07"/>
    <w:rsid w:val="00F957D3"/>
    <w:rsid w:val="00F975A0"/>
    <w:rsid w:val="00FA0373"/>
    <w:rsid w:val="00FA20DC"/>
    <w:rsid w:val="00FA72A1"/>
    <w:rsid w:val="00FB71F4"/>
    <w:rsid w:val="00FC0DE9"/>
    <w:rsid w:val="00FC32A9"/>
    <w:rsid w:val="00FC7C2B"/>
    <w:rsid w:val="00FD3804"/>
    <w:rsid w:val="00FD3843"/>
    <w:rsid w:val="00FD3C96"/>
    <w:rsid w:val="00FD4482"/>
    <w:rsid w:val="00FD4F38"/>
    <w:rsid w:val="00FD6149"/>
    <w:rsid w:val="00FD6639"/>
    <w:rsid w:val="00FD78BE"/>
    <w:rsid w:val="00FE254E"/>
    <w:rsid w:val="00FE2762"/>
    <w:rsid w:val="00FE43C9"/>
    <w:rsid w:val="00FE5622"/>
    <w:rsid w:val="00FE5C98"/>
    <w:rsid w:val="00FF1628"/>
    <w:rsid w:val="00FF2611"/>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2553ED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uiPriority w:val="20"/>
    <w:qFormat/>
    <w:rsid w:val="00B507BE"/>
    <w:rPr>
      <w:i/>
      <w:iCs/>
    </w:rPr>
  </w:style>
  <w:style w:type="character" w:styleId="Strong">
    <w:name w:val="Strong"/>
    <w:basedOn w:val="DefaultParagraphFont"/>
    <w:uiPriority w:val="22"/>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ACMATableTextChar1">
    <w:name w:val="ACMA Table Text Char1"/>
    <w:basedOn w:val="DefaultParagraphFont"/>
    <w:link w:val="ACMATableText"/>
    <w:rsid w:val="00F26B3E"/>
    <w:rPr>
      <w:rFonts w:ascii="Arial" w:hAnsi="Arial"/>
      <w:lang w:eastAsia="en-US"/>
    </w:rPr>
  </w:style>
  <w:style w:type="paragraph" w:customStyle="1" w:styleId="definition">
    <w:name w:val="definition"/>
    <w:basedOn w:val="Normal"/>
    <w:rsid w:val="00F26B3E"/>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F26B3E"/>
    <w:pPr>
      <w:spacing w:before="100" w:beforeAutospacing="1" w:after="100" w:afterAutospacing="1" w:line="240" w:lineRule="auto"/>
    </w:pPr>
    <w:rPr>
      <w:rFonts w:ascii="Times New Roman" w:hAnsi="Times New Roman"/>
      <w:i w:val="0"/>
      <w:sz w:val="24"/>
      <w:lang w:eastAsia="en-AU"/>
    </w:rPr>
  </w:style>
  <w:style w:type="paragraph" w:customStyle="1" w:styleId="paragraphsub">
    <w:name w:val="paragraphsub"/>
    <w:basedOn w:val="Normal"/>
    <w:rsid w:val="00F26B3E"/>
    <w:pPr>
      <w:spacing w:before="100" w:beforeAutospacing="1" w:after="100" w:afterAutospacing="1" w:line="240" w:lineRule="auto"/>
    </w:pPr>
    <w:rPr>
      <w:rFonts w:ascii="Times New Roman" w:hAnsi="Times New Roman"/>
      <w:i w:val="0"/>
      <w:sz w:val="24"/>
      <w:lang w:eastAsia="en-AU"/>
    </w:rPr>
  </w:style>
  <w:style w:type="paragraph" w:customStyle="1" w:styleId="subsection">
    <w:name w:val="subsection"/>
    <w:basedOn w:val="Normal"/>
    <w:rsid w:val="00F26B3E"/>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F26B3E"/>
    <w:pPr>
      <w:spacing w:before="100" w:beforeAutospacing="1" w:after="100" w:afterAutospacing="1" w:line="240" w:lineRule="auto"/>
    </w:pPr>
    <w:rPr>
      <w:rFonts w:ascii="Times New Roman" w:hAnsi="Times New Roman"/>
      <w:i w:val="0"/>
      <w:sz w:val="24"/>
      <w:lang w:eastAsia="en-AU"/>
    </w:rPr>
  </w:style>
  <w:style w:type="paragraph" w:customStyle="1" w:styleId="Default">
    <w:name w:val="Default"/>
    <w:rsid w:val="00D2549F"/>
    <w:pPr>
      <w:autoSpaceDE w:val="0"/>
      <w:autoSpaceDN w:val="0"/>
      <w:adjustRightInd w:val="0"/>
    </w:pPr>
    <w:rPr>
      <w:rFonts w:ascii="Arial" w:hAnsi="Arial" w:cs="Arial"/>
      <w:color w:val="000000"/>
      <w:sz w:val="24"/>
      <w:szCs w:val="24"/>
    </w:rPr>
  </w:style>
  <w:style w:type="paragraph" w:customStyle="1" w:styleId="acthead5">
    <w:name w:val="acthead5"/>
    <w:basedOn w:val="Normal"/>
    <w:rsid w:val="00EB569B"/>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EB569B"/>
  </w:style>
  <w:style w:type="paragraph" w:customStyle="1" w:styleId="chunk">
    <w:name w:val="chunk"/>
    <w:basedOn w:val="Normal"/>
    <w:rsid w:val="009E7B47"/>
    <w:pPr>
      <w:spacing w:before="100" w:beforeAutospacing="1" w:after="100" w:afterAutospacing="1" w:line="240" w:lineRule="auto"/>
    </w:pPr>
    <w:rPr>
      <w:rFonts w:ascii="Times New Roman" w:hAnsi="Times New Roman"/>
      <w:i w:val="0"/>
      <w:sz w:val="24"/>
      <w:lang w:eastAsia="en-AU"/>
    </w:rPr>
  </w:style>
  <w:style w:type="paragraph" w:customStyle="1" w:styleId="def">
    <w:name w:val="def"/>
    <w:basedOn w:val="Normal"/>
    <w:rsid w:val="009E7B47"/>
    <w:pPr>
      <w:spacing w:before="100" w:beforeAutospacing="1" w:after="100" w:afterAutospacing="1" w:line="240" w:lineRule="auto"/>
    </w:pPr>
    <w:rPr>
      <w:rFonts w:ascii="Times New Roman" w:hAnsi="Times New Roman"/>
      <w:i w:val="0"/>
      <w:sz w:val="24"/>
      <w:lang w:eastAsia="en-AU"/>
    </w:rPr>
  </w:style>
  <w:style w:type="paragraph" w:styleId="ListParagraph">
    <w:name w:val="List Paragraph"/>
    <w:basedOn w:val="Normal"/>
    <w:uiPriority w:val="34"/>
    <w:qFormat/>
    <w:rsid w:val="005B6997"/>
    <w:pPr>
      <w:ind w:left="720"/>
      <w:contextualSpacing/>
    </w:pPr>
  </w:style>
  <w:style w:type="character" w:styleId="UnresolvedMention">
    <w:name w:val="Unresolved Mention"/>
    <w:basedOn w:val="DefaultParagraphFont"/>
    <w:uiPriority w:val="99"/>
    <w:semiHidden/>
    <w:unhideWhenUsed/>
    <w:rsid w:val="00F81B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467661">
      <w:bodyDiv w:val="1"/>
      <w:marLeft w:val="0"/>
      <w:marRight w:val="0"/>
      <w:marTop w:val="0"/>
      <w:marBottom w:val="0"/>
      <w:divBdr>
        <w:top w:val="none" w:sz="0" w:space="0" w:color="auto"/>
        <w:left w:val="none" w:sz="0" w:space="0" w:color="auto"/>
        <w:bottom w:val="none" w:sz="0" w:space="0" w:color="auto"/>
        <w:right w:val="none" w:sz="0" w:space="0" w:color="auto"/>
      </w:divBdr>
    </w:div>
    <w:div w:id="952789545">
      <w:bodyDiv w:val="1"/>
      <w:marLeft w:val="0"/>
      <w:marRight w:val="0"/>
      <w:marTop w:val="0"/>
      <w:marBottom w:val="0"/>
      <w:divBdr>
        <w:top w:val="none" w:sz="0" w:space="0" w:color="auto"/>
        <w:left w:val="none" w:sz="0" w:space="0" w:color="auto"/>
        <w:bottom w:val="none" w:sz="0" w:space="0" w:color="auto"/>
        <w:right w:val="none" w:sz="0" w:space="0" w:color="auto"/>
      </w:divBdr>
      <w:divsChild>
        <w:div w:id="1433279578">
          <w:marLeft w:val="0"/>
          <w:marRight w:val="0"/>
          <w:marTop w:val="0"/>
          <w:marBottom w:val="0"/>
          <w:divBdr>
            <w:top w:val="none" w:sz="0" w:space="0" w:color="auto"/>
            <w:left w:val="none" w:sz="0" w:space="0" w:color="auto"/>
            <w:bottom w:val="none" w:sz="0" w:space="0" w:color="auto"/>
            <w:right w:val="none" w:sz="0" w:space="0" w:color="auto"/>
          </w:divBdr>
          <w:divsChild>
            <w:div w:id="1822692005">
              <w:marLeft w:val="0"/>
              <w:marRight w:val="0"/>
              <w:marTop w:val="0"/>
              <w:marBottom w:val="0"/>
              <w:divBdr>
                <w:top w:val="none" w:sz="0" w:space="0" w:color="auto"/>
                <w:left w:val="none" w:sz="0" w:space="0" w:color="auto"/>
                <w:bottom w:val="none" w:sz="0" w:space="0" w:color="auto"/>
                <w:right w:val="none" w:sz="0" w:space="0" w:color="auto"/>
              </w:divBdr>
              <w:divsChild>
                <w:div w:id="556866535">
                  <w:marLeft w:val="0"/>
                  <w:marRight w:val="0"/>
                  <w:marTop w:val="0"/>
                  <w:marBottom w:val="0"/>
                  <w:divBdr>
                    <w:top w:val="none" w:sz="0" w:space="0" w:color="auto"/>
                    <w:left w:val="none" w:sz="0" w:space="0" w:color="auto"/>
                    <w:bottom w:val="none" w:sz="0" w:space="0" w:color="auto"/>
                    <w:right w:val="none" w:sz="0" w:space="0" w:color="auto"/>
                  </w:divBdr>
                  <w:divsChild>
                    <w:div w:id="1609043182">
                      <w:marLeft w:val="0"/>
                      <w:marRight w:val="0"/>
                      <w:marTop w:val="0"/>
                      <w:marBottom w:val="0"/>
                      <w:divBdr>
                        <w:top w:val="none" w:sz="0" w:space="0" w:color="auto"/>
                        <w:left w:val="none" w:sz="0" w:space="0" w:color="auto"/>
                        <w:bottom w:val="none" w:sz="0" w:space="0" w:color="auto"/>
                        <w:right w:val="none" w:sz="0" w:space="0" w:color="auto"/>
                      </w:divBdr>
                      <w:divsChild>
                        <w:div w:id="49691301">
                          <w:marLeft w:val="0"/>
                          <w:marRight w:val="0"/>
                          <w:marTop w:val="0"/>
                          <w:marBottom w:val="0"/>
                          <w:divBdr>
                            <w:top w:val="none" w:sz="0" w:space="0" w:color="auto"/>
                            <w:left w:val="none" w:sz="0" w:space="0" w:color="auto"/>
                            <w:bottom w:val="none" w:sz="0" w:space="0" w:color="auto"/>
                            <w:right w:val="none" w:sz="0" w:space="0" w:color="auto"/>
                          </w:divBdr>
                          <w:divsChild>
                            <w:div w:id="1985042868">
                              <w:marLeft w:val="0"/>
                              <w:marRight w:val="0"/>
                              <w:marTop w:val="0"/>
                              <w:marBottom w:val="0"/>
                              <w:divBdr>
                                <w:top w:val="none" w:sz="0" w:space="0" w:color="auto"/>
                                <w:left w:val="none" w:sz="0" w:space="0" w:color="auto"/>
                                <w:bottom w:val="none" w:sz="0" w:space="0" w:color="auto"/>
                                <w:right w:val="none" w:sz="0" w:space="0" w:color="auto"/>
                              </w:divBdr>
                              <w:divsChild>
                                <w:div w:id="414059694">
                                  <w:marLeft w:val="0"/>
                                  <w:marRight w:val="0"/>
                                  <w:marTop w:val="0"/>
                                  <w:marBottom w:val="0"/>
                                  <w:divBdr>
                                    <w:top w:val="none" w:sz="0" w:space="0" w:color="auto"/>
                                    <w:left w:val="none" w:sz="0" w:space="0" w:color="auto"/>
                                    <w:bottom w:val="none" w:sz="0" w:space="0" w:color="auto"/>
                                    <w:right w:val="none" w:sz="0" w:space="0" w:color="auto"/>
                                  </w:divBdr>
                                  <w:divsChild>
                                    <w:div w:id="492717068">
                                      <w:marLeft w:val="0"/>
                                      <w:marRight w:val="0"/>
                                      <w:marTop w:val="0"/>
                                      <w:marBottom w:val="0"/>
                                      <w:divBdr>
                                        <w:top w:val="none" w:sz="0" w:space="0" w:color="auto"/>
                                        <w:left w:val="none" w:sz="0" w:space="0" w:color="auto"/>
                                        <w:bottom w:val="none" w:sz="0" w:space="0" w:color="auto"/>
                                        <w:right w:val="none" w:sz="0" w:space="0" w:color="auto"/>
                                      </w:divBdr>
                                      <w:divsChild>
                                        <w:div w:id="2107800342">
                                          <w:marLeft w:val="0"/>
                                          <w:marRight w:val="0"/>
                                          <w:marTop w:val="0"/>
                                          <w:marBottom w:val="0"/>
                                          <w:divBdr>
                                            <w:top w:val="none" w:sz="0" w:space="0" w:color="auto"/>
                                            <w:left w:val="none" w:sz="0" w:space="0" w:color="auto"/>
                                            <w:bottom w:val="none" w:sz="0" w:space="0" w:color="auto"/>
                                            <w:right w:val="none" w:sz="0" w:space="0" w:color="auto"/>
                                          </w:divBdr>
                                          <w:divsChild>
                                            <w:div w:id="1218391730">
                                              <w:marLeft w:val="0"/>
                                              <w:marRight w:val="0"/>
                                              <w:marTop w:val="0"/>
                                              <w:marBottom w:val="0"/>
                                              <w:divBdr>
                                                <w:top w:val="none" w:sz="0" w:space="0" w:color="auto"/>
                                                <w:left w:val="none" w:sz="0" w:space="0" w:color="auto"/>
                                                <w:bottom w:val="none" w:sz="0" w:space="0" w:color="auto"/>
                                                <w:right w:val="none" w:sz="0" w:space="0" w:color="auto"/>
                                              </w:divBdr>
                                              <w:divsChild>
                                                <w:div w:id="1394960837">
                                                  <w:marLeft w:val="0"/>
                                                  <w:marRight w:val="0"/>
                                                  <w:marTop w:val="0"/>
                                                  <w:marBottom w:val="0"/>
                                                  <w:divBdr>
                                                    <w:top w:val="none" w:sz="0" w:space="0" w:color="auto"/>
                                                    <w:left w:val="none" w:sz="0" w:space="0" w:color="auto"/>
                                                    <w:bottom w:val="none" w:sz="0" w:space="0" w:color="auto"/>
                                                    <w:right w:val="none" w:sz="0" w:space="0" w:color="auto"/>
                                                  </w:divBdr>
                                                  <w:divsChild>
                                                    <w:div w:id="1297299545">
                                                      <w:marLeft w:val="0"/>
                                                      <w:marRight w:val="0"/>
                                                      <w:marTop w:val="0"/>
                                                      <w:marBottom w:val="0"/>
                                                      <w:divBdr>
                                                        <w:top w:val="none" w:sz="0" w:space="0" w:color="auto"/>
                                                        <w:left w:val="none" w:sz="0" w:space="0" w:color="auto"/>
                                                        <w:bottom w:val="none" w:sz="0" w:space="0" w:color="auto"/>
                                                        <w:right w:val="none" w:sz="0" w:space="0" w:color="auto"/>
                                                      </w:divBdr>
                                                      <w:divsChild>
                                                        <w:div w:id="184100025">
                                                          <w:marLeft w:val="0"/>
                                                          <w:marRight w:val="0"/>
                                                          <w:marTop w:val="0"/>
                                                          <w:marBottom w:val="0"/>
                                                          <w:divBdr>
                                                            <w:top w:val="none" w:sz="0" w:space="0" w:color="auto"/>
                                                            <w:left w:val="none" w:sz="0" w:space="0" w:color="auto"/>
                                                            <w:bottom w:val="none" w:sz="0" w:space="0" w:color="auto"/>
                                                            <w:right w:val="none" w:sz="0" w:space="0" w:color="auto"/>
                                                          </w:divBdr>
                                                          <w:divsChild>
                                                            <w:div w:id="2023316680">
                                                              <w:marLeft w:val="0"/>
                                                              <w:marRight w:val="0"/>
                                                              <w:marTop w:val="0"/>
                                                              <w:marBottom w:val="0"/>
                                                              <w:divBdr>
                                                                <w:top w:val="none" w:sz="0" w:space="0" w:color="auto"/>
                                                                <w:left w:val="none" w:sz="0" w:space="0" w:color="auto"/>
                                                                <w:bottom w:val="none" w:sz="0" w:space="0" w:color="auto"/>
                                                                <w:right w:val="none" w:sz="0" w:space="0" w:color="auto"/>
                                                              </w:divBdr>
                                                              <w:divsChild>
                                                                <w:div w:id="2142652284">
                                                                  <w:marLeft w:val="0"/>
                                                                  <w:marRight w:val="0"/>
                                                                  <w:marTop w:val="0"/>
                                                                  <w:marBottom w:val="0"/>
                                                                  <w:divBdr>
                                                                    <w:top w:val="none" w:sz="0" w:space="0" w:color="auto"/>
                                                                    <w:left w:val="none" w:sz="0" w:space="0" w:color="auto"/>
                                                                    <w:bottom w:val="none" w:sz="0" w:space="0" w:color="auto"/>
                                                                    <w:right w:val="none" w:sz="0" w:space="0" w:color="auto"/>
                                                                  </w:divBdr>
                                                                  <w:divsChild>
                                                                    <w:div w:id="641925290">
                                                                      <w:marLeft w:val="0"/>
                                                                      <w:marRight w:val="0"/>
                                                                      <w:marTop w:val="0"/>
                                                                      <w:marBottom w:val="0"/>
                                                                      <w:divBdr>
                                                                        <w:top w:val="none" w:sz="0" w:space="0" w:color="auto"/>
                                                                        <w:left w:val="none" w:sz="0" w:space="0" w:color="auto"/>
                                                                        <w:bottom w:val="none" w:sz="0" w:space="0" w:color="auto"/>
                                                                        <w:right w:val="none" w:sz="0" w:space="0" w:color="auto"/>
                                                                      </w:divBdr>
                                                                      <w:divsChild>
                                                                        <w:div w:id="1412195072">
                                                                          <w:marLeft w:val="0"/>
                                                                          <w:marRight w:val="0"/>
                                                                          <w:marTop w:val="0"/>
                                                                          <w:marBottom w:val="0"/>
                                                                          <w:divBdr>
                                                                            <w:top w:val="none" w:sz="0" w:space="0" w:color="auto"/>
                                                                            <w:left w:val="none" w:sz="0" w:space="0" w:color="auto"/>
                                                                            <w:bottom w:val="none" w:sz="0" w:space="0" w:color="auto"/>
                                                                            <w:right w:val="none" w:sz="0" w:space="0" w:color="auto"/>
                                                                          </w:divBdr>
                                                                          <w:divsChild>
                                                                            <w:div w:id="853685551">
                                                                              <w:marLeft w:val="0"/>
                                                                              <w:marRight w:val="0"/>
                                                                              <w:marTop w:val="0"/>
                                                                              <w:marBottom w:val="0"/>
                                                                              <w:divBdr>
                                                                                <w:top w:val="none" w:sz="0" w:space="0" w:color="auto"/>
                                                                                <w:left w:val="none" w:sz="0" w:space="0" w:color="auto"/>
                                                                                <w:bottom w:val="none" w:sz="0" w:space="0" w:color="auto"/>
                                                                                <w:right w:val="none" w:sz="0" w:space="0" w:color="auto"/>
                                                                              </w:divBdr>
                                                                              <w:divsChild>
                                                                                <w:div w:id="1192913215">
                                                                                  <w:marLeft w:val="0"/>
                                                                                  <w:marRight w:val="0"/>
                                                                                  <w:marTop w:val="0"/>
                                                                                  <w:marBottom w:val="0"/>
                                                                                  <w:divBdr>
                                                                                    <w:top w:val="none" w:sz="0" w:space="0" w:color="auto"/>
                                                                                    <w:left w:val="none" w:sz="0" w:space="0" w:color="auto"/>
                                                                                    <w:bottom w:val="none" w:sz="0" w:space="0" w:color="auto"/>
                                                                                    <w:right w:val="none" w:sz="0" w:space="0" w:color="auto"/>
                                                                                  </w:divBdr>
                                                                                  <w:divsChild>
                                                                                    <w:div w:id="9651520">
                                                                                      <w:marLeft w:val="0"/>
                                                                                      <w:marRight w:val="0"/>
                                                                                      <w:marTop w:val="0"/>
                                                                                      <w:marBottom w:val="0"/>
                                                                                      <w:divBdr>
                                                                                        <w:top w:val="none" w:sz="0" w:space="0" w:color="auto"/>
                                                                                        <w:left w:val="none" w:sz="0" w:space="0" w:color="auto"/>
                                                                                        <w:bottom w:val="none" w:sz="0" w:space="0" w:color="auto"/>
                                                                                        <w:right w:val="none" w:sz="0" w:space="0" w:color="auto"/>
                                                                                      </w:divBdr>
                                                                                      <w:divsChild>
                                                                                        <w:div w:id="993484516">
                                                                                          <w:marLeft w:val="0"/>
                                                                                          <w:marRight w:val="0"/>
                                                                                          <w:marTop w:val="0"/>
                                                                                          <w:marBottom w:val="0"/>
                                                                                          <w:divBdr>
                                                                                            <w:top w:val="none" w:sz="0" w:space="0" w:color="auto"/>
                                                                                            <w:left w:val="none" w:sz="0" w:space="0" w:color="auto"/>
                                                                                            <w:bottom w:val="none" w:sz="0" w:space="0" w:color="auto"/>
                                                                                            <w:right w:val="none" w:sz="0" w:space="0" w:color="auto"/>
                                                                                          </w:divBdr>
                                                                                          <w:divsChild>
                                                                                            <w:div w:id="1565287613">
                                                                                              <w:marLeft w:val="0"/>
                                                                                              <w:marRight w:val="0"/>
                                                                                              <w:marTop w:val="0"/>
                                                                                              <w:marBottom w:val="0"/>
                                                                                              <w:divBdr>
                                                                                                <w:top w:val="none" w:sz="0" w:space="0" w:color="auto"/>
                                                                                                <w:left w:val="none" w:sz="0" w:space="0" w:color="auto"/>
                                                                                                <w:bottom w:val="none" w:sz="0" w:space="0" w:color="auto"/>
                                                                                                <w:right w:val="none" w:sz="0" w:space="0" w:color="auto"/>
                                                                                              </w:divBdr>
                                                                                              <w:divsChild>
                                                                                                <w:div w:id="798383083">
                                                                                                  <w:marLeft w:val="0"/>
                                                                                                  <w:marRight w:val="0"/>
                                                                                                  <w:marTop w:val="0"/>
                                                                                                  <w:marBottom w:val="0"/>
                                                                                                  <w:divBdr>
                                                                                                    <w:top w:val="none" w:sz="0" w:space="0" w:color="auto"/>
                                                                                                    <w:left w:val="none" w:sz="0" w:space="0" w:color="auto"/>
                                                                                                    <w:bottom w:val="none" w:sz="0" w:space="0" w:color="auto"/>
                                                                                                    <w:right w:val="none" w:sz="0" w:space="0" w:color="auto"/>
                                                                                                  </w:divBdr>
                                                                                                  <w:divsChild>
                                                                                                    <w:div w:id="294875188">
                                                                                                      <w:marLeft w:val="0"/>
                                                                                                      <w:marRight w:val="0"/>
                                                                                                      <w:marTop w:val="0"/>
                                                                                                      <w:marBottom w:val="0"/>
                                                                                                      <w:divBdr>
                                                                                                        <w:top w:val="none" w:sz="0" w:space="0" w:color="auto"/>
                                                                                                        <w:left w:val="none" w:sz="0" w:space="0" w:color="auto"/>
                                                                                                        <w:bottom w:val="none" w:sz="0" w:space="0" w:color="auto"/>
                                                                                                        <w:right w:val="none" w:sz="0" w:space="0" w:color="auto"/>
                                                                                                      </w:divBdr>
                                                                                                      <w:divsChild>
                                                                                                        <w:div w:id="1865433693">
                                                                                                          <w:marLeft w:val="0"/>
                                                                                                          <w:marRight w:val="0"/>
                                                                                                          <w:marTop w:val="0"/>
                                                                                                          <w:marBottom w:val="0"/>
                                                                                                          <w:divBdr>
                                                                                                            <w:top w:val="none" w:sz="0" w:space="0" w:color="auto"/>
                                                                                                            <w:left w:val="none" w:sz="0" w:space="0" w:color="auto"/>
                                                                                                            <w:bottom w:val="none" w:sz="0" w:space="0" w:color="auto"/>
                                                                                                            <w:right w:val="none" w:sz="0" w:space="0" w:color="auto"/>
                                                                                                          </w:divBdr>
                                                                                                          <w:divsChild>
                                                                                                            <w:div w:id="1767339623">
                                                                                                              <w:marLeft w:val="0"/>
                                                                                                              <w:marRight w:val="0"/>
                                                                                                              <w:marTop w:val="0"/>
                                                                                                              <w:marBottom w:val="0"/>
                                                                                                              <w:divBdr>
                                                                                                                <w:top w:val="none" w:sz="0" w:space="0" w:color="auto"/>
                                                                                                                <w:left w:val="none" w:sz="0" w:space="0" w:color="auto"/>
                                                                                                                <w:bottom w:val="none" w:sz="0" w:space="0" w:color="auto"/>
                                                                                                                <w:right w:val="none" w:sz="0" w:space="0" w:color="auto"/>
                                                                                                              </w:divBdr>
                                                                                                              <w:divsChild>
                                                                                                                <w:div w:id="916210855">
                                                                                                                  <w:marLeft w:val="0"/>
                                                                                                                  <w:marRight w:val="0"/>
                                                                                                                  <w:marTop w:val="0"/>
                                                                                                                  <w:marBottom w:val="0"/>
                                                                                                                  <w:divBdr>
                                                                                                                    <w:top w:val="none" w:sz="0" w:space="0" w:color="auto"/>
                                                                                                                    <w:left w:val="none" w:sz="0" w:space="0" w:color="auto"/>
                                                                                                                    <w:bottom w:val="none" w:sz="0" w:space="0" w:color="auto"/>
                                                                                                                    <w:right w:val="none" w:sz="0" w:space="0" w:color="auto"/>
                                                                                                                  </w:divBdr>
                                                                                                                  <w:divsChild>
                                                                                                                    <w:div w:id="1953708193">
                                                                                                                      <w:marLeft w:val="0"/>
                                                                                                                      <w:marRight w:val="0"/>
                                                                                                                      <w:marTop w:val="0"/>
                                                                                                                      <w:marBottom w:val="0"/>
                                                                                                                      <w:divBdr>
                                                                                                                        <w:top w:val="none" w:sz="0" w:space="0" w:color="auto"/>
                                                                                                                        <w:left w:val="none" w:sz="0" w:space="0" w:color="auto"/>
                                                                                                                        <w:bottom w:val="none" w:sz="0" w:space="0" w:color="auto"/>
                                                                                                                        <w:right w:val="none" w:sz="0" w:space="0" w:color="auto"/>
                                                                                                                      </w:divBdr>
                                                                                                                      <w:divsChild>
                                                                                                                        <w:div w:id="190344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42633436">
      <w:bodyDiv w:val="1"/>
      <w:marLeft w:val="0"/>
      <w:marRight w:val="0"/>
      <w:marTop w:val="0"/>
      <w:marBottom w:val="0"/>
      <w:divBdr>
        <w:top w:val="none" w:sz="0" w:space="0" w:color="auto"/>
        <w:left w:val="none" w:sz="0" w:space="0" w:color="auto"/>
        <w:bottom w:val="none" w:sz="0" w:space="0" w:color="auto"/>
        <w:right w:val="none" w:sz="0" w:space="0" w:color="auto"/>
      </w:divBdr>
    </w:div>
    <w:div w:id="1320966636">
      <w:bodyDiv w:val="1"/>
      <w:marLeft w:val="0"/>
      <w:marRight w:val="0"/>
      <w:marTop w:val="0"/>
      <w:marBottom w:val="0"/>
      <w:divBdr>
        <w:top w:val="none" w:sz="0" w:space="0" w:color="auto"/>
        <w:left w:val="none" w:sz="0" w:space="0" w:color="auto"/>
        <w:bottom w:val="none" w:sz="0" w:space="0" w:color="auto"/>
        <w:right w:val="none" w:sz="0" w:space="0" w:color="auto"/>
      </w:divBdr>
    </w:div>
    <w:div w:id="1333948758">
      <w:bodyDiv w:val="1"/>
      <w:marLeft w:val="0"/>
      <w:marRight w:val="0"/>
      <w:marTop w:val="0"/>
      <w:marBottom w:val="0"/>
      <w:divBdr>
        <w:top w:val="none" w:sz="0" w:space="0" w:color="auto"/>
        <w:left w:val="none" w:sz="0" w:space="0" w:color="auto"/>
        <w:bottom w:val="none" w:sz="0" w:space="0" w:color="auto"/>
        <w:right w:val="none" w:sz="0" w:space="0" w:color="auto"/>
      </w:divBdr>
    </w:div>
    <w:div w:id="1441754760">
      <w:bodyDiv w:val="1"/>
      <w:marLeft w:val="0"/>
      <w:marRight w:val="0"/>
      <w:marTop w:val="0"/>
      <w:marBottom w:val="0"/>
      <w:divBdr>
        <w:top w:val="none" w:sz="0" w:space="0" w:color="auto"/>
        <w:left w:val="none" w:sz="0" w:space="0" w:color="auto"/>
        <w:bottom w:val="none" w:sz="0" w:space="0" w:color="auto"/>
        <w:right w:val="none" w:sz="0" w:space="0" w:color="auto"/>
      </w:divBdr>
    </w:div>
    <w:div w:id="1724678020">
      <w:bodyDiv w:val="1"/>
      <w:marLeft w:val="0"/>
      <w:marRight w:val="0"/>
      <w:marTop w:val="0"/>
      <w:marBottom w:val="0"/>
      <w:divBdr>
        <w:top w:val="none" w:sz="0" w:space="0" w:color="auto"/>
        <w:left w:val="none" w:sz="0" w:space="0" w:color="auto"/>
        <w:bottom w:val="none" w:sz="0" w:space="0" w:color="auto"/>
        <w:right w:val="none" w:sz="0" w:space="0" w:color="auto"/>
      </w:divBdr>
    </w:div>
    <w:div w:id="20344512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lassic.austlii.edu.au/au/legis/cth/consol_act/cea1918233/s4.html"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classic.austlii.edu.au/au/legis/cth/consol_act/cea1918233/s302f.html" TargetMode="External"/><Relationship Id="rId4" Type="http://schemas.openxmlformats.org/officeDocument/2006/relationships/settings" Target="settings.xml"/><Relationship Id="rId9" Type="http://schemas.openxmlformats.org/officeDocument/2006/relationships/hyperlink" Target="http://classic.austlii.edu.au/au/legis/cth/consol_act/cea1918233/s4.html" TargetMode="Externa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www.aec.gov.au/About_AEC/Publications/Backgrounders/authorisation.htm" TargetMode="External"/><Relationship Id="rId2" Type="http://schemas.openxmlformats.org/officeDocument/2006/relationships/hyperlink" Target="https://www.macquariedictionary.com.au/features/word/search/?search_word_type=Dictionary&amp;word=announce" TargetMode="External"/><Relationship Id="rId1" Type="http://schemas.openxmlformats.org/officeDocument/2006/relationships/hyperlink" Target="https://transparency.aec.gov.au/AnnualPoliticalParty"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88CE79-3935-4750-8E80-F733A452AC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4003</Words>
  <Characters>22821</Characters>
  <Application>Microsoft Office Word</Application>
  <DocSecurity>8</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26771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2021-06-29T22:31:00Z</dcterms:created>
  <dcterms:modified xsi:type="dcterms:W3CDTF">2021-06-30T06:49:00Z</dcterms:modified>
  <cp:category/>
</cp:coreProperties>
</file>