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AAF67D" w14:textId="79225F20" w:rsidR="00F06E14" w:rsidRPr="00A51D1A" w:rsidRDefault="00C67EB7" w:rsidP="00A51D1A">
      <w:pPr>
        <w:pStyle w:val="Reporttitle"/>
      </w:pPr>
      <w:r>
        <w:t>Proposed update to the Australian Radiofrequency Spectrum Plan</w:t>
      </w:r>
    </w:p>
    <w:p w14:paraId="0BBF145F" w14:textId="730ABBC1" w:rsidR="00F06E14" w:rsidRDefault="00C67EB7" w:rsidP="00F06E14">
      <w:pPr>
        <w:pStyle w:val="Reportsubtitle"/>
      </w:pPr>
      <w:r w:rsidRPr="00C67EB7">
        <w:t>Summary and response to submissions</w:t>
      </w:r>
    </w:p>
    <w:p w14:paraId="3C7D36D6" w14:textId="268AB31B" w:rsidR="00C97736" w:rsidRPr="000D76E0" w:rsidRDefault="00D3430F"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MAY </w:t>
      </w:r>
      <w:r w:rsidR="00BD4421">
        <w:t>20</w:t>
      </w:r>
      <w:r w:rsidR="008E0428">
        <w:t>2</w:t>
      </w:r>
      <w:r w:rsidR="00C67EB7">
        <w:t>1</w:t>
      </w:r>
    </w:p>
    <w:p w14:paraId="2AAD7DAB" w14:textId="77777777" w:rsidR="0005011A" w:rsidRPr="00F44F3A" w:rsidRDefault="0005011A" w:rsidP="00FC07B9">
      <w:pPr>
        <w:pStyle w:val="ACMACorporateAddressHeader"/>
      </w:pPr>
      <w:r w:rsidRPr="00F44F3A">
        <w:lastRenderedPageBreak/>
        <w:t>Canberra</w:t>
      </w:r>
    </w:p>
    <w:p w14:paraId="5CBADF5D"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0817CF40" w14:textId="77777777" w:rsidR="0005011A" w:rsidRPr="00FC07B9" w:rsidRDefault="0005011A" w:rsidP="00FC07B9">
      <w:pPr>
        <w:pStyle w:val="ACMACorporateAddresses"/>
      </w:pPr>
      <w:r w:rsidRPr="00FC07B9">
        <w:t>PO Box 78</w:t>
      </w:r>
      <w:r w:rsidRPr="00FC07B9">
        <w:br/>
        <w:t>Belconnen ACT 2616</w:t>
      </w:r>
    </w:p>
    <w:p w14:paraId="14768346"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196D0AD" w14:textId="77777777" w:rsidR="0005011A" w:rsidRPr="00F44F3A" w:rsidRDefault="0005011A" w:rsidP="00FC07B9">
      <w:pPr>
        <w:pStyle w:val="ACMACorporateAddressHeader"/>
      </w:pPr>
      <w:r w:rsidRPr="00F44F3A">
        <w:t>Melbourne</w:t>
      </w:r>
    </w:p>
    <w:p w14:paraId="31D031D3"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B142F3E"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0650ADA"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6F5E4946" w14:textId="77777777" w:rsidR="0005011A" w:rsidRPr="00F44F3A" w:rsidRDefault="0005011A" w:rsidP="00FC07B9">
      <w:pPr>
        <w:pStyle w:val="ACMACorporateAddressHeader"/>
      </w:pPr>
      <w:r w:rsidRPr="00F44F3A">
        <w:t>Sydney</w:t>
      </w:r>
    </w:p>
    <w:p w14:paraId="0F2DFAD8"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71FCE00C"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D2C1350"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EEDADB7" w14:textId="77777777" w:rsidR="00140318" w:rsidRPr="006D46E5" w:rsidRDefault="00140318" w:rsidP="00FC07B9">
      <w:pPr>
        <w:pStyle w:val="ACMACopyrightHeader"/>
      </w:pPr>
      <w:r w:rsidRPr="00140318">
        <w:t>Copyright notice</w:t>
      </w:r>
    </w:p>
    <w:p w14:paraId="2F2E3487" w14:textId="77777777" w:rsidR="00140318" w:rsidRPr="006D46E5" w:rsidRDefault="00623FF9" w:rsidP="00623FF9">
      <w:pPr>
        <w:pStyle w:val="ACMACClogo"/>
      </w:pPr>
      <w:r w:rsidRPr="00623FF9">
        <w:rPr>
          <w:noProof/>
        </w:rPr>
        <w:drawing>
          <wp:inline distT="0" distB="0" distL="0" distR="0" wp14:anchorId="4BC8AC8C" wp14:editId="6C904CA6">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1AA1DA04" w14:textId="77777777" w:rsidR="00AA2DE5" w:rsidRDefault="00FF240F" w:rsidP="00AA2DE5">
      <w:pPr>
        <w:pStyle w:val="ACMACorporateAddresses"/>
        <w:rPr>
          <w:rStyle w:val="Hyperlink"/>
        </w:rPr>
      </w:pPr>
      <w:hyperlink r:id="rId13" w:history="1">
        <w:r w:rsidR="00AA2DE5">
          <w:rPr>
            <w:rStyle w:val="Hyperlink"/>
          </w:rPr>
          <w:t>https://creativecommons.org/licenses/by/4.0/</w:t>
        </w:r>
      </w:hyperlink>
    </w:p>
    <w:p w14:paraId="4E357D0E"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50B655D" w14:textId="3846CB20" w:rsidR="00AA2DE5" w:rsidRDefault="00AA2DE5" w:rsidP="00AA2DE5">
      <w:pPr>
        <w:pStyle w:val="ACMACorporateAddresses"/>
      </w:pPr>
      <w:r>
        <w:t>We request attribution as © Commonwealth of Australia (Australian Communications and Media Authority) 20</w:t>
      </w:r>
      <w:r w:rsidR="00C41F21">
        <w:t>2</w:t>
      </w:r>
      <w:r w:rsidR="00C67EB7">
        <w:t>1</w:t>
      </w:r>
      <w:r>
        <w:t>.</w:t>
      </w:r>
    </w:p>
    <w:p w14:paraId="513C9479" w14:textId="77777777" w:rsidR="00AA2DE5" w:rsidRDefault="00AA2DE5" w:rsidP="00AA2DE5">
      <w:pPr>
        <w:pStyle w:val="ACMACorporateAddresses"/>
      </w:pPr>
      <w:r>
        <w:t>All other rights are reserved.</w:t>
      </w:r>
    </w:p>
    <w:p w14:paraId="1C18D12F"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F1DA8C6" w14:textId="77777777" w:rsidR="00AA2DE5" w:rsidRDefault="00AA2DE5" w:rsidP="00AA2DE5">
      <w:pPr>
        <w:pStyle w:val="ACMACorporateAddresses"/>
      </w:pPr>
      <w:r>
        <w:t>Written enquiries may be sent to:</w:t>
      </w:r>
    </w:p>
    <w:p w14:paraId="2FE0B6AE"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5ACD09B3" w14:textId="77777777" w:rsidR="00D16FE3" w:rsidRDefault="00D16FE3" w:rsidP="00D16FE3">
      <w:pPr>
        <w:pStyle w:val="ACMACorporateAddresses"/>
        <w:rPr>
          <w:rStyle w:val="Hyperlink"/>
        </w:rPr>
      </w:pPr>
    </w:p>
    <w:p w14:paraId="06FA05BA"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9260BFB" w14:textId="6604E7B7" w:rsidR="00B061A5"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B061A5">
        <w:t>Introduction</w:t>
      </w:r>
      <w:r w:rsidR="00B061A5">
        <w:tab/>
      </w:r>
      <w:r w:rsidR="00B061A5">
        <w:fldChar w:fldCharType="begin"/>
      </w:r>
      <w:r w:rsidR="00B061A5">
        <w:instrText xml:space="preserve"> PAGEREF _Toc72415553 \h </w:instrText>
      </w:r>
      <w:r w:rsidR="00B061A5">
        <w:fldChar w:fldCharType="separate"/>
      </w:r>
      <w:r w:rsidR="00B061A5">
        <w:t>1</w:t>
      </w:r>
      <w:r w:rsidR="00B061A5">
        <w:fldChar w:fldCharType="end"/>
      </w:r>
    </w:p>
    <w:p w14:paraId="33A6677D" w14:textId="6D93CDDC" w:rsidR="00B061A5" w:rsidRDefault="00B061A5">
      <w:pPr>
        <w:pStyle w:val="TOC2"/>
        <w:rPr>
          <w:rFonts w:asciiTheme="minorHAnsi" w:eastAsiaTheme="minorEastAsia" w:hAnsiTheme="minorHAnsi" w:cstheme="minorBidi"/>
          <w:spacing w:val="0"/>
          <w:sz w:val="22"/>
          <w:szCs w:val="22"/>
        </w:rPr>
      </w:pPr>
      <w:r>
        <w:t>International obligations—WRC-19 Final Acts</w:t>
      </w:r>
      <w:r>
        <w:tab/>
      </w:r>
      <w:r>
        <w:fldChar w:fldCharType="begin"/>
      </w:r>
      <w:r>
        <w:instrText xml:space="preserve"> PAGEREF _Toc72415554 \h </w:instrText>
      </w:r>
      <w:r>
        <w:fldChar w:fldCharType="separate"/>
      </w:r>
      <w:r>
        <w:t>1</w:t>
      </w:r>
      <w:r>
        <w:fldChar w:fldCharType="end"/>
      </w:r>
    </w:p>
    <w:p w14:paraId="11DCEEF2" w14:textId="47423DA7" w:rsidR="00B061A5" w:rsidRDefault="00B061A5">
      <w:pPr>
        <w:pStyle w:val="TOC1"/>
        <w:rPr>
          <w:rFonts w:asciiTheme="minorHAnsi" w:eastAsiaTheme="minorEastAsia" w:hAnsiTheme="minorHAnsi" w:cstheme="minorBidi"/>
          <w:b w:val="0"/>
          <w:spacing w:val="0"/>
          <w:sz w:val="22"/>
          <w:szCs w:val="22"/>
        </w:rPr>
      </w:pPr>
      <w:r>
        <w:t>Submissions received and proposed updates</w:t>
      </w:r>
      <w:r>
        <w:tab/>
      </w:r>
      <w:r>
        <w:fldChar w:fldCharType="begin"/>
      </w:r>
      <w:r>
        <w:instrText xml:space="preserve"> PAGEREF _Toc72415555 \h </w:instrText>
      </w:r>
      <w:r>
        <w:fldChar w:fldCharType="separate"/>
      </w:r>
      <w:r>
        <w:t>3</w:t>
      </w:r>
      <w:r>
        <w:fldChar w:fldCharType="end"/>
      </w:r>
    </w:p>
    <w:p w14:paraId="63C766CB" w14:textId="46E63387" w:rsidR="00B061A5" w:rsidRDefault="00B061A5">
      <w:pPr>
        <w:pStyle w:val="TOC2"/>
        <w:rPr>
          <w:rFonts w:asciiTheme="minorHAnsi" w:eastAsiaTheme="minorEastAsia" w:hAnsiTheme="minorHAnsi" w:cstheme="minorBidi"/>
          <w:spacing w:val="0"/>
          <w:sz w:val="22"/>
          <w:szCs w:val="22"/>
        </w:rPr>
      </w:pPr>
      <w:r>
        <w:t>Chapter 1—General information</w:t>
      </w:r>
      <w:r>
        <w:tab/>
      </w:r>
      <w:r>
        <w:fldChar w:fldCharType="begin"/>
      </w:r>
      <w:r>
        <w:instrText xml:space="preserve"> PAGEREF _Toc72415556 \h </w:instrText>
      </w:r>
      <w:r>
        <w:fldChar w:fldCharType="separate"/>
      </w:r>
      <w:r>
        <w:t>3</w:t>
      </w:r>
      <w:r>
        <w:fldChar w:fldCharType="end"/>
      </w:r>
    </w:p>
    <w:p w14:paraId="73BF7261" w14:textId="237D7C24" w:rsidR="00B061A5" w:rsidRDefault="00B061A5">
      <w:pPr>
        <w:pStyle w:val="TOC2"/>
        <w:rPr>
          <w:rFonts w:asciiTheme="minorHAnsi" w:eastAsiaTheme="minorEastAsia" w:hAnsiTheme="minorHAnsi" w:cstheme="minorBidi"/>
          <w:spacing w:val="0"/>
          <w:sz w:val="22"/>
          <w:szCs w:val="22"/>
        </w:rPr>
      </w:pPr>
      <w:r>
        <w:t>Chapter 2—Australian Radiofrequency Spectrum Plan</w:t>
      </w:r>
      <w:r>
        <w:tab/>
      </w:r>
      <w:r>
        <w:fldChar w:fldCharType="begin"/>
      </w:r>
      <w:r>
        <w:instrText xml:space="preserve"> PAGEREF _Toc72415557 \h </w:instrText>
      </w:r>
      <w:r>
        <w:fldChar w:fldCharType="separate"/>
      </w:r>
      <w:r>
        <w:t>4</w:t>
      </w:r>
      <w:r>
        <w:fldChar w:fldCharType="end"/>
      </w:r>
    </w:p>
    <w:p w14:paraId="1293DE04" w14:textId="4388A566" w:rsidR="00B061A5" w:rsidRDefault="00B061A5">
      <w:pPr>
        <w:pStyle w:val="TOC2"/>
        <w:rPr>
          <w:rFonts w:asciiTheme="minorHAnsi" w:eastAsiaTheme="minorEastAsia" w:hAnsiTheme="minorHAnsi" w:cstheme="minorBidi"/>
          <w:spacing w:val="0"/>
          <w:sz w:val="22"/>
          <w:szCs w:val="22"/>
        </w:rPr>
      </w:pPr>
      <w:r w:rsidRPr="00795246">
        <w:t>Chapter 2—Part 2: Table of frequency band allocations</w:t>
      </w:r>
      <w:r>
        <w:tab/>
      </w:r>
      <w:r>
        <w:fldChar w:fldCharType="begin"/>
      </w:r>
      <w:r>
        <w:instrText xml:space="preserve"> PAGEREF _Toc72415558 \h </w:instrText>
      </w:r>
      <w:r>
        <w:fldChar w:fldCharType="separate"/>
      </w:r>
      <w:r>
        <w:t>4</w:t>
      </w:r>
      <w:r>
        <w:fldChar w:fldCharType="end"/>
      </w:r>
    </w:p>
    <w:p w14:paraId="4DB8ECC9" w14:textId="72A6CAB2" w:rsidR="00B061A5" w:rsidRDefault="00B061A5">
      <w:pPr>
        <w:pStyle w:val="TOC2"/>
        <w:rPr>
          <w:rFonts w:asciiTheme="minorHAnsi" w:eastAsiaTheme="minorEastAsia" w:hAnsiTheme="minorHAnsi" w:cstheme="minorBidi"/>
          <w:spacing w:val="0"/>
          <w:sz w:val="22"/>
          <w:szCs w:val="22"/>
        </w:rPr>
      </w:pPr>
      <w:r>
        <w:rPr>
          <w:lang w:bidi="he-IL"/>
        </w:rPr>
        <w:t>Chapter 2—Part 3: Australian footnotes</w:t>
      </w:r>
      <w:r>
        <w:tab/>
      </w:r>
      <w:r>
        <w:fldChar w:fldCharType="begin"/>
      </w:r>
      <w:r>
        <w:instrText xml:space="preserve"> PAGEREF _Toc72415559 \h </w:instrText>
      </w:r>
      <w:r>
        <w:fldChar w:fldCharType="separate"/>
      </w:r>
      <w:r>
        <w:t>5</w:t>
      </w:r>
      <w:r>
        <w:fldChar w:fldCharType="end"/>
      </w:r>
    </w:p>
    <w:p w14:paraId="4A60B0BD" w14:textId="050A1805" w:rsidR="00B061A5" w:rsidRDefault="00B061A5">
      <w:pPr>
        <w:pStyle w:val="TOC2"/>
        <w:rPr>
          <w:rFonts w:asciiTheme="minorHAnsi" w:eastAsiaTheme="minorEastAsia" w:hAnsiTheme="minorHAnsi" w:cstheme="minorBidi"/>
          <w:spacing w:val="0"/>
          <w:sz w:val="22"/>
          <w:szCs w:val="22"/>
        </w:rPr>
      </w:pPr>
      <w:r>
        <w:t>Chapter 2—Part 4: International footnotes</w:t>
      </w:r>
      <w:r>
        <w:tab/>
      </w:r>
      <w:r>
        <w:fldChar w:fldCharType="begin"/>
      </w:r>
      <w:r>
        <w:instrText xml:space="preserve"> PAGEREF _Toc72415560 \h </w:instrText>
      </w:r>
      <w:r>
        <w:fldChar w:fldCharType="separate"/>
      </w:r>
      <w:r>
        <w:t>6</w:t>
      </w:r>
      <w:r>
        <w:fldChar w:fldCharType="end"/>
      </w:r>
    </w:p>
    <w:p w14:paraId="7A6914B4" w14:textId="6E5F8A4C" w:rsidR="00B061A5" w:rsidRDefault="00B061A5">
      <w:pPr>
        <w:pStyle w:val="TOC1"/>
        <w:rPr>
          <w:rFonts w:asciiTheme="minorHAnsi" w:eastAsiaTheme="minorEastAsia" w:hAnsiTheme="minorHAnsi" w:cstheme="minorBidi"/>
          <w:b w:val="0"/>
          <w:spacing w:val="0"/>
          <w:sz w:val="22"/>
          <w:szCs w:val="22"/>
        </w:rPr>
      </w:pPr>
      <w:r>
        <w:t>Next steps</w:t>
      </w:r>
      <w:r>
        <w:tab/>
      </w:r>
      <w:r>
        <w:fldChar w:fldCharType="begin"/>
      </w:r>
      <w:r>
        <w:instrText xml:space="preserve"> PAGEREF _Toc72415561 \h </w:instrText>
      </w:r>
      <w:r>
        <w:fldChar w:fldCharType="separate"/>
      </w:r>
      <w:r>
        <w:t>7</w:t>
      </w:r>
      <w:r>
        <w:fldChar w:fldCharType="end"/>
      </w:r>
    </w:p>
    <w:p w14:paraId="2C4C39A0" w14:textId="32116287" w:rsidR="00B061A5" w:rsidRDefault="00B061A5">
      <w:pPr>
        <w:pStyle w:val="TOC1"/>
        <w:rPr>
          <w:rFonts w:asciiTheme="minorHAnsi" w:eastAsiaTheme="minorEastAsia" w:hAnsiTheme="minorHAnsi" w:cstheme="minorBidi"/>
          <w:b w:val="0"/>
          <w:spacing w:val="0"/>
          <w:sz w:val="22"/>
          <w:szCs w:val="22"/>
        </w:rPr>
      </w:pPr>
      <w:r>
        <w:t>Appendix A: Submitters</w:t>
      </w:r>
      <w:r>
        <w:tab/>
      </w:r>
      <w:r>
        <w:fldChar w:fldCharType="begin"/>
      </w:r>
      <w:r>
        <w:instrText xml:space="preserve"> PAGEREF _Toc72415562 \h </w:instrText>
      </w:r>
      <w:r>
        <w:fldChar w:fldCharType="separate"/>
      </w:r>
      <w:r>
        <w:t>8</w:t>
      </w:r>
      <w:r>
        <w:fldChar w:fldCharType="end"/>
      </w:r>
    </w:p>
    <w:p w14:paraId="117C6A76" w14:textId="034B68E6"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6D0CDF65" w14:textId="368B3DED" w:rsidR="009D6C71" w:rsidRPr="009174F3" w:rsidRDefault="00A26B9D" w:rsidP="009174F3">
      <w:pPr>
        <w:pStyle w:val="Execsummaryheading"/>
      </w:pPr>
      <w:bookmarkStart w:id="0" w:name="_Toc72415553"/>
      <w:r>
        <w:lastRenderedPageBreak/>
        <w:t>Introduction</w:t>
      </w:r>
      <w:bookmarkEnd w:id="0"/>
    </w:p>
    <w:p w14:paraId="261DBB94" w14:textId="03FF5C86" w:rsidR="00584E3F" w:rsidRDefault="002F5DC9" w:rsidP="00584E3F">
      <w:pPr>
        <w:pStyle w:val="Paragraph"/>
      </w:pPr>
      <w:r>
        <w:t xml:space="preserve">The </w:t>
      </w:r>
      <w:r w:rsidR="00584E3F">
        <w:t xml:space="preserve">Australian Communications and Media Authority (the ACMA) typically updates the </w:t>
      </w:r>
      <w:r w:rsidR="00584E3F" w:rsidRPr="00AB5852">
        <w:rPr>
          <w:iCs/>
        </w:rPr>
        <w:t>Australian Radiofrequency Spectrum Plan</w:t>
      </w:r>
      <w:r w:rsidR="00584E3F">
        <w:t xml:space="preserve"> (the Spectrum Plan)</w:t>
      </w:r>
      <w:r w:rsidRPr="002F5DC9">
        <w:t xml:space="preserve"> </w:t>
      </w:r>
      <w:r>
        <w:t>following each International Telecommunication Union (ITU) World Radiocommunication Conference (WRC),</w:t>
      </w:r>
    </w:p>
    <w:p w14:paraId="65447006" w14:textId="768D3F64" w:rsidR="00584E3F" w:rsidRDefault="00584E3F" w:rsidP="00584E3F">
      <w:pPr>
        <w:pStyle w:val="Paragraph"/>
      </w:pPr>
      <w:r>
        <w:t xml:space="preserve">The Spectrum Plan, made under section 30 of the </w:t>
      </w:r>
      <w:r w:rsidRPr="00082F28">
        <w:rPr>
          <w:i/>
        </w:rPr>
        <w:t>Radiocommunications Act 1992</w:t>
      </w:r>
      <w:r>
        <w:rPr>
          <w:i/>
        </w:rPr>
        <w:t xml:space="preserve"> </w:t>
      </w:r>
      <w:r>
        <w:t>(the Act)</w:t>
      </w:r>
      <w:r>
        <w:rPr>
          <w:i/>
        </w:rPr>
        <w:t>,</w:t>
      </w:r>
      <w:r>
        <w:t xml:space="preserve"> divides spectrum into frequency bands and specifies the general purpose or purposes for which the bands may be used. The Spectrum Plan reflects both international and domestic arrangements for radiofrequency management. </w:t>
      </w:r>
    </w:p>
    <w:p w14:paraId="0D8A7172" w14:textId="77777777" w:rsidR="00584E3F" w:rsidRDefault="00584E3F" w:rsidP="00584E3F">
      <w:pPr>
        <w:pStyle w:val="Paragraphbeforelist"/>
      </w:pPr>
      <w:r>
        <w:t>The Spectrum Plan:</w:t>
      </w:r>
    </w:p>
    <w:p w14:paraId="132EDF09" w14:textId="77777777" w:rsidR="00584E3F" w:rsidRDefault="00584E3F" w:rsidP="00584E3F">
      <w:pPr>
        <w:pStyle w:val="Bulletlevel1"/>
      </w:pPr>
      <w:r>
        <w:t>provides a basis for management of the radiofrequency spectrum in Australia</w:t>
      </w:r>
    </w:p>
    <w:p w14:paraId="082F0DBA" w14:textId="77777777" w:rsidR="00584E3F" w:rsidRDefault="00584E3F" w:rsidP="00584E3F">
      <w:pPr>
        <w:pStyle w:val="Bulletlevel1"/>
      </w:pPr>
      <w:r>
        <w:t>informs radiocommunication users about the services allocated to each frequency band and the conditions attached to those allocations</w:t>
      </w:r>
    </w:p>
    <w:p w14:paraId="102E478E" w14:textId="77777777" w:rsidR="00584E3F" w:rsidRDefault="00584E3F" w:rsidP="00584E3F">
      <w:pPr>
        <w:pStyle w:val="Bulletlevel1"/>
      </w:pPr>
      <w:r>
        <w:t>reflects Australia’s treaty obligations as a member of the ITU, as set out in the ITU’s Radio Regulations</w:t>
      </w:r>
    </w:p>
    <w:p w14:paraId="5A7BC1CA" w14:textId="6AE67F0E" w:rsidR="00584E3F" w:rsidRDefault="00584E3F" w:rsidP="00584E3F">
      <w:pPr>
        <w:pStyle w:val="Bulletlevel1last"/>
      </w:pPr>
      <w:r>
        <w:t xml:space="preserve">provides details of international frequency allocations agreed by the ITU for the </w:t>
      </w:r>
      <w:r w:rsidR="00FF240F">
        <w:t>3</w:t>
      </w:r>
      <w:r>
        <w:t xml:space="preserve"> world Regions.</w:t>
      </w:r>
    </w:p>
    <w:p w14:paraId="5150E347" w14:textId="77777777" w:rsidR="00F55645" w:rsidRDefault="00584E3F" w:rsidP="00584E3F">
      <w:pPr>
        <w:pStyle w:val="Paragraph"/>
      </w:pPr>
      <w:r>
        <w:t xml:space="preserve">The last major changes to the Spectrum Plan were made in January 2017, following the 2015 WRC (WRC-15). </w:t>
      </w:r>
    </w:p>
    <w:p w14:paraId="58C64CDB" w14:textId="7BBDD11B" w:rsidR="00584E3F" w:rsidRDefault="00584E3F" w:rsidP="00584E3F">
      <w:pPr>
        <w:pStyle w:val="Paragraph"/>
      </w:pPr>
      <w:r>
        <w:t xml:space="preserve">The ACMA consulted on a proposed update to the Spectrum Plan from 26 August 2020 to 29 September 2020. </w:t>
      </w:r>
      <w:r w:rsidRPr="00584E3F">
        <w:t>The</w:t>
      </w:r>
      <w:r>
        <w:t xml:space="preserve"> consultation</w:t>
      </w:r>
      <w:r w:rsidRPr="00584E3F">
        <w:t xml:space="preserve"> package included a draft marked-up version of the proposed new Spectrum Plan as well as a paper explaining the proposed changes.</w:t>
      </w:r>
      <w:r>
        <w:t xml:space="preserve"> The proposed changes reflected changes to the ITU Radio Regulations</w:t>
      </w:r>
      <w:r w:rsidRPr="006B553E">
        <w:t xml:space="preserve"> at the WRC held in Sharm El Sheik, Egypt</w:t>
      </w:r>
      <w:r>
        <w:t>,</w:t>
      </w:r>
      <w:r w:rsidRPr="006B553E">
        <w:t xml:space="preserve"> in late 2019</w:t>
      </w:r>
      <w:r>
        <w:t xml:space="preserve">. </w:t>
      </w:r>
      <w:bookmarkStart w:id="1" w:name="_Hlk72416807"/>
      <w:r>
        <w:t xml:space="preserve">They included </w:t>
      </w:r>
      <w:r w:rsidRPr="006B553E">
        <w:t>new identifications for International Mobile Telecommunications (IMT) (</w:t>
      </w:r>
      <w:r w:rsidR="00F55645">
        <w:t>wireless</w:t>
      </w:r>
      <w:r w:rsidR="00F55645" w:rsidRPr="006B553E">
        <w:t xml:space="preserve"> </w:t>
      </w:r>
      <w:r w:rsidRPr="006B553E">
        <w:t xml:space="preserve">broadband), maritime and satellite services to reflect the decisions </w:t>
      </w:r>
      <w:bookmarkEnd w:id="1"/>
      <w:r w:rsidRPr="006B553E">
        <w:t>of WRC-19, as well as some minor editorial changes</w:t>
      </w:r>
      <w:r>
        <w:t xml:space="preserve"> and clarification of a number of Australian footnotes</w:t>
      </w:r>
      <w:r w:rsidRPr="006B553E">
        <w:t>.</w:t>
      </w:r>
    </w:p>
    <w:p w14:paraId="06A3EBB3" w14:textId="1EAAFE9C" w:rsidR="00584E3F" w:rsidRDefault="00584E3F" w:rsidP="00584E3F">
      <w:pPr>
        <w:pStyle w:val="Paragraph"/>
      </w:pPr>
      <w:r>
        <w:t>The ACMA received submissions f</w:t>
      </w:r>
      <w:r w:rsidR="00FD32DE">
        <w:t>rom 9</w:t>
      </w:r>
      <w:r>
        <w:t xml:space="preserve"> parties. Submitters are listed in Appendix A and submissions are available on the ACMA website. </w:t>
      </w:r>
    </w:p>
    <w:p w14:paraId="7647865B" w14:textId="56D2F723" w:rsidR="00584E3F" w:rsidRDefault="00584E3F" w:rsidP="00584E3F">
      <w:pPr>
        <w:pStyle w:val="Paragraph"/>
      </w:pPr>
      <w:r>
        <w:t xml:space="preserve">This document provides our response to the main issues raised in submissions. </w:t>
      </w:r>
    </w:p>
    <w:p w14:paraId="5751C897" w14:textId="77777777" w:rsidR="00584E3F" w:rsidRPr="00C35CCE" w:rsidRDefault="00584E3F" w:rsidP="00584E3F">
      <w:pPr>
        <w:pStyle w:val="Heading2"/>
      </w:pPr>
      <w:bookmarkStart w:id="2" w:name="_Toc49171476"/>
      <w:bookmarkStart w:id="3" w:name="_Toc72415554"/>
      <w:r w:rsidRPr="007D6B04">
        <w:t>International obligations—WRC-1</w:t>
      </w:r>
      <w:r>
        <w:t>9</w:t>
      </w:r>
      <w:r w:rsidRPr="007D6B04">
        <w:t xml:space="preserve"> Final Acts</w:t>
      </w:r>
      <w:bookmarkEnd w:id="2"/>
      <w:bookmarkEnd w:id="3"/>
      <w:r w:rsidRPr="00C35CCE">
        <w:t xml:space="preserve"> </w:t>
      </w:r>
    </w:p>
    <w:p w14:paraId="77892F6E" w14:textId="6D7B0B40" w:rsidR="00584E3F" w:rsidRDefault="00584E3F" w:rsidP="00584E3F">
      <w:r w:rsidRPr="00017BC0">
        <w:t xml:space="preserve">Australia is a member of the ITU and has ratified the </w:t>
      </w:r>
      <w:r w:rsidRPr="006C20B7">
        <w:t>Constitution and Convention of the ITU</w:t>
      </w:r>
      <w:r w:rsidRPr="00017BC0">
        <w:t xml:space="preserve">. Under the </w:t>
      </w:r>
      <w:r w:rsidR="00830941">
        <w:t>C</w:t>
      </w:r>
      <w:r w:rsidRPr="00017BC0">
        <w:t>onstitution, member states are bound to comply with the ITU’s Radio Regulations</w:t>
      </w:r>
      <w:r>
        <w:t>.</w:t>
      </w:r>
      <w:r>
        <w:rPr>
          <w:rStyle w:val="FootnoteReference"/>
        </w:rPr>
        <w:footnoteReference w:id="2"/>
      </w:r>
      <w:r>
        <w:t xml:space="preserve"> The WRC involves decisions that change the ITU’s Radio Regulations. These changes are recorded in ‘Final Acts’ from the conference. Australia agreed in principle to these changes by signing the Final Acts of the </w:t>
      </w:r>
      <w:r w:rsidR="002F5DC9">
        <w:t>WRC</w:t>
      </w:r>
      <w:r>
        <w:t>.</w:t>
      </w:r>
      <w:r w:rsidRPr="00377D9B">
        <w:t xml:space="preserve"> </w:t>
      </w:r>
    </w:p>
    <w:p w14:paraId="64ED8259" w14:textId="170F8427" w:rsidR="00584E3F" w:rsidRDefault="00584E3F" w:rsidP="00584E3F">
      <w:r>
        <w:lastRenderedPageBreak/>
        <w:t xml:space="preserve">The Spectrum Plan is updated to reflect changes agreed upon at the conference for parts of the international frequency allocation table, as well as other international changes that Australia has agreed to in principle. </w:t>
      </w:r>
    </w:p>
    <w:p w14:paraId="42CCFB7B" w14:textId="494D923A" w:rsidR="00562490" w:rsidRDefault="00584E3F" w:rsidP="00584E3F">
      <w:r>
        <w:t>The process for domestic approval of the treaty amendments is managed by the Department of Infrastructure, Transport, Regional Development and Communications (DITRDC).</w:t>
      </w:r>
      <w:r w:rsidR="0079171B" w:rsidRPr="0079171B">
        <w:t xml:space="preserve"> </w:t>
      </w:r>
      <w:r w:rsidR="0079171B">
        <w:t xml:space="preserve">The </w:t>
      </w:r>
      <w:r w:rsidR="0079171B" w:rsidRPr="0079171B">
        <w:t>Partial Revision of the 2015 Radio Regulations, as incorporated into the Final Acts of the World Radiocommunication Conference 2019 (WRC-19) (Sharm El-Sheikh, 22 November 2019)</w:t>
      </w:r>
      <w:r w:rsidR="0079171B">
        <w:t xml:space="preserve"> was tabled in </w:t>
      </w:r>
      <w:r w:rsidR="00C0396E">
        <w:t>p</w:t>
      </w:r>
      <w:r w:rsidR="00C0396E" w:rsidRPr="002454F8">
        <w:t xml:space="preserve">arliament </w:t>
      </w:r>
      <w:r w:rsidR="0079171B" w:rsidRPr="002454F8">
        <w:t xml:space="preserve">on 2 February 2021. </w:t>
      </w:r>
      <w:r w:rsidR="004F08B7" w:rsidRPr="002454F8">
        <w:t xml:space="preserve">The Joint Standing Committee on Treaties (JSCOT) </w:t>
      </w:r>
      <w:r w:rsidR="00554EA3" w:rsidRPr="002454F8">
        <w:t xml:space="preserve">help public hearings on 22 February 2021 and tabled their report on the treaty on </w:t>
      </w:r>
      <w:r w:rsidR="002454F8" w:rsidRPr="002454F8">
        <w:t>11 May</w:t>
      </w:r>
      <w:r w:rsidR="00554EA3" w:rsidRPr="002454F8">
        <w:t xml:space="preserve"> 2021</w:t>
      </w:r>
      <w:r w:rsidR="002454F8" w:rsidRPr="002454F8">
        <w:rPr>
          <w:rStyle w:val="FootnoteReference"/>
        </w:rPr>
        <w:footnoteReference w:id="3"/>
      </w:r>
      <w:r w:rsidR="00554EA3" w:rsidRPr="002454F8">
        <w:t xml:space="preserve">. </w:t>
      </w:r>
      <w:r w:rsidR="00562490" w:rsidRPr="002454F8">
        <w:t>The</w:t>
      </w:r>
      <w:r w:rsidR="00562490" w:rsidRPr="00562490">
        <w:t xml:space="preserve"> report contain</w:t>
      </w:r>
      <w:r w:rsidR="00562490">
        <w:t>s</w:t>
      </w:r>
      <w:r w:rsidR="00562490" w:rsidRPr="00562490">
        <w:t xml:space="preserve"> JSCOT’s recommendation to </w:t>
      </w:r>
      <w:r w:rsidR="00562490">
        <w:t xml:space="preserve">take </w:t>
      </w:r>
      <w:r w:rsidR="00562490" w:rsidRPr="00562490">
        <w:t>binding treaty action</w:t>
      </w:r>
      <w:r w:rsidR="00562490">
        <w:t>. To that end, prior to entry into force, it is now timely to make the Spectrum Plan</w:t>
      </w:r>
      <w:r w:rsidR="00C0396E">
        <w:t>.</w:t>
      </w:r>
    </w:p>
    <w:p w14:paraId="06AE860C" w14:textId="35F42F83" w:rsidR="00584E3F" w:rsidRDefault="00584E3F" w:rsidP="00584E3F"/>
    <w:p w14:paraId="21905A84" w14:textId="6C5237EB" w:rsidR="00A26B9D" w:rsidRDefault="00B061A5" w:rsidP="00A26B9D">
      <w:pPr>
        <w:pStyle w:val="Heading1"/>
      </w:pPr>
      <w:bookmarkStart w:id="4" w:name="_Toc72415555"/>
      <w:r>
        <w:lastRenderedPageBreak/>
        <w:t>Submissions received</w:t>
      </w:r>
      <w:r w:rsidDel="00B061A5">
        <w:t xml:space="preserve"> </w:t>
      </w:r>
      <w:r>
        <w:t>and p</w:t>
      </w:r>
      <w:r w:rsidR="00A26B9D">
        <w:t>roposed updates</w:t>
      </w:r>
      <w:bookmarkEnd w:id="4"/>
      <w:r w:rsidR="00A26B9D">
        <w:t xml:space="preserve"> </w:t>
      </w:r>
    </w:p>
    <w:p w14:paraId="4B770C80" w14:textId="3BC388A7" w:rsidR="00BB4BAE" w:rsidRDefault="00A92D93" w:rsidP="000D23AE">
      <w:bookmarkStart w:id="5" w:name="_Toc460759360"/>
      <w:bookmarkStart w:id="6" w:name="_Toc461713862"/>
      <w:bookmarkStart w:id="7" w:name="_Toc49171479"/>
      <w:r>
        <w:t xml:space="preserve">Nine submissions were received </w:t>
      </w:r>
      <w:r w:rsidR="00B972BC">
        <w:t xml:space="preserve">in response to </w:t>
      </w:r>
      <w:r>
        <w:t xml:space="preserve">the </w:t>
      </w:r>
      <w:r w:rsidR="000D23AE">
        <w:t xml:space="preserve">consultation </w:t>
      </w:r>
      <w:r w:rsidR="00B972BC">
        <w:t>about</w:t>
      </w:r>
      <w:r w:rsidR="00C0396E">
        <w:t xml:space="preserve"> </w:t>
      </w:r>
      <w:r w:rsidR="000D23AE">
        <w:t xml:space="preserve">the update to the </w:t>
      </w:r>
      <w:r w:rsidR="0058205B">
        <w:t>Spectrum Plan</w:t>
      </w:r>
      <w:r w:rsidR="000D23AE">
        <w:t xml:space="preserve">. Submissions from </w:t>
      </w:r>
      <w:r w:rsidR="000D23AE" w:rsidRPr="000D23AE">
        <w:t>Australian Maritime Safety Authority (AMSA)</w:t>
      </w:r>
      <w:r w:rsidR="000D23AE">
        <w:t xml:space="preserve">, the </w:t>
      </w:r>
      <w:r w:rsidR="000D23AE" w:rsidRPr="000D23AE">
        <w:t>Communications Alliance Satellite Services Working Group (CA SSWG)</w:t>
      </w:r>
      <w:r w:rsidR="000D23AE">
        <w:t>,</w:t>
      </w:r>
      <w:r w:rsidR="000D23AE" w:rsidRPr="000D23AE">
        <w:t xml:space="preserve"> </w:t>
      </w:r>
      <w:r w:rsidR="000D23AE">
        <w:t xml:space="preserve">NBN Co., Optus and Special Broadcasting Service (SBS) supported the proposed update and did not suggest any further changes. Other submissions are discussed below. </w:t>
      </w:r>
    </w:p>
    <w:p w14:paraId="1FEADCD8" w14:textId="1BBE32D2" w:rsidR="00CD4E7C" w:rsidRPr="00510473" w:rsidRDefault="00CD4E7C" w:rsidP="00CD4E7C">
      <w:pPr>
        <w:pStyle w:val="Heading2"/>
      </w:pPr>
      <w:bookmarkStart w:id="8" w:name="_Toc72415556"/>
      <w:r w:rsidRPr="00510473">
        <w:t>Chapter 1</w:t>
      </w:r>
      <w:r>
        <w:t>—</w:t>
      </w:r>
      <w:r w:rsidRPr="00510473">
        <w:t xml:space="preserve">General </w:t>
      </w:r>
      <w:r>
        <w:t>i</w:t>
      </w:r>
      <w:r w:rsidRPr="00510473">
        <w:t>nformation</w:t>
      </w:r>
      <w:bookmarkEnd w:id="5"/>
      <w:bookmarkEnd w:id="6"/>
      <w:bookmarkEnd w:id="7"/>
      <w:bookmarkEnd w:id="8"/>
      <w:r w:rsidRPr="00510473">
        <w:t xml:space="preserve"> </w:t>
      </w:r>
    </w:p>
    <w:p w14:paraId="1027121A" w14:textId="2D94213D" w:rsidR="00CD4E7C" w:rsidRDefault="00CD4E7C" w:rsidP="00CD4E7C">
      <w:r>
        <w:t xml:space="preserve">Only minor editorial changes were proposed for </w:t>
      </w:r>
      <w:r w:rsidRPr="00DA66AB">
        <w:rPr>
          <w:i/>
          <w:iCs/>
        </w:rPr>
        <w:t>Chapter 1—General information</w:t>
      </w:r>
      <w:r>
        <w:t xml:space="preserve">. </w:t>
      </w:r>
    </w:p>
    <w:p w14:paraId="26CBDFBA" w14:textId="47E6E9FC" w:rsidR="00CD4E7C" w:rsidRDefault="009975B0" w:rsidP="00CD4E7C">
      <w:pPr>
        <w:pStyle w:val="Heading3"/>
      </w:pPr>
      <w:r>
        <w:t>Submissions</w:t>
      </w:r>
      <w:r w:rsidR="00CD4E7C">
        <w:t xml:space="preserve"> received</w:t>
      </w:r>
    </w:p>
    <w:p w14:paraId="6380274E" w14:textId="16D47F07" w:rsidR="00CD4E7C" w:rsidRDefault="00CD4E7C" w:rsidP="00CD4E7C">
      <w:r w:rsidRPr="00CD4E7C">
        <w:t xml:space="preserve">Boeing Australia </w:t>
      </w:r>
      <w:r>
        <w:t xml:space="preserve">provided comments </w:t>
      </w:r>
      <w:r w:rsidR="00C0396E">
        <w:t>about</w:t>
      </w:r>
      <w:r>
        <w:t xml:space="preserve"> Chapter 1 and on the structure of the Spectrum Plan more generally.</w:t>
      </w:r>
      <w:r w:rsidR="009975B0">
        <w:t xml:space="preserve"> Boeing Australia suggested some improvements to the layout of the Spectrum Plan, sought that the </w:t>
      </w:r>
      <w:r w:rsidR="009975B0" w:rsidRPr="009975B0">
        <w:t xml:space="preserve">‘5.’ prefix </w:t>
      </w:r>
      <w:r w:rsidR="009975B0">
        <w:t xml:space="preserve">be included in the references to international footnotes, sought clarification on the scope in terms of frequency range of the Spectrum Plan and highlighted a potential change to text </w:t>
      </w:r>
      <w:r w:rsidR="00C0396E">
        <w:t xml:space="preserve">about </w:t>
      </w:r>
      <w:r w:rsidR="009975B0">
        <w:t xml:space="preserve">radio astronomy in Chapter 1. </w:t>
      </w:r>
    </w:p>
    <w:p w14:paraId="7768BEEB" w14:textId="7119E6C3" w:rsidR="009975B0" w:rsidRDefault="00B366F8" w:rsidP="009975B0">
      <w:pPr>
        <w:pStyle w:val="Heading3"/>
      </w:pPr>
      <w:r>
        <w:t xml:space="preserve">ACMA </w:t>
      </w:r>
      <w:r w:rsidR="00C0396E">
        <w:t>r</w:t>
      </w:r>
      <w:r w:rsidR="009975B0">
        <w:t xml:space="preserve">esponse </w:t>
      </w:r>
    </w:p>
    <w:p w14:paraId="642FCC69" w14:textId="008A6767" w:rsidR="00821637" w:rsidRDefault="00E71FBA" w:rsidP="009975B0">
      <w:r>
        <w:t>Suggestions</w:t>
      </w:r>
      <w:r w:rsidR="00821637">
        <w:t xml:space="preserve"> for improvement in readability of the Spectrum Plan </w:t>
      </w:r>
      <w:r>
        <w:t>are welcome</w:t>
      </w:r>
      <w:r w:rsidR="00821637">
        <w:t xml:space="preserve">. However, as a legislative instrument made under section 30 of the Act, such improvements may be more effectively adopted in other ways. For </w:t>
      </w:r>
      <w:r w:rsidR="00FE5368">
        <w:t>instance</w:t>
      </w:r>
      <w:r w:rsidR="00821637">
        <w:t xml:space="preserve">, the example </w:t>
      </w:r>
      <w:r w:rsidR="00BE3E75">
        <w:t xml:space="preserve">provided </w:t>
      </w:r>
      <w:r w:rsidR="00C0396E">
        <w:t xml:space="preserve">in </w:t>
      </w:r>
      <w:r w:rsidR="00821637">
        <w:t xml:space="preserve">the </w:t>
      </w:r>
      <w:r w:rsidR="009975B0" w:rsidRPr="00CD4E7C">
        <w:t xml:space="preserve">Boeing Australia </w:t>
      </w:r>
      <w:r w:rsidR="00821637">
        <w:t xml:space="preserve">submission </w:t>
      </w:r>
      <w:r w:rsidR="00BE3E75">
        <w:t xml:space="preserve">could be addressed by </w:t>
      </w:r>
      <w:r w:rsidR="00BE3E75" w:rsidRPr="000E7539">
        <w:t xml:space="preserve">combining </w:t>
      </w:r>
      <w:r w:rsidR="00821637" w:rsidRPr="000E7539">
        <w:t xml:space="preserve">the Spectrum Plan and </w:t>
      </w:r>
      <w:r w:rsidR="00C0396E" w:rsidRPr="000E7539">
        <w:t>f</w:t>
      </w:r>
      <w:r w:rsidR="00821637" w:rsidRPr="000E7539">
        <w:t>ive-</w:t>
      </w:r>
      <w:r w:rsidR="00C0396E" w:rsidRPr="000E7539">
        <w:t>y</w:t>
      </w:r>
      <w:r w:rsidR="00821637" w:rsidRPr="000E7539">
        <w:t xml:space="preserve">ear </w:t>
      </w:r>
      <w:r w:rsidR="00C0396E" w:rsidRPr="000E7539">
        <w:t>s</w:t>
      </w:r>
      <w:r w:rsidR="00821637" w:rsidRPr="000E7539">
        <w:t xml:space="preserve">pectrum </w:t>
      </w:r>
      <w:r w:rsidR="00C0396E" w:rsidRPr="000E7539">
        <w:t>o</w:t>
      </w:r>
      <w:r w:rsidR="00821637" w:rsidRPr="000E7539">
        <w:t xml:space="preserve">utlook with data </w:t>
      </w:r>
      <w:r w:rsidR="00C0396E" w:rsidRPr="000E7539">
        <w:t>ab</w:t>
      </w:r>
      <w:r w:rsidR="00C0396E">
        <w:t xml:space="preserve">out </w:t>
      </w:r>
      <w:r w:rsidR="00821637">
        <w:t xml:space="preserve">current use of the spectrum. The ACMA will investigate opportunities for improvement. </w:t>
      </w:r>
    </w:p>
    <w:p w14:paraId="3AC47278" w14:textId="45FD8496" w:rsidR="00821637" w:rsidRDefault="00821637" w:rsidP="009975B0">
      <w:r w:rsidRPr="00821637">
        <w:t xml:space="preserve">The </w:t>
      </w:r>
      <w:r w:rsidR="003423B7">
        <w:t>‘</w:t>
      </w:r>
      <w:r w:rsidRPr="00821637">
        <w:t>5.</w:t>
      </w:r>
      <w:r w:rsidR="003423B7">
        <w:t>’</w:t>
      </w:r>
      <w:r w:rsidRPr="00821637">
        <w:t xml:space="preserve"> </w:t>
      </w:r>
      <w:r>
        <w:t xml:space="preserve">prefix in the international footnotes </w:t>
      </w:r>
      <w:r w:rsidRPr="00821637">
        <w:t xml:space="preserve">in the </w:t>
      </w:r>
      <w:r>
        <w:t xml:space="preserve">ITU Radio Regulations </w:t>
      </w:r>
      <w:r w:rsidRPr="00821637">
        <w:t>reflect</w:t>
      </w:r>
      <w:r w:rsidR="003423B7">
        <w:t xml:space="preserve">s </w:t>
      </w:r>
      <w:r w:rsidRPr="00821637">
        <w:t>the structure of th</w:t>
      </w:r>
      <w:r>
        <w:t>ose regulations</w:t>
      </w:r>
      <w:r w:rsidRPr="00821637">
        <w:t xml:space="preserve">. While </w:t>
      </w:r>
      <w:r>
        <w:t xml:space="preserve">an extract of the ITU Radio Regulations is included in </w:t>
      </w:r>
      <w:r w:rsidRPr="00821637">
        <w:t xml:space="preserve">the </w:t>
      </w:r>
      <w:r>
        <w:t>Spectrum Plan</w:t>
      </w:r>
      <w:r w:rsidRPr="00821637">
        <w:t xml:space="preserve">, it does not mirror </w:t>
      </w:r>
      <w:r>
        <w:t xml:space="preserve">the structure of the Radio Regulations. Therefore, </w:t>
      </w:r>
      <w:r w:rsidRPr="00821637">
        <w:t xml:space="preserve">structural aspects such as chapter numbering do not need to be reflected in the </w:t>
      </w:r>
      <w:r>
        <w:t>Spectrum Plan</w:t>
      </w:r>
      <w:r w:rsidRPr="00821637">
        <w:t>.</w:t>
      </w:r>
    </w:p>
    <w:p w14:paraId="54BCA5F8" w14:textId="370CBFA4" w:rsidR="00821637" w:rsidRDefault="00821637" w:rsidP="009975B0">
      <w:r>
        <w:t>While Article 1.5 of the ITU Radio Regulations define</w:t>
      </w:r>
      <w:r w:rsidR="00E71FBA">
        <w:t>s</w:t>
      </w:r>
      <w:r>
        <w:t xml:space="preserve"> an upper spectrum limit of 3000 GHz, subsection 8(1) of the Act defines an upper spectrum limit of 420 THz. Therefore, </w:t>
      </w:r>
      <w:r w:rsidR="006424B2">
        <w:t xml:space="preserve">it is appropriate that the Australian Radiofrequency Spectrum Plan cover the full extent of the scope provided in the Act. </w:t>
      </w:r>
    </w:p>
    <w:p w14:paraId="7DD21F5D" w14:textId="3FF036BF" w:rsidR="006424B2" w:rsidRDefault="006424B2" w:rsidP="00C054BE">
      <w:pPr>
        <w:spacing w:after="80"/>
      </w:pPr>
      <w:r>
        <w:t xml:space="preserve">Section 14 of the </w:t>
      </w:r>
      <w:r w:rsidR="00EE1BA8">
        <w:t xml:space="preserve">general information accompanying the </w:t>
      </w:r>
      <w:r>
        <w:t>Spectrum Plan states:</w:t>
      </w:r>
    </w:p>
    <w:p w14:paraId="198F65AD" w14:textId="1CF957AE" w:rsidR="006424B2" w:rsidRPr="006424B2" w:rsidRDefault="006424B2" w:rsidP="006424B2">
      <w:pPr>
        <w:ind w:left="567" w:right="441"/>
      </w:pPr>
      <w:r w:rsidRPr="006424B2">
        <w:t>The radio astronomy service is the only entirely passive radiocommunication service defined by the ITU-R.</w:t>
      </w:r>
    </w:p>
    <w:p w14:paraId="24A57EB0" w14:textId="1F5D2C7F" w:rsidR="006424B2" w:rsidRDefault="006424B2" w:rsidP="00C054BE">
      <w:pPr>
        <w:spacing w:after="80"/>
      </w:pPr>
      <w:r>
        <w:t>This will be corrected to read:</w:t>
      </w:r>
    </w:p>
    <w:p w14:paraId="60C60B82" w14:textId="035939C3" w:rsidR="006424B2" w:rsidRPr="006424B2" w:rsidRDefault="006424B2" w:rsidP="006424B2">
      <w:pPr>
        <w:ind w:left="567" w:right="441"/>
      </w:pPr>
      <w:r w:rsidRPr="006424B2">
        <w:t>The radio astronomy service is the only entirely passive radiocommunication service defined by the ITU</w:t>
      </w:r>
      <w:r>
        <w:t xml:space="preserve"> </w:t>
      </w:r>
      <w:r w:rsidRPr="006424B2">
        <w:t>R</w:t>
      </w:r>
      <w:r>
        <w:t>adio Regulations</w:t>
      </w:r>
      <w:r w:rsidRPr="006424B2">
        <w:t>.</w:t>
      </w:r>
    </w:p>
    <w:p w14:paraId="4CDD80BC" w14:textId="77777777" w:rsidR="00820B75" w:rsidRDefault="00820B75" w:rsidP="00C054BE">
      <w:pPr>
        <w:pStyle w:val="Heading2"/>
        <w:keepLines/>
      </w:pPr>
      <w:bookmarkStart w:id="9" w:name="_Toc460759361"/>
      <w:bookmarkStart w:id="10" w:name="_Toc461713863"/>
      <w:bookmarkStart w:id="11" w:name="_Toc49171480"/>
      <w:bookmarkStart w:id="12" w:name="_Toc72415557"/>
      <w:r w:rsidRPr="00510473">
        <w:lastRenderedPageBreak/>
        <w:t>Chapter 2</w:t>
      </w:r>
      <w:r>
        <w:t>—</w:t>
      </w:r>
      <w:r w:rsidRPr="00510473">
        <w:t xml:space="preserve">Australian Radiofrequency Spectrum </w:t>
      </w:r>
      <w:r>
        <w:t>P</w:t>
      </w:r>
      <w:r w:rsidRPr="00510473">
        <w:t>lan</w:t>
      </w:r>
      <w:bookmarkEnd w:id="9"/>
      <w:bookmarkEnd w:id="10"/>
      <w:bookmarkEnd w:id="11"/>
      <w:bookmarkEnd w:id="12"/>
    </w:p>
    <w:p w14:paraId="68A08B14" w14:textId="77777777" w:rsidR="00820B75" w:rsidRPr="00946116" w:rsidRDefault="00820B75" w:rsidP="00C054BE">
      <w:pPr>
        <w:pStyle w:val="Heading3"/>
        <w:keepLines/>
      </w:pPr>
      <w:bookmarkStart w:id="13" w:name="_Toc460759362"/>
      <w:bookmarkStart w:id="14" w:name="_Toc461713864"/>
      <w:r>
        <w:t>Chapter 2—Part 1: Introductory</w:t>
      </w:r>
      <w:bookmarkEnd w:id="13"/>
      <w:bookmarkEnd w:id="14"/>
    </w:p>
    <w:p w14:paraId="720475D9" w14:textId="72DA7A52" w:rsidR="00820B75" w:rsidRDefault="00820B75" w:rsidP="00C054BE">
      <w:pPr>
        <w:pStyle w:val="Paragraphbeforelist"/>
        <w:keepNext/>
        <w:keepLines/>
        <w:rPr>
          <w:lang w:bidi="he-IL"/>
        </w:rPr>
      </w:pPr>
      <w:r>
        <w:rPr>
          <w:lang w:bidi="he-IL"/>
        </w:rPr>
        <w:t xml:space="preserve">The only changes proposed for </w:t>
      </w:r>
      <w:r w:rsidRPr="00C054BE">
        <w:rPr>
          <w:i/>
          <w:iCs/>
          <w:lang w:bidi="he-IL"/>
        </w:rPr>
        <w:t>Chapter 2—Part 1: Introductory</w:t>
      </w:r>
      <w:r>
        <w:rPr>
          <w:lang w:bidi="he-IL"/>
        </w:rPr>
        <w:t xml:space="preserve"> </w:t>
      </w:r>
      <w:r w:rsidR="00691419">
        <w:rPr>
          <w:lang w:bidi="he-IL"/>
        </w:rPr>
        <w:t>were</w:t>
      </w:r>
      <w:r>
        <w:rPr>
          <w:lang w:bidi="he-IL"/>
        </w:rPr>
        <w:t>:</w:t>
      </w:r>
    </w:p>
    <w:p w14:paraId="302A0224" w14:textId="77777777" w:rsidR="00820B75" w:rsidRPr="00287786" w:rsidRDefault="00820B75" w:rsidP="00C054BE">
      <w:pPr>
        <w:pStyle w:val="Bulletlevel1"/>
        <w:keepNext/>
        <w:keepLines/>
      </w:pPr>
      <w:r>
        <w:rPr>
          <w:lang w:bidi="he-IL"/>
        </w:rPr>
        <w:t>updating the name of the instrument</w:t>
      </w:r>
    </w:p>
    <w:p w14:paraId="56A0DFBD" w14:textId="77777777" w:rsidR="00820B75" w:rsidRPr="00287786" w:rsidRDefault="00820B75" w:rsidP="00820B75">
      <w:pPr>
        <w:pStyle w:val="Bulletlevel1"/>
      </w:pPr>
      <w:r>
        <w:rPr>
          <w:lang w:bidi="he-IL"/>
        </w:rPr>
        <w:t>adding a commencement date</w:t>
      </w:r>
    </w:p>
    <w:p w14:paraId="74B44C7E" w14:textId="77777777" w:rsidR="00820B75" w:rsidRPr="00287786" w:rsidRDefault="00820B75" w:rsidP="00820B75">
      <w:pPr>
        <w:pStyle w:val="Bulletlevel1last"/>
      </w:pPr>
      <w:r>
        <w:rPr>
          <w:lang w:bidi="he-IL"/>
        </w:rPr>
        <w:t xml:space="preserve">updating revocation provisions to reflect the change from 2017 to 2021. </w:t>
      </w:r>
    </w:p>
    <w:p w14:paraId="43E7811F" w14:textId="72F34E87" w:rsidR="00820B75" w:rsidRDefault="00820B75" w:rsidP="00820B75">
      <w:pPr>
        <w:pStyle w:val="Paragraph"/>
        <w:rPr>
          <w:lang w:bidi="he-IL"/>
        </w:rPr>
      </w:pPr>
      <w:r>
        <w:rPr>
          <w:lang w:bidi="he-IL"/>
        </w:rPr>
        <w:t xml:space="preserve">Additionally, the definition of the land mobile-satellite service </w:t>
      </w:r>
      <w:r w:rsidR="00691419">
        <w:rPr>
          <w:lang w:bidi="he-IL"/>
        </w:rPr>
        <w:t>wa</w:t>
      </w:r>
      <w:r>
        <w:rPr>
          <w:lang w:bidi="he-IL"/>
        </w:rPr>
        <w:t>s removed as the allocations to this service in the table of allocations</w:t>
      </w:r>
      <w:r w:rsidRPr="002A3C40">
        <w:rPr>
          <w:lang w:bidi="he-IL"/>
        </w:rPr>
        <w:t xml:space="preserve"> </w:t>
      </w:r>
      <w:r>
        <w:rPr>
          <w:lang w:bidi="he-IL"/>
        </w:rPr>
        <w:t xml:space="preserve">are also proposed for removal. </w:t>
      </w:r>
    </w:p>
    <w:p w14:paraId="7B188EEB" w14:textId="5BFF6DF1" w:rsidR="00691419" w:rsidRDefault="00691419" w:rsidP="00820B75">
      <w:pPr>
        <w:pStyle w:val="Paragraph"/>
        <w:rPr>
          <w:lang w:bidi="he-IL"/>
        </w:rPr>
      </w:pPr>
      <w:r>
        <w:rPr>
          <w:lang w:bidi="he-IL"/>
        </w:rPr>
        <w:t>No submissions were received</w:t>
      </w:r>
      <w:r w:rsidR="003423B7">
        <w:rPr>
          <w:lang w:bidi="he-IL"/>
        </w:rPr>
        <w:t xml:space="preserve"> for</w:t>
      </w:r>
      <w:r>
        <w:rPr>
          <w:lang w:bidi="he-IL"/>
        </w:rPr>
        <w:t xml:space="preserve"> this section of the </w:t>
      </w:r>
      <w:r w:rsidR="0058205B">
        <w:rPr>
          <w:lang w:bidi="he-IL"/>
        </w:rPr>
        <w:t>Spectrum Plan</w:t>
      </w:r>
      <w:r>
        <w:rPr>
          <w:lang w:bidi="he-IL"/>
        </w:rPr>
        <w:t xml:space="preserve">. </w:t>
      </w:r>
    </w:p>
    <w:p w14:paraId="3F76B623" w14:textId="7A1A8E7C" w:rsidR="005802ED" w:rsidRDefault="005802ED" w:rsidP="00820B75">
      <w:pPr>
        <w:pStyle w:val="Paragraph"/>
        <w:rPr>
          <w:lang w:bidi="he-IL"/>
        </w:rPr>
      </w:pPr>
      <w:r>
        <w:rPr>
          <w:lang w:bidi="he-IL"/>
        </w:rPr>
        <w:t xml:space="preserve">However, in finalising </w:t>
      </w:r>
      <w:r w:rsidR="003423B7">
        <w:rPr>
          <w:lang w:bidi="he-IL"/>
        </w:rPr>
        <w:t xml:space="preserve">the 2021 </w:t>
      </w:r>
      <w:r>
        <w:rPr>
          <w:lang w:bidi="he-IL"/>
        </w:rPr>
        <w:t xml:space="preserve">update to the </w:t>
      </w:r>
      <w:r w:rsidR="0058205B">
        <w:rPr>
          <w:lang w:bidi="he-IL"/>
        </w:rPr>
        <w:t>Spectrum Plan</w:t>
      </w:r>
      <w:r>
        <w:rPr>
          <w:lang w:bidi="he-IL"/>
        </w:rPr>
        <w:t xml:space="preserve">, a new subsection 10(11) </w:t>
      </w:r>
      <w:r w:rsidR="002924BB">
        <w:rPr>
          <w:lang w:bidi="he-IL"/>
        </w:rPr>
        <w:t xml:space="preserve">has been </w:t>
      </w:r>
      <w:r>
        <w:rPr>
          <w:lang w:bidi="he-IL"/>
        </w:rPr>
        <w:t xml:space="preserve">added </w:t>
      </w:r>
      <w:r w:rsidR="002924BB">
        <w:rPr>
          <w:lang w:bidi="he-IL"/>
        </w:rPr>
        <w:t xml:space="preserve">to clarify that </w:t>
      </w:r>
      <w:r>
        <w:rPr>
          <w:lang w:bidi="he-IL"/>
        </w:rPr>
        <w:t xml:space="preserve">decisions made under subsection 10(10) of the 2017 </w:t>
      </w:r>
      <w:r w:rsidR="0058205B">
        <w:rPr>
          <w:lang w:bidi="he-IL"/>
        </w:rPr>
        <w:t xml:space="preserve">Spectrum Plan </w:t>
      </w:r>
      <w:r>
        <w:rPr>
          <w:lang w:bidi="he-IL"/>
        </w:rPr>
        <w:t xml:space="preserve">will still apply under the </w:t>
      </w:r>
      <w:r w:rsidR="003423B7">
        <w:rPr>
          <w:lang w:bidi="he-IL"/>
        </w:rPr>
        <w:t xml:space="preserve">2021 </w:t>
      </w:r>
      <w:r w:rsidR="0058205B">
        <w:rPr>
          <w:lang w:bidi="he-IL"/>
        </w:rPr>
        <w:t>Spectrum Plan</w:t>
      </w:r>
      <w:r>
        <w:rPr>
          <w:lang w:bidi="he-IL"/>
        </w:rPr>
        <w:t xml:space="preserve">. This will avoid the need to reapprove unspecified services under subsection 10(10). Existing decisions made under subsection 10(10) of the </w:t>
      </w:r>
      <w:r w:rsidR="0058205B">
        <w:rPr>
          <w:lang w:bidi="he-IL"/>
        </w:rPr>
        <w:t xml:space="preserve">Spectrum Plan </w:t>
      </w:r>
      <w:r>
        <w:rPr>
          <w:lang w:bidi="he-IL"/>
        </w:rPr>
        <w:t xml:space="preserve">are published on the </w:t>
      </w:r>
      <w:hyperlink r:id="rId24" w:history="1">
        <w:r w:rsidRPr="005802ED">
          <w:rPr>
            <w:rStyle w:val="Hyperlink"/>
            <w:lang w:bidi="he-IL"/>
          </w:rPr>
          <w:t>ACMA website</w:t>
        </w:r>
      </w:hyperlink>
      <w:r>
        <w:rPr>
          <w:lang w:bidi="he-IL"/>
        </w:rPr>
        <w:t xml:space="preserve">.  </w:t>
      </w:r>
    </w:p>
    <w:p w14:paraId="1223023C" w14:textId="3D0A7BB3" w:rsidR="005802ED" w:rsidRDefault="005802ED" w:rsidP="00F87AAC">
      <w:pPr>
        <w:pStyle w:val="Paragraph"/>
        <w:spacing w:after="120"/>
        <w:rPr>
          <w:lang w:bidi="he-IL"/>
        </w:rPr>
      </w:pPr>
      <w:r>
        <w:rPr>
          <w:lang w:bidi="he-IL"/>
        </w:rPr>
        <w:t>The new subsection 10(11) states:</w:t>
      </w:r>
    </w:p>
    <w:p w14:paraId="61D502E5" w14:textId="0E6909F0" w:rsidR="005802ED" w:rsidRPr="009F3EA3" w:rsidRDefault="005802ED" w:rsidP="005802ED">
      <w:pPr>
        <w:ind w:left="567" w:right="441"/>
      </w:pPr>
      <w:r>
        <w:t xml:space="preserve">10(11)    Any written approval of an unspecified service given by the ACMA and published on its </w:t>
      </w:r>
      <w:r w:rsidR="003423B7">
        <w:t>website</w:t>
      </w:r>
      <w:r>
        <w:t xml:space="preserve"> under subsection 10(10) of the</w:t>
      </w:r>
      <w:r w:rsidRPr="00EE1BA8">
        <w:rPr>
          <w:i/>
          <w:iCs/>
        </w:rPr>
        <w:t xml:space="preserve"> Australian Radiofrequency Spectrum Plan 2017</w:t>
      </w:r>
      <w:r>
        <w:t xml:space="preserve"> is taken to have been approved and published under subsection 10(10) of this Spectrum Plan.</w:t>
      </w:r>
    </w:p>
    <w:p w14:paraId="23516C23" w14:textId="77777777" w:rsidR="00820B75" w:rsidRPr="006C20B7" w:rsidRDefault="00820B75" w:rsidP="00820B75">
      <w:pPr>
        <w:pStyle w:val="Heading2"/>
        <w:rPr>
          <w:b w:val="0"/>
          <w:lang w:bidi="he-IL"/>
        </w:rPr>
      </w:pPr>
      <w:bookmarkStart w:id="15" w:name="_Toc460759363"/>
      <w:bookmarkStart w:id="16" w:name="_Toc461713865"/>
      <w:bookmarkStart w:id="17" w:name="_Toc49171481"/>
      <w:bookmarkStart w:id="18" w:name="_Toc72415558"/>
      <w:r w:rsidRPr="006C20B7">
        <w:rPr>
          <w:rStyle w:val="Heading2Char"/>
          <w:b/>
          <w:bCs/>
        </w:rPr>
        <w:t>Chapter 2—Part 2: Table of frequency band allocations</w:t>
      </w:r>
      <w:bookmarkEnd w:id="15"/>
      <w:bookmarkEnd w:id="16"/>
      <w:bookmarkEnd w:id="17"/>
      <w:bookmarkEnd w:id="18"/>
      <w:r w:rsidRPr="00AB5852">
        <w:rPr>
          <w:lang w:bidi="he-IL"/>
        </w:rPr>
        <w:t xml:space="preserve"> </w:t>
      </w:r>
    </w:p>
    <w:p w14:paraId="05AE4772" w14:textId="77777777" w:rsidR="00820B75" w:rsidRPr="00354377" w:rsidRDefault="00820B75" w:rsidP="00820B75">
      <w:pPr>
        <w:pStyle w:val="Heading3"/>
        <w:rPr>
          <w:lang w:bidi="he-IL"/>
        </w:rPr>
      </w:pPr>
      <w:bookmarkStart w:id="19" w:name="_Toc460759364"/>
      <w:bookmarkStart w:id="20" w:name="_Toc461713866"/>
      <w:r w:rsidRPr="007D6B04">
        <w:rPr>
          <w:lang w:bidi="he-IL"/>
        </w:rPr>
        <w:t>Column 1: ITU Radio Regulations table of allocations</w:t>
      </w:r>
      <w:bookmarkEnd w:id="19"/>
      <w:bookmarkEnd w:id="20"/>
      <w:r w:rsidRPr="00354377">
        <w:rPr>
          <w:lang w:bidi="he-IL"/>
        </w:rPr>
        <w:t xml:space="preserve"> </w:t>
      </w:r>
    </w:p>
    <w:p w14:paraId="09F793E5" w14:textId="4C7FF622" w:rsidR="00820B75" w:rsidRDefault="00360BEB" w:rsidP="00F87AAC">
      <w:pPr>
        <w:pStyle w:val="Paragraph"/>
      </w:pPr>
      <w:r>
        <w:t xml:space="preserve">No further changes were identified in submissions. The </w:t>
      </w:r>
      <w:r w:rsidR="00F94286" w:rsidRPr="003423B7">
        <w:t>CA SSWG</w:t>
      </w:r>
      <w:r>
        <w:t xml:space="preserve"> commented that the proposed changes to the </w:t>
      </w:r>
      <w:r w:rsidR="0058205B">
        <w:rPr>
          <w:lang w:bidi="he-IL"/>
        </w:rPr>
        <w:t>Spectrum Plan</w:t>
      </w:r>
      <w:r w:rsidR="0058205B">
        <w:t xml:space="preserve"> </w:t>
      </w:r>
      <w:r>
        <w:t xml:space="preserve">reflect those made at WRC-19 and have been faithfully and correctly inserted.  </w:t>
      </w:r>
    </w:p>
    <w:p w14:paraId="79F1637F" w14:textId="77777777" w:rsidR="00820B75" w:rsidRPr="001D4BA6" w:rsidRDefault="00820B75" w:rsidP="00820B75">
      <w:pPr>
        <w:pStyle w:val="Heading3"/>
        <w:rPr>
          <w:lang w:bidi="he-IL"/>
        </w:rPr>
      </w:pPr>
      <w:bookmarkStart w:id="21" w:name="_Toc460759365"/>
      <w:bookmarkStart w:id="22" w:name="_Toc461713867"/>
      <w:r w:rsidRPr="001D4BA6">
        <w:rPr>
          <w:lang w:bidi="he-IL"/>
        </w:rPr>
        <w:t xml:space="preserve">Column 2: Australian </w:t>
      </w:r>
      <w:r>
        <w:rPr>
          <w:lang w:bidi="he-IL"/>
        </w:rPr>
        <w:t>t</w:t>
      </w:r>
      <w:r w:rsidRPr="001D4BA6">
        <w:rPr>
          <w:lang w:bidi="he-IL"/>
        </w:rPr>
        <w:t xml:space="preserve">able of </w:t>
      </w:r>
      <w:r>
        <w:rPr>
          <w:lang w:bidi="he-IL"/>
        </w:rPr>
        <w:t>a</w:t>
      </w:r>
      <w:r w:rsidRPr="001D4BA6">
        <w:rPr>
          <w:lang w:bidi="he-IL"/>
        </w:rPr>
        <w:t>llocations</w:t>
      </w:r>
      <w:bookmarkEnd w:id="21"/>
      <w:bookmarkEnd w:id="22"/>
    </w:p>
    <w:p w14:paraId="0803EA70" w14:textId="79ED228A" w:rsidR="00F94286" w:rsidRDefault="00820B75" w:rsidP="00820B75">
      <w:pPr>
        <w:pStyle w:val="Paragraphbeforelist"/>
        <w:rPr>
          <w:lang w:bidi="he-IL"/>
        </w:rPr>
      </w:pPr>
      <w:r>
        <w:rPr>
          <w:lang w:bidi="he-IL"/>
        </w:rPr>
        <w:t>The changes proposed reflect</w:t>
      </w:r>
      <w:r w:rsidR="00AD13A6">
        <w:rPr>
          <w:lang w:bidi="he-IL"/>
        </w:rPr>
        <w:t>ed</w:t>
      </w:r>
      <w:r>
        <w:rPr>
          <w:lang w:bidi="he-IL"/>
        </w:rPr>
        <w:t xml:space="preserve"> international changes affecting Australia and minor editorial changes. </w:t>
      </w:r>
    </w:p>
    <w:p w14:paraId="19530065" w14:textId="4EF48EE4" w:rsidR="00AD13A6" w:rsidRPr="00F87AAC" w:rsidRDefault="00AD13A6" w:rsidP="00AD13A6">
      <w:pPr>
        <w:pStyle w:val="Heading4"/>
        <w:rPr>
          <w:i w:val="0"/>
          <w:iCs/>
          <w:lang w:bidi="he-IL"/>
        </w:rPr>
      </w:pPr>
      <w:r w:rsidRPr="00F87AAC">
        <w:rPr>
          <w:i w:val="0"/>
          <w:iCs/>
          <w:lang w:bidi="he-IL"/>
        </w:rPr>
        <w:t xml:space="preserve">Submissions </w:t>
      </w:r>
      <w:r w:rsidR="00B972BC">
        <w:rPr>
          <w:i w:val="0"/>
          <w:iCs/>
          <w:lang w:bidi="he-IL"/>
        </w:rPr>
        <w:t xml:space="preserve">received </w:t>
      </w:r>
      <w:r w:rsidRPr="00F87AAC">
        <w:rPr>
          <w:i w:val="0"/>
          <w:iCs/>
          <w:lang w:bidi="he-IL"/>
        </w:rPr>
        <w:t>and ACMA response</w:t>
      </w:r>
    </w:p>
    <w:p w14:paraId="2960C9A6" w14:textId="5D34881E" w:rsidR="00F94286" w:rsidRPr="00F87AAC" w:rsidRDefault="00F94286" w:rsidP="00AD13A6">
      <w:pPr>
        <w:pStyle w:val="Tableheaderrow"/>
        <w:rPr>
          <w:b w:val="0"/>
          <w:bCs/>
          <w:i/>
          <w:iCs/>
          <w:lang w:bidi="he-IL"/>
        </w:rPr>
      </w:pPr>
      <w:r w:rsidRPr="00F87AAC">
        <w:rPr>
          <w:b w:val="0"/>
          <w:bCs/>
          <w:i/>
          <w:iCs/>
          <w:lang w:bidi="he-IL"/>
        </w:rPr>
        <w:t>Amateur services</w:t>
      </w:r>
    </w:p>
    <w:p w14:paraId="173EE32F" w14:textId="1A32C54D" w:rsidR="00F94286" w:rsidRDefault="00B972BC" w:rsidP="000F0EEB">
      <w:pPr>
        <w:pStyle w:val="Paragraph"/>
      </w:pPr>
      <w:r>
        <w:t xml:space="preserve">In his </w:t>
      </w:r>
      <w:r w:rsidR="00F94286">
        <w:t>submission</w:t>
      </w:r>
      <w:r>
        <w:t xml:space="preserve">, </w:t>
      </w:r>
      <w:r w:rsidR="00F94286">
        <w:t>Ian Godsil</w:t>
      </w:r>
      <w:r>
        <w:t xml:space="preserve"> </w:t>
      </w:r>
      <w:r w:rsidR="00F94286">
        <w:t>urged the</w:t>
      </w:r>
      <w:r w:rsidR="00F94286" w:rsidRPr="00F94286">
        <w:t xml:space="preserve"> ACMA to keep allocations for the Amateur Service in harmony with other parts of the world as much as possible and as quickly as possible after any changes at International Amateur Radio Union (IARU) level.</w:t>
      </w:r>
      <w:r w:rsidR="00F94286">
        <w:t xml:space="preserve"> However, no specific changes were proposed. </w:t>
      </w:r>
    </w:p>
    <w:p w14:paraId="24BE5DD6" w14:textId="5792312A" w:rsidR="00AD13A6" w:rsidRDefault="00F94286" w:rsidP="000F0EEB">
      <w:pPr>
        <w:pStyle w:val="Paragraph"/>
      </w:pPr>
      <w:r>
        <w:t>The IARU is an international confederation of national amateur radio organisations that allows a forum for common concern</w:t>
      </w:r>
      <w:r w:rsidR="003423B7">
        <w:t>s</w:t>
      </w:r>
      <w:r>
        <w:t xml:space="preserve"> and collectively represents matters to the ITU. Australia’s adoption of the ITU </w:t>
      </w:r>
      <w:r w:rsidR="00B35BA6">
        <w:t>R</w:t>
      </w:r>
      <w:r>
        <w:t xml:space="preserve">adio </w:t>
      </w:r>
      <w:r w:rsidR="00B35BA6">
        <w:t>R</w:t>
      </w:r>
      <w:r>
        <w:t xml:space="preserve">egulations, including amateur allocations where appropriate, are reflected in the </w:t>
      </w:r>
      <w:r w:rsidR="0058205B">
        <w:rPr>
          <w:lang w:bidi="he-IL"/>
        </w:rPr>
        <w:t>Spectrum Plan</w:t>
      </w:r>
      <w:r>
        <w:t xml:space="preserve">. However, licensing and authorisation arrangements in Australia </w:t>
      </w:r>
      <w:r w:rsidR="00780646">
        <w:t xml:space="preserve">need to be developed </w:t>
      </w:r>
      <w:r w:rsidR="000E7539">
        <w:t>in</w:t>
      </w:r>
      <w:r w:rsidR="00780646">
        <w:t xml:space="preserve"> consideration of </w:t>
      </w:r>
      <w:r>
        <w:t>the Australian domestic environment.</w:t>
      </w:r>
    </w:p>
    <w:p w14:paraId="718C58BB" w14:textId="4224AF93" w:rsidR="00F94286" w:rsidRPr="000F0EEB" w:rsidRDefault="00F94286" w:rsidP="00AD13A6">
      <w:pPr>
        <w:pStyle w:val="Tableheaderrow"/>
        <w:keepNext/>
        <w:keepLines/>
        <w:rPr>
          <w:b w:val="0"/>
          <w:bCs/>
          <w:i/>
          <w:iCs/>
          <w:lang w:bidi="he-IL"/>
        </w:rPr>
      </w:pPr>
      <w:r w:rsidRPr="000F0EEB">
        <w:rPr>
          <w:b w:val="0"/>
          <w:bCs/>
          <w:i/>
          <w:iCs/>
          <w:lang w:bidi="he-IL"/>
        </w:rPr>
        <w:t>Automotive radar in 24 GHz</w:t>
      </w:r>
    </w:p>
    <w:p w14:paraId="563E0C4E" w14:textId="1E74F8EB" w:rsidR="00F94286" w:rsidRDefault="00B35BA6" w:rsidP="000F0EEB">
      <w:pPr>
        <w:pStyle w:val="Paragraph"/>
      </w:pPr>
      <w:r>
        <w:t>In their submission</w:t>
      </w:r>
      <w:r w:rsidR="00780646">
        <w:t>,</w:t>
      </w:r>
      <w:r w:rsidR="00F94286">
        <w:t xml:space="preserve"> Mercedes-Benz requested that the 24 GHz </w:t>
      </w:r>
      <w:r w:rsidR="00EF1B84" w:rsidRPr="00EF1B84">
        <w:t xml:space="preserve">industrial, scientific and medical (ISM) </w:t>
      </w:r>
      <w:r w:rsidR="00F94286">
        <w:t>band (24.05</w:t>
      </w:r>
      <w:r w:rsidR="00780646">
        <w:t>–</w:t>
      </w:r>
      <w:r w:rsidR="00F94286">
        <w:t xml:space="preserve">24.25 GHz) be reinstated for automotive radars. </w:t>
      </w:r>
    </w:p>
    <w:p w14:paraId="25285483" w14:textId="5438E73E" w:rsidR="00F94286" w:rsidRDefault="00F94286" w:rsidP="000F0EEB">
      <w:pPr>
        <w:pStyle w:val="Paragraph"/>
        <w:rPr>
          <w:lang w:bidi="he-IL"/>
        </w:rPr>
      </w:pPr>
      <w:r>
        <w:rPr>
          <w:lang w:bidi="he-IL"/>
        </w:rPr>
        <w:lastRenderedPageBreak/>
        <w:t>Automotive radars in the 24 GHz band are being phased</w:t>
      </w:r>
      <w:r w:rsidR="00780646">
        <w:rPr>
          <w:lang w:bidi="he-IL"/>
        </w:rPr>
        <w:t>-</w:t>
      </w:r>
      <w:r>
        <w:rPr>
          <w:lang w:bidi="he-IL"/>
        </w:rPr>
        <w:t>out in favour of more modern 77 GHz vehicle radars. However, legacy 24 GHz band radars will remain in circulation for some time. There is currently no barrie</w:t>
      </w:r>
      <w:r w:rsidR="00B35BA6">
        <w:rPr>
          <w:lang w:bidi="he-IL"/>
        </w:rPr>
        <w:t>r</w:t>
      </w:r>
      <w:r>
        <w:rPr>
          <w:lang w:bidi="he-IL"/>
        </w:rPr>
        <w:t xml:space="preserve"> to the use of 24 GHz band automotive radars in the </w:t>
      </w:r>
      <w:r w:rsidR="0058205B">
        <w:rPr>
          <w:lang w:bidi="he-IL"/>
        </w:rPr>
        <w:t>Spectrum Plan</w:t>
      </w:r>
      <w:r>
        <w:rPr>
          <w:lang w:bidi="he-IL"/>
        </w:rPr>
        <w:t xml:space="preserve">. These devices </w:t>
      </w:r>
      <w:r w:rsidR="00AD13A6">
        <w:rPr>
          <w:lang w:bidi="he-IL"/>
        </w:rPr>
        <w:t xml:space="preserve">continue to be </w:t>
      </w:r>
      <w:r>
        <w:rPr>
          <w:lang w:bidi="he-IL"/>
        </w:rPr>
        <w:t>authorised via the</w:t>
      </w:r>
      <w:r w:rsidRPr="00F94286">
        <w:t xml:space="preserve"> </w:t>
      </w:r>
      <w:r w:rsidRPr="000F0EEB">
        <w:rPr>
          <w:lang w:bidi="he-IL"/>
        </w:rPr>
        <w:t>Radiocommunications (Low Interference Potential Devices) Class Licence 2015</w:t>
      </w:r>
      <w:r w:rsidR="00780646">
        <w:rPr>
          <w:lang w:bidi="he-IL"/>
        </w:rPr>
        <w:t>.</w:t>
      </w:r>
      <w:r>
        <w:rPr>
          <w:rStyle w:val="FootnoteReference"/>
          <w:lang w:bidi="he-IL"/>
        </w:rPr>
        <w:footnoteReference w:id="4"/>
      </w:r>
      <w:r>
        <w:rPr>
          <w:lang w:bidi="he-IL"/>
        </w:rPr>
        <w:t xml:space="preserve"> </w:t>
      </w:r>
      <w:r w:rsidR="00AD13A6">
        <w:rPr>
          <w:lang w:bidi="he-IL"/>
        </w:rPr>
        <w:t xml:space="preserve">Therefore, </w:t>
      </w:r>
      <w:r>
        <w:rPr>
          <w:lang w:bidi="he-IL"/>
        </w:rPr>
        <w:t xml:space="preserve">no changes are required to the </w:t>
      </w:r>
      <w:r w:rsidR="0058205B">
        <w:rPr>
          <w:lang w:bidi="he-IL"/>
        </w:rPr>
        <w:t>Spectrum Plan</w:t>
      </w:r>
      <w:r>
        <w:rPr>
          <w:lang w:bidi="he-IL"/>
        </w:rPr>
        <w:t>.</w:t>
      </w:r>
    </w:p>
    <w:p w14:paraId="13CD8B5C" w14:textId="77777777" w:rsidR="00820B75" w:rsidRPr="003B0E13" w:rsidRDefault="00820B75" w:rsidP="00820B75">
      <w:pPr>
        <w:pStyle w:val="Heading2"/>
        <w:rPr>
          <w:lang w:bidi="he-IL"/>
        </w:rPr>
      </w:pPr>
      <w:bookmarkStart w:id="23" w:name="_Chapter_2—Part_3:"/>
      <w:bookmarkStart w:id="24" w:name="_Toc460759366"/>
      <w:bookmarkStart w:id="25" w:name="_Toc461713868"/>
      <w:bookmarkStart w:id="26" w:name="_Toc49171482"/>
      <w:bookmarkStart w:id="27" w:name="_Toc72415559"/>
      <w:bookmarkEnd w:id="23"/>
      <w:r>
        <w:rPr>
          <w:lang w:bidi="he-IL"/>
        </w:rPr>
        <w:t>Chapter 2—Part 3: Australian footnotes</w:t>
      </w:r>
      <w:bookmarkEnd w:id="24"/>
      <w:bookmarkEnd w:id="25"/>
      <w:bookmarkEnd w:id="26"/>
      <w:bookmarkEnd w:id="27"/>
    </w:p>
    <w:p w14:paraId="6FC8A7D8" w14:textId="38A1E9DA" w:rsidR="00AD13A6" w:rsidRDefault="00AD13A6" w:rsidP="000F0EEB">
      <w:pPr>
        <w:pStyle w:val="Paragraphbeforelist"/>
      </w:pPr>
      <w:r>
        <w:t xml:space="preserve">Changes to </w:t>
      </w:r>
      <w:r w:rsidR="00780646">
        <w:t xml:space="preserve">2 </w:t>
      </w:r>
      <w:r>
        <w:t>Australian footnotes were discussed in the consultation paper</w:t>
      </w:r>
      <w:r w:rsidR="00780646">
        <w:t xml:space="preserve">: </w:t>
      </w:r>
    </w:p>
    <w:p w14:paraId="2BAA111A" w14:textId="369530EE" w:rsidR="00AD13A6" w:rsidRDefault="00AD13A6" w:rsidP="000F0EEB">
      <w:pPr>
        <w:pStyle w:val="Paragraph"/>
        <w:numPr>
          <w:ilvl w:val="0"/>
          <w:numId w:val="21"/>
        </w:numPr>
        <w:spacing w:after="80"/>
        <w:ind w:left="284" w:hanging="284"/>
      </w:pPr>
      <w:r>
        <w:t xml:space="preserve">Australian Footnote AUS53 was proposed to be updated to reflect </w:t>
      </w:r>
      <w:r w:rsidRPr="006B553E">
        <w:t xml:space="preserve">structural changes to the Radio Regulations that were not captured in previous updates to the </w:t>
      </w:r>
      <w:r>
        <w:t>S</w:t>
      </w:r>
      <w:r w:rsidRPr="006B553E">
        <w:t xml:space="preserve">pectrum </w:t>
      </w:r>
      <w:r>
        <w:t>P</w:t>
      </w:r>
      <w:r w:rsidRPr="006B553E">
        <w:t>lan</w:t>
      </w:r>
      <w:r w:rsidR="007F6316">
        <w:t xml:space="preserve">. The proposal would </w:t>
      </w:r>
      <w:r w:rsidRPr="006B553E">
        <w:t>also expand the frequency ranges within</w:t>
      </w:r>
      <w:r>
        <w:t xml:space="preserve"> the</w:t>
      </w:r>
      <w:r w:rsidRPr="006B553E">
        <w:t xml:space="preserve"> scope of the footnote to incorporate all applicable frequency segments under </w:t>
      </w:r>
      <w:r w:rsidRPr="00F41AD1">
        <w:t>Appendix 17</w:t>
      </w:r>
      <w:r w:rsidRPr="006B553E">
        <w:t xml:space="preserve"> of </w:t>
      </w:r>
      <w:r>
        <w:t>Radio Regulations</w:t>
      </w:r>
      <w:r w:rsidRPr="006B553E">
        <w:t>.</w:t>
      </w:r>
      <w:r>
        <w:t xml:space="preserve"> These proposed changes were specifically supported by AMSA and received no objections. Therefore, the changes have been adopted in the new Spectrum Plan. </w:t>
      </w:r>
    </w:p>
    <w:p w14:paraId="28F789A8" w14:textId="503086BB" w:rsidR="00AE4B70" w:rsidRDefault="00780646" w:rsidP="000F0EEB">
      <w:pPr>
        <w:pStyle w:val="Paragraph"/>
        <w:numPr>
          <w:ilvl w:val="0"/>
          <w:numId w:val="21"/>
        </w:numPr>
        <w:ind w:left="284" w:hanging="284"/>
      </w:pPr>
      <w:r>
        <w:t>C</w:t>
      </w:r>
      <w:r w:rsidR="00AD13A6">
        <w:t xml:space="preserve">omment was sought on potential changes to Australian footnote AUS98. </w:t>
      </w:r>
      <w:r w:rsidR="00AE4B70">
        <w:t xml:space="preserve">No comments were received </w:t>
      </w:r>
      <w:r>
        <w:t>about</w:t>
      </w:r>
      <w:r w:rsidR="00AE4B70">
        <w:t xml:space="preserve"> </w:t>
      </w:r>
      <w:r w:rsidR="00AD13A6">
        <w:t>this issue. Therefore, n</w:t>
      </w:r>
      <w:r w:rsidR="00AE4B70">
        <w:t>o further changes have been made to this footnote</w:t>
      </w:r>
      <w:r>
        <w:t>,</w:t>
      </w:r>
      <w:r w:rsidR="00AE4B70">
        <w:t xml:space="preserve"> other than correcting the frequency bands listed in </w:t>
      </w:r>
      <w:r>
        <w:t xml:space="preserve">the </w:t>
      </w:r>
      <w:r w:rsidR="00AE4B70">
        <w:t xml:space="preserve">footnote to align with </w:t>
      </w:r>
      <w:hyperlink r:id="rId25" w:history="1">
        <w:r w:rsidR="00AE4B70" w:rsidRPr="006C20B7">
          <w:rPr>
            <w:rStyle w:val="Hyperlink"/>
          </w:rPr>
          <w:t>Radiocommunications Assignment and Licensing Instruction (RALI) MS22</w:t>
        </w:r>
      </w:hyperlink>
      <w:r>
        <w:t xml:space="preserve">, </w:t>
      </w:r>
      <w:r w:rsidR="00AD13A6">
        <w:t xml:space="preserve">as foreshadowed in the draft Spectrum Plan. </w:t>
      </w:r>
      <w:r w:rsidR="00AE4B70">
        <w:t xml:space="preserve"> </w:t>
      </w:r>
    </w:p>
    <w:p w14:paraId="412AE3D0" w14:textId="77777777" w:rsidR="0064571B" w:rsidRPr="00936E40" w:rsidRDefault="0064571B" w:rsidP="0064571B">
      <w:pPr>
        <w:pStyle w:val="Heading4"/>
        <w:rPr>
          <w:i w:val="0"/>
          <w:iCs/>
          <w:lang w:bidi="he-IL"/>
        </w:rPr>
      </w:pPr>
      <w:r w:rsidRPr="00936E40">
        <w:rPr>
          <w:i w:val="0"/>
          <w:iCs/>
          <w:lang w:bidi="he-IL"/>
        </w:rPr>
        <w:t>Submissions and ACMA response</w:t>
      </w:r>
    </w:p>
    <w:p w14:paraId="4687F618" w14:textId="515B6708" w:rsidR="0064571B" w:rsidRPr="00936E40" w:rsidRDefault="0064571B" w:rsidP="00936E40">
      <w:pPr>
        <w:pStyle w:val="Tableheaderrow"/>
        <w:keepNext/>
        <w:keepLines/>
        <w:rPr>
          <w:bCs/>
          <w:i/>
          <w:iCs/>
          <w:lang w:bidi="he-IL"/>
        </w:rPr>
      </w:pPr>
      <w:r w:rsidRPr="00936E40">
        <w:rPr>
          <w:b w:val="0"/>
          <w:bCs/>
          <w:i/>
          <w:iCs/>
          <w:lang w:bidi="he-IL"/>
        </w:rPr>
        <w:t>Remotely Piloted Aircraft Systems (RPAS) in the 5 030</w:t>
      </w:r>
      <w:r w:rsidR="00780646" w:rsidRPr="00780646">
        <w:rPr>
          <w:b w:val="0"/>
          <w:bCs/>
          <w:i/>
          <w:iCs/>
          <w:lang w:bidi="he-IL"/>
        </w:rPr>
        <w:t>–</w:t>
      </w:r>
      <w:r w:rsidRPr="00936E40">
        <w:rPr>
          <w:b w:val="0"/>
          <w:bCs/>
          <w:i/>
          <w:iCs/>
          <w:lang w:bidi="he-IL"/>
        </w:rPr>
        <w:t xml:space="preserve">5 091 MHz band </w:t>
      </w:r>
    </w:p>
    <w:p w14:paraId="1AC79634" w14:textId="6FAD848E" w:rsidR="0064571B" w:rsidRDefault="00780646" w:rsidP="00936E40">
      <w:pPr>
        <w:pStyle w:val="Paragraph"/>
      </w:pPr>
      <w:r>
        <w:t xml:space="preserve">In their submission, </w:t>
      </w:r>
      <w:r w:rsidR="0064571B">
        <w:t>Boeing Australia Holdings request</w:t>
      </w:r>
      <w:r>
        <w:t>ed</w:t>
      </w:r>
      <w:r w:rsidR="0064571B">
        <w:t xml:space="preserve"> the ACMA </w:t>
      </w:r>
      <w:r w:rsidR="0064571B" w:rsidRPr="0064571B">
        <w:t xml:space="preserve">to </w:t>
      </w:r>
      <w:r w:rsidR="0064571B">
        <w:t>facilitate</w:t>
      </w:r>
      <w:r w:rsidR="0064571B" w:rsidRPr="0064571B">
        <w:t xml:space="preserve"> tentative regulatory access for larger commercial Remotely Piloted Aircraft Systems (RPAS) in the 5 030</w:t>
      </w:r>
      <w:r>
        <w:t>–</w:t>
      </w:r>
      <w:r w:rsidR="0064571B" w:rsidRPr="0064571B">
        <w:t xml:space="preserve">5 091 MHz </w:t>
      </w:r>
      <w:r w:rsidR="0064571B">
        <w:t xml:space="preserve">band </w:t>
      </w:r>
      <w:r w:rsidR="0064571B" w:rsidRPr="0064571B">
        <w:t xml:space="preserve">via a new Australian footnote. </w:t>
      </w:r>
    </w:p>
    <w:p w14:paraId="64CB4657" w14:textId="767C04D8" w:rsidR="00086A9D" w:rsidRDefault="0064571B" w:rsidP="00936E40">
      <w:pPr>
        <w:pStyle w:val="Paragraph"/>
      </w:pPr>
      <w:r>
        <w:t xml:space="preserve">While an Australian footnote </w:t>
      </w:r>
      <w:r w:rsidR="00057AFF">
        <w:t xml:space="preserve">can </w:t>
      </w:r>
      <w:r>
        <w:t xml:space="preserve">provide visibility of this use, it </w:t>
      </w:r>
      <w:r w:rsidR="00057AFF">
        <w:t xml:space="preserve">does </w:t>
      </w:r>
      <w:r>
        <w:t>not facilitate access directly</w:t>
      </w:r>
      <w:r w:rsidR="00780646">
        <w:t>,</w:t>
      </w:r>
      <w:r w:rsidR="003939BF">
        <w:t xml:space="preserve"> as associated planning, licensing, pricing and allocation frameworks </w:t>
      </w:r>
      <w:r w:rsidR="00D3430F">
        <w:t xml:space="preserve">also </w:t>
      </w:r>
      <w:r w:rsidR="003939BF">
        <w:t>need to be established</w:t>
      </w:r>
      <w:r>
        <w:t xml:space="preserve">. In general, </w:t>
      </w:r>
      <w:r w:rsidRPr="0064571B">
        <w:t xml:space="preserve">Australian footnotes </w:t>
      </w:r>
      <w:r>
        <w:t xml:space="preserve">highlight </w:t>
      </w:r>
      <w:r w:rsidRPr="0064571B">
        <w:t>uniquely Australian provisions</w:t>
      </w:r>
      <w:r>
        <w:t xml:space="preserve">. Arrangements for RPAS are </w:t>
      </w:r>
      <w:r w:rsidRPr="0064571B">
        <w:t xml:space="preserve">already reflected </w:t>
      </w:r>
      <w:r>
        <w:t>via a primary allocation to the Aeronautical Mobile (R) Service in this band</w:t>
      </w:r>
      <w:r w:rsidR="007F6316">
        <w:t xml:space="preserve">, and </w:t>
      </w:r>
      <w:r w:rsidR="00536AF0">
        <w:t xml:space="preserve">5 GHz spectrum arrangements for RPAS </w:t>
      </w:r>
      <w:r w:rsidR="007F6316">
        <w:t>is not</w:t>
      </w:r>
      <w:r w:rsidR="00536AF0">
        <w:t xml:space="preserve"> </w:t>
      </w:r>
      <w:r w:rsidR="007F6316">
        <w:t>uniquely Australian</w:t>
      </w:r>
      <w:r>
        <w:t xml:space="preserve">. </w:t>
      </w:r>
      <w:r w:rsidR="00086A9D">
        <w:t xml:space="preserve">Therefore, a new Australian footnote has not been adopted at this stage. </w:t>
      </w:r>
    </w:p>
    <w:p w14:paraId="37EB5F2E" w14:textId="4183DFD7" w:rsidR="0064571B" w:rsidRDefault="00086A9D" w:rsidP="00AC64C8">
      <w:pPr>
        <w:pStyle w:val="Paragraphbeforelist"/>
        <w:spacing w:after="240"/>
      </w:pPr>
      <w:r>
        <w:t>As discussed in the</w:t>
      </w:r>
      <w:r w:rsidR="00AC64C8">
        <w:t xml:space="preserve"> draft</w:t>
      </w:r>
      <w:r>
        <w:t xml:space="preserve"> </w:t>
      </w:r>
      <w:hyperlink r:id="rId26" w:history="1">
        <w:r w:rsidRPr="008340DA">
          <w:rPr>
            <w:rStyle w:val="Hyperlink"/>
            <w:i/>
            <w:iCs/>
          </w:rPr>
          <w:t>Five-year spectrum outlook 202</w:t>
        </w:r>
        <w:r w:rsidR="00AC64C8" w:rsidRPr="008340DA">
          <w:rPr>
            <w:rStyle w:val="Hyperlink"/>
            <w:i/>
            <w:iCs/>
          </w:rPr>
          <w:t>1</w:t>
        </w:r>
        <w:r w:rsidR="00536AF0">
          <w:rPr>
            <w:rStyle w:val="Hyperlink"/>
            <w:i/>
            <w:iCs/>
          </w:rPr>
          <w:t>–</w:t>
        </w:r>
        <w:r w:rsidRPr="008340DA">
          <w:rPr>
            <w:rStyle w:val="Hyperlink"/>
            <w:i/>
            <w:iCs/>
          </w:rPr>
          <w:t>202</w:t>
        </w:r>
        <w:r w:rsidR="00AC64C8" w:rsidRPr="008340DA">
          <w:rPr>
            <w:rStyle w:val="Hyperlink"/>
            <w:i/>
            <w:iCs/>
          </w:rPr>
          <w:t>6</w:t>
        </w:r>
      </w:hyperlink>
      <w:r>
        <w:t xml:space="preserve">, </w:t>
      </w:r>
      <w:r w:rsidRPr="00086A9D">
        <w:t xml:space="preserve">we are working towards </w:t>
      </w:r>
      <w:r w:rsidR="003939BF">
        <w:t>investigating potential</w:t>
      </w:r>
      <w:r w:rsidR="003939BF" w:rsidRPr="00086A9D">
        <w:t xml:space="preserve"> </w:t>
      </w:r>
      <w:r w:rsidRPr="00086A9D">
        <w:t>new RPAS-specific planning and apparatus</w:t>
      </w:r>
      <w:r w:rsidR="006B687D">
        <w:t>-</w:t>
      </w:r>
      <w:r w:rsidRPr="00086A9D">
        <w:t xml:space="preserve">licensing arrangements in bands allocated in the ITU’s Radio Regulations (RRs) to the </w:t>
      </w:r>
      <w:r w:rsidRPr="00AC64C8">
        <w:t>aeronautical mobile services in the 5 GHz band (specifically</w:t>
      </w:r>
      <w:r w:rsidR="006B687D">
        <w:t>,</w:t>
      </w:r>
      <w:r w:rsidRPr="00AC64C8">
        <w:t xml:space="preserve"> in the range 5030–5091 MHz). A </w:t>
      </w:r>
      <w:hyperlink r:id="rId27" w:history="1">
        <w:r w:rsidRPr="00AC64C8">
          <w:rPr>
            <w:rStyle w:val="Hyperlink"/>
          </w:rPr>
          <w:t>consultation paper</w:t>
        </w:r>
      </w:hyperlink>
      <w:r w:rsidR="00AC64C8" w:rsidRPr="00AC64C8">
        <w:t xml:space="preserve"> on the use of 5030</w:t>
      </w:r>
      <w:r w:rsidR="006B687D" w:rsidRPr="00AC64C8">
        <w:t>–</w:t>
      </w:r>
      <w:r w:rsidR="00AC64C8" w:rsidRPr="00AC64C8">
        <w:t xml:space="preserve">5091 MHz band for RPAS was released on 7 April 2021. </w:t>
      </w:r>
    </w:p>
    <w:p w14:paraId="5BAF375C" w14:textId="194C54CC" w:rsidR="0064571B" w:rsidRPr="008340DA" w:rsidRDefault="00086A9D" w:rsidP="0064571B">
      <w:pPr>
        <w:pStyle w:val="Tableheaderrow"/>
        <w:keepNext/>
        <w:keepLines/>
        <w:rPr>
          <w:b w:val="0"/>
          <w:bCs/>
          <w:i/>
          <w:iCs/>
          <w:lang w:bidi="he-IL"/>
        </w:rPr>
      </w:pPr>
      <w:r w:rsidRPr="008340DA">
        <w:rPr>
          <w:b w:val="0"/>
          <w:bCs/>
          <w:i/>
          <w:iCs/>
          <w:lang w:bidi="he-IL"/>
        </w:rPr>
        <w:t>Defence footnotes</w:t>
      </w:r>
    </w:p>
    <w:p w14:paraId="67AC610D" w14:textId="642A6545" w:rsidR="00251896" w:rsidRDefault="00251896" w:rsidP="008340DA">
      <w:pPr>
        <w:pStyle w:val="Paragraph"/>
      </w:pPr>
      <w:r>
        <w:t xml:space="preserve">In their submission, </w:t>
      </w:r>
      <w:r w:rsidR="002F5DC9">
        <w:t xml:space="preserve">the Department of </w:t>
      </w:r>
      <w:r>
        <w:t xml:space="preserve">Defence proposed several amendments to the Spectrum Plan. The proposed amendments included adding Australian footnotes AUS100A, AUS101, or AUS101A to various frequency bands. A number of these requests had been made in previous updates to the Spectrum Plan. </w:t>
      </w:r>
    </w:p>
    <w:p w14:paraId="4FC8B6D3" w14:textId="65226832" w:rsidR="00DF7F8A" w:rsidRDefault="00251896" w:rsidP="008340DA">
      <w:pPr>
        <w:pStyle w:val="Paragraph"/>
      </w:pPr>
      <w:r>
        <w:t xml:space="preserve">The ACMA maintains that </w:t>
      </w:r>
      <w:r w:rsidR="00057AFF">
        <w:t xml:space="preserve">a </w:t>
      </w:r>
      <w:r w:rsidR="004173E9">
        <w:t>balance needs to be struck between Defence interests in particular frequency bands and other users. The addition of a Defence footnote can alter the dynamic in a frequency band and introduce additional requirements on non-</w:t>
      </w:r>
      <w:r w:rsidR="004173E9">
        <w:lastRenderedPageBreak/>
        <w:t xml:space="preserve">Defence users of a band. </w:t>
      </w:r>
      <w:r w:rsidR="00DF7F8A">
        <w:t xml:space="preserve">Moreover, while adding many of these footnotes might </w:t>
      </w:r>
      <w:r w:rsidR="00D117B1">
        <w:t xml:space="preserve">in some way </w:t>
      </w:r>
      <w:r w:rsidR="00DF7F8A">
        <w:t>ease Defence’s spectrum management burden</w:t>
      </w:r>
      <w:r w:rsidR="00D117B1">
        <w:t xml:space="preserve"> and/or further increase visibility of Defence use</w:t>
      </w:r>
      <w:r w:rsidR="00DF7F8A">
        <w:t>, a decision not to do so would not materially degrade Defence’s ability to access bands critical to its operations.</w:t>
      </w:r>
      <w:r w:rsidR="00D60C86">
        <w:t xml:space="preserve"> </w:t>
      </w:r>
      <w:r w:rsidR="00D60C86" w:rsidRPr="008340DA">
        <w:rPr>
          <w:i/>
          <w:iCs/>
        </w:rPr>
        <w:t>Chapter 1</w:t>
      </w:r>
      <w:r w:rsidR="000C0B6B" w:rsidRPr="008340DA">
        <w:rPr>
          <w:i/>
          <w:iCs/>
        </w:rPr>
        <w:t>—</w:t>
      </w:r>
      <w:r w:rsidR="00D60C86" w:rsidRPr="008340DA">
        <w:rPr>
          <w:i/>
          <w:iCs/>
        </w:rPr>
        <w:t xml:space="preserve">General </w:t>
      </w:r>
      <w:r w:rsidR="000C0B6B" w:rsidRPr="008340DA">
        <w:rPr>
          <w:i/>
          <w:iCs/>
        </w:rPr>
        <w:t>i</w:t>
      </w:r>
      <w:r w:rsidR="00D60C86" w:rsidRPr="008340DA">
        <w:rPr>
          <w:i/>
          <w:iCs/>
        </w:rPr>
        <w:t>nformation</w:t>
      </w:r>
      <w:r w:rsidR="00D60C86">
        <w:t xml:space="preserve"> contains a section regarding </w:t>
      </w:r>
      <w:r w:rsidR="000C0B6B">
        <w:t>D</w:t>
      </w:r>
      <w:r w:rsidR="00D60C86">
        <w:t>efence use of the spectrum</w:t>
      </w:r>
      <w:r w:rsidR="000C0B6B">
        <w:t>,</w:t>
      </w:r>
      <w:r w:rsidR="00D60C86">
        <w:t xml:space="preserve"> which highlights bands of interest to Defence and increases visibility of their spectrum use.</w:t>
      </w:r>
      <w:r w:rsidR="00D117B1">
        <w:t xml:space="preserve"> In some cases</w:t>
      </w:r>
      <w:r w:rsidR="00D60C86">
        <w:t>,</w:t>
      </w:r>
      <w:r w:rsidR="00D117B1">
        <w:t xml:space="preserve"> Defence access to the bands in question is already supported by </w:t>
      </w:r>
      <w:r w:rsidR="00D60C86">
        <w:t>Australia-wide</w:t>
      </w:r>
      <w:r w:rsidR="00D117B1">
        <w:t xml:space="preserve"> Defence </w:t>
      </w:r>
      <w:r w:rsidR="00D60C86">
        <w:t>a</w:t>
      </w:r>
      <w:r w:rsidR="00D117B1">
        <w:t xml:space="preserve">pparatus </w:t>
      </w:r>
      <w:r w:rsidR="00D60C86">
        <w:t>l</w:t>
      </w:r>
      <w:r w:rsidR="00D117B1">
        <w:t>icence</w:t>
      </w:r>
      <w:r w:rsidR="00D60C86">
        <w:t>s</w:t>
      </w:r>
      <w:r w:rsidR="000C0B6B">
        <w:t>,</w:t>
      </w:r>
      <w:r w:rsidR="00D117B1">
        <w:t xml:space="preserve"> providing considerable flexibility to Defence spectrum management.</w:t>
      </w:r>
      <w:r w:rsidR="004173E9">
        <w:t xml:space="preserve"> </w:t>
      </w:r>
    </w:p>
    <w:p w14:paraId="0B0F0F29" w14:textId="1C860293" w:rsidR="00AE4B70" w:rsidRDefault="00DF7F8A" w:rsidP="008340DA">
      <w:pPr>
        <w:pStyle w:val="Paragraph"/>
      </w:pPr>
      <w:r>
        <w:t>The exception to this is the decision to add</w:t>
      </w:r>
      <w:r w:rsidR="00251896">
        <w:t xml:space="preserve"> </w:t>
      </w:r>
      <w:r>
        <w:t>Australian footnote AUS10</w:t>
      </w:r>
      <w:r w:rsidR="005A79C7">
        <w:t>0</w:t>
      </w:r>
      <w:r>
        <w:t xml:space="preserve">A </w:t>
      </w:r>
      <w:r w:rsidR="00251896">
        <w:t xml:space="preserve">to </w:t>
      </w:r>
      <w:r>
        <w:t xml:space="preserve">the 7 375–7 750 MHz band, </w:t>
      </w:r>
      <w:r w:rsidR="00251896">
        <w:t xml:space="preserve">to recognise Defence Maritime Mobile-Satellite use in </w:t>
      </w:r>
      <w:r>
        <w:t>the band</w:t>
      </w:r>
      <w:r w:rsidR="00251896">
        <w:t xml:space="preserve">. While this was not included in the initial consultation draft of the Spectrum Plan, we have conducted </w:t>
      </w:r>
      <w:r w:rsidR="00057AFF">
        <w:t xml:space="preserve">additional </w:t>
      </w:r>
      <w:r w:rsidR="00AF1F73">
        <w:t>consultation</w:t>
      </w:r>
      <w:r w:rsidR="00057AFF">
        <w:t>s</w:t>
      </w:r>
      <w:r w:rsidR="00AF1F73">
        <w:t xml:space="preserve"> with </w:t>
      </w:r>
      <w:r w:rsidR="00C13FC0">
        <w:t>potentially affected</w:t>
      </w:r>
      <w:r>
        <w:t xml:space="preserve"> </w:t>
      </w:r>
      <w:r w:rsidR="00AF1F73">
        <w:t xml:space="preserve">stakeholders </w:t>
      </w:r>
      <w:r w:rsidR="000C0B6B">
        <w:t xml:space="preserve">about </w:t>
      </w:r>
      <w:r w:rsidR="00AF1F73">
        <w:t xml:space="preserve">the proposed change and no objections were raised. </w:t>
      </w:r>
    </w:p>
    <w:p w14:paraId="454DDD0E" w14:textId="5910B436" w:rsidR="003939BF" w:rsidRDefault="004173E9" w:rsidP="008340DA">
      <w:pPr>
        <w:pStyle w:val="Paragraph"/>
      </w:pPr>
      <w:r>
        <w:t>Defence also indicated their interest in the 1427</w:t>
      </w:r>
      <w:r w:rsidR="000C0B6B">
        <w:t>–</w:t>
      </w:r>
      <w:r>
        <w:t xml:space="preserve">1518 MHz band (the 1.5 GHz band) in their submission. The 1.5 GHz band is included in the </w:t>
      </w:r>
      <w:r w:rsidR="002F5DC9">
        <w:t>initial investigation</w:t>
      </w:r>
      <w:r>
        <w:t xml:space="preserve"> stage </w:t>
      </w:r>
      <w:r w:rsidR="00BF7553">
        <w:t>in the</w:t>
      </w:r>
      <w:r w:rsidR="002F5DC9">
        <w:t xml:space="preserve"> </w:t>
      </w:r>
      <w:hyperlink r:id="rId28" w:history="1">
        <w:r w:rsidR="0002587F" w:rsidRPr="0002587F">
          <w:rPr>
            <w:rStyle w:val="Hyperlink"/>
          </w:rPr>
          <w:t>d</w:t>
        </w:r>
        <w:r w:rsidR="002F5DC9" w:rsidRPr="0002587F">
          <w:rPr>
            <w:rStyle w:val="Hyperlink"/>
          </w:rPr>
          <w:t>raft</w:t>
        </w:r>
        <w:r w:rsidR="00BF7553" w:rsidRPr="0002587F">
          <w:rPr>
            <w:rStyle w:val="Hyperlink"/>
          </w:rPr>
          <w:t xml:space="preserve"> </w:t>
        </w:r>
        <w:r w:rsidR="00BF7553" w:rsidRPr="008340DA">
          <w:rPr>
            <w:rStyle w:val="Hyperlink"/>
            <w:i/>
            <w:iCs/>
          </w:rPr>
          <w:t>Five-</w:t>
        </w:r>
        <w:r w:rsidR="0002587F" w:rsidRPr="008340DA">
          <w:rPr>
            <w:rStyle w:val="Hyperlink"/>
            <w:i/>
            <w:iCs/>
          </w:rPr>
          <w:t>y</w:t>
        </w:r>
        <w:r w:rsidR="00BF7553" w:rsidRPr="008340DA">
          <w:rPr>
            <w:rStyle w:val="Hyperlink"/>
            <w:i/>
            <w:iCs/>
          </w:rPr>
          <w:t xml:space="preserve">ear </w:t>
        </w:r>
        <w:r w:rsidR="0002587F" w:rsidRPr="008340DA">
          <w:rPr>
            <w:rStyle w:val="Hyperlink"/>
            <w:i/>
            <w:iCs/>
          </w:rPr>
          <w:t>s</w:t>
        </w:r>
        <w:r w:rsidR="00BF7553" w:rsidRPr="008340DA">
          <w:rPr>
            <w:rStyle w:val="Hyperlink"/>
            <w:i/>
            <w:iCs/>
          </w:rPr>
          <w:t xml:space="preserve">pectrum </w:t>
        </w:r>
        <w:r w:rsidR="0002587F" w:rsidRPr="008340DA">
          <w:rPr>
            <w:rStyle w:val="Hyperlink"/>
            <w:i/>
            <w:iCs/>
          </w:rPr>
          <w:t>o</w:t>
        </w:r>
        <w:r w:rsidR="00BF7553" w:rsidRPr="008340DA">
          <w:rPr>
            <w:rStyle w:val="Hyperlink"/>
            <w:i/>
            <w:iCs/>
          </w:rPr>
          <w:t>utlook</w:t>
        </w:r>
        <w:r w:rsidR="002F5DC9" w:rsidRPr="008340DA">
          <w:rPr>
            <w:rStyle w:val="Hyperlink"/>
            <w:i/>
            <w:iCs/>
          </w:rPr>
          <w:t xml:space="preserve"> 2021</w:t>
        </w:r>
        <w:r w:rsidR="0002587F" w:rsidRPr="008340DA">
          <w:rPr>
            <w:rStyle w:val="Hyperlink"/>
            <w:i/>
            <w:iCs/>
          </w:rPr>
          <w:t>–</w:t>
        </w:r>
        <w:r w:rsidR="002F5DC9" w:rsidRPr="008340DA">
          <w:rPr>
            <w:rStyle w:val="Hyperlink"/>
            <w:i/>
            <w:iCs/>
          </w:rPr>
          <w:t>26</w:t>
        </w:r>
      </w:hyperlink>
      <w:r w:rsidR="0002587F">
        <w:t>.</w:t>
      </w:r>
      <w:r w:rsidR="00BF7553">
        <w:t xml:space="preserve"> </w:t>
      </w:r>
      <w:r w:rsidR="002F5DC9">
        <w:t xml:space="preserve">We intend to release an initial discussion paper in </w:t>
      </w:r>
      <w:r w:rsidR="002F5DC9" w:rsidRPr="009E336C">
        <w:t>Q2 2022</w:t>
      </w:r>
      <w:r w:rsidR="002F5DC9">
        <w:t>.</w:t>
      </w:r>
      <w:r w:rsidR="00830941">
        <w:t xml:space="preserve"> </w:t>
      </w:r>
    </w:p>
    <w:p w14:paraId="51B16E56" w14:textId="77777777" w:rsidR="00820B75" w:rsidRDefault="00820B75" w:rsidP="00820B75">
      <w:pPr>
        <w:pStyle w:val="Heading2"/>
      </w:pPr>
      <w:bookmarkStart w:id="28" w:name="OLE_LINK57"/>
      <w:bookmarkStart w:id="29" w:name="OLE_LINK56"/>
      <w:bookmarkStart w:id="30" w:name="_Toc460759367"/>
      <w:bookmarkStart w:id="31" w:name="_Toc461713869"/>
      <w:bookmarkStart w:id="32" w:name="_Toc49171483"/>
      <w:bookmarkStart w:id="33" w:name="_Toc72415560"/>
      <w:bookmarkEnd w:id="28"/>
      <w:bookmarkEnd w:id="29"/>
      <w:r>
        <w:t>Chapter 2—Part 4: International footnotes</w:t>
      </w:r>
      <w:bookmarkEnd w:id="30"/>
      <w:bookmarkEnd w:id="31"/>
      <w:bookmarkEnd w:id="32"/>
      <w:bookmarkEnd w:id="33"/>
    </w:p>
    <w:p w14:paraId="7A505A8C" w14:textId="612E5D9A" w:rsidR="00820B75" w:rsidRPr="00AB5852" w:rsidRDefault="00820B75" w:rsidP="00086A9D">
      <w:pPr>
        <w:rPr>
          <w:rFonts w:cs="Arial"/>
          <w:bCs/>
        </w:rPr>
      </w:pPr>
      <w:r>
        <w:rPr>
          <w:rFonts w:cs="Arial"/>
        </w:rPr>
        <w:t>Proposed changes to Part 4 directly reflect those made at WRC-19.</w:t>
      </w:r>
      <w:r w:rsidR="00086A9D">
        <w:rPr>
          <w:rFonts w:cs="Arial"/>
        </w:rPr>
        <w:t xml:space="preserve"> No comments were received. However, several editorial corrections have been identified and rectified in the new Spectrum Plan</w:t>
      </w:r>
      <w:r w:rsidR="0002587F">
        <w:rPr>
          <w:rFonts w:cs="Arial"/>
        </w:rPr>
        <w:t>,</w:t>
      </w:r>
      <w:r w:rsidR="00086A9D">
        <w:rPr>
          <w:rFonts w:cs="Arial"/>
        </w:rPr>
        <w:t xml:space="preserve"> to align the text with the ITU Radio Regulations.</w:t>
      </w:r>
    </w:p>
    <w:p w14:paraId="74A1FCDB" w14:textId="46844607" w:rsidR="00820B75" w:rsidRPr="00C35CCE" w:rsidRDefault="00A26B9D" w:rsidP="00820B75">
      <w:pPr>
        <w:pStyle w:val="Heading1"/>
      </w:pPr>
      <w:bookmarkStart w:id="34" w:name="_Toc72415561"/>
      <w:r>
        <w:lastRenderedPageBreak/>
        <w:t>Next steps</w:t>
      </w:r>
      <w:bookmarkStart w:id="35" w:name="_Toc298924672"/>
      <w:bookmarkStart w:id="36" w:name="_Toc300909555"/>
      <w:bookmarkStart w:id="37" w:name="_Toc348105636"/>
      <w:bookmarkEnd w:id="34"/>
    </w:p>
    <w:p w14:paraId="056E61F6" w14:textId="5E359376" w:rsidR="00820B75" w:rsidRDefault="00820B75" w:rsidP="008340DA">
      <w:pPr>
        <w:pStyle w:val="Paragraphbeforelist"/>
      </w:pPr>
      <w:r>
        <w:t xml:space="preserve">The Australian Radiofrequency Spectrum Plan 2021 </w:t>
      </w:r>
      <w:r w:rsidR="00BF7553">
        <w:t xml:space="preserve">has been made </w:t>
      </w:r>
      <w:r w:rsidR="00EE1BA8" w:rsidRPr="00EE1BA8">
        <w:t xml:space="preserve">in line with the consultation draft, with </w:t>
      </w:r>
      <w:r>
        <w:t>the following changes:</w:t>
      </w:r>
    </w:p>
    <w:p w14:paraId="16860A80" w14:textId="77777777" w:rsidR="00F300FB" w:rsidRDefault="00F300FB" w:rsidP="008340DA">
      <w:pPr>
        <w:pStyle w:val="Bulletlevel1"/>
      </w:pPr>
      <w:r>
        <w:t xml:space="preserve">in </w:t>
      </w:r>
      <w:r w:rsidRPr="008340DA">
        <w:rPr>
          <w:i/>
          <w:iCs/>
        </w:rPr>
        <w:t>Chapter 1—General information</w:t>
      </w:r>
      <w:r>
        <w:t>:</w:t>
      </w:r>
    </w:p>
    <w:p w14:paraId="3DC6E30F" w14:textId="0DA1F3BF" w:rsidR="00AF1F73" w:rsidRDefault="0002587F" w:rsidP="008340DA">
      <w:pPr>
        <w:pStyle w:val="Bulletlevel2"/>
      </w:pPr>
      <w:r>
        <w:t>e</w:t>
      </w:r>
      <w:r w:rsidR="00AF1F73">
        <w:t>ditorial update to Section 14</w:t>
      </w:r>
    </w:p>
    <w:p w14:paraId="1A487F6B" w14:textId="77777777" w:rsidR="00F300FB" w:rsidRPr="008340DA" w:rsidRDefault="00F300FB" w:rsidP="00AF1F73">
      <w:pPr>
        <w:pStyle w:val="ListBullet"/>
      </w:pPr>
      <w:r>
        <w:t xml:space="preserve">in </w:t>
      </w:r>
      <w:r w:rsidRPr="006B1737">
        <w:rPr>
          <w:i/>
          <w:iCs/>
        </w:rPr>
        <w:t>Chapter 2</w:t>
      </w:r>
      <w:r>
        <w:rPr>
          <w:i/>
          <w:iCs/>
        </w:rPr>
        <w:t>:</w:t>
      </w:r>
    </w:p>
    <w:p w14:paraId="19FD7FB1" w14:textId="2B563732" w:rsidR="00AF1F73" w:rsidRDefault="00F300FB" w:rsidP="008340DA">
      <w:pPr>
        <w:pStyle w:val="Bulletlevel2"/>
      </w:pPr>
      <w:r w:rsidRPr="008340DA">
        <w:t>in</w:t>
      </w:r>
      <w:r>
        <w:t xml:space="preserve"> </w:t>
      </w:r>
      <w:r w:rsidRPr="006B1737">
        <w:rPr>
          <w:i/>
          <w:iCs/>
        </w:rPr>
        <w:t>Part 1: Introductory</w:t>
      </w:r>
      <w:r>
        <w:rPr>
          <w:i/>
          <w:iCs/>
        </w:rPr>
        <w:t xml:space="preserve">: </w:t>
      </w:r>
      <w:r w:rsidR="0002587F">
        <w:t>a</w:t>
      </w:r>
      <w:r w:rsidR="00AF1F73">
        <w:t>ddition of</w:t>
      </w:r>
      <w:r w:rsidR="00AF1F73" w:rsidRPr="00AF1F73">
        <w:t xml:space="preserve"> new subsection 10(11) </w:t>
      </w:r>
      <w:r w:rsidR="00AF1F73">
        <w:t>to enable decisions made under subsection 10(10) of the previous Spectrum Plan to be carried over</w:t>
      </w:r>
    </w:p>
    <w:p w14:paraId="779C2BB9" w14:textId="56F4FDD9" w:rsidR="00820B75" w:rsidRDefault="00F300FB" w:rsidP="008340DA">
      <w:pPr>
        <w:pStyle w:val="Bulletlevel2"/>
      </w:pPr>
      <w:r>
        <w:t xml:space="preserve">in </w:t>
      </w:r>
      <w:r w:rsidR="00544C81" w:rsidRPr="006B1737">
        <w:rPr>
          <w:i/>
          <w:iCs/>
        </w:rPr>
        <w:t>Part 3: Australian footnotes</w:t>
      </w:r>
      <w:r w:rsidR="00544C81">
        <w:t xml:space="preserve">: </w:t>
      </w:r>
      <w:r w:rsidR="0002587F">
        <w:t>a</w:t>
      </w:r>
      <w:r w:rsidR="00AF1F73">
        <w:t>ddition of Australian footnote AUS100A to the primary allocation to the Maritime Mobile-Satellite (space-to-Earth) service</w:t>
      </w:r>
      <w:r w:rsidR="00026755" w:rsidRPr="00026755">
        <w:t xml:space="preserve"> </w:t>
      </w:r>
      <w:r w:rsidR="00026755">
        <w:t>in the 7 375–7 750 MHz band</w:t>
      </w:r>
      <w:r w:rsidR="00152CC4">
        <w:t xml:space="preserve"> </w:t>
      </w:r>
    </w:p>
    <w:p w14:paraId="15C54DB0" w14:textId="522C3306" w:rsidR="00AF1F73" w:rsidRDefault="00544C81" w:rsidP="009E37D8">
      <w:pPr>
        <w:pStyle w:val="Bulletlevel2"/>
        <w:spacing w:after="240"/>
      </w:pPr>
      <w:r>
        <w:t xml:space="preserve">in </w:t>
      </w:r>
      <w:r w:rsidRPr="009E37D8">
        <w:rPr>
          <w:i/>
          <w:iCs/>
        </w:rPr>
        <w:t>Part 4: International footnotes</w:t>
      </w:r>
      <w:r>
        <w:t xml:space="preserve">: </w:t>
      </w:r>
      <w:r w:rsidR="0002587F">
        <w:t>e</w:t>
      </w:r>
      <w:r w:rsidR="00AF1F73">
        <w:t>ditorial updates.</w:t>
      </w:r>
    </w:p>
    <w:p w14:paraId="10D9020F" w14:textId="313987CC" w:rsidR="00C02F26" w:rsidRPr="00C02F26" w:rsidRDefault="00152CC4" w:rsidP="00820B75">
      <w:pPr>
        <w:pStyle w:val="ACMAInstructions"/>
        <w:spacing w:after="240"/>
      </w:pPr>
      <w:r>
        <w:rPr>
          <w:b w:val="0"/>
          <w:vanish w:val="0"/>
          <w:sz w:val="20"/>
          <w:szCs w:val="20"/>
        </w:rPr>
        <w:t>F</w:t>
      </w:r>
      <w:r w:rsidR="00820B75">
        <w:rPr>
          <w:b w:val="0"/>
          <w:vanish w:val="0"/>
          <w:sz w:val="20"/>
          <w:szCs w:val="20"/>
        </w:rPr>
        <w:t>uture updates and information on specific work items can be found in the</w:t>
      </w:r>
      <w:r>
        <w:rPr>
          <w:b w:val="0"/>
          <w:vanish w:val="0"/>
          <w:sz w:val="20"/>
          <w:szCs w:val="20"/>
        </w:rPr>
        <w:t xml:space="preserve"> current or draft</w:t>
      </w:r>
      <w:r w:rsidR="00820B75">
        <w:rPr>
          <w:b w:val="0"/>
          <w:vanish w:val="0"/>
          <w:sz w:val="20"/>
          <w:szCs w:val="20"/>
        </w:rPr>
        <w:t xml:space="preserve"> </w:t>
      </w:r>
      <w:bookmarkStart w:id="38" w:name="_Hlk63787866"/>
      <w:r w:rsidR="0058205B">
        <w:fldChar w:fldCharType="begin"/>
      </w:r>
      <w:r>
        <w:instrText>HYPERLINK "https://www.acma.gov.au/five-year-spectrum-outlook"</w:instrText>
      </w:r>
      <w:r w:rsidR="0058205B">
        <w:fldChar w:fldCharType="separate"/>
      </w:r>
      <w:r>
        <w:rPr>
          <w:rStyle w:val="Hyperlink"/>
          <w:b w:val="0"/>
          <w:vanish w:val="0"/>
          <w:sz w:val="20"/>
          <w:szCs w:val="20"/>
        </w:rPr>
        <w:t>five-year spectrum outlook</w:t>
      </w:r>
      <w:r w:rsidR="0058205B">
        <w:rPr>
          <w:rStyle w:val="Hyperlink"/>
          <w:b w:val="0"/>
          <w:vanish w:val="0"/>
          <w:sz w:val="20"/>
          <w:szCs w:val="20"/>
        </w:rPr>
        <w:fldChar w:fldCharType="end"/>
      </w:r>
      <w:r w:rsidR="00820B75">
        <w:rPr>
          <w:b w:val="0"/>
          <w:vanish w:val="0"/>
          <w:sz w:val="20"/>
          <w:szCs w:val="20"/>
        </w:rPr>
        <w:t xml:space="preserve">. </w:t>
      </w:r>
    </w:p>
    <w:p w14:paraId="585457F1" w14:textId="28D57DD4" w:rsidR="00240CE9" w:rsidRDefault="00FF3C69" w:rsidP="00FF3C69">
      <w:pPr>
        <w:pStyle w:val="Heading1"/>
      </w:pPr>
      <w:bookmarkStart w:id="39" w:name="_Toc348105641"/>
      <w:bookmarkStart w:id="40" w:name="_Toc72415562"/>
      <w:bookmarkEnd w:id="35"/>
      <w:bookmarkEnd w:id="36"/>
      <w:bookmarkEnd w:id="37"/>
      <w:bookmarkEnd w:id="38"/>
      <w:r w:rsidRPr="006D46E5">
        <w:lastRenderedPageBreak/>
        <w:t>Appendix A</w:t>
      </w:r>
      <w:bookmarkEnd w:id="39"/>
      <w:r w:rsidR="000E7539">
        <w:t>: Submitters</w:t>
      </w:r>
      <w:bookmarkEnd w:id="40"/>
    </w:p>
    <w:p w14:paraId="515EA82F" w14:textId="494D88DB" w:rsidR="00FD32DE" w:rsidRDefault="00F647BC" w:rsidP="009E37D8">
      <w:pPr>
        <w:pStyle w:val="Paragraphbeforelist"/>
      </w:pPr>
      <w:r>
        <w:t xml:space="preserve">Nine </w:t>
      </w:r>
      <w:r w:rsidR="00FD32DE">
        <w:t xml:space="preserve">submissions were received from the following </w:t>
      </w:r>
      <w:r>
        <w:t xml:space="preserve">parties </w:t>
      </w:r>
      <w:r w:rsidR="00FD32DE">
        <w:t xml:space="preserve">and are available on the </w:t>
      </w:r>
      <w:hyperlink r:id="rId29" w:history="1">
        <w:r w:rsidR="00FD32DE" w:rsidRPr="00BE7AE1">
          <w:rPr>
            <w:rStyle w:val="Hyperlink"/>
          </w:rPr>
          <w:t>ACMA website</w:t>
        </w:r>
      </w:hyperlink>
      <w:r w:rsidR="00FD32DE">
        <w:t>:</w:t>
      </w:r>
    </w:p>
    <w:p w14:paraId="60175094" w14:textId="77777777" w:rsidR="00FD32DE" w:rsidRPr="00046A45" w:rsidRDefault="00FD32DE" w:rsidP="00FD32DE">
      <w:pPr>
        <w:pStyle w:val="Bulletlevel1"/>
      </w:pPr>
      <w:r w:rsidRPr="00C8153C">
        <w:t>Austral</w:t>
      </w:r>
      <w:r w:rsidRPr="00046A45">
        <w:t>ian Maritime Safety Authority (AMSA)</w:t>
      </w:r>
    </w:p>
    <w:p w14:paraId="797B3858" w14:textId="3390BE58" w:rsidR="00FD32DE" w:rsidRPr="00046A45" w:rsidRDefault="00FD32DE" w:rsidP="00FD32DE">
      <w:pPr>
        <w:pStyle w:val="Bulletlevel1"/>
      </w:pPr>
      <w:r w:rsidRPr="00046A45">
        <w:t>Boeing Australia Holdings</w:t>
      </w:r>
    </w:p>
    <w:p w14:paraId="072D8E78" w14:textId="3FD6A32D" w:rsidR="00FD32DE" w:rsidRPr="00046A45" w:rsidRDefault="00FD32DE" w:rsidP="00FD32DE">
      <w:pPr>
        <w:pStyle w:val="Bulletlevel1"/>
      </w:pPr>
      <w:r w:rsidRPr="00046A45">
        <w:t>Communications Alliance Satellite Services Working Group (CA SSWG)</w:t>
      </w:r>
    </w:p>
    <w:p w14:paraId="79BF46DD" w14:textId="4030C138" w:rsidR="00FD32DE" w:rsidRPr="00046A45" w:rsidRDefault="00FD32DE" w:rsidP="00FD32DE">
      <w:pPr>
        <w:pStyle w:val="Bulletlevel1"/>
      </w:pPr>
      <w:r w:rsidRPr="00046A45">
        <w:t>Department of Defence (Defence)</w:t>
      </w:r>
    </w:p>
    <w:p w14:paraId="5C07FF88" w14:textId="7D710C6F" w:rsidR="00FD32DE" w:rsidRPr="00046A45" w:rsidRDefault="00FD32DE" w:rsidP="00FD32DE">
      <w:pPr>
        <w:pStyle w:val="Bulletlevel1"/>
      </w:pPr>
      <w:r w:rsidRPr="00046A45">
        <w:t xml:space="preserve">Ian Godsil </w:t>
      </w:r>
    </w:p>
    <w:p w14:paraId="39E2E98F" w14:textId="2B60750D" w:rsidR="00FD32DE" w:rsidRPr="00046A45" w:rsidRDefault="00FD32DE" w:rsidP="00FD32DE">
      <w:pPr>
        <w:pStyle w:val="Bulletlevel1"/>
      </w:pPr>
      <w:r w:rsidRPr="00046A45">
        <w:t>Mercedes-Benz</w:t>
      </w:r>
    </w:p>
    <w:p w14:paraId="5126F508" w14:textId="77381F15" w:rsidR="00FD32DE" w:rsidRPr="00FD32DE" w:rsidRDefault="00FD32DE" w:rsidP="00FD32DE">
      <w:pPr>
        <w:pStyle w:val="Bulletlevel1"/>
      </w:pPr>
      <w:r w:rsidRPr="00FD32DE">
        <w:t xml:space="preserve">NBN Co </w:t>
      </w:r>
    </w:p>
    <w:p w14:paraId="5E9304D4" w14:textId="21C0E8A6" w:rsidR="00FD32DE" w:rsidRPr="00046A45" w:rsidRDefault="00FD32DE" w:rsidP="00FD32DE">
      <w:pPr>
        <w:pStyle w:val="Bulletlevel1"/>
      </w:pPr>
      <w:r w:rsidRPr="00046A45">
        <w:t xml:space="preserve">Optus </w:t>
      </w:r>
    </w:p>
    <w:p w14:paraId="492D1973" w14:textId="64F16F02" w:rsidR="00FD32DE" w:rsidRPr="00046A45" w:rsidRDefault="00FD32DE" w:rsidP="00FD32DE">
      <w:pPr>
        <w:pStyle w:val="Bulletlevel1"/>
      </w:pPr>
      <w:r w:rsidRPr="00046A45">
        <w:t>Special Broadcasting Service (SBS)</w:t>
      </w:r>
      <w:r w:rsidR="00152CC4">
        <w:t>.</w:t>
      </w:r>
    </w:p>
    <w:sectPr w:rsidR="00FD32DE" w:rsidRPr="00046A45" w:rsidSect="00C77380">
      <w:headerReference w:type="even" r:id="rId30"/>
      <w:headerReference w:type="default" r:id="rId31"/>
      <w:footerReference w:type="even" r:id="rId32"/>
      <w:footerReference w:type="default" r:id="rId3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BD3C5E" w14:textId="77777777" w:rsidR="006424B2" w:rsidRDefault="006424B2">
      <w:r>
        <w:separator/>
      </w:r>
    </w:p>
  </w:endnote>
  <w:endnote w:type="continuationSeparator" w:id="0">
    <w:p w14:paraId="40C7F75F" w14:textId="77777777" w:rsidR="006424B2" w:rsidRDefault="006424B2">
      <w:r>
        <w:continuationSeparator/>
      </w:r>
    </w:p>
  </w:endnote>
  <w:endnote w:type="continuationNotice" w:id="1">
    <w:p w14:paraId="3D6C5F94" w14:textId="77777777" w:rsidR="00A96DD2" w:rsidRDefault="00A96DD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A246F" w14:textId="77777777" w:rsidR="006424B2" w:rsidRDefault="006424B2" w:rsidP="005E250B">
    <w:pPr>
      <w:pStyle w:val="Footer"/>
      <w:jc w:val="right"/>
    </w:pPr>
    <w:r w:rsidRPr="005E250B">
      <w:rPr>
        <w:noProof/>
        <w:vertAlign w:val="subscript"/>
      </w:rPr>
      <w:drawing>
        <wp:inline distT="0" distB="0" distL="0" distR="0" wp14:anchorId="7CC50D98" wp14:editId="2EA77BA1">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53229" w14:textId="77777777" w:rsidR="006424B2" w:rsidRDefault="006424B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B7FC3" w14:textId="77777777" w:rsidR="006424B2" w:rsidRDefault="006424B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249B5" w14:textId="77777777" w:rsidR="006424B2" w:rsidRPr="00622A3B" w:rsidRDefault="006424B2"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5D2615E" w14:textId="77777777" w:rsidR="006424B2" w:rsidRPr="00A5474E" w:rsidRDefault="006424B2"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2D8DD" w14:textId="77777777" w:rsidR="006424B2" w:rsidRPr="00622A3B" w:rsidRDefault="006424B2"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3736457E" w14:textId="77777777" w:rsidR="006424B2" w:rsidRPr="00A5474E" w:rsidRDefault="006424B2"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8DA37" w14:textId="77777777" w:rsidR="006424B2" w:rsidRPr="00622A3B" w:rsidRDefault="006424B2"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079828DB" w14:textId="77777777" w:rsidR="006424B2" w:rsidRPr="00A5474E" w:rsidRDefault="006424B2"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8E9FF" w14:textId="77777777" w:rsidR="006424B2" w:rsidRPr="00622A3B" w:rsidRDefault="006424B2"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6E5AAD7" w14:textId="77777777" w:rsidR="006424B2" w:rsidRPr="00A5474E" w:rsidRDefault="006424B2"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25F30" w14:textId="77777777" w:rsidR="006424B2" w:rsidRPr="00622A3B" w:rsidRDefault="006424B2"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65AA9A30" w14:textId="77777777" w:rsidR="006424B2" w:rsidRPr="00A5474E" w:rsidRDefault="006424B2"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71D089" w14:textId="77777777" w:rsidR="006424B2" w:rsidRDefault="006424B2">
      <w:r>
        <w:separator/>
      </w:r>
    </w:p>
  </w:footnote>
  <w:footnote w:type="continuationSeparator" w:id="0">
    <w:p w14:paraId="616F5AB4" w14:textId="77777777" w:rsidR="006424B2" w:rsidRDefault="006424B2">
      <w:r>
        <w:continuationSeparator/>
      </w:r>
    </w:p>
  </w:footnote>
  <w:footnote w:type="continuationNotice" w:id="1">
    <w:p w14:paraId="3F710694" w14:textId="77777777" w:rsidR="00A96DD2" w:rsidRDefault="00A96DD2">
      <w:pPr>
        <w:spacing w:after="0" w:line="240" w:lineRule="auto"/>
      </w:pPr>
    </w:p>
  </w:footnote>
  <w:footnote w:id="2">
    <w:p w14:paraId="70593B8B" w14:textId="77777777" w:rsidR="006424B2" w:rsidRDefault="006424B2" w:rsidP="00584E3F">
      <w:pPr>
        <w:pStyle w:val="FootnoteText"/>
      </w:pPr>
      <w:r>
        <w:rPr>
          <w:rStyle w:val="FootnoteReference"/>
        </w:rPr>
        <w:footnoteRef/>
      </w:r>
      <w:r>
        <w:t xml:space="preserve"> </w:t>
      </w:r>
      <w:r w:rsidRPr="00017BC0">
        <w:t xml:space="preserve">Copies of the ITU-R Radio Regulations are available on the </w:t>
      </w:r>
      <w:hyperlink r:id="rId1" w:history="1">
        <w:r w:rsidRPr="00017BC0">
          <w:rPr>
            <w:rStyle w:val="Hyperlink"/>
          </w:rPr>
          <w:t>ITU-R website</w:t>
        </w:r>
      </w:hyperlink>
      <w:r w:rsidRPr="00017BC0">
        <w:t>.</w:t>
      </w:r>
    </w:p>
  </w:footnote>
  <w:footnote w:id="3">
    <w:p w14:paraId="0BB5E1FA" w14:textId="279790C7" w:rsidR="002454F8" w:rsidRDefault="002454F8">
      <w:pPr>
        <w:pStyle w:val="FootnoteText"/>
      </w:pPr>
      <w:r>
        <w:rPr>
          <w:rStyle w:val="FootnoteReference"/>
        </w:rPr>
        <w:footnoteRef/>
      </w:r>
      <w:r>
        <w:t xml:space="preserve"> </w:t>
      </w:r>
      <w:r w:rsidRPr="002454F8">
        <w:t xml:space="preserve">Report 195 is available on the Parliament of Australia </w:t>
      </w:r>
      <w:hyperlink r:id="rId2" w:history="1">
        <w:r w:rsidRPr="002454F8">
          <w:rPr>
            <w:rStyle w:val="Hyperlink"/>
          </w:rPr>
          <w:t>website</w:t>
        </w:r>
      </w:hyperlink>
      <w:r w:rsidRPr="002454F8">
        <w:t>.</w:t>
      </w:r>
    </w:p>
  </w:footnote>
  <w:footnote w:id="4">
    <w:p w14:paraId="289809AF" w14:textId="1FB0A6A0" w:rsidR="00F94286" w:rsidRDefault="00F94286">
      <w:pPr>
        <w:pStyle w:val="FootnoteText"/>
      </w:pPr>
      <w:r>
        <w:rPr>
          <w:rStyle w:val="FootnoteReference"/>
        </w:rPr>
        <w:footnoteRef/>
      </w:r>
      <w:r>
        <w:t xml:space="preserve"> Available on the </w:t>
      </w:r>
      <w:hyperlink r:id="rId3" w:history="1">
        <w:r w:rsidR="006B687D">
          <w:rPr>
            <w:rStyle w:val="Hyperlink"/>
          </w:rPr>
          <w:t>Federal Register of Legislation</w:t>
        </w:r>
      </w:hyperlink>
      <w:r w:rsidR="006B687D">
        <w:t xml:space="preserve"> website.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6A119" w14:textId="77777777" w:rsidR="006424B2" w:rsidRPr="00A5474E" w:rsidRDefault="006424B2" w:rsidP="00A5474E">
    <w:pPr>
      <w:pStyle w:val="Header"/>
    </w:pPr>
    <w:r>
      <w:rPr>
        <w:noProof/>
      </w:rPr>
      <w:drawing>
        <wp:inline distT="0" distB="0" distL="0" distR="0" wp14:anchorId="13211F03" wp14:editId="78AF6BBC">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78E39" w14:textId="77777777" w:rsidR="006424B2" w:rsidRPr="00A5474E" w:rsidRDefault="006424B2"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BE209" w14:textId="77777777" w:rsidR="006424B2" w:rsidRDefault="006424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89842" w14:textId="77777777" w:rsidR="006424B2" w:rsidRDefault="006424B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6424B2" w14:paraId="586395E5" w14:textId="77777777" w:rsidTr="006424B2">
      <w:trPr>
        <w:trHeight w:hRule="exact" w:val="988"/>
      </w:trPr>
      <w:tc>
        <w:tcPr>
          <w:tcW w:w="7678" w:type="dxa"/>
          <w:shd w:val="clear" w:color="auto" w:fill="auto"/>
        </w:tcPr>
        <w:p w14:paraId="588DF101" w14:textId="77777777" w:rsidR="006424B2" w:rsidRDefault="006424B2" w:rsidP="00971914">
          <w:pPr>
            <w:pStyle w:val="Header"/>
          </w:pPr>
        </w:p>
      </w:tc>
    </w:tr>
    <w:tr w:rsidR="006424B2" w14:paraId="10F1CA06" w14:textId="77777777" w:rsidTr="006424B2">
      <w:tc>
        <w:tcPr>
          <w:tcW w:w="7678" w:type="dxa"/>
          <w:shd w:val="clear" w:color="auto" w:fill="auto"/>
        </w:tcPr>
        <w:p w14:paraId="7F7A468F" w14:textId="77777777" w:rsidR="006424B2" w:rsidRDefault="006424B2" w:rsidP="00971914">
          <w:pPr>
            <w:pStyle w:val="GridTable31"/>
          </w:pPr>
          <w:r>
            <w:t xml:space="preserve">Contents </w:t>
          </w:r>
          <w:r w:rsidRPr="00915B1C">
            <w:rPr>
              <w:b w:val="0"/>
              <w:spacing w:val="0"/>
              <w:sz w:val="28"/>
              <w:szCs w:val="28"/>
            </w:rPr>
            <w:t>(Continued)</w:t>
          </w:r>
        </w:p>
      </w:tc>
    </w:tr>
    <w:tr w:rsidR="006424B2" w14:paraId="78CEF8D2" w14:textId="77777777" w:rsidTr="006424B2">
      <w:trPr>
        <w:trHeight w:val="1220"/>
      </w:trPr>
      <w:tc>
        <w:tcPr>
          <w:tcW w:w="7678" w:type="dxa"/>
          <w:shd w:val="clear" w:color="auto" w:fill="auto"/>
        </w:tcPr>
        <w:p w14:paraId="26DFF537" w14:textId="77777777" w:rsidR="006424B2" w:rsidRDefault="006424B2" w:rsidP="00971914"/>
      </w:tc>
    </w:tr>
  </w:tbl>
  <w:p w14:paraId="372C992F" w14:textId="77777777" w:rsidR="006424B2" w:rsidRDefault="006424B2"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6424B2" w14:paraId="27A33F79" w14:textId="77777777" w:rsidTr="006424B2">
      <w:trPr>
        <w:trHeight w:hRule="exact" w:val="988"/>
      </w:trPr>
      <w:tc>
        <w:tcPr>
          <w:tcW w:w="7678" w:type="dxa"/>
          <w:shd w:val="clear" w:color="auto" w:fill="auto"/>
        </w:tcPr>
        <w:p w14:paraId="4A6BE0FE" w14:textId="77777777" w:rsidR="006424B2" w:rsidRDefault="006424B2" w:rsidP="00971914">
          <w:pPr>
            <w:pStyle w:val="Header"/>
          </w:pPr>
        </w:p>
      </w:tc>
    </w:tr>
    <w:tr w:rsidR="006424B2" w14:paraId="34556A2C" w14:textId="77777777" w:rsidTr="006424B2">
      <w:tc>
        <w:tcPr>
          <w:tcW w:w="7678" w:type="dxa"/>
          <w:shd w:val="clear" w:color="auto" w:fill="auto"/>
        </w:tcPr>
        <w:p w14:paraId="3CC6DE92" w14:textId="77777777" w:rsidR="006424B2" w:rsidRDefault="006424B2" w:rsidP="00971914">
          <w:pPr>
            <w:pStyle w:val="GridTable31"/>
          </w:pPr>
          <w:r>
            <w:t xml:space="preserve">Contents </w:t>
          </w:r>
          <w:r w:rsidRPr="00915B1C">
            <w:rPr>
              <w:b w:val="0"/>
              <w:spacing w:val="0"/>
              <w:sz w:val="28"/>
              <w:szCs w:val="28"/>
            </w:rPr>
            <w:t>(Continued)</w:t>
          </w:r>
        </w:p>
      </w:tc>
    </w:tr>
    <w:tr w:rsidR="006424B2" w14:paraId="0C5E04FB" w14:textId="77777777" w:rsidTr="006424B2">
      <w:trPr>
        <w:trHeight w:val="1220"/>
      </w:trPr>
      <w:tc>
        <w:tcPr>
          <w:tcW w:w="7678" w:type="dxa"/>
          <w:shd w:val="clear" w:color="auto" w:fill="auto"/>
        </w:tcPr>
        <w:p w14:paraId="4BD6D960" w14:textId="77777777" w:rsidR="006424B2" w:rsidRDefault="006424B2" w:rsidP="00971914"/>
      </w:tc>
    </w:tr>
  </w:tbl>
  <w:p w14:paraId="0DF1C124" w14:textId="77777777" w:rsidR="006424B2" w:rsidRPr="00A5474E" w:rsidRDefault="006424B2"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E8CDD" w14:textId="77777777" w:rsidR="006424B2" w:rsidRDefault="006424B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CC6A9" w14:textId="77777777" w:rsidR="006424B2" w:rsidRDefault="006424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CBE32F4"/>
    <w:multiLevelType w:val="hybridMultilevel"/>
    <w:tmpl w:val="DFC412B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71D02D7"/>
    <w:multiLevelType w:val="hybridMultilevel"/>
    <w:tmpl w:val="285CD11C"/>
    <w:lvl w:ilvl="0" w:tplc="3392CF0E">
      <w:start w:val="1"/>
      <w:numFmt w:val="bullet"/>
      <w:lvlText w:val=""/>
      <w:lvlJc w:val="left"/>
      <w:pPr>
        <w:ind w:left="720" w:hanging="360"/>
      </w:pPr>
      <w:rPr>
        <w:rFonts w:ascii="Symbol" w:hAnsi="Symbol" w:hint="default"/>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6"/>
  </w:num>
  <w:num w:numId="6">
    <w:abstractNumId w:val="11"/>
  </w:num>
  <w:num w:numId="7">
    <w:abstractNumId w:val="8"/>
  </w:num>
  <w:num w:numId="8">
    <w:abstractNumId w:val="10"/>
  </w:num>
  <w:num w:numId="9">
    <w:abstractNumId w:val="13"/>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7"/>
  </w:num>
  <w:num w:numId="17">
    <w:abstractNumId w:val="12"/>
  </w:num>
  <w:num w:numId="18">
    <w:abstractNumId w:val="3"/>
  </w:num>
  <w:num w:numId="19">
    <w:abstractNumId w:val="3"/>
  </w:num>
  <w:num w:numId="20">
    <w:abstractNumId w:val="3"/>
  </w:num>
  <w:num w:numId="21">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4915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EB7"/>
    <w:rsid w:val="00010667"/>
    <w:rsid w:val="000129D5"/>
    <w:rsid w:val="00015AE7"/>
    <w:rsid w:val="00016E21"/>
    <w:rsid w:val="0001719C"/>
    <w:rsid w:val="0002224E"/>
    <w:rsid w:val="000245E5"/>
    <w:rsid w:val="0002587F"/>
    <w:rsid w:val="00026755"/>
    <w:rsid w:val="00026F91"/>
    <w:rsid w:val="00032621"/>
    <w:rsid w:val="0004764C"/>
    <w:rsid w:val="0005011A"/>
    <w:rsid w:val="0005045A"/>
    <w:rsid w:val="00051C1E"/>
    <w:rsid w:val="000539F9"/>
    <w:rsid w:val="00054C27"/>
    <w:rsid w:val="00055EC3"/>
    <w:rsid w:val="000563CE"/>
    <w:rsid w:val="00057AFF"/>
    <w:rsid w:val="000659B6"/>
    <w:rsid w:val="0006686F"/>
    <w:rsid w:val="0006722A"/>
    <w:rsid w:val="000732CF"/>
    <w:rsid w:val="00075B96"/>
    <w:rsid w:val="0008196A"/>
    <w:rsid w:val="00086A9D"/>
    <w:rsid w:val="000915ED"/>
    <w:rsid w:val="0009209D"/>
    <w:rsid w:val="0009463C"/>
    <w:rsid w:val="000969BD"/>
    <w:rsid w:val="000969BF"/>
    <w:rsid w:val="000A0C22"/>
    <w:rsid w:val="000A1400"/>
    <w:rsid w:val="000A3C43"/>
    <w:rsid w:val="000A4A51"/>
    <w:rsid w:val="000A5D2B"/>
    <w:rsid w:val="000B4664"/>
    <w:rsid w:val="000B5DE3"/>
    <w:rsid w:val="000C0A57"/>
    <w:rsid w:val="000C0B6B"/>
    <w:rsid w:val="000C230C"/>
    <w:rsid w:val="000C6AB4"/>
    <w:rsid w:val="000D23AE"/>
    <w:rsid w:val="000D71D9"/>
    <w:rsid w:val="000D76E0"/>
    <w:rsid w:val="000D7E8B"/>
    <w:rsid w:val="000E4449"/>
    <w:rsid w:val="000E6097"/>
    <w:rsid w:val="000E7539"/>
    <w:rsid w:val="000F0EEB"/>
    <w:rsid w:val="00103829"/>
    <w:rsid w:val="00111FCE"/>
    <w:rsid w:val="0011689B"/>
    <w:rsid w:val="001229A5"/>
    <w:rsid w:val="0012489B"/>
    <w:rsid w:val="00130017"/>
    <w:rsid w:val="00130F91"/>
    <w:rsid w:val="001349ED"/>
    <w:rsid w:val="00137424"/>
    <w:rsid w:val="00140318"/>
    <w:rsid w:val="00141AD9"/>
    <w:rsid w:val="00146CE6"/>
    <w:rsid w:val="00152903"/>
    <w:rsid w:val="00152CC4"/>
    <w:rsid w:val="00153FD5"/>
    <w:rsid w:val="0015614F"/>
    <w:rsid w:val="001577C2"/>
    <w:rsid w:val="001633C4"/>
    <w:rsid w:val="001704D5"/>
    <w:rsid w:val="00171591"/>
    <w:rsid w:val="00173981"/>
    <w:rsid w:val="001765D3"/>
    <w:rsid w:val="0017719D"/>
    <w:rsid w:val="00182733"/>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D15"/>
    <w:rsid w:val="001F50F7"/>
    <w:rsid w:val="001F7558"/>
    <w:rsid w:val="00201EE2"/>
    <w:rsid w:val="00205B57"/>
    <w:rsid w:val="0021426C"/>
    <w:rsid w:val="002157E0"/>
    <w:rsid w:val="0021605A"/>
    <w:rsid w:val="00216A57"/>
    <w:rsid w:val="00217448"/>
    <w:rsid w:val="0022334F"/>
    <w:rsid w:val="00226819"/>
    <w:rsid w:val="00233101"/>
    <w:rsid w:val="00233817"/>
    <w:rsid w:val="002367FF"/>
    <w:rsid w:val="00240CE9"/>
    <w:rsid w:val="002434BA"/>
    <w:rsid w:val="002454F8"/>
    <w:rsid w:val="00246089"/>
    <w:rsid w:val="00246093"/>
    <w:rsid w:val="00246702"/>
    <w:rsid w:val="00247C59"/>
    <w:rsid w:val="00247F2E"/>
    <w:rsid w:val="00250ADC"/>
    <w:rsid w:val="00250B07"/>
    <w:rsid w:val="00251896"/>
    <w:rsid w:val="00257553"/>
    <w:rsid w:val="00257BAC"/>
    <w:rsid w:val="00260FB2"/>
    <w:rsid w:val="00262128"/>
    <w:rsid w:val="0027165D"/>
    <w:rsid w:val="00273CEB"/>
    <w:rsid w:val="00281C89"/>
    <w:rsid w:val="0028282F"/>
    <w:rsid w:val="002924BB"/>
    <w:rsid w:val="0029593B"/>
    <w:rsid w:val="00297FC5"/>
    <w:rsid w:val="002A0417"/>
    <w:rsid w:val="002A16D8"/>
    <w:rsid w:val="002A1BC8"/>
    <w:rsid w:val="002A3EF2"/>
    <w:rsid w:val="002B0DED"/>
    <w:rsid w:val="002B19A2"/>
    <w:rsid w:val="002B381A"/>
    <w:rsid w:val="002B4FCC"/>
    <w:rsid w:val="002B7408"/>
    <w:rsid w:val="002B7CFD"/>
    <w:rsid w:val="002C0530"/>
    <w:rsid w:val="002C210F"/>
    <w:rsid w:val="002D3600"/>
    <w:rsid w:val="002E4DDC"/>
    <w:rsid w:val="002F5DC9"/>
    <w:rsid w:val="00302480"/>
    <w:rsid w:val="00302758"/>
    <w:rsid w:val="003165E6"/>
    <w:rsid w:val="003215B5"/>
    <w:rsid w:val="003221CF"/>
    <w:rsid w:val="003233ED"/>
    <w:rsid w:val="00324D9F"/>
    <w:rsid w:val="00327948"/>
    <w:rsid w:val="0033000F"/>
    <w:rsid w:val="00331E9F"/>
    <w:rsid w:val="00332011"/>
    <w:rsid w:val="00332518"/>
    <w:rsid w:val="00332925"/>
    <w:rsid w:val="00332E3F"/>
    <w:rsid w:val="003332ED"/>
    <w:rsid w:val="003368DC"/>
    <w:rsid w:val="003423B7"/>
    <w:rsid w:val="00345927"/>
    <w:rsid w:val="00350584"/>
    <w:rsid w:val="00351857"/>
    <w:rsid w:val="003545E8"/>
    <w:rsid w:val="00360BEB"/>
    <w:rsid w:val="003610E1"/>
    <w:rsid w:val="003671BE"/>
    <w:rsid w:val="00372485"/>
    <w:rsid w:val="00373200"/>
    <w:rsid w:val="00375EF5"/>
    <w:rsid w:val="003767A5"/>
    <w:rsid w:val="00381D15"/>
    <w:rsid w:val="00385254"/>
    <w:rsid w:val="003933E8"/>
    <w:rsid w:val="003939BF"/>
    <w:rsid w:val="00394031"/>
    <w:rsid w:val="00396DC2"/>
    <w:rsid w:val="003A04DB"/>
    <w:rsid w:val="003A5F5B"/>
    <w:rsid w:val="003A789A"/>
    <w:rsid w:val="003B12EC"/>
    <w:rsid w:val="003C03B8"/>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173E9"/>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56BB"/>
    <w:rsid w:val="004A70D6"/>
    <w:rsid w:val="004B1751"/>
    <w:rsid w:val="004C0253"/>
    <w:rsid w:val="004D56FF"/>
    <w:rsid w:val="004E2162"/>
    <w:rsid w:val="004E39D3"/>
    <w:rsid w:val="004E508A"/>
    <w:rsid w:val="004E616D"/>
    <w:rsid w:val="004F08B7"/>
    <w:rsid w:val="004F1BDE"/>
    <w:rsid w:val="004F2CEE"/>
    <w:rsid w:val="004F556E"/>
    <w:rsid w:val="004F591C"/>
    <w:rsid w:val="004F7F44"/>
    <w:rsid w:val="005037B4"/>
    <w:rsid w:val="005079BF"/>
    <w:rsid w:val="0051269A"/>
    <w:rsid w:val="005219E7"/>
    <w:rsid w:val="00531B9A"/>
    <w:rsid w:val="00531D15"/>
    <w:rsid w:val="00536AF0"/>
    <w:rsid w:val="00537604"/>
    <w:rsid w:val="00542377"/>
    <w:rsid w:val="00544C81"/>
    <w:rsid w:val="005476EB"/>
    <w:rsid w:val="00551782"/>
    <w:rsid w:val="00554EA3"/>
    <w:rsid w:val="005558FA"/>
    <w:rsid w:val="00562490"/>
    <w:rsid w:val="00563EF1"/>
    <w:rsid w:val="00566AB4"/>
    <w:rsid w:val="00573812"/>
    <w:rsid w:val="00575AC5"/>
    <w:rsid w:val="0057605D"/>
    <w:rsid w:val="005802ED"/>
    <w:rsid w:val="00581347"/>
    <w:rsid w:val="00581AC9"/>
    <w:rsid w:val="0058205B"/>
    <w:rsid w:val="005849F8"/>
    <w:rsid w:val="00584E3F"/>
    <w:rsid w:val="005938DF"/>
    <w:rsid w:val="00594E9C"/>
    <w:rsid w:val="005A099B"/>
    <w:rsid w:val="005A2D9C"/>
    <w:rsid w:val="005A55FE"/>
    <w:rsid w:val="005A6A11"/>
    <w:rsid w:val="005A79C7"/>
    <w:rsid w:val="005B2F0D"/>
    <w:rsid w:val="005B378E"/>
    <w:rsid w:val="005C09C8"/>
    <w:rsid w:val="005C34EF"/>
    <w:rsid w:val="005C4C05"/>
    <w:rsid w:val="005D2502"/>
    <w:rsid w:val="005D40BB"/>
    <w:rsid w:val="005D47F3"/>
    <w:rsid w:val="005D49BF"/>
    <w:rsid w:val="005D4AA5"/>
    <w:rsid w:val="005D6F4E"/>
    <w:rsid w:val="005D7C73"/>
    <w:rsid w:val="005E250B"/>
    <w:rsid w:val="005E3ACD"/>
    <w:rsid w:val="005E7226"/>
    <w:rsid w:val="005E7A57"/>
    <w:rsid w:val="005F24B0"/>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24B2"/>
    <w:rsid w:val="00644373"/>
    <w:rsid w:val="0064571B"/>
    <w:rsid w:val="00645915"/>
    <w:rsid w:val="00646CC4"/>
    <w:rsid w:val="006519C3"/>
    <w:rsid w:val="00652B30"/>
    <w:rsid w:val="00656345"/>
    <w:rsid w:val="00656DC6"/>
    <w:rsid w:val="00660EC6"/>
    <w:rsid w:val="00664110"/>
    <w:rsid w:val="00664D17"/>
    <w:rsid w:val="00666520"/>
    <w:rsid w:val="00667C5B"/>
    <w:rsid w:val="00691419"/>
    <w:rsid w:val="00691EB8"/>
    <w:rsid w:val="00692CDE"/>
    <w:rsid w:val="00693073"/>
    <w:rsid w:val="006977FF"/>
    <w:rsid w:val="006A01FA"/>
    <w:rsid w:val="006A0E9E"/>
    <w:rsid w:val="006A25C7"/>
    <w:rsid w:val="006A4AAD"/>
    <w:rsid w:val="006A4CCA"/>
    <w:rsid w:val="006A6DA2"/>
    <w:rsid w:val="006A7AB2"/>
    <w:rsid w:val="006B52DE"/>
    <w:rsid w:val="006B5717"/>
    <w:rsid w:val="006B582F"/>
    <w:rsid w:val="006B5EB2"/>
    <w:rsid w:val="006B687D"/>
    <w:rsid w:val="006C0CEB"/>
    <w:rsid w:val="006C1631"/>
    <w:rsid w:val="006C3B1E"/>
    <w:rsid w:val="006C47FD"/>
    <w:rsid w:val="006C5C19"/>
    <w:rsid w:val="006C70A0"/>
    <w:rsid w:val="006D27CB"/>
    <w:rsid w:val="006D2F08"/>
    <w:rsid w:val="006D576C"/>
    <w:rsid w:val="006D5865"/>
    <w:rsid w:val="006E4B1B"/>
    <w:rsid w:val="006E5445"/>
    <w:rsid w:val="006E7D93"/>
    <w:rsid w:val="0070133D"/>
    <w:rsid w:val="007029A3"/>
    <w:rsid w:val="00703205"/>
    <w:rsid w:val="00706E4E"/>
    <w:rsid w:val="0070791C"/>
    <w:rsid w:val="0071383C"/>
    <w:rsid w:val="007141A7"/>
    <w:rsid w:val="00715722"/>
    <w:rsid w:val="00715BAF"/>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0B3F"/>
    <w:rsid w:val="007714A9"/>
    <w:rsid w:val="00774F88"/>
    <w:rsid w:val="00774FDB"/>
    <w:rsid w:val="00777BA2"/>
    <w:rsid w:val="00780646"/>
    <w:rsid w:val="00781408"/>
    <w:rsid w:val="00784F7F"/>
    <w:rsid w:val="007878BD"/>
    <w:rsid w:val="0079171B"/>
    <w:rsid w:val="00796F25"/>
    <w:rsid w:val="007A2E98"/>
    <w:rsid w:val="007A3BA3"/>
    <w:rsid w:val="007A6CC0"/>
    <w:rsid w:val="007A7FEC"/>
    <w:rsid w:val="007B1499"/>
    <w:rsid w:val="007B1BBF"/>
    <w:rsid w:val="007B23B2"/>
    <w:rsid w:val="007B2960"/>
    <w:rsid w:val="007B355D"/>
    <w:rsid w:val="007B7980"/>
    <w:rsid w:val="007C0DEF"/>
    <w:rsid w:val="007C5D5A"/>
    <w:rsid w:val="007C607F"/>
    <w:rsid w:val="007C79DD"/>
    <w:rsid w:val="007D1A97"/>
    <w:rsid w:val="007D2CD6"/>
    <w:rsid w:val="007D3063"/>
    <w:rsid w:val="007D3CEB"/>
    <w:rsid w:val="007E7683"/>
    <w:rsid w:val="007F49FA"/>
    <w:rsid w:val="007F54C4"/>
    <w:rsid w:val="007F6316"/>
    <w:rsid w:val="007F6E9A"/>
    <w:rsid w:val="00800CCD"/>
    <w:rsid w:val="008044D4"/>
    <w:rsid w:val="00810AB4"/>
    <w:rsid w:val="00817B56"/>
    <w:rsid w:val="00820B75"/>
    <w:rsid w:val="00821637"/>
    <w:rsid w:val="00821A88"/>
    <w:rsid w:val="0082322E"/>
    <w:rsid w:val="0082495D"/>
    <w:rsid w:val="00830941"/>
    <w:rsid w:val="00831AC3"/>
    <w:rsid w:val="008340DA"/>
    <w:rsid w:val="00836FCE"/>
    <w:rsid w:val="008408FF"/>
    <w:rsid w:val="00851F3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0428"/>
    <w:rsid w:val="008E4767"/>
    <w:rsid w:val="008E7A8C"/>
    <w:rsid w:val="0090203B"/>
    <w:rsid w:val="00903285"/>
    <w:rsid w:val="00904845"/>
    <w:rsid w:val="00906F40"/>
    <w:rsid w:val="0090731E"/>
    <w:rsid w:val="00913486"/>
    <w:rsid w:val="00915B1C"/>
    <w:rsid w:val="009174F3"/>
    <w:rsid w:val="0091797D"/>
    <w:rsid w:val="00923CBA"/>
    <w:rsid w:val="00926703"/>
    <w:rsid w:val="00927691"/>
    <w:rsid w:val="00927A5F"/>
    <w:rsid w:val="00930510"/>
    <w:rsid w:val="00935B63"/>
    <w:rsid w:val="00936E40"/>
    <w:rsid w:val="00936E95"/>
    <w:rsid w:val="0094078F"/>
    <w:rsid w:val="00940FA3"/>
    <w:rsid w:val="00941FB0"/>
    <w:rsid w:val="009426D4"/>
    <w:rsid w:val="00947F25"/>
    <w:rsid w:val="00950159"/>
    <w:rsid w:val="0095490B"/>
    <w:rsid w:val="00960A33"/>
    <w:rsid w:val="00971914"/>
    <w:rsid w:val="00974363"/>
    <w:rsid w:val="00981898"/>
    <w:rsid w:val="0099577C"/>
    <w:rsid w:val="009975B0"/>
    <w:rsid w:val="009A021C"/>
    <w:rsid w:val="009A25CC"/>
    <w:rsid w:val="009B24A5"/>
    <w:rsid w:val="009B2601"/>
    <w:rsid w:val="009B4E9E"/>
    <w:rsid w:val="009C1690"/>
    <w:rsid w:val="009C6881"/>
    <w:rsid w:val="009C7759"/>
    <w:rsid w:val="009D043D"/>
    <w:rsid w:val="009D07C8"/>
    <w:rsid w:val="009D4C85"/>
    <w:rsid w:val="009D6C71"/>
    <w:rsid w:val="009E0631"/>
    <w:rsid w:val="009E16D0"/>
    <w:rsid w:val="009E2051"/>
    <w:rsid w:val="009E37D8"/>
    <w:rsid w:val="009E38FD"/>
    <w:rsid w:val="009F13D6"/>
    <w:rsid w:val="009F4C6B"/>
    <w:rsid w:val="009F78A8"/>
    <w:rsid w:val="00A02AD6"/>
    <w:rsid w:val="00A07096"/>
    <w:rsid w:val="00A07318"/>
    <w:rsid w:val="00A11370"/>
    <w:rsid w:val="00A224CE"/>
    <w:rsid w:val="00A22522"/>
    <w:rsid w:val="00A24AFD"/>
    <w:rsid w:val="00A24F5C"/>
    <w:rsid w:val="00A26B9D"/>
    <w:rsid w:val="00A32F96"/>
    <w:rsid w:val="00A40871"/>
    <w:rsid w:val="00A412AB"/>
    <w:rsid w:val="00A4193E"/>
    <w:rsid w:val="00A440E0"/>
    <w:rsid w:val="00A442EF"/>
    <w:rsid w:val="00A5009B"/>
    <w:rsid w:val="00A51D1A"/>
    <w:rsid w:val="00A5418D"/>
    <w:rsid w:val="00A5474E"/>
    <w:rsid w:val="00A64234"/>
    <w:rsid w:val="00A70ADF"/>
    <w:rsid w:val="00A71466"/>
    <w:rsid w:val="00A74B5E"/>
    <w:rsid w:val="00A81BED"/>
    <w:rsid w:val="00A81EC4"/>
    <w:rsid w:val="00A824E8"/>
    <w:rsid w:val="00A82661"/>
    <w:rsid w:val="00A92D93"/>
    <w:rsid w:val="00A967FD"/>
    <w:rsid w:val="00A96DD2"/>
    <w:rsid w:val="00AA2DE5"/>
    <w:rsid w:val="00AB156C"/>
    <w:rsid w:val="00AB6814"/>
    <w:rsid w:val="00AC04BA"/>
    <w:rsid w:val="00AC0E39"/>
    <w:rsid w:val="00AC64C8"/>
    <w:rsid w:val="00AD13A6"/>
    <w:rsid w:val="00AD3082"/>
    <w:rsid w:val="00AD32B4"/>
    <w:rsid w:val="00AD4AD0"/>
    <w:rsid w:val="00AD5436"/>
    <w:rsid w:val="00AD60CD"/>
    <w:rsid w:val="00AD6C8C"/>
    <w:rsid w:val="00AE091D"/>
    <w:rsid w:val="00AE3B60"/>
    <w:rsid w:val="00AE4B70"/>
    <w:rsid w:val="00AE53A1"/>
    <w:rsid w:val="00AF1F73"/>
    <w:rsid w:val="00AF2484"/>
    <w:rsid w:val="00AF63E7"/>
    <w:rsid w:val="00AF6E17"/>
    <w:rsid w:val="00B0165D"/>
    <w:rsid w:val="00B01B60"/>
    <w:rsid w:val="00B031F3"/>
    <w:rsid w:val="00B052A4"/>
    <w:rsid w:val="00B061A5"/>
    <w:rsid w:val="00B125DE"/>
    <w:rsid w:val="00B13FDD"/>
    <w:rsid w:val="00B22EB2"/>
    <w:rsid w:val="00B27442"/>
    <w:rsid w:val="00B31167"/>
    <w:rsid w:val="00B329D8"/>
    <w:rsid w:val="00B32BB9"/>
    <w:rsid w:val="00B33AE1"/>
    <w:rsid w:val="00B35BA6"/>
    <w:rsid w:val="00B366F8"/>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972BC"/>
    <w:rsid w:val="00BA28AE"/>
    <w:rsid w:val="00BB45A1"/>
    <w:rsid w:val="00BB4BAE"/>
    <w:rsid w:val="00BB6335"/>
    <w:rsid w:val="00BB7686"/>
    <w:rsid w:val="00BB7802"/>
    <w:rsid w:val="00BC23F9"/>
    <w:rsid w:val="00BC3421"/>
    <w:rsid w:val="00BC732C"/>
    <w:rsid w:val="00BD4421"/>
    <w:rsid w:val="00BE2580"/>
    <w:rsid w:val="00BE266D"/>
    <w:rsid w:val="00BE3938"/>
    <w:rsid w:val="00BE3E75"/>
    <w:rsid w:val="00BE4C11"/>
    <w:rsid w:val="00BE71C0"/>
    <w:rsid w:val="00BF610C"/>
    <w:rsid w:val="00BF7553"/>
    <w:rsid w:val="00C0060B"/>
    <w:rsid w:val="00C01A6C"/>
    <w:rsid w:val="00C0277D"/>
    <w:rsid w:val="00C02F26"/>
    <w:rsid w:val="00C0396E"/>
    <w:rsid w:val="00C053A1"/>
    <w:rsid w:val="00C054BE"/>
    <w:rsid w:val="00C13FC0"/>
    <w:rsid w:val="00C16198"/>
    <w:rsid w:val="00C2083D"/>
    <w:rsid w:val="00C24A53"/>
    <w:rsid w:val="00C34A05"/>
    <w:rsid w:val="00C35CCE"/>
    <w:rsid w:val="00C4032F"/>
    <w:rsid w:val="00C41F21"/>
    <w:rsid w:val="00C44047"/>
    <w:rsid w:val="00C45155"/>
    <w:rsid w:val="00C5498F"/>
    <w:rsid w:val="00C55235"/>
    <w:rsid w:val="00C64CD0"/>
    <w:rsid w:val="00C65F61"/>
    <w:rsid w:val="00C6684F"/>
    <w:rsid w:val="00C67EB7"/>
    <w:rsid w:val="00C70E70"/>
    <w:rsid w:val="00C75F8D"/>
    <w:rsid w:val="00C77380"/>
    <w:rsid w:val="00C87E8A"/>
    <w:rsid w:val="00C913D6"/>
    <w:rsid w:val="00C97736"/>
    <w:rsid w:val="00CA345A"/>
    <w:rsid w:val="00CB1E82"/>
    <w:rsid w:val="00CB4BA8"/>
    <w:rsid w:val="00CB52D7"/>
    <w:rsid w:val="00CC6732"/>
    <w:rsid w:val="00CD4E7C"/>
    <w:rsid w:val="00CD6ACF"/>
    <w:rsid w:val="00CE3C96"/>
    <w:rsid w:val="00CE51A8"/>
    <w:rsid w:val="00CF0BFE"/>
    <w:rsid w:val="00CF369B"/>
    <w:rsid w:val="00D00E28"/>
    <w:rsid w:val="00D0269E"/>
    <w:rsid w:val="00D05D6C"/>
    <w:rsid w:val="00D06E36"/>
    <w:rsid w:val="00D117B1"/>
    <w:rsid w:val="00D13A3C"/>
    <w:rsid w:val="00D15810"/>
    <w:rsid w:val="00D16D4E"/>
    <w:rsid w:val="00D16FE3"/>
    <w:rsid w:val="00D27F41"/>
    <w:rsid w:val="00D3430F"/>
    <w:rsid w:val="00D36441"/>
    <w:rsid w:val="00D4064E"/>
    <w:rsid w:val="00D44DA5"/>
    <w:rsid w:val="00D44E9B"/>
    <w:rsid w:val="00D47AEB"/>
    <w:rsid w:val="00D50DB9"/>
    <w:rsid w:val="00D51302"/>
    <w:rsid w:val="00D52C43"/>
    <w:rsid w:val="00D60C86"/>
    <w:rsid w:val="00D61243"/>
    <w:rsid w:val="00D6295A"/>
    <w:rsid w:val="00D6507F"/>
    <w:rsid w:val="00D730BC"/>
    <w:rsid w:val="00D73912"/>
    <w:rsid w:val="00D85226"/>
    <w:rsid w:val="00D87B94"/>
    <w:rsid w:val="00D92D49"/>
    <w:rsid w:val="00D92EC1"/>
    <w:rsid w:val="00D96DEA"/>
    <w:rsid w:val="00DA4E41"/>
    <w:rsid w:val="00DA66AB"/>
    <w:rsid w:val="00DB117A"/>
    <w:rsid w:val="00DB5173"/>
    <w:rsid w:val="00DB7873"/>
    <w:rsid w:val="00DC187B"/>
    <w:rsid w:val="00DD1A43"/>
    <w:rsid w:val="00DD73C2"/>
    <w:rsid w:val="00DE319B"/>
    <w:rsid w:val="00DF34FE"/>
    <w:rsid w:val="00DF56AA"/>
    <w:rsid w:val="00DF56AF"/>
    <w:rsid w:val="00DF78E7"/>
    <w:rsid w:val="00DF7F8A"/>
    <w:rsid w:val="00E110E0"/>
    <w:rsid w:val="00E15371"/>
    <w:rsid w:val="00E21056"/>
    <w:rsid w:val="00E24104"/>
    <w:rsid w:val="00E302D0"/>
    <w:rsid w:val="00E35707"/>
    <w:rsid w:val="00E36AA1"/>
    <w:rsid w:val="00E41ECB"/>
    <w:rsid w:val="00E42676"/>
    <w:rsid w:val="00E54FDB"/>
    <w:rsid w:val="00E5617D"/>
    <w:rsid w:val="00E563D7"/>
    <w:rsid w:val="00E663F4"/>
    <w:rsid w:val="00E666F2"/>
    <w:rsid w:val="00E66DD4"/>
    <w:rsid w:val="00E71872"/>
    <w:rsid w:val="00E71FBA"/>
    <w:rsid w:val="00E748CC"/>
    <w:rsid w:val="00E75415"/>
    <w:rsid w:val="00E775B1"/>
    <w:rsid w:val="00E810A7"/>
    <w:rsid w:val="00E8152A"/>
    <w:rsid w:val="00E93629"/>
    <w:rsid w:val="00E93B5C"/>
    <w:rsid w:val="00E94CEC"/>
    <w:rsid w:val="00EA04EF"/>
    <w:rsid w:val="00EA6C79"/>
    <w:rsid w:val="00EA6F19"/>
    <w:rsid w:val="00EB0EDD"/>
    <w:rsid w:val="00EB7090"/>
    <w:rsid w:val="00EC1BBE"/>
    <w:rsid w:val="00EC2B68"/>
    <w:rsid w:val="00EC3AEF"/>
    <w:rsid w:val="00EC5CD7"/>
    <w:rsid w:val="00EE1BA8"/>
    <w:rsid w:val="00EE5FB3"/>
    <w:rsid w:val="00EE7F79"/>
    <w:rsid w:val="00EF1B84"/>
    <w:rsid w:val="00EF715A"/>
    <w:rsid w:val="00F06E14"/>
    <w:rsid w:val="00F179D4"/>
    <w:rsid w:val="00F22A23"/>
    <w:rsid w:val="00F300FB"/>
    <w:rsid w:val="00F33C56"/>
    <w:rsid w:val="00F347C7"/>
    <w:rsid w:val="00F34848"/>
    <w:rsid w:val="00F42D46"/>
    <w:rsid w:val="00F4496C"/>
    <w:rsid w:val="00F44F3A"/>
    <w:rsid w:val="00F51F10"/>
    <w:rsid w:val="00F529A5"/>
    <w:rsid w:val="00F5310D"/>
    <w:rsid w:val="00F55645"/>
    <w:rsid w:val="00F60F00"/>
    <w:rsid w:val="00F614C0"/>
    <w:rsid w:val="00F647BC"/>
    <w:rsid w:val="00F83848"/>
    <w:rsid w:val="00F87AAC"/>
    <w:rsid w:val="00F94286"/>
    <w:rsid w:val="00F975E9"/>
    <w:rsid w:val="00FA1B7D"/>
    <w:rsid w:val="00FB493A"/>
    <w:rsid w:val="00FC07B9"/>
    <w:rsid w:val="00FC4E21"/>
    <w:rsid w:val="00FC5F6D"/>
    <w:rsid w:val="00FD0107"/>
    <w:rsid w:val="00FD2C2F"/>
    <w:rsid w:val="00FD32DE"/>
    <w:rsid w:val="00FD3B31"/>
    <w:rsid w:val="00FE1823"/>
    <w:rsid w:val="00FE487A"/>
    <w:rsid w:val="00FE5368"/>
    <w:rsid w:val="00FF0569"/>
    <w:rsid w:val="00FF206E"/>
    <w:rsid w:val="00FF240F"/>
    <w:rsid w:val="00FF3C69"/>
    <w:rsid w:val="00FF4920"/>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9153">
      <o:colormru v:ext="edit" colors="red,#4d4d4f"/>
    </o:shapedefaults>
    <o:shapelayout v:ext="edit">
      <o:idmap v:ext="edit" data="1"/>
    </o:shapelayout>
  </w:shapeDefaults>
  <w:decimalSymbol w:val="."/>
  <w:listSeparator w:val=","/>
  <w14:docId w14:val="5A5613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qFormat="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Style 13,FR"/>
    <w:basedOn w:val="DefaultParagraphFon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23"/>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qFormat/>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23"/>
    <w:locked/>
    <w:rsid w:val="00584E3F"/>
    <w:rPr>
      <w:rFonts w:ascii="Arial" w:hAnsi="Arial"/>
      <w:sz w:val="16"/>
      <w:szCs w:val="16"/>
    </w:rPr>
  </w:style>
  <w:style w:type="character" w:customStyle="1" w:styleId="ListBulletChar">
    <w:name w:val="List Bullet Char"/>
    <w:aliases w:val="List Bullet 1 Char"/>
    <w:basedOn w:val="DefaultParagraphFont"/>
    <w:link w:val="ListBullet"/>
    <w:rsid w:val="00820B75"/>
    <w:rPr>
      <w:rFonts w:ascii="Arial" w:hAnsi="Arial"/>
      <w:sz w:val="20"/>
    </w:rPr>
  </w:style>
  <w:style w:type="paragraph" w:styleId="Revision">
    <w:name w:val="Revision"/>
    <w:hidden/>
    <w:semiHidden/>
    <w:rsid w:val="003423B7"/>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five-year-spectrum-outlook"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publications/2019-11/guide/rali-ms22-400-mhz-plan" TargetMode="External"/><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consultations/2020-08/proposed-update-australian-radiofrequency-spectrum-plan-consultation-2720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decisions-under-subsection-1010" TargetMode="Externa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consultations/2021-03/draft-five-year-spectrum-outlook-2021-26-consultation-102021"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consultations/2021-04/new-arrangements-remotely-piloted-aircraft-systems-consultation-112021" TargetMode="External"/><Relationship Id="rId30" Type="http://schemas.openxmlformats.org/officeDocument/2006/relationships/header" Target="header7.xml"/><Relationship Id="rId35"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legislation.gov.au/Series/F2015L01438" TargetMode="External"/><Relationship Id="rId2" Type="http://schemas.openxmlformats.org/officeDocument/2006/relationships/hyperlink" Target="https://www.aph.gov.au/Parliamentary_Business/Committees/Joint/Treaties/RadioRegs-WRC-19/Report_195" TargetMode="External"/><Relationship Id="rId1" Type="http://schemas.openxmlformats.org/officeDocument/2006/relationships/hyperlink" Target="https://www.itu.int/pub/R-REG-RR-201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1EEB41-1380-4C03-B612-98AA3D5CF0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2603</Words>
  <Characters>14839</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17408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2021-05-20T06:38:00Z</dcterms:created>
  <dcterms:modified xsi:type="dcterms:W3CDTF">2021-05-21T03:22:00Z</dcterms:modified>
  <cp:category/>
</cp:coreProperties>
</file>