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E5286" w14:textId="77499E9E" w:rsidR="008F2274" w:rsidRPr="002D1C92" w:rsidRDefault="00974E2B" w:rsidP="002F09D2">
      <w:pPr>
        <w:spacing w:before="0" w:after="0" w:line="240" w:lineRule="auto"/>
        <w:ind w:left="-720"/>
        <w:rPr>
          <w:rFonts w:ascii="Arial" w:hAnsi="Arial" w:cs="Arial"/>
        </w:rPr>
      </w:pPr>
      <w:r w:rsidRPr="00560178">
        <w:rPr>
          <w:rFonts w:ascii="Arial" w:hAnsi="Arial" w:cs="Arial"/>
        </w:rPr>
        <w:t xml:space="preserve"> </w:t>
      </w:r>
      <w:r w:rsidR="008F2274" w:rsidRPr="002D1C92">
        <w:rPr>
          <w:rFonts w:ascii="Arial" w:hAnsi="Arial" w:cs="Arial"/>
          <w:noProof/>
          <w:lang w:eastAsia="en-AU"/>
        </w:rPr>
        <w:drawing>
          <wp:inline distT="0" distB="0" distL="0" distR="0" wp14:anchorId="2557199A" wp14:editId="197DF7EC">
            <wp:extent cx="5582285" cy="794385"/>
            <wp:effectExtent l="0" t="0" r="0" b="5715"/>
            <wp:docPr id="7" name="Picture 7"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A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82285" cy="794385"/>
                    </a:xfrm>
                    <a:prstGeom prst="rect">
                      <a:avLst/>
                    </a:prstGeom>
                    <a:noFill/>
                    <a:ln>
                      <a:noFill/>
                    </a:ln>
                  </pic:spPr>
                </pic:pic>
              </a:graphicData>
            </a:graphic>
          </wp:inline>
        </w:drawing>
      </w:r>
    </w:p>
    <w:p w14:paraId="5D00A8A2" w14:textId="3265EAA2" w:rsidR="008F2274" w:rsidRPr="002D1C92" w:rsidRDefault="008F2274" w:rsidP="002F09D2">
      <w:pPr>
        <w:pStyle w:val="ACMAHeading1"/>
        <w:rPr>
          <w:rFonts w:cs="Arial"/>
          <w:sz w:val="24"/>
          <w:szCs w:val="24"/>
        </w:rPr>
      </w:pPr>
      <w:r w:rsidRPr="002D1C92">
        <w:rPr>
          <w:rFonts w:cs="Arial"/>
          <w:sz w:val="24"/>
          <w:szCs w:val="24"/>
        </w:rPr>
        <w:t xml:space="preserve">Investigation Report </w:t>
      </w:r>
    </w:p>
    <w:p w14:paraId="7D523367" w14:textId="77777777" w:rsidR="008F2274" w:rsidRPr="002D1C92" w:rsidRDefault="008F2274" w:rsidP="002F09D2">
      <w:pPr>
        <w:pStyle w:val="ACMABodyText"/>
        <w:spacing w:line="240" w:lineRule="auto"/>
        <w:rPr>
          <w:rFonts w:ascii="Arial" w:hAnsi="Arial" w:cs="Arial"/>
          <w:szCs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7088"/>
      </w:tblGrid>
      <w:tr w:rsidR="008F2274" w:rsidRPr="002D1C92" w14:paraId="2618FBED" w14:textId="77777777" w:rsidTr="00026DB0">
        <w:trPr>
          <w:trHeight w:val="630"/>
        </w:trPr>
        <w:tc>
          <w:tcPr>
            <w:tcW w:w="1951" w:type="dxa"/>
            <w:tcBorders>
              <w:top w:val="single" w:sz="4" w:space="0" w:color="auto"/>
              <w:left w:val="single" w:sz="4" w:space="0" w:color="auto"/>
              <w:bottom w:val="single" w:sz="4" w:space="0" w:color="auto"/>
              <w:right w:val="single" w:sz="4" w:space="0" w:color="auto"/>
            </w:tcBorders>
            <w:vAlign w:val="center"/>
            <w:hideMark/>
          </w:tcPr>
          <w:p w14:paraId="558AED7A" w14:textId="77777777" w:rsidR="008F2274" w:rsidRPr="002D1C92" w:rsidRDefault="008F2274" w:rsidP="002F09D2">
            <w:pPr>
              <w:pStyle w:val="ACMATableHeading"/>
              <w:rPr>
                <w:rFonts w:cs="Arial"/>
              </w:rPr>
            </w:pPr>
            <w:r w:rsidRPr="002D1C92">
              <w:rPr>
                <w:rFonts w:cs="Arial"/>
              </w:rPr>
              <w:t>File No.</w:t>
            </w:r>
          </w:p>
        </w:tc>
        <w:tc>
          <w:tcPr>
            <w:tcW w:w="7088" w:type="dxa"/>
            <w:tcBorders>
              <w:top w:val="single" w:sz="4" w:space="0" w:color="auto"/>
              <w:left w:val="single" w:sz="4" w:space="0" w:color="auto"/>
              <w:bottom w:val="single" w:sz="4" w:space="0" w:color="auto"/>
              <w:right w:val="single" w:sz="4" w:space="0" w:color="auto"/>
            </w:tcBorders>
            <w:vAlign w:val="center"/>
            <w:hideMark/>
          </w:tcPr>
          <w:p w14:paraId="4DC55349" w14:textId="58E262A3" w:rsidR="008F2274" w:rsidRPr="002D1C92" w:rsidRDefault="008F2274" w:rsidP="002F09D2">
            <w:pPr>
              <w:pStyle w:val="ACMATableText"/>
              <w:rPr>
                <w:rFonts w:cs="Arial"/>
              </w:rPr>
            </w:pPr>
            <w:r w:rsidRPr="002D1C92">
              <w:rPr>
                <w:rFonts w:cs="Arial"/>
              </w:rPr>
              <w:t>ACMA2018/</w:t>
            </w:r>
            <w:r w:rsidR="00B21CD6" w:rsidRPr="002D1C92">
              <w:rPr>
                <w:rFonts w:cs="Arial"/>
                <w:noProof/>
              </w:rPr>
              <w:t>895</w:t>
            </w:r>
            <w:r w:rsidR="008D1008" w:rsidRPr="002D1C92">
              <w:rPr>
                <w:rFonts w:cs="Arial"/>
                <w:noProof/>
              </w:rPr>
              <w:t xml:space="preserve"> </w:t>
            </w:r>
          </w:p>
        </w:tc>
      </w:tr>
      <w:tr w:rsidR="008F2274" w:rsidRPr="002D1C92" w14:paraId="2115FEFD" w14:textId="77777777" w:rsidTr="00026DB0">
        <w:trPr>
          <w:trHeight w:val="630"/>
        </w:trPr>
        <w:tc>
          <w:tcPr>
            <w:tcW w:w="1951" w:type="dxa"/>
            <w:tcBorders>
              <w:top w:val="single" w:sz="4" w:space="0" w:color="auto"/>
              <w:left w:val="single" w:sz="4" w:space="0" w:color="auto"/>
              <w:bottom w:val="single" w:sz="4" w:space="0" w:color="auto"/>
              <w:right w:val="single" w:sz="4" w:space="0" w:color="auto"/>
            </w:tcBorders>
            <w:vAlign w:val="center"/>
            <w:hideMark/>
          </w:tcPr>
          <w:p w14:paraId="278575DC" w14:textId="77777777" w:rsidR="008F2274" w:rsidRPr="002D1C92" w:rsidRDefault="008F2274" w:rsidP="002F09D2">
            <w:pPr>
              <w:pStyle w:val="ACMATableHeading"/>
              <w:rPr>
                <w:rFonts w:cs="Arial"/>
              </w:rPr>
            </w:pPr>
            <w:r w:rsidRPr="002D1C92">
              <w:rPr>
                <w:rFonts w:cs="Arial"/>
              </w:rPr>
              <w:t>Carriage Service Provider</w:t>
            </w:r>
          </w:p>
        </w:tc>
        <w:tc>
          <w:tcPr>
            <w:tcW w:w="7088" w:type="dxa"/>
            <w:tcBorders>
              <w:top w:val="single" w:sz="4" w:space="0" w:color="auto"/>
              <w:left w:val="single" w:sz="4" w:space="0" w:color="auto"/>
              <w:bottom w:val="single" w:sz="4" w:space="0" w:color="auto"/>
              <w:right w:val="single" w:sz="4" w:space="0" w:color="auto"/>
            </w:tcBorders>
            <w:vAlign w:val="center"/>
            <w:hideMark/>
          </w:tcPr>
          <w:p w14:paraId="46074CB1" w14:textId="7F3E7D2F" w:rsidR="008F2274" w:rsidRPr="002D1C92" w:rsidRDefault="00AF595D" w:rsidP="002F09D2">
            <w:pPr>
              <w:pStyle w:val="ACMATableText"/>
              <w:rPr>
                <w:rFonts w:cs="Arial"/>
              </w:rPr>
            </w:pPr>
            <w:r w:rsidRPr="002D1C92">
              <w:rPr>
                <w:rFonts w:cs="Arial"/>
                <w:noProof/>
              </w:rPr>
              <w:t>Lycamobile</w:t>
            </w:r>
            <w:r w:rsidR="008F2274" w:rsidRPr="002D1C92">
              <w:rPr>
                <w:rFonts w:cs="Arial"/>
              </w:rPr>
              <w:t xml:space="preserve"> </w:t>
            </w:r>
            <w:r w:rsidR="00F55DFA" w:rsidRPr="002D1C92">
              <w:rPr>
                <w:rFonts w:cs="Arial"/>
              </w:rPr>
              <w:t xml:space="preserve">Pty Ltd </w:t>
            </w:r>
            <w:r w:rsidR="0089609C" w:rsidRPr="002D1C92">
              <w:rPr>
                <w:rFonts w:cs="Arial"/>
              </w:rPr>
              <w:t>(</w:t>
            </w:r>
            <w:r w:rsidR="0089609C" w:rsidRPr="002D1C92">
              <w:rPr>
                <w:rFonts w:cs="Arial"/>
                <w:szCs w:val="19"/>
              </w:rPr>
              <w:t>ACN</w:t>
            </w:r>
            <w:r w:rsidR="008F2274" w:rsidRPr="002D1C92">
              <w:rPr>
                <w:rFonts w:cs="Arial"/>
                <w:szCs w:val="19"/>
              </w:rPr>
              <w:t xml:space="preserve"> </w:t>
            </w:r>
            <w:r w:rsidR="00F2109A" w:rsidRPr="002D1C92">
              <w:rPr>
                <w:rFonts w:cs="Arial"/>
                <w:noProof/>
                <w:szCs w:val="19"/>
              </w:rPr>
              <w:t>139 717 212</w:t>
            </w:r>
            <w:r w:rsidR="0089609C" w:rsidRPr="002D1C92">
              <w:rPr>
                <w:rFonts w:cs="Arial"/>
                <w:noProof/>
                <w:szCs w:val="19"/>
              </w:rPr>
              <w:t>)</w:t>
            </w:r>
          </w:p>
        </w:tc>
      </w:tr>
      <w:tr w:rsidR="008F2274" w:rsidRPr="002D1C92" w14:paraId="27973003" w14:textId="77777777" w:rsidTr="00026DB0">
        <w:trPr>
          <w:trHeight w:val="630"/>
        </w:trPr>
        <w:tc>
          <w:tcPr>
            <w:tcW w:w="1951" w:type="dxa"/>
            <w:tcBorders>
              <w:top w:val="single" w:sz="4" w:space="0" w:color="auto"/>
              <w:left w:val="single" w:sz="4" w:space="0" w:color="auto"/>
              <w:bottom w:val="single" w:sz="4" w:space="0" w:color="auto"/>
              <w:right w:val="single" w:sz="4" w:space="0" w:color="auto"/>
            </w:tcBorders>
            <w:vAlign w:val="center"/>
            <w:hideMark/>
          </w:tcPr>
          <w:p w14:paraId="63E3FDD5" w14:textId="77777777" w:rsidR="008F2274" w:rsidRPr="002D1C92" w:rsidRDefault="008F2274" w:rsidP="002F09D2">
            <w:pPr>
              <w:pStyle w:val="ACMATableHeading"/>
              <w:rPr>
                <w:rFonts w:cs="Arial"/>
              </w:rPr>
            </w:pPr>
            <w:r w:rsidRPr="002D1C92">
              <w:rPr>
                <w:rFonts w:cs="Arial"/>
              </w:rPr>
              <w:t>Type of Service</w:t>
            </w:r>
          </w:p>
        </w:tc>
        <w:tc>
          <w:tcPr>
            <w:tcW w:w="7088" w:type="dxa"/>
            <w:tcBorders>
              <w:top w:val="single" w:sz="4" w:space="0" w:color="auto"/>
              <w:left w:val="single" w:sz="4" w:space="0" w:color="auto"/>
              <w:bottom w:val="single" w:sz="4" w:space="0" w:color="auto"/>
              <w:right w:val="single" w:sz="4" w:space="0" w:color="auto"/>
            </w:tcBorders>
            <w:vAlign w:val="center"/>
            <w:hideMark/>
          </w:tcPr>
          <w:p w14:paraId="3C8DD0FC" w14:textId="38693480" w:rsidR="008F2274" w:rsidRPr="002D1C92" w:rsidRDefault="005C7016" w:rsidP="002F09D2">
            <w:pPr>
              <w:pStyle w:val="ACMATableText"/>
              <w:rPr>
                <w:rFonts w:cs="Arial"/>
              </w:rPr>
            </w:pPr>
            <w:r w:rsidRPr="002D1C92">
              <w:rPr>
                <w:rFonts w:cs="Arial"/>
              </w:rPr>
              <w:t>Prepaid Mobile Carriage Servi</w:t>
            </w:r>
            <w:r w:rsidR="007771DB" w:rsidRPr="002D1C92">
              <w:rPr>
                <w:rFonts w:cs="Arial"/>
              </w:rPr>
              <w:t>c</w:t>
            </w:r>
            <w:r w:rsidRPr="002D1C92">
              <w:rPr>
                <w:rFonts w:cs="Arial"/>
              </w:rPr>
              <w:t>es</w:t>
            </w:r>
          </w:p>
        </w:tc>
      </w:tr>
      <w:tr w:rsidR="008F2274" w:rsidRPr="002D1C92" w14:paraId="53E0A370" w14:textId="77777777" w:rsidTr="00026DB0">
        <w:trPr>
          <w:trHeight w:val="630"/>
        </w:trPr>
        <w:tc>
          <w:tcPr>
            <w:tcW w:w="1951" w:type="dxa"/>
            <w:tcBorders>
              <w:top w:val="single" w:sz="4" w:space="0" w:color="auto"/>
              <w:left w:val="single" w:sz="4" w:space="0" w:color="auto"/>
              <w:bottom w:val="single" w:sz="4" w:space="0" w:color="auto"/>
              <w:right w:val="single" w:sz="4" w:space="0" w:color="auto"/>
            </w:tcBorders>
            <w:vAlign w:val="center"/>
            <w:hideMark/>
          </w:tcPr>
          <w:p w14:paraId="6E199C1C" w14:textId="77777777" w:rsidR="008F2274" w:rsidRPr="002D1C92" w:rsidRDefault="008F2274" w:rsidP="002F09D2">
            <w:pPr>
              <w:pStyle w:val="ACMATableHeading"/>
              <w:rPr>
                <w:rFonts w:cs="Arial"/>
              </w:rPr>
            </w:pPr>
            <w:r w:rsidRPr="002D1C92">
              <w:rPr>
                <w:rFonts w:cs="Arial"/>
              </w:rPr>
              <w:t>Relevant Legislation/Code</w:t>
            </w:r>
          </w:p>
        </w:tc>
        <w:tc>
          <w:tcPr>
            <w:tcW w:w="7088" w:type="dxa"/>
            <w:tcBorders>
              <w:top w:val="single" w:sz="4" w:space="0" w:color="auto"/>
              <w:left w:val="single" w:sz="4" w:space="0" w:color="auto"/>
              <w:bottom w:val="single" w:sz="4" w:space="0" w:color="auto"/>
              <w:right w:val="single" w:sz="4" w:space="0" w:color="auto"/>
            </w:tcBorders>
            <w:vAlign w:val="center"/>
            <w:hideMark/>
          </w:tcPr>
          <w:p w14:paraId="6786C0C7" w14:textId="77777777" w:rsidR="008F2274" w:rsidRPr="002D1C92" w:rsidRDefault="008F2274" w:rsidP="002F09D2">
            <w:pPr>
              <w:pStyle w:val="ACMATableText"/>
              <w:rPr>
                <w:rFonts w:cs="Arial"/>
                <w:i/>
              </w:rPr>
            </w:pPr>
            <w:r w:rsidRPr="002D1C92">
              <w:rPr>
                <w:rFonts w:cs="Arial"/>
                <w:i/>
              </w:rPr>
              <w:t>Telecommunications Act 1997</w:t>
            </w:r>
          </w:p>
          <w:p w14:paraId="17AF5E49" w14:textId="77777777" w:rsidR="008F2274" w:rsidRPr="002D1C92" w:rsidRDefault="008D2410" w:rsidP="002F09D2">
            <w:pPr>
              <w:pStyle w:val="ACMATableText"/>
              <w:rPr>
                <w:rFonts w:cs="Arial"/>
                <w:i/>
              </w:rPr>
            </w:pPr>
            <w:r w:rsidRPr="002D1C92">
              <w:rPr>
                <w:rFonts w:cs="Arial"/>
                <w:i/>
              </w:rPr>
              <w:t>Telecommunications (Service Provider – Identity Checks for Prepaid Mobile Carriage Services) Determination 2017</w:t>
            </w:r>
          </w:p>
          <w:p w14:paraId="0A99CE85" w14:textId="7005C20C" w:rsidR="007B7FFC" w:rsidRPr="002D1C92" w:rsidRDefault="007B7FFC" w:rsidP="002F09D2">
            <w:pPr>
              <w:pStyle w:val="ACMATableText"/>
              <w:rPr>
                <w:rFonts w:cs="Arial"/>
                <w:iCs/>
              </w:rPr>
            </w:pPr>
            <w:r w:rsidRPr="002D1C92">
              <w:rPr>
                <w:rFonts w:cs="Arial"/>
                <w:iCs/>
              </w:rPr>
              <w:t>Industry Code (C555:2017)</w:t>
            </w:r>
            <w:r w:rsidRPr="002D1C92">
              <w:rPr>
                <w:rFonts w:cs="Arial"/>
                <w:iCs/>
                <w:color w:val="000000"/>
              </w:rPr>
              <w:t xml:space="preserve"> </w:t>
            </w:r>
            <w:r w:rsidRPr="002D1C92">
              <w:rPr>
                <w:rFonts w:cs="Arial"/>
                <w:iCs/>
              </w:rPr>
              <w:t xml:space="preserve">Integrated Public Number Database </w:t>
            </w:r>
          </w:p>
          <w:p w14:paraId="379E6DA2" w14:textId="187459C2" w:rsidR="007B7FFC" w:rsidRPr="002D1C92" w:rsidRDefault="00FF6FFF" w:rsidP="007B7FFC">
            <w:pPr>
              <w:pStyle w:val="ACMATableText"/>
              <w:rPr>
                <w:rFonts w:cs="Arial"/>
                <w:iCs/>
              </w:rPr>
            </w:pPr>
            <w:r w:rsidRPr="002D1C92">
              <w:rPr>
                <w:rFonts w:cs="Arial"/>
                <w:iCs/>
              </w:rPr>
              <w:t>Industry Code (C555:20</w:t>
            </w:r>
            <w:r w:rsidR="00A55C43" w:rsidRPr="002D1C92">
              <w:rPr>
                <w:rFonts w:cs="Arial"/>
                <w:iCs/>
              </w:rPr>
              <w:t>20</w:t>
            </w:r>
            <w:r w:rsidRPr="002D1C92">
              <w:rPr>
                <w:rFonts w:cs="Arial"/>
                <w:iCs/>
              </w:rPr>
              <w:t>)</w:t>
            </w:r>
            <w:r w:rsidRPr="002D1C92">
              <w:rPr>
                <w:rFonts w:cs="Arial"/>
                <w:iCs/>
                <w:color w:val="000000"/>
              </w:rPr>
              <w:t xml:space="preserve"> </w:t>
            </w:r>
            <w:r w:rsidRPr="002D1C92">
              <w:rPr>
                <w:rFonts w:cs="Arial"/>
                <w:iCs/>
              </w:rPr>
              <w:t xml:space="preserve">Integrated Public Number Database </w:t>
            </w:r>
          </w:p>
        </w:tc>
      </w:tr>
    </w:tbl>
    <w:p w14:paraId="2ABC2C52" w14:textId="14454CC3" w:rsidR="008F2274" w:rsidRPr="002D1C92" w:rsidRDefault="00DD5730" w:rsidP="008F7002">
      <w:pPr>
        <w:pStyle w:val="ACMAHeading1"/>
        <w:spacing w:before="240" w:after="160"/>
        <w:rPr>
          <w:rFonts w:cs="Arial"/>
          <w:b w:val="0"/>
          <w:sz w:val="20"/>
        </w:rPr>
      </w:pPr>
      <w:r w:rsidRPr="002D1C92">
        <w:rPr>
          <w:rFonts w:cs="Arial"/>
          <w:sz w:val="20"/>
        </w:rPr>
        <w:t>F</w:t>
      </w:r>
      <w:r w:rsidR="008F2274" w:rsidRPr="002D1C92">
        <w:rPr>
          <w:rFonts w:cs="Arial"/>
          <w:sz w:val="20"/>
        </w:rPr>
        <w:t>indings</w:t>
      </w:r>
    </w:p>
    <w:p w14:paraId="6A4B9E7C" w14:textId="244A3451" w:rsidR="00726591" w:rsidRPr="002D1C92" w:rsidRDefault="00092F49" w:rsidP="002F09D2">
      <w:pPr>
        <w:pStyle w:val="ACMATableText"/>
        <w:spacing w:before="80" w:after="160"/>
        <w:rPr>
          <w:rFonts w:cs="Arial"/>
          <w:color w:val="000000"/>
        </w:rPr>
      </w:pPr>
      <w:r w:rsidRPr="002D1C92">
        <w:rPr>
          <w:rFonts w:cs="Arial"/>
          <w:color w:val="000000"/>
        </w:rPr>
        <w:t xml:space="preserve">The </w:t>
      </w:r>
      <w:r w:rsidR="00726591" w:rsidRPr="002D1C92">
        <w:rPr>
          <w:rFonts w:cs="Arial"/>
          <w:color w:val="000000"/>
        </w:rPr>
        <w:t xml:space="preserve">Australian Communications and Media Authority (the </w:t>
      </w:r>
      <w:r w:rsidR="00726591" w:rsidRPr="002D1C92">
        <w:rPr>
          <w:rFonts w:cs="Arial"/>
          <w:b/>
          <w:color w:val="000000"/>
        </w:rPr>
        <w:t>ACMA</w:t>
      </w:r>
      <w:r w:rsidR="00726591" w:rsidRPr="002D1C92">
        <w:rPr>
          <w:rFonts w:cs="Arial"/>
          <w:color w:val="000000"/>
        </w:rPr>
        <w:t xml:space="preserve">) finds that </w:t>
      </w:r>
      <w:r w:rsidR="00726591" w:rsidRPr="002D1C92">
        <w:rPr>
          <w:rFonts w:cs="Arial"/>
          <w:noProof/>
        </w:rPr>
        <w:t>Lycamobile</w:t>
      </w:r>
      <w:r w:rsidR="00726591" w:rsidRPr="002D1C92">
        <w:rPr>
          <w:rFonts w:cs="Arial"/>
        </w:rPr>
        <w:t xml:space="preserve"> Pty Ltd (</w:t>
      </w:r>
      <w:r w:rsidR="00726591" w:rsidRPr="002D1C92">
        <w:rPr>
          <w:rFonts w:cs="Arial"/>
          <w:szCs w:val="19"/>
        </w:rPr>
        <w:t xml:space="preserve">ACN </w:t>
      </w:r>
      <w:r w:rsidR="00726591" w:rsidRPr="002D1C92">
        <w:rPr>
          <w:rFonts w:cs="Arial"/>
          <w:noProof/>
          <w:szCs w:val="19"/>
        </w:rPr>
        <w:t>139 717 212)</w:t>
      </w:r>
      <w:r w:rsidR="00726591" w:rsidRPr="002D1C92">
        <w:rPr>
          <w:rFonts w:cs="Arial"/>
          <w:color w:val="000000"/>
        </w:rPr>
        <w:t xml:space="preserve"> (</w:t>
      </w:r>
      <w:proofErr w:type="spellStart"/>
      <w:r w:rsidR="00726591" w:rsidRPr="002D1C92">
        <w:rPr>
          <w:rFonts w:cs="Arial"/>
          <w:b/>
          <w:noProof/>
          <w:color w:val="000000"/>
        </w:rPr>
        <w:t>Lycamobile</w:t>
      </w:r>
      <w:proofErr w:type="spellEnd"/>
      <w:r w:rsidR="00726591" w:rsidRPr="002D1C92">
        <w:rPr>
          <w:rFonts w:cs="Arial"/>
          <w:color w:val="000000"/>
        </w:rPr>
        <w:t>) has contravened:</w:t>
      </w:r>
    </w:p>
    <w:p w14:paraId="196C4AC3" w14:textId="3820A917" w:rsidR="008D1008" w:rsidRPr="002D1C92" w:rsidRDefault="00D41F82" w:rsidP="002F09D2">
      <w:pPr>
        <w:pStyle w:val="ACMATableText"/>
        <w:numPr>
          <w:ilvl w:val="0"/>
          <w:numId w:val="2"/>
        </w:numPr>
        <w:spacing w:before="80" w:after="160"/>
        <w:rPr>
          <w:rFonts w:cs="Arial"/>
        </w:rPr>
      </w:pPr>
      <w:r w:rsidRPr="002D1C92">
        <w:rPr>
          <w:rFonts w:cs="Arial"/>
        </w:rPr>
        <w:t>s</w:t>
      </w:r>
      <w:r w:rsidR="008D1008" w:rsidRPr="002D1C92">
        <w:rPr>
          <w:rFonts w:cs="Arial"/>
        </w:rPr>
        <w:t xml:space="preserve">ubsection 101(1) of the </w:t>
      </w:r>
      <w:r w:rsidR="008D1008" w:rsidRPr="002D1C92">
        <w:rPr>
          <w:rFonts w:cs="Arial"/>
          <w:i/>
          <w:iCs/>
        </w:rPr>
        <w:t>Telecommunications Act 1997</w:t>
      </w:r>
      <w:r w:rsidR="008D1008" w:rsidRPr="002D1C92">
        <w:rPr>
          <w:rFonts w:cs="Arial"/>
        </w:rPr>
        <w:t xml:space="preserve"> (the </w:t>
      </w:r>
      <w:r w:rsidR="008D1008" w:rsidRPr="002D1C92">
        <w:rPr>
          <w:rFonts w:cs="Arial"/>
          <w:b/>
          <w:bCs/>
        </w:rPr>
        <w:t>Act</w:t>
      </w:r>
      <w:r w:rsidR="008D1008" w:rsidRPr="002D1C92">
        <w:rPr>
          <w:rFonts w:cs="Arial"/>
        </w:rPr>
        <w:t>), which requires a carriage service provider (</w:t>
      </w:r>
      <w:r w:rsidR="008D1008" w:rsidRPr="002D1C92">
        <w:rPr>
          <w:rFonts w:cs="Arial"/>
          <w:b/>
          <w:bCs/>
        </w:rPr>
        <w:t>CSP</w:t>
      </w:r>
      <w:r w:rsidR="008D1008" w:rsidRPr="002D1C92">
        <w:rPr>
          <w:rFonts w:cs="Arial"/>
        </w:rPr>
        <w:t xml:space="preserve">) to comply with the service provider rules </w:t>
      </w:r>
      <w:r w:rsidR="00274107" w:rsidRPr="002D1C92">
        <w:rPr>
          <w:rFonts w:cs="Arial"/>
        </w:rPr>
        <w:t xml:space="preserve">in section 98 of </w:t>
      </w:r>
      <w:r w:rsidR="008D1008" w:rsidRPr="002D1C92">
        <w:rPr>
          <w:rFonts w:cs="Arial"/>
        </w:rPr>
        <w:t>the Act</w:t>
      </w:r>
      <w:r w:rsidR="00984711" w:rsidRPr="002D1C92">
        <w:rPr>
          <w:rFonts w:cs="Arial"/>
        </w:rPr>
        <w:t>,</w:t>
      </w:r>
      <w:r w:rsidR="00E55BFF" w:rsidRPr="002D1C92">
        <w:rPr>
          <w:rFonts w:cs="Arial"/>
        </w:rPr>
        <w:t xml:space="preserve"> </w:t>
      </w:r>
      <w:r w:rsidR="002D68CB" w:rsidRPr="002D1C92">
        <w:rPr>
          <w:rFonts w:cs="Arial"/>
        </w:rPr>
        <w:t>o</w:t>
      </w:r>
      <w:r w:rsidR="00E55BFF" w:rsidRPr="002D1C92">
        <w:rPr>
          <w:rFonts w:cs="Arial"/>
        </w:rPr>
        <w:t xml:space="preserve">n </w:t>
      </w:r>
      <w:r w:rsidR="00DC1DA3" w:rsidRPr="002D1C92">
        <w:rPr>
          <w:rFonts w:cs="Arial"/>
        </w:rPr>
        <w:t>2</w:t>
      </w:r>
      <w:r w:rsidR="00084923" w:rsidRPr="002D1C92">
        <w:rPr>
          <w:rFonts w:cs="Arial"/>
        </w:rPr>
        <w:t>50,</w:t>
      </w:r>
      <w:r w:rsidR="005D236F" w:rsidRPr="002D1C92">
        <w:rPr>
          <w:rFonts w:cs="Arial"/>
        </w:rPr>
        <w:t>1</w:t>
      </w:r>
      <w:r w:rsidR="00312985" w:rsidRPr="002D1C92">
        <w:rPr>
          <w:rFonts w:cs="Arial"/>
        </w:rPr>
        <w:t>09</w:t>
      </w:r>
      <w:r w:rsidR="00A447A6" w:rsidRPr="002D1C92">
        <w:rPr>
          <w:rFonts w:cs="Arial"/>
        </w:rPr>
        <w:t xml:space="preserve"> </w:t>
      </w:r>
      <w:r w:rsidR="002D68CB" w:rsidRPr="002D1C92">
        <w:rPr>
          <w:rFonts w:cs="Arial"/>
        </w:rPr>
        <w:t>instance</w:t>
      </w:r>
      <w:r w:rsidR="00E55BFF" w:rsidRPr="002D1C92">
        <w:rPr>
          <w:rFonts w:cs="Arial"/>
        </w:rPr>
        <w:t>s</w:t>
      </w:r>
      <w:r w:rsidR="00F42D86">
        <w:rPr>
          <w:rFonts w:cs="Arial"/>
        </w:rPr>
        <w:t>,</w:t>
      </w:r>
      <w:r w:rsidR="00274107" w:rsidRPr="002D1C92">
        <w:rPr>
          <w:rFonts w:cs="Arial"/>
        </w:rPr>
        <w:t xml:space="preserve"> </w:t>
      </w:r>
      <w:r w:rsidR="008D1008" w:rsidRPr="002D1C92">
        <w:rPr>
          <w:rFonts w:cs="Arial"/>
        </w:rPr>
        <w:t>by failing to:</w:t>
      </w:r>
    </w:p>
    <w:p w14:paraId="7FECDEE2" w14:textId="236AB6A6" w:rsidR="000B72EE" w:rsidRPr="002D1C92" w:rsidRDefault="008D1008" w:rsidP="002F09D2">
      <w:pPr>
        <w:pStyle w:val="ACMATableText"/>
        <w:numPr>
          <w:ilvl w:val="0"/>
          <w:numId w:val="29"/>
        </w:numPr>
        <w:spacing w:before="80" w:after="160"/>
        <w:rPr>
          <w:rFonts w:cs="Arial"/>
        </w:rPr>
      </w:pPr>
      <w:r w:rsidRPr="002D1C92">
        <w:rPr>
          <w:rFonts w:cs="Arial"/>
        </w:rPr>
        <w:t xml:space="preserve">comply with the </w:t>
      </w:r>
      <w:r w:rsidRPr="002D1C92">
        <w:rPr>
          <w:rFonts w:cs="Arial"/>
          <w:i/>
          <w:iCs/>
        </w:rPr>
        <w:t>Telecommunications (Service Provider – Identity Checks for Prepaid Mobile Carriage Services) Determination 2017</w:t>
      </w:r>
      <w:r w:rsidRPr="002D1C92">
        <w:rPr>
          <w:rFonts w:cs="Arial"/>
        </w:rPr>
        <w:t xml:space="preserve"> (the </w:t>
      </w:r>
      <w:r w:rsidRPr="002D1C92">
        <w:rPr>
          <w:rFonts w:cs="Arial"/>
          <w:b/>
          <w:bCs/>
        </w:rPr>
        <w:t>Prepaid Determination</w:t>
      </w:r>
      <w:r w:rsidRPr="002D1C92">
        <w:rPr>
          <w:rFonts w:cs="Arial"/>
        </w:rPr>
        <w:t xml:space="preserve">) </w:t>
      </w:r>
      <w:r w:rsidR="00517E36">
        <w:t xml:space="preserve">on </w:t>
      </w:r>
      <w:r w:rsidR="00517E36" w:rsidRPr="003977FA">
        <w:t xml:space="preserve">4207 occasions </w:t>
      </w:r>
      <w:r w:rsidR="00C711D9" w:rsidRPr="002D1C92">
        <w:rPr>
          <w:rFonts w:cs="Arial"/>
        </w:rPr>
        <w:t>in respect</w:t>
      </w:r>
      <w:r w:rsidRPr="002D1C92">
        <w:rPr>
          <w:rFonts w:cs="Arial"/>
        </w:rPr>
        <w:t xml:space="preserve"> </w:t>
      </w:r>
      <w:r w:rsidR="00D5414C" w:rsidRPr="002D1C92">
        <w:rPr>
          <w:rFonts w:cs="Arial"/>
        </w:rPr>
        <w:t xml:space="preserve">of </w:t>
      </w:r>
      <w:r w:rsidRPr="002D1C92">
        <w:rPr>
          <w:rFonts w:cs="Arial"/>
        </w:rPr>
        <w:t xml:space="preserve">the supply of </w:t>
      </w:r>
      <w:r w:rsidR="008C1F33">
        <w:rPr>
          <w:rFonts w:cs="Arial"/>
        </w:rPr>
        <w:t>2</w:t>
      </w:r>
      <w:r w:rsidR="00A06182" w:rsidRPr="002D1C92">
        <w:rPr>
          <w:rFonts w:cs="Arial"/>
        </w:rPr>
        <w:t>,</w:t>
      </w:r>
      <w:r w:rsidR="008C1F33">
        <w:rPr>
          <w:rFonts w:cs="Arial"/>
        </w:rPr>
        <w:t>0</w:t>
      </w:r>
      <w:r w:rsidR="008C1F33" w:rsidRPr="002D1C92">
        <w:rPr>
          <w:rFonts w:cs="Arial"/>
        </w:rPr>
        <w:t>0</w:t>
      </w:r>
      <w:r w:rsidR="008C1F33">
        <w:rPr>
          <w:rFonts w:cs="Arial"/>
        </w:rPr>
        <w:t>0</w:t>
      </w:r>
      <w:r w:rsidR="008C1F33" w:rsidRPr="002D1C92">
        <w:rPr>
          <w:rFonts w:cs="Arial"/>
        </w:rPr>
        <w:t xml:space="preserve"> </w:t>
      </w:r>
      <w:r w:rsidRPr="002D1C92">
        <w:rPr>
          <w:rFonts w:cs="Arial"/>
        </w:rPr>
        <w:t>prepaid mobile carriage services</w:t>
      </w:r>
      <w:r w:rsidR="00DF0E0C" w:rsidRPr="002D1C92">
        <w:rPr>
          <w:rFonts w:cs="Arial"/>
        </w:rPr>
        <w:t>.</w:t>
      </w:r>
      <w:r w:rsidRPr="002D1C92">
        <w:rPr>
          <w:rFonts w:cs="Arial"/>
          <w:vertAlign w:val="superscript"/>
        </w:rPr>
        <w:footnoteReference w:id="2"/>
      </w:r>
      <w:r w:rsidR="000B72EE" w:rsidRPr="002D1C92">
        <w:rPr>
          <w:rFonts w:cs="Arial"/>
        </w:rPr>
        <w:t xml:space="preserve"> </w:t>
      </w:r>
      <w:r w:rsidR="00CD4BA1" w:rsidRPr="002D1C92">
        <w:rPr>
          <w:rFonts w:cs="Arial"/>
        </w:rPr>
        <w:t>Specifically</w:t>
      </w:r>
      <w:r w:rsidR="000B72EE" w:rsidRPr="002D1C92">
        <w:rPr>
          <w:rFonts w:cs="Arial"/>
        </w:rPr>
        <w:t xml:space="preserve">, </w:t>
      </w:r>
      <w:proofErr w:type="spellStart"/>
      <w:r w:rsidR="000B72EE" w:rsidRPr="002D1C92">
        <w:rPr>
          <w:rFonts w:cs="Arial"/>
        </w:rPr>
        <w:t>Lycamobile</w:t>
      </w:r>
      <w:proofErr w:type="spellEnd"/>
      <w:r w:rsidR="000B72EE" w:rsidRPr="002D1C92">
        <w:rPr>
          <w:rFonts w:cs="Arial"/>
        </w:rPr>
        <w:t xml:space="preserve"> did not comply with:</w:t>
      </w:r>
    </w:p>
    <w:p w14:paraId="09A8B268" w14:textId="1CA11955" w:rsidR="000B72EE" w:rsidRPr="002D1C92" w:rsidRDefault="00D5207F" w:rsidP="002F09D2">
      <w:pPr>
        <w:pStyle w:val="ACMATableText"/>
        <w:numPr>
          <w:ilvl w:val="2"/>
          <w:numId w:val="30"/>
        </w:numPr>
        <w:spacing w:before="80" w:after="120"/>
        <w:ind w:left="1417" w:hanging="425"/>
        <w:rPr>
          <w:rFonts w:cs="Arial"/>
        </w:rPr>
      </w:pPr>
      <w:r w:rsidRPr="002D1C92">
        <w:rPr>
          <w:rFonts w:cs="Arial"/>
        </w:rPr>
        <w:t>p</w:t>
      </w:r>
      <w:r w:rsidR="000B72EE" w:rsidRPr="002D1C92">
        <w:rPr>
          <w:rFonts w:cs="Arial"/>
        </w:rPr>
        <w:t xml:space="preserve">aragraph 2.3(1)(a) – by failing to comply with the rules under Part 4 of the Prepaid Determination for obtaining information and verifying the identity of customers before activating a prepaid mobile carriage service </w:t>
      </w:r>
      <w:r w:rsidR="008C1F33">
        <w:rPr>
          <w:rFonts w:cs="Arial"/>
        </w:rPr>
        <w:t>i</w:t>
      </w:r>
      <w:r w:rsidR="00CB6E43" w:rsidRPr="002D1C92">
        <w:rPr>
          <w:rFonts w:cs="Arial"/>
        </w:rPr>
        <w:t>n</w:t>
      </w:r>
      <w:r w:rsidR="000B72EE" w:rsidRPr="002D1C92">
        <w:rPr>
          <w:rFonts w:cs="Arial"/>
        </w:rPr>
        <w:t xml:space="preserve"> 20</w:t>
      </w:r>
      <w:r w:rsidR="00312985" w:rsidRPr="002D1C92">
        <w:rPr>
          <w:rFonts w:cs="Arial"/>
        </w:rPr>
        <w:t>6</w:t>
      </w:r>
      <w:r w:rsidR="000B72EE" w:rsidRPr="002D1C92">
        <w:rPr>
          <w:rFonts w:cs="Arial"/>
        </w:rPr>
        <w:t xml:space="preserve"> </w:t>
      </w:r>
      <w:proofErr w:type="gramStart"/>
      <w:r w:rsidR="000B72EE" w:rsidRPr="002D1C92">
        <w:rPr>
          <w:rFonts w:cs="Arial"/>
        </w:rPr>
        <w:t>instances</w:t>
      </w:r>
      <w:proofErr w:type="gramEnd"/>
    </w:p>
    <w:p w14:paraId="27D103E5" w14:textId="6B558128" w:rsidR="000B72EE" w:rsidRPr="002D1C92" w:rsidRDefault="00274107" w:rsidP="002F09D2">
      <w:pPr>
        <w:pStyle w:val="ACMATableText"/>
        <w:numPr>
          <w:ilvl w:val="2"/>
          <w:numId w:val="30"/>
        </w:numPr>
        <w:spacing w:before="80" w:after="120"/>
        <w:ind w:left="1417" w:hanging="425"/>
        <w:rPr>
          <w:rFonts w:cs="Arial"/>
        </w:rPr>
      </w:pPr>
      <w:r w:rsidRPr="002D1C92">
        <w:rPr>
          <w:rFonts w:cs="Arial"/>
        </w:rPr>
        <w:t>s</w:t>
      </w:r>
      <w:r w:rsidR="000B72EE" w:rsidRPr="002D1C92">
        <w:rPr>
          <w:rFonts w:cs="Arial"/>
        </w:rPr>
        <w:t xml:space="preserve">ection 6.1 – by failing to keep records for prepaid mobile carriage services that it supplies sufficient for the ACMA to determine </w:t>
      </w:r>
      <w:proofErr w:type="spellStart"/>
      <w:r w:rsidR="000B72EE" w:rsidRPr="002D1C92">
        <w:rPr>
          <w:rFonts w:cs="Arial"/>
        </w:rPr>
        <w:t>Lycamobile’s</w:t>
      </w:r>
      <w:proofErr w:type="spellEnd"/>
      <w:r w:rsidR="000B72EE" w:rsidRPr="002D1C92">
        <w:rPr>
          <w:rFonts w:cs="Arial"/>
        </w:rPr>
        <w:t xml:space="preserve"> compliance with the Prepaid Determination </w:t>
      </w:r>
      <w:r w:rsidR="008C1F33">
        <w:rPr>
          <w:rFonts w:cs="Arial"/>
        </w:rPr>
        <w:t>i</w:t>
      </w:r>
      <w:r w:rsidR="000B72EE" w:rsidRPr="002D1C92">
        <w:rPr>
          <w:rFonts w:cs="Arial"/>
        </w:rPr>
        <w:t>n 2,000 instances</w:t>
      </w:r>
    </w:p>
    <w:p w14:paraId="188F1FF1" w14:textId="4A48CCF9" w:rsidR="000B72EE" w:rsidRPr="002D1C92" w:rsidRDefault="00274107" w:rsidP="002F09D2">
      <w:pPr>
        <w:pStyle w:val="ACMATableText"/>
        <w:numPr>
          <w:ilvl w:val="2"/>
          <w:numId w:val="30"/>
        </w:numPr>
        <w:spacing w:before="80" w:after="120"/>
        <w:ind w:left="1417" w:hanging="425"/>
        <w:rPr>
          <w:rFonts w:cs="Arial"/>
        </w:rPr>
      </w:pPr>
      <w:r w:rsidRPr="002D1C92">
        <w:rPr>
          <w:rFonts w:cs="Arial"/>
        </w:rPr>
        <w:t>s</w:t>
      </w:r>
      <w:r w:rsidR="000B72EE" w:rsidRPr="002D1C92">
        <w:rPr>
          <w:rFonts w:cs="Arial"/>
        </w:rPr>
        <w:t xml:space="preserve">ection 6.3 – by failing to keep </w:t>
      </w:r>
      <w:r w:rsidR="00374973" w:rsidRPr="002D1C92">
        <w:rPr>
          <w:rFonts w:cs="Arial"/>
        </w:rPr>
        <w:t>a</w:t>
      </w:r>
      <w:r w:rsidR="000B72EE" w:rsidRPr="002D1C92">
        <w:rPr>
          <w:rFonts w:cs="Arial"/>
        </w:rPr>
        <w:t xml:space="preserve"> written description of arrangements </w:t>
      </w:r>
      <w:proofErr w:type="spellStart"/>
      <w:r w:rsidR="000B72EE" w:rsidRPr="002D1C92">
        <w:rPr>
          <w:rFonts w:cs="Arial"/>
        </w:rPr>
        <w:t>Lycamobile</w:t>
      </w:r>
      <w:proofErr w:type="spellEnd"/>
      <w:r w:rsidR="000B72EE" w:rsidRPr="002D1C92">
        <w:rPr>
          <w:rFonts w:cs="Arial"/>
        </w:rPr>
        <w:t xml:space="preserve"> has in place to comply with the Determination </w:t>
      </w:r>
      <w:r w:rsidR="008C1F33">
        <w:rPr>
          <w:rFonts w:cs="Arial"/>
        </w:rPr>
        <w:t>i</w:t>
      </w:r>
      <w:r w:rsidRPr="002D1C92">
        <w:rPr>
          <w:rFonts w:cs="Arial"/>
        </w:rPr>
        <w:t>n</w:t>
      </w:r>
      <w:r w:rsidR="000B72EE" w:rsidRPr="002D1C92">
        <w:rPr>
          <w:rFonts w:cs="Arial"/>
        </w:rPr>
        <w:t xml:space="preserve"> one </w:t>
      </w:r>
      <w:proofErr w:type="gramStart"/>
      <w:r w:rsidR="000B72EE" w:rsidRPr="002D1C92">
        <w:rPr>
          <w:rFonts w:cs="Arial"/>
        </w:rPr>
        <w:t>instance</w:t>
      </w:r>
      <w:proofErr w:type="gramEnd"/>
    </w:p>
    <w:p w14:paraId="6A7CE05F" w14:textId="65EC4698" w:rsidR="008D1008" w:rsidRPr="002D1C92" w:rsidRDefault="00274107" w:rsidP="002F09D2">
      <w:pPr>
        <w:pStyle w:val="ACMATableText"/>
        <w:numPr>
          <w:ilvl w:val="2"/>
          <w:numId w:val="30"/>
        </w:numPr>
        <w:spacing w:before="80" w:after="120"/>
        <w:ind w:left="1417" w:hanging="425"/>
        <w:rPr>
          <w:rFonts w:cs="Arial"/>
        </w:rPr>
      </w:pPr>
      <w:r w:rsidRPr="002D1C92">
        <w:rPr>
          <w:rFonts w:cs="Arial"/>
        </w:rPr>
        <w:t>s</w:t>
      </w:r>
      <w:r w:rsidR="000B72EE" w:rsidRPr="002D1C92">
        <w:rPr>
          <w:rFonts w:cs="Arial"/>
        </w:rPr>
        <w:t xml:space="preserve">ubsection 6.4(1) – by recording and keeping the identifying number of a government document beyond the time necessary to verify the identity of a service activator </w:t>
      </w:r>
      <w:r w:rsidR="00EE4D61">
        <w:rPr>
          <w:rFonts w:cs="Arial"/>
        </w:rPr>
        <w:t>i</w:t>
      </w:r>
      <w:r w:rsidR="000B72EE" w:rsidRPr="002D1C92">
        <w:rPr>
          <w:rFonts w:cs="Arial"/>
        </w:rPr>
        <w:t xml:space="preserve">n 2,000 </w:t>
      </w:r>
      <w:proofErr w:type="gramStart"/>
      <w:r w:rsidR="000B72EE" w:rsidRPr="002D1C92">
        <w:rPr>
          <w:rFonts w:cs="Arial"/>
        </w:rPr>
        <w:t>instances</w:t>
      </w:r>
      <w:proofErr w:type="gramEnd"/>
      <w:r w:rsidR="008D1008" w:rsidRPr="002D1C92">
        <w:rPr>
          <w:rFonts w:cs="Arial"/>
        </w:rPr>
        <w:t xml:space="preserve"> </w:t>
      </w:r>
    </w:p>
    <w:p w14:paraId="53B88BEE" w14:textId="68995581" w:rsidR="008D1008" w:rsidRPr="002D1C92" w:rsidRDefault="008D1008" w:rsidP="002F09D2">
      <w:pPr>
        <w:pStyle w:val="ACMATableText"/>
        <w:numPr>
          <w:ilvl w:val="0"/>
          <w:numId w:val="31"/>
        </w:numPr>
        <w:spacing w:before="80" w:after="160"/>
        <w:rPr>
          <w:rFonts w:cs="Arial"/>
        </w:rPr>
      </w:pPr>
      <w:r w:rsidRPr="002D1C92">
        <w:rPr>
          <w:rFonts w:cs="Arial"/>
        </w:rPr>
        <w:t>give Telstra Corporation Limited (Telstra, the Integrated Public Database Manager) the information it reasonably require</w:t>
      </w:r>
      <w:r w:rsidR="00D80F3D">
        <w:rPr>
          <w:rFonts w:cs="Arial"/>
        </w:rPr>
        <w:t>d</w:t>
      </w:r>
      <w:r w:rsidRPr="002D1C92">
        <w:rPr>
          <w:rFonts w:cs="Arial"/>
        </w:rPr>
        <w:t xml:space="preserve"> to provide and maintain the Integrated Public Number Database (</w:t>
      </w:r>
      <w:r w:rsidRPr="00B17C9D">
        <w:rPr>
          <w:rFonts w:cs="Arial"/>
          <w:b/>
          <w:bCs/>
        </w:rPr>
        <w:t>IPND</w:t>
      </w:r>
      <w:r w:rsidRPr="002D1C92">
        <w:rPr>
          <w:rFonts w:cs="Arial"/>
        </w:rPr>
        <w:t xml:space="preserve">), thereby contravening the service provider rule in </w:t>
      </w:r>
      <w:r w:rsidR="001676FF" w:rsidRPr="002D1C92">
        <w:rPr>
          <w:rFonts w:cs="Arial"/>
        </w:rPr>
        <w:t>sub</w:t>
      </w:r>
      <w:r w:rsidRPr="002D1C92">
        <w:rPr>
          <w:rFonts w:cs="Arial"/>
        </w:rPr>
        <w:t>clause 10</w:t>
      </w:r>
      <w:r w:rsidR="001676FF" w:rsidRPr="002D1C92">
        <w:rPr>
          <w:rFonts w:cs="Arial"/>
        </w:rPr>
        <w:t>(2) of Part 4</w:t>
      </w:r>
      <w:r w:rsidRPr="002D1C92">
        <w:rPr>
          <w:rFonts w:cs="Arial"/>
        </w:rPr>
        <w:t xml:space="preserve"> of Schedule 2 to the Act</w:t>
      </w:r>
      <w:r w:rsidR="00EF2FDE" w:rsidRPr="002D1C92">
        <w:rPr>
          <w:rFonts w:cs="Arial"/>
        </w:rPr>
        <w:t xml:space="preserve"> </w:t>
      </w:r>
      <w:r w:rsidR="00CD4BA1" w:rsidRPr="002D1C92">
        <w:rPr>
          <w:rFonts w:cs="Arial"/>
        </w:rPr>
        <w:t>for</w:t>
      </w:r>
      <w:r w:rsidR="00EF2FDE" w:rsidRPr="002D1C92">
        <w:rPr>
          <w:rFonts w:cs="Arial"/>
        </w:rPr>
        <w:t xml:space="preserve"> </w:t>
      </w:r>
      <w:r w:rsidR="008A46A5" w:rsidRPr="002D1C92">
        <w:rPr>
          <w:rFonts w:cs="Arial"/>
        </w:rPr>
        <w:t>2</w:t>
      </w:r>
      <w:r w:rsidR="003A77AE" w:rsidRPr="002D1C92">
        <w:rPr>
          <w:rFonts w:cs="Arial"/>
        </w:rPr>
        <w:t>45,</w:t>
      </w:r>
      <w:r w:rsidR="007A24CB" w:rsidRPr="002D1C92">
        <w:rPr>
          <w:rFonts w:cs="Arial"/>
        </w:rPr>
        <w:t>902</w:t>
      </w:r>
      <w:r w:rsidR="00EF2FDE" w:rsidRPr="002D1C92">
        <w:rPr>
          <w:rFonts w:cs="Arial"/>
        </w:rPr>
        <w:t xml:space="preserve"> </w:t>
      </w:r>
      <w:r w:rsidR="00D41F82" w:rsidRPr="002D1C92">
        <w:rPr>
          <w:rFonts w:cs="Arial"/>
        </w:rPr>
        <w:t xml:space="preserve">of its </w:t>
      </w:r>
      <w:r w:rsidR="00EF2FDE" w:rsidRPr="002D1C92">
        <w:rPr>
          <w:rFonts w:cs="Arial"/>
        </w:rPr>
        <w:t xml:space="preserve">carriage </w:t>
      </w:r>
      <w:proofErr w:type="gramStart"/>
      <w:r w:rsidR="00EF2FDE" w:rsidRPr="002D1C92">
        <w:rPr>
          <w:rFonts w:cs="Arial"/>
        </w:rPr>
        <w:t>services</w:t>
      </w:r>
      <w:proofErr w:type="gramEnd"/>
    </w:p>
    <w:p w14:paraId="68F5B163" w14:textId="6999FE47" w:rsidR="00295CE6" w:rsidRPr="002D1C92" w:rsidRDefault="00295CE6" w:rsidP="002F09D2">
      <w:pPr>
        <w:pStyle w:val="ACMATableText"/>
        <w:numPr>
          <w:ilvl w:val="0"/>
          <w:numId w:val="2"/>
        </w:numPr>
        <w:spacing w:before="80" w:after="160"/>
        <w:rPr>
          <w:rFonts w:cs="Arial"/>
        </w:rPr>
      </w:pPr>
      <w:r w:rsidRPr="002D1C92">
        <w:rPr>
          <w:rFonts w:cs="Arial"/>
        </w:rPr>
        <w:lastRenderedPageBreak/>
        <w:t xml:space="preserve">the </w:t>
      </w:r>
      <w:r w:rsidR="007B7FFC" w:rsidRPr="002D1C92">
        <w:rPr>
          <w:rFonts w:cs="Arial"/>
          <w:iCs/>
        </w:rPr>
        <w:t xml:space="preserve">Industry Code (C555:2017) Integrated Public Number Database (the </w:t>
      </w:r>
      <w:r w:rsidR="007B7FFC" w:rsidRPr="002D1C92">
        <w:rPr>
          <w:rFonts w:cs="Arial"/>
          <w:b/>
          <w:bCs/>
          <w:iCs/>
        </w:rPr>
        <w:t>2017 IPND Code</w:t>
      </w:r>
      <w:r w:rsidR="007B7FFC" w:rsidRPr="002D1C92">
        <w:rPr>
          <w:rFonts w:cs="Arial"/>
          <w:iCs/>
        </w:rPr>
        <w:t xml:space="preserve">) and the </w:t>
      </w:r>
      <w:r w:rsidRPr="002D1C92">
        <w:rPr>
          <w:rFonts w:cs="Arial"/>
          <w:iCs/>
        </w:rPr>
        <w:t>Industry Code (</w:t>
      </w:r>
      <w:r w:rsidR="00310F80" w:rsidRPr="002D1C92">
        <w:rPr>
          <w:rFonts w:cs="Arial"/>
          <w:iCs/>
        </w:rPr>
        <w:t>C555:20</w:t>
      </w:r>
      <w:r w:rsidR="00730F2C" w:rsidRPr="002D1C92">
        <w:rPr>
          <w:rFonts w:cs="Arial"/>
          <w:iCs/>
        </w:rPr>
        <w:t>20</w:t>
      </w:r>
      <w:r w:rsidR="00310F80" w:rsidRPr="002D1C92">
        <w:rPr>
          <w:rFonts w:cs="Arial"/>
          <w:iCs/>
        </w:rPr>
        <w:t>) Integrated Public Number Database</w:t>
      </w:r>
      <w:r w:rsidR="00334D10" w:rsidRPr="002D1C92">
        <w:rPr>
          <w:rStyle w:val="FootnoteReference"/>
          <w:rFonts w:cs="Arial"/>
          <w:iCs/>
        </w:rPr>
        <w:footnoteReference w:id="3"/>
      </w:r>
      <w:r w:rsidRPr="002D1C92">
        <w:rPr>
          <w:rFonts w:cs="Arial"/>
          <w:iCs/>
        </w:rPr>
        <w:t xml:space="preserve"> </w:t>
      </w:r>
      <w:r w:rsidRPr="002D1C92">
        <w:rPr>
          <w:rFonts w:cs="Arial"/>
        </w:rPr>
        <w:t xml:space="preserve">(the </w:t>
      </w:r>
      <w:r w:rsidR="007B7FFC" w:rsidRPr="002D1C92">
        <w:rPr>
          <w:rFonts w:cs="Arial"/>
          <w:b/>
          <w:bCs/>
        </w:rPr>
        <w:t>2020</w:t>
      </w:r>
      <w:r w:rsidR="007B7FFC" w:rsidRPr="002D1C92">
        <w:rPr>
          <w:rFonts w:cs="Arial"/>
        </w:rPr>
        <w:t xml:space="preserve"> </w:t>
      </w:r>
      <w:r w:rsidRPr="002D1C92">
        <w:rPr>
          <w:rFonts w:cs="Arial"/>
          <w:b/>
        </w:rPr>
        <w:t>IPND Code</w:t>
      </w:r>
      <w:r w:rsidRPr="002D1C92">
        <w:rPr>
          <w:rFonts w:cs="Arial"/>
        </w:rPr>
        <w:t xml:space="preserve">) </w:t>
      </w:r>
      <w:r w:rsidR="00374973" w:rsidRPr="002D1C92">
        <w:rPr>
          <w:rFonts w:cs="Arial"/>
        </w:rPr>
        <w:t>by</w:t>
      </w:r>
      <w:r w:rsidRPr="002D1C92">
        <w:rPr>
          <w:rFonts w:cs="Arial"/>
        </w:rPr>
        <w:t xml:space="preserve"> </w:t>
      </w:r>
      <w:r w:rsidR="00374973" w:rsidRPr="002D1C92">
        <w:rPr>
          <w:rFonts w:cs="Arial"/>
        </w:rPr>
        <w:t xml:space="preserve">failing </w:t>
      </w:r>
      <w:r w:rsidRPr="002D1C92">
        <w:rPr>
          <w:rFonts w:cs="Arial"/>
        </w:rPr>
        <w:t>to:</w:t>
      </w:r>
    </w:p>
    <w:p w14:paraId="203AC303" w14:textId="345D22C4" w:rsidR="00C92ED8" w:rsidRPr="002D1C92" w:rsidRDefault="00295CE6" w:rsidP="002F09D2">
      <w:pPr>
        <w:pStyle w:val="ACMATableText"/>
        <w:numPr>
          <w:ilvl w:val="0"/>
          <w:numId w:val="32"/>
        </w:numPr>
        <w:spacing w:before="80" w:after="120"/>
        <w:ind w:left="1417" w:hanging="425"/>
        <w:rPr>
          <w:rFonts w:cs="Arial"/>
        </w:rPr>
      </w:pPr>
      <w:r w:rsidRPr="002D1C92">
        <w:rPr>
          <w:rFonts w:cs="Arial"/>
        </w:rPr>
        <w:t xml:space="preserve">provide </w:t>
      </w:r>
      <w:r w:rsidR="00A55C43" w:rsidRPr="002D1C92">
        <w:rPr>
          <w:rFonts w:cs="Arial"/>
        </w:rPr>
        <w:t xml:space="preserve">the IPND Manager </w:t>
      </w:r>
      <w:r w:rsidRPr="002D1C92">
        <w:rPr>
          <w:rFonts w:cs="Arial"/>
        </w:rPr>
        <w:t>public number customer data (</w:t>
      </w:r>
      <w:r w:rsidRPr="008C1F33">
        <w:rPr>
          <w:rFonts w:cs="Arial"/>
          <w:b/>
          <w:bCs/>
        </w:rPr>
        <w:t>PNCD</w:t>
      </w:r>
      <w:r w:rsidRPr="002D1C92">
        <w:rPr>
          <w:rFonts w:cs="Arial"/>
        </w:rPr>
        <w:t>)</w:t>
      </w:r>
      <w:r w:rsidR="006144C1" w:rsidRPr="002D1C92">
        <w:rPr>
          <w:rFonts w:cs="Arial"/>
          <w:vertAlign w:val="superscript"/>
        </w:rPr>
        <w:footnoteReference w:id="4"/>
      </w:r>
      <w:r w:rsidR="00A55C43" w:rsidRPr="002D1C92">
        <w:rPr>
          <w:rFonts w:cs="Arial"/>
        </w:rPr>
        <w:t>,</w:t>
      </w:r>
      <w:r w:rsidR="00675639">
        <w:rPr>
          <w:rFonts w:cs="Arial"/>
        </w:rPr>
        <w:t xml:space="preserve"> </w:t>
      </w:r>
      <w:r w:rsidR="00675639" w:rsidRPr="002D1C92">
        <w:rPr>
          <w:rFonts w:cs="Arial"/>
        </w:rPr>
        <w:t>including transaction updates, that occurred on one business day by the end of the next business day,</w:t>
      </w:r>
      <w:r w:rsidR="00675639">
        <w:rPr>
          <w:rFonts w:cs="Arial"/>
        </w:rPr>
        <w:t xml:space="preserve"> </w:t>
      </w:r>
      <w:r w:rsidRPr="002D1C92">
        <w:rPr>
          <w:rFonts w:cs="Arial"/>
        </w:rPr>
        <w:t xml:space="preserve">as required by </w:t>
      </w:r>
      <w:r w:rsidR="007B7FFC" w:rsidRPr="002D1C92">
        <w:rPr>
          <w:rFonts w:cs="Arial"/>
        </w:rPr>
        <w:t>clause 4.2.</w:t>
      </w:r>
      <w:r w:rsidR="00815D0E" w:rsidRPr="002D1C92">
        <w:rPr>
          <w:rFonts w:cs="Arial"/>
        </w:rPr>
        <w:t xml:space="preserve">1 </w:t>
      </w:r>
      <w:r w:rsidR="00675639">
        <w:rPr>
          <w:rFonts w:cs="Arial"/>
        </w:rPr>
        <w:t xml:space="preserve">and clause 4.2.25 </w:t>
      </w:r>
      <w:r w:rsidR="007B7FFC" w:rsidRPr="002D1C92">
        <w:rPr>
          <w:rFonts w:cs="Arial"/>
        </w:rPr>
        <w:t xml:space="preserve">of the 2017 IPND Code </w:t>
      </w:r>
      <w:r w:rsidR="00675639">
        <w:rPr>
          <w:rFonts w:cs="Arial"/>
        </w:rPr>
        <w:t xml:space="preserve">or clause 4.2.1 of the 2020 IPND Code </w:t>
      </w:r>
      <w:r w:rsidR="00EA6E36" w:rsidRPr="002D1C92">
        <w:rPr>
          <w:rFonts w:cs="Arial"/>
        </w:rPr>
        <w:t>for 245,903 of its carriage services</w:t>
      </w:r>
      <w:r w:rsidR="00CB2EEF" w:rsidRPr="002D1C92">
        <w:rPr>
          <w:rFonts w:cs="Arial"/>
        </w:rPr>
        <w:t>.</w:t>
      </w:r>
      <w:r w:rsidR="00633952">
        <w:rPr>
          <w:rStyle w:val="FootnoteReference"/>
          <w:rFonts w:cs="Arial"/>
        </w:rPr>
        <w:footnoteReference w:id="5"/>
      </w:r>
      <w:r w:rsidR="00675639">
        <w:rPr>
          <w:rFonts w:cs="Arial"/>
        </w:rPr>
        <w:t xml:space="preserve"> </w:t>
      </w:r>
    </w:p>
    <w:p w14:paraId="70E521A9" w14:textId="3A761D5E" w:rsidR="00295CE6" w:rsidRPr="002D1C92" w:rsidRDefault="00295CE6" w:rsidP="002F09D2">
      <w:pPr>
        <w:pStyle w:val="ACMATableText"/>
        <w:numPr>
          <w:ilvl w:val="0"/>
          <w:numId w:val="32"/>
        </w:numPr>
        <w:spacing w:before="80" w:after="120"/>
        <w:ind w:left="1417" w:hanging="425"/>
        <w:rPr>
          <w:rFonts w:cs="Arial"/>
        </w:rPr>
      </w:pPr>
      <w:r w:rsidRPr="002D1C92">
        <w:rPr>
          <w:rFonts w:cs="Arial"/>
        </w:rPr>
        <w:t xml:space="preserve">ensure that the PNCD it provided to the IPND Manager was accurate, </w:t>
      </w:r>
      <w:proofErr w:type="gramStart"/>
      <w:r w:rsidRPr="002D1C92">
        <w:rPr>
          <w:rFonts w:cs="Arial"/>
        </w:rPr>
        <w:t>complete</w:t>
      </w:r>
      <w:proofErr w:type="gramEnd"/>
      <w:r w:rsidRPr="002D1C92">
        <w:rPr>
          <w:rFonts w:cs="Arial"/>
        </w:rPr>
        <w:t xml:space="preserve"> and up to date, as required under</w:t>
      </w:r>
      <w:r w:rsidR="007B7FFC" w:rsidRPr="002D1C92">
        <w:rPr>
          <w:rFonts w:cs="Arial"/>
        </w:rPr>
        <w:t xml:space="preserve"> clause 4.2.11 of the 2017 IPND</w:t>
      </w:r>
      <w:r w:rsidR="00B11B8A" w:rsidRPr="002D1C92">
        <w:rPr>
          <w:rFonts w:cs="Arial"/>
        </w:rPr>
        <w:t xml:space="preserve"> </w:t>
      </w:r>
      <w:r w:rsidR="007B7FFC" w:rsidRPr="002D1C92">
        <w:rPr>
          <w:rFonts w:cs="Arial"/>
        </w:rPr>
        <w:t>Code</w:t>
      </w:r>
      <w:r w:rsidR="00633952">
        <w:rPr>
          <w:rFonts w:cs="Arial"/>
        </w:rPr>
        <w:t xml:space="preserve"> or clause 4.2.16 of the 2020 IPND Code</w:t>
      </w:r>
      <w:r w:rsidRPr="002D1C92">
        <w:rPr>
          <w:rFonts w:cs="Arial"/>
        </w:rPr>
        <w:t xml:space="preserve">, </w:t>
      </w:r>
      <w:r w:rsidR="00D41F82" w:rsidRPr="002D1C92">
        <w:rPr>
          <w:rFonts w:cs="Arial"/>
        </w:rPr>
        <w:t>for</w:t>
      </w:r>
      <w:r w:rsidRPr="002D1C92">
        <w:rPr>
          <w:rFonts w:cs="Arial"/>
        </w:rPr>
        <w:t xml:space="preserve"> </w:t>
      </w:r>
      <w:r w:rsidR="00A978BC" w:rsidRPr="002D1C92">
        <w:rPr>
          <w:rFonts w:cs="Arial"/>
        </w:rPr>
        <w:t>2</w:t>
      </w:r>
      <w:r w:rsidR="003A77AE" w:rsidRPr="002D1C92">
        <w:rPr>
          <w:rFonts w:cs="Arial"/>
        </w:rPr>
        <w:t>40,231</w:t>
      </w:r>
      <w:r w:rsidRPr="002D1C92">
        <w:rPr>
          <w:rFonts w:cs="Arial"/>
        </w:rPr>
        <w:t xml:space="preserve"> </w:t>
      </w:r>
      <w:r w:rsidR="00CB2EEF" w:rsidRPr="002D1C92">
        <w:rPr>
          <w:rFonts w:cs="Arial"/>
        </w:rPr>
        <w:t>o</w:t>
      </w:r>
      <w:r w:rsidR="00D41F82" w:rsidRPr="002D1C92">
        <w:rPr>
          <w:rFonts w:cs="Arial"/>
        </w:rPr>
        <w:t xml:space="preserve">f its </w:t>
      </w:r>
      <w:r w:rsidRPr="002D1C92">
        <w:rPr>
          <w:rFonts w:cs="Arial"/>
        </w:rPr>
        <w:t>carriage service</w:t>
      </w:r>
      <w:r w:rsidR="00D41F82" w:rsidRPr="002D1C92">
        <w:rPr>
          <w:rFonts w:cs="Arial"/>
        </w:rPr>
        <w:t>s</w:t>
      </w:r>
      <w:r w:rsidR="0025020D">
        <w:rPr>
          <w:rFonts w:cs="Arial"/>
        </w:rPr>
        <w:t>.</w:t>
      </w:r>
    </w:p>
    <w:p w14:paraId="21AEFEA4" w14:textId="49766EB8" w:rsidR="00D41F82" w:rsidRPr="002D1C92" w:rsidRDefault="00D41F82" w:rsidP="008F7002">
      <w:pPr>
        <w:pStyle w:val="ACMAHeading1"/>
        <w:spacing w:before="240" w:after="160"/>
        <w:rPr>
          <w:rFonts w:cs="Arial"/>
        </w:rPr>
      </w:pPr>
      <w:r w:rsidRPr="002D1C92">
        <w:rPr>
          <w:rFonts w:cs="Arial"/>
          <w:sz w:val="20"/>
        </w:rPr>
        <w:t>Background</w:t>
      </w:r>
    </w:p>
    <w:p w14:paraId="6259EC11" w14:textId="7FA2A0DE" w:rsidR="004E1F89" w:rsidRPr="002D1C92" w:rsidRDefault="004E1F89" w:rsidP="00401906">
      <w:pPr>
        <w:pStyle w:val="ACMABodyText"/>
        <w:spacing w:before="160" w:after="200" w:line="240" w:lineRule="auto"/>
        <w:rPr>
          <w:rFonts w:ascii="Arial" w:hAnsi="Arial" w:cs="Arial"/>
          <w:bCs/>
          <w:sz w:val="20"/>
          <w:u w:val="single"/>
        </w:rPr>
      </w:pPr>
      <w:r w:rsidRPr="002D1C92">
        <w:rPr>
          <w:rFonts w:ascii="Arial" w:hAnsi="Arial" w:cs="Arial"/>
          <w:bCs/>
          <w:sz w:val="20"/>
          <w:u w:val="single"/>
        </w:rPr>
        <w:t>The Prepaid Determination</w:t>
      </w:r>
    </w:p>
    <w:p w14:paraId="1FD76400" w14:textId="779E2B9D" w:rsidR="00D572DA" w:rsidRPr="002D1C92" w:rsidRDefault="004E1F89"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 xml:space="preserve">The Prepaid Determination </w:t>
      </w:r>
      <w:r w:rsidR="00F8272B" w:rsidRPr="002D1C92">
        <w:rPr>
          <w:rFonts w:ascii="Arial" w:hAnsi="Arial" w:cs="Arial"/>
          <w:sz w:val="20"/>
          <w:szCs w:val="20"/>
        </w:rPr>
        <w:t xml:space="preserve">sets out the regulatory framework and rules for the supply of prepaid mobile </w:t>
      </w:r>
      <w:r w:rsidR="00E312AE" w:rsidRPr="002D1C92">
        <w:rPr>
          <w:rFonts w:ascii="Arial" w:hAnsi="Arial" w:cs="Arial"/>
          <w:sz w:val="20"/>
          <w:szCs w:val="20"/>
        </w:rPr>
        <w:t xml:space="preserve">carriage </w:t>
      </w:r>
      <w:r w:rsidR="00F8272B" w:rsidRPr="002D1C92">
        <w:rPr>
          <w:rFonts w:ascii="Arial" w:hAnsi="Arial" w:cs="Arial"/>
          <w:sz w:val="20"/>
          <w:szCs w:val="20"/>
        </w:rPr>
        <w:t>services by</w:t>
      </w:r>
      <w:r w:rsidRPr="002D1C92">
        <w:rPr>
          <w:rFonts w:ascii="Arial" w:hAnsi="Arial" w:cs="Arial"/>
          <w:sz w:val="20"/>
          <w:szCs w:val="20"/>
        </w:rPr>
        <w:t xml:space="preserve"> CSPs.</w:t>
      </w:r>
      <w:r w:rsidR="00F8272B" w:rsidRPr="002D1C92">
        <w:rPr>
          <w:rFonts w:ascii="Arial" w:hAnsi="Arial" w:cs="Arial"/>
          <w:sz w:val="20"/>
          <w:szCs w:val="20"/>
        </w:rPr>
        <w:t xml:space="preserve"> </w:t>
      </w:r>
      <w:r w:rsidR="00D572DA" w:rsidRPr="002D1C92">
        <w:rPr>
          <w:rFonts w:ascii="Arial" w:hAnsi="Arial" w:cs="Arial"/>
          <w:sz w:val="20"/>
          <w:szCs w:val="20"/>
        </w:rPr>
        <w:t xml:space="preserve">It requires CSPs to obtain certain information and verify the identity of customers before activating a prepaid mobile carriage </w:t>
      </w:r>
      <w:r w:rsidR="00B06A8A" w:rsidRPr="002D1C92">
        <w:rPr>
          <w:rFonts w:ascii="Arial" w:hAnsi="Arial" w:cs="Arial"/>
          <w:sz w:val="20"/>
          <w:szCs w:val="20"/>
        </w:rPr>
        <w:t>service unless</w:t>
      </w:r>
      <w:r w:rsidR="00D572DA" w:rsidRPr="002D1C92">
        <w:rPr>
          <w:rFonts w:ascii="Arial" w:hAnsi="Arial" w:cs="Arial"/>
          <w:sz w:val="20"/>
          <w:szCs w:val="20"/>
        </w:rPr>
        <w:t xml:space="preserve"> an exemption applies under Part 3 or subsection 4.2(2) of the Prepaid Determination. </w:t>
      </w:r>
    </w:p>
    <w:p w14:paraId="7C9283C5" w14:textId="0794FAD0" w:rsidR="00BD49ED" w:rsidRPr="002D1C92" w:rsidRDefault="00996563"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Section 2.1 of the Prepaid Determination states that t</w:t>
      </w:r>
      <w:r w:rsidR="00F8272B" w:rsidRPr="002D1C92">
        <w:rPr>
          <w:rFonts w:ascii="Arial" w:hAnsi="Arial" w:cs="Arial"/>
          <w:sz w:val="20"/>
          <w:szCs w:val="20"/>
        </w:rPr>
        <w:t>he objects of the Determination are to:</w:t>
      </w:r>
    </w:p>
    <w:p w14:paraId="7B01013C" w14:textId="37545141" w:rsidR="00F8272B" w:rsidRPr="002D1C92" w:rsidRDefault="00F8272B" w:rsidP="002F09D2">
      <w:pPr>
        <w:pStyle w:val="ACMATableText"/>
        <w:numPr>
          <w:ilvl w:val="0"/>
          <w:numId w:val="33"/>
        </w:numPr>
        <w:tabs>
          <w:tab w:val="left" w:pos="5245"/>
        </w:tabs>
        <w:spacing w:before="80" w:after="120"/>
        <w:ind w:left="850" w:hanging="357"/>
        <w:rPr>
          <w:rFonts w:cs="Arial"/>
        </w:rPr>
      </w:pPr>
      <w:r w:rsidRPr="002D1C92">
        <w:rPr>
          <w:rFonts w:cs="Arial"/>
        </w:rPr>
        <w:t xml:space="preserve">assist law enforcement agencies to identify customers in relation to prepaid mobile </w:t>
      </w:r>
      <w:r w:rsidR="00E312AE" w:rsidRPr="002D1C92">
        <w:rPr>
          <w:rFonts w:cs="Arial"/>
        </w:rPr>
        <w:t xml:space="preserve">carriage </w:t>
      </w:r>
      <w:proofErr w:type="gramStart"/>
      <w:r w:rsidRPr="002D1C92">
        <w:rPr>
          <w:rFonts w:cs="Arial"/>
        </w:rPr>
        <w:t>services</w:t>
      </w:r>
      <w:proofErr w:type="gramEnd"/>
    </w:p>
    <w:p w14:paraId="191AA5B6" w14:textId="71CB3383" w:rsidR="00F8272B" w:rsidRPr="002D1C92" w:rsidRDefault="00F8272B" w:rsidP="002F09D2">
      <w:pPr>
        <w:pStyle w:val="ACMATableText"/>
        <w:numPr>
          <w:ilvl w:val="0"/>
          <w:numId w:val="33"/>
        </w:numPr>
        <w:tabs>
          <w:tab w:val="left" w:pos="5245"/>
        </w:tabs>
        <w:spacing w:before="80" w:after="120"/>
        <w:ind w:left="850" w:hanging="357"/>
        <w:rPr>
          <w:rFonts w:cs="Arial"/>
        </w:rPr>
      </w:pPr>
      <w:r w:rsidRPr="002D1C92">
        <w:rPr>
          <w:rFonts w:cs="Arial"/>
        </w:rPr>
        <w:t xml:space="preserve">protect the privacy of individuals by ensuring that CSPs obtain, record and keep only the minimum amount of information that is reasonably </w:t>
      </w:r>
      <w:proofErr w:type="gramStart"/>
      <w:r w:rsidRPr="002D1C92">
        <w:rPr>
          <w:rFonts w:cs="Arial"/>
        </w:rPr>
        <w:t>necessary</w:t>
      </w:r>
      <w:proofErr w:type="gramEnd"/>
    </w:p>
    <w:p w14:paraId="00F7C488" w14:textId="5650EA69" w:rsidR="004E1F89" w:rsidRPr="002D1C92" w:rsidRDefault="00F8272B" w:rsidP="005C0FD5">
      <w:pPr>
        <w:pStyle w:val="ACMATableText"/>
        <w:numPr>
          <w:ilvl w:val="0"/>
          <w:numId w:val="33"/>
        </w:numPr>
        <w:tabs>
          <w:tab w:val="left" w:pos="5245"/>
        </w:tabs>
        <w:spacing w:before="80" w:after="240"/>
        <w:ind w:left="850" w:hanging="357"/>
        <w:rPr>
          <w:rFonts w:cs="Arial"/>
        </w:rPr>
      </w:pPr>
      <w:r w:rsidRPr="002D1C92">
        <w:rPr>
          <w:rFonts w:cs="Arial"/>
        </w:rPr>
        <w:t>provide CSPs with a range of methods which can be used to verify the identity of customers.</w:t>
      </w:r>
    </w:p>
    <w:p w14:paraId="1A21460E" w14:textId="1B8419CF" w:rsidR="004E1F89" w:rsidRPr="002D1C92" w:rsidRDefault="004E1F89" w:rsidP="00FB5166">
      <w:pPr>
        <w:pStyle w:val="ACMABodyText"/>
        <w:keepNext/>
        <w:spacing w:before="160" w:after="200" w:line="240" w:lineRule="auto"/>
        <w:rPr>
          <w:rFonts w:ascii="Arial" w:hAnsi="Arial" w:cs="Arial"/>
          <w:bCs/>
          <w:sz w:val="20"/>
          <w:u w:val="single"/>
        </w:rPr>
      </w:pPr>
      <w:r w:rsidRPr="002D1C92">
        <w:rPr>
          <w:rFonts w:ascii="Arial" w:hAnsi="Arial" w:cs="Arial"/>
          <w:bCs/>
          <w:sz w:val="20"/>
          <w:u w:val="single"/>
        </w:rPr>
        <w:t>The IPND</w:t>
      </w:r>
    </w:p>
    <w:p w14:paraId="0BC004A2" w14:textId="7D4A7DAF" w:rsidR="00B43583" w:rsidRPr="002D1C92" w:rsidRDefault="004E1F89" w:rsidP="002F09D2">
      <w:pPr>
        <w:pStyle w:val="ListParagraph"/>
        <w:numPr>
          <w:ilvl w:val="0"/>
          <w:numId w:val="4"/>
        </w:numPr>
        <w:spacing w:after="160" w:line="240" w:lineRule="auto"/>
        <w:ind w:left="425" w:hanging="425"/>
        <w:contextualSpacing w:val="0"/>
        <w:rPr>
          <w:rFonts w:ascii="Arial" w:hAnsi="Arial" w:cs="Arial"/>
          <w:sz w:val="20"/>
          <w:szCs w:val="20"/>
        </w:rPr>
      </w:pPr>
      <w:r w:rsidRPr="002D1C92">
        <w:rPr>
          <w:rFonts w:ascii="Arial" w:hAnsi="Arial" w:cs="Arial"/>
          <w:sz w:val="20"/>
          <w:szCs w:val="20"/>
        </w:rPr>
        <w:t>The IPND is an industry-wide database of public numbers</w:t>
      </w:r>
      <w:r w:rsidR="00D80F3D">
        <w:rPr>
          <w:rFonts w:ascii="Arial" w:hAnsi="Arial" w:cs="Arial"/>
          <w:sz w:val="20"/>
          <w:szCs w:val="20"/>
        </w:rPr>
        <w:t>.</w:t>
      </w:r>
      <w:r w:rsidRPr="002D1C92">
        <w:rPr>
          <w:rFonts w:ascii="Arial" w:hAnsi="Arial" w:cs="Arial"/>
          <w:sz w:val="20"/>
          <w:szCs w:val="20"/>
          <w:vertAlign w:val="superscript"/>
        </w:rPr>
        <w:footnoteReference w:id="6"/>
      </w:r>
      <w:r w:rsidRPr="002D1C92">
        <w:rPr>
          <w:rFonts w:ascii="Arial" w:hAnsi="Arial" w:cs="Arial"/>
          <w:sz w:val="20"/>
          <w:szCs w:val="20"/>
        </w:rPr>
        <w:t xml:space="preserve"> It was established in 1998 and is managed by Telstra, as required by section 10 of the </w:t>
      </w:r>
      <w:r w:rsidRPr="002D1C92">
        <w:rPr>
          <w:rFonts w:ascii="Arial" w:hAnsi="Arial" w:cs="Arial"/>
          <w:i/>
          <w:iCs/>
          <w:sz w:val="20"/>
          <w:szCs w:val="20"/>
        </w:rPr>
        <w:t>Telecommunications (Carrier Licence Conditions - Telstra Corporation Limited) Declaration 2019</w:t>
      </w:r>
      <w:r w:rsidRPr="002D1C92">
        <w:rPr>
          <w:rFonts w:ascii="Arial" w:hAnsi="Arial" w:cs="Arial"/>
          <w:sz w:val="20"/>
          <w:szCs w:val="20"/>
        </w:rPr>
        <w:t xml:space="preserve">. </w:t>
      </w:r>
      <w:r w:rsidR="009E6874" w:rsidRPr="002D1C92">
        <w:rPr>
          <w:rFonts w:ascii="Arial" w:hAnsi="Arial" w:cs="Arial"/>
          <w:sz w:val="20"/>
          <w:szCs w:val="20"/>
        </w:rPr>
        <w:t>Some of t</w:t>
      </w:r>
      <w:r w:rsidRPr="002D1C92">
        <w:rPr>
          <w:rFonts w:ascii="Arial" w:hAnsi="Arial" w:cs="Arial"/>
          <w:sz w:val="20"/>
          <w:szCs w:val="20"/>
        </w:rPr>
        <w:t xml:space="preserve">he contraventions referred to in this report </w:t>
      </w:r>
      <w:r w:rsidR="009E6874" w:rsidRPr="002D1C92">
        <w:rPr>
          <w:rFonts w:ascii="Arial" w:hAnsi="Arial" w:cs="Arial"/>
          <w:sz w:val="20"/>
          <w:szCs w:val="20"/>
        </w:rPr>
        <w:t xml:space="preserve">also </w:t>
      </w:r>
      <w:r w:rsidRPr="002D1C92">
        <w:rPr>
          <w:rFonts w:ascii="Arial" w:hAnsi="Arial" w:cs="Arial"/>
          <w:sz w:val="20"/>
          <w:szCs w:val="20"/>
        </w:rPr>
        <w:t xml:space="preserve">occurred when a predecessor instrument, the </w:t>
      </w:r>
      <w:r w:rsidRPr="002D1C92">
        <w:rPr>
          <w:rFonts w:ascii="Arial" w:hAnsi="Arial" w:cs="Arial"/>
          <w:i/>
          <w:iCs/>
          <w:sz w:val="20"/>
          <w:szCs w:val="20"/>
        </w:rPr>
        <w:t>Carrier Licence Conditions (Telstra Corporation Limited) Declaration 1997</w:t>
      </w:r>
      <w:r w:rsidRPr="002D1C92">
        <w:rPr>
          <w:rFonts w:ascii="Arial" w:hAnsi="Arial" w:cs="Arial"/>
          <w:sz w:val="20"/>
          <w:szCs w:val="20"/>
        </w:rPr>
        <w:t xml:space="preserve"> (</w:t>
      </w:r>
      <w:r w:rsidRPr="002D1C92">
        <w:rPr>
          <w:rFonts w:ascii="Arial" w:hAnsi="Arial" w:cs="Arial"/>
          <w:b/>
          <w:bCs/>
          <w:sz w:val="20"/>
          <w:szCs w:val="20"/>
        </w:rPr>
        <w:t>Telstra Licence Conditions</w:t>
      </w:r>
      <w:r w:rsidRPr="002D1C92">
        <w:rPr>
          <w:rFonts w:ascii="Arial" w:hAnsi="Arial" w:cs="Arial"/>
          <w:sz w:val="20"/>
          <w:szCs w:val="20"/>
        </w:rPr>
        <w:t xml:space="preserve">), was in force. </w:t>
      </w:r>
    </w:p>
    <w:p w14:paraId="716D3CC7" w14:textId="77777777" w:rsidR="004E1F89" w:rsidRPr="002D1C92" w:rsidRDefault="004E1F89" w:rsidP="002F09D2">
      <w:pPr>
        <w:pStyle w:val="ListParagraph"/>
        <w:numPr>
          <w:ilvl w:val="0"/>
          <w:numId w:val="4"/>
        </w:numPr>
        <w:spacing w:line="240" w:lineRule="auto"/>
        <w:ind w:left="426" w:hanging="426"/>
        <w:rPr>
          <w:rFonts w:ascii="Arial" w:hAnsi="Arial" w:cs="Arial"/>
          <w:sz w:val="20"/>
          <w:szCs w:val="20"/>
        </w:rPr>
      </w:pPr>
      <w:r w:rsidRPr="002D1C92">
        <w:rPr>
          <w:rFonts w:ascii="Arial" w:hAnsi="Arial" w:cs="Arial"/>
          <w:sz w:val="20"/>
          <w:szCs w:val="20"/>
        </w:rPr>
        <w:t>The maintenance of the IPND by the IPND Manager is supported by:</w:t>
      </w:r>
    </w:p>
    <w:p w14:paraId="06C1A30D" w14:textId="2C7CC185" w:rsidR="004E1F89" w:rsidRPr="002D1C92" w:rsidRDefault="004E1F89" w:rsidP="002F09D2">
      <w:pPr>
        <w:pStyle w:val="ACMATableText"/>
        <w:numPr>
          <w:ilvl w:val="0"/>
          <w:numId w:val="34"/>
        </w:numPr>
        <w:tabs>
          <w:tab w:val="left" w:pos="5245"/>
        </w:tabs>
        <w:spacing w:before="80" w:after="120"/>
        <w:ind w:left="850" w:hanging="357"/>
        <w:rPr>
          <w:rFonts w:cs="Arial"/>
        </w:rPr>
      </w:pPr>
      <w:r w:rsidRPr="002D1C92">
        <w:rPr>
          <w:rFonts w:cs="Arial"/>
        </w:rPr>
        <w:t xml:space="preserve">a service provider rule requiring a CSP that supplies a carriage service to an end user, where that user has a public number, to give Telstra such information as it reasonably requires in connection with its obligations to provide and maintain the </w:t>
      </w:r>
      <w:proofErr w:type="gramStart"/>
      <w:r w:rsidRPr="002D1C92">
        <w:rPr>
          <w:rFonts w:cs="Arial"/>
        </w:rPr>
        <w:t>IPND</w:t>
      </w:r>
      <w:proofErr w:type="gramEnd"/>
    </w:p>
    <w:p w14:paraId="4D98E00C" w14:textId="14C1CD6C" w:rsidR="004E1F89" w:rsidRPr="002D1C92" w:rsidRDefault="004E1F89" w:rsidP="002F09D2">
      <w:pPr>
        <w:pStyle w:val="ACMATableText"/>
        <w:numPr>
          <w:ilvl w:val="0"/>
          <w:numId w:val="34"/>
        </w:numPr>
        <w:tabs>
          <w:tab w:val="left" w:pos="5245"/>
        </w:tabs>
        <w:spacing w:before="80" w:after="120"/>
        <w:ind w:left="850" w:hanging="357"/>
        <w:rPr>
          <w:rFonts w:cs="Arial"/>
        </w:rPr>
      </w:pPr>
      <w:r w:rsidRPr="002D1C92">
        <w:rPr>
          <w:rFonts w:cs="Arial"/>
        </w:rPr>
        <w:t xml:space="preserve">the </w:t>
      </w:r>
      <w:r w:rsidR="00815D0E" w:rsidRPr="002D1C92">
        <w:rPr>
          <w:rFonts w:cs="Arial"/>
        </w:rPr>
        <w:t xml:space="preserve">2020 </w:t>
      </w:r>
      <w:r w:rsidRPr="002D1C92">
        <w:rPr>
          <w:rFonts w:cs="Arial"/>
        </w:rPr>
        <w:t>IPND Code</w:t>
      </w:r>
      <w:r w:rsidR="00831105" w:rsidRPr="002D1C92">
        <w:rPr>
          <w:rFonts w:cs="Arial"/>
        </w:rPr>
        <w:t xml:space="preserve"> (in force </w:t>
      </w:r>
      <w:r w:rsidR="00A32CFD">
        <w:rPr>
          <w:rFonts w:cs="Arial"/>
        </w:rPr>
        <w:t xml:space="preserve">from </w:t>
      </w:r>
      <w:r w:rsidR="00831105" w:rsidRPr="002D1C92">
        <w:rPr>
          <w:rFonts w:cs="Arial"/>
        </w:rPr>
        <w:t>19 March 2020) and 2017 Industry Code (in force</w:t>
      </w:r>
      <w:r w:rsidR="0082718B">
        <w:rPr>
          <w:rFonts w:cs="Arial"/>
        </w:rPr>
        <w:t xml:space="preserve"> from 16 November 2017</w:t>
      </w:r>
      <w:r w:rsidR="00831105" w:rsidRPr="002D1C92">
        <w:rPr>
          <w:rFonts w:cs="Arial"/>
        </w:rPr>
        <w:t xml:space="preserve"> </w:t>
      </w:r>
      <w:r w:rsidR="00D80F3D">
        <w:rPr>
          <w:rFonts w:cs="Arial"/>
        </w:rPr>
        <w:t xml:space="preserve">until </w:t>
      </w:r>
      <w:r w:rsidR="00831105" w:rsidRPr="002D1C92">
        <w:rPr>
          <w:rFonts w:cs="Arial"/>
        </w:rPr>
        <w:t>19 March 2020)</w:t>
      </w:r>
      <w:r w:rsidRPr="002D1C92">
        <w:rPr>
          <w:rFonts w:cs="Arial"/>
        </w:rPr>
        <w:t xml:space="preserve">, </w:t>
      </w:r>
      <w:r w:rsidR="00D80F3D">
        <w:rPr>
          <w:rFonts w:cs="Arial"/>
        </w:rPr>
        <w:t xml:space="preserve">being </w:t>
      </w:r>
      <w:r w:rsidRPr="002D1C92">
        <w:rPr>
          <w:rFonts w:cs="Arial"/>
        </w:rPr>
        <w:t>industry code</w:t>
      </w:r>
      <w:r w:rsidR="00831105" w:rsidRPr="002D1C92">
        <w:rPr>
          <w:rFonts w:cs="Arial"/>
        </w:rPr>
        <w:t>s</w:t>
      </w:r>
      <w:r w:rsidRPr="002D1C92">
        <w:rPr>
          <w:rFonts w:cs="Arial"/>
        </w:rPr>
        <w:t xml:space="preserve"> registered under Part 6 of the Act, </w:t>
      </w:r>
      <w:r w:rsidR="00831105" w:rsidRPr="002D1C92">
        <w:rPr>
          <w:rFonts w:cs="Arial"/>
        </w:rPr>
        <w:t>setting</w:t>
      </w:r>
      <w:r w:rsidRPr="002D1C92">
        <w:rPr>
          <w:rFonts w:cs="Arial"/>
        </w:rPr>
        <w:t xml:space="preserve"> out procedures relating to the storage of information in the IPND and the transfer of information to and from the IPND Manager.</w:t>
      </w:r>
    </w:p>
    <w:p w14:paraId="7CD7FA48" w14:textId="74C79C26" w:rsidR="004E1F89" w:rsidRPr="002D1C92" w:rsidRDefault="004E1F89"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w:t>
      </w:r>
      <w:r w:rsidR="00815D0E" w:rsidRPr="002D1C92">
        <w:rPr>
          <w:rFonts w:ascii="Arial" w:hAnsi="Arial" w:cs="Arial"/>
          <w:sz w:val="20"/>
          <w:szCs w:val="20"/>
        </w:rPr>
        <w:t xml:space="preserve">2020 </w:t>
      </w:r>
      <w:r w:rsidRPr="002D1C92">
        <w:rPr>
          <w:rFonts w:ascii="Arial" w:hAnsi="Arial" w:cs="Arial"/>
          <w:sz w:val="20"/>
          <w:szCs w:val="20"/>
        </w:rPr>
        <w:t>IPND Code</w:t>
      </w:r>
      <w:r w:rsidR="00831105" w:rsidRPr="002D1C92">
        <w:rPr>
          <w:rFonts w:ascii="Arial" w:hAnsi="Arial" w:cs="Arial"/>
          <w:sz w:val="20"/>
          <w:szCs w:val="20"/>
        </w:rPr>
        <w:t xml:space="preserve"> and 2017 IPND Code</w:t>
      </w:r>
      <w:r w:rsidRPr="002D1C92">
        <w:rPr>
          <w:rFonts w:ascii="Arial" w:hAnsi="Arial" w:cs="Arial"/>
          <w:sz w:val="20"/>
          <w:szCs w:val="20"/>
        </w:rPr>
        <w:t xml:space="preserve">, and the associated </w:t>
      </w:r>
      <w:r w:rsidR="005027A5" w:rsidRPr="002D1C92">
        <w:rPr>
          <w:rFonts w:ascii="Arial" w:hAnsi="Arial" w:cs="Arial"/>
          <w:sz w:val="20"/>
          <w:szCs w:val="20"/>
        </w:rPr>
        <w:t xml:space="preserve">Industry </w:t>
      </w:r>
      <w:r w:rsidRPr="002D1C92">
        <w:rPr>
          <w:rFonts w:ascii="Arial" w:hAnsi="Arial" w:cs="Arial"/>
          <w:sz w:val="20"/>
          <w:szCs w:val="20"/>
        </w:rPr>
        <w:t>Guideline (G619:2017)</w:t>
      </w:r>
      <w:r w:rsidR="00F9042E" w:rsidRPr="002D1C92">
        <w:rPr>
          <w:rFonts w:ascii="Arial" w:hAnsi="Arial" w:cs="Arial"/>
          <w:sz w:val="20"/>
          <w:szCs w:val="20"/>
        </w:rPr>
        <w:t xml:space="preserve"> </w:t>
      </w:r>
      <w:r w:rsidR="005027A5" w:rsidRPr="002D1C92">
        <w:rPr>
          <w:rFonts w:ascii="Arial" w:hAnsi="Arial" w:cs="Arial"/>
          <w:sz w:val="20"/>
          <w:szCs w:val="20"/>
        </w:rPr>
        <w:t xml:space="preserve">IPND Data </w:t>
      </w:r>
      <w:r w:rsidR="00F9042E" w:rsidRPr="002D1C92">
        <w:rPr>
          <w:rFonts w:ascii="Arial" w:hAnsi="Arial" w:cs="Arial"/>
          <w:sz w:val="20"/>
          <w:szCs w:val="20"/>
        </w:rPr>
        <w:t>(</w:t>
      </w:r>
      <w:r w:rsidR="00F9042E" w:rsidRPr="002D1C92">
        <w:rPr>
          <w:rFonts w:ascii="Arial" w:hAnsi="Arial" w:cs="Arial"/>
          <w:b/>
          <w:bCs/>
          <w:sz w:val="20"/>
          <w:szCs w:val="20"/>
        </w:rPr>
        <w:t>IPND Data Guideline</w:t>
      </w:r>
      <w:r w:rsidR="00F9042E" w:rsidRPr="002D1C92">
        <w:rPr>
          <w:rFonts w:ascii="Arial" w:hAnsi="Arial" w:cs="Arial"/>
          <w:sz w:val="20"/>
          <w:szCs w:val="20"/>
        </w:rPr>
        <w:t>)</w:t>
      </w:r>
      <w:r w:rsidRPr="002D1C92">
        <w:rPr>
          <w:rFonts w:ascii="Arial" w:hAnsi="Arial" w:cs="Arial"/>
          <w:sz w:val="20"/>
          <w:szCs w:val="20"/>
        </w:rPr>
        <w:t xml:space="preserve">, </w:t>
      </w:r>
      <w:r w:rsidR="00996F0B" w:rsidRPr="002D1C92">
        <w:rPr>
          <w:rFonts w:ascii="Arial" w:hAnsi="Arial" w:cs="Arial"/>
          <w:sz w:val="20"/>
          <w:szCs w:val="20"/>
        </w:rPr>
        <w:t>refer to</w:t>
      </w:r>
      <w:r w:rsidR="00DB72DF" w:rsidRPr="002D1C92">
        <w:rPr>
          <w:rFonts w:ascii="Arial" w:hAnsi="Arial" w:cs="Arial"/>
          <w:sz w:val="20"/>
          <w:szCs w:val="20"/>
        </w:rPr>
        <w:t xml:space="preserve"> </w:t>
      </w:r>
      <w:r w:rsidRPr="002D1C92">
        <w:rPr>
          <w:rFonts w:ascii="Arial" w:hAnsi="Arial" w:cs="Arial"/>
          <w:sz w:val="20"/>
          <w:szCs w:val="20"/>
        </w:rPr>
        <w:t xml:space="preserve">the Integrated Public Number Database (IPND) Data Users and Data Providers Technical Requirements for IPND (the </w:t>
      </w:r>
      <w:r w:rsidRPr="002D1C92">
        <w:rPr>
          <w:rFonts w:ascii="Arial" w:hAnsi="Arial" w:cs="Arial"/>
          <w:b/>
          <w:bCs/>
          <w:sz w:val="20"/>
          <w:szCs w:val="20"/>
        </w:rPr>
        <w:t>Technical Requirements</w:t>
      </w:r>
      <w:r w:rsidRPr="002D1C92">
        <w:rPr>
          <w:rFonts w:ascii="Arial" w:hAnsi="Arial" w:cs="Arial"/>
          <w:sz w:val="20"/>
          <w:szCs w:val="20"/>
        </w:rPr>
        <w:t xml:space="preserve">). </w:t>
      </w:r>
    </w:p>
    <w:p w14:paraId="3D51D319" w14:textId="3DCE4A2C" w:rsidR="004E1F89" w:rsidRPr="002D1C92" w:rsidRDefault="004E1F89"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lastRenderedPageBreak/>
        <w:t xml:space="preserve">The Technical Requirements are issued by Telstra and set out the detailed operational and technical requirements for the supply of information by CSPs, and by data providers acting on behalf of CSPs, to the IPND Manager. </w:t>
      </w:r>
    </w:p>
    <w:p w14:paraId="790F3AB6" w14:textId="1E6F3CD0" w:rsidR="00F85961" w:rsidRPr="002D1C92" w:rsidRDefault="00423204" w:rsidP="00401906">
      <w:pPr>
        <w:pStyle w:val="ACMABodyText"/>
        <w:keepNext/>
        <w:spacing w:before="120" w:after="200" w:line="240" w:lineRule="auto"/>
        <w:rPr>
          <w:rFonts w:ascii="Arial" w:hAnsi="Arial" w:cs="Arial"/>
          <w:bCs/>
          <w:sz w:val="20"/>
          <w:u w:val="single"/>
        </w:rPr>
      </w:pPr>
      <w:r w:rsidRPr="002D1C92">
        <w:rPr>
          <w:rFonts w:ascii="Arial" w:hAnsi="Arial" w:cs="Arial"/>
          <w:bCs/>
          <w:sz w:val="20"/>
          <w:u w:val="single"/>
        </w:rPr>
        <w:t>R</w:t>
      </w:r>
      <w:r w:rsidR="00CC0F6F" w:rsidRPr="002D1C92">
        <w:rPr>
          <w:rFonts w:ascii="Arial" w:hAnsi="Arial" w:cs="Arial"/>
          <w:bCs/>
          <w:sz w:val="20"/>
          <w:u w:val="single"/>
        </w:rPr>
        <w:t>elevant facts</w:t>
      </w:r>
    </w:p>
    <w:p w14:paraId="24695CBD" w14:textId="77777777" w:rsidR="000601F6" w:rsidRPr="002D1C92" w:rsidRDefault="00F8272B" w:rsidP="00C866C4">
      <w:pPr>
        <w:pStyle w:val="ListParagraph"/>
        <w:keepNext/>
        <w:numPr>
          <w:ilvl w:val="0"/>
          <w:numId w:val="4"/>
        </w:numPr>
        <w:spacing w:line="240" w:lineRule="auto"/>
        <w:ind w:left="426" w:hanging="357"/>
        <w:contextualSpacing w:val="0"/>
        <w:rPr>
          <w:rFonts w:ascii="Arial" w:hAnsi="Arial" w:cs="Arial"/>
          <w:sz w:val="20"/>
          <w:szCs w:val="20"/>
        </w:rPr>
      </w:pP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is a CSP within the meaning of section 87 of the Act and offers prepaid mobile carriage services to the public as evidenced by its website</w:t>
      </w:r>
      <w:r w:rsidR="0085251A" w:rsidRPr="002D1C92">
        <w:rPr>
          <w:rFonts w:ascii="Arial" w:hAnsi="Arial" w:cs="Arial"/>
          <w:sz w:val="20"/>
          <w:szCs w:val="20"/>
        </w:rPr>
        <w:t>.</w:t>
      </w:r>
      <w:r w:rsidRPr="002D1C92">
        <w:rPr>
          <w:rFonts w:ascii="Arial" w:hAnsi="Arial" w:cs="Arial"/>
          <w:sz w:val="20"/>
          <w:szCs w:val="20"/>
          <w:vertAlign w:val="superscript"/>
        </w:rPr>
        <w:footnoteReference w:id="7"/>
      </w:r>
      <w:r w:rsidRPr="002D1C92">
        <w:rPr>
          <w:rFonts w:ascii="Arial" w:hAnsi="Arial" w:cs="Arial"/>
          <w:sz w:val="20"/>
          <w:szCs w:val="20"/>
        </w:rPr>
        <w:t xml:space="preserve"> </w:t>
      </w:r>
    </w:p>
    <w:p w14:paraId="0719FD72" w14:textId="0BA06C5A" w:rsidR="004F1071" w:rsidRPr="002D1C92" w:rsidRDefault="00EA7D25"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On 27 June 2019, the ACMA commenced an investigation under s</w:t>
      </w:r>
      <w:r w:rsidR="00077E1D" w:rsidRPr="002D1C92">
        <w:rPr>
          <w:rFonts w:ascii="Arial" w:hAnsi="Arial" w:cs="Arial"/>
          <w:sz w:val="20"/>
          <w:szCs w:val="20"/>
        </w:rPr>
        <w:t>ubs</w:t>
      </w:r>
      <w:r w:rsidRPr="002D1C92">
        <w:rPr>
          <w:rFonts w:ascii="Arial" w:hAnsi="Arial" w:cs="Arial"/>
          <w:sz w:val="20"/>
          <w:szCs w:val="20"/>
        </w:rPr>
        <w:t xml:space="preserve">ection 510(1) of the Act into </w:t>
      </w:r>
      <w:proofErr w:type="spellStart"/>
      <w:r w:rsidRPr="002D1C92">
        <w:rPr>
          <w:rFonts w:ascii="Arial" w:hAnsi="Arial" w:cs="Arial"/>
          <w:sz w:val="20"/>
          <w:szCs w:val="20"/>
        </w:rPr>
        <w:t>Lycamobile</w:t>
      </w:r>
      <w:r w:rsidR="00BA37D4" w:rsidRPr="002D1C92">
        <w:rPr>
          <w:rFonts w:ascii="Arial" w:hAnsi="Arial" w:cs="Arial"/>
          <w:sz w:val="20"/>
          <w:szCs w:val="20"/>
        </w:rPr>
        <w:t>’s</w:t>
      </w:r>
      <w:proofErr w:type="spellEnd"/>
      <w:r w:rsidRPr="002D1C92">
        <w:rPr>
          <w:rFonts w:ascii="Arial" w:hAnsi="Arial" w:cs="Arial"/>
          <w:sz w:val="20"/>
          <w:szCs w:val="20"/>
        </w:rPr>
        <w:t xml:space="preserve"> </w:t>
      </w:r>
      <w:r w:rsidR="00BA37D4" w:rsidRPr="002D1C92">
        <w:rPr>
          <w:rFonts w:ascii="Arial" w:hAnsi="Arial" w:cs="Arial"/>
          <w:sz w:val="20"/>
          <w:szCs w:val="20"/>
        </w:rPr>
        <w:t>compliance with</w:t>
      </w:r>
      <w:r w:rsidRPr="002D1C92">
        <w:rPr>
          <w:rFonts w:ascii="Arial" w:hAnsi="Arial" w:cs="Arial"/>
          <w:sz w:val="20"/>
          <w:szCs w:val="20"/>
        </w:rPr>
        <w:t xml:space="preserve"> </w:t>
      </w:r>
      <w:r w:rsidR="003F098F" w:rsidRPr="002D1C92">
        <w:rPr>
          <w:rFonts w:ascii="Arial" w:hAnsi="Arial" w:cs="Arial"/>
          <w:sz w:val="20"/>
          <w:szCs w:val="20"/>
        </w:rPr>
        <w:t xml:space="preserve">the </w:t>
      </w:r>
      <w:r w:rsidR="004C68C1" w:rsidRPr="002D1C92">
        <w:rPr>
          <w:rFonts w:ascii="Arial" w:hAnsi="Arial" w:cs="Arial"/>
          <w:sz w:val="20"/>
          <w:szCs w:val="20"/>
        </w:rPr>
        <w:t>Prepaid Determination</w:t>
      </w:r>
      <w:r w:rsidR="003F098F" w:rsidRPr="002D1C92">
        <w:rPr>
          <w:rFonts w:ascii="Arial" w:hAnsi="Arial" w:cs="Arial"/>
          <w:sz w:val="20"/>
          <w:szCs w:val="20"/>
        </w:rPr>
        <w:t xml:space="preserve">. </w:t>
      </w:r>
      <w:r w:rsidR="00623992" w:rsidRPr="002D1C92">
        <w:rPr>
          <w:rFonts w:ascii="Arial" w:hAnsi="Arial" w:cs="Arial"/>
          <w:sz w:val="20"/>
          <w:szCs w:val="20"/>
        </w:rPr>
        <w:t>On that date</w:t>
      </w:r>
      <w:r w:rsidR="003F098F" w:rsidRPr="002D1C92">
        <w:rPr>
          <w:rFonts w:ascii="Arial" w:hAnsi="Arial" w:cs="Arial"/>
          <w:sz w:val="20"/>
          <w:szCs w:val="20"/>
        </w:rPr>
        <w:t xml:space="preserve">, the ACMA </w:t>
      </w:r>
      <w:r w:rsidR="00CD76DE" w:rsidRPr="002D1C92">
        <w:rPr>
          <w:rFonts w:ascii="Arial" w:hAnsi="Arial" w:cs="Arial"/>
          <w:sz w:val="20"/>
          <w:szCs w:val="20"/>
        </w:rPr>
        <w:t xml:space="preserve">also </w:t>
      </w:r>
      <w:r w:rsidRPr="002D1C92">
        <w:rPr>
          <w:rFonts w:ascii="Arial" w:hAnsi="Arial" w:cs="Arial"/>
          <w:sz w:val="20"/>
          <w:szCs w:val="20"/>
        </w:rPr>
        <w:t xml:space="preserve">gave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a notice (the </w:t>
      </w:r>
      <w:r w:rsidR="001564B5" w:rsidRPr="002D1C92">
        <w:rPr>
          <w:rFonts w:ascii="Arial" w:hAnsi="Arial" w:cs="Arial"/>
          <w:b/>
          <w:bCs/>
          <w:sz w:val="20"/>
          <w:szCs w:val="20"/>
        </w:rPr>
        <w:t xml:space="preserve">first </w:t>
      </w:r>
      <w:r w:rsidRPr="002D1C92">
        <w:rPr>
          <w:rFonts w:ascii="Arial" w:hAnsi="Arial" w:cs="Arial"/>
          <w:b/>
          <w:bCs/>
          <w:sz w:val="20"/>
          <w:szCs w:val="20"/>
        </w:rPr>
        <w:t>notice</w:t>
      </w:r>
      <w:r w:rsidRPr="002D1C92">
        <w:rPr>
          <w:rFonts w:ascii="Arial" w:hAnsi="Arial" w:cs="Arial"/>
          <w:sz w:val="20"/>
          <w:szCs w:val="20"/>
        </w:rPr>
        <w:t>) under section 521 of the Act</w:t>
      </w:r>
      <w:r w:rsidR="001564B5" w:rsidRPr="002D1C92">
        <w:rPr>
          <w:rFonts w:ascii="Arial" w:hAnsi="Arial" w:cs="Arial"/>
          <w:sz w:val="20"/>
          <w:szCs w:val="20"/>
        </w:rPr>
        <w:t>,</w:t>
      </w:r>
      <w:r w:rsidR="004C68C1" w:rsidRPr="002D1C92">
        <w:rPr>
          <w:rFonts w:ascii="Arial" w:hAnsi="Arial" w:cs="Arial"/>
          <w:sz w:val="20"/>
          <w:szCs w:val="20"/>
        </w:rPr>
        <w:t xml:space="preserve"> </w:t>
      </w:r>
      <w:r w:rsidR="003F098F" w:rsidRPr="002D1C92">
        <w:rPr>
          <w:rFonts w:ascii="Arial" w:hAnsi="Arial" w:cs="Arial"/>
          <w:sz w:val="20"/>
          <w:szCs w:val="20"/>
        </w:rPr>
        <w:t>requiring it to provide</w:t>
      </w:r>
      <w:r w:rsidR="004C68C1" w:rsidRPr="002D1C92">
        <w:rPr>
          <w:rFonts w:ascii="Arial" w:hAnsi="Arial" w:cs="Arial"/>
          <w:sz w:val="20"/>
          <w:szCs w:val="20"/>
        </w:rPr>
        <w:t xml:space="preserve"> </w:t>
      </w:r>
      <w:r w:rsidRPr="002D1C92">
        <w:rPr>
          <w:rFonts w:ascii="Arial" w:hAnsi="Arial" w:cs="Arial"/>
          <w:sz w:val="20"/>
          <w:szCs w:val="20"/>
        </w:rPr>
        <w:t xml:space="preserve">customer records for the first 2,000 prepaid mobile carriage services </w:t>
      </w:r>
      <w:r w:rsidR="004F1071" w:rsidRPr="002D1C92">
        <w:rPr>
          <w:rFonts w:ascii="Arial" w:hAnsi="Arial" w:cs="Arial"/>
          <w:sz w:val="20"/>
          <w:szCs w:val="20"/>
        </w:rPr>
        <w:t xml:space="preserve">activated consecutively </w:t>
      </w:r>
      <w:r w:rsidRPr="002D1C92">
        <w:rPr>
          <w:rFonts w:ascii="Arial" w:hAnsi="Arial" w:cs="Arial"/>
          <w:sz w:val="20"/>
          <w:szCs w:val="20"/>
        </w:rPr>
        <w:t>from 1 March 2019</w:t>
      </w:r>
      <w:r w:rsidR="00F92ECD" w:rsidRPr="002D1C92">
        <w:rPr>
          <w:rFonts w:ascii="Arial" w:hAnsi="Arial" w:cs="Arial"/>
          <w:sz w:val="20"/>
          <w:szCs w:val="20"/>
        </w:rPr>
        <w:t xml:space="preserve"> (</w:t>
      </w:r>
      <w:r w:rsidR="00C119D2" w:rsidRPr="002D1C92">
        <w:rPr>
          <w:rFonts w:ascii="Arial" w:hAnsi="Arial" w:cs="Arial"/>
          <w:sz w:val="20"/>
          <w:szCs w:val="20"/>
        </w:rPr>
        <w:t xml:space="preserve">the </w:t>
      </w:r>
      <w:r w:rsidR="00C119D2" w:rsidRPr="002D1C92">
        <w:rPr>
          <w:rFonts w:ascii="Arial" w:hAnsi="Arial" w:cs="Arial"/>
          <w:b/>
          <w:bCs/>
          <w:sz w:val="20"/>
          <w:szCs w:val="20"/>
        </w:rPr>
        <w:t xml:space="preserve">2,000 </w:t>
      </w:r>
      <w:r w:rsidR="00F92ECD" w:rsidRPr="002D1C92">
        <w:rPr>
          <w:rFonts w:ascii="Arial" w:hAnsi="Arial" w:cs="Arial"/>
          <w:b/>
          <w:bCs/>
          <w:sz w:val="20"/>
          <w:szCs w:val="20"/>
        </w:rPr>
        <w:t>customer records</w:t>
      </w:r>
      <w:r w:rsidR="00F92ECD" w:rsidRPr="002D1C92">
        <w:rPr>
          <w:rFonts w:ascii="Arial" w:hAnsi="Arial" w:cs="Arial"/>
          <w:sz w:val="20"/>
          <w:szCs w:val="20"/>
        </w:rPr>
        <w:t>)</w:t>
      </w:r>
      <w:r w:rsidR="00591545" w:rsidRPr="002D1C92">
        <w:rPr>
          <w:rFonts w:ascii="Arial" w:hAnsi="Arial" w:cs="Arial"/>
          <w:sz w:val="20"/>
          <w:szCs w:val="20"/>
        </w:rPr>
        <w:t xml:space="preserve">. </w:t>
      </w:r>
    </w:p>
    <w:p w14:paraId="57AF7474" w14:textId="2BC706FD" w:rsidR="00EA7D25" w:rsidRPr="002D1C92" w:rsidRDefault="00EA7D25" w:rsidP="002F09D2">
      <w:pPr>
        <w:pStyle w:val="ListParagraph"/>
        <w:numPr>
          <w:ilvl w:val="0"/>
          <w:numId w:val="4"/>
        </w:numPr>
        <w:spacing w:line="240" w:lineRule="auto"/>
        <w:ind w:left="426" w:hanging="357"/>
        <w:contextualSpacing w:val="0"/>
        <w:rPr>
          <w:rFonts w:ascii="Arial" w:hAnsi="Arial" w:cs="Arial"/>
          <w:sz w:val="20"/>
          <w:szCs w:val="20"/>
        </w:rPr>
      </w:pP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provided</w:t>
      </w:r>
      <w:r w:rsidR="005E05B0" w:rsidRPr="002D1C92">
        <w:rPr>
          <w:rFonts w:ascii="Arial" w:hAnsi="Arial" w:cs="Arial"/>
          <w:sz w:val="20"/>
          <w:szCs w:val="20"/>
        </w:rPr>
        <w:t xml:space="preserve"> some of the requested</w:t>
      </w:r>
      <w:r w:rsidRPr="002D1C92">
        <w:rPr>
          <w:rFonts w:ascii="Arial" w:hAnsi="Arial" w:cs="Arial"/>
          <w:sz w:val="20"/>
          <w:szCs w:val="20"/>
        </w:rPr>
        <w:t xml:space="preserve"> </w:t>
      </w:r>
      <w:r w:rsidR="005749E1" w:rsidRPr="002D1C92">
        <w:rPr>
          <w:rFonts w:ascii="Arial" w:hAnsi="Arial" w:cs="Arial"/>
          <w:sz w:val="20"/>
          <w:szCs w:val="20"/>
        </w:rPr>
        <w:t>information</w:t>
      </w:r>
      <w:r w:rsidRPr="002D1C92">
        <w:rPr>
          <w:rFonts w:ascii="Arial" w:hAnsi="Arial" w:cs="Arial"/>
          <w:sz w:val="20"/>
          <w:szCs w:val="20"/>
        </w:rPr>
        <w:t xml:space="preserve"> to the ACMA </w:t>
      </w:r>
      <w:r w:rsidR="002011A5" w:rsidRPr="002D1C92">
        <w:rPr>
          <w:rFonts w:ascii="Arial" w:hAnsi="Arial" w:cs="Arial"/>
          <w:sz w:val="20"/>
          <w:szCs w:val="20"/>
        </w:rPr>
        <w:t xml:space="preserve">in response to the first notice </w:t>
      </w:r>
      <w:r w:rsidRPr="002D1C92">
        <w:rPr>
          <w:rFonts w:ascii="Arial" w:hAnsi="Arial" w:cs="Arial"/>
          <w:sz w:val="20"/>
          <w:szCs w:val="20"/>
        </w:rPr>
        <w:t>on 3 July 2019</w:t>
      </w:r>
      <w:r w:rsidR="00AD02CF" w:rsidRPr="002D1C92">
        <w:rPr>
          <w:rFonts w:ascii="Arial" w:hAnsi="Arial" w:cs="Arial"/>
          <w:sz w:val="20"/>
          <w:szCs w:val="20"/>
        </w:rPr>
        <w:t xml:space="preserve">. After gaps in the information were drawn to </w:t>
      </w:r>
      <w:proofErr w:type="spellStart"/>
      <w:r w:rsidR="00AD02CF" w:rsidRPr="002D1C92">
        <w:rPr>
          <w:rFonts w:ascii="Arial" w:hAnsi="Arial" w:cs="Arial"/>
          <w:sz w:val="20"/>
          <w:szCs w:val="20"/>
        </w:rPr>
        <w:t>Lycamobile’s</w:t>
      </w:r>
      <w:proofErr w:type="spellEnd"/>
      <w:r w:rsidR="00AD02CF" w:rsidRPr="002D1C92">
        <w:rPr>
          <w:rFonts w:ascii="Arial" w:hAnsi="Arial" w:cs="Arial"/>
          <w:sz w:val="20"/>
          <w:szCs w:val="20"/>
        </w:rPr>
        <w:t xml:space="preserve"> attention</w:t>
      </w:r>
      <w:r w:rsidR="00147B60" w:rsidRPr="002D1C92">
        <w:rPr>
          <w:rFonts w:ascii="Arial" w:hAnsi="Arial" w:cs="Arial"/>
          <w:sz w:val="20"/>
          <w:szCs w:val="20"/>
        </w:rPr>
        <w:t>,</w:t>
      </w:r>
      <w:r w:rsidR="00FA3294" w:rsidRPr="002D1C92">
        <w:rPr>
          <w:rFonts w:ascii="Arial" w:hAnsi="Arial" w:cs="Arial"/>
          <w:sz w:val="20"/>
          <w:szCs w:val="20"/>
        </w:rPr>
        <w:t xml:space="preserve"> </w:t>
      </w:r>
      <w:proofErr w:type="spellStart"/>
      <w:r w:rsidR="005A2EBC" w:rsidRPr="002D1C92">
        <w:rPr>
          <w:rFonts w:ascii="Arial" w:hAnsi="Arial" w:cs="Arial"/>
          <w:sz w:val="20"/>
          <w:szCs w:val="20"/>
        </w:rPr>
        <w:t>Lycamobile</w:t>
      </w:r>
      <w:proofErr w:type="spellEnd"/>
      <w:r w:rsidR="005A2EBC" w:rsidRPr="002D1C92">
        <w:rPr>
          <w:rFonts w:ascii="Arial" w:hAnsi="Arial" w:cs="Arial"/>
          <w:sz w:val="20"/>
          <w:szCs w:val="20"/>
        </w:rPr>
        <w:t xml:space="preserve"> </w:t>
      </w:r>
      <w:r w:rsidR="00147B60" w:rsidRPr="002D1C92">
        <w:rPr>
          <w:rFonts w:ascii="Arial" w:hAnsi="Arial" w:cs="Arial"/>
          <w:sz w:val="20"/>
          <w:szCs w:val="20"/>
        </w:rPr>
        <w:t xml:space="preserve">provided further information </w:t>
      </w:r>
      <w:r w:rsidR="005A2EBC" w:rsidRPr="002D1C92">
        <w:rPr>
          <w:rFonts w:ascii="Arial" w:hAnsi="Arial" w:cs="Arial"/>
          <w:sz w:val="20"/>
          <w:szCs w:val="20"/>
        </w:rPr>
        <w:t xml:space="preserve">on </w:t>
      </w:r>
      <w:r w:rsidRPr="002D1C92">
        <w:rPr>
          <w:rFonts w:ascii="Arial" w:hAnsi="Arial" w:cs="Arial"/>
          <w:sz w:val="20"/>
          <w:szCs w:val="20"/>
        </w:rPr>
        <w:t xml:space="preserve">22 July, 1 </w:t>
      </w:r>
      <w:proofErr w:type="gramStart"/>
      <w:r w:rsidRPr="002D1C92">
        <w:rPr>
          <w:rFonts w:ascii="Arial" w:hAnsi="Arial" w:cs="Arial"/>
          <w:sz w:val="20"/>
          <w:szCs w:val="20"/>
        </w:rPr>
        <w:t>August</w:t>
      </w:r>
      <w:proofErr w:type="gramEnd"/>
      <w:r w:rsidRPr="002D1C92">
        <w:rPr>
          <w:rFonts w:ascii="Arial" w:hAnsi="Arial" w:cs="Arial"/>
          <w:sz w:val="20"/>
          <w:szCs w:val="20"/>
        </w:rPr>
        <w:t xml:space="preserve"> and 5 August 2019</w:t>
      </w:r>
      <w:r w:rsidR="00EF512A" w:rsidRPr="002D1C92">
        <w:rPr>
          <w:rFonts w:ascii="Arial" w:hAnsi="Arial" w:cs="Arial"/>
          <w:sz w:val="20"/>
          <w:szCs w:val="20"/>
        </w:rPr>
        <w:t xml:space="preserve"> respectively</w:t>
      </w:r>
      <w:r w:rsidRPr="002D1C92">
        <w:rPr>
          <w:rFonts w:ascii="Arial" w:hAnsi="Arial" w:cs="Arial"/>
          <w:sz w:val="20"/>
          <w:szCs w:val="20"/>
        </w:rPr>
        <w:t>.</w:t>
      </w:r>
    </w:p>
    <w:p w14:paraId="4CFFDCA6" w14:textId="66743799" w:rsidR="004F1071" w:rsidRPr="002D1C92" w:rsidRDefault="00AD02CF"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 xml:space="preserve">Analysis </w:t>
      </w:r>
      <w:r w:rsidR="004F1071" w:rsidRPr="002D1C92">
        <w:rPr>
          <w:rFonts w:ascii="Arial" w:hAnsi="Arial" w:cs="Arial"/>
          <w:sz w:val="20"/>
          <w:szCs w:val="20"/>
        </w:rPr>
        <w:t xml:space="preserve">of the information provided by </w:t>
      </w:r>
      <w:proofErr w:type="spellStart"/>
      <w:r w:rsidR="004F1071" w:rsidRPr="002D1C92">
        <w:rPr>
          <w:rFonts w:ascii="Arial" w:hAnsi="Arial" w:cs="Arial"/>
          <w:sz w:val="20"/>
          <w:szCs w:val="20"/>
        </w:rPr>
        <w:t>Lycamobile</w:t>
      </w:r>
      <w:proofErr w:type="spellEnd"/>
      <w:r w:rsidR="00077E1D" w:rsidRPr="002D1C92">
        <w:rPr>
          <w:rFonts w:ascii="Arial" w:hAnsi="Arial" w:cs="Arial"/>
          <w:sz w:val="20"/>
          <w:szCs w:val="20"/>
        </w:rPr>
        <w:t xml:space="preserve"> </w:t>
      </w:r>
      <w:r w:rsidR="004F1071" w:rsidRPr="002D1C92">
        <w:rPr>
          <w:rFonts w:ascii="Arial" w:hAnsi="Arial" w:cs="Arial"/>
          <w:sz w:val="20"/>
          <w:szCs w:val="20"/>
        </w:rPr>
        <w:t xml:space="preserve">indicated that </w:t>
      </w:r>
      <w:proofErr w:type="spellStart"/>
      <w:r w:rsidR="004F1071" w:rsidRPr="002D1C92">
        <w:rPr>
          <w:rFonts w:ascii="Arial" w:hAnsi="Arial" w:cs="Arial"/>
          <w:sz w:val="20"/>
          <w:szCs w:val="20"/>
        </w:rPr>
        <w:t>Lycamobile</w:t>
      </w:r>
      <w:proofErr w:type="spellEnd"/>
      <w:r w:rsidR="004F1071" w:rsidRPr="002D1C92">
        <w:rPr>
          <w:rFonts w:ascii="Arial" w:hAnsi="Arial" w:cs="Arial"/>
          <w:sz w:val="20"/>
          <w:szCs w:val="20"/>
        </w:rPr>
        <w:t xml:space="preserve"> may not </w:t>
      </w:r>
      <w:r w:rsidR="00077E1D" w:rsidRPr="002D1C92">
        <w:rPr>
          <w:rFonts w:ascii="Arial" w:hAnsi="Arial" w:cs="Arial"/>
          <w:sz w:val="20"/>
          <w:szCs w:val="20"/>
        </w:rPr>
        <w:t xml:space="preserve">have </w:t>
      </w:r>
      <w:r w:rsidR="004F1071" w:rsidRPr="002D1C92">
        <w:rPr>
          <w:rFonts w:ascii="Arial" w:hAnsi="Arial" w:cs="Arial"/>
          <w:sz w:val="20"/>
          <w:szCs w:val="20"/>
        </w:rPr>
        <w:t>be</w:t>
      </w:r>
      <w:r w:rsidR="00077E1D" w:rsidRPr="002D1C92">
        <w:rPr>
          <w:rFonts w:ascii="Arial" w:hAnsi="Arial" w:cs="Arial"/>
          <w:sz w:val="20"/>
          <w:szCs w:val="20"/>
        </w:rPr>
        <w:t>en</w:t>
      </w:r>
      <w:r w:rsidR="004F1071" w:rsidRPr="002D1C92">
        <w:rPr>
          <w:rFonts w:ascii="Arial" w:hAnsi="Arial" w:cs="Arial"/>
          <w:sz w:val="20"/>
          <w:szCs w:val="20"/>
        </w:rPr>
        <w:t xml:space="preserve"> providing accurate, </w:t>
      </w:r>
      <w:proofErr w:type="gramStart"/>
      <w:r w:rsidR="004F1071" w:rsidRPr="002D1C92">
        <w:rPr>
          <w:rFonts w:ascii="Arial" w:hAnsi="Arial" w:cs="Arial"/>
          <w:sz w:val="20"/>
          <w:szCs w:val="20"/>
        </w:rPr>
        <w:t>complete</w:t>
      </w:r>
      <w:proofErr w:type="gramEnd"/>
      <w:r w:rsidR="004F1071" w:rsidRPr="002D1C92">
        <w:rPr>
          <w:rFonts w:ascii="Arial" w:hAnsi="Arial" w:cs="Arial"/>
          <w:sz w:val="20"/>
          <w:szCs w:val="20"/>
        </w:rPr>
        <w:t xml:space="preserve"> and up to date customer data to the IPND.  </w:t>
      </w:r>
    </w:p>
    <w:p w14:paraId="5FCB1F33" w14:textId="34EC0E6A" w:rsidR="004F1071" w:rsidRPr="002D1C92" w:rsidRDefault="004F1071"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 xml:space="preserve">Accordingly, on 25 September 2019, the ACMA advised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that the scope of the investigation </w:t>
      </w:r>
      <w:r w:rsidR="00CE0601" w:rsidRPr="002D1C92">
        <w:rPr>
          <w:rFonts w:ascii="Arial" w:hAnsi="Arial" w:cs="Arial"/>
          <w:sz w:val="20"/>
          <w:szCs w:val="20"/>
        </w:rPr>
        <w:t xml:space="preserve">had been expanded </w:t>
      </w:r>
      <w:r w:rsidRPr="002D1C92">
        <w:rPr>
          <w:rFonts w:ascii="Arial" w:hAnsi="Arial" w:cs="Arial"/>
          <w:sz w:val="20"/>
          <w:szCs w:val="20"/>
        </w:rPr>
        <w:t xml:space="preserve">to consider whether </w:t>
      </w:r>
      <w:proofErr w:type="spellStart"/>
      <w:r w:rsidR="00CE0601" w:rsidRPr="002D1C92">
        <w:rPr>
          <w:rFonts w:ascii="Arial" w:hAnsi="Arial" w:cs="Arial"/>
          <w:sz w:val="20"/>
          <w:szCs w:val="20"/>
        </w:rPr>
        <w:t>Lycamobile</w:t>
      </w:r>
      <w:proofErr w:type="spellEnd"/>
      <w:r w:rsidR="00CE0601" w:rsidRPr="002D1C92">
        <w:rPr>
          <w:rFonts w:ascii="Arial" w:hAnsi="Arial" w:cs="Arial"/>
          <w:sz w:val="20"/>
          <w:szCs w:val="20"/>
        </w:rPr>
        <w:t xml:space="preserve"> </w:t>
      </w:r>
      <w:r w:rsidRPr="002D1C92">
        <w:rPr>
          <w:rFonts w:ascii="Arial" w:hAnsi="Arial" w:cs="Arial"/>
          <w:sz w:val="20"/>
          <w:szCs w:val="20"/>
        </w:rPr>
        <w:t>had contravened the IPND service provide</w:t>
      </w:r>
      <w:r w:rsidR="0085251A" w:rsidRPr="002D1C92">
        <w:rPr>
          <w:rFonts w:ascii="Arial" w:hAnsi="Arial" w:cs="Arial"/>
          <w:sz w:val="20"/>
          <w:szCs w:val="20"/>
        </w:rPr>
        <w:t>r</w:t>
      </w:r>
      <w:r w:rsidRPr="002D1C92">
        <w:rPr>
          <w:rFonts w:ascii="Arial" w:hAnsi="Arial" w:cs="Arial"/>
          <w:sz w:val="20"/>
          <w:szCs w:val="20"/>
        </w:rPr>
        <w:t xml:space="preserve"> rule in </w:t>
      </w:r>
      <w:r w:rsidR="00F96585" w:rsidRPr="002D1C92">
        <w:rPr>
          <w:rFonts w:ascii="Arial" w:hAnsi="Arial" w:cs="Arial"/>
          <w:sz w:val="20"/>
          <w:szCs w:val="20"/>
        </w:rPr>
        <w:t>sub</w:t>
      </w:r>
      <w:r w:rsidRPr="002D1C92">
        <w:rPr>
          <w:rFonts w:ascii="Arial" w:hAnsi="Arial" w:cs="Arial"/>
          <w:sz w:val="20"/>
          <w:szCs w:val="20"/>
        </w:rPr>
        <w:t>clause 10</w:t>
      </w:r>
      <w:r w:rsidR="00F96585" w:rsidRPr="002D1C92">
        <w:rPr>
          <w:rFonts w:ascii="Arial" w:hAnsi="Arial" w:cs="Arial"/>
          <w:sz w:val="20"/>
          <w:szCs w:val="20"/>
        </w:rPr>
        <w:t>(2) of Part 4</w:t>
      </w:r>
      <w:r w:rsidRPr="002D1C92">
        <w:rPr>
          <w:rFonts w:ascii="Arial" w:hAnsi="Arial" w:cs="Arial"/>
          <w:sz w:val="20"/>
          <w:szCs w:val="20"/>
        </w:rPr>
        <w:t xml:space="preserve"> of Schedule 2 to the Act and the</w:t>
      </w:r>
      <w:r w:rsidR="00815D0E" w:rsidRPr="002D1C92">
        <w:rPr>
          <w:rFonts w:ascii="Arial" w:hAnsi="Arial" w:cs="Arial"/>
          <w:sz w:val="20"/>
          <w:szCs w:val="20"/>
        </w:rPr>
        <w:t xml:space="preserve"> 2017</w:t>
      </w:r>
      <w:r w:rsidRPr="002D1C92">
        <w:rPr>
          <w:rFonts w:ascii="Arial" w:hAnsi="Arial" w:cs="Arial"/>
          <w:sz w:val="20"/>
          <w:szCs w:val="20"/>
        </w:rPr>
        <w:t xml:space="preserve"> IPND Code in relation to obligations to provide relevant PNCD to the IPND Manager.</w:t>
      </w:r>
    </w:p>
    <w:p w14:paraId="262E7E0E" w14:textId="0E68CD6A" w:rsidR="00D07B01" w:rsidRPr="002D1C92" w:rsidRDefault="00625645" w:rsidP="002F09D2">
      <w:pPr>
        <w:pStyle w:val="ACMATableText"/>
        <w:numPr>
          <w:ilvl w:val="0"/>
          <w:numId w:val="4"/>
        </w:numPr>
        <w:tabs>
          <w:tab w:val="left" w:pos="5245"/>
        </w:tabs>
        <w:spacing w:before="80" w:after="120"/>
        <w:ind w:left="426"/>
        <w:rPr>
          <w:rFonts w:cs="Arial"/>
        </w:rPr>
      </w:pPr>
      <w:r w:rsidRPr="002D1C92">
        <w:rPr>
          <w:rFonts w:cs="Arial"/>
        </w:rPr>
        <w:t xml:space="preserve">A </w:t>
      </w:r>
      <w:r w:rsidR="007501B9" w:rsidRPr="002D1C92">
        <w:rPr>
          <w:rFonts w:cs="Arial"/>
        </w:rPr>
        <w:t>P</w:t>
      </w:r>
      <w:r w:rsidR="00B2770D" w:rsidRPr="002D1C92">
        <w:rPr>
          <w:rFonts w:cs="Arial"/>
        </w:rPr>
        <w:t xml:space="preserve">reliminary </w:t>
      </w:r>
      <w:r w:rsidR="007501B9" w:rsidRPr="002D1C92">
        <w:rPr>
          <w:rFonts w:cs="Arial"/>
        </w:rPr>
        <w:t>I</w:t>
      </w:r>
      <w:r w:rsidR="00B2770D" w:rsidRPr="002D1C92">
        <w:rPr>
          <w:rFonts w:cs="Arial"/>
        </w:rPr>
        <w:t xml:space="preserve">nvestigation </w:t>
      </w:r>
      <w:r w:rsidR="007501B9" w:rsidRPr="002D1C92">
        <w:rPr>
          <w:rFonts w:cs="Arial"/>
        </w:rPr>
        <w:t>R</w:t>
      </w:r>
      <w:r w:rsidR="00B2770D" w:rsidRPr="002D1C92">
        <w:rPr>
          <w:rFonts w:cs="Arial"/>
        </w:rPr>
        <w:t xml:space="preserve">eport was sent to </w:t>
      </w:r>
      <w:proofErr w:type="spellStart"/>
      <w:r w:rsidR="00B2770D" w:rsidRPr="002D1C92">
        <w:rPr>
          <w:rFonts w:cs="Arial"/>
        </w:rPr>
        <w:t>Lycamobile</w:t>
      </w:r>
      <w:proofErr w:type="spellEnd"/>
      <w:r w:rsidR="00B2770D" w:rsidRPr="002D1C92">
        <w:rPr>
          <w:rFonts w:cs="Arial"/>
        </w:rPr>
        <w:t xml:space="preserve"> on </w:t>
      </w:r>
      <w:r w:rsidR="00872C16" w:rsidRPr="002D1C92">
        <w:rPr>
          <w:rFonts w:cs="Arial"/>
        </w:rPr>
        <w:t>19 November 2019</w:t>
      </w:r>
      <w:r w:rsidR="00B2770D" w:rsidRPr="002D1C92">
        <w:rPr>
          <w:rFonts w:cs="Arial"/>
        </w:rPr>
        <w:t xml:space="preserve"> and </w:t>
      </w:r>
      <w:proofErr w:type="spellStart"/>
      <w:r w:rsidR="00B2770D" w:rsidRPr="002D1C92">
        <w:rPr>
          <w:rFonts w:cs="Arial"/>
        </w:rPr>
        <w:t>Lycamobile</w:t>
      </w:r>
      <w:proofErr w:type="spellEnd"/>
      <w:r w:rsidR="00B2770D" w:rsidRPr="002D1C92">
        <w:rPr>
          <w:rFonts w:cs="Arial"/>
        </w:rPr>
        <w:t xml:space="preserve"> was invited to provide a submission to the ACMA on the findings contained in that report. </w:t>
      </w:r>
      <w:proofErr w:type="spellStart"/>
      <w:r w:rsidR="00B2770D" w:rsidRPr="002D1C92">
        <w:rPr>
          <w:rFonts w:cs="Arial"/>
        </w:rPr>
        <w:t>Lycamobile</w:t>
      </w:r>
      <w:proofErr w:type="spellEnd"/>
      <w:r w:rsidR="00B2770D" w:rsidRPr="002D1C92">
        <w:rPr>
          <w:rFonts w:cs="Arial"/>
        </w:rPr>
        <w:t xml:space="preserve"> provided its submission to the ACMA on </w:t>
      </w:r>
      <w:r w:rsidR="001564B5" w:rsidRPr="002D1C92">
        <w:rPr>
          <w:rFonts w:cs="Arial"/>
        </w:rPr>
        <w:t xml:space="preserve">5 </w:t>
      </w:r>
      <w:r w:rsidR="006647FF" w:rsidRPr="002D1C92">
        <w:rPr>
          <w:rFonts w:cs="Arial"/>
        </w:rPr>
        <w:t>December 2019.</w:t>
      </w:r>
      <w:r w:rsidR="00B2770D" w:rsidRPr="002D1C92">
        <w:rPr>
          <w:rFonts w:cs="Arial"/>
        </w:rPr>
        <w:t xml:space="preserve"> </w:t>
      </w:r>
    </w:p>
    <w:p w14:paraId="37F7D0FA" w14:textId="7A399F59" w:rsidR="001564B5" w:rsidRPr="002D1C92" w:rsidRDefault="00C24717" w:rsidP="002F09D2">
      <w:pPr>
        <w:pStyle w:val="ListParagraph"/>
        <w:numPr>
          <w:ilvl w:val="0"/>
          <w:numId w:val="4"/>
        </w:numPr>
        <w:spacing w:line="240" w:lineRule="auto"/>
        <w:ind w:left="426" w:hanging="357"/>
        <w:contextualSpacing w:val="0"/>
        <w:rPr>
          <w:rFonts w:ascii="Arial" w:hAnsi="Arial" w:cs="Arial"/>
          <w:sz w:val="20"/>
          <w:szCs w:val="20"/>
        </w:rPr>
      </w:pPr>
      <w:proofErr w:type="spellStart"/>
      <w:r w:rsidRPr="002D1C92">
        <w:rPr>
          <w:rFonts w:ascii="Arial" w:hAnsi="Arial" w:cs="Arial"/>
          <w:sz w:val="20"/>
          <w:szCs w:val="20"/>
        </w:rPr>
        <w:t>Lycamobile’s</w:t>
      </w:r>
      <w:proofErr w:type="spellEnd"/>
      <w:r w:rsidRPr="002D1C92">
        <w:rPr>
          <w:rFonts w:ascii="Arial" w:hAnsi="Arial" w:cs="Arial"/>
          <w:sz w:val="20"/>
          <w:szCs w:val="20"/>
        </w:rPr>
        <w:t xml:space="preserve"> submission indicated </w:t>
      </w:r>
      <w:r w:rsidR="00AD02CF" w:rsidRPr="002D1C92">
        <w:rPr>
          <w:rFonts w:ascii="Arial" w:hAnsi="Arial" w:cs="Arial"/>
          <w:sz w:val="20"/>
          <w:szCs w:val="20"/>
        </w:rPr>
        <w:t xml:space="preserve">potential </w:t>
      </w:r>
      <w:r w:rsidRPr="002D1C92">
        <w:rPr>
          <w:rFonts w:ascii="Arial" w:hAnsi="Arial" w:cs="Arial"/>
          <w:sz w:val="20"/>
          <w:szCs w:val="20"/>
        </w:rPr>
        <w:t xml:space="preserve">contraventions of the IPND service provider rule in </w:t>
      </w:r>
      <w:r w:rsidR="00AF39B0" w:rsidRPr="002D1C92">
        <w:rPr>
          <w:rFonts w:ascii="Arial" w:hAnsi="Arial" w:cs="Arial"/>
          <w:sz w:val="20"/>
          <w:szCs w:val="20"/>
        </w:rPr>
        <w:t>sub</w:t>
      </w:r>
      <w:r w:rsidRPr="002D1C92">
        <w:rPr>
          <w:rFonts w:ascii="Arial" w:hAnsi="Arial" w:cs="Arial"/>
          <w:sz w:val="20"/>
          <w:szCs w:val="20"/>
        </w:rPr>
        <w:t>clause 10</w:t>
      </w:r>
      <w:r w:rsidR="00AF39B0" w:rsidRPr="002D1C92">
        <w:rPr>
          <w:rFonts w:ascii="Arial" w:hAnsi="Arial" w:cs="Arial"/>
          <w:sz w:val="20"/>
          <w:szCs w:val="20"/>
        </w:rPr>
        <w:t>(2)</w:t>
      </w:r>
      <w:r w:rsidRPr="002D1C92">
        <w:rPr>
          <w:rFonts w:ascii="Arial" w:hAnsi="Arial" w:cs="Arial"/>
          <w:sz w:val="20"/>
          <w:szCs w:val="20"/>
        </w:rPr>
        <w:t xml:space="preserve"> of Part 4 of Schedule 2 to the Act and the </w:t>
      </w:r>
      <w:r w:rsidR="00815D0E" w:rsidRPr="002D1C92">
        <w:rPr>
          <w:rFonts w:ascii="Arial" w:hAnsi="Arial" w:cs="Arial"/>
          <w:sz w:val="20"/>
          <w:szCs w:val="20"/>
        </w:rPr>
        <w:t xml:space="preserve">2017 </w:t>
      </w:r>
      <w:r w:rsidRPr="002D1C92">
        <w:rPr>
          <w:rFonts w:ascii="Arial" w:hAnsi="Arial" w:cs="Arial"/>
          <w:sz w:val="20"/>
          <w:szCs w:val="20"/>
        </w:rPr>
        <w:t xml:space="preserve">IPND Code </w:t>
      </w:r>
      <w:r w:rsidR="00AD02CF" w:rsidRPr="002D1C92">
        <w:rPr>
          <w:rFonts w:ascii="Arial" w:hAnsi="Arial" w:cs="Arial"/>
          <w:sz w:val="20"/>
          <w:szCs w:val="20"/>
        </w:rPr>
        <w:t xml:space="preserve">that were </w:t>
      </w:r>
      <w:r w:rsidRPr="002D1C92">
        <w:rPr>
          <w:rFonts w:ascii="Arial" w:hAnsi="Arial" w:cs="Arial"/>
          <w:sz w:val="20"/>
          <w:szCs w:val="20"/>
        </w:rPr>
        <w:t xml:space="preserve">broader than initially identified in the ACMA's </w:t>
      </w:r>
      <w:r w:rsidR="00F05090" w:rsidRPr="002D1C92">
        <w:rPr>
          <w:rFonts w:ascii="Arial" w:hAnsi="Arial" w:cs="Arial"/>
          <w:sz w:val="20"/>
          <w:szCs w:val="20"/>
        </w:rPr>
        <w:t>P</w:t>
      </w:r>
      <w:r w:rsidRPr="002D1C92">
        <w:rPr>
          <w:rFonts w:ascii="Arial" w:hAnsi="Arial" w:cs="Arial"/>
          <w:sz w:val="20"/>
          <w:szCs w:val="20"/>
        </w:rPr>
        <w:t xml:space="preserve">reliminary </w:t>
      </w:r>
      <w:r w:rsidR="00F05090" w:rsidRPr="002D1C92">
        <w:rPr>
          <w:rFonts w:ascii="Arial" w:hAnsi="Arial" w:cs="Arial"/>
          <w:sz w:val="20"/>
          <w:szCs w:val="20"/>
        </w:rPr>
        <w:t>I</w:t>
      </w:r>
      <w:r w:rsidRPr="002D1C92">
        <w:rPr>
          <w:rFonts w:ascii="Arial" w:hAnsi="Arial" w:cs="Arial"/>
          <w:sz w:val="20"/>
          <w:szCs w:val="20"/>
        </w:rPr>
        <w:t xml:space="preserve">nvestigation </w:t>
      </w:r>
      <w:r w:rsidR="00F05090" w:rsidRPr="002D1C92">
        <w:rPr>
          <w:rFonts w:ascii="Arial" w:hAnsi="Arial" w:cs="Arial"/>
          <w:sz w:val="20"/>
          <w:szCs w:val="20"/>
        </w:rPr>
        <w:t>R</w:t>
      </w:r>
      <w:r w:rsidRPr="002D1C92">
        <w:rPr>
          <w:rFonts w:ascii="Arial" w:hAnsi="Arial" w:cs="Arial"/>
          <w:sz w:val="20"/>
          <w:szCs w:val="20"/>
        </w:rPr>
        <w:t xml:space="preserve">eport. </w:t>
      </w:r>
    </w:p>
    <w:p w14:paraId="587F792F" w14:textId="0A44C984" w:rsidR="00A94E5F" w:rsidRPr="002D1C92" w:rsidRDefault="00A94E5F"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 xml:space="preserve">The ACMA consequently gave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another </w:t>
      </w:r>
      <w:proofErr w:type="gramStart"/>
      <w:r w:rsidRPr="002D1C92">
        <w:rPr>
          <w:rFonts w:ascii="Arial" w:hAnsi="Arial" w:cs="Arial"/>
          <w:sz w:val="20"/>
          <w:szCs w:val="20"/>
        </w:rPr>
        <w:t>notice</w:t>
      </w:r>
      <w:proofErr w:type="gramEnd"/>
      <w:r w:rsidRPr="002D1C92">
        <w:rPr>
          <w:rFonts w:ascii="Arial" w:hAnsi="Arial" w:cs="Arial"/>
          <w:sz w:val="20"/>
          <w:szCs w:val="20"/>
        </w:rPr>
        <w:t xml:space="preserve"> under section 521 of the Act (the </w:t>
      </w:r>
      <w:r w:rsidRPr="002D1C92">
        <w:rPr>
          <w:rFonts w:ascii="Arial" w:hAnsi="Arial" w:cs="Arial"/>
          <w:b/>
          <w:bCs/>
          <w:sz w:val="20"/>
          <w:szCs w:val="20"/>
        </w:rPr>
        <w:t xml:space="preserve">second </w:t>
      </w:r>
      <w:r w:rsidR="00021DC9" w:rsidRPr="002D1C92">
        <w:rPr>
          <w:rFonts w:ascii="Arial" w:hAnsi="Arial" w:cs="Arial"/>
          <w:b/>
          <w:bCs/>
          <w:sz w:val="20"/>
          <w:szCs w:val="20"/>
        </w:rPr>
        <w:t>n</w:t>
      </w:r>
      <w:r w:rsidRPr="002D1C92">
        <w:rPr>
          <w:rFonts w:ascii="Arial" w:hAnsi="Arial" w:cs="Arial"/>
          <w:b/>
          <w:bCs/>
          <w:sz w:val="20"/>
          <w:szCs w:val="20"/>
        </w:rPr>
        <w:t>otice</w:t>
      </w:r>
      <w:r w:rsidRPr="002D1C92">
        <w:rPr>
          <w:rFonts w:ascii="Arial" w:hAnsi="Arial" w:cs="Arial"/>
          <w:sz w:val="20"/>
          <w:szCs w:val="20"/>
        </w:rPr>
        <w:t>) on 21 January 2020, requiring it to</w:t>
      </w:r>
      <w:r w:rsidR="00B65114" w:rsidRPr="002D1C92">
        <w:rPr>
          <w:rFonts w:ascii="Arial" w:hAnsi="Arial" w:cs="Arial"/>
          <w:sz w:val="20"/>
          <w:szCs w:val="20"/>
        </w:rPr>
        <w:t xml:space="preserve"> produce further information and documents based upon</w:t>
      </w:r>
      <w:r w:rsidRPr="002D1C92">
        <w:rPr>
          <w:rFonts w:ascii="Arial" w:hAnsi="Arial" w:cs="Arial"/>
          <w:sz w:val="20"/>
          <w:szCs w:val="20"/>
        </w:rPr>
        <w:t xml:space="preserve"> a comparison of its </w:t>
      </w:r>
      <w:r w:rsidR="003845CC" w:rsidRPr="002D1C92">
        <w:rPr>
          <w:rFonts w:ascii="Arial" w:hAnsi="Arial" w:cs="Arial"/>
          <w:sz w:val="20"/>
          <w:szCs w:val="20"/>
        </w:rPr>
        <w:t>Customer Systems</w:t>
      </w:r>
      <w:r w:rsidRPr="002D1C92">
        <w:rPr>
          <w:rFonts w:ascii="Arial" w:hAnsi="Arial" w:cs="Arial"/>
          <w:sz w:val="20"/>
          <w:szCs w:val="20"/>
        </w:rPr>
        <w:t xml:space="preserve"> against all records for its services in the IPND. The second notice also sought </w:t>
      </w:r>
      <w:r w:rsidR="009479E3" w:rsidRPr="002D1C92">
        <w:rPr>
          <w:rFonts w:ascii="Arial" w:hAnsi="Arial" w:cs="Arial"/>
          <w:sz w:val="20"/>
          <w:szCs w:val="20"/>
        </w:rPr>
        <w:t>further</w:t>
      </w:r>
      <w:r w:rsidRPr="002D1C92">
        <w:rPr>
          <w:rFonts w:ascii="Arial" w:hAnsi="Arial" w:cs="Arial"/>
          <w:sz w:val="20"/>
          <w:szCs w:val="20"/>
        </w:rPr>
        <w:t xml:space="preserve"> information relevant to </w:t>
      </w:r>
      <w:proofErr w:type="spellStart"/>
      <w:r w:rsidRPr="002D1C92">
        <w:rPr>
          <w:rFonts w:ascii="Arial" w:hAnsi="Arial" w:cs="Arial"/>
          <w:sz w:val="20"/>
          <w:szCs w:val="20"/>
        </w:rPr>
        <w:t>Lycamobile's</w:t>
      </w:r>
      <w:proofErr w:type="spellEnd"/>
      <w:r w:rsidRPr="002D1C92">
        <w:rPr>
          <w:rFonts w:ascii="Arial" w:hAnsi="Arial" w:cs="Arial"/>
          <w:sz w:val="20"/>
          <w:szCs w:val="20"/>
        </w:rPr>
        <w:t xml:space="preserve"> submission </w:t>
      </w:r>
      <w:r w:rsidR="00AD02CF" w:rsidRPr="002D1C92">
        <w:rPr>
          <w:rFonts w:ascii="Arial" w:hAnsi="Arial" w:cs="Arial"/>
          <w:sz w:val="20"/>
          <w:szCs w:val="20"/>
        </w:rPr>
        <w:t xml:space="preserve">to </w:t>
      </w:r>
      <w:r w:rsidRPr="002D1C92">
        <w:rPr>
          <w:rFonts w:ascii="Arial" w:hAnsi="Arial" w:cs="Arial"/>
          <w:sz w:val="20"/>
          <w:szCs w:val="20"/>
        </w:rPr>
        <w:t>the ACMA's preliminary findings in respect of</w:t>
      </w:r>
      <w:r w:rsidR="00027C64" w:rsidRPr="002D1C92">
        <w:rPr>
          <w:rFonts w:ascii="Arial" w:hAnsi="Arial" w:cs="Arial"/>
          <w:sz w:val="20"/>
          <w:szCs w:val="20"/>
        </w:rPr>
        <w:t xml:space="preserve"> alleged contraventions of</w:t>
      </w:r>
      <w:r w:rsidRPr="002D1C92">
        <w:rPr>
          <w:rFonts w:ascii="Arial" w:hAnsi="Arial" w:cs="Arial"/>
          <w:sz w:val="20"/>
          <w:szCs w:val="20"/>
        </w:rPr>
        <w:t xml:space="preserve"> section 4.3 of the Prepaid Determination. </w:t>
      </w:r>
    </w:p>
    <w:p w14:paraId="40B81A3F" w14:textId="7FC7F068" w:rsidR="00021DC9" w:rsidRPr="008C1F33" w:rsidRDefault="00A94E5F" w:rsidP="002F09D2">
      <w:pPr>
        <w:pStyle w:val="ListParagraph"/>
        <w:numPr>
          <w:ilvl w:val="0"/>
          <w:numId w:val="4"/>
        </w:numPr>
        <w:spacing w:line="240" w:lineRule="auto"/>
        <w:ind w:left="426" w:hanging="357"/>
        <w:contextualSpacing w:val="0"/>
        <w:rPr>
          <w:rFonts w:ascii="Arial" w:hAnsi="Arial" w:cs="Arial"/>
          <w:sz w:val="20"/>
          <w:szCs w:val="20"/>
        </w:rPr>
      </w:pPr>
      <w:proofErr w:type="spellStart"/>
      <w:r w:rsidRPr="008C1F33">
        <w:rPr>
          <w:rFonts w:ascii="Arial" w:hAnsi="Arial" w:cs="Arial"/>
          <w:sz w:val="20"/>
          <w:szCs w:val="20"/>
        </w:rPr>
        <w:t>Lycamobile</w:t>
      </w:r>
      <w:proofErr w:type="spellEnd"/>
      <w:r w:rsidRPr="008C1F33">
        <w:rPr>
          <w:rFonts w:ascii="Arial" w:hAnsi="Arial" w:cs="Arial"/>
          <w:sz w:val="20"/>
          <w:szCs w:val="20"/>
        </w:rPr>
        <w:t xml:space="preserve"> provided </w:t>
      </w:r>
      <w:r w:rsidR="00D80F3D" w:rsidRPr="008C1F33">
        <w:rPr>
          <w:rFonts w:ascii="Arial" w:hAnsi="Arial" w:cs="Arial"/>
          <w:sz w:val="20"/>
          <w:szCs w:val="20"/>
        </w:rPr>
        <w:t xml:space="preserve">further </w:t>
      </w:r>
      <w:r w:rsidR="005E05B0" w:rsidRPr="008C1F33">
        <w:rPr>
          <w:rFonts w:ascii="Arial" w:hAnsi="Arial" w:cs="Arial"/>
          <w:sz w:val="20"/>
          <w:szCs w:val="20"/>
        </w:rPr>
        <w:t xml:space="preserve">information </w:t>
      </w:r>
      <w:r w:rsidRPr="008C1F33">
        <w:rPr>
          <w:rFonts w:ascii="Arial" w:hAnsi="Arial" w:cs="Arial"/>
          <w:sz w:val="20"/>
          <w:szCs w:val="20"/>
        </w:rPr>
        <w:t xml:space="preserve">to the ACMA </w:t>
      </w:r>
      <w:r w:rsidR="005E05B0" w:rsidRPr="008C1F33">
        <w:rPr>
          <w:rFonts w:ascii="Arial" w:hAnsi="Arial" w:cs="Arial"/>
          <w:sz w:val="20"/>
          <w:szCs w:val="20"/>
        </w:rPr>
        <w:t xml:space="preserve">in response to the second notice </w:t>
      </w:r>
      <w:r w:rsidRPr="008C1F33">
        <w:rPr>
          <w:rFonts w:ascii="Arial" w:hAnsi="Arial" w:cs="Arial"/>
          <w:sz w:val="20"/>
          <w:szCs w:val="20"/>
        </w:rPr>
        <w:t xml:space="preserve">in multiple communications between 13 February 2020 and </w:t>
      </w:r>
      <w:r w:rsidR="00F05090" w:rsidRPr="008C1F33">
        <w:rPr>
          <w:rFonts w:ascii="Arial" w:hAnsi="Arial" w:cs="Arial"/>
          <w:sz w:val="20"/>
          <w:szCs w:val="20"/>
        </w:rPr>
        <w:t>8 May</w:t>
      </w:r>
      <w:r w:rsidRPr="008C1F33">
        <w:rPr>
          <w:rFonts w:ascii="Arial" w:hAnsi="Arial" w:cs="Arial"/>
          <w:sz w:val="20"/>
          <w:szCs w:val="20"/>
        </w:rPr>
        <w:t xml:space="preserve"> 2020. </w:t>
      </w:r>
    </w:p>
    <w:p w14:paraId="4EB05EF8" w14:textId="524B9969" w:rsidR="00021DC9" w:rsidRPr="002D1C92" w:rsidRDefault="008E60EB"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 xml:space="preserve">A </w:t>
      </w:r>
      <w:r w:rsidR="00021DC9" w:rsidRPr="002D1C92">
        <w:rPr>
          <w:rFonts w:ascii="Arial" w:hAnsi="Arial" w:cs="Arial"/>
          <w:sz w:val="20"/>
          <w:szCs w:val="20"/>
        </w:rPr>
        <w:t xml:space="preserve">Preliminary </w:t>
      </w:r>
      <w:r w:rsidR="00E17FB9" w:rsidRPr="002D1C92">
        <w:rPr>
          <w:rFonts w:ascii="Arial" w:hAnsi="Arial" w:cs="Arial"/>
          <w:sz w:val="20"/>
          <w:szCs w:val="20"/>
        </w:rPr>
        <w:t xml:space="preserve">Investigation Report – Additional </w:t>
      </w:r>
      <w:r w:rsidR="00021DC9" w:rsidRPr="002D1C92">
        <w:rPr>
          <w:rFonts w:ascii="Arial" w:hAnsi="Arial" w:cs="Arial"/>
          <w:sz w:val="20"/>
          <w:szCs w:val="20"/>
        </w:rPr>
        <w:t xml:space="preserve">Findings </w:t>
      </w:r>
      <w:r w:rsidR="006177B5" w:rsidRPr="002D1C92">
        <w:rPr>
          <w:rFonts w:ascii="Arial" w:hAnsi="Arial" w:cs="Arial"/>
          <w:sz w:val="20"/>
          <w:szCs w:val="20"/>
        </w:rPr>
        <w:t>report (</w:t>
      </w:r>
      <w:r w:rsidR="00B73B90" w:rsidRPr="002D1C92">
        <w:rPr>
          <w:rFonts w:ascii="Arial" w:hAnsi="Arial" w:cs="Arial"/>
          <w:b/>
          <w:bCs/>
          <w:sz w:val="20"/>
          <w:szCs w:val="20"/>
        </w:rPr>
        <w:t>A</w:t>
      </w:r>
      <w:r w:rsidR="006177B5" w:rsidRPr="002D1C92">
        <w:rPr>
          <w:rFonts w:ascii="Arial" w:hAnsi="Arial" w:cs="Arial"/>
          <w:b/>
          <w:bCs/>
          <w:sz w:val="20"/>
          <w:szCs w:val="20"/>
        </w:rPr>
        <w:t xml:space="preserve">dditional </w:t>
      </w:r>
      <w:r w:rsidR="00301147" w:rsidRPr="002D1C92">
        <w:rPr>
          <w:rFonts w:ascii="Arial" w:hAnsi="Arial" w:cs="Arial"/>
          <w:b/>
          <w:bCs/>
          <w:sz w:val="20"/>
          <w:szCs w:val="20"/>
        </w:rPr>
        <w:t xml:space="preserve">Preliminary </w:t>
      </w:r>
      <w:r w:rsidR="00B73B90" w:rsidRPr="002D1C92">
        <w:rPr>
          <w:rFonts w:ascii="Arial" w:hAnsi="Arial" w:cs="Arial"/>
          <w:b/>
          <w:bCs/>
          <w:sz w:val="20"/>
          <w:szCs w:val="20"/>
        </w:rPr>
        <w:t>F</w:t>
      </w:r>
      <w:r w:rsidR="006177B5" w:rsidRPr="002D1C92">
        <w:rPr>
          <w:rFonts w:ascii="Arial" w:hAnsi="Arial" w:cs="Arial"/>
          <w:b/>
          <w:bCs/>
          <w:sz w:val="20"/>
          <w:szCs w:val="20"/>
        </w:rPr>
        <w:t>indings</w:t>
      </w:r>
      <w:r w:rsidR="00B73B90" w:rsidRPr="002D1C92">
        <w:rPr>
          <w:rFonts w:ascii="Arial" w:hAnsi="Arial" w:cs="Arial"/>
          <w:b/>
          <w:bCs/>
          <w:sz w:val="20"/>
          <w:szCs w:val="20"/>
        </w:rPr>
        <w:t xml:space="preserve"> R</w:t>
      </w:r>
      <w:r w:rsidR="00B16AC2" w:rsidRPr="002D1C92">
        <w:rPr>
          <w:rFonts w:ascii="Arial" w:hAnsi="Arial" w:cs="Arial"/>
          <w:b/>
          <w:bCs/>
          <w:sz w:val="20"/>
          <w:szCs w:val="20"/>
        </w:rPr>
        <w:t>ep</w:t>
      </w:r>
      <w:r w:rsidR="00B73B90" w:rsidRPr="002D1C92">
        <w:rPr>
          <w:rFonts w:ascii="Arial" w:hAnsi="Arial" w:cs="Arial"/>
          <w:b/>
          <w:bCs/>
          <w:sz w:val="20"/>
          <w:szCs w:val="20"/>
        </w:rPr>
        <w:t>ort</w:t>
      </w:r>
      <w:r w:rsidR="006177B5" w:rsidRPr="002D1C92">
        <w:rPr>
          <w:rFonts w:ascii="Arial" w:hAnsi="Arial" w:cs="Arial"/>
          <w:sz w:val="20"/>
          <w:szCs w:val="20"/>
        </w:rPr>
        <w:t xml:space="preserve">) </w:t>
      </w:r>
      <w:r w:rsidR="00021DC9" w:rsidRPr="002D1C92">
        <w:rPr>
          <w:rFonts w:ascii="Arial" w:hAnsi="Arial" w:cs="Arial"/>
          <w:sz w:val="20"/>
          <w:szCs w:val="20"/>
        </w:rPr>
        <w:t>w</w:t>
      </w:r>
      <w:r w:rsidR="00617FB0" w:rsidRPr="002D1C92">
        <w:rPr>
          <w:rFonts w:ascii="Arial" w:hAnsi="Arial" w:cs="Arial"/>
          <w:sz w:val="20"/>
          <w:szCs w:val="20"/>
        </w:rPr>
        <w:t>as</w:t>
      </w:r>
      <w:r w:rsidR="00021DC9" w:rsidRPr="002D1C92">
        <w:rPr>
          <w:rFonts w:ascii="Arial" w:hAnsi="Arial" w:cs="Arial"/>
          <w:sz w:val="20"/>
          <w:szCs w:val="20"/>
        </w:rPr>
        <w:t xml:space="preserve"> sent to </w:t>
      </w:r>
      <w:proofErr w:type="spellStart"/>
      <w:r w:rsidR="00021DC9" w:rsidRPr="002D1C92">
        <w:rPr>
          <w:rFonts w:ascii="Arial" w:hAnsi="Arial" w:cs="Arial"/>
          <w:sz w:val="20"/>
          <w:szCs w:val="20"/>
        </w:rPr>
        <w:t>Lycamobile</w:t>
      </w:r>
      <w:proofErr w:type="spellEnd"/>
      <w:r w:rsidR="00021DC9" w:rsidRPr="002D1C92">
        <w:rPr>
          <w:rFonts w:ascii="Arial" w:hAnsi="Arial" w:cs="Arial"/>
          <w:sz w:val="20"/>
          <w:szCs w:val="20"/>
        </w:rPr>
        <w:t xml:space="preserve"> on 26 April 2020 and </w:t>
      </w:r>
      <w:proofErr w:type="spellStart"/>
      <w:r w:rsidR="00021DC9" w:rsidRPr="002D1C92">
        <w:rPr>
          <w:rFonts w:ascii="Arial" w:hAnsi="Arial" w:cs="Arial"/>
          <w:sz w:val="20"/>
          <w:szCs w:val="20"/>
        </w:rPr>
        <w:t>Lycamobile</w:t>
      </w:r>
      <w:proofErr w:type="spellEnd"/>
      <w:r w:rsidR="00021DC9" w:rsidRPr="002D1C92">
        <w:rPr>
          <w:rFonts w:ascii="Arial" w:hAnsi="Arial" w:cs="Arial"/>
          <w:sz w:val="20"/>
          <w:szCs w:val="20"/>
        </w:rPr>
        <w:t xml:space="preserve"> was invited to provide a submission to the ACMA on the findings contained in that report. </w:t>
      </w:r>
    </w:p>
    <w:p w14:paraId="150CAE4C" w14:textId="56199C53" w:rsidR="00942B7C" w:rsidRPr="002D1C92" w:rsidRDefault="00942B7C" w:rsidP="002F09D2">
      <w:pPr>
        <w:pStyle w:val="ListParagraph"/>
        <w:numPr>
          <w:ilvl w:val="0"/>
          <w:numId w:val="4"/>
        </w:numPr>
        <w:spacing w:line="240" w:lineRule="auto"/>
        <w:ind w:left="426" w:hanging="357"/>
        <w:contextualSpacing w:val="0"/>
        <w:rPr>
          <w:rFonts w:ascii="Arial" w:hAnsi="Arial" w:cs="Arial"/>
          <w:sz w:val="20"/>
          <w:szCs w:val="20"/>
        </w:rPr>
      </w:pP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did not provide a submission to the ACMA in relation to the </w:t>
      </w:r>
      <w:r w:rsidR="00117498" w:rsidRPr="002D1C92">
        <w:rPr>
          <w:rFonts w:ascii="Arial" w:hAnsi="Arial" w:cs="Arial"/>
          <w:sz w:val="20"/>
          <w:szCs w:val="20"/>
        </w:rPr>
        <w:t>A</w:t>
      </w:r>
      <w:r w:rsidRPr="002D1C92">
        <w:rPr>
          <w:rFonts w:ascii="Arial" w:hAnsi="Arial" w:cs="Arial"/>
          <w:sz w:val="20"/>
          <w:szCs w:val="20"/>
        </w:rPr>
        <w:t xml:space="preserve">dditional </w:t>
      </w:r>
      <w:r w:rsidR="0076095D" w:rsidRPr="002D1C92">
        <w:rPr>
          <w:rFonts w:ascii="Arial" w:hAnsi="Arial" w:cs="Arial"/>
          <w:sz w:val="20"/>
          <w:szCs w:val="20"/>
        </w:rPr>
        <w:t>P</w:t>
      </w:r>
      <w:r w:rsidRPr="002D1C92">
        <w:rPr>
          <w:rFonts w:ascii="Arial" w:hAnsi="Arial" w:cs="Arial"/>
          <w:sz w:val="20"/>
          <w:szCs w:val="20"/>
        </w:rPr>
        <w:t xml:space="preserve">reliminary </w:t>
      </w:r>
      <w:r w:rsidR="00117498" w:rsidRPr="002D1C92">
        <w:rPr>
          <w:rFonts w:ascii="Arial" w:hAnsi="Arial" w:cs="Arial"/>
          <w:sz w:val="20"/>
          <w:szCs w:val="20"/>
        </w:rPr>
        <w:t>F</w:t>
      </w:r>
      <w:r w:rsidRPr="002D1C92">
        <w:rPr>
          <w:rFonts w:ascii="Arial" w:hAnsi="Arial" w:cs="Arial"/>
          <w:sz w:val="20"/>
          <w:szCs w:val="20"/>
        </w:rPr>
        <w:t>indings</w:t>
      </w:r>
      <w:r w:rsidR="00117498" w:rsidRPr="002D1C92">
        <w:rPr>
          <w:rFonts w:ascii="Arial" w:hAnsi="Arial" w:cs="Arial"/>
          <w:sz w:val="20"/>
          <w:szCs w:val="20"/>
        </w:rPr>
        <w:t xml:space="preserve"> Report</w:t>
      </w:r>
      <w:r w:rsidRPr="002D1C92">
        <w:rPr>
          <w:rFonts w:ascii="Arial" w:hAnsi="Arial" w:cs="Arial"/>
          <w:sz w:val="20"/>
          <w:szCs w:val="20"/>
        </w:rPr>
        <w:t>.</w:t>
      </w:r>
      <w:r w:rsidR="00116641" w:rsidRPr="002D1C92">
        <w:rPr>
          <w:rFonts w:ascii="Arial" w:hAnsi="Arial" w:cs="Arial"/>
          <w:sz w:val="20"/>
          <w:szCs w:val="20"/>
        </w:rPr>
        <w:t xml:space="preserve"> However, </w:t>
      </w:r>
      <w:proofErr w:type="spellStart"/>
      <w:r w:rsidR="00CC7EC9" w:rsidRPr="002D1C92">
        <w:rPr>
          <w:rFonts w:ascii="Arial" w:hAnsi="Arial" w:cs="Arial"/>
          <w:sz w:val="20"/>
          <w:szCs w:val="20"/>
        </w:rPr>
        <w:t>Lycamobile</w:t>
      </w:r>
      <w:proofErr w:type="spellEnd"/>
      <w:r w:rsidR="00CC7EC9" w:rsidRPr="002D1C92">
        <w:rPr>
          <w:rFonts w:ascii="Arial" w:hAnsi="Arial" w:cs="Arial"/>
          <w:sz w:val="20"/>
          <w:szCs w:val="20"/>
        </w:rPr>
        <w:t xml:space="preserve"> </w:t>
      </w:r>
      <w:r w:rsidR="00116641" w:rsidRPr="002D1C92">
        <w:rPr>
          <w:rFonts w:ascii="Arial" w:hAnsi="Arial" w:cs="Arial"/>
          <w:sz w:val="20"/>
          <w:szCs w:val="20"/>
        </w:rPr>
        <w:t>provided additional information to the ACMA</w:t>
      </w:r>
      <w:r w:rsidR="00205318" w:rsidRPr="002D1C92">
        <w:rPr>
          <w:rFonts w:ascii="Arial" w:hAnsi="Arial" w:cs="Arial"/>
          <w:sz w:val="20"/>
          <w:szCs w:val="20"/>
        </w:rPr>
        <w:t xml:space="preserve"> </w:t>
      </w:r>
      <w:r w:rsidR="00A3305A" w:rsidRPr="002D1C92">
        <w:rPr>
          <w:rFonts w:ascii="Arial" w:hAnsi="Arial" w:cs="Arial"/>
          <w:sz w:val="20"/>
          <w:szCs w:val="20"/>
        </w:rPr>
        <w:t xml:space="preserve">on 8 May </w:t>
      </w:r>
      <w:r w:rsidR="00205318" w:rsidRPr="002D1C92">
        <w:rPr>
          <w:rFonts w:ascii="Arial" w:hAnsi="Arial" w:cs="Arial"/>
          <w:sz w:val="20"/>
          <w:szCs w:val="20"/>
        </w:rPr>
        <w:t xml:space="preserve">which </w:t>
      </w:r>
      <w:r w:rsidR="003F725D" w:rsidRPr="002D1C92">
        <w:rPr>
          <w:rFonts w:ascii="Arial" w:hAnsi="Arial" w:cs="Arial"/>
          <w:sz w:val="20"/>
          <w:szCs w:val="20"/>
        </w:rPr>
        <w:t>was</w:t>
      </w:r>
      <w:r w:rsidR="00205318" w:rsidRPr="002D1C92">
        <w:rPr>
          <w:rFonts w:ascii="Arial" w:hAnsi="Arial" w:cs="Arial"/>
          <w:sz w:val="20"/>
          <w:szCs w:val="20"/>
        </w:rPr>
        <w:t xml:space="preserve"> incorporated into </w:t>
      </w:r>
      <w:r w:rsidR="00C66E93" w:rsidRPr="002D1C92">
        <w:rPr>
          <w:rFonts w:ascii="Arial" w:hAnsi="Arial" w:cs="Arial"/>
          <w:sz w:val="20"/>
          <w:szCs w:val="20"/>
        </w:rPr>
        <w:t xml:space="preserve">a </w:t>
      </w:r>
      <w:r w:rsidR="007A5328" w:rsidRPr="002D1C92">
        <w:rPr>
          <w:rFonts w:ascii="Arial" w:hAnsi="Arial" w:cs="Arial"/>
          <w:sz w:val="20"/>
          <w:szCs w:val="20"/>
        </w:rPr>
        <w:t>draft</w:t>
      </w:r>
      <w:r w:rsidR="00C66E93" w:rsidRPr="002D1C92">
        <w:rPr>
          <w:rFonts w:ascii="Arial" w:hAnsi="Arial" w:cs="Arial"/>
          <w:sz w:val="20"/>
          <w:szCs w:val="20"/>
        </w:rPr>
        <w:t xml:space="preserve"> Final Investigation R</w:t>
      </w:r>
      <w:r w:rsidR="00205318" w:rsidRPr="002D1C92">
        <w:rPr>
          <w:rFonts w:ascii="Arial" w:hAnsi="Arial" w:cs="Arial"/>
          <w:sz w:val="20"/>
          <w:szCs w:val="20"/>
        </w:rPr>
        <w:t>eport</w:t>
      </w:r>
      <w:r w:rsidR="00CC7EC9" w:rsidRPr="002D1C92">
        <w:rPr>
          <w:rFonts w:ascii="Arial" w:hAnsi="Arial" w:cs="Arial"/>
          <w:sz w:val="20"/>
          <w:szCs w:val="20"/>
        </w:rPr>
        <w:t>.</w:t>
      </w:r>
    </w:p>
    <w:p w14:paraId="2DCBA485" w14:textId="2F8EF3AB" w:rsidR="004F38AA" w:rsidRPr="002D1C92" w:rsidRDefault="002F0BF5"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The</w:t>
      </w:r>
      <w:r w:rsidR="004773E5" w:rsidRPr="002D1C92">
        <w:rPr>
          <w:rFonts w:ascii="Arial" w:hAnsi="Arial" w:cs="Arial"/>
          <w:sz w:val="20"/>
          <w:szCs w:val="20"/>
        </w:rPr>
        <w:t xml:space="preserve"> </w:t>
      </w:r>
      <w:r w:rsidR="007A5328" w:rsidRPr="002D1C92">
        <w:rPr>
          <w:rFonts w:ascii="Arial" w:hAnsi="Arial" w:cs="Arial"/>
          <w:sz w:val="20"/>
          <w:szCs w:val="20"/>
        </w:rPr>
        <w:t>d</w:t>
      </w:r>
      <w:r w:rsidR="004773E5" w:rsidRPr="002D1C92">
        <w:rPr>
          <w:rFonts w:ascii="Arial" w:hAnsi="Arial" w:cs="Arial"/>
          <w:sz w:val="20"/>
          <w:szCs w:val="20"/>
        </w:rPr>
        <w:t xml:space="preserve">raft Final Investigation Report was sent to </w:t>
      </w:r>
      <w:proofErr w:type="spellStart"/>
      <w:r w:rsidR="004773E5" w:rsidRPr="002D1C92">
        <w:rPr>
          <w:rFonts w:ascii="Arial" w:hAnsi="Arial" w:cs="Arial"/>
          <w:sz w:val="20"/>
          <w:szCs w:val="20"/>
        </w:rPr>
        <w:t>Lycamobile</w:t>
      </w:r>
      <w:proofErr w:type="spellEnd"/>
      <w:r w:rsidR="004773E5" w:rsidRPr="002D1C92">
        <w:rPr>
          <w:rFonts w:ascii="Arial" w:hAnsi="Arial" w:cs="Arial"/>
          <w:sz w:val="20"/>
          <w:szCs w:val="20"/>
        </w:rPr>
        <w:t xml:space="preserve"> </w:t>
      </w:r>
      <w:r w:rsidR="00A3305A" w:rsidRPr="002D1C92">
        <w:rPr>
          <w:rFonts w:ascii="Arial" w:hAnsi="Arial" w:cs="Arial"/>
          <w:sz w:val="20"/>
          <w:szCs w:val="20"/>
        </w:rPr>
        <w:t>on</w:t>
      </w:r>
      <w:r w:rsidR="007A5328" w:rsidRPr="002D1C92">
        <w:rPr>
          <w:rFonts w:ascii="Arial" w:hAnsi="Arial" w:cs="Arial"/>
          <w:sz w:val="20"/>
          <w:szCs w:val="20"/>
        </w:rPr>
        <w:t xml:space="preserve"> </w:t>
      </w:r>
      <w:r w:rsidR="0004759A" w:rsidRPr="002D1C92">
        <w:rPr>
          <w:rFonts w:ascii="Arial" w:hAnsi="Arial" w:cs="Arial"/>
          <w:sz w:val="20"/>
          <w:szCs w:val="20"/>
        </w:rPr>
        <w:t>7</w:t>
      </w:r>
      <w:r w:rsidR="007A5328" w:rsidRPr="002D1C92">
        <w:rPr>
          <w:rFonts w:ascii="Arial" w:hAnsi="Arial" w:cs="Arial"/>
          <w:sz w:val="20"/>
          <w:szCs w:val="20"/>
        </w:rPr>
        <w:t xml:space="preserve"> July 2020</w:t>
      </w:r>
      <w:r w:rsidR="00A3305A" w:rsidRPr="002D1C92">
        <w:rPr>
          <w:rFonts w:ascii="Arial" w:hAnsi="Arial" w:cs="Arial"/>
          <w:sz w:val="20"/>
          <w:szCs w:val="20"/>
        </w:rPr>
        <w:t xml:space="preserve"> </w:t>
      </w:r>
      <w:r w:rsidR="004773E5" w:rsidRPr="002D1C92">
        <w:rPr>
          <w:rFonts w:ascii="Arial" w:hAnsi="Arial" w:cs="Arial"/>
          <w:sz w:val="20"/>
          <w:szCs w:val="20"/>
        </w:rPr>
        <w:t xml:space="preserve">and </w:t>
      </w:r>
      <w:proofErr w:type="spellStart"/>
      <w:r w:rsidR="004773E5" w:rsidRPr="002D1C92">
        <w:rPr>
          <w:rFonts w:ascii="Arial" w:hAnsi="Arial" w:cs="Arial"/>
          <w:sz w:val="20"/>
          <w:szCs w:val="20"/>
        </w:rPr>
        <w:t>Lycamobile</w:t>
      </w:r>
      <w:proofErr w:type="spellEnd"/>
      <w:r w:rsidR="004773E5" w:rsidRPr="002D1C92">
        <w:rPr>
          <w:rFonts w:ascii="Arial" w:hAnsi="Arial" w:cs="Arial"/>
          <w:sz w:val="20"/>
          <w:szCs w:val="20"/>
        </w:rPr>
        <w:t xml:space="preserve"> was </w:t>
      </w:r>
      <w:r w:rsidR="00470737" w:rsidRPr="002D1C92">
        <w:rPr>
          <w:rFonts w:ascii="Arial" w:hAnsi="Arial" w:cs="Arial"/>
          <w:sz w:val="20"/>
          <w:szCs w:val="20"/>
        </w:rPr>
        <w:t xml:space="preserve">given a further opportunity to review and respond to the findings. </w:t>
      </w:r>
    </w:p>
    <w:p w14:paraId="2417E0BB" w14:textId="6CADAAA3" w:rsidR="001C2399" w:rsidRPr="002D1C92" w:rsidRDefault="00B96D06" w:rsidP="00C155B6">
      <w:pPr>
        <w:pStyle w:val="ListParagraph"/>
        <w:numPr>
          <w:ilvl w:val="0"/>
          <w:numId w:val="4"/>
        </w:numPr>
        <w:spacing w:after="40" w:line="240" w:lineRule="auto"/>
        <w:ind w:left="425" w:hanging="357"/>
        <w:contextualSpacing w:val="0"/>
        <w:rPr>
          <w:rFonts w:ascii="Arial" w:hAnsi="Arial" w:cs="Arial"/>
          <w:sz w:val="20"/>
          <w:szCs w:val="20"/>
        </w:rPr>
      </w:pP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w:t>
      </w:r>
      <w:r w:rsidR="00637565" w:rsidRPr="002D1C92">
        <w:rPr>
          <w:rFonts w:ascii="Arial" w:hAnsi="Arial" w:cs="Arial"/>
          <w:sz w:val="20"/>
          <w:szCs w:val="20"/>
        </w:rPr>
        <w:t xml:space="preserve">provided a submission to the </w:t>
      </w:r>
      <w:r w:rsidR="00BC535D" w:rsidRPr="002D1C92">
        <w:rPr>
          <w:rFonts w:ascii="Arial" w:hAnsi="Arial" w:cs="Arial"/>
          <w:sz w:val="20"/>
          <w:szCs w:val="20"/>
        </w:rPr>
        <w:t>ACMA</w:t>
      </w:r>
      <w:r w:rsidR="0004759A" w:rsidRPr="002D1C92">
        <w:rPr>
          <w:rFonts w:ascii="Arial" w:hAnsi="Arial" w:cs="Arial"/>
          <w:sz w:val="20"/>
          <w:szCs w:val="20"/>
        </w:rPr>
        <w:t xml:space="preserve"> on 13 August 2020</w:t>
      </w:r>
      <w:r w:rsidR="00BC535D" w:rsidRPr="002D1C92">
        <w:rPr>
          <w:rFonts w:ascii="Arial" w:hAnsi="Arial" w:cs="Arial"/>
          <w:sz w:val="20"/>
          <w:szCs w:val="20"/>
        </w:rPr>
        <w:t xml:space="preserve"> in relation to the draft Final Investigation Report which has been incorporated </w:t>
      </w:r>
      <w:r w:rsidR="00372A9B" w:rsidRPr="002D1C92">
        <w:rPr>
          <w:rFonts w:ascii="Arial" w:hAnsi="Arial" w:cs="Arial"/>
          <w:sz w:val="20"/>
          <w:szCs w:val="20"/>
        </w:rPr>
        <w:t xml:space="preserve">into this report (see paragraph </w:t>
      </w:r>
      <w:r w:rsidR="00021DD4" w:rsidRPr="002D1C92">
        <w:rPr>
          <w:rFonts w:ascii="Arial" w:hAnsi="Arial" w:cs="Arial"/>
          <w:sz w:val="20"/>
          <w:szCs w:val="20"/>
        </w:rPr>
        <w:t>62</w:t>
      </w:r>
      <w:r w:rsidR="0040019C" w:rsidRPr="002D1C92">
        <w:rPr>
          <w:rFonts w:ascii="Arial" w:hAnsi="Arial" w:cs="Arial"/>
          <w:sz w:val="20"/>
          <w:szCs w:val="20"/>
        </w:rPr>
        <w:t xml:space="preserve"> below)</w:t>
      </w:r>
      <w:r w:rsidR="00173A64" w:rsidRPr="002D1C92">
        <w:rPr>
          <w:rFonts w:ascii="Arial" w:hAnsi="Arial" w:cs="Arial"/>
          <w:sz w:val="20"/>
          <w:szCs w:val="20"/>
        </w:rPr>
        <w:t>.</w:t>
      </w:r>
      <w:r w:rsidR="00CE4A37" w:rsidRPr="002D1C92">
        <w:rPr>
          <w:rFonts w:ascii="Arial" w:hAnsi="Arial" w:cs="Arial"/>
          <w:sz w:val="20"/>
          <w:szCs w:val="20"/>
        </w:rPr>
        <w:t xml:space="preserve"> Th</w:t>
      </w:r>
      <w:r w:rsidR="000910E3" w:rsidRPr="002D1C92">
        <w:rPr>
          <w:rFonts w:ascii="Arial" w:hAnsi="Arial" w:cs="Arial"/>
          <w:sz w:val="20"/>
          <w:szCs w:val="20"/>
        </w:rPr>
        <w:t>is</w:t>
      </w:r>
      <w:r w:rsidR="00CE4A37" w:rsidRPr="002D1C92">
        <w:rPr>
          <w:rFonts w:ascii="Arial" w:hAnsi="Arial" w:cs="Arial"/>
          <w:sz w:val="20"/>
          <w:szCs w:val="20"/>
        </w:rPr>
        <w:t xml:space="preserve"> </w:t>
      </w:r>
      <w:r w:rsidR="00C31ECC" w:rsidRPr="002D1C92">
        <w:rPr>
          <w:rFonts w:ascii="Arial" w:hAnsi="Arial" w:cs="Arial"/>
          <w:sz w:val="20"/>
          <w:szCs w:val="20"/>
        </w:rPr>
        <w:t>submission</w:t>
      </w:r>
      <w:r w:rsidR="00CE4A37" w:rsidRPr="002D1C92">
        <w:rPr>
          <w:rFonts w:ascii="Arial" w:hAnsi="Arial" w:cs="Arial"/>
          <w:sz w:val="20"/>
          <w:szCs w:val="20"/>
        </w:rPr>
        <w:t xml:space="preserve"> included revised figures based on a second comparison undertaken by </w:t>
      </w:r>
      <w:proofErr w:type="spellStart"/>
      <w:r w:rsidR="00CE4A37" w:rsidRPr="002D1C92">
        <w:rPr>
          <w:rFonts w:ascii="Arial" w:hAnsi="Arial" w:cs="Arial"/>
          <w:sz w:val="20"/>
          <w:szCs w:val="20"/>
        </w:rPr>
        <w:t>Lycamobile</w:t>
      </w:r>
      <w:proofErr w:type="spellEnd"/>
      <w:r w:rsidR="00CE4A37" w:rsidRPr="002D1C92">
        <w:rPr>
          <w:rFonts w:ascii="Arial" w:hAnsi="Arial" w:cs="Arial"/>
          <w:sz w:val="20"/>
          <w:szCs w:val="20"/>
        </w:rPr>
        <w:t xml:space="preserve"> of its Customer Systems against all records for its services in the IPND</w:t>
      </w:r>
      <w:r w:rsidR="00C86AEB" w:rsidRPr="002D1C92">
        <w:rPr>
          <w:rFonts w:ascii="Arial" w:hAnsi="Arial" w:cs="Arial"/>
          <w:sz w:val="20"/>
          <w:szCs w:val="20"/>
        </w:rPr>
        <w:t xml:space="preserve">. </w:t>
      </w:r>
      <w:r w:rsidR="008C1F33">
        <w:rPr>
          <w:rFonts w:ascii="Arial" w:hAnsi="Arial" w:cs="Arial"/>
          <w:sz w:val="20"/>
          <w:szCs w:val="20"/>
        </w:rPr>
        <w:t xml:space="preserve">Subsequently, </w:t>
      </w:r>
      <w:proofErr w:type="spellStart"/>
      <w:r w:rsidR="00C86AEB" w:rsidRPr="002D1C92">
        <w:rPr>
          <w:rFonts w:ascii="Arial" w:hAnsi="Arial" w:cs="Arial"/>
          <w:sz w:val="20"/>
          <w:szCs w:val="20"/>
        </w:rPr>
        <w:t>Lycamobile</w:t>
      </w:r>
      <w:proofErr w:type="spellEnd"/>
      <w:r w:rsidR="00CE4A37" w:rsidRPr="002D1C92">
        <w:rPr>
          <w:rFonts w:ascii="Arial" w:hAnsi="Arial" w:cs="Arial"/>
          <w:sz w:val="20"/>
          <w:szCs w:val="20"/>
        </w:rPr>
        <w:t xml:space="preserve"> a</w:t>
      </w:r>
      <w:r w:rsidR="00C86AEB" w:rsidRPr="002D1C92">
        <w:rPr>
          <w:rFonts w:ascii="Arial" w:hAnsi="Arial" w:cs="Arial"/>
          <w:sz w:val="20"/>
          <w:szCs w:val="20"/>
        </w:rPr>
        <w:t>lso provided</w:t>
      </w:r>
      <w:r w:rsidR="00CE4A37" w:rsidRPr="002D1C92">
        <w:rPr>
          <w:rFonts w:ascii="Arial" w:hAnsi="Arial" w:cs="Arial"/>
          <w:sz w:val="20"/>
          <w:szCs w:val="20"/>
        </w:rPr>
        <w:t xml:space="preserve"> the activation dates </w:t>
      </w:r>
      <w:r w:rsidR="00C31ECC" w:rsidRPr="002D1C92">
        <w:rPr>
          <w:rFonts w:ascii="Arial" w:hAnsi="Arial" w:cs="Arial"/>
          <w:sz w:val="20"/>
          <w:szCs w:val="20"/>
        </w:rPr>
        <w:t xml:space="preserve">of services that were identified as either missing from the IPND or </w:t>
      </w:r>
      <w:r w:rsidR="000910E3" w:rsidRPr="002D1C92">
        <w:rPr>
          <w:rFonts w:ascii="Arial" w:hAnsi="Arial" w:cs="Arial"/>
          <w:sz w:val="20"/>
          <w:szCs w:val="20"/>
        </w:rPr>
        <w:t>having</w:t>
      </w:r>
      <w:r w:rsidR="00C31ECC" w:rsidRPr="002D1C92">
        <w:rPr>
          <w:rFonts w:ascii="Arial" w:hAnsi="Arial" w:cs="Arial"/>
          <w:sz w:val="20"/>
          <w:szCs w:val="20"/>
        </w:rPr>
        <w:t xml:space="preserve"> an incorrect connection status in the IPND</w:t>
      </w:r>
      <w:r w:rsidR="00C86AEB" w:rsidRPr="002D1C92">
        <w:rPr>
          <w:rFonts w:ascii="Arial" w:hAnsi="Arial" w:cs="Arial"/>
          <w:sz w:val="20"/>
          <w:szCs w:val="20"/>
        </w:rPr>
        <w:t xml:space="preserve"> on 19 October 2020</w:t>
      </w:r>
      <w:r w:rsidR="00C31ECC" w:rsidRPr="002D1C92">
        <w:rPr>
          <w:rFonts w:ascii="Arial" w:hAnsi="Arial" w:cs="Arial"/>
          <w:sz w:val="20"/>
          <w:szCs w:val="20"/>
        </w:rPr>
        <w:t xml:space="preserve">. </w:t>
      </w:r>
    </w:p>
    <w:p w14:paraId="3B9D5AE2" w14:textId="54234401" w:rsidR="00BA7FC1" w:rsidRPr="002D1C92" w:rsidRDefault="00BA7FC1" w:rsidP="008F7002">
      <w:pPr>
        <w:pStyle w:val="ACMAHeading1"/>
        <w:spacing w:before="240" w:after="160"/>
        <w:rPr>
          <w:rFonts w:cs="Arial"/>
          <w:sz w:val="20"/>
        </w:rPr>
      </w:pPr>
      <w:r w:rsidRPr="002D1C92">
        <w:rPr>
          <w:rFonts w:cs="Arial"/>
          <w:sz w:val="20"/>
        </w:rPr>
        <w:lastRenderedPageBreak/>
        <w:t>Reasons</w:t>
      </w:r>
    </w:p>
    <w:p w14:paraId="1EB46A3E" w14:textId="0647F3F9" w:rsidR="00BA7FC1" w:rsidRPr="002D1C92" w:rsidRDefault="00BA7FC1" w:rsidP="00401906">
      <w:pPr>
        <w:pStyle w:val="ACMABodyText"/>
        <w:spacing w:before="120" w:after="200" w:line="240" w:lineRule="auto"/>
        <w:rPr>
          <w:rFonts w:ascii="Arial" w:hAnsi="Arial" w:cs="Arial"/>
          <w:bCs/>
          <w:sz w:val="20"/>
          <w:u w:val="single"/>
        </w:rPr>
      </w:pPr>
      <w:r w:rsidRPr="002D1C92">
        <w:rPr>
          <w:rFonts w:ascii="Arial" w:hAnsi="Arial" w:cs="Arial"/>
          <w:bCs/>
          <w:sz w:val="20"/>
          <w:u w:val="single"/>
        </w:rPr>
        <w:t xml:space="preserve">Compliance with the Act </w:t>
      </w:r>
    </w:p>
    <w:p w14:paraId="1783A4C5" w14:textId="7B9950B7" w:rsidR="00BA7FC1" w:rsidRPr="002D1C92" w:rsidRDefault="00BA7FC1" w:rsidP="002F09D2">
      <w:pPr>
        <w:pStyle w:val="ListParagraph"/>
        <w:numPr>
          <w:ilvl w:val="0"/>
          <w:numId w:val="4"/>
        </w:numPr>
        <w:spacing w:line="240" w:lineRule="auto"/>
        <w:ind w:left="426" w:hanging="357"/>
        <w:contextualSpacing w:val="0"/>
        <w:rPr>
          <w:rFonts w:ascii="Arial" w:hAnsi="Arial" w:cs="Arial"/>
          <w:sz w:val="20"/>
          <w:szCs w:val="20"/>
        </w:rPr>
      </w:pPr>
      <w:r w:rsidRPr="002D1C92">
        <w:rPr>
          <w:rFonts w:ascii="Arial" w:hAnsi="Arial" w:cs="Arial"/>
          <w:sz w:val="20"/>
          <w:szCs w:val="20"/>
        </w:rPr>
        <w:t xml:space="preserve">Subsection 101(1) of the Act requires service providers </w:t>
      </w:r>
      <w:r w:rsidR="00951D28" w:rsidRPr="002D1C92">
        <w:rPr>
          <w:rFonts w:ascii="Arial" w:hAnsi="Arial" w:cs="Arial"/>
          <w:sz w:val="20"/>
          <w:szCs w:val="20"/>
        </w:rPr>
        <w:t xml:space="preserve">to </w:t>
      </w:r>
      <w:r w:rsidRPr="002D1C92">
        <w:rPr>
          <w:rFonts w:ascii="Arial" w:hAnsi="Arial" w:cs="Arial"/>
          <w:sz w:val="20"/>
          <w:szCs w:val="20"/>
        </w:rPr>
        <w:t xml:space="preserve">comply with the service provider rules that apply to them. Subsection 98(1) of the Act </w:t>
      </w:r>
      <w:r w:rsidR="002D68CB" w:rsidRPr="002D1C92">
        <w:rPr>
          <w:rFonts w:ascii="Arial" w:hAnsi="Arial" w:cs="Arial"/>
          <w:sz w:val="20"/>
          <w:szCs w:val="20"/>
        </w:rPr>
        <w:t xml:space="preserve">sets out </w:t>
      </w:r>
      <w:r w:rsidRPr="002D1C92">
        <w:rPr>
          <w:rFonts w:ascii="Arial" w:hAnsi="Arial" w:cs="Arial"/>
          <w:sz w:val="20"/>
          <w:szCs w:val="20"/>
        </w:rPr>
        <w:t xml:space="preserve">that the service provider rules include those set out in: </w:t>
      </w:r>
    </w:p>
    <w:p w14:paraId="0FC9F829" w14:textId="43BA7A36" w:rsidR="000E4986" w:rsidRPr="002D1C92" w:rsidRDefault="000E4986" w:rsidP="002F09D2">
      <w:pPr>
        <w:pStyle w:val="ACMATableText"/>
        <w:numPr>
          <w:ilvl w:val="0"/>
          <w:numId w:val="35"/>
        </w:numPr>
        <w:tabs>
          <w:tab w:val="left" w:pos="5245"/>
        </w:tabs>
        <w:spacing w:before="80" w:after="120"/>
        <w:ind w:left="850" w:hanging="357"/>
        <w:rPr>
          <w:rFonts w:cs="Arial"/>
        </w:rPr>
      </w:pPr>
      <w:r w:rsidRPr="002D1C92">
        <w:rPr>
          <w:rFonts w:cs="Arial"/>
        </w:rPr>
        <w:t xml:space="preserve">service provider determinations in force under section 99 of the Act </w:t>
      </w:r>
    </w:p>
    <w:p w14:paraId="19899CC5" w14:textId="740B821B" w:rsidR="002D6EF2" w:rsidRPr="002D1C92" w:rsidRDefault="00E01F94" w:rsidP="002F09D2">
      <w:pPr>
        <w:pStyle w:val="ACMATableText"/>
        <w:numPr>
          <w:ilvl w:val="0"/>
          <w:numId w:val="35"/>
        </w:numPr>
        <w:tabs>
          <w:tab w:val="left" w:pos="5245"/>
        </w:tabs>
        <w:spacing w:before="80" w:after="120"/>
        <w:ind w:left="850" w:hanging="357"/>
        <w:rPr>
          <w:rFonts w:cs="Arial"/>
        </w:rPr>
      </w:pPr>
      <w:r>
        <w:rPr>
          <w:rFonts w:cs="Arial"/>
        </w:rPr>
        <w:t>S</w:t>
      </w:r>
      <w:r w:rsidR="00BA7FC1" w:rsidRPr="002D1C92">
        <w:rPr>
          <w:rFonts w:cs="Arial"/>
        </w:rPr>
        <w:t>chedule 2 to the Act.</w:t>
      </w:r>
    </w:p>
    <w:p w14:paraId="4B1CB7D5" w14:textId="3286B6FE" w:rsidR="00B34742" w:rsidRPr="002D1C92" w:rsidRDefault="00B34742"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Prepaid Determination is a determination for the purposes of section 99 of the Act. </w:t>
      </w:r>
    </w:p>
    <w:p w14:paraId="72374A7B" w14:textId="788B3BE4" w:rsidR="00B5446C" w:rsidRPr="002D1C92" w:rsidRDefault="00B34742"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As the ACMA has found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has breached the Prepaid Determination, the ACMA also finds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has contravened subsection 101(1) of the Act </w:t>
      </w:r>
      <w:r w:rsidR="002D68CB" w:rsidRPr="002D1C92">
        <w:rPr>
          <w:rFonts w:ascii="Arial" w:hAnsi="Arial" w:cs="Arial"/>
          <w:sz w:val="20"/>
          <w:szCs w:val="20"/>
        </w:rPr>
        <w:t>on</w:t>
      </w:r>
      <w:r w:rsidRPr="002D1C92">
        <w:rPr>
          <w:rFonts w:ascii="Arial" w:hAnsi="Arial" w:cs="Arial"/>
          <w:sz w:val="20"/>
          <w:szCs w:val="20"/>
        </w:rPr>
        <w:t xml:space="preserve"> 4</w:t>
      </w:r>
      <w:r w:rsidR="00E20C39" w:rsidRPr="002D1C92">
        <w:rPr>
          <w:rFonts w:ascii="Arial" w:hAnsi="Arial" w:cs="Arial"/>
          <w:sz w:val="20"/>
          <w:szCs w:val="20"/>
        </w:rPr>
        <w:t>,</w:t>
      </w:r>
      <w:r w:rsidR="00F87F86" w:rsidRPr="002D1C92">
        <w:rPr>
          <w:rFonts w:ascii="Arial" w:hAnsi="Arial" w:cs="Arial"/>
          <w:sz w:val="20"/>
          <w:szCs w:val="20"/>
        </w:rPr>
        <w:t>20</w:t>
      </w:r>
      <w:r w:rsidR="00E01F94">
        <w:rPr>
          <w:rFonts w:ascii="Arial" w:hAnsi="Arial" w:cs="Arial"/>
          <w:sz w:val="20"/>
          <w:szCs w:val="20"/>
        </w:rPr>
        <w:t>7</w:t>
      </w:r>
      <w:r w:rsidR="00F87F86" w:rsidRPr="002D1C92">
        <w:rPr>
          <w:rFonts w:ascii="Arial" w:hAnsi="Arial" w:cs="Arial"/>
          <w:sz w:val="20"/>
          <w:szCs w:val="20"/>
        </w:rPr>
        <w:t xml:space="preserve"> </w:t>
      </w:r>
      <w:r w:rsidRPr="002D1C92">
        <w:rPr>
          <w:rFonts w:ascii="Arial" w:hAnsi="Arial" w:cs="Arial"/>
          <w:sz w:val="20"/>
          <w:szCs w:val="20"/>
        </w:rPr>
        <w:t>instances by failing to comply with a service provider rule that applies to it.</w:t>
      </w:r>
      <w:r w:rsidR="00B5446C" w:rsidRPr="002D1C92">
        <w:rPr>
          <w:rFonts w:ascii="Arial" w:hAnsi="Arial" w:cs="Arial"/>
          <w:sz w:val="20"/>
          <w:szCs w:val="20"/>
        </w:rPr>
        <w:t xml:space="preserve"> Specifically, </w:t>
      </w:r>
      <w:proofErr w:type="spellStart"/>
      <w:r w:rsidR="00B5446C" w:rsidRPr="002D1C92">
        <w:rPr>
          <w:rFonts w:ascii="Arial" w:hAnsi="Arial" w:cs="Arial"/>
          <w:sz w:val="20"/>
          <w:szCs w:val="20"/>
        </w:rPr>
        <w:t>Lycamobile</w:t>
      </w:r>
      <w:proofErr w:type="spellEnd"/>
      <w:r w:rsidR="00B5446C" w:rsidRPr="002D1C92">
        <w:rPr>
          <w:rFonts w:ascii="Arial" w:hAnsi="Arial" w:cs="Arial"/>
          <w:sz w:val="20"/>
          <w:szCs w:val="20"/>
        </w:rPr>
        <w:t xml:space="preserve"> failed to comply with the following provisions of the Prepaid Determination:</w:t>
      </w:r>
    </w:p>
    <w:p w14:paraId="715E5F52" w14:textId="5E9A9A9B" w:rsidR="003D7ED3" w:rsidRPr="002D1C92" w:rsidRDefault="003D7ED3" w:rsidP="002F09D2">
      <w:pPr>
        <w:pStyle w:val="ACMATableText"/>
        <w:numPr>
          <w:ilvl w:val="0"/>
          <w:numId w:val="36"/>
        </w:numPr>
        <w:tabs>
          <w:tab w:val="left" w:pos="5245"/>
        </w:tabs>
        <w:spacing w:before="80" w:after="120"/>
        <w:ind w:left="850" w:hanging="357"/>
        <w:rPr>
          <w:rFonts w:cs="Arial"/>
        </w:rPr>
      </w:pPr>
      <w:r w:rsidRPr="002D1C92">
        <w:rPr>
          <w:rFonts w:cs="Arial"/>
        </w:rPr>
        <w:t>paragraph 2.3(1)(a)</w:t>
      </w:r>
    </w:p>
    <w:p w14:paraId="2F9EA4AC" w14:textId="22776C70" w:rsidR="003D7ED3" w:rsidRPr="002D1C92" w:rsidRDefault="003D7ED3" w:rsidP="002F09D2">
      <w:pPr>
        <w:pStyle w:val="ACMATableText"/>
        <w:numPr>
          <w:ilvl w:val="0"/>
          <w:numId w:val="36"/>
        </w:numPr>
        <w:tabs>
          <w:tab w:val="left" w:pos="5245"/>
        </w:tabs>
        <w:spacing w:before="80" w:after="120"/>
        <w:ind w:left="850" w:hanging="357"/>
        <w:rPr>
          <w:rFonts w:cs="Arial"/>
        </w:rPr>
      </w:pPr>
      <w:r w:rsidRPr="002D1C92">
        <w:rPr>
          <w:rFonts w:cs="Arial"/>
        </w:rPr>
        <w:t xml:space="preserve">sections 6.1 and 6.3 </w:t>
      </w:r>
    </w:p>
    <w:p w14:paraId="56096F7C" w14:textId="25A51E6E" w:rsidR="003D7ED3" w:rsidRPr="002D1C92" w:rsidRDefault="003D7ED3" w:rsidP="002F09D2">
      <w:pPr>
        <w:pStyle w:val="ACMATableText"/>
        <w:numPr>
          <w:ilvl w:val="0"/>
          <w:numId w:val="36"/>
        </w:numPr>
        <w:tabs>
          <w:tab w:val="left" w:pos="5245"/>
        </w:tabs>
        <w:spacing w:before="80" w:after="120"/>
        <w:ind w:left="850" w:hanging="357"/>
        <w:rPr>
          <w:rFonts w:cs="Arial"/>
        </w:rPr>
      </w:pPr>
      <w:r w:rsidRPr="002D1C92">
        <w:rPr>
          <w:rFonts w:cs="Arial"/>
        </w:rPr>
        <w:t xml:space="preserve">subsection 6.4(1). </w:t>
      </w:r>
    </w:p>
    <w:p w14:paraId="37E64725" w14:textId="288DC356" w:rsidR="003D7ED3" w:rsidRPr="002D1C92" w:rsidRDefault="003D7ED3" w:rsidP="005C0FD5">
      <w:pPr>
        <w:pStyle w:val="ListParagraph"/>
        <w:spacing w:after="240" w:line="240" w:lineRule="auto"/>
        <w:ind w:left="425"/>
        <w:contextualSpacing w:val="0"/>
        <w:rPr>
          <w:rFonts w:ascii="Arial" w:hAnsi="Arial" w:cs="Arial"/>
          <w:sz w:val="20"/>
          <w:szCs w:val="20"/>
        </w:rPr>
      </w:pPr>
      <w:r w:rsidRPr="002D1C92">
        <w:rPr>
          <w:rFonts w:ascii="Arial" w:hAnsi="Arial" w:cs="Arial"/>
          <w:sz w:val="20"/>
          <w:szCs w:val="20"/>
        </w:rPr>
        <w:t xml:space="preserve">The </w:t>
      </w:r>
      <w:r w:rsidR="00D80F3D">
        <w:rPr>
          <w:rFonts w:ascii="Arial" w:hAnsi="Arial" w:cs="Arial"/>
          <w:sz w:val="20"/>
          <w:szCs w:val="20"/>
        </w:rPr>
        <w:t xml:space="preserve">reasons for finding </w:t>
      </w:r>
      <w:r w:rsidRPr="002D1C92">
        <w:rPr>
          <w:rFonts w:ascii="Arial" w:hAnsi="Arial" w:cs="Arial"/>
          <w:sz w:val="20"/>
          <w:szCs w:val="20"/>
        </w:rPr>
        <w:t xml:space="preserve">contraventions of each of these sections </w:t>
      </w:r>
      <w:r w:rsidR="00871F72" w:rsidRPr="002D1C92">
        <w:rPr>
          <w:rFonts w:ascii="Arial" w:hAnsi="Arial" w:cs="Arial"/>
          <w:sz w:val="20"/>
          <w:szCs w:val="20"/>
        </w:rPr>
        <w:t xml:space="preserve">are </w:t>
      </w:r>
      <w:r w:rsidRPr="002D1C92">
        <w:rPr>
          <w:rFonts w:ascii="Arial" w:hAnsi="Arial" w:cs="Arial"/>
          <w:sz w:val="20"/>
          <w:szCs w:val="20"/>
        </w:rPr>
        <w:t>detailed below.</w:t>
      </w:r>
    </w:p>
    <w:p w14:paraId="315187C9" w14:textId="670FD433" w:rsidR="002931D1" w:rsidRPr="002D1C92" w:rsidRDefault="002931D1" w:rsidP="00401906">
      <w:pPr>
        <w:pStyle w:val="ACMABodyText"/>
        <w:spacing w:before="120" w:after="200" w:line="240" w:lineRule="auto"/>
        <w:rPr>
          <w:rFonts w:ascii="Arial" w:hAnsi="Arial" w:cs="Arial"/>
          <w:bCs/>
          <w:sz w:val="20"/>
          <w:u w:val="single"/>
        </w:rPr>
      </w:pPr>
      <w:r w:rsidRPr="002D1C92">
        <w:rPr>
          <w:rFonts w:ascii="Arial" w:hAnsi="Arial" w:cs="Arial"/>
          <w:bCs/>
          <w:sz w:val="20"/>
          <w:u w:val="single"/>
        </w:rPr>
        <w:t xml:space="preserve">Compliance with the Prepaid Determination </w:t>
      </w:r>
    </w:p>
    <w:p w14:paraId="6C5300DF" w14:textId="77777777" w:rsidR="002931D1" w:rsidRPr="002D1C92" w:rsidRDefault="002931D1" w:rsidP="00401906">
      <w:pPr>
        <w:pStyle w:val="ACMATableText"/>
        <w:spacing w:before="200" w:after="120"/>
        <w:rPr>
          <w:rFonts w:cs="Arial"/>
          <w:i/>
        </w:rPr>
      </w:pPr>
      <w:r w:rsidRPr="002D1C92">
        <w:rPr>
          <w:rFonts w:cs="Arial"/>
          <w:i/>
        </w:rPr>
        <w:t>Subsection 2.3(1)</w:t>
      </w:r>
    </w:p>
    <w:p w14:paraId="0C543B4B" w14:textId="4D597CE7" w:rsidR="00EB4DB2" w:rsidRPr="002D1C92" w:rsidRDefault="00EA7D25"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Subsection 2.3(1) of the Prepaid Determination </w:t>
      </w:r>
      <w:r w:rsidR="00936057" w:rsidRPr="002D1C92">
        <w:rPr>
          <w:rFonts w:ascii="Arial" w:hAnsi="Arial" w:cs="Arial"/>
          <w:sz w:val="20"/>
          <w:szCs w:val="20"/>
        </w:rPr>
        <w:t>requires a CSP that supplies a prepaid mobile carriage service to comply with the rules set out in Part 4 of the Determination</w:t>
      </w:r>
      <w:r w:rsidR="00CD1175" w:rsidRPr="002D1C92">
        <w:rPr>
          <w:rFonts w:ascii="Arial" w:hAnsi="Arial" w:cs="Arial"/>
          <w:sz w:val="20"/>
          <w:szCs w:val="20"/>
        </w:rPr>
        <w:t>,</w:t>
      </w:r>
      <w:r w:rsidR="00936057" w:rsidRPr="002D1C92">
        <w:rPr>
          <w:rFonts w:ascii="Arial" w:hAnsi="Arial" w:cs="Arial"/>
          <w:sz w:val="20"/>
          <w:szCs w:val="20"/>
        </w:rPr>
        <w:t xml:space="preserve"> or an approved compliance plan</w:t>
      </w:r>
      <w:r w:rsidR="000A191B" w:rsidRPr="002D1C92">
        <w:rPr>
          <w:rStyle w:val="FootnoteReference"/>
          <w:rFonts w:ascii="Arial" w:hAnsi="Arial" w:cs="Arial"/>
          <w:sz w:val="20"/>
          <w:szCs w:val="20"/>
        </w:rPr>
        <w:footnoteReference w:id="8"/>
      </w:r>
      <w:r w:rsidR="00CD1175" w:rsidRPr="002D1C92">
        <w:rPr>
          <w:rFonts w:ascii="Arial" w:hAnsi="Arial" w:cs="Arial"/>
          <w:sz w:val="20"/>
          <w:szCs w:val="20"/>
        </w:rPr>
        <w:t>,</w:t>
      </w:r>
      <w:r w:rsidR="00936057" w:rsidRPr="002D1C92">
        <w:rPr>
          <w:rFonts w:ascii="Arial" w:hAnsi="Arial" w:cs="Arial"/>
          <w:sz w:val="20"/>
          <w:szCs w:val="20"/>
        </w:rPr>
        <w:t xml:space="preserve"> before activating the service.</w:t>
      </w:r>
    </w:p>
    <w:p w14:paraId="3D451303" w14:textId="0D32488C" w:rsidR="00EA7D25" w:rsidRPr="002D1C92" w:rsidRDefault="00EA7D25" w:rsidP="002F09D2">
      <w:pPr>
        <w:pStyle w:val="ListParagraph"/>
        <w:numPr>
          <w:ilvl w:val="0"/>
          <w:numId w:val="4"/>
        </w:numPr>
        <w:spacing w:line="240" w:lineRule="auto"/>
        <w:ind w:left="426"/>
        <w:contextualSpacing w:val="0"/>
        <w:rPr>
          <w:rFonts w:ascii="Arial" w:hAnsi="Arial" w:cs="Arial"/>
          <w:sz w:val="20"/>
          <w:szCs w:val="20"/>
        </w:rPr>
      </w:pP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w:t>
      </w:r>
      <w:r w:rsidR="00D80F3D">
        <w:rPr>
          <w:rFonts w:ascii="Arial" w:hAnsi="Arial" w:cs="Arial"/>
          <w:sz w:val="20"/>
          <w:szCs w:val="20"/>
        </w:rPr>
        <w:t>did</w:t>
      </w:r>
      <w:r w:rsidR="00D80F3D" w:rsidRPr="002D1C92">
        <w:rPr>
          <w:rFonts w:ascii="Arial" w:hAnsi="Arial" w:cs="Arial"/>
          <w:sz w:val="20"/>
          <w:szCs w:val="20"/>
        </w:rPr>
        <w:t xml:space="preserve"> </w:t>
      </w:r>
      <w:r w:rsidRPr="002D1C92">
        <w:rPr>
          <w:rFonts w:ascii="Arial" w:hAnsi="Arial" w:cs="Arial"/>
          <w:sz w:val="20"/>
          <w:szCs w:val="20"/>
        </w:rPr>
        <w:t>not have an approved compliance plan in force</w:t>
      </w:r>
      <w:r w:rsidR="00CD1175" w:rsidRPr="002D1C92">
        <w:rPr>
          <w:rFonts w:ascii="Arial" w:hAnsi="Arial" w:cs="Arial"/>
          <w:sz w:val="20"/>
          <w:szCs w:val="20"/>
        </w:rPr>
        <w:t xml:space="preserve"> and therefore </w:t>
      </w:r>
      <w:r w:rsidR="00D64B26" w:rsidRPr="002D1C92">
        <w:rPr>
          <w:rFonts w:ascii="Arial" w:hAnsi="Arial" w:cs="Arial"/>
          <w:sz w:val="20"/>
          <w:szCs w:val="20"/>
        </w:rPr>
        <w:t xml:space="preserve">the rules set out in </w:t>
      </w:r>
      <w:r w:rsidR="00CD1175" w:rsidRPr="002D1C92">
        <w:rPr>
          <w:rFonts w:ascii="Arial" w:hAnsi="Arial" w:cs="Arial"/>
          <w:sz w:val="20"/>
          <w:szCs w:val="20"/>
        </w:rPr>
        <w:t xml:space="preserve">Part 4 </w:t>
      </w:r>
      <w:r w:rsidR="00D64B26" w:rsidRPr="002D1C92">
        <w:rPr>
          <w:rFonts w:ascii="Arial" w:hAnsi="Arial" w:cs="Arial"/>
          <w:sz w:val="20"/>
          <w:szCs w:val="20"/>
        </w:rPr>
        <w:t>of the Determination appl</w:t>
      </w:r>
      <w:r w:rsidR="00D80F3D">
        <w:rPr>
          <w:rFonts w:ascii="Arial" w:hAnsi="Arial" w:cs="Arial"/>
          <w:sz w:val="20"/>
          <w:szCs w:val="20"/>
        </w:rPr>
        <w:t>ied</w:t>
      </w:r>
      <w:r w:rsidR="00363295" w:rsidRPr="002D1C92">
        <w:rPr>
          <w:rFonts w:ascii="Arial" w:hAnsi="Arial" w:cs="Arial"/>
          <w:sz w:val="20"/>
          <w:szCs w:val="20"/>
        </w:rPr>
        <w:t xml:space="preserve"> to it</w:t>
      </w:r>
      <w:r w:rsidR="00550FA0" w:rsidRPr="002D1C92">
        <w:rPr>
          <w:rFonts w:ascii="Arial" w:hAnsi="Arial" w:cs="Arial"/>
          <w:sz w:val="20"/>
          <w:szCs w:val="20"/>
        </w:rPr>
        <w:t>.</w:t>
      </w:r>
    </w:p>
    <w:p w14:paraId="430625CD" w14:textId="4B948534" w:rsidR="002931D1" w:rsidRPr="002D1C92" w:rsidRDefault="002931D1"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The exemptions set out under Part 3 and subsection 4.2(2) of the Prepaid Determination do not apply to any of the prepaid mobile carriage services that are the subject of this investigation</w:t>
      </w:r>
      <w:r w:rsidR="00145DBA" w:rsidRPr="002D1C92">
        <w:rPr>
          <w:rFonts w:ascii="Arial" w:hAnsi="Arial" w:cs="Arial"/>
          <w:sz w:val="20"/>
          <w:szCs w:val="20"/>
        </w:rPr>
        <w:t>.</w:t>
      </w:r>
      <w:r w:rsidRPr="002D1C92">
        <w:rPr>
          <w:rStyle w:val="FootnoteReference"/>
          <w:rFonts w:ascii="Arial" w:hAnsi="Arial" w:cs="Arial"/>
          <w:sz w:val="20"/>
          <w:szCs w:val="20"/>
        </w:rPr>
        <w:footnoteReference w:id="9"/>
      </w:r>
    </w:p>
    <w:p w14:paraId="1F3119EA" w14:textId="77777777" w:rsidR="005F5767" w:rsidRPr="002D1C92" w:rsidRDefault="005F5767" w:rsidP="00686BD8">
      <w:pPr>
        <w:pStyle w:val="ACMATableText"/>
        <w:keepNext/>
        <w:spacing w:before="200" w:after="120"/>
        <w:rPr>
          <w:rFonts w:cs="Arial"/>
          <w:i/>
          <w:iCs/>
        </w:rPr>
      </w:pPr>
      <w:r w:rsidRPr="002D1C92">
        <w:rPr>
          <w:rFonts w:cs="Arial"/>
          <w:i/>
          <w:iCs/>
        </w:rPr>
        <w:t xml:space="preserve">Section 4.2 </w:t>
      </w:r>
    </w:p>
    <w:p w14:paraId="4B5F9014" w14:textId="5D194007" w:rsidR="00881801" w:rsidRPr="002D1C92" w:rsidRDefault="00881801" w:rsidP="002F09D2">
      <w:pPr>
        <w:pStyle w:val="ListParagraph"/>
        <w:numPr>
          <w:ilvl w:val="0"/>
          <w:numId w:val="4"/>
        </w:numPr>
        <w:spacing w:line="240" w:lineRule="auto"/>
        <w:ind w:left="426"/>
        <w:contextualSpacing w:val="0"/>
        <w:rPr>
          <w:rFonts w:ascii="Arial" w:hAnsi="Arial" w:cs="Arial"/>
          <w:sz w:val="20"/>
          <w:szCs w:val="20"/>
        </w:rPr>
      </w:pPr>
      <w:bookmarkStart w:id="2" w:name="_Hlk15981810"/>
      <w:r w:rsidRPr="002D1C92">
        <w:rPr>
          <w:rFonts w:ascii="Arial" w:hAnsi="Arial" w:cs="Arial"/>
          <w:sz w:val="20"/>
          <w:szCs w:val="20"/>
        </w:rPr>
        <w:t>Subsection 4.2(1) of the Prepaid Determination provides that a CSP must not activate a prepaid mobile carriage service unless it has:</w:t>
      </w:r>
    </w:p>
    <w:p w14:paraId="77E20461" w14:textId="2E163C9C" w:rsidR="004018BA" w:rsidRPr="002D1C92" w:rsidRDefault="004018BA" w:rsidP="002F09D2">
      <w:pPr>
        <w:pStyle w:val="ACMATableText"/>
        <w:numPr>
          <w:ilvl w:val="0"/>
          <w:numId w:val="37"/>
        </w:numPr>
        <w:tabs>
          <w:tab w:val="left" w:pos="5245"/>
        </w:tabs>
        <w:spacing w:before="80" w:after="120"/>
        <w:ind w:left="850" w:hanging="425"/>
        <w:rPr>
          <w:rFonts w:cs="Arial"/>
        </w:rPr>
      </w:pPr>
      <w:r w:rsidRPr="002D1C92">
        <w:rPr>
          <w:rFonts w:cs="Arial"/>
        </w:rPr>
        <w:t>obtained information from the customer in accordance with section 4.3</w:t>
      </w:r>
      <w:r w:rsidR="00340E9C" w:rsidRPr="002D1C92">
        <w:rPr>
          <w:rFonts w:cs="Arial"/>
        </w:rPr>
        <w:t xml:space="preserve">, </w:t>
      </w:r>
      <w:r w:rsidRPr="002D1C92">
        <w:rPr>
          <w:rFonts w:cs="Arial"/>
        </w:rPr>
        <w:t>and</w:t>
      </w:r>
    </w:p>
    <w:p w14:paraId="34CEE29E" w14:textId="77777777" w:rsidR="004018BA" w:rsidRPr="002D1C92" w:rsidRDefault="004018BA" w:rsidP="002F09D2">
      <w:pPr>
        <w:pStyle w:val="ACMATableText"/>
        <w:numPr>
          <w:ilvl w:val="0"/>
          <w:numId w:val="37"/>
        </w:numPr>
        <w:tabs>
          <w:tab w:val="left" w:pos="5245"/>
        </w:tabs>
        <w:spacing w:before="80" w:after="120"/>
        <w:ind w:left="850" w:hanging="425"/>
        <w:rPr>
          <w:rFonts w:cs="Arial"/>
        </w:rPr>
      </w:pPr>
      <w:r w:rsidRPr="002D1C92">
        <w:rPr>
          <w:rFonts w:cs="Arial"/>
        </w:rPr>
        <w:t>verified the identity of the customer in accordance with section 4.4 (if the customer is a purchaser) or section 4.5 (if the customer is a service activator), whichever is applicable.</w:t>
      </w:r>
    </w:p>
    <w:p w14:paraId="1F999454" w14:textId="313BE49B" w:rsidR="00881801" w:rsidRPr="002D1C92" w:rsidRDefault="00881801"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Neither of the exceptions under subsection 4.2(2) of the Prepaid Determination apply to the mobile carriage services identified in </w:t>
      </w:r>
      <w:proofErr w:type="spellStart"/>
      <w:r w:rsidRPr="002D1C92">
        <w:rPr>
          <w:rFonts w:ascii="Arial" w:hAnsi="Arial" w:cs="Arial"/>
          <w:sz w:val="20"/>
          <w:szCs w:val="20"/>
        </w:rPr>
        <w:t>Lycamobile’s</w:t>
      </w:r>
      <w:proofErr w:type="spellEnd"/>
      <w:r w:rsidRPr="002D1C92">
        <w:rPr>
          <w:rFonts w:ascii="Arial" w:hAnsi="Arial" w:cs="Arial"/>
          <w:sz w:val="20"/>
          <w:szCs w:val="20"/>
        </w:rPr>
        <w:t xml:space="preserve"> records.</w:t>
      </w:r>
      <w:r w:rsidR="00747907" w:rsidRPr="002D1C92">
        <w:rPr>
          <w:rStyle w:val="FootnoteReference"/>
          <w:rFonts w:ascii="Arial" w:hAnsi="Arial" w:cs="Arial"/>
          <w:sz w:val="20"/>
          <w:szCs w:val="20"/>
        </w:rPr>
        <w:footnoteReference w:id="10"/>
      </w:r>
    </w:p>
    <w:p w14:paraId="5E402A09" w14:textId="77777777" w:rsidR="00DE3BFA" w:rsidRPr="002D1C92" w:rsidRDefault="00DE3BFA" w:rsidP="00401906">
      <w:pPr>
        <w:pStyle w:val="ACMATableText"/>
        <w:spacing w:before="200" w:after="120"/>
        <w:rPr>
          <w:rFonts w:cs="Arial"/>
          <w:i/>
        </w:rPr>
      </w:pPr>
      <w:r w:rsidRPr="002D1C92">
        <w:rPr>
          <w:rFonts w:cs="Arial"/>
          <w:i/>
        </w:rPr>
        <w:t xml:space="preserve">Section 4.3 </w:t>
      </w:r>
    </w:p>
    <w:p w14:paraId="5BF70C1B" w14:textId="2CB89C72" w:rsidR="00D23E25" w:rsidRPr="002D1C92" w:rsidRDefault="00611F4B"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S</w:t>
      </w:r>
      <w:r w:rsidR="00EA7D25" w:rsidRPr="002D1C92">
        <w:rPr>
          <w:rFonts w:ascii="Arial" w:hAnsi="Arial" w:cs="Arial"/>
          <w:sz w:val="20"/>
          <w:szCs w:val="20"/>
        </w:rPr>
        <w:t>ection 4.3 of the Prepaid Determination</w:t>
      </w:r>
      <w:r w:rsidRPr="002D1C92">
        <w:rPr>
          <w:rFonts w:ascii="Arial" w:hAnsi="Arial" w:cs="Arial"/>
          <w:sz w:val="20"/>
          <w:szCs w:val="20"/>
        </w:rPr>
        <w:t xml:space="preserve"> specifies the information a CSP must obtain from a customer</w:t>
      </w:r>
      <w:r w:rsidR="00CF730C" w:rsidRPr="002D1C92">
        <w:rPr>
          <w:rFonts w:ascii="Arial" w:hAnsi="Arial" w:cs="Arial"/>
          <w:sz w:val="20"/>
          <w:szCs w:val="20"/>
        </w:rPr>
        <w:t xml:space="preserve"> before activating a prepaid mobile carriage service. The information </w:t>
      </w:r>
      <w:r w:rsidR="00C04C54" w:rsidRPr="002D1C92">
        <w:rPr>
          <w:rFonts w:ascii="Arial" w:hAnsi="Arial" w:cs="Arial"/>
          <w:sz w:val="20"/>
          <w:szCs w:val="20"/>
        </w:rPr>
        <w:t>varies</w:t>
      </w:r>
      <w:r w:rsidR="00EA7D25" w:rsidRPr="002D1C92">
        <w:rPr>
          <w:rFonts w:ascii="Arial" w:hAnsi="Arial" w:cs="Arial"/>
          <w:sz w:val="20"/>
          <w:szCs w:val="20"/>
        </w:rPr>
        <w:t xml:space="preserve"> depending on whether the customer is a purchaser or service activator.</w:t>
      </w:r>
    </w:p>
    <w:p w14:paraId="05AB602C" w14:textId="71F9E510" w:rsidR="004E0AB9" w:rsidRPr="002D1C92" w:rsidRDefault="00162FEC"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Irrespective of whether a customer is a purchaser or service activator, a CSP</w:t>
      </w:r>
      <w:r w:rsidR="00770F72" w:rsidRPr="002D1C92">
        <w:rPr>
          <w:rFonts w:ascii="Arial" w:hAnsi="Arial" w:cs="Arial"/>
          <w:sz w:val="20"/>
          <w:szCs w:val="20"/>
        </w:rPr>
        <w:t xml:space="preserve"> must </w:t>
      </w:r>
      <w:r w:rsidR="00EA7D25" w:rsidRPr="002D1C92">
        <w:rPr>
          <w:rFonts w:ascii="Arial" w:hAnsi="Arial" w:cs="Arial"/>
          <w:sz w:val="20"/>
          <w:szCs w:val="20"/>
        </w:rPr>
        <w:t xml:space="preserve">obtain </w:t>
      </w:r>
      <w:r w:rsidR="00770F72" w:rsidRPr="002D1C92">
        <w:rPr>
          <w:rFonts w:ascii="Arial" w:hAnsi="Arial" w:cs="Arial"/>
          <w:sz w:val="20"/>
          <w:szCs w:val="20"/>
        </w:rPr>
        <w:t>the</w:t>
      </w:r>
      <w:r w:rsidR="00EA7D25" w:rsidRPr="002D1C92">
        <w:rPr>
          <w:rFonts w:ascii="Arial" w:hAnsi="Arial" w:cs="Arial"/>
          <w:sz w:val="20"/>
          <w:szCs w:val="20"/>
        </w:rPr>
        <w:t xml:space="preserve"> customer’s name</w:t>
      </w:r>
      <w:r w:rsidR="00686CA7" w:rsidRPr="002D1C92">
        <w:rPr>
          <w:rFonts w:ascii="Arial" w:hAnsi="Arial" w:cs="Arial"/>
          <w:sz w:val="20"/>
          <w:szCs w:val="20"/>
        </w:rPr>
        <w:t xml:space="preserve"> before activating a prepaid mobile carriage service</w:t>
      </w:r>
      <w:r w:rsidR="00EA7D25" w:rsidRPr="002D1C92">
        <w:rPr>
          <w:rFonts w:ascii="Arial" w:hAnsi="Arial" w:cs="Arial"/>
          <w:sz w:val="20"/>
          <w:szCs w:val="20"/>
        </w:rPr>
        <w:t xml:space="preserve">. </w:t>
      </w:r>
      <w:r w:rsidR="004A2B41" w:rsidRPr="002D1C92">
        <w:rPr>
          <w:rFonts w:ascii="Arial" w:hAnsi="Arial" w:cs="Arial"/>
          <w:sz w:val="20"/>
          <w:szCs w:val="20"/>
        </w:rPr>
        <w:t xml:space="preserve">The effect of this provision is that the name obtained must be the actual name of the customer </w:t>
      </w:r>
      <w:r w:rsidR="00B65114" w:rsidRPr="002D1C92">
        <w:rPr>
          <w:rFonts w:ascii="Arial" w:hAnsi="Arial" w:cs="Arial"/>
          <w:sz w:val="20"/>
          <w:szCs w:val="20"/>
        </w:rPr>
        <w:t xml:space="preserve">and it is not sufficient that the </w:t>
      </w:r>
      <w:r w:rsidR="00B65114" w:rsidRPr="002D1C92">
        <w:rPr>
          <w:rFonts w:ascii="Arial" w:hAnsi="Arial" w:cs="Arial"/>
          <w:sz w:val="20"/>
          <w:szCs w:val="20"/>
        </w:rPr>
        <w:lastRenderedPageBreak/>
        <w:t>CSP obtain</w:t>
      </w:r>
      <w:r w:rsidR="004A2B41" w:rsidRPr="002D1C92">
        <w:rPr>
          <w:rFonts w:ascii="Arial" w:hAnsi="Arial" w:cs="Arial"/>
          <w:sz w:val="20"/>
          <w:szCs w:val="20"/>
        </w:rPr>
        <w:t xml:space="preserve"> a fictitious or nonsensical</w:t>
      </w:r>
      <w:r w:rsidR="00B65114" w:rsidRPr="002D1C92">
        <w:rPr>
          <w:rFonts w:ascii="Arial" w:hAnsi="Arial" w:cs="Arial"/>
          <w:sz w:val="20"/>
          <w:szCs w:val="20"/>
        </w:rPr>
        <w:t xml:space="preserve"> </w:t>
      </w:r>
      <w:r w:rsidR="00E01F94">
        <w:rPr>
          <w:rFonts w:ascii="Arial" w:hAnsi="Arial" w:cs="Arial"/>
          <w:sz w:val="20"/>
          <w:szCs w:val="20"/>
        </w:rPr>
        <w:t>name</w:t>
      </w:r>
      <w:r w:rsidR="00E01F94" w:rsidRPr="002D1C92">
        <w:rPr>
          <w:rFonts w:ascii="Arial" w:hAnsi="Arial" w:cs="Arial"/>
          <w:sz w:val="20"/>
          <w:szCs w:val="20"/>
        </w:rPr>
        <w:t xml:space="preserve"> </w:t>
      </w:r>
      <w:r w:rsidR="00B65114" w:rsidRPr="002D1C92">
        <w:rPr>
          <w:rFonts w:ascii="Arial" w:hAnsi="Arial" w:cs="Arial"/>
          <w:sz w:val="20"/>
          <w:szCs w:val="20"/>
        </w:rPr>
        <w:t xml:space="preserve">as the </w:t>
      </w:r>
      <w:proofErr w:type="gramStart"/>
      <w:r w:rsidR="00B65114" w:rsidRPr="002D1C92">
        <w:rPr>
          <w:rFonts w:ascii="Arial" w:hAnsi="Arial" w:cs="Arial"/>
          <w:sz w:val="20"/>
          <w:szCs w:val="20"/>
        </w:rPr>
        <w:t>customer</w:t>
      </w:r>
      <w:proofErr w:type="gramEnd"/>
      <w:r w:rsidR="004A2B41" w:rsidRPr="002D1C92">
        <w:rPr>
          <w:rFonts w:ascii="Arial" w:hAnsi="Arial" w:cs="Arial"/>
          <w:sz w:val="20"/>
          <w:szCs w:val="20"/>
        </w:rPr>
        <w:t xml:space="preserve"> name. </w:t>
      </w:r>
      <w:r w:rsidR="008A172E" w:rsidRPr="002D1C92">
        <w:rPr>
          <w:rFonts w:ascii="Arial" w:hAnsi="Arial" w:cs="Arial"/>
          <w:sz w:val="20"/>
          <w:szCs w:val="20"/>
        </w:rPr>
        <w:t xml:space="preserve">Any other meaning attributed to ‘customer name’ would be inconsistent with an objective of the Prepaid Determination, </w:t>
      </w:r>
      <w:r w:rsidR="004A2B41" w:rsidRPr="002D1C92">
        <w:rPr>
          <w:rFonts w:ascii="Arial" w:hAnsi="Arial" w:cs="Arial"/>
          <w:sz w:val="20"/>
          <w:szCs w:val="20"/>
        </w:rPr>
        <w:t xml:space="preserve">to </w:t>
      </w:r>
      <w:r w:rsidR="00500AFE" w:rsidRPr="002D1C92">
        <w:rPr>
          <w:rFonts w:ascii="Arial" w:hAnsi="Arial" w:cs="Arial"/>
          <w:i/>
          <w:iCs/>
          <w:sz w:val="20"/>
          <w:szCs w:val="20"/>
        </w:rPr>
        <w:t>‘</w:t>
      </w:r>
      <w:r w:rsidR="004A2B41" w:rsidRPr="002D1C92">
        <w:rPr>
          <w:rFonts w:ascii="Arial" w:hAnsi="Arial" w:cs="Arial"/>
          <w:i/>
          <w:iCs/>
          <w:sz w:val="20"/>
          <w:szCs w:val="20"/>
        </w:rPr>
        <w:t xml:space="preserve">assist law enforcement agencies to </w:t>
      </w:r>
      <w:r w:rsidR="004A2B41" w:rsidRPr="002D1C92">
        <w:rPr>
          <w:rFonts w:ascii="Arial" w:hAnsi="Arial" w:cs="Arial"/>
          <w:b/>
          <w:bCs/>
          <w:i/>
          <w:iCs/>
          <w:sz w:val="20"/>
          <w:szCs w:val="20"/>
        </w:rPr>
        <w:t>identify customers</w:t>
      </w:r>
      <w:r w:rsidR="004A2B41" w:rsidRPr="002D1C92">
        <w:rPr>
          <w:rFonts w:ascii="Arial" w:hAnsi="Arial" w:cs="Arial"/>
          <w:i/>
          <w:iCs/>
          <w:sz w:val="20"/>
          <w:szCs w:val="20"/>
        </w:rPr>
        <w:t xml:space="preserve"> </w:t>
      </w:r>
      <w:r w:rsidR="002768A7" w:rsidRPr="002D1C92">
        <w:rPr>
          <w:rFonts w:ascii="Arial" w:hAnsi="Arial" w:cs="Arial"/>
          <w:i/>
          <w:iCs/>
          <w:sz w:val="20"/>
          <w:szCs w:val="20"/>
        </w:rPr>
        <w:t>[</w:t>
      </w:r>
      <w:r w:rsidR="004A2B41" w:rsidRPr="002D1C92">
        <w:rPr>
          <w:rFonts w:ascii="Arial" w:hAnsi="Arial" w:cs="Arial"/>
          <w:sz w:val="20"/>
          <w:szCs w:val="20"/>
        </w:rPr>
        <w:t>emphasis added</w:t>
      </w:r>
      <w:r w:rsidR="00EC33BA" w:rsidRPr="002D1C92">
        <w:rPr>
          <w:rFonts w:ascii="Arial" w:hAnsi="Arial" w:cs="Arial"/>
          <w:i/>
          <w:iCs/>
          <w:sz w:val="20"/>
          <w:szCs w:val="20"/>
        </w:rPr>
        <w:t>]</w:t>
      </w:r>
      <w:r w:rsidR="004A2B41" w:rsidRPr="002D1C92">
        <w:rPr>
          <w:rFonts w:ascii="Arial" w:hAnsi="Arial" w:cs="Arial"/>
          <w:i/>
          <w:iCs/>
          <w:sz w:val="20"/>
          <w:szCs w:val="20"/>
        </w:rPr>
        <w:t xml:space="preserve"> in relation to prepaid mobile carriage </w:t>
      </w:r>
      <w:proofErr w:type="gramStart"/>
      <w:r w:rsidR="004A2B41" w:rsidRPr="002D1C92">
        <w:rPr>
          <w:rFonts w:ascii="Arial" w:hAnsi="Arial" w:cs="Arial"/>
          <w:i/>
          <w:iCs/>
          <w:sz w:val="20"/>
          <w:szCs w:val="20"/>
        </w:rPr>
        <w:t>services</w:t>
      </w:r>
      <w:r w:rsidR="00500AFE" w:rsidRPr="002D1C92">
        <w:rPr>
          <w:rFonts w:ascii="Arial" w:hAnsi="Arial" w:cs="Arial"/>
          <w:i/>
          <w:iCs/>
          <w:sz w:val="20"/>
          <w:szCs w:val="20"/>
        </w:rPr>
        <w:t>’</w:t>
      </w:r>
      <w:proofErr w:type="gramEnd"/>
      <w:r w:rsidR="001A76A4" w:rsidRPr="002D1C92">
        <w:rPr>
          <w:rFonts w:ascii="Arial" w:hAnsi="Arial" w:cs="Arial"/>
          <w:sz w:val="20"/>
          <w:szCs w:val="20"/>
        </w:rPr>
        <w:t>.</w:t>
      </w:r>
    </w:p>
    <w:p w14:paraId="66C2BEC4" w14:textId="36F6CB7C" w:rsidR="00EA7D25" w:rsidRPr="002D1C92" w:rsidRDefault="00A91CE7"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ACMA made a preliminary finding that </w:t>
      </w:r>
      <w:proofErr w:type="spellStart"/>
      <w:r w:rsidRPr="002D1C92">
        <w:rPr>
          <w:rFonts w:ascii="Arial" w:hAnsi="Arial" w:cs="Arial"/>
          <w:sz w:val="20"/>
          <w:szCs w:val="20"/>
        </w:rPr>
        <w:t>Lycamob</w:t>
      </w:r>
      <w:r w:rsidR="00A82737" w:rsidRPr="002D1C92">
        <w:rPr>
          <w:rFonts w:ascii="Arial" w:hAnsi="Arial" w:cs="Arial"/>
          <w:sz w:val="20"/>
          <w:szCs w:val="20"/>
        </w:rPr>
        <w:t>i</w:t>
      </w:r>
      <w:r w:rsidRPr="002D1C92">
        <w:rPr>
          <w:rFonts w:ascii="Arial" w:hAnsi="Arial" w:cs="Arial"/>
          <w:sz w:val="20"/>
          <w:szCs w:val="20"/>
        </w:rPr>
        <w:t>le</w:t>
      </w:r>
      <w:proofErr w:type="spellEnd"/>
      <w:r w:rsidRPr="002D1C92">
        <w:rPr>
          <w:rFonts w:ascii="Arial" w:hAnsi="Arial" w:cs="Arial"/>
          <w:sz w:val="20"/>
          <w:szCs w:val="20"/>
        </w:rPr>
        <w:t xml:space="preserve"> did not obtain the customer</w:t>
      </w:r>
      <w:r w:rsidR="004E0AB9" w:rsidRPr="002D1C92">
        <w:rPr>
          <w:rFonts w:ascii="Arial" w:hAnsi="Arial" w:cs="Arial"/>
          <w:sz w:val="20"/>
          <w:szCs w:val="20"/>
        </w:rPr>
        <w:t>’s</w:t>
      </w:r>
      <w:r w:rsidRPr="002D1C92">
        <w:rPr>
          <w:rFonts w:ascii="Arial" w:hAnsi="Arial" w:cs="Arial"/>
          <w:sz w:val="20"/>
          <w:szCs w:val="20"/>
        </w:rPr>
        <w:t xml:space="preserve"> name in </w:t>
      </w:r>
      <w:r w:rsidR="00FC5D7B" w:rsidRPr="002D1C92">
        <w:rPr>
          <w:rFonts w:ascii="Arial" w:hAnsi="Arial" w:cs="Arial"/>
          <w:sz w:val="20"/>
          <w:szCs w:val="20"/>
        </w:rPr>
        <w:t xml:space="preserve">84 </w:t>
      </w:r>
      <w:r w:rsidRPr="002D1C92">
        <w:rPr>
          <w:rFonts w:ascii="Arial" w:hAnsi="Arial" w:cs="Arial"/>
          <w:sz w:val="20"/>
          <w:szCs w:val="20"/>
        </w:rPr>
        <w:t>instances</w:t>
      </w:r>
      <w:r w:rsidR="004E0AB9" w:rsidRPr="002D1C92">
        <w:rPr>
          <w:rFonts w:ascii="Arial" w:hAnsi="Arial" w:cs="Arial"/>
          <w:sz w:val="20"/>
          <w:szCs w:val="20"/>
        </w:rPr>
        <w:t xml:space="preserve">. </w:t>
      </w:r>
      <w:r w:rsidR="00EA7D25" w:rsidRPr="002D1C92" w:rsidDel="00BA177C">
        <w:rPr>
          <w:rFonts w:ascii="Arial" w:hAnsi="Arial" w:cs="Arial"/>
          <w:sz w:val="20"/>
          <w:szCs w:val="20"/>
        </w:rPr>
        <w:t xml:space="preserve">In these </w:t>
      </w:r>
      <w:r w:rsidR="00B3653F" w:rsidRPr="002D1C92">
        <w:rPr>
          <w:rFonts w:ascii="Arial" w:hAnsi="Arial" w:cs="Arial"/>
          <w:sz w:val="20"/>
          <w:szCs w:val="20"/>
        </w:rPr>
        <w:t>instances</w:t>
      </w:r>
      <w:r w:rsidR="00EA7D25" w:rsidRPr="002D1C92" w:rsidDel="00BA177C">
        <w:rPr>
          <w:rFonts w:ascii="Arial" w:hAnsi="Arial" w:cs="Arial"/>
          <w:sz w:val="20"/>
          <w:szCs w:val="20"/>
        </w:rPr>
        <w:t xml:space="preserve">, the recorded name </w:t>
      </w:r>
      <w:r w:rsidR="004E0AB9" w:rsidRPr="002D1C92" w:rsidDel="00BA177C">
        <w:rPr>
          <w:rFonts w:ascii="Arial" w:hAnsi="Arial" w:cs="Arial"/>
          <w:sz w:val="20"/>
          <w:szCs w:val="20"/>
        </w:rPr>
        <w:t>appear</w:t>
      </w:r>
      <w:r w:rsidR="004E0AB9" w:rsidRPr="002D1C92">
        <w:rPr>
          <w:rFonts w:ascii="Arial" w:hAnsi="Arial" w:cs="Arial"/>
          <w:sz w:val="20"/>
          <w:szCs w:val="20"/>
        </w:rPr>
        <w:t>ed</w:t>
      </w:r>
      <w:r w:rsidR="004E0AB9" w:rsidRPr="002D1C92" w:rsidDel="00BA177C">
        <w:rPr>
          <w:rFonts w:ascii="Arial" w:hAnsi="Arial" w:cs="Arial"/>
          <w:sz w:val="20"/>
          <w:szCs w:val="20"/>
        </w:rPr>
        <w:t xml:space="preserve"> </w:t>
      </w:r>
      <w:r w:rsidR="00EA7D25" w:rsidRPr="002D1C92" w:rsidDel="00BA177C">
        <w:rPr>
          <w:rFonts w:ascii="Arial" w:hAnsi="Arial" w:cs="Arial"/>
          <w:sz w:val="20"/>
          <w:szCs w:val="20"/>
        </w:rPr>
        <w:t xml:space="preserve">to be </w:t>
      </w:r>
      <w:r w:rsidR="005F0830" w:rsidRPr="002D1C92" w:rsidDel="00BA177C">
        <w:rPr>
          <w:rFonts w:ascii="Arial" w:hAnsi="Arial" w:cs="Arial"/>
          <w:sz w:val="20"/>
          <w:szCs w:val="20"/>
        </w:rPr>
        <w:t>a series of random letters and symbols</w:t>
      </w:r>
      <w:r w:rsidR="004E0AB9" w:rsidRPr="002D1C92" w:rsidDel="00BA177C">
        <w:rPr>
          <w:rFonts w:ascii="Arial" w:hAnsi="Arial" w:cs="Arial"/>
          <w:sz w:val="20"/>
          <w:szCs w:val="20"/>
        </w:rPr>
        <w:t xml:space="preserve"> </w:t>
      </w:r>
      <w:r w:rsidR="00E8214F" w:rsidRPr="002D1C92">
        <w:rPr>
          <w:rFonts w:ascii="Arial" w:hAnsi="Arial" w:cs="Arial"/>
          <w:sz w:val="20"/>
          <w:szCs w:val="20"/>
        </w:rPr>
        <w:t xml:space="preserve">(what is sometimes referred to as a ‘keyboard smash’ entry) </w:t>
      </w:r>
      <w:r w:rsidR="004E0AB9" w:rsidRPr="002D1C92">
        <w:rPr>
          <w:rFonts w:ascii="Arial" w:hAnsi="Arial" w:cs="Arial"/>
          <w:sz w:val="20"/>
          <w:szCs w:val="20"/>
        </w:rPr>
        <w:t>o</w:t>
      </w:r>
      <w:r w:rsidR="00E8214F" w:rsidRPr="002D1C92">
        <w:rPr>
          <w:rFonts w:ascii="Arial" w:hAnsi="Arial" w:cs="Arial"/>
          <w:sz w:val="20"/>
          <w:szCs w:val="20"/>
        </w:rPr>
        <w:t>r consisted</w:t>
      </w:r>
      <w:r w:rsidR="004E0AB9" w:rsidRPr="002D1C92" w:rsidDel="00BA177C">
        <w:rPr>
          <w:rFonts w:ascii="Arial" w:hAnsi="Arial" w:cs="Arial"/>
          <w:sz w:val="20"/>
          <w:szCs w:val="20"/>
        </w:rPr>
        <w:t xml:space="preserve"> o</w:t>
      </w:r>
      <w:r w:rsidR="00E8214F" w:rsidRPr="002D1C92">
        <w:rPr>
          <w:rFonts w:ascii="Arial" w:hAnsi="Arial" w:cs="Arial"/>
          <w:sz w:val="20"/>
          <w:szCs w:val="20"/>
        </w:rPr>
        <w:t>f</w:t>
      </w:r>
      <w:r w:rsidR="004E0AB9" w:rsidRPr="002D1C92" w:rsidDel="00BA177C">
        <w:rPr>
          <w:rFonts w:ascii="Arial" w:hAnsi="Arial" w:cs="Arial"/>
          <w:sz w:val="20"/>
          <w:szCs w:val="20"/>
        </w:rPr>
        <w:t xml:space="preserve"> a fictional name</w:t>
      </w:r>
      <w:r w:rsidR="00EA7D25" w:rsidRPr="002D1C92" w:rsidDel="00BA177C">
        <w:rPr>
          <w:rFonts w:ascii="Arial" w:hAnsi="Arial" w:cs="Arial"/>
          <w:sz w:val="20"/>
          <w:szCs w:val="20"/>
        </w:rPr>
        <w:t xml:space="preserve">. </w:t>
      </w:r>
    </w:p>
    <w:p w14:paraId="46EF5CBB" w14:textId="1AD58629" w:rsidR="003D7ED3" w:rsidRPr="002D1C92" w:rsidRDefault="005648FF"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In </w:t>
      </w:r>
      <w:proofErr w:type="spellStart"/>
      <w:r w:rsidR="003D7ED3" w:rsidRPr="002D1C92">
        <w:rPr>
          <w:rFonts w:ascii="Arial" w:hAnsi="Arial" w:cs="Arial"/>
          <w:sz w:val="20"/>
          <w:szCs w:val="20"/>
        </w:rPr>
        <w:t>Lycamobile’s</w:t>
      </w:r>
      <w:proofErr w:type="spellEnd"/>
      <w:r w:rsidR="003D7ED3" w:rsidRPr="002D1C92">
        <w:rPr>
          <w:rFonts w:ascii="Arial" w:hAnsi="Arial" w:cs="Arial"/>
          <w:sz w:val="20"/>
          <w:szCs w:val="20"/>
        </w:rPr>
        <w:t xml:space="preserve"> submission to the Preliminary Investigation Report,</w:t>
      </w:r>
      <w:r w:rsidR="00522324" w:rsidRPr="002D1C92">
        <w:rPr>
          <w:rFonts w:ascii="Arial" w:hAnsi="Arial" w:cs="Arial"/>
          <w:sz w:val="20"/>
          <w:szCs w:val="20"/>
        </w:rPr>
        <w:t xml:space="preserve"> it </w:t>
      </w:r>
      <w:r w:rsidRPr="002D1C92">
        <w:rPr>
          <w:rFonts w:ascii="Arial" w:hAnsi="Arial" w:cs="Arial"/>
          <w:sz w:val="20"/>
          <w:szCs w:val="20"/>
        </w:rPr>
        <w:t>a</w:t>
      </w:r>
      <w:r w:rsidR="00591F78" w:rsidRPr="002D1C92">
        <w:rPr>
          <w:rFonts w:ascii="Arial" w:hAnsi="Arial" w:cs="Arial"/>
          <w:sz w:val="20"/>
          <w:szCs w:val="20"/>
        </w:rPr>
        <w:t>sserted</w:t>
      </w:r>
      <w:r w:rsidRPr="002D1C92">
        <w:rPr>
          <w:rFonts w:ascii="Arial" w:hAnsi="Arial" w:cs="Arial"/>
          <w:sz w:val="20"/>
          <w:szCs w:val="20"/>
        </w:rPr>
        <w:t xml:space="preserve"> that</w:t>
      </w:r>
      <w:r w:rsidR="00591F78" w:rsidRPr="002D1C92">
        <w:rPr>
          <w:rFonts w:ascii="Arial" w:hAnsi="Arial" w:cs="Arial"/>
          <w:sz w:val="20"/>
          <w:szCs w:val="20"/>
        </w:rPr>
        <w:t xml:space="preserve"> certain nationalities may only have one name on their identification documents and that this was the case with </w:t>
      </w:r>
      <w:proofErr w:type="gramStart"/>
      <w:r w:rsidR="003D7ED3" w:rsidRPr="002D1C92">
        <w:rPr>
          <w:rFonts w:ascii="Arial" w:hAnsi="Arial" w:cs="Arial"/>
          <w:sz w:val="20"/>
          <w:szCs w:val="20"/>
        </w:rPr>
        <w:t>all of</w:t>
      </w:r>
      <w:proofErr w:type="gramEnd"/>
      <w:r w:rsidR="003D7ED3" w:rsidRPr="002D1C92">
        <w:rPr>
          <w:rFonts w:ascii="Arial" w:hAnsi="Arial" w:cs="Arial"/>
          <w:sz w:val="20"/>
          <w:szCs w:val="20"/>
        </w:rPr>
        <w:t xml:space="preserve"> </w:t>
      </w:r>
      <w:r w:rsidR="00591F78" w:rsidRPr="002D1C92">
        <w:rPr>
          <w:rFonts w:ascii="Arial" w:hAnsi="Arial" w:cs="Arial"/>
          <w:sz w:val="20"/>
          <w:szCs w:val="20"/>
        </w:rPr>
        <w:t xml:space="preserve">the </w:t>
      </w:r>
      <w:r w:rsidR="00631F09" w:rsidRPr="002D1C92">
        <w:rPr>
          <w:rFonts w:ascii="Arial" w:hAnsi="Arial" w:cs="Arial"/>
          <w:sz w:val="20"/>
          <w:szCs w:val="20"/>
        </w:rPr>
        <w:t xml:space="preserve">84 </w:t>
      </w:r>
      <w:r w:rsidR="00AC73FE" w:rsidRPr="002D1C92">
        <w:rPr>
          <w:rFonts w:ascii="Arial" w:hAnsi="Arial" w:cs="Arial"/>
          <w:sz w:val="20"/>
          <w:szCs w:val="20"/>
        </w:rPr>
        <w:t xml:space="preserve">records </w:t>
      </w:r>
      <w:r w:rsidR="00591F78" w:rsidRPr="002D1C92">
        <w:rPr>
          <w:rFonts w:ascii="Arial" w:hAnsi="Arial" w:cs="Arial"/>
          <w:sz w:val="20"/>
          <w:szCs w:val="20"/>
        </w:rPr>
        <w:t>specified by the ACMA in its list of contraventions.</w:t>
      </w:r>
      <w:r w:rsidR="00522324" w:rsidRPr="002D1C92">
        <w:rPr>
          <w:rFonts w:ascii="Arial" w:hAnsi="Arial" w:cs="Arial"/>
          <w:sz w:val="20"/>
          <w:szCs w:val="20"/>
        </w:rPr>
        <w:t xml:space="preserve"> </w:t>
      </w:r>
      <w:proofErr w:type="spellStart"/>
      <w:r w:rsidR="003D7ED3" w:rsidRPr="002D1C92">
        <w:rPr>
          <w:rFonts w:ascii="Arial" w:hAnsi="Arial" w:cs="Arial"/>
          <w:sz w:val="20"/>
          <w:szCs w:val="20"/>
        </w:rPr>
        <w:t>Lycamobile</w:t>
      </w:r>
      <w:proofErr w:type="spellEnd"/>
      <w:r w:rsidR="003D7ED3" w:rsidRPr="002D1C92">
        <w:rPr>
          <w:rFonts w:ascii="Arial" w:hAnsi="Arial" w:cs="Arial"/>
          <w:sz w:val="20"/>
          <w:szCs w:val="20"/>
        </w:rPr>
        <w:t xml:space="preserve"> provided some general examples of identification documents</w:t>
      </w:r>
      <w:r w:rsidR="00522324" w:rsidRPr="002D1C92">
        <w:rPr>
          <w:rFonts w:ascii="Arial" w:hAnsi="Arial" w:cs="Arial"/>
          <w:sz w:val="20"/>
          <w:szCs w:val="20"/>
        </w:rPr>
        <w:t xml:space="preserve"> containing a single name</w:t>
      </w:r>
      <w:r w:rsidR="003D7ED3" w:rsidRPr="002D1C92">
        <w:rPr>
          <w:rFonts w:ascii="Arial" w:hAnsi="Arial" w:cs="Arial"/>
          <w:sz w:val="20"/>
          <w:szCs w:val="20"/>
        </w:rPr>
        <w:t xml:space="preserve">, </w:t>
      </w:r>
      <w:r w:rsidR="00481DBA" w:rsidRPr="002D1C92">
        <w:rPr>
          <w:rFonts w:ascii="Arial" w:hAnsi="Arial" w:cs="Arial"/>
          <w:sz w:val="20"/>
          <w:szCs w:val="20"/>
        </w:rPr>
        <w:t xml:space="preserve">none of </w:t>
      </w:r>
      <w:r w:rsidR="003D7ED3" w:rsidRPr="002D1C92">
        <w:rPr>
          <w:rFonts w:ascii="Arial" w:hAnsi="Arial" w:cs="Arial"/>
          <w:sz w:val="20"/>
          <w:szCs w:val="20"/>
        </w:rPr>
        <w:t>which relate</w:t>
      </w:r>
      <w:r w:rsidR="00481DBA" w:rsidRPr="002D1C92">
        <w:rPr>
          <w:rFonts w:ascii="Arial" w:hAnsi="Arial" w:cs="Arial"/>
          <w:sz w:val="20"/>
          <w:szCs w:val="20"/>
        </w:rPr>
        <w:t>d</w:t>
      </w:r>
      <w:r w:rsidR="003D7ED3" w:rsidRPr="002D1C92">
        <w:rPr>
          <w:rFonts w:ascii="Arial" w:hAnsi="Arial" w:cs="Arial"/>
          <w:sz w:val="20"/>
          <w:szCs w:val="20"/>
        </w:rPr>
        <w:t xml:space="preserve"> to the 84 </w:t>
      </w:r>
      <w:r w:rsidR="00AC73FE" w:rsidRPr="002D1C92">
        <w:rPr>
          <w:rFonts w:ascii="Arial" w:hAnsi="Arial" w:cs="Arial"/>
          <w:sz w:val="20"/>
          <w:szCs w:val="20"/>
        </w:rPr>
        <w:t xml:space="preserve">records. </w:t>
      </w:r>
      <w:r w:rsidR="002077F5" w:rsidRPr="002D1C92">
        <w:rPr>
          <w:rFonts w:ascii="Arial" w:hAnsi="Arial" w:cs="Arial"/>
          <w:sz w:val="20"/>
          <w:szCs w:val="20"/>
        </w:rPr>
        <w:t>T</w:t>
      </w:r>
      <w:r w:rsidR="00522324" w:rsidRPr="002D1C92">
        <w:rPr>
          <w:rFonts w:ascii="Arial" w:hAnsi="Arial" w:cs="Arial"/>
          <w:sz w:val="20"/>
          <w:szCs w:val="20"/>
        </w:rPr>
        <w:t xml:space="preserve">his explanation </w:t>
      </w:r>
      <w:r w:rsidR="002077F5" w:rsidRPr="002D1C92">
        <w:rPr>
          <w:rFonts w:ascii="Arial" w:hAnsi="Arial" w:cs="Arial"/>
          <w:sz w:val="20"/>
          <w:szCs w:val="20"/>
        </w:rPr>
        <w:t xml:space="preserve">does not, however, account for the keyboard smash entries or fictional names </w:t>
      </w:r>
      <w:r w:rsidR="00E01F94">
        <w:rPr>
          <w:rFonts w:ascii="Arial" w:hAnsi="Arial" w:cs="Arial"/>
          <w:sz w:val="20"/>
          <w:szCs w:val="20"/>
        </w:rPr>
        <w:t>noted</w:t>
      </w:r>
      <w:r w:rsidR="00E01F94" w:rsidRPr="002D1C92">
        <w:rPr>
          <w:rFonts w:ascii="Arial" w:hAnsi="Arial" w:cs="Arial"/>
          <w:sz w:val="20"/>
          <w:szCs w:val="20"/>
        </w:rPr>
        <w:t xml:space="preserve"> </w:t>
      </w:r>
      <w:r w:rsidR="002077F5" w:rsidRPr="002D1C92">
        <w:rPr>
          <w:rFonts w:ascii="Arial" w:hAnsi="Arial" w:cs="Arial"/>
          <w:sz w:val="20"/>
          <w:szCs w:val="20"/>
        </w:rPr>
        <w:t>in paragraph</w:t>
      </w:r>
      <w:r w:rsidR="00AC73FE" w:rsidRPr="002D1C92">
        <w:rPr>
          <w:rFonts w:ascii="Arial" w:hAnsi="Arial" w:cs="Arial"/>
          <w:sz w:val="20"/>
          <w:szCs w:val="20"/>
        </w:rPr>
        <w:t xml:space="preserve"> </w:t>
      </w:r>
      <w:r w:rsidR="00AB5386" w:rsidRPr="00D55982">
        <w:rPr>
          <w:rFonts w:ascii="Arial" w:hAnsi="Arial" w:cs="Arial"/>
          <w:sz w:val="20"/>
          <w:szCs w:val="20"/>
        </w:rPr>
        <w:t>30</w:t>
      </w:r>
      <w:r w:rsidR="00522324" w:rsidRPr="002D1C92">
        <w:rPr>
          <w:rFonts w:ascii="Arial" w:hAnsi="Arial" w:cs="Arial"/>
          <w:sz w:val="20"/>
          <w:szCs w:val="20"/>
        </w:rPr>
        <w:t>.</w:t>
      </w:r>
    </w:p>
    <w:p w14:paraId="38CB52FB" w14:textId="0A3E0198" w:rsidR="003D7ED3" w:rsidRPr="002D1C92" w:rsidRDefault="00AC73FE" w:rsidP="002F09D2">
      <w:pPr>
        <w:pStyle w:val="ListParagraph"/>
        <w:numPr>
          <w:ilvl w:val="0"/>
          <w:numId w:val="4"/>
        </w:numPr>
        <w:spacing w:line="240" w:lineRule="auto"/>
        <w:rPr>
          <w:rFonts w:ascii="Arial" w:hAnsi="Arial" w:cs="Arial"/>
          <w:sz w:val="20"/>
          <w:szCs w:val="20"/>
        </w:rPr>
      </w:pPr>
      <w:r w:rsidRPr="002D1C92">
        <w:rPr>
          <w:rFonts w:ascii="Arial" w:hAnsi="Arial" w:cs="Arial"/>
          <w:sz w:val="20"/>
          <w:szCs w:val="20"/>
        </w:rPr>
        <w:t>Nevertheless</w:t>
      </w:r>
      <w:r w:rsidR="003D7ED3" w:rsidRPr="002D1C92">
        <w:rPr>
          <w:rFonts w:ascii="Arial" w:hAnsi="Arial" w:cs="Arial"/>
          <w:sz w:val="20"/>
          <w:szCs w:val="20"/>
        </w:rPr>
        <w:t xml:space="preserve">, the ACMA re-examined </w:t>
      </w:r>
      <w:proofErr w:type="gramStart"/>
      <w:r w:rsidR="002077F5" w:rsidRPr="002D1C92">
        <w:rPr>
          <w:rFonts w:ascii="Arial" w:hAnsi="Arial" w:cs="Arial"/>
          <w:sz w:val="20"/>
          <w:szCs w:val="20"/>
        </w:rPr>
        <w:t>all of</w:t>
      </w:r>
      <w:proofErr w:type="gramEnd"/>
      <w:r w:rsidR="002077F5" w:rsidRPr="002D1C92">
        <w:rPr>
          <w:rFonts w:ascii="Arial" w:hAnsi="Arial" w:cs="Arial"/>
          <w:sz w:val="20"/>
          <w:szCs w:val="20"/>
        </w:rPr>
        <w:t xml:space="preserve"> </w:t>
      </w:r>
      <w:r w:rsidR="003D7ED3" w:rsidRPr="002D1C92">
        <w:rPr>
          <w:rFonts w:ascii="Arial" w:hAnsi="Arial" w:cs="Arial"/>
          <w:sz w:val="20"/>
          <w:szCs w:val="20"/>
        </w:rPr>
        <w:t xml:space="preserve">the 84 </w:t>
      </w:r>
      <w:r w:rsidRPr="002D1C92">
        <w:rPr>
          <w:rFonts w:ascii="Arial" w:hAnsi="Arial" w:cs="Arial"/>
          <w:sz w:val="20"/>
          <w:szCs w:val="20"/>
        </w:rPr>
        <w:t>records and undertook searches</w:t>
      </w:r>
      <w:r w:rsidR="00D80F3D">
        <w:rPr>
          <w:rFonts w:ascii="Arial" w:hAnsi="Arial" w:cs="Arial"/>
          <w:sz w:val="20"/>
          <w:szCs w:val="20"/>
        </w:rPr>
        <w:t xml:space="preserve"> using publicly available information</w:t>
      </w:r>
      <w:r w:rsidR="002077F5" w:rsidRPr="002D1C92">
        <w:rPr>
          <w:rFonts w:ascii="Arial" w:hAnsi="Arial" w:cs="Arial"/>
          <w:sz w:val="20"/>
          <w:szCs w:val="20"/>
        </w:rPr>
        <w:t xml:space="preserve"> on each of the recorded names</w:t>
      </w:r>
      <w:r w:rsidRPr="002D1C92">
        <w:rPr>
          <w:rFonts w:ascii="Arial" w:hAnsi="Arial" w:cs="Arial"/>
          <w:sz w:val="20"/>
          <w:szCs w:val="20"/>
        </w:rPr>
        <w:t xml:space="preserve"> </w:t>
      </w:r>
      <w:r w:rsidR="003D7ED3" w:rsidRPr="002D1C92">
        <w:rPr>
          <w:rFonts w:ascii="Arial" w:hAnsi="Arial" w:cs="Arial"/>
          <w:sz w:val="20"/>
          <w:szCs w:val="20"/>
        </w:rPr>
        <w:t>and found that 3</w:t>
      </w:r>
      <w:r w:rsidR="00312985" w:rsidRPr="002D1C92">
        <w:rPr>
          <w:rFonts w:ascii="Arial" w:hAnsi="Arial" w:cs="Arial"/>
          <w:sz w:val="20"/>
          <w:szCs w:val="20"/>
        </w:rPr>
        <w:t>9</w:t>
      </w:r>
      <w:r w:rsidR="003D7ED3" w:rsidRPr="002D1C92">
        <w:rPr>
          <w:rFonts w:ascii="Arial" w:hAnsi="Arial" w:cs="Arial"/>
          <w:sz w:val="20"/>
          <w:szCs w:val="20"/>
        </w:rPr>
        <w:t xml:space="preserve"> entries appeared to contain:</w:t>
      </w:r>
    </w:p>
    <w:p w14:paraId="46A709F6" w14:textId="4455EEAE" w:rsidR="003D7ED3" w:rsidRPr="002D1C92" w:rsidRDefault="00497288" w:rsidP="002F09D2">
      <w:pPr>
        <w:pStyle w:val="ACMATableText"/>
        <w:numPr>
          <w:ilvl w:val="0"/>
          <w:numId w:val="38"/>
        </w:numPr>
        <w:tabs>
          <w:tab w:val="left" w:pos="5245"/>
        </w:tabs>
        <w:spacing w:before="80" w:after="120"/>
        <w:ind w:left="850" w:hanging="357"/>
        <w:rPr>
          <w:rFonts w:cs="Arial"/>
        </w:rPr>
      </w:pPr>
      <w:r w:rsidRPr="002D1C92">
        <w:rPr>
          <w:rFonts w:cs="Arial"/>
        </w:rPr>
        <w:t xml:space="preserve">actual </w:t>
      </w:r>
      <w:r w:rsidR="003D7ED3" w:rsidRPr="002D1C92">
        <w:rPr>
          <w:rFonts w:cs="Arial"/>
        </w:rPr>
        <w:t xml:space="preserve">single names, as asserted by </w:t>
      </w:r>
      <w:proofErr w:type="spellStart"/>
      <w:r w:rsidR="003D7ED3" w:rsidRPr="002D1C92">
        <w:rPr>
          <w:rFonts w:cs="Arial"/>
        </w:rPr>
        <w:t>Lycamobile</w:t>
      </w:r>
      <w:proofErr w:type="spellEnd"/>
      <w:r w:rsidR="003D7ED3" w:rsidRPr="002D1C92">
        <w:rPr>
          <w:rFonts w:cs="Arial"/>
        </w:rPr>
        <w:t xml:space="preserve"> in its response to the Preliminary Investigation Report, or</w:t>
      </w:r>
    </w:p>
    <w:p w14:paraId="5B48B434" w14:textId="09019BAC" w:rsidR="003D7ED3" w:rsidRPr="002D1C92" w:rsidRDefault="00497288" w:rsidP="002F09D2">
      <w:pPr>
        <w:pStyle w:val="ACMATableText"/>
        <w:numPr>
          <w:ilvl w:val="0"/>
          <w:numId w:val="38"/>
        </w:numPr>
        <w:tabs>
          <w:tab w:val="left" w:pos="5245"/>
        </w:tabs>
        <w:spacing w:before="80" w:after="120"/>
        <w:ind w:left="850" w:hanging="357"/>
        <w:rPr>
          <w:rFonts w:cs="Arial"/>
        </w:rPr>
      </w:pPr>
      <w:r w:rsidRPr="002D1C92">
        <w:rPr>
          <w:rFonts w:cs="Arial"/>
        </w:rPr>
        <w:t xml:space="preserve">actual </w:t>
      </w:r>
      <w:r w:rsidR="003D7ED3" w:rsidRPr="002D1C92">
        <w:rPr>
          <w:rFonts w:cs="Arial"/>
        </w:rPr>
        <w:t xml:space="preserve">names which had been entered incorrectly, for example, a space was missing between the first name and surname. </w:t>
      </w:r>
    </w:p>
    <w:p w14:paraId="6DA4F860" w14:textId="2F8EFD71" w:rsidR="0055103B" w:rsidRPr="002D1C92" w:rsidRDefault="003D7ED3"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For the remaining 4</w:t>
      </w:r>
      <w:r w:rsidR="00312985" w:rsidRPr="002D1C92">
        <w:rPr>
          <w:rFonts w:ascii="Arial" w:hAnsi="Arial" w:cs="Arial"/>
          <w:sz w:val="20"/>
          <w:szCs w:val="20"/>
        </w:rPr>
        <w:t>5</w:t>
      </w:r>
      <w:r w:rsidRPr="002D1C92">
        <w:rPr>
          <w:rFonts w:ascii="Arial" w:hAnsi="Arial" w:cs="Arial"/>
          <w:sz w:val="20"/>
          <w:szCs w:val="20"/>
        </w:rPr>
        <w:t xml:space="preserve"> entries</w:t>
      </w:r>
      <w:r w:rsidR="00A91CE7" w:rsidRPr="002D1C92">
        <w:rPr>
          <w:rFonts w:ascii="Arial" w:hAnsi="Arial" w:cs="Arial"/>
          <w:sz w:val="20"/>
          <w:szCs w:val="20"/>
        </w:rPr>
        <w:t>, t</w:t>
      </w:r>
      <w:r w:rsidR="00591F78" w:rsidRPr="002D1C92">
        <w:rPr>
          <w:rFonts w:ascii="Arial" w:hAnsi="Arial" w:cs="Arial"/>
          <w:sz w:val="20"/>
          <w:szCs w:val="20"/>
        </w:rPr>
        <w:t>he ACMA</w:t>
      </w:r>
      <w:r w:rsidRPr="002D1C92">
        <w:rPr>
          <w:rFonts w:ascii="Arial" w:hAnsi="Arial" w:cs="Arial"/>
          <w:sz w:val="20"/>
          <w:szCs w:val="20"/>
        </w:rPr>
        <w:t xml:space="preserve"> does not</w:t>
      </w:r>
      <w:r w:rsidR="00591F78" w:rsidRPr="002D1C92">
        <w:rPr>
          <w:rFonts w:ascii="Arial" w:hAnsi="Arial" w:cs="Arial"/>
          <w:sz w:val="20"/>
          <w:szCs w:val="20"/>
        </w:rPr>
        <w:t xml:space="preserve"> </w:t>
      </w:r>
      <w:r w:rsidR="00A91CE7" w:rsidRPr="002D1C92">
        <w:rPr>
          <w:rFonts w:ascii="Arial" w:hAnsi="Arial" w:cs="Arial"/>
          <w:sz w:val="20"/>
          <w:szCs w:val="20"/>
        </w:rPr>
        <w:t xml:space="preserve">accept </w:t>
      </w:r>
      <w:r w:rsidR="00591F78" w:rsidRPr="002D1C92">
        <w:rPr>
          <w:rFonts w:ascii="Arial" w:hAnsi="Arial" w:cs="Arial"/>
          <w:sz w:val="20"/>
          <w:szCs w:val="20"/>
        </w:rPr>
        <w:t xml:space="preserve">that </w:t>
      </w:r>
      <w:r w:rsidRPr="002D1C92">
        <w:rPr>
          <w:rFonts w:ascii="Arial" w:hAnsi="Arial" w:cs="Arial"/>
          <w:sz w:val="20"/>
          <w:szCs w:val="20"/>
        </w:rPr>
        <w:t xml:space="preserve">they </w:t>
      </w:r>
      <w:r w:rsidR="00074268" w:rsidRPr="002D1C92">
        <w:rPr>
          <w:rFonts w:ascii="Arial" w:hAnsi="Arial" w:cs="Arial"/>
          <w:sz w:val="20"/>
          <w:szCs w:val="20"/>
        </w:rPr>
        <w:t>are</w:t>
      </w:r>
      <w:r w:rsidRPr="002D1C92">
        <w:rPr>
          <w:rFonts w:ascii="Arial" w:hAnsi="Arial" w:cs="Arial"/>
          <w:sz w:val="20"/>
          <w:szCs w:val="20"/>
        </w:rPr>
        <w:t xml:space="preserve"> actual customer names</w:t>
      </w:r>
      <w:r w:rsidR="00497288" w:rsidRPr="002D1C92">
        <w:rPr>
          <w:rFonts w:ascii="Arial" w:hAnsi="Arial" w:cs="Arial"/>
          <w:sz w:val="20"/>
          <w:szCs w:val="20"/>
        </w:rPr>
        <w:t>,</w:t>
      </w:r>
      <w:r w:rsidRPr="002D1C92">
        <w:rPr>
          <w:rFonts w:ascii="Arial" w:hAnsi="Arial" w:cs="Arial"/>
          <w:sz w:val="20"/>
          <w:szCs w:val="20"/>
        </w:rPr>
        <w:t xml:space="preserve"> as they </w:t>
      </w:r>
      <w:r w:rsidR="00F17E02" w:rsidRPr="002D1C92">
        <w:rPr>
          <w:rFonts w:ascii="Arial" w:hAnsi="Arial" w:cs="Arial"/>
          <w:sz w:val="20"/>
          <w:szCs w:val="20"/>
        </w:rPr>
        <w:t xml:space="preserve">appear to </w:t>
      </w:r>
      <w:r w:rsidR="00E01F94">
        <w:rPr>
          <w:rFonts w:ascii="Arial" w:hAnsi="Arial" w:cs="Arial"/>
          <w:sz w:val="20"/>
          <w:szCs w:val="20"/>
        </w:rPr>
        <w:t>be</w:t>
      </w:r>
      <w:r w:rsidRPr="002D1C92">
        <w:rPr>
          <w:rFonts w:ascii="Arial" w:hAnsi="Arial" w:cs="Arial"/>
          <w:sz w:val="20"/>
          <w:szCs w:val="20"/>
        </w:rPr>
        <w:t xml:space="preserve"> keyboard smashes or </w:t>
      </w:r>
      <w:r w:rsidR="009D546F" w:rsidRPr="002D1C92">
        <w:rPr>
          <w:rFonts w:ascii="Arial" w:hAnsi="Arial" w:cs="Arial"/>
          <w:sz w:val="20"/>
          <w:szCs w:val="20"/>
        </w:rPr>
        <w:t>fictional</w:t>
      </w:r>
      <w:r w:rsidRPr="002D1C92">
        <w:rPr>
          <w:rFonts w:ascii="Arial" w:hAnsi="Arial" w:cs="Arial"/>
          <w:sz w:val="20"/>
          <w:szCs w:val="20"/>
        </w:rPr>
        <w:t xml:space="preserve"> names</w:t>
      </w:r>
      <w:r w:rsidR="004A2B41" w:rsidRPr="002D1C92">
        <w:rPr>
          <w:rFonts w:ascii="Arial" w:hAnsi="Arial" w:cs="Arial"/>
          <w:sz w:val="20"/>
          <w:szCs w:val="20"/>
        </w:rPr>
        <w:t xml:space="preserve">. </w:t>
      </w:r>
      <w:r w:rsidR="00A762C5" w:rsidRPr="002D1C92">
        <w:rPr>
          <w:rFonts w:ascii="Arial" w:hAnsi="Arial" w:cs="Arial"/>
          <w:sz w:val="20"/>
          <w:szCs w:val="20"/>
        </w:rPr>
        <w:t xml:space="preserve"> </w:t>
      </w:r>
    </w:p>
    <w:p w14:paraId="56754E79" w14:textId="70E8C200" w:rsidR="00A35BCA" w:rsidRPr="002D1C92" w:rsidRDefault="00FB557B"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The</w:t>
      </w:r>
      <w:r w:rsidR="006A4E47" w:rsidRPr="002D1C92">
        <w:rPr>
          <w:rFonts w:ascii="Arial" w:hAnsi="Arial" w:cs="Arial"/>
          <w:sz w:val="20"/>
          <w:szCs w:val="20"/>
        </w:rPr>
        <w:t xml:space="preserve"> ACMA</w:t>
      </w:r>
      <w:r w:rsidR="00C81DA8" w:rsidRPr="002D1C92">
        <w:rPr>
          <w:rFonts w:ascii="Arial" w:hAnsi="Arial" w:cs="Arial"/>
          <w:sz w:val="20"/>
          <w:szCs w:val="20"/>
        </w:rPr>
        <w:t xml:space="preserve"> therefore </w:t>
      </w:r>
      <w:r w:rsidR="00B96338" w:rsidRPr="002D1C92">
        <w:rPr>
          <w:rFonts w:ascii="Arial" w:hAnsi="Arial" w:cs="Arial"/>
          <w:sz w:val="20"/>
          <w:szCs w:val="20"/>
        </w:rPr>
        <w:t>finds</w:t>
      </w:r>
      <w:r w:rsidR="006A4E47" w:rsidRPr="002D1C92">
        <w:rPr>
          <w:rFonts w:ascii="Arial" w:hAnsi="Arial" w:cs="Arial"/>
          <w:sz w:val="20"/>
          <w:szCs w:val="20"/>
        </w:rPr>
        <w:t xml:space="preserve"> that </w:t>
      </w:r>
      <w:proofErr w:type="spellStart"/>
      <w:r w:rsidR="006A4E47" w:rsidRPr="002D1C92">
        <w:rPr>
          <w:rFonts w:ascii="Arial" w:hAnsi="Arial" w:cs="Arial"/>
          <w:sz w:val="20"/>
          <w:szCs w:val="20"/>
        </w:rPr>
        <w:t>Lycamobile</w:t>
      </w:r>
      <w:proofErr w:type="spellEnd"/>
      <w:r w:rsidR="006A4E47" w:rsidRPr="002D1C92">
        <w:rPr>
          <w:rFonts w:ascii="Arial" w:hAnsi="Arial" w:cs="Arial"/>
          <w:sz w:val="20"/>
          <w:szCs w:val="20"/>
        </w:rPr>
        <w:t xml:space="preserve"> </w:t>
      </w:r>
      <w:r w:rsidR="00A35BCA" w:rsidRPr="002D1C92">
        <w:rPr>
          <w:rFonts w:ascii="Arial" w:hAnsi="Arial" w:cs="Arial"/>
          <w:sz w:val="20"/>
          <w:szCs w:val="20"/>
        </w:rPr>
        <w:t xml:space="preserve">did not obtain </w:t>
      </w:r>
      <w:r w:rsidR="009D546F" w:rsidRPr="002D1C92">
        <w:rPr>
          <w:rFonts w:ascii="Arial" w:hAnsi="Arial" w:cs="Arial"/>
          <w:sz w:val="20"/>
          <w:szCs w:val="20"/>
        </w:rPr>
        <w:t>all</w:t>
      </w:r>
      <w:r w:rsidR="00A35BCA" w:rsidRPr="002D1C92">
        <w:rPr>
          <w:rFonts w:ascii="Arial" w:hAnsi="Arial" w:cs="Arial"/>
          <w:sz w:val="20"/>
          <w:szCs w:val="20"/>
        </w:rPr>
        <w:t xml:space="preserve"> the information required by section 4.3 prior to activating 4</w:t>
      </w:r>
      <w:r w:rsidR="00312985" w:rsidRPr="002D1C92">
        <w:rPr>
          <w:rFonts w:ascii="Arial" w:hAnsi="Arial" w:cs="Arial"/>
          <w:sz w:val="20"/>
          <w:szCs w:val="20"/>
        </w:rPr>
        <w:t>5</w:t>
      </w:r>
      <w:r w:rsidR="00A35BCA" w:rsidRPr="002D1C92">
        <w:rPr>
          <w:rFonts w:ascii="Arial" w:hAnsi="Arial" w:cs="Arial"/>
          <w:sz w:val="20"/>
          <w:szCs w:val="20"/>
        </w:rPr>
        <w:t xml:space="preserve"> prepaid mobile carriage services</w:t>
      </w:r>
      <w:bookmarkStart w:id="3" w:name="_Hlk39495745"/>
      <w:r w:rsidR="00A35BCA" w:rsidRPr="002D1C92">
        <w:rPr>
          <w:rFonts w:ascii="Arial" w:hAnsi="Arial" w:cs="Arial"/>
          <w:sz w:val="20"/>
          <w:szCs w:val="20"/>
        </w:rPr>
        <w:t>.</w:t>
      </w:r>
    </w:p>
    <w:p w14:paraId="178945A0" w14:textId="77777777" w:rsidR="00DE3BFA" w:rsidRPr="002D1C92" w:rsidRDefault="00DE3BFA" w:rsidP="00401906">
      <w:pPr>
        <w:pStyle w:val="ACMATableText"/>
        <w:spacing w:before="200" w:after="120"/>
        <w:rPr>
          <w:rFonts w:cs="Arial"/>
          <w:i/>
        </w:rPr>
      </w:pPr>
      <w:r w:rsidRPr="002D1C92">
        <w:rPr>
          <w:rFonts w:cs="Arial"/>
          <w:i/>
        </w:rPr>
        <w:t xml:space="preserve">Sections 4.4 and 4.5 </w:t>
      </w:r>
    </w:p>
    <w:bookmarkEnd w:id="3"/>
    <w:p w14:paraId="75925475" w14:textId="2EDE8352" w:rsidR="00EA7D25" w:rsidRPr="002D1C92" w:rsidRDefault="00EA7D25"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Sections 4.4 and 4.5 of the Prepaid Determination require a CSP to verify the identity of customers </w:t>
      </w:r>
      <w:r w:rsidR="001C0452" w:rsidRPr="002D1C92">
        <w:rPr>
          <w:rFonts w:ascii="Arial" w:hAnsi="Arial" w:cs="Arial"/>
          <w:sz w:val="20"/>
          <w:szCs w:val="20"/>
        </w:rPr>
        <w:t xml:space="preserve">depending on whether the customer is </w:t>
      </w:r>
      <w:r w:rsidR="00272DE9" w:rsidRPr="002D1C92">
        <w:rPr>
          <w:rFonts w:ascii="Arial" w:hAnsi="Arial" w:cs="Arial"/>
          <w:sz w:val="20"/>
          <w:szCs w:val="20"/>
        </w:rPr>
        <w:t xml:space="preserve">a </w:t>
      </w:r>
      <w:r w:rsidR="001C0452" w:rsidRPr="002D1C92">
        <w:rPr>
          <w:rFonts w:ascii="Arial" w:hAnsi="Arial" w:cs="Arial"/>
          <w:sz w:val="20"/>
          <w:szCs w:val="20"/>
        </w:rPr>
        <w:t>purchaser or service activator</w:t>
      </w:r>
      <w:r w:rsidR="005D38CD" w:rsidRPr="002D1C92">
        <w:rPr>
          <w:rFonts w:ascii="Arial" w:hAnsi="Arial" w:cs="Arial"/>
          <w:sz w:val="20"/>
          <w:szCs w:val="20"/>
        </w:rPr>
        <w:t xml:space="preserve"> and whether the activation will result in the customer having </w:t>
      </w:r>
      <w:r w:rsidR="005903CB" w:rsidRPr="002D1C92">
        <w:rPr>
          <w:rFonts w:ascii="Arial" w:hAnsi="Arial" w:cs="Arial"/>
          <w:sz w:val="20"/>
          <w:szCs w:val="20"/>
        </w:rPr>
        <w:t xml:space="preserve">five </w:t>
      </w:r>
      <w:r w:rsidR="005D38CD" w:rsidRPr="002D1C92">
        <w:rPr>
          <w:rFonts w:ascii="Arial" w:hAnsi="Arial" w:cs="Arial"/>
          <w:sz w:val="20"/>
          <w:szCs w:val="20"/>
        </w:rPr>
        <w:t>or more activated prepaid mobile carriage services</w:t>
      </w:r>
      <w:r w:rsidR="001C0452" w:rsidRPr="002D1C92">
        <w:rPr>
          <w:rFonts w:ascii="Arial" w:hAnsi="Arial" w:cs="Arial"/>
          <w:sz w:val="20"/>
          <w:szCs w:val="20"/>
        </w:rPr>
        <w:t xml:space="preserve">. </w:t>
      </w:r>
      <w:r w:rsidRPr="002D1C92">
        <w:rPr>
          <w:rFonts w:ascii="Arial" w:hAnsi="Arial" w:cs="Arial"/>
          <w:sz w:val="20"/>
          <w:szCs w:val="20"/>
        </w:rPr>
        <w:t xml:space="preserve">Section 4.4 sets out verification methods for customers who are purchasers and section 4.5 </w:t>
      </w:r>
      <w:proofErr w:type="gramStart"/>
      <w:r w:rsidRPr="002D1C92">
        <w:rPr>
          <w:rFonts w:ascii="Arial" w:hAnsi="Arial" w:cs="Arial"/>
          <w:sz w:val="20"/>
          <w:szCs w:val="20"/>
        </w:rPr>
        <w:t>sets</w:t>
      </w:r>
      <w:proofErr w:type="gramEnd"/>
      <w:r w:rsidRPr="002D1C92">
        <w:rPr>
          <w:rFonts w:ascii="Arial" w:hAnsi="Arial" w:cs="Arial"/>
          <w:sz w:val="20"/>
          <w:szCs w:val="20"/>
        </w:rPr>
        <w:t xml:space="preserve"> out verification methods for customers who are service activators. </w:t>
      </w:r>
    </w:p>
    <w:p w14:paraId="4475E5B9" w14:textId="649A01C5" w:rsidR="00316B56" w:rsidRPr="002D1C92" w:rsidRDefault="00316B5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In a meeting with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on 7 August 2019</w:t>
      </w:r>
      <w:r w:rsidR="00177353" w:rsidRPr="002D1C92">
        <w:rPr>
          <w:rFonts w:ascii="Arial" w:hAnsi="Arial" w:cs="Arial"/>
          <w:sz w:val="20"/>
          <w:szCs w:val="20"/>
        </w:rPr>
        <w:t>,</w:t>
      </w:r>
      <w:r w:rsidRPr="002D1C92">
        <w:rPr>
          <w:rFonts w:ascii="Arial" w:hAnsi="Arial" w:cs="Arial"/>
          <w:sz w:val="20"/>
          <w:szCs w:val="20"/>
        </w:rPr>
        <w:t xml:space="preserve">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advised </w:t>
      </w:r>
      <w:r w:rsidR="00177353" w:rsidRPr="002D1C92">
        <w:rPr>
          <w:rFonts w:ascii="Arial" w:hAnsi="Arial" w:cs="Arial"/>
          <w:sz w:val="20"/>
          <w:szCs w:val="20"/>
        </w:rPr>
        <w:t xml:space="preserve">the ACMA </w:t>
      </w:r>
      <w:r w:rsidRPr="002D1C92">
        <w:rPr>
          <w:rFonts w:ascii="Arial" w:hAnsi="Arial" w:cs="Arial"/>
          <w:sz w:val="20"/>
          <w:szCs w:val="20"/>
        </w:rPr>
        <w:t xml:space="preserve">that it uses a visual document identity check to verify </w:t>
      </w:r>
      <w:r w:rsidR="00177353" w:rsidRPr="002D1C92">
        <w:rPr>
          <w:rFonts w:ascii="Arial" w:hAnsi="Arial" w:cs="Arial"/>
          <w:sz w:val="20"/>
          <w:szCs w:val="20"/>
        </w:rPr>
        <w:t xml:space="preserve">the </w:t>
      </w:r>
      <w:r w:rsidR="000019CD" w:rsidRPr="002D1C92">
        <w:rPr>
          <w:rFonts w:ascii="Arial" w:hAnsi="Arial" w:cs="Arial"/>
          <w:sz w:val="20"/>
          <w:szCs w:val="20"/>
        </w:rPr>
        <w:t>identity</w:t>
      </w:r>
      <w:r w:rsidR="00177353" w:rsidRPr="002D1C92">
        <w:rPr>
          <w:rFonts w:ascii="Arial" w:hAnsi="Arial" w:cs="Arial"/>
          <w:sz w:val="20"/>
          <w:szCs w:val="20"/>
        </w:rPr>
        <w:t xml:space="preserve"> of </w:t>
      </w:r>
      <w:r w:rsidRPr="002D1C92">
        <w:rPr>
          <w:rFonts w:ascii="Arial" w:hAnsi="Arial" w:cs="Arial"/>
          <w:sz w:val="20"/>
          <w:szCs w:val="20"/>
        </w:rPr>
        <w:t xml:space="preserve">its customers. </w:t>
      </w:r>
    </w:p>
    <w:p w14:paraId="6399C733" w14:textId="5163ACFE" w:rsidR="00272DE9" w:rsidRPr="002D1C92" w:rsidRDefault="00B65114"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Where they apply, t</w:t>
      </w:r>
      <w:r w:rsidR="00AF5D1C" w:rsidRPr="002D1C92">
        <w:rPr>
          <w:rFonts w:ascii="Arial" w:hAnsi="Arial" w:cs="Arial"/>
          <w:sz w:val="20"/>
          <w:szCs w:val="20"/>
        </w:rPr>
        <w:t xml:space="preserve">he verification requirements </w:t>
      </w:r>
      <w:r w:rsidR="00FA46FC" w:rsidRPr="002D1C92">
        <w:rPr>
          <w:rFonts w:ascii="Arial" w:hAnsi="Arial" w:cs="Arial"/>
          <w:sz w:val="20"/>
          <w:szCs w:val="20"/>
        </w:rPr>
        <w:t>for visual document identi</w:t>
      </w:r>
      <w:r w:rsidR="00001E62" w:rsidRPr="002D1C92">
        <w:rPr>
          <w:rFonts w:ascii="Arial" w:hAnsi="Arial" w:cs="Arial"/>
          <w:sz w:val="20"/>
          <w:szCs w:val="20"/>
        </w:rPr>
        <w:t>t</w:t>
      </w:r>
      <w:r w:rsidR="00FA46FC" w:rsidRPr="002D1C92">
        <w:rPr>
          <w:rFonts w:ascii="Arial" w:hAnsi="Arial" w:cs="Arial"/>
          <w:sz w:val="20"/>
          <w:szCs w:val="20"/>
        </w:rPr>
        <w:t>y checks are the same for all customers, irrespective of whether they are a purchaser or service activator.</w:t>
      </w:r>
      <w:r w:rsidR="00692B40" w:rsidRPr="002D1C92">
        <w:rPr>
          <w:rFonts w:ascii="Arial" w:hAnsi="Arial" w:cs="Arial"/>
          <w:sz w:val="20"/>
          <w:szCs w:val="20"/>
        </w:rPr>
        <w:t xml:space="preserve"> However, the </w:t>
      </w:r>
      <w:r w:rsidR="00157799" w:rsidRPr="002D1C92">
        <w:rPr>
          <w:rFonts w:ascii="Arial" w:hAnsi="Arial" w:cs="Arial"/>
          <w:sz w:val="20"/>
          <w:szCs w:val="20"/>
        </w:rPr>
        <w:t xml:space="preserve">verification </w:t>
      </w:r>
      <w:r w:rsidR="00692B40" w:rsidRPr="002D1C92">
        <w:rPr>
          <w:rFonts w:ascii="Arial" w:hAnsi="Arial" w:cs="Arial"/>
          <w:sz w:val="20"/>
          <w:szCs w:val="20"/>
        </w:rPr>
        <w:t xml:space="preserve">requirements </w:t>
      </w:r>
      <w:r w:rsidR="00157799" w:rsidRPr="002D1C92">
        <w:rPr>
          <w:rFonts w:ascii="Arial" w:hAnsi="Arial" w:cs="Arial"/>
          <w:sz w:val="20"/>
          <w:szCs w:val="20"/>
        </w:rPr>
        <w:t>differ</w:t>
      </w:r>
      <w:r w:rsidR="00692B40" w:rsidRPr="002D1C92">
        <w:rPr>
          <w:rFonts w:ascii="Arial" w:hAnsi="Arial" w:cs="Arial"/>
          <w:sz w:val="20"/>
          <w:szCs w:val="20"/>
        </w:rPr>
        <w:t xml:space="preserve"> depending on </w:t>
      </w:r>
      <w:r w:rsidR="00107C54" w:rsidRPr="002D1C92">
        <w:rPr>
          <w:rFonts w:ascii="Arial" w:hAnsi="Arial" w:cs="Arial"/>
          <w:sz w:val="20"/>
          <w:szCs w:val="20"/>
        </w:rPr>
        <w:t xml:space="preserve">whether </w:t>
      </w:r>
      <w:r w:rsidR="00157799" w:rsidRPr="002D1C92">
        <w:rPr>
          <w:rFonts w:ascii="Arial" w:hAnsi="Arial" w:cs="Arial"/>
          <w:sz w:val="20"/>
          <w:szCs w:val="20"/>
        </w:rPr>
        <w:t>t</w:t>
      </w:r>
      <w:r w:rsidR="00107C54" w:rsidRPr="002D1C92">
        <w:rPr>
          <w:rFonts w:ascii="Arial" w:hAnsi="Arial" w:cs="Arial"/>
          <w:sz w:val="20"/>
          <w:szCs w:val="20"/>
        </w:rPr>
        <w:t xml:space="preserve">he activation of the service will result in the customer having </w:t>
      </w:r>
      <w:r w:rsidR="002B3217" w:rsidRPr="002D1C92">
        <w:rPr>
          <w:rFonts w:ascii="Arial" w:hAnsi="Arial" w:cs="Arial"/>
          <w:sz w:val="20"/>
          <w:szCs w:val="20"/>
        </w:rPr>
        <w:t xml:space="preserve">five </w:t>
      </w:r>
      <w:r w:rsidR="00107C54" w:rsidRPr="002D1C92">
        <w:rPr>
          <w:rFonts w:ascii="Arial" w:hAnsi="Arial" w:cs="Arial"/>
          <w:sz w:val="20"/>
          <w:szCs w:val="20"/>
        </w:rPr>
        <w:t>or more activated prepaid mobile carriage services.</w:t>
      </w:r>
    </w:p>
    <w:p w14:paraId="53B00282" w14:textId="302063E2" w:rsidR="00BA1FC0" w:rsidRPr="002D1C92" w:rsidRDefault="002C0F4F"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Where</w:t>
      </w:r>
      <w:r w:rsidR="00EA7D25" w:rsidRPr="002D1C92">
        <w:rPr>
          <w:rFonts w:ascii="Arial" w:hAnsi="Arial" w:cs="Arial"/>
          <w:sz w:val="20"/>
          <w:szCs w:val="20"/>
        </w:rPr>
        <w:t xml:space="preserve"> the activation of the prepaid mobile carriage service will result in </w:t>
      </w:r>
      <w:r w:rsidR="00194391" w:rsidRPr="002D1C92">
        <w:rPr>
          <w:rFonts w:ascii="Arial" w:hAnsi="Arial" w:cs="Arial"/>
          <w:sz w:val="20"/>
          <w:szCs w:val="20"/>
        </w:rPr>
        <w:t xml:space="preserve">fewer than </w:t>
      </w:r>
      <w:r w:rsidR="002B3217" w:rsidRPr="002D1C92">
        <w:rPr>
          <w:rFonts w:ascii="Arial" w:hAnsi="Arial" w:cs="Arial"/>
          <w:sz w:val="20"/>
          <w:szCs w:val="20"/>
        </w:rPr>
        <w:t>five</w:t>
      </w:r>
      <w:r w:rsidR="00EA7D25" w:rsidRPr="002D1C92">
        <w:rPr>
          <w:rFonts w:ascii="Arial" w:hAnsi="Arial" w:cs="Arial"/>
          <w:sz w:val="20"/>
          <w:szCs w:val="20"/>
        </w:rPr>
        <w:t xml:space="preserve"> services</w:t>
      </w:r>
      <w:r w:rsidR="008D2FED" w:rsidRPr="002D1C92">
        <w:rPr>
          <w:rFonts w:ascii="Arial" w:hAnsi="Arial" w:cs="Arial"/>
          <w:sz w:val="20"/>
          <w:szCs w:val="20"/>
        </w:rPr>
        <w:t>,</w:t>
      </w:r>
      <w:r w:rsidR="00EA7D25" w:rsidRPr="002D1C92">
        <w:rPr>
          <w:rFonts w:ascii="Arial" w:hAnsi="Arial" w:cs="Arial"/>
          <w:sz w:val="20"/>
          <w:szCs w:val="20"/>
        </w:rPr>
        <w:t xml:space="preserve"> the CSP must verify the </w:t>
      </w:r>
      <w:r w:rsidR="00EA4381" w:rsidRPr="002D1C92">
        <w:rPr>
          <w:rFonts w:ascii="Arial" w:hAnsi="Arial" w:cs="Arial"/>
          <w:sz w:val="20"/>
          <w:szCs w:val="20"/>
        </w:rPr>
        <w:t xml:space="preserve">customer’s </w:t>
      </w:r>
      <w:r w:rsidR="00EA7D25" w:rsidRPr="002D1C92">
        <w:rPr>
          <w:rFonts w:ascii="Arial" w:hAnsi="Arial" w:cs="Arial"/>
          <w:sz w:val="20"/>
          <w:szCs w:val="20"/>
        </w:rPr>
        <w:t>identity by seeing</w:t>
      </w:r>
      <w:r w:rsidR="00BF58D4">
        <w:rPr>
          <w:rFonts w:ascii="Arial" w:hAnsi="Arial" w:cs="Arial"/>
          <w:sz w:val="20"/>
          <w:szCs w:val="20"/>
        </w:rPr>
        <w:t xml:space="preserve"> either</w:t>
      </w:r>
      <w:r w:rsidR="00BA1FC0" w:rsidRPr="002D1C92">
        <w:rPr>
          <w:rFonts w:ascii="Arial" w:hAnsi="Arial" w:cs="Arial"/>
          <w:sz w:val="20"/>
          <w:szCs w:val="20"/>
        </w:rPr>
        <w:t>:</w:t>
      </w:r>
      <w:r w:rsidR="00EA7D25" w:rsidRPr="002D1C92">
        <w:rPr>
          <w:rFonts w:ascii="Arial" w:hAnsi="Arial" w:cs="Arial"/>
          <w:sz w:val="20"/>
          <w:szCs w:val="20"/>
        </w:rPr>
        <w:t xml:space="preserve"> </w:t>
      </w:r>
    </w:p>
    <w:p w14:paraId="01FF8E29" w14:textId="6F65DED7" w:rsidR="00DE3BFA" w:rsidRPr="002D1C92" w:rsidRDefault="006D353B" w:rsidP="002F09D2">
      <w:pPr>
        <w:pStyle w:val="ACMATableText"/>
        <w:numPr>
          <w:ilvl w:val="0"/>
          <w:numId w:val="39"/>
        </w:numPr>
        <w:tabs>
          <w:tab w:val="left" w:pos="5245"/>
        </w:tabs>
        <w:spacing w:before="80" w:after="120"/>
        <w:ind w:left="850" w:hanging="357"/>
        <w:rPr>
          <w:rFonts w:cs="Arial"/>
        </w:rPr>
      </w:pPr>
      <w:r w:rsidRPr="002D1C92">
        <w:rPr>
          <w:rFonts w:cs="Arial"/>
        </w:rPr>
        <w:t>o</w:t>
      </w:r>
      <w:r w:rsidR="00435ADE" w:rsidRPr="002D1C92">
        <w:rPr>
          <w:rFonts w:cs="Arial"/>
        </w:rPr>
        <w:t xml:space="preserve">ne </w:t>
      </w:r>
      <w:r w:rsidR="00DE3BFA" w:rsidRPr="002D1C92">
        <w:rPr>
          <w:rFonts w:cs="Arial"/>
        </w:rPr>
        <w:t xml:space="preserve">category A document identifying the purchaser/service activator (see item 1(a) of Table 3 in subsection 4.4(2) and item 8(4)(a) of Schedule 1 to the Prepaid Determination) </w:t>
      </w:r>
    </w:p>
    <w:p w14:paraId="43FD76B0" w14:textId="648E60A6" w:rsidR="00DE3BFA" w:rsidRPr="002D1C92" w:rsidRDefault="006D353B" w:rsidP="002F09D2">
      <w:pPr>
        <w:pStyle w:val="ACMATableText"/>
        <w:numPr>
          <w:ilvl w:val="0"/>
          <w:numId w:val="39"/>
        </w:numPr>
        <w:tabs>
          <w:tab w:val="left" w:pos="5245"/>
        </w:tabs>
        <w:spacing w:before="80" w:after="120"/>
        <w:ind w:left="850" w:hanging="357"/>
        <w:rPr>
          <w:rFonts w:cs="Arial"/>
        </w:rPr>
      </w:pPr>
      <w:r w:rsidRPr="002D1C92">
        <w:rPr>
          <w:rFonts w:cs="Arial"/>
        </w:rPr>
        <w:t>t</w:t>
      </w:r>
      <w:r w:rsidR="00435ADE" w:rsidRPr="002D1C92">
        <w:rPr>
          <w:rFonts w:cs="Arial"/>
        </w:rPr>
        <w:t xml:space="preserve">wo </w:t>
      </w:r>
      <w:r w:rsidR="00DE3BFA" w:rsidRPr="002D1C92">
        <w:rPr>
          <w:rFonts w:cs="Arial"/>
        </w:rPr>
        <w:t xml:space="preserve">category B documents (each of a different kind) identifying the purchaser/service activator, (see item 1(b) of Table 3 in subsection 4.4(2) and item 8(4)(b) of Schedule 1 to the Prepaid Determination).  </w:t>
      </w:r>
    </w:p>
    <w:p w14:paraId="2F1BFB8F" w14:textId="37D2EE08" w:rsidR="00677145" w:rsidRPr="002D1C92" w:rsidRDefault="00EA7D25"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A higher standard of verification is required if the number of activated prepaid mobile </w:t>
      </w:r>
      <w:r w:rsidR="008B7415" w:rsidRPr="002D1C92">
        <w:rPr>
          <w:rFonts w:ascii="Arial" w:hAnsi="Arial" w:cs="Arial"/>
          <w:sz w:val="20"/>
          <w:szCs w:val="20"/>
        </w:rPr>
        <w:t xml:space="preserve">carriage </w:t>
      </w:r>
      <w:r w:rsidRPr="002D1C92">
        <w:rPr>
          <w:rFonts w:ascii="Arial" w:hAnsi="Arial" w:cs="Arial"/>
          <w:sz w:val="20"/>
          <w:szCs w:val="20"/>
        </w:rPr>
        <w:t xml:space="preserve">services the customer would have after activating the service is </w:t>
      </w:r>
      <w:r w:rsidR="00435ADE" w:rsidRPr="002D1C92">
        <w:rPr>
          <w:rFonts w:ascii="Arial" w:hAnsi="Arial" w:cs="Arial"/>
          <w:sz w:val="20"/>
          <w:szCs w:val="20"/>
        </w:rPr>
        <w:t xml:space="preserve">five </w:t>
      </w:r>
      <w:r w:rsidRPr="002D1C92">
        <w:rPr>
          <w:rFonts w:ascii="Arial" w:hAnsi="Arial" w:cs="Arial"/>
          <w:sz w:val="20"/>
          <w:szCs w:val="20"/>
        </w:rPr>
        <w:t>or more. In these cases, the CSP is required to visually check either</w:t>
      </w:r>
      <w:r w:rsidR="00677145" w:rsidRPr="002D1C92">
        <w:rPr>
          <w:rFonts w:ascii="Arial" w:hAnsi="Arial" w:cs="Arial"/>
          <w:sz w:val="20"/>
          <w:szCs w:val="20"/>
        </w:rPr>
        <w:t>:</w:t>
      </w:r>
      <w:r w:rsidRPr="002D1C92">
        <w:rPr>
          <w:rFonts w:ascii="Arial" w:hAnsi="Arial" w:cs="Arial"/>
          <w:sz w:val="20"/>
          <w:szCs w:val="20"/>
        </w:rPr>
        <w:t xml:space="preserve"> </w:t>
      </w:r>
    </w:p>
    <w:p w14:paraId="61D592EC" w14:textId="2A514D2D" w:rsidR="00251421" w:rsidRPr="002D1C92" w:rsidRDefault="00763D01" w:rsidP="002F09D2">
      <w:pPr>
        <w:pStyle w:val="ACMATableText"/>
        <w:numPr>
          <w:ilvl w:val="0"/>
          <w:numId w:val="40"/>
        </w:numPr>
        <w:tabs>
          <w:tab w:val="left" w:pos="5245"/>
        </w:tabs>
        <w:spacing w:before="80" w:after="120"/>
        <w:ind w:left="850" w:hanging="357"/>
        <w:rPr>
          <w:rFonts w:cs="Arial"/>
        </w:rPr>
      </w:pPr>
      <w:r w:rsidRPr="002D1C92">
        <w:rPr>
          <w:rFonts w:cs="Arial"/>
        </w:rPr>
        <w:t>t</w:t>
      </w:r>
      <w:r w:rsidR="003C05AE" w:rsidRPr="002D1C92">
        <w:rPr>
          <w:rFonts w:cs="Arial"/>
        </w:rPr>
        <w:t xml:space="preserve">wo </w:t>
      </w:r>
      <w:r w:rsidR="00251421" w:rsidRPr="002D1C92">
        <w:rPr>
          <w:rFonts w:cs="Arial"/>
        </w:rPr>
        <w:t xml:space="preserve">category A documents (each of a different kind) (see item 2(a) of Table 3 in subsection 4.4(2) and item 8(5)(a) of Schedule 1 to the Prepaid Determination) </w:t>
      </w:r>
    </w:p>
    <w:p w14:paraId="59724A90" w14:textId="448A7267" w:rsidR="00251421" w:rsidRPr="002D1C92" w:rsidRDefault="00763D01" w:rsidP="002F09D2">
      <w:pPr>
        <w:pStyle w:val="ACMATableText"/>
        <w:numPr>
          <w:ilvl w:val="0"/>
          <w:numId w:val="40"/>
        </w:numPr>
        <w:tabs>
          <w:tab w:val="left" w:pos="5245"/>
        </w:tabs>
        <w:spacing w:before="80" w:after="120"/>
        <w:ind w:left="850" w:hanging="357"/>
        <w:rPr>
          <w:rFonts w:cs="Arial"/>
        </w:rPr>
      </w:pPr>
      <w:r w:rsidRPr="002D1C92">
        <w:rPr>
          <w:rFonts w:cs="Arial"/>
        </w:rPr>
        <w:lastRenderedPageBreak/>
        <w:t>o</w:t>
      </w:r>
      <w:r w:rsidR="003C05AE" w:rsidRPr="002D1C92">
        <w:rPr>
          <w:rFonts w:cs="Arial"/>
        </w:rPr>
        <w:t xml:space="preserve">ne </w:t>
      </w:r>
      <w:r w:rsidR="00251421" w:rsidRPr="002D1C92">
        <w:rPr>
          <w:rFonts w:cs="Arial"/>
        </w:rPr>
        <w:t>category A document and 2 category B documents (each of a different kind) (see item 2(b) of Table 3 in subsection 4.4(2) and item 8(5)(b) of Schedule 1 to the Prepaid Determination).</w:t>
      </w:r>
    </w:p>
    <w:p w14:paraId="2B7B5B3B" w14:textId="27E7DF48" w:rsidR="00DD5BE9" w:rsidRPr="002D1C92" w:rsidRDefault="00DD5BE9"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The Preliminary Findings report identified:</w:t>
      </w:r>
    </w:p>
    <w:p w14:paraId="56B5A3F6" w14:textId="78BD722B" w:rsidR="00DD5BE9" w:rsidRPr="002D1C92" w:rsidRDefault="00DD5BE9" w:rsidP="002F09D2">
      <w:pPr>
        <w:pStyle w:val="ACMATableText"/>
        <w:numPr>
          <w:ilvl w:val="0"/>
          <w:numId w:val="41"/>
        </w:numPr>
        <w:tabs>
          <w:tab w:val="left" w:pos="5245"/>
        </w:tabs>
        <w:spacing w:before="80" w:after="120"/>
        <w:ind w:left="850" w:hanging="357"/>
        <w:rPr>
          <w:rFonts w:cs="Arial"/>
        </w:rPr>
      </w:pPr>
      <w:r w:rsidRPr="002D1C92">
        <w:rPr>
          <w:rFonts w:cs="Arial"/>
        </w:rPr>
        <w:t xml:space="preserve">100 instances where </w:t>
      </w:r>
      <w:proofErr w:type="spellStart"/>
      <w:r w:rsidRPr="002D1C92">
        <w:rPr>
          <w:rFonts w:cs="Arial"/>
        </w:rPr>
        <w:t>Lycamobile</w:t>
      </w:r>
      <w:proofErr w:type="spellEnd"/>
      <w:r w:rsidRPr="002D1C92">
        <w:rPr>
          <w:rFonts w:cs="Arial"/>
        </w:rPr>
        <w:t xml:space="preserve"> did not comply with the verification requirements for customers with less than five activated prepaid mobile carriage services, as it only used one category B document to verify the </w:t>
      </w:r>
      <w:proofErr w:type="gramStart"/>
      <w:r w:rsidRPr="002D1C92">
        <w:rPr>
          <w:rFonts w:cs="Arial"/>
        </w:rPr>
        <w:t>customers</w:t>
      </w:r>
      <w:proofErr w:type="gramEnd"/>
    </w:p>
    <w:p w14:paraId="115FEAB0" w14:textId="36186F60" w:rsidR="00DD5BE9" w:rsidRPr="002D1C92" w:rsidRDefault="00DD5BE9" w:rsidP="002F09D2">
      <w:pPr>
        <w:pStyle w:val="ACMATableText"/>
        <w:numPr>
          <w:ilvl w:val="0"/>
          <w:numId w:val="41"/>
        </w:numPr>
        <w:tabs>
          <w:tab w:val="left" w:pos="5245"/>
        </w:tabs>
        <w:spacing w:before="80" w:after="120"/>
        <w:ind w:left="850" w:hanging="357"/>
        <w:rPr>
          <w:rFonts w:cs="Arial"/>
        </w:rPr>
      </w:pPr>
      <w:r w:rsidRPr="002D1C92">
        <w:rPr>
          <w:rFonts w:cs="Arial"/>
        </w:rPr>
        <w:t xml:space="preserve">three instances where </w:t>
      </w:r>
      <w:proofErr w:type="spellStart"/>
      <w:r w:rsidRPr="002D1C92">
        <w:rPr>
          <w:rFonts w:cs="Arial"/>
        </w:rPr>
        <w:t>Lycamobile</w:t>
      </w:r>
      <w:proofErr w:type="spellEnd"/>
      <w:r w:rsidRPr="002D1C92">
        <w:rPr>
          <w:rFonts w:cs="Arial"/>
        </w:rPr>
        <w:t xml:space="preserve"> did not comply with the verification requirements for customers with five or more activated prepaid mobile carriage services, as it only used one category A document to verify the customers. </w:t>
      </w:r>
    </w:p>
    <w:p w14:paraId="141BE8F1" w14:textId="76F50A04" w:rsidR="00AB4629" w:rsidRPr="002D1C92" w:rsidRDefault="00AB4629"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In </w:t>
      </w:r>
      <w:r w:rsidR="00C8167E" w:rsidRPr="002D1C92">
        <w:rPr>
          <w:rFonts w:ascii="Arial" w:hAnsi="Arial" w:cs="Arial"/>
          <w:sz w:val="20"/>
          <w:szCs w:val="20"/>
        </w:rPr>
        <w:t xml:space="preserve">its response </w:t>
      </w:r>
      <w:r w:rsidRPr="002D1C92">
        <w:rPr>
          <w:rFonts w:ascii="Arial" w:hAnsi="Arial" w:cs="Arial"/>
          <w:sz w:val="20"/>
          <w:szCs w:val="20"/>
        </w:rPr>
        <w:t xml:space="preserve">to the Preliminary Findings report, </w:t>
      </w:r>
      <w:proofErr w:type="spellStart"/>
      <w:r w:rsidR="00DD5BE9" w:rsidRPr="002D1C92">
        <w:rPr>
          <w:rFonts w:ascii="Arial" w:hAnsi="Arial" w:cs="Arial"/>
          <w:sz w:val="20"/>
          <w:szCs w:val="20"/>
        </w:rPr>
        <w:t>Lycamobile</w:t>
      </w:r>
      <w:proofErr w:type="spellEnd"/>
      <w:r w:rsidR="00DD5BE9" w:rsidRPr="002D1C92">
        <w:rPr>
          <w:rFonts w:ascii="Arial" w:hAnsi="Arial" w:cs="Arial"/>
          <w:sz w:val="20"/>
          <w:szCs w:val="20"/>
        </w:rPr>
        <w:t xml:space="preserve"> did not dispute these findings. However, upon further analysis of </w:t>
      </w:r>
      <w:r w:rsidRPr="002D1C92">
        <w:rPr>
          <w:rFonts w:ascii="Arial" w:hAnsi="Arial" w:cs="Arial"/>
          <w:sz w:val="20"/>
          <w:szCs w:val="20"/>
        </w:rPr>
        <w:t xml:space="preserve">all </w:t>
      </w:r>
      <w:r w:rsidR="00DD5BE9" w:rsidRPr="002D1C92">
        <w:rPr>
          <w:rFonts w:ascii="Arial" w:hAnsi="Arial" w:cs="Arial"/>
          <w:sz w:val="20"/>
          <w:szCs w:val="20"/>
        </w:rPr>
        <w:t>the records</w:t>
      </w:r>
      <w:r w:rsidRPr="002D1C92">
        <w:rPr>
          <w:rFonts w:ascii="Arial" w:hAnsi="Arial" w:cs="Arial"/>
          <w:sz w:val="20"/>
          <w:szCs w:val="20"/>
        </w:rPr>
        <w:t xml:space="preserve"> and information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had provided</w:t>
      </w:r>
      <w:r w:rsidR="00DD5BE9" w:rsidRPr="002D1C92">
        <w:rPr>
          <w:rFonts w:ascii="Arial" w:hAnsi="Arial" w:cs="Arial"/>
          <w:sz w:val="20"/>
          <w:szCs w:val="20"/>
        </w:rPr>
        <w:t>, the ACMA</w:t>
      </w:r>
      <w:r w:rsidR="00DD01CE" w:rsidRPr="002D1C92">
        <w:rPr>
          <w:rFonts w:ascii="Arial" w:hAnsi="Arial" w:cs="Arial"/>
          <w:sz w:val="20"/>
          <w:szCs w:val="20"/>
        </w:rPr>
        <w:t xml:space="preserve"> identified a further 58 instances (for a total of 61 instances) where </w:t>
      </w:r>
      <w:proofErr w:type="spellStart"/>
      <w:r w:rsidR="00DD01CE" w:rsidRPr="002D1C92">
        <w:rPr>
          <w:rFonts w:ascii="Arial" w:hAnsi="Arial" w:cs="Arial"/>
          <w:sz w:val="20"/>
          <w:szCs w:val="20"/>
        </w:rPr>
        <w:t>Lycamobile</w:t>
      </w:r>
      <w:proofErr w:type="spellEnd"/>
      <w:r w:rsidR="00DD01CE" w:rsidRPr="002D1C92">
        <w:rPr>
          <w:rFonts w:ascii="Arial" w:hAnsi="Arial" w:cs="Arial"/>
          <w:sz w:val="20"/>
          <w:szCs w:val="20"/>
        </w:rPr>
        <w:t xml:space="preserve"> did not comply with the verification requirements for customers with five or more activated prepaid mobile carriage services, </w:t>
      </w:r>
      <w:r w:rsidR="00C8167E" w:rsidRPr="002D1C92">
        <w:rPr>
          <w:rFonts w:ascii="Arial" w:hAnsi="Arial" w:cs="Arial"/>
          <w:sz w:val="20"/>
          <w:szCs w:val="20"/>
        </w:rPr>
        <w:t>as it had</w:t>
      </w:r>
      <w:r w:rsidR="00DD01CE" w:rsidRPr="002D1C92">
        <w:rPr>
          <w:rFonts w:ascii="Arial" w:hAnsi="Arial" w:cs="Arial"/>
          <w:sz w:val="20"/>
          <w:szCs w:val="20"/>
        </w:rPr>
        <w:t xml:space="preserve"> only </w:t>
      </w:r>
      <w:r w:rsidR="00C8167E" w:rsidRPr="002D1C92">
        <w:rPr>
          <w:rFonts w:ascii="Arial" w:hAnsi="Arial" w:cs="Arial"/>
          <w:sz w:val="20"/>
          <w:szCs w:val="20"/>
        </w:rPr>
        <w:t xml:space="preserve">used </w:t>
      </w:r>
      <w:r w:rsidR="00DD01CE" w:rsidRPr="002D1C92">
        <w:rPr>
          <w:rFonts w:ascii="Arial" w:hAnsi="Arial" w:cs="Arial"/>
          <w:sz w:val="20"/>
          <w:szCs w:val="20"/>
        </w:rPr>
        <w:t>one category A document to verify the customers</w:t>
      </w:r>
      <w:r w:rsidR="00145A6C" w:rsidRPr="002D1C92">
        <w:rPr>
          <w:rFonts w:ascii="Arial" w:hAnsi="Arial" w:cs="Arial"/>
          <w:sz w:val="20"/>
          <w:szCs w:val="20"/>
        </w:rPr>
        <w:t>.</w:t>
      </w:r>
      <w:r w:rsidR="0009074D" w:rsidRPr="002D1C92">
        <w:rPr>
          <w:rStyle w:val="FootnoteReference"/>
          <w:rFonts w:ascii="Arial" w:hAnsi="Arial" w:cs="Arial"/>
          <w:sz w:val="20"/>
          <w:szCs w:val="20"/>
        </w:rPr>
        <w:footnoteReference w:id="11"/>
      </w:r>
      <w:r w:rsidRPr="002D1C92">
        <w:rPr>
          <w:rFonts w:ascii="Arial" w:hAnsi="Arial" w:cs="Arial"/>
          <w:sz w:val="20"/>
          <w:szCs w:val="20"/>
        </w:rPr>
        <w:t xml:space="preserve"> </w:t>
      </w:r>
    </w:p>
    <w:p w14:paraId="773677D4" w14:textId="02AB8194" w:rsidR="00266EBE" w:rsidRPr="002D1C92" w:rsidRDefault="00266EB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ACMA therefore finds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failed to verify customer identities for 1</w:t>
      </w:r>
      <w:r w:rsidR="00F0585D" w:rsidRPr="002D1C92">
        <w:rPr>
          <w:rFonts w:ascii="Arial" w:hAnsi="Arial" w:cs="Arial"/>
          <w:sz w:val="20"/>
          <w:szCs w:val="20"/>
        </w:rPr>
        <w:t>6</w:t>
      </w:r>
      <w:r w:rsidR="0009074D" w:rsidRPr="002D1C92">
        <w:rPr>
          <w:rFonts w:ascii="Arial" w:hAnsi="Arial" w:cs="Arial"/>
          <w:sz w:val="20"/>
          <w:szCs w:val="20"/>
        </w:rPr>
        <w:t>1</w:t>
      </w:r>
      <w:r w:rsidRPr="002D1C92">
        <w:rPr>
          <w:rFonts w:ascii="Arial" w:hAnsi="Arial" w:cs="Arial"/>
          <w:sz w:val="20"/>
          <w:szCs w:val="20"/>
        </w:rPr>
        <w:t xml:space="preserve"> prepaid mobile carriage services in accordance with sections 4.4 and 4.5</w:t>
      </w:r>
      <w:r w:rsidR="00B014E9">
        <w:rPr>
          <w:rFonts w:ascii="Arial" w:hAnsi="Arial" w:cs="Arial"/>
          <w:sz w:val="20"/>
          <w:szCs w:val="20"/>
        </w:rPr>
        <w:t>.</w:t>
      </w:r>
    </w:p>
    <w:p w14:paraId="13DE365F" w14:textId="63F73E26" w:rsidR="000C66A1" w:rsidRPr="000C66A1" w:rsidRDefault="000C66A1" w:rsidP="000C66A1">
      <w:pPr>
        <w:spacing w:line="240" w:lineRule="auto"/>
        <w:ind w:left="66"/>
        <w:rPr>
          <w:rFonts w:ascii="Arial" w:hAnsi="Arial" w:cs="Arial"/>
          <w:i/>
          <w:iCs/>
          <w:sz w:val="20"/>
          <w:szCs w:val="20"/>
        </w:rPr>
      </w:pPr>
      <w:r w:rsidRPr="000C66A1">
        <w:rPr>
          <w:rFonts w:ascii="Arial" w:hAnsi="Arial" w:cs="Arial"/>
          <w:i/>
          <w:iCs/>
          <w:sz w:val="20"/>
          <w:szCs w:val="20"/>
        </w:rPr>
        <w:t>Summary of Part 4 contraventions</w:t>
      </w:r>
    </w:p>
    <w:p w14:paraId="4F2ACF68" w14:textId="310EC4C9" w:rsidR="00356DCF" w:rsidRPr="002D1C92" w:rsidRDefault="00AB5386" w:rsidP="002F09D2">
      <w:pPr>
        <w:pStyle w:val="ListParagraph"/>
        <w:numPr>
          <w:ilvl w:val="0"/>
          <w:numId w:val="4"/>
        </w:numPr>
        <w:spacing w:line="240" w:lineRule="auto"/>
        <w:ind w:left="426"/>
        <w:contextualSpacing w:val="0"/>
        <w:rPr>
          <w:rFonts w:ascii="Arial" w:hAnsi="Arial" w:cs="Arial"/>
          <w:sz w:val="20"/>
          <w:szCs w:val="20"/>
        </w:rPr>
      </w:pPr>
      <w:r>
        <w:rPr>
          <w:rFonts w:ascii="Arial" w:hAnsi="Arial" w:cs="Arial"/>
          <w:sz w:val="20"/>
          <w:szCs w:val="20"/>
        </w:rPr>
        <w:t>In summary, b</w:t>
      </w:r>
      <w:r w:rsidR="00356DCF" w:rsidRPr="002D1C92">
        <w:rPr>
          <w:rFonts w:ascii="Arial" w:hAnsi="Arial" w:cs="Arial"/>
          <w:sz w:val="20"/>
          <w:szCs w:val="20"/>
        </w:rPr>
        <w:t xml:space="preserve">y failing to obtain information in accordance with section 4.3 </w:t>
      </w:r>
      <w:r w:rsidR="003D7ED3" w:rsidRPr="002D1C92">
        <w:rPr>
          <w:rFonts w:ascii="Arial" w:hAnsi="Arial" w:cs="Arial"/>
          <w:sz w:val="20"/>
          <w:szCs w:val="20"/>
        </w:rPr>
        <w:t>(in 4</w:t>
      </w:r>
      <w:r w:rsidR="00312985" w:rsidRPr="002D1C92">
        <w:rPr>
          <w:rFonts w:ascii="Arial" w:hAnsi="Arial" w:cs="Arial"/>
          <w:sz w:val="20"/>
          <w:szCs w:val="20"/>
        </w:rPr>
        <w:t>5</w:t>
      </w:r>
      <w:r w:rsidR="003D7ED3" w:rsidRPr="002D1C92">
        <w:rPr>
          <w:rFonts w:ascii="Arial" w:hAnsi="Arial" w:cs="Arial"/>
          <w:sz w:val="20"/>
          <w:szCs w:val="20"/>
        </w:rPr>
        <w:t xml:space="preserve"> instances) </w:t>
      </w:r>
      <w:r w:rsidR="00356DCF" w:rsidRPr="002D1C92">
        <w:rPr>
          <w:rFonts w:ascii="Arial" w:hAnsi="Arial" w:cs="Arial"/>
          <w:sz w:val="20"/>
          <w:szCs w:val="20"/>
        </w:rPr>
        <w:t xml:space="preserve">and </w:t>
      </w:r>
      <w:r w:rsidR="00266EBE" w:rsidRPr="002D1C92">
        <w:rPr>
          <w:rFonts w:ascii="Arial" w:hAnsi="Arial" w:cs="Arial"/>
          <w:sz w:val="20"/>
          <w:szCs w:val="20"/>
        </w:rPr>
        <w:t xml:space="preserve">by </w:t>
      </w:r>
      <w:r w:rsidR="00356DCF" w:rsidRPr="002D1C92">
        <w:rPr>
          <w:rFonts w:ascii="Arial" w:hAnsi="Arial" w:cs="Arial"/>
          <w:sz w:val="20"/>
          <w:szCs w:val="20"/>
        </w:rPr>
        <w:t>failing to verify customer identities in accordance with sections 4.4 and 4.5</w:t>
      </w:r>
      <w:r w:rsidR="003D7ED3" w:rsidRPr="002D1C92">
        <w:rPr>
          <w:rFonts w:ascii="Arial" w:hAnsi="Arial" w:cs="Arial"/>
          <w:sz w:val="20"/>
          <w:szCs w:val="20"/>
        </w:rPr>
        <w:t xml:space="preserve"> (in 161 instances)</w:t>
      </w:r>
      <w:r w:rsidR="00215C01" w:rsidRPr="002D1C92">
        <w:rPr>
          <w:rFonts w:ascii="Arial" w:hAnsi="Arial" w:cs="Arial"/>
          <w:sz w:val="20"/>
          <w:szCs w:val="20"/>
        </w:rPr>
        <w:t>,</w:t>
      </w:r>
      <w:r w:rsidR="00356DCF" w:rsidRPr="002D1C92">
        <w:rPr>
          <w:rFonts w:ascii="Arial" w:hAnsi="Arial" w:cs="Arial"/>
          <w:sz w:val="20"/>
          <w:szCs w:val="20"/>
        </w:rPr>
        <w:t xml:space="preserve"> </w:t>
      </w:r>
      <w:r w:rsidR="00266EBE" w:rsidRPr="002D1C92">
        <w:rPr>
          <w:rFonts w:ascii="Arial" w:hAnsi="Arial" w:cs="Arial"/>
          <w:sz w:val="20"/>
          <w:szCs w:val="20"/>
        </w:rPr>
        <w:t xml:space="preserve">the ACMA finds that </w:t>
      </w:r>
      <w:proofErr w:type="spellStart"/>
      <w:r w:rsidR="00CC1AFA" w:rsidRPr="002D1C92">
        <w:rPr>
          <w:rFonts w:ascii="Arial" w:hAnsi="Arial" w:cs="Arial"/>
          <w:sz w:val="20"/>
          <w:szCs w:val="20"/>
        </w:rPr>
        <w:t>Lycamobile</w:t>
      </w:r>
      <w:proofErr w:type="spellEnd"/>
      <w:r w:rsidR="00CC1AFA" w:rsidRPr="002D1C92">
        <w:rPr>
          <w:rFonts w:ascii="Arial" w:hAnsi="Arial" w:cs="Arial"/>
          <w:sz w:val="20"/>
          <w:szCs w:val="20"/>
        </w:rPr>
        <w:t xml:space="preserve"> contravened</w:t>
      </w:r>
      <w:r w:rsidR="0013727A" w:rsidRPr="002D1C92">
        <w:rPr>
          <w:rFonts w:ascii="Arial" w:hAnsi="Arial" w:cs="Arial"/>
          <w:sz w:val="20"/>
          <w:szCs w:val="20"/>
        </w:rPr>
        <w:t xml:space="preserve"> </w:t>
      </w:r>
      <w:r w:rsidR="00B65114" w:rsidRPr="002D1C92">
        <w:rPr>
          <w:rFonts w:ascii="Arial" w:hAnsi="Arial" w:cs="Arial"/>
          <w:sz w:val="20"/>
          <w:szCs w:val="20"/>
        </w:rPr>
        <w:t>s</w:t>
      </w:r>
      <w:r w:rsidR="00831105" w:rsidRPr="002D1C92">
        <w:rPr>
          <w:rFonts w:ascii="Arial" w:hAnsi="Arial" w:cs="Arial"/>
          <w:sz w:val="20"/>
          <w:szCs w:val="20"/>
        </w:rPr>
        <w:t>ubs</w:t>
      </w:r>
      <w:r w:rsidR="00B65114" w:rsidRPr="002D1C92">
        <w:rPr>
          <w:rFonts w:ascii="Arial" w:hAnsi="Arial" w:cs="Arial"/>
          <w:sz w:val="20"/>
          <w:szCs w:val="20"/>
        </w:rPr>
        <w:t xml:space="preserve">ection </w:t>
      </w:r>
      <w:r w:rsidR="00CC1AFA" w:rsidRPr="002D1C92">
        <w:rPr>
          <w:rFonts w:ascii="Arial" w:hAnsi="Arial" w:cs="Arial"/>
          <w:sz w:val="20"/>
          <w:szCs w:val="20"/>
        </w:rPr>
        <w:t>4.2(1)</w:t>
      </w:r>
      <w:r w:rsidR="00E65FDC" w:rsidRPr="002D1C92">
        <w:rPr>
          <w:rFonts w:ascii="Arial" w:hAnsi="Arial" w:cs="Arial"/>
          <w:sz w:val="20"/>
          <w:szCs w:val="20"/>
        </w:rPr>
        <w:t xml:space="preserve"> </w:t>
      </w:r>
      <w:r w:rsidR="00783422" w:rsidRPr="002D1C92">
        <w:rPr>
          <w:rFonts w:ascii="Arial" w:hAnsi="Arial" w:cs="Arial"/>
          <w:sz w:val="20"/>
          <w:szCs w:val="20"/>
        </w:rPr>
        <w:t>and</w:t>
      </w:r>
      <w:r w:rsidR="00CC1AFA" w:rsidRPr="002D1C92">
        <w:rPr>
          <w:rFonts w:ascii="Arial" w:hAnsi="Arial" w:cs="Arial"/>
          <w:sz w:val="20"/>
          <w:szCs w:val="20"/>
        </w:rPr>
        <w:t xml:space="preserve"> paragraph 2.3(1)(a) of the Prepaid Determination</w:t>
      </w:r>
      <w:r w:rsidR="003A0CA6" w:rsidRPr="002D1C92">
        <w:rPr>
          <w:rFonts w:ascii="Arial" w:hAnsi="Arial" w:cs="Arial"/>
          <w:sz w:val="20"/>
          <w:szCs w:val="20"/>
        </w:rPr>
        <w:t xml:space="preserve"> on </w:t>
      </w:r>
      <w:r w:rsidR="0009074D" w:rsidRPr="002D1C92">
        <w:rPr>
          <w:rFonts w:ascii="Arial" w:hAnsi="Arial" w:cs="Arial"/>
          <w:sz w:val="20"/>
          <w:szCs w:val="20"/>
        </w:rPr>
        <w:t>20</w:t>
      </w:r>
      <w:r w:rsidR="00312985" w:rsidRPr="002D1C92">
        <w:rPr>
          <w:rFonts w:ascii="Arial" w:hAnsi="Arial" w:cs="Arial"/>
          <w:sz w:val="20"/>
          <w:szCs w:val="20"/>
        </w:rPr>
        <w:t>6</w:t>
      </w:r>
      <w:r w:rsidR="0009074D" w:rsidRPr="002D1C92">
        <w:rPr>
          <w:rFonts w:ascii="Arial" w:hAnsi="Arial" w:cs="Arial"/>
          <w:sz w:val="20"/>
          <w:szCs w:val="20"/>
        </w:rPr>
        <w:t xml:space="preserve"> </w:t>
      </w:r>
      <w:r w:rsidR="00F0585D" w:rsidRPr="002D1C92">
        <w:rPr>
          <w:rFonts w:ascii="Arial" w:hAnsi="Arial" w:cs="Arial"/>
          <w:sz w:val="20"/>
          <w:szCs w:val="20"/>
        </w:rPr>
        <w:t>occasions</w:t>
      </w:r>
      <w:r w:rsidR="00CC1AFA" w:rsidRPr="002D1C92">
        <w:rPr>
          <w:rFonts w:ascii="Arial" w:hAnsi="Arial" w:cs="Arial"/>
          <w:sz w:val="20"/>
          <w:szCs w:val="20"/>
        </w:rPr>
        <w:t>.</w:t>
      </w:r>
      <w:r w:rsidR="00783422" w:rsidRPr="002D1C92">
        <w:rPr>
          <w:rFonts w:ascii="Arial" w:hAnsi="Arial" w:cs="Arial"/>
          <w:sz w:val="20"/>
          <w:szCs w:val="20"/>
        </w:rPr>
        <w:t xml:space="preserve"> </w:t>
      </w:r>
    </w:p>
    <w:p w14:paraId="2F894EEE" w14:textId="13F5472F" w:rsidR="008A172E" w:rsidRPr="002D1C92" w:rsidRDefault="008A172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A failure to comply with the rules set out in Part 4 of the Prepaid Determination is also regarded as a contravention of paragraph 2.3(1)(a).</w:t>
      </w:r>
    </w:p>
    <w:p w14:paraId="4D7AD59D" w14:textId="77777777" w:rsidR="00251421" w:rsidRPr="002D1C92" w:rsidRDefault="00251421" w:rsidP="00401906">
      <w:pPr>
        <w:pStyle w:val="ACMATableText"/>
        <w:spacing w:before="200" w:after="120"/>
        <w:rPr>
          <w:rFonts w:cs="Arial"/>
          <w:i/>
        </w:rPr>
      </w:pPr>
      <w:r w:rsidRPr="002D1C92">
        <w:rPr>
          <w:rFonts w:cs="Arial"/>
          <w:i/>
        </w:rPr>
        <w:t xml:space="preserve">Subsection 6.1(1) </w:t>
      </w:r>
    </w:p>
    <w:bookmarkEnd w:id="2"/>
    <w:p w14:paraId="5CD77725" w14:textId="64F3E659" w:rsidR="001229DF" w:rsidRPr="002D1C92" w:rsidRDefault="001229DF"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Subsection 6.1(1) of the Prepaid Determination requires a CSP to keep records in relation to each prepaid mobile carriage service that it supplies to enable the CSP’s compliance with the Determination to be readily ascertained.</w:t>
      </w:r>
    </w:p>
    <w:p w14:paraId="5180E666" w14:textId="345EC89B" w:rsidR="00236F5A" w:rsidRPr="002D1C92" w:rsidRDefault="001229DF"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Prepaid Determination imposes different requirements on CSPs for obtaining information and verifying the identity of customers depending on whether the customer is a purchaser or service activator. </w:t>
      </w:r>
      <w:bookmarkStart w:id="4" w:name="_Hlk22284190"/>
      <w:r w:rsidR="001C3BBC" w:rsidRPr="002D1C92">
        <w:rPr>
          <w:rFonts w:ascii="Arial" w:hAnsi="Arial" w:cs="Arial"/>
          <w:sz w:val="20"/>
          <w:szCs w:val="20"/>
        </w:rPr>
        <w:t>The 2</w:t>
      </w:r>
      <w:r w:rsidR="000E4986" w:rsidRPr="002D1C92">
        <w:rPr>
          <w:rFonts w:ascii="Arial" w:hAnsi="Arial" w:cs="Arial"/>
          <w:sz w:val="20"/>
          <w:szCs w:val="20"/>
        </w:rPr>
        <w:t>,</w:t>
      </w:r>
      <w:r w:rsidR="001C3BBC" w:rsidRPr="002D1C92">
        <w:rPr>
          <w:rFonts w:ascii="Arial" w:hAnsi="Arial" w:cs="Arial"/>
          <w:sz w:val="20"/>
          <w:szCs w:val="20"/>
        </w:rPr>
        <w:t xml:space="preserve">000 customer records provided to the ACMA by </w:t>
      </w:r>
      <w:proofErr w:type="spellStart"/>
      <w:r w:rsidR="001C3BBC" w:rsidRPr="002D1C92">
        <w:rPr>
          <w:rFonts w:ascii="Arial" w:hAnsi="Arial" w:cs="Arial"/>
          <w:sz w:val="20"/>
          <w:szCs w:val="20"/>
        </w:rPr>
        <w:t>Lycamobile</w:t>
      </w:r>
      <w:proofErr w:type="spellEnd"/>
      <w:r w:rsidR="001C3BBC" w:rsidRPr="002D1C92">
        <w:rPr>
          <w:rFonts w:ascii="Arial" w:hAnsi="Arial" w:cs="Arial"/>
          <w:sz w:val="20"/>
          <w:szCs w:val="20"/>
        </w:rPr>
        <w:t xml:space="preserve"> did not differentiate between purchasers and service activators. This</w:t>
      </w:r>
      <w:r w:rsidR="00236F5A" w:rsidRPr="002D1C92">
        <w:rPr>
          <w:rFonts w:ascii="Arial" w:hAnsi="Arial" w:cs="Arial"/>
          <w:sz w:val="20"/>
          <w:szCs w:val="20"/>
        </w:rPr>
        <w:t xml:space="preserve"> indicate</w:t>
      </w:r>
      <w:r w:rsidR="00D80F3D">
        <w:rPr>
          <w:rFonts w:ascii="Arial" w:hAnsi="Arial" w:cs="Arial"/>
          <w:sz w:val="20"/>
          <w:szCs w:val="20"/>
        </w:rPr>
        <w:t>d</w:t>
      </w:r>
      <w:r w:rsidR="00236F5A" w:rsidRPr="002D1C92">
        <w:rPr>
          <w:rFonts w:ascii="Arial" w:hAnsi="Arial" w:cs="Arial"/>
          <w:sz w:val="20"/>
          <w:szCs w:val="20"/>
        </w:rPr>
        <w:t xml:space="preserve"> that </w:t>
      </w:r>
      <w:proofErr w:type="spellStart"/>
      <w:r w:rsidR="001C3BBC" w:rsidRPr="002D1C92">
        <w:rPr>
          <w:rFonts w:ascii="Arial" w:hAnsi="Arial" w:cs="Arial"/>
          <w:sz w:val="20"/>
          <w:szCs w:val="20"/>
        </w:rPr>
        <w:t>Lycamobile</w:t>
      </w:r>
      <w:proofErr w:type="spellEnd"/>
      <w:r w:rsidR="001C3BBC" w:rsidRPr="002D1C92">
        <w:rPr>
          <w:rFonts w:ascii="Arial" w:hAnsi="Arial" w:cs="Arial"/>
          <w:sz w:val="20"/>
          <w:szCs w:val="20"/>
        </w:rPr>
        <w:t xml:space="preserve"> </w:t>
      </w:r>
      <w:r w:rsidR="00236F5A" w:rsidRPr="002D1C92">
        <w:rPr>
          <w:rFonts w:ascii="Arial" w:hAnsi="Arial" w:cs="Arial"/>
          <w:sz w:val="20"/>
          <w:szCs w:val="20"/>
        </w:rPr>
        <w:t xml:space="preserve">does not differentiate between purchasers and service activators </w:t>
      </w:r>
      <w:r w:rsidR="00715C8A" w:rsidRPr="002D1C92">
        <w:rPr>
          <w:rFonts w:ascii="Arial" w:hAnsi="Arial" w:cs="Arial"/>
          <w:sz w:val="20"/>
          <w:szCs w:val="20"/>
        </w:rPr>
        <w:t xml:space="preserve">when </w:t>
      </w:r>
      <w:r w:rsidR="00236F5A" w:rsidRPr="002D1C92">
        <w:rPr>
          <w:rFonts w:ascii="Arial" w:hAnsi="Arial" w:cs="Arial"/>
          <w:sz w:val="20"/>
          <w:szCs w:val="20"/>
        </w:rPr>
        <w:t xml:space="preserve">obtaining information or verifying the identity of </w:t>
      </w:r>
      <w:r w:rsidR="00715C8A" w:rsidRPr="002D1C92">
        <w:rPr>
          <w:rFonts w:ascii="Arial" w:hAnsi="Arial" w:cs="Arial"/>
          <w:sz w:val="20"/>
          <w:szCs w:val="20"/>
        </w:rPr>
        <w:t xml:space="preserve">its </w:t>
      </w:r>
      <w:r w:rsidR="00236F5A" w:rsidRPr="002D1C92">
        <w:rPr>
          <w:rFonts w:ascii="Arial" w:hAnsi="Arial" w:cs="Arial"/>
          <w:sz w:val="20"/>
          <w:szCs w:val="20"/>
        </w:rPr>
        <w:t>customers.</w:t>
      </w:r>
      <w:r w:rsidR="0056220E" w:rsidRPr="00FB5166">
        <w:rPr>
          <w:rFonts w:ascii="Arial" w:hAnsi="Arial" w:cs="Arial"/>
          <w:sz w:val="20"/>
          <w:szCs w:val="20"/>
          <w:vertAlign w:val="superscript"/>
        </w:rPr>
        <w:footnoteReference w:id="12"/>
      </w:r>
      <w:r w:rsidR="00236F5A" w:rsidRPr="002D1C92">
        <w:rPr>
          <w:rFonts w:ascii="Arial" w:hAnsi="Arial" w:cs="Arial"/>
          <w:sz w:val="20"/>
          <w:szCs w:val="20"/>
        </w:rPr>
        <w:t xml:space="preserve"> As a result, </w:t>
      </w:r>
      <w:proofErr w:type="spellStart"/>
      <w:r w:rsidR="00236F5A" w:rsidRPr="002D1C92">
        <w:rPr>
          <w:rFonts w:ascii="Arial" w:hAnsi="Arial" w:cs="Arial"/>
          <w:sz w:val="20"/>
          <w:szCs w:val="20"/>
        </w:rPr>
        <w:t>Lycamobile’s</w:t>
      </w:r>
      <w:proofErr w:type="spellEnd"/>
      <w:r w:rsidR="00A8735D" w:rsidRPr="002D1C92">
        <w:rPr>
          <w:rFonts w:ascii="Arial" w:hAnsi="Arial" w:cs="Arial"/>
          <w:sz w:val="20"/>
          <w:szCs w:val="20"/>
        </w:rPr>
        <w:t xml:space="preserve"> 2,000</w:t>
      </w:r>
      <w:r w:rsidR="00236F5A" w:rsidRPr="002D1C92">
        <w:rPr>
          <w:rFonts w:ascii="Arial" w:hAnsi="Arial" w:cs="Arial"/>
          <w:sz w:val="20"/>
          <w:szCs w:val="20"/>
        </w:rPr>
        <w:t xml:space="preserve"> customer records </w:t>
      </w:r>
      <w:r w:rsidR="00687C82" w:rsidRPr="002D1C92">
        <w:rPr>
          <w:rFonts w:ascii="Arial" w:hAnsi="Arial" w:cs="Arial"/>
          <w:sz w:val="20"/>
          <w:szCs w:val="20"/>
        </w:rPr>
        <w:t xml:space="preserve">do </w:t>
      </w:r>
      <w:r w:rsidR="00236F5A" w:rsidRPr="002D1C92">
        <w:rPr>
          <w:rFonts w:ascii="Arial" w:hAnsi="Arial" w:cs="Arial"/>
          <w:sz w:val="20"/>
          <w:szCs w:val="20"/>
        </w:rPr>
        <w:t xml:space="preserve">not contain the necessary information to enable the ACMA to assess its compliance with all </w:t>
      </w:r>
      <w:r w:rsidR="00444201" w:rsidRPr="002D1C92">
        <w:rPr>
          <w:rFonts w:ascii="Arial" w:hAnsi="Arial" w:cs="Arial"/>
          <w:sz w:val="20"/>
          <w:szCs w:val="20"/>
        </w:rPr>
        <w:t xml:space="preserve">the </w:t>
      </w:r>
      <w:r w:rsidR="00236F5A" w:rsidRPr="002D1C92">
        <w:rPr>
          <w:rFonts w:ascii="Arial" w:hAnsi="Arial" w:cs="Arial"/>
          <w:sz w:val="20"/>
          <w:szCs w:val="20"/>
        </w:rPr>
        <w:t xml:space="preserve">requirements of the Prepaid Determination. </w:t>
      </w:r>
    </w:p>
    <w:bookmarkEnd w:id="4"/>
    <w:p w14:paraId="2379D1D3" w14:textId="3563C467" w:rsidR="001229DF" w:rsidRPr="002D1C92" w:rsidRDefault="00DD01C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As </w:t>
      </w:r>
      <w:r w:rsidR="001229DF" w:rsidRPr="002D1C92">
        <w:rPr>
          <w:rFonts w:ascii="Arial" w:hAnsi="Arial" w:cs="Arial"/>
          <w:sz w:val="20"/>
          <w:szCs w:val="20"/>
        </w:rPr>
        <w:t>the ACMA</w:t>
      </w:r>
      <w:r w:rsidRPr="002D1C92">
        <w:rPr>
          <w:rFonts w:ascii="Arial" w:hAnsi="Arial" w:cs="Arial"/>
          <w:sz w:val="20"/>
          <w:szCs w:val="20"/>
        </w:rPr>
        <w:t xml:space="preserve"> could </w:t>
      </w:r>
      <w:r w:rsidR="001229DF" w:rsidRPr="002D1C92">
        <w:rPr>
          <w:rFonts w:ascii="Arial" w:hAnsi="Arial" w:cs="Arial"/>
          <w:sz w:val="20"/>
          <w:szCs w:val="20"/>
        </w:rPr>
        <w:t xml:space="preserve">not readily ascertain from </w:t>
      </w:r>
      <w:r w:rsidR="00F4278D" w:rsidRPr="002D1C92">
        <w:rPr>
          <w:rFonts w:ascii="Arial" w:hAnsi="Arial" w:cs="Arial"/>
          <w:sz w:val="20"/>
          <w:szCs w:val="20"/>
        </w:rPr>
        <w:t xml:space="preserve">any of </w:t>
      </w:r>
      <w:proofErr w:type="spellStart"/>
      <w:r w:rsidR="001229DF" w:rsidRPr="002D1C92">
        <w:rPr>
          <w:rFonts w:ascii="Arial" w:hAnsi="Arial" w:cs="Arial"/>
          <w:sz w:val="20"/>
          <w:szCs w:val="20"/>
        </w:rPr>
        <w:t>Lycamobile’s</w:t>
      </w:r>
      <w:proofErr w:type="spellEnd"/>
      <w:r w:rsidR="00CA1415" w:rsidRPr="002D1C92">
        <w:rPr>
          <w:rFonts w:ascii="Arial" w:hAnsi="Arial" w:cs="Arial"/>
          <w:sz w:val="20"/>
          <w:szCs w:val="20"/>
        </w:rPr>
        <w:t xml:space="preserve"> customer</w:t>
      </w:r>
      <w:r w:rsidR="001229DF" w:rsidRPr="002D1C92">
        <w:rPr>
          <w:rFonts w:ascii="Arial" w:hAnsi="Arial" w:cs="Arial"/>
          <w:sz w:val="20"/>
          <w:szCs w:val="20"/>
        </w:rPr>
        <w:t xml:space="preserve"> records whether it has complied with all the requirements of the Prepaid Determination, the ACMA </w:t>
      </w:r>
      <w:r w:rsidR="00B96338" w:rsidRPr="002D1C92">
        <w:rPr>
          <w:rFonts w:ascii="Arial" w:hAnsi="Arial" w:cs="Arial"/>
          <w:sz w:val="20"/>
          <w:szCs w:val="20"/>
        </w:rPr>
        <w:t>finds</w:t>
      </w:r>
      <w:r w:rsidR="001229DF" w:rsidRPr="002D1C92">
        <w:rPr>
          <w:rFonts w:ascii="Arial" w:hAnsi="Arial" w:cs="Arial"/>
          <w:sz w:val="20"/>
          <w:szCs w:val="20"/>
        </w:rPr>
        <w:t xml:space="preserve"> that </w:t>
      </w:r>
      <w:proofErr w:type="spellStart"/>
      <w:r w:rsidR="001229DF" w:rsidRPr="002D1C92">
        <w:rPr>
          <w:rFonts w:ascii="Arial" w:hAnsi="Arial" w:cs="Arial"/>
          <w:sz w:val="20"/>
          <w:szCs w:val="20"/>
        </w:rPr>
        <w:t>Lycamobile</w:t>
      </w:r>
      <w:proofErr w:type="spellEnd"/>
      <w:r w:rsidR="001229DF" w:rsidRPr="002D1C92">
        <w:rPr>
          <w:rFonts w:ascii="Arial" w:hAnsi="Arial" w:cs="Arial"/>
          <w:sz w:val="20"/>
          <w:szCs w:val="20"/>
        </w:rPr>
        <w:t xml:space="preserve"> contravened subsection 6.1(1) of the Prepaid Determination</w:t>
      </w:r>
      <w:r w:rsidR="004E45CD" w:rsidRPr="002D1C92">
        <w:rPr>
          <w:rFonts w:ascii="Arial" w:hAnsi="Arial" w:cs="Arial"/>
          <w:sz w:val="20"/>
          <w:szCs w:val="20"/>
        </w:rPr>
        <w:t xml:space="preserve"> in </w:t>
      </w:r>
      <w:r w:rsidR="00F4278D" w:rsidRPr="002D1C92">
        <w:rPr>
          <w:rFonts w:ascii="Arial" w:hAnsi="Arial" w:cs="Arial"/>
          <w:sz w:val="20"/>
          <w:szCs w:val="20"/>
        </w:rPr>
        <w:t>2,000</w:t>
      </w:r>
      <w:r w:rsidR="004E45CD" w:rsidRPr="002D1C92">
        <w:rPr>
          <w:rFonts w:ascii="Arial" w:hAnsi="Arial" w:cs="Arial"/>
          <w:sz w:val="20"/>
          <w:szCs w:val="20"/>
        </w:rPr>
        <w:t xml:space="preserve"> instances</w:t>
      </w:r>
      <w:r w:rsidR="001229DF" w:rsidRPr="002D1C92">
        <w:rPr>
          <w:rFonts w:ascii="Arial" w:hAnsi="Arial" w:cs="Arial"/>
          <w:sz w:val="20"/>
          <w:szCs w:val="20"/>
        </w:rPr>
        <w:t xml:space="preserve">. </w:t>
      </w:r>
    </w:p>
    <w:p w14:paraId="71F4138B" w14:textId="77777777" w:rsidR="00251421" w:rsidRPr="002D1C92" w:rsidRDefault="00251421" w:rsidP="00401906">
      <w:pPr>
        <w:pStyle w:val="ACMATableText"/>
        <w:spacing w:before="200" w:after="120"/>
        <w:rPr>
          <w:rFonts w:cs="Arial"/>
          <w:i/>
        </w:rPr>
      </w:pPr>
      <w:r w:rsidRPr="002D1C92">
        <w:rPr>
          <w:rFonts w:cs="Arial"/>
          <w:i/>
        </w:rPr>
        <w:t>Section 6.3</w:t>
      </w:r>
    </w:p>
    <w:p w14:paraId="58BF236A" w14:textId="4A00CF9F" w:rsidR="006A74C6" w:rsidRPr="002D1C92" w:rsidRDefault="006A74C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Section 6.3 of the Prepaid Determination requires a CSP who supplies prepaid mobile carriage services to keep a written description of the arrangements that it has in place to comply with the Determination.</w:t>
      </w:r>
    </w:p>
    <w:p w14:paraId="24837F28" w14:textId="096AA341" w:rsidR="006A74C6" w:rsidRPr="002D1C92" w:rsidRDefault="006A74C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w:t>
      </w:r>
      <w:r w:rsidR="00246DFD" w:rsidRPr="002D1C92">
        <w:rPr>
          <w:rFonts w:ascii="Arial" w:hAnsi="Arial" w:cs="Arial"/>
          <w:sz w:val="20"/>
          <w:szCs w:val="20"/>
        </w:rPr>
        <w:t>first notice</w:t>
      </w:r>
      <w:r w:rsidR="00E03C48">
        <w:rPr>
          <w:rFonts w:ascii="Arial" w:hAnsi="Arial" w:cs="Arial"/>
          <w:sz w:val="20"/>
          <w:szCs w:val="20"/>
        </w:rPr>
        <w:t>, which was issued on 26 June 2019,</w:t>
      </w:r>
      <w:r w:rsidR="00246DFD" w:rsidRPr="002D1C92">
        <w:rPr>
          <w:rFonts w:ascii="Arial" w:hAnsi="Arial" w:cs="Arial"/>
          <w:sz w:val="20"/>
          <w:szCs w:val="20"/>
        </w:rPr>
        <w:t xml:space="preserve"> </w:t>
      </w:r>
      <w:r w:rsidRPr="002D1C92">
        <w:rPr>
          <w:rFonts w:ascii="Arial" w:hAnsi="Arial" w:cs="Arial"/>
          <w:sz w:val="20"/>
          <w:szCs w:val="20"/>
        </w:rPr>
        <w:t xml:space="preserve">required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to provide copies of any written arrangements that it ha</w:t>
      </w:r>
      <w:r w:rsidR="00D80F3D">
        <w:rPr>
          <w:rFonts w:ascii="Arial" w:hAnsi="Arial" w:cs="Arial"/>
          <w:sz w:val="20"/>
          <w:szCs w:val="20"/>
        </w:rPr>
        <w:t>d</w:t>
      </w:r>
      <w:r w:rsidRPr="002D1C92">
        <w:rPr>
          <w:rFonts w:ascii="Arial" w:hAnsi="Arial" w:cs="Arial"/>
          <w:sz w:val="20"/>
          <w:szCs w:val="20"/>
        </w:rPr>
        <w:t xml:space="preserve"> in place to comply with section 6.3 of the Prepaid Determination. </w:t>
      </w:r>
    </w:p>
    <w:p w14:paraId="63B1DE4C" w14:textId="11F5F763" w:rsidR="006A74C6" w:rsidRPr="002D1C92" w:rsidRDefault="006A74C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lastRenderedPageBreak/>
        <w:t xml:space="preserve">On 22 July 2019,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provided the ACMA with two documents in response to the </w:t>
      </w:r>
      <w:r w:rsidR="001F0711" w:rsidRPr="002D1C92">
        <w:rPr>
          <w:rFonts w:ascii="Arial" w:hAnsi="Arial" w:cs="Arial"/>
          <w:sz w:val="20"/>
          <w:szCs w:val="20"/>
        </w:rPr>
        <w:t xml:space="preserve">first </w:t>
      </w:r>
      <w:r w:rsidRPr="002D1C92">
        <w:rPr>
          <w:rFonts w:ascii="Arial" w:hAnsi="Arial" w:cs="Arial"/>
          <w:sz w:val="20"/>
          <w:szCs w:val="20"/>
        </w:rPr>
        <w:t>notice: Registration &amp; Integral Public Number Database and the LM AUS Guide document</w:t>
      </w:r>
      <w:r w:rsidR="00CE7D42" w:rsidRPr="002D1C92">
        <w:rPr>
          <w:rFonts w:ascii="Arial" w:hAnsi="Arial" w:cs="Arial"/>
          <w:sz w:val="20"/>
          <w:szCs w:val="20"/>
        </w:rPr>
        <w:t>.</w:t>
      </w:r>
      <w:r w:rsidRPr="002D1C92">
        <w:rPr>
          <w:rFonts w:ascii="Arial" w:hAnsi="Arial" w:cs="Arial"/>
          <w:sz w:val="20"/>
          <w:szCs w:val="20"/>
        </w:rPr>
        <w:t xml:space="preserve"> </w:t>
      </w:r>
    </w:p>
    <w:p w14:paraId="39A9EF5D" w14:textId="666DBE21" w:rsidR="006A74C6" w:rsidRPr="002D1C92" w:rsidRDefault="006A74C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documents supplied by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do not provide a written description of the arrangements required by section 6.3. Instead, these documents provide guidance about other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operations and processes, including how to complete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online forms or templates to ensure registrations are not rejected. </w:t>
      </w:r>
    </w:p>
    <w:p w14:paraId="25336313" w14:textId="50883744" w:rsidR="00251421" w:rsidRPr="002D1C92" w:rsidRDefault="006A74C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ACMA therefore </w:t>
      </w:r>
      <w:r w:rsidR="00B96338" w:rsidRPr="002D1C92">
        <w:rPr>
          <w:rFonts w:ascii="Arial" w:hAnsi="Arial" w:cs="Arial"/>
          <w:sz w:val="20"/>
          <w:szCs w:val="20"/>
        </w:rPr>
        <w:t>finds</w:t>
      </w:r>
      <w:r w:rsidRPr="002D1C92">
        <w:rPr>
          <w:rFonts w:ascii="Arial" w:hAnsi="Arial" w:cs="Arial"/>
          <w:sz w:val="20"/>
          <w:szCs w:val="20"/>
        </w:rPr>
        <w:t xml:space="preserve">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contravened section 6.3 of the Prepaid Determination </w:t>
      </w:r>
      <w:r w:rsidR="00370463" w:rsidRPr="002D1C92">
        <w:rPr>
          <w:rFonts w:ascii="Arial" w:hAnsi="Arial" w:cs="Arial"/>
          <w:sz w:val="20"/>
          <w:szCs w:val="20"/>
        </w:rPr>
        <w:t>(</w:t>
      </w:r>
      <w:r w:rsidR="00AF4748" w:rsidRPr="002D1C92">
        <w:rPr>
          <w:rFonts w:ascii="Arial" w:hAnsi="Arial" w:cs="Arial"/>
          <w:sz w:val="20"/>
          <w:szCs w:val="20"/>
        </w:rPr>
        <w:t>on</w:t>
      </w:r>
      <w:r w:rsidR="00370463" w:rsidRPr="002D1C92">
        <w:rPr>
          <w:rFonts w:ascii="Arial" w:hAnsi="Arial" w:cs="Arial"/>
          <w:sz w:val="20"/>
          <w:szCs w:val="20"/>
        </w:rPr>
        <w:t xml:space="preserve"> one instance) </w:t>
      </w:r>
      <w:r w:rsidRPr="002D1C92">
        <w:rPr>
          <w:rFonts w:ascii="Arial" w:hAnsi="Arial" w:cs="Arial"/>
          <w:sz w:val="20"/>
          <w:szCs w:val="20"/>
        </w:rPr>
        <w:t xml:space="preserve">because the </w:t>
      </w:r>
      <w:r w:rsidR="00E01F94">
        <w:rPr>
          <w:rFonts w:ascii="Arial" w:hAnsi="Arial" w:cs="Arial"/>
          <w:sz w:val="20"/>
          <w:szCs w:val="20"/>
        </w:rPr>
        <w:t xml:space="preserve">written </w:t>
      </w:r>
      <w:r w:rsidRPr="002D1C92">
        <w:rPr>
          <w:rFonts w:ascii="Arial" w:hAnsi="Arial" w:cs="Arial"/>
          <w:sz w:val="20"/>
          <w:szCs w:val="20"/>
        </w:rPr>
        <w:t>description of arrangements that it ha</w:t>
      </w:r>
      <w:r w:rsidR="00D80F3D">
        <w:rPr>
          <w:rFonts w:ascii="Arial" w:hAnsi="Arial" w:cs="Arial"/>
          <w:sz w:val="20"/>
          <w:szCs w:val="20"/>
        </w:rPr>
        <w:t>d</w:t>
      </w:r>
      <w:r w:rsidRPr="002D1C92">
        <w:rPr>
          <w:rFonts w:ascii="Arial" w:hAnsi="Arial" w:cs="Arial"/>
          <w:sz w:val="20"/>
          <w:szCs w:val="20"/>
        </w:rPr>
        <w:t xml:space="preserve"> in place </w:t>
      </w:r>
      <w:r w:rsidR="00D80F3D">
        <w:rPr>
          <w:rFonts w:ascii="Arial" w:hAnsi="Arial" w:cs="Arial"/>
          <w:sz w:val="20"/>
          <w:szCs w:val="20"/>
        </w:rPr>
        <w:t>wa</w:t>
      </w:r>
      <w:r w:rsidR="00517EA2" w:rsidRPr="002D1C92">
        <w:rPr>
          <w:rFonts w:ascii="Arial" w:hAnsi="Arial" w:cs="Arial"/>
          <w:sz w:val="20"/>
          <w:szCs w:val="20"/>
        </w:rPr>
        <w:t xml:space="preserve">s inadequate and </w:t>
      </w:r>
      <w:r w:rsidR="00380156">
        <w:rPr>
          <w:rFonts w:ascii="Arial" w:hAnsi="Arial" w:cs="Arial"/>
          <w:sz w:val="20"/>
          <w:szCs w:val="20"/>
        </w:rPr>
        <w:t>wa</w:t>
      </w:r>
      <w:r w:rsidR="00517EA2" w:rsidRPr="002D1C92">
        <w:rPr>
          <w:rFonts w:ascii="Arial" w:hAnsi="Arial" w:cs="Arial"/>
          <w:sz w:val="20"/>
          <w:szCs w:val="20"/>
        </w:rPr>
        <w:t xml:space="preserve">s not the kind of description </w:t>
      </w:r>
      <w:r w:rsidR="00E01F94">
        <w:rPr>
          <w:rFonts w:ascii="Arial" w:hAnsi="Arial" w:cs="Arial"/>
          <w:sz w:val="20"/>
          <w:szCs w:val="20"/>
        </w:rPr>
        <w:t xml:space="preserve">of arrangements </w:t>
      </w:r>
      <w:r w:rsidRPr="002D1C92">
        <w:rPr>
          <w:rFonts w:ascii="Arial" w:hAnsi="Arial" w:cs="Arial"/>
          <w:sz w:val="20"/>
          <w:szCs w:val="20"/>
        </w:rPr>
        <w:t xml:space="preserve">required </w:t>
      </w:r>
      <w:r w:rsidR="00517EA2" w:rsidRPr="002D1C92">
        <w:rPr>
          <w:rFonts w:ascii="Arial" w:hAnsi="Arial" w:cs="Arial"/>
          <w:sz w:val="20"/>
          <w:szCs w:val="20"/>
        </w:rPr>
        <w:t xml:space="preserve">to enable </w:t>
      </w:r>
      <w:proofErr w:type="spellStart"/>
      <w:r w:rsidR="00517EA2" w:rsidRPr="002D1C92">
        <w:rPr>
          <w:rFonts w:ascii="Arial" w:hAnsi="Arial" w:cs="Arial"/>
          <w:sz w:val="20"/>
          <w:szCs w:val="20"/>
        </w:rPr>
        <w:t>Lycamobile</w:t>
      </w:r>
      <w:proofErr w:type="spellEnd"/>
      <w:r w:rsidR="00517EA2" w:rsidRPr="002D1C92">
        <w:rPr>
          <w:rFonts w:ascii="Arial" w:hAnsi="Arial" w:cs="Arial"/>
          <w:sz w:val="20"/>
          <w:szCs w:val="20"/>
        </w:rPr>
        <w:t xml:space="preserve"> to comply with the Determination.</w:t>
      </w:r>
    </w:p>
    <w:p w14:paraId="4F994B5F" w14:textId="77777777" w:rsidR="00251421" w:rsidRPr="002D1C92" w:rsidRDefault="00251421" w:rsidP="00401906">
      <w:pPr>
        <w:pStyle w:val="ACMATableText"/>
        <w:keepNext/>
        <w:spacing w:before="200" w:after="120"/>
        <w:rPr>
          <w:rFonts w:cs="Arial"/>
          <w:i/>
        </w:rPr>
      </w:pPr>
      <w:r w:rsidRPr="002D1C92">
        <w:rPr>
          <w:rFonts w:cs="Arial"/>
          <w:i/>
        </w:rPr>
        <w:t>Subsection 6.4(1)</w:t>
      </w:r>
    </w:p>
    <w:p w14:paraId="38C33AA9" w14:textId="138710DC" w:rsidR="00785892" w:rsidRPr="002D1C92" w:rsidRDefault="00785892" w:rsidP="00C155B6">
      <w:pPr>
        <w:pStyle w:val="ListParagraph"/>
        <w:keepNext/>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Subsection 6.4(1) of the Prepaid Determination prohibits a CSP from recording </w:t>
      </w:r>
      <w:r w:rsidR="00FF6D8B" w:rsidRPr="002D1C92">
        <w:rPr>
          <w:rFonts w:ascii="Arial" w:hAnsi="Arial" w:cs="Arial"/>
          <w:sz w:val="20"/>
          <w:szCs w:val="20"/>
        </w:rPr>
        <w:t xml:space="preserve">and </w:t>
      </w:r>
      <w:r w:rsidRPr="002D1C92">
        <w:rPr>
          <w:rFonts w:ascii="Arial" w:hAnsi="Arial" w:cs="Arial"/>
          <w:sz w:val="20"/>
          <w:szCs w:val="20"/>
        </w:rPr>
        <w:t>keeping the identifying number of a government document or a category A or B document, unless subsections 6.4(2) or 6.4(3) apply</w:t>
      </w:r>
      <w:r w:rsidR="00C442E9" w:rsidRPr="002D1C92">
        <w:rPr>
          <w:rFonts w:ascii="Arial" w:hAnsi="Arial" w:cs="Arial"/>
          <w:sz w:val="20"/>
          <w:szCs w:val="20"/>
        </w:rPr>
        <w:t>.</w:t>
      </w:r>
    </w:p>
    <w:p w14:paraId="0E61E4F2" w14:textId="5491D057" w:rsidR="00C442E9" w:rsidRPr="002D1C92" w:rsidRDefault="00FB2AB3"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Subsection 6.4(2) of the Prepaid Determination allows the recording </w:t>
      </w:r>
      <w:r w:rsidR="00FF6D8B" w:rsidRPr="002D1C92">
        <w:rPr>
          <w:rFonts w:ascii="Arial" w:hAnsi="Arial" w:cs="Arial"/>
          <w:sz w:val="20"/>
          <w:szCs w:val="20"/>
        </w:rPr>
        <w:t xml:space="preserve">and </w:t>
      </w:r>
      <w:r w:rsidRPr="002D1C92">
        <w:rPr>
          <w:rFonts w:ascii="Arial" w:hAnsi="Arial" w:cs="Arial"/>
          <w:sz w:val="20"/>
          <w:szCs w:val="20"/>
        </w:rPr>
        <w:t xml:space="preserve">keeping of information or a document if it is required or authorised by or under a law. For example, the </w:t>
      </w:r>
      <w:r w:rsidRPr="002D1C92">
        <w:rPr>
          <w:rFonts w:ascii="Arial" w:hAnsi="Arial" w:cs="Arial"/>
          <w:i/>
          <w:iCs/>
          <w:sz w:val="20"/>
          <w:szCs w:val="20"/>
        </w:rPr>
        <w:t>Telecommunications (Interception and Access) Act 1979</w:t>
      </w:r>
      <w:r w:rsidRPr="002D1C92">
        <w:rPr>
          <w:rFonts w:ascii="Arial" w:hAnsi="Arial" w:cs="Arial"/>
          <w:sz w:val="20"/>
          <w:szCs w:val="20"/>
        </w:rPr>
        <w:t xml:space="preserve"> may require CSPs to retain certain data –</w:t>
      </w:r>
      <w:r w:rsidR="00DD424E">
        <w:rPr>
          <w:rFonts w:ascii="Arial" w:hAnsi="Arial" w:cs="Arial"/>
          <w:sz w:val="20"/>
          <w:szCs w:val="20"/>
        </w:rPr>
        <w:t xml:space="preserve"> </w:t>
      </w:r>
      <w:r w:rsidRPr="002D1C92">
        <w:rPr>
          <w:rFonts w:ascii="Arial" w:hAnsi="Arial" w:cs="Arial"/>
          <w:sz w:val="20"/>
          <w:szCs w:val="20"/>
        </w:rPr>
        <w:t>for example, the telephone number of the people talking to each other and how long they talked</w:t>
      </w:r>
      <w:r w:rsidR="00DD424E">
        <w:rPr>
          <w:rFonts w:ascii="Arial" w:hAnsi="Arial" w:cs="Arial"/>
          <w:sz w:val="20"/>
          <w:szCs w:val="20"/>
        </w:rPr>
        <w:t xml:space="preserve"> –</w:t>
      </w:r>
      <w:r w:rsidR="004C7556">
        <w:rPr>
          <w:rFonts w:ascii="Arial" w:hAnsi="Arial" w:cs="Arial"/>
          <w:sz w:val="20"/>
          <w:szCs w:val="20"/>
        </w:rPr>
        <w:t xml:space="preserve"> </w:t>
      </w:r>
      <w:r w:rsidR="00380156">
        <w:rPr>
          <w:rFonts w:ascii="Arial" w:hAnsi="Arial" w:cs="Arial"/>
          <w:sz w:val="20"/>
          <w:szCs w:val="20"/>
        </w:rPr>
        <w:t>but</w:t>
      </w:r>
      <w:r w:rsidRPr="002D1C92">
        <w:rPr>
          <w:rFonts w:ascii="Arial" w:hAnsi="Arial" w:cs="Arial"/>
          <w:sz w:val="20"/>
          <w:szCs w:val="20"/>
        </w:rPr>
        <w:t xml:space="preserve"> not the content of the communication.</w:t>
      </w:r>
      <w:r w:rsidR="00EC477E" w:rsidRPr="002D1C92">
        <w:rPr>
          <w:rFonts w:ascii="Arial" w:hAnsi="Arial" w:cs="Arial"/>
          <w:sz w:val="20"/>
          <w:szCs w:val="20"/>
        </w:rPr>
        <w:t xml:space="preserve"> The ACMA has not received any evidence to suggest that subsection 6.4(2) applies on the current facts.</w:t>
      </w:r>
    </w:p>
    <w:p w14:paraId="17021409" w14:textId="78F26F2C" w:rsidR="005E4B1E" w:rsidRPr="002D1C92" w:rsidRDefault="008F451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Subsection 6.4(3) of the Prepaid Determination allows the recording and keeping of the id</w:t>
      </w:r>
      <w:r w:rsidR="00370345" w:rsidRPr="002D1C92">
        <w:rPr>
          <w:rFonts w:ascii="Arial" w:hAnsi="Arial" w:cs="Arial"/>
          <w:sz w:val="20"/>
          <w:szCs w:val="20"/>
        </w:rPr>
        <w:t>e</w:t>
      </w:r>
      <w:r w:rsidRPr="002D1C92">
        <w:rPr>
          <w:rFonts w:ascii="Arial" w:hAnsi="Arial" w:cs="Arial"/>
          <w:sz w:val="20"/>
          <w:szCs w:val="20"/>
        </w:rPr>
        <w:t xml:space="preserve">ntifying number of a government document </w:t>
      </w:r>
      <w:r w:rsidR="00AE593A" w:rsidRPr="002D1C92">
        <w:rPr>
          <w:rFonts w:ascii="Arial" w:hAnsi="Arial" w:cs="Arial"/>
          <w:sz w:val="20"/>
          <w:szCs w:val="20"/>
        </w:rPr>
        <w:t>for a permitted purpose</w:t>
      </w:r>
      <w:r w:rsidRPr="002D1C92">
        <w:rPr>
          <w:rFonts w:ascii="Arial" w:hAnsi="Arial" w:cs="Arial"/>
          <w:sz w:val="20"/>
          <w:szCs w:val="20"/>
        </w:rPr>
        <w:t xml:space="preserve">. </w:t>
      </w:r>
      <w:r w:rsidR="00DC472B">
        <w:rPr>
          <w:rFonts w:ascii="Arial" w:hAnsi="Arial" w:cs="Arial"/>
          <w:sz w:val="20"/>
          <w:szCs w:val="20"/>
        </w:rPr>
        <w:t>A permitted purpose includes</w:t>
      </w:r>
      <w:r w:rsidRPr="002D1C92">
        <w:rPr>
          <w:rFonts w:ascii="Arial" w:hAnsi="Arial" w:cs="Arial"/>
          <w:sz w:val="20"/>
          <w:szCs w:val="20"/>
        </w:rPr>
        <w:t xml:space="preserve"> where the CSP needs the identifying number or document to verify the identity of a </w:t>
      </w:r>
      <w:r w:rsidRPr="00DC472B">
        <w:rPr>
          <w:rFonts w:ascii="Arial" w:hAnsi="Arial" w:cs="Arial"/>
          <w:sz w:val="20"/>
          <w:szCs w:val="20"/>
        </w:rPr>
        <w:t>service activator</w:t>
      </w:r>
      <w:r w:rsidRPr="002D1C92">
        <w:rPr>
          <w:rFonts w:ascii="Arial" w:hAnsi="Arial" w:cs="Arial"/>
          <w:sz w:val="20"/>
          <w:szCs w:val="20"/>
        </w:rPr>
        <w:t xml:space="preserve"> in accordance with section 4.5 of the Prepaid Determination. Paragraph 6.4(3)(c) of the Prepaid Determination </w:t>
      </w:r>
      <w:r w:rsidR="007E1716" w:rsidRPr="002D1C92">
        <w:rPr>
          <w:rFonts w:ascii="Arial" w:hAnsi="Arial" w:cs="Arial"/>
          <w:sz w:val="20"/>
          <w:szCs w:val="20"/>
        </w:rPr>
        <w:t>requires</w:t>
      </w:r>
      <w:r w:rsidRPr="002D1C92">
        <w:rPr>
          <w:rFonts w:ascii="Arial" w:hAnsi="Arial" w:cs="Arial"/>
          <w:sz w:val="20"/>
          <w:szCs w:val="20"/>
        </w:rPr>
        <w:t xml:space="preserve"> the CSP </w:t>
      </w:r>
      <w:r w:rsidR="007E1716" w:rsidRPr="002D1C92">
        <w:rPr>
          <w:rFonts w:ascii="Arial" w:hAnsi="Arial" w:cs="Arial"/>
          <w:sz w:val="20"/>
          <w:szCs w:val="20"/>
        </w:rPr>
        <w:t>to</w:t>
      </w:r>
      <w:r w:rsidRPr="002D1C92">
        <w:rPr>
          <w:rFonts w:ascii="Arial" w:hAnsi="Arial" w:cs="Arial"/>
          <w:sz w:val="20"/>
          <w:szCs w:val="20"/>
        </w:rPr>
        <w:t xml:space="preserve"> destroy the number immediately after </w:t>
      </w:r>
      <w:r w:rsidR="007E1716" w:rsidRPr="002D1C92">
        <w:rPr>
          <w:rFonts w:ascii="Arial" w:hAnsi="Arial" w:cs="Arial"/>
          <w:sz w:val="20"/>
          <w:szCs w:val="20"/>
        </w:rPr>
        <w:t>it</w:t>
      </w:r>
      <w:r w:rsidRPr="002D1C92">
        <w:rPr>
          <w:rFonts w:ascii="Arial" w:hAnsi="Arial" w:cs="Arial"/>
          <w:sz w:val="20"/>
          <w:szCs w:val="20"/>
        </w:rPr>
        <w:t xml:space="preserve"> has verified a service activator’s identity. These requirements recognise that CSPs may need to record an identifying number for a short period of time to assist a customer that is having trouble verifying their identity using the Government online verification service.</w:t>
      </w:r>
      <w:r w:rsidRPr="002D1C92">
        <w:rPr>
          <w:rFonts w:ascii="Arial" w:hAnsi="Arial" w:cs="Arial"/>
          <w:sz w:val="20"/>
          <w:szCs w:val="20"/>
        </w:rPr>
        <w:tab/>
        <w:t xml:space="preserve">  </w:t>
      </w:r>
    </w:p>
    <w:p w14:paraId="5DE6ECB3" w14:textId="3DCCC4C2" w:rsidR="00206CCD" w:rsidRPr="002D1C92" w:rsidRDefault="008F4516"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w:t>
      </w:r>
      <w:r w:rsidR="00F4278D" w:rsidRPr="002D1C92">
        <w:rPr>
          <w:rFonts w:ascii="Arial" w:hAnsi="Arial" w:cs="Arial"/>
          <w:sz w:val="20"/>
          <w:szCs w:val="20"/>
        </w:rPr>
        <w:t xml:space="preserve">2000 </w:t>
      </w:r>
      <w:r w:rsidR="00F92ECD" w:rsidRPr="002D1C92">
        <w:rPr>
          <w:rFonts w:ascii="Arial" w:hAnsi="Arial" w:cs="Arial"/>
          <w:sz w:val="20"/>
          <w:szCs w:val="20"/>
        </w:rPr>
        <w:t xml:space="preserve">customer </w:t>
      </w:r>
      <w:r w:rsidRPr="002D1C92">
        <w:rPr>
          <w:rFonts w:ascii="Arial" w:hAnsi="Arial" w:cs="Arial"/>
          <w:sz w:val="20"/>
          <w:szCs w:val="20"/>
        </w:rPr>
        <w:t xml:space="preserve">records provided by </w:t>
      </w:r>
      <w:proofErr w:type="spellStart"/>
      <w:r w:rsidRPr="002D1C92">
        <w:rPr>
          <w:rFonts w:ascii="Arial" w:hAnsi="Arial" w:cs="Arial"/>
          <w:sz w:val="20"/>
          <w:szCs w:val="20"/>
        </w:rPr>
        <w:t>Lycamobile</w:t>
      </w:r>
      <w:proofErr w:type="spellEnd"/>
      <w:r w:rsidR="00F4278D" w:rsidRPr="002D1C92">
        <w:rPr>
          <w:rFonts w:ascii="Arial" w:hAnsi="Arial" w:cs="Arial"/>
          <w:sz w:val="20"/>
          <w:szCs w:val="20"/>
        </w:rPr>
        <w:t xml:space="preserve"> in response to the first notice </w:t>
      </w:r>
      <w:r w:rsidRPr="002D1C92">
        <w:rPr>
          <w:rFonts w:ascii="Arial" w:hAnsi="Arial" w:cs="Arial"/>
          <w:sz w:val="20"/>
          <w:szCs w:val="20"/>
        </w:rPr>
        <w:t xml:space="preserve">include the identifying number of the documents that </w:t>
      </w:r>
      <w:r w:rsidR="00B37772" w:rsidRPr="002D1C92">
        <w:rPr>
          <w:rFonts w:ascii="Arial" w:hAnsi="Arial" w:cs="Arial"/>
          <w:sz w:val="20"/>
          <w:szCs w:val="20"/>
        </w:rPr>
        <w:t>were</w:t>
      </w:r>
      <w:r w:rsidRPr="002D1C92">
        <w:rPr>
          <w:rFonts w:ascii="Arial" w:hAnsi="Arial" w:cs="Arial"/>
          <w:sz w:val="20"/>
          <w:szCs w:val="20"/>
        </w:rPr>
        <w:t xml:space="preserve"> used to verify each </w:t>
      </w:r>
      <w:r w:rsidRPr="00DC472B">
        <w:rPr>
          <w:rFonts w:ascii="Arial" w:hAnsi="Arial" w:cs="Arial"/>
          <w:sz w:val="20"/>
          <w:szCs w:val="20"/>
        </w:rPr>
        <w:t>customer’s</w:t>
      </w:r>
      <w:r w:rsidRPr="002D1C92">
        <w:rPr>
          <w:rFonts w:ascii="Arial" w:hAnsi="Arial" w:cs="Arial"/>
          <w:sz w:val="20"/>
          <w:szCs w:val="20"/>
        </w:rPr>
        <w:t xml:space="preserve"> identity in relation to prepaid mobile carriage services that were activated from 1 March 2019. </w:t>
      </w:r>
      <w:proofErr w:type="gramStart"/>
      <w:r w:rsidR="00EC477E" w:rsidRPr="002D1C92">
        <w:rPr>
          <w:rFonts w:ascii="Arial" w:hAnsi="Arial" w:cs="Arial"/>
          <w:sz w:val="20"/>
          <w:szCs w:val="20"/>
        </w:rPr>
        <w:t>All of</w:t>
      </w:r>
      <w:proofErr w:type="gramEnd"/>
      <w:r w:rsidR="00EC477E" w:rsidRPr="002D1C92">
        <w:rPr>
          <w:rFonts w:ascii="Arial" w:hAnsi="Arial" w:cs="Arial"/>
          <w:sz w:val="20"/>
          <w:szCs w:val="20"/>
        </w:rPr>
        <w:t xml:space="preserve"> the documents used were government documents.</w:t>
      </w:r>
    </w:p>
    <w:p w14:paraId="69202D65" w14:textId="38212DA5" w:rsidR="00206CCD" w:rsidRPr="002D1C92" w:rsidRDefault="00206CCD"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As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does not differentiate between </w:t>
      </w:r>
      <w:r w:rsidR="00B86052" w:rsidRPr="002D1C92">
        <w:rPr>
          <w:rFonts w:ascii="Arial" w:hAnsi="Arial" w:cs="Arial"/>
          <w:sz w:val="20"/>
          <w:szCs w:val="20"/>
        </w:rPr>
        <w:t xml:space="preserve">customers that are </w:t>
      </w:r>
      <w:r w:rsidRPr="002D1C92">
        <w:rPr>
          <w:rFonts w:ascii="Arial" w:hAnsi="Arial" w:cs="Arial"/>
          <w:sz w:val="20"/>
          <w:szCs w:val="20"/>
        </w:rPr>
        <w:t>purchasers and service activators, i</w:t>
      </w:r>
      <w:r w:rsidR="00350DE5" w:rsidRPr="002D1C92">
        <w:rPr>
          <w:rFonts w:ascii="Arial" w:hAnsi="Arial" w:cs="Arial"/>
          <w:sz w:val="20"/>
          <w:szCs w:val="20"/>
        </w:rPr>
        <w:t xml:space="preserve">t is unclear whether the </w:t>
      </w:r>
      <w:r w:rsidR="00DB1411" w:rsidRPr="002D1C92">
        <w:rPr>
          <w:rFonts w:ascii="Arial" w:hAnsi="Arial" w:cs="Arial"/>
          <w:sz w:val="20"/>
          <w:szCs w:val="20"/>
        </w:rPr>
        <w:t>exception</w:t>
      </w:r>
      <w:r w:rsidR="00B60BA5" w:rsidRPr="002D1C92">
        <w:rPr>
          <w:rFonts w:ascii="Arial" w:hAnsi="Arial" w:cs="Arial"/>
          <w:sz w:val="20"/>
          <w:szCs w:val="20"/>
        </w:rPr>
        <w:t xml:space="preserve"> under subsection 6.4(3) of the Prepaid Determination</w:t>
      </w:r>
      <w:r w:rsidR="004C7556">
        <w:rPr>
          <w:rFonts w:ascii="Arial" w:hAnsi="Arial" w:cs="Arial"/>
          <w:sz w:val="20"/>
          <w:szCs w:val="20"/>
        </w:rPr>
        <w:t xml:space="preserve"> could have applied to </w:t>
      </w:r>
      <w:r w:rsidR="000C66A1">
        <w:rPr>
          <w:rFonts w:ascii="Arial" w:hAnsi="Arial" w:cs="Arial"/>
          <w:sz w:val="20"/>
          <w:szCs w:val="20"/>
        </w:rPr>
        <w:t>these records</w:t>
      </w:r>
      <w:r w:rsidRPr="002D1C92">
        <w:rPr>
          <w:rFonts w:ascii="Arial" w:hAnsi="Arial" w:cs="Arial"/>
          <w:sz w:val="20"/>
          <w:szCs w:val="20"/>
        </w:rPr>
        <w:t xml:space="preserve">. </w:t>
      </w:r>
      <w:proofErr w:type="spellStart"/>
      <w:r w:rsidR="00EC477E" w:rsidRPr="002D1C92">
        <w:rPr>
          <w:rFonts w:ascii="Arial" w:hAnsi="Arial" w:cs="Arial"/>
          <w:sz w:val="20"/>
          <w:szCs w:val="20"/>
        </w:rPr>
        <w:t>Lycamobile</w:t>
      </w:r>
      <w:proofErr w:type="spellEnd"/>
      <w:r w:rsidR="00EC477E" w:rsidRPr="002D1C92">
        <w:rPr>
          <w:rFonts w:ascii="Arial" w:hAnsi="Arial" w:cs="Arial"/>
          <w:sz w:val="20"/>
          <w:szCs w:val="20"/>
        </w:rPr>
        <w:t xml:space="preserve"> has not provided the ACMA with any evidence to suggest that</w:t>
      </w:r>
      <w:r w:rsidR="004C7556">
        <w:rPr>
          <w:rFonts w:ascii="Arial" w:hAnsi="Arial" w:cs="Arial"/>
          <w:sz w:val="20"/>
          <w:szCs w:val="20"/>
        </w:rPr>
        <w:t xml:space="preserve"> it considered</w:t>
      </w:r>
      <w:r w:rsidR="00EC477E" w:rsidRPr="002D1C92">
        <w:rPr>
          <w:rFonts w:ascii="Arial" w:hAnsi="Arial" w:cs="Arial"/>
          <w:sz w:val="20"/>
          <w:szCs w:val="20"/>
        </w:rPr>
        <w:t xml:space="preserve"> the exception applie</w:t>
      </w:r>
      <w:r w:rsidR="004C7556">
        <w:rPr>
          <w:rFonts w:ascii="Arial" w:hAnsi="Arial" w:cs="Arial"/>
          <w:sz w:val="20"/>
          <w:szCs w:val="20"/>
        </w:rPr>
        <w:t>d</w:t>
      </w:r>
      <w:r w:rsidR="00EC477E" w:rsidRPr="00FB5166">
        <w:t xml:space="preserve">. </w:t>
      </w:r>
      <w:r w:rsidRPr="002D1C92">
        <w:rPr>
          <w:rFonts w:ascii="Arial" w:hAnsi="Arial" w:cs="Arial"/>
          <w:sz w:val="20"/>
          <w:szCs w:val="20"/>
        </w:rPr>
        <w:t xml:space="preserve">However, </w:t>
      </w:r>
      <w:r w:rsidR="00DD424E">
        <w:rPr>
          <w:rFonts w:ascii="Arial" w:hAnsi="Arial" w:cs="Arial"/>
          <w:sz w:val="20"/>
          <w:szCs w:val="20"/>
        </w:rPr>
        <w:t xml:space="preserve">the </w:t>
      </w:r>
      <w:r w:rsidR="00D90C5D" w:rsidRPr="00D90C5D">
        <w:rPr>
          <w:rFonts w:ascii="Arial" w:hAnsi="Arial" w:cs="Arial"/>
          <w:sz w:val="20"/>
          <w:szCs w:val="20"/>
        </w:rPr>
        <w:t xml:space="preserve">records </w:t>
      </w:r>
      <w:r w:rsidR="00933657">
        <w:rPr>
          <w:rFonts w:ascii="Arial" w:hAnsi="Arial" w:cs="Arial"/>
          <w:sz w:val="20"/>
          <w:szCs w:val="20"/>
        </w:rPr>
        <w:t xml:space="preserve">show that </w:t>
      </w:r>
      <w:proofErr w:type="spellStart"/>
      <w:r w:rsidR="00524392">
        <w:rPr>
          <w:rFonts w:ascii="Arial" w:hAnsi="Arial" w:cs="Arial"/>
          <w:sz w:val="20"/>
          <w:szCs w:val="20"/>
        </w:rPr>
        <w:t>Lycamobile</w:t>
      </w:r>
      <w:proofErr w:type="spellEnd"/>
      <w:r w:rsidR="00D90C5D" w:rsidRPr="00D90C5D">
        <w:rPr>
          <w:rFonts w:ascii="Arial" w:hAnsi="Arial" w:cs="Arial"/>
          <w:sz w:val="20"/>
          <w:szCs w:val="20"/>
        </w:rPr>
        <w:t xml:space="preserve"> kept these numbers well beyond the time necessary to verify the identity of a service activator</w:t>
      </w:r>
      <w:r w:rsidR="00BE4EE4">
        <w:rPr>
          <w:rFonts w:ascii="Arial" w:hAnsi="Arial" w:cs="Arial"/>
          <w:sz w:val="20"/>
          <w:szCs w:val="20"/>
        </w:rPr>
        <w:t xml:space="preserve">, </w:t>
      </w:r>
      <w:r w:rsidR="00933657">
        <w:rPr>
          <w:rFonts w:ascii="Arial" w:hAnsi="Arial" w:cs="Arial"/>
          <w:sz w:val="20"/>
          <w:szCs w:val="20"/>
        </w:rPr>
        <w:t>indicating</w:t>
      </w:r>
      <w:r w:rsidR="00D90C5D" w:rsidRPr="00D90C5D">
        <w:rPr>
          <w:rFonts w:ascii="Arial" w:hAnsi="Arial" w:cs="Arial"/>
          <w:sz w:val="20"/>
          <w:szCs w:val="20"/>
        </w:rPr>
        <w:t xml:space="preserve"> that </w:t>
      </w:r>
      <w:r w:rsidR="00524392">
        <w:rPr>
          <w:rFonts w:ascii="Arial" w:hAnsi="Arial" w:cs="Arial"/>
          <w:sz w:val="20"/>
          <w:szCs w:val="20"/>
        </w:rPr>
        <w:t>it</w:t>
      </w:r>
      <w:r w:rsidR="00D90C5D" w:rsidRPr="00D90C5D">
        <w:rPr>
          <w:rFonts w:ascii="Arial" w:hAnsi="Arial" w:cs="Arial"/>
          <w:sz w:val="20"/>
          <w:szCs w:val="20"/>
        </w:rPr>
        <w:t xml:space="preserve"> did not destroy those numbers after the service was activated, nor did it destroy the identifying numbers immediately after </w:t>
      </w:r>
      <w:r w:rsidR="00BE4EE4">
        <w:rPr>
          <w:rFonts w:ascii="Arial" w:hAnsi="Arial" w:cs="Arial"/>
          <w:sz w:val="20"/>
          <w:szCs w:val="20"/>
        </w:rPr>
        <w:t>it</w:t>
      </w:r>
      <w:r w:rsidR="00D90C5D" w:rsidRPr="00D90C5D">
        <w:rPr>
          <w:rFonts w:ascii="Arial" w:hAnsi="Arial" w:cs="Arial"/>
          <w:sz w:val="20"/>
          <w:szCs w:val="20"/>
        </w:rPr>
        <w:t xml:space="preserve"> had verified the service activator’s identity. </w:t>
      </w:r>
      <w:r w:rsidR="00BE4EE4">
        <w:rPr>
          <w:rFonts w:ascii="Arial" w:hAnsi="Arial" w:cs="Arial"/>
          <w:sz w:val="20"/>
          <w:szCs w:val="20"/>
        </w:rPr>
        <w:t>The</w:t>
      </w:r>
      <w:r w:rsidR="00D90C5D" w:rsidRPr="00D90C5D">
        <w:rPr>
          <w:rFonts w:ascii="Arial" w:hAnsi="Arial" w:cs="Arial"/>
          <w:sz w:val="20"/>
          <w:szCs w:val="20"/>
        </w:rPr>
        <w:t xml:space="preserve"> ACMA has </w:t>
      </w:r>
      <w:r w:rsidR="00BE4EE4">
        <w:rPr>
          <w:rFonts w:ascii="Arial" w:hAnsi="Arial" w:cs="Arial"/>
          <w:sz w:val="20"/>
          <w:szCs w:val="20"/>
        </w:rPr>
        <w:t xml:space="preserve">therefore </w:t>
      </w:r>
      <w:r w:rsidR="00D90C5D" w:rsidRPr="00D90C5D">
        <w:rPr>
          <w:rFonts w:ascii="Arial" w:hAnsi="Arial" w:cs="Arial"/>
          <w:sz w:val="20"/>
          <w:szCs w:val="20"/>
        </w:rPr>
        <w:t xml:space="preserve">concluded that subsection 6.4(3) </w:t>
      </w:r>
      <w:r w:rsidR="00BE4EE4">
        <w:rPr>
          <w:rFonts w:ascii="Arial" w:hAnsi="Arial" w:cs="Arial"/>
          <w:sz w:val="20"/>
          <w:szCs w:val="20"/>
        </w:rPr>
        <w:t>does not apply</w:t>
      </w:r>
      <w:r w:rsidRPr="002D1C92">
        <w:rPr>
          <w:rFonts w:ascii="Arial" w:hAnsi="Arial" w:cs="Arial"/>
          <w:sz w:val="20"/>
          <w:szCs w:val="20"/>
        </w:rPr>
        <w:t>.</w:t>
      </w:r>
    </w:p>
    <w:p w14:paraId="21604B6E" w14:textId="367EFB72" w:rsidR="005F0830" w:rsidRPr="002D1C92" w:rsidRDefault="00AE3C13"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The</w:t>
      </w:r>
      <w:r w:rsidR="008F4516" w:rsidRPr="002D1C92">
        <w:rPr>
          <w:rFonts w:ascii="Arial" w:hAnsi="Arial" w:cs="Arial"/>
          <w:sz w:val="20"/>
          <w:szCs w:val="20"/>
        </w:rPr>
        <w:t xml:space="preserve"> ACMA</w:t>
      </w:r>
      <w:r w:rsidRPr="002D1C92">
        <w:rPr>
          <w:rFonts w:ascii="Arial" w:hAnsi="Arial" w:cs="Arial"/>
          <w:sz w:val="20"/>
          <w:szCs w:val="20"/>
        </w:rPr>
        <w:t xml:space="preserve"> therefore</w:t>
      </w:r>
      <w:r w:rsidR="00BD411F" w:rsidRPr="002D1C92">
        <w:rPr>
          <w:rFonts w:ascii="Arial" w:hAnsi="Arial" w:cs="Arial"/>
          <w:sz w:val="20"/>
          <w:szCs w:val="20"/>
        </w:rPr>
        <w:t xml:space="preserve"> finds</w:t>
      </w:r>
      <w:r w:rsidR="008F4516" w:rsidRPr="002D1C92">
        <w:rPr>
          <w:rFonts w:ascii="Arial" w:hAnsi="Arial" w:cs="Arial"/>
          <w:sz w:val="20"/>
          <w:szCs w:val="20"/>
        </w:rPr>
        <w:t xml:space="preserve"> that </w:t>
      </w:r>
      <w:proofErr w:type="spellStart"/>
      <w:r w:rsidR="008F4516" w:rsidRPr="002D1C92">
        <w:rPr>
          <w:rFonts w:ascii="Arial" w:hAnsi="Arial" w:cs="Arial"/>
          <w:sz w:val="20"/>
          <w:szCs w:val="20"/>
        </w:rPr>
        <w:t>Lycamobile</w:t>
      </w:r>
      <w:proofErr w:type="spellEnd"/>
      <w:r w:rsidR="008F4516" w:rsidRPr="002D1C92">
        <w:rPr>
          <w:rFonts w:ascii="Arial" w:hAnsi="Arial" w:cs="Arial"/>
          <w:sz w:val="20"/>
          <w:szCs w:val="20"/>
        </w:rPr>
        <w:t xml:space="preserve"> contravened s</w:t>
      </w:r>
      <w:r w:rsidR="00BE378C" w:rsidRPr="002D1C92">
        <w:rPr>
          <w:rFonts w:ascii="Arial" w:hAnsi="Arial" w:cs="Arial"/>
          <w:sz w:val="20"/>
          <w:szCs w:val="20"/>
        </w:rPr>
        <w:t>ubs</w:t>
      </w:r>
      <w:r w:rsidR="008F4516" w:rsidRPr="002D1C92">
        <w:rPr>
          <w:rFonts w:ascii="Arial" w:hAnsi="Arial" w:cs="Arial"/>
          <w:sz w:val="20"/>
          <w:szCs w:val="20"/>
        </w:rPr>
        <w:t>ection 6.4</w:t>
      </w:r>
      <w:r w:rsidR="00236F5A" w:rsidRPr="002D1C92">
        <w:rPr>
          <w:rFonts w:ascii="Arial" w:hAnsi="Arial" w:cs="Arial"/>
          <w:sz w:val="20"/>
          <w:szCs w:val="20"/>
        </w:rPr>
        <w:t>(1)</w:t>
      </w:r>
      <w:r w:rsidR="008F4516" w:rsidRPr="002D1C92">
        <w:rPr>
          <w:rFonts w:ascii="Arial" w:hAnsi="Arial" w:cs="Arial"/>
          <w:sz w:val="20"/>
          <w:szCs w:val="20"/>
        </w:rPr>
        <w:t xml:space="preserve"> </w:t>
      </w:r>
      <w:r w:rsidR="00924E9E" w:rsidRPr="002D1C92">
        <w:rPr>
          <w:rFonts w:ascii="Arial" w:hAnsi="Arial" w:cs="Arial"/>
          <w:sz w:val="20"/>
          <w:szCs w:val="20"/>
        </w:rPr>
        <w:t>of the Prepaid Determination</w:t>
      </w:r>
      <w:r w:rsidR="005F0830" w:rsidRPr="002D1C92">
        <w:rPr>
          <w:rFonts w:ascii="Arial" w:hAnsi="Arial" w:cs="Arial"/>
          <w:sz w:val="20"/>
          <w:szCs w:val="20"/>
        </w:rPr>
        <w:t xml:space="preserve"> </w:t>
      </w:r>
      <w:r w:rsidR="002A3605">
        <w:rPr>
          <w:rFonts w:ascii="Arial" w:hAnsi="Arial" w:cs="Arial"/>
          <w:sz w:val="20"/>
          <w:szCs w:val="20"/>
        </w:rPr>
        <w:t>in 2000 instances</w:t>
      </w:r>
      <w:r w:rsidR="00677E68" w:rsidRPr="002D1C92">
        <w:rPr>
          <w:rFonts w:ascii="Arial" w:hAnsi="Arial" w:cs="Arial"/>
          <w:sz w:val="20"/>
          <w:szCs w:val="20"/>
        </w:rPr>
        <w:t>.</w:t>
      </w:r>
    </w:p>
    <w:p w14:paraId="1C0CB88F" w14:textId="77777777" w:rsidR="006B17CE" w:rsidRPr="002D1C92" w:rsidRDefault="006B17CE" w:rsidP="00401906">
      <w:pPr>
        <w:pStyle w:val="ACMABodyText"/>
        <w:spacing w:before="120" w:after="200" w:line="240" w:lineRule="auto"/>
        <w:rPr>
          <w:rFonts w:ascii="Arial" w:hAnsi="Arial" w:cs="Arial"/>
          <w:bCs/>
          <w:i/>
          <w:iCs/>
          <w:sz w:val="20"/>
        </w:rPr>
      </w:pPr>
      <w:r w:rsidRPr="002D1C92">
        <w:rPr>
          <w:rFonts w:ascii="Arial" w:hAnsi="Arial" w:cs="Arial"/>
          <w:bCs/>
          <w:i/>
          <w:iCs/>
          <w:sz w:val="20"/>
        </w:rPr>
        <w:t>Service provider rules under Schedule 2 to the Act</w:t>
      </w:r>
    </w:p>
    <w:p w14:paraId="2F10F57E" w14:textId="77777777" w:rsidR="006B17CE" w:rsidRPr="002D1C92" w:rsidRDefault="006B17C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Subclause 10(2) of Schedule 2 to the Act requires that, where a CSP supplies a carriage service to an end-user that has a public number, the CSP must give Telstra (as the IPND Manager) such information as Telstra reasonably requires to meet its obligation to provide and maintain an IPND.</w:t>
      </w:r>
    </w:p>
    <w:p w14:paraId="38A6B30F" w14:textId="4F96CD31" w:rsidR="006B17CE" w:rsidRPr="002D1C92" w:rsidRDefault="006B17C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information which the IPND Manager requires from CSPs </w:t>
      </w:r>
      <w:r w:rsidR="00C9031D" w:rsidRPr="002D1C92">
        <w:rPr>
          <w:rFonts w:ascii="Arial" w:hAnsi="Arial" w:cs="Arial"/>
          <w:sz w:val="20"/>
          <w:szCs w:val="20"/>
        </w:rPr>
        <w:t>to</w:t>
      </w:r>
      <w:r w:rsidRPr="002D1C92">
        <w:rPr>
          <w:rFonts w:ascii="Arial" w:hAnsi="Arial" w:cs="Arial"/>
          <w:sz w:val="20"/>
          <w:szCs w:val="20"/>
        </w:rPr>
        <w:t xml:space="preserve"> fulfil its IPND obligations includes information specified in the Telstra Licence Conditions and the Technical Requirements (see paragraph</w:t>
      </w:r>
      <w:r w:rsidR="008638CF" w:rsidRPr="002D1C92">
        <w:rPr>
          <w:rFonts w:ascii="Arial" w:hAnsi="Arial" w:cs="Arial"/>
          <w:sz w:val="20"/>
          <w:szCs w:val="20"/>
        </w:rPr>
        <w:t>s</w:t>
      </w:r>
      <w:r w:rsidRPr="002D1C92">
        <w:rPr>
          <w:rFonts w:ascii="Arial" w:hAnsi="Arial" w:cs="Arial"/>
          <w:sz w:val="20"/>
          <w:szCs w:val="20"/>
        </w:rPr>
        <w:t xml:space="preserve"> </w:t>
      </w:r>
      <w:r w:rsidR="000F6333" w:rsidRPr="002D1C92">
        <w:rPr>
          <w:rFonts w:ascii="Arial" w:hAnsi="Arial" w:cs="Arial"/>
          <w:sz w:val="20"/>
          <w:szCs w:val="20"/>
        </w:rPr>
        <w:t>3</w:t>
      </w:r>
      <w:r w:rsidR="008638CF" w:rsidRPr="002D1C92">
        <w:rPr>
          <w:rFonts w:ascii="Arial" w:hAnsi="Arial" w:cs="Arial"/>
          <w:sz w:val="20"/>
          <w:szCs w:val="20"/>
        </w:rPr>
        <w:t xml:space="preserve"> – 6</w:t>
      </w:r>
      <w:r w:rsidRPr="002D1C92">
        <w:rPr>
          <w:rFonts w:ascii="Arial" w:hAnsi="Arial" w:cs="Arial"/>
          <w:sz w:val="20"/>
          <w:szCs w:val="20"/>
        </w:rPr>
        <w:t xml:space="preserve"> above). These include the public number, customer name, customer address, the name of the CSP providing the service</w:t>
      </w:r>
      <w:r w:rsidR="00924D86">
        <w:rPr>
          <w:rFonts w:ascii="Arial" w:hAnsi="Arial" w:cs="Arial"/>
          <w:sz w:val="20"/>
          <w:szCs w:val="20"/>
        </w:rPr>
        <w:t>, whether the service is listed or not listed</w:t>
      </w:r>
      <w:r w:rsidRPr="002D1C92">
        <w:rPr>
          <w:rFonts w:ascii="Arial" w:hAnsi="Arial" w:cs="Arial"/>
          <w:sz w:val="20"/>
          <w:szCs w:val="20"/>
        </w:rPr>
        <w:t xml:space="preserve"> and a service status code for the public number indicating whether the service is connected or disconnected. The service address details required by the IPND Manager are also specified in </w:t>
      </w:r>
      <w:r w:rsidRPr="002D1C92">
        <w:rPr>
          <w:rFonts w:ascii="Arial" w:hAnsi="Arial" w:cs="Arial"/>
          <w:sz w:val="20"/>
          <w:szCs w:val="20"/>
        </w:rPr>
        <w:lastRenderedPageBreak/>
        <w:t xml:space="preserve">the IPND Data Guideline, which explains that the IPND Manager requires accurate customer address details (including street </w:t>
      </w:r>
      <w:r w:rsidR="003C382B" w:rsidRPr="002D1C92">
        <w:rPr>
          <w:rFonts w:ascii="Arial" w:hAnsi="Arial" w:cs="Arial"/>
          <w:sz w:val="20"/>
          <w:szCs w:val="20"/>
        </w:rPr>
        <w:t xml:space="preserve">name </w:t>
      </w:r>
      <w:r w:rsidRPr="002D1C92">
        <w:rPr>
          <w:rFonts w:ascii="Arial" w:hAnsi="Arial" w:cs="Arial"/>
          <w:sz w:val="20"/>
          <w:szCs w:val="20"/>
        </w:rPr>
        <w:t>and street number).</w:t>
      </w:r>
    </w:p>
    <w:p w14:paraId="6E302532" w14:textId="0DD4A4EE" w:rsidR="006B17CE" w:rsidRPr="002D1C92" w:rsidRDefault="006B17C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Having regard to the critical </w:t>
      </w:r>
      <w:r w:rsidR="005043BA" w:rsidRPr="002D1C92">
        <w:rPr>
          <w:rFonts w:ascii="Arial" w:hAnsi="Arial" w:cs="Arial"/>
          <w:sz w:val="20"/>
          <w:szCs w:val="20"/>
        </w:rPr>
        <w:t>uses</w:t>
      </w:r>
      <w:r w:rsidRPr="002D1C92">
        <w:rPr>
          <w:rFonts w:ascii="Arial" w:hAnsi="Arial" w:cs="Arial"/>
          <w:sz w:val="20"/>
          <w:szCs w:val="20"/>
          <w:vertAlign w:val="superscript"/>
        </w:rPr>
        <w:footnoteReference w:id="13"/>
      </w:r>
      <w:r w:rsidRPr="002D1C92">
        <w:rPr>
          <w:rFonts w:ascii="Arial" w:hAnsi="Arial" w:cs="Arial"/>
          <w:sz w:val="20"/>
          <w:szCs w:val="20"/>
        </w:rPr>
        <w:t xml:space="preserve"> of the IPND, and the relevant provisions of the Act, the Telstra Licence Conditions</w:t>
      </w:r>
      <w:r w:rsidR="00815D0E" w:rsidRPr="002D1C92">
        <w:rPr>
          <w:rFonts w:ascii="Arial" w:hAnsi="Arial" w:cs="Arial"/>
          <w:sz w:val="20"/>
          <w:szCs w:val="20"/>
        </w:rPr>
        <w:t>, the 2017 IPND Code</w:t>
      </w:r>
      <w:r w:rsidRPr="002D1C92">
        <w:rPr>
          <w:rFonts w:ascii="Arial" w:hAnsi="Arial" w:cs="Arial"/>
          <w:sz w:val="20"/>
          <w:szCs w:val="20"/>
        </w:rPr>
        <w:t xml:space="preserve"> and the </w:t>
      </w:r>
      <w:r w:rsidR="00815D0E" w:rsidRPr="002D1C92">
        <w:rPr>
          <w:rFonts w:ascii="Arial" w:hAnsi="Arial" w:cs="Arial"/>
          <w:sz w:val="20"/>
          <w:szCs w:val="20"/>
        </w:rPr>
        <w:t xml:space="preserve">2020 </w:t>
      </w:r>
      <w:r w:rsidRPr="002D1C92">
        <w:rPr>
          <w:rFonts w:ascii="Arial" w:hAnsi="Arial" w:cs="Arial"/>
          <w:sz w:val="20"/>
          <w:szCs w:val="20"/>
        </w:rPr>
        <w:t>IPND Code, the ACMA considers that it is reasonable for the IPND Manager to require this information from CSPs, since it is essential to the proper functioning of the IPND.</w:t>
      </w:r>
    </w:p>
    <w:p w14:paraId="21395803" w14:textId="47D0E431" w:rsidR="001F6E1A" w:rsidRPr="002D1C92" w:rsidRDefault="006B17CE"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Based on information </w:t>
      </w:r>
      <w:r w:rsidR="0032424B" w:rsidRPr="002D1C92">
        <w:rPr>
          <w:rFonts w:ascii="Arial" w:hAnsi="Arial" w:cs="Arial"/>
          <w:sz w:val="20"/>
          <w:szCs w:val="20"/>
        </w:rPr>
        <w:t xml:space="preserve">provided by </w:t>
      </w:r>
      <w:proofErr w:type="spellStart"/>
      <w:r w:rsidR="0032424B" w:rsidRPr="002D1C92">
        <w:rPr>
          <w:rFonts w:ascii="Arial" w:hAnsi="Arial" w:cs="Arial"/>
          <w:sz w:val="20"/>
          <w:szCs w:val="20"/>
        </w:rPr>
        <w:t>Lycamobile</w:t>
      </w:r>
      <w:proofErr w:type="spellEnd"/>
      <w:r w:rsidR="00CE4A37" w:rsidRPr="001B0B74">
        <w:rPr>
          <w:rFonts w:ascii="Arial" w:hAnsi="Arial" w:cs="Arial"/>
          <w:sz w:val="20"/>
          <w:szCs w:val="20"/>
        </w:rPr>
        <w:t>,</w:t>
      </w:r>
      <w:r w:rsidR="0032424B" w:rsidRPr="001B0B74">
        <w:rPr>
          <w:rFonts w:ascii="Arial" w:hAnsi="Arial" w:cs="Arial"/>
          <w:sz w:val="20"/>
          <w:szCs w:val="20"/>
        </w:rPr>
        <w:t xml:space="preserve"> </w:t>
      </w:r>
      <w:r w:rsidR="00074600" w:rsidRPr="001B0B74">
        <w:rPr>
          <w:rFonts w:ascii="Arial" w:hAnsi="Arial" w:cs="Arial"/>
          <w:sz w:val="20"/>
          <w:szCs w:val="20"/>
        </w:rPr>
        <w:t xml:space="preserve">as well as </w:t>
      </w:r>
      <w:r w:rsidRPr="001B0B74">
        <w:rPr>
          <w:rFonts w:ascii="Arial" w:hAnsi="Arial" w:cs="Arial"/>
          <w:sz w:val="20"/>
          <w:szCs w:val="20"/>
        </w:rPr>
        <w:t>information contained in IPND records obtained by the ACM</w:t>
      </w:r>
      <w:r w:rsidR="00B014E9">
        <w:rPr>
          <w:rFonts w:ascii="Arial" w:hAnsi="Arial" w:cs="Arial"/>
          <w:sz w:val="20"/>
          <w:szCs w:val="20"/>
        </w:rPr>
        <w:t>A</w:t>
      </w:r>
      <w:r w:rsidRPr="001B0B74">
        <w:rPr>
          <w:rFonts w:ascii="Arial" w:hAnsi="Arial" w:cs="Arial"/>
          <w:sz w:val="20"/>
          <w:szCs w:val="20"/>
        </w:rPr>
        <w:t>,</w:t>
      </w:r>
      <w:r w:rsidRPr="002D1C92">
        <w:rPr>
          <w:rFonts w:ascii="Arial" w:hAnsi="Arial" w:cs="Arial"/>
          <w:sz w:val="20"/>
          <w:szCs w:val="20"/>
        </w:rPr>
        <w:t xml:space="preserve"> </w:t>
      </w:r>
      <w:r w:rsidR="001F6E1A" w:rsidRPr="002D1C92">
        <w:rPr>
          <w:rFonts w:ascii="Arial" w:hAnsi="Arial" w:cs="Arial"/>
          <w:sz w:val="20"/>
          <w:szCs w:val="20"/>
        </w:rPr>
        <w:t xml:space="preserve">the ACMA finds that </w:t>
      </w:r>
      <w:proofErr w:type="spellStart"/>
      <w:r w:rsidRPr="002D1C92">
        <w:rPr>
          <w:rFonts w:ascii="Arial" w:hAnsi="Arial" w:cs="Arial"/>
          <w:sz w:val="20"/>
          <w:szCs w:val="20"/>
        </w:rPr>
        <w:t>Lycamobile</w:t>
      </w:r>
      <w:proofErr w:type="spellEnd"/>
      <w:r w:rsidR="001F6E1A" w:rsidRPr="002D1C92">
        <w:rPr>
          <w:rFonts w:ascii="Arial" w:hAnsi="Arial" w:cs="Arial"/>
          <w:sz w:val="20"/>
          <w:szCs w:val="20"/>
        </w:rPr>
        <w:t>:</w:t>
      </w:r>
    </w:p>
    <w:p w14:paraId="4E5A341E" w14:textId="367FC23C" w:rsidR="001F6E1A" w:rsidRPr="002D1C92" w:rsidRDefault="006B17CE" w:rsidP="002F09D2">
      <w:pPr>
        <w:pStyle w:val="ACMATableText"/>
        <w:numPr>
          <w:ilvl w:val="0"/>
          <w:numId w:val="18"/>
        </w:numPr>
        <w:spacing w:before="80" w:after="120"/>
        <w:rPr>
          <w:rFonts w:cs="Arial"/>
        </w:rPr>
      </w:pPr>
      <w:r w:rsidRPr="002D1C92">
        <w:rPr>
          <w:rFonts w:cs="Arial"/>
        </w:rPr>
        <w:t xml:space="preserve">did not upload PNCD to the IPND for </w:t>
      </w:r>
      <w:r w:rsidR="002D0D64" w:rsidRPr="002D1C92">
        <w:rPr>
          <w:rFonts w:cs="Arial"/>
        </w:rPr>
        <w:t>5,6</w:t>
      </w:r>
      <w:r w:rsidR="000225E0" w:rsidRPr="002D1C92">
        <w:rPr>
          <w:rFonts w:cs="Arial"/>
        </w:rPr>
        <w:t>71</w:t>
      </w:r>
      <w:r w:rsidRPr="002D1C92">
        <w:rPr>
          <w:rFonts w:cs="Arial"/>
        </w:rPr>
        <w:t xml:space="preserve"> public numbers</w:t>
      </w:r>
      <w:r w:rsidR="003C2334" w:rsidRPr="002D1C92">
        <w:rPr>
          <w:rFonts w:cs="Arial"/>
        </w:rPr>
        <w:t xml:space="preserve"> associated with its </w:t>
      </w:r>
      <w:r w:rsidR="00A57DDA" w:rsidRPr="002D1C92">
        <w:rPr>
          <w:rFonts w:cs="Arial"/>
        </w:rPr>
        <w:t xml:space="preserve">active </w:t>
      </w:r>
      <w:r w:rsidR="003C2334" w:rsidRPr="002D1C92">
        <w:rPr>
          <w:rFonts w:cs="Arial"/>
        </w:rPr>
        <w:t>carriage services</w:t>
      </w:r>
      <w:r w:rsidR="00351750" w:rsidRPr="002D1C92">
        <w:rPr>
          <w:rFonts w:cs="Arial"/>
        </w:rPr>
        <w:t xml:space="preserve"> for between</w:t>
      </w:r>
      <w:r w:rsidR="008920AC" w:rsidRPr="002D1C92">
        <w:rPr>
          <w:rFonts w:cs="Arial"/>
        </w:rPr>
        <w:t xml:space="preserve"> </w:t>
      </w:r>
      <w:r w:rsidR="007F5253" w:rsidRPr="002D1C92">
        <w:rPr>
          <w:rFonts w:cs="Arial"/>
        </w:rPr>
        <w:t>three</w:t>
      </w:r>
      <w:r w:rsidR="008920AC" w:rsidRPr="002D1C92">
        <w:rPr>
          <w:rFonts w:cs="Arial"/>
        </w:rPr>
        <w:t xml:space="preserve"> days </w:t>
      </w:r>
      <w:r w:rsidR="00351750" w:rsidRPr="002D1C92">
        <w:rPr>
          <w:rFonts w:cs="Arial"/>
        </w:rPr>
        <w:t xml:space="preserve">and </w:t>
      </w:r>
      <w:r w:rsidR="007F5253" w:rsidRPr="002D1C92">
        <w:rPr>
          <w:rFonts w:cs="Arial"/>
        </w:rPr>
        <w:t>nine</w:t>
      </w:r>
      <w:r w:rsidR="00351750" w:rsidRPr="002D1C92">
        <w:rPr>
          <w:rFonts w:cs="Arial"/>
        </w:rPr>
        <w:t xml:space="preserve"> years after the respective dates on which </w:t>
      </w:r>
      <w:proofErr w:type="spellStart"/>
      <w:r w:rsidR="00351750" w:rsidRPr="002D1C92">
        <w:rPr>
          <w:rFonts w:cs="Arial"/>
        </w:rPr>
        <w:t>Lycamobile</w:t>
      </w:r>
      <w:proofErr w:type="spellEnd"/>
      <w:r w:rsidR="00351750" w:rsidRPr="002D1C92">
        <w:rPr>
          <w:rFonts w:cs="Arial"/>
        </w:rPr>
        <w:t xml:space="preserve"> stated that each of the services had been </w:t>
      </w:r>
      <w:r w:rsidR="008920AC" w:rsidRPr="002D1C92">
        <w:rPr>
          <w:rFonts w:cs="Arial"/>
        </w:rPr>
        <w:t>activated</w:t>
      </w:r>
      <w:r w:rsidR="00DE74D5" w:rsidRPr="002D1C92">
        <w:rPr>
          <w:rFonts w:cs="Arial"/>
        </w:rPr>
        <w:t xml:space="preserve"> [</w:t>
      </w:r>
      <w:r w:rsidR="00DE74D5" w:rsidRPr="002D1C92">
        <w:rPr>
          <w:rFonts w:cs="Arial"/>
          <w:b/>
          <w:bCs/>
        </w:rPr>
        <w:t>missing IPND records</w:t>
      </w:r>
      <w:r w:rsidR="00DE74D5" w:rsidRPr="002D1C92">
        <w:rPr>
          <w:rFonts w:cs="Arial"/>
        </w:rPr>
        <w:t>]</w:t>
      </w:r>
    </w:p>
    <w:p w14:paraId="218D9696" w14:textId="5CAB64B1" w:rsidR="00B846F4" w:rsidRPr="002D1C92" w:rsidRDefault="006B17CE" w:rsidP="002F09D2">
      <w:pPr>
        <w:pStyle w:val="ACMATableText"/>
        <w:numPr>
          <w:ilvl w:val="0"/>
          <w:numId w:val="18"/>
        </w:numPr>
        <w:spacing w:before="80" w:after="120"/>
        <w:rPr>
          <w:rFonts w:cs="Arial"/>
        </w:rPr>
      </w:pPr>
      <w:r w:rsidRPr="002D1C92">
        <w:rPr>
          <w:rFonts w:cs="Arial"/>
        </w:rPr>
        <w:t xml:space="preserve">did not upload accurate and complete PNCD to the IPND for </w:t>
      </w:r>
      <w:r w:rsidR="002D0D64" w:rsidRPr="002D1C92">
        <w:rPr>
          <w:rFonts w:cs="Arial"/>
        </w:rPr>
        <w:t>240,231</w:t>
      </w:r>
      <w:r w:rsidRPr="002D1C92">
        <w:rPr>
          <w:rFonts w:cs="Arial"/>
        </w:rPr>
        <w:t xml:space="preserve"> public numbers</w:t>
      </w:r>
      <w:r w:rsidR="003C2334" w:rsidRPr="002D1C92">
        <w:rPr>
          <w:rFonts w:cs="Arial"/>
        </w:rPr>
        <w:t xml:space="preserve"> associated with its carriage services</w:t>
      </w:r>
      <w:r w:rsidR="006644DD" w:rsidRPr="002D1C92">
        <w:rPr>
          <w:rFonts w:cs="Arial"/>
        </w:rPr>
        <w:t xml:space="preserve"> [</w:t>
      </w:r>
      <w:r w:rsidR="000036A5" w:rsidRPr="002D1C92">
        <w:rPr>
          <w:rFonts w:cs="Arial"/>
          <w:b/>
          <w:bCs/>
        </w:rPr>
        <w:t xml:space="preserve">inaccurate </w:t>
      </w:r>
      <w:r w:rsidR="0072171E" w:rsidRPr="002D1C92">
        <w:rPr>
          <w:rFonts w:cs="Arial"/>
          <w:b/>
          <w:bCs/>
        </w:rPr>
        <w:t xml:space="preserve">IPND </w:t>
      </w:r>
      <w:r w:rsidR="000036A5" w:rsidRPr="002D1C92">
        <w:rPr>
          <w:rFonts w:cs="Arial"/>
          <w:b/>
          <w:bCs/>
        </w:rPr>
        <w:t>records</w:t>
      </w:r>
      <w:r w:rsidR="000036A5" w:rsidRPr="002D1C92">
        <w:rPr>
          <w:rFonts w:cs="Arial"/>
        </w:rPr>
        <w:t>]</w:t>
      </w:r>
      <w:r w:rsidRPr="002D1C92">
        <w:rPr>
          <w:rFonts w:cs="Arial"/>
        </w:rPr>
        <w:t xml:space="preserve">. </w:t>
      </w:r>
      <w:r w:rsidR="0053260B" w:rsidRPr="002D1C92">
        <w:rPr>
          <w:rFonts w:cs="Arial"/>
        </w:rPr>
        <w:t>The</w:t>
      </w:r>
      <w:r w:rsidR="00F071B2" w:rsidRPr="002D1C92">
        <w:rPr>
          <w:rFonts w:cs="Arial"/>
        </w:rPr>
        <w:t xml:space="preserve"> breakdown of the inaccura</w:t>
      </w:r>
      <w:r w:rsidR="0072171E" w:rsidRPr="002D1C92">
        <w:rPr>
          <w:rFonts w:cs="Arial"/>
        </w:rPr>
        <w:t>te records</w:t>
      </w:r>
      <w:r w:rsidR="00F071B2" w:rsidRPr="002D1C92">
        <w:rPr>
          <w:rFonts w:cs="Arial"/>
        </w:rPr>
        <w:t xml:space="preserve"> is as follows: </w:t>
      </w:r>
    </w:p>
    <w:p w14:paraId="3EA49985" w14:textId="499EDD77" w:rsidR="00B846F4" w:rsidRPr="002D1C92" w:rsidRDefault="006644DD" w:rsidP="002F09D2">
      <w:pPr>
        <w:pStyle w:val="ACMATableText"/>
        <w:numPr>
          <w:ilvl w:val="1"/>
          <w:numId w:val="18"/>
        </w:numPr>
        <w:spacing w:before="80" w:after="120"/>
        <w:rPr>
          <w:rFonts w:cs="Arial"/>
        </w:rPr>
      </w:pPr>
      <w:r w:rsidRPr="002D1C92">
        <w:rPr>
          <w:rFonts w:cs="Arial"/>
        </w:rPr>
        <w:t xml:space="preserve">22 </w:t>
      </w:r>
      <w:r w:rsidR="00B846F4" w:rsidRPr="002D1C92">
        <w:rPr>
          <w:rFonts w:cs="Arial"/>
        </w:rPr>
        <w:t>had</w:t>
      </w:r>
      <w:r w:rsidR="00DC1D7A" w:rsidRPr="002D1C92">
        <w:rPr>
          <w:rFonts w:cs="Arial"/>
        </w:rPr>
        <w:t>, at a minimum,</w:t>
      </w:r>
      <w:r w:rsidR="00B846F4" w:rsidRPr="002D1C92">
        <w:rPr>
          <w:rFonts w:cs="Arial"/>
        </w:rPr>
        <w:t xml:space="preserve"> incomplete address details</w:t>
      </w:r>
      <w:r w:rsidR="0004543E" w:rsidRPr="002D1C92">
        <w:rPr>
          <w:rFonts w:cs="Arial"/>
        </w:rPr>
        <w:t xml:space="preserve"> (three did not have a street name and 19 did not have a street number)</w:t>
      </w:r>
    </w:p>
    <w:p w14:paraId="6EA30C4C" w14:textId="095663AD" w:rsidR="002D0D64" w:rsidRPr="002D1C92" w:rsidRDefault="00D253E5" w:rsidP="002F09D2">
      <w:pPr>
        <w:pStyle w:val="ACMATableText"/>
        <w:numPr>
          <w:ilvl w:val="1"/>
          <w:numId w:val="18"/>
        </w:numPr>
        <w:spacing w:before="80" w:after="120"/>
        <w:rPr>
          <w:rFonts w:cs="Arial"/>
        </w:rPr>
      </w:pPr>
      <w:r w:rsidRPr="002D1C92">
        <w:rPr>
          <w:rFonts w:cs="Arial"/>
        </w:rPr>
        <w:t xml:space="preserve">27,920 </w:t>
      </w:r>
      <w:r w:rsidR="00CC4F83" w:rsidRPr="002D1C92">
        <w:rPr>
          <w:rFonts w:cs="Arial"/>
        </w:rPr>
        <w:t xml:space="preserve">did </w:t>
      </w:r>
      <w:r w:rsidR="00CB61C6" w:rsidRPr="002D1C92">
        <w:rPr>
          <w:rFonts w:cs="Arial"/>
        </w:rPr>
        <w:t xml:space="preserve">not match the customer </w:t>
      </w:r>
      <w:r w:rsidR="005F73A2" w:rsidRPr="002D1C92">
        <w:rPr>
          <w:rFonts w:cs="Arial"/>
        </w:rPr>
        <w:t>record</w:t>
      </w:r>
      <w:r w:rsidR="00CB61C6" w:rsidRPr="002D1C92">
        <w:rPr>
          <w:rFonts w:cs="Arial"/>
        </w:rPr>
        <w:t xml:space="preserve"> in </w:t>
      </w:r>
      <w:proofErr w:type="spellStart"/>
      <w:r w:rsidR="00CB61C6" w:rsidRPr="002D1C92">
        <w:rPr>
          <w:rFonts w:cs="Arial"/>
        </w:rPr>
        <w:t>Lycamobile’s</w:t>
      </w:r>
      <w:proofErr w:type="spellEnd"/>
      <w:r w:rsidR="00CB61C6" w:rsidRPr="002D1C92">
        <w:rPr>
          <w:rFonts w:cs="Arial"/>
        </w:rPr>
        <w:t xml:space="preserve"> </w:t>
      </w:r>
      <w:r w:rsidR="00CC4F83" w:rsidRPr="002D1C92">
        <w:rPr>
          <w:rFonts w:cs="Arial"/>
        </w:rPr>
        <w:t xml:space="preserve">customer </w:t>
      </w:r>
      <w:r w:rsidR="00CB61C6" w:rsidRPr="002D1C92">
        <w:rPr>
          <w:rFonts w:cs="Arial"/>
        </w:rPr>
        <w:t>systems and requir</w:t>
      </w:r>
      <w:r w:rsidR="00CC4F83" w:rsidRPr="002D1C92">
        <w:rPr>
          <w:rFonts w:cs="Arial"/>
        </w:rPr>
        <w:t>e</w:t>
      </w:r>
      <w:r w:rsidR="00D15329" w:rsidRPr="002D1C92">
        <w:rPr>
          <w:rFonts w:cs="Arial"/>
        </w:rPr>
        <w:t>d</w:t>
      </w:r>
      <w:r w:rsidR="00CB61C6" w:rsidRPr="002D1C92">
        <w:rPr>
          <w:rFonts w:cs="Arial"/>
        </w:rPr>
        <w:t xml:space="preserve"> </w:t>
      </w:r>
      <w:r w:rsidR="00B25A2B" w:rsidRPr="002D1C92">
        <w:rPr>
          <w:rFonts w:cs="Arial"/>
        </w:rPr>
        <w:t xml:space="preserve">a </w:t>
      </w:r>
      <w:r w:rsidR="00BF5F0E" w:rsidRPr="002D1C92">
        <w:rPr>
          <w:rFonts w:cs="Arial"/>
        </w:rPr>
        <w:t>new record to be uploaded to the IPND</w:t>
      </w:r>
      <w:r w:rsidR="00CB61C6" w:rsidRPr="002D1C92">
        <w:rPr>
          <w:rFonts w:cs="Arial"/>
        </w:rPr>
        <w:t xml:space="preserve"> </w:t>
      </w:r>
      <w:r w:rsidR="00B9680D" w:rsidRPr="002D1C92">
        <w:rPr>
          <w:rFonts w:cs="Arial"/>
        </w:rPr>
        <w:t xml:space="preserve">(the </w:t>
      </w:r>
      <w:r w:rsidR="00B25A2B" w:rsidRPr="002D1C92">
        <w:rPr>
          <w:rFonts w:cs="Arial"/>
        </w:rPr>
        <w:t xml:space="preserve">exact </w:t>
      </w:r>
      <w:r w:rsidR="00AE06F6" w:rsidRPr="002D1C92">
        <w:rPr>
          <w:rFonts w:cs="Arial"/>
        </w:rPr>
        <w:t xml:space="preserve">nature of the </w:t>
      </w:r>
      <w:r w:rsidR="00B9680D" w:rsidRPr="002D1C92">
        <w:rPr>
          <w:rFonts w:cs="Arial"/>
        </w:rPr>
        <w:t>inaccuracy was not specifically identified</w:t>
      </w:r>
      <w:r w:rsidR="00BF5F0E" w:rsidRPr="002D1C92">
        <w:rPr>
          <w:rFonts w:cs="Arial"/>
        </w:rPr>
        <w:t xml:space="preserve"> by </w:t>
      </w:r>
      <w:proofErr w:type="spellStart"/>
      <w:r w:rsidR="00BF5F0E" w:rsidRPr="002D1C92">
        <w:rPr>
          <w:rFonts w:cs="Arial"/>
        </w:rPr>
        <w:t>Lycamobile</w:t>
      </w:r>
      <w:proofErr w:type="spellEnd"/>
      <w:r w:rsidR="00B9680D" w:rsidRPr="002D1C92">
        <w:rPr>
          <w:rFonts w:cs="Arial"/>
        </w:rPr>
        <w:t xml:space="preserve">) </w:t>
      </w:r>
    </w:p>
    <w:p w14:paraId="4805A365" w14:textId="3642C347" w:rsidR="00C026F8" w:rsidRPr="002D1C92" w:rsidRDefault="00C026F8" w:rsidP="002F09D2">
      <w:pPr>
        <w:pStyle w:val="ACMATableText"/>
        <w:numPr>
          <w:ilvl w:val="1"/>
          <w:numId w:val="18"/>
        </w:numPr>
        <w:spacing w:before="80" w:after="120"/>
        <w:rPr>
          <w:rFonts w:cs="Arial"/>
        </w:rPr>
      </w:pPr>
      <w:r w:rsidRPr="002D1C92">
        <w:rPr>
          <w:rFonts w:cs="Arial"/>
        </w:rPr>
        <w:t>2</w:t>
      </w:r>
      <w:r w:rsidR="00083889" w:rsidRPr="002D1C92">
        <w:rPr>
          <w:rFonts w:cs="Arial"/>
        </w:rPr>
        <w:t>12,</w:t>
      </w:r>
      <w:r w:rsidR="00554E6D" w:rsidRPr="002D1C92">
        <w:rPr>
          <w:rFonts w:cs="Arial"/>
        </w:rPr>
        <w:t>289</w:t>
      </w:r>
      <w:r w:rsidRPr="002D1C92">
        <w:rPr>
          <w:rFonts w:cs="Arial"/>
        </w:rPr>
        <w:t xml:space="preserve"> had, at a minimum, an incorrect Service Status Code</w:t>
      </w:r>
      <w:r w:rsidR="00580B4E" w:rsidRPr="002D1C92">
        <w:rPr>
          <w:rFonts w:cs="Arial"/>
        </w:rPr>
        <w:t>, specifically:</w:t>
      </w:r>
    </w:p>
    <w:p w14:paraId="2E979C4F" w14:textId="3A4A40A0" w:rsidR="00B846F4" w:rsidRPr="002D1C92" w:rsidRDefault="00554E6D" w:rsidP="002F09D2">
      <w:pPr>
        <w:pStyle w:val="ACMATableText"/>
        <w:numPr>
          <w:ilvl w:val="2"/>
          <w:numId w:val="18"/>
        </w:numPr>
        <w:spacing w:before="80" w:after="120"/>
        <w:ind w:left="2268" w:hanging="425"/>
        <w:rPr>
          <w:rFonts w:cs="Arial"/>
        </w:rPr>
      </w:pPr>
      <w:r w:rsidRPr="002D1C92">
        <w:rPr>
          <w:rFonts w:cs="Arial"/>
        </w:rPr>
        <w:t>426</w:t>
      </w:r>
      <w:r w:rsidR="006644DD" w:rsidRPr="002D1C92">
        <w:rPr>
          <w:rFonts w:cs="Arial"/>
        </w:rPr>
        <w:t xml:space="preserve"> </w:t>
      </w:r>
      <w:r w:rsidR="00094E06" w:rsidRPr="002D1C92">
        <w:rPr>
          <w:rFonts w:cs="Arial"/>
        </w:rPr>
        <w:t>were associated with a</w:t>
      </w:r>
      <w:r w:rsidR="00524ABD" w:rsidRPr="002D1C92">
        <w:rPr>
          <w:rFonts w:cs="Arial"/>
        </w:rPr>
        <w:t>n active</w:t>
      </w:r>
      <w:r w:rsidR="00094E06" w:rsidRPr="002D1C92">
        <w:rPr>
          <w:rFonts w:cs="Arial"/>
        </w:rPr>
        <w:t xml:space="preserve"> </w:t>
      </w:r>
      <w:proofErr w:type="spellStart"/>
      <w:r w:rsidR="00094E06" w:rsidRPr="002D1C92">
        <w:rPr>
          <w:rFonts w:cs="Arial"/>
        </w:rPr>
        <w:t>Lycamobile</w:t>
      </w:r>
      <w:proofErr w:type="spellEnd"/>
      <w:r w:rsidR="00094E06" w:rsidRPr="002D1C92">
        <w:rPr>
          <w:rFonts w:cs="Arial"/>
        </w:rPr>
        <w:t xml:space="preserve"> </w:t>
      </w:r>
      <w:r w:rsidR="00524ABD" w:rsidRPr="002D1C92">
        <w:rPr>
          <w:rFonts w:cs="Arial"/>
        </w:rPr>
        <w:t>service</w:t>
      </w:r>
      <w:r w:rsidR="00094E06" w:rsidRPr="002D1C92">
        <w:rPr>
          <w:rFonts w:cs="Arial"/>
        </w:rPr>
        <w:t xml:space="preserve"> but were listed as ‘disconnected’ in the </w:t>
      </w:r>
      <w:proofErr w:type="gramStart"/>
      <w:r w:rsidR="00094E06" w:rsidRPr="002D1C92">
        <w:rPr>
          <w:rFonts w:cs="Arial"/>
        </w:rPr>
        <w:t>IPND</w:t>
      </w:r>
      <w:proofErr w:type="gramEnd"/>
    </w:p>
    <w:p w14:paraId="2063FD99" w14:textId="5E4B47E5" w:rsidR="00EC2DD2" w:rsidRPr="002D1C92" w:rsidRDefault="00554E6D" w:rsidP="002F09D2">
      <w:pPr>
        <w:pStyle w:val="ACMATableText"/>
        <w:numPr>
          <w:ilvl w:val="2"/>
          <w:numId w:val="18"/>
        </w:numPr>
        <w:spacing w:before="80" w:after="120"/>
        <w:ind w:left="2268" w:hanging="425"/>
        <w:rPr>
          <w:rFonts w:cs="Arial"/>
        </w:rPr>
      </w:pPr>
      <w:r w:rsidRPr="002D1C92">
        <w:rPr>
          <w:rFonts w:cs="Arial"/>
        </w:rPr>
        <w:t>211,863</w:t>
      </w:r>
      <w:r w:rsidR="00EC2DD2" w:rsidRPr="002D1C92">
        <w:rPr>
          <w:rFonts w:cs="Arial"/>
        </w:rPr>
        <w:t xml:space="preserve"> were</w:t>
      </w:r>
      <w:r w:rsidR="006644DD" w:rsidRPr="002D1C92">
        <w:rPr>
          <w:rFonts w:cs="Arial"/>
        </w:rPr>
        <w:t xml:space="preserve"> </w:t>
      </w:r>
      <w:r w:rsidR="00EC2DD2" w:rsidRPr="002D1C92">
        <w:rPr>
          <w:rFonts w:cs="Arial"/>
        </w:rPr>
        <w:t xml:space="preserve">listed as ‘connected’ in the IPND but disconnected in </w:t>
      </w:r>
      <w:proofErr w:type="spellStart"/>
      <w:r w:rsidR="00EC2DD2" w:rsidRPr="002D1C92">
        <w:rPr>
          <w:rFonts w:cs="Arial"/>
        </w:rPr>
        <w:t>Lycamobile’s</w:t>
      </w:r>
      <w:proofErr w:type="spellEnd"/>
      <w:r w:rsidR="00EC2DD2" w:rsidRPr="002D1C92">
        <w:rPr>
          <w:rFonts w:cs="Arial"/>
        </w:rPr>
        <w:t xml:space="preserve"> customer systems</w:t>
      </w:r>
      <w:r w:rsidR="00C77F88">
        <w:rPr>
          <w:rFonts w:cs="Arial"/>
        </w:rPr>
        <w:t>.</w:t>
      </w:r>
    </w:p>
    <w:p w14:paraId="15847049" w14:textId="5F368E69" w:rsidR="00E5551E" w:rsidRPr="002D1C92" w:rsidRDefault="002710AA" w:rsidP="00AE1813">
      <w:pPr>
        <w:pStyle w:val="ListParagraph"/>
        <w:numPr>
          <w:ilvl w:val="0"/>
          <w:numId w:val="4"/>
        </w:numPr>
        <w:tabs>
          <w:tab w:val="left" w:pos="6509"/>
        </w:tabs>
        <w:spacing w:line="240" w:lineRule="auto"/>
        <w:ind w:left="426"/>
        <w:contextualSpacing w:val="0"/>
        <w:rPr>
          <w:rFonts w:ascii="Arial" w:hAnsi="Arial" w:cs="Arial"/>
          <w:sz w:val="20"/>
          <w:szCs w:val="20"/>
        </w:rPr>
      </w:pPr>
      <w:r w:rsidRPr="002D1C92">
        <w:rPr>
          <w:rFonts w:ascii="Arial" w:hAnsi="Arial" w:cs="Arial"/>
          <w:sz w:val="20"/>
          <w:szCs w:val="20"/>
        </w:rPr>
        <w:t>The ACMA is unable to identify the date the contravention</w:t>
      </w:r>
      <w:r w:rsidR="00680D8D" w:rsidRPr="002D1C92">
        <w:rPr>
          <w:rFonts w:ascii="Arial" w:hAnsi="Arial" w:cs="Arial"/>
          <w:sz w:val="20"/>
          <w:szCs w:val="20"/>
        </w:rPr>
        <w:t>s</w:t>
      </w:r>
      <w:r w:rsidRPr="002D1C92">
        <w:rPr>
          <w:rFonts w:ascii="Arial" w:hAnsi="Arial" w:cs="Arial"/>
          <w:sz w:val="20"/>
          <w:szCs w:val="20"/>
        </w:rPr>
        <w:t xml:space="preserve"> occurred </w:t>
      </w:r>
      <w:r w:rsidR="00351750" w:rsidRPr="002D1C92">
        <w:rPr>
          <w:rFonts w:ascii="Arial" w:hAnsi="Arial" w:cs="Arial"/>
          <w:sz w:val="20"/>
          <w:szCs w:val="20"/>
        </w:rPr>
        <w:t xml:space="preserve">for most of the </w:t>
      </w:r>
      <w:r w:rsidR="000910E3" w:rsidRPr="002D1C92">
        <w:rPr>
          <w:rFonts w:ascii="Arial" w:hAnsi="Arial" w:cs="Arial"/>
          <w:sz w:val="20"/>
          <w:szCs w:val="20"/>
        </w:rPr>
        <w:t xml:space="preserve">240,231 </w:t>
      </w:r>
      <w:r w:rsidR="00351750" w:rsidRPr="002D1C92">
        <w:rPr>
          <w:rFonts w:ascii="Arial" w:hAnsi="Arial" w:cs="Arial"/>
          <w:sz w:val="20"/>
          <w:szCs w:val="20"/>
        </w:rPr>
        <w:t xml:space="preserve">inaccurate </w:t>
      </w:r>
      <w:r w:rsidR="00815D0E" w:rsidRPr="002D1C92">
        <w:rPr>
          <w:rFonts w:ascii="Arial" w:hAnsi="Arial" w:cs="Arial"/>
          <w:sz w:val="20"/>
          <w:szCs w:val="20"/>
        </w:rPr>
        <w:t>records. However</w:t>
      </w:r>
      <w:r w:rsidR="004676A0" w:rsidRPr="002D1C92">
        <w:rPr>
          <w:rFonts w:ascii="Arial" w:hAnsi="Arial" w:cs="Arial"/>
          <w:sz w:val="20"/>
          <w:szCs w:val="20"/>
        </w:rPr>
        <w:t xml:space="preserve">, </w:t>
      </w:r>
      <w:proofErr w:type="spellStart"/>
      <w:r w:rsidR="00680D8D" w:rsidRPr="002D1C92">
        <w:rPr>
          <w:rFonts w:ascii="Arial" w:hAnsi="Arial" w:cs="Arial"/>
          <w:sz w:val="20"/>
          <w:szCs w:val="20"/>
        </w:rPr>
        <w:t>Lycamobile</w:t>
      </w:r>
      <w:proofErr w:type="spellEnd"/>
      <w:r w:rsidR="00680D8D" w:rsidRPr="002D1C92">
        <w:rPr>
          <w:rFonts w:ascii="Arial" w:hAnsi="Arial" w:cs="Arial"/>
          <w:sz w:val="20"/>
          <w:szCs w:val="20"/>
        </w:rPr>
        <w:t xml:space="preserve"> has made no claim that </w:t>
      </w:r>
      <w:r w:rsidR="001C1E07" w:rsidRPr="002D1C92">
        <w:rPr>
          <w:rFonts w:ascii="Arial" w:hAnsi="Arial" w:cs="Arial"/>
          <w:sz w:val="20"/>
          <w:szCs w:val="20"/>
        </w:rPr>
        <w:t xml:space="preserve">any of the identified public numbers were for services </w:t>
      </w:r>
      <w:r w:rsidR="00E5551E" w:rsidRPr="002D1C92">
        <w:rPr>
          <w:rFonts w:ascii="Arial" w:hAnsi="Arial" w:cs="Arial"/>
          <w:sz w:val="20"/>
          <w:szCs w:val="20"/>
        </w:rPr>
        <w:t xml:space="preserve">that were newly connected, ported or disconnected and that </w:t>
      </w:r>
      <w:r w:rsidR="00680D8D" w:rsidRPr="002D1C92">
        <w:rPr>
          <w:rFonts w:ascii="Arial" w:hAnsi="Arial" w:cs="Arial"/>
          <w:sz w:val="20"/>
          <w:szCs w:val="20"/>
        </w:rPr>
        <w:t>a reasonable</w:t>
      </w:r>
      <w:r w:rsidR="00E5551E" w:rsidRPr="002D1C92">
        <w:rPr>
          <w:rFonts w:ascii="Arial" w:hAnsi="Arial" w:cs="Arial"/>
          <w:sz w:val="20"/>
          <w:szCs w:val="20"/>
        </w:rPr>
        <w:t xml:space="preserve"> time for uploading or updating PNCD had not expired</w:t>
      </w:r>
      <w:r w:rsidR="00680D8D" w:rsidRPr="002D1C92">
        <w:rPr>
          <w:rFonts w:ascii="Arial" w:hAnsi="Arial" w:cs="Arial"/>
          <w:sz w:val="20"/>
          <w:szCs w:val="20"/>
        </w:rPr>
        <w:t xml:space="preserve"> (noting that clause </w:t>
      </w:r>
      <w:r w:rsidR="00815D0E" w:rsidRPr="002D1C92">
        <w:rPr>
          <w:rFonts w:ascii="Arial" w:hAnsi="Arial" w:cs="Arial"/>
          <w:sz w:val="20"/>
          <w:szCs w:val="20"/>
        </w:rPr>
        <w:t>4.2.1 and 4.2.25 of the</w:t>
      </w:r>
      <w:r w:rsidR="00F36FC9" w:rsidRPr="002D1C92">
        <w:rPr>
          <w:rFonts w:ascii="Arial" w:hAnsi="Arial" w:cs="Arial"/>
          <w:sz w:val="20"/>
          <w:szCs w:val="20"/>
        </w:rPr>
        <w:t xml:space="preserve"> </w:t>
      </w:r>
      <w:r w:rsidR="00815D0E" w:rsidRPr="002D1C92">
        <w:rPr>
          <w:rFonts w:ascii="Arial" w:hAnsi="Arial" w:cs="Arial"/>
          <w:sz w:val="20"/>
          <w:szCs w:val="20"/>
        </w:rPr>
        <w:t xml:space="preserve">2017 IPND Code and </w:t>
      </w:r>
      <w:r w:rsidR="00680D8D" w:rsidRPr="002D1C92">
        <w:rPr>
          <w:rFonts w:ascii="Arial" w:hAnsi="Arial" w:cs="Arial"/>
          <w:sz w:val="20"/>
          <w:szCs w:val="20"/>
        </w:rPr>
        <w:t>4.2.</w:t>
      </w:r>
      <w:r w:rsidR="00351750" w:rsidRPr="002D1C92">
        <w:rPr>
          <w:rFonts w:ascii="Arial" w:hAnsi="Arial" w:cs="Arial"/>
          <w:sz w:val="20"/>
          <w:szCs w:val="20"/>
        </w:rPr>
        <w:t>1</w:t>
      </w:r>
      <w:r w:rsidR="00680D8D" w:rsidRPr="002D1C92">
        <w:rPr>
          <w:rFonts w:ascii="Arial" w:hAnsi="Arial" w:cs="Arial"/>
          <w:sz w:val="20"/>
          <w:szCs w:val="20"/>
        </w:rPr>
        <w:t xml:space="preserve"> of the </w:t>
      </w:r>
      <w:r w:rsidR="00815D0E" w:rsidRPr="002D1C92">
        <w:rPr>
          <w:rFonts w:ascii="Arial" w:hAnsi="Arial" w:cs="Arial"/>
          <w:sz w:val="20"/>
          <w:szCs w:val="20"/>
        </w:rPr>
        <w:t xml:space="preserve">2020 </w:t>
      </w:r>
      <w:r w:rsidR="00680D8D" w:rsidRPr="002D1C92">
        <w:rPr>
          <w:rFonts w:ascii="Arial" w:hAnsi="Arial" w:cs="Arial"/>
          <w:sz w:val="20"/>
          <w:szCs w:val="20"/>
        </w:rPr>
        <w:t>IPND Code require</w:t>
      </w:r>
      <w:r w:rsidR="00815D0E" w:rsidRPr="002D1C92">
        <w:rPr>
          <w:rFonts w:ascii="Arial" w:hAnsi="Arial" w:cs="Arial"/>
          <w:sz w:val="20"/>
          <w:szCs w:val="20"/>
        </w:rPr>
        <w:t xml:space="preserve"> </w:t>
      </w:r>
      <w:r w:rsidR="00680D8D" w:rsidRPr="002D1C92">
        <w:rPr>
          <w:rFonts w:ascii="Arial" w:hAnsi="Arial" w:cs="Arial"/>
          <w:sz w:val="20"/>
          <w:szCs w:val="20"/>
        </w:rPr>
        <w:t>a CSP to supply to the IPND Manager all PNCD updates that occur on one business day, by the end of the next business day).</w:t>
      </w:r>
    </w:p>
    <w:p w14:paraId="5036CCAA" w14:textId="27F52D7F" w:rsidR="006B17CE" w:rsidRPr="002D1C92" w:rsidRDefault="006B17CE" w:rsidP="005C0FD5">
      <w:pPr>
        <w:pStyle w:val="ListParagraph"/>
        <w:numPr>
          <w:ilvl w:val="0"/>
          <w:numId w:val="4"/>
        </w:numPr>
        <w:spacing w:after="240" w:line="240" w:lineRule="auto"/>
        <w:ind w:left="425" w:hanging="357"/>
        <w:contextualSpacing w:val="0"/>
        <w:rPr>
          <w:rFonts w:ascii="Arial" w:hAnsi="Arial" w:cs="Arial"/>
          <w:sz w:val="20"/>
          <w:szCs w:val="20"/>
        </w:rPr>
      </w:pPr>
      <w:r w:rsidRPr="002D1C92">
        <w:rPr>
          <w:rFonts w:ascii="Arial" w:hAnsi="Arial" w:cs="Arial"/>
          <w:sz w:val="20"/>
          <w:szCs w:val="20"/>
        </w:rPr>
        <w:t xml:space="preserve">The ACMA therefore finds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contravened subsection 101(1) of the Act as it failed to comply with the service provider rule in subclause 10(2) of Schedule 2 to the Act </w:t>
      </w:r>
      <w:r w:rsidR="00C27A9A" w:rsidRPr="002D1C92">
        <w:rPr>
          <w:rFonts w:ascii="Arial" w:hAnsi="Arial" w:cs="Arial"/>
          <w:sz w:val="20"/>
          <w:szCs w:val="20"/>
        </w:rPr>
        <w:t>for</w:t>
      </w:r>
      <w:r w:rsidRPr="002D1C92">
        <w:rPr>
          <w:rFonts w:ascii="Arial" w:hAnsi="Arial" w:cs="Arial"/>
          <w:sz w:val="20"/>
          <w:szCs w:val="20"/>
        </w:rPr>
        <w:t xml:space="preserve"> 2</w:t>
      </w:r>
      <w:r w:rsidR="005D65CE" w:rsidRPr="002D1C92">
        <w:rPr>
          <w:rFonts w:ascii="Arial" w:hAnsi="Arial" w:cs="Arial"/>
          <w:sz w:val="20"/>
          <w:szCs w:val="20"/>
        </w:rPr>
        <w:t>45,</w:t>
      </w:r>
      <w:r w:rsidR="00B2623B" w:rsidRPr="002D1C92">
        <w:rPr>
          <w:rFonts w:ascii="Arial" w:hAnsi="Arial" w:cs="Arial"/>
          <w:sz w:val="20"/>
          <w:szCs w:val="20"/>
        </w:rPr>
        <w:t>902</w:t>
      </w:r>
      <w:r w:rsidRPr="002D1C92">
        <w:rPr>
          <w:rFonts w:ascii="Arial" w:hAnsi="Arial" w:cs="Arial"/>
          <w:sz w:val="20"/>
          <w:szCs w:val="20"/>
        </w:rPr>
        <w:t xml:space="preserve"> carriage services it supplies</w:t>
      </w:r>
      <w:r w:rsidR="002A3605">
        <w:rPr>
          <w:rFonts w:ascii="Arial" w:hAnsi="Arial" w:cs="Arial"/>
          <w:sz w:val="20"/>
          <w:szCs w:val="20"/>
        </w:rPr>
        <w:t xml:space="preserve"> or supplied</w:t>
      </w:r>
      <w:r w:rsidRPr="002D1C92">
        <w:rPr>
          <w:rFonts w:ascii="Arial" w:hAnsi="Arial" w:cs="Arial"/>
          <w:sz w:val="20"/>
          <w:szCs w:val="20"/>
        </w:rPr>
        <w:t>.</w:t>
      </w:r>
    </w:p>
    <w:p w14:paraId="70AE022A" w14:textId="18FBD3A6" w:rsidR="00CF6F57" w:rsidRPr="002D1C92" w:rsidRDefault="00CF6F57" w:rsidP="00FB5166">
      <w:pPr>
        <w:pStyle w:val="ACMABodyText"/>
        <w:keepNext/>
        <w:spacing w:before="120" w:after="200" w:line="240" w:lineRule="auto"/>
        <w:rPr>
          <w:rFonts w:ascii="Arial" w:hAnsi="Arial" w:cs="Arial"/>
          <w:bCs/>
          <w:sz w:val="20"/>
          <w:u w:val="single"/>
        </w:rPr>
      </w:pPr>
      <w:r w:rsidRPr="002D1C92">
        <w:rPr>
          <w:rFonts w:ascii="Arial" w:hAnsi="Arial" w:cs="Arial"/>
          <w:bCs/>
          <w:sz w:val="20"/>
          <w:u w:val="single"/>
        </w:rPr>
        <w:t xml:space="preserve">Compliance with the </w:t>
      </w:r>
      <w:r w:rsidR="00815D0E" w:rsidRPr="002D1C92">
        <w:rPr>
          <w:rFonts w:ascii="Arial" w:hAnsi="Arial" w:cs="Arial"/>
          <w:bCs/>
          <w:sz w:val="20"/>
          <w:u w:val="single"/>
        </w:rPr>
        <w:t xml:space="preserve">2017 IPND Code and 2020 </w:t>
      </w:r>
      <w:r w:rsidRPr="002D1C92">
        <w:rPr>
          <w:rFonts w:ascii="Arial" w:hAnsi="Arial" w:cs="Arial"/>
          <w:bCs/>
          <w:sz w:val="20"/>
          <w:u w:val="single"/>
        </w:rPr>
        <w:t xml:space="preserve">IPND Code </w:t>
      </w:r>
    </w:p>
    <w:p w14:paraId="3819F652" w14:textId="22CE81ED" w:rsidR="009E6874" w:rsidRPr="002D1C92" w:rsidRDefault="009E6874"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Section 4.2 of the </w:t>
      </w:r>
      <w:r w:rsidR="00815D0E" w:rsidRPr="002D1C92">
        <w:rPr>
          <w:rFonts w:ascii="Arial" w:hAnsi="Arial" w:cs="Arial"/>
          <w:sz w:val="20"/>
          <w:szCs w:val="20"/>
        </w:rPr>
        <w:t xml:space="preserve">2017 IPND Code </w:t>
      </w:r>
      <w:r w:rsidR="00272F70" w:rsidRPr="002D1C92">
        <w:rPr>
          <w:rFonts w:ascii="Arial" w:hAnsi="Arial" w:cs="Arial"/>
          <w:sz w:val="20"/>
          <w:szCs w:val="20"/>
        </w:rPr>
        <w:t xml:space="preserve">(in force </w:t>
      </w:r>
      <w:r w:rsidR="0062733A">
        <w:rPr>
          <w:rFonts w:ascii="Arial" w:hAnsi="Arial" w:cs="Arial"/>
          <w:sz w:val="20"/>
          <w:szCs w:val="20"/>
        </w:rPr>
        <w:t>before</w:t>
      </w:r>
      <w:r w:rsidR="00272F70" w:rsidRPr="002D1C92">
        <w:rPr>
          <w:rFonts w:ascii="Arial" w:hAnsi="Arial" w:cs="Arial"/>
          <w:sz w:val="20"/>
          <w:szCs w:val="20"/>
        </w:rPr>
        <w:t xml:space="preserve">19 March 2020) </w:t>
      </w:r>
      <w:r w:rsidR="00815D0E" w:rsidRPr="002D1C92">
        <w:rPr>
          <w:rFonts w:ascii="Arial" w:hAnsi="Arial" w:cs="Arial"/>
          <w:sz w:val="20"/>
          <w:szCs w:val="20"/>
        </w:rPr>
        <w:t xml:space="preserve">and section 4.2 of the 2020 </w:t>
      </w:r>
      <w:r w:rsidRPr="002D1C92">
        <w:rPr>
          <w:rFonts w:ascii="Arial" w:hAnsi="Arial" w:cs="Arial"/>
          <w:sz w:val="20"/>
          <w:szCs w:val="20"/>
        </w:rPr>
        <w:t xml:space="preserve">IPND Code </w:t>
      </w:r>
      <w:r w:rsidR="00272F70" w:rsidRPr="002D1C92">
        <w:rPr>
          <w:rFonts w:ascii="Arial" w:hAnsi="Arial" w:cs="Arial"/>
          <w:sz w:val="20"/>
          <w:szCs w:val="20"/>
        </w:rPr>
        <w:t>(in force</w:t>
      </w:r>
      <w:r w:rsidR="0062733A">
        <w:rPr>
          <w:rFonts w:ascii="Arial" w:hAnsi="Arial" w:cs="Arial"/>
          <w:sz w:val="20"/>
          <w:szCs w:val="20"/>
        </w:rPr>
        <w:t xml:space="preserve"> from </w:t>
      </w:r>
      <w:r w:rsidR="00272F70" w:rsidRPr="002D1C92">
        <w:rPr>
          <w:rFonts w:ascii="Arial" w:hAnsi="Arial" w:cs="Arial"/>
          <w:sz w:val="20"/>
          <w:szCs w:val="20"/>
        </w:rPr>
        <w:t xml:space="preserve">19 March 2020) </w:t>
      </w:r>
      <w:r w:rsidRPr="002D1C92">
        <w:rPr>
          <w:rFonts w:ascii="Arial" w:hAnsi="Arial" w:cs="Arial"/>
          <w:sz w:val="20"/>
          <w:szCs w:val="20"/>
        </w:rPr>
        <w:t>set out rules in relation to the provision of data to the IPND Manager.</w:t>
      </w:r>
    </w:p>
    <w:p w14:paraId="5E960B74" w14:textId="6B234EBC" w:rsidR="00CF6F57" w:rsidRPr="002D1C92" w:rsidRDefault="00CF6F57" w:rsidP="00401906">
      <w:pPr>
        <w:pStyle w:val="ACMATableText"/>
        <w:spacing w:before="200" w:after="120"/>
        <w:rPr>
          <w:rFonts w:cs="Arial"/>
          <w:i/>
        </w:rPr>
      </w:pPr>
      <w:r w:rsidRPr="002D1C92">
        <w:rPr>
          <w:rFonts w:cs="Arial"/>
          <w:i/>
        </w:rPr>
        <w:t>Clause</w:t>
      </w:r>
      <w:r w:rsidR="0034789B" w:rsidRPr="002D1C92">
        <w:rPr>
          <w:rFonts w:cs="Arial"/>
          <w:i/>
        </w:rPr>
        <w:t>s</w:t>
      </w:r>
      <w:r w:rsidRPr="002D1C92">
        <w:rPr>
          <w:rFonts w:cs="Arial"/>
          <w:i/>
        </w:rPr>
        <w:t xml:space="preserve"> 4.2.1</w:t>
      </w:r>
      <w:r w:rsidR="0034789B" w:rsidRPr="002D1C92">
        <w:rPr>
          <w:rFonts w:cs="Arial"/>
          <w:i/>
        </w:rPr>
        <w:t xml:space="preserve"> and 4.2.25 of the 2017 IPND Code, and clause 4.2.1 of the 2020 IPND Code</w:t>
      </w:r>
    </w:p>
    <w:p w14:paraId="3D424745" w14:textId="1BC6D045" w:rsidR="00CF6F57" w:rsidRPr="002D1C92" w:rsidRDefault="00CF6F57"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Clause</w:t>
      </w:r>
      <w:r w:rsidR="0034789B" w:rsidRPr="002D1C92">
        <w:rPr>
          <w:rFonts w:ascii="Arial" w:hAnsi="Arial" w:cs="Arial"/>
          <w:sz w:val="20"/>
          <w:szCs w:val="20"/>
        </w:rPr>
        <w:t xml:space="preserve">s </w:t>
      </w:r>
      <w:r w:rsidRPr="002D1C92">
        <w:rPr>
          <w:rFonts w:ascii="Arial" w:hAnsi="Arial" w:cs="Arial"/>
          <w:sz w:val="20"/>
          <w:szCs w:val="20"/>
        </w:rPr>
        <w:t xml:space="preserve">4.2.1 </w:t>
      </w:r>
      <w:r w:rsidR="00815D0E" w:rsidRPr="002D1C92">
        <w:rPr>
          <w:rFonts w:ascii="Arial" w:hAnsi="Arial" w:cs="Arial"/>
          <w:sz w:val="20"/>
          <w:szCs w:val="20"/>
        </w:rPr>
        <w:t xml:space="preserve">and 4.2.25 of the 2017 IPND Code and clause 4.2.1 </w:t>
      </w:r>
      <w:r w:rsidRPr="002D1C92">
        <w:rPr>
          <w:rFonts w:ascii="Arial" w:hAnsi="Arial" w:cs="Arial"/>
          <w:sz w:val="20"/>
          <w:szCs w:val="20"/>
        </w:rPr>
        <w:t xml:space="preserve">of the </w:t>
      </w:r>
      <w:r w:rsidR="00815D0E" w:rsidRPr="002D1C92">
        <w:rPr>
          <w:rFonts w:ascii="Arial" w:hAnsi="Arial" w:cs="Arial"/>
          <w:sz w:val="20"/>
          <w:szCs w:val="20"/>
        </w:rPr>
        <w:t xml:space="preserve">2020 </w:t>
      </w:r>
      <w:r w:rsidRPr="002D1C92">
        <w:rPr>
          <w:rFonts w:ascii="Arial" w:hAnsi="Arial" w:cs="Arial"/>
          <w:sz w:val="20"/>
          <w:szCs w:val="20"/>
        </w:rPr>
        <w:t>IPND Code oblige a CSP to supply relevant PNCD</w:t>
      </w:r>
      <w:r w:rsidR="00C027C5" w:rsidRPr="002D1C92">
        <w:rPr>
          <w:rFonts w:ascii="Arial" w:hAnsi="Arial" w:cs="Arial"/>
          <w:sz w:val="20"/>
          <w:szCs w:val="20"/>
        </w:rPr>
        <w:t>, including transaction updates,</w:t>
      </w:r>
      <w:r w:rsidRPr="002D1C92">
        <w:rPr>
          <w:rFonts w:ascii="Arial" w:hAnsi="Arial" w:cs="Arial"/>
          <w:sz w:val="20"/>
          <w:szCs w:val="20"/>
        </w:rPr>
        <w:t xml:space="preserve"> to the IPND Manager for each public number it uses to supply a carriage service to an end user</w:t>
      </w:r>
      <w:r w:rsidR="00351750" w:rsidRPr="002D1C92">
        <w:rPr>
          <w:rFonts w:ascii="Arial" w:hAnsi="Arial" w:cs="Arial"/>
          <w:sz w:val="20"/>
          <w:szCs w:val="20"/>
        </w:rPr>
        <w:t>, that occurred on one business day by the end of the next business day</w:t>
      </w:r>
      <w:r w:rsidRPr="002D1C92">
        <w:rPr>
          <w:rFonts w:ascii="Arial" w:hAnsi="Arial" w:cs="Arial"/>
          <w:sz w:val="20"/>
          <w:szCs w:val="20"/>
        </w:rPr>
        <w:t xml:space="preserve">. </w:t>
      </w:r>
      <w:r w:rsidR="00C027C5" w:rsidRPr="002D1C92">
        <w:rPr>
          <w:rFonts w:ascii="Arial" w:hAnsi="Arial" w:cs="Arial"/>
          <w:sz w:val="20"/>
          <w:szCs w:val="20"/>
        </w:rPr>
        <w:t xml:space="preserve">This includes all transactions relating to connections and disconnections. </w:t>
      </w:r>
      <w:r w:rsidRPr="002D1C92">
        <w:rPr>
          <w:rFonts w:ascii="Arial" w:hAnsi="Arial" w:cs="Arial"/>
          <w:sz w:val="20"/>
          <w:szCs w:val="20"/>
        </w:rPr>
        <w:t xml:space="preserve">As </w:t>
      </w:r>
      <w:r w:rsidR="00DC3CD3" w:rsidRPr="002D1C92">
        <w:rPr>
          <w:rFonts w:ascii="Arial" w:hAnsi="Arial" w:cs="Arial"/>
          <w:sz w:val="20"/>
          <w:szCs w:val="20"/>
        </w:rPr>
        <w:t xml:space="preserve">stated </w:t>
      </w:r>
      <w:r w:rsidR="00FE1AF0" w:rsidRPr="002D1C92">
        <w:rPr>
          <w:rFonts w:ascii="Arial" w:hAnsi="Arial" w:cs="Arial"/>
          <w:sz w:val="20"/>
          <w:szCs w:val="20"/>
        </w:rPr>
        <w:t>in paragraph 7</w:t>
      </w:r>
      <w:r w:rsidRPr="002D1C92">
        <w:rPr>
          <w:rFonts w:ascii="Arial" w:hAnsi="Arial" w:cs="Arial"/>
          <w:sz w:val="20"/>
          <w:szCs w:val="20"/>
        </w:rPr>
        <w:t xml:space="preserve">,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is a CSP.</w:t>
      </w:r>
    </w:p>
    <w:p w14:paraId="610130BE" w14:textId="326DE791" w:rsidR="00413E61" w:rsidRPr="002D1C92" w:rsidRDefault="00413E61"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PNCD includes, among other things, the public number, details relating to the name and address of the customer, the name of the CSP providing the service and a service status code for the public number indicating whether the service is connected or disconnected.</w:t>
      </w:r>
    </w:p>
    <w:p w14:paraId="39F0DF5A" w14:textId="77777777" w:rsidR="00C027C5" w:rsidRPr="002D1C92" w:rsidRDefault="00C027C5" w:rsidP="00C027C5">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lastRenderedPageBreak/>
        <w:t>PNCD updates can include a change to the customer data for an existing public number, or any newly connected services or ported public numbers for which customer data has not previously been supplied to the IPND by the CSP.</w:t>
      </w:r>
    </w:p>
    <w:p w14:paraId="65D64211" w14:textId="62E5F8A0" w:rsidR="00430BC5" w:rsidRPr="002D1C92" w:rsidRDefault="00413E61" w:rsidP="00C027C5">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Based on information provided by </w:t>
      </w:r>
      <w:proofErr w:type="spellStart"/>
      <w:r w:rsidRPr="002D1C92">
        <w:rPr>
          <w:rFonts w:ascii="Arial" w:hAnsi="Arial" w:cs="Arial"/>
          <w:sz w:val="20"/>
          <w:szCs w:val="20"/>
        </w:rPr>
        <w:t>Lycamobile</w:t>
      </w:r>
      <w:proofErr w:type="spellEnd"/>
      <w:r w:rsidR="00C03535" w:rsidRPr="002D1C92">
        <w:rPr>
          <w:rFonts w:ascii="Arial" w:hAnsi="Arial" w:cs="Arial"/>
          <w:sz w:val="20"/>
          <w:szCs w:val="20"/>
        </w:rPr>
        <w:t xml:space="preserve"> </w:t>
      </w:r>
      <w:r w:rsidRPr="002D1C92">
        <w:rPr>
          <w:rFonts w:ascii="Arial" w:hAnsi="Arial" w:cs="Arial"/>
          <w:sz w:val="20"/>
          <w:szCs w:val="20"/>
        </w:rPr>
        <w:t xml:space="preserve">and information contained in IPND records obtained by the ACMA, </w:t>
      </w:r>
      <w:proofErr w:type="spellStart"/>
      <w:r w:rsidRPr="002D1C92">
        <w:rPr>
          <w:rFonts w:ascii="Arial" w:hAnsi="Arial" w:cs="Arial"/>
          <w:sz w:val="20"/>
          <w:szCs w:val="20"/>
        </w:rPr>
        <w:t>Lycamobile</w:t>
      </w:r>
      <w:proofErr w:type="spellEnd"/>
      <w:r w:rsidR="00430BC5" w:rsidRPr="002D1C92">
        <w:rPr>
          <w:rFonts w:ascii="Arial" w:hAnsi="Arial" w:cs="Arial"/>
          <w:sz w:val="20"/>
          <w:szCs w:val="20"/>
        </w:rPr>
        <w:t>:</w:t>
      </w:r>
    </w:p>
    <w:p w14:paraId="777E4809" w14:textId="14E64313" w:rsidR="00430BC5" w:rsidRPr="002D1C92" w:rsidRDefault="00413E61" w:rsidP="002F09D2">
      <w:pPr>
        <w:pStyle w:val="ACMATableText"/>
        <w:numPr>
          <w:ilvl w:val="0"/>
          <w:numId w:val="19"/>
        </w:numPr>
        <w:spacing w:before="80" w:after="120"/>
        <w:rPr>
          <w:rFonts w:cs="Arial"/>
        </w:rPr>
      </w:pPr>
      <w:r w:rsidRPr="002D1C92">
        <w:rPr>
          <w:rFonts w:cs="Arial"/>
        </w:rPr>
        <w:t xml:space="preserve">did not upload PNCD to the IPND for </w:t>
      </w:r>
      <w:r w:rsidR="00090A32" w:rsidRPr="002D1C92">
        <w:rPr>
          <w:rFonts w:cs="Arial"/>
        </w:rPr>
        <w:t>5,6</w:t>
      </w:r>
      <w:r w:rsidR="00435941" w:rsidRPr="002D1C92">
        <w:rPr>
          <w:rFonts w:cs="Arial"/>
        </w:rPr>
        <w:t>71</w:t>
      </w:r>
      <w:r w:rsidR="00AF58EA" w:rsidRPr="002D1C92">
        <w:rPr>
          <w:rFonts w:cs="Arial"/>
        </w:rPr>
        <w:t xml:space="preserve"> </w:t>
      </w:r>
      <w:r w:rsidRPr="002D1C92">
        <w:rPr>
          <w:rFonts w:cs="Arial"/>
        </w:rPr>
        <w:t>public numbers</w:t>
      </w:r>
      <w:r w:rsidR="000755E0" w:rsidRPr="002D1C92">
        <w:rPr>
          <w:rFonts w:cs="Arial"/>
        </w:rPr>
        <w:t xml:space="preserve"> associated with its </w:t>
      </w:r>
      <w:r w:rsidR="009F22FA" w:rsidRPr="002D1C92">
        <w:rPr>
          <w:rFonts w:cs="Arial"/>
        </w:rPr>
        <w:t xml:space="preserve">carriage </w:t>
      </w:r>
      <w:r w:rsidR="000755E0" w:rsidRPr="002D1C92">
        <w:rPr>
          <w:rFonts w:cs="Arial"/>
        </w:rPr>
        <w:t>services</w:t>
      </w:r>
      <w:r w:rsidR="008920AC" w:rsidRPr="002D1C92">
        <w:rPr>
          <w:rFonts w:cs="Arial"/>
        </w:rPr>
        <w:t xml:space="preserve"> for between </w:t>
      </w:r>
      <w:r w:rsidR="00663E30" w:rsidRPr="002D1C92">
        <w:rPr>
          <w:rFonts w:cs="Arial"/>
        </w:rPr>
        <w:t>three</w:t>
      </w:r>
      <w:r w:rsidR="008920AC" w:rsidRPr="002D1C92">
        <w:rPr>
          <w:rFonts w:cs="Arial"/>
        </w:rPr>
        <w:t xml:space="preserve"> days and </w:t>
      </w:r>
      <w:r w:rsidR="00663E30" w:rsidRPr="002D1C92">
        <w:rPr>
          <w:rFonts w:cs="Arial"/>
        </w:rPr>
        <w:t>nine</w:t>
      </w:r>
      <w:r w:rsidR="008920AC" w:rsidRPr="002D1C92">
        <w:rPr>
          <w:rFonts w:cs="Arial"/>
        </w:rPr>
        <w:t xml:space="preserve"> years after the respective dates on which </w:t>
      </w:r>
      <w:proofErr w:type="spellStart"/>
      <w:r w:rsidR="008920AC" w:rsidRPr="002D1C92">
        <w:rPr>
          <w:rFonts w:cs="Arial"/>
        </w:rPr>
        <w:t>Lycamobile</w:t>
      </w:r>
      <w:proofErr w:type="spellEnd"/>
      <w:r w:rsidR="008920AC" w:rsidRPr="002D1C92">
        <w:rPr>
          <w:rFonts w:cs="Arial"/>
        </w:rPr>
        <w:t xml:space="preserve"> stated that each of the services had been activated</w:t>
      </w:r>
      <w:r w:rsidR="00AF58EA" w:rsidRPr="002D1C92">
        <w:rPr>
          <w:rFonts w:cs="Arial"/>
        </w:rPr>
        <w:t xml:space="preserve"> [</w:t>
      </w:r>
      <w:r w:rsidR="00AF58EA" w:rsidRPr="002D1C92">
        <w:rPr>
          <w:rFonts w:cs="Arial"/>
          <w:b/>
          <w:bCs/>
        </w:rPr>
        <w:t>missing IPND records</w:t>
      </w:r>
      <w:r w:rsidR="00C8312C" w:rsidRPr="002D1C92">
        <w:rPr>
          <w:rFonts w:cs="Arial"/>
        </w:rPr>
        <w:t xml:space="preserve">, as set out at </w:t>
      </w:r>
      <w:r w:rsidR="00810C3B" w:rsidRPr="002D1C92">
        <w:rPr>
          <w:rFonts w:cs="Arial"/>
        </w:rPr>
        <w:t xml:space="preserve">subparagraph </w:t>
      </w:r>
      <w:r w:rsidR="00604FD2" w:rsidRPr="002D1C92">
        <w:rPr>
          <w:rFonts w:cs="Arial"/>
        </w:rPr>
        <w:t>6</w:t>
      </w:r>
      <w:r w:rsidR="00E35E30" w:rsidRPr="002D1C92">
        <w:rPr>
          <w:rFonts w:cs="Arial"/>
        </w:rPr>
        <w:t>2</w:t>
      </w:r>
      <w:r w:rsidR="00810C3B" w:rsidRPr="002D1C92">
        <w:rPr>
          <w:rFonts w:cs="Arial"/>
        </w:rPr>
        <w:t>(a) above</w:t>
      </w:r>
      <w:r w:rsidR="00AF58EA" w:rsidRPr="002D1C92">
        <w:rPr>
          <w:rFonts w:cs="Arial"/>
        </w:rPr>
        <w:t>]</w:t>
      </w:r>
    </w:p>
    <w:p w14:paraId="05B7C830" w14:textId="56D779A2" w:rsidR="00413E61" w:rsidRPr="002D1C92" w:rsidRDefault="00413E61" w:rsidP="002F09D2">
      <w:pPr>
        <w:pStyle w:val="ACMATableText"/>
        <w:numPr>
          <w:ilvl w:val="0"/>
          <w:numId w:val="19"/>
        </w:numPr>
        <w:spacing w:before="80" w:after="120"/>
        <w:rPr>
          <w:rFonts w:cs="Arial"/>
        </w:rPr>
      </w:pPr>
      <w:r w:rsidRPr="002D1C92">
        <w:rPr>
          <w:rFonts w:cs="Arial"/>
        </w:rPr>
        <w:t>did not upload accurate and complete PNCD to the IPND for 24</w:t>
      </w:r>
      <w:r w:rsidR="00090A32" w:rsidRPr="002D1C92">
        <w:rPr>
          <w:rFonts w:cs="Arial"/>
        </w:rPr>
        <w:t>0,231</w:t>
      </w:r>
      <w:r w:rsidRPr="002D1C92">
        <w:rPr>
          <w:rFonts w:cs="Arial"/>
        </w:rPr>
        <w:t xml:space="preserve"> public numbers</w:t>
      </w:r>
      <w:r w:rsidR="000755E0" w:rsidRPr="002D1C92">
        <w:rPr>
          <w:rFonts w:cs="Arial"/>
        </w:rPr>
        <w:t xml:space="preserve"> associated with its </w:t>
      </w:r>
      <w:r w:rsidR="009F22FA" w:rsidRPr="002D1C92">
        <w:rPr>
          <w:rFonts w:cs="Arial"/>
        </w:rPr>
        <w:t xml:space="preserve">carriage </w:t>
      </w:r>
      <w:r w:rsidR="000755E0" w:rsidRPr="002D1C92">
        <w:rPr>
          <w:rFonts w:cs="Arial"/>
        </w:rPr>
        <w:t>services</w:t>
      </w:r>
      <w:r w:rsidR="00AF58EA" w:rsidRPr="002D1C92">
        <w:rPr>
          <w:rFonts w:cs="Arial"/>
        </w:rPr>
        <w:t xml:space="preserve"> [</w:t>
      </w:r>
      <w:r w:rsidR="00AF58EA" w:rsidRPr="002D1C92">
        <w:rPr>
          <w:rFonts w:cs="Arial"/>
          <w:b/>
          <w:bCs/>
        </w:rPr>
        <w:t xml:space="preserve">inaccurate </w:t>
      </w:r>
      <w:r w:rsidR="0072171E" w:rsidRPr="002D1C92">
        <w:rPr>
          <w:rFonts w:cs="Arial"/>
          <w:b/>
          <w:bCs/>
        </w:rPr>
        <w:t xml:space="preserve">IPND </w:t>
      </w:r>
      <w:r w:rsidR="00AF58EA" w:rsidRPr="002D1C92">
        <w:rPr>
          <w:rFonts w:cs="Arial"/>
          <w:b/>
          <w:bCs/>
        </w:rPr>
        <w:t>records</w:t>
      </w:r>
      <w:r w:rsidR="00AF58EA" w:rsidRPr="002D1C92">
        <w:rPr>
          <w:rFonts w:cs="Arial"/>
        </w:rPr>
        <w:t xml:space="preserve">, as set out at </w:t>
      </w:r>
      <w:r w:rsidR="00C8312C" w:rsidRPr="002D1C92">
        <w:rPr>
          <w:rFonts w:cs="Arial"/>
        </w:rPr>
        <w:t>sub</w:t>
      </w:r>
      <w:r w:rsidR="00AF58EA" w:rsidRPr="002D1C92">
        <w:rPr>
          <w:rFonts w:cs="Arial"/>
        </w:rPr>
        <w:t xml:space="preserve">paragraph </w:t>
      </w:r>
      <w:r w:rsidR="00604FD2" w:rsidRPr="002D1C92">
        <w:rPr>
          <w:rFonts w:cs="Arial"/>
        </w:rPr>
        <w:t>6</w:t>
      </w:r>
      <w:r w:rsidR="00E35E30" w:rsidRPr="002D1C92">
        <w:rPr>
          <w:rFonts w:cs="Arial"/>
        </w:rPr>
        <w:t>2</w:t>
      </w:r>
      <w:r w:rsidR="00AF58EA" w:rsidRPr="002D1C92">
        <w:rPr>
          <w:rFonts w:cs="Arial"/>
        </w:rPr>
        <w:t>(</w:t>
      </w:r>
      <w:r w:rsidR="00810C3B" w:rsidRPr="002D1C92">
        <w:rPr>
          <w:rFonts w:cs="Arial"/>
        </w:rPr>
        <w:t>b</w:t>
      </w:r>
      <w:r w:rsidR="00AF58EA" w:rsidRPr="002D1C92">
        <w:rPr>
          <w:rFonts w:cs="Arial"/>
        </w:rPr>
        <w:t>)</w:t>
      </w:r>
      <w:r w:rsidR="00C8312C" w:rsidRPr="002D1C92">
        <w:rPr>
          <w:rFonts w:cs="Arial"/>
        </w:rPr>
        <w:t xml:space="preserve"> above</w:t>
      </w:r>
      <w:r w:rsidR="00AF58EA" w:rsidRPr="002D1C92">
        <w:rPr>
          <w:rFonts w:cs="Arial"/>
        </w:rPr>
        <w:t>]</w:t>
      </w:r>
      <w:r w:rsidRPr="002D1C92">
        <w:rPr>
          <w:rFonts w:cs="Arial"/>
        </w:rPr>
        <w:t xml:space="preserve">. </w:t>
      </w:r>
    </w:p>
    <w:p w14:paraId="7A2D05FD" w14:textId="6B165278" w:rsidR="00052E3C" w:rsidRPr="002D1C92" w:rsidRDefault="00052E3C" w:rsidP="00052E3C">
      <w:pPr>
        <w:pStyle w:val="ACMATableText"/>
        <w:numPr>
          <w:ilvl w:val="0"/>
          <w:numId w:val="4"/>
        </w:numPr>
        <w:spacing w:before="80" w:after="120"/>
        <w:rPr>
          <w:rFonts w:cs="Arial"/>
        </w:rPr>
      </w:pPr>
      <w:r w:rsidRPr="002D1C92">
        <w:rPr>
          <w:rFonts w:cs="Arial"/>
        </w:rPr>
        <w:t xml:space="preserve">The ACMA is unable to identify the date the contraventions occurred for most of the inaccurate records, however </w:t>
      </w:r>
      <w:proofErr w:type="spellStart"/>
      <w:r w:rsidRPr="002D1C92">
        <w:rPr>
          <w:rFonts w:cs="Arial"/>
        </w:rPr>
        <w:t>Lycamobile</w:t>
      </w:r>
      <w:proofErr w:type="spellEnd"/>
      <w:r w:rsidRPr="002D1C92">
        <w:rPr>
          <w:rFonts w:cs="Arial"/>
        </w:rPr>
        <w:t xml:space="preserve"> has made no claim that any of the 240,231 public numbers were for services that were newly connected, ported or disconnected and that the time for uploading or updating PNCD had not expired. Consequently, </w:t>
      </w:r>
      <w:r w:rsidR="008C1F33">
        <w:rPr>
          <w:rFonts w:cs="Arial"/>
        </w:rPr>
        <w:t xml:space="preserve">the ACMA finds that </w:t>
      </w:r>
      <w:r w:rsidRPr="002D1C92">
        <w:rPr>
          <w:rFonts w:cs="Arial"/>
        </w:rPr>
        <w:t>updates for these services were not supplied to the IPND within the required timeframe.</w:t>
      </w:r>
    </w:p>
    <w:p w14:paraId="0218A8A9" w14:textId="6BE0EF8D" w:rsidR="002A46ED" w:rsidRPr="002D1C92" w:rsidRDefault="00413E61" w:rsidP="002F09D2">
      <w:pPr>
        <w:pStyle w:val="ListParagraph"/>
        <w:numPr>
          <w:ilvl w:val="0"/>
          <w:numId w:val="4"/>
        </w:numPr>
        <w:spacing w:line="240" w:lineRule="auto"/>
        <w:ind w:left="426"/>
        <w:contextualSpacing w:val="0"/>
        <w:rPr>
          <w:rFonts w:ascii="Arial" w:hAnsi="Arial" w:cs="Arial"/>
        </w:rPr>
      </w:pPr>
      <w:r w:rsidRPr="002D1C92">
        <w:rPr>
          <w:rFonts w:ascii="Arial" w:hAnsi="Arial" w:cs="Arial"/>
          <w:sz w:val="20"/>
          <w:szCs w:val="20"/>
        </w:rPr>
        <w:t xml:space="preserve">The ACMA therefore </w:t>
      </w:r>
      <w:r w:rsidR="00DC3CD3" w:rsidRPr="002D1C92">
        <w:rPr>
          <w:rFonts w:ascii="Arial" w:hAnsi="Arial" w:cs="Arial"/>
          <w:sz w:val="20"/>
          <w:szCs w:val="20"/>
        </w:rPr>
        <w:t>finds</w:t>
      </w:r>
      <w:r w:rsidRPr="002D1C92">
        <w:rPr>
          <w:rFonts w:ascii="Arial" w:hAnsi="Arial" w:cs="Arial"/>
          <w:sz w:val="20"/>
          <w:szCs w:val="20"/>
        </w:rPr>
        <w:t xml:space="preserve">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contravened </w:t>
      </w:r>
      <w:r w:rsidR="003510B7">
        <w:rPr>
          <w:rFonts w:ascii="Arial" w:hAnsi="Arial" w:cs="Arial"/>
          <w:sz w:val="20"/>
          <w:szCs w:val="20"/>
        </w:rPr>
        <w:t xml:space="preserve">either </w:t>
      </w:r>
      <w:r w:rsidRPr="002D1C92">
        <w:rPr>
          <w:rFonts w:ascii="Arial" w:hAnsi="Arial" w:cs="Arial"/>
          <w:sz w:val="20"/>
          <w:szCs w:val="20"/>
        </w:rPr>
        <w:t>clause</w:t>
      </w:r>
      <w:r w:rsidR="00815D0E" w:rsidRPr="002D1C92">
        <w:rPr>
          <w:rFonts w:ascii="Arial" w:hAnsi="Arial" w:cs="Arial"/>
          <w:sz w:val="20"/>
          <w:szCs w:val="20"/>
        </w:rPr>
        <w:t>s</w:t>
      </w:r>
      <w:r w:rsidRPr="002D1C92">
        <w:rPr>
          <w:rFonts w:ascii="Arial" w:hAnsi="Arial" w:cs="Arial"/>
          <w:sz w:val="20"/>
          <w:szCs w:val="20"/>
        </w:rPr>
        <w:t xml:space="preserve"> 4.2.1 </w:t>
      </w:r>
      <w:r w:rsidR="00815D0E" w:rsidRPr="002D1C92">
        <w:rPr>
          <w:rFonts w:ascii="Arial" w:hAnsi="Arial" w:cs="Arial"/>
          <w:sz w:val="20"/>
          <w:szCs w:val="20"/>
        </w:rPr>
        <w:t xml:space="preserve">and 4.2.25 </w:t>
      </w:r>
      <w:r w:rsidRPr="002D1C92">
        <w:rPr>
          <w:rFonts w:ascii="Arial" w:hAnsi="Arial" w:cs="Arial"/>
          <w:sz w:val="20"/>
          <w:szCs w:val="20"/>
        </w:rPr>
        <w:t xml:space="preserve">of the </w:t>
      </w:r>
      <w:r w:rsidR="00815D0E" w:rsidRPr="002D1C92">
        <w:rPr>
          <w:rFonts w:ascii="Arial" w:hAnsi="Arial" w:cs="Arial"/>
          <w:sz w:val="20"/>
          <w:szCs w:val="20"/>
        </w:rPr>
        <w:t xml:space="preserve">2017 </w:t>
      </w:r>
      <w:r w:rsidRPr="002D1C92">
        <w:rPr>
          <w:rFonts w:ascii="Arial" w:hAnsi="Arial" w:cs="Arial"/>
          <w:sz w:val="20"/>
          <w:szCs w:val="20"/>
        </w:rPr>
        <w:t>IPND Code</w:t>
      </w:r>
      <w:r w:rsidR="003510B7">
        <w:rPr>
          <w:rFonts w:ascii="Arial" w:hAnsi="Arial" w:cs="Arial"/>
          <w:sz w:val="20"/>
          <w:szCs w:val="20"/>
        </w:rPr>
        <w:t xml:space="preserve"> or clause 4.2.1 of the 2020 IPND Code</w:t>
      </w:r>
      <w:r w:rsidRPr="002D1C92">
        <w:rPr>
          <w:rFonts w:ascii="Arial" w:hAnsi="Arial" w:cs="Arial"/>
          <w:sz w:val="20"/>
          <w:szCs w:val="20"/>
        </w:rPr>
        <w:t xml:space="preserve"> in respect of 2</w:t>
      </w:r>
      <w:r w:rsidR="009A1C72" w:rsidRPr="002D1C92">
        <w:rPr>
          <w:rFonts w:ascii="Arial" w:hAnsi="Arial" w:cs="Arial"/>
          <w:sz w:val="20"/>
          <w:szCs w:val="20"/>
        </w:rPr>
        <w:t>45,</w:t>
      </w:r>
      <w:r w:rsidR="005F3B2C" w:rsidRPr="002D1C92">
        <w:rPr>
          <w:rFonts w:ascii="Arial" w:hAnsi="Arial" w:cs="Arial"/>
          <w:sz w:val="20"/>
          <w:szCs w:val="20"/>
        </w:rPr>
        <w:t>902</w:t>
      </w:r>
      <w:r w:rsidRPr="002D1C92">
        <w:rPr>
          <w:rFonts w:ascii="Arial" w:hAnsi="Arial" w:cs="Arial"/>
          <w:sz w:val="20"/>
          <w:szCs w:val="20"/>
        </w:rPr>
        <w:t xml:space="preserve"> services </w:t>
      </w:r>
      <w:r w:rsidR="008C1F33">
        <w:rPr>
          <w:rFonts w:ascii="Arial" w:hAnsi="Arial" w:cs="Arial"/>
          <w:sz w:val="20"/>
          <w:szCs w:val="20"/>
        </w:rPr>
        <w:t>referred to in paragraph 69</w:t>
      </w:r>
      <w:r w:rsidR="00964372" w:rsidRPr="002D1C92">
        <w:rPr>
          <w:rFonts w:ascii="Arial" w:hAnsi="Arial" w:cs="Arial"/>
          <w:sz w:val="20"/>
          <w:szCs w:val="20"/>
        </w:rPr>
        <w:t>.</w:t>
      </w:r>
      <w:r w:rsidR="00B11B8A" w:rsidRPr="002D1C92">
        <w:rPr>
          <w:rFonts w:ascii="Arial" w:hAnsi="Arial" w:cs="Arial"/>
          <w:sz w:val="20"/>
          <w:szCs w:val="20"/>
        </w:rPr>
        <w:t xml:space="preserve"> The ACMA </w:t>
      </w:r>
      <w:r w:rsidR="00A32CFD">
        <w:rPr>
          <w:rFonts w:ascii="Arial" w:hAnsi="Arial" w:cs="Arial"/>
          <w:sz w:val="20"/>
          <w:szCs w:val="20"/>
        </w:rPr>
        <w:t>specifically</w:t>
      </w:r>
      <w:r w:rsidR="00A32CFD" w:rsidRPr="002D1C92">
        <w:rPr>
          <w:rFonts w:ascii="Arial" w:hAnsi="Arial" w:cs="Arial"/>
          <w:sz w:val="20"/>
          <w:szCs w:val="20"/>
        </w:rPr>
        <w:t xml:space="preserve"> </w:t>
      </w:r>
      <w:r w:rsidR="00B11B8A" w:rsidRPr="002D1C92">
        <w:rPr>
          <w:rFonts w:ascii="Arial" w:hAnsi="Arial" w:cs="Arial"/>
          <w:sz w:val="20"/>
          <w:szCs w:val="20"/>
        </w:rPr>
        <w:t xml:space="preserve">finds </w:t>
      </w:r>
      <w:r w:rsidR="00A32CFD">
        <w:rPr>
          <w:rFonts w:ascii="Arial" w:hAnsi="Arial" w:cs="Arial"/>
          <w:sz w:val="20"/>
          <w:szCs w:val="20"/>
        </w:rPr>
        <w:t xml:space="preserve">that </w:t>
      </w:r>
      <w:r w:rsidR="00B11B8A" w:rsidRPr="002D1C92">
        <w:rPr>
          <w:rFonts w:ascii="Arial" w:hAnsi="Arial" w:cs="Arial"/>
          <w:sz w:val="20"/>
          <w:szCs w:val="20"/>
        </w:rPr>
        <w:t xml:space="preserve">for </w:t>
      </w:r>
      <w:r w:rsidR="00A32CFD">
        <w:rPr>
          <w:rFonts w:ascii="Arial" w:hAnsi="Arial" w:cs="Arial"/>
          <w:sz w:val="20"/>
          <w:szCs w:val="20"/>
        </w:rPr>
        <w:t xml:space="preserve">2,428 of the 245,902 services </w:t>
      </w:r>
      <w:proofErr w:type="spellStart"/>
      <w:r w:rsidR="00B11B8A" w:rsidRPr="002D1C92">
        <w:rPr>
          <w:rFonts w:ascii="Arial" w:hAnsi="Arial" w:cs="Arial"/>
          <w:sz w:val="20"/>
          <w:szCs w:val="20"/>
        </w:rPr>
        <w:t>Lycamobile</w:t>
      </w:r>
      <w:proofErr w:type="spellEnd"/>
      <w:r w:rsidR="00B11B8A" w:rsidRPr="002D1C92">
        <w:rPr>
          <w:rFonts w:ascii="Arial" w:hAnsi="Arial" w:cs="Arial"/>
          <w:sz w:val="20"/>
          <w:szCs w:val="20"/>
        </w:rPr>
        <w:t xml:space="preserve"> </w:t>
      </w:r>
      <w:r w:rsidR="003510B7">
        <w:rPr>
          <w:rFonts w:ascii="Arial" w:hAnsi="Arial" w:cs="Arial"/>
          <w:sz w:val="20"/>
          <w:szCs w:val="20"/>
        </w:rPr>
        <w:t xml:space="preserve">has </w:t>
      </w:r>
      <w:r w:rsidR="00B11B8A" w:rsidRPr="002D1C92">
        <w:rPr>
          <w:rFonts w:ascii="Arial" w:hAnsi="Arial" w:cs="Arial"/>
          <w:sz w:val="20"/>
          <w:szCs w:val="20"/>
        </w:rPr>
        <w:t>contravened clause 4.2.1 of the 2020 IPND Code</w:t>
      </w:r>
      <w:r w:rsidR="003510B7">
        <w:rPr>
          <w:rFonts w:ascii="Arial" w:hAnsi="Arial" w:cs="Arial"/>
          <w:sz w:val="20"/>
          <w:szCs w:val="20"/>
        </w:rPr>
        <w:t xml:space="preserve"> </w:t>
      </w:r>
      <w:r w:rsidR="00B11B8A" w:rsidRPr="002D1C92">
        <w:rPr>
          <w:rFonts w:ascii="Arial" w:hAnsi="Arial" w:cs="Arial"/>
          <w:sz w:val="20"/>
          <w:szCs w:val="20"/>
        </w:rPr>
        <w:t xml:space="preserve">as these services were activated after 19 March 2020. </w:t>
      </w:r>
    </w:p>
    <w:p w14:paraId="6D0B6B21" w14:textId="43EAD0E4" w:rsidR="00CF6F57" w:rsidRPr="002D1C92" w:rsidRDefault="00CF6F57" w:rsidP="00401906">
      <w:pPr>
        <w:pStyle w:val="ACMATableText"/>
        <w:spacing w:before="200" w:after="120"/>
        <w:rPr>
          <w:rFonts w:cs="Arial"/>
          <w:i/>
        </w:rPr>
      </w:pPr>
      <w:r w:rsidRPr="002D1C92">
        <w:rPr>
          <w:rFonts w:cs="Arial"/>
          <w:i/>
        </w:rPr>
        <w:t xml:space="preserve">Clause </w:t>
      </w:r>
      <w:r w:rsidR="0034789B" w:rsidRPr="002D1C92">
        <w:rPr>
          <w:rFonts w:cs="Arial"/>
          <w:i/>
        </w:rPr>
        <w:t xml:space="preserve">4.2.11 of the 2017 IPND Code and clause </w:t>
      </w:r>
      <w:r w:rsidRPr="002D1C92">
        <w:rPr>
          <w:rFonts w:cs="Arial"/>
          <w:i/>
        </w:rPr>
        <w:t>4.2.1</w:t>
      </w:r>
      <w:r w:rsidR="0034789B" w:rsidRPr="002D1C92">
        <w:rPr>
          <w:rFonts w:cs="Arial"/>
          <w:i/>
        </w:rPr>
        <w:t>6 of the 2020 IPND Code</w:t>
      </w:r>
    </w:p>
    <w:p w14:paraId="6A19C008" w14:textId="225C9C63" w:rsidR="00CF6F57" w:rsidRPr="002D1C92" w:rsidRDefault="00CF6F57"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Clause 4.2.11 of the </w:t>
      </w:r>
      <w:r w:rsidR="00815D0E" w:rsidRPr="002D1C92">
        <w:rPr>
          <w:rFonts w:ascii="Arial" w:hAnsi="Arial" w:cs="Arial"/>
          <w:sz w:val="20"/>
          <w:szCs w:val="20"/>
        </w:rPr>
        <w:t xml:space="preserve">2017 </w:t>
      </w:r>
      <w:r w:rsidRPr="002D1C92">
        <w:rPr>
          <w:rFonts w:ascii="Arial" w:hAnsi="Arial" w:cs="Arial"/>
          <w:sz w:val="20"/>
          <w:szCs w:val="20"/>
        </w:rPr>
        <w:t xml:space="preserve">IPND Code </w:t>
      </w:r>
      <w:r w:rsidR="00815D0E" w:rsidRPr="002D1C92">
        <w:rPr>
          <w:rFonts w:ascii="Arial" w:hAnsi="Arial" w:cs="Arial"/>
          <w:sz w:val="20"/>
          <w:szCs w:val="20"/>
        </w:rPr>
        <w:t>and clause 4.2.1</w:t>
      </w:r>
      <w:r w:rsidR="00F36FC9" w:rsidRPr="002D1C92">
        <w:rPr>
          <w:rFonts w:ascii="Arial" w:hAnsi="Arial" w:cs="Arial"/>
          <w:sz w:val="20"/>
          <w:szCs w:val="20"/>
        </w:rPr>
        <w:t>6</w:t>
      </w:r>
      <w:r w:rsidR="00815D0E" w:rsidRPr="002D1C92">
        <w:rPr>
          <w:rFonts w:ascii="Arial" w:hAnsi="Arial" w:cs="Arial"/>
          <w:sz w:val="20"/>
          <w:szCs w:val="20"/>
        </w:rPr>
        <w:t xml:space="preserve"> of the 2020 IPND Code </w:t>
      </w:r>
      <w:r w:rsidRPr="002D1C92">
        <w:rPr>
          <w:rFonts w:ascii="Arial" w:hAnsi="Arial" w:cs="Arial"/>
          <w:sz w:val="20"/>
          <w:szCs w:val="20"/>
        </w:rPr>
        <w:t xml:space="preserve">require a CSP to ensure that the </w:t>
      </w:r>
      <w:r w:rsidR="001D2D6C" w:rsidRPr="002D1C92">
        <w:rPr>
          <w:rFonts w:ascii="Arial" w:hAnsi="Arial" w:cs="Arial"/>
          <w:sz w:val="20"/>
          <w:szCs w:val="20"/>
        </w:rPr>
        <w:t xml:space="preserve">PNCD </w:t>
      </w:r>
      <w:r w:rsidRPr="002D1C92">
        <w:rPr>
          <w:rFonts w:ascii="Arial" w:hAnsi="Arial" w:cs="Arial"/>
          <w:sz w:val="20"/>
          <w:szCs w:val="20"/>
        </w:rPr>
        <w:t xml:space="preserve">provided to the IPND Manager is accurate, </w:t>
      </w:r>
      <w:proofErr w:type="gramStart"/>
      <w:r w:rsidRPr="002D1C92">
        <w:rPr>
          <w:rFonts w:ascii="Arial" w:hAnsi="Arial" w:cs="Arial"/>
          <w:sz w:val="20"/>
          <w:szCs w:val="20"/>
        </w:rPr>
        <w:t>complete</w:t>
      </w:r>
      <w:proofErr w:type="gramEnd"/>
      <w:r w:rsidRPr="002D1C92">
        <w:rPr>
          <w:rFonts w:ascii="Arial" w:hAnsi="Arial" w:cs="Arial"/>
          <w:sz w:val="20"/>
          <w:szCs w:val="20"/>
        </w:rPr>
        <w:t xml:space="preserve"> and up to date.</w:t>
      </w:r>
    </w:p>
    <w:p w14:paraId="78E8D43C" w14:textId="3112FD8F" w:rsidR="00CF6F57" w:rsidRPr="002D1C92" w:rsidRDefault="00CF6F57"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PNCD includes, among other things, </w:t>
      </w:r>
      <w:r w:rsidR="00626CF7" w:rsidRPr="002D1C92">
        <w:rPr>
          <w:rFonts w:ascii="Arial" w:hAnsi="Arial" w:cs="Arial"/>
          <w:sz w:val="20"/>
          <w:szCs w:val="20"/>
        </w:rPr>
        <w:t xml:space="preserve">the public number, details </w:t>
      </w:r>
      <w:r w:rsidR="00907288" w:rsidRPr="002D1C92">
        <w:rPr>
          <w:rFonts w:ascii="Arial" w:hAnsi="Arial" w:cs="Arial"/>
          <w:sz w:val="20"/>
          <w:szCs w:val="20"/>
        </w:rPr>
        <w:t>relating to the name and address of the customer a</w:t>
      </w:r>
      <w:r w:rsidR="00BE462F" w:rsidRPr="002D1C92">
        <w:rPr>
          <w:rFonts w:ascii="Arial" w:hAnsi="Arial" w:cs="Arial"/>
          <w:sz w:val="20"/>
          <w:szCs w:val="20"/>
        </w:rPr>
        <w:t>nd</w:t>
      </w:r>
      <w:r w:rsidR="00907288" w:rsidRPr="002D1C92">
        <w:rPr>
          <w:rFonts w:ascii="Arial" w:hAnsi="Arial" w:cs="Arial"/>
          <w:sz w:val="20"/>
          <w:szCs w:val="20"/>
        </w:rPr>
        <w:t xml:space="preserve"> connection status</w:t>
      </w:r>
      <w:r w:rsidR="00BE462F" w:rsidRPr="002D1C92">
        <w:rPr>
          <w:rFonts w:ascii="Arial" w:hAnsi="Arial" w:cs="Arial"/>
          <w:sz w:val="20"/>
          <w:szCs w:val="20"/>
        </w:rPr>
        <w:t xml:space="preserve"> (see </w:t>
      </w:r>
      <w:r w:rsidR="00DB64D0" w:rsidRPr="002D1C92">
        <w:rPr>
          <w:rFonts w:ascii="Arial" w:hAnsi="Arial" w:cs="Arial"/>
          <w:sz w:val="20"/>
          <w:szCs w:val="20"/>
        </w:rPr>
        <w:t xml:space="preserve">the definition in clause 2.2 of the </w:t>
      </w:r>
      <w:r w:rsidR="00815D0E" w:rsidRPr="002D1C92">
        <w:rPr>
          <w:rFonts w:ascii="Arial" w:hAnsi="Arial" w:cs="Arial"/>
          <w:sz w:val="20"/>
          <w:szCs w:val="20"/>
        </w:rPr>
        <w:t xml:space="preserve">2020 </w:t>
      </w:r>
      <w:r w:rsidR="00DB64D0" w:rsidRPr="002D1C92">
        <w:rPr>
          <w:rFonts w:ascii="Arial" w:hAnsi="Arial" w:cs="Arial"/>
          <w:sz w:val="20"/>
          <w:szCs w:val="20"/>
        </w:rPr>
        <w:t>IPND Code)</w:t>
      </w:r>
      <w:r w:rsidRPr="002D1C92">
        <w:rPr>
          <w:rFonts w:ascii="Arial" w:hAnsi="Arial" w:cs="Arial"/>
          <w:sz w:val="20"/>
          <w:szCs w:val="20"/>
        </w:rPr>
        <w:t>. The Technical Requirements specify the various address fields</w:t>
      </w:r>
      <w:r w:rsidR="00E536E5" w:rsidRPr="002D1C92">
        <w:rPr>
          <w:rFonts w:ascii="Arial" w:hAnsi="Arial" w:cs="Arial"/>
          <w:sz w:val="20"/>
          <w:szCs w:val="20"/>
        </w:rPr>
        <w:t xml:space="preserve"> (such as street name and number)</w:t>
      </w:r>
      <w:r w:rsidRPr="002D1C92">
        <w:rPr>
          <w:rFonts w:ascii="Arial" w:hAnsi="Arial" w:cs="Arial"/>
          <w:sz w:val="20"/>
          <w:szCs w:val="20"/>
        </w:rPr>
        <w:t xml:space="preserve"> and the IPND Data Industry Guideline explains the importance of each relevant address element being populated accurately. </w:t>
      </w:r>
    </w:p>
    <w:p w14:paraId="3C6A7939" w14:textId="2F52E18B" w:rsidR="00060614" w:rsidRPr="002D1C92" w:rsidRDefault="00060614"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Based on information provided by </w:t>
      </w:r>
      <w:proofErr w:type="spellStart"/>
      <w:r w:rsidRPr="002D1C92">
        <w:rPr>
          <w:rFonts w:ascii="Arial" w:hAnsi="Arial" w:cs="Arial"/>
          <w:sz w:val="20"/>
          <w:szCs w:val="20"/>
        </w:rPr>
        <w:t>Lycamobile</w:t>
      </w:r>
      <w:proofErr w:type="spellEnd"/>
      <w:r w:rsidR="00C03535" w:rsidRPr="002D1C92">
        <w:rPr>
          <w:rFonts w:ascii="Arial" w:hAnsi="Arial" w:cs="Arial"/>
          <w:sz w:val="20"/>
          <w:szCs w:val="20"/>
        </w:rPr>
        <w:t xml:space="preserve"> </w:t>
      </w:r>
      <w:r w:rsidRPr="002D1C92">
        <w:rPr>
          <w:rFonts w:ascii="Arial" w:hAnsi="Arial" w:cs="Arial"/>
          <w:sz w:val="20"/>
          <w:szCs w:val="20"/>
        </w:rPr>
        <w:t xml:space="preserve">and information contained in IPND records obtained by the ACMA,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did not upload accurate and complete PNCD to the IPND for 24</w:t>
      </w:r>
      <w:r w:rsidR="00DB3FF1" w:rsidRPr="002D1C92">
        <w:rPr>
          <w:rFonts w:ascii="Arial" w:hAnsi="Arial" w:cs="Arial"/>
          <w:sz w:val="20"/>
          <w:szCs w:val="20"/>
        </w:rPr>
        <w:t>0,231</w:t>
      </w:r>
      <w:r w:rsidRPr="002D1C92">
        <w:rPr>
          <w:rFonts w:ascii="Arial" w:hAnsi="Arial" w:cs="Arial"/>
          <w:sz w:val="20"/>
          <w:szCs w:val="20"/>
        </w:rPr>
        <w:t xml:space="preserve"> public numbers</w:t>
      </w:r>
      <w:r w:rsidR="009F22FA" w:rsidRPr="002D1C92">
        <w:rPr>
          <w:rFonts w:ascii="Arial" w:hAnsi="Arial" w:cs="Arial"/>
          <w:sz w:val="20"/>
          <w:szCs w:val="20"/>
        </w:rPr>
        <w:t xml:space="preserve"> associated with its services</w:t>
      </w:r>
      <w:r w:rsidR="003524CF" w:rsidRPr="002D1C92">
        <w:rPr>
          <w:rFonts w:ascii="Arial" w:hAnsi="Arial" w:cs="Arial"/>
          <w:sz w:val="20"/>
          <w:szCs w:val="20"/>
        </w:rPr>
        <w:t xml:space="preserve"> [</w:t>
      </w:r>
      <w:r w:rsidR="003524CF" w:rsidRPr="002D1C92">
        <w:rPr>
          <w:rFonts w:ascii="Arial" w:hAnsi="Arial" w:cs="Arial"/>
          <w:b/>
          <w:bCs/>
          <w:sz w:val="20"/>
          <w:szCs w:val="20"/>
        </w:rPr>
        <w:t xml:space="preserve">inaccurate </w:t>
      </w:r>
      <w:r w:rsidR="0072171E" w:rsidRPr="002D1C92">
        <w:rPr>
          <w:rFonts w:ascii="Arial" w:hAnsi="Arial" w:cs="Arial"/>
          <w:b/>
          <w:bCs/>
          <w:sz w:val="20"/>
          <w:szCs w:val="20"/>
        </w:rPr>
        <w:t xml:space="preserve">IPND </w:t>
      </w:r>
      <w:r w:rsidR="003524CF" w:rsidRPr="002D1C92">
        <w:rPr>
          <w:rFonts w:ascii="Arial" w:hAnsi="Arial" w:cs="Arial"/>
          <w:b/>
          <w:bCs/>
          <w:sz w:val="20"/>
          <w:szCs w:val="20"/>
        </w:rPr>
        <w:t>records</w:t>
      </w:r>
      <w:r w:rsidR="003524CF" w:rsidRPr="002D1C92">
        <w:rPr>
          <w:rFonts w:ascii="Arial" w:hAnsi="Arial" w:cs="Arial"/>
          <w:sz w:val="20"/>
          <w:szCs w:val="20"/>
        </w:rPr>
        <w:t xml:space="preserve">, as set out at subparagraph </w:t>
      </w:r>
      <w:r w:rsidR="00604FD2" w:rsidRPr="002D1C92">
        <w:rPr>
          <w:rFonts w:ascii="Arial" w:hAnsi="Arial" w:cs="Arial"/>
          <w:sz w:val="20"/>
          <w:szCs w:val="20"/>
        </w:rPr>
        <w:t>6</w:t>
      </w:r>
      <w:r w:rsidR="00DB3FF1" w:rsidRPr="002D1C92">
        <w:rPr>
          <w:rFonts w:ascii="Arial" w:hAnsi="Arial" w:cs="Arial"/>
          <w:sz w:val="20"/>
          <w:szCs w:val="20"/>
        </w:rPr>
        <w:t>2</w:t>
      </w:r>
      <w:r w:rsidR="003524CF" w:rsidRPr="002D1C92">
        <w:rPr>
          <w:rFonts w:ascii="Arial" w:hAnsi="Arial" w:cs="Arial"/>
          <w:sz w:val="20"/>
          <w:szCs w:val="20"/>
        </w:rPr>
        <w:t>(b) above]</w:t>
      </w:r>
      <w:r w:rsidRPr="002D1C92">
        <w:rPr>
          <w:rFonts w:ascii="Arial" w:hAnsi="Arial" w:cs="Arial"/>
          <w:sz w:val="20"/>
          <w:szCs w:val="20"/>
        </w:rPr>
        <w:t xml:space="preserve">. </w:t>
      </w:r>
    </w:p>
    <w:p w14:paraId="34C8AF0E" w14:textId="736E9903" w:rsidR="00CF6F57" w:rsidRPr="002D1C92" w:rsidRDefault="00CF6F57" w:rsidP="002F09D2">
      <w:pPr>
        <w:pStyle w:val="ListParagraph"/>
        <w:numPr>
          <w:ilvl w:val="0"/>
          <w:numId w:val="4"/>
        </w:numPr>
        <w:spacing w:line="240" w:lineRule="auto"/>
        <w:ind w:left="426"/>
        <w:contextualSpacing w:val="0"/>
        <w:rPr>
          <w:rFonts w:ascii="Arial" w:hAnsi="Arial" w:cs="Arial"/>
          <w:sz w:val="20"/>
          <w:szCs w:val="20"/>
        </w:rPr>
      </w:pPr>
      <w:r w:rsidRPr="002D1C92">
        <w:rPr>
          <w:rFonts w:ascii="Arial" w:hAnsi="Arial" w:cs="Arial"/>
          <w:sz w:val="20"/>
          <w:szCs w:val="20"/>
        </w:rPr>
        <w:t xml:space="preserve">The ACMA therefore </w:t>
      </w:r>
      <w:r w:rsidR="00BD411F" w:rsidRPr="002D1C92">
        <w:rPr>
          <w:rFonts w:ascii="Arial" w:hAnsi="Arial" w:cs="Arial"/>
          <w:sz w:val="20"/>
          <w:szCs w:val="20"/>
        </w:rPr>
        <w:t>finds</w:t>
      </w:r>
      <w:r w:rsidRPr="002D1C92">
        <w:rPr>
          <w:rFonts w:ascii="Arial" w:hAnsi="Arial" w:cs="Arial"/>
          <w:sz w:val="20"/>
          <w:szCs w:val="20"/>
        </w:rPr>
        <w:t xml:space="preserve"> that </w:t>
      </w:r>
      <w:proofErr w:type="spellStart"/>
      <w:r w:rsidRPr="002D1C92">
        <w:rPr>
          <w:rFonts w:ascii="Arial" w:hAnsi="Arial" w:cs="Arial"/>
          <w:sz w:val="20"/>
          <w:szCs w:val="20"/>
        </w:rPr>
        <w:t>Lycamobile</w:t>
      </w:r>
      <w:proofErr w:type="spellEnd"/>
      <w:r w:rsidRPr="002D1C92">
        <w:rPr>
          <w:rFonts w:ascii="Arial" w:hAnsi="Arial" w:cs="Arial"/>
          <w:sz w:val="20"/>
          <w:szCs w:val="20"/>
        </w:rPr>
        <w:t xml:space="preserve"> contravened </w:t>
      </w:r>
      <w:r w:rsidR="00A32CFD">
        <w:rPr>
          <w:rFonts w:ascii="Arial" w:hAnsi="Arial" w:cs="Arial"/>
          <w:sz w:val="20"/>
          <w:szCs w:val="20"/>
        </w:rPr>
        <w:t xml:space="preserve">either </w:t>
      </w:r>
      <w:r w:rsidRPr="002D1C92">
        <w:rPr>
          <w:rFonts w:ascii="Arial" w:hAnsi="Arial" w:cs="Arial"/>
          <w:sz w:val="20"/>
          <w:szCs w:val="20"/>
        </w:rPr>
        <w:t xml:space="preserve">clause 4.2.11 of the </w:t>
      </w:r>
      <w:r w:rsidR="00815D0E" w:rsidRPr="002D1C92">
        <w:rPr>
          <w:rFonts w:ascii="Arial" w:hAnsi="Arial" w:cs="Arial"/>
          <w:sz w:val="20"/>
          <w:szCs w:val="20"/>
        </w:rPr>
        <w:t xml:space="preserve">2017 </w:t>
      </w:r>
      <w:r w:rsidRPr="002D1C92">
        <w:rPr>
          <w:rFonts w:ascii="Arial" w:hAnsi="Arial" w:cs="Arial"/>
          <w:sz w:val="20"/>
          <w:szCs w:val="20"/>
        </w:rPr>
        <w:t>IPND Code</w:t>
      </w:r>
      <w:r w:rsidR="00A32CFD">
        <w:rPr>
          <w:rFonts w:ascii="Arial" w:hAnsi="Arial" w:cs="Arial"/>
          <w:sz w:val="20"/>
          <w:szCs w:val="20"/>
        </w:rPr>
        <w:t xml:space="preserve"> or 4.2.16 of the 2020 IPND Code</w:t>
      </w:r>
      <w:r w:rsidRPr="002D1C92">
        <w:rPr>
          <w:rFonts w:ascii="Arial" w:hAnsi="Arial" w:cs="Arial"/>
          <w:sz w:val="20"/>
          <w:szCs w:val="20"/>
        </w:rPr>
        <w:t xml:space="preserve"> as it failed to ensure the accuracy and completeness of information in the IPND</w:t>
      </w:r>
      <w:r w:rsidR="0029727C" w:rsidRPr="002D1C92">
        <w:rPr>
          <w:rFonts w:ascii="Arial" w:hAnsi="Arial" w:cs="Arial"/>
          <w:sz w:val="20"/>
          <w:szCs w:val="20"/>
        </w:rPr>
        <w:t xml:space="preserve"> in respect of 24</w:t>
      </w:r>
      <w:r w:rsidR="00DB3FF1" w:rsidRPr="002D1C92">
        <w:rPr>
          <w:rFonts w:ascii="Arial" w:hAnsi="Arial" w:cs="Arial"/>
          <w:sz w:val="20"/>
          <w:szCs w:val="20"/>
        </w:rPr>
        <w:t>0,231</w:t>
      </w:r>
      <w:r w:rsidR="0029727C" w:rsidRPr="002D1C92">
        <w:rPr>
          <w:rFonts w:ascii="Arial" w:hAnsi="Arial" w:cs="Arial"/>
          <w:sz w:val="20"/>
          <w:szCs w:val="20"/>
        </w:rPr>
        <w:t xml:space="preserve"> services it supplies</w:t>
      </w:r>
      <w:r w:rsidR="00A32CFD">
        <w:rPr>
          <w:rFonts w:ascii="Arial" w:hAnsi="Arial" w:cs="Arial"/>
          <w:sz w:val="20"/>
          <w:szCs w:val="20"/>
        </w:rPr>
        <w:t>.</w:t>
      </w:r>
      <w:r w:rsidR="00B11B8A" w:rsidRPr="002D1C92">
        <w:rPr>
          <w:rFonts w:ascii="Arial" w:hAnsi="Arial" w:cs="Arial"/>
          <w:sz w:val="20"/>
          <w:szCs w:val="20"/>
        </w:rPr>
        <w:t xml:space="preserve"> </w:t>
      </w:r>
    </w:p>
    <w:p w14:paraId="70D5E5E2" w14:textId="19A36BF0" w:rsidR="00686A4B" w:rsidRDefault="00686A4B" w:rsidP="002D1C92">
      <w:pPr>
        <w:pStyle w:val="ACMATableText"/>
        <w:spacing w:before="80" w:after="120"/>
        <w:ind w:left="142"/>
        <w:rPr>
          <w:rFonts w:cs="Arial"/>
          <w:b/>
          <w:bCs/>
        </w:rPr>
      </w:pPr>
    </w:p>
    <w:sectPr w:rsidR="00686A4B" w:rsidSect="00220FDF">
      <w:headerReference w:type="even" r:id="rId8"/>
      <w:headerReference w:type="default" r:id="rId9"/>
      <w:footerReference w:type="even" r:id="rId10"/>
      <w:footerReference w:type="default" r:id="rId11"/>
      <w:footerReference w:type="first" r:id="rId12"/>
      <w:pgSz w:w="11906" w:h="16838" w:code="9"/>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B86F3" w14:textId="77777777" w:rsidR="00240CC8" w:rsidRDefault="00240CC8" w:rsidP="008F2274">
      <w:pPr>
        <w:spacing w:before="0" w:after="0" w:line="240" w:lineRule="auto"/>
      </w:pPr>
      <w:r>
        <w:separator/>
      </w:r>
    </w:p>
  </w:endnote>
  <w:endnote w:type="continuationSeparator" w:id="0">
    <w:p w14:paraId="744106C8" w14:textId="77777777" w:rsidR="00240CC8" w:rsidRDefault="00240CC8" w:rsidP="008F2274">
      <w:pPr>
        <w:spacing w:before="0" w:after="0" w:line="240" w:lineRule="auto"/>
      </w:pPr>
      <w:r>
        <w:continuationSeparator/>
      </w:r>
    </w:p>
  </w:endnote>
  <w:endnote w:type="continuationNotice" w:id="1">
    <w:p w14:paraId="1A83555D" w14:textId="77777777" w:rsidR="00240CC8" w:rsidRDefault="00240CC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B8DBB" w14:textId="77777777" w:rsidR="000F3D7E" w:rsidRDefault="000F3D7E">
    <w:pPr>
      <w:framePr w:wrap="around" w:vAnchor="text" w:hAnchor="margin" w:xAlign="right" w:y="1"/>
    </w:pPr>
    <w:r>
      <w:fldChar w:fldCharType="begin"/>
    </w:r>
    <w:r>
      <w:instrText xml:space="preserve">PAGE  </w:instrText>
    </w:r>
    <w:r>
      <w:fldChar w:fldCharType="separate"/>
    </w:r>
    <w:r>
      <w:rPr>
        <w:noProof/>
      </w:rPr>
      <w:t>1</w:t>
    </w:r>
    <w:r>
      <w:fldChar w:fldCharType="end"/>
    </w:r>
  </w:p>
  <w:p w14:paraId="51793432" w14:textId="77777777" w:rsidR="000F3D7E" w:rsidRDefault="000F3D7E">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89251" w14:textId="402946D0" w:rsidR="000F3D7E" w:rsidRDefault="000F3D7E">
    <w:pPr>
      <w:pStyle w:val="ACMAFooterEven"/>
    </w:pPr>
    <w:r>
      <w:t>ACMA Findings Report</w:t>
    </w:r>
    <w:r>
      <w:tab/>
    </w:r>
    <w:r>
      <w:fldChar w:fldCharType="begin"/>
    </w:r>
    <w:r>
      <w:instrText xml:space="preserve"> PAGE </w:instrText>
    </w:r>
    <w:r>
      <w:fldChar w:fldCharType="separate"/>
    </w:r>
    <w:r>
      <w:rPr>
        <w:noProof/>
      </w:rPr>
      <w:t>5</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D1B66" w14:textId="77777777" w:rsidR="000F3D7E" w:rsidRDefault="000F3D7E">
    <w:pPr>
      <w:pStyle w:val="ACMAFooterEven"/>
    </w:pPr>
    <w:r>
      <w:t>ACMA Preliminary Findings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2B827" w14:textId="77777777" w:rsidR="00240CC8" w:rsidRDefault="00240CC8" w:rsidP="008F2274">
      <w:pPr>
        <w:spacing w:before="0" w:after="0" w:line="240" w:lineRule="auto"/>
      </w:pPr>
      <w:r>
        <w:separator/>
      </w:r>
    </w:p>
  </w:footnote>
  <w:footnote w:type="continuationSeparator" w:id="0">
    <w:p w14:paraId="52C934D9" w14:textId="77777777" w:rsidR="00240CC8" w:rsidRDefault="00240CC8" w:rsidP="008F2274">
      <w:pPr>
        <w:spacing w:before="0" w:after="0" w:line="240" w:lineRule="auto"/>
      </w:pPr>
      <w:r>
        <w:continuationSeparator/>
      </w:r>
    </w:p>
  </w:footnote>
  <w:footnote w:type="continuationNotice" w:id="1">
    <w:p w14:paraId="0EB9E93C" w14:textId="77777777" w:rsidR="00240CC8" w:rsidRDefault="00240CC8">
      <w:pPr>
        <w:spacing w:before="0" w:after="0" w:line="240" w:lineRule="auto"/>
      </w:pPr>
    </w:p>
  </w:footnote>
  <w:footnote w:id="2">
    <w:p w14:paraId="69DD071E" w14:textId="6BCF9109" w:rsidR="000F3D7E" w:rsidRPr="00E4212B" w:rsidRDefault="000F3D7E" w:rsidP="00E4212B">
      <w:pPr>
        <w:pStyle w:val="FootnoteText"/>
        <w:ind w:left="142" w:hanging="142"/>
        <w:rPr>
          <w:rStyle w:val="FootnoteReference"/>
          <w:rFonts w:ascii="Arial" w:hAnsi="Arial" w:cs="Arial"/>
          <w:sz w:val="16"/>
          <w:szCs w:val="16"/>
          <w:vertAlign w:val="baseline"/>
        </w:rPr>
      </w:pPr>
      <w:r w:rsidRPr="00E4212B">
        <w:rPr>
          <w:rStyle w:val="FootnoteReference"/>
          <w:rFonts w:ascii="Arial" w:hAnsi="Arial" w:cs="Arial"/>
          <w:sz w:val="16"/>
          <w:szCs w:val="16"/>
        </w:rPr>
        <w:footnoteRef/>
      </w:r>
      <w:r w:rsidRPr="00E4212B">
        <w:rPr>
          <w:rStyle w:val="FootnoteReference"/>
          <w:rFonts w:ascii="Arial" w:hAnsi="Arial" w:cs="Arial"/>
          <w:sz w:val="16"/>
          <w:szCs w:val="16"/>
          <w:vertAlign w:val="baseline"/>
        </w:rPr>
        <w:t xml:space="preserve"> The Prepaid Determination is a determination made under section 99 of the Act. </w:t>
      </w:r>
      <w:r w:rsidR="00B854B9" w:rsidRPr="00E4212B">
        <w:rPr>
          <w:rStyle w:val="FootnoteReference"/>
          <w:rFonts w:ascii="Arial" w:hAnsi="Arial" w:cs="Arial"/>
          <w:sz w:val="16"/>
          <w:szCs w:val="16"/>
          <w:vertAlign w:val="baseline"/>
        </w:rPr>
        <w:t>The rules set out in the Prepaid Determination are service provider rules under paragraph 98(1)(b) of the Act.</w:t>
      </w:r>
    </w:p>
  </w:footnote>
  <w:footnote w:id="3">
    <w:p w14:paraId="4372F602" w14:textId="1C7E05E8" w:rsidR="000F3D7E" w:rsidRPr="00AE1813" w:rsidRDefault="000F3D7E" w:rsidP="00E4212B">
      <w:pPr>
        <w:pStyle w:val="FootnoteText"/>
        <w:ind w:left="142" w:hanging="142"/>
        <w:rPr>
          <w:rStyle w:val="FootnoteReference"/>
          <w:rFonts w:ascii="Arial" w:hAnsi="Arial" w:cs="Arial"/>
          <w:sz w:val="16"/>
          <w:szCs w:val="16"/>
          <w:vertAlign w:val="baseline"/>
        </w:rPr>
      </w:pPr>
      <w:r w:rsidRPr="00AE1813">
        <w:rPr>
          <w:rStyle w:val="FootnoteReference"/>
          <w:rFonts w:ascii="Arial" w:hAnsi="Arial" w:cs="Arial"/>
          <w:sz w:val="16"/>
          <w:szCs w:val="16"/>
        </w:rPr>
        <w:footnoteRef/>
      </w:r>
      <w:r w:rsidR="003B6014" w:rsidRPr="00AE1813">
        <w:rPr>
          <w:rStyle w:val="FootnoteReference"/>
          <w:rFonts w:ascii="Arial" w:hAnsi="Arial" w:cs="Arial"/>
          <w:sz w:val="16"/>
          <w:szCs w:val="16"/>
          <w:vertAlign w:val="baseline"/>
        </w:rPr>
        <w:t xml:space="preserve"> </w:t>
      </w:r>
      <w:r w:rsidRPr="00AE1813">
        <w:rPr>
          <w:rStyle w:val="FootnoteReference"/>
          <w:rFonts w:ascii="Arial" w:hAnsi="Arial" w:cs="Arial"/>
          <w:sz w:val="16"/>
          <w:szCs w:val="16"/>
          <w:vertAlign w:val="baseline"/>
        </w:rPr>
        <w:t xml:space="preserve">The ACMA registered </w:t>
      </w:r>
      <w:r w:rsidR="002209AA" w:rsidRPr="00AE1813">
        <w:rPr>
          <w:rFonts w:ascii="Arial" w:hAnsi="Arial" w:cs="Arial"/>
          <w:sz w:val="16"/>
          <w:szCs w:val="16"/>
        </w:rPr>
        <w:t xml:space="preserve">the </w:t>
      </w:r>
      <w:r w:rsidR="002209AA" w:rsidRPr="00AE1813">
        <w:rPr>
          <w:rStyle w:val="FootnoteReference"/>
          <w:rFonts w:ascii="Arial" w:hAnsi="Arial" w:cs="Arial"/>
          <w:sz w:val="16"/>
          <w:szCs w:val="16"/>
          <w:vertAlign w:val="baseline"/>
        </w:rPr>
        <w:t>20</w:t>
      </w:r>
      <w:r w:rsidR="002209AA" w:rsidRPr="00AE1813">
        <w:rPr>
          <w:rFonts w:ascii="Arial" w:hAnsi="Arial" w:cs="Arial"/>
          <w:sz w:val="16"/>
          <w:szCs w:val="16"/>
        </w:rPr>
        <w:t>20 IPND Code</w:t>
      </w:r>
      <w:r w:rsidRPr="00AE1813">
        <w:rPr>
          <w:rStyle w:val="FootnoteReference"/>
          <w:rFonts w:ascii="Arial" w:hAnsi="Arial" w:cs="Arial"/>
          <w:sz w:val="16"/>
          <w:szCs w:val="16"/>
          <w:vertAlign w:val="baseline"/>
        </w:rPr>
        <w:t xml:space="preserve"> on 19 March 2020</w:t>
      </w:r>
      <w:r w:rsidR="00272F70" w:rsidRPr="00AE1813">
        <w:rPr>
          <w:rFonts w:ascii="Arial" w:hAnsi="Arial" w:cs="Arial"/>
          <w:sz w:val="16"/>
          <w:szCs w:val="16"/>
        </w:rPr>
        <w:t xml:space="preserve"> replacing the 2017 IPND Code</w:t>
      </w:r>
      <w:r w:rsidR="00A55C43" w:rsidRPr="00AE1813">
        <w:rPr>
          <w:rFonts w:ascii="Arial" w:hAnsi="Arial" w:cs="Arial"/>
          <w:sz w:val="16"/>
          <w:szCs w:val="16"/>
        </w:rPr>
        <w:t>.</w:t>
      </w:r>
      <w:r w:rsidR="002209AA" w:rsidRPr="00AE1813">
        <w:rPr>
          <w:rFonts w:ascii="Arial" w:hAnsi="Arial" w:cs="Arial"/>
          <w:sz w:val="16"/>
          <w:szCs w:val="16"/>
        </w:rPr>
        <w:t xml:space="preserve"> Therefore the 2017 IPND Code applie</w:t>
      </w:r>
      <w:r w:rsidR="008C1F33">
        <w:rPr>
          <w:rFonts w:ascii="Arial" w:hAnsi="Arial" w:cs="Arial"/>
          <w:sz w:val="16"/>
          <w:szCs w:val="16"/>
        </w:rPr>
        <w:t>d</w:t>
      </w:r>
      <w:r w:rsidR="00272F70" w:rsidRPr="00AE1813">
        <w:rPr>
          <w:rFonts w:ascii="Arial" w:hAnsi="Arial" w:cs="Arial"/>
          <w:sz w:val="16"/>
          <w:szCs w:val="16"/>
        </w:rPr>
        <w:t xml:space="preserve"> to </w:t>
      </w:r>
      <w:proofErr w:type="spellStart"/>
      <w:r w:rsidR="00272F70" w:rsidRPr="00AE1813">
        <w:rPr>
          <w:rFonts w:ascii="Arial" w:hAnsi="Arial" w:cs="Arial"/>
          <w:sz w:val="16"/>
          <w:szCs w:val="16"/>
        </w:rPr>
        <w:t>Lycamobile</w:t>
      </w:r>
      <w:proofErr w:type="spellEnd"/>
      <w:r w:rsidR="002209AA" w:rsidRPr="00AE1813">
        <w:rPr>
          <w:rFonts w:ascii="Arial" w:hAnsi="Arial" w:cs="Arial"/>
          <w:sz w:val="16"/>
          <w:szCs w:val="16"/>
        </w:rPr>
        <w:t xml:space="preserve"> </w:t>
      </w:r>
      <w:r w:rsidR="00272F70" w:rsidRPr="00AE1813">
        <w:rPr>
          <w:rFonts w:ascii="Arial" w:hAnsi="Arial" w:cs="Arial"/>
          <w:sz w:val="16"/>
          <w:szCs w:val="16"/>
        </w:rPr>
        <w:t>in</w:t>
      </w:r>
      <w:r w:rsidR="002209AA" w:rsidRPr="00AE1813">
        <w:rPr>
          <w:rFonts w:ascii="Arial" w:hAnsi="Arial" w:cs="Arial"/>
          <w:sz w:val="16"/>
          <w:szCs w:val="16"/>
        </w:rPr>
        <w:t xml:space="preserve"> the </w:t>
      </w:r>
      <w:r w:rsidR="001954D7" w:rsidRPr="00AE1813">
        <w:rPr>
          <w:rFonts w:ascii="Arial" w:hAnsi="Arial" w:cs="Arial"/>
          <w:sz w:val="16"/>
          <w:szCs w:val="16"/>
        </w:rPr>
        <w:t xml:space="preserve">relevant </w:t>
      </w:r>
      <w:r w:rsidR="002209AA" w:rsidRPr="00AE1813">
        <w:rPr>
          <w:rFonts w:ascii="Arial" w:hAnsi="Arial" w:cs="Arial"/>
          <w:sz w:val="16"/>
          <w:szCs w:val="16"/>
        </w:rPr>
        <w:t xml:space="preserve">period prior to 19 March 2020 while the 2020 IPND applies </w:t>
      </w:r>
      <w:r w:rsidR="00272F70" w:rsidRPr="00AE1813">
        <w:rPr>
          <w:rFonts w:ascii="Arial" w:hAnsi="Arial" w:cs="Arial"/>
          <w:sz w:val="16"/>
          <w:szCs w:val="16"/>
        </w:rPr>
        <w:t>in</w:t>
      </w:r>
      <w:r w:rsidR="002209AA" w:rsidRPr="00AE1813">
        <w:rPr>
          <w:rFonts w:ascii="Arial" w:hAnsi="Arial" w:cs="Arial"/>
          <w:sz w:val="16"/>
          <w:szCs w:val="16"/>
        </w:rPr>
        <w:t xml:space="preserve"> the period </w:t>
      </w:r>
      <w:r w:rsidR="00AE3BF4">
        <w:rPr>
          <w:rFonts w:ascii="Arial" w:hAnsi="Arial" w:cs="Arial"/>
          <w:sz w:val="16"/>
          <w:szCs w:val="16"/>
        </w:rPr>
        <w:t>from</w:t>
      </w:r>
      <w:r w:rsidR="00AE3BF4" w:rsidRPr="00AE1813">
        <w:rPr>
          <w:rFonts w:ascii="Arial" w:hAnsi="Arial" w:cs="Arial"/>
          <w:sz w:val="16"/>
          <w:szCs w:val="16"/>
        </w:rPr>
        <w:t xml:space="preserve"> </w:t>
      </w:r>
      <w:r w:rsidR="002209AA" w:rsidRPr="00AE1813">
        <w:rPr>
          <w:rFonts w:ascii="Arial" w:hAnsi="Arial" w:cs="Arial"/>
          <w:sz w:val="16"/>
          <w:szCs w:val="16"/>
        </w:rPr>
        <w:t>19 March 2020</w:t>
      </w:r>
      <w:r w:rsidR="00272F70" w:rsidRPr="00AE1813">
        <w:rPr>
          <w:rFonts w:ascii="Arial" w:hAnsi="Arial" w:cs="Arial"/>
          <w:sz w:val="16"/>
          <w:szCs w:val="16"/>
        </w:rPr>
        <w:t>.</w:t>
      </w:r>
      <w:r w:rsidR="00A55C43" w:rsidRPr="00AE1813">
        <w:rPr>
          <w:rFonts w:ascii="Arial" w:hAnsi="Arial" w:cs="Arial"/>
          <w:sz w:val="16"/>
          <w:szCs w:val="16"/>
        </w:rPr>
        <w:t xml:space="preserve"> </w:t>
      </w:r>
      <w:r w:rsidR="007B7FFC" w:rsidRPr="00AE1813">
        <w:rPr>
          <w:rFonts w:ascii="Arial" w:hAnsi="Arial" w:cs="Arial"/>
          <w:sz w:val="16"/>
          <w:szCs w:val="16"/>
        </w:rPr>
        <w:t>M</w:t>
      </w:r>
      <w:r w:rsidR="00CE4A37" w:rsidRPr="00AE1813">
        <w:rPr>
          <w:rFonts w:ascii="Arial" w:hAnsi="Arial" w:cs="Arial"/>
          <w:sz w:val="16"/>
          <w:szCs w:val="16"/>
        </w:rPr>
        <w:t xml:space="preserve">any of </w:t>
      </w:r>
      <w:r w:rsidRPr="00AE1813">
        <w:rPr>
          <w:rStyle w:val="FootnoteReference"/>
          <w:rFonts w:ascii="Arial" w:hAnsi="Arial" w:cs="Arial"/>
          <w:sz w:val="16"/>
          <w:szCs w:val="16"/>
          <w:vertAlign w:val="baseline"/>
        </w:rPr>
        <w:t>the</w:t>
      </w:r>
      <w:r w:rsidR="003B6014" w:rsidRPr="00AE1813">
        <w:rPr>
          <w:rStyle w:val="FootnoteReference"/>
          <w:rFonts w:ascii="Arial" w:hAnsi="Arial" w:cs="Arial"/>
          <w:sz w:val="16"/>
          <w:szCs w:val="16"/>
          <w:vertAlign w:val="baseline"/>
        </w:rPr>
        <w:t xml:space="preserve"> </w:t>
      </w:r>
      <w:r w:rsidRPr="00AE1813">
        <w:rPr>
          <w:rStyle w:val="FootnoteReference"/>
          <w:rFonts w:ascii="Arial" w:hAnsi="Arial" w:cs="Arial"/>
          <w:sz w:val="16"/>
          <w:szCs w:val="16"/>
          <w:vertAlign w:val="baseline"/>
        </w:rPr>
        <w:t>contraventions in this report occurred when the 2017 IPND Code was in force</w:t>
      </w:r>
      <w:r w:rsidR="007B7FFC" w:rsidRPr="00AE1813">
        <w:rPr>
          <w:rFonts w:ascii="Arial" w:hAnsi="Arial" w:cs="Arial"/>
          <w:sz w:val="16"/>
          <w:szCs w:val="16"/>
        </w:rPr>
        <w:t xml:space="preserve"> although some of the contraventions also occurred after registration of the 2020 IPND Code. </w:t>
      </w:r>
      <w:bookmarkStart w:id="0" w:name="_Hlk56190379"/>
      <w:bookmarkStart w:id="1" w:name="_Hlk56191817"/>
      <w:r w:rsidR="007B7FFC" w:rsidRPr="00AE1813">
        <w:rPr>
          <w:rFonts w:ascii="Arial" w:hAnsi="Arial" w:cs="Arial"/>
          <w:sz w:val="16"/>
          <w:szCs w:val="16"/>
        </w:rPr>
        <w:t>T</w:t>
      </w:r>
      <w:r w:rsidR="00CE4A37" w:rsidRPr="00AE1813">
        <w:rPr>
          <w:rFonts w:ascii="Arial" w:hAnsi="Arial" w:cs="Arial"/>
          <w:sz w:val="16"/>
          <w:szCs w:val="16"/>
        </w:rPr>
        <w:t xml:space="preserve">he provisions in the </w:t>
      </w:r>
      <w:r w:rsidR="000910E3" w:rsidRPr="00AE1813">
        <w:rPr>
          <w:rFonts w:ascii="Arial" w:hAnsi="Arial" w:cs="Arial"/>
          <w:sz w:val="16"/>
          <w:szCs w:val="16"/>
        </w:rPr>
        <w:t>2017</w:t>
      </w:r>
      <w:r w:rsidR="00CE4A37" w:rsidRPr="00AE1813">
        <w:rPr>
          <w:rFonts w:ascii="Arial" w:hAnsi="Arial" w:cs="Arial"/>
          <w:sz w:val="16"/>
          <w:szCs w:val="16"/>
        </w:rPr>
        <w:t xml:space="preserve"> IPND Code </w:t>
      </w:r>
      <w:r w:rsidR="00815D0E" w:rsidRPr="00AE1813">
        <w:rPr>
          <w:rFonts w:ascii="Arial" w:hAnsi="Arial" w:cs="Arial"/>
          <w:sz w:val="16"/>
          <w:szCs w:val="16"/>
        </w:rPr>
        <w:t xml:space="preserve">referred to throughout this report </w:t>
      </w:r>
      <w:r w:rsidR="00C323D0">
        <w:rPr>
          <w:rFonts w:ascii="Arial" w:hAnsi="Arial" w:cs="Arial"/>
          <w:sz w:val="16"/>
          <w:szCs w:val="16"/>
        </w:rPr>
        <w:t xml:space="preserve">are materially the same as the 2020 IPND Code, the only difference being that clause 4.2.1 and clause 4.2.25 of the 2017 IPND Code have been amalgamated </w:t>
      </w:r>
      <w:r w:rsidR="00AE3BF4">
        <w:rPr>
          <w:rFonts w:ascii="Arial" w:hAnsi="Arial" w:cs="Arial"/>
          <w:sz w:val="16"/>
          <w:szCs w:val="16"/>
        </w:rPr>
        <w:t xml:space="preserve">into one clause (4.2.1) </w:t>
      </w:r>
      <w:r w:rsidR="00C323D0">
        <w:rPr>
          <w:rFonts w:ascii="Arial" w:hAnsi="Arial" w:cs="Arial"/>
          <w:sz w:val="16"/>
          <w:szCs w:val="16"/>
        </w:rPr>
        <w:t>in the 2020 IPND Code.</w:t>
      </w:r>
      <w:r w:rsidR="00815D0E" w:rsidRPr="00AE1813">
        <w:rPr>
          <w:rFonts w:ascii="Arial" w:hAnsi="Arial" w:cs="Arial"/>
          <w:sz w:val="16"/>
          <w:szCs w:val="16"/>
        </w:rPr>
        <w:t xml:space="preserve"> </w:t>
      </w:r>
      <w:bookmarkEnd w:id="0"/>
    </w:p>
    <w:bookmarkEnd w:id="1"/>
  </w:footnote>
  <w:footnote w:id="4">
    <w:p w14:paraId="5849EA4C" w14:textId="0B8E0159" w:rsidR="000F3D7E" w:rsidRPr="00E4212B" w:rsidRDefault="000F3D7E" w:rsidP="00E4212B">
      <w:pPr>
        <w:pStyle w:val="FootnoteText"/>
        <w:ind w:left="142" w:hanging="142"/>
        <w:rPr>
          <w:rStyle w:val="FootnoteReference"/>
          <w:rFonts w:ascii="Arial" w:hAnsi="Arial" w:cs="Arial"/>
          <w:sz w:val="16"/>
          <w:szCs w:val="16"/>
          <w:vertAlign w:val="baseline"/>
        </w:rPr>
      </w:pPr>
      <w:r w:rsidRPr="00AE1813">
        <w:rPr>
          <w:rStyle w:val="FootnoteReference"/>
          <w:rFonts w:ascii="Arial" w:hAnsi="Arial" w:cs="Arial"/>
          <w:sz w:val="16"/>
          <w:szCs w:val="16"/>
        </w:rPr>
        <w:footnoteRef/>
      </w:r>
      <w:r w:rsidRPr="00AE1813">
        <w:rPr>
          <w:rStyle w:val="FootnoteReference"/>
          <w:rFonts w:ascii="Arial" w:hAnsi="Arial" w:cs="Arial"/>
          <w:sz w:val="16"/>
          <w:szCs w:val="16"/>
          <w:vertAlign w:val="baseline"/>
        </w:rPr>
        <w:t xml:space="preserve"> As defined in the </w:t>
      </w:r>
      <w:r w:rsidR="00815D0E" w:rsidRPr="00AE1813">
        <w:rPr>
          <w:rStyle w:val="FootnoteReference"/>
          <w:rFonts w:ascii="Arial" w:hAnsi="Arial" w:cs="Arial"/>
          <w:sz w:val="16"/>
          <w:szCs w:val="16"/>
          <w:vertAlign w:val="baseline"/>
        </w:rPr>
        <w:t>2</w:t>
      </w:r>
      <w:r w:rsidR="00815D0E" w:rsidRPr="00AE1813">
        <w:rPr>
          <w:rFonts w:ascii="Arial" w:hAnsi="Arial" w:cs="Arial"/>
          <w:sz w:val="16"/>
          <w:szCs w:val="16"/>
        </w:rPr>
        <w:t xml:space="preserve">017 </w:t>
      </w:r>
      <w:r w:rsidRPr="00AE1813">
        <w:rPr>
          <w:rStyle w:val="FootnoteReference"/>
          <w:rFonts w:ascii="Arial" w:hAnsi="Arial" w:cs="Arial"/>
          <w:sz w:val="16"/>
          <w:szCs w:val="16"/>
          <w:vertAlign w:val="baseline"/>
        </w:rPr>
        <w:t>IPND Code</w:t>
      </w:r>
      <w:r w:rsidR="00815D0E" w:rsidRPr="00AE1813">
        <w:rPr>
          <w:rStyle w:val="FootnoteReference"/>
          <w:rFonts w:ascii="Arial" w:hAnsi="Arial" w:cs="Arial"/>
          <w:sz w:val="16"/>
          <w:szCs w:val="16"/>
          <w:vertAlign w:val="baseline"/>
        </w:rPr>
        <w:t xml:space="preserve"> </w:t>
      </w:r>
      <w:r w:rsidR="00815D0E" w:rsidRPr="00AE1813">
        <w:rPr>
          <w:rFonts w:ascii="Arial" w:hAnsi="Arial" w:cs="Arial"/>
          <w:sz w:val="16"/>
          <w:szCs w:val="16"/>
        </w:rPr>
        <w:t>and the 2020 IPND Code</w:t>
      </w:r>
      <w:r w:rsidRPr="00AE1813">
        <w:rPr>
          <w:rStyle w:val="FootnoteReference"/>
          <w:rFonts w:ascii="Arial" w:hAnsi="Arial" w:cs="Arial"/>
          <w:sz w:val="16"/>
          <w:szCs w:val="16"/>
          <w:vertAlign w:val="baseline"/>
        </w:rPr>
        <w:t>,</w:t>
      </w:r>
      <w:r w:rsidRPr="00E4212B">
        <w:rPr>
          <w:rStyle w:val="FootnoteReference"/>
          <w:rFonts w:ascii="Arial" w:hAnsi="Arial" w:cs="Arial"/>
          <w:sz w:val="16"/>
          <w:szCs w:val="16"/>
          <w:vertAlign w:val="baseline"/>
        </w:rPr>
        <w:t xml:space="preserve"> where it is also referred to as ‘PNCD’.</w:t>
      </w:r>
    </w:p>
  </w:footnote>
  <w:footnote w:id="5">
    <w:p w14:paraId="44CC1886" w14:textId="10E4F126" w:rsidR="00633952" w:rsidRDefault="00633952" w:rsidP="00E13E86">
      <w:pPr>
        <w:pStyle w:val="FootnoteText"/>
        <w:ind w:left="142" w:hanging="142"/>
      </w:pPr>
      <w:r>
        <w:rPr>
          <w:rStyle w:val="FootnoteReference"/>
        </w:rPr>
        <w:footnoteRef/>
      </w:r>
      <w:r>
        <w:t xml:space="preserve"> </w:t>
      </w:r>
      <w:r w:rsidRPr="00633952">
        <w:rPr>
          <w:rFonts w:ascii="Arial" w:hAnsi="Arial" w:cs="Arial"/>
          <w:sz w:val="16"/>
          <w:szCs w:val="16"/>
        </w:rPr>
        <w:t xml:space="preserve">The ACMA specifically finds that for 2,428 of the 245,902 services </w:t>
      </w:r>
      <w:proofErr w:type="spellStart"/>
      <w:r w:rsidRPr="00633952">
        <w:rPr>
          <w:rFonts w:ascii="Arial" w:hAnsi="Arial" w:cs="Arial"/>
          <w:sz w:val="16"/>
          <w:szCs w:val="16"/>
        </w:rPr>
        <w:t>Lycamobile</w:t>
      </w:r>
      <w:proofErr w:type="spellEnd"/>
      <w:r w:rsidRPr="00633952">
        <w:rPr>
          <w:rFonts w:ascii="Arial" w:hAnsi="Arial" w:cs="Arial"/>
          <w:sz w:val="16"/>
          <w:szCs w:val="16"/>
        </w:rPr>
        <w:t xml:space="preserve"> has contravened clause 4.2.1 of the 2020 IPND Code as these services were activated after 19 March 2020</w:t>
      </w:r>
      <w:r w:rsidRPr="00633952">
        <w:rPr>
          <w:rFonts w:cs="Arial"/>
          <w:sz w:val="16"/>
          <w:szCs w:val="16"/>
        </w:rPr>
        <w:t>.</w:t>
      </w:r>
    </w:p>
  </w:footnote>
  <w:footnote w:id="6">
    <w:p w14:paraId="79564D60" w14:textId="77777777" w:rsidR="000F3D7E" w:rsidRPr="00E4212B" w:rsidRDefault="000F3D7E" w:rsidP="00E4212B">
      <w:pPr>
        <w:pStyle w:val="FootnoteText"/>
        <w:ind w:left="142" w:hanging="142"/>
        <w:rPr>
          <w:rStyle w:val="FootnoteReference"/>
          <w:rFonts w:ascii="Arial" w:hAnsi="Arial" w:cs="Arial"/>
          <w:sz w:val="16"/>
          <w:szCs w:val="16"/>
          <w:vertAlign w:val="baseline"/>
        </w:rPr>
      </w:pPr>
      <w:r w:rsidRPr="00E5579A">
        <w:rPr>
          <w:rStyle w:val="FootnoteReference"/>
          <w:rFonts w:ascii="Arial" w:hAnsi="Arial" w:cs="Arial"/>
          <w:sz w:val="16"/>
          <w:szCs w:val="16"/>
        </w:rPr>
        <w:footnoteRef/>
      </w:r>
      <w:r w:rsidRPr="00E4212B">
        <w:rPr>
          <w:rStyle w:val="FootnoteReference"/>
          <w:rFonts w:ascii="Arial" w:hAnsi="Arial" w:cs="Arial"/>
          <w:sz w:val="16"/>
          <w:szCs w:val="16"/>
          <w:vertAlign w:val="baseline"/>
        </w:rPr>
        <w:t xml:space="preserve"> In this report, public number means a number specified in the </w:t>
      </w:r>
      <w:r w:rsidRPr="0028458B">
        <w:rPr>
          <w:rStyle w:val="FootnoteReference"/>
          <w:rFonts w:ascii="Arial" w:hAnsi="Arial" w:cs="Arial"/>
          <w:i/>
          <w:iCs/>
          <w:sz w:val="16"/>
          <w:szCs w:val="16"/>
          <w:vertAlign w:val="baseline"/>
        </w:rPr>
        <w:t>Telecommunications Numbering Plan 2015</w:t>
      </w:r>
      <w:r w:rsidRPr="00E4212B">
        <w:rPr>
          <w:rStyle w:val="FootnoteReference"/>
          <w:rFonts w:ascii="Arial" w:hAnsi="Arial" w:cs="Arial"/>
          <w:sz w:val="16"/>
          <w:szCs w:val="16"/>
          <w:vertAlign w:val="baseline"/>
        </w:rPr>
        <w:t>.</w:t>
      </w:r>
    </w:p>
  </w:footnote>
  <w:footnote w:id="7">
    <w:p w14:paraId="7FF6B3F5" w14:textId="74603943" w:rsidR="000F3D7E" w:rsidRPr="0067085C" w:rsidRDefault="000F3D7E" w:rsidP="00F8272B">
      <w:pPr>
        <w:pStyle w:val="FootnoteText"/>
        <w:rPr>
          <w:rFonts w:ascii="Arial" w:hAnsi="Arial" w:cs="Arial"/>
          <w:sz w:val="16"/>
          <w:szCs w:val="16"/>
        </w:rPr>
      </w:pPr>
      <w:r w:rsidRPr="00E4212B">
        <w:rPr>
          <w:rStyle w:val="FootnoteReference"/>
          <w:rFonts w:ascii="Arial" w:hAnsi="Arial" w:cs="Arial"/>
          <w:sz w:val="16"/>
          <w:szCs w:val="16"/>
        </w:rPr>
        <w:footnoteRef/>
      </w:r>
      <w:r w:rsidRPr="00E4212B">
        <w:rPr>
          <w:rFonts w:ascii="Arial" w:hAnsi="Arial" w:cs="Arial"/>
          <w:sz w:val="16"/>
          <w:szCs w:val="16"/>
        </w:rPr>
        <w:t xml:space="preserve"> </w:t>
      </w:r>
      <w:hyperlink r:id="rId1" w:history="1">
        <w:r w:rsidRPr="0067085C">
          <w:rPr>
            <w:rStyle w:val="Hyperlink"/>
            <w:rFonts w:ascii="Arial" w:hAnsi="Arial" w:cs="Arial"/>
            <w:sz w:val="16"/>
            <w:szCs w:val="16"/>
          </w:rPr>
          <w:t>https://www.lycamobile.com.au/en/plans/</w:t>
        </w:r>
      </w:hyperlink>
      <w:r w:rsidR="009F4867">
        <w:rPr>
          <w:rStyle w:val="Hyperlink"/>
          <w:rFonts w:ascii="Arial" w:hAnsi="Arial" w:cs="Arial"/>
          <w:sz w:val="16"/>
          <w:szCs w:val="16"/>
        </w:rPr>
        <w:t xml:space="preserve"> (last checked on 17 November 2020)</w:t>
      </w:r>
    </w:p>
  </w:footnote>
  <w:footnote w:id="8">
    <w:p w14:paraId="7D197D62" w14:textId="00810E79" w:rsidR="000A191B" w:rsidRPr="005D1B44" w:rsidRDefault="000A191B" w:rsidP="00E4212B">
      <w:pPr>
        <w:pStyle w:val="FootnoteText"/>
        <w:ind w:left="142" w:hanging="142"/>
        <w:rPr>
          <w:rFonts w:ascii="Arial" w:hAnsi="Arial" w:cs="Arial"/>
          <w:sz w:val="16"/>
          <w:szCs w:val="16"/>
        </w:rPr>
      </w:pPr>
      <w:r w:rsidRPr="005D1B44">
        <w:rPr>
          <w:rStyle w:val="FootnoteReference"/>
          <w:rFonts w:ascii="Arial" w:hAnsi="Arial" w:cs="Arial"/>
          <w:sz w:val="16"/>
          <w:szCs w:val="16"/>
        </w:rPr>
        <w:footnoteRef/>
      </w:r>
      <w:r w:rsidRPr="005D1B44">
        <w:rPr>
          <w:rFonts w:ascii="Arial" w:hAnsi="Arial" w:cs="Arial"/>
          <w:sz w:val="16"/>
          <w:szCs w:val="16"/>
        </w:rPr>
        <w:t xml:space="preserve"> The ACMA approves compliance plans under </w:t>
      </w:r>
      <w:r w:rsidR="00DB60E8">
        <w:rPr>
          <w:rFonts w:ascii="Arial" w:hAnsi="Arial" w:cs="Arial"/>
          <w:sz w:val="16"/>
          <w:szCs w:val="16"/>
        </w:rPr>
        <w:t>section 5.5</w:t>
      </w:r>
      <w:r w:rsidRPr="005D1B44">
        <w:rPr>
          <w:rFonts w:ascii="Arial" w:hAnsi="Arial" w:cs="Arial"/>
          <w:sz w:val="16"/>
          <w:szCs w:val="16"/>
        </w:rPr>
        <w:t xml:space="preserve"> of the Prepaid Determination</w:t>
      </w:r>
      <w:r w:rsidR="00DB60E8">
        <w:rPr>
          <w:rFonts w:ascii="Arial" w:hAnsi="Arial" w:cs="Arial"/>
          <w:sz w:val="16"/>
          <w:szCs w:val="16"/>
        </w:rPr>
        <w:t>. Compliance plans allow CSPs to use alternative methods to for obtaining information and verifying identity.</w:t>
      </w:r>
    </w:p>
  </w:footnote>
  <w:footnote w:id="9">
    <w:p w14:paraId="38240A0F" w14:textId="21C4C52B" w:rsidR="000F3D7E" w:rsidRPr="00496527" w:rsidRDefault="000F3D7E" w:rsidP="00134563">
      <w:pPr>
        <w:pStyle w:val="FootnoteText"/>
        <w:ind w:left="142" w:hanging="142"/>
        <w:rPr>
          <w:rFonts w:ascii="Arial" w:hAnsi="Arial" w:cs="Arial"/>
          <w:sz w:val="16"/>
          <w:szCs w:val="16"/>
        </w:rPr>
      </w:pPr>
      <w:r w:rsidRPr="00496527">
        <w:rPr>
          <w:rStyle w:val="FootnoteReference"/>
          <w:rFonts w:ascii="Arial" w:hAnsi="Arial" w:cs="Arial"/>
          <w:sz w:val="16"/>
          <w:szCs w:val="16"/>
        </w:rPr>
        <w:footnoteRef/>
      </w:r>
      <w:r w:rsidRPr="00496527">
        <w:rPr>
          <w:rFonts w:ascii="Arial" w:hAnsi="Arial" w:cs="Arial"/>
          <w:sz w:val="16"/>
          <w:szCs w:val="16"/>
        </w:rPr>
        <w:t xml:space="preserve"> The exemption under Part 3 of the Prepaid Determination does not apply as the services have not been supplied to emergency affected </w:t>
      </w:r>
      <w:r w:rsidRPr="0009074D">
        <w:rPr>
          <w:rFonts w:ascii="Arial" w:hAnsi="Arial" w:cs="Arial"/>
          <w:sz w:val="16"/>
          <w:szCs w:val="16"/>
        </w:rPr>
        <w:t xml:space="preserve">or violence affected individuals in accordance with Part 3. The exemption under subsection 4.2(2) of the Prepaid Determination does not apply as the verification method used was not </w:t>
      </w:r>
      <w:r w:rsidR="00686BD8">
        <w:rPr>
          <w:rFonts w:ascii="Arial" w:hAnsi="Arial" w:cs="Arial"/>
          <w:sz w:val="16"/>
          <w:szCs w:val="16"/>
        </w:rPr>
        <w:t xml:space="preserve">a </w:t>
      </w:r>
      <w:r w:rsidRPr="0009074D">
        <w:rPr>
          <w:rFonts w:ascii="Arial" w:hAnsi="Arial" w:cs="Arial"/>
          <w:sz w:val="16"/>
          <w:szCs w:val="16"/>
        </w:rPr>
        <w:t xml:space="preserve">real-time financial transaction or </w:t>
      </w:r>
      <w:r w:rsidR="00686BD8">
        <w:rPr>
          <w:rFonts w:ascii="Arial" w:hAnsi="Arial" w:cs="Arial"/>
          <w:sz w:val="16"/>
          <w:szCs w:val="16"/>
        </w:rPr>
        <w:t xml:space="preserve">a </w:t>
      </w:r>
      <w:r w:rsidRPr="0009074D">
        <w:rPr>
          <w:rFonts w:ascii="Arial" w:hAnsi="Arial" w:cs="Arial"/>
          <w:sz w:val="16"/>
          <w:szCs w:val="16"/>
        </w:rPr>
        <w:t xml:space="preserve">time-delayed financial transaction. </w:t>
      </w:r>
    </w:p>
  </w:footnote>
  <w:footnote w:id="10">
    <w:p w14:paraId="0DC0AC0F" w14:textId="1F48F23C" w:rsidR="000F3D7E" w:rsidRPr="00496527" w:rsidRDefault="000F3D7E">
      <w:pPr>
        <w:pStyle w:val="FootnoteText"/>
        <w:rPr>
          <w:rFonts w:ascii="Arial" w:hAnsi="Arial" w:cs="Arial"/>
          <w:sz w:val="16"/>
          <w:szCs w:val="16"/>
        </w:rPr>
      </w:pPr>
      <w:r w:rsidRPr="00496527">
        <w:rPr>
          <w:rStyle w:val="FootnoteReference"/>
          <w:rFonts w:ascii="Arial" w:hAnsi="Arial" w:cs="Arial"/>
          <w:sz w:val="16"/>
          <w:szCs w:val="16"/>
        </w:rPr>
        <w:footnoteRef/>
      </w:r>
      <w:r w:rsidRPr="00496527">
        <w:rPr>
          <w:rFonts w:ascii="Arial" w:hAnsi="Arial" w:cs="Arial"/>
          <w:sz w:val="16"/>
          <w:szCs w:val="16"/>
        </w:rPr>
        <w:t xml:space="preserve"> Ibid.</w:t>
      </w:r>
    </w:p>
  </w:footnote>
  <w:footnote w:id="11">
    <w:p w14:paraId="2F01D719" w14:textId="29B544DD" w:rsidR="000F3D7E" w:rsidRPr="00C866C4" w:rsidRDefault="000F3D7E" w:rsidP="00C866C4">
      <w:pPr>
        <w:pStyle w:val="FootnoteText"/>
        <w:ind w:left="142" w:hanging="142"/>
        <w:rPr>
          <w:rStyle w:val="FootnoteReference"/>
          <w:rFonts w:ascii="Arial" w:hAnsi="Arial" w:cs="Arial"/>
          <w:sz w:val="16"/>
          <w:szCs w:val="16"/>
        </w:rPr>
      </w:pPr>
      <w:r w:rsidRPr="006D1866">
        <w:rPr>
          <w:rStyle w:val="FootnoteReference"/>
          <w:rFonts w:ascii="Arial" w:hAnsi="Arial" w:cs="Arial"/>
          <w:sz w:val="16"/>
          <w:szCs w:val="16"/>
        </w:rPr>
        <w:footnoteRef/>
      </w:r>
      <w:r w:rsidRPr="00E4212B">
        <w:rPr>
          <w:rStyle w:val="FootnoteReference"/>
          <w:rFonts w:ascii="Arial" w:hAnsi="Arial" w:cs="Arial"/>
          <w:sz w:val="16"/>
          <w:szCs w:val="16"/>
        </w:rPr>
        <w:t xml:space="preserve"> </w:t>
      </w:r>
      <w:proofErr w:type="spellStart"/>
      <w:r w:rsidRPr="00E4212B">
        <w:rPr>
          <w:rStyle w:val="FootnoteReference"/>
          <w:rFonts w:ascii="Arial" w:hAnsi="Arial" w:cs="Arial"/>
          <w:sz w:val="16"/>
          <w:szCs w:val="16"/>
          <w:vertAlign w:val="baseline"/>
        </w:rPr>
        <w:t>Lycamobile</w:t>
      </w:r>
      <w:proofErr w:type="spellEnd"/>
      <w:r w:rsidRPr="00E4212B">
        <w:rPr>
          <w:rStyle w:val="FootnoteReference"/>
          <w:rFonts w:ascii="Arial" w:hAnsi="Arial" w:cs="Arial"/>
          <w:sz w:val="16"/>
          <w:szCs w:val="16"/>
          <w:vertAlign w:val="baseline"/>
        </w:rPr>
        <w:t xml:space="preserve"> provided information to the ACMA on 1 August 2019 which </w:t>
      </w:r>
      <w:r w:rsidR="00E01F94">
        <w:rPr>
          <w:rStyle w:val="FootnoteReference"/>
          <w:rFonts w:ascii="Arial" w:hAnsi="Arial" w:cs="Arial"/>
          <w:sz w:val="16"/>
          <w:szCs w:val="16"/>
          <w:vertAlign w:val="baseline"/>
        </w:rPr>
        <w:t>i</w:t>
      </w:r>
      <w:r w:rsidR="00E01F94">
        <w:rPr>
          <w:rFonts w:ascii="Arial" w:hAnsi="Arial" w:cs="Arial"/>
          <w:sz w:val="16"/>
          <w:szCs w:val="16"/>
        </w:rPr>
        <w:t>ncluded</w:t>
      </w:r>
      <w:r w:rsidRPr="00E4212B">
        <w:rPr>
          <w:rStyle w:val="FootnoteReference"/>
          <w:rFonts w:ascii="Arial" w:hAnsi="Arial" w:cs="Arial"/>
          <w:sz w:val="16"/>
          <w:szCs w:val="16"/>
          <w:vertAlign w:val="baseline"/>
        </w:rPr>
        <w:t xml:space="preserve"> the number of other services that a customer</w:t>
      </w:r>
      <w:r w:rsidR="006D1866">
        <w:rPr>
          <w:rFonts w:ascii="Arial" w:hAnsi="Arial" w:cs="Arial"/>
          <w:sz w:val="16"/>
          <w:szCs w:val="16"/>
        </w:rPr>
        <w:t xml:space="preserve"> </w:t>
      </w:r>
      <w:r w:rsidRPr="00C866C4">
        <w:rPr>
          <w:rStyle w:val="FootnoteReference"/>
          <w:rFonts w:ascii="Arial" w:hAnsi="Arial" w:cs="Arial"/>
          <w:sz w:val="16"/>
          <w:szCs w:val="16"/>
          <w:vertAlign w:val="baseline"/>
        </w:rPr>
        <w:t>had activated in relation to the 2000 records examined as part of this investigation</w:t>
      </w:r>
      <w:r w:rsidRPr="00C866C4">
        <w:rPr>
          <w:rStyle w:val="FootnoteReference"/>
          <w:rFonts w:ascii="Arial" w:hAnsi="Arial" w:cs="Arial"/>
          <w:sz w:val="16"/>
          <w:szCs w:val="16"/>
        </w:rPr>
        <w:t>.</w:t>
      </w:r>
    </w:p>
  </w:footnote>
  <w:footnote w:id="12">
    <w:p w14:paraId="3A8C82DA" w14:textId="2A1F92E0" w:rsidR="000F3D7E" w:rsidRPr="003B6014" w:rsidRDefault="000F3D7E" w:rsidP="00C866C4">
      <w:pPr>
        <w:pStyle w:val="FootnoteText"/>
        <w:ind w:left="142" w:hanging="142"/>
        <w:rPr>
          <w:rFonts w:ascii="Arial" w:hAnsi="Arial" w:cs="Arial"/>
          <w:sz w:val="16"/>
          <w:szCs w:val="16"/>
        </w:rPr>
      </w:pPr>
      <w:r w:rsidRPr="00E4212B">
        <w:rPr>
          <w:rStyle w:val="FootnoteReference"/>
          <w:rFonts w:ascii="Arial" w:hAnsi="Arial" w:cs="Arial"/>
          <w:sz w:val="16"/>
          <w:szCs w:val="16"/>
        </w:rPr>
        <w:footnoteRef/>
      </w:r>
      <w:r w:rsidRPr="003B6014">
        <w:rPr>
          <w:rFonts w:ascii="Arial" w:hAnsi="Arial" w:cs="Arial"/>
          <w:sz w:val="16"/>
          <w:szCs w:val="16"/>
        </w:rPr>
        <w:t xml:space="preserve">This </w:t>
      </w:r>
      <w:r w:rsidR="00E01F94">
        <w:rPr>
          <w:rFonts w:ascii="Arial" w:hAnsi="Arial" w:cs="Arial"/>
          <w:sz w:val="16"/>
          <w:szCs w:val="16"/>
        </w:rPr>
        <w:t>lack of differentiation</w:t>
      </w:r>
      <w:r w:rsidRPr="003B6014">
        <w:rPr>
          <w:rFonts w:ascii="Arial" w:hAnsi="Arial" w:cs="Arial"/>
          <w:sz w:val="16"/>
          <w:szCs w:val="16"/>
        </w:rPr>
        <w:t xml:space="preserve"> </w:t>
      </w:r>
      <w:r w:rsidR="00E01F94">
        <w:rPr>
          <w:rFonts w:ascii="Arial" w:hAnsi="Arial" w:cs="Arial"/>
          <w:sz w:val="16"/>
          <w:szCs w:val="16"/>
        </w:rPr>
        <w:t xml:space="preserve">was also reflected </w:t>
      </w:r>
      <w:r w:rsidRPr="003B6014">
        <w:rPr>
          <w:rFonts w:ascii="Arial" w:hAnsi="Arial" w:cs="Arial"/>
          <w:sz w:val="16"/>
          <w:szCs w:val="16"/>
        </w:rPr>
        <w:t xml:space="preserve">in an email from </w:t>
      </w:r>
      <w:proofErr w:type="spellStart"/>
      <w:r w:rsidRPr="003B6014">
        <w:rPr>
          <w:rFonts w:ascii="Arial" w:hAnsi="Arial" w:cs="Arial"/>
          <w:sz w:val="16"/>
          <w:szCs w:val="16"/>
        </w:rPr>
        <w:t>Lycamobile</w:t>
      </w:r>
      <w:proofErr w:type="spellEnd"/>
      <w:r w:rsidR="00E01F94">
        <w:rPr>
          <w:rFonts w:ascii="Arial" w:hAnsi="Arial" w:cs="Arial"/>
          <w:sz w:val="16"/>
          <w:szCs w:val="16"/>
        </w:rPr>
        <w:t xml:space="preserve"> to the ACMA</w:t>
      </w:r>
      <w:r w:rsidRPr="003B6014">
        <w:rPr>
          <w:rFonts w:ascii="Arial" w:hAnsi="Arial" w:cs="Arial"/>
          <w:sz w:val="16"/>
          <w:szCs w:val="16"/>
        </w:rPr>
        <w:t xml:space="preserve"> on 2 August 2019 in which it asked, ‘Can you please clear up what purchaser and activator is?</w:t>
      </w:r>
      <w:r w:rsidR="00C8167E" w:rsidRPr="003B6014">
        <w:rPr>
          <w:rFonts w:ascii="Arial" w:hAnsi="Arial" w:cs="Arial"/>
          <w:sz w:val="16"/>
          <w:szCs w:val="16"/>
        </w:rPr>
        <w:t>’</w:t>
      </w:r>
    </w:p>
  </w:footnote>
  <w:footnote w:id="13">
    <w:p w14:paraId="50CA1532" w14:textId="51C64C17" w:rsidR="000F3D7E" w:rsidRPr="00E4212B" w:rsidRDefault="000F3D7E" w:rsidP="00E4212B">
      <w:pPr>
        <w:pStyle w:val="FootnoteText"/>
        <w:ind w:left="142" w:hanging="142"/>
        <w:rPr>
          <w:rFonts w:ascii="Arial" w:hAnsi="Arial" w:cs="Arial"/>
          <w:sz w:val="16"/>
          <w:szCs w:val="16"/>
        </w:rPr>
      </w:pPr>
      <w:r w:rsidRPr="00E4212B">
        <w:rPr>
          <w:rStyle w:val="FootnoteReference"/>
          <w:rFonts w:ascii="Arial" w:hAnsi="Arial" w:cs="Arial"/>
          <w:sz w:val="16"/>
          <w:szCs w:val="16"/>
        </w:rPr>
        <w:footnoteRef/>
      </w:r>
      <w:r w:rsidRPr="003B6014">
        <w:rPr>
          <w:rFonts w:ascii="Arial" w:hAnsi="Arial" w:cs="Arial"/>
          <w:sz w:val="16"/>
          <w:szCs w:val="16"/>
        </w:rPr>
        <w:t>Critical functions of the IPND include the use of data within it for emergency call service, the emergency warning system, and national security and law enforcement agencies.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68516" w14:textId="77777777" w:rsidR="000F3D7E" w:rsidRDefault="000F3D7E">
    <w:r>
      <w:rPr>
        <w:b/>
        <w:bCs/>
        <w:lang w:val="en-US"/>
      </w:rPr>
      <w:t>Error! Reference source not found.</w:t>
    </w:r>
  </w:p>
  <w:p w14:paraId="1BDC8F7C" w14:textId="77777777" w:rsidR="000F3D7E" w:rsidRDefault="000F3D7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23125" w14:textId="3B88C44A" w:rsidR="000F3D7E" w:rsidRDefault="000F3D7E">
    <w:pPr>
      <w:pStyle w:val="ACMAHeading1"/>
      <w:jc w:val="center"/>
      <w:rPr>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1B53C72"/>
    <w:multiLevelType w:val="hybridMultilevel"/>
    <w:tmpl w:val="3266F4A2"/>
    <w:lvl w:ilvl="0" w:tplc="85185120">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20A7F8E">
      <w:start w:val="1"/>
      <w:numFmt w:val="bullet"/>
      <w:lvlText w:val=""/>
      <w:lvlJc w:val="left"/>
      <w:pPr>
        <w:ind w:left="1800" w:hanging="180"/>
      </w:pPr>
      <w:rPr>
        <w:rFonts w:ascii="Symbol" w:hAnsi="Symbol" w:hint="default"/>
      </w:r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4014B40"/>
    <w:multiLevelType w:val="hybridMultilevel"/>
    <w:tmpl w:val="7FBCD8F8"/>
    <w:lvl w:ilvl="0" w:tplc="3C6A1A6A">
      <w:start w:val="1"/>
      <w:numFmt w:val="lowerLetter"/>
      <w:lvlText w:val="%1."/>
      <w:lvlJc w:val="left"/>
      <w:pPr>
        <w:ind w:left="1074" w:hanging="360"/>
      </w:pPr>
      <w:rPr>
        <w:rFonts w:hint="default"/>
        <w:b w:val="0"/>
        <w:bCs w:val="0"/>
        <w:sz w:val="20"/>
        <w:szCs w:val="2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6177F0"/>
    <w:multiLevelType w:val="hybridMultilevel"/>
    <w:tmpl w:val="246A5BF0"/>
    <w:lvl w:ilvl="0" w:tplc="0C09001B">
      <w:start w:val="1"/>
      <w:numFmt w:val="lowerRoman"/>
      <w:lvlText w:val="%1."/>
      <w:lvlJc w:val="right"/>
      <w:pPr>
        <w:ind w:left="187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AE71F5"/>
    <w:multiLevelType w:val="hybridMultilevel"/>
    <w:tmpl w:val="7B7EF5A2"/>
    <w:lvl w:ilvl="0" w:tplc="3ED4ACC2">
      <w:start w:val="1"/>
      <w:numFmt w:val="decimal"/>
      <w:lvlText w:val="%1."/>
      <w:lvlJc w:val="left"/>
      <w:pPr>
        <w:ind w:left="720" w:hanging="360"/>
      </w:pPr>
      <w:rPr>
        <w:rFonts w:ascii="Arial" w:hAnsi="Arial" w:cs="Arial" w:hint="default"/>
        <w:b w:val="0"/>
        <w:bCs w:val="0"/>
        <w:i w:val="0"/>
        <w:iCs w:val="0"/>
        <w:color w:val="auto"/>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64389D"/>
    <w:multiLevelType w:val="hybridMultilevel"/>
    <w:tmpl w:val="5D2A69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614CE7"/>
    <w:multiLevelType w:val="hybridMultilevel"/>
    <w:tmpl w:val="9C60A442"/>
    <w:lvl w:ilvl="0" w:tplc="F01C24A4">
      <w:start w:val="1"/>
      <w:numFmt w:val="decimal"/>
      <w:lvlText w:val="%1."/>
      <w:lvlJc w:val="left"/>
      <w:pPr>
        <w:ind w:left="502" w:hanging="360"/>
      </w:pPr>
      <w:rPr>
        <w:rFonts w:ascii="Arial" w:hAnsi="Arial" w:cs="Arial" w:hint="default"/>
        <w:b w:val="0"/>
        <w:bCs w:val="0"/>
        <w:sz w:val="20"/>
        <w:szCs w:val="2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9516E8"/>
    <w:multiLevelType w:val="hybridMultilevel"/>
    <w:tmpl w:val="BEBCCD86"/>
    <w:lvl w:ilvl="0" w:tplc="0C090019">
      <w:start w:val="1"/>
      <w:numFmt w:val="lowerLetter"/>
      <w:lvlText w:val="%1."/>
      <w:lvlJc w:val="left"/>
      <w:pPr>
        <w:ind w:left="1440" w:hanging="360"/>
      </w:pPr>
      <w:rPr>
        <w:rFonts w:hint="default"/>
        <w:b w:val="0"/>
        <w:bCs w:val="0"/>
        <w:sz w:val="20"/>
        <w:szCs w:val="20"/>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1">
    <w:nsid w:val="15EE71AC"/>
    <w:multiLevelType w:val="hybridMultilevel"/>
    <w:tmpl w:val="2E98EBB8"/>
    <w:lvl w:ilvl="0" w:tplc="85185120">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3">
      <w:start w:val="1"/>
      <w:numFmt w:val="bullet"/>
      <w:lvlText w:val="o"/>
      <w:lvlJc w:val="left"/>
      <w:pPr>
        <w:ind w:left="1800" w:hanging="180"/>
      </w:pPr>
      <w:rPr>
        <w:rFonts w:ascii="Courier New" w:hAnsi="Courier New" w:cs="Courier New" w:hint="default"/>
      </w:r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1">
    <w:nsid w:val="1EE44CEB"/>
    <w:multiLevelType w:val="hybridMultilevel"/>
    <w:tmpl w:val="5016C606"/>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1">
    <w:nsid w:val="22567A80"/>
    <w:multiLevelType w:val="hybridMultilevel"/>
    <w:tmpl w:val="8E26B692"/>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8021428"/>
    <w:multiLevelType w:val="hybridMultilevel"/>
    <w:tmpl w:val="7E5AE7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1">
    <w:nsid w:val="2A7D29D9"/>
    <w:multiLevelType w:val="hybridMultilevel"/>
    <w:tmpl w:val="54604594"/>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1">
    <w:nsid w:val="352D2B1A"/>
    <w:multiLevelType w:val="hybridMultilevel"/>
    <w:tmpl w:val="7E54C8DA"/>
    <w:lvl w:ilvl="0" w:tplc="8EDAE56E">
      <w:start w:val="1"/>
      <w:numFmt w:val="lowerLetter"/>
      <w:lvlText w:val="%1."/>
      <w:lvlJc w:val="left"/>
      <w:pPr>
        <w:tabs>
          <w:tab w:val="num" w:pos="1080"/>
        </w:tabs>
        <w:ind w:left="1080" w:hanging="360"/>
      </w:pPr>
      <w:rPr>
        <w:rFonts w:hint="default"/>
        <w:b w:val="0"/>
        <w:i w:val="0"/>
        <w:color w:val="auto"/>
        <w:sz w:val="20"/>
        <w:szCs w:val="20"/>
      </w:rPr>
    </w:lvl>
    <w:lvl w:ilvl="1" w:tplc="0C090019">
      <w:start w:val="1"/>
      <w:numFmt w:val="lowerLetter"/>
      <w:lvlText w:val="%2."/>
      <w:lvlJc w:val="left"/>
      <w:pPr>
        <w:ind w:left="2870" w:hanging="360"/>
      </w:pPr>
    </w:lvl>
    <w:lvl w:ilvl="2" w:tplc="0C09001B" w:tentative="1">
      <w:start w:val="1"/>
      <w:numFmt w:val="lowerRoman"/>
      <w:lvlText w:val="%3."/>
      <w:lvlJc w:val="right"/>
      <w:pPr>
        <w:ind w:left="3590" w:hanging="180"/>
      </w:pPr>
    </w:lvl>
    <w:lvl w:ilvl="3" w:tplc="0C09000F" w:tentative="1">
      <w:start w:val="1"/>
      <w:numFmt w:val="decimal"/>
      <w:lvlText w:val="%4."/>
      <w:lvlJc w:val="left"/>
      <w:pPr>
        <w:ind w:left="4310" w:hanging="360"/>
      </w:pPr>
    </w:lvl>
    <w:lvl w:ilvl="4" w:tplc="0C090019" w:tentative="1">
      <w:start w:val="1"/>
      <w:numFmt w:val="lowerLetter"/>
      <w:lvlText w:val="%5."/>
      <w:lvlJc w:val="left"/>
      <w:pPr>
        <w:ind w:left="5030" w:hanging="360"/>
      </w:pPr>
    </w:lvl>
    <w:lvl w:ilvl="5" w:tplc="0C09001B" w:tentative="1">
      <w:start w:val="1"/>
      <w:numFmt w:val="lowerRoman"/>
      <w:lvlText w:val="%6."/>
      <w:lvlJc w:val="right"/>
      <w:pPr>
        <w:ind w:left="5750" w:hanging="180"/>
      </w:pPr>
    </w:lvl>
    <w:lvl w:ilvl="6" w:tplc="0C09000F" w:tentative="1">
      <w:start w:val="1"/>
      <w:numFmt w:val="decimal"/>
      <w:lvlText w:val="%7."/>
      <w:lvlJc w:val="left"/>
      <w:pPr>
        <w:ind w:left="6470" w:hanging="360"/>
      </w:pPr>
    </w:lvl>
    <w:lvl w:ilvl="7" w:tplc="0C090019" w:tentative="1">
      <w:start w:val="1"/>
      <w:numFmt w:val="lowerLetter"/>
      <w:lvlText w:val="%8."/>
      <w:lvlJc w:val="left"/>
      <w:pPr>
        <w:ind w:left="7190" w:hanging="360"/>
      </w:pPr>
    </w:lvl>
    <w:lvl w:ilvl="8" w:tplc="0C09001B" w:tentative="1">
      <w:start w:val="1"/>
      <w:numFmt w:val="lowerRoman"/>
      <w:lvlText w:val="%9."/>
      <w:lvlJc w:val="right"/>
      <w:pPr>
        <w:ind w:left="7910" w:hanging="180"/>
      </w:pPr>
    </w:lvl>
  </w:abstractNum>
  <w:abstractNum w:abstractNumId="14" w15:restartNumberingAfterBreak="1">
    <w:nsid w:val="3A46561A"/>
    <w:multiLevelType w:val="hybridMultilevel"/>
    <w:tmpl w:val="11B844DA"/>
    <w:lvl w:ilvl="0" w:tplc="ED4C2BF6">
      <w:start w:val="1"/>
      <w:numFmt w:val="lowerLetter"/>
      <w:lvlText w:val="%1."/>
      <w:lvlJc w:val="left"/>
      <w:pPr>
        <w:tabs>
          <w:tab w:val="num" w:pos="1074"/>
        </w:tabs>
        <w:ind w:left="1074" w:hanging="360"/>
      </w:pPr>
      <w:rPr>
        <w:rFonts w:hint="default"/>
        <w:b w:val="0"/>
        <w:i w:val="0"/>
        <w:color w:val="auto"/>
        <w:sz w:val="22"/>
        <w:szCs w:val="22"/>
      </w:rPr>
    </w:lvl>
    <w:lvl w:ilvl="1" w:tplc="0C090019">
      <w:start w:val="1"/>
      <w:numFmt w:val="lowerLetter"/>
      <w:lvlText w:val="%2."/>
      <w:lvlJc w:val="left"/>
      <w:pPr>
        <w:ind w:left="2864" w:hanging="360"/>
      </w:pPr>
    </w:lvl>
    <w:lvl w:ilvl="2" w:tplc="0C09001B" w:tentative="1">
      <w:start w:val="1"/>
      <w:numFmt w:val="lowerRoman"/>
      <w:lvlText w:val="%3."/>
      <w:lvlJc w:val="right"/>
      <w:pPr>
        <w:ind w:left="3584" w:hanging="180"/>
      </w:pPr>
    </w:lvl>
    <w:lvl w:ilvl="3" w:tplc="0C09000F" w:tentative="1">
      <w:start w:val="1"/>
      <w:numFmt w:val="decimal"/>
      <w:lvlText w:val="%4."/>
      <w:lvlJc w:val="left"/>
      <w:pPr>
        <w:ind w:left="4304" w:hanging="360"/>
      </w:pPr>
    </w:lvl>
    <w:lvl w:ilvl="4" w:tplc="0C090019" w:tentative="1">
      <w:start w:val="1"/>
      <w:numFmt w:val="lowerLetter"/>
      <w:lvlText w:val="%5."/>
      <w:lvlJc w:val="left"/>
      <w:pPr>
        <w:ind w:left="5024" w:hanging="360"/>
      </w:pPr>
    </w:lvl>
    <w:lvl w:ilvl="5" w:tplc="0C09001B" w:tentative="1">
      <w:start w:val="1"/>
      <w:numFmt w:val="lowerRoman"/>
      <w:lvlText w:val="%6."/>
      <w:lvlJc w:val="right"/>
      <w:pPr>
        <w:ind w:left="5744" w:hanging="180"/>
      </w:pPr>
    </w:lvl>
    <w:lvl w:ilvl="6" w:tplc="0C09000F" w:tentative="1">
      <w:start w:val="1"/>
      <w:numFmt w:val="decimal"/>
      <w:lvlText w:val="%7."/>
      <w:lvlJc w:val="left"/>
      <w:pPr>
        <w:ind w:left="6464" w:hanging="360"/>
      </w:pPr>
    </w:lvl>
    <w:lvl w:ilvl="7" w:tplc="0C090019" w:tentative="1">
      <w:start w:val="1"/>
      <w:numFmt w:val="lowerLetter"/>
      <w:lvlText w:val="%8."/>
      <w:lvlJc w:val="left"/>
      <w:pPr>
        <w:ind w:left="7184" w:hanging="360"/>
      </w:pPr>
    </w:lvl>
    <w:lvl w:ilvl="8" w:tplc="0C09001B" w:tentative="1">
      <w:start w:val="1"/>
      <w:numFmt w:val="lowerRoman"/>
      <w:lvlText w:val="%9."/>
      <w:lvlJc w:val="right"/>
      <w:pPr>
        <w:ind w:left="7904" w:hanging="180"/>
      </w:pPr>
    </w:lvl>
  </w:abstractNum>
  <w:abstractNum w:abstractNumId="15" w15:restartNumberingAfterBreak="1">
    <w:nsid w:val="3A503E8A"/>
    <w:multiLevelType w:val="hybridMultilevel"/>
    <w:tmpl w:val="EF1463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A8D00DA"/>
    <w:multiLevelType w:val="hybridMultilevel"/>
    <w:tmpl w:val="FE9EBE0A"/>
    <w:lvl w:ilvl="0" w:tplc="0C090019">
      <w:start w:val="1"/>
      <w:numFmt w:val="lowerLetter"/>
      <w:lvlText w:val="%1."/>
      <w:lvlJc w:val="left"/>
      <w:pPr>
        <w:ind w:left="1074" w:hanging="360"/>
      </w:pPr>
      <w:rPr>
        <w:rFonts w:hint="default"/>
        <w:b w:val="0"/>
        <w:bCs w:val="0"/>
        <w:sz w:val="20"/>
        <w:szCs w:val="20"/>
      </w:rPr>
    </w:lvl>
    <w:lvl w:ilvl="1" w:tplc="0C090019">
      <w:start w:val="1"/>
      <w:numFmt w:val="lowerLetter"/>
      <w:lvlText w:val="%2."/>
      <w:lvlJc w:val="left"/>
      <w:pPr>
        <w:ind w:left="1870" w:hanging="360"/>
      </w:pPr>
    </w:lvl>
    <w:lvl w:ilvl="2" w:tplc="0C09001B" w:tentative="1">
      <w:start w:val="1"/>
      <w:numFmt w:val="lowerRoman"/>
      <w:lvlText w:val="%3."/>
      <w:lvlJc w:val="righ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17" w15:restartNumberingAfterBreak="1">
    <w:nsid w:val="3AB2791B"/>
    <w:multiLevelType w:val="hybridMultilevel"/>
    <w:tmpl w:val="CCAC7B72"/>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1">
    <w:nsid w:val="3B492BE7"/>
    <w:multiLevelType w:val="hybridMultilevel"/>
    <w:tmpl w:val="E542C366"/>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DDF5802"/>
    <w:multiLevelType w:val="hybridMultilevel"/>
    <w:tmpl w:val="FE9EBE0A"/>
    <w:lvl w:ilvl="0" w:tplc="0C090019">
      <w:start w:val="1"/>
      <w:numFmt w:val="lowerLetter"/>
      <w:lvlText w:val="%1."/>
      <w:lvlJc w:val="left"/>
      <w:pPr>
        <w:ind w:left="1074" w:hanging="360"/>
      </w:pPr>
      <w:rPr>
        <w:rFonts w:hint="default"/>
        <w:b w:val="0"/>
        <w:bCs w:val="0"/>
        <w:sz w:val="20"/>
        <w:szCs w:val="20"/>
      </w:rPr>
    </w:lvl>
    <w:lvl w:ilvl="1" w:tplc="0C090019">
      <w:start w:val="1"/>
      <w:numFmt w:val="lowerLetter"/>
      <w:lvlText w:val="%2."/>
      <w:lvlJc w:val="left"/>
      <w:pPr>
        <w:ind w:left="1870" w:hanging="360"/>
      </w:pPr>
    </w:lvl>
    <w:lvl w:ilvl="2" w:tplc="0C09001B" w:tentative="1">
      <w:start w:val="1"/>
      <w:numFmt w:val="lowerRoman"/>
      <w:lvlText w:val="%3."/>
      <w:lvlJc w:val="righ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20" w15:restartNumberingAfterBreak="0">
    <w:nsid w:val="41EE07F5"/>
    <w:multiLevelType w:val="hybridMultilevel"/>
    <w:tmpl w:val="D95AFC50"/>
    <w:lvl w:ilvl="0" w:tplc="0C090019">
      <w:start w:val="1"/>
      <w:numFmt w:val="lowerLetter"/>
      <w:lvlText w:val="%1."/>
      <w:lvlJc w:val="left"/>
      <w:pPr>
        <w:ind w:left="187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1">
    <w:nsid w:val="473D44D8"/>
    <w:multiLevelType w:val="hybridMultilevel"/>
    <w:tmpl w:val="0AB64FD2"/>
    <w:lvl w:ilvl="0" w:tplc="85185120">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4A93274D"/>
    <w:multiLevelType w:val="hybridMultilevel"/>
    <w:tmpl w:val="BEBCCD86"/>
    <w:lvl w:ilvl="0" w:tplc="0C090019">
      <w:start w:val="1"/>
      <w:numFmt w:val="lowerLetter"/>
      <w:lvlText w:val="%1."/>
      <w:lvlJc w:val="left"/>
      <w:pPr>
        <w:ind w:left="1440" w:hanging="360"/>
      </w:pPr>
      <w:rPr>
        <w:rFonts w:hint="default"/>
        <w:b w:val="0"/>
        <w:bCs w:val="0"/>
        <w:sz w:val="20"/>
        <w:szCs w:val="20"/>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B8B602A"/>
    <w:multiLevelType w:val="hybridMultilevel"/>
    <w:tmpl w:val="03FEA70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DBC6613"/>
    <w:multiLevelType w:val="hybridMultilevel"/>
    <w:tmpl w:val="C5EC7F6C"/>
    <w:lvl w:ilvl="0" w:tplc="B6A8FB9A">
      <w:start w:val="1"/>
      <w:numFmt w:val="upperLetter"/>
      <w:lvlText w:val="%1."/>
      <w:lvlJc w:val="left"/>
      <w:pPr>
        <w:ind w:left="502" w:hanging="360"/>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25" w15:restartNumberingAfterBreak="0">
    <w:nsid w:val="4F344F44"/>
    <w:multiLevelType w:val="hybridMultilevel"/>
    <w:tmpl w:val="28FA7584"/>
    <w:lvl w:ilvl="0" w:tplc="C9A8E8AC">
      <w:start w:val="1"/>
      <w:numFmt w:val="decimal"/>
      <w:lvlText w:val="%1."/>
      <w:lvlJc w:val="left"/>
      <w:pPr>
        <w:tabs>
          <w:tab w:val="num" w:pos="360"/>
        </w:tabs>
        <w:ind w:left="360" w:hanging="360"/>
      </w:pPr>
      <w:rPr>
        <w:rFonts w:hint="default"/>
        <w:b w:val="0"/>
        <w:i w:val="0"/>
        <w:color w:val="auto"/>
        <w:sz w:val="20"/>
        <w:szCs w:val="20"/>
      </w:rPr>
    </w:lvl>
    <w:lvl w:ilvl="1" w:tplc="0C090019">
      <w:start w:val="1"/>
      <w:numFmt w:val="lowerLetter"/>
      <w:lvlText w:val="%2."/>
      <w:lvlJc w:val="left"/>
      <w:pPr>
        <w:ind w:left="2292" w:hanging="360"/>
      </w:pPr>
    </w:lvl>
    <w:lvl w:ilvl="2" w:tplc="0C09001B">
      <w:start w:val="1"/>
      <w:numFmt w:val="lowerRoman"/>
      <w:lvlText w:val="%3."/>
      <w:lvlJc w:val="right"/>
      <w:pPr>
        <w:ind w:left="3012" w:hanging="180"/>
      </w:pPr>
    </w:lvl>
    <w:lvl w:ilvl="3" w:tplc="0C09000F" w:tentative="1">
      <w:start w:val="1"/>
      <w:numFmt w:val="decimal"/>
      <w:lvlText w:val="%4."/>
      <w:lvlJc w:val="left"/>
      <w:pPr>
        <w:ind w:left="3732" w:hanging="360"/>
      </w:pPr>
    </w:lvl>
    <w:lvl w:ilvl="4" w:tplc="0C090019" w:tentative="1">
      <w:start w:val="1"/>
      <w:numFmt w:val="lowerLetter"/>
      <w:lvlText w:val="%5."/>
      <w:lvlJc w:val="left"/>
      <w:pPr>
        <w:ind w:left="4452" w:hanging="360"/>
      </w:pPr>
    </w:lvl>
    <w:lvl w:ilvl="5" w:tplc="0C09001B" w:tentative="1">
      <w:start w:val="1"/>
      <w:numFmt w:val="lowerRoman"/>
      <w:lvlText w:val="%6."/>
      <w:lvlJc w:val="right"/>
      <w:pPr>
        <w:ind w:left="5172" w:hanging="180"/>
      </w:pPr>
    </w:lvl>
    <w:lvl w:ilvl="6" w:tplc="0C09000F" w:tentative="1">
      <w:start w:val="1"/>
      <w:numFmt w:val="decimal"/>
      <w:lvlText w:val="%7."/>
      <w:lvlJc w:val="left"/>
      <w:pPr>
        <w:ind w:left="5892" w:hanging="360"/>
      </w:pPr>
    </w:lvl>
    <w:lvl w:ilvl="7" w:tplc="0C090019" w:tentative="1">
      <w:start w:val="1"/>
      <w:numFmt w:val="lowerLetter"/>
      <w:lvlText w:val="%8."/>
      <w:lvlJc w:val="left"/>
      <w:pPr>
        <w:ind w:left="6612" w:hanging="360"/>
      </w:pPr>
    </w:lvl>
    <w:lvl w:ilvl="8" w:tplc="0C09001B" w:tentative="1">
      <w:start w:val="1"/>
      <w:numFmt w:val="lowerRoman"/>
      <w:lvlText w:val="%9."/>
      <w:lvlJc w:val="right"/>
      <w:pPr>
        <w:ind w:left="7332" w:hanging="180"/>
      </w:pPr>
    </w:lvl>
  </w:abstractNum>
  <w:abstractNum w:abstractNumId="26" w15:restartNumberingAfterBreak="1">
    <w:nsid w:val="4FD02D6D"/>
    <w:multiLevelType w:val="hybridMultilevel"/>
    <w:tmpl w:val="D8108DD0"/>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3A53AE1"/>
    <w:multiLevelType w:val="hybridMultilevel"/>
    <w:tmpl w:val="7FBCD8F8"/>
    <w:lvl w:ilvl="0" w:tplc="3C6A1A6A">
      <w:start w:val="1"/>
      <w:numFmt w:val="lowerLetter"/>
      <w:lvlText w:val="%1."/>
      <w:lvlJc w:val="left"/>
      <w:pPr>
        <w:ind w:left="1074" w:hanging="360"/>
      </w:pPr>
      <w:rPr>
        <w:rFonts w:hint="default"/>
        <w:b w:val="0"/>
        <w:b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921349"/>
    <w:multiLevelType w:val="hybridMultilevel"/>
    <w:tmpl w:val="9C60A442"/>
    <w:lvl w:ilvl="0" w:tplc="F01C24A4">
      <w:start w:val="1"/>
      <w:numFmt w:val="decimal"/>
      <w:lvlText w:val="%1."/>
      <w:lvlJc w:val="left"/>
      <w:pPr>
        <w:ind w:left="502" w:hanging="360"/>
      </w:pPr>
      <w:rPr>
        <w:rFonts w:ascii="Arial" w:hAnsi="Arial" w:cs="Arial" w:hint="default"/>
        <w:b w:val="0"/>
        <w:bCs w:val="0"/>
        <w:sz w:val="20"/>
        <w:szCs w:val="2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1">
    <w:nsid w:val="584E76A4"/>
    <w:multiLevelType w:val="hybridMultilevel"/>
    <w:tmpl w:val="9B66266E"/>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1">
    <w:nsid w:val="611F2345"/>
    <w:multiLevelType w:val="hybridMultilevel"/>
    <w:tmpl w:val="79F4198E"/>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1">
    <w:nsid w:val="62DC6F29"/>
    <w:multiLevelType w:val="hybridMultilevel"/>
    <w:tmpl w:val="78FCC990"/>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1">
    <w:nsid w:val="62FD426B"/>
    <w:multiLevelType w:val="hybridMultilevel"/>
    <w:tmpl w:val="9B4E9D74"/>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4DF1A38"/>
    <w:multiLevelType w:val="hybridMultilevel"/>
    <w:tmpl w:val="1ACEB56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52E6438"/>
    <w:multiLevelType w:val="hybridMultilevel"/>
    <w:tmpl w:val="0354EB1C"/>
    <w:lvl w:ilvl="0" w:tplc="E22C3490">
      <w:start w:val="1"/>
      <w:numFmt w:val="lowerLetter"/>
      <w:lvlText w:val="%1."/>
      <w:lvlJc w:val="left"/>
      <w:pPr>
        <w:ind w:left="1074" w:hanging="360"/>
      </w:pPr>
      <w:rPr>
        <w:rFonts w:hint="default"/>
        <w:b w:val="0"/>
        <w:bCs w:val="0"/>
        <w:sz w:val="20"/>
        <w:szCs w:val="20"/>
      </w:rPr>
    </w:lvl>
    <w:lvl w:ilvl="1" w:tplc="0C09001B">
      <w:start w:val="1"/>
      <w:numFmt w:val="lowerRoman"/>
      <w:lvlText w:val="%2."/>
      <w:lvlJc w:val="right"/>
      <w:pPr>
        <w:ind w:left="1870" w:hanging="360"/>
      </w:pPr>
    </w:lvl>
    <w:lvl w:ilvl="2" w:tplc="0C09000F">
      <w:start w:val="1"/>
      <w:numFmt w:val="decimal"/>
      <w:lvlText w:val="%3."/>
      <w:lvlJc w:val="lef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35" w15:restartNumberingAfterBreak="0">
    <w:nsid w:val="695E7EE1"/>
    <w:multiLevelType w:val="hybridMultilevel"/>
    <w:tmpl w:val="7FBCD8F8"/>
    <w:lvl w:ilvl="0" w:tplc="3C6A1A6A">
      <w:start w:val="1"/>
      <w:numFmt w:val="lowerLetter"/>
      <w:lvlText w:val="%1."/>
      <w:lvlJc w:val="left"/>
      <w:pPr>
        <w:ind w:left="1074" w:hanging="360"/>
      </w:pPr>
      <w:rPr>
        <w:rFonts w:hint="default"/>
        <w:b w:val="0"/>
        <w:b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1">
    <w:nsid w:val="730D7F8B"/>
    <w:multiLevelType w:val="hybridMultilevel"/>
    <w:tmpl w:val="76480D5E"/>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4CB6A6B"/>
    <w:multiLevelType w:val="hybridMultilevel"/>
    <w:tmpl w:val="B966098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1">
    <w:nsid w:val="79661D2E"/>
    <w:multiLevelType w:val="hybridMultilevel"/>
    <w:tmpl w:val="6B32E3D4"/>
    <w:lvl w:ilvl="0" w:tplc="020A7F8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1">
    <w:nsid w:val="7CDB27B1"/>
    <w:multiLevelType w:val="hybridMultilevel"/>
    <w:tmpl w:val="D5BABF18"/>
    <w:lvl w:ilvl="0" w:tplc="85185120">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1">
      <w:start w:val="1"/>
      <w:numFmt w:val="bullet"/>
      <w:lvlText w:val=""/>
      <w:lvlJc w:val="left"/>
      <w:pPr>
        <w:ind w:left="1800" w:hanging="180"/>
      </w:pPr>
      <w:rPr>
        <w:rFonts w:ascii="Symbol" w:hAnsi="Symbol" w:hint="default"/>
      </w:r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7F4675FE"/>
    <w:multiLevelType w:val="multilevel"/>
    <w:tmpl w:val="E280013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13"/>
  </w:num>
  <w:num w:numId="4">
    <w:abstractNumId w:val="5"/>
  </w:num>
  <w:num w:numId="5">
    <w:abstractNumId w:val="14"/>
  </w:num>
  <w:num w:numId="6">
    <w:abstractNumId w:val="22"/>
  </w:num>
  <w:num w:numId="7">
    <w:abstractNumId w:val="19"/>
  </w:num>
  <w:num w:numId="8">
    <w:abstractNumId w:val="10"/>
  </w:num>
  <w:num w:numId="9">
    <w:abstractNumId w:val="40"/>
  </w:num>
  <w:num w:numId="1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16"/>
  </w:num>
  <w:num w:numId="17">
    <w:abstractNumId w:val="28"/>
  </w:num>
  <w:num w:numId="18">
    <w:abstractNumId w:val="34"/>
  </w:num>
  <w:num w:numId="19">
    <w:abstractNumId w:val="35"/>
  </w:num>
  <w:num w:numId="20">
    <w:abstractNumId w:val="39"/>
  </w:num>
  <w:num w:numId="21">
    <w:abstractNumId w:val="7"/>
  </w:num>
  <w:num w:numId="22">
    <w:abstractNumId w:val="33"/>
  </w:num>
  <w:num w:numId="23">
    <w:abstractNumId w:val="23"/>
  </w:num>
  <w:num w:numId="24">
    <w:abstractNumId w:val="4"/>
  </w:num>
  <w:num w:numId="25">
    <w:abstractNumId w:val="1"/>
  </w:num>
  <w:num w:numId="26">
    <w:abstractNumId w:val="2"/>
  </w:num>
  <w:num w:numId="27">
    <w:abstractNumId w:val="20"/>
  </w:num>
  <w:num w:numId="28">
    <w:abstractNumId w:val="27"/>
  </w:num>
  <w:num w:numId="29">
    <w:abstractNumId w:val="12"/>
  </w:num>
  <w:num w:numId="30">
    <w:abstractNumId w:val="0"/>
  </w:num>
  <w:num w:numId="31">
    <w:abstractNumId w:val="38"/>
  </w:num>
  <w:num w:numId="32">
    <w:abstractNumId w:val="32"/>
  </w:num>
  <w:num w:numId="33">
    <w:abstractNumId w:val="36"/>
  </w:num>
  <w:num w:numId="34">
    <w:abstractNumId w:val="9"/>
  </w:num>
  <w:num w:numId="35">
    <w:abstractNumId w:val="26"/>
  </w:num>
  <w:num w:numId="36">
    <w:abstractNumId w:val="31"/>
  </w:num>
  <w:num w:numId="37">
    <w:abstractNumId w:val="29"/>
  </w:num>
  <w:num w:numId="38">
    <w:abstractNumId w:val="8"/>
  </w:num>
  <w:num w:numId="39">
    <w:abstractNumId w:val="17"/>
  </w:num>
  <w:num w:numId="40">
    <w:abstractNumId w:val="18"/>
  </w:num>
  <w:num w:numId="41">
    <w:abstractNumId w:val="30"/>
  </w:num>
  <w:num w:numId="42">
    <w:abstractNumId w:val="25"/>
  </w:num>
  <w:num w:numId="43">
    <w:abstractNumId w:val="37"/>
  </w:num>
  <w:num w:numId="44">
    <w:abstractNumId w:val="11"/>
  </w:num>
  <w:num w:numId="45">
    <w:abstractNumId w:val="3"/>
  </w:num>
  <w:num w:numId="46">
    <w:abstractNumId w:val="2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trackRevisions/>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274"/>
    <w:rsid w:val="0000063E"/>
    <w:rsid w:val="000019CD"/>
    <w:rsid w:val="00001E62"/>
    <w:rsid w:val="000036A5"/>
    <w:rsid w:val="00006283"/>
    <w:rsid w:val="0000694C"/>
    <w:rsid w:val="000105AF"/>
    <w:rsid w:val="0001332C"/>
    <w:rsid w:val="00017338"/>
    <w:rsid w:val="00017EBE"/>
    <w:rsid w:val="00021DC9"/>
    <w:rsid w:val="00021DD4"/>
    <w:rsid w:val="00021F27"/>
    <w:rsid w:val="000225E0"/>
    <w:rsid w:val="00022AA7"/>
    <w:rsid w:val="00023447"/>
    <w:rsid w:val="0002617E"/>
    <w:rsid w:val="00026DB0"/>
    <w:rsid w:val="00026DF5"/>
    <w:rsid w:val="00027C64"/>
    <w:rsid w:val="00030559"/>
    <w:rsid w:val="0003160C"/>
    <w:rsid w:val="00035359"/>
    <w:rsid w:val="000354D1"/>
    <w:rsid w:val="00040284"/>
    <w:rsid w:val="00041350"/>
    <w:rsid w:val="00042D74"/>
    <w:rsid w:val="00045198"/>
    <w:rsid w:val="0004543E"/>
    <w:rsid w:val="0004577C"/>
    <w:rsid w:val="00046830"/>
    <w:rsid w:val="0004759A"/>
    <w:rsid w:val="00050A08"/>
    <w:rsid w:val="00050D39"/>
    <w:rsid w:val="00051B28"/>
    <w:rsid w:val="00052E3C"/>
    <w:rsid w:val="00055ADF"/>
    <w:rsid w:val="000562DC"/>
    <w:rsid w:val="00057088"/>
    <w:rsid w:val="0005720C"/>
    <w:rsid w:val="00057B9A"/>
    <w:rsid w:val="000601F6"/>
    <w:rsid w:val="000603C7"/>
    <w:rsid w:val="00060614"/>
    <w:rsid w:val="00065CC4"/>
    <w:rsid w:val="00066474"/>
    <w:rsid w:val="00066E43"/>
    <w:rsid w:val="000675E2"/>
    <w:rsid w:val="00071F29"/>
    <w:rsid w:val="000725CE"/>
    <w:rsid w:val="00072A9B"/>
    <w:rsid w:val="00074268"/>
    <w:rsid w:val="000743D4"/>
    <w:rsid w:val="00074600"/>
    <w:rsid w:val="000749C6"/>
    <w:rsid w:val="000755E0"/>
    <w:rsid w:val="00077E1D"/>
    <w:rsid w:val="000811D2"/>
    <w:rsid w:val="00081A9B"/>
    <w:rsid w:val="000826E0"/>
    <w:rsid w:val="00083889"/>
    <w:rsid w:val="0008393B"/>
    <w:rsid w:val="00084923"/>
    <w:rsid w:val="00090629"/>
    <w:rsid w:val="0009074D"/>
    <w:rsid w:val="00090A32"/>
    <w:rsid w:val="00090D74"/>
    <w:rsid w:val="000910E3"/>
    <w:rsid w:val="000926FF"/>
    <w:rsid w:val="00092F49"/>
    <w:rsid w:val="00094817"/>
    <w:rsid w:val="00094E06"/>
    <w:rsid w:val="000960DE"/>
    <w:rsid w:val="00097FD9"/>
    <w:rsid w:val="000A191B"/>
    <w:rsid w:val="000A44D0"/>
    <w:rsid w:val="000A679C"/>
    <w:rsid w:val="000B2041"/>
    <w:rsid w:val="000B30E1"/>
    <w:rsid w:val="000B72EE"/>
    <w:rsid w:val="000C66A1"/>
    <w:rsid w:val="000D1EE5"/>
    <w:rsid w:val="000D2CD0"/>
    <w:rsid w:val="000D47EF"/>
    <w:rsid w:val="000E08FF"/>
    <w:rsid w:val="000E0B28"/>
    <w:rsid w:val="000E4986"/>
    <w:rsid w:val="000E65CB"/>
    <w:rsid w:val="000E718A"/>
    <w:rsid w:val="000E784E"/>
    <w:rsid w:val="000F0158"/>
    <w:rsid w:val="000F2C12"/>
    <w:rsid w:val="000F3D7E"/>
    <w:rsid w:val="000F5A02"/>
    <w:rsid w:val="000F60EF"/>
    <w:rsid w:val="000F6333"/>
    <w:rsid w:val="00101B5B"/>
    <w:rsid w:val="0010275C"/>
    <w:rsid w:val="00103679"/>
    <w:rsid w:val="00104593"/>
    <w:rsid w:val="001073CD"/>
    <w:rsid w:val="001076B3"/>
    <w:rsid w:val="00107C54"/>
    <w:rsid w:val="00111885"/>
    <w:rsid w:val="00111B33"/>
    <w:rsid w:val="00112A43"/>
    <w:rsid w:val="00112C22"/>
    <w:rsid w:val="00113A6D"/>
    <w:rsid w:val="00114F34"/>
    <w:rsid w:val="00116641"/>
    <w:rsid w:val="00116A36"/>
    <w:rsid w:val="00116E25"/>
    <w:rsid w:val="00117498"/>
    <w:rsid w:val="00120D15"/>
    <w:rsid w:val="001229DF"/>
    <w:rsid w:val="001237E4"/>
    <w:rsid w:val="00124F58"/>
    <w:rsid w:val="00127DC1"/>
    <w:rsid w:val="00132AFF"/>
    <w:rsid w:val="0013316B"/>
    <w:rsid w:val="001339CD"/>
    <w:rsid w:val="00134563"/>
    <w:rsid w:val="00135C75"/>
    <w:rsid w:val="001366BB"/>
    <w:rsid w:val="0013687D"/>
    <w:rsid w:val="0013727A"/>
    <w:rsid w:val="001409F9"/>
    <w:rsid w:val="00141BAB"/>
    <w:rsid w:val="00145575"/>
    <w:rsid w:val="001458F8"/>
    <w:rsid w:val="00145A6C"/>
    <w:rsid w:val="00145DBA"/>
    <w:rsid w:val="00147B60"/>
    <w:rsid w:val="001506F1"/>
    <w:rsid w:val="00155B69"/>
    <w:rsid w:val="001561D3"/>
    <w:rsid w:val="001564B5"/>
    <w:rsid w:val="00157799"/>
    <w:rsid w:val="00157DA2"/>
    <w:rsid w:val="001601F6"/>
    <w:rsid w:val="00160293"/>
    <w:rsid w:val="001607B5"/>
    <w:rsid w:val="0016115F"/>
    <w:rsid w:val="00162822"/>
    <w:rsid w:val="00162FEC"/>
    <w:rsid w:val="0016318F"/>
    <w:rsid w:val="00163C62"/>
    <w:rsid w:val="00166B06"/>
    <w:rsid w:val="001676FF"/>
    <w:rsid w:val="00167AF1"/>
    <w:rsid w:val="00171A85"/>
    <w:rsid w:val="00172783"/>
    <w:rsid w:val="00173A64"/>
    <w:rsid w:val="00174D46"/>
    <w:rsid w:val="00174E0F"/>
    <w:rsid w:val="00175B9A"/>
    <w:rsid w:val="00177218"/>
    <w:rsid w:val="00177353"/>
    <w:rsid w:val="00177CDF"/>
    <w:rsid w:val="001809D7"/>
    <w:rsid w:val="0018325B"/>
    <w:rsid w:val="00184870"/>
    <w:rsid w:val="00184A4E"/>
    <w:rsid w:val="00185A32"/>
    <w:rsid w:val="00185ABE"/>
    <w:rsid w:val="00186321"/>
    <w:rsid w:val="0018732D"/>
    <w:rsid w:val="001926EC"/>
    <w:rsid w:val="00194391"/>
    <w:rsid w:val="001954D7"/>
    <w:rsid w:val="00197AD0"/>
    <w:rsid w:val="001A101B"/>
    <w:rsid w:val="001A443C"/>
    <w:rsid w:val="001A57D4"/>
    <w:rsid w:val="001A5C1F"/>
    <w:rsid w:val="001A76A4"/>
    <w:rsid w:val="001B0B74"/>
    <w:rsid w:val="001B1272"/>
    <w:rsid w:val="001B2117"/>
    <w:rsid w:val="001B256B"/>
    <w:rsid w:val="001B321D"/>
    <w:rsid w:val="001B39D2"/>
    <w:rsid w:val="001B41B1"/>
    <w:rsid w:val="001B5D35"/>
    <w:rsid w:val="001C044C"/>
    <w:rsid w:val="001C0452"/>
    <w:rsid w:val="001C0706"/>
    <w:rsid w:val="001C1E07"/>
    <w:rsid w:val="001C2050"/>
    <w:rsid w:val="001C2399"/>
    <w:rsid w:val="001C27C9"/>
    <w:rsid w:val="001C2BE8"/>
    <w:rsid w:val="001C331C"/>
    <w:rsid w:val="001C3BBC"/>
    <w:rsid w:val="001C3F6F"/>
    <w:rsid w:val="001C5CF8"/>
    <w:rsid w:val="001C7763"/>
    <w:rsid w:val="001D022E"/>
    <w:rsid w:val="001D03FC"/>
    <w:rsid w:val="001D2D6C"/>
    <w:rsid w:val="001E060D"/>
    <w:rsid w:val="001E08D2"/>
    <w:rsid w:val="001E1086"/>
    <w:rsid w:val="001E18D0"/>
    <w:rsid w:val="001E21CF"/>
    <w:rsid w:val="001E365F"/>
    <w:rsid w:val="001E7023"/>
    <w:rsid w:val="001F06C3"/>
    <w:rsid w:val="001F0711"/>
    <w:rsid w:val="001F0C6D"/>
    <w:rsid w:val="001F10C4"/>
    <w:rsid w:val="001F32E5"/>
    <w:rsid w:val="001F4CF3"/>
    <w:rsid w:val="001F6E1A"/>
    <w:rsid w:val="00200BFB"/>
    <w:rsid w:val="00200CB2"/>
    <w:rsid w:val="002011A5"/>
    <w:rsid w:val="002015ED"/>
    <w:rsid w:val="00204E6C"/>
    <w:rsid w:val="00205318"/>
    <w:rsid w:val="00206CCD"/>
    <w:rsid w:val="00206DEE"/>
    <w:rsid w:val="002077F5"/>
    <w:rsid w:val="0021155E"/>
    <w:rsid w:val="00212F24"/>
    <w:rsid w:val="00213A82"/>
    <w:rsid w:val="00215C01"/>
    <w:rsid w:val="002209AA"/>
    <w:rsid w:val="00220FDF"/>
    <w:rsid w:val="00221395"/>
    <w:rsid w:val="002216F7"/>
    <w:rsid w:val="002257DA"/>
    <w:rsid w:val="00225A86"/>
    <w:rsid w:val="00227FE2"/>
    <w:rsid w:val="002305BA"/>
    <w:rsid w:val="00235D76"/>
    <w:rsid w:val="00236791"/>
    <w:rsid w:val="00236F5A"/>
    <w:rsid w:val="00240CC8"/>
    <w:rsid w:val="00241D8B"/>
    <w:rsid w:val="00242A02"/>
    <w:rsid w:val="0024459B"/>
    <w:rsid w:val="00246DFD"/>
    <w:rsid w:val="0025020D"/>
    <w:rsid w:val="002512EF"/>
    <w:rsid w:val="00251421"/>
    <w:rsid w:val="00252B39"/>
    <w:rsid w:val="00255227"/>
    <w:rsid w:val="002560A6"/>
    <w:rsid w:val="00260FDD"/>
    <w:rsid w:val="00261C3F"/>
    <w:rsid w:val="00262DB9"/>
    <w:rsid w:val="00262DEB"/>
    <w:rsid w:val="00263536"/>
    <w:rsid w:val="002640A8"/>
    <w:rsid w:val="00266EBE"/>
    <w:rsid w:val="0026780F"/>
    <w:rsid w:val="00270D34"/>
    <w:rsid w:val="002710AA"/>
    <w:rsid w:val="002723D7"/>
    <w:rsid w:val="00272DE9"/>
    <w:rsid w:val="00272F70"/>
    <w:rsid w:val="00274107"/>
    <w:rsid w:val="00274E3C"/>
    <w:rsid w:val="00275250"/>
    <w:rsid w:val="002768A7"/>
    <w:rsid w:val="002836CB"/>
    <w:rsid w:val="0028458B"/>
    <w:rsid w:val="00284EE0"/>
    <w:rsid w:val="002855AD"/>
    <w:rsid w:val="002859A6"/>
    <w:rsid w:val="00286628"/>
    <w:rsid w:val="0029094B"/>
    <w:rsid w:val="00292148"/>
    <w:rsid w:val="002931D1"/>
    <w:rsid w:val="00295CE6"/>
    <w:rsid w:val="002967CE"/>
    <w:rsid w:val="00296D6F"/>
    <w:rsid w:val="00296F48"/>
    <w:rsid w:val="0029727C"/>
    <w:rsid w:val="002972EE"/>
    <w:rsid w:val="00297B1C"/>
    <w:rsid w:val="002A1596"/>
    <w:rsid w:val="002A2F94"/>
    <w:rsid w:val="002A3605"/>
    <w:rsid w:val="002A3784"/>
    <w:rsid w:val="002A46ED"/>
    <w:rsid w:val="002A5A40"/>
    <w:rsid w:val="002A628F"/>
    <w:rsid w:val="002B05C2"/>
    <w:rsid w:val="002B0692"/>
    <w:rsid w:val="002B0FE9"/>
    <w:rsid w:val="002B1835"/>
    <w:rsid w:val="002B3217"/>
    <w:rsid w:val="002C0F4F"/>
    <w:rsid w:val="002C4FEE"/>
    <w:rsid w:val="002C5D50"/>
    <w:rsid w:val="002D0874"/>
    <w:rsid w:val="002D0D64"/>
    <w:rsid w:val="002D1658"/>
    <w:rsid w:val="002D1C92"/>
    <w:rsid w:val="002D42C3"/>
    <w:rsid w:val="002D68CB"/>
    <w:rsid w:val="002D6EF2"/>
    <w:rsid w:val="002E05BD"/>
    <w:rsid w:val="002E4818"/>
    <w:rsid w:val="002F09D2"/>
    <w:rsid w:val="002F0BF5"/>
    <w:rsid w:val="002F1E4A"/>
    <w:rsid w:val="002F300F"/>
    <w:rsid w:val="002F43CB"/>
    <w:rsid w:val="002F48D8"/>
    <w:rsid w:val="002F514A"/>
    <w:rsid w:val="002F5AB7"/>
    <w:rsid w:val="002F77B6"/>
    <w:rsid w:val="00301147"/>
    <w:rsid w:val="00301378"/>
    <w:rsid w:val="00303512"/>
    <w:rsid w:val="00303522"/>
    <w:rsid w:val="00303892"/>
    <w:rsid w:val="00303A30"/>
    <w:rsid w:val="00304B1D"/>
    <w:rsid w:val="00304CA9"/>
    <w:rsid w:val="00305A9A"/>
    <w:rsid w:val="00310CE1"/>
    <w:rsid w:val="00310F80"/>
    <w:rsid w:val="003127EA"/>
    <w:rsid w:val="00312985"/>
    <w:rsid w:val="00313AA9"/>
    <w:rsid w:val="00316B08"/>
    <w:rsid w:val="00316B56"/>
    <w:rsid w:val="00316DF7"/>
    <w:rsid w:val="003176E1"/>
    <w:rsid w:val="003226A0"/>
    <w:rsid w:val="0032424B"/>
    <w:rsid w:val="00324A69"/>
    <w:rsid w:val="0032595A"/>
    <w:rsid w:val="00326909"/>
    <w:rsid w:val="0033093C"/>
    <w:rsid w:val="00332FC1"/>
    <w:rsid w:val="00333C6C"/>
    <w:rsid w:val="00334819"/>
    <w:rsid w:val="00334D10"/>
    <w:rsid w:val="00336E25"/>
    <w:rsid w:val="00337838"/>
    <w:rsid w:val="003378A0"/>
    <w:rsid w:val="00337C95"/>
    <w:rsid w:val="00340E9C"/>
    <w:rsid w:val="00341112"/>
    <w:rsid w:val="00344F86"/>
    <w:rsid w:val="0034529F"/>
    <w:rsid w:val="00347534"/>
    <w:rsid w:val="0034789B"/>
    <w:rsid w:val="00350157"/>
    <w:rsid w:val="00350DE5"/>
    <w:rsid w:val="003510B7"/>
    <w:rsid w:val="00351750"/>
    <w:rsid w:val="003524CF"/>
    <w:rsid w:val="0035496D"/>
    <w:rsid w:val="00356DCF"/>
    <w:rsid w:val="003579E7"/>
    <w:rsid w:val="00357D16"/>
    <w:rsid w:val="003616C1"/>
    <w:rsid w:val="00361E80"/>
    <w:rsid w:val="00362EF3"/>
    <w:rsid w:val="00363295"/>
    <w:rsid w:val="00363DA9"/>
    <w:rsid w:val="00366555"/>
    <w:rsid w:val="00366B18"/>
    <w:rsid w:val="0036712F"/>
    <w:rsid w:val="00367B8E"/>
    <w:rsid w:val="00370345"/>
    <w:rsid w:val="00370463"/>
    <w:rsid w:val="00372A9B"/>
    <w:rsid w:val="0037302C"/>
    <w:rsid w:val="003730AB"/>
    <w:rsid w:val="00373FB3"/>
    <w:rsid w:val="00374973"/>
    <w:rsid w:val="003764A4"/>
    <w:rsid w:val="0037729D"/>
    <w:rsid w:val="00380156"/>
    <w:rsid w:val="003810A8"/>
    <w:rsid w:val="003841C6"/>
    <w:rsid w:val="003845CC"/>
    <w:rsid w:val="003905F0"/>
    <w:rsid w:val="003926AD"/>
    <w:rsid w:val="00393183"/>
    <w:rsid w:val="00395E55"/>
    <w:rsid w:val="003977FA"/>
    <w:rsid w:val="00397AFF"/>
    <w:rsid w:val="003A0CA6"/>
    <w:rsid w:val="003A77AE"/>
    <w:rsid w:val="003B0ED3"/>
    <w:rsid w:val="003B1718"/>
    <w:rsid w:val="003B35F7"/>
    <w:rsid w:val="003B4320"/>
    <w:rsid w:val="003B6014"/>
    <w:rsid w:val="003B6E98"/>
    <w:rsid w:val="003C05AE"/>
    <w:rsid w:val="003C1143"/>
    <w:rsid w:val="003C1783"/>
    <w:rsid w:val="003C2334"/>
    <w:rsid w:val="003C23BF"/>
    <w:rsid w:val="003C382B"/>
    <w:rsid w:val="003C4404"/>
    <w:rsid w:val="003C6F4F"/>
    <w:rsid w:val="003D51FD"/>
    <w:rsid w:val="003D6274"/>
    <w:rsid w:val="003D6734"/>
    <w:rsid w:val="003D7ED3"/>
    <w:rsid w:val="003E082A"/>
    <w:rsid w:val="003E0DF7"/>
    <w:rsid w:val="003E6063"/>
    <w:rsid w:val="003F098F"/>
    <w:rsid w:val="003F1386"/>
    <w:rsid w:val="003F387D"/>
    <w:rsid w:val="003F4AF5"/>
    <w:rsid w:val="003F4E8F"/>
    <w:rsid w:val="003F67FA"/>
    <w:rsid w:val="003F725D"/>
    <w:rsid w:val="0040019C"/>
    <w:rsid w:val="00400B1E"/>
    <w:rsid w:val="004018BA"/>
    <w:rsid w:val="00401906"/>
    <w:rsid w:val="00406DEC"/>
    <w:rsid w:val="00410766"/>
    <w:rsid w:val="00411979"/>
    <w:rsid w:val="00411D5D"/>
    <w:rsid w:val="00413E61"/>
    <w:rsid w:val="00414026"/>
    <w:rsid w:val="00415D7D"/>
    <w:rsid w:val="004160BF"/>
    <w:rsid w:val="00416745"/>
    <w:rsid w:val="00417B14"/>
    <w:rsid w:val="00420854"/>
    <w:rsid w:val="00422BFE"/>
    <w:rsid w:val="004231C7"/>
    <w:rsid w:val="00423204"/>
    <w:rsid w:val="00424B9D"/>
    <w:rsid w:val="004266FE"/>
    <w:rsid w:val="00427584"/>
    <w:rsid w:val="0043069A"/>
    <w:rsid w:val="00430BC5"/>
    <w:rsid w:val="00434C6E"/>
    <w:rsid w:val="00435941"/>
    <w:rsid w:val="00435ADE"/>
    <w:rsid w:val="0043700E"/>
    <w:rsid w:val="004371C6"/>
    <w:rsid w:val="00444201"/>
    <w:rsid w:val="00446774"/>
    <w:rsid w:val="00446F15"/>
    <w:rsid w:val="004472D7"/>
    <w:rsid w:val="00447B5F"/>
    <w:rsid w:val="00450098"/>
    <w:rsid w:val="004551C4"/>
    <w:rsid w:val="00455DF0"/>
    <w:rsid w:val="004565B1"/>
    <w:rsid w:val="004619F7"/>
    <w:rsid w:val="00462A1C"/>
    <w:rsid w:val="00463458"/>
    <w:rsid w:val="004637BA"/>
    <w:rsid w:val="0046435F"/>
    <w:rsid w:val="004644C4"/>
    <w:rsid w:val="00464DE4"/>
    <w:rsid w:val="00465033"/>
    <w:rsid w:val="004651A6"/>
    <w:rsid w:val="004662F3"/>
    <w:rsid w:val="0046684C"/>
    <w:rsid w:val="00467078"/>
    <w:rsid w:val="004676A0"/>
    <w:rsid w:val="00470737"/>
    <w:rsid w:val="004709A7"/>
    <w:rsid w:val="00470A34"/>
    <w:rsid w:val="004716C2"/>
    <w:rsid w:val="00473278"/>
    <w:rsid w:val="0047721C"/>
    <w:rsid w:val="004773E5"/>
    <w:rsid w:val="00481DBA"/>
    <w:rsid w:val="00484FA9"/>
    <w:rsid w:val="004855DD"/>
    <w:rsid w:val="00485B3A"/>
    <w:rsid w:val="0048706B"/>
    <w:rsid w:val="004874B0"/>
    <w:rsid w:val="0048754F"/>
    <w:rsid w:val="0049239E"/>
    <w:rsid w:val="00492C66"/>
    <w:rsid w:val="00494296"/>
    <w:rsid w:val="00496527"/>
    <w:rsid w:val="00497288"/>
    <w:rsid w:val="004A0F8F"/>
    <w:rsid w:val="004A115B"/>
    <w:rsid w:val="004A2286"/>
    <w:rsid w:val="004A2B41"/>
    <w:rsid w:val="004A2EDC"/>
    <w:rsid w:val="004A605C"/>
    <w:rsid w:val="004B0289"/>
    <w:rsid w:val="004B3D30"/>
    <w:rsid w:val="004B425C"/>
    <w:rsid w:val="004B5073"/>
    <w:rsid w:val="004B57E5"/>
    <w:rsid w:val="004B59B8"/>
    <w:rsid w:val="004B5E14"/>
    <w:rsid w:val="004B6C63"/>
    <w:rsid w:val="004B6D70"/>
    <w:rsid w:val="004B6F14"/>
    <w:rsid w:val="004C1797"/>
    <w:rsid w:val="004C2E90"/>
    <w:rsid w:val="004C48B3"/>
    <w:rsid w:val="004C4DA9"/>
    <w:rsid w:val="004C50CA"/>
    <w:rsid w:val="004C53CD"/>
    <w:rsid w:val="004C665C"/>
    <w:rsid w:val="004C68C1"/>
    <w:rsid w:val="004C7556"/>
    <w:rsid w:val="004D1281"/>
    <w:rsid w:val="004D2324"/>
    <w:rsid w:val="004D47EC"/>
    <w:rsid w:val="004D4861"/>
    <w:rsid w:val="004D4B1F"/>
    <w:rsid w:val="004D5862"/>
    <w:rsid w:val="004D75D3"/>
    <w:rsid w:val="004E0A26"/>
    <w:rsid w:val="004E0AB9"/>
    <w:rsid w:val="004E1F89"/>
    <w:rsid w:val="004E3983"/>
    <w:rsid w:val="004E45CD"/>
    <w:rsid w:val="004E5705"/>
    <w:rsid w:val="004E6CBD"/>
    <w:rsid w:val="004E6D98"/>
    <w:rsid w:val="004E715E"/>
    <w:rsid w:val="004F1071"/>
    <w:rsid w:val="004F22CE"/>
    <w:rsid w:val="004F38AA"/>
    <w:rsid w:val="004F59AE"/>
    <w:rsid w:val="004F5BFA"/>
    <w:rsid w:val="005008BB"/>
    <w:rsid w:val="00500AFE"/>
    <w:rsid w:val="0050104E"/>
    <w:rsid w:val="00501CD5"/>
    <w:rsid w:val="005023BF"/>
    <w:rsid w:val="005027A5"/>
    <w:rsid w:val="00503CFB"/>
    <w:rsid w:val="005043BA"/>
    <w:rsid w:val="00504733"/>
    <w:rsid w:val="00505C6D"/>
    <w:rsid w:val="00506E86"/>
    <w:rsid w:val="00507DB1"/>
    <w:rsid w:val="0051258D"/>
    <w:rsid w:val="0051305F"/>
    <w:rsid w:val="005135A1"/>
    <w:rsid w:val="005171B6"/>
    <w:rsid w:val="0051799B"/>
    <w:rsid w:val="00517E36"/>
    <w:rsid w:val="00517EA2"/>
    <w:rsid w:val="00520B02"/>
    <w:rsid w:val="00521B20"/>
    <w:rsid w:val="00522324"/>
    <w:rsid w:val="0052307D"/>
    <w:rsid w:val="00523BE3"/>
    <w:rsid w:val="00524392"/>
    <w:rsid w:val="00524ABD"/>
    <w:rsid w:val="00524D75"/>
    <w:rsid w:val="00525241"/>
    <w:rsid w:val="005255B0"/>
    <w:rsid w:val="00530157"/>
    <w:rsid w:val="00530E71"/>
    <w:rsid w:val="00532400"/>
    <w:rsid w:val="0053260B"/>
    <w:rsid w:val="0053386D"/>
    <w:rsid w:val="00534AE0"/>
    <w:rsid w:val="00534B4D"/>
    <w:rsid w:val="005404C0"/>
    <w:rsid w:val="00542070"/>
    <w:rsid w:val="00542BB1"/>
    <w:rsid w:val="00543C86"/>
    <w:rsid w:val="0054451E"/>
    <w:rsid w:val="00544AE1"/>
    <w:rsid w:val="0054560C"/>
    <w:rsid w:val="00550FA0"/>
    <w:rsid w:val="0055103B"/>
    <w:rsid w:val="00551104"/>
    <w:rsid w:val="00554E6D"/>
    <w:rsid w:val="005568BE"/>
    <w:rsid w:val="00556ED9"/>
    <w:rsid w:val="00557F5D"/>
    <w:rsid w:val="00560178"/>
    <w:rsid w:val="005604BE"/>
    <w:rsid w:val="00561EFD"/>
    <w:rsid w:val="0056220E"/>
    <w:rsid w:val="00562F48"/>
    <w:rsid w:val="00563C17"/>
    <w:rsid w:val="005648FF"/>
    <w:rsid w:val="00565882"/>
    <w:rsid w:val="0057170B"/>
    <w:rsid w:val="00572B60"/>
    <w:rsid w:val="00573DB1"/>
    <w:rsid w:val="005749E1"/>
    <w:rsid w:val="00575C6A"/>
    <w:rsid w:val="00575FB9"/>
    <w:rsid w:val="00576080"/>
    <w:rsid w:val="00576348"/>
    <w:rsid w:val="005765D2"/>
    <w:rsid w:val="00576B8F"/>
    <w:rsid w:val="00580B4E"/>
    <w:rsid w:val="00581FC3"/>
    <w:rsid w:val="005850DE"/>
    <w:rsid w:val="00585D9A"/>
    <w:rsid w:val="005903CB"/>
    <w:rsid w:val="00591545"/>
    <w:rsid w:val="00591F78"/>
    <w:rsid w:val="0059467A"/>
    <w:rsid w:val="00594BF3"/>
    <w:rsid w:val="00596B1D"/>
    <w:rsid w:val="005974FD"/>
    <w:rsid w:val="005A0A37"/>
    <w:rsid w:val="005A2EBC"/>
    <w:rsid w:val="005A33C2"/>
    <w:rsid w:val="005A5945"/>
    <w:rsid w:val="005A7794"/>
    <w:rsid w:val="005B05A9"/>
    <w:rsid w:val="005B1CF5"/>
    <w:rsid w:val="005B2337"/>
    <w:rsid w:val="005B3CE1"/>
    <w:rsid w:val="005B6041"/>
    <w:rsid w:val="005B7214"/>
    <w:rsid w:val="005C0FD5"/>
    <w:rsid w:val="005C2F0E"/>
    <w:rsid w:val="005C3685"/>
    <w:rsid w:val="005C5D82"/>
    <w:rsid w:val="005C65AC"/>
    <w:rsid w:val="005C7016"/>
    <w:rsid w:val="005D0F6E"/>
    <w:rsid w:val="005D1B44"/>
    <w:rsid w:val="005D236F"/>
    <w:rsid w:val="005D3010"/>
    <w:rsid w:val="005D38CD"/>
    <w:rsid w:val="005D3E6F"/>
    <w:rsid w:val="005D4A14"/>
    <w:rsid w:val="005D65CE"/>
    <w:rsid w:val="005E05B0"/>
    <w:rsid w:val="005E211A"/>
    <w:rsid w:val="005E4B1E"/>
    <w:rsid w:val="005E6EE5"/>
    <w:rsid w:val="005F0830"/>
    <w:rsid w:val="005F1B29"/>
    <w:rsid w:val="005F234F"/>
    <w:rsid w:val="005F2CED"/>
    <w:rsid w:val="005F3B2C"/>
    <w:rsid w:val="005F3D5D"/>
    <w:rsid w:val="005F4BE9"/>
    <w:rsid w:val="005F5227"/>
    <w:rsid w:val="005F5767"/>
    <w:rsid w:val="005F6C88"/>
    <w:rsid w:val="005F73A2"/>
    <w:rsid w:val="00604FD2"/>
    <w:rsid w:val="00605186"/>
    <w:rsid w:val="00605D2E"/>
    <w:rsid w:val="00605D95"/>
    <w:rsid w:val="00606781"/>
    <w:rsid w:val="006071E6"/>
    <w:rsid w:val="00607F3A"/>
    <w:rsid w:val="00611F4B"/>
    <w:rsid w:val="00613157"/>
    <w:rsid w:val="006144C1"/>
    <w:rsid w:val="00615F03"/>
    <w:rsid w:val="006164FB"/>
    <w:rsid w:val="006168CC"/>
    <w:rsid w:val="006177B5"/>
    <w:rsid w:val="00617FB0"/>
    <w:rsid w:val="00620115"/>
    <w:rsid w:val="0062235B"/>
    <w:rsid w:val="00622BCB"/>
    <w:rsid w:val="006233CC"/>
    <w:rsid w:val="00623992"/>
    <w:rsid w:val="00624B9B"/>
    <w:rsid w:val="0062521E"/>
    <w:rsid w:val="00625645"/>
    <w:rsid w:val="00626CF7"/>
    <w:rsid w:val="0062720E"/>
    <w:rsid w:val="0062733A"/>
    <w:rsid w:val="00627BF4"/>
    <w:rsid w:val="00631F09"/>
    <w:rsid w:val="00633952"/>
    <w:rsid w:val="00634463"/>
    <w:rsid w:val="00634CDA"/>
    <w:rsid w:val="00634E5E"/>
    <w:rsid w:val="00636252"/>
    <w:rsid w:val="00637565"/>
    <w:rsid w:val="00640B99"/>
    <w:rsid w:val="0064227F"/>
    <w:rsid w:val="00642EAF"/>
    <w:rsid w:val="0064432D"/>
    <w:rsid w:val="0064480A"/>
    <w:rsid w:val="00645889"/>
    <w:rsid w:val="00647B53"/>
    <w:rsid w:val="00652B34"/>
    <w:rsid w:val="00652C08"/>
    <w:rsid w:val="006563D7"/>
    <w:rsid w:val="00656C6E"/>
    <w:rsid w:val="00660472"/>
    <w:rsid w:val="006607D6"/>
    <w:rsid w:val="00661C50"/>
    <w:rsid w:val="00663834"/>
    <w:rsid w:val="00663E30"/>
    <w:rsid w:val="00664390"/>
    <w:rsid w:val="006644DD"/>
    <w:rsid w:val="006647FF"/>
    <w:rsid w:val="006653A4"/>
    <w:rsid w:val="0067085C"/>
    <w:rsid w:val="00671872"/>
    <w:rsid w:val="0067337C"/>
    <w:rsid w:val="0067532D"/>
    <w:rsid w:val="00675639"/>
    <w:rsid w:val="0067597A"/>
    <w:rsid w:val="006765AB"/>
    <w:rsid w:val="00676E52"/>
    <w:rsid w:val="00677145"/>
    <w:rsid w:val="00677E68"/>
    <w:rsid w:val="0068028D"/>
    <w:rsid w:val="00680B2C"/>
    <w:rsid w:val="00680D8D"/>
    <w:rsid w:val="00682DF5"/>
    <w:rsid w:val="00682E39"/>
    <w:rsid w:val="006859CC"/>
    <w:rsid w:val="00686A4B"/>
    <w:rsid w:val="00686BD8"/>
    <w:rsid w:val="00686CA7"/>
    <w:rsid w:val="00687AED"/>
    <w:rsid w:val="00687C82"/>
    <w:rsid w:val="00692B40"/>
    <w:rsid w:val="00692C2C"/>
    <w:rsid w:val="00693928"/>
    <w:rsid w:val="00694744"/>
    <w:rsid w:val="00694F60"/>
    <w:rsid w:val="00695F8F"/>
    <w:rsid w:val="006A04B0"/>
    <w:rsid w:val="006A211D"/>
    <w:rsid w:val="006A3727"/>
    <w:rsid w:val="006A4E47"/>
    <w:rsid w:val="006A65E2"/>
    <w:rsid w:val="006A74C6"/>
    <w:rsid w:val="006A79D1"/>
    <w:rsid w:val="006A7CFF"/>
    <w:rsid w:val="006B17CE"/>
    <w:rsid w:val="006B4480"/>
    <w:rsid w:val="006B6BD6"/>
    <w:rsid w:val="006C558A"/>
    <w:rsid w:val="006C5873"/>
    <w:rsid w:val="006C594E"/>
    <w:rsid w:val="006D0237"/>
    <w:rsid w:val="006D1866"/>
    <w:rsid w:val="006D2BB9"/>
    <w:rsid w:val="006D353B"/>
    <w:rsid w:val="006D3A53"/>
    <w:rsid w:val="006D72E0"/>
    <w:rsid w:val="006D7B8E"/>
    <w:rsid w:val="006E2199"/>
    <w:rsid w:val="006E68DB"/>
    <w:rsid w:val="006E7AFB"/>
    <w:rsid w:val="006F06FC"/>
    <w:rsid w:val="006F1D3D"/>
    <w:rsid w:val="006F25D5"/>
    <w:rsid w:val="006F481C"/>
    <w:rsid w:val="00700258"/>
    <w:rsid w:val="00700745"/>
    <w:rsid w:val="00701146"/>
    <w:rsid w:val="00702299"/>
    <w:rsid w:val="00703441"/>
    <w:rsid w:val="00703922"/>
    <w:rsid w:val="00703F72"/>
    <w:rsid w:val="00704AD5"/>
    <w:rsid w:val="00707A4C"/>
    <w:rsid w:val="00710936"/>
    <w:rsid w:val="00710942"/>
    <w:rsid w:val="00710F92"/>
    <w:rsid w:val="00711FFD"/>
    <w:rsid w:val="00712BA8"/>
    <w:rsid w:val="00712C3C"/>
    <w:rsid w:val="00713758"/>
    <w:rsid w:val="007142AF"/>
    <w:rsid w:val="00715C8A"/>
    <w:rsid w:val="0072171E"/>
    <w:rsid w:val="007236A2"/>
    <w:rsid w:val="00725DF7"/>
    <w:rsid w:val="00725FAA"/>
    <w:rsid w:val="00725FCD"/>
    <w:rsid w:val="00726591"/>
    <w:rsid w:val="00726771"/>
    <w:rsid w:val="00730F2C"/>
    <w:rsid w:val="007330F7"/>
    <w:rsid w:val="0073349F"/>
    <w:rsid w:val="00733B47"/>
    <w:rsid w:val="00735A52"/>
    <w:rsid w:val="00737142"/>
    <w:rsid w:val="00741F8B"/>
    <w:rsid w:val="00743FB8"/>
    <w:rsid w:val="0074403A"/>
    <w:rsid w:val="00744A83"/>
    <w:rsid w:val="00746EC3"/>
    <w:rsid w:val="0074715C"/>
    <w:rsid w:val="0074725A"/>
    <w:rsid w:val="00747907"/>
    <w:rsid w:val="007501B9"/>
    <w:rsid w:val="00750AFC"/>
    <w:rsid w:val="00752695"/>
    <w:rsid w:val="00753DD7"/>
    <w:rsid w:val="00754E6B"/>
    <w:rsid w:val="0075512F"/>
    <w:rsid w:val="00756603"/>
    <w:rsid w:val="007573C0"/>
    <w:rsid w:val="0076085D"/>
    <w:rsid w:val="0076095D"/>
    <w:rsid w:val="00761EDB"/>
    <w:rsid w:val="00763D01"/>
    <w:rsid w:val="00765D91"/>
    <w:rsid w:val="007671F2"/>
    <w:rsid w:val="00767F2D"/>
    <w:rsid w:val="00770D40"/>
    <w:rsid w:val="00770F72"/>
    <w:rsid w:val="0077220F"/>
    <w:rsid w:val="0077368F"/>
    <w:rsid w:val="00775402"/>
    <w:rsid w:val="007766CE"/>
    <w:rsid w:val="007771DB"/>
    <w:rsid w:val="007774AD"/>
    <w:rsid w:val="00777E21"/>
    <w:rsid w:val="0078028D"/>
    <w:rsid w:val="00781371"/>
    <w:rsid w:val="00783422"/>
    <w:rsid w:val="00785892"/>
    <w:rsid w:val="00787A7A"/>
    <w:rsid w:val="00790CC7"/>
    <w:rsid w:val="00791253"/>
    <w:rsid w:val="00791555"/>
    <w:rsid w:val="007919A7"/>
    <w:rsid w:val="00794A8F"/>
    <w:rsid w:val="00796A82"/>
    <w:rsid w:val="007A0586"/>
    <w:rsid w:val="007A13B0"/>
    <w:rsid w:val="007A1FD7"/>
    <w:rsid w:val="007A206A"/>
    <w:rsid w:val="007A24CB"/>
    <w:rsid w:val="007A374E"/>
    <w:rsid w:val="007A46B2"/>
    <w:rsid w:val="007A4A3E"/>
    <w:rsid w:val="007A527A"/>
    <w:rsid w:val="007A5328"/>
    <w:rsid w:val="007A68CB"/>
    <w:rsid w:val="007B18B2"/>
    <w:rsid w:val="007B2055"/>
    <w:rsid w:val="007B7616"/>
    <w:rsid w:val="007B7FFC"/>
    <w:rsid w:val="007C0E24"/>
    <w:rsid w:val="007C0FBB"/>
    <w:rsid w:val="007C26AF"/>
    <w:rsid w:val="007C2C81"/>
    <w:rsid w:val="007C2CC7"/>
    <w:rsid w:val="007C4AB5"/>
    <w:rsid w:val="007C7A23"/>
    <w:rsid w:val="007C7F08"/>
    <w:rsid w:val="007D041C"/>
    <w:rsid w:val="007D14C8"/>
    <w:rsid w:val="007D1FA6"/>
    <w:rsid w:val="007D5CA1"/>
    <w:rsid w:val="007D6BA2"/>
    <w:rsid w:val="007D7A46"/>
    <w:rsid w:val="007E1716"/>
    <w:rsid w:val="007F0641"/>
    <w:rsid w:val="007F068F"/>
    <w:rsid w:val="007F5253"/>
    <w:rsid w:val="00802D56"/>
    <w:rsid w:val="00806B4C"/>
    <w:rsid w:val="0080719C"/>
    <w:rsid w:val="008073CB"/>
    <w:rsid w:val="00810C3B"/>
    <w:rsid w:val="0081487D"/>
    <w:rsid w:val="00814BE2"/>
    <w:rsid w:val="0081536D"/>
    <w:rsid w:val="00815D0E"/>
    <w:rsid w:val="0081641F"/>
    <w:rsid w:val="00816F97"/>
    <w:rsid w:val="00817173"/>
    <w:rsid w:val="0082346E"/>
    <w:rsid w:val="008246D8"/>
    <w:rsid w:val="00824784"/>
    <w:rsid w:val="00825667"/>
    <w:rsid w:val="008263B4"/>
    <w:rsid w:val="0082718B"/>
    <w:rsid w:val="0082719A"/>
    <w:rsid w:val="008304A7"/>
    <w:rsid w:val="00831105"/>
    <w:rsid w:val="00833992"/>
    <w:rsid w:val="0083496F"/>
    <w:rsid w:val="00834BDE"/>
    <w:rsid w:val="00836E41"/>
    <w:rsid w:val="00840376"/>
    <w:rsid w:val="00842771"/>
    <w:rsid w:val="0084358A"/>
    <w:rsid w:val="00843931"/>
    <w:rsid w:val="0084597E"/>
    <w:rsid w:val="00847CC9"/>
    <w:rsid w:val="00850364"/>
    <w:rsid w:val="008508FF"/>
    <w:rsid w:val="00850A21"/>
    <w:rsid w:val="00852180"/>
    <w:rsid w:val="0085251A"/>
    <w:rsid w:val="0085460F"/>
    <w:rsid w:val="00855DB5"/>
    <w:rsid w:val="00856718"/>
    <w:rsid w:val="00857AB8"/>
    <w:rsid w:val="0086013C"/>
    <w:rsid w:val="0086244B"/>
    <w:rsid w:val="008638CF"/>
    <w:rsid w:val="00864350"/>
    <w:rsid w:val="00870993"/>
    <w:rsid w:val="0087144A"/>
    <w:rsid w:val="00871F72"/>
    <w:rsid w:val="00872C16"/>
    <w:rsid w:val="0087536C"/>
    <w:rsid w:val="0087560C"/>
    <w:rsid w:val="008762F3"/>
    <w:rsid w:val="00880EC4"/>
    <w:rsid w:val="00881801"/>
    <w:rsid w:val="008842E5"/>
    <w:rsid w:val="0088669D"/>
    <w:rsid w:val="00887167"/>
    <w:rsid w:val="00887A13"/>
    <w:rsid w:val="00890341"/>
    <w:rsid w:val="008920AC"/>
    <w:rsid w:val="00892ED6"/>
    <w:rsid w:val="00893E71"/>
    <w:rsid w:val="008942D9"/>
    <w:rsid w:val="00894B5A"/>
    <w:rsid w:val="008954B8"/>
    <w:rsid w:val="0089609C"/>
    <w:rsid w:val="00896B58"/>
    <w:rsid w:val="00896CEC"/>
    <w:rsid w:val="008A0BAC"/>
    <w:rsid w:val="008A172E"/>
    <w:rsid w:val="008A43A6"/>
    <w:rsid w:val="008A46A5"/>
    <w:rsid w:val="008A63A7"/>
    <w:rsid w:val="008A6E83"/>
    <w:rsid w:val="008B163A"/>
    <w:rsid w:val="008B2DEF"/>
    <w:rsid w:val="008B47E9"/>
    <w:rsid w:val="008B4FAC"/>
    <w:rsid w:val="008B5A4F"/>
    <w:rsid w:val="008B7415"/>
    <w:rsid w:val="008C1ECA"/>
    <w:rsid w:val="008C1F33"/>
    <w:rsid w:val="008C2329"/>
    <w:rsid w:val="008C3440"/>
    <w:rsid w:val="008C4299"/>
    <w:rsid w:val="008C7DD9"/>
    <w:rsid w:val="008D0A65"/>
    <w:rsid w:val="008D1008"/>
    <w:rsid w:val="008D147A"/>
    <w:rsid w:val="008D2039"/>
    <w:rsid w:val="008D2410"/>
    <w:rsid w:val="008D2C11"/>
    <w:rsid w:val="008D2FED"/>
    <w:rsid w:val="008D3082"/>
    <w:rsid w:val="008D310F"/>
    <w:rsid w:val="008D327F"/>
    <w:rsid w:val="008D56ED"/>
    <w:rsid w:val="008D5BB2"/>
    <w:rsid w:val="008D636B"/>
    <w:rsid w:val="008D7F9B"/>
    <w:rsid w:val="008E0314"/>
    <w:rsid w:val="008E3F6F"/>
    <w:rsid w:val="008E60EB"/>
    <w:rsid w:val="008E6A90"/>
    <w:rsid w:val="008F1F68"/>
    <w:rsid w:val="008F2274"/>
    <w:rsid w:val="008F279A"/>
    <w:rsid w:val="008F325A"/>
    <w:rsid w:val="008F3C5E"/>
    <w:rsid w:val="008F3DCD"/>
    <w:rsid w:val="008F4516"/>
    <w:rsid w:val="008F7002"/>
    <w:rsid w:val="008F7290"/>
    <w:rsid w:val="00901AD2"/>
    <w:rsid w:val="009027A9"/>
    <w:rsid w:val="009035E1"/>
    <w:rsid w:val="00906EF5"/>
    <w:rsid w:val="00907288"/>
    <w:rsid w:val="00912ACB"/>
    <w:rsid w:val="009154B5"/>
    <w:rsid w:val="009161F6"/>
    <w:rsid w:val="00921686"/>
    <w:rsid w:val="00924B4B"/>
    <w:rsid w:val="00924D86"/>
    <w:rsid w:val="00924E9E"/>
    <w:rsid w:val="00927501"/>
    <w:rsid w:val="00927D8B"/>
    <w:rsid w:val="0093175D"/>
    <w:rsid w:val="009319A3"/>
    <w:rsid w:val="00933657"/>
    <w:rsid w:val="00934AD7"/>
    <w:rsid w:val="00936057"/>
    <w:rsid w:val="009410F8"/>
    <w:rsid w:val="009411F3"/>
    <w:rsid w:val="00941342"/>
    <w:rsid w:val="0094232E"/>
    <w:rsid w:val="009424AA"/>
    <w:rsid w:val="00942B7C"/>
    <w:rsid w:val="00942C4A"/>
    <w:rsid w:val="00943A99"/>
    <w:rsid w:val="00943F14"/>
    <w:rsid w:val="00944DFB"/>
    <w:rsid w:val="009451A5"/>
    <w:rsid w:val="00945F0A"/>
    <w:rsid w:val="009479E3"/>
    <w:rsid w:val="00947D34"/>
    <w:rsid w:val="009503FA"/>
    <w:rsid w:val="00951D28"/>
    <w:rsid w:val="009571C0"/>
    <w:rsid w:val="009618BA"/>
    <w:rsid w:val="0096259B"/>
    <w:rsid w:val="00964372"/>
    <w:rsid w:val="0096684E"/>
    <w:rsid w:val="00966C5C"/>
    <w:rsid w:val="0096709C"/>
    <w:rsid w:val="00970030"/>
    <w:rsid w:val="00971B0B"/>
    <w:rsid w:val="0097240C"/>
    <w:rsid w:val="00972A02"/>
    <w:rsid w:val="00972D7C"/>
    <w:rsid w:val="00974E2B"/>
    <w:rsid w:val="00975B58"/>
    <w:rsid w:val="009779CA"/>
    <w:rsid w:val="00977A80"/>
    <w:rsid w:val="009815B5"/>
    <w:rsid w:val="0098191A"/>
    <w:rsid w:val="0098245D"/>
    <w:rsid w:val="009825E1"/>
    <w:rsid w:val="00982E22"/>
    <w:rsid w:val="00983EBB"/>
    <w:rsid w:val="00984711"/>
    <w:rsid w:val="009856BD"/>
    <w:rsid w:val="00985789"/>
    <w:rsid w:val="00985BA5"/>
    <w:rsid w:val="00986F3D"/>
    <w:rsid w:val="00990F43"/>
    <w:rsid w:val="00991A89"/>
    <w:rsid w:val="00992125"/>
    <w:rsid w:val="009925B2"/>
    <w:rsid w:val="00994731"/>
    <w:rsid w:val="009959B0"/>
    <w:rsid w:val="00996563"/>
    <w:rsid w:val="00996F0B"/>
    <w:rsid w:val="0099710A"/>
    <w:rsid w:val="009A1C72"/>
    <w:rsid w:val="009A76FB"/>
    <w:rsid w:val="009B01D3"/>
    <w:rsid w:val="009B1935"/>
    <w:rsid w:val="009B4EF5"/>
    <w:rsid w:val="009C3DC7"/>
    <w:rsid w:val="009C4697"/>
    <w:rsid w:val="009C4828"/>
    <w:rsid w:val="009C54F1"/>
    <w:rsid w:val="009D1BDB"/>
    <w:rsid w:val="009D546F"/>
    <w:rsid w:val="009D5AE4"/>
    <w:rsid w:val="009E2FFF"/>
    <w:rsid w:val="009E40E7"/>
    <w:rsid w:val="009E4114"/>
    <w:rsid w:val="009E556F"/>
    <w:rsid w:val="009E6874"/>
    <w:rsid w:val="009E68F2"/>
    <w:rsid w:val="009E694C"/>
    <w:rsid w:val="009E71F4"/>
    <w:rsid w:val="009F22FA"/>
    <w:rsid w:val="009F4867"/>
    <w:rsid w:val="009F7E5F"/>
    <w:rsid w:val="00A006A7"/>
    <w:rsid w:val="00A044EC"/>
    <w:rsid w:val="00A06182"/>
    <w:rsid w:val="00A107C6"/>
    <w:rsid w:val="00A13680"/>
    <w:rsid w:val="00A1377B"/>
    <w:rsid w:val="00A207FA"/>
    <w:rsid w:val="00A22152"/>
    <w:rsid w:val="00A229AC"/>
    <w:rsid w:val="00A22B8A"/>
    <w:rsid w:val="00A243B3"/>
    <w:rsid w:val="00A27164"/>
    <w:rsid w:val="00A27BD7"/>
    <w:rsid w:val="00A27FB9"/>
    <w:rsid w:val="00A31171"/>
    <w:rsid w:val="00A32CFD"/>
    <w:rsid w:val="00A3305A"/>
    <w:rsid w:val="00A3386F"/>
    <w:rsid w:val="00A341ED"/>
    <w:rsid w:val="00A342BF"/>
    <w:rsid w:val="00A35BCA"/>
    <w:rsid w:val="00A427F4"/>
    <w:rsid w:val="00A447A6"/>
    <w:rsid w:val="00A46671"/>
    <w:rsid w:val="00A51D27"/>
    <w:rsid w:val="00A5356E"/>
    <w:rsid w:val="00A55C43"/>
    <w:rsid w:val="00A57DDA"/>
    <w:rsid w:val="00A60ADC"/>
    <w:rsid w:val="00A634CB"/>
    <w:rsid w:val="00A65777"/>
    <w:rsid w:val="00A70E46"/>
    <w:rsid w:val="00A72F3B"/>
    <w:rsid w:val="00A7418A"/>
    <w:rsid w:val="00A762C5"/>
    <w:rsid w:val="00A76DE4"/>
    <w:rsid w:val="00A813AB"/>
    <w:rsid w:val="00A82737"/>
    <w:rsid w:val="00A8735D"/>
    <w:rsid w:val="00A874D6"/>
    <w:rsid w:val="00A91CE7"/>
    <w:rsid w:val="00A94E5F"/>
    <w:rsid w:val="00A978BC"/>
    <w:rsid w:val="00AA4B29"/>
    <w:rsid w:val="00AA60B5"/>
    <w:rsid w:val="00AA6DAE"/>
    <w:rsid w:val="00AA6DC3"/>
    <w:rsid w:val="00AA7357"/>
    <w:rsid w:val="00AB3020"/>
    <w:rsid w:val="00AB42CB"/>
    <w:rsid w:val="00AB453E"/>
    <w:rsid w:val="00AB4629"/>
    <w:rsid w:val="00AB5386"/>
    <w:rsid w:val="00AB6D24"/>
    <w:rsid w:val="00AB7564"/>
    <w:rsid w:val="00AB7BA7"/>
    <w:rsid w:val="00AC36DA"/>
    <w:rsid w:val="00AC73FE"/>
    <w:rsid w:val="00AD02CF"/>
    <w:rsid w:val="00AD06CB"/>
    <w:rsid w:val="00AD1ADD"/>
    <w:rsid w:val="00AD3423"/>
    <w:rsid w:val="00AE0662"/>
    <w:rsid w:val="00AE06F6"/>
    <w:rsid w:val="00AE1813"/>
    <w:rsid w:val="00AE194F"/>
    <w:rsid w:val="00AE29A7"/>
    <w:rsid w:val="00AE2AAE"/>
    <w:rsid w:val="00AE2E0F"/>
    <w:rsid w:val="00AE3089"/>
    <w:rsid w:val="00AE35EA"/>
    <w:rsid w:val="00AE3BF4"/>
    <w:rsid w:val="00AE3C13"/>
    <w:rsid w:val="00AE53B0"/>
    <w:rsid w:val="00AE593A"/>
    <w:rsid w:val="00AE6CEB"/>
    <w:rsid w:val="00AF2405"/>
    <w:rsid w:val="00AF39B0"/>
    <w:rsid w:val="00AF3CA3"/>
    <w:rsid w:val="00AF4748"/>
    <w:rsid w:val="00AF513C"/>
    <w:rsid w:val="00AF58EA"/>
    <w:rsid w:val="00AF595D"/>
    <w:rsid w:val="00AF5D1C"/>
    <w:rsid w:val="00AF78DD"/>
    <w:rsid w:val="00B014E9"/>
    <w:rsid w:val="00B044FE"/>
    <w:rsid w:val="00B06977"/>
    <w:rsid w:val="00B06A8A"/>
    <w:rsid w:val="00B0775F"/>
    <w:rsid w:val="00B11B8A"/>
    <w:rsid w:val="00B11F73"/>
    <w:rsid w:val="00B11FCA"/>
    <w:rsid w:val="00B15191"/>
    <w:rsid w:val="00B15C58"/>
    <w:rsid w:val="00B16AC2"/>
    <w:rsid w:val="00B17C9D"/>
    <w:rsid w:val="00B20110"/>
    <w:rsid w:val="00B21CD6"/>
    <w:rsid w:val="00B23110"/>
    <w:rsid w:val="00B25A2B"/>
    <w:rsid w:val="00B2623B"/>
    <w:rsid w:val="00B2770D"/>
    <w:rsid w:val="00B324BF"/>
    <w:rsid w:val="00B33FE8"/>
    <w:rsid w:val="00B34742"/>
    <w:rsid w:val="00B34901"/>
    <w:rsid w:val="00B351AF"/>
    <w:rsid w:val="00B3653F"/>
    <w:rsid w:val="00B36906"/>
    <w:rsid w:val="00B37772"/>
    <w:rsid w:val="00B42DE5"/>
    <w:rsid w:val="00B43583"/>
    <w:rsid w:val="00B4453A"/>
    <w:rsid w:val="00B46A19"/>
    <w:rsid w:val="00B4793C"/>
    <w:rsid w:val="00B516C8"/>
    <w:rsid w:val="00B51CE7"/>
    <w:rsid w:val="00B51E74"/>
    <w:rsid w:val="00B5446C"/>
    <w:rsid w:val="00B546F8"/>
    <w:rsid w:val="00B54B37"/>
    <w:rsid w:val="00B56B95"/>
    <w:rsid w:val="00B60BA5"/>
    <w:rsid w:val="00B612D1"/>
    <w:rsid w:val="00B613CA"/>
    <w:rsid w:val="00B62281"/>
    <w:rsid w:val="00B630B0"/>
    <w:rsid w:val="00B63103"/>
    <w:rsid w:val="00B65114"/>
    <w:rsid w:val="00B664BC"/>
    <w:rsid w:val="00B70276"/>
    <w:rsid w:val="00B71244"/>
    <w:rsid w:val="00B72BA8"/>
    <w:rsid w:val="00B72FF9"/>
    <w:rsid w:val="00B73B90"/>
    <w:rsid w:val="00B73C84"/>
    <w:rsid w:val="00B74F66"/>
    <w:rsid w:val="00B774AA"/>
    <w:rsid w:val="00B776F9"/>
    <w:rsid w:val="00B77F8A"/>
    <w:rsid w:val="00B8106D"/>
    <w:rsid w:val="00B821CF"/>
    <w:rsid w:val="00B82270"/>
    <w:rsid w:val="00B846F4"/>
    <w:rsid w:val="00B850E4"/>
    <w:rsid w:val="00B854B9"/>
    <w:rsid w:val="00B86052"/>
    <w:rsid w:val="00B86480"/>
    <w:rsid w:val="00B872EA"/>
    <w:rsid w:val="00B9169E"/>
    <w:rsid w:val="00B93E38"/>
    <w:rsid w:val="00B94675"/>
    <w:rsid w:val="00B949B2"/>
    <w:rsid w:val="00B96338"/>
    <w:rsid w:val="00B9680D"/>
    <w:rsid w:val="00B96A2C"/>
    <w:rsid w:val="00B96D06"/>
    <w:rsid w:val="00BA093F"/>
    <w:rsid w:val="00BA177C"/>
    <w:rsid w:val="00BA1FC0"/>
    <w:rsid w:val="00BA24A0"/>
    <w:rsid w:val="00BA37D4"/>
    <w:rsid w:val="00BA76D4"/>
    <w:rsid w:val="00BA7FC1"/>
    <w:rsid w:val="00BB01C6"/>
    <w:rsid w:val="00BB15BE"/>
    <w:rsid w:val="00BB199C"/>
    <w:rsid w:val="00BB36A7"/>
    <w:rsid w:val="00BB437B"/>
    <w:rsid w:val="00BB4562"/>
    <w:rsid w:val="00BB56B1"/>
    <w:rsid w:val="00BB788F"/>
    <w:rsid w:val="00BC42A7"/>
    <w:rsid w:val="00BC535D"/>
    <w:rsid w:val="00BC59CD"/>
    <w:rsid w:val="00BC6006"/>
    <w:rsid w:val="00BD1D79"/>
    <w:rsid w:val="00BD411F"/>
    <w:rsid w:val="00BD49ED"/>
    <w:rsid w:val="00BD522B"/>
    <w:rsid w:val="00BD5A7C"/>
    <w:rsid w:val="00BE2FBE"/>
    <w:rsid w:val="00BE376B"/>
    <w:rsid w:val="00BE378C"/>
    <w:rsid w:val="00BE462F"/>
    <w:rsid w:val="00BE4EE4"/>
    <w:rsid w:val="00BE5521"/>
    <w:rsid w:val="00BE5721"/>
    <w:rsid w:val="00BE5EE3"/>
    <w:rsid w:val="00BE659F"/>
    <w:rsid w:val="00BE6ABA"/>
    <w:rsid w:val="00BE7AA7"/>
    <w:rsid w:val="00BF1210"/>
    <w:rsid w:val="00BF17B6"/>
    <w:rsid w:val="00BF3548"/>
    <w:rsid w:val="00BF4E96"/>
    <w:rsid w:val="00BF58D4"/>
    <w:rsid w:val="00BF5F0E"/>
    <w:rsid w:val="00BF69BD"/>
    <w:rsid w:val="00BF6E36"/>
    <w:rsid w:val="00BF77E3"/>
    <w:rsid w:val="00C002EE"/>
    <w:rsid w:val="00C0133B"/>
    <w:rsid w:val="00C01DB9"/>
    <w:rsid w:val="00C026F8"/>
    <w:rsid w:val="00C027C5"/>
    <w:rsid w:val="00C03535"/>
    <w:rsid w:val="00C04C54"/>
    <w:rsid w:val="00C06929"/>
    <w:rsid w:val="00C10021"/>
    <w:rsid w:val="00C119D2"/>
    <w:rsid w:val="00C14D0C"/>
    <w:rsid w:val="00C155B6"/>
    <w:rsid w:val="00C202AF"/>
    <w:rsid w:val="00C245E6"/>
    <w:rsid w:val="00C24717"/>
    <w:rsid w:val="00C259E4"/>
    <w:rsid w:val="00C27333"/>
    <w:rsid w:val="00C27A9A"/>
    <w:rsid w:val="00C27D94"/>
    <w:rsid w:val="00C31ECC"/>
    <w:rsid w:val="00C323D0"/>
    <w:rsid w:val="00C32F10"/>
    <w:rsid w:val="00C337F8"/>
    <w:rsid w:val="00C34C87"/>
    <w:rsid w:val="00C3522C"/>
    <w:rsid w:val="00C35581"/>
    <w:rsid w:val="00C36442"/>
    <w:rsid w:val="00C40D72"/>
    <w:rsid w:val="00C4102F"/>
    <w:rsid w:val="00C43875"/>
    <w:rsid w:val="00C442E9"/>
    <w:rsid w:val="00C444D5"/>
    <w:rsid w:val="00C45417"/>
    <w:rsid w:val="00C523FB"/>
    <w:rsid w:val="00C53655"/>
    <w:rsid w:val="00C54E2F"/>
    <w:rsid w:val="00C60353"/>
    <w:rsid w:val="00C60695"/>
    <w:rsid w:val="00C62C2D"/>
    <w:rsid w:val="00C65220"/>
    <w:rsid w:val="00C65F4B"/>
    <w:rsid w:val="00C66E93"/>
    <w:rsid w:val="00C67120"/>
    <w:rsid w:val="00C711D9"/>
    <w:rsid w:val="00C7731E"/>
    <w:rsid w:val="00C77F88"/>
    <w:rsid w:val="00C81248"/>
    <w:rsid w:val="00C8167E"/>
    <w:rsid w:val="00C81DA8"/>
    <w:rsid w:val="00C81FFF"/>
    <w:rsid w:val="00C8312C"/>
    <w:rsid w:val="00C837B6"/>
    <w:rsid w:val="00C8383C"/>
    <w:rsid w:val="00C847DC"/>
    <w:rsid w:val="00C866C4"/>
    <w:rsid w:val="00C86AEB"/>
    <w:rsid w:val="00C9031D"/>
    <w:rsid w:val="00C90A8A"/>
    <w:rsid w:val="00C911FF"/>
    <w:rsid w:val="00C92600"/>
    <w:rsid w:val="00C92ED8"/>
    <w:rsid w:val="00C93FB0"/>
    <w:rsid w:val="00C956F5"/>
    <w:rsid w:val="00C957D7"/>
    <w:rsid w:val="00C9588A"/>
    <w:rsid w:val="00C9617F"/>
    <w:rsid w:val="00C96A0A"/>
    <w:rsid w:val="00C976D1"/>
    <w:rsid w:val="00CA0626"/>
    <w:rsid w:val="00CA1415"/>
    <w:rsid w:val="00CA38E9"/>
    <w:rsid w:val="00CA473D"/>
    <w:rsid w:val="00CA514F"/>
    <w:rsid w:val="00CA558A"/>
    <w:rsid w:val="00CB0E75"/>
    <w:rsid w:val="00CB28B9"/>
    <w:rsid w:val="00CB2EEF"/>
    <w:rsid w:val="00CB3559"/>
    <w:rsid w:val="00CB59A6"/>
    <w:rsid w:val="00CB61C6"/>
    <w:rsid w:val="00CB6E43"/>
    <w:rsid w:val="00CB6F47"/>
    <w:rsid w:val="00CC0F6F"/>
    <w:rsid w:val="00CC1AFA"/>
    <w:rsid w:val="00CC2177"/>
    <w:rsid w:val="00CC2CBE"/>
    <w:rsid w:val="00CC4F83"/>
    <w:rsid w:val="00CC5553"/>
    <w:rsid w:val="00CC6EBF"/>
    <w:rsid w:val="00CC71F5"/>
    <w:rsid w:val="00CC76CB"/>
    <w:rsid w:val="00CC78EA"/>
    <w:rsid w:val="00CC7C99"/>
    <w:rsid w:val="00CC7EC9"/>
    <w:rsid w:val="00CD046C"/>
    <w:rsid w:val="00CD1175"/>
    <w:rsid w:val="00CD13B7"/>
    <w:rsid w:val="00CD295A"/>
    <w:rsid w:val="00CD3DDF"/>
    <w:rsid w:val="00CD4BA1"/>
    <w:rsid w:val="00CD6B9C"/>
    <w:rsid w:val="00CD6BD7"/>
    <w:rsid w:val="00CD76DE"/>
    <w:rsid w:val="00CE0601"/>
    <w:rsid w:val="00CE0621"/>
    <w:rsid w:val="00CE0C07"/>
    <w:rsid w:val="00CE0F82"/>
    <w:rsid w:val="00CE2913"/>
    <w:rsid w:val="00CE47A2"/>
    <w:rsid w:val="00CE4A37"/>
    <w:rsid w:val="00CE6FBF"/>
    <w:rsid w:val="00CE7460"/>
    <w:rsid w:val="00CE7D42"/>
    <w:rsid w:val="00CF0073"/>
    <w:rsid w:val="00CF0553"/>
    <w:rsid w:val="00CF209E"/>
    <w:rsid w:val="00CF20BC"/>
    <w:rsid w:val="00CF36DE"/>
    <w:rsid w:val="00CF6F57"/>
    <w:rsid w:val="00CF730C"/>
    <w:rsid w:val="00D027ED"/>
    <w:rsid w:val="00D07B01"/>
    <w:rsid w:val="00D11022"/>
    <w:rsid w:val="00D1117D"/>
    <w:rsid w:val="00D11482"/>
    <w:rsid w:val="00D11BFD"/>
    <w:rsid w:val="00D122CE"/>
    <w:rsid w:val="00D12B74"/>
    <w:rsid w:val="00D15329"/>
    <w:rsid w:val="00D15791"/>
    <w:rsid w:val="00D16FE8"/>
    <w:rsid w:val="00D17305"/>
    <w:rsid w:val="00D177A5"/>
    <w:rsid w:val="00D22B67"/>
    <w:rsid w:val="00D23C91"/>
    <w:rsid w:val="00D23E25"/>
    <w:rsid w:val="00D248C3"/>
    <w:rsid w:val="00D2496D"/>
    <w:rsid w:val="00D253E5"/>
    <w:rsid w:val="00D255D8"/>
    <w:rsid w:val="00D25B60"/>
    <w:rsid w:val="00D265FC"/>
    <w:rsid w:val="00D27C16"/>
    <w:rsid w:val="00D3189C"/>
    <w:rsid w:val="00D326C0"/>
    <w:rsid w:val="00D327E7"/>
    <w:rsid w:val="00D33B14"/>
    <w:rsid w:val="00D343E7"/>
    <w:rsid w:val="00D366D8"/>
    <w:rsid w:val="00D3705F"/>
    <w:rsid w:val="00D41F82"/>
    <w:rsid w:val="00D42060"/>
    <w:rsid w:val="00D438BF"/>
    <w:rsid w:val="00D43A66"/>
    <w:rsid w:val="00D457DB"/>
    <w:rsid w:val="00D47EAC"/>
    <w:rsid w:val="00D50D33"/>
    <w:rsid w:val="00D5111F"/>
    <w:rsid w:val="00D5207F"/>
    <w:rsid w:val="00D5352D"/>
    <w:rsid w:val="00D5414C"/>
    <w:rsid w:val="00D55982"/>
    <w:rsid w:val="00D572DA"/>
    <w:rsid w:val="00D57B71"/>
    <w:rsid w:val="00D6129E"/>
    <w:rsid w:val="00D64B26"/>
    <w:rsid w:val="00D658AE"/>
    <w:rsid w:val="00D7174B"/>
    <w:rsid w:val="00D717D2"/>
    <w:rsid w:val="00D7278B"/>
    <w:rsid w:val="00D7554C"/>
    <w:rsid w:val="00D7618D"/>
    <w:rsid w:val="00D80918"/>
    <w:rsid w:val="00D80F3D"/>
    <w:rsid w:val="00D817ED"/>
    <w:rsid w:val="00D83D79"/>
    <w:rsid w:val="00D850BF"/>
    <w:rsid w:val="00D90C5D"/>
    <w:rsid w:val="00D92926"/>
    <w:rsid w:val="00D92AFD"/>
    <w:rsid w:val="00D94D86"/>
    <w:rsid w:val="00D96B70"/>
    <w:rsid w:val="00DA23BE"/>
    <w:rsid w:val="00DA2D22"/>
    <w:rsid w:val="00DA3283"/>
    <w:rsid w:val="00DA4586"/>
    <w:rsid w:val="00DA51C8"/>
    <w:rsid w:val="00DA668F"/>
    <w:rsid w:val="00DA7222"/>
    <w:rsid w:val="00DA7368"/>
    <w:rsid w:val="00DB1411"/>
    <w:rsid w:val="00DB3FF1"/>
    <w:rsid w:val="00DB60E8"/>
    <w:rsid w:val="00DB64D0"/>
    <w:rsid w:val="00DB7219"/>
    <w:rsid w:val="00DB72DF"/>
    <w:rsid w:val="00DB7D0C"/>
    <w:rsid w:val="00DC1D7A"/>
    <w:rsid w:val="00DC1DA3"/>
    <w:rsid w:val="00DC34CC"/>
    <w:rsid w:val="00DC3CD3"/>
    <w:rsid w:val="00DC472B"/>
    <w:rsid w:val="00DC54B7"/>
    <w:rsid w:val="00DC5659"/>
    <w:rsid w:val="00DD01CE"/>
    <w:rsid w:val="00DD2B18"/>
    <w:rsid w:val="00DD424E"/>
    <w:rsid w:val="00DD4D4F"/>
    <w:rsid w:val="00DD5730"/>
    <w:rsid w:val="00DD57DD"/>
    <w:rsid w:val="00DD5815"/>
    <w:rsid w:val="00DD59FA"/>
    <w:rsid w:val="00DD5BE9"/>
    <w:rsid w:val="00DD7A7F"/>
    <w:rsid w:val="00DE1F64"/>
    <w:rsid w:val="00DE37DC"/>
    <w:rsid w:val="00DE3BFA"/>
    <w:rsid w:val="00DE46C0"/>
    <w:rsid w:val="00DE6D03"/>
    <w:rsid w:val="00DE74D5"/>
    <w:rsid w:val="00DF0D35"/>
    <w:rsid w:val="00DF0E0C"/>
    <w:rsid w:val="00DF16B9"/>
    <w:rsid w:val="00DF2AEB"/>
    <w:rsid w:val="00DF3BC9"/>
    <w:rsid w:val="00DF742F"/>
    <w:rsid w:val="00E014BE"/>
    <w:rsid w:val="00E01F94"/>
    <w:rsid w:val="00E03C48"/>
    <w:rsid w:val="00E05199"/>
    <w:rsid w:val="00E12E28"/>
    <w:rsid w:val="00E135CA"/>
    <w:rsid w:val="00E13E86"/>
    <w:rsid w:val="00E17FB9"/>
    <w:rsid w:val="00E20C39"/>
    <w:rsid w:val="00E20D62"/>
    <w:rsid w:val="00E23113"/>
    <w:rsid w:val="00E234DA"/>
    <w:rsid w:val="00E25A7B"/>
    <w:rsid w:val="00E30325"/>
    <w:rsid w:val="00E312AE"/>
    <w:rsid w:val="00E3229D"/>
    <w:rsid w:val="00E32705"/>
    <w:rsid w:val="00E33F2C"/>
    <w:rsid w:val="00E35107"/>
    <w:rsid w:val="00E35E30"/>
    <w:rsid w:val="00E41105"/>
    <w:rsid w:val="00E41D92"/>
    <w:rsid w:val="00E4212B"/>
    <w:rsid w:val="00E4242A"/>
    <w:rsid w:val="00E427A2"/>
    <w:rsid w:val="00E44045"/>
    <w:rsid w:val="00E44A8D"/>
    <w:rsid w:val="00E45A34"/>
    <w:rsid w:val="00E50D1A"/>
    <w:rsid w:val="00E51D9C"/>
    <w:rsid w:val="00E52B2F"/>
    <w:rsid w:val="00E536E5"/>
    <w:rsid w:val="00E53B7F"/>
    <w:rsid w:val="00E54E5A"/>
    <w:rsid w:val="00E5551E"/>
    <w:rsid w:val="00E5579A"/>
    <w:rsid w:val="00E55BFF"/>
    <w:rsid w:val="00E567DD"/>
    <w:rsid w:val="00E56979"/>
    <w:rsid w:val="00E573B6"/>
    <w:rsid w:val="00E57A34"/>
    <w:rsid w:val="00E602C4"/>
    <w:rsid w:val="00E61664"/>
    <w:rsid w:val="00E629D8"/>
    <w:rsid w:val="00E62F3C"/>
    <w:rsid w:val="00E63639"/>
    <w:rsid w:val="00E654D4"/>
    <w:rsid w:val="00E65FDC"/>
    <w:rsid w:val="00E66484"/>
    <w:rsid w:val="00E67766"/>
    <w:rsid w:val="00E67DDC"/>
    <w:rsid w:val="00E811A7"/>
    <w:rsid w:val="00E811A8"/>
    <w:rsid w:val="00E81599"/>
    <w:rsid w:val="00E8214F"/>
    <w:rsid w:val="00E82B75"/>
    <w:rsid w:val="00E82DD2"/>
    <w:rsid w:val="00E85A21"/>
    <w:rsid w:val="00E96651"/>
    <w:rsid w:val="00E974AC"/>
    <w:rsid w:val="00E977E4"/>
    <w:rsid w:val="00EA41B5"/>
    <w:rsid w:val="00EA4381"/>
    <w:rsid w:val="00EA4B3E"/>
    <w:rsid w:val="00EA5A34"/>
    <w:rsid w:val="00EA624A"/>
    <w:rsid w:val="00EA6D1A"/>
    <w:rsid w:val="00EA6E36"/>
    <w:rsid w:val="00EA7D25"/>
    <w:rsid w:val="00EB022C"/>
    <w:rsid w:val="00EB3BCD"/>
    <w:rsid w:val="00EB4DB2"/>
    <w:rsid w:val="00EB4DC8"/>
    <w:rsid w:val="00EB61DD"/>
    <w:rsid w:val="00EB7D2B"/>
    <w:rsid w:val="00EB7FCD"/>
    <w:rsid w:val="00EC0DD2"/>
    <w:rsid w:val="00EC2DD2"/>
    <w:rsid w:val="00EC33BA"/>
    <w:rsid w:val="00EC477E"/>
    <w:rsid w:val="00EC4DDC"/>
    <w:rsid w:val="00EC694C"/>
    <w:rsid w:val="00EC7127"/>
    <w:rsid w:val="00EC7A6D"/>
    <w:rsid w:val="00ED0A03"/>
    <w:rsid w:val="00ED5190"/>
    <w:rsid w:val="00ED6046"/>
    <w:rsid w:val="00ED6570"/>
    <w:rsid w:val="00ED7A11"/>
    <w:rsid w:val="00EE116B"/>
    <w:rsid w:val="00EE4D61"/>
    <w:rsid w:val="00EE63B4"/>
    <w:rsid w:val="00EF2C38"/>
    <w:rsid w:val="00EF2FDE"/>
    <w:rsid w:val="00EF4482"/>
    <w:rsid w:val="00EF512A"/>
    <w:rsid w:val="00EF51DE"/>
    <w:rsid w:val="00EF5710"/>
    <w:rsid w:val="00EF589C"/>
    <w:rsid w:val="00EF5C44"/>
    <w:rsid w:val="00EF7A50"/>
    <w:rsid w:val="00F001B8"/>
    <w:rsid w:val="00F0053B"/>
    <w:rsid w:val="00F00966"/>
    <w:rsid w:val="00F03EAE"/>
    <w:rsid w:val="00F04503"/>
    <w:rsid w:val="00F05090"/>
    <w:rsid w:val="00F0585D"/>
    <w:rsid w:val="00F058C1"/>
    <w:rsid w:val="00F0693D"/>
    <w:rsid w:val="00F071B2"/>
    <w:rsid w:val="00F12E3C"/>
    <w:rsid w:val="00F138B3"/>
    <w:rsid w:val="00F17E02"/>
    <w:rsid w:val="00F2109A"/>
    <w:rsid w:val="00F22C33"/>
    <w:rsid w:val="00F2440F"/>
    <w:rsid w:val="00F251C4"/>
    <w:rsid w:val="00F25B9F"/>
    <w:rsid w:val="00F270FA"/>
    <w:rsid w:val="00F30316"/>
    <w:rsid w:val="00F31AF6"/>
    <w:rsid w:val="00F35D37"/>
    <w:rsid w:val="00F36AAE"/>
    <w:rsid w:val="00F36FC9"/>
    <w:rsid w:val="00F377D6"/>
    <w:rsid w:val="00F40D21"/>
    <w:rsid w:val="00F4278D"/>
    <w:rsid w:val="00F42D86"/>
    <w:rsid w:val="00F43B85"/>
    <w:rsid w:val="00F44DA7"/>
    <w:rsid w:val="00F45E7C"/>
    <w:rsid w:val="00F463E1"/>
    <w:rsid w:val="00F478A8"/>
    <w:rsid w:val="00F47E93"/>
    <w:rsid w:val="00F51446"/>
    <w:rsid w:val="00F52852"/>
    <w:rsid w:val="00F5442F"/>
    <w:rsid w:val="00F5487F"/>
    <w:rsid w:val="00F54BE7"/>
    <w:rsid w:val="00F55DFA"/>
    <w:rsid w:val="00F565D9"/>
    <w:rsid w:val="00F60988"/>
    <w:rsid w:val="00F60C24"/>
    <w:rsid w:val="00F61F58"/>
    <w:rsid w:val="00F6331D"/>
    <w:rsid w:val="00F63334"/>
    <w:rsid w:val="00F638C8"/>
    <w:rsid w:val="00F6427E"/>
    <w:rsid w:val="00F654BC"/>
    <w:rsid w:val="00F65743"/>
    <w:rsid w:val="00F65F24"/>
    <w:rsid w:val="00F70840"/>
    <w:rsid w:val="00F75BCD"/>
    <w:rsid w:val="00F75FB5"/>
    <w:rsid w:val="00F819EC"/>
    <w:rsid w:val="00F81D8A"/>
    <w:rsid w:val="00F821BA"/>
    <w:rsid w:val="00F8272B"/>
    <w:rsid w:val="00F82DA7"/>
    <w:rsid w:val="00F841CE"/>
    <w:rsid w:val="00F85961"/>
    <w:rsid w:val="00F85ECB"/>
    <w:rsid w:val="00F866D6"/>
    <w:rsid w:val="00F87004"/>
    <w:rsid w:val="00F87F86"/>
    <w:rsid w:val="00F9042E"/>
    <w:rsid w:val="00F92299"/>
    <w:rsid w:val="00F92ECD"/>
    <w:rsid w:val="00F931AB"/>
    <w:rsid w:val="00F937FC"/>
    <w:rsid w:val="00F939E3"/>
    <w:rsid w:val="00F94056"/>
    <w:rsid w:val="00F94AAA"/>
    <w:rsid w:val="00F9535E"/>
    <w:rsid w:val="00F96585"/>
    <w:rsid w:val="00F9797B"/>
    <w:rsid w:val="00FA3049"/>
    <w:rsid w:val="00FA3294"/>
    <w:rsid w:val="00FA46FC"/>
    <w:rsid w:val="00FA4FD6"/>
    <w:rsid w:val="00FA5539"/>
    <w:rsid w:val="00FA6376"/>
    <w:rsid w:val="00FA6725"/>
    <w:rsid w:val="00FA7CF4"/>
    <w:rsid w:val="00FB02D8"/>
    <w:rsid w:val="00FB0D3D"/>
    <w:rsid w:val="00FB2AB3"/>
    <w:rsid w:val="00FB5166"/>
    <w:rsid w:val="00FB557B"/>
    <w:rsid w:val="00FB5BFD"/>
    <w:rsid w:val="00FB5D51"/>
    <w:rsid w:val="00FC00B8"/>
    <w:rsid w:val="00FC17E5"/>
    <w:rsid w:val="00FC1F49"/>
    <w:rsid w:val="00FC203E"/>
    <w:rsid w:val="00FC24DD"/>
    <w:rsid w:val="00FC296A"/>
    <w:rsid w:val="00FC29CB"/>
    <w:rsid w:val="00FC52E1"/>
    <w:rsid w:val="00FC5D7B"/>
    <w:rsid w:val="00FC6D63"/>
    <w:rsid w:val="00FC7A30"/>
    <w:rsid w:val="00FD0E7E"/>
    <w:rsid w:val="00FD566B"/>
    <w:rsid w:val="00FD6DB5"/>
    <w:rsid w:val="00FD740D"/>
    <w:rsid w:val="00FE0DF6"/>
    <w:rsid w:val="00FE1AF0"/>
    <w:rsid w:val="00FE1E71"/>
    <w:rsid w:val="00FE75D7"/>
    <w:rsid w:val="00FF136A"/>
    <w:rsid w:val="00FF45EC"/>
    <w:rsid w:val="00FF65CC"/>
    <w:rsid w:val="00FF6D8B"/>
    <w:rsid w:val="00FF6F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B90AA0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ACMABodyText"/>
    <w:qFormat/>
    <w:rsid w:val="008F2274"/>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8F2274"/>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ACMAHeading1">
    <w:name w:val="ACMA Heading 1"/>
    <w:next w:val="ACMABodyText"/>
    <w:rsid w:val="008F2274"/>
    <w:pPr>
      <w:keepNext/>
      <w:suppressAutoHyphens/>
      <w:spacing w:before="320" w:after="0" w:line="240" w:lineRule="auto"/>
      <w:outlineLvl w:val="1"/>
    </w:pPr>
    <w:rPr>
      <w:rFonts w:ascii="Arial" w:eastAsia="Times New Roman" w:hAnsi="Arial" w:cs="Times New Roman"/>
      <w:b/>
      <w:sz w:val="36"/>
      <w:szCs w:val="20"/>
    </w:rPr>
  </w:style>
  <w:style w:type="paragraph" w:customStyle="1" w:styleId="ACMAFooterEven">
    <w:name w:val="ACMA Footer (Even)"/>
    <w:rsid w:val="008F2274"/>
    <w:pPr>
      <w:pBdr>
        <w:top w:val="single" w:sz="2" w:space="4" w:color="auto"/>
      </w:pBdr>
      <w:tabs>
        <w:tab w:val="right" w:pos="8352"/>
      </w:tabs>
      <w:spacing w:after="0" w:line="240" w:lineRule="auto"/>
      <w:ind w:left="288" w:hanging="288"/>
    </w:pPr>
    <w:rPr>
      <w:rFonts w:ascii="Arial" w:eastAsia="Times New Roman" w:hAnsi="Arial" w:cs="Times New Roman"/>
      <w:sz w:val="20"/>
      <w:szCs w:val="20"/>
    </w:rPr>
  </w:style>
  <w:style w:type="paragraph" w:customStyle="1" w:styleId="ACMATableHeading">
    <w:name w:val="ACMA Table Heading"/>
    <w:rsid w:val="008F2274"/>
    <w:pPr>
      <w:spacing w:before="40" w:after="40" w:line="240" w:lineRule="auto"/>
    </w:pPr>
    <w:rPr>
      <w:rFonts w:ascii="Arial" w:eastAsia="Times New Roman" w:hAnsi="Arial" w:cs="Times New Roman"/>
      <w:b/>
      <w:sz w:val="20"/>
      <w:szCs w:val="20"/>
    </w:rPr>
  </w:style>
  <w:style w:type="paragraph" w:customStyle="1" w:styleId="ACMATableText">
    <w:name w:val="ACMA Table Text"/>
    <w:rsid w:val="008F2274"/>
    <w:pPr>
      <w:spacing w:before="40" w:after="40" w:line="240" w:lineRule="auto"/>
    </w:pPr>
    <w:rPr>
      <w:rFonts w:ascii="Arial" w:eastAsia="Times New Roman" w:hAnsi="Arial" w:cs="Times New Roman"/>
      <w:sz w:val="20"/>
      <w:szCs w:val="20"/>
    </w:rPr>
  </w:style>
  <w:style w:type="character" w:customStyle="1" w:styleId="ACMABodyTextChar">
    <w:name w:val="ACMA Body Text Char"/>
    <w:basedOn w:val="DefaultParagraphFont"/>
    <w:link w:val="ACMABodyText"/>
    <w:rsid w:val="008F2274"/>
    <w:rPr>
      <w:rFonts w:ascii="Times New Roman" w:eastAsia="Times New Roman" w:hAnsi="Times New Roman" w:cs="Times New Roman"/>
      <w:snapToGrid w:val="0"/>
      <w:sz w:val="24"/>
      <w:szCs w:val="20"/>
    </w:rPr>
  </w:style>
  <w:style w:type="paragraph" w:styleId="FootnoteText">
    <w:name w:val="footnote text"/>
    <w:aliases w:val="ACMA Footnote Text,ALTS FOOTNOTE,(NECG) Footnote Text,Footnote text,AR Footnote Text,AR Footnote Text Char Char Char Char Char,Footnote Text Char2,Footnote Text Char1 Char Char,Footnote Text Char Char Char Char,Footnote Text Char1 Char,f"/>
    <w:basedOn w:val="Normal"/>
    <w:link w:val="FootnoteTextChar"/>
    <w:uiPriority w:val="99"/>
    <w:unhideWhenUsed/>
    <w:rsid w:val="008F2274"/>
    <w:pPr>
      <w:spacing w:before="0" w:after="0" w:line="240" w:lineRule="auto"/>
    </w:pPr>
    <w:rPr>
      <w:sz w:val="20"/>
      <w:szCs w:val="20"/>
    </w:rPr>
  </w:style>
  <w:style w:type="character" w:customStyle="1" w:styleId="FootnoteTextChar">
    <w:name w:val="Footnote Text Char"/>
    <w:aliases w:val="ACMA Footnote Text Char,ALTS FOOTNOTE Char,(NECG) Footnote Text Char,Footnote text Char,AR Footnote Text Char,AR Footnote Text Char Char Char Char Char Char,Footnote Text Char2 Char,Footnote Text Char1 Char Char Char,f Char"/>
    <w:basedOn w:val="DefaultParagraphFont"/>
    <w:link w:val="FootnoteText"/>
    <w:uiPriority w:val="99"/>
    <w:rsid w:val="008F2274"/>
    <w:rPr>
      <w:rFonts w:ascii="Times New Roman" w:eastAsia="Times New Roman" w:hAnsi="Times New Roman" w:cs="Times New Roman"/>
      <w:sz w:val="20"/>
      <w:szCs w:val="20"/>
    </w:rPr>
  </w:style>
  <w:style w:type="character" w:styleId="FootnoteReference">
    <w:name w:val="footnote reference"/>
    <w:aliases w:val="Appel note de bas de p,Appel note de bas de p + 11 pt,Italic,Footnote,Appel note de bas de p1,Appel note de bas de p2,Appel note de bas de p3,Footnote Reference/,(NECG) Footnote Reference,(NECG) Footnote Reference1,o,Style 12"/>
    <w:basedOn w:val="DefaultParagraphFont"/>
    <w:uiPriority w:val="99"/>
    <w:unhideWhenUsed/>
    <w:rsid w:val="008F2274"/>
    <w:rPr>
      <w:vertAlign w:val="superscript"/>
    </w:rPr>
  </w:style>
  <w:style w:type="paragraph" w:styleId="BalloonText">
    <w:name w:val="Balloon Text"/>
    <w:basedOn w:val="Normal"/>
    <w:link w:val="BalloonTextChar"/>
    <w:uiPriority w:val="99"/>
    <w:semiHidden/>
    <w:unhideWhenUsed/>
    <w:rsid w:val="005F1B29"/>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1B29"/>
    <w:rPr>
      <w:rFonts w:ascii="Segoe UI" w:eastAsia="Times New Roman" w:hAnsi="Segoe UI" w:cs="Segoe UI"/>
      <w:sz w:val="18"/>
      <w:szCs w:val="18"/>
    </w:rPr>
  </w:style>
  <w:style w:type="paragraph" w:styleId="ListParagraph">
    <w:name w:val="List Paragraph"/>
    <w:basedOn w:val="Normal"/>
    <w:uiPriority w:val="34"/>
    <w:qFormat/>
    <w:rsid w:val="006A65E2"/>
    <w:pPr>
      <w:ind w:left="720"/>
      <w:contextualSpacing/>
    </w:pPr>
  </w:style>
  <w:style w:type="character" w:styleId="CommentReference">
    <w:name w:val="annotation reference"/>
    <w:basedOn w:val="DefaultParagraphFont"/>
    <w:uiPriority w:val="99"/>
    <w:semiHidden/>
    <w:unhideWhenUsed/>
    <w:rsid w:val="00C34C87"/>
    <w:rPr>
      <w:sz w:val="16"/>
      <w:szCs w:val="16"/>
    </w:rPr>
  </w:style>
  <w:style w:type="paragraph" w:styleId="CommentText">
    <w:name w:val="annotation text"/>
    <w:basedOn w:val="Normal"/>
    <w:link w:val="CommentTextChar"/>
    <w:uiPriority w:val="99"/>
    <w:unhideWhenUsed/>
    <w:rsid w:val="00C34C87"/>
    <w:pPr>
      <w:spacing w:line="240" w:lineRule="auto"/>
    </w:pPr>
    <w:rPr>
      <w:sz w:val="20"/>
      <w:szCs w:val="20"/>
    </w:rPr>
  </w:style>
  <w:style w:type="character" w:customStyle="1" w:styleId="CommentTextChar">
    <w:name w:val="Comment Text Char"/>
    <w:basedOn w:val="DefaultParagraphFont"/>
    <w:link w:val="CommentText"/>
    <w:uiPriority w:val="99"/>
    <w:rsid w:val="00C34C8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34C87"/>
    <w:rPr>
      <w:b/>
      <w:bCs/>
    </w:rPr>
  </w:style>
  <w:style w:type="character" w:customStyle="1" w:styleId="CommentSubjectChar">
    <w:name w:val="Comment Subject Char"/>
    <w:basedOn w:val="CommentTextChar"/>
    <w:link w:val="CommentSubject"/>
    <w:uiPriority w:val="99"/>
    <w:semiHidden/>
    <w:rsid w:val="00C34C87"/>
    <w:rPr>
      <w:rFonts w:ascii="Times New Roman" w:eastAsia="Times New Roman" w:hAnsi="Times New Roman" w:cs="Times New Roman"/>
      <w:b/>
      <w:bCs/>
      <w:sz w:val="20"/>
      <w:szCs w:val="20"/>
    </w:rPr>
  </w:style>
  <w:style w:type="character" w:styleId="Hyperlink">
    <w:name w:val="Hyperlink"/>
    <w:basedOn w:val="DefaultParagraphFont"/>
    <w:uiPriority w:val="99"/>
    <w:rsid w:val="00EA7D25"/>
    <w:rPr>
      <w:color w:val="0000FF"/>
      <w:u w:val="single"/>
    </w:rPr>
  </w:style>
  <w:style w:type="paragraph" w:styleId="Revision">
    <w:name w:val="Revision"/>
    <w:hidden/>
    <w:uiPriority w:val="99"/>
    <w:semiHidden/>
    <w:rsid w:val="00B43583"/>
    <w:pPr>
      <w:spacing w:after="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D573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DD5730"/>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BD49ED"/>
    <w:rPr>
      <w:color w:val="954F72" w:themeColor="followedHyperlink"/>
      <w:u w:val="single"/>
    </w:rPr>
  </w:style>
  <w:style w:type="paragraph" w:styleId="Footer">
    <w:name w:val="footer"/>
    <w:basedOn w:val="Normal"/>
    <w:link w:val="FooterChar"/>
    <w:uiPriority w:val="99"/>
    <w:semiHidden/>
    <w:unhideWhenUsed/>
    <w:rsid w:val="0064480A"/>
    <w:pPr>
      <w:tabs>
        <w:tab w:val="center" w:pos="4513"/>
        <w:tab w:val="right" w:pos="9026"/>
      </w:tabs>
      <w:spacing w:before="0" w:after="0" w:line="240" w:lineRule="auto"/>
    </w:pPr>
  </w:style>
  <w:style w:type="character" w:customStyle="1" w:styleId="FooterChar">
    <w:name w:val="Footer Char"/>
    <w:basedOn w:val="DefaultParagraphFont"/>
    <w:link w:val="Footer"/>
    <w:uiPriority w:val="99"/>
    <w:semiHidden/>
    <w:rsid w:val="0064480A"/>
    <w:rPr>
      <w:rFonts w:ascii="Times New Roman" w:eastAsia="Times New Roman" w:hAnsi="Times New Roman" w:cs="Times New Roman"/>
      <w:sz w:val="24"/>
      <w:szCs w:val="24"/>
    </w:rPr>
  </w:style>
  <w:style w:type="paragraph" w:styleId="EndnoteText">
    <w:name w:val="endnote text"/>
    <w:basedOn w:val="Normal"/>
    <w:link w:val="EndnoteTextChar"/>
    <w:uiPriority w:val="99"/>
    <w:semiHidden/>
    <w:unhideWhenUsed/>
    <w:rsid w:val="00042D74"/>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042D74"/>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042D74"/>
    <w:rPr>
      <w:vertAlign w:val="superscript"/>
    </w:rPr>
  </w:style>
  <w:style w:type="table" w:styleId="TableGrid">
    <w:name w:val="Table Grid"/>
    <w:basedOn w:val="TableNormal"/>
    <w:uiPriority w:val="39"/>
    <w:rsid w:val="00072A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42060"/>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241D8B"/>
    <w:rPr>
      <w:color w:val="605E5C"/>
      <w:shd w:val="clear" w:color="auto" w:fill="E1DFDD"/>
    </w:rPr>
  </w:style>
  <w:style w:type="paragraph" w:customStyle="1" w:styleId="ACMANumberedList">
    <w:name w:val="ACMA Numbered List"/>
    <w:rsid w:val="003905F0"/>
    <w:pPr>
      <w:numPr>
        <w:numId w:val="44"/>
      </w:numPr>
      <w:spacing w:before="20" w:after="2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92093">
      <w:bodyDiv w:val="1"/>
      <w:marLeft w:val="0"/>
      <w:marRight w:val="0"/>
      <w:marTop w:val="0"/>
      <w:marBottom w:val="0"/>
      <w:divBdr>
        <w:top w:val="none" w:sz="0" w:space="0" w:color="auto"/>
        <w:left w:val="none" w:sz="0" w:space="0" w:color="auto"/>
        <w:bottom w:val="none" w:sz="0" w:space="0" w:color="auto"/>
        <w:right w:val="none" w:sz="0" w:space="0" w:color="auto"/>
      </w:divBdr>
    </w:div>
    <w:div w:id="94831205">
      <w:bodyDiv w:val="1"/>
      <w:marLeft w:val="0"/>
      <w:marRight w:val="0"/>
      <w:marTop w:val="0"/>
      <w:marBottom w:val="0"/>
      <w:divBdr>
        <w:top w:val="none" w:sz="0" w:space="0" w:color="auto"/>
        <w:left w:val="none" w:sz="0" w:space="0" w:color="auto"/>
        <w:bottom w:val="none" w:sz="0" w:space="0" w:color="auto"/>
        <w:right w:val="none" w:sz="0" w:space="0" w:color="auto"/>
      </w:divBdr>
    </w:div>
    <w:div w:id="113212186">
      <w:bodyDiv w:val="1"/>
      <w:marLeft w:val="0"/>
      <w:marRight w:val="0"/>
      <w:marTop w:val="0"/>
      <w:marBottom w:val="0"/>
      <w:divBdr>
        <w:top w:val="none" w:sz="0" w:space="0" w:color="auto"/>
        <w:left w:val="none" w:sz="0" w:space="0" w:color="auto"/>
        <w:bottom w:val="none" w:sz="0" w:space="0" w:color="auto"/>
        <w:right w:val="none" w:sz="0" w:space="0" w:color="auto"/>
      </w:divBdr>
    </w:div>
    <w:div w:id="117260478">
      <w:bodyDiv w:val="1"/>
      <w:marLeft w:val="0"/>
      <w:marRight w:val="0"/>
      <w:marTop w:val="0"/>
      <w:marBottom w:val="0"/>
      <w:divBdr>
        <w:top w:val="none" w:sz="0" w:space="0" w:color="auto"/>
        <w:left w:val="none" w:sz="0" w:space="0" w:color="auto"/>
        <w:bottom w:val="none" w:sz="0" w:space="0" w:color="auto"/>
        <w:right w:val="none" w:sz="0" w:space="0" w:color="auto"/>
      </w:divBdr>
    </w:div>
    <w:div w:id="339701212">
      <w:bodyDiv w:val="1"/>
      <w:marLeft w:val="0"/>
      <w:marRight w:val="0"/>
      <w:marTop w:val="0"/>
      <w:marBottom w:val="0"/>
      <w:divBdr>
        <w:top w:val="none" w:sz="0" w:space="0" w:color="auto"/>
        <w:left w:val="none" w:sz="0" w:space="0" w:color="auto"/>
        <w:bottom w:val="none" w:sz="0" w:space="0" w:color="auto"/>
        <w:right w:val="none" w:sz="0" w:space="0" w:color="auto"/>
      </w:divBdr>
    </w:div>
    <w:div w:id="358626222">
      <w:bodyDiv w:val="1"/>
      <w:marLeft w:val="0"/>
      <w:marRight w:val="0"/>
      <w:marTop w:val="0"/>
      <w:marBottom w:val="0"/>
      <w:divBdr>
        <w:top w:val="none" w:sz="0" w:space="0" w:color="auto"/>
        <w:left w:val="none" w:sz="0" w:space="0" w:color="auto"/>
        <w:bottom w:val="none" w:sz="0" w:space="0" w:color="auto"/>
        <w:right w:val="none" w:sz="0" w:space="0" w:color="auto"/>
      </w:divBdr>
    </w:div>
    <w:div w:id="397364947">
      <w:bodyDiv w:val="1"/>
      <w:marLeft w:val="0"/>
      <w:marRight w:val="0"/>
      <w:marTop w:val="0"/>
      <w:marBottom w:val="0"/>
      <w:divBdr>
        <w:top w:val="none" w:sz="0" w:space="0" w:color="auto"/>
        <w:left w:val="none" w:sz="0" w:space="0" w:color="auto"/>
        <w:bottom w:val="none" w:sz="0" w:space="0" w:color="auto"/>
        <w:right w:val="none" w:sz="0" w:space="0" w:color="auto"/>
      </w:divBdr>
    </w:div>
    <w:div w:id="467671478">
      <w:bodyDiv w:val="1"/>
      <w:marLeft w:val="0"/>
      <w:marRight w:val="0"/>
      <w:marTop w:val="0"/>
      <w:marBottom w:val="0"/>
      <w:divBdr>
        <w:top w:val="none" w:sz="0" w:space="0" w:color="auto"/>
        <w:left w:val="none" w:sz="0" w:space="0" w:color="auto"/>
        <w:bottom w:val="none" w:sz="0" w:space="0" w:color="auto"/>
        <w:right w:val="none" w:sz="0" w:space="0" w:color="auto"/>
      </w:divBdr>
    </w:div>
    <w:div w:id="553349271">
      <w:bodyDiv w:val="1"/>
      <w:marLeft w:val="0"/>
      <w:marRight w:val="0"/>
      <w:marTop w:val="0"/>
      <w:marBottom w:val="0"/>
      <w:divBdr>
        <w:top w:val="none" w:sz="0" w:space="0" w:color="auto"/>
        <w:left w:val="none" w:sz="0" w:space="0" w:color="auto"/>
        <w:bottom w:val="none" w:sz="0" w:space="0" w:color="auto"/>
        <w:right w:val="none" w:sz="0" w:space="0" w:color="auto"/>
      </w:divBdr>
    </w:div>
    <w:div w:id="580215372">
      <w:bodyDiv w:val="1"/>
      <w:marLeft w:val="0"/>
      <w:marRight w:val="0"/>
      <w:marTop w:val="0"/>
      <w:marBottom w:val="0"/>
      <w:divBdr>
        <w:top w:val="none" w:sz="0" w:space="0" w:color="auto"/>
        <w:left w:val="none" w:sz="0" w:space="0" w:color="auto"/>
        <w:bottom w:val="none" w:sz="0" w:space="0" w:color="auto"/>
        <w:right w:val="none" w:sz="0" w:space="0" w:color="auto"/>
      </w:divBdr>
    </w:div>
    <w:div w:id="594289281">
      <w:bodyDiv w:val="1"/>
      <w:marLeft w:val="0"/>
      <w:marRight w:val="0"/>
      <w:marTop w:val="0"/>
      <w:marBottom w:val="0"/>
      <w:divBdr>
        <w:top w:val="none" w:sz="0" w:space="0" w:color="auto"/>
        <w:left w:val="none" w:sz="0" w:space="0" w:color="auto"/>
        <w:bottom w:val="none" w:sz="0" w:space="0" w:color="auto"/>
        <w:right w:val="none" w:sz="0" w:space="0" w:color="auto"/>
      </w:divBdr>
    </w:div>
    <w:div w:id="675615224">
      <w:bodyDiv w:val="1"/>
      <w:marLeft w:val="0"/>
      <w:marRight w:val="0"/>
      <w:marTop w:val="0"/>
      <w:marBottom w:val="0"/>
      <w:divBdr>
        <w:top w:val="none" w:sz="0" w:space="0" w:color="auto"/>
        <w:left w:val="none" w:sz="0" w:space="0" w:color="auto"/>
        <w:bottom w:val="none" w:sz="0" w:space="0" w:color="auto"/>
        <w:right w:val="none" w:sz="0" w:space="0" w:color="auto"/>
      </w:divBdr>
    </w:div>
    <w:div w:id="926033710">
      <w:bodyDiv w:val="1"/>
      <w:marLeft w:val="0"/>
      <w:marRight w:val="0"/>
      <w:marTop w:val="0"/>
      <w:marBottom w:val="0"/>
      <w:divBdr>
        <w:top w:val="none" w:sz="0" w:space="0" w:color="auto"/>
        <w:left w:val="none" w:sz="0" w:space="0" w:color="auto"/>
        <w:bottom w:val="none" w:sz="0" w:space="0" w:color="auto"/>
        <w:right w:val="none" w:sz="0" w:space="0" w:color="auto"/>
      </w:divBdr>
    </w:div>
    <w:div w:id="950360313">
      <w:bodyDiv w:val="1"/>
      <w:marLeft w:val="0"/>
      <w:marRight w:val="0"/>
      <w:marTop w:val="0"/>
      <w:marBottom w:val="0"/>
      <w:divBdr>
        <w:top w:val="none" w:sz="0" w:space="0" w:color="auto"/>
        <w:left w:val="none" w:sz="0" w:space="0" w:color="auto"/>
        <w:bottom w:val="none" w:sz="0" w:space="0" w:color="auto"/>
        <w:right w:val="none" w:sz="0" w:space="0" w:color="auto"/>
      </w:divBdr>
    </w:div>
    <w:div w:id="1005740866">
      <w:bodyDiv w:val="1"/>
      <w:marLeft w:val="0"/>
      <w:marRight w:val="0"/>
      <w:marTop w:val="0"/>
      <w:marBottom w:val="0"/>
      <w:divBdr>
        <w:top w:val="none" w:sz="0" w:space="0" w:color="auto"/>
        <w:left w:val="none" w:sz="0" w:space="0" w:color="auto"/>
        <w:bottom w:val="none" w:sz="0" w:space="0" w:color="auto"/>
        <w:right w:val="none" w:sz="0" w:space="0" w:color="auto"/>
      </w:divBdr>
    </w:div>
    <w:div w:id="1100106669">
      <w:bodyDiv w:val="1"/>
      <w:marLeft w:val="0"/>
      <w:marRight w:val="0"/>
      <w:marTop w:val="0"/>
      <w:marBottom w:val="0"/>
      <w:divBdr>
        <w:top w:val="none" w:sz="0" w:space="0" w:color="auto"/>
        <w:left w:val="none" w:sz="0" w:space="0" w:color="auto"/>
        <w:bottom w:val="none" w:sz="0" w:space="0" w:color="auto"/>
        <w:right w:val="none" w:sz="0" w:space="0" w:color="auto"/>
      </w:divBdr>
    </w:div>
    <w:div w:id="1127312550">
      <w:bodyDiv w:val="1"/>
      <w:marLeft w:val="0"/>
      <w:marRight w:val="0"/>
      <w:marTop w:val="0"/>
      <w:marBottom w:val="0"/>
      <w:divBdr>
        <w:top w:val="none" w:sz="0" w:space="0" w:color="auto"/>
        <w:left w:val="none" w:sz="0" w:space="0" w:color="auto"/>
        <w:bottom w:val="none" w:sz="0" w:space="0" w:color="auto"/>
        <w:right w:val="none" w:sz="0" w:space="0" w:color="auto"/>
      </w:divBdr>
    </w:div>
    <w:div w:id="1164201296">
      <w:bodyDiv w:val="1"/>
      <w:marLeft w:val="0"/>
      <w:marRight w:val="0"/>
      <w:marTop w:val="0"/>
      <w:marBottom w:val="0"/>
      <w:divBdr>
        <w:top w:val="none" w:sz="0" w:space="0" w:color="auto"/>
        <w:left w:val="none" w:sz="0" w:space="0" w:color="auto"/>
        <w:bottom w:val="none" w:sz="0" w:space="0" w:color="auto"/>
        <w:right w:val="none" w:sz="0" w:space="0" w:color="auto"/>
      </w:divBdr>
    </w:div>
    <w:div w:id="1200163266">
      <w:bodyDiv w:val="1"/>
      <w:marLeft w:val="0"/>
      <w:marRight w:val="0"/>
      <w:marTop w:val="0"/>
      <w:marBottom w:val="0"/>
      <w:divBdr>
        <w:top w:val="none" w:sz="0" w:space="0" w:color="auto"/>
        <w:left w:val="none" w:sz="0" w:space="0" w:color="auto"/>
        <w:bottom w:val="none" w:sz="0" w:space="0" w:color="auto"/>
        <w:right w:val="none" w:sz="0" w:space="0" w:color="auto"/>
      </w:divBdr>
    </w:div>
    <w:div w:id="1228760245">
      <w:bodyDiv w:val="1"/>
      <w:marLeft w:val="0"/>
      <w:marRight w:val="0"/>
      <w:marTop w:val="0"/>
      <w:marBottom w:val="0"/>
      <w:divBdr>
        <w:top w:val="none" w:sz="0" w:space="0" w:color="auto"/>
        <w:left w:val="none" w:sz="0" w:space="0" w:color="auto"/>
        <w:bottom w:val="none" w:sz="0" w:space="0" w:color="auto"/>
        <w:right w:val="none" w:sz="0" w:space="0" w:color="auto"/>
      </w:divBdr>
    </w:div>
    <w:div w:id="1302034392">
      <w:bodyDiv w:val="1"/>
      <w:marLeft w:val="0"/>
      <w:marRight w:val="0"/>
      <w:marTop w:val="0"/>
      <w:marBottom w:val="0"/>
      <w:divBdr>
        <w:top w:val="none" w:sz="0" w:space="0" w:color="auto"/>
        <w:left w:val="none" w:sz="0" w:space="0" w:color="auto"/>
        <w:bottom w:val="none" w:sz="0" w:space="0" w:color="auto"/>
        <w:right w:val="none" w:sz="0" w:space="0" w:color="auto"/>
      </w:divBdr>
    </w:div>
    <w:div w:id="1309169658">
      <w:bodyDiv w:val="1"/>
      <w:marLeft w:val="0"/>
      <w:marRight w:val="0"/>
      <w:marTop w:val="0"/>
      <w:marBottom w:val="0"/>
      <w:divBdr>
        <w:top w:val="none" w:sz="0" w:space="0" w:color="auto"/>
        <w:left w:val="none" w:sz="0" w:space="0" w:color="auto"/>
        <w:bottom w:val="none" w:sz="0" w:space="0" w:color="auto"/>
        <w:right w:val="none" w:sz="0" w:space="0" w:color="auto"/>
      </w:divBdr>
    </w:div>
    <w:div w:id="1461261469">
      <w:bodyDiv w:val="1"/>
      <w:marLeft w:val="0"/>
      <w:marRight w:val="0"/>
      <w:marTop w:val="0"/>
      <w:marBottom w:val="0"/>
      <w:divBdr>
        <w:top w:val="none" w:sz="0" w:space="0" w:color="auto"/>
        <w:left w:val="none" w:sz="0" w:space="0" w:color="auto"/>
        <w:bottom w:val="none" w:sz="0" w:space="0" w:color="auto"/>
        <w:right w:val="none" w:sz="0" w:space="0" w:color="auto"/>
      </w:divBdr>
    </w:div>
    <w:div w:id="1503205599">
      <w:bodyDiv w:val="1"/>
      <w:marLeft w:val="0"/>
      <w:marRight w:val="0"/>
      <w:marTop w:val="0"/>
      <w:marBottom w:val="0"/>
      <w:divBdr>
        <w:top w:val="none" w:sz="0" w:space="0" w:color="auto"/>
        <w:left w:val="none" w:sz="0" w:space="0" w:color="auto"/>
        <w:bottom w:val="none" w:sz="0" w:space="0" w:color="auto"/>
        <w:right w:val="none" w:sz="0" w:space="0" w:color="auto"/>
      </w:divBdr>
    </w:div>
    <w:div w:id="1507135343">
      <w:bodyDiv w:val="1"/>
      <w:marLeft w:val="0"/>
      <w:marRight w:val="0"/>
      <w:marTop w:val="0"/>
      <w:marBottom w:val="0"/>
      <w:divBdr>
        <w:top w:val="none" w:sz="0" w:space="0" w:color="auto"/>
        <w:left w:val="none" w:sz="0" w:space="0" w:color="auto"/>
        <w:bottom w:val="none" w:sz="0" w:space="0" w:color="auto"/>
        <w:right w:val="none" w:sz="0" w:space="0" w:color="auto"/>
      </w:divBdr>
    </w:div>
    <w:div w:id="1527333288">
      <w:bodyDiv w:val="1"/>
      <w:marLeft w:val="0"/>
      <w:marRight w:val="0"/>
      <w:marTop w:val="0"/>
      <w:marBottom w:val="0"/>
      <w:divBdr>
        <w:top w:val="none" w:sz="0" w:space="0" w:color="auto"/>
        <w:left w:val="none" w:sz="0" w:space="0" w:color="auto"/>
        <w:bottom w:val="none" w:sz="0" w:space="0" w:color="auto"/>
        <w:right w:val="none" w:sz="0" w:space="0" w:color="auto"/>
      </w:divBdr>
    </w:div>
    <w:div w:id="1547911414">
      <w:bodyDiv w:val="1"/>
      <w:marLeft w:val="0"/>
      <w:marRight w:val="0"/>
      <w:marTop w:val="0"/>
      <w:marBottom w:val="0"/>
      <w:divBdr>
        <w:top w:val="none" w:sz="0" w:space="0" w:color="auto"/>
        <w:left w:val="none" w:sz="0" w:space="0" w:color="auto"/>
        <w:bottom w:val="none" w:sz="0" w:space="0" w:color="auto"/>
        <w:right w:val="none" w:sz="0" w:space="0" w:color="auto"/>
      </w:divBdr>
    </w:div>
    <w:div w:id="1560436013">
      <w:bodyDiv w:val="1"/>
      <w:marLeft w:val="0"/>
      <w:marRight w:val="0"/>
      <w:marTop w:val="0"/>
      <w:marBottom w:val="0"/>
      <w:divBdr>
        <w:top w:val="none" w:sz="0" w:space="0" w:color="auto"/>
        <w:left w:val="none" w:sz="0" w:space="0" w:color="auto"/>
        <w:bottom w:val="none" w:sz="0" w:space="0" w:color="auto"/>
        <w:right w:val="none" w:sz="0" w:space="0" w:color="auto"/>
      </w:divBdr>
    </w:div>
    <w:div w:id="1578243835">
      <w:bodyDiv w:val="1"/>
      <w:marLeft w:val="0"/>
      <w:marRight w:val="0"/>
      <w:marTop w:val="0"/>
      <w:marBottom w:val="0"/>
      <w:divBdr>
        <w:top w:val="none" w:sz="0" w:space="0" w:color="auto"/>
        <w:left w:val="none" w:sz="0" w:space="0" w:color="auto"/>
        <w:bottom w:val="none" w:sz="0" w:space="0" w:color="auto"/>
        <w:right w:val="none" w:sz="0" w:space="0" w:color="auto"/>
      </w:divBdr>
    </w:div>
    <w:div w:id="1635521220">
      <w:bodyDiv w:val="1"/>
      <w:marLeft w:val="0"/>
      <w:marRight w:val="0"/>
      <w:marTop w:val="0"/>
      <w:marBottom w:val="0"/>
      <w:divBdr>
        <w:top w:val="none" w:sz="0" w:space="0" w:color="auto"/>
        <w:left w:val="none" w:sz="0" w:space="0" w:color="auto"/>
        <w:bottom w:val="none" w:sz="0" w:space="0" w:color="auto"/>
        <w:right w:val="none" w:sz="0" w:space="0" w:color="auto"/>
      </w:divBdr>
    </w:div>
    <w:div w:id="1691566383">
      <w:bodyDiv w:val="1"/>
      <w:marLeft w:val="0"/>
      <w:marRight w:val="0"/>
      <w:marTop w:val="0"/>
      <w:marBottom w:val="0"/>
      <w:divBdr>
        <w:top w:val="none" w:sz="0" w:space="0" w:color="auto"/>
        <w:left w:val="none" w:sz="0" w:space="0" w:color="auto"/>
        <w:bottom w:val="none" w:sz="0" w:space="0" w:color="auto"/>
        <w:right w:val="none" w:sz="0" w:space="0" w:color="auto"/>
      </w:divBdr>
    </w:div>
    <w:div w:id="1742365207">
      <w:bodyDiv w:val="1"/>
      <w:marLeft w:val="0"/>
      <w:marRight w:val="0"/>
      <w:marTop w:val="0"/>
      <w:marBottom w:val="0"/>
      <w:divBdr>
        <w:top w:val="none" w:sz="0" w:space="0" w:color="auto"/>
        <w:left w:val="none" w:sz="0" w:space="0" w:color="auto"/>
        <w:bottom w:val="none" w:sz="0" w:space="0" w:color="auto"/>
        <w:right w:val="none" w:sz="0" w:space="0" w:color="auto"/>
      </w:divBdr>
    </w:div>
    <w:div w:id="1798403132">
      <w:bodyDiv w:val="1"/>
      <w:marLeft w:val="0"/>
      <w:marRight w:val="0"/>
      <w:marTop w:val="0"/>
      <w:marBottom w:val="0"/>
      <w:divBdr>
        <w:top w:val="none" w:sz="0" w:space="0" w:color="auto"/>
        <w:left w:val="none" w:sz="0" w:space="0" w:color="auto"/>
        <w:bottom w:val="none" w:sz="0" w:space="0" w:color="auto"/>
        <w:right w:val="none" w:sz="0" w:space="0" w:color="auto"/>
      </w:divBdr>
    </w:div>
    <w:div w:id="1812405661">
      <w:bodyDiv w:val="1"/>
      <w:marLeft w:val="0"/>
      <w:marRight w:val="0"/>
      <w:marTop w:val="0"/>
      <w:marBottom w:val="0"/>
      <w:divBdr>
        <w:top w:val="none" w:sz="0" w:space="0" w:color="auto"/>
        <w:left w:val="none" w:sz="0" w:space="0" w:color="auto"/>
        <w:bottom w:val="none" w:sz="0" w:space="0" w:color="auto"/>
        <w:right w:val="none" w:sz="0" w:space="0" w:color="auto"/>
      </w:divBdr>
    </w:div>
    <w:div w:id="1823152417">
      <w:bodyDiv w:val="1"/>
      <w:marLeft w:val="0"/>
      <w:marRight w:val="0"/>
      <w:marTop w:val="0"/>
      <w:marBottom w:val="0"/>
      <w:divBdr>
        <w:top w:val="none" w:sz="0" w:space="0" w:color="auto"/>
        <w:left w:val="none" w:sz="0" w:space="0" w:color="auto"/>
        <w:bottom w:val="none" w:sz="0" w:space="0" w:color="auto"/>
        <w:right w:val="none" w:sz="0" w:space="0" w:color="auto"/>
      </w:divBdr>
    </w:div>
    <w:div w:id="1823697799">
      <w:bodyDiv w:val="1"/>
      <w:marLeft w:val="0"/>
      <w:marRight w:val="0"/>
      <w:marTop w:val="0"/>
      <w:marBottom w:val="0"/>
      <w:divBdr>
        <w:top w:val="none" w:sz="0" w:space="0" w:color="auto"/>
        <w:left w:val="none" w:sz="0" w:space="0" w:color="auto"/>
        <w:bottom w:val="none" w:sz="0" w:space="0" w:color="auto"/>
        <w:right w:val="none" w:sz="0" w:space="0" w:color="auto"/>
      </w:divBdr>
    </w:div>
    <w:div w:id="1855653321">
      <w:bodyDiv w:val="1"/>
      <w:marLeft w:val="0"/>
      <w:marRight w:val="0"/>
      <w:marTop w:val="0"/>
      <w:marBottom w:val="0"/>
      <w:divBdr>
        <w:top w:val="none" w:sz="0" w:space="0" w:color="auto"/>
        <w:left w:val="none" w:sz="0" w:space="0" w:color="auto"/>
        <w:bottom w:val="none" w:sz="0" w:space="0" w:color="auto"/>
        <w:right w:val="none" w:sz="0" w:space="0" w:color="auto"/>
      </w:divBdr>
    </w:div>
    <w:div w:id="2093961981">
      <w:bodyDiv w:val="1"/>
      <w:marLeft w:val="0"/>
      <w:marRight w:val="0"/>
      <w:marTop w:val="0"/>
      <w:marBottom w:val="0"/>
      <w:divBdr>
        <w:top w:val="none" w:sz="0" w:space="0" w:color="auto"/>
        <w:left w:val="none" w:sz="0" w:space="0" w:color="auto"/>
        <w:bottom w:val="none" w:sz="0" w:space="0" w:color="auto"/>
        <w:right w:val="none" w:sz="0" w:space="0" w:color="auto"/>
      </w:divBdr>
    </w:div>
    <w:div w:id="2146196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lycamobile.com.au/en/pla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4446</Words>
  <Characters>25343</Characters>
  <Application>Microsoft Office Word</Application>
  <DocSecurity>2</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2021-05-18T04:06:00Z</dcterms:created>
  <dcterms:modified xsi:type="dcterms:W3CDTF">2021-05-18T04:06:00Z</dcterms:modified>
</cp:coreProperties>
</file>