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D9640D" w14:textId="57CB2A0F" w:rsidR="00BA2205" w:rsidRDefault="00630251" w:rsidP="00BA2205">
      <w:pPr>
        <w:spacing w:before="0" w:after="0" w:line="240" w:lineRule="auto"/>
        <w:ind w:left="-720"/>
        <w:rPr>
          <w:color w:val="4D4D4F"/>
        </w:rPr>
      </w:pPr>
      <w:r w:rsidRPr="009526B0">
        <w:rPr>
          <w:noProof/>
          <w:lang w:eastAsia="en-AU"/>
        </w:rPr>
        <w:drawing>
          <wp:anchor distT="0" distB="0" distL="114300" distR="114300" simplePos="0" relativeHeight="251659264" behindDoc="0" locked="0" layoutInCell="1" allowOverlap="1" wp14:anchorId="185094AD" wp14:editId="461F4941">
            <wp:simplePos x="0" y="0"/>
            <wp:positionH relativeFrom="margin">
              <wp:posOffset>47501</wp:posOffset>
            </wp:positionH>
            <wp:positionV relativeFrom="paragraph">
              <wp:posOffset>5501</wp:posOffset>
            </wp:positionV>
            <wp:extent cx="5280025" cy="762634"/>
            <wp:effectExtent l="0" t="0" r="0" b="0"/>
            <wp:wrapNone/>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A4"/>
                    <pic:cNvPicPr>
                      <a:picLocks noChangeAspect="1" noChangeArrowheads="1"/>
                    </pic:cNvPicPr>
                  </pic:nvPicPr>
                  <pic:blipFill>
                    <a:blip r:embed="rId7" cstate="print"/>
                    <a:srcRect/>
                    <a:stretch>
                      <a:fillRect/>
                    </a:stretch>
                  </pic:blipFill>
                  <pic:spPr bwMode="auto">
                    <a:xfrm>
                      <a:off x="0" y="0"/>
                      <a:ext cx="5280025" cy="762634"/>
                    </a:xfrm>
                    <a:prstGeom prst="rect">
                      <a:avLst/>
                    </a:prstGeom>
                    <a:noFill/>
                    <a:ln w="9525">
                      <a:noFill/>
                      <a:miter lim="800000"/>
                      <a:headEnd/>
                      <a:tailEnd/>
                    </a:ln>
                  </pic:spPr>
                </pic:pic>
              </a:graphicData>
            </a:graphic>
          </wp:anchor>
        </w:drawing>
      </w:r>
    </w:p>
    <w:p w14:paraId="2F576320" w14:textId="35A4FE10" w:rsidR="00630251" w:rsidRPr="00E30D61" w:rsidRDefault="00630251" w:rsidP="00BA2205">
      <w:pPr>
        <w:spacing w:before="0" w:after="0" w:line="240" w:lineRule="auto"/>
        <w:ind w:left="-720"/>
        <w:rPr>
          <w:color w:val="4D4D4F"/>
        </w:rPr>
      </w:pPr>
    </w:p>
    <w:p w14:paraId="1231AF0B" w14:textId="55CA9536" w:rsidR="00630251" w:rsidRDefault="00630251" w:rsidP="00D768B2">
      <w:pPr>
        <w:pStyle w:val="ACMAHeading1"/>
        <w:rPr>
          <w:sz w:val="28"/>
          <w:szCs w:val="28"/>
        </w:rPr>
      </w:pPr>
    </w:p>
    <w:p w14:paraId="5FE8A979" w14:textId="5A468BEF" w:rsidR="00D768B2" w:rsidRPr="00D2232B" w:rsidRDefault="00D768B2" w:rsidP="00D768B2">
      <w:pPr>
        <w:pStyle w:val="ACMAHeading1"/>
        <w:rPr>
          <w:sz w:val="28"/>
          <w:szCs w:val="28"/>
        </w:rPr>
      </w:pPr>
      <w:r w:rsidRPr="00D2232B">
        <w:rPr>
          <w:sz w:val="28"/>
          <w:szCs w:val="28"/>
        </w:rPr>
        <w:t>Investigation Report</w:t>
      </w:r>
    </w:p>
    <w:p w14:paraId="7BBA70AD" w14:textId="77777777" w:rsidR="00D768B2" w:rsidRPr="00D2232B" w:rsidRDefault="00D768B2" w:rsidP="00D768B2">
      <w:pPr>
        <w:spacing w:before="0" w:after="0" w:line="240" w:lineRule="auto"/>
      </w:pPr>
    </w:p>
    <w:tbl>
      <w:tblPr>
        <w:tblW w:w="0" w:type="auto"/>
        <w:tblCellMar>
          <w:left w:w="0" w:type="dxa"/>
          <w:right w:w="0" w:type="dxa"/>
        </w:tblCellMar>
        <w:tblLook w:val="04A0" w:firstRow="1" w:lastRow="0" w:firstColumn="1" w:lastColumn="0" w:noHBand="0" w:noVBand="1"/>
      </w:tblPr>
      <w:tblGrid>
        <w:gridCol w:w="2740"/>
        <w:gridCol w:w="5555"/>
      </w:tblGrid>
      <w:tr w:rsidR="00D768B2" w:rsidRPr="00D2232B" w14:paraId="6FCCAA4F" w14:textId="77777777" w:rsidTr="009B1255">
        <w:tc>
          <w:tcPr>
            <w:tcW w:w="27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3A81A85D" w14:textId="77777777" w:rsidR="00D768B2" w:rsidRPr="00D2232B" w:rsidRDefault="00D768B2" w:rsidP="009B1255">
            <w:pPr>
              <w:pStyle w:val="ACMATableHeading"/>
              <w:spacing w:line="276" w:lineRule="auto"/>
              <w:rPr>
                <w:rFonts w:eastAsiaTheme="minorHAnsi"/>
              </w:rPr>
            </w:pPr>
            <w:r w:rsidRPr="00D2232B">
              <w:t>File No.</w:t>
            </w:r>
          </w:p>
        </w:tc>
        <w:tc>
          <w:tcPr>
            <w:tcW w:w="5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B24DA05" w14:textId="3A96638E" w:rsidR="00D768B2" w:rsidRPr="00D2232B" w:rsidRDefault="00D768B2" w:rsidP="009B1255">
            <w:pPr>
              <w:pStyle w:val="ACMATableText"/>
              <w:spacing w:line="276" w:lineRule="auto"/>
              <w:rPr>
                <w:rFonts w:eastAsiaTheme="minorHAnsi"/>
              </w:rPr>
            </w:pPr>
            <w:r w:rsidRPr="00D2232B">
              <w:rPr>
                <w:rFonts w:eastAsiaTheme="minorHAnsi"/>
              </w:rPr>
              <w:t>ACMA20</w:t>
            </w:r>
            <w:r>
              <w:rPr>
                <w:rFonts w:eastAsiaTheme="minorHAnsi"/>
              </w:rPr>
              <w:t>20</w:t>
            </w:r>
            <w:r w:rsidRPr="00D2232B">
              <w:rPr>
                <w:rFonts w:eastAsiaTheme="minorHAnsi"/>
              </w:rPr>
              <w:t>/</w:t>
            </w:r>
            <w:r w:rsidR="000459E8">
              <w:rPr>
                <w:rFonts w:eastAsiaTheme="minorHAnsi"/>
              </w:rPr>
              <w:t>532</w:t>
            </w:r>
          </w:p>
        </w:tc>
      </w:tr>
      <w:tr w:rsidR="00D768B2" w:rsidRPr="00D2232B" w14:paraId="041BEB86" w14:textId="77777777" w:rsidTr="009B1255">
        <w:tc>
          <w:tcPr>
            <w:tcW w:w="2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9AE9741" w14:textId="1733B907" w:rsidR="00D768B2" w:rsidRPr="00D2232B" w:rsidRDefault="00D8058C" w:rsidP="009B1255">
            <w:pPr>
              <w:pStyle w:val="ACMATableHeading"/>
              <w:spacing w:line="276" w:lineRule="auto"/>
              <w:rPr>
                <w:rFonts w:eastAsiaTheme="minorHAnsi"/>
              </w:rPr>
            </w:pPr>
            <w:r>
              <w:t>Entity</w:t>
            </w:r>
          </w:p>
        </w:tc>
        <w:tc>
          <w:tcPr>
            <w:tcW w:w="5555" w:type="dxa"/>
            <w:tcBorders>
              <w:top w:val="nil"/>
              <w:left w:val="nil"/>
              <w:bottom w:val="single" w:sz="8" w:space="0" w:color="auto"/>
              <w:right w:val="single" w:sz="8" w:space="0" w:color="auto"/>
            </w:tcBorders>
            <w:tcMar>
              <w:top w:w="0" w:type="dxa"/>
              <w:left w:w="108" w:type="dxa"/>
              <w:bottom w:w="0" w:type="dxa"/>
              <w:right w:w="108" w:type="dxa"/>
            </w:tcMar>
            <w:hideMark/>
          </w:tcPr>
          <w:p w14:paraId="59ED6A82" w14:textId="232986A9" w:rsidR="00D768B2" w:rsidRPr="00D2232B" w:rsidRDefault="000459E8" w:rsidP="009B1255">
            <w:pPr>
              <w:pStyle w:val="ACMATableText"/>
              <w:spacing w:line="276" w:lineRule="auto"/>
              <w:rPr>
                <w:rFonts w:eastAsiaTheme="minorHAnsi"/>
              </w:rPr>
            </w:pPr>
            <w:r>
              <w:t>Sing</w:t>
            </w:r>
            <w:r w:rsidR="00B91B0E">
              <w:t>T</w:t>
            </w:r>
            <w:r>
              <w:t xml:space="preserve">el Optus Pty Ltd </w:t>
            </w:r>
          </w:p>
        </w:tc>
      </w:tr>
      <w:tr w:rsidR="00D768B2" w:rsidRPr="00D2232B" w14:paraId="3E223E4A" w14:textId="77777777" w:rsidTr="009B1255">
        <w:tc>
          <w:tcPr>
            <w:tcW w:w="2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E27358B" w14:textId="364E06A1" w:rsidR="00D768B2" w:rsidRPr="00D2232B" w:rsidRDefault="00D8058C" w:rsidP="009B1255">
            <w:pPr>
              <w:pStyle w:val="ACMATableHeading"/>
              <w:spacing w:line="276" w:lineRule="auto"/>
              <w:rPr>
                <w:rFonts w:eastAsiaTheme="minorHAnsi"/>
              </w:rPr>
            </w:pPr>
            <w:r>
              <w:t>ACN</w:t>
            </w:r>
          </w:p>
        </w:tc>
        <w:tc>
          <w:tcPr>
            <w:tcW w:w="5555" w:type="dxa"/>
            <w:tcBorders>
              <w:top w:val="nil"/>
              <w:left w:val="nil"/>
              <w:bottom w:val="single" w:sz="8" w:space="0" w:color="auto"/>
              <w:right w:val="single" w:sz="8" w:space="0" w:color="auto"/>
            </w:tcBorders>
            <w:tcMar>
              <w:top w:w="0" w:type="dxa"/>
              <w:left w:w="108" w:type="dxa"/>
              <w:bottom w:w="0" w:type="dxa"/>
              <w:right w:w="108" w:type="dxa"/>
            </w:tcMar>
            <w:hideMark/>
          </w:tcPr>
          <w:p w14:paraId="013DE260" w14:textId="7D1DC3B2" w:rsidR="00D768B2" w:rsidRPr="00D2232B" w:rsidRDefault="00D8058C" w:rsidP="009B1255">
            <w:pPr>
              <w:pStyle w:val="ACMATableText"/>
              <w:spacing w:line="276" w:lineRule="auto"/>
              <w:rPr>
                <w:rFonts w:eastAsiaTheme="minorHAnsi"/>
              </w:rPr>
            </w:pPr>
            <w:r>
              <w:rPr>
                <w:rFonts w:cs="Arial"/>
              </w:rPr>
              <w:t>05</w:t>
            </w:r>
            <w:r w:rsidR="000459E8">
              <w:rPr>
                <w:rFonts w:cs="Arial"/>
              </w:rPr>
              <w:t>2 833 208</w:t>
            </w:r>
          </w:p>
        </w:tc>
      </w:tr>
      <w:tr w:rsidR="00D768B2" w:rsidRPr="00D2232B" w14:paraId="7CE3C213" w14:textId="77777777" w:rsidTr="009B1255">
        <w:tc>
          <w:tcPr>
            <w:tcW w:w="27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2BC6650" w14:textId="77777777" w:rsidR="00D768B2" w:rsidRPr="00D2232B" w:rsidRDefault="00D768B2" w:rsidP="009B1255">
            <w:pPr>
              <w:pStyle w:val="ACMATableHeading"/>
              <w:spacing w:line="276" w:lineRule="auto"/>
              <w:rPr>
                <w:rFonts w:eastAsiaTheme="minorHAnsi"/>
              </w:rPr>
            </w:pPr>
            <w:r w:rsidRPr="00D2232B">
              <w:rPr>
                <w:bCs/>
              </w:rPr>
              <w:t>Relevant Legislation</w:t>
            </w:r>
          </w:p>
        </w:tc>
        <w:tc>
          <w:tcPr>
            <w:tcW w:w="5555" w:type="dxa"/>
            <w:tcBorders>
              <w:top w:val="nil"/>
              <w:left w:val="nil"/>
              <w:bottom w:val="single" w:sz="8" w:space="0" w:color="auto"/>
              <w:right w:val="single" w:sz="8" w:space="0" w:color="auto"/>
            </w:tcBorders>
            <w:tcMar>
              <w:top w:w="0" w:type="dxa"/>
              <w:left w:w="108" w:type="dxa"/>
              <w:bottom w:w="0" w:type="dxa"/>
              <w:right w:w="108" w:type="dxa"/>
            </w:tcMar>
            <w:hideMark/>
          </w:tcPr>
          <w:p w14:paraId="50ADF0AA" w14:textId="77777777" w:rsidR="00D768B2" w:rsidRPr="00D2232B" w:rsidRDefault="00D768B2" w:rsidP="009B1255">
            <w:pPr>
              <w:pStyle w:val="ACMATableText"/>
              <w:spacing w:line="276" w:lineRule="auto"/>
              <w:rPr>
                <w:rFonts w:eastAsiaTheme="minorHAnsi"/>
                <w:i/>
              </w:rPr>
            </w:pPr>
            <w:r w:rsidRPr="00D2232B">
              <w:rPr>
                <w:rFonts w:eastAsiaTheme="minorHAnsi"/>
                <w:i/>
              </w:rPr>
              <w:t>Telecommunications Act 1997</w:t>
            </w:r>
          </w:p>
          <w:p w14:paraId="3BF68F49" w14:textId="1B413338" w:rsidR="00D768B2" w:rsidRPr="00D437ED" w:rsidRDefault="00D768B2" w:rsidP="009B1255">
            <w:pPr>
              <w:pStyle w:val="ACMATableText"/>
              <w:spacing w:line="276" w:lineRule="auto"/>
              <w:rPr>
                <w:rFonts w:eastAsiaTheme="minorHAnsi"/>
                <w:iCs/>
              </w:rPr>
            </w:pPr>
            <w:r w:rsidRPr="00D922D5">
              <w:rPr>
                <w:rFonts w:eastAsiaTheme="minorHAnsi"/>
                <w:i/>
              </w:rPr>
              <w:t>Telecommunications (</w:t>
            </w:r>
            <w:r w:rsidR="000326F8" w:rsidRPr="00D922D5">
              <w:rPr>
                <w:rFonts w:eastAsiaTheme="minorHAnsi"/>
                <w:i/>
              </w:rPr>
              <w:t>NBN Continuity of Service</w:t>
            </w:r>
            <w:r w:rsidRPr="00D922D5">
              <w:rPr>
                <w:rFonts w:eastAsiaTheme="minorHAnsi"/>
                <w:i/>
              </w:rPr>
              <w:t>) Industry Standard 2018</w:t>
            </w:r>
            <w:r w:rsidR="00D437ED">
              <w:rPr>
                <w:rStyle w:val="FootnoteReference"/>
                <w:rFonts w:eastAsiaTheme="minorHAnsi"/>
                <w:i/>
              </w:rPr>
              <w:footnoteReference w:id="1"/>
            </w:r>
          </w:p>
        </w:tc>
      </w:tr>
    </w:tbl>
    <w:p w14:paraId="48995BF2" w14:textId="77777777" w:rsidR="00D768B2" w:rsidRPr="00D2232B" w:rsidRDefault="00D768B2" w:rsidP="00D768B2">
      <w:pPr>
        <w:spacing w:before="0"/>
      </w:pPr>
    </w:p>
    <w:p w14:paraId="3E69354C" w14:textId="51BFC7C4" w:rsidR="00D768B2" w:rsidRPr="00D2232B" w:rsidRDefault="00F765B2" w:rsidP="00D768B2">
      <w:pPr>
        <w:pStyle w:val="ACMAHeading1"/>
        <w:spacing w:before="80" w:after="120" w:line="280" w:lineRule="atLeast"/>
        <w:rPr>
          <w:sz w:val="24"/>
          <w:szCs w:val="24"/>
        </w:rPr>
      </w:pPr>
      <w:r>
        <w:rPr>
          <w:sz w:val="24"/>
          <w:szCs w:val="24"/>
        </w:rPr>
        <w:t>F</w:t>
      </w:r>
      <w:r w:rsidR="00D768B2" w:rsidRPr="00D2232B">
        <w:rPr>
          <w:sz w:val="24"/>
          <w:szCs w:val="24"/>
        </w:rPr>
        <w:t>indings</w:t>
      </w:r>
    </w:p>
    <w:p w14:paraId="652E6B0A" w14:textId="455F9DBE" w:rsidR="00D768B2" w:rsidRDefault="00D768B2" w:rsidP="00D768B2">
      <w:pPr>
        <w:pStyle w:val="ACMABodyText"/>
        <w:rPr>
          <w:rFonts w:ascii="Arial" w:hAnsi="Arial" w:cs="Arial"/>
          <w:sz w:val="20"/>
        </w:rPr>
      </w:pPr>
      <w:r w:rsidRPr="00D2232B">
        <w:rPr>
          <w:rFonts w:ascii="Arial" w:hAnsi="Arial" w:cs="Arial"/>
          <w:sz w:val="20"/>
        </w:rPr>
        <w:t>The Australian Communications and Media Authority (</w:t>
      </w:r>
      <w:r w:rsidRPr="00D2232B">
        <w:rPr>
          <w:rFonts w:ascii="Arial" w:hAnsi="Arial" w:cs="Arial"/>
          <w:b/>
          <w:sz w:val="20"/>
        </w:rPr>
        <w:t>ACMA</w:t>
      </w:r>
      <w:r w:rsidRPr="00D2232B">
        <w:rPr>
          <w:rFonts w:ascii="Arial" w:hAnsi="Arial" w:cs="Arial"/>
          <w:sz w:val="20"/>
        </w:rPr>
        <w:t xml:space="preserve">) </w:t>
      </w:r>
      <w:r w:rsidR="005D1B6A">
        <w:rPr>
          <w:rFonts w:ascii="Arial" w:hAnsi="Arial" w:cs="Arial"/>
          <w:sz w:val="20"/>
        </w:rPr>
        <w:t>finds</w:t>
      </w:r>
      <w:r w:rsidRPr="00D2232B">
        <w:rPr>
          <w:rFonts w:ascii="Arial" w:hAnsi="Arial" w:cs="Arial"/>
          <w:sz w:val="20"/>
        </w:rPr>
        <w:t xml:space="preserve"> that</w:t>
      </w:r>
      <w:r>
        <w:rPr>
          <w:rFonts w:ascii="Arial" w:hAnsi="Arial" w:cs="Arial"/>
          <w:sz w:val="20"/>
        </w:rPr>
        <w:t xml:space="preserve"> </w:t>
      </w:r>
      <w:r w:rsidR="006773D6">
        <w:rPr>
          <w:rFonts w:ascii="Arial" w:hAnsi="Arial" w:cs="Arial"/>
          <w:sz w:val="20"/>
        </w:rPr>
        <w:t>Singtel Optus Pty Ltd</w:t>
      </w:r>
      <w:r w:rsidRPr="00D2232B">
        <w:rPr>
          <w:rFonts w:ascii="Arial" w:hAnsi="Arial" w:cs="Arial"/>
          <w:sz w:val="20"/>
        </w:rPr>
        <w:t xml:space="preserve"> </w:t>
      </w:r>
      <w:r w:rsidR="00D8058C">
        <w:rPr>
          <w:rFonts w:ascii="Arial" w:hAnsi="Arial" w:cs="Arial"/>
          <w:sz w:val="20"/>
        </w:rPr>
        <w:t>(</w:t>
      </w:r>
      <w:r w:rsidRPr="00D2232B">
        <w:rPr>
          <w:rFonts w:ascii="Arial" w:hAnsi="Arial" w:cs="Arial"/>
          <w:sz w:val="20"/>
        </w:rPr>
        <w:t xml:space="preserve">ACN </w:t>
      </w:r>
      <w:r w:rsidR="004F398C">
        <w:rPr>
          <w:rFonts w:ascii="Arial" w:hAnsi="Arial" w:cs="Arial"/>
          <w:sz w:val="20"/>
        </w:rPr>
        <w:t>05</w:t>
      </w:r>
      <w:r w:rsidR="00512FAF">
        <w:rPr>
          <w:rFonts w:ascii="Arial" w:hAnsi="Arial" w:cs="Arial"/>
          <w:sz w:val="20"/>
        </w:rPr>
        <w:t>2</w:t>
      </w:r>
      <w:r w:rsidR="004F398C">
        <w:rPr>
          <w:rFonts w:ascii="Arial" w:hAnsi="Arial" w:cs="Arial"/>
          <w:sz w:val="20"/>
        </w:rPr>
        <w:t xml:space="preserve"> </w:t>
      </w:r>
      <w:r w:rsidR="00512FAF">
        <w:rPr>
          <w:rFonts w:ascii="Arial" w:hAnsi="Arial" w:cs="Arial"/>
          <w:sz w:val="20"/>
        </w:rPr>
        <w:t>833</w:t>
      </w:r>
      <w:r w:rsidR="004F398C">
        <w:rPr>
          <w:rFonts w:ascii="Arial" w:hAnsi="Arial" w:cs="Arial"/>
          <w:sz w:val="20"/>
        </w:rPr>
        <w:t xml:space="preserve"> </w:t>
      </w:r>
      <w:r w:rsidR="00512FAF">
        <w:rPr>
          <w:rFonts w:ascii="Arial" w:hAnsi="Arial" w:cs="Arial"/>
          <w:sz w:val="20"/>
        </w:rPr>
        <w:t>208</w:t>
      </w:r>
      <w:r w:rsidR="00D8058C">
        <w:rPr>
          <w:rFonts w:ascii="Arial" w:hAnsi="Arial" w:cs="Arial"/>
          <w:sz w:val="20"/>
        </w:rPr>
        <w:t>)</w:t>
      </w:r>
      <w:r w:rsidR="0051530A">
        <w:rPr>
          <w:rFonts w:ascii="Arial" w:hAnsi="Arial" w:cs="Arial"/>
          <w:sz w:val="20"/>
        </w:rPr>
        <w:t xml:space="preserve"> (</w:t>
      </w:r>
      <w:r w:rsidR="006773D6" w:rsidRPr="006773D6">
        <w:rPr>
          <w:rFonts w:ascii="Arial" w:hAnsi="Arial" w:cs="Arial"/>
          <w:b/>
          <w:bCs/>
          <w:sz w:val="20"/>
        </w:rPr>
        <w:t>Optus</w:t>
      </w:r>
      <w:r w:rsidR="0051530A">
        <w:rPr>
          <w:rFonts w:ascii="Arial" w:hAnsi="Arial" w:cs="Arial"/>
          <w:sz w:val="20"/>
        </w:rPr>
        <w:t>)</w:t>
      </w:r>
      <w:r w:rsidRPr="00D2232B">
        <w:rPr>
          <w:rFonts w:ascii="Arial" w:hAnsi="Arial" w:cs="Arial"/>
          <w:sz w:val="20"/>
        </w:rPr>
        <w:t xml:space="preserve"> </w:t>
      </w:r>
      <w:r>
        <w:rPr>
          <w:rFonts w:ascii="Arial" w:hAnsi="Arial" w:cs="Arial"/>
          <w:sz w:val="20"/>
        </w:rPr>
        <w:t xml:space="preserve">contravened: </w:t>
      </w:r>
    </w:p>
    <w:p w14:paraId="05E1A821" w14:textId="1CC1455C" w:rsidR="0072205A" w:rsidRDefault="00512FAF" w:rsidP="00D768B2">
      <w:pPr>
        <w:pStyle w:val="ACMABodyText"/>
        <w:numPr>
          <w:ilvl w:val="0"/>
          <w:numId w:val="37"/>
        </w:numPr>
        <w:ind w:left="426" w:hanging="437"/>
        <w:rPr>
          <w:rFonts w:ascii="Arial" w:hAnsi="Arial" w:cs="Arial"/>
          <w:sz w:val="20"/>
        </w:rPr>
      </w:pPr>
      <w:r>
        <w:rPr>
          <w:rFonts w:ascii="Arial" w:hAnsi="Arial" w:cs="Arial"/>
          <w:sz w:val="20"/>
        </w:rPr>
        <w:t>subsection 11</w:t>
      </w:r>
      <w:r w:rsidR="00D768B2">
        <w:rPr>
          <w:rFonts w:ascii="Arial" w:hAnsi="Arial" w:cs="Arial"/>
          <w:sz w:val="20"/>
        </w:rPr>
        <w:t>(</w:t>
      </w:r>
      <w:r>
        <w:rPr>
          <w:rFonts w:ascii="Arial" w:hAnsi="Arial" w:cs="Arial"/>
          <w:sz w:val="20"/>
        </w:rPr>
        <w:t>1</w:t>
      </w:r>
      <w:r w:rsidR="00D768B2">
        <w:rPr>
          <w:rFonts w:ascii="Arial" w:hAnsi="Arial" w:cs="Arial"/>
          <w:sz w:val="20"/>
        </w:rPr>
        <w:t xml:space="preserve">) of the </w:t>
      </w:r>
      <w:r w:rsidR="00D768B2" w:rsidRPr="00D922D5">
        <w:rPr>
          <w:rFonts w:ascii="Arial" w:hAnsi="Arial" w:cs="Arial"/>
          <w:i/>
          <w:sz w:val="20"/>
        </w:rPr>
        <w:t>Telecommunications (</w:t>
      </w:r>
      <w:r w:rsidR="0051530A" w:rsidRPr="00D922D5">
        <w:rPr>
          <w:rFonts w:ascii="Arial" w:hAnsi="Arial" w:cs="Arial"/>
          <w:i/>
          <w:sz w:val="20"/>
        </w:rPr>
        <w:t>NBN Continuity of Service</w:t>
      </w:r>
      <w:r w:rsidR="00D768B2" w:rsidRPr="00D922D5">
        <w:rPr>
          <w:rFonts w:ascii="Arial" w:hAnsi="Arial" w:cs="Arial"/>
          <w:i/>
          <w:sz w:val="20"/>
        </w:rPr>
        <w:t>) Industry Standard 2018</w:t>
      </w:r>
      <w:r w:rsidR="00D768B2" w:rsidRPr="00D2232B">
        <w:rPr>
          <w:rFonts w:ascii="Arial" w:hAnsi="Arial" w:cs="Arial"/>
          <w:sz w:val="20"/>
        </w:rPr>
        <w:t xml:space="preserve"> (</w:t>
      </w:r>
      <w:r w:rsidR="00D768B2">
        <w:rPr>
          <w:rFonts w:ascii="Arial" w:hAnsi="Arial" w:cs="Arial"/>
          <w:b/>
          <w:sz w:val="20"/>
        </w:rPr>
        <w:t>the</w:t>
      </w:r>
      <w:r w:rsidR="00D768B2" w:rsidRPr="00D2232B">
        <w:rPr>
          <w:rFonts w:ascii="Arial" w:hAnsi="Arial" w:cs="Arial"/>
          <w:b/>
          <w:sz w:val="20"/>
        </w:rPr>
        <w:t xml:space="preserve"> </w:t>
      </w:r>
      <w:r w:rsidR="0051530A">
        <w:rPr>
          <w:rFonts w:ascii="Arial" w:hAnsi="Arial" w:cs="Arial"/>
          <w:b/>
          <w:sz w:val="20"/>
        </w:rPr>
        <w:t xml:space="preserve">Service Continuity </w:t>
      </w:r>
      <w:r w:rsidR="00D768B2" w:rsidRPr="00D2232B">
        <w:rPr>
          <w:rFonts w:ascii="Arial" w:hAnsi="Arial" w:cs="Arial"/>
          <w:b/>
          <w:sz w:val="20"/>
        </w:rPr>
        <w:t>Standard</w:t>
      </w:r>
      <w:r w:rsidR="00D768B2" w:rsidRPr="00D2232B">
        <w:rPr>
          <w:rFonts w:ascii="Arial" w:hAnsi="Arial" w:cs="Arial"/>
          <w:sz w:val="20"/>
        </w:rPr>
        <w:t>)</w:t>
      </w:r>
      <w:r w:rsidR="00085895">
        <w:rPr>
          <w:rFonts w:ascii="Arial" w:hAnsi="Arial" w:cs="Arial"/>
          <w:sz w:val="20"/>
        </w:rPr>
        <w:t xml:space="preserve"> on </w:t>
      </w:r>
      <w:r>
        <w:rPr>
          <w:rFonts w:ascii="Arial" w:hAnsi="Arial" w:cs="Arial"/>
          <w:sz w:val="20"/>
        </w:rPr>
        <w:t>8</w:t>
      </w:r>
      <w:r w:rsidR="000C394A">
        <w:rPr>
          <w:rFonts w:ascii="Arial" w:hAnsi="Arial" w:cs="Arial"/>
          <w:sz w:val="20"/>
        </w:rPr>
        <w:t xml:space="preserve"> occasions</w:t>
      </w:r>
      <w:r w:rsidR="00D768B2">
        <w:rPr>
          <w:rFonts w:ascii="Arial" w:hAnsi="Arial" w:cs="Arial"/>
          <w:sz w:val="20"/>
        </w:rPr>
        <w:t xml:space="preserve"> </w:t>
      </w:r>
      <w:r w:rsidR="00803026">
        <w:rPr>
          <w:rFonts w:ascii="Arial" w:hAnsi="Arial" w:cs="Arial"/>
          <w:sz w:val="20"/>
        </w:rPr>
        <w:t xml:space="preserve">between </w:t>
      </w:r>
      <w:r w:rsidR="004A1E38">
        <w:rPr>
          <w:rFonts w:ascii="Arial" w:hAnsi="Arial" w:cs="Arial"/>
          <w:sz w:val="20"/>
        </w:rPr>
        <w:t xml:space="preserve">13 and 29 January 2020 </w:t>
      </w:r>
      <w:r w:rsidR="00660A23">
        <w:rPr>
          <w:rFonts w:ascii="Arial" w:hAnsi="Arial" w:cs="Arial"/>
          <w:sz w:val="20"/>
        </w:rPr>
        <w:t xml:space="preserve">for failing to supply </w:t>
      </w:r>
      <w:r w:rsidR="00DA3DAF">
        <w:rPr>
          <w:rFonts w:ascii="Arial" w:hAnsi="Arial" w:cs="Arial"/>
          <w:sz w:val="20"/>
        </w:rPr>
        <w:t>a</w:t>
      </w:r>
      <w:r w:rsidR="00660A23">
        <w:rPr>
          <w:rFonts w:ascii="Arial" w:hAnsi="Arial" w:cs="Arial"/>
          <w:sz w:val="20"/>
        </w:rPr>
        <w:t xml:space="preserve"> legacy service </w:t>
      </w:r>
      <w:r w:rsidR="00B80D77">
        <w:rPr>
          <w:rFonts w:ascii="Arial" w:hAnsi="Arial" w:cs="Arial"/>
          <w:sz w:val="20"/>
        </w:rPr>
        <w:t xml:space="preserve">to 8 consumers </w:t>
      </w:r>
      <w:r w:rsidR="00660A23">
        <w:rPr>
          <w:rFonts w:ascii="Arial" w:hAnsi="Arial" w:cs="Arial"/>
          <w:sz w:val="20"/>
        </w:rPr>
        <w:t xml:space="preserve">where none of the exceptions under subsection 11(2) </w:t>
      </w:r>
      <w:r w:rsidR="00106475">
        <w:rPr>
          <w:rFonts w:ascii="Arial" w:hAnsi="Arial" w:cs="Arial"/>
          <w:sz w:val="20"/>
        </w:rPr>
        <w:t xml:space="preserve">of that Standard </w:t>
      </w:r>
      <w:proofErr w:type="gramStart"/>
      <w:r w:rsidR="00660A23">
        <w:rPr>
          <w:rFonts w:ascii="Arial" w:hAnsi="Arial" w:cs="Arial"/>
          <w:sz w:val="20"/>
        </w:rPr>
        <w:t>applied</w:t>
      </w:r>
      <w:r w:rsidR="00D8058C">
        <w:rPr>
          <w:rFonts w:ascii="Arial" w:hAnsi="Arial" w:cs="Arial"/>
          <w:sz w:val="20"/>
        </w:rPr>
        <w:t>;</w:t>
      </w:r>
      <w:proofErr w:type="gramEnd"/>
    </w:p>
    <w:p w14:paraId="40CD54F2" w14:textId="1934E59C" w:rsidR="00D768B2" w:rsidRDefault="007A42AE" w:rsidP="00D768B2">
      <w:pPr>
        <w:pStyle w:val="ACMABodyText"/>
        <w:numPr>
          <w:ilvl w:val="0"/>
          <w:numId w:val="37"/>
        </w:numPr>
        <w:ind w:left="426" w:hanging="437"/>
        <w:rPr>
          <w:rFonts w:ascii="Arial" w:hAnsi="Arial" w:cs="Arial"/>
          <w:sz w:val="20"/>
        </w:rPr>
      </w:pPr>
      <w:r>
        <w:rPr>
          <w:rFonts w:ascii="Arial" w:hAnsi="Arial" w:cs="Arial"/>
          <w:sz w:val="20"/>
        </w:rPr>
        <w:t xml:space="preserve">paragraph </w:t>
      </w:r>
      <w:r w:rsidR="0072205A">
        <w:rPr>
          <w:rFonts w:ascii="Arial" w:hAnsi="Arial" w:cs="Arial"/>
          <w:sz w:val="20"/>
        </w:rPr>
        <w:t>14(2)</w:t>
      </w:r>
      <w:r>
        <w:rPr>
          <w:rFonts w:ascii="Arial" w:hAnsi="Arial" w:cs="Arial"/>
          <w:sz w:val="20"/>
        </w:rPr>
        <w:t>(a)</w:t>
      </w:r>
      <w:r w:rsidR="0072205A">
        <w:rPr>
          <w:rFonts w:ascii="Arial" w:hAnsi="Arial" w:cs="Arial"/>
          <w:sz w:val="20"/>
        </w:rPr>
        <w:t xml:space="preserve"> of the Service Continuity Standard on 9 occasions</w:t>
      </w:r>
      <w:r w:rsidR="00031C46">
        <w:rPr>
          <w:rFonts w:ascii="Arial" w:hAnsi="Arial" w:cs="Arial"/>
          <w:sz w:val="20"/>
        </w:rPr>
        <w:t>,</w:t>
      </w:r>
      <w:r w:rsidR="001B04EC">
        <w:rPr>
          <w:rFonts w:ascii="Arial" w:hAnsi="Arial" w:cs="Arial"/>
          <w:sz w:val="20"/>
        </w:rPr>
        <w:t xml:space="preserve"> </w:t>
      </w:r>
      <w:r w:rsidR="00401DFC">
        <w:rPr>
          <w:rFonts w:ascii="Arial" w:hAnsi="Arial" w:cs="Arial"/>
          <w:sz w:val="20"/>
        </w:rPr>
        <w:t xml:space="preserve">from </w:t>
      </w:r>
      <w:r w:rsidR="001B04EC">
        <w:rPr>
          <w:rFonts w:ascii="Arial" w:hAnsi="Arial" w:cs="Arial"/>
          <w:sz w:val="20"/>
        </w:rPr>
        <w:t xml:space="preserve">on </w:t>
      </w:r>
      <w:r w:rsidR="00401DFC">
        <w:rPr>
          <w:rFonts w:ascii="Arial" w:hAnsi="Arial" w:cs="Arial"/>
          <w:sz w:val="20"/>
        </w:rPr>
        <w:t xml:space="preserve">or </w:t>
      </w:r>
      <w:r w:rsidR="002A11F1">
        <w:rPr>
          <w:rFonts w:ascii="Arial" w:hAnsi="Arial" w:cs="Arial"/>
          <w:sz w:val="20"/>
        </w:rPr>
        <w:t xml:space="preserve">close to </w:t>
      </w:r>
      <w:r w:rsidR="00401DFC">
        <w:rPr>
          <w:rFonts w:ascii="Arial" w:hAnsi="Arial" w:cs="Arial"/>
          <w:sz w:val="20"/>
        </w:rPr>
        <w:t xml:space="preserve">14 November 2019 to </w:t>
      </w:r>
      <w:r w:rsidR="009A3205">
        <w:rPr>
          <w:rFonts w:ascii="Arial" w:hAnsi="Arial" w:cs="Arial"/>
          <w:sz w:val="20"/>
        </w:rPr>
        <w:t xml:space="preserve">on or </w:t>
      </w:r>
      <w:r w:rsidR="002A11F1">
        <w:rPr>
          <w:rFonts w:ascii="Arial" w:hAnsi="Arial" w:cs="Arial"/>
          <w:sz w:val="20"/>
        </w:rPr>
        <w:t>close to</w:t>
      </w:r>
      <w:r w:rsidR="009A3205">
        <w:rPr>
          <w:rFonts w:ascii="Arial" w:hAnsi="Arial" w:cs="Arial"/>
          <w:sz w:val="20"/>
        </w:rPr>
        <w:t xml:space="preserve"> </w:t>
      </w:r>
      <w:r w:rsidR="00B974B1">
        <w:rPr>
          <w:rFonts w:ascii="Arial" w:hAnsi="Arial" w:cs="Arial"/>
          <w:sz w:val="20"/>
        </w:rPr>
        <w:t>21</w:t>
      </w:r>
      <w:r w:rsidR="009A3205">
        <w:rPr>
          <w:rFonts w:ascii="Arial" w:hAnsi="Arial" w:cs="Arial"/>
          <w:sz w:val="20"/>
        </w:rPr>
        <w:t xml:space="preserve"> January 2020</w:t>
      </w:r>
      <w:r w:rsidR="005E2F26">
        <w:rPr>
          <w:rStyle w:val="FootnoteReference"/>
          <w:rFonts w:ascii="Arial" w:hAnsi="Arial" w:cs="Arial"/>
          <w:sz w:val="20"/>
        </w:rPr>
        <w:footnoteReference w:id="2"/>
      </w:r>
      <w:r w:rsidR="00031C46">
        <w:rPr>
          <w:rFonts w:ascii="Arial" w:hAnsi="Arial" w:cs="Arial"/>
          <w:sz w:val="20"/>
        </w:rPr>
        <w:t>,</w:t>
      </w:r>
      <w:r w:rsidR="0072205A">
        <w:rPr>
          <w:rFonts w:ascii="Arial" w:hAnsi="Arial" w:cs="Arial"/>
          <w:sz w:val="20"/>
        </w:rPr>
        <w:t xml:space="preserve"> for failing to </w:t>
      </w:r>
      <w:r w:rsidR="003D5279">
        <w:rPr>
          <w:rFonts w:ascii="Arial" w:hAnsi="Arial" w:cs="Arial"/>
          <w:sz w:val="20"/>
        </w:rPr>
        <w:t xml:space="preserve">advise </w:t>
      </w:r>
      <w:r w:rsidR="00B80D77">
        <w:rPr>
          <w:rFonts w:ascii="Arial" w:hAnsi="Arial" w:cs="Arial"/>
          <w:sz w:val="20"/>
        </w:rPr>
        <w:t xml:space="preserve">9 </w:t>
      </w:r>
      <w:r w:rsidR="0072205A">
        <w:rPr>
          <w:rFonts w:ascii="Arial" w:hAnsi="Arial" w:cs="Arial"/>
          <w:sz w:val="20"/>
        </w:rPr>
        <w:t>consumers of its obligation to supply a legacy service</w:t>
      </w:r>
      <w:r w:rsidR="004024D4">
        <w:rPr>
          <w:rFonts w:ascii="Arial" w:hAnsi="Arial" w:cs="Arial"/>
          <w:sz w:val="20"/>
        </w:rPr>
        <w:t xml:space="preserve"> to the consumer</w:t>
      </w:r>
      <w:r w:rsidR="00D7366F">
        <w:rPr>
          <w:rFonts w:ascii="Arial" w:hAnsi="Arial" w:cs="Arial"/>
          <w:sz w:val="20"/>
        </w:rPr>
        <w:t>’</w:t>
      </w:r>
      <w:r w:rsidR="004024D4">
        <w:rPr>
          <w:rFonts w:ascii="Arial" w:hAnsi="Arial" w:cs="Arial"/>
          <w:sz w:val="20"/>
        </w:rPr>
        <w:t xml:space="preserve">s </w:t>
      </w:r>
      <w:r w:rsidR="00AA0A66">
        <w:rPr>
          <w:rFonts w:ascii="Arial" w:hAnsi="Arial" w:cs="Arial"/>
          <w:sz w:val="20"/>
        </w:rPr>
        <w:t>premises</w:t>
      </w:r>
      <w:r w:rsidR="0072205A">
        <w:rPr>
          <w:rFonts w:ascii="Arial" w:hAnsi="Arial" w:cs="Arial"/>
          <w:sz w:val="20"/>
        </w:rPr>
        <w:t xml:space="preserve"> before gaining their consent to provide an interim service</w:t>
      </w:r>
      <w:r w:rsidR="00AA0A66">
        <w:rPr>
          <w:rFonts w:ascii="Arial" w:hAnsi="Arial" w:cs="Arial"/>
          <w:sz w:val="20"/>
        </w:rPr>
        <w:t xml:space="preserve"> as a substitute for the supply of a legacy </w:t>
      </w:r>
      <w:proofErr w:type="gramStart"/>
      <w:r w:rsidR="00AA0A66">
        <w:rPr>
          <w:rFonts w:ascii="Arial" w:hAnsi="Arial" w:cs="Arial"/>
          <w:sz w:val="20"/>
        </w:rPr>
        <w:t>service</w:t>
      </w:r>
      <w:r w:rsidR="007E3DCD">
        <w:rPr>
          <w:rFonts w:ascii="Arial" w:hAnsi="Arial" w:cs="Arial"/>
          <w:sz w:val="20"/>
        </w:rPr>
        <w:t>;</w:t>
      </w:r>
      <w:proofErr w:type="gramEnd"/>
      <w:r w:rsidR="007E3DCD">
        <w:rPr>
          <w:rFonts w:ascii="Arial" w:hAnsi="Arial" w:cs="Arial"/>
          <w:sz w:val="20"/>
        </w:rPr>
        <w:t xml:space="preserve"> and</w:t>
      </w:r>
      <w:r w:rsidR="0072205A">
        <w:rPr>
          <w:rFonts w:ascii="Arial" w:hAnsi="Arial" w:cs="Arial"/>
          <w:sz w:val="20"/>
        </w:rPr>
        <w:t xml:space="preserve"> </w:t>
      </w:r>
      <w:r w:rsidR="00D8058C">
        <w:rPr>
          <w:rFonts w:ascii="Arial" w:hAnsi="Arial" w:cs="Arial"/>
          <w:sz w:val="20"/>
        </w:rPr>
        <w:t xml:space="preserve"> </w:t>
      </w:r>
    </w:p>
    <w:p w14:paraId="20409A7D" w14:textId="4B24DF8B" w:rsidR="00D768B2" w:rsidRPr="00D2232B" w:rsidRDefault="00D768B2" w:rsidP="00D768B2">
      <w:pPr>
        <w:pStyle w:val="ACMABodyText"/>
        <w:numPr>
          <w:ilvl w:val="0"/>
          <w:numId w:val="37"/>
        </w:numPr>
        <w:ind w:left="426" w:hanging="437"/>
        <w:rPr>
          <w:rFonts w:ascii="Arial" w:hAnsi="Arial" w:cs="Arial"/>
          <w:sz w:val="20"/>
        </w:rPr>
      </w:pPr>
      <w:r>
        <w:rPr>
          <w:rFonts w:ascii="Arial" w:hAnsi="Arial" w:cs="Arial"/>
          <w:sz w:val="20"/>
        </w:rPr>
        <w:t>sub</w:t>
      </w:r>
      <w:r w:rsidRPr="00D2232B">
        <w:rPr>
          <w:rFonts w:ascii="Arial" w:hAnsi="Arial" w:cs="Arial"/>
          <w:sz w:val="20"/>
        </w:rPr>
        <w:t>section 128</w:t>
      </w:r>
      <w:r>
        <w:rPr>
          <w:rFonts w:ascii="Arial" w:hAnsi="Arial" w:cs="Arial"/>
          <w:sz w:val="20"/>
        </w:rPr>
        <w:t>(1)</w:t>
      </w:r>
      <w:r w:rsidRPr="00D2232B">
        <w:rPr>
          <w:rFonts w:ascii="Arial" w:hAnsi="Arial" w:cs="Arial"/>
          <w:sz w:val="20"/>
        </w:rPr>
        <w:t xml:space="preserve"> of the </w:t>
      </w:r>
      <w:r w:rsidRPr="00D2232B">
        <w:rPr>
          <w:rFonts w:ascii="Arial" w:hAnsi="Arial" w:cs="Arial"/>
          <w:i/>
          <w:sz w:val="20"/>
        </w:rPr>
        <w:t>Telecommunications Act 1997</w:t>
      </w:r>
      <w:r w:rsidRPr="00D2232B">
        <w:rPr>
          <w:rFonts w:ascii="Arial" w:hAnsi="Arial" w:cs="Arial"/>
          <w:sz w:val="20"/>
        </w:rPr>
        <w:t xml:space="preserve"> (</w:t>
      </w:r>
      <w:r w:rsidRPr="00D2232B">
        <w:rPr>
          <w:rFonts w:ascii="Arial" w:hAnsi="Arial" w:cs="Arial"/>
          <w:b/>
          <w:sz w:val="20"/>
        </w:rPr>
        <w:t>the Act</w:t>
      </w:r>
      <w:r w:rsidRPr="00D2232B">
        <w:rPr>
          <w:rFonts w:ascii="Arial" w:hAnsi="Arial" w:cs="Arial"/>
          <w:sz w:val="20"/>
        </w:rPr>
        <w:t>)</w:t>
      </w:r>
      <w:r>
        <w:rPr>
          <w:rFonts w:ascii="Arial" w:hAnsi="Arial" w:cs="Arial"/>
          <w:sz w:val="20"/>
        </w:rPr>
        <w:t xml:space="preserve"> </w:t>
      </w:r>
      <w:r w:rsidR="001B08B3">
        <w:rPr>
          <w:rFonts w:ascii="Arial" w:hAnsi="Arial" w:cs="Arial"/>
          <w:sz w:val="20"/>
        </w:rPr>
        <w:t>on</w:t>
      </w:r>
      <w:r w:rsidR="0072205A">
        <w:rPr>
          <w:rFonts w:ascii="Arial" w:hAnsi="Arial" w:cs="Arial"/>
          <w:sz w:val="20"/>
        </w:rPr>
        <w:t xml:space="preserve"> 17</w:t>
      </w:r>
      <w:r w:rsidR="001B08B3">
        <w:rPr>
          <w:rFonts w:ascii="Arial" w:hAnsi="Arial" w:cs="Arial"/>
          <w:sz w:val="20"/>
        </w:rPr>
        <w:t xml:space="preserve"> occasions </w:t>
      </w:r>
      <w:r>
        <w:rPr>
          <w:rFonts w:ascii="Arial" w:hAnsi="Arial" w:cs="Arial"/>
          <w:sz w:val="20"/>
        </w:rPr>
        <w:t>as a consequence of failing to comply with an industry standard determined under subsection 125</w:t>
      </w:r>
      <w:proofErr w:type="gramStart"/>
      <w:r>
        <w:rPr>
          <w:rFonts w:ascii="Arial" w:hAnsi="Arial" w:cs="Arial"/>
          <w:sz w:val="20"/>
        </w:rPr>
        <w:t>AA(</w:t>
      </w:r>
      <w:proofErr w:type="gramEnd"/>
      <w:r>
        <w:rPr>
          <w:rFonts w:ascii="Arial" w:hAnsi="Arial" w:cs="Arial"/>
          <w:sz w:val="20"/>
        </w:rPr>
        <w:t>1) of the Act</w:t>
      </w:r>
      <w:r w:rsidR="002A11F1">
        <w:rPr>
          <w:rFonts w:ascii="Arial" w:hAnsi="Arial" w:cs="Arial"/>
          <w:sz w:val="20"/>
        </w:rPr>
        <w:t xml:space="preserve"> on the above noted dates</w:t>
      </w:r>
      <w:r>
        <w:rPr>
          <w:rFonts w:ascii="Arial" w:hAnsi="Arial" w:cs="Arial"/>
          <w:sz w:val="20"/>
        </w:rPr>
        <w:t>.</w:t>
      </w:r>
    </w:p>
    <w:p w14:paraId="577811E8" w14:textId="77FA3BC5" w:rsidR="00BA2205" w:rsidRDefault="00BA2205" w:rsidP="00DA3B62">
      <w:pPr>
        <w:pStyle w:val="ACMAHeading2"/>
        <w:spacing w:before="360" w:after="120" w:line="280" w:lineRule="atLeast"/>
        <w:rPr>
          <w:sz w:val="24"/>
          <w:szCs w:val="24"/>
        </w:rPr>
      </w:pPr>
      <w:r w:rsidRPr="00D2232B">
        <w:rPr>
          <w:sz w:val="24"/>
          <w:szCs w:val="24"/>
        </w:rPr>
        <w:t>Background</w:t>
      </w:r>
    </w:p>
    <w:p w14:paraId="18A73D73" w14:textId="08E748E5" w:rsidR="0075328B" w:rsidRDefault="001E4FEA">
      <w:pPr>
        <w:numPr>
          <w:ilvl w:val="0"/>
          <w:numId w:val="2"/>
        </w:numPr>
        <w:ind w:left="426" w:hanging="426"/>
        <w:rPr>
          <w:rFonts w:ascii="Arial" w:hAnsi="Arial" w:cs="Arial"/>
          <w:bCs/>
          <w:sz w:val="20"/>
        </w:rPr>
      </w:pPr>
      <w:r>
        <w:rPr>
          <w:rFonts w:ascii="Arial" w:hAnsi="Arial" w:cs="Arial"/>
          <w:bCs/>
          <w:sz w:val="20"/>
        </w:rPr>
        <w:t xml:space="preserve">On </w:t>
      </w:r>
      <w:r w:rsidR="00556FCE">
        <w:rPr>
          <w:rFonts w:ascii="Arial" w:hAnsi="Arial" w:cs="Arial"/>
          <w:bCs/>
          <w:sz w:val="20"/>
        </w:rPr>
        <w:t>28</w:t>
      </w:r>
      <w:r w:rsidR="00BB6E3C">
        <w:rPr>
          <w:rFonts w:ascii="Arial" w:hAnsi="Arial" w:cs="Arial"/>
          <w:bCs/>
          <w:sz w:val="20"/>
        </w:rPr>
        <w:t xml:space="preserve"> </w:t>
      </w:r>
      <w:r w:rsidR="00556FCE">
        <w:rPr>
          <w:rFonts w:ascii="Arial" w:hAnsi="Arial" w:cs="Arial"/>
          <w:bCs/>
          <w:sz w:val="20"/>
        </w:rPr>
        <w:t>October 2020</w:t>
      </w:r>
      <w:r w:rsidR="00BB6E3C">
        <w:rPr>
          <w:rFonts w:ascii="Arial" w:hAnsi="Arial" w:cs="Arial"/>
          <w:bCs/>
          <w:sz w:val="20"/>
        </w:rPr>
        <w:t>, the ACMA commenced an investigation</w:t>
      </w:r>
      <w:r w:rsidR="004E6A97">
        <w:rPr>
          <w:rFonts w:ascii="Arial" w:hAnsi="Arial" w:cs="Arial"/>
          <w:bCs/>
          <w:sz w:val="20"/>
        </w:rPr>
        <w:t>,</w:t>
      </w:r>
      <w:r w:rsidR="009D712F" w:rsidRPr="009D712F">
        <w:rPr>
          <w:rFonts w:ascii="Arial" w:hAnsi="Arial" w:cs="Arial"/>
          <w:bCs/>
          <w:sz w:val="20"/>
        </w:rPr>
        <w:t xml:space="preserve"> under paragraph</w:t>
      </w:r>
      <w:r w:rsidR="009D712F">
        <w:rPr>
          <w:rFonts w:ascii="Arial" w:hAnsi="Arial" w:cs="Arial"/>
          <w:bCs/>
          <w:sz w:val="20"/>
        </w:rPr>
        <w:t> </w:t>
      </w:r>
      <w:r w:rsidR="009D712F" w:rsidRPr="009D712F">
        <w:rPr>
          <w:rFonts w:ascii="Arial" w:hAnsi="Arial" w:cs="Arial"/>
          <w:bCs/>
          <w:sz w:val="20"/>
        </w:rPr>
        <w:t>510(1)(a) of the Act</w:t>
      </w:r>
      <w:r w:rsidR="009D712F">
        <w:rPr>
          <w:rFonts w:ascii="Arial" w:hAnsi="Arial" w:cs="Arial"/>
          <w:bCs/>
          <w:sz w:val="20"/>
        </w:rPr>
        <w:t>,</w:t>
      </w:r>
      <w:r w:rsidR="00BB6E3C">
        <w:rPr>
          <w:rFonts w:ascii="Arial" w:hAnsi="Arial" w:cs="Arial"/>
          <w:bCs/>
          <w:sz w:val="20"/>
        </w:rPr>
        <w:t xml:space="preserve"> into </w:t>
      </w:r>
      <w:r w:rsidR="00556FCE">
        <w:rPr>
          <w:rFonts w:ascii="Arial" w:hAnsi="Arial" w:cs="Arial"/>
          <w:bCs/>
          <w:sz w:val="20"/>
        </w:rPr>
        <w:t>Optus</w:t>
      </w:r>
      <w:r w:rsidR="007464DB">
        <w:rPr>
          <w:rFonts w:ascii="Arial" w:hAnsi="Arial" w:cs="Arial"/>
          <w:bCs/>
          <w:sz w:val="20"/>
        </w:rPr>
        <w:t>’ compliance with the Service Continuity Standard</w:t>
      </w:r>
      <w:r w:rsidR="0091385A">
        <w:rPr>
          <w:rFonts w:ascii="Arial" w:hAnsi="Arial" w:cs="Arial"/>
          <w:bCs/>
          <w:sz w:val="20"/>
        </w:rPr>
        <w:t>.</w:t>
      </w:r>
      <w:r w:rsidR="00344005">
        <w:rPr>
          <w:rFonts w:ascii="Arial" w:hAnsi="Arial" w:cs="Arial"/>
          <w:bCs/>
          <w:sz w:val="20"/>
        </w:rPr>
        <w:t xml:space="preserve"> </w:t>
      </w:r>
    </w:p>
    <w:p w14:paraId="45603634" w14:textId="03E9B43A" w:rsidR="00F31CF2" w:rsidRPr="001B5889" w:rsidRDefault="00F31CF2" w:rsidP="00F31CF2">
      <w:pPr>
        <w:numPr>
          <w:ilvl w:val="0"/>
          <w:numId w:val="2"/>
        </w:numPr>
        <w:ind w:left="426" w:hanging="426"/>
        <w:rPr>
          <w:rFonts w:ascii="Arial" w:hAnsi="Arial" w:cs="Arial"/>
          <w:sz w:val="20"/>
        </w:rPr>
      </w:pPr>
      <w:r>
        <w:rPr>
          <w:rFonts w:ascii="Arial" w:hAnsi="Arial" w:cs="Arial"/>
          <w:sz w:val="20"/>
        </w:rPr>
        <w:t xml:space="preserve">On 8 February 2021, the ACMA </w:t>
      </w:r>
      <w:r w:rsidR="00B239E7">
        <w:rPr>
          <w:rFonts w:ascii="Arial" w:hAnsi="Arial" w:cs="Arial"/>
          <w:sz w:val="20"/>
        </w:rPr>
        <w:t>provided</w:t>
      </w:r>
      <w:r>
        <w:rPr>
          <w:rFonts w:ascii="Arial" w:hAnsi="Arial" w:cs="Arial"/>
          <w:sz w:val="20"/>
        </w:rPr>
        <w:t xml:space="preserve"> Optus</w:t>
      </w:r>
      <w:r w:rsidR="00B239E7">
        <w:rPr>
          <w:rFonts w:ascii="Arial" w:hAnsi="Arial" w:cs="Arial"/>
          <w:sz w:val="20"/>
        </w:rPr>
        <w:t xml:space="preserve"> with</w:t>
      </w:r>
      <w:r>
        <w:rPr>
          <w:rFonts w:ascii="Arial" w:hAnsi="Arial" w:cs="Arial"/>
          <w:sz w:val="20"/>
        </w:rPr>
        <w:t xml:space="preserve"> its preliminary findings in the investigation. On 26 February 2021, Optus responded to the preliminary findings.</w:t>
      </w:r>
    </w:p>
    <w:p w14:paraId="5DFC0831" w14:textId="0B7C95CB" w:rsidR="008B4D5B" w:rsidRDefault="00FB4F19" w:rsidP="008B4D5B">
      <w:pPr>
        <w:numPr>
          <w:ilvl w:val="0"/>
          <w:numId w:val="2"/>
        </w:numPr>
        <w:ind w:left="426" w:hanging="426"/>
        <w:rPr>
          <w:rFonts w:ascii="Arial" w:hAnsi="Arial" w:cs="Arial"/>
          <w:sz w:val="20"/>
        </w:rPr>
      </w:pPr>
      <w:r>
        <w:rPr>
          <w:rFonts w:ascii="Arial" w:hAnsi="Arial" w:cs="Arial"/>
          <w:sz w:val="20"/>
        </w:rPr>
        <w:lastRenderedPageBreak/>
        <w:t>In coming to its investigation findings decision,</w:t>
      </w:r>
      <w:r w:rsidR="00F31CF2">
        <w:rPr>
          <w:rFonts w:ascii="Arial" w:hAnsi="Arial" w:cs="Arial"/>
          <w:sz w:val="20"/>
        </w:rPr>
        <w:t xml:space="preserve"> t</w:t>
      </w:r>
      <w:r w:rsidR="008B4D5B" w:rsidRPr="008B4D5B">
        <w:rPr>
          <w:rFonts w:ascii="Arial" w:hAnsi="Arial" w:cs="Arial"/>
          <w:sz w:val="20"/>
        </w:rPr>
        <w:t xml:space="preserve">he ACMA </w:t>
      </w:r>
      <w:r w:rsidR="00E25471">
        <w:rPr>
          <w:rFonts w:ascii="Arial" w:hAnsi="Arial" w:cs="Arial"/>
          <w:sz w:val="20"/>
        </w:rPr>
        <w:t xml:space="preserve">has </w:t>
      </w:r>
      <w:r w:rsidR="008B4D5B" w:rsidRPr="008B4D5B">
        <w:rPr>
          <w:rFonts w:ascii="Arial" w:hAnsi="Arial" w:cs="Arial"/>
          <w:sz w:val="20"/>
        </w:rPr>
        <w:t>also considered other matters raised by Optus in its correspondence of 20 November 2020</w:t>
      </w:r>
      <w:r w:rsidR="00F31CF2">
        <w:rPr>
          <w:rFonts w:ascii="Arial" w:hAnsi="Arial" w:cs="Arial"/>
          <w:sz w:val="20"/>
        </w:rPr>
        <w:t xml:space="preserve"> and its response to </w:t>
      </w:r>
      <w:r w:rsidR="009D386A">
        <w:rPr>
          <w:rFonts w:ascii="Arial" w:hAnsi="Arial" w:cs="Arial"/>
          <w:sz w:val="20"/>
        </w:rPr>
        <w:t>our preliminary findings</w:t>
      </w:r>
      <w:r w:rsidR="00B553BF">
        <w:rPr>
          <w:rFonts w:ascii="Arial" w:hAnsi="Arial" w:cs="Arial"/>
          <w:sz w:val="20"/>
        </w:rPr>
        <w:t>.</w:t>
      </w:r>
      <w:r w:rsidR="00A93D2F">
        <w:rPr>
          <w:rFonts w:ascii="Arial" w:hAnsi="Arial" w:cs="Arial"/>
          <w:sz w:val="20"/>
        </w:rPr>
        <w:t xml:space="preserve"> </w:t>
      </w:r>
      <w:r w:rsidR="00B553BF">
        <w:rPr>
          <w:rFonts w:ascii="Arial" w:hAnsi="Arial" w:cs="Arial"/>
          <w:sz w:val="20"/>
        </w:rPr>
        <w:t>These</w:t>
      </w:r>
      <w:r w:rsidR="005A5C84">
        <w:rPr>
          <w:rFonts w:ascii="Arial" w:hAnsi="Arial" w:cs="Arial"/>
          <w:sz w:val="20"/>
        </w:rPr>
        <w:t xml:space="preserve"> </w:t>
      </w:r>
      <w:r w:rsidR="008B4D5B" w:rsidRPr="008B4D5B">
        <w:rPr>
          <w:rFonts w:ascii="Arial" w:hAnsi="Arial" w:cs="Arial"/>
          <w:sz w:val="20"/>
        </w:rPr>
        <w:t>relat</w:t>
      </w:r>
      <w:r w:rsidR="00885A3F">
        <w:rPr>
          <w:rFonts w:ascii="Arial" w:hAnsi="Arial" w:cs="Arial"/>
          <w:sz w:val="20"/>
        </w:rPr>
        <w:t>e</w:t>
      </w:r>
      <w:r w:rsidR="008B4D5B" w:rsidRPr="008B4D5B">
        <w:rPr>
          <w:rFonts w:ascii="Arial" w:hAnsi="Arial" w:cs="Arial"/>
          <w:sz w:val="20"/>
        </w:rPr>
        <w:t xml:space="preserve"> to action</w:t>
      </w:r>
      <w:r w:rsidR="00A93D2F">
        <w:rPr>
          <w:rFonts w:ascii="Arial" w:hAnsi="Arial" w:cs="Arial"/>
          <w:sz w:val="20"/>
        </w:rPr>
        <w:t>s</w:t>
      </w:r>
      <w:r w:rsidR="008B4D5B" w:rsidRPr="008B4D5B">
        <w:rPr>
          <w:rFonts w:ascii="Arial" w:hAnsi="Arial" w:cs="Arial"/>
          <w:sz w:val="20"/>
        </w:rPr>
        <w:t xml:space="preserve"> taken by Optus </w:t>
      </w:r>
      <w:proofErr w:type="gramStart"/>
      <w:r w:rsidR="008B4D5B" w:rsidRPr="008B4D5B">
        <w:rPr>
          <w:rFonts w:ascii="Arial" w:hAnsi="Arial" w:cs="Arial"/>
          <w:sz w:val="20"/>
        </w:rPr>
        <w:t>as a consequence of</w:t>
      </w:r>
      <w:proofErr w:type="gramEnd"/>
      <w:r w:rsidR="008B4D5B" w:rsidRPr="008B4D5B">
        <w:rPr>
          <w:rFonts w:ascii="Arial" w:hAnsi="Arial" w:cs="Arial"/>
          <w:sz w:val="20"/>
        </w:rPr>
        <w:t xml:space="preserve"> </w:t>
      </w:r>
      <w:r w:rsidR="00836887">
        <w:rPr>
          <w:rFonts w:ascii="Arial" w:hAnsi="Arial" w:cs="Arial"/>
          <w:sz w:val="20"/>
        </w:rPr>
        <w:t>an</w:t>
      </w:r>
      <w:r w:rsidR="00836887" w:rsidRPr="008B4D5B">
        <w:rPr>
          <w:rFonts w:ascii="Arial" w:hAnsi="Arial" w:cs="Arial"/>
          <w:sz w:val="20"/>
        </w:rPr>
        <w:t xml:space="preserve"> </w:t>
      </w:r>
      <w:r w:rsidR="008B4D5B" w:rsidRPr="008B4D5B">
        <w:rPr>
          <w:rFonts w:ascii="Arial" w:hAnsi="Arial" w:cs="Arial"/>
          <w:sz w:val="20"/>
        </w:rPr>
        <w:t xml:space="preserve">investigation </w:t>
      </w:r>
      <w:r w:rsidR="008B4D5B">
        <w:rPr>
          <w:rFonts w:ascii="Arial" w:hAnsi="Arial" w:cs="Arial"/>
          <w:sz w:val="20"/>
        </w:rPr>
        <w:t xml:space="preserve">previously </w:t>
      </w:r>
      <w:r w:rsidR="008B4D5B" w:rsidRPr="008B4D5B">
        <w:rPr>
          <w:rFonts w:ascii="Arial" w:hAnsi="Arial" w:cs="Arial"/>
          <w:sz w:val="20"/>
        </w:rPr>
        <w:t xml:space="preserve">conducted by the ACMA </w:t>
      </w:r>
      <w:r w:rsidR="00885A3F">
        <w:rPr>
          <w:rFonts w:ascii="Arial" w:hAnsi="Arial" w:cs="Arial"/>
          <w:sz w:val="20"/>
        </w:rPr>
        <w:t>regardin</w:t>
      </w:r>
      <w:r w:rsidR="00B553BF">
        <w:rPr>
          <w:rFonts w:ascii="Arial" w:hAnsi="Arial" w:cs="Arial"/>
          <w:sz w:val="20"/>
        </w:rPr>
        <w:t>g</w:t>
      </w:r>
      <w:r w:rsidR="008B4D5B" w:rsidRPr="008B4D5B">
        <w:rPr>
          <w:rFonts w:ascii="Arial" w:hAnsi="Arial" w:cs="Arial"/>
          <w:sz w:val="20"/>
        </w:rPr>
        <w:t xml:space="preserve"> the Service Continuity Standard and the </w:t>
      </w:r>
      <w:r w:rsidR="008B4D5B" w:rsidRPr="004C7FC5">
        <w:rPr>
          <w:rFonts w:ascii="Arial" w:hAnsi="Arial" w:cs="Arial"/>
          <w:i/>
          <w:iCs/>
          <w:sz w:val="20"/>
        </w:rPr>
        <w:t>Telecommunications Service Provider (NBN Service Migration) Determination 2018</w:t>
      </w:r>
      <w:r w:rsidR="00243902">
        <w:rPr>
          <w:rFonts w:ascii="Arial" w:hAnsi="Arial" w:cs="Arial"/>
          <w:sz w:val="20"/>
        </w:rPr>
        <w:t xml:space="preserve"> (the </w:t>
      </w:r>
      <w:r w:rsidR="00243902">
        <w:rPr>
          <w:rFonts w:ascii="Arial" w:hAnsi="Arial" w:cs="Arial"/>
          <w:b/>
          <w:bCs/>
          <w:sz w:val="20"/>
        </w:rPr>
        <w:t>previous investigation</w:t>
      </w:r>
      <w:r w:rsidR="00243902">
        <w:rPr>
          <w:rFonts w:ascii="Arial" w:hAnsi="Arial" w:cs="Arial"/>
          <w:sz w:val="20"/>
        </w:rPr>
        <w:t>)</w:t>
      </w:r>
      <w:r w:rsidR="00016BAE">
        <w:rPr>
          <w:rFonts w:ascii="Arial" w:hAnsi="Arial" w:cs="Arial"/>
          <w:sz w:val="20"/>
        </w:rPr>
        <w:t>.</w:t>
      </w:r>
      <w:r w:rsidR="00A249D2">
        <w:rPr>
          <w:rFonts w:ascii="Arial" w:hAnsi="Arial" w:cs="Arial"/>
          <w:sz w:val="20"/>
        </w:rPr>
        <w:t xml:space="preserve"> That</w:t>
      </w:r>
      <w:r w:rsidR="00D7366F">
        <w:rPr>
          <w:rFonts w:ascii="Arial" w:hAnsi="Arial" w:cs="Arial"/>
          <w:sz w:val="20"/>
        </w:rPr>
        <w:t xml:space="preserve"> previous</w:t>
      </w:r>
      <w:r w:rsidR="00A249D2">
        <w:rPr>
          <w:rFonts w:ascii="Arial" w:hAnsi="Arial" w:cs="Arial"/>
          <w:sz w:val="20"/>
        </w:rPr>
        <w:t xml:space="preserve"> investigation assessed Optus’ compliance between 1 February to 30 April 2019. </w:t>
      </w:r>
    </w:p>
    <w:p w14:paraId="2B16D735" w14:textId="6D8C242C" w:rsidR="0067234F" w:rsidRPr="00A50DE9" w:rsidRDefault="007E4334" w:rsidP="00DA3B62">
      <w:pPr>
        <w:pStyle w:val="ACMAHeading2"/>
        <w:spacing w:before="360" w:after="120" w:line="280" w:lineRule="atLeast"/>
        <w:rPr>
          <w:b w:val="0"/>
          <w:sz w:val="24"/>
          <w:szCs w:val="24"/>
        </w:rPr>
      </w:pPr>
      <w:r>
        <w:rPr>
          <w:sz w:val="24"/>
          <w:szCs w:val="24"/>
        </w:rPr>
        <w:t>Relevant facts</w:t>
      </w:r>
    </w:p>
    <w:p w14:paraId="73FFCE1C" w14:textId="5F801E96" w:rsidR="0067234F" w:rsidRPr="00D2232B" w:rsidDel="00920B39" w:rsidRDefault="00002733" w:rsidP="00920B39">
      <w:pPr>
        <w:numPr>
          <w:ilvl w:val="0"/>
          <w:numId w:val="2"/>
        </w:numPr>
        <w:ind w:left="426" w:hanging="426"/>
        <w:rPr>
          <w:rFonts w:ascii="Arial" w:hAnsi="Arial" w:cs="Arial"/>
          <w:sz w:val="20"/>
        </w:rPr>
      </w:pPr>
      <w:r w:rsidRPr="00002733">
        <w:rPr>
          <w:rFonts w:ascii="Arial" w:hAnsi="Arial" w:cs="Arial"/>
          <w:sz w:val="20"/>
        </w:rPr>
        <w:t>The Service Continuity Standard is an industry standard determined under</w:t>
      </w:r>
      <w:r w:rsidR="00836887">
        <w:rPr>
          <w:rFonts w:ascii="Arial" w:hAnsi="Arial" w:cs="Arial"/>
          <w:sz w:val="20"/>
        </w:rPr>
        <w:t xml:space="preserve"> </w:t>
      </w:r>
      <w:r w:rsidRPr="00002733">
        <w:rPr>
          <w:rFonts w:ascii="Arial" w:hAnsi="Arial" w:cs="Arial"/>
          <w:sz w:val="20"/>
        </w:rPr>
        <w:t>subsection 125</w:t>
      </w:r>
      <w:proofErr w:type="gramStart"/>
      <w:r w:rsidRPr="00002733">
        <w:rPr>
          <w:rFonts w:ascii="Arial" w:hAnsi="Arial" w:cs="Arial"/>
          <w:sz w:val="20"/>
        </w:rPr>
        <w:t>AA(</w:t>
      </w:r>
      <w:proofErr w:type="gramEnd"/>
      <w:r w:rsidRPr="00002733">
        <w:rPr>
          <w:rFonts w:ascii="Arial" w:hAnsi="Arial" w:cs="Arial"/>
          <w:sz w:val="20"/>
        </w:rPr>
        <w:t xml:space="preserve">1) </w:t>
      </w:r>
      <w:r w:rsidR="00D7366F">
        <w:rPr>
          <w:rFonts w:ascii="Arial" w:hAnsi="Arial" w:cs="Arial"/>
          <w:sz w:val="20"/>
        </w:rPr>
        <w:t xml:space="preserve">in Part 6 </w:t>
      </w:r>
      <w:r w:rsidRPr="00002733">
        <w:rPr>
          <w:rFonts w:ascii="Arial" w:hAnsi="Arial" w:cs="Arial"/>
          <w:sz w:val="20"/>
        </w:rPr>
        <w:t>of the Act.</w:t>
      </w:r>
    </w:p>
    <w:p w14:paraId="55585206" w14:textId="5E0C4B0F" w:rsidR="002824BA" w:rsidRPr="00920B39" w:rsidRDefault="00002733">
      <w:pPr>
        <w:numPr>
          <w:ilvl w:val="0"/>
          <w:numId w:val="2"/>
        </w:numPr>
        <w:ind w:left="426" w:hanging="426"/>
        <w:rPr>
          <w:rFonts w:ascii="Arial" w:hAnsi="Arial" w:cs="Arial"/>
          <w:sz w:val="20"/>
          <w:szCs w:val="20"/>
        </w:rPr>
      </w:pPr>
      <w:bookmarkStart w:id="0" w:name="_Hlk51644889"/>
      <w:r w:rsidRPr="000A2940">
        <w:rPr>
          <w:rFonts w:ascii="Arial" w:hAnsi="Arial" w:cs="Arial"/>
          <w:sz w:val="20"/>
        </w:rPr>
        <w:t xml:space="preserve">The Service Continuity Standard </w:t>
      </w:r>
      <w:r>
        <w:rPr>
          <w:rFonts w:ascii="Arial" w:hAnsi="Arial" w:cs="Arial"/>
          <w:sz w:val="20"/>
        </w:rPr>
        <w:t>requires</w:t>
      </w:r>
      <w:r w:rsidR="00F676B2">
        <w:rPr>
          <w:rFonts w:ascii="Arial" w:hAnsi="Arial" w:cs="Arial"/>
          <w:sz w:val="20"/>
        </w:rPr>
        <w:t xml:space="preserve"> a</w:t>
      </w:r>
      <w:r w:rsidRPr="00720E0F">
        <w:rPr>
          <w:rFonts w:ascii="Arial" w:hAnsi="Arial" w:cs="Arial"/>
          <w:sz w:val="20"/>
        </w:rPr>
        <w:t xml:space="preserve"> </w:t>
      </w:r>
      <w:r>
        <w:rPr>
          <w:rFonts w:ascii="Arial" w:hAnsi="Arial" w:cs="Arial"/>
          <w:sz w:val="20"/>
        </w:rPr>
        <w:t>carriage service provider (</w:t>
      </w:r>
      <w:r w:rsidRPr="00720E0F">
        <w:rPr>
          <w:rFonts w:ascii="Arial" w:hAnsi="Arial" w:cs="Arial"/>
          <w:b/>
          <w:bCs/>
          <w:sz w:val="20"/>
        </w:rPr>
        <w:t>CSP</w:t>
      </w:r>
      <w:r>
        <w:rPr>
          <w:rFonts w:ascii="Arial" w:hAnsi="Arial" w:cs="Arial"/>
          <w:sz w:val="20"/>
        </w:rPr>
        <w:t xml:space="preserve">) and </w:t>
      </w:r>
      <w:r w:rsidRPr="0035471C">
        <w:rPr>
          <w:rFonts w:ascii="Arial" w:hAnsi="Arial" w:cs="Arial"/>
          <w:sz w:val="20"/>
        </w:rPr>
        <w:t>NBN Co</w:t>
      </w:r>
      <w:r w:rsidRPr="00720E0F">
        <w:rPr>
          <w:rFonts w:ascii="Arial" w:hAnsi="Arial" w:cs="Arial"/>
          <w:sz w:val="20"/>
        </w:rPr>
        <w:t xml:space="preserve"> </w:t>
      </w:r>
      <w:r>
        <w:rPr>
          <w:rFonts w:ascii="Arial" w:hAnsi="Arial" w:cs="Arial"/>
          <w:sz w:val="20"/>
        </w:rPr>
        <w:t xml:space="preserve">to </w:t>
      </w:r>
      <w:r w:rsidR="00F676B2">
        <w:rPr>
          <w:rFonts w:ascii="Arial" w:hAnsi="Arial" w:cs="Arial"/>
          <w:sz w:val="20"/>
        </w:rPr>
        <w:t xml:space="preserve">take steps to </w:t>
      </w:r>
      <w:r>
        <w:rPr>
          <w:rFonts w:ascii="Arial" w:hAnsi="Arial" w:cs="Arial"/>
          <w:sz w:val="20"/>
        </w:rPr>
        <w:t>provide</w:t>
      </w:r>
      <w:r w:rsidRPr="00720E0F">
        <w:rPr>
          <w:rFonts w:ascii="Arial" w:hAnsi="Arial" w:cs="Arial"/>
          <w:sz w:val="20"/>
        </w:rPr>
        <w:t xml:space="preserve"> continuity of voice and broadband services</w:t>
      </w:r>
      <w:r>
        <w:rPr>
          <w:rFonts w:ascii="Arial" w:hAnsi="Arial" w:cs="Arial"/>
          <w:sz w:val="20"/>
        </w:rPr>
        <w:t xml:space="preserve"> in certain circumstances</w:t>
      </w:r>
      <w:r w:rsidRPr="00720E0F">
        <w:rPr>
          <w:rFonts w:ascii="Arial" w:hAnsi="Arial" w:cs="Arial"/>
          <w:sz w:val="20"/>
        </w:rPr>
        <w:t xml:space="preserve"> </w:t>
      </w:r>
      <w:r>
        <w:rPr>
          <w:rFonts w:ascii="Arial" w:hAnsi="Arial" w:cs="Arial"/>
          <w:sz w:val="20"/>
        </w:rPr>
        <w:t>to</w:t>
      </w:r>
      <w:r w:rsidRPr="00720E0F">
        <w:rPr>
          <w:rFonts w:ascii="Arial" w:hAnsi="Arial" w:cs="Arial"/>
          <w:sz w:val="20"/>
        </w:rPr>
        <w:t xml:space="preserve"> those consumers who are migrating, or attempting to migrate, from a legacy service to a service on the </w:t>
      </w:r>
      <w:r>
        <w:rPr>
          <w:rFonts w:ascii="Arial" w:hAnsi="Arial" w:cs="Arial"/>
          <w:sz w:val="20"/>
        </w:rPr>
        <w:t>national broadband network (</w:t>
      </w:r>
      <w:r w:rsidRPr="0035471C">
        <w:rPr>
          <w:rFonts w:ascii="Arial" w:hAnsi="Arial" w:cs="Arial"/>
          <w:b/>
          <w:bCs/>
          <w:sz w:val="20"/>
        </w:rPr>
        <w:t>NBN</w:t>
      </w:r>
      <w:r>
        <w:rPr>
          <w:rFonts w:ascii="Arial" w:hAnsi="Arial" w:cs="Arial"/>
          <w:sz w:val="20"/>
        </w:rPr>
        <w:t>)</w:t>
      </w:r>
      <w:r w:rsidRPr="00720E0F">
        <w:rPr>
          <w:rFonts w:ascii="Arial" w:hAnsi="Arial" w:cs="Arial"/>
          <w:sz w:val="20"/>
        </w:rPr>
        <w:t xml:space="preserve">. </w:t>
      </w:r>
    </w:p>
    <w:p w14:paraId="56534E47" w14:textId="0A7E8441" w:rsidR="00D04DA9" w:rsidDel="00AE343A" w:rsidRDefault="00002733" w:rsidP="00D04DA9">
      <w:pPr>
        <w:numPr>
          <w:ilvl w:val="0"/>
          <w:numId w:val="2"/>
        </w:numPr>
        <w:ind w:left="426" w:hanging="426"/>
        <w:rPr>
          <w:rFonts w:ascii="Arial" w:hAnsi="Arial" w:cs="Arial"/>
          <w:sz w:val="20"/>
          <w:szCs w:val="20"/>
        </w:rPr>
      </w:pPr>
      <w:bookmarkStart w:id="1" w:name="_Hlk51650117"/>
      <w:bookmarkEnd w:id="0"/>
      <w:r w:rsidRPr="00002733">
        <w:rPr>
          <w:rFonts w:ascii="Arial" w:hAnsi="Arial" w:cs="Arial"/>
          <w:sz w:val="20"/>
          <w:szCs w:val="20"/>
        </w:rPr>
        <w:t xml:space="preserve">Section 128 of the Act </w:t>
      </w:r>
      <w:r w:rsidR="00170731">
        <w:rPr>
          <w:rFonts w:ascii="Arial" w:hAnsi="Arial" w:cs="Arial"/>
          <w:sz w:val="20"/>
          <w:szCs w:val="20"/>
        </w:rPr>
        <w:t>provide</w:t>
      </w:r>
      <w:r w:rsidR="00170731" w:rsidRPr="00002733">
        <w:rPr>
          <w:rFonts w:ascii="Arial" w:hAnsi="Arial" w:cs="Arial"/>
          <w:sz w:val="20"/>
          <w:szCs w:val="20"/>
        </w:rPr>
        <w:t xml:space="preserve">s </w:t>
      </w:r>
      <w:r w:rsidRPr="00002733">
        <w:rPr>
          <w:rFonts w:ascii="Arial" w:hAnsi="Arial" w:cs="Arial"/>
          <w:sz w:val="20"/>
          <w:szCs w:val="20"/>
        </w:rPr>
        <w:t>that</w:t>
      </w:r>
      <w:r w:rsidR="00C73B4B">
        <w:rPr>
          <w:rFonts w:ascii="Arial" w:hAnsi="Arial" w:cs="Arial"/>
          <w:sz w:val="20"/>
          <w:szCs w:val="20"/>
        </w:rPr>
        <w:t>,</w:t>
      </w:r>
      <w:r w:rsidRPr="00002733">
        <w:rPr>
          <w:rFonts w:ascii="Arial" w:hAnsi="Arial" w:cs="Arial"/>
          <w:sz w:val="20"/>
          <w:szCs w:val="20"/>
        </w:rPr>
        <w:t xml:space="preserve"> if an industry standard that applies to participants in a particular section of the telecommunications industry is registered under Part 6 of the Act, each participant in that section of the industry must comply with the standard. CSPs are participants in the telecommunications industry.</w:t>
      </w:r>
      <w:bookmarkEnd w:id="1"/>
    </w:p>
    <w:p w14:paraId="2B853E71" w14:textId="026FDE61" w:rsidR="00071517" w:rsidRPr="00D224A7" w:rsidDel="002824BA" w:rsidRDefault="00AA5192" w:rsidP="00071517">
      <w:pPr>
        <w:numPr>
          <w:ilvl w:val="0"/>
          <w:numId w:val="2"/>
        </w:numPr>
        <w:ind w:left="426" w:hanging="426"/>
        <w:rPr>
          <w:rFonts w:ascii="Arial" w:hAnsi="Arial" w:cs="Arial"/>
          <w:sz w:val="20"/>
          <w:szCs w:val="20"/>
        </w:rPr>
      </w:pPr>
      <w:r>
        <w:rPr>
          <w:rFonts w:ascii="Arial" w:hAnsi="Arial" w:cs="Arial"/>
          <w:sz w:val="20"/>
          <w:szCs w:val="20"/>
        </w:rPr>
        <w:t>Optus</w:t>
      </w:r>
      <w:r w:rsidR="009D2A41" w:rsidRPr="009D2A41">
        <w:rPr>
          <w:rFonts w:ascii="Arial" w:hAnsi="Arial" w:cs="Arial"/>
          <w:sz w:val="20"/>
          <w:szCs w:val="20"/>
        </w:rPr>
        <w:t xml:space="preserve"> is a CSP that offers to supply internet, </w:t>
      </w:r>
      <w:proofErr w:type="gramStart"/>
      <w:r w:rsidR="009D2A41" w:rsidRPr="009D2A41">
        <w:rPr>
          <w:rFonts w:ascii="Arial" w:hAnsi="Arial" w:cs="Arial"/>
          <w:sz w:val="20"/>
          <w:szCs w:val="20"/>
        </w:rPr>
        <w:t>landline</w:t>
      </w:r>
      <w:proofErr w:type="gramEnd"/>
      <w:r w:rsidR="009D2A41" w:rsidRPr="009D2A41">
        <w:rPr>
          <w:rFonts w:ascii="Arial" w:hAnsi="Arial" w:cs="Arial"/>
          <w:sz w:val="20"/>
          <w:szCs w:val="20"/>
        </w:rPr>
        <w:t xml:space="preserve"> and mobile services to the public. As a participant in the section of the telecommunications industry to which the </w:t>
      </w:r>
      <w:r w:rsidR="00DE60CD">
        <w:rPr>
          <w:rFonts w:ascii="Arial" w:hAnsi="Arial" w:cs="Arial"/>
          <w:sz w:val="20"/>
          <w:szCs w:val="20"/>
        </w:rPr>
        <w:t xml:space="preserve">Service Continuity </w:t>
      </w:r>
      <w:r w:rsidR="009D2A41" w:rsidRPr="009D2A41">
        <w:rPr>
          <w:rFonts w:ascii="Arial" w:hAnsi="Arial" w:cs="Arial"/>
          <w:sz w:val="20"/>
          <w:szCs w:val="20"/>
        </w:rPr>
        <w:t xml:space="preserve">Standard applies, </w:t>
      </w:r>
      <w:r>
        <w:rPr>
          <w:rFonts w:ascii="Arial" w:hAnsi="Arial" w:cs="Arial"/>
          <w:sz w:val="20"/>
          <w:szCs w:val="20"/>
        </w:rPr>
        <w:t>Optus</w:t>
      </w:r>
      <w:r w:rsidR="009D2A41" w:rsidRPr="009D2A41">
        <w:rPr>
          <w:rFonts w:ascii="Arial" w:hAnsi="Arial" w:cs="Arial"/>
          <w:sz w:val="20"/>
          <w:szCs w:val="20"/>
        </w:rPr>
        <w:t xml:space="preserve"> is required to comply with the Service Continuity Standard.</w:t>
      </w:r>
    </w:p>
    <w:p w14:paraId="48AE93F7" w14:textId="7A6B28C8" w:rsidR="00D17DCF" w:rsidRDefault="00BE6869" w:rsidP="00071517">
      <w:pPr>
        <w:numPr>
          <w:ilvl w:val="0"/>
          <w:numId w:val="2"/>
        </w:numPr>
        <w:ind w:left="426" w:hanging="426"/>
        <w:rPr>
          <w:rFonts w:ascii="Arial" w:hAnsi="Arial" w:cs="Arial"/>
          <w:sz w:val="20"/>
          <w:szCs w:val="20"/>
        </w:rPr>
      </w:pPr>
      <w:r>
        <w:rPr>
          <w:rFonts w:ascii="Arial" w:hAnsi="Arial" w:cs="Arial"/>
          <w:sz w:val="20"/>
          <w:szCs w:val="20"/>
        </w:rPr>
        <w:t xml:space="preserve">Optus </w:t>
      </w:r>
      <w:r w:rsidR="009D2A41" w:rsidRPr="009D2A41">
        <w:rPr>
          <w:rFonts w:ascii="Arial" w:hAnsi="Arial" w:cs="Arial"/>
          <w:sz w:val="20"/>
          <w:szCs w:val="20"/>
        </w:rPr>
        <w:t xml:space="preserve">supplies services to consumers using NBN ethernet products and is therefore an NBN CSP for the purpose of the Service Continuity Standard. </w:t>
      </w:r>
    </w:p>
    <w:p w14:paraId="70F33074" w14:textId="2D7ACC59" w:rsidR="007F373F" w:rsidRPr="0002053B" w:rsidRDefault="0002053B" w:rsidP="00DA3B62">
      <w:pPr>
        <w:spacing w:before="360"/>
        <w:rPr>
          <w:rFonts w:ascii="Arial" w:hAnsi="Arial" w:cs="Arial"/>
          <w:b/>
          <w:bCs/>
        </w:rPr>
      </w:pPr>
      <w:r w:rsidRPr="0002053B">
        <w:rPr>
          <w:rFonts w:ascii="Arial" w:hAnsi="Arial" w:cs="Arial"/>
          <w:b/>
          <w:bCs/>
        </w:rPr>
        <w:t>Optus’ response to the preliminary findings</w:t>
      </w:r>
    </w:p>
    <w:p w14:paraId="1CD46EB3" w14:textId="00E4E9A2" w:rsidR="005511F1" w:rsidRDefault="00EA7CE0" w:rsidP="00EA7CE0">
      <w:pPr>
        <w:numPr>
          <w:ilvl w:val="0"/>
          <w:numId w:val="2"/>
        </w:numPr>
        <w:ind w:left="426" w:hanging="426"/>
        <w:rPr>
          <w:rFonts w:ascii="Arial" w:hAnsi="Arial" w:cs="Arial"/>
          <w:sz w:val="20"/>
          <w:szCs w:val="20"/>
        </w:rPr>
      </w:pPr>
      <w:r>
        <w:rPr>
          <w:rFonts w:ascii="Arial" w:hAnsi="Arial" w:cs="Arial"/>
          <w:sz w:val="20"/>
          <w:szCs w:val="20"/>
        </w:rPr>
        <w:t xml:space="preserve">In its response to the ACMA’s preliminary findings, </w:t>
      </w:r>
      <w:r w:rsidRPr="00EA7CE0">
        <w:rPr>
          <w:rFonts w:ascii="Arial" w:hAnsi="Arial" w:cs="Arial"/>
          <w:sz w:val="20"/>
          <w:szCs w:val="20"/>
        </w:rPr>
        <w:t>Optus</w:t>
      </w:r>
      <w:r>
        <w:rPr>
          <w:rFonts w:ascii="Arial" w:hAnsi="Arial" w:cs="Arial"/>
          <w:sz w:val="20"/>
          <w:szCs w:val="20"/>
        </w:rPr>
        <w:t xml:space="preserve"> </w:t>
      </w:r>
      <w:r w:rsidR="00E762F1">
        <w:rPr>
          <w:rFonts w:ascii="Arial" w:hAnsi="Arial" w:cs="Arial"/>
          <w:sz w:val="20"/>
          <w:szCs w:val="20"/>
        </w:rPr>
        <w:t>agreed with the facts outlined in the preliminary findings report and did not dispute the</w:t>
      </w:r>
      <w:r w:rsidR="0023426D">
        <w:rPr>
          <w:rFonts w:ascii="Arial" w:hAnsi="Arial" w:cs="Arial"/>
          <w:sz w:val="20"/>
          <w:szCs w:val="20"/>
        </w:rPr>
        <w:t xml:space="preserve"> ACMA’s</w:t>
      </w:r>
      <w:r w:rsidR="00E762F1">
        <w:rPr>
          <w:rFonts w:ascii="Arial" w:hAnsi="Arial" w:cs="Arial"/>
          <w:sz w:val="20"/>
          <w:szCs w:val="20"/>
        </w:rPr>
        <w:t xml:space="preserve"> findings</w:t>
      </w:r>
      <w:r w:rsidR="00503BE2">
        <w:rPr>
          <w:rFonts w:ascii="Arial" w:hAnsi="Arial" w:cs="Arial"/>
          <w:sz w:val="20"/>
          <w:szCs w:val="20"/>
        </w:rPr>
        <w:t>.</w:t>
      </w:r>
    </w:p>
    <w:p w14:paraId="05442D88" w14:textId="37B3D309" w:rsidR="00191286" w:rsidRDefault="00A21259" w:rsidP="00EA7CE0">
      <w:pPr>
        <w:numPr>
          <w:ilvl w:val="0"/>
          <w:numId w:val="2"/>
        </w:numPr>
        <w:ind w:left="426" w:hanging="426"/>
        <w:rPr>
          <w:rFonts w:ascii="Arial" w:hAnsi="Arial" w:cs="Arial"/>
          <w:sz w:val="20"/>
          <w:szCs w:val="20"/>
        </w:rPr>
      </w:pPr>
      <w:r>
        <w:rPr>
          <w:rFonts w:ascii="Arial" w:hAnsi="Arial" w:cs="Arial"/>
          <w:sz w:val="20"/>
          <w:szCs w:val="20"/>
        </w:rPr>
        <w:t xml:space="preserve">Optus </w:t>
      </w:r>
      <w:r w:rsidR="00190182">
        <w:rPr>
          <w:rFonts w:ascii="Arial" w:hAnsi="Arial" w:cs="Arial"/>
          <w:sz w:val="20"/>
          <w:szCs w:val="20"/>
        </w:rPr>
        <w:t xml:space="preserve">noted that </w:t>
      </w:r>
      <w:r w:rsidR="00016BAE">
        <w:rPr>
          <w:rFonts w:ascii="Arial" w:hAnsi="Arial" w:cs="Arial"/>
          <w:sz w:val="20"/>
          <w:szCs w:val="20"/>
        </w:rPr>
        <w:t>on</w:t>
      </w:r>
      <w:r w:rsidR="00AC48D7">
        <w:rPr>
          <w:rFonts w:ascii="Arial" w:hAnsi="Arial" w:cs="Arial"/>
          <w:sz w:val="20"/>
          <w:szCs w:val="20"/>
        </w:rPr>
        <w:t xml:space="preserve"> all</w:t>
      </w:r>
      <w:r w:rsidR="00EB2349">
        <w:rPr>
          <w:rFonts w:ascii="Arial" w:hAnsi="Arial" w:cs="Arial"/>
          <w:sz w:val="20"/>
          <w:szCs w:val="20"/>
        </w:rPr>
        <w:t xml:space="preserve"> </w:t>
      </w:r>
      <w:r w:rsidR="00190182">
        <w:rPr>
          <w:rFonts w:ascii="Arial" w:hAnsi="Arial" w:cs="Arial"/>
          <w:sz w:val="20"/>
          <w:szCs w:val="20"/>
        </w:rPr>
        <w:t xml:space="preserve">8 occasions </w:t>
      </w:r>
      <w:r w:rsidR="0072131D">
        <w:rPr>
          <w:rFonts w:ascii="Arial" w:hAnsi="Arial" w:cs="Arial"/>
          <w:sz w:val="20"/>
          <w:szCs w:val="20"/>
        </w:rPr>
        <w:t xml:space="preserve">where it did not supply a legacy service as required under </w:t>
      </w:r>
      <w:r w:rsidR="00016BAE">
        <w:rPr>
          <w:rFonts w:ascii="Arial" w:hAnsi="Arial" w:cs="Arial"/>
          <w:sz w:val="20"/>
          <w:szCs w:val="20"/>
        </w:rPr>
        <w:t xml:space="preserve">subsection </w:t>
      </w:r>
      <w:r w:rsidR="0072131D">
        <w:rPr>
          <w:rFonts w:ascii="Arial" w:hAnsi="Arial" w:cs="Arial"/>
          <w:sz w:val="20"/>
          <w:szCs w:val="20"/>
        </w:rPr>
        <w:t>11(1) of the Service Continuity Standard</w:t>
      </w:r>
      <w:r w:rsidR="00EB2349">
        <w:rPr>
          <w:rFonts w:ascii="Arial" w:hAnsi="Arial" w:cs="Arial"/>
          <w:sz w:val="20"/>
          <w:szCs w:val="20"/>
        </w:rPr>
        <w:t xml:space="preserve"> </w:t>
      </w:r>
      <w:r w:rsidR="008F538B">
        <w:rPr>
          <w:rFonts w:ascii="Arial" w:hAnsi="Arial" w:cs="Arial"/>
          <w:sz w:val="20"/>
          <w:szCs w:val="20"/>
        </w:rPr>
        <w:t>(</w:t>
      </w:r>
      <w:r w:rsidR="008505F0">
        <w:rPr>
          <w:rFonts w:ascii="Arial" w:hAnsi="Arial" w:cs="Arial"/>
          <w:sz w:val="20"/>
          <w:szCs w:val="20"/>
        </w:rPr>
        <w:t xml:space="preserve">and one </w:t>
      </w:r>
      <w:r w:rsidR="00CD2A18">
        <w:rPr>
          <w:rFonts w:ascii="Arial" w:hAnsi="Arial" w:cs="Arial"/>
          <w:sz w:val="20"/>
          <w:szCs w:val="20"/>
        </w:rPr>
        <w:t xml:space="preserve">occasion where </w:t>
      </w:r>
      <w:r w:rsidR="008F538B">
        <w:rPr>
          <w:rFonts w:ascii="Arial" w:hAnsi="Arial" w:cs="Arial"/>
          <w:sz w:val="20"/>
          <w:szCs w:val="20"/>
        </w:rPr>
        <w:t xml:space="preserve">an interim service was provided in place of a legacy service), </w:t>
      </w:r>
      <w:r w:rsidR="00EB2349">
        <w:rPr>
          <w:rFonts w:ascii="Arial" w:hAnsi="Arial" w:cs="Arial"/>
          <w:sz w:val="20"/>
          <w:szCs w:val="20"/>
        </w:rPr>
        <w:t xml:space="preserve">the affected customers </w:t>
      </w:r>
      <w:r w:rsidR="004E3D38">
        <w:rPr>
          <w:rFonts w:ascii="Arial" w:hAnsi="Arial" w:cs="Arial"/>
          <w:sz w:val="20"/>
          <w:szCs w:val="20"/>
        </w:rPr>
        <w:t>did not have a working NBN voice service</w:t>
      </w:r>
      <w:r w:rsidR="00191286">
        <w:rPr>
          <w:rFonts w:ascii="Arial" w:hAnsi="Arial" w:cs="Arial"/>
          <w:sz w:val="20"/>
          <w:szCs w:val="20"/>
        </w:rPr>
        <w:t xml:space="preserve">. However, migration to </w:t>
      </w:r>
      <w:r w:rsidR="00C639A1">
        <w:rPr>
          <w:rFonts w:ascii="Arial" w:hAnsi="Arial" w:cs="Arial"/>
          <w:sz w:val="20"/>
          <w:szCs w:val="20"/>
        </w:rPr>
        <w:t xml:space="preserve">the NBN network </w:t>
      </w:r>
      <w:r w:rsidR="009A2EC5">
        <w:rPr>
          <w:rFonts w:ascii="Arial" w:hAnsi="Arial" w:cs="Arial"/>
          <w:sz w:val="20"/>
          <w:szCs w:val="20"/>
        </w:rPr>
        <w:t xml:space="preserve">for these customers </w:t>
      </w:r>
      <w:r w:rsidR="00C639A1">
        <w:rPr>
          <w:rFonts w:ascii="Arial" w:hAnsi="Arial" w:cs="Arial"/>
          <w:sz w:val="20"/>
          <w:szCs w:val="20"/>
        </w:rPr>
        <w:t>had been successful</w:t>
      </w:r>
      <w:r w:rsidR="009A2EC5">
        <w:rPr>
          <w:rFonts w:ascii="Arial" w:hAnsi="Arial" w:cs="Arial"/>
          <w:sz w:val="20"/>
          <w:szCs w:val="20"/>
        </w:rPr>
        <w:t xml:space="preserve">, evidenced by data throughput and that they had </w:t>
      </w:r>
      <w:r w:rsidR="006B6CD6">
        <w:rPr>
          <w:rFonts w:ascii="Arial" w:hAnsi="Arial" w:cs="Arial"/>
          <w:sz w:val="20"/>
          <w:szCs w:val="20"/>
        </w:rPr>
        <w:t xml:space="preserve">a </w:t>
      </w:r>
      <w:r w:rsidR="00EB2349">
        <w:rPr>
          <w:rFonts w:ascii="Arial" w:hAnsi="Arial" w:cs="Arial"/>
          <w:sz w:val="20"/>
          <w:szCs w:val="20"/>
        </w:rPr>
        <w:t>working</w:t>
      </w:r>
      <w:r w:rsidR="006B6CD6">
        <w:rPr>
          <w:rFonts w:ascii="Arial" w:hAnsi="Arial" w:cs="Arial"/>
          <w:sz w:val="20"/>
          <w:szCs w:val="20"/>
        </w:rPr>
        <w:t xml:space="preserve"> NBN broadband service</w:t>
      </w:r>
      <w:r w:rsidR="00191286">
        <w:rPr>
          <w:rFonts w:ascii="Arial" w:hAnsi="Arial" w:cs="Arial"/>
          <w:sz w:val="20"/>
          <w:szCs w:val="20"/>
        </w:rPr>
        <w:t>.</w:t>
      </w:r>
    </w:p>
    <w:p w14:paraId="68A37636" w14:textId="67B6AC68" w:rsidR="005F5C05" w:rsidRDefault="009A2EC5" w:rsidP="005F5C05">
      <w:pPr>
        <w:numPr>
          <w:ilvl w:val="0"/>
          <w:numId w:val="2"/>
        </w:numPr>
        <w:ind w:left="426" w:hanging="426"/>
        <w:rPr>
          <w:rFonts w:ascii="Arial" w:hAnsi="Arial" w:cs="Arial"/>
          <w:sz w:val="20"/>
          <w:szCs w:val="20"/>
        </w:rPr>
      </w:pPr>
      <w:r>
        <w:rPr>
          <w:rFonts w:ascii="Arial" w:hAnsi="Arial" w:cs="Arial"/>
          <w:sz w:val="20"/>
          <w:szCs w:val="20"/>
        </w:rPr>
        <w:t xml:space="preserve">Optus </w:t>
      </w:r>
      <w:r w:rsidR="005F5C05">
        <w:rPr>
          <w:rFonts w:ascii="Arial" w:hAnsi="Arial" w:cs="Arial"/>
          <w:sz w:val="20"/>
          <w:szCs w:val="20"/>
        </w:rPr>
        <w:t>stated</w:t>
      </w:r>
      <w:r>
        <w:rPr>
          <w:rFonts w:ascii="Arial" w:hAnsi="Arial" w:cs="Arial"/>
          <w:sz w:val="20"/>
          <w:szCs w:val="20"/>
        </w:rPr>
        <w:t xml:space="preserve"> that </w:t>
      </w:r>
      <w:r w:rsidR="005F5C05" w:rsidRPr="005F5C05">
        <w:rPr>
          <w:rFonts w:ascii="Arial" w:hAnsi="Arial" w:cs="Arial"/>
          <w:sz w:val="20"/>
          <w:szCs w:val="20"/>
        </w:rPr>
        <w:t xml:space="preserve">to resolve </w:t>
      </w:r>
      <w:r w:rsidR="00BF1A47">
        <w:rPr>
          <w:rFonts w:ascii="Arial" w:hAnsi="Arial" w:cs="Arial"/>
          <w:sz w:val="20"/>
          <w:szCs w:val="20"/>
        </w:rPr>
        <w:t xml:space="preserve">an </w:t>
      </w:r>
      <w:r w:rsidR="005F5C05" w:rsidRPr="005F5C05">
        <w:rPr>
          <w:rFonts w:ascii="Arial" w:hAnsi="Arial" w:cs="Arial"/>
          <w:sz w:val="20"/>
          <w:szCs w:val="20"/>
        </w:rPr>
        <w:t>issue with Optus’ voice provisioning system</w:t>
      </w:r>
      <w:r w:rsidR="00BF1A47">
        <w:rPr>
          <w:rFonts w:ascii="Arial" w:hAnsi="Arial" w:cs="Arial"/>
          <w:sz w:val="20"/>
          <w:szCs w:val="20"/>
        </w:rPr>
        <w:t>,</w:t>
      </w:r>
      <w:r w:rsidR="005F5C05" w:rsidRPr="005F5C05">
        <w:rPr>
          <w:rFonts w:ascii="Arial" w:hAnsi="Arial" w:cs="Arial"/>
          <w:sz w:val="20"/>
          <w:szCs w:val="20"/>
        </w:rPr>
        <w:t xml:space="preserve"> the NBN broadband service must </w:t>
      </w:r>
      <w:r w:rsidR="00BF1A47">
        <w:rPr>
          <w:rFonts w:ascii="Arial" w:hAnsi="Arial" w:cs="Arial"/>
          <w:sz w:val="20"/>
          <w:szCs w:val="20"/>
        </w:rPr>
        <w:t xml:space="preserve">be </w:t>
      </w:r>
      <w:r w:rsidR="005F5C05" w:rsidRPr="005F5C05">
        <w:rPr>
          <w:rFonts w:ascii="Arial" w:hAnsi="Arial" w:cs="Arial"/>
          <w:sz w:val="20"/>
          <w:szCs w:val="20"/>
        </w:rPr>
        <w:t>active</w:t>
      </w:r>
      <w:r w:rsidR="00BF1A47" w:rsidRPr="00BF1A47">
        <w:rPr>
          <w:rFonts w:ascii="Arial" w:hAnsi="Arial" w:cs="Arial"/>
          <w:sz w:val="20"/>
          <w:szCs w:val="20"/>
        </w:rPr>
        <w:t xml:space="preserve"> </w:t>
      </w:r>
      <w:r w:rsidR="00BF1A47" w:rsidRPr="005F5C05">
        <w:rPr>
          <w:rFonts w:ascii="Arial" w:hAnsi="Arial" w:cs="Arial"/>
          <w:sz w:val="20"/>
          <w:szCs w:val="20"/>
        </w:rPr>
        <w:t>and data throughput</w:t>
      </w:r>
      <w:r w:rsidR="00BF1A47">
        <w:rPr>
          <w:rFonts w:ascii="Arial" w:hAnsi="Arial" w:cs="Arial"/>
          <w:sz w:val="20"/>
          <w:szCs w:val="20"/>
        </w:rPr>
        <w:t xml:space="preserve"> must occur</w:t>
      </w:r>
      <w:r w:rsidR="005F5C05" w:rsidRPr="005F5C05">
        <w:rPr>
          <w:rFonts w:ascii="Arial" w:hAnsi="Arial" w:cs="Arial"/>
          <w:sz w:val="20"/>
          <w:szCs w:val="20"/>
        </w:rPr>
        <w:t xml:space="preserve">. </w:t>
      </w:r>
      <w:r w:rsidR="00FE37BF">
        <w:rPr>
          <w:rFonts w:ascii="Arial" w:hAnsi="Arial" w:cs="Arial"/>
          <w:sz w:val="20"/>
          <w:szCs w:val="20"/>
        </w:rPr>
        <w:t xml:space="preserve">The voice provisioning issue cannot be fixed where the NBN service is disconnected, and the legacy service is re-connected. </w:t>
      </w:r>
      <w:r w:rsidR="00BF1A47">
        <w:rPr>
          <w:rFonts w:ascii="Arial" w:hAnsi="Arial" w:cs="Arial"/>
          <w:sz w:val="20"/>
          <w:szCs w:val="20"/>
        </w:rPr>
        <w:t xml:space="preserve">Optus further stated that, </w:t>
      </w:r>
      <w:r w:rsidR="00FE37BF">
        <w:rPr>
          <w:rFonts w:ascii="Arial" w:hAnsi="Arial" w:cs="Arial"/>
          <w:sz w:val="20"/>
          <w:szCs w:val="20"/>
        </w:rPr>
        <w:t>t</w:t>
      </w:r>
      <w:r w:rsidR="005F5C05" w:rsidRPr="005F5C05">
        <w:rPr>
          <w:rFonts w:ascii="Arial" w:hAnsi="Arial" w:cs="Arial"/>
          <w:sz w:val="20"/>
          <w:szCs w:val="20"/>
        </w:rPr>
        <w:t>he customer’s phone number must also remain with the NBN broadband service</w:t>
      </w:r>
      <w:r w:rsidR="00FE37BF">
        <w:rPr>
          <w:rFonts w:ascii="Arial" w:hAnsi="Arial" w:cs="Arial"/>
          <w:sz w:val="20"/>
          <w:szCs w:val="20"/>
        </w:rPr>
        <w:t xml:space="preserve"> to resolve the NBN voice provisioning issue</w:t>
      </w:r>
      <w:r w:rsidR="00C34156">
        <w:rPr>
          <w:rFonts w:ascii="Arial" w:hAnsi="Arial" w:cs="Arial"/>
          <w:sz w:val="20"/>
          <w:szCs w:val="20"/>
        </w:rPr>
        <w:t>.</w:t>
      </w:r>
    </w:p>
    <w:p w14:paraId="6ECA491A" w14:textId="548D3946" w:rsidR="00C34156" w:rsidRPr="005F5C05" w:rsidRDefault="00C34156" w:rsidP="005F5C05">
      <w:pPr>
        <w:numPr>
          <w:ilvl w:val="0"/>
          <w:numId w:val="2"/>
        </w:numPr>
        <w:ind w:left="426" w:hanging="426"/>
        <w:rPr>
          <w:rFonts w:ascii="Arial" w:hAnsi="Arial" w:cs="Arial"/>
          <w:sz w:val="20"/>
          <w:szCs w:val="20"/>
        </w:rPr>
      </w:pPr>
      <w:r>
        <w:rPr>
          <w:rFonts w:ascii="Arial" w:hAnsi="Arial" w:cs="Arial"/>
          <w:sz w:val="20"/>
          <w:szCs w:val="20"/>
        </w:rPr>
        <w:t xml:space="preserve">Optus </w:t>
      </w:r>
      <w:r w:rsidR="00836887">
        <w:rPr>
          <w:rFonts w:ascii="Arial" w:hAnsi="Arial" w:cs="Arial"/>
          <w:sz w:val="20"/>
          <w:szCs w:val="20"/>
        </w:rPr>
        <w:t xml:space="preserve">stated </w:t>
      </w:r>
      <w:r>
        <w:rPr>
          <w:rFonts w:ascii="Arial" w:hAnsi="Arial" w:cs="Arial"/>
          <w:sz w:val="20"/>
          <w:szCs w:val="20"/>
        </w:rPr>
        <w:t xml:space="preserve">that the </w:t>
      </w:r>
      <w:r w:rsidR="005A1F70">
        <w:rPr>
          <w:rFonts w:ascii="Arial" w:hAnsi="Arial" w:cs="Arial"/>
          <w:sz w:val="20"/>
          <w:szCs w:val="20"/>
        </w:rPr>
        <w:t xml:space="preserve">causes </w:t>
      </w:r>
      <w:r w:rsidR="00D9410D">
        <w:rPr>
          <w:rFonts w:ascii="Arial" w:hAnsi="Arial" w:cs="Arial"/>
          <w:sz w:val="20"/>
          <w:szCs w:val="20"/>
        </w:rPr>
        <w:t xml:space="preserve">of non-compliance found in this investigation have the same root causes </w:t>
      </w:r>
      <w:r w:rsidR="00243902">
        <w:rPr>
          <w:rFonts w:ascii="Arial" w:hAnsi="Arial" w:cs="Arial"/>
          <w:sz w:val="20"/>
          <w:szCs w:val="20"/>
        </w:rPr>
        <w:t xml:space="preserve">as </w:t>
      </w:r>
      <w:r w:rsidR="00141227">
        <w:rPr>
          <w:rFonts w:ascii="Arial" w:hAnsi="Arial" w:cs="Arial"/>
          <w:sz w:val="20"/>
          <w:szCs w:val="20"/>
        </w:rPr>
        <w:t xml:space="preserve">contraventions </w:t>
      </w:r>
      <w:r w:rsidR="00243902">
        <w:rPr>
          <w:rFonts w:ascii="Arial" w:hAnsi="Arial" w:cs="Arial"/>
          <w:sz w:val="20"/>
          <w:szCs w:val="20"/>
        </w:rPr>
        <w:t xml:space="preserve">found in </w:t>
      </w:r>
      <w:r w:rsidR="00FE37BF">
        <w:rPr>
          <w:rFonts w:ascii="Arial" w:hAnsi="Arial" w:cs="Arial"/>
          <w:sz w:val="20"/>
          <w:szCs w:val="20"/>
        </w:rPr>
        <w:t xml:space="preserve">a </w:t>
      </w:r>
      <w:r w:rsidR="00243902">
        <w:rPr>
          <w:rFonts w:ascii="Arial" w:hAnsi="Arial" w:cs="Arial"/>
          <w:sz w:val="20"/>
          <w:szCs w:val="20"/>
        </w:rPr>
        <w:t xml:space="preserve">previous </w:t>
      </w:r>
      <w:r w:rsidR="00FE37BF">
        <w:rPr>
          <w:rFonts w:ascii="Arial" w:hAnsi="Arial" w:cs="Arial"/>
          <w:sz w:val="20"/>
          <w:szCs w:val="20"/>
        </w:rPr>
        <w:t xml:space="preserve">ACMA </w:t>
      </w:r>
      <w:r w:rsidR="00243902">
        <w:rPr>
          <w:rFonts w:ascii="Arial" w:hAnsi="Arial" w:cs="Arial"/>
          <w:sz w:val="20"/>
          <w:szCs w:val="20"/>
        </w:rPr>
        <w:t>investigation</w:t>
      </w:r>
      <w:r w:rsidR="00141227">
        <w:rPr>
          <w:rFonts w:ascii="Arial" w:hAnsi="Arial" w:cs="Arial"/>
          <w:sz w:val="20"/>
          <w:szCs w:val="20"/>
        </w:rPr>
        <w:t xml:space="preserve"> </w:t>
      </w:r>
      <w:r w:rsidR="005F3BFE">
        <w:rPr>
          <w:rFonts w:ascii="Arial" w:hAnsi="Arial" w:cs="Arial"/>
          <w:sz w:val="20"/>
          <w:szCs w:val="20"/>
        </w:rPr>
        <w:t>o</w:t>
      </w:r>
      <w:r w:rsidR="00141227">
        <w:rPr>
          <w:rFonts w:ascii="Arial" w:hAnsi="Arial" w:cs="Arial"/>
          <w:sz w:val="20"/>
          <w:szCs w:val="20"/>
        </w:rPr>
        <w:t>f</w:t>
      </w:r>
      <w:r w:rsidR="00FE37BF">
        <w:rPr>
          <w:rFonts w:ascii="Arial" w:hAnsi="Arial" w:cs="Arial"/>
          <w:sz w:val="20"/>
          <w:szCs w:val="20"/>
        </w:rPr>
        <w:t xml:space="preserve"> the </w:t>
      </w:r>
      <w:r w:rsidR="00FE37BF">
        <w:rPr>
          <w:rFonts w:ascii="Arial" w:hAnsi="Arial" w:cs="Arial"/>
          <w:i/>
          <w:iCs/>
          <w:sz w:val="20"/>
          <w:szCs w:val="20"/>
        </w:rPr>
        <w:t>Telecommunications Service Provider (NBN Service Migration) Determination 2018</w:t>
      </w:r>
      <w:r w:rsidR="00141227">
        <w:rPr>
          <w:rFonts w:ascii="Arial" w:hAnsi="Arial" w:cs="Arial"/>
          <w:sz w:val="20"/>
          <w:szCs w:val="20"/>
        </w:rPr>
        <w:t xml:space="preserve">, </w:t>
      </w:r>
      <w:r w:rsidR="00141227">
        <w:rPr>
          <w:rFonts w:ascii="Arial" w:hAnsi="Arial" w:cs="Arial"/>
          <w:sz w:val="20"/>
          <w:szCs w:val="20"/>
        </w:rPr>
        <w:lastRenderedPageBreak/>
        <w:t>finalised on 19 March 2020</w:t>
      </w:r>
      <w:r w:rsidR="006A0E17">
        <w:rPr>
          <w:rFonts w:ascii="Arial" w:hAnsi="Arial" w:cs="Arial"/>
          <w:sz w:val="20"/>
          <w:szCs w:val="20"/>
        </w:rPr>
        <w:t>.</w:t>
      </w:r>
      <w:r w:rsidR="0023426D">
        <w:rPr>
          <w:rFonts w:ascii="Arial" w:hAnsi="Arial" w:cs="Arial"/>
          <w:sz w:val="20"/>
          <w:szCs w:val="20"/>
        </w:rPr>
        <w:t xml:space="preserve"> </w:t>
      </w:r>
      <w:r w:rsidR="00243902">
        <w:rPr>
          <w:rFonts w:ascii="Arial" w:hAnsi="Arial" w:cs="Arial"/>
          <w:sz w:val="20"/>
          <w:szCs w:val="20"/>
        </w:rPr>
        <w:t xml:space="preserve">Optus </w:t>
      </w:r>
      <w:r w:rsidR="006A0E17">
        <w:rPr>
          <w:rFonts w:ascii="Arial" w:hAnsi="Arial" w:cs="Arial"/>
          <w:sz w:val="20"/>
          <w:szCs w:val="20"/>
        </w:rPr>
        <w:t xml:space="preserve">also </w:t>
      </w:r>
      <w:r w:rsidR="00836887">
        <w:rPr>
          <w:rFonts w:ascii="Arial" w:hAnsi="Arial" w:cs="Arial"/>
          <w:sz w:val="20"/>
          <w:szCs w:val="20"/>
        </w:rPr>
        <w:t xml:space="preserve">stated </w:t>
      </w:r>
      <w:r w:rsidR="006A0E17">
        <w:rPr>
          <w:rFonts w:ascii="Arial" w:hAnsi="Arial" w:cs="Arial"/>
          <w:sz w:val="20"/>
          <w:szCs w:val="20"/>
        </w:rPr>
        <w:t xml:space="preserve">that it </w:t>
      </w:r>
      <w:r w:rsidR="007F6627">
        <w:rPr>
          <w:rFonts w:ascii="Arial" w:hAnsi="Arial" w:cs="Arial"/>
          <w:sz w:val="20"/>
          <w:szCs w:val="20"/>
        </w:rPr>
        <w:t>ha</w:t>
      </w:r>
      <w:r w:rsidR="007F6C94">
        <w:rPr>
          <w:rFonts w:ascii="Arial" w:hAnsi="Arial" w:cs="Arial"/>
          <w:sz w:val="20"/>
          <w:szCs w:val="20"/>
        </w:rPr>
        <w:t>d</w:t>
      </w:r>
      <w:r w:rsidR="007F6627">
        <w:rPr>
          <w:rFonts w:ascii="Arial" w:hAnsi="Arial" w:cs="Arial"/>
          <w:sz w:val="20"/>
          <w:szCs w:val="20"/>
        </w:rPr>
        <w:t xml:space="preserve"> identified and remedied these problems during 2020. </w:t>
      </w:r>
    </w:p>
    <w:p w14:paraId="7F4A2025" w14:textId="0DBF81EA" w:rsidR="007F373F" w:rsidRPr="007F373F" w:rsidRDefault="00836887" w:rsidP="00DA3B62">
      <w:pPr>
        <w:spacing w:before="360"/>
        <w:rPr>
          <w:rFonts w:ascii="Arial" w:hAnsi="Arial" w:cs="Arial"/>
          <w:b/>
          <w:bCs/>
        </w:rPr>
      </w:pPr>
      <w:r>
        <w:rPr>
          <w:rFonts w:ascii="Arial" w:hAnsi="Arial" w:cs="Arial"/>
          <w:b/>
          <w:bCs/>
        </w:rPr>
        <w:t>R</w:t>
      </w:r>
      <w:r w:rsidR="007F373F" w:rsidRPr="007F373F">
        <w:rPr>
          <w:rFonts w:ascii="Arial" w:hAnsi="Arial" w:cs="Arial"/>
          <w:b/>
          <w:bCs/>
        </w:rPr>
        <w:t>easons</w:t>
      </w:r>
    </w:p>
    <w:p w14:paraId="7C086C8D" w14:textId="1BFFD8CE" w:rsidR="0078478F" w:rsidRPr="0078478F" w:rsidDel="002824BA" w:rsidRDefault="0078478F" w:rsidP="0078478F">
      <w:pPr>
        <w:rPr>
          <w:rFonts w:ascii="Arial" w:hAnsi="Arial" w:cs="Arial"/>
          <w:b/>
          <w:bCs/>
          <w:i/>
          <w:iCs/>
          <w:sz w:val="20"/>
          <w:szCs w:val="20"/>
        </w:rPr>
      </w:pPr>
      <w:r w:rsidRPr="0078478F">
        <w:rPr>
          <w:rFonts w:ascii="Arial" w:hAnsi="Arial" w:cs="Arial"/>
          <w:b/>
          <w:bCs/>
          <w:i/>
          <w:iCs/>
          <w:sz w:val="20"/>
          <w:szCs w:val="20"/>
        </w:rPr>
        <w:t>Part 3 of the Service Continuity Standard</w:t>
      </w:r>
    </w:p>
    <w:p w14:paraId="09DA014B" w14:textId="29C863D5" w:rsidR="002D4617" w:rsidRDefault="002D4617" w:rsidP="002D4617">
      <w:pPr>
        <w:numPr>
          <w:ilvl w:val="0"/>
          <w:numId w:val="2"/>
        </w:numPr>
        <w:ind w:left="426" w:hanging="426"/>
        <w:rPr>
          <w:rFonts w:ascii="Arial" w:hAnsi="Arial" w:cs="Arial"/>
          <w:sz w:val="20"/>
          <w:szCs w:val="20"/>
        </w:rPr>
      </w:pPr>
      <w:r w:rsidRPr="009D2A41">
        <w:rPr>
          <w:rFonts w:ascii="Arial" w:hAnsi="Arial" w:cs="Arial"/>
          <w:sz w:val="20"/>
          <w:szCs w:val="20"/>
        </w:rPr>
        <w:t xml:space="preserve">Part </w:t>
      </w:r>
      <w:r w:rsidR="000F20EA">
        <w:rPr>
          <w:rFonts w:ascii="Arial" w:hAnsi="Arial" w:cs="Arial"/>
          <w:sz w:val="20"/>
          <w:szCs w:val="20"/>
        </w:rPr>
        <w:t xml:space="preserve">3 </w:t>
      </w:r>
      <w:r w:rsidRPr="009D2A41">
        <w:rPr>
          <w:rFonts w:ascii="Arial" w:hAnsi="Arial" w:cs="Arial"/>
          <w:sz w:val="20"/>
          <w:szCs w:val="20"/>
        </w:rPr>
        <w:t xml:space="preserve">of the Service Continuity Standard </w:t>
      </w:r>
      <w:r w:rsidR="000F20EA">
        <w:rPr>
          <w:rFonts w:ascii="Arial" w:hAnsi="Arial" w:cs="Arial"/>
          <w:sz w:val="20"/>
          <w:szCs w:val="20"/>
        </w:rPr>
        <w:t>outlines circumstances where a legacy service must be supplied</w:t>
      </w:r>
      <w:r w:rsidRPr="009D2A41">
        <w:rPr>
          <w:rFonts w:ascii="Arial" w:hAnsi="Arial" w:cs="Arial"/>
          <w:sz w:val="20"/>
          <w:szCs w:val="20"/>
        </w:rPr>
        <w:t xml:space="preserve">. Subsection </w:t>
      </w:r>
      <w:r w:rsidR="00C90857">
        <w:rPr>
          <w:rFonts w:ascii="Arial" w:hAnsi="Arial" w:cs="Arial"/>
          <w:sz w:val="20"/>
          <w:szCs w:val="20"/>
        </w:rPr>
        <w:t>11</w:t>
      </w:r>
      <w:r w:rsidRPr="009D2A41">
        <w:rPr>
          <w:rFonts w:ascii="Arial" w:hAnsi="Arial" w:cs="Arial"/>
          <w:sz w:val="20"/>
          <w:szCs w:val="20"/>
        </w:rPr>
        <w:t>(</w:t>
      </w:r>
      <w:r w:rsidR="00C90857">
        <w:rPr>
          <w:rFonts w:ascii="Arial" w:hAnsi="Arial" w:cs="Arial"/>
          <w:sz w:val="20"/>
          <w:szCs w:val="20"/>
        </w:rPr>
        <w:t>1</w:t>
      </w:r>
      <w:r w:rsidRPr="009D2A41">
        <w:rPr>
          <w:rFonts w:ascii="Arial" w:hAnsi="Arial" w:cs="Arial"/>
          <w:sz w:val="20"/>
          <w:szCs w:val="20"/>
        </w:rPr>
        <w:t xml:space="preserve">) </w:t>
      </w:r>
      <w:r w:rsidR="00EA6852">
        <w:rPr>
          <w:rFonts w:ascii="Arial" w:hAnsi="Arial" w:cs="Arial"/>
          <w:sz w:val="20"/>
          <w:szCs w:val="20"/>
        </w:rPr>
        <w:t xml:space="preserve">of the </w:t>
      </w:r>
      <w:r w:rsidR="00EA6852" w:rsidRPr="009D2A41">
        <w:rPr>
          <w:rFonts w:ascii="Arial" w:hAnsi="Arial" w:cs="Arial"/>
          <w:sz w:val="20"/>
          <w:szCs w:val="20"/>
        </w:rPr>
        <w:t xml:space="preserve">Service Continuity Standard </w:t>
      </w:r>
      <w:r w:rsidRPr="009D2A41">
        <w:rPr>
          <w:rFonts w:ascii="Arial" w:hAnsi="Arial" w:cs="Arial"/>
          <w:sz w:val="20"/>
          <w:szCs w:val="20"/>
        </w:rPr>
        <w:t>imposes requirements on ‘NBN CSPs’ where the migration at the consumer</w:t>
      </w:r>
      <w:r w:rsidR="00D7366F">
        <w:rPr>
          <w:rFonts w:ascii="Arial" w:hAnsi="Arial" w:cs="Arial"/>
          <w:sz w:val="20"/>
          <w:szCs w:val="20"/>
        </w:rPr>
        <w:t>’</w:t>
      </w:r>
      <w:r w:rsidRPr="009D2A41">
        <w:rPr>
          <w:rFonts w:ascii="Arial" w:hAnsi="Arial" w:cs="Arial"/>
          <w:sz w:val="20"/>
          <w:szCs w:val="20"/>
        </w:rPr>
        <w:t>s premises is a ‘parallel migration’.</w:t>
      </w:r>
    </w:p>
    <w:p w14:paraId="0B703EE4" w14:textId="27FB8DE6" w:rsidR="002D4617" w:rsidRPr="00B92E97" w:rsidRDefault="002D4617" w:rsidP="002D4617">
      <w:pPr>
        <w:numPr>
          <w:ilvl w:val="0"/>
          <w:numId w:val="2"/>
        </w:numPr>
        <w:ind w:left="426" w:hanging="426"/>
        <w:rPr>
          <w:rFonts w:ascii="Arial" w:hAnsi="Arial" w:cs="Arial"/>
          <w:sz w:val="20"/>
          <w:szCs w:val="20"/>
        </w:rPr>
      </w:pPr>
      <w:r w:rsidRPr="009D2A41">
        <w:rPr>
          <w:rFonts w:ascii="Arial" w:hAnsi="Arial" w:cs="Arial"/>
          <w:sz w:val="20"/>
          <w:szCs w:val="20"/>
        </w:rPr>
        <w:t xml:space="preserve">A ‘parallel migration’ </w:t>
      </w:r>
      <w:r>
        <w:rPr>
          <w:rFonts w:ascii="Arial" w:hAnsi="Arial" w:cs="Arial"/>
          <w:sz w:val="20"/>
          <w:szCs w:val="20"/>
        </w:rPr>
        <w:t xml:space="preserve">is defined in section 5 of the Service Continuity Standard to </w:t>
      </w:r>
      <w:r w:rsidRPr="009D2A41">
        <w:rPr>
          <w:rFonts w:ascii="Arial" w:hAnsi="Arial" w:cs="Arial"/>
          <w:sz w:val="20"/>
          <w:szCs w:val="20"/>
        </w:rPr>
        <w:t xml:space="preserve">mean a </w:t>
      </w:r>
      <w:r w:rsidR="00D84CD0">
        <w:rPr>
          <w:rFonts w:ascii="Arial" w:hAnsi="Arial" w:cs="Arial"/>
          <w:sz w:val="20"/>
          <w:szCs w:val="20"/>
        </w:rPr>
        <w:t>‘</w:t>
      </w:r>
      <w:r w:rsidRPr="009D2A41">
        <w:rPr>
          <w:rFonts w:ascii="Arial" w:hAnsi="Arial" w:cs="Arial"/>
          <w:sz w:val="20"/>
          <w:szCs w:val="20"/>
        </w:rPr>
        <w:t xml:space="preserve">migration where disconnection of a consumer’s legacy service is not required in order to connect an NBN service at the consumer’s </w:t>
      </w:r>
      <w:proofErr w:type="gramStart"/>
      <w:r w:rsidRPr="009D2A41">
        <w:rPr>
          <w:rFonts w:ascii="Arial" w:hAnsi="Arial" w:cs="Arial"/>
          <w:sz w:val="20"/>
          <w:szCs w:val="20"/>
        </w:rPr>
        <w:t>premises</w:t>
      </w:r>
      <w:r w:rsidR="000011DF">
        <w:rPr>
          <w:rFonts w:ascii="Arial" w:hAnsi="Arial" w:cs="Arial"/>
          <w:sz w:val="20"/>
          <w:szCs w:val="20"/>
        </w:rPr>
        <w:t>’</w:t>
      </w:r>
      <w:proofErr w:type="gramEnd"/>
      <w:r w:rsidRPr="009D2A41">
        <w:rPr>
          <w:rFonts w:ascii="Arial" w:hAnsi="Arial" w:cs="Arial"/>
          <w:sz w:val="20"/>
          <w:szCs w:val="20"/>
        </w:rPr>
        <w:t>.</w:t>
      </w:r>
    </w:p>
    <w:p w14:paraId="02E02E4F" w14:textId="5029FF29" w:rsidR="00BC795D" w:rsidRDefault="00EE457E" w:rsidP="002D4617">
      <w:pPr>
        <w:numPr>
          <w:ilvl w:val="0"/>
          <w:numId w:val="2"/>
        </w:numPr>
        <w:ind w:left="426" w:hanging="426"/>
        <w:rPr>
          <w:rFonts w:ascii="Arial" w:hAnsi="Arial" w:cs="Arial"/>
          <w:sz w:val="20"/>
          <w:szCs w:val="20"/>
        </w:rPr>
      </w:pPr>
      <w:r>
        <w:rPr>
          <w:rFonts w:ascii="Arial" w:hAnsi="Arial" w:cs="Arial"/>
          <w:sz w:val="20"/>
          <w:szCs w:val="20"/>
        </w:rPr>
        <w:t>Under subsection 11(1)</w:t>
      </w:r>
      <w:r w:rsidR="001A2101">
        <w:rPr>
          <w:rStyle w:val="FootnoteReference"/>
          <w:rFonts w:ascii="Arial" w:hAnsi="Arial" w:cs="Arial"/>
          <w:sz w:val="20"/>
          <w:szCs w:val="20"/>
        </w:rPr>
        <w:footnoteReference w:id="3"/>
      </w:r>
      <w:r>
        <w:rPr>
          <w:rFonts w:ascii="Arial" w:hAnsi="Arial" w:cs="Arial"/>
          <w:sz w:val="20"/>
          <w:szCs w:val="20"/>
        </w:rPr>
        <w:t>, a legacy service must be supplied where</w:t>
      </w:r>
      <w:r w:rsidR="00BC795D">
        <w:rPr>
          <w:rFonts w:ascii="Arial" w:hAnsi="Arial" w:cs="Arial"/>
          <w:sz w:val="20"/>
          <w:szCs w:val="20"/>
        </w:rPr>
        <w:t>:</w:t>
      </w:r>
      <w:r>
        <w:rPr>
          <w:rFonts w:ascii="Arial" w:hAnsi="Arial" w:cs="Arial"/>
          <w:sz w:val="20"/>
          <w:szCs w:val="20"/>
        </w:rPr>
        <w:t xml:space="preserve"> </w:t>
      </w:r>
    </w:p>
    <w:p w14:paraId="19B460DA" w14:textId="58DC576F" w:rsidR="00BC795D" w:rsidRDefault="00EE457E" w:rsidP="00484937">
      <w:pPr>
        <w:numPr>
          <w:ilvl w:val="1"/>
          <w:numId w:val="2"/>
        </w:numPr>
        <w:ind w:left="851"/>
        <w:rPr>
          <w:rFonts w:ascii="Arial" w:hAnsi="Arial" w:cs="Arial"/>
          <w:sz w:val="20"/>
          <w:szCs w:val="20"/>
        </w:rPr>
      </w:pPr>
      <w:r>
        <w:rPr>
          <w:rFonts w:ascii="Arial" w:hAnsi="Arial" w:cs="Arial"/>
          <w:sz w:val="20"/>
          <w:szCs w:val="20"/>
        </w:rPr>
        <w:t xml:space="preserve">the migration at the consumer’s premises has been unsuccessful and is unlikely to be successful within three working days of the NBN CSP becoming aware of the unsuccessful </w:t>
      </w:r>
      <w:proofErr w:type="gramStart"/>
      <w:r>
        <w:rPr>
          <w:rFonts w:ascii="Arial" w:hAnsi="Arial" w:cs="Arial"/>
          <w:sz w:val="20"/>
          <w:szCs w:val="20"/>
        </w:rPr>
        <w:t>migration</w:t>
      </w:r>
      <w:r w:rsidR="00BC795D">
        <w:rPr>
          <w:rFonts w:ascii="Arial" w:hAnsi="Arial" w:cs="Arial"/>
          <w:sz w:val="20"/>
          <w:szCs w:val="20"/>
        </w:rPr>
        <w:t>;</w:t>
      </w:r>
      <w:proofErr w:type="gramEnd"/>
      <w:r>
        <w:rPr>
          <w:rFonts w:ascii="Arial" w:hAnsi="Arial" w:cs="Arial"/>
          <w:sz w:val="20"/>
          <w:szCs w:val="20"/>
        </w:rPr>
        <w:t xml:space="preserve"> or </w:t>
      </w:r>
    </w:p>
    <w:p w14:paraId="4A37E08B" w14:textId="31C81CC6" w:rsidR="00C04AF1" w:rsidRDefault="00EE457E" w:rsidP="00D922D5">
      <w:pPr>
        <w:numPr>
          <w:ilvl w:val="1"/>
          <w:numId w:val="2"/>
        </w:numPr>
        <w:ind w:left="851"/>
        <w:rPr>
          <w:rFonts w:ascii="Arial" w:hAnsi="Arial" w:cs="Arial"/>
          <w:sz w:val="20"/>
          <w:szCs w:val="20"/>
        </w:rPr>
      </w:pPr>
      <w:r>
        <w:rPr>
          <w:rFonts w:ascii="Arial" w:hAnsi="Arial" w:cs="Arial"/>
          <w:sz w:val="20"/>
          <w:szCs w:val="20"/>
        </w:rPr>
        <w:t xml:space="preserve">where the migration has been successful, but an operational </w:t>
      </w:r>
      <w:r w:rsidR="0055637B">
        <w:rPr>
          <w:rFonts w:ascii="Arial" w:hAnsi="Arial" w:cs="Arial"/>
          <w:sz w:val="20"/>
          <w:szCs w:val="20"/>
        </w:rPr>
        <w:t xml:space="preserve">NBN </w:t>
      </w:r>
      <w:r>
        <w:rPr>
          <w:rFonts w:ascii="Arial" w:hAnsi="Arial" w:cs="Arial"/>
          <w:sz w:val="20"/>
          <w:szCs w:val="20"/>
        </w:rPr>
        <w:t>service has not been supplied to the consumer and cannot be supplied within three working days</w:t>
      </w:r>
      <w:r w:rsidR="0055637B">
        <w:rPr>
          <w:rFonts w:ascii="Arial" w:hAnsi="Arial" w:cs="Arial"/>
          <w:sz w:val="20"/>
          <w:szCs w:val="20"/>
        </w:rPr>
        <w:t xml:space="preserve"> of the NBN CSP becoming aware</w:t>
      </w:r>
      <w:r w:rsidR="00B2293C">
        <w:rPr>
          <w:rFonts w:ascii="Arial" w:hAnsi="Arial" w:cs="Arial"/>
          <w:sz w:val="20"/>
          <w:szCs w:val="20"/>
        </w:rPr>
        <w:t xml:space="preserve"> that the consumer’s service is not operational</w:t>
      </w:r>
      <w:r>
        <w:rPr>
          <w:rFonts w:ascii="Arial" w:hAnsi="Arial" w:cs="Arial"/>
          <w:sz w:val="20"/>
          <w:szCs w:val="20"/>
        </w:rPr>
        <w:t xml:space="preserve">. </w:t>
      </w:r>
    </w:p>
    <w:p w14:paraId="70A6A8BB" w14:textId="46F4C429" w:rsidR="00C90857" w:rsidRDefault="00646433" w:rsidP="00AF2906">
      <w:pPr>
        <w:numPr>
          <w:ilvl w:val="0"/>
          <w:numId w:val="2"/>
        </w:numPr>
        <w:ind w:left="426" w:hanging="426"/>
        <w:rPr>
          <w:rFonts w:ascii="Arial" w:hAnsi="Arial" w:cs="Arial"/>
          <w:sz w:val="20"/>
          <w:szCs w:val="20"/>
        </w:rPr>
      </w:pPr>
      <w:r>
        <w:rPr>
          <w:rFonts w:ascii="Arial" w:hAnsi="Arial" w:cs="Arial"/>
          <w:sz w:val="20"/>
          <w:szCs w:val="20"/>
        </w:rPr>
        <w:t xml:space="preserve">Subsection 11(2) </w:t>
      </w:r>
      <w:r w:rsidR="002C0AD6">
        <w:rPr>
          <w:rFonts w:ascii="Arial" w:hAnsi="Arial" w:cs="Arial"/>
          <w:sz w:val="20"/>
          <w:szCs w:val="20"/>
        </w:rPr>
        <w:t xml:space="preserve">provides </w:t>
      </w:r>
      <w:r w:rsidR="00D7366F">
        <w:rPr>
          <w:rFonts w:ascii="Arial" w:hAnsi="Arial" w:cs="Arial"/>
          <w:sz w:val="20"/>
          <w:szCs w:val="20"/>
        </w:rPr>
        <w:t xml:space="preserve">for </w:t>
      </w:r>
      <w:r w:rsidR="002C0AD6">
        <w:rPr>
          <w:rFonts w:ascii="Arial" w:hAnsi="Arial" w:cs="Arial"/>
          <w:sz w:val="20"/>
          <w:szCs w:val="20"/>
        </w:rPr>
        <w:t xml:space="preserve">the following </w:t>
      </w:r>
      <w:r>
        <w:rPr>
          <w:rFonts w:ascii="Arial" w:hAnsi="Arial" w:cs="Arial"/>
          <w:sz w:val="20"/>
          <w:szCs w:val="20"/>
        </w:rPr>
        <w:t>exceptions to</w:t>
      </w:r>
      <w:r w:rsidR="001924A1" w:rsidRPr="001924A1">
        <w:rPr>
          <w:rFonts w:ascii="Arial" w:hAnsi="Arial" w:cs="Arial"/>
          <w:sz w:val="20"/>
          <w:szCs w:val="20"/>
        </w:rPr>
        <w:t xml:space="preserve"> the requirement to supply a legacy </w:t>
      </w:r>
      <w:r w:rsidR="001924A1">
        <w:rPr>
          <w:rFonts w:ascii="Arial" w:hAnsi="Arial" w:cs="Arial"/>
          <w:sz w:val="20"/>
          <w:szCs w:val="20"/>
        </w:rPr>
        <w:t>service under</w:t>
      </w:r>
      <w:r>
        <w:rPr>
          <w:rFonts w:ascii="Arial" w:hAnsi="Arial" w:cs="Arial"/>
          <w:sz w:val="20"/>
          <w:szCs w:val="20"/>
        </w:rPr>
        <w:t xml:space="preserve"> </w:t>
      </w:r>
      <w:r w:rsidR="00C878E0">
        <w:rPr>
          <w:rFonts w:ascii="Arial" w:hAnsi="Arial" w:cs="Arial"/>
          <w:sz w:val="20"/>
          <w:szCs w:val="20"/>
        </w:rPr>
        <w:t xml:space="preserve">subsection </w:t>
      </w:r>
      <w:r>
        <w:rPr>
          <w:rFonts w:ascii="Arial" w:hAnsi="Arial" w:cs="Arial"/>
          <w:sz w:val="20"/>
          <w:szCs w:val="20"/>
        </w:rPr>
        <w:t>11(1)</w:t>
      </w:r>
      <w:r w:rsidR="00C90857">
        <w:rPr>
          <w:rFonts w:ascii="Arial" w:hAnsi="Arial" w:cs="Arial"/>
          <w:sz w:val="20"/>
          <w:szCs w:val="20"/>
        </w:rPr>
        <w:t>:</w:t>
      </w:r>
    </w:p>
    <w:p w14:paraId="7ABF19C0" w14:textId="0B442D4D" w:rsidR="00C90857" w:rsidRDefault="00646433" w:rsidP="00C878E0">
      <w:pPr>
        <w:numPr>
          <w:ilvl w:val="1"/>
          <w:numId w:val="2"/>
        </w:numPr>
        <w:ind w:left="1134"/>
        <w:rPr>
          <w:rFonts w:ascii="Arial" w:hAnsi="Arial" w:cs="Arial"/>
          <w:sz w:val="20"/>
          <w:szCs w:val="20"/>
        </w:rPr>
      </w:pPr>
      <w:r>
        <w:rPr>
          <w:rFonts w:ascii="Arial" w:hAnsi="Arial" w:cs="Arial"/>
          <w:sz w:val="20"/>
          <w:szCs w:val="20"/>
        </w:rPr>
        <w:t xml:space="preserve">the NBN CSP has sought the consumer’s consent to supply the legacy service and </w:t>
      </w:r>
      <w:r w:rsidR="006270B4">
        <w:rPr>
          <w:rFonts w:ascii="Arial" w:hAnsi="Arial" w:cs="Arial"/>
          <w:sz w:val="20"/>
          <w:szCs w:val="20"/>
        </w:rPr>
        <w:t xml:space="preserve">the consumer does not </w:t>
      </w:r>
      <w:r>
        <w:rPr>
          <w:rFonts w:ascii="Arial" w:hAnsi="Arial" w:cs="Arial"/>
          <w:sz w:val="20"/>
          <w:szCs w:val="20"/>
        </w:rPr>
        <w:t xml:space="preserve">consent </w:t>
      </w:r>
      <w:r w:rsidR="006270B4">
        <w:rPr>
          <w:rFonts w:ascii="Arial" w:hAnsi="Arial" w:cs="Arial"/>
          <w:sz w:val="20"/>
          <w:szCs w:val="20"/>
        </w:rPr>
        <w:t xml:space="preserve">to the supply of the legacy </w:t>
      </w:r>
      <w:proofErr w:type="gramStart"/>
      <w:r w:rsidR="006270B4">
        <w:rPr>
          <w:rFonts w:ascii="Arial" w:hAnsi="Arial" w:cs="Arial"/>
          <w:sz w:val="20"/>
          <w:szCs w:val="20"/>
        </w:rPr>
        <w:t>service</w:t>
      </w:r>
      <w:r w:rsidR="00C90857">
        <w:rPr>
          <w:rFonts w:ascii="Arial" w:hAnsi="Arial" w:cs="Arial"/>
          <w:sz w:val="20"/>
          <w:szCs w:val="20"/>
        </w:rPr>
        <w:t>;</w:t>
      </w:r>
      <w:proofErr w:type="gramEnd"/>
    </w:p>
    <w:p w14:paraId="03207627" w14:textId="77777777" w:rsidR="00C90857" w:rsidRDefault="00FD1A80" w:rsidP="00C878E0">
      <w:pPr>
        <w:numPr>
          <w:ilvl w:val="1"/>
          <w:numId w:val="2"/>
        </w:numPr>
        <w:ind w:left="1134"/>
        <w:rPr>
          <w:rFonts w:ascii="Arial" w:hAnsi="Arial" w:cs="Arial"/>
          <w:sz w:val="20"/>
          <w:szCs w:val="20"/>
        </w:rPr>
      </w:pPr>
      <w:r>
        <w:rPr>
          <w:rFonts w:ascii="Arial" w:hAnsi="Arial" w:cs="Arial"/>
          <w:sz w:val="20"/>
          <w:szCs w:val="20"/>
        </w:rPr>
        <w:t xml:space="preserve">the NBN CSP is supplying an NBN backup service to the </w:t>
      </w:r>
      <w:proofErr w:type="gramStart"/>
      <w:r>
        <w:rPr>
          <w:rFonts w:ascii="Arial" w:hAnsi="Arial" w:cs="Arial"/>
          <w:sz w:val="20"/>
          <w:szCs w:val="20"/>
        </w:rPr>
        <w:t>consumer</w:t>
      </w:r>
      <w:r w:rsidR="00C90857">
        <w:rPr>
          <w:rFonts w:ascii="Arial" w:hAnsi="Arial" w:cs="Arial"/>
          <w:sz w:val="20"/>
          <w:szCs w:val="20"/>
        </w:rPr>
        <w:t>;</w:t>
      </w:r>
      <w:proofErr w:type="gramEnd"/>
    </w:p>
    <w:p w14:paraId="6210E375" w14:textId="77777777" w:rsidR="00C90857" w:rsidRDefault="00FD1A80" w:rsidP="00C878E0">
      <w:pPr>
        <w:numPr>
          <w:ilvl w:val="1"/>
          <w:numId w:val="2"/>
        </w:numPr>
        <w:ind w:left="1134"/>
        <w:rPr>
          <w:rFonts w:ascii="Arial" w:hAnsi="Arial" w:cs="Arial"/>
          <w:sz w:val="20"/>
          <w:szCs w:val="20"/>
        </w:rPr>
      </w:pPr>
      <w:r>
        <w:rPr>
          <w:rFonts w:ascii="Arial" w:hAnsi="Arial" w:cs="Arial"/>
          <w:sz w:val="20"/>
          <w:szCs w:val="20"/>
        </w:rPr>
        <w:t>the consumer has consented to</w:t>
      </w:r>
      <w:r w:rsidR="00C90857">
        <w:rPr>
          <w:rFonts w:ascii="Arial" w:hAnsi="Arial" w:cs="Arial"/>
          <w:sz w:val="20"/>
          <w:szCs w:val="20"/>
        </w:rPr>
        <w:t xml:space="preserve"> the supply of</w:t>
      </w:r>
      <w:r>
        <w:rPr>
          <w:rFonts w:ascii="Arial" w:hAnsi="Arial" w:cs="Arial"/>
          <w:sz w:val="20"/>
          <w:szCs w:val="20"/>
        </w:rPr>
        <w:t xml:space="preserve"> an interim service</w:t>
      </w:r>
      <w:r w:rsidR="00C90857">
        <w:rPr>
          <w:rFonts w:ascii="Arial" w:hAnsi="Arial" w:cs="Arial"/>
          <w:sz w:val="20"/>
          <w:szCs w:val="20"/>
        </w:rPr>
        <w:t xml:space="preserve"> by the NBN CSP;</w:t>
      </w:r>
      <w:r>
        <w:rPr>
          <w:rFonts w:ascii="Arial" w:hAnsi="Arial" w:cs="Arial"/>
          <w:sz w:val="20"/>
          <w:szCs w:val="20"/>
        </w:rPr>
        <w:t xml:space="preserve"> or </w:t>
      </w:r>
    </w:p>
    <w:p w14:paraId="20516476" w14:textId="633DE9B4" w:rsidR="00646433" w:rsidRPr="00AF2906" w:rsidRDefault="00FD1A80" w:rsidP="00C878E0">
      <w:pPr>
        <w:numPr>
          <w:ilvl w:val="1"/>
          <w:numId w:val="2"/>
        </w:numPr>
        <w:ind w:left="1134"/>
        <w:rPr>
          <w:rFonts w:ascii="Arial" w:hAnsi="Arial" w:cs="Arial"/>
          <w:sz w:val="20"/>
          <w:szCs w:val="20"/>
        </w:rPr>
      </w:pPr>
      <w:r>
        <w:rPr>
          <w:rFonts w:ascii="Arial" w:hAnsi="Arial" w:cs="Arial"/>
          <w:sz w:val="20"/>
          <w:szCs w:val="20"/>
        </w:rPr>
        <w:t>the consumer and the NBN CSP have agreed on an alternative arrangement</w:t>
      </w:r>
      <w:r w:rsidR="00C90857">
        <w:rPr>
          <w:rFonts w:ascii="Arial" w:hAnsi="Arial" w:cs="Arial"/>
          <w:sz w:val="20"/>
          <w:szCs w:val="20"/>
        </w:rPr>
        <w:t xml:space="preserve">, which may include </w:t>
      </w:r>
      <w:r w:rsidR="00776EF6">
        <w:rPr>
          <w:rFonts w:ascii="Arial" w:hAnsi="Arial" w:cs="Arial"/>
          <w:sz w:val="20"/>
          <w:szCs w:val="20"/>
        </w:rPr>
        <w:t>an</w:t>
      </w:r>
      <w:r w:rsidR="006270B4">
        <w:rPr>
          <w:rFonts w:ascii="Arial" w:hAnsi="Arial" w:cs="Arial"/>
          <w:sz w:val="20"/>
          <w:szCs w:val="20"/>
        </w:rPr>
        <w:t xml:space="preserve"> </w:t>
      </w:r>
      <w:r w:rsidR="00C90857">
        <w:rPr>
          <w:rFonts w:ascii="Arial" w:hAnsi="Arial" w:cs="Arial"/>
          <w:sz w:val="20"/>
          <w:szCs w:val="20"/>
        </w:rPr>
        <w:t>offer of compensation</w:t>
      </w:r>
      <w:r w:rsidR="00AF2906">
        <w:rPr>
          <w:rFonts w:ascii="Arial" w:hAnsi="Arial" w:cs="Arial"/>
          <w:sz w:val="20"/>
          <w:szCs w:val="20"/>
        </w:rPr>
        <w:t>.</w:t>
      </w:r>
      <w:r w:rsidRPr="00AF2906">
        <w:rPr>
          <w:rFonts w:ascii="Arial" w:hAnsi="Arial" w:cs="Arial"/>
          <w:sz w:val="20"/>
          <w:szCs w:val="20"/>
        </w:rPr>
        <w:t xml:space="preserve"> </w:t>
      </w:r>
    </w:p>
    <w:p w14:paraId="0900287D" w14:textId="75214BF2" w:rsidR="00DE4DE4" w:rsidRDefault="00761CC0" w:rsidP="005B6A77">
      <w:pPr>
        <w:numPr>
          <w:ilvl w:val="0"/>
          <w:numId w:val="2"/>
        </w:numPr>
        <w:ind w:left="426" w:hanging="426"/>
        <w:rPr>
          <w:rFonts w:ascii="Arial" w:hAnsi="Arial" w:cs="Arial"/>
          <w:sz w:val="20"/>
          <w:szCs w:val="20"/>
        </w:rPr>
      </w:pPr>
      <w:r>
        <w:rPr>
          <w:rFonts w:ascii="Arial" w:hAnsi="Arial" w:cs="Arial"/>
          <w:sz w:val="20"/>
          <w:szCs w:val="20"/>
        </w:rPr>
        <w:t xml:space="preserve">Optus reported </w:t>
      </w:r>
      <w:r w:rsidR="00836887">
        <w:rPr>
          <w:rFonts w:ascii="Arial" w:hAnsi="Arial" w:cs="Arial"/>
          <w:sz w:val="20"/>
          <w:szCs w:val="20"/>
        </w:rPr>
        <w:t xml:space="preserve">to the ACMA </w:t>
      </w:r>
      <w:r>
        <w:rPr>
          <w:rFonts w:ascii="Arial" w:hAnsi="Arial" w:cs="Arial"/>
          <w:sz w:val="20"/>
          <w:szCs w:val="20"/>
        </w:rPr>
        <w:t xml:space="preserve">that </w:t>
      </w:r>
      <w:r w:rsidR="00FA11AE">
        <w:rPr>
          <w:rFonts w:ascii="Arial" w:hAnsi="Arial" w:cs="Arial"/>
          <w:sz w:val="20"/>
          <w:szCs w:val="20"/>
        </w:rPr>
        <w:t xml:space="preserve">between 13 January 2020 and 29 January 2020, the circumstances of </w:t>
      </w:r>
      <w:r>
        <w:rPr>
          <w:rFonts w:ascii="Arial" w:hAnsi="Arial" w:cs="Arial"/>
          <w:sz w:val="20"/>
          <w:szCs w:val="20"/>
        </w:rPr>
        <w:t xml:space="preserve">8 consumers </w:t>
      </w:r>
      <w:r w:rsidR="00A94522">
        <w:rPr>
          <w:rFonts w:ascii="Arial" w:hAnsi="Arial" w:cs="Arial"/>
          <w:sz w:val="20"/>
          <w:szCs w:val="20"/>
        </w:rPr>
        <w:t xml:space="preserve">met the conditions under </w:t>
      </w:r>
      <w:r w:rsidR="00623676">
        <w:rPr>
          <w:rFonts w:ascii="Arial" w:hAnsi="Arial" w:cs="Arial"/>
          <w:sz w:val="20"/>
          <w:szCs w:val="20"/>
        </w:rPr>
        <w:t xml:space="preserve">subsection </w:t>
      </w:r>
      <w:r w:rsidR="00A94522">
        <w:rPr>
          <w:rFonts w:ascii="Arial" w:hAnsi="Arial" w:cs="Arial"/>
          <w:sz w:val="20"/>
          <w:szCs w:val="20"/>
        </w:rPr>
        <w:t xml:space="preserve">11(1) </w:t>
      </w:r>
      <w:r w:rsidR="00FA11AE">
        <w:rPr>
          <w:rFonts w:ascii="Arial" w:hAnsi="Arial" w:cs="Arial"/>
          <w:sz w:val="20"/>
          <w:szCs w:val="20"/>
        </w:rPr>
        <w:t xml:space="preserve">requiring </w:t>
      </w:r>
      <w:r w:rsidR="00A94522">
        <w:rPr>
          <w:rFonts w:ascii="Arial" w:hAnsi="Arial" w:cs="Arial"/>
          <w:sz w:val="20"/>
          <w:szCs w:val="20"/>
        </w:rPr>
        <w:t xml:space="preserve">a </w:t>
      </w:r>
      <w:r w:rsidR="00FD0A07">
        <w:rPr>
          <w:rFonts w:ascii="Arial" w:hAnsi="Arial" w:cs="Arial"/>
          <w:sz w:val="20"/>
          <w:szCs w:val="20"/>
        </w:rPr>
        <w:t xml:space="preserve">legacy service to be </w:t>
      </w:r>
      <w:r w:rsidR="00D94AAB">
        <w:rPr>
          <w:rFonts w:ascii="Arial" w:hAnsi="Arial" w:cs="Arial"/>
          <w:sz w:val="20"/>
          <w:szCs w:val="20"/>
        </w:rPr>
        <w:t>supplied but</w:t>
      </w:r>
      <w:r w:rsidR="00FD0A07">
        <w:rPr>
          <w:rFonts w:ascii="Arial" w:hAnsi="Arial" w:cs="Arial"/>
          <w:sz w:val="20"/>
          <w:szCs w:val="20"/>
        </w:rPr>
        <w:t xml:space="preserve"> </w:t>
      </w:r>
      <w:r w:rsidR="00B45F20">
        <w:rPr>
          <w:rFonts w:ascii="Arial" w:hAnsi="Arial" w:cs="Arial"/>
          <w:sz w:val="20"/>
          <w:szCs w:val="20"/>
        </w:rPr>
        <w:t xml:space="preserve">they </w:t>
      </w:r>
      <w:r w:rsidR="00DE4DE4">
        <w:rPr>
          <w:rFonts w:ascii="Arial" w:hAnsi="Arial" w:cs="Arial"/>
          <w:sz w:val="20"/>
          <w:szCs w:val="20"/>
        </w:rPr>
        <w:t>were not supplied with this service.</w:t>
      </w:r>
    </w:p>
    <w:p w14:paraId="22F3CE44" w14:textId="4D1BE170" w:rsidR="00506E58" w:rsidRDefault="00A66B16" w:rsidP="005B6A77">
      <w:pPr>
        <w:numPr>
          <w:ilvl w:val="0"/>
          <w:numId w:val="2"/>
        </w:numPr>
        <w:ind w:left="426" w:hanging="426"/>
        <w:rPr>
          <w:rFonts w:ascii="Arial" w:hAnsi="Arial" w:cs="Arial"/>
          <w:sz w:val="20"/>
          <w:szCs w:val="20"/>
        </w:rPr>
      </w:pPr>
      <w:r>
        <w:rPr>
          <w:rFonts w:ascii="Arial" w:hAnsi="Arial" w:cs="Arial"/>
          <w:sz w:val="20"/>
          <w:szCs w:val="20"/>
        </w:rPr>
        <w:t xml:space="preserve">Optus </w:t>
      </w:r>
      <w:r w:rsidR="00836887">
        <w:rPr>
          <w:rFonts w:ascii="Arial" w:hAnsi="Arial" w:cs="Arial"/>
          <w:sz w:val="20"/>
          <w:szCs w:val="20"/>
        </w:rPr>
        <w:t xml:space="preserve">further </w:t>
      </w:r>
      <w:r w:rsidR="00752B0A">
        <w:rPr>
          <w:rFonts w:ascii="Arial" w:hAnsi="Arial" w:cs="Arial"/>
          <w:sz w:val="20"/>
          <w:szCs w:val="20"/>
        </w:rPr>
        <w:t xml:space="preserve">advised that it </w:t>
      </w:r>
      <w:r w:rsidR="00DA4A6A">
        <w:rPr>
          <w:rFonts w:ascii="Arial" w:hAnsi="Arial" w:cs="Arial"/>
          <w:sz w:val="20"/>
          <w:szCs w:val="20"/>
        </w:rPr>
        <w:t>had</w:t>
      </w:r>
      <w:r w:rsidR="00752B0A">
        <w:rPr>
          <w:rFonts w:ascii="Arial" w:hAnsi="Arial" w:cs="Arial"/>
          <w:sz w:val="20"/>
          <w:szCs w:val="20"/>
        </w:rPr>
        <w:t xml:space="preserve"> not </w:t>
      </w:r>
      <w:r w:rsidR="009B736C">
        <w:rPr>
          <w:rFonts w:ascii="Arial" w:hAnsi="Arial" w:cs="Arial"/>
          <w:sz w:val="20"/>
          <w:szCs w:val="20"/>
        </w:rPr>
        <w:t>rel</w:t>
      </w:r>
      <w:r w:rsidR="00DA4A6A">
        <w:rPr>
          <w:rFonts w:ascii="Arial" w:hAnsi="Arial" w:cs="Arial"/>
          <w:sz w:val="20"/>
          <w:szCs w:val="20"/>
        </w:rPr>
        <w:t>ied</w:t>
      </w:r>
      <w:r w:rsidR="009B736C">
        <w:rPr>
          <w:rFonts w:ascii="Arial" w:hAnsi="Arial" w:cs="Arial"/>
          <w:sz w:val="20"/>
          <w:szCs w:val="20"/>
        </w:rPr>
        <w:t xml:space="preserve"> on an </w:t>
      </w:r>
      <w:r w:rsidR="00A40D8A">
        <w:rPr>
          <w:rFonts w:ascii="Arial" w:hAnsi="Arial" w:cs="Arial"/>
          <w:sz w:val="20"/>
          <w:szCs w:val="20"/>
        </w:rPr>
        <w:t xml:space="preserve">exception </w:t>
      </w:r>
      <w:r w:rsidR="009B736C">
        <w:rPr>
          <w:rFonts w:ascii="Arial" w:hAnsi="Arial" w:cs="Arial"/>
          <w:sz w:val="20"/>
          <w:szCs w:val="20"/>
        </w:rPr>
        <w:t xml:space="preserve">under </w:t>
      </w:r>
      <w:r w:rsidR="00C80554">
        <w:rPr>
          <w:rFonts w:ascii="Arial" w:hAnsi="Arial" w:cs="Arial"/>
          <w:sz w:val="20"/>
          <w:szCs w:val="20"/>
        </w:rPr>
        <w:t xml:space="preserve">subsection </w:t>
      </w:r>
      <w:r w:rsidR="00D31751">
        <w:rPr>
          <w:rFonts w:ascii="Arial" w:hAnsi="Arial" w:cs="Arial"/>
          <w:sz w:val="20"/>
          <w:szCs w:val="20"/>
        </w:rPr>
        <w:t>11(2)</w:t>
      </w:r>
      <w:r w:rsidR="0091519D">
        <w:rPr>
          <w:rFonts w:ascii="Arial" w:hAnsi="Arial" w:cs="Arial"/>
          <w:sz w:val="20"/>
          <w:szCs w:val="20"/>
        </w:rPr>
        <w:t xml:space="preserve"> as an alternative to </w:t>
      </w:r>
      <w:r w:rsidR="00DE4DE4">
        <w:rPr>
          <w:rFonts w:ascii="Arial" w:hAnsi="Arial" w:cs="Arial"/>
          <w:sz w:val="20"/>
          <w:szCs w:val="20"/>
        </w:rPr>
        <w:t xml:space="preserve">supplying </w:t>
      </w:r>
      <w:r w:rsidR="00623676">
        <w:rPr>
          <w:rFonts w:ascii="Arial" w:hAnsi="Arial" w:cs="Arial"/>
          <w:sz w:val="20"/>
          <w:szCs w:val="20"/>
        </w:rPr>
        <w:t>a legacy service under</w:t>
      </w:r>
      <w:r w:rsidR="00C47D31">
        <w:rPr>
          <w:rFonts w:ascii="Arial" w:hAnsi="Arial" w:cs="Arial"/>
          <w:sz w:val="20"/>
          <w:szCs w:val="20"/>
        </w:rPr>
        <w:t xml:space="preserve"> subsection</w:t>
      </w:r>
      <w:r w:rsidR="00623676">
        <w:rPr>
          <w:rFonts w:ascii="Arial" w:hAnsi="Arial" w:cs="Arial"/>
          <w:sz w:val="20"/>
          <w:szCs w:val="20"/>
        </w:rPr>
        <w:t xml:space="preserve"> 11(1)</w:t>
      </w:r>
      <w:r w:rsidR="00506E58">
        <w:rPr>
          <w:rFonts w:ascii="Arial" w:hAnsi="Arial" w:cs="Arial"/>
          <w:sz w:val="20"/>
          <w:szCs w:val="20"/>
        </w:rPr>
        <w:t>.</w:t>
      </w:r>
    </w:p>
    <w:p w14:paraId="5BD6508F" w14:textId="64BB807E" w:rsidR="00F4575C" w:rsidRPr="00F4575C" w:rsidRDefault="00DA0FBB" w:rsidP="005B6A77">
      <w:pPr>
        <w:numPr>
          <w:ilvl w:val="0"/>
          <w:numId w:val="2"/>
        </w:numPr>
        <w:ind w:left="426" w:hanging="426"/>
        <w:rPr>
          <w:rFonts w:ascii="Arial" w:hAnsi="Arial" w:cs="Arial"/>
          <w:sz w:val="20"/>
          <w:szCs w:val="20"/>
        </w:rPr>
      </w:pPr>
      <w:r>
        <w:rPr>
          <w:rFonts w:ascii="Arial" w:hAnsi="Arial" w:cs="Arial"/>
          <w:sz w:val="20"/>
          <w:szCs w:val="20"/>
        </w:rPr>
        <w:t>T</w:t>
      </w:r>
      <w:r w:rsidR="00F4575C">
        <w:rPr>
          <w:rFonts w:ascii="Arial" w:hAnsi="Arial" w:cs="Arial"/>
          <w:sz w:val="20"/>
          <w:szCs w:val="20"/>
        </w:rPr>
        <w:t xml:space="preserve">he ACMA </w:t>
      </w:r>
      <w:r w:rsidR="00FA11AE">
        <w:rPr>
          <w:rFonts w:ascii="Arial" w:hAnsi="Arial" w:cs="Arial"/>
          <w:sz w:val="20"/>
          <w:szCs w:val="20"/>
        </w:rPr>
        <w:t xml:space="preserve">is satisfied </w:t>
      </w:r>
      <w:r w:rsidR="00F4575C">
        <w:rPr>
          <w:rFonts w:ascii="Arial" w:hAnsi="Arial" w:cs="Arial"/>
          <w:sz w:val="20"/>
          <w:szCs w:val="20"/>
        </w:rPr>
        <w:t xml:space="preserve">that Optus contravened subsection 11(1) of the Service Continuity Standard on 8 occasions between </w:t>
      </w:r>
      <w:r w:rsidR="001C058A">
        <w:rPr>
          <w:rFonts w:ascii="Arial" w:hAnsi="Arial" w:cs="Arial"/>
          <w:sz w:val="20"/>
          <w:szCs w:val="20"/>
        </w:rPr>
        <w:t>13 January 2020 and 29 January 2020</w:t>
      </w:r>
      <w:r w:rsidR="00F4575C">
        <w:rPr>
          <w:rFonts w:ascii="Arial" w:hAnsi="Arial" w:cs="Arial"/>
          <w:sz w:val="20"/>
          <w:szCs w:val="20"/>
        </w:rPr>
        <w:t xml:space="preserve"> </w:t>
      </w:r>
      <w:r w:rsidR="00F4575C">
        <w:rPr>
          <w:rFonts w:ascii="Arial" w:hAnsi="Arial" w:cs="Arial"/>
          <w:sz w:val="20"/>
        </w:rPr>
        <w:t xml:space="preserve">for failing to supply a legacy service </w:t>
      </w:r>
      <w:r w:rsidR="00F51620">
        <w:rPr>
          <w:rFonts w:ascii="Arial" w:hAnsi="Arial" w:cs="Arial"/>
          <w:sz w:val="20"/>
        </w:rPr>
        <w:t xml:space="preserve">to 8 customers </w:t>
      </w:r>
      <w:r w:rsidR="00F4575C">
        <w:rPr>
          <w:rFonts w:ascii="Arial" w:hAnsi="Arial" w:cs="Arial"/>
          <w:sz w:val="20"/>
        </w:rPr>
        <w:t>where none of the exceptions under subsection 11(2) applied.</w:t>
      </w:r>
    </w:p>
    <w:p w14:paraId="0CA00C90" w14:textId="35815978" w:rsidR="009D2A41" w:rsidRPr="0078478F" w:rsidRDefault="0078478F" w:rsidP="00DA3B62">
      <w:pPr>
        <w:spacing w:before="240"/>
        <w:rPr>
          <w:rFonts w:ascii="Arial" w:hAnsi="Arial" w:cs="Arial"/>
          <w:b/>
          <w:bCs/>
          <w:i/>
          <w:iCs/>
          <w:sz w:val="20"/>
          <w:szCs w:val="20"/>
        </w:rPr>
      </w:pPr>
      <w:r w:rsidRPr="0078478F">
        <w:rPr>
          <w:rFonts w:ascii="Arial" w:hAnsi="Arial" w:cs="Arial"/>
          <w:b/>
          <w:bCs/>
          <w:i/>
          <w:iCs/>
          <w:sz w:val="20"/>
          <w:szCs w:val="20"/>
        </w:rPr>
        <w:t>Part 4 of the Service Continuity Standard</w:t>
      </w:r>
    </w:p>
    <w:p w14:paraId="0DC882CD" w14:textId="0C895B00" w:rsidR="009D2A41" w:rsidRDefault="007A495E" w:rsidP="0035471C">
      <w:pPr>
        <w:numPr>
          <w:ilvl w:val="0"/>
          <w:numId w:val="2"/>
        </w:numPr>
        <w:ind w:left="426" w:hanging="426"/>
        <w:rPr>
          <w:rFonts w:ascii="Arial" w:hAnsi="Arial" w:cs="Arial"/>
          <w:sz w:val="20"/>
          <w:szCs w:val="20"/>
        </w:rPr>
      </w:pPr>
      <w:r>
        <w:rPr>
          <w:rFonts w:ascii="Arial" w:hAnsi="Arial" w:cs="Arial"/>
          <w:sz w:val="20"/>
          <w:szCs w:val="20"/>
        </w:rPr>
        <w:t xml:space="preserve">Part 4 of the Service Continuity Standard </w:t>
      </w:r>
      <w:r w:rsidR="006C6D41">
        <w:rPr>
          <w:rFonts w:ascii="Arial" w:hAnsi="Arial" w:cs="Arial"/>
          <w:sz w:val="20"/>
          <w:szCs w:val="20"/>
        </w:rPr>
        <w:t xml:space="preserve">outlines the processes and timeframes for the reconnection and supply of legacy services and interim services. </w:t>
      </w:r>
    </w:p>
    <w:p w14:paraId="0C74BB49" w14:textId="7FB73253" w:rsidR="006C6D41" w:rsidRDefault="006C6D41" w:rsidP="0035471C">
      <w:pPr>
        <w:numPr>
          <w:ilvl w:val="0"/>
          <w:numId w:val="2"/>
        </w:numPr>
        <w:ind w:left="426" w:hanging="426"/>
        <w:rPr>
          <w:rFonts w:ascii="Arial" w:hAnsi="Arial" w:cs="Arial"/>
          <w:sz w:val="20"/>
          <w:szCs w:val="20"/>
        </w:rPr>
      </w:pPr>
      <w:r>
        <w:rPr>
          <w:rFonts w:ascii="Arial" w:hAnsi="Arial" w:cs="Arial"/>
          <w:sz w:val="20"/>
          <w:szCs w:val="20"/>
        </w:rPr>
        <w:lastRenderedPageBreak/>
        <w:t>Under paragraph 14(2)(a)</w:t>
      </w:r>
      <w:r w:rsidR="001C5CB0" w:rsidRPr="001C5CB0">
        <w:rPr>
          <w:rFonts w:ascii="Arial" w:hAnsi="Arial" w:cs="Arial"/>
          <w:sz w:val="20"/>
          <w:szCs w:val="20"/>
        </w:rPr>
        <w:t xml:space="preserve"> </w:t>
      </w:r>
      <w:r w:rsidR="001C5CB0">
        <w:rPr>
          <w:rFonts w:ascii="Arial" w:hAnsi="Arial" w:cs="Arial"/>
          <w:sz w:val="20"/>
          <w:szCs w:val="20"/>
        </w:rPr>
        <w:t>of the Service Continuity Standard</w:t>
      </w:r>
      <w:r>
        <w:rPr>
          <w:rFonts w:ascii="Arial" w:hAnsi="Arial" w:cs="Arial"/>
          <w:sz w:val="20"/>
          <w:szCs w:val="20"/>
        </w:rPr>
        <w:t>, where an NBN CSP proposes to supply the consumer with an interim service, it must advise the consumer that the NBN CSP is required to supply a legacy service to their premises under subsection 11(1)</w:t>
      </w:r>
      <w:r w:rsidR="007073FB">
        <w:rPr>
          <w:rFonts w:ascii="Arial" w:hAnsi="Arial" w:cs="Arial"/>
          <w:sz w:val="20"/>
          <w:szCs w:val="20"/>
        </w:rPr>
        <w:t>, before obtaining the consumer’s consent to the interim service</w:t>
      </w:r>
      <w:r>
        <w:rPr>
          <w:rFonts w:ascii="Arial" w:hAnsi="Arial" w:cs="Arial"/>
          <w:sz w:val="20"/>
          <w:szCs w:val="20"/>
        </w:rPr>
        <w:t>.</w:t>
      </w:r>
    </w:p>
    <w:p w14:paraId="16B54E3F" w14:textId="48679765" w:rsidR="005A5EFC" w:rsidRDefault="005A5EFC" w:rsidP="0035471C">
      <w:pPr>
        <w:numPr>
          <w:ilvl w:val="0"/>
          <w:numId w:val="2"/>
        </w:numPr>
        <w:ind w:left="426" w:hanging="426"/>
        <w:rPr>
          <w:rFonts w:ascii="Arial" w:hAnsi="Arial" w:cs="Arial"/>
          <w:sz w:val="20"/>
          <w:szCs w:val="20"/>
        </w:rPr>
      </w:pPr>
      <w:r>
        <w:rPr>
          <w:rFonts w:ascii="Arial" w:hAnsi="Arial" w:cs="Arial"/>
          <w:sz w:val="20"/>
          <w:szCs w:val="20"/>
        </w:rPr>
        <w:t>In its response to the Notice, Optus submitted information that it had provided interim service</w:t>
      </w:r>
      <w:r w:rsidR="009108ED">
        <w:rPr>
          <w:rFonts w:ascii="Arial" w:hAnsi="Arial" w:cs="Arial"/>
          <w:sz w:val="20"/>
          <w:szCs w:val="20"/>
        </w:rPr>
        <w:t>s</w:t>
      </w:r>
      <w:r>
        <w:rPr>
          <w:rFonts w:ascii="Arial" w:hAnsi="Arial" w:cs="Arial"/>
          <w:sz w:val="20"/>
          <w:szCs w:val="20"/>
        </w:rPr>
        <w:t xml:space="preserve"> to 9 consumers </w:t>
      </w:r>
      <w:r w:rsidR="005C205F">
        <w:rPr>
          <w:rFonts w:ascii="Arial" w:hAnsi="Arial" w:cs="Arial"/>
          <w:sz w:val="20"/>
          <w:szCs w:val="20"/>
        </w:rPr>
        <w:t xml:space="preserve">with consent </w:t>
      </w:r>
      <w:r w:rsidR="009108ED">
        <w:rPr>
          <w:rFonts w:ascii="Arial" w:hAnsi="Arial" w:cs="Arial"/>
          <w:sz w:val="20"/>
          <w:szCs w:val="20"/>
        </w:rPr>
        <w:t xml:space="preserve">under the exception in </w:t>
      </w:r>
      <w:r w:rsidR="001C5CB0">
        <w:rPr>
          <w:rFonts w:ascii="Arial" w:hAnsi="Arial" w:cs="Arial"/>
          <w:sz w:val="20"/>
          <w:szCs w:val="20"/>
        </w:rPr>
        <w:t xml:space="preserve">paragraph </w:t>
      </w:r>
      <w:r w:rsidR="009108ED">
        <w:rPr>
          <w:rFonts w:ascii="Arial" w:hAnsi="Arial" w:cs="Arial"/>
          <w:sz w:val="20"/>
          <w:szCs w:val="20"/>
        </w:rPr>
        <w:t xml:space="preserve">11(2)(c), </w:t>
      </w:r>
      <w:r>
        <w:rPr>
          <w:rFonts w:ascii="Arial" w:hAnsi="Arial" w:cs="Arial"/>
          <w:sz w:val="20"/>
          <w:szCs w:val="20"/>
        </w:rPr>
        <w:t xml:space="preserve">as a substitute </w:t>
      </w:r>
      <w:r w:rsidR="00D7366F">
        <w:rPr>
          <w:rFonts w:ascii="Arial" w:hAnsi="Arial" w:cs="Arial"/>
          <w:sz w:val="20"/>
          <w:szCs w:val="20"/>
        </w:rPr>
        <w:t>for</w:t>
      </w:r>
      <w:r>
        <w:rPr>
          <w:rFonts w:ascii="Arial" w:hAnsi="Arial" w:cs="Arial"/>
          <w:sz w:val="20"/>
          <w:szCs w:val="20"/>
        </w:rPr>
        <w:t xml:space="preserve"> supplying a legacy service</w:t>
      </w:r>
      <w:r w:rsidR="009108ED">
        <w:rPr>
          <w:rFonts w:ascii="Arial" w:hAnsi="Arial" w:cs="Arial"/>
          <w:sz w:val="20"/>
          <w:szCs w:val="20"/>
        </w:rPr>
        <w:t>.</w:t>
      </w:r>
    </w:p>
    <w:p w14:paraId="4798FCE2" w14:textId="083D5D55" w:rsidR="0055741B" w:rsidRDefault="00FA760F" w:rsidP="009108ED">
      <w:pPr>
        <w:numPr>
          <w:ilvl w:val="0"/>
          <w:numId w:val="2"/>
        </w:numPr>
        <w:ind w:left="426" w:hanging="426"/>
        <w:rPr>
          <w:rFonts w:ascii="Arial" w:hAnsi="Arial" w:cs="Arial"/>
          <w:sz w:val="20"/>
          <w:szCs w:val="20"/>
        </w:rPr>
      </w:pPr>
      <w:r w:rsidRPr="00FA760F">
        <w:rPr>
          <w:rFonts w:ascii="Arial" w:hAnsi="Arial" w:cs="Arial"/>
          <w:sz w:val="20"/>
          <w:szCs w:val="20"/>
        </w:rPr>
        <w:t xml:space="preserve">Optus provided no evidence that it met the requirement in </w:t>
      </w:r>
      <w:r w:rsidR="00AF15D5">
        <w:rPr>
          <w:rFonts w:ascii="Arial" w:hAnsi="Arial" w:cs="Arial"/>
          <w:sz w:val="20"/>
          <w:szCs w:val="20"/>
        </w:rPr>
        <w:t xml:space="preserve">paragraph </w:t>
      </w:r>
      <w:r w:rsidRPr="00FA760F">
        <w:rPr>
          <w:rFonts w:ascii="Arial" w:hAnsi="Arial" w:cs="Arial"/>
          <w:sz w:val="20"/>
          <w:szCs w:val="20"/>
        </w:rPr>
        <w:t>14(2)</w:t>
      </w:r>
      <w:r w:rsidR="00AF15D5">
        <w:rPr>
          <w:rFonts w:ascii="Arial" w:hAnsi="Arial" w:cs="Arial"/>
          <w:sz w:val="20"/>
          <w:szCs w:val="20"/>
        </w:rPr>
        <w:t>(a)</w:t>
      </w:r>
      <w:r w:rsidRPr="00FA760F">
        <w:rPr>
          <w:rFonts w:ascii="Arial" w:hAnsi="Arial" w:cs="Arial"/>
          <w:sz w:val="20"/>
          <w:szCs w:val="20"/>
        </w:rPr>
        <w:t xml:space="preserve"> to </w:t>
      </w:r>
      <w:r w:rsidR="00832DD6">
        <w:rPr>
          <w:rFonts w:ascii="Arial" w:hAnsi="Arial" w:cs="Arial"/>
          <w:sz w:val="20"/>
          <w:szCs w:val="20"/>
        </w:rPr>
        <w:t>advise</w:t>
      </w:r>
      <w:r w:rsidR="00832DD6" w:rsidRPr="00FA760F">
        <w:rPr>
          <w:rFonts w:ascii="Arial" w:hAnsi="Arial" w:cs="Arial"/>
          <w:sz w:val="20"/>
          <w:szCs w:val="20"/>
        </w:rPr>
        <w:t xml:space="preserve"> </w:t>
      </w:r>
      <w:r w:rsidR="009108ED">
        <w:rPr>
          <w:rFonts w:ascii="Arial" w:hAnsi="Arial" w:cs="Arial"/>
          <w:sz w:val="20"/>
          <w:szCs w:val="20"/>
        </w:rPr>
        <w:t>these 9</w:t>
      </w:r>
      <w:r w:rsidR="009108ED" w:rsidRPr="00FA760F">
        <w:rPr>
          <w:rFonts w:ascii="Arial" w:hAnsi="Arial" w:cs="Arial"/>
          <w:sz w:val="20"/>
          <w:szCs w:val="20"/>
        </w:rPr>
        <w:t xml:space="preserve"> </w:t>
      </w:r>
      <w:r w:rsidRPr="00FA760F">
        <w:rPr>
          <w:rFonts w:ascii="Arial" w:hAnsi="Arial" w:cs="Arial"/>
          <w:sz w:val="20"/>
          <w:szCs w:val="20"/>
        </w:rPr>
        <w:t>consumers of its requirement to supply a legacy service</w:t>
      </w:r>
      <w:r w:rsidR="005C2D90">
        <w:rPr>
          <w:rFonts w:ascii="Arial" w:hAnsi="Arial" w:cs="Arial"/>
          <w:sz w:val="20"/>
          <w:szCs w:val="20"/>
        </w:rPr>
        <w:t xml:space="preserve"> to the</w:t>
      </w:r>
      <w:r w:rsidR="00E94ED4">
        <w:rPr>
          <w:rFonts w:ascii="Arial" w:hAnsi="Arial" w:cs="Arial"/>
          <w:sz w:val="20"/>
          <w:szCs w:val="20"/>
        </w:rPr>
        <w:t>ir premises</w:t>
      </w:r>
      <w:r w:rsidRPr="00FA760F">
        <w:rPr>
          <w:rFonts w:ascii="Arial" w:hAnsi="Arial" w:cs="Arial"/>
          <w:sz w:val="20"/>
          <w:szCs w:val="20"/>
        </w:rPr>
        <w:t xml:space="preserve"> before gaining their consent to </w:t>
      </w:r>
      <w:r w:rsidR="00E94ED4">
        <w:rPr>
          <w:rFonts w:ascii="Arial" w:hAnsi="Arial" w:cs="Arial"/>
          <w:sz w:val="20"/>
          <w:szCs w:val="20"/>
        </w:rPr>
        <w:t>supply</w:t>
      </w:r>
      <w:r w:rsidRPr="00FA760F">
        <w:rPr>
          <w:rFonts w:ascii="Arial" w:hAnsi="Arial" w:cs="Arial"/>
          <w:sz w:val="20"/>
          <w:szCs w:val="20"/>
        </w:rPr>
        <w:t xml:space="preserve"> an interim service</w:t>
      </w:r>
      <w:r w:rsidR="00E94ED4">
        <w:rPr>
          <w:rFonts w:ascii="Arial" w:hAnsi="Arial" w:cs="Arial"/>
          <w:sz w:val="20"/>
          <w:szCs w:val="20"/>
        </w:rPr>
        <w:t xml:space="preserve"> as a substitute </w:t>
      </w:r>
      <w:r w:rsidR="004F27B6">
        <w:rPr>
          <w:rFonts w:ascii="Arial" w:hAnsi="Arial" w:cs="Arial"/>
          <w:sz w:val="20"/>
          <w:szCs w:val="20"/>
        </w:rPr>
        <w:t>for the supply of a legacy service</w:t>
      </w:r>
      <w:r w:rsidRPr="00FA760F">
        <w:rPr>
          <w:rFonts w:ascii="Arial" w:hAnsi="Arial" w:cs="Arial"/>
          <w:sz w:val="20"/>
          <w:szCs w:val="20"/>
        </w:rPr>
        <w:t xml:space="preserve">. Optus </w:t>
      </w:r>
      <w:r w:rsidR="00436392">
        <w:rPr>
          <w:rFonts w:ascii="Arial" w:hAnsi="Arial" w:cs="Arial"/>
          <w:sz w:val="20"/>
          <w:szCs w:val="20"/>
        </w:rPr>
        <w:t xml:space="preserve">further </w:t>
      </w:r>
      <w:r w:rsidRPr="00FA760F">
        <w:rPr>
          <w:rFonts w:ascii="Arial" w:hAnsi="Arial" w:cs="Arial"/>
          <w:sz w:val="20"/>
          <w:szCs w:val="20"/>
        </w:rPr>
        <w:t xml:space="preserve">acknowledged that it does not appear to have </w:t>
      </w:r>
      <w:r w:rsidR="00832DD6">
        <w:rPr>
          <w:rFonts w:ascii="Arial" w:hAnsi="Arial" w:cs="Arial"/>
          <w:sz w:val="20"/>
          <w:szCs w:val="20"/>
        </w:rPr>
        <w:t xml:space="preserve">provided this advice to </w:t>
      </w:r>
      <w:r w:rsidR="0065529B">
        <w:rPr>
          <w:rFonts w:ascii="Arial" w:hAnsi="Arial" w:cs="Arial"/>
          <w:sz w:val="20"/>
          <w:szCs w:val="20"/>
        </w:rPr>
        <w:t xml:space="preserve">the </w:t>
      </w:r>
      <w:r w:rsidR="006D3988">
        <w:rPr>
          <w:rFonts w:ascii="Arial" w:hAnsi="Arial" w:cs="Arial"/>
          <w:sz w:val="20"/>
          <w:szCs w:val="20"/>
        </w:rPr>
        <w:t>9</w:t>
      </w:r>
      <w:r w:rsidR="006D3988" w:rsidRPr="00FA760F">
        <w:rPr>
          <w:rFonts w:ascii="Arial" w:hAnsi="Arial" w:cs="Arial"/>
          <w:sz w:val="20"/>
          <w:szCs w:val="20"/>
        </w:rPr>
        <w:t xml:space="preserve"> </w:t>
      </w:r>
      <w:r w:rsidR="00832DD6">
        <w:rPr>
          <w:rFonts w:ascii="Arial" w:hAnsi="Arial" w:cs="Arial"/>
          <w:sz w:val="20"/>
          <w:szCs w:val="20"/>
        </w:rPr>
        <w:t>consumers</w:t>
      </w:r>
      <w:r w:rsidRPr="00FA760F">
        <w:rPr>
          <w:rFonts w:ascii="Arial" w:hAnsi="Arial" w:cs="Arial"/>
          <w:sz w:val="20"/>
          <w:szCs w:val="20"/>
        </w:rPr>
        <w:t>.</w:t>
      </w:r>
    </w:p>
    <w:p w14:paraId="73B727F5" w14:textId="6936C8F3" w:rsidR="006D3988" w:rsidRPr="009108ED" w:rsidRDefault="00DF6768" w:rsidP="009108ED">
      <w:pPr>
        <w:numPr>
          <w:ilvl w:val="0"/>
          <w:numId w:val="2"/>
        </w:numPr>
        <w:ind w:left="426" w:hanging="426"/>
        <w:rPr>
          <w:rFonts w:ascii="Arial" w:hAnsi="Arial" w:cs="Arial"/>
          <w:sz w:val="20"/>
          <w:szCs w:val="20"/>
        </w:rPr>
      </w:pPr>
      <w:r>
        <w:rPr>
          <w:rFonts w:ascii="Arial" w:hAnsi="Arial" w:cs="Arial"/>
          <w:sz w:val="20"/>
          <w:szCs w:val="20"/>
        </w:rPr>
        <w:t xml:space="preserve">The ACMA is satisfied that Optus contravened </w:t>
      </w:r>
      <w:r w:rsidR="000752BA">
        <w:rPr>
          <w:rFonts w:ascii="Arial" w:hAnsi="Arial" w:cs="Arial"/>
          <w:sz w:val="20"/>
          <w:szCs w:val="20"/>
        </w:rPr>
        <w:t xml:space="preserve">paragraph 14(2)(a) of the Service Continuity Standard on 9 occasions </w:t>
      </w:r>
      <w:r w:rsidR="00A0462B">
        <w:rPr>
          <w:rFonts w:ascii="Arial" w:hAnsi="Arial" w:cs="Arial"/>
          <w:sz w:val="20"/>
          <w:szCs w:val="20"/>
        </w:rPr>
        <w:t xml:space="preserve">between </w:t>
      </w:r>
      <w:r w:rsidR="008B2D9C">
        <w:rPr>
          <w:rFonts w:ascii="Arial" w:hAnsi="Arial" w:cs="Arial"/>
          <w:sz w:val="20"/>
          <w:szCs w:val="20"/>
        </w:rPr>
        <w:t xml:space="preserve">on or </w:t>
      </w:r>
      <w:r w:rsidR="00436392">
        <w:rPr>
          <w:rFonts w:ascii="Arial" w:hAnsi="Arial" w:cs="Arial"/>
          <w:sz w:val="20"/>
          <w:szCs w:val="20"/>
        </w:rPr>
        <w:t xml:space="preserve">close to </w:t>
      </w:r>
      <w:r w:rsidR="008B2D9C">
        <w:rPr>
          <w:rFonts w:ascii="Arial" w:hAnsi="Arial" w:cs="Arial"/>
          <w:sz w:val="20"/>
          <w:szCs w:val="20"/>
        </w:rPr>
        <w:t xml:space="preserve">14 November 2019 to on or </w:t>
      </w:r>
      <w:r w:rsidR="00436392">
        <w:rPr>
          <w:rFonts w:ascii="Arial" w:hAnsi="Arial" w:cs="Arial"/>
          <w:sz w:val="20"/>
          <w:szCs w:val="20"/>
        </w:rPr>
        <w:t xml:space="preserve">close to </w:t>
      </w:r>
      <w:r w:rsidR="008B2D9C">
        <w:rPr>
          <w:rFonts w:ascii="Arial" w:hAnsi="Arial" w:cs="Arial"/>
          <w:sz w:val="20"/>
          <w:szCs w:val="20"/>
        </w:rPr>
        <w:t>21 January 2020.</w:t>
      </w:r>
    </w:p>
    <w:p w14:paraId="16EF821D" w14:textId="2AE4CCC8" w:rsidR="00FD4F5D" w:rsidRPr="00435D7E" w:rsidRDefault="00FD4F5D" w:rsidP="00DA3B62">
      <w:pPr>
        <w:spacing w:before="240" w:after="0" w:line="240" w:lineRule="auto"/>
        <w:rPr>
          <w:rFonts w:ascii="Arial" w:hAnsi="Arial" w:cs="Arial"/>
          <w:b/>
          <w:bCs/>
          <w:i/>
          <w:iCs/>
          <w:sz w:val="20"/>
          <w:szCs w:val="20"/>
        </w:rPr>
      </w:pPr>
      <w:r w:rsidRPr="00435D7E">
        <w:rPr>
          <w:rFonts w:ascii="Arial" w:hAnsi="Arial" w:cs="Arial"/>
          <w:b/>
          <w:bCs/>
          <w:i/>
          <w:iCs/>
          <w:sz w:val="20"/>
          <w:szCs w:val="20"/>
        </w:rPr>
        <w:t>Compliance with subsection 128(1) of the Act</w:t>
      </w:r>
    </w:p>
    <w:p w14:paraId="39E918D6" w14:textId="3D4751BA" w:rsidR="00C855FA" w:rsidRDefault="00FD4F5D" w:rsidP="00C855FA">
      <w:pPr>
        <w:numPr>
          <w:ilvl w:val="0"/>
          <w:numId w:val="2"/>
        </w:numPr>
        <w:ind w:left="426" w:hanging="426"/>
        <w:rPr>
          <w:rFonts w:ascii="Arial" w:hAnsi="Arial" w:cs="Arial"/>
          <w:sz w:val="20"/>
          <w:szCs w:val="20"/>
        </w:rPr>
      </w:pPr>
      <w:r w:rsidRPr="00C70075">
        <w:rPr>
          <w:rFonts w:ascii="Arial" w:hAnsi="Arial" w:cs="Arial"/>
          <w:sz w:val="20"/>
          <w:szCs w:val="20"/>
        </w:rPr>
        <w:t>Under subsection 128(1) of the Act, Optus must comply with the Service Continuity Standard.</w:t>
      </w:r>
    </w:p>
    <w:p w14:paraId="14AA5D89" w14:textId="23E045A8" w:rsidR="000704F5" w:rsidRPr="00AD7929" w:rsidRDefault="00FD4F5D" w:rsidP="00DA3B62">
      <w:pPr>
        <w:numPr>
          <w:ilvl w:val="0"/>
          <w:numId w:val="2"/>
        </w:numPr>
        <w:ind w:left="426" w:hanging="426"/>
        <w:rPr>
          <w:rFonts w:ascii="Arial" w:hAnsi="Arial" w:cs="Arial"/>
          <w:sz w:val="20"/>
          <w:szCs w:val="20"/>
        </w:rPr>
      </w:pPr>
      <w:r w:rsidRPr="00AD7929">
        <w:rPr>
          <w:rFonts w:ascii="Arial" w:hAnsi="Arial" w:cs="Arial"/>
          <w:sz w:val="20"/>
          <w:szCs w:val="20"/>
        </w:rPr>
        <w:t xml:space="preserve">Optus has not complied with applicable requirements of </w:t>
      </w:r>
      <w:r w:rsidR="001C51EE" w:rsidRPr="00AD7929">
        <w:rPr>
          <w:rFonts w:ascii="Arial" w:hAnsi="Arial" w:cs="Arial"/>
          <w:sz w:val="20"/>
          <w:szCs w:val="20"/>
        </w:rPr>
        <w:t xml:space="preserve">the </w:t>
      </w:r>
      <w:r w:rsidRPr="00DA3B62">
        <w:rPr>
          <w:rFonts w:ascii="Arial" w:hAnsi="Arial" w:cs="Arial"/>
          <w:sz w:val="20"/>
          <w:szCs w:val="20"/>
        </w:rPr>
        <w:t xml:space="preserve">Service Continuity Standard as set out above. </w:t>
      </w:r>
      <w:r w:rsidR="00915924" w:rsidRPr="00DA3B62">
        <w:rPr>
          <w:rFonts w:ascii="Arial" w:hAnsi="Arial" w:cs="Arial"/>
          <w:sz w:val="20"/>
          <w:szCs w:val="20"/>
        </w:rPr>
        <w:t>Consequently</w:t>
      </w:r>
      <w:r w:rsidRPr="00DA3B62">
        <w:rPr>
          <w:rFonts w:ascii="Arial" w:hAnsi="Arial" w:cs="Arial"/>
          <w:sz w:val="20"/>
          <w:szCs w:val="20"/>
        </w:rPr>
        <w:t>, the ACMA is satisfied that Optus has contravened</w:t>
      </w:r>
      <w:r w:rsidR="001C51EE" w:rsidRPr="00C855FA">
        <w:rPr>
          <w:rFonts w:ascii="Arial" w:hAnsi="Arial" w:cs="Arial"/>
          <w:sz w:val="20"/>
          <w:szCs w:val="20"/>
        </w:rPr>
        <w:t xml:space="preserve"> s</w:t>
      </w:r>
      <w:r w:rsidRPr="00C855FA">
        <w:rPr>
          <w:rFonts w:ascii="Arial" w:hAnsi="Arial" w:cs="Arial"/>
          <w:sz w:val="20"/>
          <w:szCs w:val="20"/>
        </w:rPr>
        <w:t xml:space="preserve">ubsection 128(1) of the Act </w:t>
      </w:r>
      <w:r w:rsidR="001C51EE" w:rsidRPr="00C855FA">
        <w:rPr>
          <w:rFonts w:ascii="Arial" w:hAnsi="Arial" w:cs="Arial"/>
          <w:sz w:val="20"/>
          <w:szCs w:val="20"/>
        </w:rPr>
        <w:t xml:space="preserve">on </w:t>
      </w:r>
      <w:r w:rsidRPr="00C855FA">
        <w:rPr>
          <w:rFonts w:ascii="Arial" w:hAnsi="Arial" w:cs="Arial"/>
          <w:sz w:val="20"/>
          <w:szCs w:val="20"/>
        </w:rPr>
        <w:t>1</w:t>
      </w:r>
      <w:r w:rsidR="001C51EE" w:rsidRPr="00C855FA">
        <w:rPr>
          <w:rFonts w:ascii="Arial" w:hAnsi="Arial" w:cs="Arial"/>
          <w:sz w:val="20"/>
          <w:szCs w:val="20"/>
        </w:rPr>
        <w:t>7</w:t>
      </w:r>
      <w:r w:rsidRPr="00C855FA">
        <w:rPr>
          <w:rFonts w:ascii="Arial" w:hAnsi="Arial" w:cs="Arial"/>
          <w:sz w:val="20"/>
          <w:szCs w:val="20"/>
        </w:rPr>
        <w:t xml:space="preserve"> </w:t>
      </w:r>
      <w:r w:rsidR="001C51EE" w:rsidRPr="00C855FA">
        <w:rPr>
          <w:rFonts w:ascii="Arial" w:hAnsi="Arial" w:cs="Arial"/>
          <w:sz w:val="20"/>
          <w:szCs w:val="20"/>
        </w:rPr>
        <w:t>occasions</w:t>
      </w:r>
      <w:r w:rsidRPr="00C855FA">
        <w:rPr>
          <w:rFonts w:ascii="Arial" w:hAnsi="Arial" w:cs="Arial"/>
          <w:sz w:val="20"/>
          <w:szCs w:val="20"/>
        </w:rPr>
        <w:t xml:space="preserve"> </w:t>
      </w:r>
      <w:r w:rsidR="00C13C24">
        <w:rPr>
          <w:rFonts w:ascii="Arial" w:hAnsi="Arial" w:cs="Arial"/>
          <w:sz w:val="20"/>
          <w:szCs w:val="20"/>
        </w:rPr>
        <w:t xml:space="preserve">on the date ranges noted above by </w:t>
      </w:r>
      <w:r w:rsidR="00915924" w:rsidRPr="00EF302D">
        <w:rPr>
          <w:rFonts w:ascii="Arial" w:hAnsi="Arial" w:cs="Arial"/>
          <w:sz w:val="20"/>
          <w:szCs w:val="20"/>
        </w:rPr>
        <w:t>failing to</w:t>
      </w:r>
      <w:r w:rsidRPr="00EF302D">
        <w:rPr>
          <w:rFonts w:ascii="Arial" w:hAnsi="Arial" w:cs="Arial"/>
          <w:sz w:val="20"/>
          <w:szCs w:val="20"/>
        </w:rPr>
        <w:t xml:space="preserve"> comply with the Service Continuity Standard.</w:t>
      </w:r>
    </w:p>
    <w:sectPr w:rsidR="000704F5" w:rsidRPr="00AD7929" w:rsidSect="00C916DE">
      <w:headerReference w:type="even" r:id="rId8"/>
      <w:headerReference w:type="default" r:id="rId9"/>
      <w:footerReference w:type="even" r:id="rId10"/>
      <w:footerReference w:type="default" r:id="rId11"/>
      <w:pgSz w:w="11909" w:h="16834" w:code="9"/>
      <w:pgMar w:top="1418" w:right="1797" w:bottom="1418" w:left="1797" w:header="709" w:footer="885"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CF6543" w14:textId="77777777" w:rsidR="00687E2A" w:rsidRDefault="00687E2A" w:rsidP="00BA2205">
      <w:pPr>
        <w:spacing w:before="0" w:after="0" w:line="240" w:lineRule="auto"/>
      </w:pPr>
      <w:r>
        <w:separator/>
      </w:r>
    </w:p>
  </w:endnote>
  <w:endnote w:type="continuationSeparator" w:id="0">
    <w:p w14:paraId="0DE1653E" w14:textId="77777777" w:rsidR="00687E2A" w:rsidRDefault="00687E2A" w:rsidP="00BA2205">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3035E" w14:textId="77777777" w:rsidR="00CE2606" w:rsidRDefault="00CE2606">
    <w:pPr>
      <w:framePr w:wrap="around" w:vAnchor="text" w:hAnchor="margin" w:xAlign="right" w:y="1"/>
    </w:pPr>
    <w:r>
      <w:fldChar w:fldCharType="begin"/>
    </w:r>
    <w:r>
      <w:instrText xml:space="preserve">PAGE  </w:instrText>
    </w:r>
    <w:r>
      <w:fldChar w:fldCharType="separate"/>
    </w:r>
    <w:r>
      <w:rPr>
        <w:noProof/>
      </w:rPr>
      <w:t>7</w:t>
    </w:r>
    <w:r>
      <w:fldChar w:fldCharType="end"/>
    </w:r>
  </w:p>
  <w:p w14:paraId="1464F47C" w14:textId="77777777" w:rsidR="00CE2606" w:rsidRDefault="00CE2606">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2A787" w14:textId="47A770C6" w:rsidR="00CE2606" w:rsidRDefault="00CE2606" w:rsidP="005B1A9D">
    <w:pPr>
      <w:pStyle w:val="ACMAFooterEven"/>
      <w:ind w:left="0" w:firstLine="0"/>
    </w:pPr>
    <w:r>
      <w:tab/>
    </w:r>
    <w:r>
      <w:fldChar w:fldCharType="begin"/>
    </w:r>
    <w:r>
      <w:instrText xml:space="preserve"> PAGE </w:instrText>
    </w:r>
    <w:r>
      <w:fldChar w:fldCharType="separate"/>
    </w:r>
    <w:r w:rsidR="00FC18FD">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10B64" w14:textId="77777777" w:rsidR="00687E2A" w:rsidRDefault="00687E2A" w:rsidP="00BA2205">
      <w:pPr>
        <w:spacing w:before="0" w:after="0" w:line="240" w:lineRule="auto"/>
      </w:pPr>
      <w:r>
        <w:separator/>
      </w:r>
    </w:p>
  </w:footnote>
  <w:footnote w:type="continuationSeparator" w:id="0">
    <w:p w14:paraId="7EB80AF1" w14:textId="77777777" w:rsidR="00687E2A" w:rsidRDefault="00687E2A" w:rsidP="00BA2205">
      <w:pPr>
        <w:spacing w:before="0" w:after="0" w:line="240" w:lineRule="auto"/>
      </w:pPr>
      <w:r>
        <w:continuationSeparator/>
      </w:r>
    </w:p>
  </w:footnote>
  <w:footnote w:id="1">
    <w:p w14:paraId="2F569D3F" w14:textId="341D58D6" w:rsidR="00D437ED" w:rsidRDefault="00D437ED" w:rsidP="0077501E">
      <w:pPr>
        <w:pStyle w:val="FootnoteText"/>
        <w:tabs>
          <w:tab w:val="clear" w:pos="284"/>
          <w:tab w:val="left" w:pos="426"/>
        </w:tabs>
        <w:ind w:left="142" w:hanging="142"/>
      </w:pPr>
      <w:r>
        <w:rPr>
          <w:rStyle w:val="FootnoteReference"/>
        </w:rPr>
        <w:footnoteRef/>
      </w:r>
      <w:r>
        <w:t xml:space="preserve"> </w:t>
      </w:r>
      <w:r w:rsidRPr="00BA5FD1">
        <w:t xml:space="preserve">The Service Continuity Standard was varied with effect from 14 December 2020. </w:t>
      </w:r>
      <w:r w:rsidR="00997819">
        <w:t xml:space="preserve">As part of this variation, the pre-conditions for requiring a legacy service to be supplied have been changed, however not in a way that would have affected the circumstances of this investigation. </w:t>
      </w:r>
      <w:r w:rsidRPr="00BA5FD1">
        <w:t>As the period of the alleged contraventions is prior to this variation taking effect, for the purpose of this investigation report the version of the Standard is that which applied during the period of the alleged contraventions</w:t>
      </w:r>
      <w:r w:rsidR="004C7F73" w:rsidRPr="00BA5FD1">
        <w:t>.</w:t>
      </w:r>
      <w:r w:rsidR="00997819">
        <w:t xml:space="preserve"> </w:t>
      </w:r>
    </w:p>
  </w:footnote>
  <w:footnote w:id="2">
    <w:p w14:paraId="40238282" w14:textId="056B0CB9" w:rsidR="005E2F26" w:rsidRDefault="005E2F26" w:rsidP="0077501E">
      <w:pPr>
        <w:pStyle w:val="FootnoteText"/>
        <w:tabs>
          <w:tab w:val="clear" w:pos="284"/>
          <w:tab w:val="left" w:pos="567"/>
        </w:tabs>
        <w:ind w:left="142" w:hanging="142"/>
      </w:pPr>
      <w:r>
        <w:rPr>
          <w:rStyle w:val="FootnoteReference"/>
        </w:rPr>
        <w:footnoteRef/>
      </w:r>
      <w:r>
        <w:t xml:space="preserve"> Dates are not exact</w:t>
      </w:r>
      <w:r w:rsidR="00997819">
        <w:t>,</w:t>
      </w:r>
      <w:r>
        <w:t xml:space="preserve"> given the obligation was to provide information and there is some leeway in when Optus could have provided this information</w:t>
      </w:r>
      <w:r w:rsidR="00D7366F">
        <w:t>.</w:t>
      </w:r>
      <w:r>
        <w:t xml:space="preserve"> </w:t>
      </w:r>
    </w:p>
  </w:footnote>
  <w:footnote w:id="3">
    <w:p w14:paraId="762EAE05" w14:textId="2D529D27" w:rsidR="001A2101" w:rsidRDefault="001A2101">
      <w:pPr>
        <w:pStyle w:val="FootnoteText"/>
      </w:pPr>
      <w:r>
        <w:rPr>
          <w:rStyle w:val="FootnoteReference"/>
        </w:rPr>
        <w:footnoteRef/>
      </w:r>
      <w:r>
        <w:t xml:space="preserve"> As in force during the relevant period.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61E651" w14:textId="2D718C71" w:rsidR="00CE2606" w:rsidRDefault="00CE2606">
    <w:r>
      <w:fldChar w:fldCharType="begin"/>
    </w:r>
    <w:r>
      <w:instrText xml:space="preserve"> REF ReportTitle \h </w:instrText>
    </w:r>
    <w:r>
      <w:fldChar w:fldCharType="separate"/>
    </w:r>
    <w:r w:rsidR="001B5889">
      <w:rPr>
        <w:b/>
        <w:bCs/>
        <w:lang w:val="en-US"/>
      </w:rPr>
      <w:t>Error! Reference source not found.</w:t>
    </w:r>
    <w:r>
      <w:fldChar w:fldCharType="end"/>
    </w:r>
  </w:p>
  <w:p w14:paraId="73CD6220" w14:textId="77777777" w:rsidR="00CE2606" w:rsidRDefault="00CE260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F56DF" w14:textId="56DAAD23" w:rsidR="00AF6254" w:rsidRPr="00AF6254" w:rsidRDefault="00AF6254" w:rsidP="00AF6254">
    <w:pPr>
      <w:pStyle w:val="Header"/>
      <w:jc w:val="right"/>
      <w:rPr>
        <w:rFonts w:ascii="Arial" w:hAnsi="Arial" w:cs="Arial"/>
        <w:b/>
        <w:bCs/>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B18E2"/>
    <w:multiLevelType w:val="hybridMultilevel"/>
    <w:tmpl w:val="DFD80B06"/>
    <w:lvl w:ilvl="0" w:tplc="3BAC8B20">
      <w:start w:val="1"/>
      <w:numFmt w:val="lowerLetter"/>
      <w:lvlText w:val="(%1)"/>
      <w:lvlJc w:val="left"/>
      <w:pPr>
        <w:ind w:left="785" w:hanging="360"/>
      </w:pPr>
      <w:rPr>
        <w:rFonts w:hint="default"/>
      </w:rPr>
    </w:lvl>
    <w:lvl w:ilvl="1" w:tplc="0C090019" w:tentative="1">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abstractNum w:abstractNumId="1" w15:restartNumberingAfterBreak="0">
    <w:nsid w:val="026A5252"/>
    <w:multiLevelType w:val="hybridMultilevel"/>
    <w:tmpl w:val="E35847D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171A97AC">
      <w:start w:val="1"/>
      <w:numFmt w:val="lowerRoman"/>
      <w:lvlText w:val="(%3)"/>
      <w:lvlJc w:val="left"/>
      <w:pPr>
        <w:ind w:left="2700" w:hanging="72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66C0562"/>
    <w:multiLevelType w:val="hybridMultilevel"/>
    <w:tmpl w:val="7534D514"/>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 w15:restartNumberingAfterBreak="0">
    <w:nsid w:val="07AE4658"/>
    <w:multiLevelType w:val="hybridMultilevel"/>
    <w:tmpl w:val="11BE03F6"/>
    <w:lvl w:ilvl="0" w:tplc="1F0087B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E157C5"/>
    <w:multiLevelType w:val="hybridMultilevel"/>
    <w:tmpl w:val="CCAA1DBA"/>
    <w:lvl w:ilvl="0" w:tplc="0C090001">
      <w:start w:val="1"/>
      <w:numFmt w:val="bullet"/>
      <w:lvlText w:val=""/>
      <w:lvlJc w:val="left"/>
      <w:pPr>
        <w:ind w:left="1080" w:hanging="360"/>
      </w:pPr>
      <w:rPr>
        <w:rFonts w:ascii="Symbol" w:hAnsi="Symbol" w:hint="default"/>
        <w:b w:val="0"/>
      </w:rPr>
    </w:lvl>
    <w:lvl w:ilvl="1" w:tplc="0908D4E8">
      <w:start w:val="1"/>
      <w:numFmt w:val="lowerLetter"/>
      <w:lvlText w:val="(%2)"/>
      <w:lvlJc w:val="left"/>
      <w:pPr>
        <w:ind w:left="2214" w:hanging="360"/>
      </w:pPr>
      <w:rPr>
        <w:rFonts w:hint="default"/>
      </w:rPr>
    </w:lvl>
    <w:lvl w:ilvl="2" w:tplc="0908D4E8">
      <w:start w:val="1"/>
      <w:numFmt w:val="lowerLetter"/>
      <w:lvlText w:val="(%3)"/>
      <w:lvlJc w:val="left"/>
      <w:pPr>
        <w:ind w:left="3060" w:hanging="360"/>
      </w:pPr>
      <w:rPr>
        <w:rFonts w:hint="default"/>
      </w:rPr>
    </w:lvl>
    <w:lvl w:ilvl="3" w:tplc="43C0713C">
      <w:start w:val="1"/>
      <w:numFmt w:val="lowerRoman"/>
      <w:lvlText w:val="(%4)"/>
      <w:lvlJc w:val="left"/>
      <w:pPr>
        <w:ind w:left="3960" w:hanging="720"/>
      </w:pPr>
      <w:rPr>
        <w:rFonts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0F7E74B9"/>
    <w:multiLevelType w:val="hybridMultilevel"/>
    <w:tmpl w:val="C282935E"/>
    <w:lvl w:ilvl="0" w:tplc="F7088FE4">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6" w15:restartNumberingAfterBreak="0">
    <w:nsid w:val="10373B44"/>
    <w:multiLevelType w:val="hybridMultilevel"/>
    <w:tmpl w:val="B024F214"/>
    <w:lvl w:ilvl="0" w:tplc="480EB7B2">
      <w:numFmt w:val="bullet"/>
      <w:lvlText w:val="-"/>
      <w:lvlJc w:val="left"/>
      <w:pPr>
        <w:ind w:left="786" w:hanging="360"/>
      </w:pPr>
      <w:rPr>
        <w:rFonts w:ascii="Arial" w:eastAsia="Times New Roman" w:hAnsi="Arial" w:cs="Arial"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7" w15:restartNumberingAfterBreak="0">
    <w:nsid w:val="126B4CB8"/>
    <w:multiLevelType w:val="hybridMultilevel"/>
    <w:tmpl w:val="E858F7FE"/>
    <w:lvl w:ilvl="0" w:tplc="FFC25866">
      <w:numFmt w:val="bullet"/>
      <w:lvlText w:val="-"/>
      <w:lvlJc w:val="left"/>
      <w:pPr>
        <w:ind w:left="720" w:hanging="360"/>
      </w:pPr>
      <w:rPr>
        <w:rFonts w:ascii="Arial" w:eastAsia="Calibri" w:hAnsi="Aria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37F1227"/>
    <w:multiLevelType w:val="hybridMultilevel"/>
    <w:tmpl w:val="111CE60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6450160"/>
    <w:multiLevelType w:val="multilevel"/>
    <w:tmpl w:val="F3DA935E"/>
    <w:lvl w:ilvl="0">
      <w:start w:val="4"/>
      <w:numFmt w:val="decimal"/>
      <w:lvlText w:val="%1"/>
      <w:lvlJc w:val="left"/>
      <w:pPr>
        <w:ind w:left="435" w:hanging="435"/>
      </w:pPr>
      <w:rPr>
        <w:rFonts w:hint="default"/>
      </w:rPr>
    </w:lvl>
    <w:lvl w:ilvl="1">
      <w:start w:val="3"/>
      <w:numFmt w:val="decimal"/>
      <w:lvlText w:val="%1.%2"/>
      <w:lvlJc w:val="left"/>
      <w:pPr>
        <w:ind w:left="435" w:hanging="435"/>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E112D6C"/>
    <w:multiLevelType w:val="hybridMultilevel"/>
    <w:tmpl w:val="7C3A367A"/>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1E1C4232"/>
    <w:multiLevelType w:val="hybridMultilevel"/>
    <w:tmpl w:val="8512691C"/>
    <w:lvl w:ilvl="0" w:tplc="0C09000F">
      <w:start w:val="1"/>
      <w:numFmt w:val="decimal"/>
      <w:lvlText w:val="%1."/>
      <w:lvlJc w:val="left"/>
      <w:pPr>
        <w:ind w:left="360" w:hanging="360"/>
      </w:pPr>
      <w:rPr>
        <w:rFonts w:hint="default"/>
        <w:b w:val="0"/>
      </w:rPr>
    </w:lvl>
    <w:lvl w:ilvl="1" w:tplc="0C090001">
      <w:start w:val="1"/>
      <w:numFmt w:val="bullet"/>
      <w:lvlText w:val=""/>
      <w:lvlJc w:val="left"/>
      <w:pPr>
        <w:ind w:left="1494" w:hanging="360"/>
      </w:pPr>
      <w:rPr>
        <w:rFonts w:ascii="Symbol" w:hAnsi="Symbol" w:hint="default"/>
      </w:rPr>
    </w:lvl>
    <w:lvl w:ilvl="2" w:tplc="0908D4E8">
      <w:start w:val="1"/>
      <w:numFmt w:val="lowerLetter"/>
      <w:lvlText w:val="(%3)"/>
      <w:lvlJc w:val="left"/>
      <w:pPr>
        <w:ind w:left="2340" w:hanging="360"/>
      </w:pPr>
      <w:rPr>
        <w:rFonts w:hint="default"/>
      </w:rPr>
    </w:lvl>
    <w:lvl w:ilvl="3" w:tplc="43C0713C">
      <w:start w:val="1"/>
      <w:numFmt w:val="lowerRoman"/>
      <w:lvlText w:val="(%4)"/>
      <w:lvlJc w:val="left"/>
      <w:pPr>
        <w:ind w:left="3240"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C0921EA"/>
    <w:multiLevelType w:val="hybridMultilevel"/>
    <w:tmpl w:val="8C04111C"/>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2C15638C"/>
    <w:multiLevelType w:val="hybridMultilevel"/>
    <w:tmpl w:val="58ECD2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C3D6DD3"/>
    <w:multiLevelType w:val="hybridMultilevel"/>
    <w:tmpl w:val="DFD80B06"/>
    <w:lvl w:ilvl="0" w:tplc="3BAC8B20">
      <w:start w:val="1"/>
      <w:numFmt w:val="lowerLetter"/>
      <w:lvlText w:val="(%1)"/>
      <w:lvlJc w:val="left"/>
      <w:pPr>
        <w:ind w:left="785" w:hanging="360"/>
      </w:pPr>
      <w:rPr>
        <w:rFonts w:hint="default"/>
      </w:rPr>
    </w:lvl>
    <w:lvl w:ilvl="1" w:tplc="0C090019" w:tentative="1">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abstractNum w:abstractNumId="15" w15:restartNumberingAfterBreak="0">
    <w:nsid w:val="2F5A5080"/>
    <w:multiLevelType w:val="hybridMultilevel"/>
    <w:tmpl w:val="373ED820"/>
    <w:lvl w:ilvl="0" w:tplc="08E82DB0">
      <w:start w:val="1"/>
      <w:numFmt w:val="bullet"/>
      <w:pStyle w:val="ACMABulletLevel1"/>
      <w:lvlText w:val=""/>
      <w:lvlJc w:val="left"/>
      <w:pPr>
        <w:tabs>
          <w:tab w:val="num" w:pos="360"/>
        </w:tabs>
        <w:ind w:left="360" w:hanging="360"/>
      </w:pPr>
      <w:rPr>
        <w:rFonts w:ascii="Symbol" w:hAnsi="Symbol" w:hint="default"/>
      </w:rPr>
    </w:lvl>
    <w:lvl w:ilvl="1" w:tplc="0C090005">
      <w:start w:val="1"/>
      <w:numFmt w:val="bullet"/>
      <w:lvlText w:val=""/>
      <w:lvlJc w:val="left"/>
      <w:pPr>
        <w:tabs>
          <w:tab w:val="num" w:pos="1728"/>
        </w:tabs>
        <w:ind w:left="1728" w:hanging="360"/>
      </w:pPr>
      <w:rPr>
        <w:rFonts w:ascii="Wingdings" w:hAnsi="Wingdings"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1D328FF"/>
    <w:multiLevelType w:val="hybridMultilevel"/>
    <w:tmpl w:val="EF6A6D9E"/>
    <w:lvl w:ilvl="0" w:tplc="CFBABB16">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26468E7"/>
    <w:multiLevelType w:val="hybridMultilevel"/>
    <w:tmpl w:val="498E3CB2"/>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340D1034"/>
    <w:multiLevelType w:val="hybridMultilevel"/>
    <w:tmpl w:val="6812F396"/>
    <w:lvl w:ilvl="0" w:tplc="65747E9E">
      <w:start w:val="1"/>
      <w:numFmt w:val="decimal"/>
      <w:lvlText w:val="%1."/>
      <w:lvlJc w:val="left"/>
      <w:pPr>
        <w:ind w:left="360" w:hanging="360"/>
      </w:pPr>
      <w:rPr>
        <w:rFonts w:ascii="Arial" w:hAnsi="Arial" w:cs="Arial" w:hint="default"/>
        <w:b w:val="0"/>
        <w:sz w:val="20"/>
        <w:szCs w:val="20"/>
      </w:rPr>
    </w:lvl>
    <w:lvl w:ilvl="1" w:tplc="0908D4E8">
      <w:start w:val="1"/>
      <w:numFmt w:val="lowerLetter"/>
      <w:lvlText w:val="(%2)"/>
      <w:lvlJc w:val="left"/>
      <w:pPr>
        <w:ind w:left="1494" w:hanging="360"/>
      </w:pPr>
      <w:rPr>
        <w:rFonts w:hint="default"/>
      </w:rPr>
    </w:lvl>
    <w:lvl w:ilvl="2" w:tplc="0908D4E8">
      <w:start w:val="1"/>
      <w:numFmt w:val="lowerLetter"/>
      <w:lvlText w:val="(%3)"/>
      <w:lvlJc w:val="left"/>
      <w:pPr>
        <w:ind w:left="2340" w:hanging="360"/>
      </w:pPr>
      <w:rPr>
        <w:rFonts w:hint="default"/>
      </w:rPr>
    </w:lvl>
    <w:lvl w:ilvl="3" w:tplc="43C0713C">
      <w:start w:val="1"/>
      <w:numFmt w:val="lowerRoman"/>
      <w:lvlText w:val="(%4)"/>
      <w:lvlJc w:val="left"/>
      <w:pPr>
        <w:ind w:left="3240" w:hanging="720"/>
      </w:pPr>
      <w:rPr>
        <w:rFonts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4166F9D"/>
    <w:multiLevelType w:val="hybridMultilevel"/>
    <w:tmpl w:val="6E149508"/>
    <w:lvl w:ilvl="0" w:tplc="0C090001">
      <w:start w:val="1"/>
      <w:numFmt w:val="bullet"/>
      <w:lvlText w:val=""/>
      <w:lvlJc w:val="left"/>
      <w:pPr>
        <w:ind w:left="1080" w:hanging="360"/>
      </w:pPr>
      <w:rPr>
        <w:rFonts w:ascii="Symbol" w:hAnsi="Symbol" w:hint="default"/>
        <w:b w:val="0"/>
      </w:rPr>
    </w:lvl>
    <w:lvl w:ilvl="1" w:tplc="0908D4E8">
      <w:start w:val="1"/>
      <w:numFmt w:val="lowerLetter"/>
      <w:lvlText w:val="(%2)"/>
      <w:lvlJc w:val="left"/>
      <w:pPr>
        <w:ind w:left="2214" w:hanging="360"/>
      </w:pPr>
      <w:rPr>
        <w:rFonts w:hint="default"/>
      </w:rPr>
    </w:lvl>
    <w:lvl w:ilvl="2" w:tplc="0908D4E8">
      <w:start w:val="1"/>
      <w:numFmt w:val="lowerLetter"/>
      <w:lvlText w:val="(%3)"/>
      <w:lvlJc w:val="left"/>
      <w:pPr>
        <w:ind w:left="3060" w:hanging="360"/>
      </w:pPr>
      <w:rPr>
        <w:rFonts w:hint="default"/>
      </w:rPr>
    </w:lvl>
    <w:lvl w:ilvl="3" w:tplc="43C0713C">
      <w:start w:val="1"/>
      <w:numFmt w:val="lowerRoman"/>
      <w:lvlText w:val="(%4)"/>
      <w:lvlJc w:val="left"/>
      <w:pPr>
        <w:ind w:left="3960" w:hanging="720"/>
      </w:pPr>
      <w:rPr>
        <w:rFonts w:hint="default"/>
      </w:r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357E6A61"/>
    <w:multiLevelType w:val="hybridMultilevel"/>
    <w:tmpl w:val="A7CA984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 w15:restartNumberingAfterBreak="0">
    <w:nsid w:val="383767CE"/>
    <w:multiLevelType w:val="hybridMultilevel"/>
    <w:tmpl w:val="2B108900"/>
    <w:lvl w:ilvl="0" w:tplc="0C09000B">
      <w:start w:val="1"/>
      <w:numFmt w:val="bullet"/>
      <w:lvlText w:val=""/>
      <w:lvlJc w:val="left"/>
      <w:pPr>
        <w:ind w:left="1185" w:hanging="360"/>
      </w:pPr>
      <w:rPr>
        <w:rFonts w:ascii="Wingdings" w:hAnsi="Wingdings" w:hint="default"/>
      </w:rPr>
    </w:lvl>
    <w:lvl w:ilvl="1" w:tplc="0C090003" w:tentative="1">
      <w:start w:val="1"/>
      <w:numFmt w:val="bullet"/>
      <w:lvlText w:val="o"/>
      <w:lvlJc w:val="left"/>
      <w:pPr>
        <w:ind w:left="1905" w:hanging="360"/>
      </w:pPr>
      <w:rPr>
        <w:rFonts w:ascii="Courier New" w:hAnsi="Courier New" w:cs="Courier New" w:hint="default"/>
      </w:rPr>
    </w:lvl>
    <w:lvl w:ilvl="2" w:tplc="0C090005" w:tentative="1">
      <w:start w:val="1"/>
      <w:numFmt w:val="bullet"/>
      <w:lvlText w:val=""/>
      <w:lvlJc w:val="left"/>
      <w:pPr>
        <w:ind w:left="2625" w:hanging="360"/>
      </w:pPr>
      <w:rPr>
        <w:rFonts w:ascii="Wingdings" w:hAnsi="Wingdings" w:hint="default"/>
      </w:rPr>
    </w:lvl>
    <w:lvl w:ilvl="3" w:tplc="0C090001" w:tentative="1">
      <w:start w:val="1"/>
      <w:numFmt w:val="bullet"/>
      <w:lvlText w:val=""/>
      <w:lvlJc w:val="left"/>
      <w:pPr>
        <w:ind w:left="3345" w:hanging="360"/>
      </w:pPr>
      <w:rPr>
        <w:rFonts w:ascii="Symbol" w:hAnsi="Symbol" w:hint="default"/>
      </w:rPr>
    </w:lvl>
    <w:lvl w:ilvl="4" w:tplc="0C090003" w:tentative="1">
      <w:start w:val="1"/>
      <w:numFmt w:val="bullet"/>
      <w:lvlText w:val="o"/>
      <w:lvlJc w:val="left"/>
      <w:pPr>
        <w:ind w:left="4065" w:hanging="360"/>
      </w:pPr>
      <w:rPr>
        <w:rFonts w:ascii="Courier New" w:hAnsi="Courier New" w:cs="Courier New" w:hint="default"/>
      </w:rPr>
    </w:lvl>
    <w:lvl w:ilvl="5" w:tplc="0C090005" w:tentative="1">
      <w:start w:val="1"/>
      <w:numFmt w:val="bullet"/>
      <w:lvlText w:val=""/>
      <w:lvlJc w:val="left"/>
      <w:pPr>
        <w:ind w:left="4785" w:hanging="360"/>
      </w:pPr>
      <w:rPr>
        <w:rFonts w:ascii="Wingdings" w:hAnsi="Wingdings" w:hint="default"/>
      </w:rPr>
    </w:lvl>
    <w:lvl w:ilvl="6" w:tplc="0C090001" w:tentative="1">
      <w:start w:val="1"/>
      <w:numFmt w:val="bullet"/>
      <w:lvlText w:val=""/>
      <w:lvlJc w:val="left"/>
      <w:pPr>
        <w:ind w:left="5505" w:hanging="360"/>
      </w:pPr>
      <w:rPr>
        <w:rFonts w:ascii="Symbol" w:hAnsi="Symbol" w:hint="default"/>
      </w:rPr>
    </w:lvl>
    <w:lvl w:ilvl="7" w:tplc="0C090003" w:tentative="1">
      <w:start w:val="1"/>
      <w:numFmt w:val="bullet"/>
      <w:lvlText w:val="o"/>
      <w:lvlJc w:val="left"/>
      <w:pPr>
        <w:ind w:left="6225" w:hanging="360"/>
      </w:pPr>
      <w:rPr>
        <w:rFonts w:ascii="Courier New" w:hAnsi="Courier New" w:cs="Courier New" w:hint="default"/>
      </w:rPr>
    </w:lvl>
    <w:lvl w:ilvl="8" w:tplc="0C090005" w:tentative="1">
      <w:start w:val="1"/>
      <w:numFmt w:val="bullet"/>
      <w:lvlText w:val=""/>
      <w:lvlJc w:val="left"/>
      <w:pPr>
        <w:ind w:left="6945" w:hanging="360"/>
      </w:pPr>
      <w:rPr>
        <w:rFonts w:ascii="Wingdings" w:hAnsi="Wingdings" w:hint="default"/>
      </w:rPr>
    </w:lvl>
  </w:abstractNum>
  <w:abstractNum w:abstractNumId="22" w15:restartNumberingAfterBreak="0">
    <w:nsid w:val="3C3D40C4"/>
    <w:multiLevelType w:val="hybridMultilevel"/>
    <w:tmpl w:val="BDA29994"/>
    <w:lvl w:ilvl="0" w:tplc="3FBA21F4">
      <w:start w:val="1"/>
      <w:numFmt w:val="decimal"/>
      <w:lvlText w:val="%1."/>
      <w:lvlJc w:val="left"/>
      <w:pPr>
        <w:ind w:left="360" w:hanging="360"/>
      </w:pPr>
      <w:rPr>
        <w:rFonts w:hint="default"/>
        <w:b w:val="0"/>
        <w:bCs/>
        <w:i w:val="0"/>
        <w:iCs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41551A49"/>
    <w:multiLevelType w:val="hybridMultilevel"/>
    <w:tmpl w:val="A0DCAD36"/>
    <w:lvl w:ilvl="0" w:tplc="BDFE7240">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2421D61"/>
    <w:multiLevelType w:val="hybridMultilevel"/>
    <w:tmpl w:val="6E5E72F4"/>
    <w:lvl w:ilvl="0" w:tplc="EE1C5450">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7FB3570"/>
    <w:multiLevelType w:val="hybridMultilevel"/>
    <w:tmpl w:val="288A9B06"/>
    <w:lvl w:ilvl="0" w:tplc="A3F0A11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15:restartNumberingAfterBreak="0">
    <w:nsid w:val="49BB6213"/>
    <w:multiLevelType w:val="hybridMultilevel"/>
    <w:tmpl w:val="9AA2D0D8"/>
    <w:lvl w:ilvl="0" w:tplc="0C09000B">
      <w:start w:val="1"/>
      <w:numFmt w:val="bullet"/>
      <w:lvlText w:val=""/>
      <w:lvlJc w:val="left"/>
      <w:pPr>
        <w:ind w:left="786" w:hanging="360"/>
      </w:pPr>
      <w:rPr>
        <w:rFonts w:ascii="Wingdings" w:hAnsi="Wingdings"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27" w15:restartNumberingAfterBreak="0">
    <w:nsid w:val="4B0A069A"/>
    <w:multiLevelType w:val="hybridMultilevel"/>
    <w:tmpl w:val="DD06B06E"/>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566406D7"/>
    <w:multiLevelType w:val="hybridMultilevel"/>
    <w:tmpl w:val="B3C4DC9A"/>
    <w:lvl w:ilvl="0" w:tplc="A0C66AF4">
      <w:start w:val="4"/>
      <w:numFmt w:val="bullet"/>
      <w:lvlText w:val=""/>
      <w:lvlJc w:val="left"/>
      <w:pPr>
        <w:ind w:left="720" w:hanging="360"/>
      </w:pPr>
      <w:rPr>
        <w:rFonts w:ascii="Symbol" w:eastAsia="Times New Roman"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88820B3"/>
    <w:multiLevelType w:val="hybridMultilevel"/>
    <w:tmpl w:val="46CEC7E4"/>
    <w:lvl w:ilvl="0" w:tplc="653628B0">
      <w:start w:val="1"/>
      <w:numFmt w:val="lowerLetter"/>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30" w15:restartNumberingAfterBreak="0">
    <w:nsid w:val="5AC32C44"/>
    <w:multiLevelType w:val="hybridMultilevel"/>
    <w:tmpl w:val="D9449DA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DF11F0A"/>
    <w:multiLevelType w:val="hybridMultilevel"/>
    <w:tmpl w:val="FB245660"/>
    <w:lvl w:ilvl="0" w:tplc="0C09000B">
      <w:start w:val="1"/>
      <w:numFmt w:val="bullet"/>
      <w:lvlText w:val=""/>
      <w:lvlJc w:val="left"/>
      <w:pPr>
        <w:ind w:left="786" w:hanging="360"/>
      </w:pPr>
      <w:rPr>
        <w:rFonts w:ascii="Wingdings" w:hAnsi="Wingdings" w:hint="default"/>
      </w:rPr>
    </w:lvl>
    <w:lvl w:ilvl="1" w:tplc="0C090003" w:tentative="1">
      <w:start w:val="1"/>
      <w:numFmt w:val="bullet"/>
      <w:lvlText w:val="o"/>
      <w:lvlJc w:val="left"/>
      <w:pPr>
        <w:ind w:left="1506" w:hanging="360"/>
      </w:pPr>
      <w:rPr>
        <w:rFonts w:ascii="Courier New" w:hAnsi="Courier New" w:cs="Courier New" w:hint="default"/>
      </w:rPr>
    </w:lvl>
    <w:lvl w:ilvl="2" w:tplc="0C090005" w:tentative="1">
      <w:start w:val="1"/>
      <w:numFmt w:val="bullet"/>
      <w:lvlText w:val=""/>
      <w:lvlJc w:val="left"/>
      <w:pPr>
        <w:ind w:left="2226" w:hanging="360"/>
      </w:pPr>
      <w:rPr>
        <w:rFonts w:ascii="Wingdings" w:hAnsi="Wingdings" w:hint="default"/>
      </w:rPr>
    </w:lvl>
    <w:lvl w:ilvl="3" w:tplc="0C090001" w:tentative="1">
      <w:start w:val="1"/>
      <w:numFmt w:val="bullet"/>
      <w:lvlText w:val=""/>
      <w:lvlJc w:val="left"/>
      <w:pPr>
        <w:ind w:left="2946" w:hanging="360"/>
      </w:pPr>
      <w:rPr>
        <w:rFonts w:ascii="Symbol" w:hAnsi="Symbol" w:hint="default"/>
      </w:rPr>
    </w:lvl>
    <w:lvl w:ilvl="4" w:tplc="0C090003" w:tentative="1">
      <w:start w:val="1"/>
      <w:numFmt w:val="bullet"/>
      <w:lvlText w:val="o"/>
      <w:lvlJc w:val="left"/>
      <w:pPr>
        <w:ind w:left="3666" w:hanging="360"/>
      </w:pPr>
      <w:rPr>
        <w:rFonts w:ascii="Courier New" w:hAnsi="Courier New" w:cs="Courier New" w:hint="default"/>
      </w:rPr>
    </w:lvl>
    <w:lvl w:ilvl="5" w:tplc="0C090005" w:tentative="1">
      <w:start w:val="1"/>
      <w:numFmt w:val="bullet"/>
      <w:lvlText w:val=""/>
      <w:lvlJc w:val="left"/>
      <w:pPr>
        <w:ind w:left="4386" w:hanging="360"/>
      </w:pPr>
      <w:rPr>
        <w:rFonts w:ascii="Wingdings" w:hAnsi="Wingdings" w:hint="default"/>
      </w:rPr>
    </w:lvl>
    <w:lvl w:ilvl="6" w:tplc="0C090001" w:tentative="1">
      <w:start w:val="1"/>
      <w:numFmt w:val="bullet"/>
      <w:lvlText w:val=""/>
      <w:lvlJc w:val="left"/>
      <w:pPr>
        <w:ind w:left="5106" w:hanging="360"/>
      </w:pPr>
      <w:rPr>
        <w:rFonts w:ascii="Symbol" w:hAnsi="Symbol" w:hint="default"/>
      </w:rPr>
    </w:lvl>
    <w:lvl w:ilvl="7" w:tplc="0C090003" w:tentative="1">
      <w:start w:val="1"/>
      <w:numFmt w:val="bullet"/>
      <w:lvlText w:val="o"/>
      <w:lvlJc w:val="left"/>
      <w:pPr>
        <w:ind w:left="5826" w:hanging="360"/>
      </w:pPr>
      <w:rPr>
        <w:rFonts w:ascii="Courier New" w:hAnsi="Courier New" w:cs="Courier New" w:hint="default"/>
      </w:rPr>
    </w:lvl>
    <w:lvl w:ilvl="8" w:tplc="0C090005" w:tentative="1">
      <w:start w:val="1"/>
      <w:numFmt w:val="bullet"/>
      <w:lvlText w:val=""/>
      <w:lvlJc w:val="left"/>
      <w:pPr>
        <w:ind w:left="6546" w:hanging="360"/>
      </w:pPr>
      <w:rPr>
        <w:rFonts w:ascii="Wingdings" w:hAnsi="Wingdings" w:hint="default"/>
      </w:rPr>
    </w:lvl>
  </w:abstractNum>
  <w:abstractNum w:abstractNumId="32" w15:restartNumberingAfterBreak="0">
    <w:nsid w:val="5ED272D2"/>
    <w:multiLevelType w:val="hybridMultilevel"/>
    <w:tmpl w:val="5400DD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EF8099B"/>
    <w:multiLevelType w:val="hybridMultilevel"/>
    <w:tmpl w:val="769A83AA"/>
    <w:lvl w:ilvl="0" w:tplc="EE1C54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4E6254C"/>
    <w:multiLevelType w:val="hybridMultilevel"/>
    <w:tmpl w:val="B3C0712C"/>
    <w:lvl w:ilvl="0" w:tplc="E766F084">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4FE225B"/>
    <w:multiLevelType w:val="hybridMultilevel"/>
    <w:tmpl w:val="4EA22F3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66C0227F"/>
    <w:multiLevelType w:val="hybridMultilevel"/>
    <w:tmpl w:val="63CCEA0E"/>
    <w:lvl w:ilvl="0" w:tplc="715AF8C0">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7" w15:restartNumberingAfterBreak="0">
    <w:nsid w:val="68CB751A"/>
    <w:multiLevelType w:val="hybridMultilevel"/>
    <w:tmpl w:val="81BA51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9FF38B9"/>
    <w:multiLevelType w:val="hybridMultilevel"/>
    <w:tmpl w:val="984293CE"/>
    <w:lvl w:ilvl="0" w:tplc="5BC4E576">
      <w:start w:val="1"/>
      <w:numFmt w:val="decimal"/>
      <w:lvlText w:val="%1."/>
      <w:lvlJc w:val="left"/>
      <w:pPr>
        <w:ind w:left="720" w:hanging="360"/>
      </w:pPr>
      <w:rPr>
        <w:i w:val="0"/>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15:restartNumberingAfterBreak="0">
    <w:nsid w:val="6C3B740E"/>
    <w:multiLevelType w:val="hybridMultilevel"/>
    <w:tmpl w:val="1E1EDC42"/>
    <w:lvl w:ilvl="0" w:tplc="548E6466">
      <w:start w:val="1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E824C7E"/>
    <w:multiLevelType w:val="hybridMultilevel"/>
    <w:tmpl w:val="A48AEC9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1" w15:restartNumberingAfterBreak="0">
    <w:nsid w:val="71DF5912"/>
    <w:multiLevelType w:val="hybridMultilevel"/>
    <w:tmpl w:val="AD726FA8"/>
    <w:lvl w:ilvl="0" w:tplc="0C09000B">
      <w:start w:val="1"/>
      <w:numFmt w:val="bullet"/>
      <w:lvlText w:val=""/>
      <w:lvlJc w:val="left"/>
      <w:pPr>
        <w:ind w:left="1080" w:hanging="360"/>
      </w:pPr>
      <w:rPr>
        <w:rFonts w:ascii="Wingdings" w:hAnsi="Wingding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72922BDF"/>
    <w:multiLevelType w:val="hybridMultilevel"/>
    <w:tmpl w:val="6E0885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9BF752B"/>
    <w:multiLevelType w:val="hybridMultilevel"/>
    <w:tmpl w:val="A87AC56A"/>
    <w:lvl w:ilvl="0" w:tplc="EE1C545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BE01440"/>
    <w:multiLevelType w:val="hybridMultilevel"/>
    <w:tmpl w:val="34DAE694"/>
    <w:lvl w:ilvl="0" w:tplc="80829436">
      <w:start w:val="1"/>
      <w:numFmt w:val="bullet"/>
      <w:lvlText w:val=""/>
      <w:lvlJc w:val="left"/>
      <w:pPr>
        <w:ind w:left="720" w:hanging="360"/>
      </w:pPr>
      <w:rPr>
        <w:rFonts w:ascii="Symbol" w:hAnsi="Symbol" w:hint="default"/>
      </w:rPr>
    </w:lvl>
    <w:lvl w:ilvl="1" w:tplc="5802965C">
      <w:start w:val="1"/>
      <w:numFmt w:val="bullet"/>
      <w:lvlText w:val="o"/>
      <w:lvlJc w:val="left"/>
      <w:pPr>
        <w:ind w:left="1440" w:hanging="360"/>
      </w:pPr>
      <w:rPr>
        <w:rFonts w:ascii="Courier New" w:hAnsi="Courier New" w:hint="default"/>
      </w:rPr>
    </w:lvl>
    <w:lvl w:ilvl="2" w:tplc="D108BBCA">
      <w:start w:val="1"/>
      <w:numFmt w:val="bullet"/>
      <w:lvlText w:val=""/>
      <w:lvlJc w:val="left"/>
      <w:pPr>
        <w:ind w:left="2160" w:hanging="360"/>
      </w:pPr>
      <w:rPr>
        <w:rFonts w:ascii="Wingdings" w:hAnsi="Wingdings" w:hint="default"/>
      </w:rPr>
    </w:lvl>
    <w:lvl w:ilvl="3" w:tplc="A6A69D5C">
      <w:start w:val="1"/>
      <w:numFmt w:val="bullet"/>
      <w:lvlText w:val=""/>
      <w:lvlJc w:val="left"/>
      <w:pPr>
        <w:ind w:left="2880" w:hanging="360"/>
      </w:pPr>
      <w:rPr>
        <w:rFonts w:ascii="Symbol" w:hAnsi="Symbol" w:hint="default"/>
      </w:rPr>
    </w:lvl>
    <w:lvl w:ilvl="4" w:tplc="472CF4F4">
      <w:start w:val="1"/>
      <w:numFmt w:val="bullet"/>
      <w:lvlText w:val="o"/>
      <w:lvlJc w:val="left"/>
      <w:pPr>
        <w:ind w:left="3600" w:hanging="360"/>
      </w:pPr>
      <w:rPr>
        <w:rFonts w:ascii="Courier New" w:hAnsi="Courier New" w:hint="default"/>
      </w:rPr>
    </w:lvl>
    <w:lvl w:ilvl="5" w:tplc="FDA09268">
      <w:start w:val="1"/>
      <w:numFmt w:val="bullet"/>
      <w:lvlText w:val=""/>
      <w:lvlJc w:val="left"/>
      <w:pPr>
        <w:ind w:left="4320" w:hanging="360"/>
      </w:pPr>
      <w:rPr>
        <w:rFonts w:ascii="Wingdings" w:hAnsi="Wingdings" w:hint="default"/>
      </w:rPr>
    </w:lvl>
    <w:lvl w:ilvl="6" w:tplc="3B72DA5A">
      <w:start w:val="1"/>
      <w:numFmt w:val="bullet"/>
      <w:lvlText w:val=""/>
      <w:lvlJc w:val="left"/>
      <w:pPr>
        <w:ind w:left="5040" w:hanging="360"/>
      </w:pPr>
      <w:rPr>
        <w:rFonts w:ascii="Symbol" w:hAnsi="Symbol" w:hint="default"/>
      </w:rPr>
    </w:lvl>
    <w:lvl w:ilvl="7" w:tplc="549C5780">
      <w:start w:val="1"/>
      <w:numFmt w:val="bullet"/>
      <w:lvlText w:val="o"/>
      <w:lvlJc w:val="left"/>
      <w:pPr>
        <w:ind w:left="5760" w:hanging="360"/>
      </w:pPr>
      <w:rPr>
        <w:rFonts w:ascii="Courier New" w:hAnsi="Courier New" w:hint="default"/>
      </w:rPr>
    </w:lvl>
    <w:lvl w:ilvl="8" w:tplc="505060BE">
      <w:start w:val="1"/>
      <w:numFmt w:val="bullet"/>
      <w:lvlText w:val=""/>
      <w:lvlJc w:val="left"/>
      <w:pPr>
        <w:ind w:left="6480" w:hanging="360"/>
      </w:pPr>
      <w:rPr>
        <w:rFonts w:ascii="Wingdings" w:hAnsi="Wingdings" w:hint="default"/>
      </w:rPr>
    </w:lvl>
  </w:abstractNum>
  <w:num w:numId="1">
    <w:abstractNumId w:val="15"/>
  </w:num>
  <w:num w:numId="2">
    <w:abstractNumId w:val="18"/>
  </w:num>
  <w:num w:numId="3">
    <w:abstractNumId w:val="39"/>
  </w:num>
  <w:num w:numId="4">
    <w:abstractNumId w:val="16"/>
  </w:num>
  <w:num w:numId="5">
    <w:abstractNumId w:val="28"/>
  </w:num>
  <w:num w:numId="6">
    <w:abstractNumId w:val="35"/>
  </w:num>
  <w:num w:numId="7">
    <w:abstractNumId w:val="4"/>
  </w:num>
  <w:num w:numId="8">
    <w:abstractNumId w:val="19"/>
  </w:num>
  <w:num w:numId="9">
    <w:abstractNumId w:val="11"/>
  </w:num>
  <w:num w:numId="10">
    <w:abstractNumId w:val="30"/>
  </w:num>
  <w:num w:numId="11">
    <w:abstractNumId w:val="17"/>
  </w:num>
  <w:num w:numId="12">
    <w:abstractNumId w:val="38"/>
  </w:num>
  <w:num w:numId="13">
    <w:abstractNumId w:val="37"/>
  </w:num>
  <w:num w:numId="14">
    <w:abstractNumId w:val="32"/>
  </w:num>
  <w:num w:numId="15">
    <w:abstractNumId w:val="13"/>
  </w:num>
  <w:num w:numId="16">
    <w:abstractNumId w:val="21"/>
  </w:num>
  <w:num w:numId="17">
    <w:abstractNumId w:val="41"/>
  </w:num>
  <w:num w:numId="18">
    <w:abstractNumId w:val="6"/>
  </w:num>
  <w:num w:numId="19">
    <w:abstractNumId w:val="31"/>
  </w:num>
  <w:num w:numId="20">
    <w:abstractNumId w:val="26"/>
  </w:num>
  <w:num w:numId="21">
    <w:abstractNumId w:val="9"/>
  </w:num>
  <w:num w:numId="22">
    <w:abstractNumId w:val="12"/>
  </w:num>
  <w:num w:numId="23">
    <w:abstractNumId w:val="10"/>
  </w:num>
  <w:num w:numId="24">
    <w:abstractNumId w:val="27"/>
  </w:num>
  <w:num w:numId="25">
    <w:abstractNumId w:val="8"/>
  </w:num>
  <w:num w:numId="26">
    <w:abstractNumId w:val="36"/>
  </w:num>
  <w:num w:numId="27">
    <w:abstractNumId w:val="29"/>
  </w:num>
  <w:num w:numId="28">
    <w:abstractNumId w:val="20"/>
  </w:num>
  <w:num w:numId="29">
    <w:abstractNumId w:val="5"/>
  </w:num>
  <w:num w:numId="30">
    <w:abstractNumId w:val="40"/>
  </w:num>
  <w:num w:numId="31">
    <w:abstractNumId w:val="2"/>
  </w:num>
  <w:num w:numId="32">
    <w:abstractNumId w:val="42"/>
  </w:num>
  <w:num w:numId="33">
    <w:abstractNumId w:val="44"/>
  </w:num>
  <w:num w:numId="34">
    <w:abstractNumId w:val="7"/>
  </w:num>
  <w:num w:numId="35">
    <w:abstractNumId w:val="3"/>
  </w:num>
  <w:num w:numId="36">
    <w:abstractNumId w:val="24"/>
  </w:num>
  <w:num w:numId="37">
    <w:abstractNumId w:val="43"/>
  </w:num>
  <w:num w:numId="38">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num>
  <w:num w:numId="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5"/>
  </w:num>
  <w:num w:numId="43">
    <w:abstractNumId w:val="15"/>
  </w:num>
  <w:num w:numId="44">
    <w:abstractNumId w:val="14"/>
  </w:num>
  <w:num w:numId="45">
    <w:abstractNumId w:val="0"/>
  </w:num>
  <w:num w:numId="46">
    <w:abstractNumId w:val="23"/>
  </w:num>
  <w:num w:numId="47">
    <w:abstractNumId w:val="34"/>
  </w:num>
  <w:num w:numId="48">
    <w:abstractNumId w:val="1"/>
  </w:num>
  <w:num w:numId="4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2205"/>
    <w:rsid w:val="0000062D"/>
    <w:rsid w:val="000011DF"/>
    <w:rsid w:val="00001C9B"/>
    <w:rsid w:val="00002733"/>
    <w:rsid w:val="000031BD"/>
    <w:rsid w:val="0000330C"/>
    <w:rsid w:val="00004832"/>
    <w:rsid w:val="00004C0E"/>
    <w:rsid w:val="000056AA"/>
    <w:rsid w:val="0001032A"/>
    <w:rsid w:val="00010DB7"/>
    <w:rsid w:val="000113B9"/>
    <w:rsid w:val="00013298"/>
    <w:rsid w:val="00013590"/>
    <w:rsid w:val="0001494E"/>
    <w:rsid w:val="000151C5"/>
    <w:rsid w:val="0001601D"/>
    <w:rsid w:val="00016BAE"/>
    <w:rsid w:val="0002053B"/>
    <w:rsid w:val="00020738"/>
    <w:rsid w:val="00020DB3"/>
    <w:rsid w:val="0002166F"/>
    <w:rsid w:val="00021715"/>
    <w:rsid w:val="00022A7A"/>
    <w:rsid w:val="00022C15"/>
    <w:rsid w:val="00024767"/>
    <w:rsid w:val="00030E74"/>
    <w:rsid w:val="00031C46"/>
    <w:rsid w:val="000320F8"/>
    <w:rsid w:val="000326F8"/>
    <w:rsid w:val="000332BE"/>
    <w:rsid w:val="0003337F"/>
    <w:rsid w:val="00033BBD"/>
    <w:rsid w:val="00035046"/>
    <w:rsid w:val="00035684"/>
    <w:rsid w:val="00035872"/>
    <w:rsid w:val="000366BB"/>
    <w:rsid w:val="00037B67"/>
    <w:rsid w:val="000404E2"/>
    <w:rsid w:val="00040B8F"/>
    <w:rsid w:val="00040E97"/>
    <w:rsid w:val="000414F6"/>
    <w:rsid w:val="00042078"/>
    <w:rsid w:val="00043663"/>
    <w:rsid w:val="00043805"/>
    <w:rsid w:val="000459E8"/>
    <w:rsid w:val="00047C9D"/>
    <w:rsid w:val="000504AE"/>
    <w:rsid w:val="00054F31"/>
    <w:rsid w:val="00056030"/>
    <w:rsid w:val="00057321"/>
    <w:rsid w:val="00057A05"/>
    <w:rsid w:val="00060309"/>
    <w:rsid w:val="000604AA"/>
    <w:rsid w:val="00062D76"/>
    <w:rsid w:val="0006628A"/>
    <w:rsid w:val="00066634"/>
    <w:rsid w:val="00066930"/>
    <w:rsid w:val="00066C85"/>
    <w:rsid w:val="0006765E"/>
    <w:rsid w:val="00067DA2"/>
    <w:rsid w:val="000704F5"/>
    <w:rsid w:val="000707E7"/>
    <w:rsid w:val="00070AB7"/>
    <w:rsid w:val="00070DBC"/>
    <w:rsid w:val="00071517"/>
    <w:rsid w:val="000725ED"/>
    <w:rsid w:val="00073012"/>
    <w:rsid w:val="00073AA3"/>
    <w:rsid w:val="00073C18"/>
    <w:rsid w:val="00073F37"/>
    <w:rsid w:val="000752BA"/>
    <w:rsid w:val="000758B7"/>
    <w:rsid w:val="00076B04"/>
    <w:rsid w:val="00076C97"/>
    <w:rsid w:val="000778D1"/>
    <w:rsid w:val="00077E7F"/>
    <w:rsid w:val="0008027D"/>
    <w:rsid w:val="00080A5B"/>
    <w:rsid w:val="0008199E"/>
    <w:rsid w:val="00082656"/>
    <w:rsid w:val="00084D99"/>
    <w:rsid w:val="00085895"/>
    <w:rsid w:val="00086130"/>
    <w:rsid w:val="0008692B"/>
    <w:rsid w:val="00087A95"/>
    <w:rsid w:val="00090BDF"/>
    <w:rsid w:val="0009133C"/>
    <w:rsid w:val="00091444"/>
    <w:rsid w:val="000921AA"/>
    <w:rsid w:val="000930DA"/>
    <w:rsid w:val="000953A1"/>
    <w:rsid w:val="00095456"/>
    <w:rsid w:val="00095A93"/>
    <w:rsid w:val="00096CF5"/>
    <w:rsid w:val="0009713B"/>
    <w:rsid w:val="00097360"/>
    <w:rsid w:val="000A098B"/>
    <w:rsid w:val="000A2DC0"/>
    <w:rsid w:val="000A5B35"/>
    <w:rsid w:val="000B079F"/>
    <w:rsid w:val="000B3AD6"/>
    <w:rsid w:val="000B3CC5"/>
    <w:rsid w:val="000B3DFD"/>
    <w:rsid w:val="000B4367"/>
    <w:rsid w:val="000B477E"/>
    <w:rsid w:val="000B4C0E"/>
    <w:rsid w:val="000B5016"/>
    <w:rsid w:val="000B62B4"/>
    <w:rsid w:val="000B6CA1"/>
    <w:rsid w:val="000B6E56"/>
    <w:rsid w:val="000C025D"/>
    <w:rsid w:val="000C0DF7"/>
    <w:rsid w:val="000C249D"/>
    <w:rsid w:val="000C394A"/>
    <w:rsid w:val="000C464B"/>
    <w:rsid w:val="000C5A05"/>
    <w:rsid w:val="000C5B1C"/>
    <w:rsid w:val="000D0CBF"/>
    <w:rsid w:val="000D16D5"/>
    <w:rsid w:val="000D2034"/>
    <w:rsid w:val="000D26CA"/>
    <w:rsid w:val="000D2DD3"/>
    <w:rsid w:val="000D4CC8"/>
    <w:rsid w:val="000D685D"/>
    <w:rsid w:val="000E177B"/>
    <w:rsid w:val="000E1C81"/>
    <w:rsid w:val="000E2E1A"/>
    <w:rsid w:val="000E38A5"/>
    <w:rsid w:val="000E38FD"/>
    <w:rsid w:val="000E3F1B"/>
    <w:rsid w:val="000E4064"/>
    <w:rsid w:val="000E465F"/>
    <w:rsid w:val="000E6105"/>
    <w:rsid w:val="000E694D"/>
    <w:rsid w:val="000F076A"/>
    <w:rsid w:val="000F20EA"/>
    <w:rsid w:val="000F292C"/>
    <w:rsid w:val="000F551C"/>
    <w:rsid w:val="000F6B9D"/>
    <w:rsid w:val="001007F8"/>
    <w:rsid w:val="00100808"/>
    <w:rsid w:val="00100A3E"/>
    <w:rsid w:val="0010351B"/>
    <w:rsid w:val="00104FC4"/>
    <w:rsid w:val="001056DB"/>
    <w:rsid w:val="00106475"/>
    <w:rsid w:val="00106755"/>
    <w:rsid w:val="0011077E"/>
    <w:rsid w:val="0011190C"/>
    <w:rsid w:val="00112166"/>
    <w:rsid w:val="001121E5"/>
    <w:rsid w:val="001149E4"/>
    <w:rsid w:val="001166F2"/>
    <w:rsid w:val="00120DDD"/>
    <w:rsid w:val="00121BCA"/>
    <w:rsid w:val="00122D36"/>
    <w:rsid w:val="00123B0E"/>
    <w:rsid w:val="001240FB"/>
    <w:rsid w:val="00126331"/>
    <w:rsid w:val="00127137"/>
    <w:rsid w:val="001272AE"/>
    <w:rsid w:val="00127536"/>
    <w:rsid w:val="00130968"/>
    <w:rsid w:val="0013107F"/>
    <w:rsid w:val="001327F2"/>
    <w:rsid w:val="00132E5E"/>
    <w:rsid w:val="00132F76"/>
    <w:rsid w:val="00134553"/>
    <w:rsid w:val="00134906"/>
    <w:rsid w:val="00134BB7"/>
    <w:rsid w:val="00137D28"/>
    <w:rsid w:val="0014037B"/>
    <w:rsid w:val="001404F1"/>
    <w:rsid w:val="001406CB"/>
    <w:rsid w:val="001409D9"/>
    <w:rsid w:val="00141227"/>
    <w:rsid w:val="00141C3B"/>
    <w:rsid w:val="00141C9F"/>
    <w:rsid w:val="0014274A"/>
    <w:rsid w:val="001435B2"/>
    <w:rsid w:val="001435EB"/>
    <w:rsid w:val="00143874"/>
    <w:rsid w:val="001442A3"/>
    <w:rsid w:val="00144675"/>
    <w:rsid w:val="00146DB1"/>
    <w:rsid w:val="00147422"/>
    <w:rsid w:val="00147567"/>
    <w:rsid w:val="00147F7B"/>
    <w:rsid w:val="001501BB"/>
    <w:rsid w:val="00150E68"/>
    <w:rsid w:val="00150F4D"/>
    <w:rsid w:val="00151B20"/>
    <w:rsid w:val="00152B1E"/>
    <w:rsid w:val="0015368E"/>
    <w:rsid w:val="00153C85"/>
    <w:rsid w:val="001541B7"/>
    <w:rsid w:val="00154460"/>
    <w:rsid w:val="00154764"/>
    <w:rsid w:val="001549DD"/>
    <w:rsid w:val="001553DD"/>
    <w:rsid w:val="00155E66"/>
    <w:rsid w:val="001571CD"/>
    <w:rsid w:val="001574C0"/>
    <w:rsid w:val="0016092F"/>
    <w:rsid w:val="00165884"/>
    <w:rsid w:val="00165B1B"/>
    <w:rsid w:val="00166927"/>
    <w:rsid w:val="00166ABF"/>
    <w:rsid w:val="00170731"/>
    <w:rsid w:val="00171253"/>
    <w:rsid w:val="001721B4"/>
    <w:rsid w:val="00172317"/>
    <w:rsid w:val="001724C3"/>
    <w:rsid w:val="00172930"/>
    <w:rsid w:val="00173CB6"/>
    <w:rsid w:val="00175076"/>
    <w:rsid w:val="00175292"/>
    <w:rsid w:val="00176837"/>
    <w:rsid w:val="001800DD"/>
    <w:rsid w:val="00180369"/>
    <w:rsid w:val="00181BCD"/>
    <w:rsid w:val="001827BA"/>
    <w:rsid w:val="00182B6E"/>
    <w:rsid w:val="0018430B"/>
    <w:rsid w:val="00184C05"/>
    <w:rsid w:val="001866E5"/>
    <w:rsid w:val="00190182"/>
    <w:rsid w:val="00190471"/>
    <w:rsid w:val="00190810"/>
    <w:rsid w:val="00190FE9"/>
    <w:rsid w:val="001910E3"/>
    <w:rsid w:val="00191286"/>
    <w:rsid w:val="001924A1"/>
    <w:rsid w:val="0019548E"/>
    <w:rsid w:val="00195E5C"/>
    <w:rsid w:val="00196170"/>
    <w:rsid w:val="00196342"/>
    <w:rsid w:val="0019767D"/>
    <w:rsid w:val="001976DE"/>
    <w:rsid w:val="0019776B"/>
    <w:rsid w:val="001A0560"/>
    <w:rsid w:val="001A071F"/>
    <w:rsid w:val="001A07A2"/>
    <w:rsid w:val="001A1D39"/>
    <w:rsid w:val="001A2101"/>
    <w:rsid w:val="001A225B"/>
    <w:rsid w:val="001A2BEB"/>
    <w:rsid w:val="001A3045"/>
    <w:rsid w:val="001A3A5B"/>
    <w:rsid w:val="001A5AE2"/>
    <w:rsid w:val="001A6456"/>
    <w:rsid w:val="001A6536"/>
    <w:rsid w:val="001A6DB1"/>
    <w:rsid w:val="001B0094"/>
    <w:rsid w:val="001B04EC"/>
    <w:rsid w:val="001B08B3"/>
    <w:rsid w:val="001B0F6D"/>
    <w:rsid w:val="001B2F79"/>
    <w:rsid w:val="001B3D0C"/>
    <w:rsid w:val="001B4762"/>
    <w:rsid w:val="001B5889"/>
    <w:rsid w:val="001C0468"/>
    <w:rsid w:val="001C058A"/>
    <w:rsid w:val="001C3E36"/>
    <w:rsid w:val="001C51EE"/>
    <w:rsid w:val="001C5602"/>
    <w:rsid w:val="001C5CB0"/>
    <w:rsid w:val="001C6768"/>
    <w:rsid w:val="001D0ADD"/>
    <w:rsid w:val="001D1572"/>
    <w:rsid w:val="001D5175"/>
    <w:rsid w:val="001D54CB"/>
    <w:rsid w:val="001D65F1"/>
    <w:rsid w:val="001D6B01"/>
    <w:rsid w:val="001D6F9E"/>
    <w:rsid w:val="001D709E"/>
    <w:rsid w:val="001E060F"/>
    <w:rsid w:val="001E0C54"/>
    <w:rsid w:val="001E0F77"/>
    <w:rsid w:val="001E10F5"/>
    <w:rsid w:val="001E2426"/>
    <w:rsid w:val="001E3A0B"/>
    <w:rsid w:val="001E4EBF"/>
    <w:rsid w:val="001E4FEA"/>
    <w:rsid w:val="001E5AE6"/>
    <w:rsid w:val="001E5F17"/>
    <w:rsid w:val="001E68DB"/>
    <w:rsid w:val="001E6F89"/>
    <w:rsid w:val="001F2966"/>
    <w:rsid w:val="001F3AE2"/>
    <w:rsid w:val="001F5820"/>
    <w:rsid w:val="001F6422"/>
    <w:rsid w:val="001F653F"/>
    <w:rsid w:val="001F7309"/>
    <w:rsid w:val="001F75BA"/>
    <w:rsid w:val="0020026C"/>
    <w:rsid w:val="00200289"/>
    <w:rsid w:val="00200E98"/>
    <w:rsid w:val="00203077"/>
    <w:rsid w:val="00203822"/>
    <w:rsid w:val="0020489D"/>
    <w:rsid w:val="002072B9"/>
    <w:rsid w:val="0021265A"/>
    <w:rsid w:val="00213177"/>
    <w:rsid w:val="002142FC"/>
    <w:rsid w:val="00214543"/>
    <w:rsid w:val="00215B1D"/>
    <w:rsid w:val="00215E80"/>
    <w:rsid w:val="0021645C"/>
    <w:rsid w:val="00217672"/>
    <w:rsid w:val="0022050C"/>
    <w:rsid w:val="0022060B"/>
    <w:rsid w:val="0022205D"/>
    <w:rsid w:val="0022263D"/>
    <w:rsid w:val="0022310B"/>
    <w:rsid w:val="00223ABC"/>
    <w:rsid w:val="00223D23"/>
    <w:rsid w:val="002243DB"/>
    <w:rsid w:val="0022513B"/>
    <w:rsid w:val="00226EB5"/>
    <w:rsid w:val="0022746C"/>
    <w:rsid w:val="002274F7"/>
    <w:rsid w:val="00227639"/>
    <w:rsid w:val="0023059F"/>
    <w:rsid w:val="00230E6B"/>
    <w:rsid w:val="00231023"/>
    <w:rsid w:val="00231414"/>
    <w:rsid w:val="0023175B"/>
    <w:rsid w:val="002319A2"/>
    <w:rsid w:val="00232E79"/>
    <w:rsid w:val="002331B9"/>
    <w:rsid w:val="002336A8"/>
    <w:rsid w:val="0023426D"/>
    <w:rsid w:val="00234F1A"/>
    <w:rsid w:val="0023684B"/>
    <w:rsid w:val="00242098"/>
    <w:rsid w:val="00242867"/>
    <w:rsid w:val="002429F2"/>
    <w:rsid w:val="00242A87"/>
    <w:rsid w:val="00242AF8"/>
    <w:rsid w:val="00243017"/>
    <w:rsid w:val="00243886"/>
    <w:rsid w:val="00243902"/>
    <w:rsid w:val="002446A0"/>
    <w:rsid w:val="00244750"/>
    <w:rsid w:val="00246FC6"/>
    <w:rsid w:val="00247289"/>
    <w:rsid w:val="002500EA"/>
    <w:rsid w:val="00251209"/>
    <w:rsid w:val="00251E84"/>
    <w:rsid w:val="0025693F"/>
    <w:rsid w:val="00257B4A"/>
    <w:rsid w:val="002610AC"/>
    <w:rsid w:val="00261ACB"/>
    <w:rsid w:val="00262DA1"/>
    <w:rsid w:val="002658C4"/>
    <w:rsid w:val="00265D03"/>
    <w:rsid w:val="00266E11"/>
    <w:rsid w:val="0026798F"/>
    <w:rsid w:val="00272044"/>
    <w:rsid w:val="002726DA"/>
    <w:rsid w:val="0027289F"/>
    <w:rsid w:val="00272BB3"/>
    <w:rsid w:val="00272C86"/>
    <w:rsid w:val="00272F7C"/>
    <w:rsid w:val="00273389"/>
    <w:rsid w:val="002758AA"/>
    <w:rsid w:val="00275D5C"/>
    <w:rsid w:val="00275EA3"/>
    <w:rsid w:val="00277B70"/>
    <w:rsid w:val="002824BA"/>
    <w:rsid w:val="00282601"/>
    <w:rsid w:val="002834C5"/>
    <w:rsid w:val="00284FC6"/>
    <w:rsid w:val="002850F6"/>
    <w:rsid w:val="00287CD3"/>
    <w:rsid w:val="002902E3"/>
    <w:rsid w:val="00292F90"/>
    <w:rsid w:val="00293ED5"/>
    <w:rsid w:val="002943F0"/>
    <w:rsid w:val="00294CAC"/>
    <w:rsid w:val="00295342"/>
    <w:rsid w:val="00295E95"/>
    <w:rsid w:val="00296920"/>
    <w:rsid w:val="00296B6A"/>
    <w:rsid w:val="002A05E5"/>
    <w:rsid w:val="002A0F34"/>
    <w:rsid w:val="002A11F1"/>
    <w:rsid w:val="002A1C89"/>
    <w:rsid w:val="002A440D"/>
    <w:rsid w:val="002A48A4"/>
    <w:rsid w:val="002A4FC1"/>
    <w:rsid w:val="002A561C"/>
    <w:rsid w:val="002A570C"/>
    <w:rsid w:val="002A5E43"/>
    <w:rsid w:val="002A6057"/>
    <w:rsid w:val="002A6445"/>
    <w:rsid w:val="002A684C"/>
    <w:rsid w:val="002A6F5D"/>
    <w:rsid w:val="002A72F4"/>
    <w:rsid w:val="002B0AF1"/>
    <w:rsid w:val="002B1433"/>
    <w:rsid w:val="002B2261"/>
    <w:rsid w:val="002B2E72"/>
    <w:rsid w:val="002B4C08"/>
    <w:rsid w:val="002B601F"/>
    <w:rsid w:val="002C0467"/>
    <w:rsid w:val="002C0AD6"/>
    <w:rsid w:val="002C29CA"/>
    <w:rsid w:val="002C3819"/>
    <w:rsid w:val="002C4A05"/>
    <w:rsid w:val="002D1ECD"/>
    <w:rsid w:val="002D2450"/>
    <w:rsid w:val="002D26F6"/>
    <w:rsid w:val="002D2A83"/>
    <w:rsid w:val="002D31F6"/>
    <w:rsid w:val="002D3692"/>
    <w:rsid w:val="002D4617"/>
    <w:rsid w:val="002D5B6D"/>
    <w:rsid w:val="002D5CC3"/>
    <w:rsid w:val="002D5DDA"/>
    <w:rsid w:val="002D6AF2"/>
    <w:rsid w:val="002D73A4"/>
    <w:rsid w:val="002D7C47"/>
    <w:rsid w:val="002E121C"/>
    <w:rsid w:val="002E25B4"/>
    <w:rsid w:val="002E2F22"/>
    <w:rsid w:val="002E33B8"/>
    <w:rsid w:val="002E34D6"/>
    <w:rsid w:val="002E36FF"/>
    <w:rsid w:val="002E3720"/>
    <w:rsid w:val="002E37E3"/>
    <w:rsid w:val="002E48F2"/>
    <w:rsid w:val="002E5406"/>
    <w:rsid w:val="002E65C8"/>
    <w:rsid w:val="002E672D"/>
    <w:rsid w:val="002E6AD4"/>
    <w:rsid w:val="002F0213"/>
    <w:rsid w:val="002F05F5"/>
    <w:rsid w:val="002F29E6"/>
    <w:rsid w:val="002F3529"/>
    <w:rsid w:val="002F421C"/>
    <w:rsid w:val="002F47DD"/>
    <w:rsid w:val="002F488C"/>
    <w:rsid w:val="00301A6A"/>
    <w:rsid w:val="00303035"/>
    <w:rsid w:val="00303068"/>
    <w:rsid w:val="00305E5C"/>
    <w:rsid w:val="00307147"/>
    <w:rsid w:val="003072BF"/>
    <w:rsid w:val="00307753"/>
    <w:rsid w:val="00307777"/>
    <w:rsid w:val="00307A8D"/>
    <w:rsid w:val="00307E75"/>
    <w:rsid w:val="003112FB"/>
    <w:rsid w:val="00311A3B"/>
    <w:rsid w:val="00311DD3"/>
    <w:rsid w:val="00315D4A"/>
    <w:rsid w:val="003166FA"/>
    <w:rsid w:val="003176B4"/>
    <w:rsid w:val="00322C68"/>
    <w:rsid w:val="00324FC7"/>
    <w:rsid w:val="003258E5"/>
    <w:rsid w:val="00325A33"/>
    <w:rsid w:val="00325BEA"/>
    <w:rsid w:val="00326635"/>
    <w:rsid w:val="003307B2"/>
    <w:rsid w:val="0033128A"/>
    <w:rsid w:val="003317C1"/>
    <w:rsid w:val="00331FBA"/>
    <w:rsid w:val="003325A7"/>
    <w:rsid w:val="00332C03"/>
    <w:rsid w:val="00332F4B"/>
    <w:rsid w:val="003361F6"/>
    <w:rsid w:val="003364FE"/>
    <w:rsid w:val="003371D3"/>
    <w:rsid w:val="003403C2"/>
    <w:rsid w:val="003403CB"/>
    <w:rsid w:val="00341DC6"/>
    <w:rsid w:val="00342A2D"/>
    <w:rsid w:val="00342B4C"/>
    <w:rsid w:val="00342EFE"/>
    <w:rsid w:val="00344005"/>
    <w:rsid w:val="003455E9"/>
    <w:rsid w:val="00346381"/>
    <w:rsid w:val="003463AD"/>
    <w:rsid w:val="00347491"/>
    <w:rsid w:val="00347A10"/>
    <w:rsid w:val="00351373"/>
    <w:rsid w:val="003519AD"/>
    <w:rsid w:val="00351ED3"/>
    <w:rsid w:val="0035471C"/>
    <w:rsid w:val="00354DBA"/>
    <w:rsid w:val="00356303"/>
    <w:rsid w:val="00360166"/>
    <w:rsid w:val="00360299"/>
    <w:rsid w:val="0036049C"/>
    <w:rsid w:val="003615DE"/>
    <w:rsid w:val="003635F0"/>
    <w:rsid w:val="00363674"/>
    <w:rsid w:val="003636D8"/>
    <w:rsid w:val="00363DED"/>
    <w:rsid w:val="003656F8"/>
    <w:rsid w:val="0036613B"/>
    <w:rsid w:val="003666B0"/>
    <w:rsid w:val="0036783C"/>
    <w:rsid w:val="00367BD6"/>
    <w:rsid w:val="00371E2C"/>
    <w:rsid w:val="00373B26"/>
    <w:rsid w:val="0037459E"/>
    <w:rsid w:val="00374AE0"/>
    <w:rsid w:val="003750E9"/>
    <w:rsid w:val="0037594C"/>
    <w:rsid w:val="00376409"/>
    <w:rsid w:val="003766B3"/>
    <w:rsid w:val="003776E2"/>
    <w:rsid w:val="003814C3"/>
    <w:rsid w:val="0038239C"/>
    <w:rsid w:val="00383BD4"/>
    <w:rsid w:val="00383CB3"/>
    <w:rsid w:val="0038463D"/>
    <w:rsid w:val="00384A1E"/>
    <w:rsid w:val="003856A6"/>
    <w:rsid w:val="00387622"/>
    <w:rsid w:val="00391EA4"/>
    <w:rsid w:val="00392C15"/>
    <w:rsid w:val="003A1F66"/>
    <w:rsid w:val="003A3D42"/>
    <w:rsid w:val="003A4E4A"/>
    <w:rsid w:val="003A6060"/>
    <w:rsid w:val="003A6F44"/>
    <w:rsid w:val="003A7117"/>
    <w:rsid w:val="003B05AE"/>
    <w:rsid w:val="003B0638"/>
    <w:rsid w:val="003B4075"/>
    <w:rsid w:val="003B6219"/>
    <w:rsid w:val="003B62BF"/>
    <w:rsid w:val="003B6D5E"/>
    <w:rsid w:val="003B73BA"/>
    <w:rsid w:val="003C11A2"/>
    <w:rsid w:val="003C24CA"/>
    <w:rsid w:val="003C2AF2"/>
    <w:rsid w:val="003C2C59"/>
    <w:rsid w:val="003C4791"/>
    <w:rsid w:val="003C59D8"/>
    <w:rsid w:val="003C5B45"/>
    <w:rsid w:val="003C6E9B"/>
    <w:rsid w:val="003C7795"/>
    <w:rsid w:val="003D0950"/>
    <w:rsid w:val="003D0D65"/>
    <w:rsid w:val="003D0E01"/>
    <w:rsid w:val="003D115D"/>
    <w:rsid w:val="003D1333"/>
    <w:rsid w:val="003D32AF"/>
    <w:rsid w:val="003D49D8"/>
    <w:rsid w:val="003D5279"/>
    <w:rsid w:val="003D5CDB"/>
    <w:rsid w:val="003D601B"/>
    <w:rsid w:val="003D6FC4"/>
    <w:rsid w:val="003E0102"/>
    <w:rsid w:val="003E0D25"/>
    <w:rsid w:val="003E1906"/>
    <w:rsid w:val="003E2642"/>
    <w:rsid w:val="003E3407"/>
    <w:rsid w:val="003E38B4"/>
    <w:rsid w:val="003E53C8"/>
    <w:rsid w:val="003E5916"/>
    <w:rsid w:val="003E5E3C"/>
    <w:rsid w:val="003F0F65"/>
    <w:rsid w:val="003F139D"/>
    <w:rsid w:val="003F54F4"/>
    <w:rsid w:val="003F5831"/>
    <w:rsid w:val="003F722F"/>
    <w:rsid w:val="003F7472"/>
    <w:rsid w:val="003F764F"/>
    <w:rsid w:val="003F7729"/>
    <w:rsid w:val="004005BE"/>
    <w:rsid w:val="00401D08"/>
    <w:rsid w:val="00401DFC"/>
    <w:rsid w:val="004024D4"/>
    <w:rsid w:val="0040327A"/>
    <w:rsid w:val="00403FDB"/>
    <w:rsid w:val="004043FD"/>
    <w:rsid w:val="004073EB"/>
    <w:rsid w:val="004117CE"/>
    <w:rsid w:val="00413C4C"/>
    <w:rsid w:val="00413D54"/>
    <w:rsid w:val="00415340"/>
    <w:rsid w:val="00415DA2"/>
    <w:rsid w:val="0041614D"/>
    <w:rsid w:val="00416C58"/>
    <w:rsid w:val="004174AF"/>
    <w:rsid w:val="00417ACF"/>
    <w:rsid w:val="004203A1"/>
    <w:rsid w:val="00420DA2"/>
    <w:rsid w:val="00420EF5"/>
    <w:rsid w:val="00421443"/>
    <w:rsid w:val="00421A37"/>
    <w:rsid w:val="00425AEB"/>
    <w:rsid w:val="00426521"/>
    <w:rsid w:val="0043031E"/>
    <w:rsid w:val="00430512"/>
    <w:rsid w:val="00432765"/>
    <w:rsid w:val="00432D6B"/>
    <w:rsid w:val="00433D32"/>
    <w:rsid w:val="004362F8"/>
    <w:rsid w:val="00436392"/>
    <w:rsid w:val="00436A7A"/>
    <w:rsid w:val="00436C11"/>
    <w:rsid w:val="00437298"/>
    <w:rsid w:val="004375D0"/>
    <w:rsid w:val="00437DF6"/>
    <w:rsid w:val="00441A4B"/>
    <w:rsid w:val="004428FE"/>
    <w:rsid w:val="004438E0"/>
    <w:rsid w:val="00446841"/>
    <w:rsid w:val="0045011F"/>
    <w:rsid w:val="0045107E"/>
    <w:rsid w:val="00456020"/>
    <w:rsid w:val="00457AB6"/>
    <w:rsid w:val="0046117B"/>
    <w:rsid w:val="0046134D"/>
    <w:rsid w:val="00463918"/>
    <w:rsid w:val="00463D56"/>
    <w:rsid w:val="00464A78"/>
    <w:rsid w:val="00465185"/>
    <w:rsid w:val="00467140"/>
    <w:rsid w:val="00467496"/>
    <w:rsid w:val="00467BF6"/>
    <w:rsid w:val="00472662"/>
    <w:rsid w:val="0047328F"/>
    <w:rsid w:val="00473860"/>
    <w:rsid w:val="00473A9D"/>
    <w:rsid w:val="00476CDD"/>
    <w:rsid w:val="00477A8B"/>
    <w:rsid w:val="004813D3"/>
    <w:rsid w:val="00481787"/>
    <w:rsid w:val="00481D8B"/>
    <w:rsid w:val="00482BA7"/>
    <w:rsid w:val="0048323E"/>
    <w:rsid w:val="00483240"/>
    <w:rsid w:val="00483CD1"/>
    <w:rsid w:val="00484937"/>
    <w:rsid w:val="00485D41"/>
    <w:rsid w:val="004864CA"/>
    <w:rsid w:val="0048655E"/>
    <w:rsid w:val="00490D09"/>
    <w:rsid w:val="0049187B"/>
    <w:rsid w:val="00493AA4"/>
    <w:rsid w:val="00493E71"/>
    <w:rsid w:val="00496E01"/>
    <w:rsid w:val="00497EB1"/>
    <w:rsid w:val="004A01F7"/>
    <w:rsid w:val="004A1806"/>
    <w:rsid w:val="004A1E38"/>
    <w:rsid w:val="004A2009"/>
    <w:rsid w:val="004A299D"/>
    <w:rsid w:val="004A32A0"/>
    <w:rsid w:val="004B2156"/>
    <w:rsid w:val="004B2BD1"/>
    <w:rsid w:val="004B3313"/>
    <w:rsid w:val="004B3FB9"/>
    <w:rsid w:val="004B57B6"/>
    <w:rsid w:val="004B5D6C"/>
    <w:rsid w:val="004B763A"/>
    <w:rsid w:val="004C0B74"/>
    <w:rsid w:val="004C0DC6"/>
    <w:rsid w:val="004C4150"/>
    <w:rsid w:val="004C54F8"/>
    <w:rsid w:val="004C5B3B"/>
    <w:rsid w:val="004C6360"/>
    <w:rsid w:val="004C74D6"/>
    <w:rsid w:val="004C7F73"/>
    <w:rsid w:val="004C7FC5"/>
    <w:rsid w:val="004D0475"/>
    <w:rsid w:val="004D4C72"/>
    <w:rsid w:val="004D597E"/>
    <w:rsid w:val="004D66CA"/>
    <w:rsid w:val="004D788C"/>
    <w:rsid w:val="004E1091"/>
    <w:rsid w:val="004E220B"/>
    <w:rsid w:val="004E2DD2"/>
    <w:rsid w:val="004E375A"/>
    <w:rsid w:val="004E3D38"/>
    <w:rsid w:val="004E414E"/>
    <w:rsid w:val="004E4FAC"/>
    <w:rsid w:val="004E6A97"/>
    <w:rsid w:val="004F11EC"/>
    <w:rsid w:val="004F1CDF"/>
    <w:rsid w:val="004F2212"/>
    <w:rsid w:val="004F270D"/>
    <w:rsid w:val="004F27B6"/>
    <w:rsid w:val="004F398C"/>
    <w:rsid w:val="004F4067"/>
    <w:rsid w:val="004F438D"/>
    <w:rsid w:val="004F49A7"/>
    <w:rsid w:val="004F5019"/>
    <w:rsid w:val="004F5176"/>
    <w:rsid w:val="004F7804"/>
    <w:rsid w:val="00500624"/>
    <w:rsid w:val="00503BE2"/>
    <w:rsid w:val="00504D55"/>
    <w:rsid w:val="00506E58"/>
    <w:rsid w:val="00507E93"/>
    <w:rsid w:val="00510780"/>
    <w:rsid w:val="00510FBC"/>
    <w:rsid w:val="005121C3"/>
    <w:rsid w:val="00512DBB"/>
    <w:rsid w:val="00512FAF"/>
    <w:rsid w:val="00513BC3"/>
    <w:rsid w:val="00513CA5"/>
    <w:rsid w:val="0051530A"/>
    <w:rsid w:val="00517644"/>
    <w:rsid w:val="00517BD7"/>
    <w:rsid w:val="00517DAA"/>
    <w:rsid w:val="00520BBF"/>
    <w:rsid w:val="0052168D"/>
    <w:rsid w:val="005224DC"/>
    <w:rsid w:val="0052476F"/>
    <w:rsid w:val="00526793"/>
    <w:rsid w:val="00526F9A"/>
    <w:rsid w:val="00534FB0"/>
    <w:rsid w:val="00540F11"/>
    <w:rsid w:val="00541BDE"/>
    <w:rsid w:val="005429C3"/>
    <w:rsid w:val="00543ED5"/>
    <w:rsid w:val="005447FF"/>
    <w:rsid w:val="00544DBF"/>
    <w:rsid w:val="005511F1"/>
    <w:rsid w:val="00551657"/>
    <w:rsid w:val="00552AF3"/>
    <w:rsid w:val="00552FD1"/>
    <w:rsid w:val="0055331A"/>
    <w:rsid w:val="00553DFF"/>
    <w:rsid w:val="0055554C"/>
    <w:rsid w:val="005562C2"/>
    <w:rsid w:val="0055637B"/>
    <w:rsid w:val="00556FCE"/>
    <w:rsid w:val="00557320"/>
    <w:rsid w:val="0055741B"/>
    <w:rsid w:val="005603F2"/>
    <w:rsid w:val="005604A6"/>
    <w:rsid w:val="00560E96"/>
    <w:rsid w:val="00560FE1"/>
    <w:rsid w:val="00561459"/>
    <w:rsid w:val="00562C86"/>
    <w:rsid w:val="00563199"/>
    <w:rsid w:val="005644FE"/>
    <w:rsid w:val="0056482A"/>
    <w:rsid w:val="005656EB"/>
    <w:rsid w:val="005676A8"/>
    <w:rsid w:val="0057036F"/>
    <w:rsid w:val="0057420C"/>
    <w:rsid w:val="00574DC3"/>
    <w:rsid w:val="005755BC"/>
    <w:rsid w:val="005765DC"/>
    <w:rsid w:val="00576DD0"/>
    <w:rsid w:val="00577B45"/>
    <w:rsid w:val="00577EB9"/>
    <w:rsid w:val="00580C01"/>
    <w:rsid w:val="0058342E"/>
    <w:rsid w:val="00583515"/>
    <w:rsid w:val="00583BEF"/>
    <w:rsid w:val="0058477F"/>
    <w:rsid w:val="00584AB1"/>
    <w:rsid w:val="0058539D"/>
    <w:rsid w:val="00586332"/>
    <w:rsid w:val="00586763"/>
    <w:rsid w:val="00586E29"/>
    <w:rsid w:val="0059152A"/>
    <w:rsid w:val="005917A4"/>
    <w:rsid w:val="00591A42"/>
    <w:rsid w:val="00595432"/>
    <w:rsid w:val="00595AF4"/>
    <w:rsid w:val="0059627B"/>
    <w:rsid w:val="00596BD1"/>
    <w:rsid w:val="0059708E"/>
    <w:rsid w:val="005A0ABD"/>
    <w:rsid w:val="005A176B"/>
    <w:rsid w:val="005A1F70"/>
    <w:rsid w:val="005A3B5A"/>
    <w:rsid w:val="005A49EA"/>
    <w:rsid w:val="005A52DB"/>
    <w:rsid w:val="005A5C84"/>
    <w:rsid w:val="005A5EFC"/>
    <w:rsid w:val="005A601F"/>
    <w:rsid w:val="005A6032"/>
    <w:rsid w:val="005A61B8"/>
    <w:rsid w:val="005A67A9"/>
    <w:rsid w:val="005A6B20"/>
    <w:rsid w:val="005B0A7D"/>
    <w:rsid w:val="005B0F7D"/>
    <w:rsid w:val="005B121B"/>
    <w:rsid w:val="005B155C"/>
    <w:rsid w:val="005B1A9D"/>
    <w:rsid w:val="005B56C4"/>
    <w:rsid w:val="005B5CF1"/>
    <w:rsid w:val="005B6A77"/>
    <w:rsid w:val="005B7364"/>
    <w:rsid w:val="005C07D8"/>
    <w:rsid w:val="005C0FE1"/>
    <w:rsid w:val="005C127E"/>
    <w:rsid w:val="005C205F"/>
    <w:rsid w:val="005C20D6"/>
    <w:rsid w:val="005C2D90"/>
    <w:rsid w:val="005C32B9"/>
    <w:rsid w:val="005C43BA"/>
    <w:rsid w:val="005D046C"/>
    <w:rsid w:val="005D14DB"/>
    <w:rsid w:val="005D1B6A"/>
    <w:rsid w:val="005D2932"/>
    <w:rsid w:val="005D3D99"/>
    <w:rsid w:val="005D3DD5"/>
    <w:rsid w:val="005D5549"/>
    <w:rsid w:val="005D5BEF"/>
    <w:rsid w:val="005D6436"/>
    <w:rsid w:val="005D74C6"/>
    <w:rsid w:val="005E183B"/>
    <w:rsid w:val="005E23B0"/>
    <w:rsid w:val="005E28CC"/>
    <w:rsid w:val="005E2F26"/>
    <w:rsid w:val="005E36B7"/>
    <w:rsid w:val="005E45B6"/>
    <w:rsid w:val="005E493D"/>
    <w:rsid w:val="005E5F18"/>
    <w:rsid w:val="005E654F"/>
    <w:rsid w:val="005F14AE"/>
    <w:rsid w:val="005F3502"/>
    <w:rsid w:val="005F3BFE"/>
    <w:rsid w:val="005F3DA4"/>
    <w:rsid w:val="005F4535"/>
    <w:rsid w:val="005F5C05"/>
    <w:rsid w:val="005F5FC5"/>
    <w:rsid w:val="005F6519"/>
    <w:rsid w:val="00600001"/>
    <w:rsid w:val="00603696"/>
    <w:rsid w:val="00603B5E"/>
    <w:rsid w:val="00603D74"/>
    <w:rsid w:val="0060481C"/>
    <w:rsid w:val="006052EB"/>
    <w:rsid w:val="006060DB"/>
    <w:rsid w:val="0060770E"/>
    <w:rsid w:val="00607ED6"/>
    <w:rsid w:val="00611211"/>
    <w:rsid w:val="00611DB0"/>
    <w:rsid w:val="006122B3"/>
    <w:rsid w:val="00612AEE"/>
    <w:rsid w:val="00612F5B"/>
    <w:rsid w:val="00614FA1"/>
    <w:rsid w:val="00615CB5"/>
    <w:rsid w:val="0061797E"/>
    <w:rsid w:val="00617DBD"/>
    <w:rsid w:val="006207AE"/>
    <w:rsid w:val="00621221"/>
    <w:rsid w:val="006221C9"/>
    <w:rsid w:val="006226CC"/>
    <w:rsid w:val="00622E7B"/>
    <w:rsid w:val="00623676"/>
    <w:rsid w:val="006245BC"/>
    <w:rsid w:val="00624653"/>
    <w:rsid w:val="00624A91"/>
    <w:rsid w:val="0062521F"/>
    <w:rsid w:val="006252BF"/>
    <w:rsid w:val="0062550F"/>
    <w:rsid w:val="006264E6"/>
    <w:rsid w:val="006266BB"/>
    <w:rsid w:val="00626CA2"/>
    <w:rsid w:val="006270B4"/>
    <w:rsid w:val="00630251"/>
    <w:rsid w:val="006333D1"/>
    <w:rsid w:val="0063381E"/>
    <w:rsid w:val="00634F76"/>
    <w:rsid w:val="006358EA"/>
    <w:rsid w:val="00635DDB"/>
    <w:rsid w:val="00636AC3"/>
    <w:rsid w:val="00636F90"/>
    <w:rsid w:val="00637405"/>
    <w:rsid w:val="0064017A"/>
    <w:rsid w:val="00641D6D"/>
    <w:rsid w:val="00646433"/>
    <w:rsid w:val="00647331"/>
    <w:rsid w:val="00650C5F"/>
    <w:rsid w:val="0065187D"/>
    <w:rsid w:val="00653E48"/>
    <w:rsid w:val="00655291"/>
    <w:rsid w:val="0065529B"/>
    <w:rsid w:val="0065535B"/>
    <w:rsid w:val="006555D4"/>
    <w:rsid w:val="0065613B"/>
    <w:rsid w:val="0065713E"/>
    <w:rsid w:val="00657B2F"/>
    <w:rsid w:val="00657CBE"/>
    <w:rsid w:val="00657FFD"/>
    <w:rsid w:val="00660A23"/>
    <w:rsid w:val="00661BAE"/>
    <w:rsid w:val="006627C7"/>
    <w:rsid w:val="00662ACF"/>
    <w:rsid w:val="00663044"/>
    <w:rsid w:val="006634FB"/>
    <w:rsid w:val="0066447C"/>
    <w:rsid w:val="00664A9F"/>
    <w:rsid w:val="006658FE"/>
    <w:rsid w:val="00665F2B"/>
    <w:rsid w:val="00666979"/>
    <w:rsid w:val="00666D38"/>
    <w:rsid w:val="006701E5"/>
    <w:rsid w:val="00670747"/>
    <w:rsid w:val="00671D4B"/>
    <w:rsid w:val="0067234F"/>
    <w:rsid w:val="006724DC"/>
    <w:rsid w:val="006727A2"/>
    <w:rsid w:val="00673516"/>
    <w:rsid w:val="00674127"/>
    <w:rsid w:val="006773D6"/>
    <w:rsid w:val="00681090"/>
    <w:rsid w:val="00682746"/>
    <w:rsid w:val="0068322E"/>
    <w:rsid w:val="006857B4"/>
    <w:rsid w:val="00686530"/>
    <w:rsid w:val="00686888"/>
    <w:rsid w:val="00687E2A"/>
    <w:rsid w:val="00690264"/>
    <w:rsid w:val="00691381"/>
    <w:rsid w:val="006939AB"/>
    <w:rsid w:val="00694104"/>
    <w:rsid w:val="00695ABB"/>
    <w:rsid w:val="0069610F"/>
    <w:rsid w:val="006964DE"/>
    <w:rsid w:val="00696655"/>
    <w:rsid w:val="006A0396"/>
    <w:rsid w:val="006A0E17"/>
    <w:rsid w:val="006A3E60"/>
    <w:rsid w:val="006A4001"/>
    <w:rsid w:val="006A42B6"/>
    <w:rsid w:val="006A52AA"/>
    <w:rsid w:val="006A64D3"/>
    <w:rsid w:val="006A6872"/>
    <w:rsid w:val="006A6911"/>
    <w:rsid w:val="006A6C2F"/>
    <w:rsid w:val="006A76E2"/>
    <w:rsid w:val="006B0058"/>
    <w:rsid w:val="006B1461"/>
    <w:rsid w:val="006B257E"/>
    <w:rsid w:val="006B2C15"/>
    <w:rsid w:val="006B3534"/>
    <w:rsid w:val="006B3CD1"/>
    <w:rsid w:val="006B3D73"/>
    <w:rsid w:val="006B6CD6"/>
    <w:rsid w:val="006C159B"/>
    <w:rsid w:val="006C1DF0"/>
    <w:rsid w:val="006C25B7"/>
    <w:rsid w:val="006C387B"/>
    <w:rsid w:val="006C56F4"/>
    <w:rsid w:val="006C5C58"/>
    <w:rsid w:val="006C6D41"/>
    <w:rsid w:val="006C7807"/>
    <w:rsid w:val="006D04B4"/>
    <w:rsid w:val="006D0D3B"/>
    <w:rsid w:val="006D15DC"/>
    <w:rsid w:val="006D24F7"/>
    <w:rsid w:val="006D32DF"/>
    <w:rsid w:val="006D3988"/>
    <w:rsid w:val="006D3E54"/>
    <w:rsid w:val="006D3F34"/>
    <w:rsid w:val="006E0380"/>
    <w:rsid w:val="006E0F42"/>
    <w:rsid w:val="006E2A38"/>
    <w:rsid w:val="006E326C"/>
    <w:rsid w:val="006E5150"/>
    <w:rsid w:val="006E5746"/>
    <w:rsid w:val="006E5EED"/>
    <w:rsid w:val="006F1719"/>
    <w:rsid w:val="006F194A"/>
    <w:rsid w:val="006F1BC4"/>
    <w:rsid w:val="006F3BF4"/>
    <w:rsid w:val="006F3F53"/>
    <w:rsid w:val="006F4522"/>
    <w:rsid w:val="006F7055"/>
    <w:rsid w:val="007018A0"/>
    <w:rsid w:val="00701CEE"/>
    <w:rsid w:val="007035A0"/>
    <w:rsid w:val="007036AF"/>
    <w:rsid w:val="00703F3E"/>
    <w:rsid w:val="007067B2"/>
    <w:rsid w:val="007073FB"/>
    <w:rsid w:val="007079C3"/>
    <w:rsid w:val="00710176"/>
    <w:rsid w:val="0071141D"/>
    <w:rsid w:val="00712AE5"/>
    <w:rsid w:val="00712DFA"/>
    <w:rsid w:val="00715933"/>
    <w:rsid w:val="00715E57"/>
    <w:rsid w:val="00716C17"/>
    <w:rsid w:val="007201C6"/>
    <w:rsid w:val="0072021B"/>
    <w:rsid w:val="0072131D"/>
    <w:rsid w:val="00721437"/>
    <w:rsid w:val="0072205A"/>
    <w:rsid w:val="007224B9"/>
    <w:rsid w:val="007238E0"/>
    <w:rsid w:val="00724EFE"/>
    <w:rsid w:val="00724F94"/>
    <w:rsid w:val="00725703"/>
    <w:rsid w:val="0072595B"/>
    <w:rsid w:val="00725A0A"/>
    <w:rsid w:val="00725FD8"/>
    <w:rsid w:val="00726E14"/>
    <w:rsid w:val="00727CF5"/>
    <w:rsid w:val="007308A4"/>
    <w:rsid w:val="00730C9E"/>
    <w:rsid w:val="00732F6B"/>
    <w:rsid w:val="0073302E"/>
    <w:rsid w:val="007345E4"/>
    <w:rsid w:val="0073590B"/>
    <w:rsid w:val="007375A1"/>
    <w:rsid w:val="00742E09"/>
    <w:rsid w:val="00743B82"/>
    <w:rsid w:val="0074508E"/>
    <w:rsid w:val="007455AD"/>
    <w:rsid w:val="007458D6"/>
    <w:rsid w:val="007464DB"/>
    <w:rsid w:val="00746AAE"/>
    <w:rsid w:val="00747141"/>
    <w:rsid w:val="00752B0A"/>
    <w:rsid w:val="00752C48"/>
    <w:rsid w:val="0075328B"/>
    <w:rsid w:val="0075356C"/>
    <w:rsid w:val="0075426F"/>
    <w:rsid w:val="007544A9"/>
    <w:rsid w:val="00754815"/>
    <w:rsid w:val="00756E1D"/>
    <w:rsid w:val="00757923"/>
    <w:rsid w:val="007606A5"/>
    <w:rsid w:val="00761CC0"/>
    <w:rsid w:val="0076234D"/>
    <w:rsid w:val="007633D2"/>
    <w:rsid w:val="00763F49"/>
    <w:rsid w:val="0076452F"/>
    <w:rsid w:val="0076477A"/>
    <w:rsid w:val="007650B1"/>
    <w:rsid w:val="007667E6"/>
    <w:rsid w:val="00767331"/>
    <w:rsid w:val="007702F9"/>
    <w:rsid w:val="00772281"/>
    <w:rsid w:val="00772352"/>
    <w:rsid w:val="0077501E"/>
    <w:rsid w:val="0077534E"/>
    <w:rsid w:val="007754C5"/>
    <w:rsid w:val="00775AC3"/>
    <w:rsid w:val="00776020"/>
    <w:rsid w:val="007762C6"/>
    <w:rsid w:val="00776EF6"/>
    <w:rsid w:val="007800C7"/>
    <w:rsid w:val="00781640"/>
    <w:rsid w:val="00782EEA"/>
    <w:rsid w:val="0078478F"/>
    <w:rsid w:val="00784BCF"/>
    <w:rsid w:val="007856DF"/>
    <w:rsid w:val="0079197B"/>
    <w:rsid w:val="00792901"/>
    <w:rsid w:val="007933A4"/>
    <w:rsid w:val="00793427"/>
    <w:rsid w:val="007938E9"/>
    <w:rsid w:val="00793F4D"/>
    <w:rsid w:val="00795A25"/>
    <w:rsid w:val="00796C22"/>
    <w:rsid w:val="007A0312"/>
    <w:rsid w:val="007A0475"/>
    <w:rsid w:val="007A0C46"/>
    <w:rsid w:val="007A10CF"/>
    <w:rsid w:val="007A2C68"/>
    <w:rsid w:val="007A42AE"/>
    <w:rsid w:val="007A495E"/>
    <w:rsid w:val="007A5304"/>
    <w:rsid w:val="007A5752"/>
    <w:rsid w:val="007A6F67"/>
    <w:rsid w:val="007A7B05"/>
    <w:rsid w:val="007B0A9A"/>
    <w:rsid w:val="007B0BAA"/>
    <w:rsid w:val="007B211B"/>
    <w:rsid w:val="007B25D9"/>
    <w:rsid w:val="007B407A"/>
    <w:rsid w:val="007B4A31"/>
    <w:rsid w:val="007B52C1"/>
    <w:rsid w:val="007B599E"/>
    <w:rsid w:val="007B63D3"/>
    <w:rsid w:val="007B7008"/>
    <w:rsid w:val="007B72B7"/>
    <w:rsid w:val="007B793C"/>
    <w:rsid w:val="007C0DAF"/>
    <w:rsid w:val="007C126A"/>
    <w:rsid w:val="007C2053"/>
    <w:rsid w:val="007C282C"/>
    <w:rsid w:val="007C30DC"/>
    <w:rsid w:val="007C427A"/>
    <w:rsid w:val="007C47C1"/>
    <w:rsid w:val="007C4994"/>
    <w:rsid w:val="007C4FEB"/>
    <w:rsid w:val="007C6612"/>
    <w:rsid w:val="007C6B8C"/>
    <w:rsid w:val="007C6BA9"/>
    <w:rsid w:val="007C7031"/>
    <w:rsid w:val="007C7455"/>
    <w:rsid w:val="007C7EFD"/>
    <w:rsid w:val="007D1456"/>
    <w:rsid w:val="007D2264"/>
    <w:rsid w:val="007D25AF"/>
    <w:rsid w:val="007D2B3D"/>
    <w:rsid w:val="007D2E86"/>
    <w:rsid w:val="007D3EAC"/>
    <w:rsid w:val="007D56AB"/>
    <w:rsid w:val="007D5CD8"/>
    <w:rsid w:val="007D670E"/>
    <w:rsid w:val="007D6ABC"/>
    <w:rsid w:val="007D7F25"/>
    <w:rsid w:val="007E11D5"/>
    <w:rsid w:val="007E235D"/>
    <w:rsid w:val="007E2C46"/>
    <w:rsid w:val="007E314E"/>
    <w:rsid w:val="007E3DCD"/>
    <w:rsid w:val="007E3FF9"/>
    <w:rsid w:val="007E4334"/>
    <w:rsid w:val="007E58C3"/>
    <w:rsid w:val="007E5B73"/>
    <w:rsid w:val="007E5C06"/>
    <w:rsid w:val="007E646C"/>
    <w:rsid w:val="007E6B84"/>
    <w:rsid w:val="007E6E23"/>
    <w:rsid w:val="007F15D2"/>
    <w:rsid w:val="007F2D77"/>
    <w:rsid w:val="007F373F"/>
    <w:rsid w:val="007F39F6"/>
    <w:rsid w:val="007F4B3E"/>
    <w:rsid w:val="007F541F"/>
    <w:rsid w:val="007F57E4"/>
    <w:rsid w:val="007F5FBC"/>
    <w:rsid w:val="007F653A"/>
    <w:rsid w:val="007F6627"/>
    <w:rsid w:val="007F6C94"/>
    <w:rsid w:val="008009F7"/>
    <w:rsid w:val="008019FD"/>
    <w:rsid w:val="00803026"/>
    <w:rsid w:val="00803ECB"/>
    <w:rsid w:val="00804884"/>
    <w:rsid w:val="00804B9B"/>
    <w:rsid w:val="00804D7D"/>
    <w:rsid w:val="008055D1"/>
    <w:rsid w:val="00806F7A"/>
    <w:rsid w:val="00807D3A"/>
    <w:rsid w:val="0081019E"/>
    <w:rsid w:val="008110D3"/>
    <w:rsid w:val="0081110F"/>
    <w:rsid w:val="008116DD"/>
    <w:rsid w:val="00813316"/>
    <w:rsid w:val="00813C3C"/>
    <w:rsid w:val="00815356"/>
    <w:rsid w:val="00816327"/>
    <w:rsid w:val="00816B2A"/>
    <w:rsid w:val="00821C92"/>
    <w:rsid w:val="00821EDC"/>
    <w:rsid w:val="00823AD9"/>
    <w:rsid w:val="00824B86"/>
    <w:rsid w:val="00825465"/>
    <w:rsid w:val="00826ECC"/>
    <w:rsid w:val="00827AA3"/>
    <w:rsid w:val="0083223B"/>
    <w:rsid w:val="00832DD6"/>
    <w:rsid w:val="00834931"/>
    <w:rsid w:val="00834C91"/>
    <w:rsid w:val="008353CA"/>
    <w:rsid w:val="00836887"/>
    <w:rsid w:val="00837505"/>
    <w:rsid w:val="00837A64"/>
    <w:rsid w:val="00840D71"/>
    <w:rsid w:val="0084352E"/>
    <w:rsid w:val="0084497F"/>
    <w:rsid w:val="00845B4F"/>
    <w:rsid w:val="0084644C"/>
    <w:rsid w:val="00847AD2"/>
    <w:rsid w:val="00847BB1"/>
    <w:rsid w:val="008501C6"/>
    <w:rsid w:val="008505F0"/>
    <w:rsid w:val="00850A86"/>
    <w:rsid w:val="00851441"/>
    <w:rsid w:val="00852075"/>
    <w:rsid w:val="0085236D"/>
    <w:rsid w:val="00852811"/>
    <w:rsid w:val="00852F6A"/>
    <w:rsid w:val="00854F46"/>
    <w:rsid w:val="00857FE4"/>
    <w:rsid w:val="0086072F"/>
    <w:rsid w:val="008607D6"/>
    <w:rsid w:val="00861F18"/>
    <w:rsid w:val="00862C17"/>
    <w:rsid w:val="00864F89"/>
    <w:rsid w:val="0086502D"/>
    <w:rsid w:val="00865795"/>
    <w:rsid w:val="008663B4"/>
    <w:rsid w:val="008669D1"/>
    <w:rsid w:val="00867B66"/>
    <w:rsid w:val="008711F8"/>
    <w:rsid w:val="008723CA"/>
    <w:rsid w:val="0087266C"/>
    <w:rsid w:val="00873B28"/>
    <w:rsid w:val="0087486D"/>
    <w:rsid w:val="008752CE"/>
    <w:rsid w:val="0087633B"/>
    <w:rsid w:val="008808DE"/>
    <w:rsid w:val="00880F4C"/>
    <w:rsid w:val="00882F0F"/>
    <w:rsid w:val="00885392"/>
    <w:rsid w:val="00885675"/>
    <w:rsid w:val="00885A16"/>
    <w:rsid w:val="00885A3F"/>
    <w:rsid w:val="00885CBF"/>
    <w:rsid w:val="00886874"/>
    <w:rsid w:val="0088693E"/>
    <w:rsid w:val="00886F0C"/>
    <w:rsid w:val="008871F3"/>
    <w:rsid w:val="00887403"/>
    <w:rsid w:val="00892467"/>
    <w:rsid w:val="008933BA"/>
    <w:rsid w:val="008947C6"/>
    <w:rsid w:val="00894A18"/>
    <w:rsid w:val="008960D7"/>
    <w:rsid w:val="00896BEE"/>
    <w:rsid w:val="008975B0"/>
    <w:rsid w:val="008A026C"/>
    <w:rsid w:val="008A0A85"/>
    <w:rsid w:val="008A0AA5"/>
    <w:rsid w:val="008A0DF4"/>
    <w:rsid w:val="008A312C"/>
    <w:rsid w:val="008A3EEF"/>
    <w:rsid w:val="008A42C8"/>
    <w:rsid w:val="008A4C8F"/>
    <w:rsid w:val="008A5233"/>
    <w:rsid w:val="008A55CC"/>
    <w:rsid w:val="008A5E6D"/>
    <w:rsid w:val="008A7CBD"/>
    <w:rsid w:val="008B142C"/>
    <w:rsid w:val="008B1C2F"/>
    <w:rsid w:val="008B1C58"/>
    <w:rsid w:val="008B2206"/>
    <w:rsid w:val="008B2D9C"/>
    <w:rsid w:val="008B41B9"/>
    <w:rsid w:val="008B4D5B"/>
    <w:rsid w:val="008B537E"/>
    <w:rsid w:val="008B5E6B"/>
    <w:rsid w:val="008B6892"/>
    <w:rsid w:val="008B780C"/>
    <w:rsid w:val="008B7E9F"/>
    <w:rsid w:val="008C0CFE"/>
    <w:rsid w:val="008C4588"/>
    <w:rsid w:val="008C5D9E"/>
    <w:rsid w:val="008C5F5F"/>
    <w:rsid w:val="008C5F8F"/>
    <w:rsid w:val="008C6663"/>
    <w:rsid w:val="008C68A7"/>
    <w:rsid w:val="008C7218"/>
    <w:rsid w:val="008C7386"/>
    <w:rsid w:val="008C7648"/>
    <w:rsid w:val="008D088D"/>
    <w:rsid w:val="008D0D4E"/>
    <w:rsid w:val="008D158F"/>
    <w:rsid w:val="008D15BE"/>
    <w:rsid w:val="008D3589"/>
    <w:rsid w:val="008D4A9D"/>
    <w:rsid w:val="008D5252"/>
    <w:rsid w:val="008D5425"/>
    <w:rsid w:val="008D55D1"/>
    <w:rsid w:val="008D6CA0"/>
    <w:rsid w:val="008D7670"/>
    <w:rsid w:val="008D794F"/>
    <w:rsid w:val="008E1290"/>
    <w:rsid w:val="008E1C87"/>
    <w:rsid w:val="008E1DAA"/>
    <w:rsid w:val="008E2F16"/>
    <w:rsid w:val="008E35E1"/>
    <w:rsid w:val="008E5C91"/>
    <w:rsid w:val="008E6508"/>
    <w:rsid w:val="008E6636"/>
    <w:rsid w:val="008F39D9"/>
    <w:rsid w:val="008F44A9"/>
    <w:rsid w:val="008F4A05"/>
    <w:rsid w:val="008F518E"/>
    <w:rsid w:val="008F538B"/>
    <w:rsid w:val="008F7164"/>
    <w:rsid w:val="008F7B2E"/>
    <w:rsid w:val="008F7F2B"/>
    <w:rsid w:val="009004DA"/>
    <w:rsid w:val="009012B7"/>
    <w:rsid w:val="0090272E"/>
    <w:rsid w:val="00902CC7"/>
    <w:rsid w:val="00904D4F"/>
    <w:rsid w:val="00904EB6"/>
    <w:rsid w:val="00905CF6"/>
    <w:rsid w:val="009108ED"/>
    <w:rsid w:val="00911593"/>
    <w:rsid w:val="0091292C"/>
    <w:rsid w:val="0091385A"/>
    <w:rsid w:val="00913DA1"/>
    <w:rsid w:val="009143E4"/>
    <w:rsid w:val="0091519D"/>
    <w:rsid w:val="00915924"/>
    <w:rsid w:val="00915B03"/>
    <w:rsid w:val="00915CFA"/>
    <w:rsid w:val="00915DE8"/>
    <w:rsid w:val="00917A40"/>
    <w:rsid w:val="009201A2"/>
    <w:rsid w:val="00920313"/>
    <w:rsid w:val="00920B39"/>
    <w:rsid w:val="00921827"/>
    <w:rsid w:val="0092303B"/>
    <w:rsid w:val="00923184"/>
    <w:rsid w:val="0092325A"/>
    <w:rsid w:val="00924013"/>
    <w:rsid w:val="00924D4E"/>
    <w:rsid w:val="0092732B"/>
    <w:rsid w:val="009275FC"/>
    <w:rsid w:val="0093235E"/>
    <w:rsid w:val="00933076"/>
    <w:rsid w:val="00935917"/>
    <w:rsid w:val="00937760"/>
    <w:rsid w:val="00941DD4"/>
    <w:rsid w:val="00941E4F"/>
    <w:rsid w:val="00943B73"/>
    <w:rsid w:val="0094422C"/>
    <w:rsid w:val="009444F8"/>
    <w:rsid w:val="00944A70"/>
    <w:rsid w:val="0094531A"/>
    <w:rsid w:val="00946A63"/>
    <w:rsid w:val="009526B0"/>
    <w:rsid w:val="00952B17"/>
    <w:rsid w:val="00952F3C"/>
    <w:rsid w:val="00953D28"/>
    <w:rsid w:val="00954E12"/>
    <w:rsid w:val="009554AB"/>
    <w:rsid w:val="00956851"/>
    <w:rsid w:val="00957E48"/>
    <w:rsid w:val="0096219A"/>
    <w:rsid w:val="009624A1"/>
    <w:rsid w:val="00962774"/>
    <w:rsid w:val="00962D84"/>
    <w:rsid w:val="009636F0"/>
    <w:rsid w:val="00965E07"/>
    <w:rsid w:val="00967C6C"/>
    <w:rsid w:val="0097008D"/>
    <w:rsid w:val="00970169"/>
    <w:rsid w:val="0097126B"/>
    <w:rsid w:val="00972CB9"/>
    <w:rsid w:val="009733E7"/>
    <w:rsid w:val="00973BDA"/>
    <w:rsid w:val="0097770F"/>
    <w:rsid w:val="00977BC9"/>
    <w:rsid w:val="00977DD6"/>
    <w:rsid w:val="0098110A"/>
    <w:rsid w:val="009816D6"/>
    <w:rsid w:val="00981D67"/>
    <w:rsid w:val="0098259B"/>
    <w:rsid w:val="00983F7D"/>
    <w:rsid w:val="00986E2F"/>
    <w:rsid w:val="00990E58"/>
    <w:rsid w:val="0099348B"/>
    <w:rsid w:val="00993605"/>
    <w:rsid w:val="009939AA"/>
    <w:rsid w:val="00993DBB"/>
    <w:rsid w:val="00993E6A"/>
    <w:rsid w:val="00993E8F"/>
    <w:rsid w:val="00995509"/>
    <w:rsid w:val="00995C44"/>
    <w:rsid w:val="00995D06"/>
    <w:rsid w:val="00995FFE"/>
    <w:rsid w:val="00996871"/>
    <w:rsid w:val="00996D66"/>
    <w:rsid w:val="00996DD1"/>
    <w:rsid w:val="009977D4"/>
    <w:rsid w:val="00997819"/>
    <w:rsid w:val="009A02E6"/>
    <w:rsid w:val="009A07DD"/>
    <w:rsid w:val="009A0943"/>
    <w:rsid w:val="009A0D90"/>
    <w:rsid w:val="009A0F7E"/>
    <w:rsid w:val="009A1288"/>
    <w:rsid w:val="009A14C1"/>
    <w:rsid w:val="009A1836"/>
    <w:rsid w:val="009A2EC5"/>
    <w:rsid w:val="009A30A3"/>
    <w:rsid w:val="009A3205"/>
    <w:rsid w:val="009A3D31"/>
    <w:rsid w:val="009B0551"/>
    <w:rsid w:val="009B0A54"/>
    <w:rsid w:val="009B0CBB"/>
    <w:rsid w:val="009B11A6"/>
    <w:rsid w:val="009B6A3E"/>
    <w:rsid w:val="009B6F93"/>
    <w:rsid w:val="009B736C"/>
    <w:rsid w:val="009B73E3"/>
    <w:rsid w:val="009B78AB"/>
    <w:rsid w:val="009C0EB9"/>
    <w:rsid w:val="009C11DF"/>
    <w:rsid w:val="009C1290"/>
    <w:rsid w:val="009C1FA7"/>
    <w:rsid w:val="009C2D2C"/>
    <w:rsid w:val="009C5818"/>
    <w:rsid w:val="009C5F4A"/>
    <w:rsid w:val="009C71E3"/>
    <w:rsid w:val="009D073F"/>
    <w:rsid w:val="009D0770"/>
    <w:rsid w:val="009D1B27"/>
    <w:rsid w:val="009D1EBD"/>
    <w:rsid w:val="009D2A41"/>
    <w:rsid w:val="009D31C4"/>
    <w:rsid w:val="009D386A"/>
    <w:rsid w:val="009D43BD"/>
    <w:rsid w:val="009D4E0E"/>
    <w:rsid w:val="009D6107"/>
    <w:rsid w:val="009D712F"/>
    <w:rsid w:val="009D7DF2"/>
    <w:rsid w:val="009E3AEE"/>
    <w:rsid w:val="009E3D3C"/>
    <w:rsid w:val="009E4194"/>
    <w:rsid w:val="009E4F5A"/>
    <w:rsid w:val="009E63E6"/>
    <w:rsid w:val="009E6E40"/>
    <w:rsid w:val="009E767A"/>
    <w:rsid w:val="009E76D5"/>
    <w:rsid w:val="009E7EEA"/>
    <w:rsid w:val="009F040C"/>
    <w:rsid w:val="009F064F"/>
    <w:rsid w:val="009F114B"/>
    <w:rsid w:val="009F6B2A"/>
    <w:rsid w:val="00A006E8"/>
    <w:rsid w:val="00A02248"/>
    <w:rsid w:val="00A040CD"/>
    <w:rsid w:val="00A0462B"/>
    <w:rsid w:val="00A046D4"/>
    <w:rsid w:val="00A05241"/>
    <w:rsid w:val="00A053C7"/>
    <w:rsid w:val="00A05ED0"/>
    <w:rsid w:val="00A077FD"/>
    <w:rsid w:val="00A07D1B"/>
    <w:rsid w:val="00A10E7F"/>
    <w:rsid w:val="00A14C67"/>
    <w:rsid w:val="00A150C2"/>
    <w:rsid w:val="00A166A8"/>
    <w:rsid w:val="00A16DCB"/>
    <w:rsid w:val="00A16FB9"/>
    <w:rsid w:val="00A17717"/>
    <w:rsid w:val="00A2019D"/>
    <w:rsid w:val="00A20413"/>
    <w:rsid w:val="00A20DF3"/>
    <w:rsid w:val="00A21259"/>
    <w:rsid w:val="00A21C22"/>
    <w:rsid w:val="00A22260"/>
    <w:rsid w:val="00A23F24"/>
    <w:rsid w:val="00A249D2"/>
    <w:rsid w:val="00A25707"/>
    <w:rsid w:val="00A2596B"/>
    <w:rsid w:val="00A25D93"/>
    <w:rsid w:val="00A31A62"/>
    <w:rsid w:val="00A31EF5"/>
    <w:rsid w:val="00A330B5"/>
    <w:rsid w:val="00A34F99"/>
    <w:rsid w:val="00A36534"/>
    <w:rsid w:val="00A36899"/>
    <w:rsid w:val="00A369C6"/>
    <w:rsid w:val="00A4035B"/>
    <w:rsid w:val="00A40D8A"/>
    <w:rsid w:val="00A430F2"/>
    <w:rsid w:val="00A44EBB"/>
    <w:rsid w:val="00A44F20"/>
    <w:rsid w:val="00A451AC"/>
    <w:rsid w:val="00A45867"/>
    <w:rsid w:val="00A45CEA"/>
    <w:rsid w:val="00A4661E"/>
    <w:rsid w:val="00A4771D"/>
    <w:rsid w:val="00A477E9"/>
    <w:rsid w:val="00A50DE9"/>
    <w:rsid w:val="00A5165F"/>
    <w:rsid w:val="00A521C3"/>
    <w:rsid w:val="00A5351A"/>
    <w:rsid w:val="00A53B30"/>
    <w:rsid w:val="00A5412A"/>
    <w:rsid w:val="00A54734"/>
    <w:rsid w:val="00A55D7C"/>
    <w:rsid w:val="00A55F49"/>
    <w:rsid w:val="00A575FF"/>
    <w:rsid w:val="00A57AA3"/>
    <w:rsid w:val="00A61B7A"/>
    <w:rsid w:val="00A62757"/>
    <w:rsid w:val="00A632AB"/>
    <w:rsid w:val="00A65CAE"/>
    <w:rsid w:val="00A66B16"/>
    <w:rsid w:val="00A677AB"/>
    <w:rsid w:val="00A67846"/>
    <w:rsid w:val="00A7109C"/>
    <w:rsid w:val="00A71449"/>
    <w:rsid w:val="00A716A7"/>
    <w:rsid w:val="00A71A04"/>
    <w:rsid w:val="00A71BCA"/>
    <w:rsid w:val="00A72908"/>
    <w:rsid w:val="00A7376A"/>
    <w:rsid w:val="00A73809"/>
    <w:rsid w:val="00A75046"/>
    <w:rsid w:val="00A75057"/>
    <w:rsid w:val="00A76BBF"/>
    <w:rsid w:val="00A77A09"/>
    <w:rsid w:val="00A81C77"/>
    <w:rsid w:val="00A828C9"/>
    <w:rsid w:val="00A85C60"/>
    <w:rsid w:val="00A862AD"/>
    <w:rsid w:val="00A863C9"/>
    <w:rsid w:val="00A86E96"/>
    <w:rsid w:val="00A90160"/>
    <w:rsid w:val="00A905D9"/>
    <w:rsid w:val="00A91997"/>
    <w:rsid w:val="00A92B88"/>
    <w:rsid w:val="00A92DBD"/>
    <w:rsid w:val="00A92E4D"/>
    <w:rsid w:val="00A931BD"/>
    <w:rsid w:val="00A93D2F"/>
    <w:rsid w:val="00A94522"/>
    <w:rsid w:val="00A96785"/>
    <w:rsid w:val="00AA0A66"/>
    <w:rsid w:val="00AA206C"/>
    <w:rsid w:val="00AA274D"/>
    <w:rsid w:val="00AA4619"/>
    <w:rsid w:val="00AA4EE1"/>
    <w:rsid w:val="00AA5192"/>
    <w:rsid w:val="00AA5692"/>
    <w:rsid w:val="00AB1187"/>
    <w:rsid w:val="00AB12FD"/>
    <w:rsid w:val="00AB187F"/>
    <w:rsid w:val="00AB1D7F"/>
    <w:rsid w:val="00AB1F97"/>
    <w:rsid w:val="00AB214A"/>
    <w:rsid w:val="00AB3E37"/>
    <w:rsid w:val="00AB5A8D"/>
    <w:rsid w:val="00AB68B8"/>
    <w:rsid w:val="00AB7064"/>
    <w:rsid w:val="00AC13D5"/>
    <w:rsid w:val="00AC1C6E"/>
    <w:rsid w:val="00AC2081"/>
    <w:rsid w:val="00AC213F"/>
    <w:rsid w:val="00AC26D5"/>
    <w:rsid w:val="00AC39B5"/>
    <w:rsid w:val="00AC421E"/>
    <w:rsid w:val="00AC48D7"/>
    <w:rsid w:val="00AC5027"/>
    <w:rsid w:val="00AC5944"/>
    <w:rsid w:val="00AC6886"/>
    <w:rsid w:val="00AC6DC3"/>
    <w:rsid w:val="00AC7EFA"/>
    <w:rsid w:val="00AD1E33"/>
    <w:rsid w:val="00AD3525"/>
    <w:rsid w:val="00AD41F1"/>
    <w:rsid w:val="00AD589D"/>
    <w:rsid w:val="00AD5968"/>
    <w:rsid w:val="00AD6C5F"/>
    <w:rsid w:val="00AD6E8E"/>
    <w:rsid w:val="00AD7929"/>
    <w:rsid w:val="00AD79E9"/>
    <w:rsid w:val="00AE0028"/>
    <w:rsid w:val="00AE1149"/>
    <w:rsid w:val="00AE343A"/>
    <w:rsid w:val="00AE49B4"/>
    <w:rsid w:val="00AE4B68"/>
    <w:rsid w:val="00AE4BCD"/>
    <w:rsid w:val="00AE5E07"/>
    <w:rsid w:val="00AE62D6"/>
    <w:rsid w:val="00AE6694"/>
    <w:rsid w:val="00AE697F"/>
    <w:rsid w:val="00AF0E4E"/>
    <w:rsid w:val="00AF15D5"/>
    <w:rsid w:val="00AF27FB"/>
    <w:rsid w:val="00AF2906"/>
    <w:rsid w:val="00AF4317"/>
    <w:rsid w:val="00AF5FB5"/>
    <w:rsid w:val="00AF6254"/>
    <w:rsid w:val="00B008BF"/>
    <w:rsid w:val="00B02284"/>
    <w:rsid w:val="00B02AEB"/>
    <w:rsid w:val="00B03B48"/>
    <w:rsid w:val="00B04C1A"/>
    <w:rsid w:val="00B04C31"/>
    <w:rsid w:val="00B04FEB"/>
    <w:rsid w:val="00B07234"/>
    <w:rsid w:val="00B07EE8"/>
    <w:rsid w:val="00B10227"/>
    <w:rsid w:val="00B11C7C"/>
    <w:rsid w:val="00B17375"/>
    <w:rsid w:val="00B2065F"/>
    <w:rsid w:val="00B20E1D"/>
    <w:rsid w:val="00B2293C"/>
    <w:rsid w:val="00B229DE"/>
    <w:rsid w:val="00B22AEE"/>
    <w:rsid w:val="00B239E7"/>
    <w:rsid w:val="00B265B1"/>
    <w:rsid w:val="00B26713"/>
    <w:rsid w:val="00B27AEE"/>
    <w:rsid w:val="00B31325"/>
    <w:rsid w:val="00B31663"/>
    <w:rsid w:val="00B31CC3"/>
    <w:rsid w:val="00B32F40"/>
    <w:rsid w:val="00B32FED"/>
    <w:rsid w:val="00B33141"/>
    <w:rsid w:val="00B33E18"/>
    <w:rsid w:val="00B34925"/>
    <w:rsid w:val="00B3518E"/>
    <w:rsid w:val="00B35AA7"/>
    <w:rsid w:val="00B366E5"/>
    <w:rsid w:val="00B367D3"/>
    <w:rsid w:val="00B37AE2"/>
    <w:rsid w:val="00B37FF8"/>
    <w:rsid w:val="00B400AF"/>
    <w:rsid w:val="00B404D9"/>
    <w:rsid w:val="00B40790"/>
    <w:rsid w:val="00B422AE"/>
    <w:rsid w:val="00B43B99"/>
    <w:rsid w:val="00B45857"/>
    <w:rsid w:val="00B45C2F"/>
    <w:rsid w:val="00B45CF1"/>
    <w:rsid w:val="00B45F20"/>
    <w:rsid w:val="00B5235C"/>
    <w:rsid w:val="00B529C5"/>
    <w:rsid w:val="00B553BF"/>
    <w:rsid w:val="00B577AA"/>
    <w:rsid w:val="00B57A19"/>
    <w:rsid w:val="00B57CB7"/>
    <w:rsid w:val="00B601F2"/>
    <w:rsid w:val="00B621FB"/>
    <w:rsid w:val="00B62698"/>
    <w:rsid w:val="00B62748"/>
    <w:rsid w:val="00B6322E"/>
    <w:rsid w:val="00B63776"/>
    <w:rsid w:val="00B672F3"/>
    <w:rsid w:val="00B705C6"/>
    <w:rsid w:val="00B708DC"/>
    <w:rsid w:val="00B70BA8"/>
    <w:rsid w:val="00B72E24"/>
    <w:rsid w:val="00B748C7"/>
    <w:rsid w:val="00B7498C"/>
    <w:rsid w:val="00B761A7"/>
    <w:rsid w:val="00B80D77"/>
    <w:rsid w:val="00B81831"/>
    <w:rsid w:val="00B81DFF"/>
    <w:rsid w:val="00B86C59"/>
    <w:rsid w:val="00B872F7"/>
    <w:rsid w:val="00B91063"/>
    <w:rsid w:val="00B916E2"/>
    <w:rsid w:val="00B916F7"/>
    <w:rsid w:val="00B91B0E"/>
    <w:rsid w:val="00B91E61"/>
    <w:rsid w:val="00B92BD6"/>
    <w:rsid w:val="00B92E97"/>
    <w:rsid w:val="00B93968"/>
    <w:rsid w:val="00B93CA6"/>
    <w:rsid w:val="00B9556C"/>
    <w:rsid w:val="00B95CF9"/>
    <w:rsid w:val="00B95D70"/>
    <w:rsid w:val="00B95DEE"/>
    <w:rsid w:val="00B96CB5"/>
    <w:rsid w:val="00B974B1"/>
    <w:rsid w:val="00BA2205"/>
    <w:rsid w:val="00BA386F"/>
    <w:rsid w:val="00BA4057"/>
    <w:rsid w:val="00BA499A"/>
    <w:rsid w:val="00BA5FD1"/>
    <w:rsid w:val="00BA651B"/>
    <w:rsid w:val="00BB0628"/>
    <w:rsid w:val="00BB07AB"/>
    <w:rsid w:val="00BB42D3"/>
    <w:rsid w:val="00BB6245"/>
    <w:rsid w:val="00BB63C8"/>
    <w:rsid w:val="00BB6E3C"/>
    <w:rsid w:val="00BC2033"/>
    <w:rsid w:val="00BC6655"/>
    <w:rsid w:val="00BC753B"/>
    <w:rsid w:val="00BC795D"/>
    <w:rsid w:val="00BC7D77"/>
    <w:rsid w:val="00BD16CE"/>
    <w:rsid w:val="00BD1B4C"/>
    <w:rsid w:val="00BD4A50"/>
    <w:rsid w:val="00BD5092"/>
    <w:rsid w:val="00BD695C"/>
    <w:rsid w:val="00BD71F2"/>
    <w:rsid w:val="00BD7558"/>
    <w:rsid w:val="00BE0041"/>
    <w:rsid w:val="00BE0682"/>
    <w:rsid w:val="00BE327F"/>
    <w:rsid w:val="00BE4DCD"/>
    <w:rsid w:val="00BE5977"/>
    <w:rsid w:val="00BE684C"/>
    <w:rsid w:val="00BE6869"/>
    <w:rsid w:val="00BE6B24"/>
    <w:rsid w:val="00BF0179"/>
    <w:rsid w:val="00BF1A47"/>
    <w:rsid w:val="00BF1C2E"/>
    <w:rsid w:val="00BF1E93"/>
    <w:rsid w:val="00BF3D1F"/>
    <w:rsid w:val="00BF4F3D"/>
    <w:rsid w:val="00BF6064"/>
    <w:rsid w:val="00C000DD"/>
    <w:rsid w:val="00C03E2F"/>
    <w:rsid w:val="00C04AF1"/>
    <w:rsid w:val="00C04FCC"/>
    <w:rsid w:val="00C058D4"/>
    <w:rsid w:val="00C10365"/>
    <w:rsid w:val="00C115F4"/>
    <w:rsid w:val="00C12CE8"/>
    <w:rsid w:val="00C13C24"/>
    <w:rsid w:val="00C13EB4"/>
    <w:rsid w:val="00C1436F"/>
    <w:rsid w:val="00C14BAC"/>
    <w:rsid w:val="00C160DD"/>
    <w:rsid w:val="00C16418"/>
    <w:rsid w:val="00C16AAA"/>
    <w:rsid w:val="00C16BC8"/>
    <w:rsid w:val="00C21E9B"/>
    <w:rsid w:val="00C2433B"/>
    <w:rsid w:val="00C244B0"/>
    <w:rsid w:val="00C25187"/>
    <w:rsid w:val="00C26427"/>
    <w:rsid w:val="00C2725D"/>
    <w:rsid w:val="00C30DF5"/>
    <w:rsid w:val="00C34118"/>
    <w:rsid w:val="00C34156"/>
    <w:rsid w:val="00C3427A"/>
    <w:rsid w:val="00C35997"/>
    <w:rsid w:val="00C36395"/>
    <w:rsid w:val="00C37E2B"/>
    <w:rsid w:val="00C40578"/>
    <w:rsid w:val="00C40D5A"/>
    <w:rsid w:val="00C40DA4"/>
    <w:rsid w:val="00C414E9"/>
    <w:rsid w:val="00C44735"/>
    <w:rsid w:val="00C4747D"/>
    <w:rsid w:val="00C47D31"/>
    <w:rsid w:val="00C516F9"/>
    <w:rsid w:val="00C5271B"/>
    <w:rsid w:val="00C53494"/>
    <w:rsid w:val="00C54845"/>
    <w:rsid w:val="00C56899"/>
    <w:rsid w:val="00C61441"/>
    <w:rsid w:val="00C62363"/>
    <w:rsid w:val="00C639A1"/>
    <w:rsid w:val="00C65568"/>
    <w:rsid w:val="00C668B9"/>
    <w:rsid w:val="00C66C49"/>
    <w:rsid w:val="00C678B3"/>
    <w:rsid w:val="00C67F3B"/>
    <w:rsid w:val="00C70BA1"/>
    <w:rsid w:val="00C72392"/>
    <w:rsid w:val="00C724E1"/>
    <w:rsid w:val="00C73B4B"/>
    <w:rsid w:val="00C74E30"/>
    <w:rsid w:val="00C75A9B"/>
    <w:rsid w:val="00C75F05"/>
    <w:rsid w:val="00C76A1B"/>
    <w:rsid w:val="00C800A2"/>
    <w:rsid w:val="00C80554"/>
    <w:rsid w:val="00C81DA9"/>
    <w:rsid w:val="00C8304A"/>
    <w:rsid w:val="00C83657"/>
    <w:rsid w:val="00C84886"/>
    <w:rsid w:val="00C855FA"/>
    <w:rsid w:val="00C85A66"/>
    <w:rsid w:val="00C86441"/>
    <w:rsid w:val="00C8749D"/>
    <w:rsid w:val="00C878E0"/>
    <w:rsid w:val="00C87E14"/>
    <w:rsid w:val="00C90857"/>
    <w:rsid w:val="00C910B9"/>
    <w:rsid w:val="00C915E5"/>
    <w:rsid w:val="00C916DE"/>
    <w:rsid w:val="00C92B17"/>
    <w:rsid w:val="00C9355E"/>
    <w:rsid w:val="00C94DDB"/>
    <w:rsid w:val="00C95ECD"/>
    <w:rsid w:val="00C96109"/>
    <w:rsid w:val="00C96D1B"/>
    <w:rsid w:val="00C9756E"/>
    <w:rsid w:val="00C97D84"/>
    <w:rsid w:val="00CA0113"/>
    <w:rsid w:val="00CA09C5"/>
    <w:rsid w:val="00CA0B77"/>
    <w:rsid w:val="00CA0C65"/>
    <w:rsid w:val="00CA328D"/>
    <w:rsid w:val="00CA4CB7"/>
    <w:rsid w:val="00CA5DF5"/>
    <w:rsid w:val="00CB2941"/>
    <w:rsid w:val="00CB313B"/>
    <w:rsid w:val="00CB3291"/>
    <w:rsid w:val="00CB38E9"/>
    <w:rsid w:val="00CB3C19"/>
    <w:rsid w:val="00CB3C80"/>
    <w:rsid w:val="00CB4A57"/>
    <w:rsid w:val="00CB620F"/>
    <w:rsid w:val="00CB6F31"/>
    <w:rsid w:val="00CC0507"/>
    <w:rsid w:val="00CC2483"/>
    <w:rsid w:val="00CC4683"/>
    <w:rsid w:val="00CC4EB4"/>
    <w:rsid w:val="00CC70F8"/>
    <w:rsid w:val="00CD2A18"/>
    <w:rsid w:val="00CD2FDD"/>
    <w:rsid w:val="00CD44A3"/>
    <w:rsid w:val="00CD6082"/>
    <w:rsid w:val="00CD7626"/>
    <w:rsid w:val="00CD7F71"/>
    <w:rsid w:val="00CE0262"/>
    <w:rsid w:val="00CE2606"/>
    <w:rsid w:val="00CE2B36"/>
    <w:rsid w:val="00CE3496"/>
    <w:rsid w:val="00CE42A1"/>
    <w:rsid w:val="00CE4FBF"/>
    <w:rsid w:val="00CE66B0"/>
    <w:rsid w:val="00CE6C2B"/>
    <w:rsid w:val="00CE7D5D"/>
    <w:rsid w:val="00CF1FAC"/>
    <w:rsid w:val="00CF2188"/>
    <w:rsid w:val="00CF23DB"/>
    <w:rsid w:val="00CF2634"/>
    <w:rsid w:val="00CF2E8A"/>
    <w:rsid w:val="00CF2EDD"/>
    <w:rsid w:val="00CF30F0"/>
    <w:rsid w:val="00CF389C"/>
    <w:rsid w:val="00CF447B"/>
    <w:rsid w:val="00CF4732"/>
    <w:rsid w:val="00CF4E27"/>
    <w:rsid w:val="00CF63A7"/>
    <w:rsid w:val="00CF7377"/>
    <w:rsid w:val="00D00F33"/>
    <w:rsid w:val="00D011A3"/>
    <w:rsid w:val="00D02FDF"/>
    <w:rsid w:val="00D03808"/>
    <w:rsid w:val="00D03F69"/>
    <w:rsid w:val="00D04DA9"/>
    <w:rsid w:val="00D0599B"/>
    <w:rsid w:val="00D05CAE"/>
    <w:rsid w:val="00D06594"/>
    <w:rsid w:val="00D077A3"/>
    <w:rsid w:val="00D07885"/>
    <w:rsid w:val="00D10F55"/>
    <w:rsid w:val="00D12173"/>
    <w:rsid w:val="00D12A81"/>
    <w:rsid w:val="00D12BAC"/>
    <w:rsid w:val="00D12E96"/>
    <w:rsid w:val="00D1312E"/>
    <w:rsid w:val="00D13A3D"/>
    <w:rsid w:val="00D13BB4"/>
    <w:rsid w:val="00D160E5"/>
    <w:rsid w:val="00D174B5"/>
    <w:rsid w:val="00D175A1"/>
    <w:rsid w:val="00D1774C"/>
    <w:rsid w:val="00D17DCF"/>
    <w:rsid w:val="00D2063D"/>
    <w:rsid w:val="00D20679"/>
    <w:rsid w:val="00D20E6F"/>
    <w:rsid w:val="00D218CD"/>
    <w:rsid w:val="00D2232B"/>
    <w:rsid w:val="00D224A7"/>
    <w:rsid w:val="00D23B9F"/>
    <w:rsid w:val="00D25C32"/>
    <w:rsid w:val="00D30088"/>
    <w:rsid w:val="00D31751"/>
    <w:rsid w:val="00D342A9"/>
    <w:rsid w:val="00D37179"/>
    <w:rsid w:val="00D37FBC"/>
    <w:rsid w:val="00D417D6"/>
    <w:rsid w:val="00D41897"/>
    <w:rsid w:val="00D41D7B"/>
    <w:rsid w:val="00D420A6"/>
    <w:rsid w:val="00D421AC"/>
    <w:rsid w:val="00D437ED"/>
    <w:rsid w:val="00D44B6B"/>
    <w:rsid w:val="00D46B84"/>
    <w:rsid w:val="00D50D03"/>
    <w:rsid w:val="00D5331D"/>
    <w:rsid w:val="00D53F25"/>
    <w:rsid w:val="00D5446E"/>
    <w:rsid w:val="00D548E1"/>
    <w:rsid w:val="00D54C34"/>
    <w:rsid w:val="00D54F50"/>
    <w:rsid w:val="00D55B2C"/>
    <w:rsid w:val="00D568B2"/>
    <w:rsid w:val="00D56F0F"/>
    <w:rsid w:val="00D579FC"/>
    <w:rsid w:val="00D57C02"/>
    <w:rsid w:val="00D57C14"/>
    <w:rsid w:val="00D6174E"/>
    <w:rsid w:val="00D61D38"/>
    <w:rsid w:val="00D6224E"/>
    <w:rsid w:val="00D627BB"/>
    <w:rsid w:val="00D632D1"/>
    <w:rsid w:val="00D638AD"/>
    <w:rsid w:val="00D64117"/>
    <w:rsid w:val="00D64884"/>
    <w:rsid w:val="00D65C10"/>
    <w:rsid w:val="00D65DF8"/>
    <w:rsid w:val="00D661DC"/>
    <w:rsid w:val="00D66A7E"/>
    <w:rsid w:val="00D708CF"/>
    <w:rsid w:val="00D7366F"/>
    <w:rsid w:val="00D768B2"/>
    <w:rsid w:val="00D77009"/>
    <w:rsid w:val="00D7752C"/>
    <w:rsid w:val="00D7793E"/>
    <w:rsid w:val="00D8058C"/>
    <w:rsid w:val="00D815D4"/>
    <w:rsid w:val="00D824F8"/>
    <w:rsid w:val="00D82E70"/>
    <w:rsid w:val="00D84022"/>
    <w:rsid w:val="00D84CD0"/>
    <w:rsid w:val="00D9013F"/>
    <w:rsid w:val="00D9099C"/>
    <w:rsid w:val="00D919AB"/>
    <w:rsid w:val="00D922D5"/>
    <w:rsid w:val="00D92631"/>
    <w:rsid w:val="00D92848"/>
    <w:rsid w:val="00D93167"/>
    <w:rsid w:val="00D93187"/>
    <w:rsid w:val="00D9331C"/>
    <w:rsid w:val="00D9410D"/>
    <w:rsid w:val="00D94AAB"/>
    <w:rsid w:val="00D95C70"/>
    <w:rsid w:val="00D9661E"/>
    <w:rsid w:val="00D97038"/>
    <w:rsid w:val="00DA0FBB"/>
    <w:rsid w:val="00DA22CC"/>
    <w:rsid w:val="00DA295A"/>
    <w:rsid w:val="00DA2B52"/>
    <w:rsid w:val="00DA2DDC"/>
    <w:rsid w:val="00DA39BA"/>
    <w:rsid w:val="00DA3B62"/>
    <w:rsid w:val="00DA3DAB"/>
    <w:rsid w:val="00DA3DAF"/>
    <w:rsid w:val="00DA3EE6"/>
    <w:rsid w:val="00DA43B9"/>
    <w:rsid w:val="00DA4A6A"/>
    <w:rsid w:val="00DA54B8"/>
    <w:rsid w:val="00DA6609"/>
    <w:rsid w:val="00DA72E9"/>
    <w:rsid w:val="00DB00B1"/>
    <w:rsid w:val="00DB0A24"/>
    <w:rsid w:val="00DB405B"/>
    <w:rsid w:val="00DB47AD"/>
    <w:rsid w:val="00DB5593"/>
    <w:rsid w:val="00DC0AD7"/>
    <w:rsid w:val="00DC0B94"/>
    <w:rsid w:val="00DC16B7"/>
    <w:rsid w:val="00DC3213"/>
    <w:rsid w:val="00DC4F6A"/>
    <w:rsid w:val="00DD00A1"/>
    <w:rsid w:val="00DD0D84"/>
    <w:rsid w:val="00DD1512"/>
    <w:rsid w:val="00DD197D"/>
    <w:rsid w:val="00DD38A6"/>
    <w:rsid w:val="00DD3FDC"/>
    <w:rsid w:val="00DD4B6B"/>
    <w:rsid w:val="00DD7AB7"/>
    <w:rsid w:val="00DE0FA2"/>
    <w:rsid w:val="00DE1522"/>
    <w:rsid w:val="00DE2CC2"/>
    <w:rsid w:val="00DE462A"/>
    <w:rsid w:val="00DE4DE4"/>
    <w:rsid w:val="00DE5946"/>
    <w:rsid w:val="00DE5EBD"/>
    <w:rsid w:val="00DE60CD"/>
    <w:rsid w:val="00DF1572"/>
    <w:rsid w:val="00DF15A1"/>
    <w:rsid w:val="00DF285F"/>
    <w:rsid w:val="00DF3CD4"/>
    <w:rsid w:val="00DF3DCD"/>
    <w:rsid w:val="00DF3ED5"/>
    <w:rsid w:val="00DF5D6E"/>
    <w:rsid w:val="00DF6768"/>
    <w:rsid w:val="00E015FB"/>
    <w:rsid w:val="00E01FD1"/>
    <w:rsid w:val="00E0267A"/>
    <w:rsid w:val="00E028DC"/>
    <w:rsid w:val="00E02AF2"/>
    <w:rsid w:val="00E04292"/>
    <w:rsid w:val="00E049BE"/>
    <w:rsid w:val="00E04B61"/>
    <w:rsid w:val="00E04BB7"/>
    <w:rsid w:val="00E053F1"/>
    <w:rsid w:val="00E05A63"/>
    <w:rsid w:val="00E05B2C"/>
    <w:rsid w:val="00E06746"/>
    <w:rsid w:val="00E0706D"/>
    <w:rsid w:val="00E07EB8"/>
    <w:rsid w:val="00E102FC"/>
    <w:rsid w:val="00E10312"/>
    <w:rsid w:val="00E10BC7"/>
    <w:rsid w:val="00E11052"/>
    <w:rsid w:val="00E1105F"/>
    <w:rsid w:val="00E15A27"/>
    <w:rsid w:val="00E17539"/>
    <w:rsid w:val="00E208D2"/>
    <w:rsid w:val="00E210C0"/>
    <w:rsid w:val="00E21CA7"/>
    <w:rsid w:val="00E21D8C"/>
    <w:rsid w:val="00E22051"/>
    <w:rsid w:val="00E231B7"/>
    <w:rsid w:val="00E239AF"/>
    <w:rsid w:val="00E23B34"/>
    <w:rsid w:val="00E2494E"/>
    <w:rsid w:val="00E25471"/>
    <w:rsid w:val="00E279EC"/>
    <w:rsid w:val="00E3027B"/>
    <w:rsid w:val="00E3074D"/>
    <w:rsid w:val="00E30D61"/>
    <w:rsid w:val="00E315A6"/>
    <w:rsid w:val="00E31B98"/>
    <w:rsid w:val="00E33EB4"/>
    <w:rsid w:val="00E34724"/>
    <w:rsid w:val="00E35C99"/>
    <w:rsid w:val="00E35F09"/>
    <w:rsid w:val="00E37873"/>
    <w:rsid w:val="00E42CEA"/>
    <w:rsid w:val="00E453F7"/>
    <w:rsid w:val="00E46259"/>
    <w:rsid w:val="00E471A9"/>
    <w:rsid w:val="00E47741"/>
    <w:rsid w:val="00E50668"/>
    <w:rsid w:val="00E50FF7"/>
    <w:rsid w:val="00E52D6C"/>
    <w:rsid w:val="00E551FB"/>
    <w:rsid w:val="00E55590"/>
    <w:rsid w:val="00E5740D"/>
    <w:rsid w:val="00E61914"/>
    <w:rsid w:val="00E61B49"/>
    <w:rsid w:val="00E62D4F"/>
    <w:rsid w:val="00E62E1E"/>
    <w:rsid w:val="00E6480B"/>
    <w:rsid w:val="00E663CD"/>
    <w:rsid w:val="00E67993"/>
    <w:rsid w:val="00E67A54"/>
    <w:rsid w:val="00E67B48"/>
    <w:rsid w:val="00E717D3"/>
    <w:rsid w:val="00E72660"/>
    <w:rsid w:val="00E73247"/>
    <w:rsid w:val="00E7419D"/>
    <w:rsid w:val="00E74E4F"/>
    <w:rsid w:val="00E75E6E"/>
    <w:rsid w:val="00E762F1"/>
    <w:rsid w:val="00E773E8"/>
    <w:rsid w:val="00E80072"/>
    <w:rsid w:val="00E81BC8"/>
    <w:rsid w:val="00E81CF1"/>
    <w:rsid w:val="00E83255"/>
    <w:rsid w:val="00E83316"/>
    <w:rsid w:val="00E83FC6"/>
    <w:rsid w:val="00E87E22"/>
    <w:rsid w:val="00E90004"/>
    <w:rsid w:val="00E90F93"/>
    <w:rsid w:val="00E923AF"/>
    <w:rsid w:val="00E932A6"/>
    <w:rsid w:val="00E941EA"/>
    <w:rsid w:val="00E94ED4"/>
    <w:rsid w:val="00E9752E"/>
    <w:rsid w:val="00EA00AA"/>
    <w:rsid w:val="00EA00B3"/>
    <w:rsid w:val="00EA0A8D"/>
    <w:rsid w:val="00EA2F1B"/>
    <w:rsid w:val="00EA397D"/>
    <w:rsid w:val="00EA5C23"/>
    <w:rsid w:val="00EA6679"/>
    <w:rsid w:val="00EA67C7"/>
    <w:rsid w:val="00EA6852"/>
    <w:rsid w:val="00EA7428"/>
    <w:rsid w:val="00EA7CE0"/>
    <w:rsid w:val="00EB0B60"/>
    <w:rsid w:val="00EB2349"/>
    <w:rsid w:val="00EB475B"/>
    <w:rsid w:val="00EB52F8"/>
    <w:rsid w:val="00EB5538"/>
    <w:rsid w:val="00EB61B5"/>
    <w:rsid w:val="00EB7F44"/>
    <w:rsid w:val="00EC2446"/>
    <w:rsid w:val="00EC2AB5"/>
    <w:rsid w:val="00EC368D"/>
    <w:rsid w:val="00EC409C"/>
    <w:rsid w:val="00EC51E6"/>
    <w:rsid w:val="00EC591D"/>
    <w:rsid w:val="00EC66FF"/>
    <w:rsid w:val="00EC6BF5"/>
    <w:rsid w:val="00EC7224"/>
    <w:rsid w:val="00EC7979"/>
    <w:rsid w:val="00ED188D"/>
    <w:rsid w:val="00ED59D8"/>
    <w:rsid w:val="00EE0839"/>
    <w:rsid w:val="00EE115B"/>
    <w:rsid w:val="00EE1AD5"/>
    <w:rsid w:val="00EE22D0"/>
    <w:rsid w:val="00EE3BF3"/>
    <w:rsid w:val="00EE457E"/>
    <w:rsid w:val="00EE49D4"/>
    <w:rsid w:val="00EE605E"/>
    <w:rsid w:val="00EE6344"/>
    <w:rsid w:val="00EE7DAB"/>
    <w:rsid w:val="00EF05A3"/>
    <w:rsid w:val="00EF0D48"/>
    <w:rsid w:val="00EF16F3"/>
    <w:rsid w:val="00EF17EB"/>
    <w:rsid w:val="00EF1D64"/>
    <w:rsid w:val="00EF2CE1"/>
    <w:rsid w:val="00EF302D"/>
    <w:rsid w:val="00EF4AEC"/>
    <w:rsid w:val="00EF4B1B"/>
    <w:rsid w:val="00EF559E"/>
    <w:rsid w:val="00EF6F58"/>
    <w:rsid w:val="00EF71E2"/>
    <w:rsid w:val="00EF7271"/>
    <w:rsid w:val="00EF7727"/>
    <w:rsid w:val="00EF7B5C"/>
    <w:rsid w:val="00EF7ECC"/>
    <w:rsid w:val="00F005DF"/>
    <w:rsid w:val="00F00757"/>
    <w:rsid w:val="00F009C2"/>
    <w:rsid w:val="00F00AD3"/>
    <w:rsid w:val="00F02E59"/>
    <w:rsid w:val="00F033FD"/>
    <w:rsid w:val="00F04F5E"/>
    <w:rsid w:val="00F07A47"/>
    <w:rsid w:val="00F07DE2"/>
    <w:rsid w:val="00F10F2B"/>
    <w:rsid w:val="00F1288C"/>
    <w:rsid w:val="00F12956"/>
    <w:rsid w:val="00F13074"/>
    <w:rsid w:val="00F1493F"/>
    <w:rsid w:val="00F15685"/>
    <w:rsid w:val="00F162AB"/>
    <w:rsid w:val="00F16A84"/>
    <w:rsid w:val="00F238A5"/>
    <w:rsid w:val="00F23AAA"/>
    <w:rsid w:val="00F27486"/>
    <w:rsid w:val="00F27586"/>
    <w:rsid w:val="00F276DE"/>
    <w:rsid w:val="00F301A8"/>
    <w:rsid w:val="00F30AEC"/>
    <w:rsid w:val="00F30FE6"/>
    <w:rsid w:val="00F31CF2"/>
    <w:rsid w:val="00F34943"/>
    <w:rsid w:val="00F35238"/>
    <w:rsid w:val="00F35505"/>
    <w:rsid w:val="00F35610"/>
    <w:rsid w:val="00F365C6"/>
    <w:rsid w:val="00F36684"/>
    <w:rsid w:val="00F40048"/>
    <w:rsid w:val="00F4019B"/>
    <w:rsid w:val="00F402DC"/>
    <w:rsid w:val="00F40624"/>
    <w:rsid w:val="00F40AB2"/>
    <w:rsid w:val="00F42CF2"/>
    <w:rsid w:val="00F4383B"/>
    <w:rsid w:val="00F44B0B"/>
    <w:rsid w:val="00F44DA2"/>
    <w:rsid w:val="00F4575C"/>
    <w:rsid w:val="00F45C7B"/>
    <w:rsid w:val="00F46E07"/>
    <w:rsid w:val="00F503EF"/>
    <w:rsid w:val="00F51620"/>
    <w:rsid w:val="00F5316E"/>
    <w:rsid w:val="00F53D3B"/>
    <w:rsid w:val="00F542A7"/>
    <w:rsid w:val="00F56A54"/>
    <w:rsid w:val="00F56E9A"/>
    <w:rsid w:val="00F602CC"/>
    <w:rsid w:val="00F6042C"/>
    <w:rsid w:val="00F62E82"/>
    <w:rsid w:val="00F6384F"/>
    <w:rsid w:val="00F64B9F"/>
    <w:rsid w:val="00F64DA2"/>
    <w:rsid w:val="00F64DC7"/>
    <w:rsid w:val="00F65CED"/>
    <w:rsid w:val="00F66461"/>
    <w:rsid w:val="00F665AF"/>
    <w:rsid w:val="00F669B8"/>
    <w:rsid w:val="00F676B2"/>
    <w:rsid w:val="00F708DB"/>
    <w:rsid w:val="00F715AB"/>
    <w:rsid w:val="00F718D0"/>
    <w:rsid w:val="00F72364"/>
    <w:rsid w:val="00F7329C"/>
    <w:rsid w:val="00F74EE0"/>
    <w:rsid w:val="00F75C09"/>
    <w:rsid w:val="00F765B2"/>
    <w:rsid w:val="00F76734"/>
    <w:rsid w:val="00F7676A"/>
    <w:rsid w:val="00F76A65"/>
    <w:rsid w:val="00F77433"/>
    <w:rsid w:val="00F841DD"/>
    <w:rsid w:val="00F84460"/>
    <w:rsid w:val="00F85FE8"/>
    <w:rsid w:val="00F94C90"/>
    <w:rsid w:val="00F95673"/>
    <w:rsid w:val="00F96252"/>
    <w:rsid w:val="00F973A2"/>
    <w:rsid w:val="00F973CB"/>
    <w:rsid w:val="00FA0A9C"/>
    <w:rsid w:val="00FA0C53"/>
    <w:rsid w:val="00FA11AE"/>
    <w:rsid w:val="00FA2DE8"/>
    <w:rsid w:val="00FA4DD4"/>
    <w:rsid w:val="00FA5D08"/>
    <w:rsid w:val="00FA7091"/>
    <w:rsid w:val="00FA73F9"/>
    <w:rsid w:val="00FA760F"/>
    <w:rsid w:val="00FA7E35"/>
    <w:rsid w:val="00FB01BD"/>
    <w:rsid w:val="00FB0604"/>
    <w:rsid w:val="00FB1006"/>
    <w:rsid w:val="00FB1A61"/>
    <w:rsid w:val="00FB29CC"/>
    <w:rsid w:val="00FB2B93"/>
    <w:rsid w:val="00FB33BE"/>
    <w:rsid w:val="00FB38A0"/>
    <w:rsid w:val="00FB4F19"/>
    <w:rsid w:val="00FB62CA"/>
    <w:rsid w:val="00FB63C2"/>
    <w:rsid w:val="00FB7043"/>
    <w:rsid w:val="00FC1178"/>
    <w:rsid w:val="00FC18FD"/>
    <w:rsid w:val="00FC1B4E"/>
    <w:rsid w:val="00FC293C"/>
    <w:rsid w:val="00FC2F86"/>
    <w:rsid w:val="00FC300E"/>
    <w:rsid w:val="00FC3C8A"/>
    <w:rsid w:val="00FC3ED2"/>
    <w:rsid w:val="00FC4744"/>
    <w:rsid w:val="00FC70CE"/>
    <w:rsid w:val="00FD0A07"/>
    <w:rsid w:val="00FD106C"/>
    <w:rsid w:val="00FD1A80"/>
    <w:rsid w:val="00FD2126"/>
    <w:rsid w:val="00FD3EDB"/>
    <w:rsid w:val="00FD4F5D"/>
    <w:rsid w:val="00FE013A"/>
    <w:rsid w:val="00FE0E77"/>
    <w:rsid w:val="00FE123D"/>
    <w:rsid w:val="00FE37BF"/>
    <w:rsid w:val="00FE37EC"/>
    <w:rsid w:val="00FE570F"/>
    <w:rsid w:val="00FE63BB"/>
    <w:rsid w:val="00FE6ED3"/>
    <w:rsid w:val="00FE707F"/>
    <w:rsid w:val="00FE7B57"/>
    <w:rsid w:val="00FF0D43"/>
    <w:rsid w:val="00FF1AA6"/>
    <w:rsid w:val="00FF1E1D"/>
    <w:rsid w:val="00FF2AED"/>
    <w:rsid w:val="00FF6980"/>
    <w:rsid w:val="00FF6AF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4A3AF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A2205"/>
    <w:pPr>
      <w:spacing w:before="80" w:after="120" w:line="280" w:lineRule="atLeast"/>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 Body Text"/>
    <w:rsid w:val="00BA2205"/>
    <w:pPr>
      <w:suppressAutoHyphens/>
      <w:spacing w:before="80" w:after="120" w:line="280" w:lineRule="atLeast"/>
    </w:pPr>
    <w:rPr>
      <w:rFonts w:ascii="Times New Roman" w:eastAsia="Times New Roman" w:hAnsi="Times New Roman" w:cs="Times New Roman"/>
      <w:snapToGrid w:val="0"/>
      <w:sz w:val="24"/>
      <w:szCs w:val="20"/>
    </w:rPr>
  </w:style>
  <w:style w:type="paragraph" w:customStyle="1" w:styleId="ACMAHeading1">
    <w:name w:val="ACMA Heading 1"/>
    <w:next w:val="ACMABodyText"/>
    <w:rsid w:val="00BA2205"/>
    <w:pPr>
      <w:keepNext/>
      <w:suppressAutoHyphens/>
      <w:spacing w:before="320" w:after="0" w:line="240" w:lineRule="auto"/>
      <w:outlineLvl w:val="1"/>
    </w:pPr>
    <w:rPr>
      <w:rFonts w:ascii="Arial" w:eastAsia="Times New Roman" w:hAnsi="Arial" w:cs="Times New Roman"/>
      <w:b/>
      <w:sz w:val="36"/>
      <w:szCs w:val="20"/>
    </w:rPr>
  </w:style>
  <w:style w:type="paragraph" w:styleId="FootnoteText">
    <w:name w:val="footnote text"/>
    <w:aliases w:val="ACMA Footnote Text"/>
    <w:link w:val="FootnoteTextChar"/>
    <w:rsid w:val="00BA2205"/>
    <w:pPr>
      <w:tabs>
        <w:tab w:val="left" w:pos="284"/>
      </w:tabs>
      <w:spacing w:after="0" w:line="240" w:lineRule="auto"/>
      <w:ind w:left="288" w:hanging="288"/>
    </w:pPr>
    <w:rPr>
      <w:rFonts w:ascii="Times New Roman" w:eastAsia="Times New Roman" w:hAnsi="Times New Roman" w:cs="Times New Roman"/>
      <w:sz w:val="20"/>
      <w:szCs w:val="20"/>
    </w:rPr>
  </w:style>
  <w:style w:type="character" w:customStyle="1" w:styleId="FootnoteTextChar">
    <w:name w:val="Footnote Text Char"/>
    <w:aliases w:val="ACMA Footnote Text Char"/>
    <w:basedOn w:val="DefaultParagraphFont"/>
    <w:link w:val="FootnoteText"/>
    <w:uiPriority w:val="99"/>
    <w:rsid w:val="00BA2205"/>
    <w:rPr>
      <w:rFonts w:ascii="Times New Roman" w:eastAsia="Times New Roman" w:hAnsi="Times New Roman" w:cs="Times New Roman"/>
      <w:sz w:val="20"/>
      <w:szCs w:val="20"/>
    </w:rPr>
  </w:style>
  <w:style w:type="paragraph" w:customStyle="1" w:styleId="ACMABulletLevel1">
    <w:name w:val="ACMA Bullet Level 1"/>
    <w:rsid w:val="00BA2205"/>
    <w:pPr>
      <w:numPr>
        <w:numId w:val="1"/>
      </w:numPr>
      <w:spacing w:after="0" w:line="240" w:lineRule="auto"/>
    </w:pPr>
    <w:rPr>
      <w:rFonts w:ascii="Times New Roman" w:eastAsia="Times New Roman" w:hAnsi="Times New Roman" w:cs="Times New Roman"/>
      <w:sz w:val="24"/>
      <w:szCs w:val="20"/>
    </w:rPr>
  </w:style>
  <w:style w:type="paragraph" w:customStyle="1" w:styleId="ACMAFooterEven">
    <w:name w:val="ACMA Footer (Even)"/>
    <w:rsid w:val="00BA2205"/>
    <w:pPr>
      <w:pBdr>
        <w:top w:val="single" w:sz="2" w:space="4" w:color="auto"/>
      </w:pBdr>
      <w:tabs>
        <w:tab w:val="right" w:pos="8352"/>
      </w:tabs>
      <w:spacing w:after="0" w:line="240" w:lineRule="auto"/>
      <w:ind w:left="288" w:hanging="288"/>
    </w:pPr>
    <w:rPr>
      <w:rFonts w:ascii="Arial" w:eastAsia="Times New Roman" w:hAnsi="Arial" w:cs="Times New Roman"/>
      <w:sz w:val="20"/>
      <w:szCs w:val="20"/>
    </w:rPr>
  </w:style>
  <w:style w:type="paragraph" w:customStyle="1" w:styleId="ACMAHeading2">
    <w:name w:val="ACMA Heading 2"/>
    <w:next w:val="ACMABodyText"/>
    <w:rsid w:val="00BA2205"/>
    <w:pPr>
      <w:keepNext/>
      <w:suppressAutoHyphens/>
      <w:spacing w:before="240" w:after="0" w:line="240" w:lineRule="auto"/>
      <w:outlineLvl w:val="2"/>
    </w:pPr>
    <w:rPr>
      <w:rFonts w:ascii="Arial" w:eastAsia="Times New Roman" w:hAnsi="Arial" w:cs="Times New Roman"/>
      <w:b/>
      <w:sz w:val="28"/>
      <w:szCs w:val="20"/>
    </w:rPr>
  </w:style>
  <w:style w:type="paragraph" w:customStyle="1" w:styleId="ACMATableHeading">
    <w:name w:val="ACMA Table Heading"/>
    <w:rsid w:val="00BA2205"/>
    <w:pPr>
      <w:spacing w:before="40" w:after="40" w:line="240" w:lineRule="auto"/>
    </w:pPr>
    <w:rPr>
      <w:rFonts w:ascii="Arial" w:eastAsia="Times New Roman" w:hAnsi="Arial" w:cs="Times New Roman"/>
      <w:b/>
      <w:sz w:val="20"/>
      <w:szCs w:val="20"/>
    </w:rPr>
  </w:style>
  <w:style w:type="paragraph" w:customStyle="1" w:styleId="ACMATableText">
    <w:name w:val="ACMA Table Text"/>
    <w:rsid w:val="00BA2205"/>
    <w:pPr>
      <w:spacing w:before="40" w:after="40" w:line="240" w:lineRule="auto"/>
    </w:pPr>
    <w:rPr>
      <w:rFonts w:ascii="Arial" w:eastAsia="Times New Roman" w:hAnsi="Arial" w:cs="Times New Roman"/>
      <w:sz w:val="20"/>
      <w:szCs w:val="20"/>
    </w:rPr>
  </w:style>
  <w:style w:type="character" w:styleId="FootnoteReference">
    <w:name w:val="footnote reference"/>
    <w:basedOn w:val="DefaultParagraphFont"/>
    <w:rsid w:val="00BA2205"/>
    <w:rPr>
      <w:vertAlign w:val="superscript"/>
    </w:rPr>
  </w:style>
  <w:style w:type="paragraph" w:styleId="BalloonText">
    <w:name w:val="Balloon Text"/>
    <w:basedOn w:val="Normal"/>
    <w:link w:val="BalloonTextChar"/>
    <w:uiPriority w:val="99"/>
    <w:semiHidden/>
    <w:unhideWhenUsed/>
    <w:rsid w:val="00BA2205"/>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2205"/>
    <w:rPr>
      <w:rFonts w:ascii="Tahoma" w:eastAsia="Times New Roman" w:hAnsi="Tahoma" w:cs="Tahoma"/>
      <w:sz w:val="16"/>
      <w:szCs w:val="16"/>
    </w:rPr>
  </w:style>
  <w:style w:type="paragraph" w:styleId="Header">
    <w:name w:val="header"/>
    <w:basedOn w:val="Normal"/>
    <w:link w:val="HeaderChar"/>
    <w:uiPriority w:val="99"/>
    <w:unhideWhenUsed/>
    <w:rsid w:val="008D158F"/>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8D158F"/>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D158F"/>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8D158F"/>
    <w:rPr>
      <w:rFonts w:ascii="Times New Roman" w:eastAsia="Times New Roman" w:hAnsi="Times New Roman" w:cs="Times New Roman"/>
      <w:sz w:val="24"/>
      <w:szCs w:val="24"/>
    </w:rPr>
  </w:style>
  <w:style w:type="character" w:styleId="CommentReference">
    <w:name w:val="annotation reference"/>
    <w:basedOn w:val="DefaultParagraphFont"/>
    <w:uiPriority w:val="99"/>
    <w:unhideWhenUsed/>
    <w:rsid w:val="00A20413"/>
    <w:rPr>
      <w:sz w:val="16"/>
      <w:szCs w:val="16"/>
    </w:rPr>
  </w:style>
  <w:style w:type="paragraph" w:styleId="CommentText">
    <w:name w:val="annotation text"/>
    <w:basedOn w:val="Normal"/>
    <w:link w:val="CommentTextChar"/>
    <w:uiPriority w:val="99"/>
    <w:unhideWhenUsed/>
    <w:rsid w:val="00A20413"/>
    <w:pPr>
      <w:spacing w:line="240" w:lineRule="auto"/>
    </w:pPr>
    <w:rPr>
      <w:sz w:val="20"/>
      <w:szCs w:val="20"/>
    </w:rPr>
  </w:style>
  <w:style w:type="character" w:customStyle="1" w:styleId="CommentTextChar">
    <w:name w:val="Comment Text Char"/>
    <w:basedOn w:val="DefaultParagraphFont"/>
    <w:link w:val="CommentText"/>
    <w:uiPriority w:val="99"/>
    <w:rsid w:val="00A20413"/>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A20413"/>
    <w:rPr>
      <w:b/>
      <w:bCs/>
    </w:rPr>
  </w:style>
  <w:style w:type="character" w:customStyle="1" w:styleId="CommentSubjectChar">
    <w:name w:val="Comment Subject Char"/>
    <w:basedOn w:val="CommentTextChar"/>
    <w:link w:val="CommentSubject"/>
    <w:uiPriority w:val="99"/>
    <w:semiHidden/>
    <w:rsid w:val="00A20413"/>
    <w:rPr>
      <w:rFonts w:ascii="Times New Roman" w:eastAsia="Times New Roman" w:hAnsi="Times New Roman" w:cs="Times New Roman"/>
      <w:b/>
      <w:bCs/>
      <w:sz w:val="20"/>
      <w:szCs w:val="20"/>
    </w:rPr>
  </w:style>
  <w:style w:type="paragraph" w:styleId="ListParagraph">
    <w:name w:val="List Paragraph"/>
    <w:basedOn w:val="Normal"/>
    <w:uiPriority w:val="34"/>
    <w:qFormat/>
    <w:rsid w:val="009143E4"/>
    <w:pPr>
      <w:ind w:left="720"/>
      <w:contextualSpacing/>
    </w:pPr>
  </w:style>
  <w:style w:type="paragraph" w:styleId="Revision">
    <w:name w:val="Revision"/>
    <w:hidden/>
    <w:uiPriority w:val="99"/>
    <w:semiHidden/>
    <w:rsid w:val="00D37FBC"/>
    <w:pPr>
      <w:spacing w:after="0"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712DFA"/>
    <w:rPr>
      <w:color w:val="0000FF" w:themeColor="hyperlink"/>
      <w:u w:val="single"/>
    </w:rPr>
  </w:style>
  <w:style w:type="table" w:styleId="TableGrid">
    <w:name w:val="Table Grid"/>
    <w:basedOn w:val="TableNormal"/>
    <w:uiPriority w:val="39"/>
    <w:rsid w:val="009A14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D4A50"/>
    <w:pPr>
      <w:autoSpaceDE w:val="0"/>
      <w:autoSpaceDN w:val="0"/>
      <w:adjustRightInd w:val="0"/>
      <w:spacing w:after="0" w:line="240" w:lineRule="auto"/>
    </w:pPr>
    <w:rPr>
      <w:rFonts w:ascii="Century Gothic" w:hAnsi="Century Gothic" w:cs="Century Gothic"/>
      <w:color w:val="000000"/>
      <w:sz w:val="24"/>
      <w:szCs w:val="24"/>
    </w:rPr>
  </w:style>
  <w:style w:type="character" w:styleId="UnresolvedMention">
    <w:name w:val="Unresolved Mention"/>
    <w:basedOn w:val="DefaultParagraphFont"/>
    <w:uiPriority w:val="99"/>
    <w:semiHidden/>
    <w:unhideWhenUsed/>
    <w:rsid w:val="00020738"/>
    <w:rPr>
      <w:color w:val="605E5C"/>
      <w:shd w:val="clear" w:color="auto" w:fill="E1DFDD"/>
    </w:rPr>
  </w:style>
  <w:style w:type="paragraph" w:customStyle="1" w:styleId="RecipientLetter">
    <w:name w:val="Recipient Letter"/>
    <w:basedOn w:val="Normal"/>
    <w:rsid w:val="00F665AF"/>
    <w:pPr>
      <w:spacing w:before="0" w:after="0" w:line="260" w:lineRule="atLeast"/>
    </w:pPr>
    <w:rPr>
      <w:rFonts w:ascii="Arial" w:hAnsi="Arial"/>
      <w:color w:val="4D4D4F"/>
      <w:sz w:val="19"/>
      <w:lang w:eastAsia="en-AU"/>
    </w:rPr>
  </w:style>
  <w:style w:type="character" w:styleId="PlaceholderText">
    <w:name w:val="Placeholder Text"/>
    <w:basedOn w:val="DefaultParagraphFont"/>
    <w:uiPriority w:val="99"/>
    <w:semiHidden/>
    <w:rsid w:val="00F665AF"/>
    <w:rPr>
      <w:color w:val="808080"/>
    </w:rPr>
  </w:style>
  <w:style w:type="character" w:styleId="FollowedHyperlink">
    <w:name w:val="FollowedHyperlink"/>
    <w:basedOn w:val="DefaultParagraphFont"/>
    <w:uiPriority w:val="99"/>
    <w:semiHidden/>
    <w:unhideWhenUsed/>
    <w:rsid w:val="002658C4"/>
    <w:rPr>
      <w:color w:val="800080" w:themeColor="followedHyperlink"/>
      <w:u w:val="single"/>
    </w:rPr>
  </w:style>
  <w:style w:type="paragraph" w:styleId="EndnoteText">
    <w:name w:val="endnote text"/>
    <w:basedOn w:val="Normal"/>
    <w:link w:val="EndnoteTextChar"/>
    <w:uiPriority w:val="99"/>
    <w:semiHidden/>
    <w:unhideWhenUsed/>
    <w:rsid w:val="001A2101"/>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1A2101"/>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1A210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4661789">
      <w:bodyDiv w:val="1"/>
      <w:marLeft w:val="0"/>
      <w:marRight w:val="0"/>
      <w:marTop w:val="0"/>
      <w:marBottom w:val="0"/>
      <w:divBdr>
        <w:top w:val="none" w:sz="0" w:space="0" w:color="auto"/>
        <w:left w:val="none" w:sz="0" w:space="0" w:color="auto"/>
        <w:bottom w:val="none" w:sz="0" w:space="0" w:color="auto"/>
        <w:right w:val="none" w:sz="0" w:space="0" w:color="auto"/>
      </w:divBdr>
    </w:div>
    <w:div w:id="1026710571">
      <w:bodyDiv w:val="1"/>
      <w:marLeft w:val="0"/>
      <w:marRight w:val="0"/>
      <w:marTop w:val="0"/>
      <w:marBottom w:val="0"/>
      <w:divBdr>
        <w:top w:val="none" w:sz="0" w:space="0" w:color="auto"/>
        <w:left w:val="none" w:sz="0" w:space="0" w:color="auto"/>
        <w:bottom w:val="none" w:sz="0" w:space="0" w:color="auto"/>
        <w:right w:val="none" w:sz="0" w:space="0" w:color="auto"/>
      </w:divBdr>
    </w:div>
    <w:div w:id="1136222677">
      <w:bodyDiv w:val="1"/>
      <w:marLeft w:val="0"/>
      <w:marRight w:val="0"/>
      <w:marTop w:val="0"/>
      <w:marBottom w:val="0"/>
      <w:divBdr>
        <w:top w:val="none" w:sz="0" w:space="0" w:color="auto"/>
        <w:left w:val="none" w:sz="0" w:space="0" w:color="auto"/>
        <w:bottom w:val="none" w:sz="0" w:space="0" w:color="auto"/>
        <w:right w:val="none" w:sz="0" w:space="0" w:color="auto"/>
      </w:divBdr>
    </w:div>
    <w:div w:id="1373338002">
      <w:bodyDiv w:val="1"/>
      <w:marLeft w:val="0"/>
      <w:marRight w:val="0"/>
      <w:marTop w:val="0"/>
      <w:marBottom w:val="0"/>
      <w:divBdr>
        <w:top w:val="none" w:sz="0" w:space="0" w:color="auto"/>
        <w:left w:val="none" w:sz="0" w:space="0" w:color="auto"/>
        <w:bottom w:val="none" w:sz="0" w:space="0" w:color="auto"/>
        <w:right w:val="none" w:sz="0" w:space="0" w:color="auto"/>
      </w:divBdr>
    </w:div>
    <w:div w:id="1723557218">
      <w:bodyDiv w:val="1"/>
      <w:marLeft w:val="0"/>
      <w:marRight w:val="0"/>
      <w:marTop w:val="0"/>
      <w:marBottom w:val="0"/>
      <w:divBdr>
        <w:top w:val="none" w:sz="0" w:space="0" w:color="auto"/>
        <w:left w:val="none" w:sz="0" w:space="0" w:color="auto"/>
        <w:bottom w:val="none" w:sz="0" w:space="0" w:color="auto"/>
        <w:right w:val="none" w:sz="0" w:space="0" w:color="auto"/>
      </w:divBdr>
    </w:div>
    <w:div w:id="1831434676">
      <w:bodyDiv w:val="1"/>
      <w:marLeft w:val="0"/>
      <w:marRight w:val="0"/>
      <w:marTop w:val="0"/>
      <w:marBottom w:val="0"/>
      <w:divBdr>
        <w:top w:val="none" w:sz="0" w:space="0" w:color="auto"/>
        <w:left w:val="none" w:sz="0" w:space="0" w:color="auto"/>
        <w:bottom w:val="none" w:sz="0" w:space="0" w:color="auto"/>
        <w:right w:val="none" w:sz="0" w:space="0" w:color="auto"/>
      </w:divBdr>
    </w:div>
    <w:div w:id="2018075603">
      <w:bodyDiv w:val="1"/>
      <w:marLeft w:val="0"/>
      <w:marRight w:val="0"/>
      <w:marTop w:val="0"/>
      <w:marBottom w:val="0"/>
      <w:divBdr>
        <w:top w:val="none" w:sz="0" w:space="0" w:color="auto"/>
        <w:left w:val="none" w:sz="0" w:space="0" w:color="auto"/>
        <w:bottom w:val="none" w:sz="0" w:space="0" w:color="auto"/>
        <w:right w:val="none" w:sz="0" w:space="0" w:color="auto"/>
      </w:divBdr>
    </w:div>
    <w:div w:id="2084378262">
      <w:bodyDiv w:val="1"/>
      <w:marLeft w:val="0"/>
      <w:marRight w:val="0"/>
      <w:marTop w:val="0"/>
      <w:marBottom w:val="0"/>
      <w:divBdr>
        <w:top w:val="none" w:sz="0" w:space="0" w:color="auto"/>
        <w:left w:val="none" w:sz="0" w:space="0" w:color="auto"/>
        <w:bottom w:val="none" w:sz="0" w:space="0" w:color="auto"/>
        <w:right w:val="none" w:sz="0" w:space="0" w:color="auto"/>
      </w:divBdr>
    </w:div>
    <w:div w:id="2117825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1308</Words>
  <Characters>7459</Characters>
  <Application>Microsoft Office Word</Application>
  <DocSecurity>2</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2021-04-23T05:11:00Z</dcterms:created>
  <dcterms:modified xsi:type="dcterms:W3CDTF">2021-05-20T04:45:00Z</dcterms:modified>
</cp:coreProperties>
</file>