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3F4D" w14:textId="3E6EAB73" w:rsidR="00F06E14" w:rsidRPr="00A51D1A" w:rsidRDefault="007A3E47" w:rsidP="00182701">
      <w:pPr>
        <w:pStyle w:val="ACMAReportTitle"/>
        <w:spacing w:before="120" w:after="120" w:line="240" w:lineRule="auto"/>
      </w:pPr>
      <w:r w:rsidRPr="00544B0C">
        <w:t xml:space="preserve">Development of the </w:t>
      </w:r>
      <w:r w:rsidR="00E36B1C">
        <w:t>850</w:t>
      </w:r>
      <w:r w:rsidR="000D1C26">
        <w:t xml:space="preserve"> </w:t>
      </w:r>
      <w:r w:rsidR="00E36B1C">
        <w:t>MHz expansion and 900</w:t>
      </w:r>
      <w:r w:rsidR="000D1C26">
        <w:t xml:space="preserve"> </w:t>
      </w:r>
      <w:r w:rsidR="00E36B1C">
        <w:t xml:space="preserve">MHz </w:t>
      </w:r>
      <w:r w:rsidRPr="00544B0C">
        <w:t xml:space="preserve">spectrum </w:t>
      </w:r>
      <w:r w:rsidR="004A5A42" w:rsidRPr="00544B0C">
        <w:t>licen</w:t>
      </w:r>
      <w:r w:rsidR="004A5A42">
        <w:t>sing</w:t>
      </w:r>
      <w:r w:rsidR="004A5A42" w:rsidRPr="00544B0C">
        <w:t xml:space="preserve"> </w:t>
      </w:r>
      <w:r w:rsidRPr="00544B0C">
        <w:t>technical framework</w:t>
      </w:r>
      <w:r w:rsidR="005E7E39">
        <w:t>s</w:t>
      </w:r>
    </w:p>
    <w:p w14:paraId="7E3581D2" w14:textId="77777777" w:rsidR="005A42C6" w:rsidRDefault="007A3E47">
      <w:pPr>
        <w:pStyle w:val="ACMAReportSubTitle"/>
        <w:spacing w:before="120" w:after="120" w:line="240" w:lineRule="auto"/>
      </w:pPr>
      <w:r w:rsidRPr="00544B0C">
        <w:t>Technical Liaison Group Consultation Paper</w:t>
      </w:r>
      <w:r w:rsidR="000D1C26">
        <w:t xml:space="preserve"> </w:t>
      </w:r>
    </w:p>
    <w:p w14:paraId="439E55B9" w14:textId="4B21E425" w:rsidR="007A3E47" w:rsidRPr="00544B0C" w:rsidRDefault="005A42C6" w:rsidP="00182701">
      <w:pPr>
        <w:pStyle w:val="ACMAReportSubTitle"/>
        <w:spacing w:before="120" w:after="120" w:line="240" w:lineRule="auto"/>
      </w:pPr>
      <w:r>
        <w:t xml:space="preserve">Version </w:t>
      </w:r>
      <w:r w:rsidR="00917B46">
        <w:t>3</w:t>
      </w:r>
    </w:p>
    <w:p w14:paraId="2C4B7180" w14:textId="469EE955" w:rsidR="00C97736" w:rsidRPr="000D76E0" w:rsidRDefault="00917B46" w:rsidP="00182701">
      <w:pPr>
        <w:pStyle w:val="Reportdate"/>
        <w:spacing w:before="120" w:after="1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April</w:t>
      </w:r>
      <w:r w:rsidR="00F656C8">
        <w:t xml:space="preserve"> </w:t>
      </w:r>
      <w:r w:rsidR="00BD4421">
        <w:t>20</w:t>
      </w:r>
      <w:r w:rsidR="008E0428">
        <w:t>2</w:t>
      </w:r>
      <w:r w:rsidR="001C61A2">
        <w:t>1</w:t>
      </w:r>
    </w:p>
    <w:p w14:paraId="654E066D" w14:textId="77777777" w:rsidR="0005011A" w:rsidRPr="00F44F3A" w:rsidRDefault="0005011A" w:rsidP="00182701">
      <w:pPr>
        <w:pStyle w:val="ACMACorporateAddressHeader"/>
        <w:spacing w:before="120" w:after="120" w:line="240" w:lineRule="auto"/>
      </w:pPr>
      <w:r w:rsidRPr="00F44F3A">
        <w:lastRenderedPageBreak/>
        <w:t>Canberra</w:t>
      </w:r>
    </w:p>
    <w:p w14:paraId="7D597602" w14:textId="77777777" w:rsidR="0005011A" w:rsidRPr="00FC07B9" w:rsidRDefault="0005011A" w:rsidP="00182701">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6C1138F0" w14:textId="77777777" w:rsidR="0005011A" w:rsidRPr="00FC07B9" w:rsidRDefault="0005011A" w:rsidP="00182701">
      <w:pPr>
        <w:pStyle w:val="ACMACorporateAddresses"/>
        <w:spacing w:before="120" w:line="240" w:lineRule="auto"/>
      </w:pPr>
      <w:r w:rsidRPr="00FC07B9">
        <w:t>PO Box 78</w:t>
      </w:r>
      <w:r w:rsidRPr="00FC07B9">
        <w:br/>
        <w:t>Belconnen ACT 2616</w:t>
      </w:r>
    </w:p>
    <w:p w14:paraId="6BC24619" w14:textId="77777777" w:rsidR="00FE1823" w:rsidRPr="00FC07B9" w:rsidRDefault="0005011A" w:rsidP="00182701">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1708111D" w14:textId="77777777" w:rsidR="0005011A" w:rsidRPr="00F44F3A" w:rsidRDefault="0005011A" w:rsidP="00182701">
      <w:pPr>
        <w:pStyle w:val="ACMACorporateAddressHeader"/>
        <w:spacing w:before="120" w:after="120" w:line="240" w:lineRule="auto"/>
      </w:pPr>
      <w:r w:rsidRPr="00F44F3A">
        <w:t>Melbourne</w:t>
      </w:r>
    </w:p>
    <w:p w14:paraId="2B854BE5" w14:textId="77777777" w:rsidR="0005011A" w:rsidRPr="00F44F3A" w:rsidRDefault="0005011A" w:rsidP="00182701">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BD592C" w14:textId="77777777" w:rsidR="0005011A" w:rsidRPr="00F44F3A" w:rsidRDefault="0005011A" w:rsidP="00182701">
      <w:pPr>
        <w:pStyle w:val="ACMACorporateAddresses"/>
        <w:spacing w:before="120" w:line="240" w:lineRule="auto"/>
      </w:pPr>
      <w:r w:rsidRPr="00F44F3A">
        <w:t>PO Box 13112</w:t>
      </w:r>
      <w:r w:rsidRPr="00F44F3A">
        <w:br/>
        <w:t xml:space="preserve">Law Courts </w:t>
      </w:r>
      <w:r w:rsidRPr="00F44F3A">
        <w:br/>
        <w:t>Melbourne VIC 8010</w:t>
      </w:r>
    </w:p>
    <w:p w14:paraId="0212C3AE" w14:textId="77777777" w:rsidR="0005011A" w:rsidRPr="00F44F3A" w:rsidRDefault="0005011A" w:rsidP="00182701">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24E9A3C2" w14:textId="77777777" w:rsidR="0005011A" w:rsidRPr="00F44F3A" w:rsidRDefault="0005011A" w:rsidP="00182701">
      <w:pPr>
        <w:pStyle w:val="ACMACorporateAddressHeader"/>
        <w:spacing w:before="120" w:after="120" w:line="240" w:lineRule="auto"/>
      </w:pPr>
      <w:r w:rsidRPr="00F44F3A">
        <w:t>Sydney</w:t>
      </w:r>
    </w:p>
    <w:p w14:paraId="323C1023" w14:textId="77777777" w:rsidR="0005011A" w:rsidRPr="00F44F3A" w:rsidRDefault="0005011A" w:rsidP="00182701">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4543E435" w14:textId="77777777" w:rsidR="0005011A" w:rsidRPr="00F44F3A" w:rsidRDefault="0005011A" w:rsidP="00182701">
      <w:pPr>
        <w:pStyle w:val="ACMACorporateAddresses"/>
        <w:spacing w:before="120" w:line="240" w:lineRule="auto"/>
      </w:pPr>
      <w:r w:rsidRPr="00F44F3A">
        <w:t>PO Box Q500</w:t>
      </w:r>
      <w:r w:rsidRPr="00F44F3A">
        <w:br/>
        <w:t xml:space="preserve">Queen Victoria Building </w:t>
      </w:r>
      <w:r w:rsidRPr="00F44F3A">
        <w:br/>
        <w:t>NSW 1230</w:t>
      </w:r>
    </w:p>
    <w:p w14:paraId="5896A8C2" w14:textId="77777777" w:rsidR="0005011A" w:rsidRPr="00F44F3A" w:rsidRDefault="0005011A" w:rsidP="00182701">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6D4FCB6" w14:textId="77777777" w:rsidR="00140318" w:rsidRPr="006D46E5" w:rsidRDefault="00140318" w:rsidP="00182701">
      <w:pPr>
        <w:pStyle w:val="ACMACopyrightHeader"/>
        <w:spacing w:before="120" w:after="120" w:line="240" w:lineRule="auto"/>
      </w:pPr>
      <w:r w:rsidRPr="00140318">
        <w:t>Copyright notice</w:t>
      </w:r>
    </w:p>
    <w:p w14:paraId="53EF8A9D" w14:textId="77777777" w:rsidR="00140318" w:rsidRPr="006D46E5" w:rsidRDefault="00623FF9" w:rsidP="00182701">
      <w:pPr>
        <w:pStyle w:val="ACMACClogo"/>
        <w:spacing w:before="120"/>
      </w:pPr>
      <w:r w:rsidRPr="00623FF9">
        <w:rPr>
          <w:noProof/>
        </w:rPr>
        <w:drawing>
          <wp:inline distT="0" distB="0" distL="0" distR="0" wp14:anchorId="1F2172A6" wp14:editId="613807D2">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27A5813A" w14:textId="77777777" w:rsidR="00AA2DE5" w:rsidRDefault="00E931F6" w:rsidP="00182701">
      <w:pPr>
        <w:pStyle w:val="ACMACorporateAddresses"/>
        <w:spacing w:before="120" w:line="240" w:lineRule="auto"/>
        <w:rPr>
          <w:rStyle w:val="Hyperlink"/>
          <w:b/>
        </w:rPr>
      </w:pPr>
      <w:hyperlink r:id="rId13" w:history="1">
        <w:r w:rsidR="00AA2DE5">
          <w:rPr>
            <w:rStyle w:val="Hyperlink"/>
          </w:rPr>
          <w:t>https://creativecommons.org/licenses/by/4.0/</w:t>
        </w:r>
      </w:hyperlink>
    </w:p>
    <w:p w14:paraId="135B5FE5" w14:textId="77777777" w:rsidR="00AA2DE5" w:rsidRDefault="00AA2DE5" w:rsidP="00182701">
      <w:pPr>
        <w:pStyle w:val="ACMACorporateAddresses"/>
        <w:spacing w:before="120" w:line="240" w:lineRule="auto"/>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337A9528" w14:textId="77777777" w:rsidR="00AA2DE5" w:rsidRDefault="00AA2DE5" w:rsidP="00182701">
      <w:pPr>
        <w:pStyle w:val="ACMACorporateAddresses"/>
        <w:spacing w:before="120" w:line="240" w:lineRule="auto"/>
      </w:pPr>
      <w:r>
        <w:t>We request attribution as © Commonwealth of Australia (Australian Communications and Media Authority) 20</w:t>
      </w:r>
      <w:r w:rsidR="00C41F21">
        <w:t>20</w:t>
      </w:r>
      <w:r>
        <w:t>.</w:t>
      </w:r>
    </w:p>
    <w:p w14:paraId="00B8E585" w14:textId="77777777" w:rsidR="00AA2DE5" w:rsidRDefault="00AA2DE5" w:rsidP="00182701">
      <w:pPr>
        <w:pStyle w:val="ACMACorporateAddresses"/>
        <w:spacing w:before="120" w:line="240" w:lineRule="auto"/>
      </w:pPr>
      <w:r>
        <w:t>All other rights are reserved.</w:t>
      </w:r>
    </w:p>
    <w:p w14:paraId="5049C574" w14:textId="77777777" w:rsidR="00AA2DE5" w:rsidRDefault="00AA2DE5" w:rsidP="00182701">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928DE71" w14:textId="77777777" w:rsidR="00AA2DE5" w:rsidRDefault="00AA2DE5" w:rsidP="00182701">
      <w:pPr>
        <w:pStyle w:val="ACMACorporateAddresses"/>
        <w:spacing w:before="120" w:line="240" w:lineRule="auto"/>
      </w:pPr>
      <w:r>
        <w:t>Written enquiries may be sent to:</w:t>
      </w:r>
    </w:p>
    <w:p w14:paraId="6FEA582F" w14:textId="77777777" w:rsidR="00AA2DE5" w:rsidRDefault="00AA2DE5" w:rsidP="00182701">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0C45F9B0" w14:textId="77777777" w:rsidR="00D16FE3" w:rsidRDefault="00D16FE3" w:rsidP="00182701">
      <w:pPr>
        <w:pStyle w:val="ACMACorporateAddresses"/>
        <w:spacing w:before="120" w:line="240" w:lineRule="auto"/>
        <w:rPr>
          <w:rStyle w:val="Hyperlink"/>
        </w:rPr>
      </w:pPr>
    </w:p>
    <w:p w14:paraId="73889D17" w14:textId="77777777" w:rsidR="00D16FE3" w:rsidRPr="00D16FE3" w:rsidRDefault="00D16FE3" w:rsidP="00182701">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9E4F9BB" w14:textId="0BC16AE3" w:rsidR="00742B84"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742B84">
        <w:t>Version Control</w:t>
      </w:r>
      <w:r w:rsidR="00742B84">
        <w:tab/>
      </w:r>
      <w:r w:rsidR="00742B84">
        <w:fldChar w:fldCharType="begin"/>
      </w:r>
      <w:r w:rsidR="00742B84">
        <w:instrText xml:space="preserve"> PAGEREF _Toc65674871 \h </w:instrText>
      </w:r>
      <w:r w:rsidR="00742B84">
        <w:fldChar w:fldCharType="separate"/>
      </w:r>
      <w:r w:rsidR="008F390D">
        <w:t>1</w:t>
      </w:r>
      <w:r w:rsidR="00742B84">
        <w:fldChar w:fldCharType="end"/>
      </w:r>
    </w:p>
    <w:p w14:paraId="504D3E38" w14:textId="073DD20A" w:rsidR="00742B84" w:rsidRDefault="00742B84">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_Toc65674872 \h </w:instrText>
      </w:r>
      <w:r>
        <w:fldChar w:fldCharType="separate"/>
      </w:r>
      <w:r w:rsidR="008F390D">
        <w:t>2</w:t>
      </w:r>
      <w:r>
        <w:fldChar w:fldCharType="end"/>
      </w:r>
    </w:p>
    <w:p w14:paraId="3E58C887" w14:textId="0ACE6EE3" w:rsidR="00742B84" w:rsidRDefault="00742B84">
      <w:pPr>
        <w:pStyle w:val="TOC2"/>
        <w:rPr>
          <w:rFonts w:asciiTheme="minorHAnsi" w:eastAsiaTheme="minorEastAsia" w:hAnsiTheme="minorHAnsi" w:cstheme="minorBidi"/>
          <w:spacing w:val="0"/>
          <w:sz w:val="22"/>
          <w:szCs w:val="22"/>
        </w:rPr>
      </w:pPr>
      <w:r>
        <w:t>Scope</w:t>
      </w:r>
      <w:r>
        <w:tab/>
      </w:r>
      <w:r w:rsidR="00AD4A65">
        <w:tab/>
      </w:r>
      <w:r>
        <w:fldChar w:fldCharType="begin"/>
      </w:r>
      <w:r>
        <w:instrText xml:space="preserve"> PAGEREF _Toc65674873 \h </w:instrText>
      </w:r>
      <w:r>
        <w:fldChar w:fldCharType="separate"/>
      </w:r>
      <w:r w:rsidR="008F390D">
        <w:t>5</w:t>
      </w:r>
      <w:r>
        <w:fldChar w:fldCharType="end"/>
      </w:r>
    </w:p>
    <w:p w14:paraId="6F11C93E" w14:textId="625848CB" w:rsidR="00742B84" w:rsidRDefault="00742B84">
      <w:pPr>
        <w:pStyle w:val="TOC2"/>
        <w:rPr>
          <w:rFonts w:asciiTheme="minorHAnsi" w:eastAsiaTheme="minorEastAsia" w:hAnsiTheme="minorHAnsi" w:cstheme="minorBidi"/>
          <w:spacing w:val="0"/>
          <w:sz w:val="22"/>
          <w:szCs w:val="22"/>
        </w:rPr>
      </w:pPr>
      <w:r>
        <w:t>Timeline</w:t>
      </w:r>
      <w:r w:rsidR="00AD4A65">
        <w:tab/>
      </w:r>
      <w:r>
        <w:tab/>
      </w:r>
      <w:r>
        <w:fldChar w:fldCharType="begin"/>
      </w:r>
      <w:r>
        <w:instrText xml:space="preserve"> PAGEREF _Toc65674874 \h </w:instrText>
      </w:r>
      <w:r>
        <w:fldChar w:fldCharType="separate"/>
      </w:r>
      <w:r w:rsidR="008F390D">
        <w:t>7</w:t>
      </w:r>
      <w:r>
        <w:fldChar w:fldCharType="end"/>
      </w:r>
    </w:p>
    <w:p w14:paraId="18624670" w14:textId="07A80A95" w:rsidR="00742B84" w:rsidRDefault="00742B84">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_Toc65674875 \h </w:instrText>
      </w:r>
      <w:r>
        <w:fldChar w:fldCharType="separate"/>
      </w:r>
      <w:r w:rsidR="008F390D">
        <w:t>8</w:t>
      </w:r>
      <w:r>
        <w:fldChar w:fldCharType="end"/>
      </w:r>
    </w:p>
    <w:p w14:paraId="0D34F45B" w14:textId="341C5B41" w:rsidR="00742B84" w:rsidRDefault="00742B84">
      <w:pPr>
        <w:pStyle w:val="TOC1"/>
        <w:rPr>
          <w:rFonts w:asciiTheme="minorHAnsi" w:eastAsiaTheme="minorEastAsia" w:hAnsiTheme="minorHAnsi" w:cstheme="minorBidi"/>
          <w:b w:val="0"/>
          <w:spacing w:val="0"/>
          <w:sz w:val="22"/>
          <w:szCs w:val="22"/>
        </w:rPr>
      </w:pPr>
      <w:r>
        <w:t>Proposed technical frameworks &amp; subsequent parameters</w:t>
      </w:r>
      <w:r>
        <w:tab/>
      </w:r>
      <w:r>
        <w:fldChar w:fldCharType="begin"/>
      </w:r>
      <w:r>
        <w:instrText xml:space="preserve"> PAGEREF _Toc65674876 \h </w:instrText>
      </w:r>
      <w:r>
        <w:fldChar w:fldCharType="separate"/>
      </w:r>
      <w:r w:rsidR="008F390D">
        <w:t>9</w:t>
      </w:r>
      <w:r>
        <w:fldChar w:fldCharType="end"/>
      </w:r>
    </w:p>
    <w:p w14:paraId="438F0D57" w14:textId="0AD945B2" w:rsidR="00742B84" w:rsidRDefault="00742B84">
      <w:pPr>
        <w:pStyle w:val="TOC2"/>
        <w:rPr>
          <w:rFonts w:asciiTheme="minorHAnsi" w:eastAsiaTheme="minorEastAsia" w:hAnsiTheme="minorHAnsi" w:cstheme="minorBidi"/>
          <w:spacing w:val="0"/>
          <w:sz w:val="22"/>
          <w:szCs w:val="22"/>
        </w:rPr>
      </w:pPr>
      <w:r>
        <w:t>Conditions on spectrum licences</w:t>
      </w:r>
      <w:r>
        <w:tab/>
      </w:r>
      <w:r>
        <w:fldChar w:fldCharType="begin"/>
      </w:r>
      <w:r>
        <w:instrText xml:space="preserve"> PAGEREF _Toc65674877 \h </w:instrText>
      </w:r>
      <w:r>
        <w:fldChar w:fldCharType="separate"/>
      </w:r>
      <w:r w:rsidR="008F390D">
        <w:t>9</w:t>
      </w:r>
      <w:r>
        <w:fldChar w:fldCharType="end"/>
      </w:r>
    </w:p>
    <w:p w14:paraId="61FFAAFB" w14:textId="395EB5C9" w:rsidR="00742B84" w:rsidRDefault="00742B84">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_Toc65674878 \h </w:instrText>
      </w:r>
      <w:r>
        <w:fldChar w:fldCharType="separate"/>
      </w:r>
      <w:r w:rsidR="008F390D">
        <w:t>10</w:t>
      </w:r>
      <w:r>
        <w:fldChar w:fldCharType="end"/>
      </w:r>
    </w:p>
    <w:p w14:paraId="284F3A00" w14:textId="59106733" w:rsidR="00742B84" w:rsidRDefault="00742B84">
      <w:pPr>
        <w:pStyle w:val="TOC2"/>
        <w:rPr>
          <w:rFonts w:asciiTheme="minorHAnsi" w:eastAsiaTheme="minorEastAsia" w:hAnsiTheme="minorHAnsi" w:cstheme="minorBidi"/>
          <w:spacing w:val="0"/>
          <w:sz w:val="22"/>
          <w:szCs w:val="22"/>
        </w:rPr>
      </w:pPr>
      <w:r>
        <w:t>Technical settings</w:t>
      </w:r>
      <w:r>
        <w:tab/>
      </w:r>
      <w:r>
        <w:fldChar w:fldCharType="begin"/>
      </w:r>
      <w:r>
        <w:instrText xml:space="preserve"> PAGEREF _Toc65674879 \h </w:instrText>
      </w:r>
      <w:r>
        <w:fldChar w:fldCharType="separate"/>
      </w:r>
      <w:r w:rsidR="008F390D">
        <w:t>11</w:t>
      </w:r>
      <w:r>
        <w:fldChar w:fldCharType="end"/>
      </w:r>
    </w:p>
    <w:p w14:paraId="0270CB2D" w14:textId="634E68B1" w:rsidR="00742B84" w:rsidRDefault="00742B84">
      <w:pPr>
        <w:pStyle w:val="TOC2"/>
        <w:rPr>
          <w:rFonts w:asciiTheme="minorHAnsi" w:eastAsiaTheme="minorEastAsia" w:hAnsiTheme="minorHAnsi" w:cstheme="minorBidi"/>
          <w:spacing w:val="0"/>
          <w:sz w:val="22"/>
          <w:szCs w:val="22"/>
        </w:rPr>
      </w:pPr>
      <w:r>
        <w:t>Channelling arrangements</w:t>
      </w:r>
      <w:r>
        <w:tab/>
      </w:r>
      <w:r>
        <w:fldChar w:fldCharType="begin"/>
      </w:r>
      <w:r>
        <w:instrText xml:space="preserve"> PAGEREF _Toc65674880 \h </w:instrText>
      </w:r>
      <w:r>
        <w:fldChar w:fldCharType="separate"/>
      </w:r>
      <w:r w:rsidR="008F390D">
        <w:t>12</w:t>
      </w:r>
      <w:r>
        <w:fldChar w:fldCharType="end"/>
      </w:r>
    </w:p>
    <w:p w14:paraId="3C2F212A" w14:textId="4564CE53" w:rsidR="00742B84" w:rsidRDefault="00742B84">
      <w:pPr>
        <w:pStyle w:val="TOC2"/>
        <w:rPr>
          <w:rFonts w:asciiTheme="minorHAnsi" w:eastAsiaTheme="minorEastAsia" w:hAnsiTheme="minorHAnsi" w:cstheme="minorBidi"/>
          <w:spacing w:val="0"/>
          <w:sz w:val="22"/>
          <w:szCs w:val="22"/>
        </w:rPr>
      </w:pPr>
      <w:r>
        <w:t>Emission Limits</w:t>
      </w:r>
      <w:r>
        <w:tab/>
      </w:r>
      <w:r>
        <w:fldChar w:fldCharType="begin"/>
      </w:r>
      <w:r>
        <w:instrText xml:space="preserve"> PAGEREF _Toc65674881 \h </w:instrText>
      </w:r>
      <w:r>
        <w:fldChar w:fldCharType="separate"/>
      </w:r>
      <w:r w:rsidR="008F390D">
        <w:t>13</w:t>
      </w:r>
      <w:r>
        <w:fldChar w:fldCharType="end"/>
      </w:r>
    </w:p>
    <w:p w14:paraId="77181B5A" w14:textId="5070EE0E" w:rsidR="00742B84" w:rsidRDefault="00742B84">
      <w:pPr>
        <w:pStyle w:val="TOC2"/>
        <w:rPr>
          <w:rFonts w:asciiTheme="minorHAnsi" w:eastAsiaTheme="minorEastAsia" w:hAnsiTheme="minorHAnsi" w:cstheme="minorBidi"/>
          <w:spacing w:val="0"/>
          <w:sz w:val="22"/>
          <w:szCs w:val="22"/>
        </w:rPr>
      </w:pPr>
      <w:r>
        <w:t>Unacceptable levels of interference (s.145 determination)</w:t>
      </w:r>
      <w:r>
        <w:tab/>
      </w:r>
      <w:r>
        <w:fldChar w:fldCharType="begin"/>
      </w:r>
      <w:r>
        <w:instrText xml:space="preserve"> PAGEREF _Toc65674882 \h </w:instrText>
      </w:r>
      <w:r>
        <w:fldChar w:fldCharType="separate"/>
      </w:r>
      <w:r w:rsidR="008F390D">
        <w:t>16</w:t>
      </w:r>
      <w:r>
        <w:fldChar w:fldCharType="end"/>
      </w:r>
    </w:p>
    <w:p w14:paraId="72DE4D65" w14:textId="41C5BF73" w:rsidR="00742B84" w:rsidRDefault="00742B84">
      <w:pPr>
        <w:pStyle w:val="TOC2"/>
        <w:rPr>
          <w:rFonts w:asciiTheme="minorHAnsi" w:eastAsiaTheme="minorEastAsia" w:hAnsiTheme="minorHAnsi" w:cstheme="minorBidi"/>
          <w:spacing w:val="0"/>
          <w:sz w:val="22"/>
          <w:szCs w:val="22"/>
        </w:rPr>
      </w:pPr>
      <w:r>
        <w:t>Radiocommunications advisory guidelines (RAGs)</w:t>
      </w:r>
      <w:r>
        <w:tab/>
      </w:r>
      <w:r>
        <w:fldChar w:fldCharType="begin"/>
      </w:r>
      <w:r>
        <w:instrText xml:space="preserve"> PAGEREF _Toc65674883 \h </w:instrText>
      </w:r>
      <w:r>
        <w:fldChar w:fldCharType="separate"/>
      </w:r>
      <w:r w:rsidR="008F390D">
        <w:t>17</w:t>
      </w:r>
      <w:r>
        <w:fldChar w:fldCharType="end"/>
      </w:r>
    </w:p>
    <w:p w14:paraId="554C05B7" w14:textId="11AC5D99" w:rsidR="00742B84" w:rsidRDefault="00742B84">
      <w:pPr>
        <w:pStyle w:val="TOC2"/>
        <w:rPr>
          <w:rFonts w:asciiTheme="minorHAnsi" w:eastAsiaTheme="minorEastAsia" w:hAnsiTheme="minorHAnsi" w:cstheme="minorBidi"/>
          <w:spacing w:val="0"/>
          <w:sz w:val="22"/>
          <w:szCs w:val="22"/>
        </w:rPr>
      </w:pPr>
      <w:r>
        <w:t>Attachment 1 - Proposed Unwanted Limits for 850 Expansion &amp; 900 MHz</w:t>
      </w:r>
      <w:r>
        <w:tab/>
      </w:r>
      <w:r>
        <w:fldChar w:fldCharType="begin"/>
      </w:r>
      <w:r>
        <w:instrText xml:space="preserve"> PAGEREF _Toc65674884 \h </w:instrText>
      </w:r>
      <w:r>
        <w:fldChar w:fldCharType="separate"/>
      </w:r>
      <w:r w:rsidR="008F390D">
        <w:t>21</w:t>
      </w:r>
      <w:r>
        <w:fldChar w:fldCharType="end"/>
      </w:r>
    </w:p>
    <w:p w14:paraId="0569F70A" w14:textId="744D2D0B" w:rsidR="004D56FF" w:rsidRPr="000D76E0" w:rsidRDefault="00C65F61" w:rsidP="00182701">
      <w:pPr>
        <w:spacing w:before="120" w:after="120" w:line="240" w:lineRule="auto"/>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4D36ED5C" w14:textId="77777777" w:rsidR="007A3E47" w:rsidRDefault="007A3E47" w:rsidP="00182701">
      <w:pPr>
        <w:pStyle w:val="Heading1"/>
        <w:spacing w:before="120" w:after="120" w:line="240" w:lineRule="auto"/>
      </w:pPr>
      <w:bookmarkStart w:id="0" w:name="_Toc65674871"/>
      <w:bookmarkStart w:id="1" w:name="_Toc65674868"/>
      <w:r>
        <w:lastRenderedPageBreak/>
        <w:t>Version Control</w:t>
      </w:r>
      <w:bookmarkEnd w:id="0"/>
      <w:bookmarkEnd w:id="1"/>
    </w:p>
    <w:p w14:paraId="4F3CBB23" w14:textId="77777777" w:rsidR="007A3E47" w:rsidRDefault="007A3E47" w:rsidP="00182701">
      <w:pPr>
        <w:spacing w:before="120" w:after="120" w:line="240" w:lineRule="auto"/>
      </w:pPr>
    </w:p>
    <w:p w14:paraId="67E409F3" w14:textId="77777777" w:rsidR="007A3E47" w:rsidRDefault="007A3E47" w:rsidP="00182701">
      <w:pPr>
        <w:spacing w:before="120" w:after="120" w:line="240" w:lineRule="auto"/>
      </w:pPr>
    </w:p>
    <w:tbl>
      <w:tblPr>
        <w:tblStyle w:val="TableGrid"/>
        <w:tblW w:w="0" w:type="auto"/>
        <w:tblLook w:val="04A0" w:firstRow="1" w:lastRow="0" w:firstColumn="1" w:lastColumn="0" w:noHBand="0" w:noVBand="1"/>
      </w:tblPr>
      <w:tblGrid>
        <w:gridCol w:w="1743"/>
        <w:gridCol w:w="5918"/>
      </w:tblGrid>
      <w:tr w:rsidR="007A3E47" w14:paraId="4F1C57DD" w14:textId="77777777" w:rsidTr="007A3E47">
        <w:tc>
          <w:tcPr>
            <w:tcW w:w="1743" w:type="dxa"/>
            <w:shd w:val="clear" w:color="auto" w:fill="7F7F7F" w:themeFill="text1" w:themeFillTint="80"/>
          </w:tcPr>
          <w:p w14:paraId="325EA01F"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Version</w:t>
            </w:r>
          </w:p>
        </w:tc>
        <w:tc>
          <w:tcPr>
            <w:tcW w:w="5918" w:type="dxa"/>
            <w:shd w:val="clear" w:color="auto" w:fill="7F7F7F" w:themeFill="text1" w:themeFillTint="80"/>
          </w:tcPr>
          <w:p w14:paraId="73318DDD"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Comments</w:t>
            </w:r>
          </w:p>
        </w:tc>
      </w:tr>
      <w:tr w:rsidR="007A3E47" w14:paraId="0E992A0F" w14:textId="77777777" w:rsidTr="007A3E47">
        <w:tc>
          <w:tcPr>
            <w:tcW w:w="1743" w:type="dxa"/>
          </w:tcPr>
          <w:p w14:paraId="0D638770" w14:textId="77777777" w:rsidR="007A3E47" w:rsidRDefault="007A3E47" w:rsidP="00182701">
            <w:pPr>
              <w:spacing w:before="120" w:after="120" w:line="240" w:lineRule="auto"/>
            </w:pPr>
            <w:r>
              <w:t>Version 1.0</w:t>
            </w:r>
          </w:p>
        </w:tc>
        <w:tc>
          <w:tcPr>
            <w:tcW w:w="5918" w:type="dxa"/>
          </w:tcPr>
          <w:p w14:paraId="3E4F9879" w14:textId="77777777" w:rsidR="007A3E47" w:rsidRDefault="007A3E47" w:rsidP="00182701">
            <w:pPr>
              <w:spacing w:before="120" w:after="120" w:line="240" w:lineRule="auto"/>
            </w:pPr>
            <w:r>
              <w:t>Initial release</w:t>
            </w:r>
          </w:p>
        </w:tc>
      </w:tr>
      <w:tr w:rsidR="001C61A2" w14:paraId="4316E3C3" w14:textId="77777777" w:rsidTr="007A3E47">
        <w:tc>
          <w:tcPr>
            <w:tcW w:w="1743" w:type="dxa"/>
          </w:tcPr>
          <w:p w14:paraId="2C90AD5B" w14:textId="36E41834" w:rsidR="001C61A2" w:rsidRDefault="001C61A2" w:rsidP="00182701">
            <w:pPr>
              <w:spacing w:before="120" w:after="120" w:line="240" w:lineRule="auto"/>
            </w:pPr>
            <w:r>
              <w:t>Version 1.1</w:t>
            </w:r>
          </w:p>
        </w:tc>
        <w:tc>
          <w:tcPr>
            <w:tcW w:w="5918" w:type="dxa"/>
          </w:tcPr>
          <w:p w14:paraId="455759A5" w14:textId="29D7F651" w:rsidR="001C61A2" w:rsidRDefault="001C61A2" w:rsidP="00182701">
            <w:pPr>
              <w:spacing w:before="120" w:after="120" w:line="240" w:lineRule="auto"/>
            </w:pPr>
            <w:r>
              <w:t>Timeline updated (deadline for initial input extended to 5 Feb</w:t>
            </w:r>
          </w:p>
        </w:tc>
      </w:tr>
      <w:tr w:rsidR="008705F4" w14:paraId="04D31870" w14:textId="77777777" w:rsidTr="007A3E47">
        <w:tc>
          <w:tcPr>
            <w:tcW w:w="1743" w:type="dxa"/>
          </w:tcPr>
          <w:p w14:paraId="48D25BC0" w14:textId="182AA644" w:rsidR="008705F4" w:rsidRDefault="008705F4" w:rsidP="00182701">
            <w:pPr>
              <w:spacing w:before="120" w:after="120" w:line="240" w:lineRule="auto"/>
            </w:pPr>
            <w:r>
              <w:t>Version 2</w:t>
            </w:r>
          </w:p>
        </w:tc>
        <w:tc>
          <w:tcPr>
            <w:tcW w:w="5918" w:type="dxa"/>
          </w:tcPr>
          <w:p w14:paraId="4916A55F" w14:textId="54BDD0DE" w:rsidR="00AB7043" w:rsidRDefault="008705F4" w:rsidP="00182701">
            <w:pPr>
              <w:spacing w:before="120" w:after="120" w:line="240" w:lineRule="auto"/>
            </w:pPr>
            <w:r>
              <w:t>Updated in accordance with input to Version 1</w:t>
            </w:r>
          </w:p>
        </w:tc>
      </w:tr>
      <w:tr w:rsidR="00AB7043" w14:paraId="54B766FD" w14:textId="77777777" w:rsidTr="007A3E47">
        <w:tc>
          <w:tcPr>
            <w:tcW w:w="1743" w:type="dxa"/>
          </w:tcPr>
          <w:p w14:paraId="11044A65" w14:textId="4F1B232F" w:rsidR="00AB7043" w:rsidRDefault="00AB7043" w:rsidP="00182701">
            <w:pPr>
              <w:spacing w:before="120" w:after="120" w:line="240" w:lineRule="auto"/>
            </w:pPr>
            <w:r>
              <w:t>Version 2.1</w:t>
            </w:r>
          </w:p>
        </w:tc>
        <w:tc>
          <w:tcPr>
            <w:tcW w:w="5918" w:type="dxa"/>
          </w:tcPr>
          <w:p w14:paraId="6CA6C3EE" w14:textId="4F13F033" w:rsidR="00AB7043" w:rsidRDefault="00AB7043" w:rsidP="00182701">
            <w:pPr>
              <w:spacing w:before="120" w:after="120" w:line="240" w:lineRule="auto"/>
            </w:pPr>
            <w:r>
              <w:t xml:space="preserve">Emission limits added. </w:t>
            </w:r>
          </w:p>
        </w:tc>
      </w:tr>
      <w:tr w:rsidR="00917B46" w14:paraId="7827BAAF" w14:textId="77777777" w:rsidTr="007A3E47">
        <w:tc>
          <w:tcPr>
            <w:tcW w:w="1743" w:type="dxa"/>
          </w:tcPr>
          <w:p w14:paraId="08D6AFE5" w14:textId="5B1B2AC1" w:rsidR="00917B46" w:rsidRDefault="00917B46" w:rsidP="00182701">
            <w:pPr>
              <w:spacing w:before="120" w:after="120" w:line="240" w:lineRule="auto"/>
            </w:pPr>
            <w:r>
              <w:t>Version 3</w:t>
            </w:r>
          </w:p>
        </w:tc>
        <w:tc>
          <w:tcPr>
            <w:tcW w:w="5918" w:type="dxa"/>
          </w:tcPr>
          <w:p w14:paraId="2F26A229" w14:textId="477CBCA1" w:rsidR="00917B46" w:rsidRDefault="00917B46" w:rsidP="00182701">
            <w:pPr>
              <w:spacing w:before="120" w:after="120" w:line="240" w:lineRule="auto"/>
            </w:pPr>
            <w:r>
              <w:t>Updated in accordance with inputs to Version 2</w:t>
            </w:r>
          </w:p>
        </w:tc>
      </w:tr>
    </w:tbl>
    <w:p w14:paraId="06B26942" w14:textId="44028B4F" w:rsidR="007A3E47" w:rsidRDefault="007A3E47" w:rsidP="00182701">
      <w:pPr>
        <w:pStyle w:val="Heading1"/>
        <w:spacing w:before="120" w:after="120" w:line="240" w:lineRule="auto"/>
      </w:pPr>
      <w:bookmarkStart w:id="2" w:name="_Toc65674872"/>
      <w:bookmarkStart w:id="3" w:name="_Toc65674869"/>
      <w:r>
        <w:lastRenderedPageBreak/>
        <w:t>Introduction</w:t>
      </w:r>
      <w:bookmarkEnd w:id="2"/>
      <w:bookmarkEnd w:id="3"/>
    </w:p>
    <w:p w14:paraId="2E9860E3" w14:textId="1E9055BF" w:rsidR="007E0B73" w:rsidRPr="007A1493" w:rsidRDefault="007E0B73" w:rsidP="007E0B73">
      <w:pPr>
        <w:pStyle w:val="Paragraph"/>
        <w:spacing w:before="120" w:after="120" w:line="240" w:lineRule="auto"/>
      </w:pPr>
      <w:r w:rsidRPr="007A1493">
        <w:t xml:space="preserve">The Australian Communications and Media Authority (the ACMA) commenced a review of arrangements in the 803–960 MHz frequency band (the review) in May 2011, with the release of the discussion paper </w:t>
      </w:r>
      <w:r w:rsidRPr="007A1493">
        <w:rPr>
          <w:i/>
        </w:rPr>
        <w:t>The 900 MHz band—Exploring new opportunities</w:t>
      </w:r>
      <w:r w:rsidRPr="007A1493">
        <w:t xml:space="preserve"> </w:t>
      </w:r>
      <w:r w:rsidRPr="007A1493">
        <w:rPr>
          <w:i/>
        </w:rPr>
        <w:t>(</w:t>
      </w:r>
      <w:hyperlink r:id="rId24" w:history="1">
        <w:r w:rsidRPr="007A1493">
          <w:rPr>
            <w:rStyle w:val="Hyperlink"/>
            <w:i/>
          </w:rPr>
          <w:t>Exploring new opportunities</w:t>
        </w:r>
      </w:hyperlink>
      <w:r w:rsidRPr="007A1493">
        <w:t xml:space="preserve">). This was followed in 2012 with a second paper entitled, </w:t>
      </w:r>
      <w:r w:rsidRPr="007A1493">
        <w:rPr>
          <w:i/>
        </w:rPr>
        <w:t xml:space="preserve">The 803–960 MHz band: options for future change </w:t>
      </w:r>
      <w:r w:rsidRPr="007A1493">
        <w:t>(</w:t>
      </w:r>
      <w:hyperlink r:id="rId25" w:history="1">
        <w:r w:rsidRPr="007A1493">
          <w:rPr>
            <w:rStyle w:val="Hyperlink"/>
            <w:i/>
          </w:rPr>
          <w:t>Future options</w:t>
        </w:r>
      </w:hyperlink>
      <w:r w:rsidRPr="007A1493">
        <w:t xml:space="preserve">). </w:t>
      </w:r>
    </w:p>
    <w:p w14:paraId="67CB6C23" w14:textId="77777777" w:rsidR="00083C62" w:rsidRPr="007A1493" w:rsidRDefault="007E0B73" w:rsidP="007E0B73">
      <w:pPr>
        <w:pStyle w:val="Paragraph"/>
        <w:spacing w:before="120" w:after="120" w:line="240" w:lineRule="auto"/>
      </w:pPr>
      <w:r w:rsidRPr="007A1493">
        <w:t xml:space="preserve">The </w:t>
      </w:r>
      <w:r w:rsidRPr="007A1493">
        <w:rPr>
          <w:i/>
        </w:rPr>
        <w:t>Future options</w:t>
      </w:r>
      <w:r w:rsidRPr="007A1493">
        <w:t xml:space="preserve"> paper sought comment on a range of specific band planning proposals, including options for</w:t>
      </w:r>
      <w:r w:rsidR="00083C62" w:rsidRPr="007A1493">
        <w:t>:</w:t>
      </w:r>
    </w:p>
    <w:p w14:paraId="3DAD1D21" w14:textId="1BEB7F42" w:rsidR="00083C62" w:rsidRPr="007A1493" w:rsidRDefault="007E0B73" w:rsidP="00083C62">
      <w:pPr>
        <w:pStyle w:val="ListBullet"/>
      </w:pPr>
      <w:r w:rsidRPr="007A1493">
        <w:t>re-farming the so-called ‘850 MHz expansion’ band</w:t>
      </w:r>
      <w:r w:rsidRPr="007A1493">
        <w:rPr>
          <w:rStyle w:val="FootnoteReference"/>
        </w:rPr>
        <w:footnoteReference w:id="2"/>
      </w:r>
      <w:r w:rsidRPr="007A1493">
        <w:t xml:space="preserve"> for additional mobile broadband services, </w:t>
      </w:r>
    </w:p>
    <w:p w14:paraId="7028FC91" w14:textId="1B7725EE" w:rsidR="00083C62" w:rsidRPr="007A1493" w:rsidRDefault="007E0B73" w:rsidP="00083C62">
      <w:pPr>
        <w:pStyle w:val="ListBullet"/>
      </w:pPr>
      <w:r w:rsidRPr="007A1493">
        <w:t xml:space="preserve">replanning the 900 MHz digital cellular mobile telephone band into 5 MHz blocks (or multiples thereof), </w:t>
      </w:r>
    </w:p>
    <w:p w14:paraId="70B5FD9E" w14:textId="77777777" w:rsidR="00083C62" w:rsidRPr="007A1493" w:rsidRDefault="007E0B73" w:rsidP="00083C62">
      <w:pPr>
        <w:pStyle w:val="ListBullet"/>
      </w:pPr>
      <w:r w:rsidRPr="007A1493">
        <w:t>facilitating the introduction of new and emerging low interference potential technologies</w:t>
      </w:r>
      <w:r w:rsidR="00083C62" w:rsidRPr="007A1493">
        <w:t>;</w:t>
      </w:r>
      <w:r w:rsidRPr="007A1493">
        <w:t xml:space="preserve"> and </w:t>
      </w:r>
      <w:r w:rsidR="00083C62" w:rsidRPr="007A1493">
        <w:t>,</w:t>
      </w:r>
    </w:p>
    <w:p w14:paraId="03CC268F" w14:textId="6A0F5436" w:rsidR="00083C62" w:rsidRPr="007A1493" w:rsidRDefault="007E0B73" w:rsidP="00083C62">
      <w:pPr>
        <w:pStyle w:val="ListBullet"/>
      </w:pPr>
      <w:r w:rsidRPr="007A1493">
        <w:t xml:space="preserve">overall band planning </w:t>
      </w:r>
      <w:r w:rsidR="00AC134D" w:rsidRPr="007A1493">
        <w:t>arrangements</w:t>
      </w:r>
      <w:r w:rsidRPr="007A1493">
        <w:t xml:space="preserve"> to implement these measures. </w:t>
      </w:r>
    </w:p>
    <w:p w14:paraId="26C9BB89" w14:textId="61729AE6" w:rsidR="007E0B73" w:rsidRPr="007A1493" w:rsidRDefault="00083C62" w:rsidP="00E953FD">
      <w:pPr>
        <w:pStyle w:val="ListBullet"/>
        <w:numPr>
          <w:ilvl w:val="0"/>
          <w:numId w:val="0"/>
        </w:numPr>
      </w:pPr>
      <w:r w:rsidRPr="007A1493">
        <w:br/>
      </w:r>
      <w:r w:rsidR="007E0B73" w:rsidRPr="007A1493">
        <w:t xml:space="preserve">The ACMA formalised these considerations in the decision paper </w:t>
      </w:r>
      <w:hyperlink r:id="rId26" w:history="1">
        <w:r w:rsidR="007E0B73" w:rsidRPr="007A1493">
          <w:rPr>
            <w:rStyle w:val="Hyperlink"/>
            <w:i/>
            <w:iCs/>
          </w:rPr>
          <w:t>The ACMA’s long-term strategy for the 803-960 MHz Band</w:t>
        </w:r>
      </w:hyperlink>
      <w:r w:rsidR="007E0B73" w:rsidRPr="007A1493">
        <w:rPr>
          <w:i/>
          <w:iCs/>
        </w:rPr>
        <w:t xml:space="preserve">. </w:t>
      </w:r>
      <w:r w:rsidRPr="007A1493">
        <w:t xml:space="preserve">The key </w:t>
      </w:r>
      <w:r w:rsidR="00095519" w:rsidRPr="007A1493">
        <w:t xml:space="preserve">outcomes </w:t>
      </w:r>
      <w:r w:rsidRPr="007A1493">
        <w:t xml:space="preserve">of this paper </w:t>
      </w:r>
      <w:r w:rsidR="00095519" w:rsidRPr="007A1493">
        <w:t>included:</w:t>
      </w:r>
    </w:p>
    <w:p w14:paraId="242C2CCB" w14:textId="7F7F08DD" w:rsidR="007E0B73" w:rsidRPr="007A1493" w:rsidRDefault="007E0B73" w:rsidP="007E0B73">
      <w:pPr>
        <w:pStyle w:val="ListBullet"/>
        <w:spacing w:before="120" w:after="120" w:line="240" w:lineRule="auto"/>
        <w:rPr>
          <w:rFonts w:cs="Arial"/>
          <w:szCs w:val="20"/>
        </w:rPr>
      </w:pPr>
      <w:r w:rsidRPr="007A1493">
        <w:rPr>
          <w:rFonts w:cs="Arial"/>
          <w:szCs w:val="20"/>
        </w:rPr>
        <w:t xml:space="preserve">The identification of 2 x 15 MHz of spectrum from the 850 MHz expansion band </w:t>
      </w:r>
      <w:r w:rsidR="0051423A" w:rsidRPr="007A1493">
        <w:rPr>
          <w:rFonts w:cs="Arial"/>
          <w:szCs w:val="20"/>
        </w:rPr>
        <w:t xml:space="preserve">(809-824/845-869 MHz) </w:t>
      </w:r>
      <w:r w:rsidRPr="007A1493">
        <w:rPr>
          <w:rFonts w:cs="Arial"/>
          <w:szCs w:val="20"/>
        </w:rPr>
        <w:t xml:space="preserve">that is optimised for mobile broadband. </w:t>
      </w:r>
    </w:p>
    <w:p w14:paraId="4DBF4029" w14:textId="60DFEDEA" w:rsidR="007E0B73" w:rsidRPr="007A1493" w:rsidRDefault="007E0B73" w:rsidP="007E0B73">
      <w:pPr>
        <w:pStyle w:val="ListBullet"/>
        <w:spacing w:before="120" w:after="120" w:line="240" w:lineRule="auto"/>
        <w:rPr>
          <w:rFonts w:cs="Arial"/>
        </w:rPr>
      </w:pPr>
      <w:r w:rsidRPr="007A1493">
        <w:rPr>
          <w:rFonts w:cs="Arial"/>
        </w:rPr>
        <w:t xml:space="preserve">The </w:t>
      </w:r>
      <w:r w:rsidR="00083C62" w:rsidRPr="007A1493">
        <w:rPr>
          <w:rFonts w:cs="Arial"/>
        </w:rPr>
        <w:t xml:space="preserve">declaration of the </w:t>
      </w:r>
      <w:r w:rsidRPr="007A1493">
        <w:rPr>
          <w:rFonts w:cs="Arial"/>
        </w:rPr>
        <w:t xml:space="preserve">ACMA’s intent to reconfigure the 900 MHz </w:t>
      </w:r>
      <w:r w:rsidR="002C0E53" w:rsidRPr="007A1493">
        <w:rPr>
          <w:rFonts w:cs="Arial"/>
        </w:rPr>
        <w:t>b</w:t>
      </w:r>
      <w:r w:rsidRPr="007A1493">
        <w:rPr>
          <w:rFonts w:cs="Arial"/>
        </w:rPr>
        <w:t>and (890–915/935–960 MHz) to support future LTE applications.</w:t>
      </w:r>
    </w:p>
    <w:p w14:paraId="3A582303" w14:textId="2A1782A0" w:rsidR="002C0E53" w:rsidRPr="007A1493" w:rsidRDefault="007E0B73" w:rsidP="007E0B73">
      <w:pPr>
        <w:pStyle w:val="ListBullet"/>
        <w:spacing w:before="120" w:after="120" w:line="240" w:lineRule="auto"/>
        <w:rPr>
          <w:rFonts w:cs="Arial"/>
          <w:szCs w:val="20"/>
        </w:rPr>
      </w:pPr>
      <w:r w:rsidRPr="007A1493">
        <w:rPr>
          <w:rFonts w:cs="Arial"/>
          <w:szCs w:val="20"/>
        </w:rPr>
        <w:t xml:space="preserve">The potential implementation of a 1 MHz downshift of the </w:t>
      </w:r>
      <w:r w:rsidR="0051423A" w:rsidRPr="007A1493">
        <w:rPr>
          <w:rFonts w:cs="Arial"/>
          <w:szCs w:val="20"/>
        </w:rPr>
        <w:t xml:space="preserve">existing </w:t>
      </w:r>
      <w:r w:rsidRPr="007A1493">
        <w:rPr>
          <w:rFonts w:cs="Arial"/>
          <w:szCs w:val="20"/>
        </w:rPr>
        <w:t>850 MHz band (</w:t>
      </w:r>
      <w:r w:rsidR="0051423A" w:rsidRPr="007A1493">
        <w:rPr>
          <w:rFonts w:cs="Arial"/>
          <w:szCs w:val="20"/>
        </w:rPr>
        <w:t>currently 825-845/870-890 MHz, proposed</w:t>
      </w:r>
      <w:r w:rsidRPr="007A1493">
        <w:rPr>
          <w:rFonts w:cs="Arial"/>
          <w:szCs w:val="20"/>
        </w:rPr>
        <w:t xml:space="preserve"> to </w:t>
      </w:r>
      <w:r w:rsidR="0051423A" w:rsidRPr="007A1493">
        <w:rPr>
          <w:rFonts w:cs="Arial"/>
          <w:szCs w:val="20"/>
        </w:rPr>
        <w:t>ultimately move</w:t>
      </w:r>
      <w:r w:rsidRPr="007A1493">
        <w:rPr>
          <w:rFonts w:cs="Arial"/>
          <w:szCs w:val="20"/>
        </w:rPr>
        <w:t xml:space="preserve"> to </w:t>
      </w:r>
      <w:r w:rsidR="0051423A" w:rsidRPr="007A1493">
        <w:rPr>
          <w:rFonts w:cs="Arial"/>
          <w:szCs w:val="20"/>
        </w:rPr>
        <w:t xml:space="preserve">824-844/869-889 MHz). </w:t>
      </w:r>
    </w:p>
    <w:p w14:paraId="21755DB3" w14:textId="34E61A54" w:rsidR="007E0B73" w:rsidRPr="007A1493" w:rsidRDefault="007E0B73" w:rsidP="007E0B73">
      <w:pPr>
        <w:pStyle w:val="ListBullet"/>
        <w:spacing w:before="120" w:after="120" w:line="240" w:lineRule="auto"/>
        <w:rPr>
          <w:rFonts w:cs="Arial"/>
          <w:szCs w:val="20"/>
        </w:rPr>
      </w:pPr>
      <w:r w:rsidRPr="007A1493">
        <w:rPr>
          <w:rFonts w:cs="Arial"/>
        </w:rPr>
        <w:t>The potential deployment of</w:t>
      </w:r>
      <w:r w:rsidR="002C0E53" w:rsidRPr="007A1493">
        <w:rPr>
          <w:rFonts w:cs="Arial"/>
        </w:rPr>
        <w:t xml:space="preserve"> a national Public Safety Mobile Broadband (</w:t>
      </w:r>
      <w:r w:rsidRPr="007A1493">
        <w:rPr>
          <w:rFonts w:cs="Arial"/>
        </w:rPr>
        <w:t>PSMB</w:t>
      </w:r>
      <w:r w:rsidR="002C0E53" w:rsidRPr="007A1493">
        <w:rPr>
          <w:rFonts w:cs="Arial"/>
        </w:rPr>
        <w:t>) capability</w:t>
      </w:r>
      <w:r w:rsidRPr="007A1493">
        <w:rPr>
          <w:rFonts w:cs="Arial"/>
        </w:rPr>
        <w:t xml:space="preserve"> within the 850 MHz </w:t>
      </w:r>
      <w:r w:rsidR="002C0E53" w:rsidRPr="007A1493">
        <w:rPr>
          <w:rFonts w:cs="Arial"/>
        </w:rPr>
        <w:t>e</w:t>
      </w:r>
      <w:r w:rsidRPr="007A1493">
        <w:rPr>
          <w:rFonts w:cs="Arial"/>
        </w:rPr>
        <w:t>xpansion band</w:t>
      </w:r>
      <w:r w:rsidR="002C0E53" w:rsidRPr="007A1493">
        <w:rPr>
          <w:rFonts w:cs="Arial"/>
        </w:rPr>
        <w:t>.</w:t>
      </w:r>
    </w:p>
    <w:p w14:paraId="6028CB82" w14:textId="77777777" w:rsidR="0026474C" w:rsidRPr="007A1493" w:rsidRDefault="002C0E53" w:rsidP="002C0E53">
      <w:pPr>
        <w:pStyle w:val="ListBullet"/>
        <w:numPr>
          <w:ilvl w:val="0"/>
          <w:numId w:val="0"/>
        </w:numPr>
        <w:spacing w:before="120" w:after="120" w:line="240" w:lineRule="auto"/>
        <w:rPr>
          <w:rFonts w:cs="Arial"/>
        </w:rPr>
      </w:pPr>
      <w:r w:rsidRPr="007A1493">
        <w:rPr>
          <w:rFonts w:cs="Arial"/>
        </w:rPr>
        <w:t xml:space="preserve">Considerations around how to reconfigure the 900 MHz band have been the subject of subsequent consultations and the PSMB issue has since been managed by the Department of Infrastructure, Transport, Regional Development and Communications (DITRDC) in consultation with relevant state and territory government agencies. </w:t>
      </w:r>
    </w:p>
    <w:p w14:paraId="74C9DF34" w14:textId="6F6664F0" w:rsidR="002C0E53" w:rsidRDefault="002C0E53">
      <w:pPr>
        <w:pStyle w:val="ListBullet"/>
        <w:numPr>
          <w:ilvl w:val="0"/>
          <w:numId w:val="0"/>
        </w:numPr>
        <w:spacing w:before="120" w:after="120" w:line="240" w:lineRule="auto"/>
        <w:rPr>
          <w:rFonts w:cs="Arial"/>
        </w:rPr>
      </w:pPr>
      <w:r w:rsidRPr="007A1493">
        <w:rPr>
          <w:rFonts w:cs="Arial"/>
        </w:rPr>
        <w:t xml:space="preserve">Most relevantly, the </w:t>
      </w:r>
      <w:r w:rsidR="009244FE" w:rsidRPr="009244FE">
        <w:rPr>
          <w:rFonts w:cs="Arial"/>
        </w:rPr>
        <w:t>Minister for Communications, Urban Infrastructure, Cities and the Arts</w:t>
      </w:r>
      <w:r w:rsidR="009244FE">
        <w:rPr>
          <w:rFonts w:cs="Arial"/>
        </w:rPr>
        <w:t xml:space="preserve"> </w:t>
      </w:r>
      <w:r w:rsidRPr="007A1493">
        <w:rPr>
          <w:rFonts w:cs="Arial"/>
        </w:rPr>
        <w:t xml:space="preserve">recently </w:t>
      </w:r>
      <w:hyperlink r:id="rId27" w:history="1">
        <w:r w:rsidRPr="007A1493">
          <w:rPr>
            <w:rStyle w:val="Hyperlink"/>
            <w:rFonts w:cs="Arial"/>
          </w:rPr>
          <w:t>announced</w:t>
        </w:r>
      </w:hyperlink>
      <w:r w:rsidRPr="007A1493">
        <w:rPr>
          <w:rFonts w:cs="Arial"/>
        </w:rPr>
        <w:t xml:space="preserve"> that the 850 MHz expansion and 900 MHz bands would be reallocated for spectrum licensing, which triggers the development of technical frameworks to be considered, initially, by this Technical Liaison Group (TLG).</w:t>
      </w:r>
      <w:r w:rsidR="0026474C" w:rsidRPr="007A1493">
        <w:rPr>
          <w:rFonts w:cs="Arial"/>
        </w:rPr>
        <w:t xml:space="preserve"> The Minister’s announcement also placed an emphasis on </w:t>
      </w:r>
      <w:r w:rsidR="00083C62" w:rsidRPr="007A1493">
        <w:rPr>
          <w:rFonts w:cs="Arial"/>
        </w:rPr>
        <w:t xml:space="preserve">facilitating </w:t>
      </w:r>
      <w:r w:rsidR="0026474C" w:rsidRPr="007A1493">
        <w:rPr>
          <w:rFonts w:cs="Arial"/>
        </w:rPr>
        <w:t>5G technologies with the expectation that sub-1 GHz spectrum licence holdings will, over time, be re</w:t>
      </w:r>
      <w:r w:rsidR="00083C62" w:rsidRPr="007A1493">
        <w:rPr>
          <w:rFonts w:cs="Arial"/>
        </w:rPr>
        <w:t>-</w:t>
      </w:r>
      <w:r w:rsidR="0026474C" w:rsidRPr="007A1493">
        <w:rPr>
          <w:rFonts w:cs="Arial"/>
        </w:rPr>
        <w:t xml:space="preserve">farmed </w:t>
      </w:r>
      <w:r w:rsidR="00CB77F8" w:rsidRPr="007A1493">
        <w:rPr>
          <w:rFonts w:cs="Arial"/>
        </w:rPr>
        <w:t xml:space="preserve">to enable the evolution to those technologies. This means that parameters specified by 5G standards </w:t>
      </w:r>
      <w:r w:rsidR="00083C62" w:rsidRPr="007A1493">
        <w:rPr>
          <w:rFonts w:cs="Arial"/>
        </w:rPr>
        <w:t xml:space="preserve">(i.e. the 3GPP ’38 series’) </w:t>
      </w:r>
      <w:r w:rsidR="00CB77F8" w:rsidRPr="007A1493">
        <w:rPr>
          <w:rFonts w:cs="Arial"/>
        </w:rPr>
        <w:t>should also be accommodated by the frameworks informed by this TLG.</w:t>
      </w:r>
    </w:p>
    <w:p w14:paraId="2E0AAD25" w14:textId="270EC06A" w:rsidR="007E63D1" w:rsidRDefault="00917B46">
      <w:pPr>
        <w:pStyle w:val="ListBullet"/>
        <w:numPr>
          <w:ilvl w:val="0"/>
          <w:numId w:val="0"/>
        </w:numPr>
        <w:spacing w:before="120" w:after="120" w:line="240" w:lineRule="auto"/>
        <w:rPr>
          <w:rFonts w:cs="Arial"/>
        </w:rPr>
      </w:pPr>
      <w:r>
        <w:rPr>
          <w:rFonts w:cs="Arial"/>
        </w:rPr>
        <w:t xml:space="preserve">This is the third and final paper produced under the 850/900 MHz band TLG. It marks the close of this TLG, although </w:t>
      </w:r>
      <w:r w:rsidR="007E63D1">
        <w:rPr>
          <w:rFonts w:cs="Arial"/>
        </w:rPr>
        <w:t xml:space="preserve">given that the TLG is itself only an informal advisory body, the ACMA remains open to further informal input from members, as is always </w:t>
      </w:r>
      <w:r w:rsidR="007E63D1">
        <w:rPr>
          <w:rFonts w:cs="Arial"/>
        </w:rPr>
        <w:lastRenderedPageBreak/>
        <w:t>the case</w:t>
      </w:r>
      <w:r w:rsidR="004A5A42">
        <w:rPr>
          <w:rFonts w:cs="Arial"/>
        </w:rPr>
        <w:t>, though the timing of any further input will be considered in the context of the formal consultation to follow</w:t>
      </w:r>
      <w:r w:rsidR="007E63D1">
        <w:rPr>
          <w:rFonts w:cs="Arial"/>
        </w:rPr>
        <w:t xml:space="preserve">. Furthermore, the instruments comprising the 850/900 MHz technical frameworks will now be the subject of a formal public consultation, so members will have opportunity to comment further in the public domain. </w:t>
      </w:r>
    </w:p>
    <w:p w14:paraId="3F10733D" w14:textId="279F11F4" w:rsidR="00917B46" w:rsidRPr="007A1493" w:rsidRDefault="007E63D1">
      <w:pPr>
        <w:pStyle w:val="ListBullet"/>
        <w:numPr>
          <w:ilvl w:val="0"/>
          <w:numId w:val="0"/>
        </w:numPr>
        <w:spacing w:before="120" w:after="120" w:line="240" w:lineRule="auto"/>
        <w:rPr>
          <w:rFonts w:cs="Arial"/>
        </w:rPr>
      </w:pPr>
      <w:r>
        <w:rPr>
          <w:rFonts w:cs="Arial"/>
        </w:rPr>
        <w:t>The ACMA thanks the membership for its valuable input and insights offered during this TLG process. The initial TLG paper was something of a blank canvas, leaning heavily on existing and in some cases, possibly obsolete arrangements, with a view to eliciting industry input. That industry input has been critical in shaping the draft framework as now proposed for formal consultation.</w:t>
      </w:r>
    </w:p>
    <w:p w14:paraId="65C9CAC5" w14:textId="77777777" w:rsidR="00083C62" w:rsidRPr="007A1493" w:rsidRDefault="00083C62">
      <w:pPr>
        <w:spacing w:after="0" w:line="240" w:lineRule="auto"/>
        <w:rPr>
          <w:rFonts w:cs="Arial"/>
          <w:b/>
          <w:bCs/>
          <w:iCs/>
          <w:sz w:val="28"/>
          <w:szCs w:val="28"/>
        </w:rPr>
      </w:pPr>
      <w:r w:rsidRPr="007A1493">
        <w:rPr>
          <w:rFonts w:cs="Arial"/>
          <w:b/>
          <w:bCs/>
          <w:iCs/>
          <w:sz w:val="28"/>
          <w:szCs w:val="28"/>
        </w:rPr>
        <w:br w:type="page"/>
      </w:r>
    </w:p>
    <w:p w14:paraId="5C738DBD" w14:textId="0D71E779" w:rsidR="000B2446" w:rsidRPr="007A1493" w:rsidRDefault="000B2446" w:rsidP="000B2446">
      <w:pPr>
        <w:spacing w:before="120" w:after="120" w:line="240" w:lineRule="auto"/>
        <w:rPr>
          <w:rFonts w:cs="Arial"/>
          <w:b/>
          <w:bCs/>
          <w:iCs/>
          <w:sz w:val="28"/>
          <w:szCs w:val="28"/>
        </w:rPr>
      </w:pPr>
      <w:r w:rsidRPr="007A1493">
        <w:rPr>
          <w:rFonts w:cs="Arial"/>
          <w:b/>
          <w:bCs/>
          <w:iCs/>
          <w:sz w:val="28"/>
          <w:szCs w:val="28"/>
        </w:rPr>
        <w:lastRenderedPageBreak/>
        <w:t>Terminology</w:t>
      </w:r>
    </w:p>
    <w:p w14:paraId="20292E4A" w14:textId="5E3A1B74" w:rsidR="00384758" w:rsidRPr="007A1493" w:rsidRDefault="000B2446" w:rsidP="000B2446">
      <w:pPr>
        <w:pStyle w:val="ListBullet"/>
        <w:numPr>
          <w:ilvl w:val="0"/>
          <w:numId w:val="0"/>
        </w:numPr>
        <w:spacing w:before="120" w:after="120" w:line="240" w:lineRule="auto"/>
        <w:rPr>
          <w:rFonts w:cs="Arial"/>
        </w:rPr>
      </w:pPr>
      <w:r w:rsidRPr="007A1493">
        <w:rPr>
          <w:rFonts w:cs="Arial"/>
        </w:rPr>
        <w:t xml:space="preserve">It is necessary to make some terminology distinctions up front, as changes over time have led to some inconsistencies. What will be discussed in this TLG under the name ‘850 MHz band’ comprises </w:t>
      </w:r>
      <w:r w:rsidR="000B6BA8" w:rsidRPr="007A1493">
        <w:rPr>
          <w:rFonts w:cs="Arial"/>
        </w:rPr>
        <w:t xml:space="preserve">the </w:t>
      </w:r>
      <w:r w:rsidRPr="007A1493">
        <w:rPr>
          <w:rFonts w:cs="Arial"/>
        </w:rPr>
        <w:t xml:space="preserve">existing </w:t>
      </w:r>
      <w:r w:rsidR="000B6BA8" w:rsidRPr="007A1493">
        <w:rPr>
          <w:rFonts w:cs="Arial"/>
        </w:rPr>
        <w:t>spectrum</w:t>
      </w:r>
      <w:r w:rsidRPr="007A1493">
        <w:rPr>
          <w:rFonts w:cs="Arial"/>
        </w:rPr>
        <w:t xml:space="preserve"> licen</w:t>
      </w:r>
      <w:r w:rsidR="000B6BA8" w:rsidRPr="007A1493">
        <w:rPr>
          <w:rFonts w:cs="Arial"/>
        </w:rPr>
        <w:t>sed band of 825-845/870-890 MHz</w:t>
      </w:r>
      <w:r w:rsidRPr="007A1493">
        <w:rPr>
          <w:rFonts w:cs="Arial"/>
        </w:rPr>
        <w:t xml:space="preserve"> that w</w:t>
      </w:r>
      <w:r w:rsidR="000B6BA8" w:rsidRPr="007A1493">
        <w:rPr>
          <w:rFonts w:cs="Arial"/>
        </w:rPr>
        <w:t>as</w:t>
      </w:r>
      <w:r w:rsidRPr="007A1493">
        <w:rPr>
          <w:rFonts w:cs="Arial"/>
        </w:rPr>
        <w:t xml:space="preserve"> originally described as the ‘800 MHz band’. Indeed the technical frameworks that underpin licences </w:t>
      </w:r>
      <w:r w:rsidR="000B6BA8" w:rsidRPr="007A1493">
        <w:rPr>
          <w:rFonts w:cs="Arial"/>
        </w:rPr>
        <w:t>in this band</w:t>
      </w:r>
      <w:r w:rsidRPr="007A1493">
        <w:rPr>
          <w:rFonts w:cs="Arial"/>
        </w:rPr>
        <w:t xml:space="preserve"> are still known as the </w:t>
      </w:r>
      <w:hyperlink r:id="rId28" w:history="1">
        <w:r w:rsidRPr="007A1493">
          <w:rPr>
            <w:rStyle w:val="Hyperlink"/>
            <w:rFonts w:cs="Arial"/>
          </w:rPr>
          <w:t>800 MHz technical frameworks</w:t>
        </w:r>
      </w:hyperlink>
      <w:r w:rsidR="00F13466" w:rsidRPr="007A1493">
        <w:rPr>
          <w:rFonts w:cs="Arial"/>
        </w:rPr>
        <w:t>. However following the clearance of 803-820 MHz as part of the digital dividend and the reorganisation of the 803-890 MHz band (as set out in the decision paper), the term ‘800 MHz band</w:t>
      </w:r>
      <w:r w:rsidR="00384758" w:rsidRPr="007A1493">
        <w:rPr>
          <w:rFonts w:cs="Arial"/>
        </w:rPr>
        <w:t>’</w:t>
      </w:r>
      <w:r w:rsidR="00F13466" w:rsidRPr="007A1493">
        <w:rPr>
          <w:rFonts w:cs="Arial"/>
        </w:rPr>
        <w:t xml:space="preserve"> now refers to a broader range of frequencies (as described in the </w:t>
      </w:r>
      <w:hyperlink r:id="rId29" w:history="1">
        <w:r w:rsidR="00F13466" w:rsidRPr="007A1493">
          <w:rPr>
            <w:rStyle w:val="Hyperlink"/>
            <w:rFonts w:cs="Arial"/>
          </w:rPr>
          <w:t>800 MHz band plan (RALI MS 40)</w:t>
        </w:r>
      </w:hyperlink>
      <w:r w:rsidR="00F13466" w:rsidRPr="007A1493">
        <w:rPr>
          <w:rFonts w:cs="Arial"/>
        </w:rPr>
        <w:t>).</w:t>
      </w:r>
      <w:r w:rsidR="00CE1355" w:rsidRPr="007A1493">
        <w:rPr>
          <w:rFonts w:cs="Arial"/>
        </w:rPr>
        <w:t xml:space="preserve"> </w:t>
      </w:r>
    </w:p>
    <w:p w14:paraId="1E763938" w14:textId="77777777" w:rsidR="00083C62" w:rsidRPr="007A1493" w:rsidRDefault="00CE1355" w:rsidP="000B2446">
      <w:pPr>
        <w:pStyle w:val="ListBullet"/>
        <w:numPr>
          <w:ilvl w:val="0"/>
          <w:numId w:val="0"/>
        </w:numPr>
        <w:spacing w:before="120" w:after="120" w:line="240" w:lineRule="auto"/>
        <w:rPr>
          <w:rFonts w:cs="Arial"/>
        </w:rPr>
      </w:pPr>
      <w:r w:rsidRPr="007A1493">
        <w:rPr>
          <w:rFonts w:cs="Arial"/>
        </w:rPr>
        <w:t xml:space="preserve">Use of the term ‘850 MHz band’ for the range 825-845/870-890 MHz aligns with more </w:t>
      </w:r>
      <w:r w:rsidR="00384758" w:rsidRPr="007A1493">
        <w:rPr>
          <w:rFonts w:cs="Arial"/>
        </w:rPr>
        <w:t>contemporary</w:t>
      </w:r>
      <w:r w:rsidRPr="007A1493">
        <w:rPr>
          <w:rFonts w:cs="Arial"/>
        </w:rPr>
        <w:t xml:space="preserve"> parlance – following allocation of the 850 MHz expansion band, the full (expanded) 850 MHz band will </w:t>
      </w:r>
      <w:r w:rsidR="005E31E2" w:rsidRPr="007A1493">
        <w:rPr>
          <w:rFonts w:cs="Arial"/>
        </w:rPr>
        <w:t>comprise</w:t>
      </w:r>
      <w:r w:rsidR="00083C62" w:rsidRPr="007A1493">
        <w:rPr>
          <w:rFonts w:cs="Arial"/>
        </w:rPr>
        <w:t xml:space="preserve"> of:</w:t>
      </w:r>
    </w:p>
    <w:p w14:paraId="1D6A2F2C" w14:textId="7EA20F24" w:rsidR="00083C62" w:rsidRPr="007A1493" w:rsidRDefault="005E31E2" w:rsidP="00083C62">
      <w:pPr>
        <w:pStyle w:val="ListBullet"/>
      </w:pPr>
      <w:r w:rsidRPr="007A1493">
        <w:t>809-845 (844 post-downshift) MHz</w:t>
      </w:r>
      <w:r w:rsidR="00083C62" w:rsidRPr="007A1493">
        <w:t>, and</w:t>
      </w:r>
    </w:p>
    <w:p w14:paraId="609BD544" w14:textId="77777777" w:rsidR="00083C62" w:rsidRPr="007A1493" w:rsidRDefault="005E31E2" w:rsidP="00083C62">
      <w:pPr>
        <w:pStyle w:val="ListBullet"/>
      </w:pPr>
      <w:r w:rsidRPr="007A1493">
        <w:t xml:space="preserve">854-890 (889 post-downshift) </w:t>
      </w:r>
      <w:proofErr w:type="spellStart"/>
      <w:r w:rsidRPr="007A1493">
        <w:t>MHz.</w:t>
      </w:r>
      <w:proofErr w:type="spellEnd"/>
      <w:r w:rsidR="00F02D49" w:rsidRPr="007A1493">
        <w:t xml:space="preserve"> </w:t>
      </w:r>
    </w:p>
    <w:p w14:paraId="7BECAE87" w14:textId="751D24BA" w:rsidR="000B2446" w:rsidRPr="007A1493" w:rsidRDefault="00F02D49" w:rsidP="00E953FD">
      <w:pPr>
        <w:pStyle w:val="ListBullet"/>
        <w:numPr>
          <w:ilvl w:val="0"/>
          <w:numId w:val="0"/>
        </w:numPr>
      </w:pPr>
      <w:r w:rsidRPr="007A1493">
        <w:t xml:space="preserve">For the purposes of this TLG the term ‘850 MHz band’ </w:t>
      </w:r>
      <w:r w:rsidR="00917B46">
        <w:t>has been</w:t>
      </w:r>
      <w:r w:rsidRPr="007A1493">
        <w:t xml:space="preserve"> used but </w:t>
      </w:r>
      <w:r w:rsidR="00083C62" w:rsidRPr="007A1493">
        <w:t xml:space="preserve">the purpose of this TLG </w:t>
      </w:r>
      <w:r w:rsidR="00917B46">
        <w:t>was</w:t>
      </w:r>
      <w:r w:rsidR="00917B46" w:rsidRPr="007A1493">
        <w:t xml:space="preserve"> </w:t>
      </w:r>
      <w:r w:rsidR="00083C62" w:rsidRPr="007A1493">
        <w:t xml:space="preserve">to inform to </w:t>
      </w:r>
      <w:r w:rsidR="00384758" w:rsidRPr="007A1493">
        <w:t>updat</w:t>
      </w:r>
      <w:r w:rsidR="00083C62" w:rsidRPr="007A1493">
        <w:t xml:space="preserve">e </w:t>
      </w:r>
      <w:r w:rsidRPr="007A1493">
        <w:t>the existing 800 MHz technical frameworks, which are one and the same</w:t>
      </w:r>
      <w:r w:rsidR="00917B46">
        <w:t xml:space="preserve"> (with the exception of aspects contained in conditions to the licences themselves)</w:t>
      </w:r>
      <w:r w:rsidRPr="007A1493">
        <w:t>.</w:t>
      </w:r>
      <w:r w:rsidR="00384758" w:rsidRPr="007A1493">
        <w:t xml:space="preserve"> </w:t>
      </w:r>
    </w:p>
    <w:p w14:paraId="6F6FEA50" w14:textId="17332DEB" w:rsidR="007A3E47" w:rsidRPr="007A1493" w:rsidRDefault="007A3E47" w:rsidP="0071460B">
      <w:pPr>
        <w:spacing w:before="120" w:after="120" w:line="240" w:lineRule="auto"/>
        <w:rPr>
          <w:rFonts w:cs="Arial"/>
          <w:b/>
          <w:bCs/>
          <w:iCs/>
          <w:sz w:val="28"/>
          <w:szCs w:val="28"/>
        </w:rPr>
      </w:pPr>
      <w:r w:rsidRPr="007A1493">
        <w:rPr>
          <w:rFonts w:cs="Arial"/>
          <w:b/>
          <w:bCs/>
          <w:iCs/>
          <w:sz w:val="28"/>
          <w:szCs w:val="28"/>
        </w:rPr>
        <w:t>The Technical Framework</w:t>
      </w:r>
    </w:p>
    <w:p w14:paraId="07546948" w14:textId="61410825" w:rsidR="007A3E47" w:rsidRPr="007A1493" w:rsidRDefault="007A3E47" w:rsidP="0071460B">
      <w:pPr>
        <w:spacing w:before="120" w:after="120" w:line="240" w:lineRule="auto"/>
        <w:rPr>
          <w:rFonts w:cs="Arial"/>
        </w:rPr>
      </w:pPr>
      <w:r w:rsidRPr="007A1493">
        <w:rPr>
          <w:rFonts w:cs="Arial"/>
        </w:rPr>
        <w:t xml:space="preserve">The </w:t>
      </w:r>
      <w:r w:rsidR="00083C62" w:rsidRPr="007A1493">
        <w:rPr>
          <w:rFonts w:cs="Arial"/>
        </w:rPr>
        <w:t>ACMA</w:t>
      </w:r>
      <w:r w:rsidRPr="007A1493">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7A1493" w:rsidDel="00F774CE">
        <w:rPr>
          <w:rFonts w:cs="Arial"/>
        </w:rPr>
        <w:t xml:space="preserve"> </w:t>
      </w:r>
      <w:r w:rsidRPr="007A1493">
        <w:rPr>
          <w:rFonts w:cs="Arial"/>
        </w:rPr>
        <w:t>of the technical framework is to define the technical conditions and constraints under which a device may be deployed and operated within the specified geographic area and frequency band of the licence.</w:t>
      </w:r>
    </w:p>
    <w:p w14:paraId="5B9E4E0F" w14:textId="224F51DF" w:rsidR="007A3E47" w:rsidRPr="007A1493" w:rsidRDefault="007A3E47" w:rsidP="0071460B">
      <w:pPr>
        <w:spacing w:before="120" w:after="120" w:line="240" w:lineRule="auto"/>
        <w:rPr>
          <w:rFonts w:cs="Arial"/>
        </w:rPr>
      </w:pPr>
      <w:r w:rsidRPr="007A1493">
        <w:rPr>
          <w:rFonts w:cs="Arial"/>
        </w:rPr>
        <w:t>The technical framework defines the spectrum licence asset and its relationship to other spectrum users. In doing so the framework provides arrangements to manage interference and provide legal certainty about licensee rights.</w:t>
      </w:r>
    </w:p>
    <w:p w14:paraId="63256F49" w14:textId="77777777" w:rsidR="007A3E47" w:rsidRPr="007A1493" w:rsidRDefault="007A3E47" w:rsidP="0071460B">
      <w:pPr>
        <w:spacing w:before="120" w:after="120" w:line="240" w:lineRule="auto"/>
        <w:rPr>
          <w:rFonts w:cs="Arial"/>
        </w:rPr>
      </w:pPr>
      <w:r w:rsidRPr="007A1493">
        <w:rPr>
          <w:rFonts w:cs="Arial"/>
        </w:rPr>
        <w:t>The objectives of technical frameworks are to:</w:t>
      </w:r>
    </w:p>
    <w:p w14:paraId="2E2B3B8E" w14:textId="678BA543" w:rsidR="007A3E47" w:rsidRPr="007A1493" w:rsidRDefault="007A3E47" w:rsidP="0071460B">
      <w:pPr>
        <w:pStyle w:val="Bulletlevel1"/>
        <w:spacing w:before="120" w:after="120" w:line="240" w:lineRule="auto"/>
      </w:pPr>
      <w:r w:rsidRPr="007A1493">
        <w:t>minimise the negotiation necessary between licensees;</w:t>
      </w:r>
      <w:r w:rsidR="002F63CD" w:rsidRPr="007A1493">
        <w:t xml:space="preserve"> and,</w:t>
      </w:r>
    </w:p>
    <w:p w14:paraId="4B988FFA" w14:textId="7CABD808" w:rsidR="007A3E47" w:rsidRPr="007A1493" w:rsidRDefault="007A3E47" w:rsidP="0071460B">
      <w:pPr>
        <w:pStyle w:val="Bulletlevel1"/>
        <w:spacing w:before="120" w:after="120" w:line="240" w:lineRule="auto"/>
      </w:pPr>
      <w:r w:rsidRPr="007A1493">
        <w:t>maximise flexibility for the deployment of services;</w:t>
      </w:r>
      <w:r w:rsidR="002F63CD" w:rsidRPr="007A1493">
        <w:t xml:space="preserve"> and,</w:t>
      </w:r>
    </w:p>
    <w:p w14:paraId="71FFCDC2" w14:textId="77777777" w:rsidR="00D660D3" w:rsidRPr="007A1493" w:rsidRDefault="007A3E47" w:rsidP="0071460B">
      <w:pPr>
        <w:pStyle w:val="Bulletlevel1"/>
        <w:spacing w:before="120" w:after="120" w:line="240" w:lineRule="auto"/>
      </w:pPr>
      <w:r w:rsidRPr="007A1493">
        <w:t>maximise the efficiency with which the spectrum is used</w:t>
      </w:r>
      <w:r w:rsidR="002F63CD" w:rsidRPr="007A1493">
        <w:t>.</w:t>
      </w:r>
    </w:p>
    <w:p w14:paraId="1FEAF01D" w14:textId="19230407" w:rsidR="007A3E47" w:rsidRPr="007A1493" w:rsidRDefault="007A3E47" w:rsidP="0071460B">
      <w:pPr>
        <w:pStyle w:val="Bulletlevel1"/>
        <w:numPr>
          <w:ilvl w:val="0"/>
          <w:numId w:val="0"/>
        </w:numPr>
        <w:spacing w:before="120" w:after="120" w:line="240" w:lineRule="auto"/>
      </w:pPr>
      <w:r w:rsidRPr="007A1493">
        <w:rPr>
          <w:rFonts w:cs="Times New Roman"/>
        </w:rPr>
        <w:t xml:space="preserve">The technical framework of the spectrum licence is developed by the ACMA to fulfil its requirements under the Radiocommunications Act 1992 (the Act). The framework is developed by </w:t>
      </w:r>
      <w:r w:rsidR="00660E89" w:rsidRPr="007A1493">
        <w:rPr>
          <w:rFonts w:cs="Times New Roman"/>
        </w:rPr>
        <w:t xml:space="preserve">the </w:t>
      </w:r>
      <w:r w:rsidRPr="007A1493">
        <w:rPr>
          <w:rFonts w:cs="Times New Roman"/>
        </w:rPr>
        <w:t xml:space="preserve">ACMA in consultation with industry through </w:t>
      </w:r>
      <w:r w:rsidR="0026474C" w:rsidRPr="007A1493">
        <w:rPr>
          <w:rFonts w:cs="Times New Roman"/>
        </w:rPr>
        <w:t>the TLG.</w:t>
      </w:r>
    </w:p>
    <w:p w14:paraId="7CCB2301" w14:textId="7A16F558" w:rsidR="00C740A3" w:rsidRPr="007A1493" w:rsidRDefault="00C740A3" w:rsidP="0071460B">
      <w:pPr>
        <w:spacing w:before="120" w:after="120" w:line="240" w:lineRule="auto"/>
      </w:pPr>
      <w:r w:rsidRPr="007A1493">
        <w:t xml:space="preserve">This </w:t>
      </w:r>
      <w:r w:rsidR="00083C62" w:rsidRPr="007A1493">
        <w:t xml:space="preserve">initial </w:t>
      </w:r>
      <w:r w:rsidR="00665722" w:rsidRPr="007A1493">
        <w:t>paper</w:t>
      </w:r>
      <w:r w:rsidRPr="007A1493">
        <w:t xml:space="preserve"> provide</w:t>
      </w:r>
      <w:r w:rsidR="00665722" w:rsidRPr="007A1493">
        <w:t>s</w:t>
      </w:r>
      <w:r w:rsidRPr="007A1493">
        <w:t xml:space="preserve"> information on the various aspects of the technical framework</w:t>
      </w:r>
      <w:r w:rsidR="00917B46">
        <w:t xml:space="preserve"> and has iteratively been updated to incorporate views and suggestions from the TLG membership</w:t>
      </w:r>
      <w:r w:rsidRPr="007A1493">
        <w:t xml:space="preserve">. </w:t>
      </w:r>
      <w:r w:rsidR="00083C62" w:rsidRPr="007A1493">
        <w:t xml:space="preserve">We </w:t>
      </w:r>
      <w:r w:rsidR="00917B46">
        <w:t>sought</w:t>
      </w:r>
      <w:r w:rsidR="00083C62" w:rsidRPr="007A1493">
        <w:t xml:space="preserve"> comment on the proposed parameters for </w:t>
      </w:r>
      <w:r w:rsidR="00AC134D" w:rsidRPr="007A1493">
        <w:t xml:space="preserve">the </w:t>
      </w:r>
      <w:r w:rsidRPr="007A1493">
        <w:t>following basic items of the technical framework</w:t>
      </w:r>
      <w:r w:rsidR="002F63CD" w:rsidRPr="007A1493">
        <w:t>:</w:t>
      </w:r>
    </w:p>
    <w:p w14:paraId="180ADC12" w14:textId="10A09CCB" w:rsidR="00C740A3" w:rsidRPr="007A1493" w:rsidRDefault="00C740A3" w:rsidP="0071460B">
      <w:pPr>
        <w:pStyle w:val="Bulletlevel1"/>
        <w:spacing w:before="120" w:after="120" w:line="240" w:lineRule="auto"/>
      </w:pPr>
      <w:r w:rsidRPr="007A1493">
        <w:t>the reference technologies;</w:t>
      </w:r>
      <w:r w:rsidR="002F63CD" w:rsidRPr="007A1493">
        <w:t xml:space="preserve"> and,</w:t>
      </w:r>
    </w:p>
    <w:p w14:paraId="73A95802" w14:textId="2BD26298" w:rsidR="00C740A3" w:rsidRPr="007A1493" w:rsidRDefault="00C740A3" w:rsidP="0071460B">
      <w:pPr>
        <w:pStyle w:val="Bulletlevel1"/>
        <w:spacing w:before="120" w:after="120" w:line="240" w:lineRule="auto"/>
      </w:pPr>
      <w:r w:rsidRPr="007A1493">
        <w:t>the standard trading unit and minimum contiguous bandwidth (MCB);</w:t>
      </w:r>
      <w:r w:rsidR="002F63CD" w:rsidRPr="007A1493">
        <w:t xml:space="preserve"> and,</w:t>
      </w:r>
    </w:p>
    <w:p w14:paraId="42A22AC7" w14:textId="411D34EA" w:rsidR="00C740A3" w:rsidRPr="007A1493" w:rsidRDefault="00C740A3" w:rsidP="0071460B">
      <w:pPr>
        <w:pStyle w:val="Bulletlevel1"/>
        <w:spacing w:before="120" w:after="120" w:line="240" w:lineRule="auto"/>
      </w:pPr>
      <w:r w:rsidRPr="007A1493">
        <w:t>the out-of-area emission limit; and</w:t>
      </w:r>
      <w:r w:rsidR="002F63CD" w:rsidRPr="007A1493">
        <w:t>,</w:t>
      </w:r>
    </w:p>
    <w:p w14:paraId="2CA8ADCC" w14:textId="77777777" w:rsidR="007E0B73" w:rsidRPr="007A1493" w:rsidRDefault="00C740A3" w:rsidP="00D660D3">
      <w:pPr>
        <w:pStyle w:val="Bulletlevel1"/>
        <w:spacing w:before="120" w:after="120" w:line="240" w:lineRule="auto"/>
      </w:pPr>
      <w:r w:rsidRPr="007A1493">
        <w:t>the out-of-band emission limits</w:t>
      </w:r>
      <w:r w:rsidR="007E0B73" w:rsidRPr="007A1493">
        <w:t>, and</w:t>
      </w:r>
    </w:p>
    <w:p w14:paraId="31B9C5A4" w14:textId="5523D388" w:rsidR="00C740A3" w:rsidRPr="007A1493" w:rsidRDefault="007E0B73" w:rsidP="0071460B">
      <w:pPr>
        <w:pStyle w:val="Bulletlevel1"/>
        <w:spacing w:before="120" w:after="120" w:line="240" w:lineRule="auto"/>
      </w:pPr>
      <w:r w:rsidRPr="007A1493">
        <w:t>relevant adjacent system characteristics and protection requirements.</w:t>
      </w:r>
    </w:p>
    <w:p w14:paraId="05037AC6" w14:textId="208A2299" w:rsidR="00D660D3" w:rsidRPr="007A1493" w:rsidRDefault="00C740A3" w:rsidP="0071460B">
      <w:pPr>
        <w:spacing w:before="120" w:after="120" w:line="240" w:lineRule="auto"/>
      </w:pPr>
      <w:r w:rsidRPr="007A1493">
        <w:lastRenderedPageBreak/>
        <w:t xml:space="preserve">The </w:t>
      </w:r>
      <w:r w:rsidR="00625245" w:rsidRPr="007A1493">
        <w:t>out-o</w:t>
      </w:r>
      <w:r w:rsidR="00AC134D" w:rsidRPr="007A1493">
        <w:t>f</w:t>
      </w:r>
      <w:r w:rsidR="00625245" w:rsidRPr="007A1493">
        <w:t xml:space="preserve">-area </w:t>
      </w:r>
      <w:r w:rsidR="00384758" w:rsidRPr="007A1493">
        <w:t xml:space="preserve">(in band) </w:t>
      </w:r>
      <w:r w:rsidR="00625245" w:rsidRPr="007A1493">
        <w:t>and out-of-band emission limits</w:t>
      </w:r>
      <w:r w:rsidRPr="007A1493">
        <w:t xml:space="preserve">, together with the frequency and geographic boundaries, make up the core conditions of the spectrum licence as defined in Section 66 of </w:t>
      </w:r>
      <w:r w:rsidRPr="007A1493">
        <w:rPr>
          <w:i/>
        </w:rPr>
        <w:t>the Act</w:t>
      </w:r>
      <w:r w:rsidRPr="007A1493">
        <w:t xml:space="preserve">. </w:t>
      </w:r>
      <w:r w:rsidR="009C72F9">
        <w:t>The TLG</w:t>
      </w:r>
      <w:r w:rsidRPr="007A1493">
        <w:t xml:space="preserve"> examine</w:t>
      </w:r>
      <w:r w:rsidR="009C72F9">
        <w:t>d</w:t>
      </w:r>
      <w:r w:rsidRPr="007A1493">
        <w:t xml:space="preserve"> each of these items of the framework, considering the specifications of the reference technologies, the arrangements in place overseas, and proposed arrangements to be put in place in Australia. An outline of the reasoning leading to selection of the proposed values for each item </w:t>
      </w:r>
      <w:r w:rsidR="009C72F9">
        <w:t>was</w:t>
      </w:r>
      <w:r w:rsidRPr="007A1493">
        <w:t xml:space="preserve"> provided.</w:t>
      </w:r>
    </w:p>
    <w:p w14:paraId="0A0BD0CC" w14:textId="27E12521" w:rsidR="007E0B73" w:rsidRPr="007A1493" w:rsidRDefault="00D660D3" w:rsidP="0071460B">
      <w:pPr>
        <w:spacing w:before="120" w:after="120" w:line="240" w:lineRule="auto"/>
      </w:pPr>
      <w:r w:rsidRPr="007A1493">
        <w:t>Given the commonality between both the technologies used and physical characteristics of adjacent and near-adjacent spectrum licenced bands, it</w:t>
      </w:r>
      <w:r w:rsidR="00917B46">
        <w:t xml:space="preserve"> was proposed </w:t>
      </w:r>
      <w:r w:rsidRPr="007A1493">
        <w:t xml:space="preserve">that some aspects of the technical frameworks </w:t>
      </w:r>
      <w:r w:rsidR="00917B46">
        <w:t>would</w:t>
      </w:r>
      <w:r w:rsidR="00917B46" w:rsidRPr="007A1493">
        <w:t xml:space="preserve"> </w:t>
      </w:r>
      <w:r w:rsidRPr="007A1493">
        <w:t>essentially carry over from relevant existing frameworks</w:t>
      </w:r>
      <w:r w:rsidR="00083C62" w:rsidRPr="007A1493">
        <w:t xml:space="preserve"> (e.g. 800 MHz band)</w:t>
      </w:r>
      <w:r w:rsidRPr="007A1493">
        <w:t xml:space="preserve">. </w:t>
      </w:r>
      <w:r w:rsidR="00560148" w:rsidRPr="007A1493">
        <w:t>These aspects include</w:t>
      </w:r>
      <w:r w:rsidR="00917B46">
        <w:t>d</w:t>
      </w:r>
      <w:r w:rsidR="00384758" w:rsidRPr="007A1493">
        <w:t xml:space="preserve"> </w:t>
      </w:r>
      <w:r w:rsidR="007E0B73" w:rsidRPr="007A1493">
        <w:t>d</w:t>
      </w:r>
      <w:r w:rsidR="00560148" w:rsidRPr="007A1493">
        <w:t>evice boundary criteria (DBC)</w:t>
      </w:r>
      <w:r w:rsidR="00384758" w:rsidRPr="007A1493">
        <w:t xml:space="preserve"> and associate</w:t>
      </w:r>
      <w:r w:rsidR="0083071F" w:rsidRPr="007A1493">
        <w:t>d</w:t>
      </w:r>
      <w:r w:rsidR="00384758" w:rsidRPr="007A1493">
        <w:t xml:space="preserve"> </w:t>
      </w:r>
      <w:r w:rsidR="00BF6BD2" w:rsidRPr="007A1493">
        <w:t>levels of protection (LOPs)</w:t>
      </w:r>
      <w:r w:rsidR="00384758" w:rsidRPr="007A1493">
        <w:t xml:space="preserve"> and propagation models</w:t>
      </w:r>
      <w:r w:rsidR="007E0B73" w:rsidRPr="007A1493">
        <w:t xml:space="preserve"> for </w:t>
      </w:r>
      <w:r w:rsidR="00384758" w:rsidRPr="007A1493">
        <w:t>making DBC assessments</w:t>
      </w:r>
      <w:r w:rsidR="00917B46">
        <w:t xml:space="preserve"> – input to various consultation stages of the TLG’s work have informed modification to these existing provisions.</w:t>
      </w:r>
    </w:p>
    <w:p w14:paraId="2CA7DED9" w14:textId="05892F47" w:rsidR="00192E63" w:rsidRPr="007A1493" w:rsidRDefault="00665722" w:rsidP="00D660D3">
      <w:pPr>
        <w:spacing w:before="120" w:after="120" w:line="240" w:lineRule="auto"/>
      </w:pPr>
      <w:r w:rsidRPr="007A1493">
        <w:t xml:space="preserve">As with all TLG papers, </w:t>
      </w:r>
      <w:r w:rsidR="00917B46">
        <w:t>the three iterations of the paper were</w:t>
      </w:r>
      <w:r w:rsidR="00C740A3" w:rsidRPr="007A1493">
        <w:t xml:space="preserve"> discussion paper</w:t>
      </w:r>
      <w:r w:rsidR="00917B46">
        <w:t>s</w:t>
      </w:r>
      <w:r w:rsidRPr="007A1493">
        <w:t xml:space="preserve"> only</w:t>
      </w:r>
      <w:r w:rsidR="00C740A3" w:rsidRPr="007A1493">
        <w:t xml:space="preserve"> and the views and suggestions of the members of the TLG </w:t>
      </w:r>
      <w:r w:rsidR="00917B46">
        <w:t>were</w:t>
      </w:r>
      <w:r w:rsidR="00917B46" w:rsidRPr="007A1493">
        <w:t xml:space="preserve"> </w:t>
      </w:r>
      <w:r w:rsidR="00C740A3" w:rsidRPr="007A1493">
        <w:t>sought as to the relevance and suitability of the proposed values.</w:t>
      </w:r>
      <w:r w:rsidR="007E0B73" w:rsidRPr="007A1493">
        <w:t xml:space="preserve"> </w:t>
      </w:r>
    </w:p>
    <w:p w14:paraId="3594F74B" w14:textId="28A7CBB7" w:rsidR="00083C62" w:rsidRPr="007A1493" w:rsidRDefault="00083C62" w:rsidP="00D660D3">
      <w:pPr>
        <w:spacing w:before="120" w:after="120" w:line="240" w:lineRule="auto"/>
        <w:rPr>
          <w:rFonts w:cs="Arial"/>
          <w:b/>
          <w:bCs/>
          <w:iCs/>
          <w:sz w:val="28"/>
          <w:szCs w:val="28"/>
        </w:rPr>
      </w:pPr>
      <w:r w:rsidRPr="007A1493">
        <w:rPr>
          <w:rFonts w:cs="Arial"/>
          <w:b/>
          <w:bCs/>
          <w:iCs/>
          <w:sz w:val="28"/>
          <w:szCs w:val="28"/>
        </w:rPr>
        <w:t>TLG Outcomes</w:t>
      </w:r>
    </w:p>
    <w:p w14:paraId="7FFB6692" w14:textId="7AE7627A" w:rsidR="00192E63" w:rsidRPr="007A1493" w:rsidRDefault="00192E63" w:rsidP="00D660D3">
      <w:pPr>
        <w:spacing w:before="120" w:after="120" w:line="240" w:lineRule="auto"/>
      </w:pPr>
      <w:r w:rsidRPr="007A1493">
        <w:t xml:space="preserve">There are two key </w:t>
      </w:r>
      <w:r w:rsidR="0051423A" w:rsidRPr="007A1493">
        <w:t xml:space="preserve">bodies of work that </w:t>
      </w:r>
      <w:r w:rsidR="006F4B87">
        <w:t>have been</w:t>
      </w:r>
      <w:r w:rsidR="0051423A" w:rsidRPr="007A1493">
        <w:t xml:space="preserve"> informed by outcomes of the TLG process:</w:t>
      </w:r>
    </w:p>
    <w:p w14:paraId="0D68567C" w14:textId="78AD62D6" w:rsidR="00C27030" w:rsidRPr="007A1493" w:rsidRDefault="00C27030" w:rsidP="0051423A">
      <w:pPr>
        <w:pStyle w:val="ListBullet"/>
        <w:spacing w:before="120" w:after="120" w:line="240" w:lineRule="auto"/>
      </w:pPr>
      <w:r w:rsidRPr="007A1493">
        <w:t>Development of the 850 MHz expansion technical framework</w:t>
      </w:r>
      <w:r w:rsidR="00083C62" w:rsidRPr="007A1493">
        <w:t>, by:</w:t>
      </w:r>
    </w:p>
    <w:p w14:paraId="10600A93" w14:textId="73F9F344" w:rsidR="0051423A" w:rsidRPr="007A1493" w:rsidRDefault="0051423A" w:rsidP="0071460B">
      <w:pPr>
        <w:pStyle w:val="ListBullet"/>
        <w:tabs>
          <w:tab w:val="clear" w:pos="295"/>
          <w:tab w:val="num" w:pos="579"/>
        </w:tabs>
        <w:spacing w:before="120" w:after="120" w:line="240" w:lineRule="auto"/>
        <w:ind w:left="579"/>
      </w:pPr>
      <w:r w:rsidRPr="007A1493">
        <w:t>Review</w:t>
      </w:r>
      <w:r w:rsidR="00083C62" w:rsidRPr="007A1493">
        <w:t>ing</w:t>
      </w:r>
      <w:r w:rsidR="006F4B87">
        <w:t xml:space="preserve"> (and as applicable, replacing)</w:t>
      </w:r>
      <w:r w:rsidRPr="007A1493">
        <w:t xml:space="preserve"> the 2012 850 MHz</w:t>
      </w:r>
      <w:r w:rsidRPr="007A1493">
        <w:rPr>
          <w:rStyle w:val="FootnoteReference"/>
        </w:rPr>
        <w:footnoteReference w:id="3"/>
      </w:r>
      <w:r w:rsidRPr="007A1493">
        <w:t xml:space="preserve"> technical framework, </w:t>
      </w:r>
      <w:r w:rsidR="00083C62" w:rsidRPr="007A1493">
        <w:t xml:space="preserve">which </w:t>
      </w:r>
      <w:r w:rsidRPr="007A1493">
        <w:t>compris</w:t>
      </w:r>
      <w:r w:rsidR="00083C62" w:rsidRPr="007A1493">
        <w:t>es of</w:t>
      </w:r>
      <w:r w:rsidRPr="007A1493">
        <w:t>:</w:t>
      </w:r>
    </w:p>
    <w:p w14:paraId="6919F347" w14:textId="2826472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0" w:history="1">
        <w:r w:rsidRPr="007A1493">
          <w:rPr>
            <w:rStyle w:val="Hyperlink"/>
          </w:rPr>
          <w:t>s.14</w:t>
        </w:r>
        <w:r w:rsidR="00A76F66" w:rsidRPr="007A1493">
          <w:rPr>
            <w:rStyle w:val="Hyperlink"/>
          </w:rPr>
          <w:t>5</w:t>
        </w:r>
        <w:r w:rsidRPr="007A1493">
          <w:rPr>
            <w:rStyle w:val="Hyperlink"/>
          </w:rPr>
          <w:t>(4) determination</w:t>
        </w:r>
      </w:hyperlink>
      <w:r w:rsidRPr="007A1493">
        <w:t xml:space="preserve"> on unacceptable levels of interference,</w:t>
      </w:r>
    </w:p>
    <w:p w14:paraId="2396C934" w14:textId="305FF26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1"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tx</w:t>
      </w:r>
      <w:proofErr w:type="spellEnd"/>
      <w:r w:rsidRPr="007A1493">
        <w:t>’), and</w:t>
      </w:r>
    </w:p>
    <w:p w14:paraId="4BAE6D20" w14:textId="0020D04D"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2"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rx</w:t>
      </w:r>
      <w:proofErr w:type="spellEnd"/>
      <w:r w:rsidRPr="007A1493">
        <w:t xml:space="preserve">’) </w:t>
      </w:r>
    </w:p>
    <w:p w14:paraId="05E3B82C" w14:textId="0CF6B225" w:rsidR="00C27030" w:rsidRPr="007A1493" w:rsidRDefault="00C27030" w:rsidP="0071460B">
      <w:pPr>
        <w:pStyle w:val="ListBullet"/>
        <w:tabs>
          <w:tab w:val="clear" w:pos="295"/>
          <w:tab w:val="num" w:pos="863"/>
        </w:tabs>
        <w:spacing w:before="120" w:after="120" w:line="240" w:lineRule="auto"/>
        <w:ind w:left="863"/>
      </w:pPr>
      <w:r w:rsidRPr="007A1493">
        <w:t xml:space="preserve">the </w:t>
      </w:r>
      <w:hyperlink r:id="rId33" w:history="1">
        <w:r w:rsidR="002C3D5F" w:rsidRPr="007A1493">
          <w:rPr>
            <w:rStyle w:val="Hyperlink"/>
            <w:i/>
            <w:iCs/>
          </w:rPr>
          <w:t>Radiocommunications (Trading Rules for Spectrum Licences) Determination 2012</w:t>
        </w:r>
      </w:hyperlink>
      <w:r w:rsidR="002C3D5F" w:rsidRPr="007A1493">
        <w:t xml:space="preserve"> (the </w:t>
      </w:r>
      <w:r w:rsidRPr="007A1493">
        <w:t>Trading Rules determination</w:t>
      </w:r>
      <w:r w:rsidR="002C3D5F" w:rsidRPr="007A1493">
        <w:t>)</w:t>
      </w:r>
    </w:p>
    <w:p w14:paraId="6AB1A4A2" w14:textId="5F84F74A" w:rsidR="0051423A" w:rsidRPr="007A1493" w:rsidRDefault="0051423A" w:rsidP="0071460B">
      <w:pPr>
        <w:pStyle w:val="ListBullet"/>
        <w:numPr>
          <w:ilvl w:val="0"/>
          <w:numId w:val="0"/>
        </w:numPr>
        <w:spacing w:before="120" w:after="120" w:line="240" w:lineRule="auto"/>
        <w:ind w:left="284" w:firstLine="284"/>
      </w:pPr>
      <w:r w:rsidRPr="007A1493">
        <w:t>to incorporate the 850 MHz expansion band within their scope;</w:t>
      </w:r>
    </w:p>
    <w:p w14:paraId="17C99F97" w14:textId="2545BC34" w:rsidR="00C27030" w:rsidRPr="007A1493" w:rsidRDefault="00C27030" w:rsidP="0071460B">
      <w:pPr>
        <w:pStyle w:val="ListBullet"/>
        <w:tabs>
          <w:tab w:val="clear" w:pos="295"/>
          <w:tab w:val="num" w:pos="579"/>
        </w:tabs>
        <w:spacing w:before="120" w:after="120" w:line="240" w:lineRule="auto"/>
        <w:ind w:left="579"/>
      </w:pPr>
      <w:r w:rsidRPr="007A1493">
        <w:t>Develop</w:t>
      </w:r>
      <w:r w:rsidR="00083C62" w:rsidRPr="007A1493">
        <w:t>ing</w:t>
      </w:r>
      <w:r w:rsidRPr="007A1493">
        <w:t xml:space="preserve"> </w:t>
      </w:r>
      <w:r w:rsidR="00083C62" w:rsidRPr="007A1493">
        <w:t>the</w:t>
      </w:r>
      <w:r w:rsidRPr="007A1493">
        <w:t xml:space="preserve"> licence conditions for the 850 MHz expansion band;</w:t>
      </w:r>
    </w:p>
    <w:p w14:paraId="64DD423C" w14:textId="19B9CF2F" w:rsidR="00A4175D" w:rsidRPr="007A1493" w:rsidRDefault="0051423A" w:rsidP="0071460B">
      <w:pPr>
        <w:pStyle w:val="ListBullet"/>
        <w:spacing w:before="120" w:after="120" w:line="240" w:lineRule="auto"/>
      </w:pPr>
      <w:r w:rsidRPr="007A1493">
        <w:t xml:space="preserve">Development of a new 900 MHz </w:t>
      </w:r>
      <w:r w:rsidR="00691D2A" w:rsidRPr="007A1493">
        <w:t>band technical</w:t>
      </w:r>
      <w:r w:rsidRPr="007A1493">
        <w:t xml:space="preserve"> framework (</w:t>
      </w:r>
      <w:proofErr w:type="spellStart"/>
      <w:r w:rsidRPr="007A1493">
        <w:t>ie</w:t>
      </w:r>
      <w:proofErr w:type="spellEnd"/>
      <w:r w:rsidRPr="007A1493">
        <w:t xml:space="preserve">. </w:t>
      </w:r>
      <w:r w:rsidR="00384758" w:rsidRPr="007A1493">
        <w:t>d</w:t>
      </w:r>
      <w:r w:rsidRPr="007A1493">
        <w:t>eveloping</w:t>
      </w:r>
      <w:r w:rsidR="00C27030" w:rsidRPr="007A1493">
        <w:t xml:space="preserve"> licence conditions, and</w:t>
      </w:r>
      <w:r w:rsidRPr="007A1493">
        <w:t xml:space="preserve"> a new s.145(4) determination, RAG </w:t>
      </w:r>
      <w:proofErr w:type="spellStart"/>
      <w:r w:rsidRPr="007A1493">
        <w:t>tx</w:t>
      </w:r>
      <w:proofErr w:type="spellEnd"/>
      <w:r w:rsidRPr="007A1493">
        <w:t xml:space="preserve"> and RAG </w:t>
      </w:r>
      <w:proofErr w:type="spellStart"/>
      <w:r w:rsidRPr="007A1493">
        <w:t>rx</w:t>
      </w:r>
      <w:proofErr w:type="spellEnd"/>
      <w:r w:rsidRPr="007A1493">
        <w:t>).</w:t>
      </w:r>
      <w:r w:rsidR="002C3D5F" w:rsidRPr="007A1493">
        <w:t xml:space="preserve"> This include</w:t>
      </w:r>
      <w:r w:rsidR="006F4B87">
        <w:t>s</w:t>
      </w:r>
      <w:r w:rsidR="002C3D5F" w:rsidRPr="007A1493">
        <w:t xml:space="preserve"> adding the 900 MHz band to the Trading Rules determination. </w:t>
      </w:r>
    </w:p>
    <w:p w14:paraId="1C09AA88" w14:textId="5F53F7D6" w:rsidR="007A3E47" w:rsidRPr="007A1493" w:rsidRDefault="00852E9F" w:rsidP="0071460B">
      <w:pPr>
        <w:pStyle w:val="Heading2"/>
        <w:keepLines/>
        <w:spacing w:before="120" w:after="120" w:line="240" w:lineRule="auto"/>
      </w:pPr>
      <w:bookmarkStart w:id="4" w:name="_Toc65674873"/>
      <w:bookmarkStart w:id="5" w:name="_Toc65674870"/>
      <w:r w:rsidRPr="007A1493">
        <w:t>Scope</w:t>
      </w:r>
      <w:bookmarkEnd w:id="4"/>
      <w:bookmarkEnd w:id="5"/>
    </w:p>
    <w:p w14:paraId="1B5346B0" w14:textId="1BE7E236" w:rsidR="001F64E0" w:rsidRDefault="00852E9F" w:rsidP="0071460B">
      <w:pPr>
        <w:pStyle w:val="ListBullet"/>
        <w:numPr>
          <w:ilvl w:val="0"/>
          <w:numId w:val="0"/>
        </w:numPr>
        <w:spacing w:before="120" w:after="120" w:line="240" w:lineRule="auto"/>
        <w:rPr>
          <w:rFonts w:cs="Arial"/>
        </w:rPr>
      </w:pPr>
      <w:r w:rsidRPr="007A1493">
        <w:rPr>
          <w:rFonts w:cs="Arial"/>
        </w:rPr>
        <w:t xml:space="preserve">This TLG paper </w:t>
      </w:r>
      <w:r w:rsidR="006F4B87">
        <w:rPr>
          <w:rFonts w:cs="Arial"/>
        </w:rPr>
        <w:t>contains</w:t>
      </w:r>
      <w:r w:rsidR="006F4B87" w:rsidRPr="007A1493">
        <w:rPr>
          <w:rFonts w:cs="Arial"/>
        </w:rPr>
        <w:t xml:space="preserve"> </w:t>
      </w:r>
      <w:r w:rsidR="00063324" w:rsidRPr="007A1493">
        <w:rPr>
          <w:rFonts w:cs="Arial"/>
        </w:rPr>
        <w:t>propose</w:t>
      </w:r>
      <w:r w:rsidR="006F4B87">
        <w:rPr>
          <w:rFonts w:cs="Arial"/>
        </w:rPr>
        <w:t>d</w:t>
      </w:r>
      <w:r w:rsidR="00063324" w:rsidRPr="007A1493">
        <w:rPr>
          <w:rFonts w:cs="Arial"/>
        </w:rPr>
        <w:t xml:space="preserve"> arrangements for the 850</w:t>
      </w:r>
      <w:r w:rsidR="004A5A42">
        <w:rPr>
          <w:rFonts w:cs="Arial"/>
        </w:rPr>
        <w:t xml:space="preserve"> </w:t>
      </w:r>
      <w:r w:rsidR="00063324" w:rsidRPr="007A1493">
        <w:rPr>
          <w:rFonts w:cs="Arial"/>
        </w:rPr>
        <w:t xml:space="preserve">MHz expansion band and the reconfiguration of the 900 MHz band. </w:t>
      </w:r>
      <w:r w:rsidR="0052238D" w:rsidRPr="007A1493">
        <w:rPr>
          <w:rFonts w:cs="Arial"/>
        </w:rPr>
        <w:t>Allocation of spectrum for</w:t>
      </w:r>
      <w:r w:rsidR="005B6393" w:rsidRPr="007A1493">
        <w:rPr>
          <w:rFonts w:cs="Arial"/>
        </w:rPr>
        <w:t xml:space="preserve"> </w:t>
      </w:r>
      <w:r w:rsidR="00063324" w:rsidRPr="007A1493">
        <w:rPr>
          <w:rFonts w:cs="Arial"/>
        </w:rPr>
        <w:t xml:space="preserve">PSMB and </w:t>
      </w:r>
      <w:r w:rsidR="00C311F4" w:rsidRPr="007A1493">
        <w:rPr>
          <w:rFonts w:cs="Arial"/>
        </w:rPr>
        <w:t xml:space="preserve">effecting </w:t>
      </w:r>
      <w:r w:rsidR="00063324" w:rsidRPr="007A1493">
        <w:rPr>
          <w:rFonts w:cs="Arial"/>
        </w:rPr>
        <w:t xml:space="preserve">the </w:t>
      </w:r>
      <w:r w:rsidR="0026474C" w:rsidRPr="007A1493">
        <w:rPr>
          <w:rFonts w:cs="Arial"/>
        </w:rPr>
        <w:t xml:space="preserve">850 </w:t>
      </w:r>
      <w:r w:rsidR="00063324" w:rsidRPr="007A1493">
        <w:rPr>
          <w:rFonts w:cs="Arial"/>
        </w:rPr>
        <w:t>MHz band downshift are not within the scope of this TLG process</w:t>
      </w:r>
      <w:r w:rsidR="00C311F4" w:rsidRPr="00204A55">
        <w:rPr>
          <w:rFonts w:cs="Arial"/>
        </w:rPr>
        <w:t xml:space="preserve">, however arrangements for those </w:t>
      </w:r>
      <w:r w:rsidR="0096586E" w:rsidRPr="00386833">
        <w:rPr>
          <w:rFonts w:cs="Arial"/>
        </w:rPr>
        <w:t>frequency</w:t>
      </w:r>
      <w:r w:rsidR="00C311F4" w:rsidRPr="00386833">
        <w:rPr>
          <w:rFonts w:cs="Arial"/>
        </w:rPr>
        <w:t xml:space="preserve"> segments will be included in the frameworks developed in this T</w:t>
      </w:r>
      <w:r w:rsidR="00C311F4" w:rsidRPr="00AC3F18">
        <w:rPr>
          <w:rFonts w:cs="Arial"/>
        </w:rPr>
        <w:t>LG.</w:t>
      </w:r>
      <w:r w:rsidR="0026474C" w:rsidRPr="00AC3F18">
        <w:rPr>
          <w:rFonts w:cs="Arial"/>
        </w:rPr>
        <w:t xml:space="preserve"> </w:t>
      </w:r>
      <w:r w:rsidR="00F4665C">
        <w:rPr>
          <w:rFonts w:cs="Arial"/>
        </w:rPr>
        <w:t xml:space="preserve">There has been some confusion articulated in </w:t>
      </w:r>
      <w:r w:rsidR="00630ADA">
        <w:rPr>
          <w:rFonts w:cs="Arial"/>
        </w:rPr>
        <w:t xml:space="preserve">some </w:t>
      </w:r>
      <w:r w:rsidR="00F4665C">
        <w:rPr>
          <w:rFonts w:cs="Arial"/>
        </w:rPr>
        <w:t>member</w:t>
      </w:r>
      <w:r w:rsidR="00630ADA">
        <w:rPr>
          <w:rFonts w:cs="Arial"/>
        </w:rPr>
        <w:t>s’</w:t>
      </w:r>
      <w:r w:rsidR="00F4665C">
        <w:rPr>
          <w:rFonts w:cs="Arial"/>
        </w:rPr>
        <w:t xml:space="preserve"> contributions to the TLG on both of these issues that require further clarification:</w:t>
      </w:r>
      <w:r w:rsidR="0026474C" w:rsidRPr="00AC3F18">
        <w:rPr>
          <w:rFonts w:cs="Arial"/>
        </w:rPr>
        <w:t xml:space="preserve"> </w:t>
      </w:r>
    </w:p>
    <w:p w14:paraId="3BF97FE2" w14:textId="29DE03AA" w:rsidR="00983DFA" w:rsidRDefault="00F4665C" w:rsidP="00983DFA">
      <w:pPr>
        <w:pStyle w:val="ListBullet"/>
        <w:numPr>
          <w:ilvl w:val="0"/>
          <w:numId w:val="0"/>
        </w:numPr>
        <w:spacing w:before="120" w:after="120" w:line="240" w:lineRule="auto"/>
        <w:ind w:left="284"/>
        <w:rPr>
          <w:rFonts w:cs="Arial"/>
        </w:rPr>
      </w:pPr>
      <w:r>
        <w:rPr>
          <w:rFonts w:cs="Arial"/>
          <w:u w:val="single"/>
        </w:rPr>
        <w:t xml:space="preserve">PSMB: </w:t>
      </w:r>
      <w:r w:rsidR="001F64E0">
        <w:rPr>
          <w:rFonts w:cs="Arial"/>
        </w:rPr>
        <w:t xml:space="preserve">While the PSMB spectrum was originally within scope of the TLG – the reallocation declaration only applies above 814/859 MHz but we thought it prudent </w:t>
      </w:r>
      <w:r w:rsidR="001F64E0">
        <w:rPr>
          <w:rFonts w:cs="Arial"/>
        </w:rPr>
        <w:lastRenderedPageBreak/>
        <w:t>to develop technical arrangements for the lower 5 MHz pair as well – no PSMB interests have registered for the TLG. So technical conditions for (eventual) PSMB use will be developed separately from this TLG (the lower lot has hence been excised from the scope of the TLG’s consideration in the below frequency ranges).</w:t>
      </w:r>
      <w:r>
        <w:rPr>
          <w:rFonts w:cs="Arial"/>
        </w:rPr>
        <w:t xml:space="preserve"> </w:t>
      </w:r>
      <w:r w:rsidR="00983DFA">
        <w:rPr>
          <w:rFonts w:cs="Arial"/>
        </w:rPr>
        <w:t>This is appropriate, g</w:t>
      </w:r>
      <w:r>
        <w:rPr>
          <w:rFonts w:cs="Arial"/>
        </w:rPr>
        <w:t>iven th</w:t>
      </w:r>
      <w:r w:rsidR="00983DFA">
        <w:rPr>
          <w:rFonts w:cs="Arial"/>
        </w:rPr>
        <w:t>ere has been no government decision on the delivery model for PSMB and TLG outcomes shouldn’t act to indirectly fetter the governments discretion in this matter. That said, based on available information, it can be reasonably expected that whatever the eventual PSMB delivery model looks like, it will involve 3GPP technologies. This means that:</w:t>
      </w:r>
    </w:p>
    <w:p w14:paraId="55749DB6" w14:textId="0532B952" w:rsidR="00852E9F" w:rsidRDefault="00983DFA" w:rsidP="00983DFA">
      <w:pPr>
        <w:pStyle w:val="ListBullet"/>
        <w:numPr>
          <w:ilvl w:val="0"/>
          <w:numId w:val="0"/>
        </w:numPr>
        <w:spacing w:before="120" w:after="120" w:line="240" w:lineRule="auto"/>
        <w:ind w:left="568" w:hanging="284"/>
        <w:rPr>
          <w:rFonts w:cs="Arial"/>
        </w:rPr>
      </w:pPr>
      <w:r>
        <w:rPr>
          <w:rFonts w:cs="Arial"/>
        </w:rPr>
        <w:t>-</w:t>
      </w:r>
      <w:r>
        <w:rPr>
          <w:rFonts w:cs="Arial"/>
        </w:rPr>
        <w:tab/>
        <w:t>coexistence with adjacent FDD commercial services should be a straightforward matter; and</w:t>
      </w:r>
    </w:p>
    <w:p w14:paraId="05FC2D8C" w14:textId="36E547CC" w:rsidR="00983DFA" w:rsidRDefault="00983DFA" w:rsidP="00983DFA">
      <w:pPr>
        <w:pStyle w:val="ListBullet"/>
        <w:numPr>
          <w:ilvl w:val="0"/>
          <w:numId w:val="0"/>
        </w:numPr>
        <w:spacing w:before="120" w:after="120" w:line="240" w:lineRule="auto"/>
        <w:ind w:left="568" w:hanging="284"/>
        <w:rPr>
          <w:rFonts w:cs="Arial"/>
        </w:rPr>
      </w:pPr>
      <w:r>
        <w:rPr>
          <w:rFonts w:cs="Arial"/>
        </w:rPr>
        <w:t>-</w:t>
      </w:r>
      <w:r>
        <w:rPr>
          <w:rFonts w:cs="Arial"/>
        </w:rPr>
        <w:tab/>
        <w:t xml:space="preserve">the PSMB spectrum can be considered 3GPP spectrum for the purposes of the TLG, </w:t>
      </w:r>
      <w:proofErr w:type="spellStart"/>
      <w:r>
        <w:rPr>
          <w:rFonts w:cs="Arial"/>
        </w:rPr>
        <w:t>ie</w:t>
      </w:r>
      <w:proofErr w:type="spellEnd"/>
      <w:r>
        <w:rPr>
          <w:rFonts w:cs="Arial"/>
        </w:rPr>
        <w:t>. no additional out-of-band protection requirements that need to be afforded to PSMB that wouldn’t be afforded to another adjacent commercial service operating under the 850 MHz (including expansion) spectrum licences</w:t>
      </w:r>
      <w:r w:rsidR="004A5A42">
        <w:rPr>
          <w:rFonts w:cs="Arial"/>
        </w:rPr>
        <w:t xml:space="preserve"> were identified</w:t>
      </w:r>
      <w:r>
        <w:rPr>
          <w:rFonts w:cs="Arial"/>
        </w:rPr>
        <w:t>.</w:t>
      </w:r>
    </w:p>
    <w:p w14:paraId="0557C0B5" w14:textId="5A0E554C" w:rsidR="001F64E0" w:rsidRDefault="00630ADA" w:rsidP="008F390D">
      <w:pPr>
        <w:pStyle w:val="ListBullet"/>
        <w:numPr>
          <w:ilvl w:val="0"/>
          <w:numId w:val="0"/>
        </w:numPr>
        <w:spacing w:before="120" w:after="120" w:line="240" w:lineRule="auto"/>
        <w:ind w:left="284"/>
        <w:rPr>
          <w:rFonts w:cs="Arial"/>
        </w:rPr>
      </w:pPr>
      <w:r>
        <w:rPr>
          <w:rFonts w:cs="Arial"/>
          <w:u w:val="single"/>
        </w:rPr>
        <w:t>850 MHz downshift:</w:t>
      </w:r>
      <w:r>
        <w:rPr>
          <w:rFonts w:cs="Arial"/>
        </w:rPr>
        <w:t xml:space="preserve"> </w:t>
      </w:r>
      <w:r w:rsidR="0051423A" w:rsidRPr="00AC3F18">
        <w:rPr>
          <w:rFonts w:cs="Arial"/>
        </w:rPr>
        <w:t>The 2 x 1 MHz that is proposed for the 850 MHz downshift is within the scope of this TLG</w:t>
      </w:r>
      <w:r w:rsidR="00EA332A" w:rsidRPr="00AC3F18">
        <w:rPr>
          <w:rFonts w:cs="Arial"/>
        </w:rPr>
        <w:t xml:space="preserve">, however the </w:t>
      </w:r>
      <w:r w:rsidR="00452CAA" w:rsidRPr="00AC3F18">
        <w:rPr>
          <w:rFonts w:cs="Arial"/>
        </w:rPr>
        <w:t>means for effecting it, if it is to occur before the 2028 expiry date, are not within scope (this is a matter for negotiation between current and prospective licensees)</w:t>
      </w:r>
      <w:r w:rsidR="0051423A" w:rsidRPr="00AC3F18">
        <w:rPr>
          <w:rFonts w:cs="Arial"/>
        </w:rPr>
        <w:t xml:space="preserve">. </w:t>
      </w:r>
    </w:p>
    <w:p w14:paraId="057BF3D7" w14:textId="420999A2" w:rsidR="0051423A" w:rsidRPr="00AC3F18" w:rsidRDefault="0051423A" w:rsidP="008F390D">
      <w:pPr>
        <w:pStyle w:val="ListBullet"/>
        <w:numPr>
          <w:ilvl w:val="0"/>
          <w:numId w:val="0"/>
        </w:numPr>
        <w:spacing w:before="120" w:after="120" w:line="240" w:lineRule="auto"/>
        <w:ind w:firstLine="284"/>
        <w:rPr>
          <w:rFonts w:cs="Arial"/>
        </w:rPr>
      </w:pPr>
      <w:r w:rsidRPr="00AC3F18">
        <w:rPr>
          <w:rFonts w:cs="Arial"/>
        </w:rPr>
        <w:t>This means that the in-band frequency ranges within scope of the TLG are:</w:t>
      </w:r>
    </w:p>
    <w:p w14:paraId="13D4E5C2" w14:textId="72EB3839" w:rsidR="0051423A" w:rsidRPr="00AC3F18" w:rsidRDefault="001F64E0" w:rsidP="008F390D">
      <w:pPr>
        <w:pStyle w:val="ListBullet"/>
        <w:tabs>
          <w:tab w:val="clear" w:pos="295"/>
          <w:tab w:val="num" w:pos="590"/>
        </w:tabs>
        <w:spacing w:before="120" w:after="120" w:line="240" w:lineRule="auto"/>
        <w:ind w:left="590"/>
      </w:pPr>
      <w:bookmarkStart w:id="6" w:name="_Hlk54356750"/>
      <w:r w:rsidRPr="00AC3F18">
        <w:t>8</w:t>
      </w:r>
      <w:r>
        <w:t>14</w:t>
      </w:r>
      <w:r w:rsidRPr="00AC3F18">
        <w:t xml:space="preserve"> </w:t>
      </w:r>
      <w:r w:rsidR="0051423A" w:rsidRPr="00AC3F18">
        <w:t>MHz to 8</w:t>
      </w:r>
      <w:r w:rsidR="00630ADA">
        <w:t>4</w:t>
      </w:r>
      <w:r w:rsidR="0051423A" w:rsidRPr="00AC3F18">
        <w:t>5 MHz</w:t>
      </w:r>
      <w:r w:rsidR="00384758" w:rsidRPr="00AC3F18">
        <w:t xml:space="preserve"> (base </w:t>
      </w:r>
      <w:proofErr w:type="spellStart"/>
      <w:r w:rsidR="00384758" w:rsidRPr="00AC3F18">
        <w:t>rx</w:t>
      </w:r>
      <w:proofErr w:type="spellEnd"/>
      <w:r w:rsidR="00384758" w:rsidRPr="00AC3F18">
        <w:t>)</w:t>
      </w:r>
      <w:r w:rsidR="0051423A" w:rsidRPr="00AC3F18">
        <w:t>;</w:t>
      </w:r>
    </w:p>
    <w:p w14:paraId="697EF108" w14:textId="44D8C6F6" w:rsidR="0051423A" w:rsidRPr="00AC3F18" w:rsidRDefault="001F64E0" w:rsidP="008F390D">
      <w:pPr>
        <w:pStyle w:val="ListBullet"/>
        <w:tabs>
          <w:tab w:val="clear" w:pos="295"/>
          <w:tab w:val="num" w:pos="579"/>
        </w:tabs>
        <w:spacing w:before="120" w:after="120" w:line="240" w:lineRule="auto"/>
        <w:ind w:left="579"/>
      </w:pPr>
      <w:r w:rsidRPr="00AC3F18">
        <w:t>85</w:t>
      </w:r>
      <w:r>
        <w:t>9</w:t>
      </w:r>
      <w:r w:rsidRPr="00AC3F18">
        <w:t xml:space="preserve"> </w:t>
      </w:r>
      <w:r w:rsidR="0051423A" w:rsidRPr="00AC3F18">
        <w:t>MHz to 8</w:t>
      </w:r>
      <w:r w:rsidR="00630ADA">
        <w:t>9</w:t>
      </w:r>
      <w:r w:rsidR="0051423A" w:rsidRPr="00AC3F18">
        <w:t>0 MHz</w:t>
      </w:r>
      <w:r w:rsidR="00384758" w:rsidRPr="00AC3F18">
        <w:t xml:space="preserve"> (base </w:t>
      </w:r>
      <w:proofErr w:type="spellStart"/>
      <w:r w:rsidR="00384758" w:rsidRPr="00AC3F18">
        <w:t>tx</w:t>
      </w:r>
      <w:proofErr w:type="spellEnd"/>
      <w:r w:rsidR="00384758" w:rsidRPr="00AC3F18">
        <w:t>)</w:t>
      </w:r>
      <w:r w:rsidR="0051423A" w:rsidRPr="00AC3F18">
        <w:t>;</w:t>
      </w:r>
    </w:p>
    <w:p w14:paraId="45F1AA87" w14:textId="006408B2" w:rsidR="0051423A" w:rsidRPr="00AC3F18" w:rsidRDefault="0051423A" w:rsidP="008F390D">
      <w:pPr>
        <w:pStyle w:val="ListBullet"/>
        <w:tabs>
          <w:tab w:val="clear" w:pos="295"/>
          <w:tab w:val="num" w:pos="579"/>
        </w:tabs>
        <w:spacing w:before="120" w:after="120" w:line="240" w:lineRule="auto"/>
        <w:ind w:left="579"/>
      </w:pPr>
      <w:r w:rsidRPr="00AC3F18">
        <w:t>890 MHz to 915 MHz</w:t>
      </w:r>
      <w:r w:rsidR="00384758" w:rsidRPr="00AC3F18">
        <w:t xml:space="preserve"> (base </w:t>
      </w:r>
      <w:proofErr w:type="spellStart"/>
      <w:r w:rsidR="00384758" w:rsidRPr="00AC3F18">
        <w:t>rx</w:t>
      </w:r>
      <w:proofErr w:type="spellEnd"/>
      <w:r w:rsidR="00384758" w:rsidRPr="00AC3F18">
        <w:t>)</w:t>
      </w:r>
      <w:r w:rsidRPr="00AC3F18">
        <w:t>; and</w:t>
      </w:r>
    </w:p>
    <w:p w14:paraId="6327E916" w14:textId="73015545" w:rsidR="0051423A" w:rsidRPr="00AC3F18" w:rsidRDefault="0051423A" w:rsidP="008F390D">
      <w:pPr>
        <w:pStyle w:val="ListBullet"/>
        <w:tabs>
          <w:tab w:val="clear" w:pos="295"/>
        </w:tabs>
        <w:spacing w:before="120" w:after="120" w:line="240" w:lineRule="auto"/>
        <w:ind w:left="579"/>
      </w:pPr>
      <w:r w:rsidRPr="00AC3F18">
        <w:t>935 MHz to 960 MHz</w:t>
      </w:r>
      <w:r w:rsidR="00384758" w:rsidRPr="00AC3F18">
        <w:t xml:space="preserve"> (base </w:t>
      </w:r>
      <w:proofErr w:type="spellStart"/>
      <w:r w:rsidR="00384758" w:rsidRPr="00AC3F18">
        <w:t>tx</w:t>
      </w:r>
      <w:proofErr w:type="spellEnd"/>
      <w:r w:rsidR="00384758" w:rsidRPr="00AC3F18">
        <w:t>)</w:t>
      </w:r>
      <w:r w:rsidRPr="00AC3F18">
        <w:t>.</w:t>
      </w:r>
    </w:p>
    <w:bookmarkEnd w:id="6"/>
    <w:p w14:paraId="719E4563" w14:textId="1FA7881C" w:rsidR="003249ED" w:rsidRPr="00AC3F18" w:rsidRDefault="00630ADA" w:rsidP="008F390D">
      <w:pPr>
        <w:pStyle w:val="ListBullet"/>
        <w:numPr>
          <w:ilvl w:val="0"/>
          <w:numId w:val="0"/>
        </w:numPr>
        <w:spacing w:before="120" w:after="120" w:line="240" w:lineRule="auto"/>
        <w:ind w:left="284"/>
        <w:rPr>
          <w:rFonts w:cs="Arial"/>
        </w:rPr>
      </w:pPr>
      <w:r>
        <w:rPr>
          <w:rFonts w:cs="Arial"/>
        </w:rPr>
        <w:t>T</w:t>
      </w:r>
      <w:r w:rsidR="0096586E" w:rsidRPr="00AC3F18">
        <w:rPr>
          <w:rFonts w:cs="Arial"/>
        </w:rPr>
        <w:t>he 1 MHz downshift</w:t>
      </w:r>
      <w:r>
        <w:rPr>
          <w:rFonts w:cs="Arial"/>
        </w:rPr>
        <w:t xml:space="preserve"> </w:t>
      </w:r>
      <w:r w:rsidR="0096586E" w:rsidRPr="00AC3F18">
        <w:rPr>
          <w:rFonts w:cs="Arial"/>
        </w:rPr>
        <w:t xml:space="preserve">will occur no later than the expiry date of the current 850 MHz spectrum licences in 2028 (or earlier if agreement can be obtained from incumbent licence holders). The work of this TLG assumes that that downshift is </w:t>
      </w:r>
      <w:r w:rsidR="0096586E" w:rsidRPr="00AC3F18">
        <w:rPr>
          <w:rFonts w:cs="Arial"/>
          <w:i/>
          <w:iCs/>
        </w:rPr>
        <w:t xml:space="preserve">not </w:t>
      </w:r>
      <w:r w:rsidR="0096586E" w:rsidRPr="00AC3F18">
        <w:rPr>
          <w:rFonts w:cs="Arial"/>
        </w:rPr>
        <w:t xml:space="preserve">in place – technical frameworks can be updated </w:t>
      </w:r>
      <w:r w:rsidR="00C95205" w:rsidRPr="00AC3F18">
        <w:rPr>
          <w:rFonts w:cs="Arial"/>
        </w:rPr>
        <w:t>later</w:t>
      </w:r>
      <w:r w:rsidR="0096586E" w:rsidRPr="00AC3F18">
        <w:rPr>
          <w:rFonts w:cs="Arial"/>
        </w:rPr>
        <w:t xml:space="preserve"> to take account of the downshift when it occurs</w:t>
      </w:r>
      <w:r w:rsidR="006223EE">
        <w:rPr>
          <w:rStyle w:val="FootnoteReference"/>
          <w:rFonts w:cs="Arial"/>
        </w:rPr>
        <w:footnoteReference w:id="4"/>
      </w:r>
      <w:r w:rsidR="0096586E" w:rsidRPr="00AC3F18">
        <w:rPr>
          <w:rFonts w:cs="Arial"/>
        </w:rPr>
        <w:t>.</w:t>
      </w:r>
      <w:r w:rsidR="00EA332A" w:rsidRPr="00AC3F18">
        <w:rPr>
          <w:rFonts w:cs="Arial"/>
        </w:rPr>
        <w:t xml:space="preserve"> </w:t>
      </w:r>
    </w:p>
    <w:p w14:paraId="7C9E9ADB" w14:textId="569772DD" w:rsidR="0096586E" w:rsidRPr="00AC3F18" w:rsidRDefault="003249ED" w:rsidP="008F390D">
      <w:pPr>
        <w:pStyle w:val="ListBullet"/>
        <w:numPr>
          <w:ilvl w:val="0"/>
          <w:numId w:val="0"/>
        </w:numPr>
        <w:spacing w:before="120" w:after="120" w:line="240" w:lineRule="auto"/>
        <w:ind w:left="284"/>
        <w:rPr>
          <w:rFonts w:cs="Arial"/>
        </w:rPr>
      </w:pPr>
      <w:r w:rsidRPr="00AC3F18">
        <w:rPr>
          <w:rFonts w:cs="Arial"/>
        </w:rPr>
        <w:t xml:space="preserve">This also means that compatibility between services above and below the 890 MHz boundary will continue to be an issue. This TLG </w:t>
      </w:r>
      <w:r w:rsidR="009B31AB">
        <w:rPr>
          <w:rFonts w:cs="Arial"/>
        </w:rPr>
        <w:t>did</w:t>
      </w:r>
      <w:r w:rsidR="009B31AB" w:rsidRPr="00AC3F18">
        <w:rPr>
          <w:rFonts w:cs="Arial"/>
        </w:rPr>
        <w:t xml:space="preserve"> </w:t>
      </w:r>
      <w:r w:rsidRPr="00AC3F18">
        <w:rPr>
          <w:rFonts w:cs="Arial"/>
        </w:rPr>
        <w:t>not aim to solve that issue – new lower 900 MHz deployments will simply need to protect existing 850 MHz registrations in accordance with the frameworks that will be put in place. The downshift (when it does occur) will ease, but not eliminate, these coexistence issues. How this affects the allocation/valuation of 900 MHz lots is not a matter for this TLG</w:t>
      </w:r>
      <w:r w:rsidR="009B31AB">
        <w:rPr>
          <w:rFonts w:cs="Arial"/>
        </w:rPr>
        <w:t xml:space="preserve"> – however it needs to be reiterated that </w:t>
      </w:r>
      <w:r w:rsidR="009B31AB" w:rsidRPr="008F390D">
        <w:rPr>
          <w:rFonts w:cs="Arial"/>
          <w:u w:val="single"/>
        </w:rPr>
        <w:t xml:space="preserve">the utility of the lower 900 MHz lots will be </w:t>
      </w:r>
      <w:r w:rsidR="004A5A42">
        <w:rPr>
          <w:rFonts w:cs="Arial"/>
          <w:u w:val="single"/>
        </w:rPr>
        <w:t>lower</w:t>
      </w:r>
      <w:r w:rsidR="009B31AB">
        <w:rPr>
          <w:rFonts w:cs="Arial"/>
        </w:rPr>
        <w:t>, relative to higher-frequency lots. This can be mitigated but not avoided altogether.</w:t>
      </w:r>
    </w:p>
    <w:p w14:paraId="4D73FA58" w14:textId="0E1ADF91" w:rsidR="005458D4" w:rsidRPr="00AC3F18" w:rsidRDefault="005458D4" w:rsidP="0071460B">
      <w:pPr>
        <w:pStyle w:val="ListBullet"/>
        <w:numPr>
          <w:ilvl w:val="0"/>
          <w:numId w:val="0"/>
        </w:numPr>
        <w:spacing w:before="120" w:after="120" w:line="240" w:lineRule="auto"/>
        <w:rPr>
          <w:rFonts w:cs="Arial"/>
        </w:rPr>
      </w:pPr>
      <w:r w:rsidRPr="00AC3F18">
        <w:rPr>
          <w:rFonts w:cs="Arial"/>
        </w:rPr>
        <w:t xml:space="preserve">Device boundary criteria (DBC) for service deployments </w:t>
      </w:r>
      <w:r w:rsidR="009B31AB">
        <w:rPr>
          <w:rFonts w:cs="Arial"/>
        </w:rPr>
        <w:t>were</w:t>
      </w:r>
      <w:r w:rsidRPr="00AC3F18">
        <w:rPr>
          <w:rFonts w:cs="Arial"/>
        </w:rPr>
        <w:t xml:space="preserve"> considered within this TLG, which are relevant to managing interference across geographic boundaries</w:t>
      </w:r>
      <w:r w:rsidR="009B31AB">
        <w:rPr>
          <w:rFonts w:cs="Arial"/>
        </w:rPr>
        <w:t xml:space="preserve">, </w:t>
      </w:r>
      <w:r w:rsidRPr="00AC3F18">
        <w:rPr>
          <w:rFonts w:cs="Arial"/>
        </w:rPr>
        <w:lastRenderedPageBreak/>
        <w:t xml:space="preserve">however any consideration of geographic spectrum lot configurations </w:t>
      </w:r>
      <w:r w:rsidR="009B31AB">
        <w:rPr>
          <w:rFonts w:cs="Arial"/>
        </w:rPr>
        <w:t>was</w:t>
      </w:r>
      <w:r w:rsidR="009B31AB" w:rsidRPr="00AC3F18">
        <w:rPr>
          <w:rFonts w:cs="Arial"/>
        </w:rPr>
        <w:t xml:space="preserve"> </w:t>
      </w:r>
      <w:r w:rsidRPr="00AC3F18">
        <w:rPr>
          <w:rFonts w:cs="Arial"/>
        </w:rPr>
        <w:t xml:space="preserve">not within the scope of this TLG. </w:t>
      </w:r>
    </w:p>
    <w:p w14:paraId="4A4C5341" w14:textId="37FF6709" w:rsidR="00642548" w:rsidRPr="00AC3F18" w:rsidRDefault="0096586E" w:rsidP="005C178B">
      <w:pPr>
        <w:pStyle w:val="ListBullet"/>
        <w:numPr>
          <w:ilvl w:val="0"/>
          <w:numId w:val="0"/>
        </w:numPr>
        <w:spacing w:before="120" w:after="120" w:line="240" w:lineRule="auto"/>
        <w:rPr>
          <w:rFonts w:cs="Arial"/>
        </w:rPr>
      </w:pPr>
      <w:r w:rsidRPr="00AC3F18">
        <w:rPr>
          <w:rFonts w:cs="Arial"/>
        </w:rPr>
        <w:t>Lastly, the device and emission characteristics proposed for consideration in developing these frameworks have</w:t>
      </w:r>
      <w:r w:rsidR="005458D4" w:rsidRPr="00AC3F18">
        <w:rPr>
          <w:rFonts w:cs="Arial"/>
        </w:rPr>
        <w:t>, with some exceptions,</w:t>
      </w:r>
      <w:r w:rsidRPr="00AC3F18">
        <w:rPr>
          <w:rFonts w:cs="Arial"/>
        </w:rPr>
        <w:t xml:space="preserve"> been based on the 3GPP ’38 series’ standards that specify 5G new radio (NR) systems and devices. While technical frameworks developed to support spectrum licensing are deliberately technology-flexible, they are generally optimised for the most evolved technologies available at the time of their writing. </w:t>
      </w:r>
      <w:r w:rsidR="00642548" w:rsidRPr="00AC3F18">
        <w:rPr>
          <w:rFonts w:cs="Arial"/>
        </w:rPr>
        <w:t xml:space="preserve">Parameters are also necessarily tempered if/where necessary to </w:t>
      </w:r>
      <w:r w:rsidR="00192E63" w:rsidRPr="00AC3F18">
        <w:rPr>
          <w:rFonts w:cs="Arial"/>
        </w:rPr>
        <w:t>enable coexistence with incumbent services – while 3GPP standards are instructive they do not always translate directly into</w:t>
      </w:r>
      <w:r w:rsidR="00384758" w:rsidRPr="00AC3F18">
        <w:rPr>
          <w:rFonts w:cs="Arial"/>
        </w:rPr>
        <w:t xml:space="preserve"> parameters for entry into</w:t>
      </w:r>
      <w:r w:rsidR="00192E63" w:rsidRPr="00AC3F18">
        <w:rPr>
          <w:rFonts w:cs="Arial"/>
        </w:rPr>
        <w:t xml:space="preserve"> technical frameworks.</w:t>
      </w:r>
    </w:p>
    <w:p w14:paraId="396B1471" w14:textId="74A859C8" w:rsidR="007D3301" w:rsidRPr="00AC3F18" w:rsidRDefault="0096586E" w:rsidP="0071460B">
      <w:pPr>
        <w:pStyle w:val="ListBullet"/>
        <w:numPr>
          <w:ilvl w:val="0"/>
          <w:numId w:val="0"/>
        </w:numPr>
        <w:spacing w:before="120" w:after="120" w:line="240" w:lineRule="auto"/>
        <w:rPr>
          <w:rFonts w:cs="Arial"/>
        </w:rPr>
      </w:pPr>
      <w:r w:rsidRPr="00AC3F18">
        <w:rPr>
          <w:rFonts w:cs="Arial"/>
        </w:rPr>
        <w:t>It may be some time until 5G technologies are deployed in the frequency bands being considered by this TLG, however optimising the frameworks in this way will enable a smooth transition to these technologies at the appropriate time, and is not expected to constrain previous generation (</w:t>
      </w:r>
      <w:proofErr w:type="spellStart"/>
      <w:r w:rsidRPr="00AC3F18">
        <w:rPr>
          <w:rFonts w:cs="Arial"/>
        </w:rPr>
        <w:t>eg</w:t>
      </w:r>
      <w:proofErr w:type="spellEnd"/>
      <w:r w:rsidRPr="00AC3F18">
        <w:rPr>
          <w:rFonts w:cs="Arial"/>
        </w:rPr>
        <w:t xml:space="preserve">, 3G, 4G) technology deployments in the </w:t>
      </w:r>
      <w:r w:rsidR="005C178B" w:rsidRPr="00AC3F18">
        <w:rPr>
          <w:rFonts w:cs="Arial"/>
        </w:rPr>
        <w:t>interceding period</w:t>
      </w:r>
      <w:r w:rsidRPr="00AC3F18">
        <w:rPr>
          <w:rFonts w:cs="Arial"/>
        </w:rPr>
        <w:t>.</w:t>
      </w:r>
    </w:p>
    <w:p w14:paraId="52B52563" w14:textId="6BE55841" w:rsidR="003249ED" w:rsidRPr="00AC3F18" w:rsidRDefault="003249ED" w:rsidP="0071460B">
      <w:pPr>
        <w:pStyle w:val="ListBullet"/>
        <w:numPr>
          <w:ilvl w:val="0"/>
          <w:numId w:val="0"/>
        </w:numPr>
        <w:spacing w:before="120" w:after="120" w:line="240" w:lineRule="auto"/>
        <w:rPr>
          <w:rFonts w:cs="Arial"/>
          <w:sz w:val="28"/>
          <w:szCs w:val="28"/>
        </w:rPr>
      </w:pPr>
      <w:r w:rsidRPr="00AC3F18">
        <w:rPr>
          <w:rFonts w:cs="Arial"/>
        </w:rPr>
        <w:t xml:space="preserve">Thus the reference technologies proposed in the first version of this paper referred to 38 series technologies. </w:t>
      </w:r>
      <w:r w:rsidR="00853C9A">
        <w:rPr>
          <w:rFonts w:cs="Arial"/>
        </w:rPr>
        <w:t>T</w:t>
      </w:r>
      <w:r w:rsidRPr="00AC3F18">
        <w:rPr>
          <w:rFonts w:cs="Arial"/>
        </w:rPr>
        <w:t xml:space="preserve">he </w:t>
      </w:r>
      <w:r w:rsidR="006037CA">
        <w:rPr>
          <w:rFonts w:cs="Arial"/>
        </w:rPr>
        <w:t>out-of-band</w:t>
      </w:r>
      <w:r w:rsidRPr="00AC3F18">
        <w:rPr>
          <w:rFonts w:cs="Arial"/>
        </w:rPr>
        <w:t xml:space="preserve"> emission limits initially proposed </w:t>
      </w:r>
      <w:r w:rsidR="00EA24D4" w:rsidRPr="00AC3F18">
        <w:rPr>
          <w:rFonts w:cs="Arial"/>
        </w:rPr>
        <w:t>were based on the extant 850 MHz frameworks, essentially as a starting point to elicit feedback on what limits might be appropriate</w:t>
      </w:r>
      <w:r w:rsidR="00A23FCD">
        <w:rPr>
          <w:rFonts w:cs="Arial"/>
        </w:rPr>
        <w:t xml:space="preserve">, </w:t>
      </w:r>
      <w:r w:rsidR="009B31AB">
        <w:rPr>
          <w:rFonts w:cs="Arial"/>
        </w:rPr>
        <w:t xml:space="preserve">however were </w:t>
      </w:r>
      <w:r w:rsidR="00A23FCD">
        <w:rPr>
          <w:rFonts w:cs="Arial"/>
        </w:rPr>
        <w:t>updated in response to member feedback</w:t>
      </w:r>
      <w:r w:rsidR="009B31AB">
        <w:rPr>
          <w:rFonts w:cs="Arial"/>
        </w:rPr>
        <w:t xml:space="preserve"> to align with current technology standards</w:t>
      </w:r>
      <w:r w:rsidR="00EA24D4" w:rsidRPr="00AC3F18">
        <w:rPr>
          <w:rFonts w:cs="Arial"/>
        </w:rPr>
        <w:t xml:space="preserve">. </w:t>
      </w:r>
    </w:p>
    <w:p w14:paraId="1366E6EB" w14:textId="03DFBD3A" w:rsidR="005D0306" w:rsidRDefault="005D0306" w:rsidP="0071460B">
      <w:pPr>
        <w:pStyle w:val="Heading2"/>
        <w:keepLines/>
        <w:spacing w:before="120" w:after="120" w:line="240" w:lineRule="auto"/>
      </w:pPr>
      <w:bookmarkStart w:id="7" w:name="_Toc65674874"/>
      <w:r w:rsidRPr="00AC3F18">
        <w:t>Timeline</w:t>
      </w:r>
      <w:bookmarkEnd w:id="7"/>
    </w:p>
    <w:p w14:paraId="7BB9CFD5" w14:textId="561C9A81" w:rsidR="000857D9" w:rsidRDefault="000857D9" w:rsidP="0071460B">
      <w:pPr>
        <w:pStyle w:val="Paragraph"/>
        <w:spacing w:before="120" w:after="120" w:line="240" w:lineRule="auto"/>
      </w:pPr>
      <w:r>
        <w:t xml:space="preserve">The ACMA is working towards allocating the 850 MHz expansion band and 900 MHz band in </w:t>
      </w:r>
      <w:r w:rsidR="00EE1799">
        <w:t xml:space="preserve">Q4 </w:t>
      </w:r>
      <w:r w:rsidR="00D76027">
        <w:t>2021</w:t>
      </w:r>
      <w:r w:rsidR="00EE1799">
        <w:t>.</w:t>
      </w:r>
    </w:p>
    <w:p w14:paraId="0B9A0BCF" w14:textId="16863BA5" w:rsidR="000216CA" w:rsidRPr="005D0306" w:rsidRDefault="005B5214" w:rsidP="0071460B">
      <w:pPr>
        <w:pStyle w:val="Caption"/>
        <w:spacing w:before="120" w:after="120" w:line="240" w:lineRule="auto"/>
      </w:pPr>
      <w:r>
        <w:t>TLG anticipated process timeline</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E542A2" w:rsidRPr="00544B0C" w14:paraId="7C279201" w14:textId="77777777" w:rsidTr="007E1233">
        <w:trPr>
          <w:cantSplit/>
          <w:tblHeader/>
        </w:trPr>
        <w:tc>
          <w:tcPr>
            <w:tcW w:w="6521" w:type="dxa"/>
            <w:shd w:val="clear" w:color="auto" w:fill="404040" w:themeFill="text1" w:themeFillTint="BF"/>
            <w:tcMar>
              <w:top w:w="57" w:type="dxa"/>
              <w:bottom w:w="28" w:type="dxa"/>
            </w:tcMar>
          </w:tcPr>
          <w:p w14:paraId="20FA720E" w14:textId="77777777"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Key steps</w:t>
            </w:r>
          </w:p>
        </w:tc>
        <w:tc>
          <w:tcPr>
            <w:tcW w:w="2127" w:type="dxa"/>
            <w:shd w:val="clear" w:color="auto" w:fill="404040" w:themeFill="text1" w:themeFillTint="BF"/>
            <w:tcMar>
              <w:top w:w="57" w:type="dxa"/>
              <w:bottom w:w="28" w:type="dxa"/>
            </w:tcMar>
          </w:tcPr>
          <w:p w14:paraId="42F640FA" w14:textId="7BD0ED38"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Proposed Date</w:t>
            </w:r>
          </w:p>
        </w:tc>
      </w:tr>
      <w:tr w:rsidR="00E542A2" w:rsidRPr="00544B0C" w14:paraId="5138C105" w14:textId="77777777" w:rsidTr="007E1233">
        <w:trPr>
          <w:cantSplit/>
        </w:trPr>
        <w:tc>
          <w:tcPr>
            <w:tcW w:w="6521" w:type="dxa"/>
            <w:tcMar>
              <w:top w:w="57" w:type="dxa"/>
              <w:bottom w:w="28" w:type="dxa"/>
            </w:tcMar>
          </w:tcPr>
          <w:p w14:paraId="02BC589A" w14:textId="662AC93F" w:rsidR="00E542A2" w:rsidRPr="00544B0C" w:rsidRDefault="00E542A2" w:rsidP="0071460B">
            <w:pPr>
              <w:pStyle w:val="Paragraph"/>
              <w:spacing w:before="120" w:after="120" w:line="240" w:lineRule="auto"/>
            </w:pPr>
            <w:r w:rsidRPr="00544B0C">
              <w:t>TLG process</w:t>
            </w:r>
            <w:r w:rsidR="000868E9">
              <w:t>:</w:t>
            </w:r>
          </w:p>
          <w:p w14:paraId="20C48C51" w14:textId="4FEC9E1C" w:rsidR="00E542A2" w:rsidRPr="00544B0C" w:rsidRDefault="00E542A2" w:rsidP="0071460B">
            <w:pPr>
              <w:pStyle w:val="Bulletlevel1"/>
              <w:spacing w:before="120" w:after="120" w:line="240" w:lineRule="auto"/>
            </w:pPr>
            <w:r w:rsidRPr="00544B0C">
              <w:t>Initial release of TLG paper</w:t>
            </w:r>
          </w:p>
          <w:p w14:paraId="6FEE73D3" w14:textId="12ADDE3A" w:rsidR="00E542A2" w:rsidRPr="00544B0C" w:rsidRDefault="00E542A2" w:rsidP="0071460B">
            <w:pPr>
              <w:pStyle w:val="Bulletlevel1"/>
              <w:spacing w:before="120" w:after="120" w:line="240" w:lineRule="auto"/>
            </w:pPr>
            <w:r w:rsidRPr="00544B0C">
              <w:t>Deadline for submissions/comments on initial TLG paper</w:t>
            </w:r>
          </w:p>
          <w:p w14:paraId="51C8AD65" w14:textId="096B2B51" w:rsidR="00E542A2" w:rsidRPr="00544B0C" w:rsidRDefault="00E542A2" w:rsidP="0071460B">
            <w:pPr>
              <w:pStyle w:val="Bulletlevel1"/>
              <w:spacing w:before="120" w:after="120" w:line="240" w:lineRule="auto"/>
            </w:pPr>
            <w:r w:rsidRPr="00544B0C">
              <w:t xml:space="preserve">Revision to TLG paper </w:t>
            </w:r>
            <w:r w:rsidR="00547C56">
              <w:t>and recirculation</w:t>
            </w:r>
          </w:p>
          <w:p w14:paraId="0D0AF36F" w14:textId="7683C6E9" w:rsidR="00E542A2" w:rsidRPr="00544B0C" w:rsidRDefault="00E542A2" w:rsidP="0071460B">
            <w:pPr>
              <w:pStyle w:val="Bulletlevel1"/>
              <w:spacing w:before="120" w:after="120" w:line="240" w:lineRule="auto"/>
            </w:pPr>
            <w:r w:rsidRPr="00544B0C">
              <w:t>Deadline for submissions/comments on revised TLG paper</w:t>
            </w:r>
          </w:p>
          <w:p w14:paraId="7829AE1B" w14:textId="0577ED62" w:rsidR="00E542A2" w:rsidRPr="00544B0C" w:rsidRDefault="00E542A2" w:rsidP="0071460B">
            <w:pPr>
              <w:pStyle w:val="Bulletlevel1"/>
              <w:spacing w:before="120" w:after="120" w:line="240" w:lineRule="auto"/>
            </w:pPr>
            <w:r w:rsidRPr="00544B0C">
              <w:t>Second (final) revision to TLG paper</w:t>
            </w:r>
            <w:r w:rsidR="00547C56">
              <w:t xml:space="preserve"> and recirculation</w:t>
            </w:r>
          </w:p>
        </w:tc>
        <w:tc>
          <w:tcPr>
            <w:tcW w:w="2127" w:type="dxa"/>
            <w:tcMar>
              <w:top w:w="57" w:type="dxa"/>
              <w:bottom w:w="28" w:type="dxa"/>
            </w:tcMar>
          </w:tcPr>
          <w:p w14:paraId="66C08FA6" w14:textId="77777777" w:rsidR="00E542A2" w:rsidRPr="00544B0C" w:rsidRDefault="00E542A2" w:rsidP="0071460B">
            <w:pPr>
              <w:keepNext/>
              <w:keepLines/>
              <w:spacing w:before="120" w:after="120" w:line="240" w:lineRule="auto"/>
              <w:rPr>
                <w:rFonts w:cs="Arial"/>
                <w:szCs w:val="20"/>
              </w:rPr>
            </w:pPr>
          </w:p>
          <w:p w14:paraId="19EF6D10" w14:textId="137AA025" w:rsidR="00E542A2" w:rsidRPr="00544B0C" w:rsidRDefault="00E953FD" w:rsidP="0071460B">
            <w:pPr>
              <w:pStyle w:val="Bulletlevel1"/>
              <w:spacing w:before="120" w:after="120" w:line="240" w:lineRule="auto"/>
            </w:pPr>
            <w:r w:rsidRPr="00BD0054">
              <w:t>17</w:t>
            </w:r>
            <w:r w:rsidR="00467030">
              <w:t xml:space="preserve"> Dec</w:t>
            </w:r>
            <w:r w:rsidR="00547C56">
              <w:t xml:space="preserve"> 2020</w:t>
            </w:r>
          </w:p>
          <w:p w14:paraId="23717385" w14:textId="60A8DB25" w:rsidR="00E542A2" w:rsidRPr="00544B0C" w:rsidRDefault="00092535" w:rsidP="0071460B">
            <w:pPr>
              <w:pStyle w:val="Bulletlevel1"/>
              <w:spacing w:before="120" w:after="120" w:line="240" w:lineRule="auto"/>
            </w:pPr>
            <w:r>
              <w:t xml:space="preserve">12 </w:t>
            </w:r>
            <w:r w:rsidR="001C61A2">
              <w:t>Feb</w:t>
            </w:r>
            <w:r w:rsidR="00547C56">
              <w:t xml:space="preserve"> 2021</w:t>
            </w:r>
            <w:r w:rsidR="00547C56">
              <w:rPr>
                <w:rStyle w:val="FootnoteReference"/>
              </w:rPr>
              <w:footnoteReference w:id="5"/>
            </w:r>
          </w:p>
          <w:p w14:paraId="3216B7B6" w14:textId="1FFE74B5" w:rsidR="00E542A2" w:rsidRPr="00544B0C" w:rsidRDefault="00582A96" w:rsidP="0071460B">
            <w:pPr>
              <w:pStyle w:val="Bulletlevel1"/>
              <w:spacing w:before="120" w:after="120" w:line="240" w:lineRule="auto"/>
            </w:pPr>
            <w:r>
              <w:t>26</w:t>
            </w:r>
            <w:r w:rsidR="00547C56">
              <w:t xml:space="preserve"> Feb 2021</w:t>
            </w:r>
          </w:p>
          <w:p w14:paraId="0D051510" w14:textId="6C9C3271" w:rsidR="00E542A2" w:rsidRPr="00544B0C" w:rsidRDefault="009E3CF3" w:rsidP="0071460B">
            <w:pPr>
              <w:pStyle w:val="Bulletlevel1"/>
              <w:spacing w:before="120" w:after="120" w:line="240" w:lineRule="auto"/>
            </w:pPr>
            <w:r>
              <w:t xml:space="preserve">19 </w:t>
            </w:r>
            <w:r w:rsidR="00547C56">
              <w:t>Mar 2021</w:t>
            </w:r>
          </w:p>
          <w:p w14:paraId="1705B68B" w14:textId="7FF4CDCB" w:rsidR="00E542A2" w:rsidRPr="00544B0C" w:rsidRDefault="00C24975" w:rsidP="0071460B">
            <w:pPr>
              <w:pStyle w:val="Bulletlevel1"/>
              <w:spacing w:before="120" w:after="120" w:line="240" w:lineRule="auto"/>
            </w:pPr>
            <w:r>
              <w:t>8</w:t>
            </w:r>
            <w:r w:rsidR="009612AA">
              <w:t xml:space="preserve"> </w:t>
            </w:r>
            <w:r>
              <w:t>Apr</w:t>
            </w:r>
            <w:r w:rsidR="009612AA">
              <w:t xml:space="preserve"> 2021</w:t>
            </w:r>
          </w:p>
        </w:tc>
      </w:tr>
      <w:tr w:rsidR="00E542A2" w:rsidRPr="00544B0C" w14:paraId="7830A6DF" w14:textId="77777777" w:rsidTr="007E1233">
        <w:trPr>
          <w:cantSplit/>
        </w:trPr>
        <w:tc>
          <w:tcPr>
            <w:tcW w:w="6521" w:type="dxa"/>
            <w:shd w:val="clear" w:color="auto" w:fill="F2F2F2" w:themeFill="background1" w:themeFillShade="F2"/>
            <w:tcMar>
              <w:top w:w="57" w:type="dxa"/>
              <w:bottom w:w="28" w:type="dxa"/>
            </w:tcMar>
          </w:tcPr>
          <w:p w14:paraId="0951C472" w14:textId="0C40AE6B" w:rsidR="00E542A2" w:rsidRPr="00544B0C" w:rsidRDefault="00E542A2" w:rsidP="0071460B">
            <w:pPr>
              <w:keepNext/>
              <w:keepLines/>
              <w:spacing w:before="120" w:after="120" w:line="240" w:lineRule="auto"/>
              <w:rPr>
                <w:rFonts w:cs="Arial"/>
                <w:szCs w:val="20"/>
              </w:rPr>
            </w:pPr>
            <w:r w:rsidRPr="00544B0C">
              <w:rPr>
                <w:rFonts w:cs="Arial"/>
                <w:szCs w:val="20"/>
              </w:rPr>
              <w:lastRenderedPageBreak/>
              <w:t xml:space="preserve">Public consultation on the draft updates to the following technical framework instruments (the consultation will also include a draft </w:t>
            </w:r>
            <w:r>
              <w:rPr>
                <w:rFonts w:cs="Arial"/>
                <w:szCs w:val="20"/>
              </w:rPr>
              <w:t>850</w:t>
            </w:r>
            <w:r w:rsidRPr="00544B0C">
              <w:rPr>
                <w:rFonts w:cs="Arial"/>
                <w:szCs w:val="20"/>
              </w:rPr>
              <w:t xml:space="preserve"> </w:t>
            </w:r>
            <w:r>
              <w:rPr>
                <w:rFonts w:cs="Arial"/>
                <w:szCs w:val="20"/>
              </w:rPr>
              <w:t>M</w:t>
            </w:r>
            <w:r w:rsidRPr="00544B0C">
              <w:rPr>
                <w:rFonts w:cs="Arial"/>
                <w:szCs w:val="20"/>
              </w:rPr>
              <w:t>Hz</w:t>
            </w:r>
            <w:r>
              <w:rPr>
                <w:rFonts w:cs="Arial"/>
                <w:szCs w:val="20"/>
              </w:rPr>
              <w:t xml:space="preserve"> ‘expansion’</w:t>
            </w:r>
            <w:r w:rsidRPr="00544B0C">
              <w:rPr>
                <w:rFonts w:cs="Arial"/>
                <w:szCs w:val="20"/>
              </w:rPr>
              <w:t xml:space="preserve"> band</w:t>
            </w:r>
            <w:r>
              <w:rPr>
                <w:rFonts w:cs="Arial"/>
                <w:szCs w:val="20"/>
              </w:rPr>
              <w:t xml:space="preserve"> &amp; 900 MHz</w:t>
            </w:r>
            <w:r w:rsidRPr="00544B0C">
              <w:rPr>
                <w:rFonts w:cs="Arial"/>
                <w:szCs w:val="20"/>
              </w:rPr>
              <w:t xml:space="preserve"> marketing plan):</w:t>
            </w:r>
          </w:p>
          <w:p w14:paraId="20EA04E9" w14:textId="77777777" w:rsidR="00E542A2" w:rsidRPr="00544B0C" w:rsidRDefault="00E542A2" w:rsidP="0071460B">
            <w:pPr>
              <w:keepNext/>
              <w:keepLines/>
              <w:spacing w:before="120" w:after="120" w:line="240" w:lineRule="auto"/>
              <w:rPr>
                <w:rFonts w:cs="Arial"/>
                <w:szCs w:val="20"/>
              </w:rPr>
            </w:pPr>
          </w:p>
          <w:p w14:paraId="4CCB1AA9" w14:textId="0D060E06" w:rsidR="00E542A2" w:rsidRPr="00544B0C" w:rsidRDefault="00E542A2" w:rsidP="0071460B">
            <w:pPr>
              <w:pStyle w:val="Bulletlevel1"/>
              <w:spacing w:before="120" w:after="120" w:line="240" w:lineRule="auto"/>
            </w:pPr>
            <w:r w:rsidRPr="00544B0C">
              <w:t xml:space="preserve">Draft </w:t>
            </w:r>
            <w:r w:rsidR="007A1493">
              <w:t xml:space="preserve">marketing plan (including draft </w:t>
            </w:r>
            <w:r w:rsidRPr="00544B0C">
              <w:t xml:space="preserve">spectrum </w:t>
            </w:r>
            <w:r w:rsidR="002F63CD" w:rsidRPr="00544B0C">
              <w:t>licence</w:t>
            </w:r>
            <w:r w:rsidR="007A1493">
              <w:t>)</w:t>
            </w:r>
            <w:r w:rsidR="002F63CD">
              <w:t>; and,</w:t>
            </w:r>
          </w:p>
          <w:p w14:paraId="26CAB231" w14:textId="14E3F81F" w:rsidR="00E542A2" w:rsidRPr="00544B0C" w:rsidRDefault="00E542A2" w:rsidP="0071460B">
            <w:pPr>
              <w:pStyle w:val="Bulletlevel1"/>
              <w:spacing w:before="120" w:after="120" w:line="240" w:lineRule="auto"/>
            </w:pPr>
            <w:r w:rsidRPr="00544B0C">
              <w:t xml:space="preserve">Draft </w:t>
            </w:r>
            <w:r w:rsidRPr="00544B0C">
              <w:rPr>
                <w:bCs/>
                <w:i/>
                <w:iCs/>
              </w:rPr>
              <w:t>Radiocommunications (Unacceptable Levels of Interference) Determination;</w:t>
            </w:r>
            <w:r w:rsidR="00BB1593">
              <w:rPr>
                <w:bCs/>
                <w:i/>
                <w:iCs/>
              </w:rPr>
              <w:t xml:space="preserve"> </w:t>
            </w:r>
            <w:r w:rsidR="00BB1593">
              <w:rPr>
                <w:bCs/>
              </w:rPr>
              <w:t>and,</w:t>
            </w:r>
          </w:p>
          <w:p w14:paraId="4922D1C0" w14:textId="38526204" w:rsidR="00E542A2" w:rsidRPr="00544B0C" w:rsidRDefault="00E542A2" w:rsidP="0071460B">
            <w:pPr>
              <w:pStyle w:val="Bulletlevel1"/>
              <w:spacing w:before="120" w:after="120" w:line="240" w:lineRule="auto"/>
            </w:pPr>
            <w:r w:rsidRPr="00544B0C">
              <w:t xml:space="preserve">Draft </w:t>
            </w:r>
            <w:r w:rsidRPr="00544B0C">
              <w:rPr>
                <w:bCs/>
                <w:i/>
                <w:iCs/>
              </w:rPr>
              <w:t>Radiocommunications Advisory Guidelines (Managing Interference from Spectrum Licensed Transmitters</w:t>
            </w:r>
            <w:r w:rsidR="00565C2F">
              <w:rPr>
                <w:bCs/>
                <w:i/>
                <w:iCs/>
              </w:rPr>
              <w:t>)</w:t>
            </w:r>
            <w:r w:rsidRPr="00544B0C">
              <w:rPr>
                <w:bCs/>
                <w:i/>
                <w:iCs/>
              </w:rPr>
              <w:t>;</w:t>
            </w:r>
            <w:r w:rsidR="00565C2F">
              <w:rPr>
                <w:bCs/>
              </w:rPr>
              <w:t xml:space="preserve"> and</w:t>
            </w:r>
          </w:p>
          <w:p w14:paraId="57D58552" w14:textId="5C55EC26" w:rsidR="00E542A2" w:rsidRPr="00544B0C" w:rsidRDefault="00E542A2" w:rsidP="0071460B">
            <w:pPr>
              <w:pStyle w:val="Bulletlevel1"/>
              <w:spacing w:before="120" w:after="120" w:line="240" w:lineRule="auto"/>
            </w:pPr>
            <w:r w:rsidRPr="00544B0C">
              <w:t xml:space="preserve">Draft </w:t>
            </w:r>
            <w:r w:rsidRPr="00544B0C">
              <w:rPr>
                <w:bCs/>
                <w:i/>
                <w:iCs/>
              </w:rPr>
              <w:t xml:space="preserve">Radiocommunications Advisory Guidelines (Managing Interference to Spectrum Licensed </w:t>
            </w:r>
            <w:r w:rsidR="001F5D7C">
              <w:rPr>
                <w:bCs/>
                <w:i/>
                <w:iCs/>
              </w:rPr>
              <w:t>Receivers</w:t>
            </w:r>
            <w:r w:rsidR="004F6558" w:rsidRPr="00544B0C">
              <w:rPr>
                <w:bCs/>
                <w:i/>
                <w:iCs/>
              </w:rPr>
              <w:t>);</w:t>
            </w:r>
            <w:r w:rsidR="002D34B6">
              <w:rPr>
                <w:bCs/>
                <w:i/>
                <w:iCs/>
              </w:rPr>
              <w:t xml:space="preserve"> </w:t>
            </w:r>
            <w:r w:rsidR="002D34B6">
              <w:rPr>
                <w:bCs/>
              </w:rPr>
              <w:t>and,</w:t>
            </w:r>
          </w:p>
          <w:p w14:paraId="35687B13" w14:textId="4BC96F19" w:rsidR="00E542A2" w:rsidRPr="00544B0C" w:rsidRDefault="00E542A2" w:rsidP="0071460B">
            <w:pPr>
              <w:pStyle w:val="Bulletlevel1"/>
              <w:spacing w:before="120" w:after="120" w:line="240" w:lineRule="auto"/>
            </w:pPr>
            <w:r w:rsidRPr="00544B0C">
              <w:t xml:space="preserve">Draft update to </w:t>
            </w:r>
            <w:r w:rsidRPr="00544B0C">
              <w:rPr>
                <w:i/>
              </w:rPr>
              <w:t>Radiocommunications (Trading Rules for Spectrum Licences) Determination 2012</w:t>
            </w:r>
            <w:r w:rsidR="002D34B6">
              <w:rPr>
                <w:i/>
              </w:rPr>
              <w:t xml:space="preserve">; </w:t>
            </w:r>
            <w:r w:rsidR="002D34B6">
              <w:rPr>
                <w:iCs/>
              </w:rPr>
              <w:t>and</w:t>
            </w:r>
          </w:p>
          <w:p w14:paraId="04464B0B" w14:textId="669AB024" w:rsidR="00E542A2" w:rsidRPr="00544B0C" w:rsidRDefault="00E542A2" w:rsidP="0071460B">
            <w:pPr>
              <w:pStyle w:val="Bulletlevel1"/>
              <w:spacing w:before="120" w:after="120" w:line="240" w:lineRule="auto"/>
            </w:pPr>
            <w:r w:rsidRPr="00544B0C">
              <w:rPr>
                <w:bCs/>
                <w:iCs/>
              </w:rPr>
              <w:t>Draft updates to relevant RALIs</w:t>
            </w:r>
          </w:p>
          <w:p w14:paraId="17B98EE2" w14:textId="77777777" w:rsidR="00E542A2" w:rsidRPr="00544B0C" w:rsidRDefault="00E542A2" w:rsidP="0071460B">
            <w:pPr>
              <w:pStyle w:val="ListParagraph"/>
              <w:keepNext/>
              <w:keepLines/>
              <w:spacing w:before="120" w:after="120" w:line="240" w:lineRule="auto"/>
              <w:contextualSpacing w:val="0"/>
              <w:rPr>
                <w:rFonts w:cs="Arial"/>
                <w:szCs w:val="20"/>
              </w:rPr>
            </w:pPr>
          </w:p>
        </w:tc>
        <w:tc>
          <w:tcPr>
            <w:tcW w:w="2127" w:type="dxa"/>
            <w:shd w:val="clear" w:color="auto" w:fill="F2F2F2" w:themeFill="background1" w:themeFillShade="F2"/>
            <w:tcMar>
              <w:top w:w="57" w:type="dxa"/>
              <w:bottom w:w="28" w:type="dxa"/>
            </w:tcMar>
          </w:tcPr>
          <w:p w14:paraId="44AB3C2F" w14:textId="671CA918" w:rsidR="00E542A2" w:rsidRPr="00544B0C" w:rsidRDefault="00FC3E3D" w:rsidP="0071460B">
            <w:pPr>
              <w:keepNext/>
              <w:keepLines/>
              <w:spacing w:before="120" w:after="120" w:line="240" w:lineRule="auto"/>
              <w:rPr>
                <w:rFonts w:cs="Arial"/>
                <w:szCs w:val="20"/>
              </w:rPr>
            </w:pPr>
            <w:r w:rsidRPr="00BD0054">
              <w:rPr>
                <w:rFonts w:cs="Arial"/>
                <w:szCs w:val="20"/>
              </w:rPr>
              <w:t>April</w:t>
            </w:r>
            <w:r w:rsidRPr="00544B0C">
              <w:rPr>
                <w:rFonts w:cs="Arial"/>
                <w:szCs w:val="20"/>
              </w:rPr>
              <w:t xml:space="preserve"> </w:t>
            </w:r>
            <w:r w:rsidR="00F30109" w:rsidRPr="00544B0C">
              <w:rPr>
                <w:rFonts w:cs="Arial"/>
                <w:szCs w:val="20"/>
              </w:rPr>
              <w:t>20</w:t>
            </w:r>
            <w:r w:rsidR="00F30109">
              <w:rPr>
                <w:rFonts w:cs="Arial"/>
                <w:szCs w:val="20"/>
              </w:rPr>
              <w:t>2</w:t>
            </w:r>
            <w:r w:rsidR="003C7AA8">
              <w:rPr>
                <w:rFonts w:cs="Arial"/>
                <w:szCs w:val="20"/>
              </w:rPr>
              <w:t>1</w:t>
            </w:r>
          </w:p>
        </w:tc>
      </w:tr>
    </w:tbl>
    <w:p w14:paraId="3E71DA80" w14:textId="77777777" w:rsidR="0029696F" w:rsidRDefault="0029696F" w:rsidP="0071460B">
      <w:pPr>
        <w:spacing w:before="120" w:after="120" w:line="240" w:lineRule="auto"/>
      </w:pPr>
    </w:p>
    <w:p w14:paraId="30D83399" w14:textId="77777777" w:rsidR="0029696F" w:rsidRPr="00544B0C" w:rsidRDefault="0029696F" w:rsidP="0071460B">
      <w:pPr>
        <w:pStyle w:val="Heading2"/>
        <w:spacing w:before="120" w:after="120" w:line="240" w:lineRule="auto"/>
      </w:pPr>
      <w:bookmarkStart w:id="8" w:name="_Toc507878605"/>
      <w:bookmarkStart w:id="9" w:name="_Toc65674875"/>
      <w:r w:rsidRPr="00544B0C">
        <w:t>Legal Review</w:t>
      </w:r>
      <w:bookmarkEnd w:id="8"/>
      <w:bookmarkEnd w:id="9"/>
      <w:r w:rsidRPr="00544B0C">
        <w:t xml:space="preserve"> </w:t>
      </w:r>
    </w:p>
    <w:p w14:paraId="4B719BA4" w14:textId="77777777" w:rsidR="003B7DCF" w:rsidRDefault="009053F4" w:rsidP="0071460B">
      <w:pPr>
        <w:spacing w:before="120" w:after="120" w:line="240" w:lineRule="auto"/>
      </w:pPr>
      <w:r>
        <w:t xml:space="preserve">Currently there are no draft instruments. Initial drafts (when released) may not have undergone any legal review and are therefore indicative </w:t>
      </w:r>
      <w:r w:rsidR="003B7DCF">
        <w:t>only and</w:t>
      </w:r>
      <w:r w:rsidR="003E3CB8">
        <w:t xml:space="preserve"> may be </w:t>
      </w:r>
      <w:r w:rsidR="00D33A71">
        <w:t>subject to change</w:t>
      </w:r>
      <w:r>
        <w:t xml:space="preserve">. </w:t>
      </w:r>
    </w:p>
    <w:p w14:paraId="3A1454A0" w14:textId="7295E332" w:rsidR="009053F4" w:rsidRDefault="00D33A71" w:rsidP="0071460B">
      <w:pPr>
        <w:spacing w:before="120" w:after="120" w:line="240" w:lineRule="auto"/>
        <w:rPr>
          <w:rFonts w:cs="Arial"/>
          <w:b/>
          <w:bCs/>
          <w:iCs/>
          <w:sz w:val="28"/>
          <w:szCs w:val="28"/>
        </w:rPr>
      </w:pPr>
      <w:r>
        <w:t xml:space="preserve">Under the current timeline, draft instruments will be provided for </w:t>
      </w:r>
      <w:r w:rsidR="0085100F">
        <w:t xml:space="preserve">formal </w:t>
      </w:r>
      <w:r>
        <w:t xml:space="preserve">comment in </w:t>
      </w:r>
      <w:r w:rsidR="00FC3E3D" w:rsidRPr="00BD0054">
        <w:t>April</w:t>
      </w:r>
      <w:r w:rsidR="00FC3E3D">
        <w:t xml:space="preserve"> </w:t>
      </w:r>
      <w:r w:rsidR="003C354A">
        <w:t>2021</w:t>
      </w:r>
      <w:r w:rsidR="003B7DCF">
        <w:t>.</w:t>
      </w:r>
      <w:r w:rsidR="009053F4">
        <w:br w:type="page"/>
      </w:r>
    </w:p>
    <w:p w14:paraId="08F8E90B" w14:textId="17DCE8A6" w:rsidR="00C0154A" w:rsidRDefault="00C95205" w:rsidP="0071460B">
      <w:pPr>
        <w:pStyle w:val="Heading1"/>
        <w:spacing w:before="120" w:after="120" w:line="240" w:lineRule="auto"/>
      </w:pPr>
      <w:bookmarkStart w:id="10" w:name="_Toc507878606"/>
      <w:bookmarkStart w:id="11" w:name="_Toc65674876"/>
      <w:r>
        <w:lastRenderedPageBreak/>
        <w:t xml:space="preserve">Proposed </w:t>
      </w:r>
      <w:r w:rsidR="00C0154A" w:rsidRPr="00544B0C">
        <w:t>technical framework</w:t>
      </w:r>
      <w:bookmarkEnd w:id="10"/>
      <w:r w:rsidR="00F85958">
        <w:t>s</w:t>
      </w:r>
      <w:r w:rsidR="002B6222">
        <w:t xml:space="preserve"> &amp; subsequent parameters</w:t>
      </w:r>
      <w:bookmarkEnd w:id="11"/>
    </w:p>
    <w:p w14:paraId="654E9CAD" w14:textId="77777777" w:rsidR="00F1784E" w:rsidRPr="00544B0C" w:rsidRDefault="00F1784E" w:rsidP="0071460B">
      <w:pPr>
        <w:pStyle w:val="Paragraphbeforelist"/>
        <w:spacing w:before="120" w:after="120" w:line="240" w:lineRule="auto"/>
      </w:pPr>
      <w:r w:rsidRPr="00544B0C">
        <w:t>A technical framework consists of three interlocking regulatory elements provided for under the Act:</w:t>
      </w:r>
    </w:p>
    <w:p w14:paraId="13DD7F21" w14:textId="77777777" w:rsidR="00F1784E" w:rsidRPr="00544B0C" w:rsidRDefault="00F1784E" w:rsidP="0071460B">
      <w:pPr>
        <w:pStyle w:val="Bulletlevel1"/>
        <w:spacing w:before="120" w:after="120" w:line="240" w:lineRule="auto"/>
      </w:pPr>
      <w:r w:rsidRPr="00544B0C">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3362C624" w14:textId="77777777" w:rsidR="00F1784E" w:rsidRPr="00544B0C" w:rsidRDefault="00F1784E" w:rsidP="0071460B">
      <w:pPr>
        <w:pStyle w:val="Bulletlevel1"/>
        <w:spacing w:before="120" w:after="120" w:line="240" w:lineRule="auto"/>
      </w:pPr>
      <w:r w:rsidRPr="00544B0C">
        <w:t>A determination of unacceptable interference for the purpose of device registration in each band (section 145 of the Act). This defines permissible levels of emissions across geographical licence boundaries and can also define various deployment constraints.</w:t>
      </w:r>
    </w:p>
    <w:p w14:paraId="6F5832E9" w14:textId="77777777" w:rsidR="00F1784E" w:rsidRPr="00544B0C" w:rsidRDefault="00F1784E" w:rsidP="0071460B">
      <w:pPr>
        <w:pStyle w:val="Bulletlevel1"/>
        <w:spacing w:before="120" w:after="120" w:line="240" w:lineRule="auto"/>
      </w:pPr>
      <w:r w:rsidRPr="00544B0C">
        <w:t xml:space="preserve">Radiocommunications advisory guidelines (RAG) that provide assistance and advice for coordination with stations in other services when and where required (section 262 of the Act). This includes detailing interference management criteria with incumbent apparatus and other spectrum licences. </w:t>
      </w:r>
    </w:p>
    <w:p w14:paraId="25A5FAB3" w14:textId="1238A45B" w:rsidR="00F1784E" w:rsidRPr="00544B0C" w:rsidRDefault="00F1784E" w:rsidP="0071460B">
      <w:pPr>
        <w:pStyle w:val="Paragraphbeforelist"/>
        <w:spacing w:before="120" w:after="120" w:line="240" w:lineRule="auto"/>
        <w:rPr>
          <w:bCs/>
          <w:iCs/>
        </w:rPr>
      </w:pPr>
      <w:r w:rsidRPr="00544B0C">
        <w:rPr>
          <w:bCs/>
          <w:iCs/>
        </w:rPr>
        <w:t xml:space="preserve">A more comprehensive explanation of spectrum licence technical frameworks is provided in the document </w:t>
      </w:r>
      <w:hyperlink r:id="rId34" w:history="1">
        <w:r w:rsidRPr="00544B0C">
          <w:rPr>
            <w:rStyle w:val="Hyperlink"/>
            <w:bCs/>
            <w:i/>
            <w:iCs/>
          </w:rPr>
          <w:t>Know your obligations—Spectrum licensees</w:t>
        </w:r>
      </w:hyperlink>
      <w:r w:rsidRPr="00544B0C">
        <w:rPr>
          <w:bCs/>
          <w:iCs/>
        </w:rPr>
        <w:t>.</w:t>
      </w:r>
      <w:r w:rsidR="00F42FB4">
        <w:rPr>
          <w:bCs/>
          <w:iCs/>
        </w:rPr>
        <w:t xml:space="preserve"> As described above, the outcomes of this TLG will inform the development of a new technical framework for the 900 MHz band and an update of the existing 850 MHz framework to incorporate the 850 MHz expansion band spectrum.</w:t>
      </w:r>
    </w:p>
    <w:p w14:paraId="6B8F67C9" w14:textId="0E2388DF" w:rsidR="00F1784E" w:rsidRDefault="00F1784E">
      <w:pPr>
        <w:pStyle w:val="Paragraphbeforelist"/>
        <w:spacing w:before="120" w:after="120" w:line="240" w:lineRule="auto"/>
      </w:pPr>
      <w:r w:rsidRPr="00544B0C">
        <w:t xml:space="preserve">This section of the paper considers the development of each of these components along with the standard trading unit and minimum contiguous bandwidth. </w:t>
      </w:r>
    </w:p>
    <w:p w14:paraId="231A9EA2" w14:textId="77777777" w:rsidR="00F85958" w:rsidRPr="00544B0C" w:rsidRDefault="00F85958" w:rsidP="00F85958">
      <w:pPr>
        <w:pStyle w:val="Heading2"/>
        <w:spacing w:before="120" w:after="120" w:line="240" w:lineRule="auto"/>
      </w:pPr>
      <w:bookmarkStart w:id="12" w:name="_Toc65674877"/>
      <w:r w:rsidRPr="00544B0C">
        <w:t>Conditions on spectrum licence</w:t>
      </w:r>
      <w:r>
        <w:t>s</w:t>
      </w:r>
      <w:bookmarkEnd w:id="12"/>
    </w:p>
    <w:p w14:paraId="4F446DF7" w14:textId="77777777" w:rsidR="00F85958" w:rsidRPr="00544B0C" w:rsidRDefault="00F85958" w:rsidP="00F85958">
      <w:pPr>
        <w:pStyle w:val="Paragraphbeforelist"/>
        <w:spacing w:before="120" w:after="120" w:line="240" w:lineRule="auto"/>
      </w:pPr>
      <w:r w:rsidRPr="00544B0C">
        <w:t>Each spectrum licence includes both core conditions and statutory conditions specified under relevant sections of the Act. The Act also provides that other specific conditions may be included by the ACMA.</w:t>
      </w:r>
    </w:p>
    <w:p w14:paraId="0F3B70A7" w14:textId="77777777" w:rsidR="00F85958" w:rsidRPr="00544B0C" w:rsidRDefault="00F85958" w:rsidP="00F85958">
      <w:pPr>
        <w:pStyle w:val="Bulletlevel1"/>
        <w:spacing w:before="120" w:after="120" w:line="240" w:lineRule="auto"/>
      </w:pPr>
      <w:r w:rsidRPr="00544B0C">
        <w:rPr>
          <w:b/>
        </w:rPr>
        <w:t>Core conditions</w:t>
      </w:r>
      <w:r w:rsidRPr="00544B0C">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765D7AED" w14:textId="77777777" w:rsidR="00F85958" w:rsidRPr="00544B0C" w:rsidRDefault="00F85958" w:rsidP="00F85958">
      <w:pPr>
        <w:pStyle w:val="Bulletlevel1"/>
        <w:spacing w:before="120" w:after="120" w:line="240" w:lineRule="auto"/>
      </w:pPr>
      <w:r w:rsidRPr="00544B0C">
        <w:rPr>
          <w:b/>
        </w:rPr>
        <w:t>Statutory conditions</w:t>
      </w:r>
      <w:r w:rsidRPr="00544B0C">
        <w:t>—required under sections 67 to 69A, these conditions include information about payment of charges, use by third parties, residency, registration of transmitters and devices exempt from registration. These conditions are included in all spectrum licences.</w:t>
      </w:r>
    </w:p>
    <w:p w14:paraId="7B41C224" w14:textId="77777777" w:rsidR="00F85958" w:rsidRPr="00544B0C" w:rsidRDefault="00F85958" w:rsidP="00F85958">
      <w:pPr>
        <w:pStyle w:val="Bulletlevel1"/>
        <w:spacing w:before="120" w:after="120" w:line="240" w:lineRule="auto"/>
      </w:pPr>
      <w:r w:rsidRPr="00544B0C">
        <w:rPr>
          <w:b/>
        </w:rPr>
        <w:t>Other conditions</w:t>
      </w:r>
      <w:r w:rsidRPr="00544B0C">
        <w:t>—conditions placed on licences under section 71 generally provide for the efficient management of the spectrum and administration of the Act. These conditions may vary from one band or licence to another.</w:t>
      </w:r>
    </w:p>
    <w:p w14:paraId="24C1DC96" w14:textId="77777777" w:rsidR="00F85958" w:rsidRPr="00544B0C" w:rsidRDefault="00F85958" w:rsidP="00F85958">
      <w:pPr>
        <w:pStyle w:val="Paragraphbeforelist"/>
        <w:spacing w:before="120" w:after="120" w:line="240" w:lineRule="auto"/>
      </w:pPr>
      <w:r w:rsidRPr="00544B0C">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3C38238F" w14:textId="77777777" w:rsidR="00F85958" w:rsidRPr="00544B0C" w:rsidRDefault="00F85958" w:rsidP="00F85958">
      <w:pPr>
        <w:pStyle w:val="Bulletlevel1"/>
        <w:spacing w:before="120" w:after="120" w:line="240" w:lineRule="auto"/>
      </w:pPr>
      <w:r w:rsidRPr="00544B0C">
        <w:t>the part or parts of the spectrum in which operation of radiocommunications devices is authorised under the licence (frequency range of operation)</w:t>
      </w:r>
    </w:p>
    <w:p w14:paraId="50B90036" w14:textId="77777777" w:rsidR="00F85958" w:rsidRPr="00544B0C" w:rsidRDefault="00F85958" w:rsidP="00F85958">
      <w:pPr>
        <w:pStyle w:val="Bulletlevel1"/>
        <w:spacing w:before="120" w:after="120" w:line="240" w:lineRule="auto"/>
      </w:pPr>
      <w:r w:rsidRPr="00544B0C">
        <w:lastRenderedPageBreak/>
        <w:t>the maximum permitted level of radio emission, in parts of the spectrum outside the frequency range specified on the licence, that may be caused by operation of radiocommunications devices under the licence (outside-the-band emission)</w:t>
      </w:r>
    </w:p>
    <w:p w14:paraId="6449FA98" w14:textId="77777777" w:rsidR="00F85958" w:rsidRPr="00544B0C" w:rsidRDefault="00F85958" w:rsidP="00F85958">
      <w:pPr>
        <w:pStyle w:val="Bulletlevel1"/>
        <w:spacing w:before="120" w:after="120" w:line="240" w:lineRule="auto"/>
      </w:pPr>
      <w:r w:rsidRPr="00544B0C">
        <w:t>the area within which operation of radiocommunications devices is authorised under the licence (geographic area of operation)</w:t>
      </w:r>
    </w:p>
    <w:p w14:paraId="051F9767" w14:textId="77777777" w:rsidR="00F85958" w:rsidRPr="00544B0C" w:rsidRDefault="00F85958" w:rsidP="00F85958">
      <w:pPr>
        <w:pStyle w:val="Bulletlevel1"/>
        <w:spacing w:before="120" w:after="120" w:line="240" w:lineRule="auto"/>
      </w:pPr>
      <w:r w:rsidRPr="00544B0C">
        <w:t>the maximum permitted level of radio emission that may be caused by the operation of radiocommunications devices under the licence (outside-the-area emission).</w:t>
      </w:r>
    </w:p>
    <w:p w14:paraId="7532B56C" w14:textId="5622DDF7" w:rsidR="004D3E75" w:rsidRDefault="00F85958" w:rsidP="00F85958">
      <w:pPr>
        <w:pStyle w:val="Paragraphbeforelist"/>
        <w:spacing w:before="120" w:after="120" w:line="240" w:lineRule="auto"/>
      </w:pPr>
      <w:r w:rsidRPr="00544B0C">
        <w:t xml:space="preserve">When developing conditions on the spectrum licence it is proposed to use those on the </w:t>
      </w:r>
      <w:r>
        <w:t>700 M</w:t>
      </w:r>
      <w:r w:rsidRPr="00544B0C">
        <w:t>Hz</w:t>
      </w:r>
      <w:r>
        <w:t xml:space="preserve"> and 800 MHz</w:t>
      </w:r>
      <w:r w:rsidRPr="00544B0C">
        <w:t xml:space="preserve"> spectrum licence</w:t>
      </w:r>
      <w:r>
        <w:t>s</w:t>
      </w:r>
      <w:r w:rsidRPr="00544B0C">
        <w:t xml:space="preserve"> as a starting point. </w:t>
      </w:r>
    </w:p>
    <w:p w14:paraId="11DF6D4A" w14:textId="77777777" w:rsidR="004D3E75" w:rsidRPr="00AB609C" w:rsidRDefault="004D3E75" w:rsidP="004D3E75">
      <w:pPr>
        <w:pStyle w:val="Heading2"/>
        <w:keepLines/>
        <w:spacing w:before="120" w:after="120" w:line="240" w:lineRule="auto"/>
      </w:pPr>
      <w:bookmarkStart w:id="13" w:name="_Toc65674878"/>
      <w:r w:rsidRPr="00AB306E">
        <w:t>Standard Trading Unit and Minimum Contiguous Bandwidth</w:t>
      </w:r>
      <w:bookmarkEnd w:id="13"/>
    </w:p>
    <w:p w14:paraId="43706C80" w14:textId="77777777" w:rsidR="004D3E75" w:rsidRPr="00544B0C" w:rsidRDefault="004D3E75" w:rsidP="004D3E75">
      <w:pPr>
        <w:pStyle w:val="Paragraphbeforelist"/>
        <w:spacing w:before="120" w:after="120" w:line="240" w:lineRule="auto"/>
      </w:pPr>
      <w:r w:rsidRPr="00544B0C">
        <w:t xml:space="preserve">A spectrum licence may be traded in whole, or in part, by geographic area or frequency or both. Under section 88 of the Act, the ACMA may determine the rules that apply to trades under spectrum licensing. These rules are contained in the </w:t>
      </w:r>
      <w:hyperlink r:id="rId35" w:history="1">
        <w:r w:rsidRPr="00544B0C">
          <w:rPr>
            <w:rStyle w:val="Hyperlink"/>
            <w:i/>
          </w:rPr>
          <w:t>Radiocommunications (Trading Rules for Spectrum Licences) Determination 2012</w:t>
        </w:r>
      </w:hyperlink>
      <w:r w:rsidRPr="00544B0C">
        <w:rPr>
          <w:i/>
        </w:rPr>
        <w:t xml:space="preserve"> </w:t>
      </w:r>
      <w:r w:rsidRPr="00544B0C">
        <w:t>(trading determination).</w:t>
      </w:r>
    </w:p>
    <w:p w14:paraId="4AFF4251" w14:textId="77777777" w:rsidR="004D3E75" w:rsidRPr="00544B0C" w:rsidRDefault="004D3E75" w:rsidP="004D3E75">
      <w:pPr>
        <w:pStyle w:val="Paragraphbeforelist"/>
        <w:spacing w:before="120" w:after="120" w:line="240" w:lineRule="auto"/>
      </w:pPr>
      <w:r w:rsidRPr="00544B0C">
        <w:t>The trading determination specifies the smallest parcel of spectrum space that can be traded (the standard trading unit) and the minimum contiguous holding of spectrum space required by a licensee after the completion of a trade. This minimum holding is a combination of frequency and geographic requirements. Where:</w:t>
      </w:r>
    </w:p>
    <w:p w14:paraId="3D9FF2C5" w14:textId="56DA4E0B" w:rsidR="004D3E75" w:rsidRPr="00544B0C" w:rsidRDefault="004D3E75" w:rsidP="004D3E75">
      <w:pPr>
        <w:pStyle w:val="Bulletlevel1last"/>
        <w:spacing w:before="120" w:after="120" w:line="240" w:lineRule="auto"/>
      </w:pPr>
      <w:r w:rsidRPr="00544B0C">
        <w:t>the frequency requirement is equal to the minimum contiguous bandwidth (MCB)</w:t>
      </w:r>
      <w:r w:rsidR="00037DD4">
        <w:t>,</w:t>
      </w:r>
    </w:p>
    <w:p w14:paraId="3C314523" w14:textId="05A6460F" w:rsidR="004D3E75" w:rsidRPr="00544B0C" w:rsidRDefault="004D3E75" w:rsidP="004D3E75">
      <w:pPr>
        <w:pStyle w:val="Bulletlevel1"/>
        <w:spacing w:before="120" w:after="120" w:line="240" w:lineRule="auto"/>
      </w:pPr>
      <w:r w:rsidRPr="00544B0C">
        <w:t>the geographical requirement is equal to the geographical component of the standard trading unit (STU)</w:t>
      </w:r>
      <w:r w:rsidR="00037DD4">
        <w:t>.</w:t>
      </w:r>
    </w:p>
    <w:p w14:paraId="493613D3" w14:textId="77777777" w:rsidR="004D3E75" w:rsidRPr="00544B0C" w:rsidRDefault="004D3E75" w:rsidP="004D3E75">
      <w:pPr>
        <w:pStyle w:val="Paragraphbeforelist"/>
        <w:spacing w:before="120" w:after="120" w:line="240" w:lineRule="auto"/>
      </w:pPr>
      <w:r w:rsidRPr="00544B0C">
        <w:t>The minimum quotas of frequency and area that can be traded are defined by the STU. The definition of a STU is contained in the trading determination.</w:t>
      </w:r>
    </w:p>
    <w:p w14:paraId="3AA363C3" w14:textId="77777777" w:rsidR="004D3E75" w:rsidRPr="00544B0C" w:rsidRDefault="004D3E75" w:rsidP="004D3E75">
      <w:pPr>
        <w:pStyle w:val="Paragraphbeforelist"/>
        <w:spacing w:before="120" w:after="120" w:line="240" w:lineRule="auto"/>
        <w:rPr>
          <w:rFonts w:cs="Calibri"/>
        </w:rPr>
      </w:pPr>
      <w:r w:rsidRPr="00544B0C">
        <w:rPr>
          <w:rFonts w:cs="Calibri"/>
        </w:rPr>
        <w:t xml:space="preserve">The STU that applies to the </w:t>
      </w:r>
      <w:r>
        <w:rPr>
          <w:rFonts w:cs="Calibri"/>
        </w:rPr>
        <w:t>850 MH</w:t>
      </w:r>
      <w:r w:rsidRPr="00544B0C">
        <w:rPr>
          <w:rFonts w:cs="Calibri"/>
        </w:rPr>
        <w:t xml:space="preserve">z </w:t>
      </w:r>
      <w:r>
        <w:rPr>
          <w:rFonts w:cs="Calibri"/>
        </w:rPr>
        <w:t xml:space="preserve">expansion and 900 MHz </w:t>
      </w:r>
      <w:r w:rsidRPr="00544B0C">
        <w:rPr>
          <w:rFonts w:cs="Calibri"/>
        </w:rPr>
        <w:t>band</w:t>
      </w:r>
      <w:r w:rsidRPr="00544B0C" w:rsidDel="00342421">
        <w:rPr>
          <w:rFonts w:cs="Calibri"/>
        </w:rPr>
        <w:t xml:space="preserve"> </w:t>
      </w:r>
      <w:r w:rsidRPr="00544B0C">
        <w:rPr>
          <w:rFonts w:cs="Calibri"/>
        </w:rPr>
        <w:t>(and every other spectrum licence band) is defined as a parcel of spectrum space that consists of:</w:t>
      </w:r>
    </w:p>
    <w:p w14:paraId="29370F13" w14:textId="77777777" w:rsidR="004D3E75" w:rsidRPr="00544B0C" w:rsidRDefault="004D3E75" w:rsidP="004D3E75">
      <w:pPr>
        <w:pStyle w:val="Bulletlevel1"/>
        <w:spacing w:before="120" w:after="120" w:line="240" w:lineRule="auto"/>
      </w:pPr>
      <w:r w:rsidRPr="00544B0C">
        <w:t>a geographic area equal to a Level 1 HCIS cell of the 2012 Australian Spectrum Map Grid (ASMG)</w:t>
      </w:r>
      <w:r w:rsidRPr="00544B0C">
        <w:rPr>
          <w:vertAlign w:val="superscript"/>
        </w:rPr>
        <w:footnoteReference w:id="6"/>
      </w:r>
      <w:r w:rsidRPr="00544B0C">
        <w:t>– approximately a 9×9 kilometre in size</w:t>
      </w:r>
    </w:p>
    <w:p w14:paraId="404A2092" w14:textId="77777777" w:rsidR="004D3E75" w:rsidRPr="00544B0C" w:rsidRDefault="004D3E75" w:rsidP="004D3E75">
      <w:pPr>
        <w:pStyle w:val="Bulletlevel1"/>
        <w:spacing w:before="120" w:after="120" w:line="240" w:lineRule="auto"/>
      </w:pPr>
      <w:r w:rsidRPr="00544B0C">
        <w:t>a frequency band where the lower and upper frequency limits of each segment are integers when described in Hertz</w:t>
      </w:r>
    </w:p>
    <w:p w14:paraId="76D0649E" w14:textId="727F33D4" w:rsidR="004D3E75" w:rsidRDefault="004D3E75" w:rsidP="004D3E75">
      <w:pPr>
        <w:pStyle w:val="Paragraphbeforelist"/>
        <w:spacing w:before="120" w:after="120" w:line="240" w:lineRule="auto"/>
      </w:pPr>
      <w:r w:rsidRPr="00544B0C">
        <w:t xml:space="preserve">This means the frequency component of the STU is defined as 1 Hz for </w:t>
      </w:r>
      <w:r>
        <w:t>both</w:t>
      </w:r>
      <w:r w:rsidRPr="00544B0C">
        <w:t xml:space="preserve"> band</w:t>
      </w:r>
      <w:r>
        <w:t>s</w:t>
      </w:r>
      <w:r w:rsidRPr="00544B0C">
        <w:t xml:space="preserve"> and all other spectrum licence bands. This provides licensees with flexibility in the quantum of spectrum that may be traded, subject to the value of the MCB. The minimum area is referenced to the ASMG mapped consistently in five-minute increments by latitude and longitude. </w:t>
      </w:r>
    </w:p>
    <w:p w14:paraId="33B0EA99" w14:textId="77777777" w:rsidR="004D3E75" w:rsidRPr="00544B0C" w:rsidRDefault="004D3E75" w:rsidP="004D3E75">
      <w:pPr>
        <w:pStyle w:val="Paragraphbeforelist"/>
        <w:spacing w:before="120" w:after="120" w:line="240" w:lineRule="auto"/>
      </w:pPr>
    </w:p>
    <w:p w14:paraId="2524CA52" w14:textId="77777777" w:rsidR="004D3E75" w:rsidRPr="00DB37C3" w:rsidRDefault="004D3E75" w:rsidP="004D3E75">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There is no proposed change to the STU.</w:t>
      </w:r>
    </w:p>
    <w:p w14:paraId="0F72845C" w14:textId="77777777" w:rsidR="004D3E75" w:rsidRDefault="004D3E75" w:rsidP="004D3E75">
      <w:pPr>
        <w:spacing w:before="120" w:after="120" w:line="240" w:lineRule="auto"/>
      </w:pPr>
    </w:p>
    <w:p w14:paraId="374C655C" w14:textId="0FF0D65D" w:rsidR="004D3E75" w:rsidRDefault="004D3E75" w:rsidP="004D3E75">
      <w:pPr>
        <w:spacing w:before="120" w:after="120" w:line="240" w:lineRule="auto"/>
        <w:rPr>
          <w:rFonts w:cs="Calibri"/>
        </w:rPr>
      </w:pPr>
      <w:r w:rsidRPr="00544B0C">
        <w:t xml:space="preserve">The current MCB for the </w:t>
      </w:r>
      <w:r w:rsidRPr="00BB0E86">
        <w:rPr>
          <w:rFonts w:cs="Arial"/>
          <w:szCs w:val="20"/>
        </w:rPr>
        <w:t>825</w:t>
      </w:r>
      <w:r>
        <w:rPr>
          <w:rFonts w:cs="Arial"/>
          <w:szCs w:val="20"/>
        </w:rPr>
        <w:t>–8</w:t>
      </w:r>
      <w:r w:rsidRPr="00BB0E86">
        <w:rPr>
          <w:rFonts w:cs="Arial"/>
          <w:szCs w:val="20"/>
        </w:rPr>
        <w:t>45/870</w:t>
      </w:r>
      <w:r>
        <w:rPr>
          <w:rFonts w:cs="Arial"/>
          <w:szCs w:val="20"/>
        </w:rPr>
        <w:t>–</w:t>
      </w:r>
      <w:r w:rsidRPr="00BB0E86">
        <w:rPr>
          <w:rFonts w:cs="Arial"/>
          <w:szCs w:val="20"/>
        </w:rPr>
        <w:t>890 MHz</w:t>
      </w:r>
      <w:r w:rsidRPr="00544B0C" w:rsidDel="00632472">
        <w:t xml:space="preserve"> </w:t>
      </w:r>
      <w:r>
        <w:t xml:space="preserve">band </w:t>
      </w:r>
      <w:r w:rsidRPr="00544B0C">
        <w:t>is</w:t>
      </w:r>
      <w:r w:rsidR="00327711">
        <w:t xml:space="preserve"> 1 MHz, however it is proposed to change this to</w:t>
      </w:r>
      <w:r w:rsidRPr="00544B0C">
        <w:t xml:space="preserve"> </w:t>
      </w:r>
      <w:r>
        <w:t>5</w:t>
      </w:r>
      <w:r w:rsidRPr="00544B0C">
        <w:t xml:space="preserve"> </w:t>
      </w:r>
      <w:proofErr w:type="spellStart"/>
      <w:r w:rsidRPr="00544B0C">
        <w:t>MHz.</w:t>
      </w:r>
      <w:proofErr w:type="spellEnd"/>
      <w:r w:rsidRPr="00544B0C">
        <w:rPr>
          <w:rFonts w:cs="Calibri"/>
        </w:rPr>
        <w:t xml:space="preserve"> This means that any trades </w:t>
      </w:r>
      <w:r>
        <w:rPr>
          <w:rFonts w:cs="Calibri"/>
        </w:rPr>
        <w:t xml:space="preserve">in this band </w:t>
      </w:r>
      <w:r w:rsidRPr="00544B0C">
        <w:rPr>
          <w:rFonts w:cs="Calibri"/>
        </w:rPr>
        <w:t xml:space="preserve">must not result in a licensee holding a contiguous bandwidth less than </w:t>
      </w:r>
      <w:r>
        <w:rPr>
          <w:rFonts w:cs="Calibri"/>
        </w:rPr>
        <w:t>5</w:t>
      </w:r>
      <w:r w:rsidRPr="00544B0C">
        <w:rPr>
          <w:rFonts w:cs="Calibri"/>
        </w:rPr>
        <w:t xml:space="preserve"> MHz in any area. </w:t>
      </w:r>
      <w:r>
        <w:rPr>
          <w:rFonts w:cs="Calibri"/>
        </w:rPr>
        <w:lastRenderedPageBreak/>
        <w:t xml:space="preserve">Noting the </w:t>
      </w:r>
      <w:r w:rsidR="00FC3E3D">
        <w:rPr>
          <w:rFonts w:cs="Calibri"/>
          <w:i/>
          <w:iCs/>
        </w:rPr>
        <w:t>Channelling</w:t>
      </w:r>
      <w:r>
        <w:rPr>
          <w:rFonts w:cs="Calibri"/>
          <w:i/>
          <w:iCs/>
        </w:rPr>
        <w:t xml:space="preserve"> arrangements </w:t>
      </w:r>
      <w:r>
        <w:rPr>
          <w:rFonts w:cs="Calibri"/>
        </w:rPr>
        <w:t>discussion below, t</w:t>
      </w:r>
      <w:r w:rsidRPr="00544B0C">
        <w:rPr>
          <w:rFonts w:cs="Calibri"/>
        </w:rPr>
        <w:t xml:space="preserve">he same MCB is proposed for adoption in </w:t>
      </w:r>
      <w:r>
        <w:rPr>
          <w:rFonts w:cs="Calibri"/>
        </w:rPr>
        <w:t xml:space="preserve">both </w:t>
      </w:r>
      <w:r w:rsidRPr="00544B0C">
        <w:rPr>
          <w:rFonts w:cs="Calibri"/>
        </w:rPr>
        <w:t xml:space="preserve">the </w:t>
      </w:r>
      <w:r>
        <w:rPr>
          <w:rFonts w:cs="Calibri"/>
        </w:rPr>
        <w:t>850 MHz expansion and the 900 MHz</w:t>
      </w:r>
      <w:r w:rsidRPr="00544B0C">
        <w:rPr>
          <w:rFonts w:cs="Calibri"/>
        </w:rPr>
        <w:t xml:space="preserve"> band. </w:t>
      </w:r>
    </w:p>
    <w:p w14:paraId="08D94D25" w14:textId="77777777" w:rsidR="004D3E75" w:rsidRPr="00544B0C" w:rsidRDefault="004D3E75" w:rsidP="004D3E75">
      <w:pPr>
        <w:spacing w:before="120" w:after="120" w:line="240" w:lineRule="auto"/>
        <w:rPr>
          <w:rFonts w:cs="Calibri"/>
        </w:rPr>
      </w:pPr>
    </w:p>
    <w:p w14:paraId="587FBF88" w14:textId="2D026548" w:rsidR="00460552" w:rsidRPr="0071460B" w:rsidRDefault="00841D0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rPr>
        <w:t>Feedback from TLG membership was largely supportive of a 5 MHz MCB for both 850 MHz expansion and 900 MHz spectrum licence bands. This will be incorporated into draft instruments for public consultation.</w:t>
      </w:r>
    </w:p>
    <w:p w14:paraId="409CFAEB" w14:textId="77777777" w:rsidR="004D3E75" w:rsidRDefault="004D3E75" w:rsidP="005D6FA3">
      <w:pPr>
        <w:pStyle w:val="Paragraph"/>
      </w:pPr>
    </w:p>
    <w:p w14:paraId="3BF7B808" w14:textId="1E19B915" w:rsidR="005E143B" w:rsidRDefault="004D3E75">
      <w:pPr>
        <w:pStyle w:val="Heading2"/>
        <w:keepLines/>
        <w:spacing w:before="120" w:after="120" w:line="240" w:lineRule="auto"/>
      </w:pPr>
      <w:bookmarkStart w:id="14" w:name="_Toc65674879"/>
      <w:r>
        <w:t>Technical settings</w:t>
      </w:r>
      <w:bookmarkEnd w:id="14"/>
    </w:p>
    <w:p w14:paraId="1A2C14FE" w14:textId="117D0FD6" w:rsidR="004D3E75" w:rsidRDefault="00327711" w:rsidP="004D3E75">
      <w:pPr>
        <w:pStyle w:val="Heading3"/>
        <w:spacing w:before="120" w:after="120" w:line="240" w:lineRule="auto"/>
      </w:pPr>
      <w:r>
        <w:t>Relevance of existing frameworks</w:t>
      </w:r>
    </w:p>
    <w:p w14:paraId="27A09B65" w14:textId="457B18EB" w:rsidR="00870A00" w:rsidRPr="00870A00" w:rsidRDefault="004D3E75" w:rsidP="003F78BA">
      <w:r>
        <w:t xml:space="preserve">Unlike a ‘greenfield’ spectrum allocation and deployment, pre-existing deployments in both the 850 MHz and 900 MHz bands mean that some existing parameters </w:t>
      </w:r>
      <w:r w:rsidR="00C95205">
        <w:t>will not</w:t>
      </w:r>
      <w:r>
        <w:t xml:space="preserve"> need to be derived. </w:t>
      </w:r>
      <w:r w:rsidR="00870A00">
        <w:t xml:space="preserve">Moreover, in the case of the 850 MHz expansion band, many of the characteristics will necessarily be aligned with those of the existing 850 MHz band. </w:t>
      </w:r>
    </w:p>
    <w:p w14:paraId="0CB7B6B7" w14:textId="2F45D95D" w:rsidR="004D3E75" w:rsidRDefault="004D3E75">
      <w:r>
        <w:t xml:space="preserve">For example, device emission limits, levels of protection (LOP, to inform device boundary criteria) and system models used to determine those characteristics can be informed by those encapsulated </w:t>
      </w:r>
      <w:r w:rsidR="008A3A69">
        <w:t>in</w:t>
      </w:r>
      <w:r>
        <w:t xml:space="preserve"> existing frameworks. </w:t>
      </w:r>
      <w:r w:rsidR="003F78BA">
        <w:t xml:space="preserve">Accordingly, unlike previous TLG papers, system models and derivations of LOPs </w:t>
      </w:r>
      <w:r w:rsidR="0045130C">
        <w:t>were</w:t>
      </w:r>
      <w:r w:rsidR="003F78BA">
        <w:t xml:space="preserve"> omitted from </w:t>
      </w:r>
      <w:r w:rsidR="0045130C">
        <w:t xml:space="preserve">the </w:t>
      </w:r>
      <w:r w:rsidR="003F78BA">
        <w:t>paper</w:t>
      </w:r>
      <w:r w:rsidR="0045130C">
        <w:t>s</w:t>
      </w:r>
      <w:r w:rsidR="003F78BA">
        <w:t xml:space="preserve">. This </w:t>
      </w:r>
      <w:r w:rsidR="008E744B">
        <w:t xml:space="preserve">did </w:t>
      </w:r>
      <w:r w:rsidR="00C95205">
        <w:t>not</w:t>
      </w:r>
      <w:r w:rsidR="003F78BA">
        <w:t xml:space="preserve"> mean that proposed technical settings carried over from relevant existing frameworks </w:t>
      </w:r>
      <w:r w:rsidR="008E744B">
        <w:t xml:space="preserve">were </w:t>
      </w:r>
      <w:r w:rsidR="003F78BA">
        <w:t xml:space="preserve">‘locked in’ – the </w:t>
      </w:r>
      <w:r>
        <w:t xml:space="preserve">TLG can </w:t>
      </w:r>
      <w:r w:rsidR="003F78BA">
        <w:t xml:space="preserve">inform </w:t>
      </w:r>
      <w:r w:rsidR="00204A55">
        <w:t xml:space="preserve">(and </w:t>
      </w:r>
      <w:r w:rsidR="008E744B">
        <w:t xml:space="preserve">did </w:t>
      </w:r>
      <w:r w:rsidR="00204A55">
        <w:t xml:space="preserve">inform) </w:t>
      </w:r>
      <w:r w:rsidR="003F78BA">
        <w:t>whether those settings remain relevant or suggest amendments if necessary</w:t>
      </w:r>
      <w:r w:rsidR="00BD4071">
        <w:t xml:space="preserve"> (noting that the ACMA will consider views from existing 850 MHz spectrum licensees on any proposed changes which would affect their licences)</w:t>
      </w:r>
      <w:r w:rsidR="003F78BA">
        <w:t>.</w:t>
      </w:r>
      <w:r w:rsidR="00635E17">
        <w:t xml:space="preserve"> </w:t>
      </w:r>
      <w:r w:rsidR="00204A55">
        <w:t xml:space="preserve">Responses to the first </w:t>
      </w:r>
      <w:r w:rsidR="002C4FB1">
        <w:t xml:space="preserve">and second </w:t>
      </w:r>
      <w:r w:rsidR="00204A55">
        <w:t>paper</w:t>
      </w:r>
      <w:r w:rsidR="002C4FB1">
        <w:t>s</w:t>
      </w:r>
      <w:r w:rsidR="00204A55">
        <w:t xml:space="preserve"> were </w:t>
      </w:r>
      <w:r w:rsidR="00C67240">
        <w:t>consistently</w:t>
      </w:r>
      <w:r w:rsidR="00204A55">
        <w:t xml:space="preserve"> in favour of updating the current 850 MHz in-band and out-of-band emission limits (to apply to both 850 and 900 MHz bands) to incorporate 5G technologies, as well as expressing separate guidance to support future advanced antenna system (AAS) deployments. </w:t>
      </w:r>
    </w:p>
    <w:p w14:paraId="62785E40" w14:textId="25B08573" w:rsidR="00327711" w:rsidRDefault="00327711" w:rsidP="0071460B">
      <w:r>
        <w:t xml:space="preserve">Furthermore, given the commonality of technologies and characteristics between both the 850 MHz and 900 MHz bands, it </w:t>
      </w:r>
      <w:r w:rsidR="002C4FB1">
        <w:t xml:space="preserve">was </w:t>
      </w:r>
      <w:r>
        <w:t>expected that many of the elements developed for the (update to the) 850 MHz frameworks will translate across to the new 900 MHz band frameworks.</w:t>
      </w:r>
      <w:r w:rsidR="00204A55">
        <w:t xml:space="preserve"> This was reinforced by TLG inputs that noted that 5G technologies shou</w:t>
      </w:r>
      <w:r w:rsidR="00CE54B3">
        <w:t xml:space="preserve">ld form the basis for limits/conditions to apply to both bands. </w:t>
      </w:r>
    </w:p>
    <w:p w14:paraId="7EE931AA" w14:textId="46FE5878" w:rsidR="004D3E75" w:rsidRPr="00544B0C" w:rsidRDefault="004D3E75" w:rsidP="004D3E75">
      <w:pPr>
        <w:pStyle w:val="Heading3"/>
        <w:spacing w:before="120" w:after="120" w:line="240" w:lineRule="auto"/>
      </w:pPr>
      <w:r>
        <w:t>Reference technologies</w:t>
      </w:r>
    </w:p>
    <w:p w14:paraId="74FC5C2A" w14:textId="66406335" w:rsidR="00D82EF9" w:rsidRDefault="00D82EF9" w:rsidP="0071460B">
      <w:pPr>
        <w:pStyle w:val="Paragraphbeforelist"/>
        <w:spacing w:before="120" w:after="120" w:line="240" w:lineRule="auto"/>
      </w:pPr>
      <w:r w:rsidRPr="00AB306E">
        <w:t xml:space="preserve">The </w:t>
      </w:r>
      <w:r w:rsidR="00BF4788">
        <w:t>agreed</w:t>
      </w:r>
      <w:r w:rsidR="00BF4788" w:rsidRPr="00AB306E">
        <w:t xml:space="preserve"> </w:t>
      </w:r>
      <w:r w:rsidRPr="00AB306E">
        <w:t xml:space="preserve">reference technologies that </w:t>
      </w:r>
      <w:r w:rsidR="00BF4788">
        <w:t>were</w:t>
      </w:r>
      <w:r w:rsidRPr="00AB306E">
        <w:t xml:space="preserve"> specifically considered in the de</w:t>
      </w:r>
      <w:r>
        <w:t xml:space="preserve">velopment of the framework </w:t>
      </w:r>
      <w:r w:rsidR="00BF4788">
        <w:t>were</w:t>
      </w:r>
      <w:r>
        <w:t>:</w:t>
      </w:r>
    </w:p>
    <w:p w14:paraId="416A1F9F" w14:textId="027C1C61" w:rsidR="00460552" w:rsidRPr="00AB306E" w:rsidRDefault="00460552" w:rsidP="0071460B">
      <w:pPr>
        <w:pStyle w:val="Caption"/>
        <w:spacing w:before="120" w:after="120" w:line="240" w:lineRule="auto"/>
      </w:pPr>
      <w:r>
        <w:t xml:space="preserve"> Reference Technologies</w:t>
      </w:r>
    </w:p>
    <w:tbl>
      <w:tblPr>
        <w:tblStyle w:val="ACMAtablestyle"/>
        <w:tblW w:w="5000" w:type="pct"/>
        <w:tblLook w:val="04A0" w:firstRow="1" w:lastRow="0" w:firstColumn="1" w:lastColumn="0" w:noHBand="0" w:noVBand="1"/>
      </w:tblPr>
      <w:tblGrid>
        <w:gridCol w:w="1340"/>
        <w:gridCol w:w="1250"/>
        <w:gridCol w:w="1362"/>
        <w:gridCol w:w="994"/>
        <w:gridCol w:w="2715"/>
      </w:tblGrid>
      <w:tr w:rsidR="00F07156" w:rsidRPr="00AB306E" w14:paraId="33C64BCF" w14:textId="183329AE" w:rsidTr="008F390D">
        <w:trPr>
          <w:cnfStyle w:val="100000000000" w:firstRow="1" w:lastRow="0" w:firstColumn="0" w:lastColumn="0" w:oddVBand="0" w:evenVBand="0" w:oddHBand="0" w:evenHBand="0" w:firstRowFirstColumn="0" w:firstRowLastColumn="0" w:lastRowFirstColumn="0" w:lastRowLastColumn="0"/>
          <w:tblHeader w:val="0"/>
        </w:trPr>
        <w:tc>
          <w:tcPr>
            <w:tcW w:w="874" w:type="pct"/>
            <w:tcBorders>
              <w:top w:val="none" w:sz="0" w:space="0" w:color="auto"/>
              <w:left w:val="none" w:sz="0" w:space="0" w:color="auto"/>
              <w:bottom w:val="none" w:sz="0" w:space="0" w:color="auto"/>
              <w:right w:val="none" w:sz="0" w:space="0" w:color="auto"/>
            </w:tcBorders>
          </w:tcPr>
          <w:p w14:paraId="7DA594E0" w14:textId="38B4CA1F" w:rsidR="00F07156" w:rsidRPr="00AB306E" w:rsidRDefault="00F07156" w:rsidP="0071460B">
            <w:pPr>
              <w:pStyle w:val="Paragraphbeforelist"/>
              <w:spacing w:before="120" w:after="120" w:line="240" w:lineRule="auto"/>
            </w:pPr>
            <w:r>
              <w:t>Technology Identification</w:t>
            </w:r>
          </w:p>
        </w:tc>
        <w:tc>
          <w:tcPr>
            <w:tcW w:w="816" w:type="pct"/>
            <w:tcBorders>
              <w:top w:val="none" w:sz="0" w:space="0" w:color="auto"/>
              <w:left w:val="none" w:sz="0" w:space="0" w:color="auto"/>
              <w:bottom w:val="none" w:sz="0" w:space="0" w:color="auto"/>
              <w:right w:val="none" w:sz="0" w:space="0" w:color="auto"/>
            </w:tcBorders>
          </w:tcPr>
          <w:p w14:paraId="544D3E20" w14:textId="795C7EB3" w:rsidR="00F07156" w:rsidRPr="00AB306E" w:rsidRDefault="00F07156" w:rsidP="0071460B">
            <w:pPr>
              <w:pStyle w:val="Paragraphbeforelist"/>
              <w:spacing w:before="120" w:after="120" w:line="240" w:lineRule="auto"/>
            </w:pPr>
            <w:r>
              <w:t>Technology Mix</w:t>
            </w:r>
          </w:p>
        </w:tc>
        <w:tc>
          <w:tcPr>
            <w:tcW w:w="889" w:type="pct"/>
            <w:tcBorders>
              <w:top w:val="none" w:sz="0" w:space="0" w:color="auto"/>
              <w:left w:val="none" w:sz="0" w:space="0" w:color="auto"/>
              <w:bottom w:val="none" w:sz="0" w:space="0" w:color="auto"/>
              <w:right w:val="none" w:sz="0" w:space="0" w:color="auto"/>
            </w:tcBorders>
          </w:tcPr>
          <w:p w14:paraId="32552911" w14:textId="0BAD9B58" w:rsidR="00F07156" w:rsidRPr="00AB306E" w:rsidRDefault="00F07156" w:rsidP="0071460B">
            <w:pPr>
              <w:pStyle w:val="Paragraphbeforelist"/>
              <w:spacing w:before="120" w:after="120" w:line="240" w:lineRule="auto"/>
            </w:pPr>
            <w:r>
              <w:t>Duplexing Methodology</w:t>
            </w:r>
          </w:p>
        </w:tc>
        <w:tc>
          <w:tcPr>
            <w:tcW w:w="649" w:type="pct"/>
            <w:tcBorders>
              <w:top w:val="none" w:sz="0" w:space="0" w:color="auto"/>
              <w:left w:val="none" w:sz="0" w:space="0" w:color="auto"/>
              <w:bottom w:val="none" w:sz="0" w:space="0" w:color="auto"/>
              <w:right w:val="none" w:sz="0" w:space="0" w:color="auto"/>
            </w:tcBorders>
          </w:tcPr>
          <w:p w14:paraId="08154A0B" w14:textId="67B0EF5C" w:rsidR="00F07156" w:rsidRPr="00AB306E" w:rsidRDefault="00F07156" w:rsidP="0071460B">
            <w:pPr>
              <w:pStyle w:val="Paragraphbeforelist"/>
              <w:spacing w:before="120" w:after="120" w:line="240" w:lineRule="auto"/>
            </w:pPr>
            <w:r>
              <w:t>Service Model(s)</w:t>
            </w:r>
          </w:p>
        </w:tc>
        <w:tc>
          <w:tcPr>
            <w:tcW w:w="1773" w:type="pct"/>
            <w:tcBorders>
              <w:top w:val="none" w:sz="0" w:space="0" w:color="auto"/>
              <w:left w:val="none" w:sz="0" w:space="0" w:color="auto"/>
              <w:bottom w:val="none" w:sz="0" w:space="0" w:color="auto"/>
              <w:right w:val="none" w:sz="0" w:space="0" w:color="auto"/>
            </w:tcBorders>
          </w:tcPr>
          <w:p w14:paraId="7DD2C6F5" w14:textId="3089FF75" w:rsidR="00F07156" w:rsidRDefault="00F07156" w:rsidP="0071460B">
            <w:pPr>
              <w:pStyle w:val="Paragraphbeforelist"/>
              <w:spacing w:before="120" w:after="120" w:line="240" w:lineRule="auto"/>
            </w:pPr>
            <w:r>
              <w:t>Applicable standards and reports</w:t>
            </w:r>
          </w:p>
        </w:tc>
      </w:tr>
      <w:tr w:rsidR="00B519E0" w:rsidRPr="00AB306E" w14:paraId="4CE7A7A6" w14:textId="08E29913" w:rsidTr="008F390D">
        <w:trPr>
          <w:cnfStyle w:val="000000100000" w:firstRow="0" w:lastRow="0" w:firstColumn="0" w:lastColumn="0" w:oddVBand="0" w:evenVBand="0" w:oddHBand="1" w:evenHBand="0" w:firstRowFirstColumn="0" w:firstRowLastColumn="0" w:lastRowFirstColumn="0" w:lastRowLastColumn="0"/>
        </w:trPr>
        <w:tc>
          <w:tcPr>
            <w:tcW w:w="874" w:type="pct"/>
          </w:tcPr>
          <w:p w14:paraId="1BCCC16B" w14:textId="797E7DF2" w:rsidR="00B519E0" w:rsidRPr="00AB306E" w:rsidRDefault="00B519E0" w:rsidP="0071460B">
            <w:pPr>
              <w:pStyle w:val="Paragraphbeforelist"/>
              <w:spacing w:before="120" w:after="120" w:line="240" w:lineRule="auto"/>
            </w:pPr>
            <w:r w:rsidRPr="00AB306E">
              <w:t xml:space="preserve">LTE </w:t>
            </w:r>
            <w:r>
              <w:br/>
            </w:r>
            <w:r w:rsidRPr="00AB306E">
              <w:t>(E-UTRA)</w:t>
            </w:r>
          </w:p>
        </w:tc>
        <w:tc>
          <w:tcPr>
            <w:tcW w:w="816" w:type="pct"/>
          </w:tcPr>
          <w:p w14:paraId="1924E723" w14:textId="36EC42BD" w:rsidR="00B519E0" w:rsidRPr="00AB306E" w:rsidRDefault="00B519E0" w:rsidP="0071460B">
            <w:pPr>
              <w:pStyle w:val="Paragraphbeforelist"/>
              <w:spacing w:before="120" w:after="120" w:line="240" w:lineRule="auto"/>
            </w:pPr>
            <w:r>
              <w:t>Current</w:t>
            </w:r>
          </w:p>
        </w:tc>
        <w:tc>
          <w:tcPr>
            <w:tcW w:w="889" w:type="pct"/>
          </w:tcPr>
          <w:p w14:paraId="37C3E535" w14:textId="77777777" w:rsidR="00B519E0" w:rsidRPr="00AB306E" w:rsidRDefault="00B519E0" w:rsidP="0071460B">
            <w:pPr>
              <w:pStyle w:val="Paragraphbeforelist"/>
              <w:spacing w:before="120" w:after="120" w:line="240" w:lineRule="auto"/>
            </w:pPr>
            <w:r w:rsidRPr="00AB306E">
              <w:t>Two frequency (FDD)</w:t>
            </w:r>
          </w:p>
        </w:tc>
        <w:tc>
          <w:tcPr>
            <w:tcW w:w="649" w:type="pct"/>
          </w:tcPr>
          <w:p w14:paraId="713D04A2" w14:textId="77777777" w:rsidR="00B519E0" w:rsidRPr="00AB306E" w:rsidRDefault="00B519E0" w:rsidP="0071460B">
            <w:pPr>
              <w:pStyle w:val="Paragraphbeforelist"/>
              <w:spacing w:before="120" w:after="120" w:line="240" w:lineRule="auto"/>
            </w:pPr>
            <w:r w:rsidRPr="00AB306E">
              <w:t>Fixed and mobile</w:t>
            </w:r>
          </w:p>
        </w:tc>
        <w:tc>
          <w:tcPr>
            <w:tcW w:w="1773" w:type="pct"/>
          </w:tcPr>
          <w:p w14:paraId="78172B91" w14:textId="2CB7C886" w:rsidR="00B519E0" w:rsidRPr="00AB306E" w:rsidRDefault="00B519E0" w:rsidP="0071460B">
            <w:pPr>
              <w:pStyle w:val="Paragraphbeforelist"/>
              <w:spacing w:before="120" w:after="120" w:line="240" w:lineRule="auto"/>
            </w:pPr>
            <w:r w:rsidRPr="00F164FD">
              <w:rPr>
                <w:color w:val="0D0D0D" w:themeColor="text1" w:themeTint="F2"/>
                <w:sz w:val="22"/>
                <w:szCs w:val="22"/>
              </w:rPr>
              <w:t>ITU-R Report M.2039-2, 3GPP TS 36.101, 3GPP TS 36.104, 3GPP TS 36.942</w:t>
            </w:r>
          </w:p>
        </w:tc>
      </w:tr>
      <w:tr w:rsidR="0096586E" w:rsidRPr="00AB306E" w14:paraId="6A0C1A33" w14:textId="77777777" w:rsidTr="008F390D">
        <w:trPr>
          <w:cnfStyle w:val="000000010000" w:firstRow="0" w:lastRow="0" w:firstColumn="0" w:lastColumn="0" w:oddVBand="0" w:evenVBand="0" w:oddHBand="0" w:evenHBand="1" w:firstRowFirstColumn="0" w:firstRowLastColumn="0" w:lastRowFirstColumn="0" w:lastRowLastColumn="0"/>
        </w:trPr>
        <w:tc>
          <w:tcPr>
            <w:tcW w:w="874" w:type="pct"/>
          </w:tcPr>
          <w:p w14:paraId="7C251305" w14:textId="157249B9" w:rsidR="0096586E" w:rsidRPr="00AB306E" w:rsidRDefault="0096586E" w:rsidP="0071460B">
            <w:pPr>
              <w:pStyle w:val="Paragraphbeforelist"/>
              <w:spacing w:before="120" w:after="120" w:line="240" w:lineRule="auto"/>
            </w:pPr>
            <w:r>
              <w:t>5G NR</w:t>
            </w:r>
          </w:p>
        </w:tc>
        <w:tc>
          <w:tcPr>
            <w:tcW w:w="816" w:type="pct"/>
          </w:tcPr>
          <w:p w14:paraId="3557A752" w14:textId="5C8303F7" w:rsidR="0096586E" w:rsidRDefault="0096586E" w:rsidP="0071460B">
            <w:pPr>
              <w:pStyle w:val="Paragraphbeforelist"/>
              <w:spacing w:before="120" w:after="120" w:line="240" w:lineRule="auto"/>
            </w:pPr>
            <w:r>
              <w:t>Current</w:t>
            </w:r>
          </w:p>
        </w:tc>
        <w:tc>
          <w:tcPr>
            <w:tcW w:w="889" w:type="pct"/>
          </w:tcPr>
          <w:p w14:paraId="7EBABC0B" w14:textId="293BF8B1" w:rsidR="0096586E" w:rsidRPr="00AB306E" w:rsidRDefault="0096586E" w:rsidP="0071460B">
            <w:pPr>
              <w:pStyle w:val="Paragraphbeforelist"/>
              <w:spacing w:before="120" w:after="120" w:line="240" w:lineRule="auto"/>
            </w:pPr>
            <w:r w:rsidRPr="00AB306E">
              <w:t>Two frequency (FDD)</w:t>
            </w:r>
          </w:p>
        </w:tc>
        <w:tc>
          <w:tcPr>
            <w:tcW w:w="649" w:type="pct"/>
          </w:tcPr>
          <w:p w14:paraId="5CCCE83B" w14:textId="7CC06F98" w:rsidR="0096586E" w:rsidRPr="00AB306E" w:rsidRDefault="0096586E" w:rsidP="0071460B">
            <w:pPr>
              <w:pStyle w:val="Paragraphbeforelist"/>
              <w:spacing w:before="120" w:after="120" w:line="240" w:lineRule="auto"/>
            </w:pPr>
            <w:r w:rsidRPr="00AB306E">
              <w:t>Fixed and mobile</w:t>
            </w:r>
          </w:p>
        </w:tc>
        <w:tc>
          <w:tcPr>
            <w:tcW w:w="1773" w:type="pct"/>
          </w:tcPr>
          <w:p w14:paraId="3BF6118D" w14:textId="06813B60" w:rsidR="0096586E" w:rsidRPr="00F164FD" w:rsidRDefault="0096586E" w:rsidP="0071460B">
            <w:pPr>
              <w:pStyle w:val="Paragraphbeforelist"/>
              <w:spacing w:before="120" w:after="120" w:line="240" w:lineRule="auto"/>
              <w:rPr>
                <w:color w:val="0D0D0D" w:themeColor="text1" w:themeTint="F2"/>
                <w:sz w:val="22"/>
                <w:szCs w:val="22"/>
              </w:rPr>
            </w:pPr>
            <w:r>
              <w:rPr>
                <w:color w:val="0D0D0D" w:themeColor="text1" w:themeTint="F2"/>
                <w:sz w:val="22"/>
                <w:szCs w:val="22"/>
              </w:rPr>
              <w:t>ITU-R Recommendation M.2101, 3GPP TS 38.101, 3GPP TS 38.104</w:t>
            </w:r>
          </w:p>
        </w:tc>
      </w:tr>
    </w:tbl>
    <w:p w14:paraId="11149F30" w14:textId="054486A2" w:rsidR="00D82EF9" w:rsidRDefault="00D82EF9">
      <w:pPr>
        <w:pStyle w:val="Paragraphbeforelist"/>
        <w:spacing w:before="120" w:after="120" w:line="240" w:lineRule="auto"/>
      </w:pPr>
      <w:r w:rsidRPr="00AB306E">
        <w:lastRenderedPageBreak/>
        <w:t xml:space="preserve">This does not exclude other technologies from being used under the framework; rather the framework </w:t>
      </w:r>
      <w:r w:rsidR="00917470">
        <w:t xml:space="preserve">has been </w:t>
      </w:r>
      <w:r w:rsidRPr="00AB306E">
        <w:t>developed with specific reference to these technologies. As there has been little interest in the use of TDD systems in th</w:t>
      </w:r>
      <w:r w:rsidR="00467030">
        <w:t>ese</w:t>
      </w:r>
      <w:r w:rsidRPr="00AB306E">
        <w:t xml:space="preserve"> band</w:t>
      </w:r>
      <w:r w:rsidR="00467030">
        <w:t>s</w:t>
      </w:r>
      <w:r w:rsidRPr="00AB306E">
        <w:t xml:space="preserve"> in Australia, only FDD technologies </w:t>
      </w:r>
      <w:r w:rsidR="00917470">
        <w:t>have been</w:t>
      </w:r>
      <w:r w:rsidRPr="00AB306E">
        <w:t xml:space="preserve"> considered</w:t>
      </w:r>
      <w:r w:rsidR="00917470">
        <w:t xml:space="preserve"> at this stage</w:t>
      </w:r>
      <w:r w:rsidRPr="00AB306E">
        <w:t xml:space="preserve">. </w:t>
      </w:r>
    </w:p>
    <w:p w14:paraId="7CDF1EDD" w14:textId="7A1F2639" w:rsidR="00CE54B3" w:rsidRDefault="00CE54B3">
      <w:pPr>
        <w:pStyle w:val="Paragraphbeforelist"/>
        <w:spacing w:before="120" w:after="120" w:line="240" w:lineRule="auto"/>
      </w:pPr>
      <w:r>
        <w:t>Note that the first paper included 3GPP 25 series (3G) technologies as a reference technology, but most respondents favoured basing conditions on 5G technologies, with some support for retention of 4G. As per the above point, it is expected that basing frameworks on 4G and 5G technologies will not be preclusive the operation of legacy 3G services.</w:t>
      </w:r>
    </w:p>
    <w:p w14:paraId="336E2B08" w14:textId="77777777" w:rsidR="00467030" w:rsidRPr="00AB306E" w:rsidRDefault="00467030" w:rsidP="0071460B">
      <w:pPr>
        <w:pStyle w:val="Paragraphbeforelist"/>
        <w:spacing w:before="120" w:after="120" w:line="240" w:lineRule="auto"/>
      </w:pPr>
    </w:p>
    <w:p w14:paraId="237814D0" w14:textId="293FA61A" w:rsidR="00B81A6A" w:rsidRPr="00DB37C3" w:rsidRDefault="00EF347F"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rPr>
        <w:t xml:space="preserve">Most TLG members favour identification of 38 series 5G technologies as the reference technology for the development of technical frameworks. AMTA supported the retention of 36 series 4G technologies, while Telstra agreed with the original proposal. </w:t>
      </w:r>
      <w:r w:rsidR="00917470">
        <w:rPr>
          <w:b/>
        </w:rPr>
        <w:t>As a result, t</w:t>
      </w:r>
      <w:r w:rsidRPr="001E1EB9">
        <w:rPr>
          <w:b/>
        </w:rPr>
        <w:t xml:space="preserve">he ACMA </w:t>
      </w:r>
      <w:r w:rsidR="00917470">
        <w:rPr>
          <w:b/>
        </w:rPr>
        <w:t>has drafted</w:t>
      </w:r>
      <w:r w:rsidRPr="001E1EB9">
        <w:rPr>
          <w:b/>
        </w:rPr>
        <w:t xml:space="preserve"> the frameworks based on 36 and 38 series technologies</w:t>
      </w:r>
      <w:r w:rsidR="001E1EB9">
        <w:rPr>
          <w:b/>
        </w:rPr>
        <w:t>, with some minor variations to ensure ongoing compatibility with existing services.</w:t>
      </w:r>
    </w:p>
    <w:p w14:paraId="1A5714F0" w14:textId="2FF7838B" w:rsidR="00621D37" w:rsidRDefault="00621D37" w:rsidP="0071460B">
      <w:pPr>
        <w:spacing w:before="120" w:after="120" w:line="240" w:lineRule="auto"/>
        <w:rPr>
          <w:rFonts w:cs="Arial"/>
          <w:b/>
          <w:bCs/>
          <w:iCs/>
          <w:sz w:val="28"/>
          <w:szCs w:val="28"/>
        </w:rPr>
      </w:pPr>
    </w:p>
    <w:p w14:paraId="343AC1FE" w14:textId="33760B8E" w:rsidR="005B4FFA" w:rsidRDefault="005B4FFA" w:rsidP="0071460B">
      <w:pPr>
        <w:pStyle w:val="Heading2"/>
        <w:spacing w:before="120" w:after="120" w:line="240" w:lineRule="auto"/>
      </w:pPr>
      <w:bookmarkStart w:id="15" w:name="_Toc65674880"/>
      <w:bookmarkStart w:id="16" w:name="_Toc403740552"/>
      <w:bookmarkStart w:id="17" w:name="_Toc404333447"/>
      <w:bookmarkStart w:id="18" w:name="_Toc444690625"/>
      <w:bookmarkStart w:id="19" w:name="_Toc507878609"/>
      <w:r w:rsidRPr="00544B0C">
        <w:t>C</w:t>
      </w:r>
      <w:r>
        <w:t>hannelling arrangements</w:t>
      </w:r>
      <w:bookmarkEnd w:id="15"/>
    </w:p>
    <w:p w14:paraId="17C40533" w14:textId="3DEBD2C6" w:rsidR="00467030" w:rsidRDefault="002F10BD">
      <w:pPr>
        <w:pStyle w:val="Paragraph"/>
        <w:spacing w:before="120" w:after="120" w:line="240" w:lineRule="auto"/>
      </w:pPr>
      <w:r w:rsidRPr="002F10BD">
        <w:t xml:space="preserve">The 900 MHz band has long been a cornerstone in the delivery of cellular communications services in Australia, first through the deployment of the 2G Global System for Mobile (GSM) and now 3G Universal Mobile Telecommunications System (UMTS) </w:t>
      </w:r>
      <w:r w:rsidR="00467030">
        <w:t xml:space="preserve">and 4G Long Term Evolution (LTE) technologies. LTE </w:t>
      </w:r>
      <w:r w:rsidRPr="002F10BD">
        <w:t xml:space="preserve">can operate using a range of different channel sizes, being: 1.4, 3, 5, 10, 15, and 20 MHz, however LTE is more spectrally efficient in channels of 5 MHz or multiples thereof. </w:t>
      </w:r>
    </w:p>
    <w:p w14:paraId="4A5FF8C0" w14:textId="60A7931F" w:rsidR="002F10BD" w:rsidRPr="002F10BD" w:rsidRDefault="002F10BD" w:rsidP="0071460B">
      <w:pPr>
        <w:pStyle w:val="Paragraph"/>
        <w:spacing w:before="120" w:after="120" w:line="240" w:lineRule="auto"/>
      </w:pPr>
      <w:r w:rsidRPr="002F10BD">
        <w:t xml:space="preserve">Increases in channel size (in 5 MHz increments) up to a 20 MHz channel increases throughput but results in only incremental gains to spectral efficiency. While LTE can operate using channels smaller than 5 MHz, this is generally avoided as efficiency suffers and the level of throughput adds little to the overall capacity of a network. Therefore, bands for 3G and 4G technologies are predominately planned based on a minimum block size of 5 </w:t>
      </w:r>
      <w:proofErr w:type="spellStart"/>
      <w:r w:rsidRPr="002F10BD">
        <w:t>MHz.</w:t>
      </w:r>
      <w:proofErr w:type="spellEnd"/>
      <w:r w:rsidRPr="002F10BD">
        <w:t xml:space="preserve"> </w:t>
      </w:r>
    </w:p>
    <w:p w14:paraId="5B6E5EE1" w14:textId="40A05D8E" w:rsidR="005B4FFA" w:rsidRPr="00A94BC9" w:rsidRDefault="009E74AE" w:rsidP="0071460B">
      <w:pPr>
        <w:pStyle w:val="Paragraph"/>
        <w:spacing w:before="120" w:after="120" w:line="240" w:lineRule="auto"/>
      </w:pPr>
      <w:r>
        <w:t>T</w:t>
      </w:r>
      <w:r w:rsidR="004F1448" w:rsidRPr="00A94BC9">
        <w:t xml:space="preserve">he 850 MHz expansion band will consist of 3 </w:t>
      </w:r>
      <w:r w:rsidR="00C91531" w:rsidRPr="00A94BC9">
        <w:t xml:space="preserve">paired </w:t>
      </w:r>
      <w:r w:rsidR="004F1448" w:rsidRPr="00A94BC9">
        <w:t xml:space="preserve">channels </w:t>
      </w:r>
      <w:r w:rsidR="00C91531" w:rsidRPr="00A94BC9">
        <w:t xml:space="preserve">of 5 MHz </w:t>
      </w:r>
      <w:r w:rsidR="004F1448" w:rsidRPr="00A94BC9">
        <w:t xml:space="preserve">on both the upper and lower </w:t>
      </w:r>
      <w:r w:rsidR="00A96132" w:rsidRPr="00A94BC9">
        <w:t>limit</w:t>
      </w:r>
      <w:r w:rsidR="00E83A09" w:rsidRPr="00A94BC9">
        <w:t xml:space="preserve"> (F</w:t>
      </w:r>
      <w:r w:rsidR="00A96132" w:rsidRPr="00A94BC9">
        <w:t>igure</w:t>
      </w:r>
      <w:r w:rsidR="00FC3E3D">
        <w:t xml:space="preserve"> </w:t>
      </w:r>
      <w:r w:rsidR="007F658D">
        <w:t>1</w:t>
      </w:r>
      <w:r w:rsidR="00E83A09" w:rsidRPr="00A94BC9">
        <w:t>)</w:t>
      </w:r>
      <w:r w:rsidR="009B1FAA">
        <w:t>, given that it is expected that mo</w:t>
      </w:r>
      <w:r w:rsidR="00E91668">
        <w:t>s</w:t>
      </w:r>
      <w:r w:rsidR="009B1FAA">
        <w:t>t end-use stakeholders will be using FDD technologies.</w:t>
      </w:r>
      <w:r w:rsidR="00467030">
        <w:t xml:space="preserve"> The potential for licensees to re</w:t>
      </w:r>
      <w:r w:rsidR="002B6222">
        <w:t>-</w:t>
      </w:r>
      <w:r w:rsidR="00467030">
        <w:t>farm holdings to enable future (5G) NR deployments is preserved by using a baseline of 5 MHz blocks.</w:t>
      </w:r>
    </w:p>
    <w:p w14:paraId="03D1537B" w14:textId="46219F6B" w:rsidR="007B4A33" w:rsidRDefault="001C219C" w:rsidP="0071460B">
      <w:pPr>
        <w:pStyle w:val="Figureheading"/>
        <w:spacing w:before="120" w:after="120" w:line="240" w:lineRule="auto"/>
      </w:pPr>
      <w:r>
        <w:t>Proposed channelling arrangements for the 850 MHz expansion band</w:t>
      </w:r>
    </w:p>
    <w:p w14:paraId="086BD608" w14:textId="2FD909FA" w:rsidR="003551DA" w:rsidRDefault="00702D6B" w:rsidP="0071460B">
      <w:pPr>
        <w:pStyle w:val="Paragraph"/>
        <w:spacing w:before="120" w:after="120" w:line="240" w:lineRule="auto"/>
      </w:pPr>
      <w:r>
        <w:rPr>
          <w:noProof/>
        </w:rPr>
        <w:drawing>
          <wp:inline distT="0" distB="0" distL="0" distR="0" wp14:anchorId="346093F0" wp14:editId="45E96F65">
            <wp:extent cx="4854361" cy="1074513"/>
            <wp:effectExtent l="0" t="0" r="3810" b="0"/>
            <wp:docPr id="32" name="Picture 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annelling.png"/>
                    <pic:cNvPicPr/>
                  </pic:nvPicPr>
                  <pic:blipFill>
                    <a:blip r:embed="rId36"/>
                    <a:stretch>
                      <a:fillRect/>
                    </a:stretch>
                  </pic:blipFill>
                  <pic:spPr>
                    <a:xfrm>
                      <a:off x="0" y="0"/>
                      <a:ext cx="4854361" cy="1074513"/>
                    </a:xfrm>
                    <a:prstGeom prst="rect">
                      <a:avLst/>
                    </a:prstGeom>
                  </pic:spPr>
                </pic:pic>
              </a:graphicData>
            </a:graphic>
          </wp:inline>
        </w:drawing>
      </w:r>
    </w:p>
    <w:p w14:paraId="1176474E" w14:textId="7D3EDD78" w:rsidR="00C91531" w:rsidRDefault="00C91531" w:rsidP="0071460B">
      <w:pPr>
        <w:pStyle w:val="Paragraph"/>
        <w:spacing w:before="120" w:after="120" w:line="240" w:lineRule="auto"/>
      </w:pPr>
      <w:r>
        <w:t>I</w:t>
      </w:r>
      <w:r w:rsidR="009E74AE">
        <w:t>f</w:t>
      </w:r>
      <w:r w:rsidR="003C354A">
        <w:t xml:space="preserve"> an allocation is made for</w:t>
      </w:r>
      <w:r>
        <w:t xml:space="preserve"> PSMB </w:t>
      </w:r>
      <w:r w:rsidR="003C354A">
        <w:t>in</w:t>
      </w:r>
      <w:r>
        <w:t xml:space="preserve"> the 850 MHz expansion, it is anticipated that it will be limited to channel 1</w:t>
      </w:r>
      <w:r w:rsidR="00917470">
        <w:t xml:space="preserve"> (this channel has been set aside for that purpose)</w:t>
      </w:r>
      <w:r w:rsidR="00FC3E3D">
        <w:rPr>
          <w:rStyle w:val="CommentReference"/>
          <w:rFonts w:cs="Times New Roman"/>
        </w:rPr>
        <w:t>.</w:t>
      </w:r>
      <w:r w:rsidR="00FC3E3D">
        <w:t xml:space="preserve"> </w:t>
      </w:r>
      <w:r w:rsidR="001E745B">
        <w:t xml:space="preserve">How </w:t>
      </w:r>
      <w:r w:rsidR="00FC3E3D">
        <w:t xml:space="preserve">PSMB is ultimately </w:t>
      </w:r>
      <w:r w:rsidR="001E745B">
        <w:t>deployed in</w:t>
      </w:r>
      <w:r w:rsidR="00B52BB1">
        <w:t xml:space="preserve"> </w:t>
      </w:r>
      <w:r w:rsidR="00FC3E3D">
        <w:t xml:space="preserve">the 850 MHz </w:t>
      </w:r>
      <w:r w:rsidR="00B52BB1">
        <w:t xml:space="preserve">band </w:t>
      </w:r>
      <w:r w:rsidR="00FC3E3D">
        <w:t xml:space="preserve">is a decision for government – however is it anticipated that this capability will be LTE-based technology, allowing for </w:t>
      </w:r>
      <w:r w:rsidR="001E745B">
        <w:t>seamless coexistence</w:t>
      </w:r>
      <w:r w:rsidR="00FC3E3D">
        <w:t xml:space="preserve"> across all band segments.  </w:t>
      </w:r>
    </w:p>
    <w:p w14:paraId="2292A4AA" w14:textId="1895DD39" w:rsidR="000B2E0C" w:rsidRDefault="0053751B" w:rsidP="0071460B">
      <w:pPr>
        <w:pStyle w:val="Paragraph"/>
        <w:spacing w:before="120" w:after="120" w:line="240" w:lineRule="auto"/>
      </w:pPr>
      <w:r>
        <w:t xml:space="preserve">The </w:t>
      </w:r>
      <w:r w:rsidR="00827B2A">
        <w:t xml:space="preserve">900 MHz band is intended to </w:t>
      </w:r>
      <w:r w:rsidR="000D5C0B">
        <w:t xml:space="preserve">have the following </w:t>
      </w:r>
      <w:r w:rsidR="00365292">
        <w:t xml:space="preserve">channel arrangements within the </w:t>
      </w:r>
      <w:r w:rsidR="00E83A09">
        <w:t>b</w:t>
      </w:r>
      <w:r w:rsidR="00365292">
        <w:t xml:space="preserve">ase receive </w:t>
      </w:r>
      <w:r w:rsidR="00E83A09">
        <w:t xml:space="preserve">segment (Figure </w:t>
      </w:r>
      <w:r w:rsidR="007F658D">
        <w:t>2</w:t>
      </w:r>
      <w:r w:rsidR="00E83A09">
        <w:t xml:space="preserve">). </w:t>
      </w:r>
      <w:r w:rsidR="001C31C6" w:rsidRPr="001C31C6">
        <w:t xml:space="preserve">The 900 MHz band (890–915/935–960 MHz) is currently apparatus licensed to Telstra, </w:t>
      </w:r>
      <w:r w:rsidR="00C95205" w:rsidRPr="001C31C6">
        <w:t>Optus,</w:t>
      </w:r>
      <w:r w:rsidR="001C31C6" w:rsidRPr="001C31C6">
        <w:t xml:space="preserve"> and Vodafone Hutchison Australia </w:t>
      </w:r>
      <w:r w:rsidR="001C31C6" w:rsidRPr="001C31C6">
        <w:lastRenderedPageBreak/>
        <w:t xml:space="preserve">(VHA) in 8.4 and 8.2 MHz blocks. </w:t>
      </w:r>
      <w:r w:rsidR="001C31C6" w:rsidRPr="00C82DCA">
        <w:t xml:space="preserve">Figure </w:t>
      </w:r>
      <w:r w:rsidR="001C31C6" w:rsidRPr="0071460B">
        <w:t>2</w:t>
      </w:r>
      <w:r w:rsidR="001C31C6" w:rsidRPr="00C82DCA">
        <w:t xml:space="preserve"> shows </w:t>
      </w:r>
      <w:r w:rsidR="001C31C6" w:rsidRPr="001C31C6">
        <w:t xml:space="preserve">the lower (base-receive) part of this band, with the current </w:t>
      </w:r>
      <w:r w:rsidR="002A10EF">
        <w:t xml:space="preserve">apparatus </w:t>
      </w:r>
      <w:r w:rsidR="001C31C6" w:rsidRPr="001C31C6">
        <w:t>licensing arrangements shown at the top of the diagram.</w:t>
      </w:r>
    </w:p>
    <w:p w14:paraId="0E055CF8" w14:textId="6ADECCC6" w:rsidR="00E83A09" w:rsidRDefault="00FB39F5" w:rsidP="00D660D3">
      <w:pPr>
        <w:pStyle w:val="Figureheading"/>
        <w:spacing w:before="120" w:after="120" w:line="240" w:lineRule="auto"/>
      </w:pPr>
      <w:r>
        <w:t xml:space="preserve">Current and </w:t>
      </w:r>
      <w:r w:rsidR="00672760">
        <w:t xml:space="preserve">proposed </w:t>
      </w:r>
      <w:r w:rsidR="007A4119">
        <w:t>channelling arrangements for 900 MHz band</w:t>
      </w:r>
    </w:p>
    <w:p w14:paraId="445A3A13" w14:textId="7D0404D5" w:rsidR="00827B2A" w:rsidRDefault="00F42FB4">
      <w:pPr>
        <w:pStyle w:val="Paragraph"/>
        <w:spacing w:before="120" w:after="120" w:line="240" w:lineRule="auto"/>
        <w:jc w:val="center"/>
      </w:pPr>
      <w:r>
        <w:rPr>
          <w:noProof/>
        </w:rPr>
        <w:drawing>
          <wp:inline distT="0" distB="0" distL="0" distR="0" wp14:anchorId="50613FF5" wp14:editId="6E4D414E">
            <wp:extent cx="3400425" cy="1552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00425" cy="1552575"/>
                    </a:xfrm>
                    <a:prstGeom prst="rect">
                      <a:avLst/>
                    </a:prstGeom>
                    <a:noFill/>
                    <a:ln>
                      <a:noFill/>
                    </a:ln>
                  </pic:spPr>
                </pic:pic>
              </a:graphicData>
            </a:graphic>
          </wp:inline>
        </w:drawing>
      </w:r>
    </w:p>
    <w:p w14:paraId="76106AD2" w14:textId="6B5B2757" w:rsidR="009E74AE" w:rsidRDefault="009E74AE" w:rsidP="0071460B">
      <w:pPr>
        <w:pStyle w:val="Paragraph"/>
        <w:spacing w:before="120" w:after="120" w:line="240" w:lineRule="auto"/>
      </w:pPr>
      <w:r>
        <w:t xml:space="preserve">These details </w:t>
      </w:r>
      <w:r w:rsidR="00B52BB1">
        <w:t xml:space="preserve">were </w:t>
      </w:r>
      <w:r>
        <w:t xml:space="preserve">provided for information only – no comment </w:t>
      </w:r>
      <w:r w:rsidR="00B52BB1">
        <w:t xml:space="preserve">was </w:t>
      </w:r>
      <w:r>
        <w:t xml:space="preserve">requested. </w:t>
      </w:r>
    </w:p>
    <w:p w14:paraId="26C6A8DA" w14:textId="0F5C79E9" w:rsidR="00FC3E3D" w:rsidRDefault="00B9710A" w:rsidP="00FC3E3D">
      <w:pPr>
        <w:pStyle w:val="Heading2"/>
        <w:spacing w:before="120" w:after="120" w:line="240" w:lineRule="auto"/>
      </w:pPr>
      <w:bookmarkStart w:id="20" w:name="_Toc65674881"/>
      <w:r>
        <w:t>Emission</w:t>
      </w:r>
      <w:r w:rsidR="00FC3E3D">
        <w:t xml:space="preserve"> Limits</w:t>
      </w:r>
      <w:bookmarkEnd w:id="20"/>
    </w:p>
    <w:bookmarkEnd w:id="16"/>
    <w:bookmarkEnd w:id="17"/>
    <w:bookmarkEnd w:id="18"/>
    <w:bookmarkEnd w:id="19"/>
    <w:p w14:paraId="058F4EED" w14:textId="1255BF3E" w:rsidR="00813FD1" w:rsidRPr="0071460B" w:rsidRDefault="003B6722" w:rsidP="0071460B">
      <w:pPr>
        <w:pStyle w:val="Heading3"/>
        <w:spacing w:before="120" w:after="120" w:line="240" w:lineRule="auto"/>
        <w:rPr>
          <w:b w:val="0"/>
          <w:bCs w:val="0"/>
          <w:i/>
          <w:iCs/>
        </w:rPr>
      </w:pPr>
      <w:r>
        <w:rPr>
          <w:b w:val="0"/>
          <w:bCs w:val="0"/>
          <w:i/>
          <w:iCs/>
        </w:rPr>
        <w:t>In-band</w:t>
      </w:r>
      <w:r w:rsidR="001D5EAD" w:rsidRPr="0071460B">
        <w:rPr>
          <w:b w:val="0"/>
          <w:bCs w:val="0"/>
          <w:i/>
          <w:iCs/>
        </w:rPr>
        <w:t xml:space="preserve"> </w:t>
      </w:r>
      <w:r w:rsidR="001D5B44" w:rsidRPr="0071460B">
        <w:rPr>
          <w:b w:val="0"/>
          <w:bCs w:val="0"/>
          <w:i/>
          <w:iCs/>
        </w:rPr>
        <w:t>em</w:t>
      </w:r>
      <w:r w:rsidR="008B1AB4" w:rsidRPr="0071460B">
        <w:rPr>
          <w:b w:val="0"/>
          <w:bCs w:val="0"/>
          <w:i/>
          <w:iCs/>
        </w:rPr>
        <w:t>ission</w:t>
      </w:r>
      <w:r w:rsidR="001D5EAD" w:rsidRPr="0071460B">
        <w:rPr>
          <w:b w:val="0"/>
          <w:bCs w:val="0"/>
          <w:i/>
          <w:iCs/>
        </w:rPr>
        <w:t xml:space="preserve"> l</w:t>
      </w:r>
      <w:r w:rsidR="008B1AB4" w:rsidRPr="0071460B">
        <w:rPr>
          <w:b w:val="0"/>
          <w:bCs w:val="0"/>
          <w:i/>
          <w:iCs/>
        </w:rPr>
        <w:t>imit</w:t>
      </w:r>
    </w:p>
    <w:p w14:paraId="20CE255D" w14:textId="0C798683" w:rsidR="004335BD" w:rsidRDefault="004335BD">
      <w:pPr>
        <w:pStyle w:val="Paragraphbeforelist"/>
        <w:spacing w:before="120" w:after="120" w:line="240" w:lineRule="auto"/>
      </w:pPr>
      <w:r w:rsidRPr="00AB306E">
        <w:t xml:space="preserve">The value </w:t>
      </w:r>
      <w:r w:rsidR="00D84E60">
        <w:t xml:space="preserve">initially </w:t>
      </w:r>
      <w:r w:rsidRPr="00AB306E">
        <w:t xml:space="preserve">proposed for the </w:t>
      </w:r>
      <w:r w:rsidR="003B6722">
        <w:t>in band (otherwise referred to as o</w:t>
      </w:r>
      <w:r w:rsidRPr="00AB306E">
        <w:t>ut-of-</w:t>
      </w:r>
      <w:r w:rsidR="003B6722">
        <w:t>a</w:t>
      </w:r>
      <w:r w:rsidR="003B6722" w:rsidRPr="00AB306E">
        <w:t>rea</w:t>
      </w:r>
      <w:r w:rsidR="003B6722">
        <w:t>) e</w:t>
      </w:r>
      <w:r w:rsidRPr="00AB306E">
        <w:t xml:space="preserve">mission limit </w:t>
      </w:r>
      <w:r w:rsidR="00D84E60">
        <w:t>was</w:t>
      </w:r>
      <w:r w:rsidR="00D84E60" w:rsidRPr="00AB306E">
        <w:t xml:space="preserve"> </w:t>
      </w:r>
      <w:r w:rsidRPr="00AB306E">
        <w:t>based on</w:t>
      </w:r>
      <w:r w:rsidR="00D84E60">
        <w:t xml:space="preserve"> existing 850 MHz limits, being</w:t>
      </w:r>
      <w:r w:rsidRPr="00AB306E">
        <w:t xml:space="preserve"> the maximum in-block limit identified in the European arrangements with an additional factor of 5</w:t>
      </w:r>
      <w:r w:rsidR="00A33CE6">
        <w:t xml:space="preserve"> </w:t>
      </w:r>
      <w:r w:rsidRPr="00AB306E">
        <w:t>dB added to cover future technological developments that may occur over the period of the licence.</w:t>
      </w:r>
      <w:r w:rsidR="00D84E60">
        <w:t xml:space="preserve"> Based on feedback from TLG members, the ACMA decided to propose a</w:t>
      </w:r>
      <w:r w:rsidR="00BD4737">
        <w:t xml:space="preserve"> specific</w:t>
      </w:r>
      <w:r w:rsidR="00D84E60">
        <w:t xml:space="preserve"> in-band </w:t>
      </w:r>
      <w:r w:rsidR="003A36E4">
        <w:t>conducted and total radiated power</w:t>
      </w:r>
      <w:r w:rsidR="00D84E60">
        <w:t xml:space="preserve"> </w:t>
      </w:r>
      <w:r w:rsidR="0042733B">
        <w:t>(CP and TRP)</w:t>
      </w:r>
      <w:r w:rsidR="00D84E60">
        <w:t xml:space="preserve"> limit for non-AAS and </w:t>
      </w:r>
      <w:r w:rsidR="003A36E4">
        <w:t>AAS respectively</w:t>
      </w:r>
      <w:r w:rsidR="00D84E60">
        <w:t xml:space="preserve">. </w:t>
      </w:r>
      <w:r w:rsidR="003A36E4">
        <w:t>There</w:t>
      </w:r>
      <w:r w:rsidR="00D84E60">
        <w:t xml:space="preserve"> was broad support for </w:t>
      </w:r>
      <w:r w:rsidR="003A36E4">
        <w:t xml:space="preserve">an in-band EIRP of </w:t>
      </w:r>
      <w:r w:rsidR="00D84E60">
        <w:t>49 dBm/30 kHz</w:t>
      </w:r>
      <w:r w:rsidR="006E074F">
        <w:t xml:space="preserve"> for base stations</w:t>
      </w:r>
      <w:r w:rsidR="00BD4737">
        <w:t xml:space="preserve">, </w:t>
      </w:r>
      <w:r w:rsidR="003A36E4">
        <w:t xml:space="preserve">so assuming a typical non-AAS gain of 16-18 </w:t>
      </w:r>
      <w:proofErr w:type="spellStart"/>
      <w:r w:rsidR="003A36E4">
        <w:t>dBi</w:t>
      </w:r>
      <w:proofErr w:type="spellEnd"/>
      <w:r w:rsidR="003A36E4">
        <w:t xml:space="preserve"> (and selecting 16</w:t>
      </w:r>
      <w:r w:rsidR="00BD4737">
        <w:t xml:space="preserve"> as the </w:t>
      </w:r>
      <w:r w:rsidR="003A36E4">
        <w:t>lowest) this translates to a per-transmitter conducted power of 33 dBm/30 kHz</w:t>
      </w:r>
      <w:r w:rsidR="0042733B">
        <w:t>.</w:t>
      </w:r>
    </w:p>
    <w:p w14:paraId="75D6DC6C" w14:textId="41E69C47" w:rsidR="0042733B" w:rsidRDefault="0042733B">
      <w:pPr>
        <w:pStyle w:val="Paragraphbeforelist"/>
        <w:spacing w:before="120" w:after="120" w:line="240" w:lineRule="auto"/>
      </w:pPr>
      <w:r>
        <w:t xml:space="preserve">We are also prepared to prescribe a higher overall (per sector) </w:t>
      </w:r>
      <w:r w:rsidR="006E074F">
        <w:t xml:space="preserve">base station </w:t>
      </w:r>
      <w:r>
        <w:t xml:space="preserve">TRP as suggested by respondents. Recent technical frameworks have included an additional 9 dB allowance based on 8-port systems, however it is not yet clear how prolific large-array AAS will be in low band deployments. As a starting point we </w:t>
      </w:r>
      <w:r w:rsidR="006E074F">
        <w:t>proposed a</w:t>
      </w:r>
      <w:r>
        <w:t xml:space="preserve"> 6 dB additional per sector </w:t>
      </w:r>
      <w:r w:rsidR="006E074F">
        <w:t xml:space="preserve">base station TRP </w:t>
      </w:r>
      <w:r>
        <w:t>for the 850 and 900 MHz bands to allow deployment of 4 port AAS without any additional per-port constraints.</w:t>
      </w:r>
      <w:r w:rsidR="006E074F">
        <w:t xml:space="preserve"> Following feedback to the 2</w:t>
      </w:r>
      <w:r w:rsidR="006E074F" w:rsidRPr="008F390D">
        <w:rPr>
          <w:vertAlign w:val="superscript"/>
        </w:rPr>
        <w:t>nd</w:t>
      </w:r>
      <w:r w:rsidR="006E074F">
        <w:t xml:space="preserve"> TLG paper, this was increased to 9 dB additional allowance to enable 8 port AAS.</w:t>
      </w:r>
    </w:p>
    <w:p w14:paraId="7A0FFFA1" w14:textId="77777777" w:rsidR="00B24D73" w:rsidRDefault="00B24D73" w:rsidP="0071460B">
      <w:pPr>
        <w:pStyle w:val="Paragraphbeforelist"/>
        <w:spacing w:before="120" w:after="120" w:line="240" w:lineRule="auto"/>
      </w:pPr>
    </w:p>
    <w:p w14:paraId="56CE0564" w14:textId="54DC7EAF" w:rsidR="00472BF6" w:rsidRPr="00DB37C3" w:rsidRDefault="006E074F"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iCs/>
        </w:rPr>
        <w:t>Draft</w:t>
      </w:r>
      <w:r w:rsidR="00D84E60">
        <w:rPr>
          <w:b/>
          <w:iCs/>
        </w:rPr>
        <w:t xml:space="preserve"> frameworks will include a maximum in-band </w:t>
      </w:r>
      <w:r w:rsidR="003A36E4">
        <w:rPr>
          <w:b/>
          <w:iCs/>
        </w:rPr>
        <w:t>per-transmitter conducted power</w:t>
      </w:r>
      <w:r w:rsidR="00BD4737">
        <w:rPr>
          <w:b/>
          <w:iCs/>
        </w:rPr>
        <w:t xml:space="preserve"> of </w:t>
      </w:r>
      <w:r w:rsidR="0042733B">
        <w:rPr>
          <w:b/>
          <w:iCs/>
        </w:rPr>
        <w:t>33</w:t>
      </w:r>
      <w:r w:rsidR="00BD4737">
        <w:rPr>
          <w:b/>
          <w:iCs/>
        </w:rPr>
        <w:t xml:space="preserve"> dBm/</w:t>
      </w:r>
      <w:r w:rsidR="0015476E">
        <w:rPr>
          <w:b/>
          <w:iCs/>
        </w:rPr>
        <w:t>30 k</w:t>
      </w:r>
      <w:r w:rsidR="00BD4737">
        <w:rPr>
          <w:b/>
          <w:iCs/>
        </w:rPr>
        <w:t xml:space="preserve">Hz (based on </w:t>
      </w:r>
      <w:r w:rsidR="00D84E60">
        <w:rPr>
          <w:b/>
          <w:iCs/>
        </w:rPr>
        <w:t>EIRP o</w:t>
      </w:r>
      <w:r w:rsidR="00BD4737">
        <w:rPr>
          <w:b/>
          <w:iCs/>
        </w:rPr>
        <w:t>f</w:t>
      </w:r>
      <w:r w:rsidR="00D84E60">
        <w:rPr>
          <w:b/>
          <w:iCs/>
        </w:rPr>
        <w:t xml:space="preserve"> 49 dBm/30 kHz</w:t>
      </w:r>
      <w:r w:rsidR="00BD4737">
        <w:rPr>
          <w:b/>
          <w:iCs/>
        </w:rPr>
        <w:t>)</w:t>
      </w:r>
      <w:r w:rsidR="00D84E60">
        <w:rPr>
          <w:b/>
          <w:iCs/>
        </w:rPr>
        <w:t xml:space="preserve"> for non-AAS operation, and a maximum in-band </w:t>
      </w:r>
      <w:r w:rsidR="0042733B">
        <w:rPr>
          <w:b/>
          <w:iCs/>
        </w:rPr>
        <w:t>per-sector</w:t>
      </w:r>
      <w:r w:rsidR="00D84E60">
        <w:rPr>
          <w:b/>
          <w:iCs/>
        </w:rPr>
        <w:t xml:space="preserve"> TRP of </w:t>
      </w:r>
      <w:r>
        <w:rPr>
          <w:b/>
          <w:iCs/>
        </w:rPr>
        <w:t>42</w:t>
      </w:r>
      <w:r w:rsidR="00D84E60">
        <w:rPr>
          <w:b/>
          <w:iCs/>
        </w:rPr>
        <w:t xml:space="preserve"> dBm/30 kHz.</w:t>
      </w:r>
    </w:p>
    <w:p w14:paraId="51B8D2D0" w14:textId="6F880BA9" w:rsidR="0096586E" w:rsidRPr="0071460B" w:rsidRDefault="00062071" w:rsidP="0071460B">
      <w:pPr>
        <w:pStyle w:val="Paragraphbeforelist"/>
        <w:rPr>
          <w:i/>
          <w:iCs/>
        </w:rPr>
      </w:pPr>
      <w:r>
        <w:br/>
      </w:r>
      <w:r w:rsidR="0096586E" w:rsidRPr="0071460B">
        <w:rPr>
          <w:i/>
          <w:iCs/>
        </w:rPr>
        <w:t>Unwanted emissions limit</w:t>
      </w:r>
    </w:p>
    <w:p w14:paraId="3A7C4F8D" w14:textId="60738AD9" w:rsidR="0096586E" w:rsidRDefault="00780E38" w:rsidP="0071460B">
      <w:pPr>
        <w:pStyle w:val="Paragraphbeforelist"/>
        <w:spacing w:before="120" w:after="120" w:line="240" w:lineRule="auto"/>
      </w:pPr>
      <w:r>
        <w:t>A</w:t>
      </w:r>
      <w:r w:rsidRPr="00AB306E">
        <w:t>nother core condition of the licence</w:t>
      </w:r>
      <w:r>
        <w:t xml:space="preserve"> sets the u</w:t>
      </w:r>
      <w:r w:rsidR="00EF5651">
        <w:t>nwanted emission</w:t>
      </w:r>
      <w:r w:rsidR="00EF5651" w:rsidRPr="00AB306E">
        <w:t xml:space="preserve"> limits</w:t>
      </w:r>
      <w:r>
        <w:t xml:space="preserve"> outside the band</w:t>
      </w:r>
      <w:r w:rsidR="00EF5651" w:rsidRPr="00AB306E">
        <w:t xml:space="preserve">. These limits control emissions </w:t>
      </w:r>
      <w:r>
        <w:t xml:space="preserve">outside the frequency boundary of the licence. Unwanted emissions may </w:t>
      </w:r>
      <w:r w:rsidR="00EF5651" w:rsidRPr="00AB306E">
        <w:t xml:space="preserve">affect licensees in adjacent holdings </w:t>
      </w:r>
      <w:r>
        <w:t>as well as spectrum uses outside the spectrum licensed band</w:t>
      </w:r>
      <w:r w:rsidR="00EF5651">
        <w:t>.</w:t>
      </w:r>
      <w:r w:rsidR="009E74AE">
        <w:t xml:space="preserve"> </w:t>
      </w:r>
      <w:r w:rsidR="0096586E" w:rsidRPr="00C6449B">
        <w:t xml:space="preserve">Unwanted emissions consist of out-of-band emissions </w:t>
      </w:r>
      <w:r w:rsidR="009E74AE">
        <w:t>(OOBEs)</w:t>
      </w:r>
      <w:r w:rsidR="00FC3E3D">
        <w:t xml:space="preserve"> and</w:t>
      </w:r>
      <w:r w:rsidR="009E74AE">
        <w:t xml:space="preserve"> </w:t>
      </w:r>
      <w:r w:rsidR="0096586E" w:rsidRPr="00C6449B">
        <w:t>spurious emissions</w:t>
      </w:r>
      <w:r w:rsidR="0096586E">
        <w:t xml:space="preserve">. </w:t>
      </w:r>
    </w:p>
    <w:p w14:paraId="4E04B3D5" w14:textId="484E889E" w:rsidR="0096586E" w:rsidRDefault="009E74AE" w:rsidP="0071460B">
      <w:pPr>
        <w:spacing w:before="120" w:after="120" w:line="240" w:lineRule="auto"/>
        <w:rPr>
          <w:rFonts w:cs="v5.0.0"/>
        </w:rPr>
      </w:pPr>
      <w:r>
        <w:rPr>
          <w:rFonts w:cs="v5.0.0"/>
        </w:rPr>
        <w:t>OOBEs</w:t>
      </w:r>
      <w:r w:rsidR="0096586E" w:rsidRPr="00C6449B">
        <w:rPr>
          <w:rFonts w:cs="v5.0.0"/>
        </w:rPr>
        <w:t xml:space="preserve"> are unwanted emissions immediately outside the </w:t>
      </w:r>
      <w:r w:rsidR="0096586E" w:rsidRPr="00825A20">
        <w:rPr>
          <w:rFonts w:cs="v5.0.0"/>
          <w:iCs/>
        </w:rPr>
        <w:t>allocated bandwidth</w:t>
      </w:r>
      <w:r w:rsidR="0096586E" w:rsidRPr="00C6449B">
        <w:rPr>
          <w:rFonts w:cs="v5.0.0"/>
        </w:rPr>
        <w:t xml:space="preserve"> resulting from the modulation process and non-linearity in the transmitter but excluding spurious emissions. </w:t>
      </w:r>
    </w:p>
    <w:p w14:paraId="2573C387" w14:textId="0463C9F7" w:rsidR="0096586E" w:rsidRDefault="0096586E">
      <w:pPr>
        <w:spacing w:before="120" w:after="120" w:line="240" w:lineRule="auto"/>
        <w:rPr>
          <w:rFonts w:cs="v5.0.0"/>
        </w:rPr>
      </w:pPr>
      <w:r w:rsidRPr="00C6449B">
        <w:rPr>
          <w:rFonts w:cs="v5.0.0"/>
        </w:rPr>
        <w:t>Spurious emissions are emissions which are caused by unwanted transmitter effects such as harmonics emission, parasitic emission, intermodulation products and frequency conversion products, but exclude out of band emissions.</w:t>
      </w:r>
    </w:p>
    <w:p w14:paraId="4CEC9612" w14:textId="4E5DDCE3" w:rsidR="00BC6D0D" w:rsidRDefault="00BC6D0D" w:rsidP="00BC6D0D">
      <w:pPr>
        <w:pStyle w:val="Paragraphbeforelist"/>
        <w:spacing w:before="120" w:after="120" w:line="240" w:lineRule="auto"/>
      </w:pPr>
      <w:r w:rsidRPr="00DF6BA3">
        <w:lastRenderedPageBreak/>
        <w:t xml:space="preserve">Note that </w:t>
      </w:r>
      <w:r>
        <w:t>prescribed OOBE and spurious</w:t>
      </w:r>
      <w:r w:rsidRPr="00DF6BA3">
        <w:t xml:space="preserve"> limits would apply to all devices operating under a spectrum licence in the </w:t>
      </w:r>
      <w:r w:rsidR="00643C24">
        <w:t xml:space="preserve">expanded </w:t>
      </w:r>
      <w:r>
        <w:t>850 </w:t>
      </w:r>
      <w:r w:rsidRPr="00DF6BA3">
        <w:t xml:space="preserve">MHz </w:t>
      </w:r>
      <w:r>
        <w:t xml:space="preserve">and 900 MHz </w:t>
      </w:r>
      <w:r w:rsidRPr="00DF6BA3">
        <w:t>band</w:t>
      </w:r>
      <w:r>
        <w:t>s</w:t>
      </w:r>
      <w:r w:rsidRPr="00DF6BA3">
        <w:t>. Devices which are exempt from registration (e.g. mobile handsets) are not exempt from the core conditions of the licence under which they operate.</w:t>
      </w:r>
    </w:p>
    <w:p w14:paraId="14C0CD8A" w14:textId="66F1A6DA" w:rsidR="00167208" w:rsidRDefault="00167208" w:rsidP="00167208">
      <w:pPr>
        <w:pStyle w:val="Paragraphbeforelist"/>
        <w:spacing w:before="120" w:after="120" w:line="240" w:lineRule="auto"/>
        <w:rPr>
          <w:b/>
          <w:i/>
        </w:rPr>
      </w:pPr>
      <w:r>
        <w:t>Given the contiguity with the upper-adjacent 850 MHz band, the proposed out-of-band limits will apply to both the 850 MHz and 850 MHz expansion bands as a whole. So the out of band limits proposed are based on band filter edges at 8</w:t>
      </w:r>
      <w:r w:rsidR="00926D3F">
        <w:t>14</w:t>
      </w:r>
      <w:r>
        <w:t>/845 MHz</w:t>
      </w:r>
      <w:r w:rsidR="00FC3E3D">
        <w:t xml:space="preserve"> segment</w:t>
      </w:r>
      <w:r>
        <w:t xml:space="preserve"> paired with 85</w:t>
      </w:r>
      <w:r w:rsidR="00926D3F">
        <w:t>9</w:t>
      </w:r>
      <w:r>
        <w:t xml:space="preserve">-890 MHz </w:t>
      </w:r>
      <w:r w:rsidR="00FC3E3D">
        <w:t xml:space="preserve">segment </w:t>
      </w:r>
      <w:r>
        <w:t xml:space="preserve">(to be later adjusted to upper edges of 844 and 889 MHz once the 1 MHz downshift of the 850 MHz band is brought into effect).  </w:t>
      </w:r>
    </w:p>
    <w:p w14:paraId="4A188278" w14:textId="0210AE62" w:rsidR="00F563B4" w:rsidRPr="00C75DD3" w:rsidRDefault="009C1EEB" w:rsidP="00AC3F18">
      <w:pPr>
        <w:pStyle w:val="Paragraphbeforelist"/>
        <w:spacing w:before="120" w:after="120" w:line="240" w:lineRule="auto"/>
      </w:pPr>
      <w:r>
        <w:t>For both the expanded 850 MHz band and 900 MHz band, i</w:t>
      </w:r>
      <w:r w:rsidR="009C217B">
        <w:t xml:space="preserve">t </w:t>
      </w:r>
      <w:r w:rsidR="00643C24">
        <w:t xml:space="preserve">was </w:t>
      </w:r>
      <w:r w:rsidR="008C203A">
        <w:t xml:space="preserve">initially </w:t>
      </w:r>
      <w:r w:rsidR="00643C24">
        <w:t>proposed</w:t>
      </w:r>
      <w:r w:rsidR="009C217B">
        <w:t xml:space="preserve"> that the current 850 MHz </w:t>
      </w:r>
      <w:r w:rsidR="009E74AE">
        <w:t xml:space="preserve">OOBE and </w:t>
      </w:r>
      <w:r w:rsidR="009C217B">
        <w:t xml:space="preserve">spurious limits (described in sections 6 through 12 of Schedule 2 – Core Conditions on the </w:t>
      </w:r>
      <w:hyperlink r:id="rId38" w:history="1">
        <w:r w:rsidR="009C217B">
          <w:rPr>
            <w:rStyle w:val="Hyperlink"/>
          </w:rPr>
          <w:t>current 850 MHz licence</w:t>
        </w:r>
      </w:hyperlink>
      <w:r w:rsidR="009C217B">
        <w:t xml:space="preserve">) </w:t>
      </w:r>
      <w:r w:rsidR="00EB1EBF">
        <w:t>act as a starting</w:t>
      </w:r>
      <w:r w:rsidR="00C75DD3">
        <w:t xml:space="preserve"> point for eliciting input</w:t>
      </w:r>
      <w:r w:rsidR="009C217B">
        <w:t>.</w:t>
      </w:r>
      <w:r w:rsidR="00643C24">
        <w:t xml:space="preserve"> However, TLG respondents </w:t>
      </w:r>
      <w:r w:rsidR="00386833">
        <w:t xml:space="preserve">were universally in favour of replacing the existing </w:t>
      </w:r>
      <w:r w:rsidR="00386833" w:rsidRPr="00C75DD3">
        <w:t xml:space="preserve">unwanted emission limits with those set out in recent 3GPP standards. </w:t>
      </w:r>
    </w:p>
    <w:p w14:paraId="3376F497" w14:textId="295C042A" w:rsidR="009C217B" w:rsidRPr="00A506F3" w:rsidRDefault="00386833" w:rsidP="00AC3F18">
      <w:pPr>
        <w:pStyle w:val="Paragraphbeforelist"/>
        <w:spacing w:before="120" w:after="120" w:line="240" w:lineRule="auto"/>
      </w:pPr>
      <w:r w:rsidRPr="00623E98">
        <w:t xml:space="preserve">While the ACMA sees the obvious </w:t>
      </w:r>
      <w:r w:rsidR="00F563B4" w:rsidRPr="00623E98">
        <w:t>flexibility benefits of</w:t>
      </w:r>
      <w:r w:rsidRPr="00623E98">
        <w:t xml:space="preserve"> this proposal, it can’t come at the expense of increased interference</w:t>
      </w:r>
      <w:r w:rsidR="00F563B4" w:rsidRPr="00623E98">
        <w:t xml:space="preserve"> potential</w:t>
      </w:r>
      <w:r w:rsidRPr="00623E98">
        <w:t xml:space="preserve"> to services operating on adjacent or near-adjacent frequencies. One </w:t>
      </w:r>
      <w:r w:rsidR="00AE6017" w:rsidRPr="00623E98">
        <w:t xml:space="preserve">submission suggested that the current limits are too stringent for 5G deployments – again </w:t>
      </w:r>
      <w:r w:rsidR="00F72C2E" w:rsidRPr="00623E98">
        <w:t xml:space="preserve">in principle </w:t>
      </w:r>
      <w:r w:rsidR="00983F64" w:rsidRPr="00623E98">
        <w:t>there seems to be some logic in this,</w:t>
      </w:r>
      <w:r w:rsidR="00AE6017" w:rsidRPr="00623E98">
        <w:t xml:space="preserve"> any relaxation must be considered against any increased protection level.</w:t>
      </w:r>
      <w:r w:rsidR="00F72C2E" w:rsidRPr="00623E98">
        <w:t xml:space="preserve"> So w</w:t>
      </w:r>
      <w:r w:rsidR="00F563B4" w:rsidRPr="00623E98">
        <w:t>e took the view that, as a starting point, we would endeavour to base</w:t>
      </w:r>
      <w:r w:rsidR="00F72C2E" w:rsidRPr="00623E98">
        <w:t xml:space="preserve"> unwanted emission limits </w:t>
      </w:r>
      <w:r w:rsidR="00983F64" w:rsidRPr="00623E98">
        <w:t>on</w:t>
      </w:r>
      <w:r w:rsidR="00F72C2E" w:rsidRPr="00623E98">
        <w:t xml:space="preserve"> </w:t>
      </w:r>
      <w:r w:rsidR="00F563B4" w:rsidRPr="00623E98">
        <w:t xml:space="preserve">those set out in </w:t>
      </w:r>
      <w:r w:rsidR="00F72C2E" w:rsidRPr="00623E98">
        <w:t xml:space="preserve">38 series standards, </w:t>
      </w:r>
      <w:r w:rsidR="00F563B4" w:rsidRPr="00623E98">
        <w:t>subject to consideration of the potential impact on near/</w:t>
      </w:r>
      <w:r w:rsidR="00F72C2E" w:rsidRPr="00623E98">
        <w:t xml:space="preserve">adjacent </w:t>
      </w:r>
      <w:r w:rsidR="00F563B4" w:rsidRPr="00623E98">
        <w:t xml:space="preserve">frequency </w:t>
      </w:r>
      <w:r w:rsidR="00F72C2E" w:rsidRPr="00623E98">
        <w:t>services</w:t>
      </w:r>
      <w:r w:rsidR="00F563B4" w:rsidRPr="00623E98">
        <w:t xml:space="preserve"> (this additional consideration necessitated delaying reporting these outcomes to the TLG in the 2</w:t>
      </w:r>
      <w:r w:rsidR="00F563B4" w:rsidRPr="00623E98">
        <w:rPr>
          <w:vertAlign w:val="superscript"/>
        </w:rPr>
        <w:t>nd</w:t>
      </w:r>
      <w:r w:rsidR="00F563B4" w:rsidRPr="00623E98">
        <w:t xml:space="preserve"> version of the TLG paper)</w:t>
      </w:r>
      <w:r w:rsidR="00F72C2E" w:rsidRPr="00623E98">
        <w:t>.</w:t>
      </w:r>
      <w:r w:rsidR="00F563B4" w:rsidRPr="00C75DD3">
        <w:t xml:space="preserve"> </w:t>
      </w:r>
      <w:r w:rsidR="00F72C2E" w:rsidRPr="00C75DD3">
        <w:t xml:space="preserve">  </w:t>
      </w:r>
    </w:p>
    <w:p w14:paraId="65EF1F53" w14:textId="06ECC11B" w:rsidR="0025299A" w:rsidRDefault="008C203A" w:rsidP="00C75DD3">
      <w:pPr>
        <w:pStyle w:val="Paragraphbeforelist"/>
        <w:spacing w:before="120" w:after="120" w:line="240" w:lineRule="auto"/>
      </w:pPr>
      <w:r>
        <w:t>The 2</w:t>
      </w:r>
      <w:r w:rsidRPr="008F390D">
        <w:rPr>
          <w:vertAlign w:val="superscript"/>
        </w:rPr>
        <w:t>nd</w:t>
      </w:r>
      <w:r>
        <w:t xml:space="preserve"> TLG paper</w:t>
      </w:r>
      <w:r w:rsidR="00F563B4" w:rsidRPr="00C75DD3">
        <w:t xml:space="preserve"> proposed that 3GPP OOB (spurious and non-spurious) emissions </w:t>
      </w:r>
      <w:r w:rsidR="00C75DD3">
        <w:t>as specified in the standard</w:t>
      </w:r>
      <w:r w:rsidR="00C75DD3" w:rsidRPr="00C75DD3">
        <w:t xml:space="preserve"> </w:t>
      </w:r>
      <w:r w:rsidR="00F563B4" w:rsidRPr="00C75DD3">
        <w:t>can be adopted</w:t>
      </w:r>
      <w:r w:rsidR="00F563B4" w:rsidRPr="00A506F3">
        <w:t xml:space="preserve">, but </w:t>
      </w:r>
      <w:r w:rsidR="0025299A" w:rsidRPr="00C75DD3">
        <w:t xml:space="preserve">with </w:t>
      </w:r>
      <w:r w:rsidR="00F563B4" w:rsidRPr="00C75DD3">
        <w:t>no additional allowance for AAS (</w:t>
      </w:r>
      <w:r w:rsidR="0025299A" w:rsidRPr="00C75DD3">
        <w:t xml:space="preserve">as mentioned above, </w:t>
      </w:r>
      <w:r w:rsidR="00F563B4" w:rsidRPr="00C75DD3">
        <w:t>the additional allowance is being made for in-band, but not out-of-band)</w:t>
      </w:r>
      <w:r w:rsidR="0025299A" w:rsidRPr="00C75DD3">
        <w:t>. T</w:t>
      </w:r>
      <w:r w:rsidR="00F563B4" w:rsidRPr="00C75DD3">
        <w:t xml:space="preserve">his measure </w:t>
      </w:r>
      <w:r>
        <w:t>was proposed in order to</w:t>
      </w:r>
      <w:r w:rsidRPr="00C75DD3">
        <w:t xml:space="preserve"> </w:t>
      </w:r>
      <w:r w:rsidR="0025299A" w:rsidRPr="00C75DD3">
        <w:t>mitigate the risk of</w:t>
      </w:r>
      <w:r w:rsidR="00F563B4" w:rsidRPr="00C75DD3">
        <w:t xml:space="preserve"> </w:t>
      </w:r>
      <w:r w:rsidR="0025299A" w:rsidRPr="00C75DD3">
        <w:t>interference and/or spectrum denial to other licenced (or prospective licenced) services while still providing a migration path to NR technologies. It also align</w:t>
      </w:r>
      <w:r>
        <w:t>ed</w:t>
      </w:r>
      <w:r w:rsidR="0025299A" w:rsidRPr="00C75DD3">
        <w:t xml:space="preserve"> with arrangements being considered in Europe</w:t>
      </w:r>
      <w:r w:rsidR="00F563B4" w:rsidRPr="00C75DD3">
        <w:t xml:space="preserve"> </w:t>
      </w:r>
      <w:r w:rsidR="0025299A" w:rsidRPr="00C75DD3">
        <w:t>(see ECC</w:t>
      </w:r>
      <w:r w:rsidR="0025299A">
        <w:t xml:space="preserve"> report 297) </w:t>
      </w:r>
      <w:r w:rsidR="00F563B4">
        <w:t xml:space="preserve">where </w:t>
      </w:r>
      <w:r w:rsidR="00C75DD3">
        <w:t>it has been assessed that established compatibility between LTE and adjacent services can be extended to NR (although this is specifically in the context of coexistence with &gt;960 MHz aeronautical services) – this assessment does not however extend to NR with an additional OOBE allowance for AAS.</w:t>
      </w:r>
      <w:r w:rsidR="00F563B4">
        <w:t xml:space="preserve"> </w:t>
      </w:r>
    </w:p>
    <w:p w14:paraId="5106FBD9" w14:textId="43B8EF3E" w:rsidR="008C203A" w:rsidRDefault="008C203A" w:rsidP="00C75DD3">
      <w:pPr>
        <w:pStyle w:val="Paragraphbeforelist"/>
        <w:spacing w:before="120" w:after="120" w:line="240" w:lineRule="auto"/>
      </w:pPr>
      <w:r>
        <w:t>Responses to the 2</w:t>
      </w:r>
      <w:r w:rsidRPr="008F390D">
        <w:rPr>
          <w:vertAlign w:val="superscript"/>
        </w:rPr>
        <w:t>nd</w:t>
      </w:r>
      <w:r>
        <w:t xml:space="preserve"> TLG paper were in favour of providing the additional allowance for active antenna systems and the ACMA </w:t>
      </w:r>
      <w:r w:rsidR="00AD20B6">
        <w:t xml:space="preserve">has </w:t>
      </w:r>
      <w:r>
        <w:t xml:space="preserve">considered the potential impact of doing so. The ACMA </w:t>
      </w:r>
      <w:r w:rsidR="00080113">
        <w:t>notes</w:t>
      </w:r>
      <w:r>
        <w:t xml:space="preserve"> that:</w:t>
      </w:r>
    </w:p>
    <w:p w14:paraId="67EB4338" w14:textId="4EA9760D" w:rsidR="008C203A" w:rsidRPr="00544B0C" w:rsidRDefault="008C203A" w:rsidP="008C203A">
      <w:pPr>
        <w:pStyle w:val="Bulletlevel1last"/>
        <w:spacing w:before="120" w:after="120" w:line="240" w:lineRule="auto"/>
      </w:pPr>
      <w:r>
        <w:t xml:space="preserve">Coexistence with aeronautical services operating above 960 MHz cannot be assured if the additional allowance is provided. Even though distance measuring equipment (DME) ground transponders could, in practice, be coordinated against </w:t>
      </w:r>
      <w:r w:rsidR="00345A2B">
        <w:t>using</w:t>
      </w:r>
      <w:r>
        <w:t xml:space="preserve"> the higher OOBE for AAS, aircraft receive the </w:t>
      </w:r>
      <w:proofErr w:type="spellStart"/>
      <w:r>
        <w:t>transponded</w:t>
      </w:r>
      <w:proofErr w:type="spellEnd"/>
      <w:r>
        <w:t xml:space="preserve"> signal on near-adjacent frequencies to the 960 MHz boundary and clearly cannot be coordinated against. Protection of aeronautical radionavigation services has a safety imperative and must be able to be assured when making any planning arrangements.</w:t>
      </w:r>
    </w:p>
    <w:p w14:paraId="477EA9F0" w14:textId="3FA90D87" w:rsidR="008C203A" w:rsidRDefault="008C203A" w:rsidP="008C203A">
      <w:pPr>
        <w:pStyle w:val="Bulletlevel1"/>
        <w:spacing w:before="120" w:after="120" w:line="240" w:lineRule="auto"/>
      </w:pPr>
      <w:r>
        <w:t xml:space="preserve">Other adjacent and near-adjacent frequency services can either be coordinated against </w:t>
      </w:r>
      <w:r w:rsidR="009148AF">
        <w:t>(</w:t>
      </w:r>
      <w:proofErr w:type="spellStart"/>
      <w:r w:rsidR="009148AF">
        <w:t>eg.</w:t>
      </w:r>
      <w:proofErr w:type="spellEnd"/>
      <w:r w:rsidR="009148AF">
        <w:t xml:space="preserve"> TLMS, fixed links) or are not afforded protection (</w:t>
      </w:r>
      <w:proofErr w:type="spellStart"/>
      <w:r w:rsidR="009148AF">
        <w:t>eg.</w:t>
      </w:r>
      <w:proofErr w:type="spellEnd"/>
      <w:r w:rsidR="009148AF">
        <w:t xml:space="preserve"> LIPD services). The former will have first-in-time status for coordination purposes so existing TLMS and fixed services would be unaffected by the additional TRP allowance for AAS. The extra allowance would, however, potentially pose some spectrum denial for prospective future assignments under these services. </w:t>
      </w:r>
      <w:r w:rsidR="00080113">
        <w:t>T</w:t>
      </w:r>
      <w:r w:rsidR="009148AF">
        <w:t>he ACMA is of the view that the benefit of the additional OOBE allowance for AAS outweighs the potential spectrum denial for future TLMS and fixed link assignments.</w:t>
      </w:r>
    </w:p>
    <w:p w14:paraId="2851DF2B" w14:textId="3D4AC274" w:rsidR="008C203A" w:rsidRDefault="009148AF" w:rsidP="008F390D">
      <w:pPr>
        <w:pStyle w:val="Bulletlevel1"/>
        <w:numPr>
          <w:ilvl w:val="0"/>
          <w:numId w:val="0"/>
        </w:numPr>
        <w:spacing w:before="120" w:after="120" w:line="240" w:lineRule="auto"/>
      </w:pPr>
      <w:r>
        <w:lastRenderedPageBreak/>
        <w:t xml:space="preserve">With the above in mind, the proposed OOBE limits </w:t>
      </w:r>
      <w:r w:rsidR="00146AF9">
        <w:t xml:space="preserve">(spurious and non-spurious) </w:t>
      </w:r>
      <w:r>
        <w:t>have been amended so that an additional 9 dB per-sector TRP will be permitted</w:t>
      </w:r>
      <w:r w:rsidR="00146AF9">
        <w:t>, except for</w:t>
      </w:r>
      <w:r w:rsidR="00357B4B">
        <w:t xml:space="preserve"> non-spurious</w:t>
      </w:r>
      <w:r w:rsidR="00146AF9">
        <w:t xml:space="preserve"> emissions above the 960 MHz boundary. In practice, noting that the spurious domain commences at 10 MHz from the band-edge, this means that the additional allowance will be afforded for all frequencies except 960-970 </w:t>
      </w:r>
      <w:proofErr w:type="spellStart"/>
      <w:r w:rsidR="00146AF9">
        <w:t>MHz.</w:t>
      </w:r>
      <w:proofErr w:type="spellEnd"/>
      <w:r w:rsidR="00146AF9">
        <w:t xml:space="preserve"> </w:t>
      </w:r>
    </w:p>
    <w:p w14:paraId="651E376E" w14:textId="38AC26CE" w:rsidR="00F563B4" w:rsidRDefault="00146AF9" w:rsidP="00623E98">
      <w:pPr>
        <w:spacing w:after="0" w:line="240" w:lineRule="auto"/>
      </w:pPr>
      <w:r>
        <w:t>While this may affect operators licen</w:t>
      </w:r>
      <w:r w:rsidR="00080113">
        <w:t>s</w:t>
      </w:r>
      <w:r>
        <w:t>ed to the upper-900 MHz channels, i</w:t>
      </w:r>
      <w:r w:rsidR="00C75DD3">
        <w:t xml:space="preserve">t is important to note that this is not intended to preclude AAS use in </w:t>
      </w:r>
      <w:r w:rsidR="00703B97">
        <w:t>those frequencies</w:t>
      </w:r>
      <w:r w:rsidR="00C75DD3">
        <w:t xml:space="preserve"> – again the extra allowance is afforded to in-band emissions and we intend to express the </w:t>
      </w:r>
      <w:r w:rsidR="00F563B4">
        <w:t>OOBE as TRP</w:t>
      </w:r>
      <w:r w:rsidR="00C75DD3">
        <w:t xml:space="preserve"> in the core conditions. It just means that higher power (</w:t>
      </w:r>
      <w:proofErr w:type="spellStart"/>
      <w:r w:rsidR="00C75DD3">
        <w:t>eg.</w:t>
      </w:r>
      <w:proofErr w:type="spellEnd"/>
      <w:r w:rsidR="00496047">
        <w:t xml:space="preserve"> </w:t>
      </w:r>
      <w:r w:rsidR="00C75DD3">
        <w:t>macro) base stations already operating at/near peak OOBE limits would need to implement additional filtering</w:t>
      </w:r>
      <w:r w:rsidR="00703B97">
        <w:t xml:space="preserve"> at 960 MHz</w:t>
      </w:r>
      <w:r w:rsidR="00C75DD3">
        <w:t xml:space="preserve"> if they were to introduce AAS. Lower power base stations operating below the permitted OOBE limits would be able to migrate to AAS without implementing such measures, so long as the specific maximum OOB TRP is observed.</w:t>
      </w:r>
      <w:r w:rsidR="00703B97">
        <w:t xml:space="preserve"> It follows that in urban areas, where networks are dimensioned for capacity (</w:t>
      </w:r>
      <w:proofErr w:type="spellStart"/>
      <w:r w:rsidR="00703B97">
        <w:t>ie</w:t>
      </w:r>
      <w:proofErr w:type="spellEnd"/>
      <w:r w:rsidR="00703B97">
        <w:t xml:space="preserve">. more likely to use lower power base stations) and the capacity benefits of AAS (when configured for MIMO) are potentially useful, </w:t>
      </w:r>
      <w:r w:rsidR="001E6E36">
        <w:t xml:space="preserve">it seems likely that </w:t>
      </w:r>
      <w:r w:rsidR="00703B97">
        <w:t xml:space="preserve">these measures </w:t>
      </w:r>
      <w:r w:rsidR="001E6E36">
        <w:t>will</w:t>
      </w:r>
      <w:r w:rsidR="00703B97">
        <w:t xml:space="preserve"> not significantly constrain AAS deployments in those areas.</w:t>
      </w:r>
    </w:p>
    <w:p w14:paraId="5574F696" w14:textId="6B64D06F" w:rsidR="00777B8A" w:rsidRDefault="00777B8A" w:rsidP="00623E98">
      <w:pPr>
        <w:spacing w:after="0" w:line="240" w:lineRule="auto"/>
      </w:pPr>
    </w:p>
    <w:p w14:paraId="7D991CA2" w14:textId="2166A499" w:rsidR="004C5814" w:rsidRPr="00623E98" w:rsidRDefault="005E6D33"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rPr>
      </w:pPr>
      <w:r w:rsidRPr="00623E98">
        <w:rPr>
          <w:b/>
        </w:rPr>
        <w:t>Proposed</w:t>
      </w:r>
      <w:r w:rsidR="00AE6017" w:rsidRPr="00623E98">
        <w:rPr>
          <w:b/>
        </w:rPr>
        <w:t xml:space="preserve"> </w:t>
      </w:r>
      <w:r w:rsidR="00AC3F18" w:rsidRPr="00623E98">
        <w:rPr>
          <w:b/>
        </w:rPr>
        <w:t xml:space="preserve">non-spurious unwanted emissions outside the 850 MHz and 900 MHz bands are </w:t>
      </w:r>
      <w:r w:rsidRPr="00623E98">
        <w:rPr>
          <w:b/>
        </w:rPr>
        <w:t>contained in Tables</w:t>
      </w:r>
      <w:r w:rsidR="00AC3F18" w:rsidRPr="00623E98">
        <w:rPr>
          <w:b/>
        </w:rPr>
        <w:t xml:space="preserve"> </w:t>
      </w:r>
      <w:r w:rsidR="002760C0" w:rsidRPr="00623E98">
        <w:rPr>
          <w:b/>
          <w:bCs/>
        </w:rPr>
        <w:t>1 and 3 of Attachment A</w:t>
      </w:r>
    </w:p>
    <w:p w14:paraId="16B58F73" w14:textId="79C550A1" w:rsidR="00983F64" w:rsidRPr="00623E98" w:rsidRDefault="005E6D33" w:rsidP="00983F6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bCs/>
        </w:rPr>
      </w:pPr>
      <w:r w:rsidRPr="00623E98">
        <w:rPr>
          <w:b/>
          <w:bCs/>
        </w:rPr>
        <w:t>Proposed</w:t>
      </w:r>
      <w:r w:rsidR="00AC3F18" w:rsidRPr="00623E98">
        <w:rPr>
          <w:b/>
          <w:bCs/>
        </w:rPr>
        <w:t xml:space="preserve"> spurious unwanted emissions outside the 850 MHz and 900 MHz bands are </w:t>
      </w:r>
      <w:r w:rsidRPr="00623E98">
        <w:rPr>
          <w:b/>
          <w:bCs/>
        </w:rPr>
        <w:t xml:space="preserve">contained in Tables </w:t>
      </w:r>
      <w:r w:rsidR="00E733F2" w:rsidRPr="00623E98">
        <w:rPr>
          <w:b/>
          <w:bCs/>
        </w:rPr>
        <w:t>2</w:t>
      </w:r>
      <w:r w:rsidR="00406127" w:rsidRPr="00623E98">
        <w:rPr>
          <w:b/>
          <w:bCs/>
        </w:rPr>
        <w:t>, 4</w:t>
      </w:r>
      <w:r w:rsidR="00E733F2" w:rsidRPr="00623E98">
        <w:rPr>
          <w:b/>
          <w:bCs/>
        </w:rPr>
        <w:t xml:space="preserve"> and </w:t>
      </w:r>
      <w:r w:rsidR="00406127" w:rsidRPr="00623E98">
        <w:rPr>
          <w:b/>
          <w:bCs/>
        </w:rPr>
        <w:t>5</w:t>
      </w:r>
      <w:r w:rsidR="00E733F2" w:rsidRPr="00623E98">
        <w:rPr>
          <w:b/>
          <w:bCs/>
        </w:rPr>
        <w:t xml:space="preserve"> of Attachment A. </w:t>
      </w:r>
    </w:p>
    <w:p w14:paraId="51B7E162" w14:textId="77777777" w:rsidR="00C75DD3" w:rsidRDefault="00C75DD3" w:rsidP="0071460B">
      <w:pPr>
        <w:rPr>
          <w:rFonts w:cs="Arial"/>
          <w:b/>
          <w:szCs w:val="26"/>
        </w:rPr>
      </w:pPr>
    </w:p>
    <w:p w14:paraId="0FF3F4F1" w14:textId="127C9DA1" w:rsidR="00325F8F" w:rsidRPr="00983F64" w:rsidRDefault="00A51BD8" w:rsidP="0071460B">
      <w:r w:rsidRPr="00983F64">
        <w:rPr>
          <w:rFonts w:cs="Arial"/>
          <w:b/>
          <w:szCs w:val="26"/>
        </w:rPr>
        <w:t xml:space="preserve">Other </w:t>
      </w:r>
      <w:r w:rsidR="001D5B44" w:rsidRPr="00983F64">
        <w:rPr>
          <w:rFonts w:cs="Arial"/>
          <w:b/>
          <w:szCs w:val="26"/>
        </w:rPr>
        <w:t>c</w:t>
      </w:r>
      <w:r w:rsidRPr="00983F64">
        <w:rPr>
          <w:rFonts w:cs="Arial"/>
          <w:b/>
          <w:szCs w:val="26"/>
        </w:rPr>
        <w:t>onditions of the licence</w:t>
      </w:r>
    </w:p>
    <w:p w14:paraId="65AF099A" w14:textId="70408090" w:rsidR="003B7B8C" w:rsidRPr="00582A96" w:rsidRDefault="003B7B8C">
      <w:pPr>
        <w:spacing w:before="120" w:after="120" w:line="240" w:lineRule="auto"/>
      </w:pPr>
      <w:r w:rsidRPr="00983F64">
        <w:t xml:space="preserve">It </w:t>
      </w:r>
      <w:r w:rsidR="00582A96" w:rsidRPr="00D3250D">
        <w:t xml:space="preserve">was initially </w:t>
      </w:r>
      <w:r w:rsidRPr="00582A96">
        <w:t xml:space="preserve">proposed that spectrum licences would be </w:t>
      </w:r>
      <w:r w:rsidR="00A96A66" w:rsidRPr="00582A96">
        <w:t xml:space="preserve">subject to </w:t>
      </w:r>
      <w:r w:rsidR="00FC3E3D" w:rsidRPr="00582A96">
        <w:t xml:space="preserve">most (if not all) of the </w:t>
      </w:r>
      <w:r w:rsidR="00A96A66" w:rsidRPr="00582A96">
        <w:t>existing conditions on</w:t>
      </w:r>
      <w:r w:rsidR="006A4D28" w:rsidRPr="00582A96">
        <w:t xml:space="preserve"> the current</w:t>
      </w:r>
      <w:r w:rsidR="00A96A66" w:rsidRPr="00582A96">
        <w:t xml:space="preserve"> </w:t>
      </w:r>
      <w:r w:rsidR="00C35258" w:rsidRPr="00582A96">
        <w:t>800 MHz</w:t>
      </w:r>
      <w:r w:rsidR="00A96A66" w:rsidRPr="00582A96">
        <w:t xml:space="preserve"> and 700 MHz spectrum licences</w:t>
      </w:r>
      <w:r w:rsidR="00BB72C0" w:rsidRPr="00582A96">
        <w:t xml:space="preserve"> that are also relevant to the 850 MHz expansion and 900 MHz band</w:t>
      </w:r>
      <w:r w:rsidR="00A96A66" w:rsidRPr="00582A96">
        <w:t>.</w:t>
      </w:r>
      <w:r w:rsidR="00582A96">
        <w:t xml:space="preserve"> Submissions recommended updating elements of the technical framework to reflect contemporary standards.</w:t>
      </w:r>
    </w:p>
    <w:p w14:paraId="0B74D23A" w14:textId="48148EDC" w:rsidR="00F422C3" w:rsidRDefault="00F422C3">
      <w:pPr>
        <w:spacing w:before="120" w:after="120" w:line="240" w:lineRule="auto"/>
      </w:pPr>
      <w:r w:rsidRPr="00582A96">
        <w:t xml:space="preserve">It is also proposed to include a licence condition to protect incumbent services during the reallocation period. Proposed protection requirements are further discussed in the </w:t>
      </w:r>
      <w:r w:rsidRPr="00D3250D">
        <w:rPr>
          <w:i/>
          <w:iCs/>
          <w:highlight w:val="yellow"/>
        </w:rPr>
        <w:fldChar w:fldCharType="begin"/>
      </w:r>
      <w:r w:rsidRPr="00582A96">
        <w:rPr>
          <w:i/>
          <w:iCs/>
        </w:rPr>
        <w:instrText xml:space="preserve"> REF _Ref57971818 \h  \* MERGEFORMAT </w:instrText>
      </w:r>
      <w:r w:rsidRPr="00D3250D">
        <w:rPr>
          <w:i/>
          <w:iCs/>
          <w:highlight w:val="yellow"/>
        </w:rPr>
      </w:r>
      <w:r w:rsidRPr="00D3250D">
        <w:rPr>
          <w:i/>
          <w:iCs/>
          <w:highlight w:val="yellow"/>
        </w:rPr>
        <w:fldChar w:fldCharType="separate"/>
      </w:r>
      <w:r w:rsidR="00AC415B" w:rsidRPr="00AC415B">
        <w:rPr>
          <w:i/>
          <w:iCs/>
        </w:rPr>
        <w:t>Radiocommunications advisory guidelines (RAGs)</w:t>
      </w:r>
      <w:r w:rsidRPr="00D3250D">
        <w:rPr>
          <w:i/>
          <w:iCs/>
          <w:highlight w:val="yellow"/>
        </w:rPr>
        <w:fldChar w:fldCharType="end"/>
      </w:r>
      <w:r w:rsidRPr="00582A96">
        <w:t xml:space="preserve"> section.</w:t>
      </w:r>
    </w:p>
    <w:p w14:paraId="4042D22A" w14:textId="77777777" w:rsidR="006D1049" w:rsidRDefault="006D1049" w:rsidP="0071460B">
      <w:pPr>
        <w:spacing w:before="120" w:after="120" w:line="240" w:lineRule="auto"/>
      </w:pPr>
    </w:p>
    <w:p w14:paraId="07CCDDC3" w14:textId="341D6D5C" w:rsidR="00A51BD8" w:rsidRDefault="00582A96"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bCs/>
          <w:iCs/>
          <w:sz w:val="28"/>
          <w:szCs w:val="28"/>
        </w:rPr>
      </w:pPr>
      <w:r>
        <w:rPr>
          <w:b/>
          <w:bCs/>
        </w:rPr>
        <w:t>It is proposed that licence conditions, including guidelines, statutory and other conditions will be updated to reflect contemporary standards.</w:t>
      </w:r>
      <w:r w:rsidR="00A51BD8">
        <w:br w:type="page"/>
      </w:r>
    </w:p>
    <w:p w14:paraId="6E4FE830" w14:textId="7F03C2A4" w:rsidR="00A51BD8" w:rsidRDefault="00A51BD8" w:rsidP="0071460B">
      <w:pPr>
        <w:pStyle w:val="Heading2"/>
        <w:spacing w:before="120" w:after="120" w:line="240" w:lineRule="auto"/>
      </w:pPr>
      <w:bookmarkStart w:id="21" w:name="_Toc65674882"/>
      <w:r>
        <w:lastRenderedPageBreak/>
        <w:t>Unacceptable levels of interference</w:t>
      </w:r>
      <w:r w:rsidR="000B193F">
        <w:t xml:space="preserve"> (s.145 determination)</w:t>
      </w:r>
      <w:bookmarkEnd w:id="21"/>
    </w:p>
    <w:p w14:paraId="61D96B0A" w14:textId="40A98819" w:rsidR="00A61960" w:rsidRPr="00544B0C" w:rsidRDefault="00A61960" w:rsidP="0071460B">
      <w:pPr>
        <w:pStyle w:val="Paragraphbeforelist"/>
        <w:spacing w:before="120" w:after="120" w:line="240" w:lineRule="auto"/>
      </w:pPr>
      <w:r w:rsidRPr="00544B0C">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r w:rsidR="00B055EB">
        <w:t>s</w:t>
      </w:r>
      <w:r w:rsidRPr="00544B0C">
        <w:t>.</w:t>
      </w:r>
    </w:p>
    <w:p w14:paraId="6CEC50BF" w14:textId="77777777" w:rsidR="00A61960" w:rsidRPr="00544B0C" w:rsidRDefault="00A61960" w:rsidP="0071460B">
      <w:pPr>
        <w:pStyle w:val="Paragraphbeforelist"/>
        <w:spacing w:before="120" w:after="120" w:line="240" w:lineRule="auto"/>
      </w:pPr>
      <w:r w:rsidRPr="00544B0C">
        <w:t>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make a determination (referred to as a section 145 determination) that sets out what is considered unacceptable levels of interference for each spectrum-licensed band.</w:t>
      </w:r>
    </w:p>
    <w:p w14:paraId="40E2A1BA" w14:textId="77777777" w:rsidR="00A61960" w:rsidRPr="00544B0C" w:rsidRDefault="00A61960" w:rsidP="0071460B">
      <w:pPr>
        <w:pStyle w:val="Paragraphbeforelist"/>
        <w:spacing w:before="120" w:after="120" w:line="240" w:lineRule="auto"/>
      </w:pPr>
      <w:r w:rsidRPr="00544B0C">
        <w:t>A section 145 determination sets out the circumstances in which devices are deemed to cause unacceptable levels of interference. These circumstances typically include:</w:t>
      </w:r>
    </w:p>
    <w:p w14:paraId="51633D9A" w14:textId="0B674C4F" w:rsidR="00A61960" w:rsidRPr="00544B0C" w:rsidRDefault="00A61960" w:rsidP="0071460B">
      <w:pPr>
        <w:pStyle w:val="Bulletlevel1"/>
        <w:spacing w:before="120" w:after="120" w:line="240" w:lineRule="auto"/>
      </w:pPr>
      <w:r w:rsidRPr="00544B0C">
        <w:t>if the levels of emissions from a device at the geographical boundary of a licence exceed a defined level;</w:t>
      </w:r>
      <w:r w:rsidR="005C402E">
        <w:t xml:space="preserve"> or</w:t>
      </w:r>
    </w:p>
    <w:p w14:paraId="673F1F66" w14:textId="2B29087B" w:rsidR="00A61960" w:rsidRPr="00544B0C" w:rsidRDefault="00A61960" w:rsidP="0071460B">
      <w:pPr>
        <w:pStyle w:val="Bulletlevel1last"/>
        <w:spacing w:before="120" w:after="120" w:line="240" w:lineRule="auto"/>
      </w:pPr>
      <w:r w:rsidRPr="00544B0C">
        <w:t xml:space="preserve">if the operation of the transmitter will cause a breach of a core condition of the licence; </w:t>
      </w:r>
      <w:r w:rsidR="005C402E">
        <w:t>or</w:t>
      </w:r>
    </w:p>
    <w:p w14:paraId="72A949C1" w14:textId="61E5446E" w:rsidR="00A51BD8" w:rsidRDefault="00A61960">
      <w:pPr>
        <w:pStyle w:val="Bulletlevel1"/>
        <w:spacing w:before="120" w:after="120" w:line="240" w:lineRule="auto"/>
      </w:pPr>
      <w:r w:rsidRPr="00544B0C">
        <w:t>if the deployment of the device is outside any deployment constraints defined for the band</w:t>
      </w:r>
      <w:r w:rsidR="000068BE">
        <w:t>.</w:t>
      </w:r>
    </w:p>
    <w:p w14:paraId="297FDC24" w14:textId="670BB6D3" w:rsidR="00233E3B" w:rsidRDefault="00233E3B" w:rsidP="000068BE">
      <w:pPr>
        <w:pStyle w:val="Bulletlevel1"/>
        <w:numPr>
          <w:ilvl w:val="0"/>
          <w:numId w:val="0"/>
        </w:numPr>
        <w:spacing w:before="120" w:after="120" w:line="240" w:lineRule="auto"/>
      </w:pPr>
      <w:r>
        <w:t xml:space="preserve">It is proposed that, as a result of the TLG, the current 850 MHz s.145 determination will be updated, and a new s.145 determination will be made for the 900 MHz band. </w:t>
      </w:r>
    </w:p>
    <w:p w14:paraId="2F2763CB" w14:textId="0AF54184" w:rsidR="00416911" w:rsidRDefault="000068BE" w:rsidP="000068BE">
      <w:pPr>
        <w:pStyle w:val="Bulletlevel1"/>
        <w:numPr>
          <w:ilvl w:val="0"/>
          <w:numId w:val="0"/>
        </w:numPr>
        <w:spacing w:before="120" w:after="120" w:line="240" w:lineRule="auto"/>
      </w:pPr>
      <w:r>
        <w:t xml:space="preserve">Under normal circumstances, a TLG will consider relevant elements of the device boundary criteria (DBC) to be reflected in the s.145 determination. This </w:t>
      </w:r>
      <w:r w:rsidR="00FF1808">
        <w:t>usually</w:t>
      </w:r>
      <w:r>
        <w:t xml:space="preserve"> include</w:t>
      </w:r>
      <w:r w:rsidR="00FF1808">
        <w:t>s</w:t>
      </w:r>
      <w:r>
        <w:t xml:space="preserve"> definitions and/or calculations of system models, propagation models and device levels of protection (LOP) that underpin the DBC.</w:t>
      </w:r>
      <w:r w:rsidR="00CC70F6">
        <w:t xml:space="preserve"> </w:t>
      </w:r>
    </w:p>
    <w:p w14:paraId="337F0CCC" w14:textId="2387A737" w:rsidR="000068BE" w:rsidRDefault="00CC70F6" w:rsidP="000068BE">
      <w:pPr>
        <w:pStyle w:val="Bulletlevel1"/>
        <w:numPr>
          <w:ilvl w:val="0"/>
          <w:numId w:val="0"/>
        </w:numPr>
        <w:spacing w:before="120" w:after="120" w:line="240" w:lineRule="auto"/>
      </w:pPr>
      <w:r>
        <w:t xml:space="preserve">Once again, given the pre-existence of the 850 MHz frameworks, those existing frameworks </w:t>
      </w:r>
      <w:r w:rsidR="00C27873">
        <w:t>were used</w:t>
      </w:r>
      <w:r>
        <w:t xml:space="preserve"> as a starting point for these considerations (for both the 900 MHz and 850 MHz expansion bands), rather than seeking to develop a new suite of metrics. We expect</w:t>
      </w:r>
      <w:r w:rsidR="00C27873">
        <w:t>ed</w:t>
      </w:r>
      <w:r>
        <w:t xml:space="preserve"> these to be updated somewhat </w:t>
      </w:r>
      <w:r w:rsidR="00821538">
        <w:t>through</w:t>
      </w:r>
      <w:r>
        <w:t xml:space="preserve"> the TLG process but </w:t>
      </w:r>
      <w:r w:rsidR="00821538">
        <w:t>reiterate</w:t>
      </w:r>
      <w:r w:rsidR="00C27873">
        <w:t>d</w:t>
      </w:r>
      <w:r w:rsidR="00821538">
        <w:t xml:space="preserve"> that</w:t>
      </w:r>
      <w:r w:rsidR="00FF1808">
        <w:t xml:space="preserve"> the amendment of any</w:t>
      </w:r>
      <w:r w:rsidR="00821538">
        <w:t xml:space="preserve"> values associated with </w:t>
      </w:r>
      <w:r w:rsidR="00FF1808">
        <w:t xml:space="preserve">conditions on existing </w:t>
      </w:r>
      <w:r w:rsidR="00821538">
        <w:t>850 MHz band</w:t>
      </w:r>
      <w:r w:rsidR="00FF1808">
        <w:t xml:space="preserve"> licences</w:t>
      </w:r>
      <w:r w:rsidR="00821538">
        <w:t xml:space="preserve"> </w:t>
      </w:r>
      <w:r w:rsidR="00C27873">
        <w:t xml:space="preserve">would </w:t>
      </w:r>
      <w:r w:rsidR="00821538">
        <w:t>need to be agreed by existing 850 MHz licensees.</w:t>
      </w:r>
      <w:r w:rsidR="00416911">
        <w:t xml:space="preserve"> </w:t>
      </w:r>
      <w:r w:rsidR="009D0569">
        <w:t>S</w:t>
      </w:r>
      <w:r w:rsidR="00416911">
        <w:t xml:space="preserve">ome aspects of the s.145 determination that may </w:t>
      </w:r>
      <w:r w:rsidR="009D0569">
        <w:t xml:space="preserve">require </w:t>
      </w:r>
      <w:r w:rsidR="00416911">
        <w:t xml:space="preserve">updating </w:t>
      </w:r>
      <w:r w:rsidR="009D0569">
        <w:t>were floated in the 1</w:t>
      </w:r>
      <w:r w:rsidR="009D0569" w:rsidRPr="005A5F55">
        <w:rPr>
          <w:vertAlign w:val="superscript"/>
        </w:rPr>
        <w:t>st</w:t>
      </w:r>
      <w:r w:rsidR="009D0569">
        <w:t xml:space="preserve"> </w:t>
      </w:r>
      <w:r w:rsidR="00E7416E">
        <w:t>TLG</w:t>
      </w:r>
      <w:r w:rsidR="009D0569">
        <w:t xml:space="preserve"> paper and all respondents that provided comment on these aspects were in favour</w:t>
      </w:r>
      <w:r w:rsidR="00B055EB">
        <w:t xml:space="preserve"> of:</w:t>
      </w:r>
    </w:p>
    <w:p w14:paraId="0966AEA3" w14:textId="1F8D6078" w:rsidR="009A2FA5" w:rsidRDefault="009A2FA5" w:rsidP="009A2FA5">
      <w:pPr>
        <w:pStyle w:val="Bulletlevel1"/>
        <w:spacing w:before="120" w:after="120" w:line="240" w:lineRule="auto"/>
      </w:pPr>
      <w:r>
        <w:t>updat</w:t>
      </w:r>
      <w:r w:rsidR="000928BC">
        <w:t xml:space="preserve">ing </w:t>
      </w:r>
      <w:r>
        <w:t xml:space="preserve">to </w:t>
      </w:r>
      <w:r w:rsidR="00B055EB">
        <w:t xml:space="preserve">a </w:t>
      </w:r>
      <w:r>
        <w:t>3 second digital elevation model (DEM);</w:t>
      </w:r>
    </w:p>
    <w:p w14:paraId="43283DFA" w14:textId="5AC2A895" w:rsidR="009A2FA5" w:rsidRDefault="009A2FA5" w:rsidP="009A2FA5">
      <w:pPr>
        <w:pStyle w:val="Bulletlevel1"/>
        <w:spacing w:before="120" w:after="120" w:line="240" w:lineRule="auto"/>
      </w:pPr>
      <w:r>
        <w:t>exclud</w:t>
      </w:r>
      <w:r w:rsidR="000928BC">
        <w:t>ing</w:t>
      </w:r>
      <w:r>
        <w:t xml:space="preserve"> propagation paths that lie outside the ASMG and/or territorial sea boundaries from needing to comply with DBC;</w:t>
      </w:r>
      <w:r w:rsidR="000928BC">
        <w:t xml:space="preserve"> and</w:t>
      </w:r>
    </w:p>
    <w:p w14:paraId="1761FCDD" w14:textId="258D5E0F" w:rsidR="009A2FA5" w:rsidRDefault="000928BC" w:rsidP="00E61519">
      <w:pPr>
        <w:pStyle w:val="Bulletlevel1"/>
        <w:spacing w:before="120" w:after="120" w:line="240" w:lineRule="auto"/>
      </w:pPr>
      <w:r>
        <w:t>revision of DBC calculation resolution (from 50</w:t>
      </w:r>
      <w:r w:rsidR="00DB599A">
        <w:t>0</w:t>
      </w:r>
      <w:r>
        <w:t>m down to 100m)</w:t>
      </w:r>
      <w:r w:rsidR="00C95205">
        <w:t>; and</w:t>
      </w:r>
    </w:p>
    <w:p w14:paraId="16F77485" w14:textId="5F4BC194" w:rsidR="00C95205" w:rsidRDefault="00C95205" w:rsidP="00E61519">
      <w:pPr>
        <w:pStyle w:val="Bulletlevel1"/>
        <w:spacing w:before="120" w:after="120" w:line="240" w:lineRule="auto"/>
      </w:pPr>
      <w:r>
        <w:t xml:space="preserve">revision of the definition of a transmitter </w:t>
      </w:r>
      <w:r w:rsidR="002B6222">
        <w:t xml:space="preserve">from the current definition in </w:t>
      </w:r>
      <w:r>
        <w:t>section 9(e).</w:t>
      </w:r>
    </w:p>
    <w:p w14:paraId="4CED5DB9" w14:textId="11EFF37E" w:rsidR="000928BC" w:rsidRDefault="000928BC" w:rsidP="000068BE">
      <w:pPr>
        <w:pStyle w:val="Bulletlevel1"/>
        <w:numPr>
          <w:ilvl w:val="0"/>
          <w:numId w:val="0"/>
        </w:numPr>
        <w:spacing w:before="120" w:after="120" w:line="240" w:lineRule="auto"/>
      </w:pPr>
    </w:p>
    <w:p w14:paraId="0E672EFE" w14:textId="3ABE124F" w:rsidR="000928BC" w:rsidRDefault="00E7416E"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S</w:t>
      </w:r>
      <w:r w:rsidR="009D0569">
        <w:rPr>
          <w:b/>
          <w:bCs/>
        </w:rPr>
        <w:t xml:space="preserve">ome general aspects of the s.145 determination </w:t>
      </w:r>
      <w:r>
        <w:rPr>
          <w:b/>
          <w:bCs/>
        </w:rPr>
        <w:t>have been drafted</w:t>
      </w:r>
      <w:r w:rsidR="009D0569">
        <w:rPr>
          <w:b/>
          <w:bCs/>
        </w:rPr>
        <w:t xml:space="preserve"> as follows:</w:t>
      </w:r>
    </w:p>
    <w:p w14:paraId="5CCFD80E" w14:textId="4A012049" w:rsidR="009D0569" w:rsidRDefault="009D0569"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&gt;</w:t>
      </w:r>
      <w:r>
        <w:rPr>
          <w:b/>
          <w:bCs/>
        </w:rPr>
        <w:tab/>
        <w:t>implement a 3 second digital elevation model (DEM);</w:t>
      </w:r>
    </w:p>
    <w:p w14:paraId="28405A67" w14:textId="4F8C30D0"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t>&gt;</w:t>
      </w:r>
      <w:r>
        <w:rPr>
          <w:b/>
          <w:bCs/>
        </w:rPr>
        <w:tab/>
        <w:t>exclude propagation paths that lie outside the ASMG and/or territorial sea boundaries from being required to comply with DBC;</w:t>
      </w:r>
    </w:p>
    <w:p w14:paraId="5303A690" w14:textId="43775751"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t>&gt;</w:t>
      </w:r>
      <w:r>
        <w:rPr>
          <w:b/>
          <w:bCs/>
        </w:rPr>
        <w:tab/>
        <w:t>revise DBC calculation resolution from 500m to 100m; and</w:t>
      </w:r>
    </w:p>
    <w:p w14:paraId="3337A12A" w14:textId="2564D377" w:rsidR="00AD6B0A"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b/>
          <w:bCs/>
        </w:rPr>
      </w:pPr>
      <w:r>
        <w:rPr>
          <w:b/>
          <w:bCs/>
        </w:rPr>
        <w:lastRenderedPageBreak/>
        <w:t>&gt;</w:t>
      </w:r>
      <w:r>
        <w:rPr>
          <w:b/>
          <w:bCs/>
        </w:rPr>
        <w:tab/>
        <w:t>revise the definition of a transmitter from the current definition in section 9</w:t>
      </w:r>
      <w:r w:rsidR="00AD6B0A">
        <w:rPr>
          <w:b/>
          <w:bCs/>
        </w:rPr>
        <w:t>e</w:t>
      </w:r>
      <w:r>
        <w:rPr>
          <w:b/>
          <w:bCs/>
        </w:rPr>
        <w:t xml:space="preserve"> to align with definitions in more contemporary s.145 determinations.</w:t>
      </w:r>
    </w:p>
    <w:p w14:paraId="4A03B4EC" w14:textId="77777777" w:rsidR="00AD6B0A" w:rsidRDefault="00AD6B0A" w:rsidP="000068BE">
      <w:pPr>
        <w:pStyle w:val="Paragraphbeforelist"/>
        <w:spacing w:before="120" w:after="120" w:line="240" w:lineRule="auto"/>
      </w:pPr>
    </w:p>
    <w:p w14:paraId="4D4F7307" w14:textId="3CE8CCC0" w:rsidR="000068BE" w:rsidRPr="00F164FD" w:rsidRDefault="00416911" w:rsidP="000068BE">
      <w:pPr>
        <w:pStyle w:val="Paragraphbeforelist"/>
        <w:spacing w:before="120" w:after="120" w:line="240" w:lineRule="auto"/>
      </w:pPr>
      <w:r>
        <w:t xml:space="preserve">Regarding the LOP, it </w:t>
      </w:r>
      <w:r w:rsidR="000068BE" w:rsidRPr="00F164FD">
        <w:t>is</w:t>
      </w:r>
      <w:r>
        <w:t xml:space="preserve"> generally</w:t>
      </w:r>
      <w:r w:rsidR="000068BE" w:rsidRPr="00F164FD">
        <w:t xml:space="preserve"> a compromise between the level of emissions over the geographic boundary of the licence and the anticipated protection requirements of receivers. The LOP must be met at or within the geographic boundary of the licence following the device boundary criterion methodology of the section 145 determination.</w:t>
      </w:r>
    </w:p>
    <w:p w14:paraId="7BFCBE50" w14:textId="6931A79D" w:rsidR="000068BE" w:rsidRDefault="000068BE" w:rsidP="000068BE">
      <w:pPr>
        <w:pStyle w:val="Paragraphbeforelist"/>
        <w:spacing w:before="120" w:after="120" w:line="240" w:lineRule="auto"/>
      </w:pPr>
      <w:r>
        <w:t xml:space="preserve">For the purposes of these </w:t>
      </w:r>
      <w:r w:rsidR="00B9710A">
        <w:t>frameworks and</w:t>
      </w:r>
      <w:r>
        <w:t xml:space="preserve"> </w:t>
      </w:r>
      <w:r w:rsidR="00C95205">
        <w:t>given</w:t>
      </w:r>
      <w:r>
        <w:t xml:space="preserve"> the interrelationships between the 850 MHz existing and expansion bands, it </w:t>
      </w:r>
      <w:r w:rsidR="006E1266">
        <w:t xml:space="preserve">was </w:t>
      </w:r>
      <w:r>
        <w:t xml:space="preserve">considered that the existing 850 MHz LOP </w:t>
      </w:r>
      <w:r w:rsidR="006E1266">
        <w:t xml:space="preserve">would be </w:t>
      </w:r>
      <w:r w:rsidR="000973BE">
        <w:t>a useful starting point</w:t>
      </w:r>
      <w:r>
        <w:t xml:space="preserve"> for both the 850 MHz expansion and 900 MHz band frameworks</w:t>
      </w:r>
      <w:r w:rsidR="00AD6B0A">
        <w:t>, being</w:t>
      </w:r>
      <w:r>
        <w:t>:</w:t>
      </w:r>
    </w:p>
    <w:p w14:paraId="2A1DFD0C" w14:textId="77777777" w:rsidR="000068BE" w:rsidRDefault="000068BE" w:rsidP="000068BE">
      <w:pPr>
        <w:pStyle w:val="Bulletlevel1"/>
        <w:spacing w:before="120" w:after="120" w:line="240" w:lineRule="auto"/>
      </w:pPr>
      <w:r>
        <w:t>– 111 dBm/MHz for base-transmit frequencies, and</w:t>
      </w:r>
    </w:p>
    <w:p w14:paraId="5B81841C" w14:textId="77777777" w:rsidR="000068BE" w:rsidRPr="00C82572" w:rsidRDefault="000068BE" w:rsidP="000068BE">
      <w:pPr>
        <w:pStyle w:val="Bulletlevel1"/>
        <w:spacing w:before="120" w:after="120" w:line="240" w:lineRule="auto"/>
      </w:pPr>
      <w:r>
        <w:t>– 115 dBm/MHz for base-receive frequencies.</w:t>
      </w:r>
    </w:p>
    <w:p w14:paraId="4F0D53AA" w14:textId="49BBD646" w:rsidR="000068BE" w:rsidRDefault="006E1266" w:rsidP="000068BE">
      <w:pPr>
        <w:pStyle w:val="Bulletlevel1"/>
        <w:numPr>
          <w:ilvl w:val="0"/>
          <w:numId w:val="0"/>
        </w:numPr>
        <w:spacing w:before="120" w:after="120" w:line="240" w:lineRule="auto"/>
      </w:pPr>
      <w:r>
        <w:t>Responses from TLG members</w:t>
      </w:r>
      <w:r w:rsidR="00E7416E">
        <w:t xml:space="preserve"> to the first paper</w:t>
      </w:r>
      <w:r>
        <w:t xml:space="preserve"> favoured a less stringent LOP based on current 3GPP standards, along with a separate </w:t>
      </w:r>
      <w:r w:rsidR="003B4BC9">
        <w:t xml:space="preserve">(higher) </w:t>
      </w:r>
      <w:r>
        <w:t xml:space="preserve">LOP for AAS operation. </w:t>
      </w:r>
      <w:r w:rsidR="003B4BC9">
        <w:t>The higher AAS LOP is to reflect the probabilistic nature of interference across boundaries when implementing beam-forming – 8 dB has been added to previously-developed frameworks for this purpose.</w:t>
      </w:r>
      <w:r w:rsidR="00E7416E">
        <w:t xml:space="preserve"> One respondent to the 2</w:t>
      </w:r>
      <w:r w:rsidR="00E7416E" w:rsidRPr="008F390D">
        <w:rPr>
          <w:vertAlign w:val="superscript"/>
        </w:rPr>
        <w:t>nd</w:t>
      </w:r>
      <w:r w:rsidR="00E7416E">
        <w:t xml:space="preserve"> paper amended their view and would now prefer to revert to the original level, so there is no longer universal agreement to more to the proposed new level. The ACMA notes that the majority of respondents favour the less stringent LOP, however we also note that TLG members have undertaken to work offline and propose a compromise.</w:t>
      </w:r>
    </w:p>
    <w:p w14:paraId="5F059A46" w14:textId="77777777" w:rsidR="000928BC" w:rsidRDefault="000928BC" w:rsidP="000928BC">
      <w:pPr>
        <w:pStyle w:val="Bulletlevel1"/>
        <w:numPr>
          <w:ilvl w:val="0"/>
          <w:numId w:val="0"/>
        </w:numPr>
        <w:spacing w:before="120" w:after="120" w:line="240" w:lineRule="auto"/>
      </w:pPr>
    </w:p>
    <w:p w14:paraId="74FC5FE5" w14:textId="18590663" w:rsidR="000928BC" w:rsidRPr="00D3250D" w:rsidRDefault="00E7416E" w:rsidP="000928BC">
      <w:pPr>
        <w:pBdr>
          <w:top w:val="single" w:sz="18" w:space="1" w:color="auto"/>
          <w:left w:val="single" w:sz="18" w:space="4" w:color="auto"/>
          <w:bottom w:val="single" w:sz="18" w:space="1" w:color="auto"/>
          <w:right w:val="single" w:sz="18" w:space="4" w:color="auto"/>
        </w:pBdr>
        <w:spacing w:before="120" w:after="120" w:line="240" w:lineRule="auto"/>
        <w:rPr>
          <w:b/>
          <w:i/>
        </w:rPr>
      </w:pPr>
      <w:r>
        <w:rPr>
          <w:b/>
          <w:bCs/>
        </w:rPr>
        <w:t>The</w:t>
      </w:r>
      <w:r w:rsidR="006E1266">
        <w:rPr>
          <w:b/>
          <w:bCs/>
        </w:rPr>
        <w:t xml:space="preserve"> level of protection for coexistence between spectrum licensees </w:t>
      </w:r>
      <w:r>
        <w:rPr>
          <w:b/>
          <w:bCs/>
        </w:rPr>
        <w:t>has been set to</w:t>
      </w:r>
      <w:r w:rsidR="006E1266">
        <w:rPr>
          <w:b/>
          <w:bCs/>
        </w:rPr>
        <w:t xml:space="preserve"> -100 dBm/MHz for non-AAS operation and -</w:t>
      </w:r>
      <w:r w:rsidR="00983F64" w:rsidRPr="00D3250D">
        <w:rPr>
          <w:b/>
        </w:rPr>
        <w:t>92</w:t>
      </w:r>
      <w:r w:rsidR="006E1266" w:rsidRPr="00F94071">
        <w:rPr>
          <w:b/>
          <w:bCs/>
        </w:rPr>
        <w:t>dBm/MHz for AAS operation</w:t>
      </w:r>
      <w:r w:rsidR="003B4BC9" w:rsidRPr="00F94071">
        <w:rPr>
          <w:b/>
          <w:bCs/>
        </w:rPr>
        <w:t xml:space="preserve"> </w:t>
      </w:r>
      <w:r w:rsidR="003B4BC9" w:rsidRPr="00F94071">
        <w:rPr>
          <w:b/>
          <w:bCs/>
          <w:i/>
          <w:iCs/>
        </w:rPr>
        <w:t>specifically when being used for beam-forming</w:t>
      </w:r>
      <w:r>
        <w:rPr>
          <w:b/>
          <w:bCs/>
          <w:i/>
          <w:iCs/>
        </w:rPr>
        <w:t xml:space="preserve"> </w:t>
      </w:r>
      <w:r>
        <w:rPr>
          <w:b/>
          <w:bCs/>
        </w:rPr>
        <w:t>in the draft s.145 determination. The ACMA notes that further work is being undertaken by TLG members and will consider offline prop</w:t>
      </w:r>
      <w:r w:rsidR="00641AB1">
        <w:rPr>
          <w:b/>
          <w:bCs/>
        </w:rPr>
        <w:t>osals if agreed by all potentially affected parties.</w:t>
      </w:r>
    </w:p>
    <w:p w14:paraId="10F7C6AF" w14:textId="29B4DD58" w:rsidR="000928BC" w:rsidRPr="00EC2D30" w:rsidRDefault="000928BC" w:rsidP="000928BC">
      <w:pPr>
        <w:pStyle w:val="Paragraph"/>
      </w:pPr>
    </w:p>
    <w:p w14:paraId="1ACC7EBD" w14:textId="7514B767" w:rsidR="005128CC" w:rsidRDefault="00A51BD8" w:rsidP="0071460B">
      <w:pPr>
        <w:pStyle w:val="Heading2"/>
        <w:spacing w:before="120" w:after="120" w:line="240" w:lineRule="auto"/>
      </w:pPr>
      <w:bookmarkStart w:id="22" w:name="_Ref57971818"/>
      <w:bookmarkStart w:id="23" w:name="_Toc65674883"/>
      <w:r>
        <w:t>Radiocommunications advisory guidelines</w:t>
      </w:r>
      <w:r w:rsidR="005509AE">
        <w:t xml:space="preserve"> (RAGs)</w:t>
      </w:r>
      <w:bookmarkEnd w:id="22"/>
      <w:bookmarkEnd w:id="23"/>
    </w:p>
    <w:p w14:paraId="7C96962D" w14:textId="45E3950E" w:rsidR="005128CC" w:rsidRPr="00544B0C" w:rsidRDefault="005128CC" w:rsidP="0071460B">
      <w:pPr>
        <w:spacing w:before="120" w:after="120" w:line="240" w:lineRule="auto"/>
        <w:rPr>
          <w:rFonts w:cs="Arial"/>
        </w:rPr>
      </w:pPr>
      <w:r w:rsidRPr="00544B0C">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380C2759" w14:textId="6D5FFD22" w:rsidR="005128CC" w:rsidRPr="00544B0C" w:rsidRDefault="005128CC" w:rsidP="0071460B">
      <w:pPr>
        <w:spacing w:before="120" w:after="120" w:line="240" w:lineRule="auto"/>
        <w:rPr>
          <w:rFonts w:cs="Arial"/>
        </w:rPr>
      </w:pPr>
      <w:r w:rsidRPr="00544B0C">
        <w:rPr>
          <w:rFonts w:cs="Arial"/>
        </w:rPr>
        <w:t xml:space="preserve">Generally, RAGs include provisions to help assess the possible interference between spectrum-licensed devices and services operating under spectrum, </w:t>
      </w:r>
      <w:r w:rsidR="00C95205" w:rsidRPr="00544B0C">
        <w:rPr>
          <w:rFonts w:cs="Arial"/>
        </w:rPr>
        <w:t>apparatus,</w:t>
      </w:r>
      <w:r w:rsidRPr="00544B0C">
        <w:rPr>
          <w:rFonts w:cs="Arial"/>
        </w:rPr>
        <w:t xml:space="preserve"> or class licences. Potentially affected services are identified in the RAGs to enable licensees to assess and mitigate the risk of interference between these services.</w:t>
      </w:r>
    </w:p>
    <w:p w14:paraId="454E437E" w14:textId="4D11D458" w:rsidR="007D403B" w:rsidRDefault="005128CC">
      <w:pPr>
        <w:spacing w:before="120" w:after="120" w:line="240" w:lineRule="auto"/>
        <w:rPr>
          <w:rFonts w:cs="Arial"/>
        </w:rPr>
      </w:pPr>
      <w:r w:rsidRPr="00544B0C">
        <w:rPr>
          <w:rFonts w:cs="Arial"/>
        </w:rPr>
        <w:t xml:space="preserve">It is important to note that where a case of interference arises between a spectrum-licensed device and another licensed device, the ACMA will refer to the provisions of the RAGs in resolving the matter. In general, affected licensees also </w:t>
      </w:r>
      <w:r w:rsidR="00C95205" w:rsidRPr="00544B0C">
        <w:rPr>
          <w:rFonts w:cs="Arial"/>
        </w:rPr>
        <w:t>can</w:t>
      </w:r>
      <w:r w:rsidRPr="00544B0C">
        <w:rPr>
          <w:rFonts w:cs="Arial"/>
        </w:rPr>
        <w:t xml:space="preserve"> negotiate their own arrangements </w:t>
      </w:r>
      <w:r w:rsidR="00C95205" w:rsidRPr="00544B0C">
        <w:rPr>
          <w:rFonts w:cs="Arial"/>
        </w:rPr>
        <w:t>to</w:t>
      </w:r>
      <w:r w:rsidRPr="00544B0C">
        <w:rPr>
          <w:rFonts w:cs="Arial"/>
        </w:rPr>
        <w:t xml:space="preserve"> manage interference. Such arrangements will be </w:t>
      </w:r>
      <w:r w:rsidR="00C95205" w:rsidRPr="00544B0C">
        <w:rPr>
          <w:rFonts w:cs="Arial"/>
        </w:rPr>
        <w:t>considered</w:t>
      </w:r>
      <w:r w:rsidRPr="00544B0C">
        <w:rPr>
          <w:rFonts w:cs="Arial"/>
        </w:rPr>
        <w:t xml:space="preserve"> when resolving any interference disputes.  </w:t>
      </w:r>
    </w:p>
    <w:p w14:paraId="5528C6F8" w14:textId="7A902D34" w:rsidR="000973BE" w:rsidRDefault="000973BE">
      <w:pPr>
        <w:spacing w:before="120" w:after="120" w:line="240" w:lineRule="auto"/>
        <w:rPr>
          <w:rFonts w:cs="Arial"/>
        </w:rPr>
      </w:pPr>
      <w:r>
        <w:rPr>
          <w:rFonts w:cs="Arial"/>
        </w:rPr>
        <w:t>The following 850 MHz RAGs will need to be updated as a result of this TLG:</w:t>
      </w:r>
    </w:p>
    <w:p w14:paraId="1AE0E992" w14:textId="23836BA0" w:rsidR="000973BE" w:rsidRPr="0071460B" w:rsidRDefault="00E931F6" w:rsidP="0071460B">
      <w:pPr>
        <w:pStyle w:val="Bulletlevel1"/>
        <w:spacing w:before="120" w:after="120" w:line="240" w:lineRule="auto"/>
      </w:pPr>
      <w:hyperlink r:id="rId39" w:tgtFrame="_blank" w:history="1">
        <w:r w:rsidR="000973BE" w:rsidRPr="0071460B">
          <w:rPr>
            <w:rStyle w:val="Hyperlink"/>
            <w:i/>
          </w:rPr>
          <w:t>Radiocommunications Advisory Guidelines (Managing Interference from Spectrum Licensed Transmitters - 800 MHz Band) 2012</w:t>
        </w:r>
      </w:hyperlink>
      <w:r w:rsidR="000973BE">
        <w:t xml:space="preserve"> (the RAG </w:t>
      </w:r>
      <w:proofErr w:type="spellStart"/>
      <w:r w:rsidR="000973BE">
        <w:t>tx</w:t>
      </w:r>
      <w:proofErr w:type="spellEnd"/>
      <w:r w:rsidR="000973BE">
        <w:t>), and</w:t>
      </w:r>
    </w:p>
    <w:p w14:paraId="15E852C4" w14:textId="2E6D3F00" w:rsidR="000973BE" w:rsidRDefault="000973BE" w:rsidP="000973BE">
      <w:pPr>
        <w:pStyle w:val="Bulletlevel1"/>
        <w:spacing w:before="120" w:after="120" w:line="240" w:lineRule="auto"/>
      </w:pPr>
      <w:r w:rsidRPr="0071460B">
        <w:t> </w:t>
      </w:r>
      <w:hyperlink r:id="rId40" w:tgtFrame="_blank" w:history="1">
        <w:r w:rsidRPr="0071460B">
          <w:rPr>
            <w:rStyle w:val="Hyperlink"/>
            <w:i/>
          </w:rPr>
          <w:t>Radiocommunications Advisory Guidelines (Managing Interference to Spectrum Licensed Receivers - 800 MHz Band) 2012</w:t>
        </w:r>
      </w:hyperlink>
      <w:r>
        <w:rPr>
          <w:rStyle w:val="Hyperlink"/>
          <w:i/>
        </w:rPr>
        <w:t xml:space="preserve"> </w:t>
      </w:r>
      <w:r>
        <w:t xml:space="preserve">(the RAG </w:t>
      </w:r>
      <w:proofErr w:type="spellStart"/>
      <w:r>
        <w:t>rx</w:t>
      </w:r>
      <w:proofErr w:type="spellEnd"/>
      <w:r>
        <w:t>).</w:t>
      </w:r>
    </w:p>
    <w:p w14:paraId="6AAAFB7F" w14:textId="3C7F28A7" w:rsidR="00586AD1" w:rsidRDefault="002A1E44" w:rsidP="000973BE">
      <w:pPr>
        <w:pStyle w:val="Bulletlevel1"/>
        <w:numPr>
          <w:ilvl w:val="0"/>
          <w:numId w:val="0"/>
        </w:numPr>
        <w:spacing w:before="120" w:after="120" w:line="240" w:lineRule="auto"/>
      </w:pPr>
      <w:r>
        <w:lastRenderedPageBreak/>
        <w:t xml:space="preserve">It was initially proposed that a separate RAG </w:t>
      </w:r>
      <w:proofErr w:type="spellStart"/>
      <w:r>
        <w:t>tx</w:t>
      </w:r>
      <w:proofErr w:type="spellEnd"/>
      <w:r>
        <w:t xml:space="preserve"> and RAG </w:t>
      </w:r>
      <w:proofErr w:type="spellStart"/>
      <w:r w:rsidR="00586AD1">
        <w:t>r</w:t>
      </w:r>
      <w:r>
        <w:t>x</w:t>
      </w:r>
      <w:proofErr w:type="spellEnd"/>
      <w:r>
        <w:t xml:space="preserve"> would be made for the 900 MHz band, however it was subsequently decided to </w:t>
      </w:r>
      <w:r w:rsidR="00586AD1">
        <w:t xml:space="preserve">combine all of the relevant information into an 850/900 MHz RAG </w:t>
      </w:r>
      <w:proofErr w:type="spellStart"/>
      <w:r w:rsidR="00586AD1">
        <w:t>rx</w:t>
      </w:r>
      <w:proofErr w:type="spellEnd"/>
      <w:r w:rsidR="00586AD1">
        <w:t xml:space="preserve"> and 850/900 MHz RAG </w:t>
      </w:r>
      <w:proofErr w:type="spellStart"/>
      <w:r w:rsidR="00586AD1">
        <w:t>tx</w:t>
      </w:r>
      <w:proofErr w:type="spellEnd"/>
      <w:r w:rsidR="00586AD1">
        <w:t xml:space="preserve">. </w:t>
      </w:r>
    </w:p>
    <w:p w14:paraId="75476F9F" w14:textId="76F73D94" w:rsidR="00586AD1" w:rsidRPr="008F390D" w:rsidRDefault="00586AD1" w:rsidP="000973BE">
      <w:pPr>
        <w:pStyle w:val="Bulletlevel1"/>
        <w:numPr>
          <w:ilvl w:val="0"/>
          <w:numId w:val="0"/>
        </w:numPr>
        <w:spacing w:before="120" w:after="120" w:line="240" w:lineRule="auto"/>
        <w:rPr>
          <w:i/>
          <w:iCs/>
        </w:rPr>
      </w:pPr>
      <w:r>
        <w:rPr>
          <w:i/>
          <w:iCs/>
        </w:rPr>
        <w:t>850 MHz band elements of the draft RAGs</w:t>
      </w:r>
    </w:p>
    <w:p w14:paraId="3016B86B" w14:textId="6346C14D" w:rsidR="000973BE" w:rsidRDefault="00586AD1" w:rsidP="000973BE">
      <w:pPr>
        <w:pStyle w:val="Bulletlevel1"/>
        <w:numPr>
          <w:ilvl w:val="0"/>
          <w:numId w:val="0"/>
        </w:numPr>
        <w:spacing w:before="120" w:after="120" w:line="240" w:lineRule="auto"/>
      </w:pPr>
      <w:r>
        <w:t>U</w:t>
      </w:r>
      <w:r w:rsidR="000973BE">
        <w:t xml:space="preserve">pdates </w:t>
      </w:r>
      <w:r>
        <w:t>to the 850 MHz part of the RAGs are</w:t>
      </w:r>
      <w:r w:rsidR="000973BE">
        <w:t xml:space="preserve"> relatively minor given the adjacent band services will remain the same (only the lower frequency edge will change from 825/870 MHz to 809/854 MHz):</w:t>
      </w:r>
    </w:p>
    <w:p w14:paraId="7C73E023" w14:textId="6A3A6159" w:rsidR="000973BE" w:rsidRDefault="000973BE" w:rsidP="000973BE">
      <w:pPr>
        <w:pStyle w:val="Bulletlevel1"/>
        <w:spacing w:before="120" w:after="120" w:line="240" w:lineRule="auto"/>
      </w:pPr>
      <w:r>
        <w:t>Trunked land mobile services (TLMS) will remain lower</w:t>
      </w:r>
      <w:r w:rsidR="006D1049">
        <w:t>-</w:t>
      </w:r>
      <w:r>
        <w:t>adjacent</w:t>
      </w:r>
      <w:r w:rsidR="006D1049">
        <w:t xml:space="preserve"> to both the base-transmit and base-receive segments of the expanded 850 MHz band</w:t>
      </w:r>
      <w:r w:rsidR="002A1E44">
        <w:t xml:space="preserve"> (below the PSMB channel)</w:t>
      </w:r>
      <w:r w:rsidR="006D1049">
        <w:t>;</w:t>
      </w:r>
    </w:p>
    <w:p w14:paraId="046AAA63" w14:textId="717CFF37" w:rsidR="000973BE" w:rsidRDefault="006D1049" w:rsidP="000973BE">
      <w:pPr>
        <w:pStyle w:val="Bulletlevel1"/>
        <w:spacing w:before="120" w:after="120" w:line="240" w:lineRule="auto"/>
      </w:pPr>
      <w:r>
        <w:t>Single-frequency links (including sound outside broadcast) will remain upper-adjacent to the base-receive segment of the expanded 850 MHz band; and</w:t>
      </w:r>
    </w:p>
    <w:p w14:paraId="695F685A" w14:textId="5CAEE3BD" w:rsidR="006D1049" w:rsidRDefault="006D1049" w:rsidP="000973BE">
      <w:pPr>
        <w:pStyle w:val="Bulletlevel1"/>
        <w:spacing w:before="120" w:after="120" w:line="240" w:lineRule="auto"/>
      </w:pPr>
      <w:r>
        <w:t xml:space="preserve">The 900 MHz band wireless broadband will be upper-adjacent to the base-transmit segment of the expanded 850 MHz band. </w:t>
      </w:r>
    </w:p>
    <w:p w14:paraId="09733FB3" w14:textId="589DFD82" w:rsidR="00233E3B" w:rsidRDefault="00586AD1" w:rsidP="00C77FA2">
      <w:pPr>
        <w:pStyle w:val="Bulletlevel1"/>
        <w:numPr>
          <w:ilvl w:val="0"/>
          <w:numId w:val="0"/>
        </w:numPr>
        <w:spacing w:before="120" w:after="120" w:line="240" w:lineRule="auto"/>
      </w:pPr>
      <w:r>
        <w:t>The draft instruments include</w:t>
      </w:r>
      <w:r w:rsidR="00D00D8E">
        <w:t xml:space="preserve"> incorporating the coexistence arrangements from Appendix E of RALI FX22 into </w:t>
      </w:r>
      <w:r w:rsidR="00FF1808">
        <w:t xml:space="preserve">the </w:t>
      </w:r>
      <w:r w:rsidR="00D00D8E">
        <w:t xml:space="preserve">RAG </w:t>
      </w:r>
      <w:proofErr w:type="spellStart"/>
      <w:r w:rsidR="00D00D8E">
        <w:t>rx</w:t>
      </w:r>
      <w:proofErr w:type="spellEnd"/>
      <w:r w:rsidR="00D00D8E">
        <w:t>.</w:t>
      </w:r>
      <w:r w:rsidR="00C77FA2">
        <w:t xml:space="preserve"> </w:t>
      </w:r>
      <w:r w:rsidR="00233E3B">
        <w:t xml:space="preserve">Instructions for management of in-band interference will continue to refer to the DBC and associated arrangements set out in the s.145 determination. </w:t>
      </w:r>
    </w:p>
    <w:p w14:paraId="124FBE9B" w14:textId="3F910935" w:rsidR="00C77FA2" w:rsidRPr="00D3250D" w:rsidRDefault="00C77FA2" w:rsidP="00C77FA2">
      <w:pPr>
        <w:pStyle w:val="Bulletlevel1"/>
        <w:numPr>
          <w:ilvl w:val="0"/>
          <w:numId w:val="0"/>
        </w:numPr>
        <w:spacing w:before="120" w:after="120" w:line="240" w:lineRule="auto"/>
      </w:pPr>
      <w:r>
        <w:t xml:space="preserve">Feedback </w:t>
      </w:r>
      <w:r w:rsidR="00586AD1">
        <w:t>to the 1</w:t>
      </w:r>
      <w:r w:rsidR="00586AD1" w:rsidRPr="008F390D">
        <w:rPr>
          <w:vertAlign w:val="superscript"/>
        </w:rPr>
        <w:t>st</w:t>
      </w:r>
      <w:r w:rsidR="00586AD1">
        <w:t xml:space="preserve"> </w:t>
      </w:r>
      <w:r w:rsidRPr="008230F0">
        <w:t xml:space="preserve">TLG </w:t>
      </w:r>
      <w:r w:rsidR="00586AD1">
        <w:t xml:space="preserve">paper from </w:t>
      </w:r>
      <w:r w:rsidRPr="008230F0">
        <w:t>members highlighted aspects of the existing 850 MHz RAGs that are out of date</w:t>
      </w:r>
      <w:r w:rsidR="008230F0" w:rsidRPr="00D3250D">
        <w:t>, including:</w:t>
      </w:r>
    </w:p>
    <w:p w14:paraId="3CA2F697" w14:textId="77777777" w:rsidR="008230F0" w:rsidRDefault="008230F0" w:rsidP="008230F0">
      <w:pPr>
        <w:pStyle w:val="Bulletlevel1"/>
        <w:spacing w:before="120" w:after="120" w:line="240" w:lineRule="auto"/>
      </w:pPr>
      <w:r w:rsidRPr="008230F0">
        <w:t xml:space="preserve">References to outdated adjacent band technologies, specifically GSM, </w:t>
      </w:r>
      <w:r>
        <w:t xml:space="preserve">including: </w:t>
      </w:r>
    </w:p>
    <w:p w14:paraId="0E41D374" w14:textId="58025BBD" w:rsidR="008230F0" w:rsidRDefault="008230F0" w:rsidP="008230F0">
      <w:pPr>
        <w:pStyle w:val="Bulletlevel1"/>
        <w:tabs>
          <w:tab w:val="clear" w:pos="295"/>
          <w:tab w:val="num" w:pos="579"/>
        </w:tabs>
        <w:spacing w:before="120" w:after="120" w:line="240" w:lineRule="auto"/>
        <w:ind w:left="579"/>
      </w:pPr>
      <w:r>
        <w:t>Description of the technology itself</w:t>
      </w:r>
    </w:p>
    <w:p w14:paraId="5EE54BE0" w14:textId="4FA10844" w:rsidR="008230F0" w:rsidRDefault="008230F0" w:rsidP="008230F0">
      <w:pPr>
        <w:pStyle w:val="Bulletlevel1"/>
        <w:tabs>
          <w:tab w:val="clear" w:pos="295"/>
          <w:tab w:val="num" w:pos="579"/>
        </w:tabs>
        <w:spacing w:before="120" w:after="120" w:line="240" w:lineRule="auto"/>
        <w:ind w:left="579"/>
      </w:pPr>
      <w:r>
        <w:t>Relevant documentation describing protection requirements</w:t>
      </w:r>
    </w:p>
    <w:p w14:paraId="6FC6FD1B" w14:textId="0E35B168" w:rsidR="008230F0" w:rsidRDefault="008230F0" w:rsidP="008230F0">
      <w:pPr>
        <w:pStyle w:val="Bulletlevel1"/>
        <w:tabs>
          <w:tab w:val="clear" w:pos="295"/>
          <w:tab w:val="num" w:pos="579"/>
        </w:tabs>
        <w:spacing w:before="120" w:after="120" w:line="240" w:lineRule="auto"/>
        <w:ind w:left="579"/>
      </w:pPr>
      <w:r>
        <w:t>Means of authorisation (</w:t>
      </w:r>
      <w:proofErr w:type="spellStart"/>
      <w:r>
        <w:t>ie</w:t>
      </w:r>
      <w:proofErr w:type="spellEnd"/>
      <w:r>
        <w:t>. 900 MHz band is transitioning from apparatus to spectrum licensing)</w:t>
      </w:r>
    </w:p>
    <w:p w14:paraId="3CE38A7E" w14:textId="255E3208" w:rsidR="008230F0" w:rsidRDefault="008230F0" w:rsidP="00D3250D">
      <w:pPr>
        <w:pStyle w:val="Bulletlevel1"/>
        <w:spacing w:before="120" w:after="120" w:line="240" w:lineRule="auto"/>
      </w:pPr>
      <w:r>
        <w:t>References to RALIs that are no longer applicable (</w:t>
      </w:r>
      <w:proofErr w:type="spellStart"/>
      <w:r>
        <w:t>eg.</w:t>
      </w:r>
      <w:proofErr w:type="spellEnd"/>
      <w:r>
        <w:t xml:space="preserve"> relevant information from RALI FX 11 is now contained in RALI FX 22)</w:t>
      </w:r>
    </w:p>
    <w:p w14:paraId="6D0D4ECD" w14:textId="6D4023B1" w:rsidR="008230F0" w:rsidRDefault="008230F0" w:rsidP="008230F0">
      <w:pPr>
        <w:pStyle w:val="Bulletlevel1"/>
        <w:spacing w:before="120" w:after="120" w:line="240" w:lineRule="auto"/>
      </w:pPr>
      <w:r>
        <w:t>Need to incorporate specific protection requirements for TLMS no longer specified in RALI LM 08 in the RAG Tx</w:t>
      </w:r>
    </w:p>
    <w:p w14:paraId="2113382D" w14:textId="3A1B0AB3" w:rsidR="008230F0" w:rsidRDefault="00F33359" w:rsidP="00C77FA2">
      <w:pPr>
        <w:pStyle w:val="Bulletlevel1"/>
        <w:numPr>
          <w:ilvl w:val="0"/>
          <w:numId w:val="0"/>
        </w:numPr>
        <w:spacing w:before="120" w:after="120" w:line="240" w:lineRule="auto"/>
      </w:pPr>
      <w:r>
        <w:t xml:space="preserve">These aspects were already noted and </w:t>
      </w:r>
      <w:r w:rsidR="00586AD1">
        <w:t xml:space="preserve">have </w:t>
      </w:r>
      <w:r>
        <w:t>be</w:t>
      </w:r>
      <w:r w:rsidR="00586AD1">
        <w:t>en</w:t>
      </w:r>
      <w:r>
        <w:t xml:space="preserve"> corrected in the draft updates to instruments.</w:t>
      </w:r>
    </w:p>
    <w:p w14:paraId="7A388A46" w14:textId="77777777" w:rsidR="003B4BC9" w:rsidRPr="00E826FF" w:rsidRDefault="003B4BC9" w:rsidP="003B4BC9">
      <w:pPr>
        <w:spacing w:before="120" w:after="120" w:line="240" w:lineRule="auto"/>
      </w:pPr>
    </w:p>
    <w:p w14:paraId="15A2284B" w14:textId="66101F96" w:rsidR="003B4BC9" w:rsidRDefault="00586AD1" w:rsidP="003B4BC9">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The draft 850/900 MHz</w:t>
      </w:r>
      <w:r w:rsidR="003B4BC9">
        <w:rPr>
          <w:b/>
          <w:bCs/>
        </w:rPr>
        <w:t xml:space="preserve"> RAGs </w:t>
      </w:r>
      <w:r>
        <w:rPr>
          <w:b/>
          <w:bCs/>
        </w:rPr>
        <w:t xml:space="preserve">now </w:t>
      </w:r>
      <w:r w:rsidR="003B4BC9">
        <w:rPr>
          <w:b/>
          <w:bCs/>
        </w:rPr>
        <w:t>reflect contemporary references and information.</w:t>
      </w:r>
      <w:r w:rsidR="00623E98">
        <w:rPr>
          <w:b/>
          <w:bCs/>
        </w:rPr>
        <w:t xml:space="preserve"> </w:t>
      </w:r>
    </w:p>
    <w:p w14:paraId="582023B1" w14:textId="2F8F904B" w:rsidR="003B4BC9" w:rsidRDefault="00564B87">
      <w:pPr>
        <w:spacing w:before="120" w:after="120" w:line="240" w:lineRule="auto"/>
        <w:rPr>
          <w:rFonts w:cs="Arial"/>
        </w:rPr>
      </w:pPr>
      <w:r w:rsidRPr="00623E98">
        <w:rPr>
          <w:b/>
          <w:bCs/>
        </w:rPr>
        <w:t xml:space="preserve"> </w:t>
      </w:r>
    </w:p>
    <w:p w14:paraId="3BCBFE87" w14:textId="2419EE2B" w:rsidR="00CE0559" w:rsidRDefault="00586AD1">
      <w:pPr>
        <w:spacing w:before="120" w:after="120" w:line="240" w:lineRule="auto"/>
        <w:rPr>
          <w:rFonts w:cs="Arial"/>
        </w:rPr>
      </w:pPr>
      <w:r>
        <w:rPr>
          <w:rFonts w:cs="Arial"/>
        </w:rPr>
        <w:t>Additionally</w:t>
      </w:r>
      <w:r w:rsidR="00D771A5" w:rsidRPr="00E61519">
        <w:rPr>
          <w:rFonts w:cs="Arial"/>
        </w:rPr>
        <w:t xml:space="preserve">, </w:t>
      </w:r>
      <w:r>
        <w:rPr>
          <w:rFonts w:cs="Arial"/>
        </w:rPr>
        <w:t>it had originally been proposed that</w:t>
      </w:r>
      <w:r w:rsidR="00D771A5" w:rsidRPr="00E61519">
        <w:rPr>
          <w:rFonts w:cs="Arial"/>
        </w:rPr>
        <w:t xml:space="preserve"> the 8</w:t>
      </w:r>
      <w:r w:rsidR="00D771A5" w:rsidRPr="00CE0559">
        <w:rPr>
          <w:rFonts w:cs="Arial"/>
        </w:rPr>
        <w:t xml:space="preserve">50 MHz expansion band </w:t>
      </w:r>
      <w:r>
        <w:rPr>
          <w:rFonts w:cs="Arial"/>
        </w:rPr>
        <w:t>would</w:t>
      </w:r>
      <w:r w:rsidR="00D771A5" w:rsidRPr="00CE0559">
        <w:rPr>
          <w:rFonts w:cs="Arial"/>
        </w:rPr>
        <w:t xml:space="preserve"> be allocated partially encumbered – existing operators will transition out of the band by mid-2024 in accordance with the </w:t>
      </w:r>
      <w:hyperlink r:id="rId41" w:history="1">
        <w:proofErr w:type="spellStart"/>
        <w:r w:rsidR="00D771A5" w:rsidRPr="00CE0559">
          <w:rPr>
            <w:rStyle w:val="Hyperlink"/>
            <w:i/>
            <w:iCs/>
          </w:rPr>
          <w:t>The</w:t>
        </w:r>
        <w:proofErr w:type="spellEnd"/>
        <w:r w:rsidR="00D771A5" w:rsidRPr="00CE0559">
          <w:rPr>
            <w:rStyle w:val="Hyperlink"/>
            <w:i/>
            <w:iCs/>
          </w:rPr>
          <w:t xml:space="preserve"> ACMA’s long-term strategy for the 803-960 MHz Band</w:t>
        </w:r>
      </w:hyperlink>
      <w:r w:rsidR="00D771A5" w:rsidRPr="00E61519">
        <w:rPr>
          <w:rFonts w:cs="Arial"/>
        </w:rPr>
        <w:t xml:space="preserve">. </w:t>
      </w:r>
      <w:r w:rsidR="00D771A5" w:rsidRPr="00CE0559">
        <w:rPr>
          <w:rFonts w:cs="Arial"/>
        </w:rPr>
        <w:t xml:space="preserve">To enable temporary coexistence with these services, it </w:t>
      </w:r>
      <w:r>
        <w:rPr>
          <w:rFonts w:cs="Arial"/>
        </w:rPr>
        <w:t>had been</w:t>
      </w:r>
      <w:r w:rsidRPr="00CE0559">
        <w:rPr>
          <w:rFonts w:cs="Arial"/>
        </w:rPr>
        <w:t xml:space="preserve"> </w:t>
      </w:r>
      <w:r w:rsidR="00D771A5" w:rsidRPr="00CE0559">
        <w:rPr>
          <w:rFonts w:cs="Arial"/>
        </w:rPr>
        <w:t xml:space="preserve">proposed that a simple note </w:t>
      </w:r>
      <w:r>
        <w:rPr>
          <w:rFonts w:cs="Arial"/>
        </w:rPr>
        <w:t>would</w:t>
      </w:r>
      <w:r w:rsidRPr="00CE0559">
        <w:rPr>
          <w:rFonts w:cs="Arial"/>
        </w:rPr>
        <w:t xml:space="preserve"> </w:t>
      </w:r>
      <w:r w:rsidR="00D771A5" w:rsidRPr="00CE0559">
        <w:rPr>
          <w:rFonts w:cs="Arial"/>
        </w:rPr>
        <w:t xml:space="preserve">be added to the RAG </w:t>
      </w:r>
      <w:proofErr w:type="spellStart"/>
      <w:r w:rsidR="00D771A5" w:rsidRPr="00CE0559">
        <w:rPr>
          <w:rFonts w:cs="Arial"/>
        </w:rPr>
        <w:t>tx</w:t>
      </w:r>
      <w:proofErr w:type="spellEnd"/>
      <w:r w:rsidR="00D771A5" w:rsidRPr="00CE0559">
        <w:rPr>
          <w:rFonts w:cs="Arial"/>
        </w:rPr>
        <w:t xml:space="preserve"> and </w:t>
      </w:r>
      <w:proofErr w:type="spellStart"/>
      <w:r w:rsidR="00D771A5" w:rsidRPr="00CE0559">
        <w:rPr>
          <w:rFonts w:cs="Arial"/>
        </w:rPr>
        <w:t>rx</w:t>
      </w:r>
      <w:proofErr w:type="spellEnd"/>
      <w:r w:rsidR="00D771A5" w:rsidRPr="00CE0559">
        <w:rPr>
          <w:rFonts w:cs="Arial"/>
        </w:rPr>
        <w:t xml:space="preserve"> that refers to relevant RALIs</w:t>
      </w:r>
      <w:r w:rsidR="00481F42" w:rsidRPr="00CE0559">
        <w:rPr>
          <w:rFonts w:cs="Arial"/>
        </w:rPr>
        <w:t xml:space="preserve"> (mo</w:t>
      </w:r>
      <w:r w:rsidR="009F6496" w:rsidRPr="00CE0559">
        <w:rPr>
          <w:rFonts w:cs="Arial"/>
        </w:rPr>
        <w:t xml:space="preserve">st likely limited to RALI LM 08 for </w:t>
      </w:r>
      <w:r w:rsidR="009F6496" w:rsidRPr="00E61519">
        <w:rPr>
          <w:rFonts w:cs="Arial"/>
        </w:rPr>
        <w:t>existing TLMS</w:t>
      </w:r>
      <w:r w:rsidR="009F6496" w:rsidRPr="00CE0559">
        <w:rPr>
          <w:rFonts w:cs="Arial"/>
        </w:rPr>
        <w:t>)</w:t>
      </w:r>
      <w:r w:rsidR="00D771A5" w:rsidRPr="00CE0559">
        <w:rPr>
          <w:rFonts w:cs="Arial"/>
        </w:rPr>
        <w:t xml:space="preserve"> for the services concerned, so that they can essentially</w:t>
      </w:r>
      <w:r w:rsidR="001C1BBF" w:rsidRPr="00CE0559">
        <w:rPr>
          <w:rFonts w:cs="Arial"/>
        </w:rPr>
        <w:t xml:space="preserve"> be</w:t>
      </w:r>
      <w:r w:rsidR="00D771A5" w:rsidRPr="00CE0559">
        <w:rPr>
          <w:rFonts w:cs="Arial"/>
        </w:rPr>
        <w:t xml:space="preserve"> ‘worked around’ until they have transitioned out. </w:t>
      </w:r>
      <w:r>
        <w:rPr>
          <w:rFonts w:cs="Arial"/>
        </w:rPr>
        <w:t>However, now that spectrum licences will not come into effect until the end of this transition period in mid-2024, there is no need to provide this transitional guidance in the RAGs.</w:t>
      </w:r>
      <w:r w:rsidR="001C1BBF">
        <w:rPr>
          <w:rFonts w:cs="Arial"/>
        </w:rPr>
        <w:t xml:space="preserve"> </w:t>
      </w:r>
    </w:p>
    <w:p w14:paraId="4248BDB3" w14:textId="08617FF8" w:rsidR="00564B87" w:rsidRPr="00E826FF" w:rsidRDefault="0028362C" w:rsidP="00D34AC2">
      <w:pPr>
        <w:spacing w:before="120" w:after="120" w:line="240" w:lineRule="auto"/>
      </w:pPr>
      <w:r>
        <w:rPr>
          <w:rFonts w:cs="Arial"/>
        </w:rPr>
        <w:t>C</w:t>
      </w:r>
      <w:r w:rsidR="00397A73" w:rsidRPr="00E826FF">
        <w:rPr>
          <w:rFonts w:cs="Arial"/>
        </w:rPr>
        <w:t xml:space="preserve">omments </w:t>
      </w:r>
      <w:r w:rsidR="00586AD1">
        <w:rPr>
          <w:rFonts w:cs="Arial"/>
        </w:rPr>
        <w:t>in response to the 1</w:t>
      </w:r>
      <w:r w:rsidR="00586AD1" w:rsidRPr="008F390D">
        <w:rPr>
          <w:rFonts w:cs="Arial"/>
          <w:vertAlign w:val="superscript"/>
        </w:rPr>
        <w:t>st</w:t>
      </w:r>
      <w:r w:rsidR="00586AD1">
        <w:rPr>
          <w:rFonts w:cs="Arial"/>
        </w:rPr>
        <w:t xml:space="preserve"> TLG paper </w:t>
      </w:r>
      <w:r w:rsidR="00397A73" w:rsidRPr="00E826FF">
        <w:rPr>
          <w:rFonts w:cs="Arial"/>
        </w:rPr>
        <w:t>advised that the existing</w:t>
      </w:r>
      <w:r w:rsidR="00586AD1">
        <w:rPr>
          <w:rFonts w:cs="Arial"/>
        </w:rPr>
        <w:t xml:space="preserve"> 850 MHz</w:t>
      </w:r>
      <w:r w:rsidR="00397A73" w:rsidRPr="00E826FF">
        <w:rPr>
          <w:rFonts w:cs="Arial"/>
        </w:rPr>
        <w:t xml:space="preserve"> RAG </w:t>
      </w:r>
      <w:proofErr w:type="spellStart"/>
      <w:r w:rsidR="00397A73" w:rsidRPr="00E826FF">
        <w:rPr>
          <w:rFonts w:cs="Arial"/>
        </w:rPr>
        <w:t>rx</w:t>
      </w:r>
      <w:proofErr w:type="spellEnd"/>
      <w:r w:rsidR="00397A73" w:rsidRPr="00E826FF">
        <w:rPr>
          <w:rFonts w:cs="Arial"/>
        </w:rPr>
        <w:t xml:space="preserve"> does not account for wideband IMT or power control </w:t>
      </w:r>
      <w:r w:rsidR="00485997" w:rsidRPr="00E826FF">
        <w:rPr>
          <w:rFonts w:cs="Arial"/>
        </w:rPr>
        <w:t xml:space="preserve">to reduce the power of mobile </w:t>
      </w:r>
      <w:r w:rsidR="00485997" w:rsidRPr="00E826FF">
        <w:rPr>
          <w:rFonts w:cs="Arial"/>
        </w:rPr>
        <w:lastRenderedPageBreak/>
        <w:t xml:space="preserve">transmitters </w:t>
      </w:r>
      <w:r w:rsidR="00397A73" w:rsidRPr="00E826FF">
        <w:rPr>
          <w:rFonts w:cs="Arial"/>
        </w:rPr>
        <w:t xml:space="preserve">and that affording protection from TLMS base stations to mobile receivers was not a reasonable requirement from both a licensee and ACMA perspective. </w:t>
      </w:r>
    </w:p>
    <w:p w14:paraId="5A00B550" w14:textId="60ABC357" w:rsidR="00D34AC2" w:rsidRDefault="00F36467" w:rsidP="00D34AC2">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 xml:space="preserve">It is proposed that the notional receiver and compatibility requirement set out in Schedule 1 and 2 respectively of the existing RAG Rx will be revised to be based on 3GPP 38 series performance specifications. </w:t>
      </w:r>
      <w:r w:rsidR="00B40736">
        <w:rPr>
          <w:b/>
          <w:bCs/>
        </w:rPr>
        <w:t xml:space="preserve">Schedule 3 will be reviewed to reflect the use of more modern IMT technologies. Protection of spectrum licensed mobile receivers will be </w:t>
      </w:r>
      <w:r w:rsidR="005F7374">
        <w:rPr>
          <w:b/>
          <w:bCs/>
        </w:rPr>
        <w:t>revised</w:t>
      </w:r>
      <w:r w:rsidR="003B4BC9">
        <w:rPr>
          <w:b/>
          <w:bCs/>
        </w:rPr>
        <w:t xml:space="preserve">. </w:t>
      </w:r>
    </w:p>
    <w:p w14:paraId="63890187" w14:textId="77777777" w:rsidR="00D34AC2" w:rsidRDefault="00D34AC2">
      <w:pPr>
        <w:spacing w:before="120" w:after="120" w:line="240" w:lineRule="auto"/>
        <w:rPr>
          <w:rFonts w:cs="Arial"/>
        </w:rPr>
      </w:pPr>
    </w:p>
    <w:p w14:paraId="20A08774" w14:textId="133B0B8A" w:rsidR="00586AD1" w:rsidRPr="00423E65" w:rsidRDefault="00586AD1" w:rsidP="00586AD1">
      <w:pPr>
        <w:pStyle w:val="Bulletlevel1"/>
        <w:numPr>
          <w:ilvl w:val="0"/>
          <w:numId w:val="0"/>
        </w:numPr>
        <w:spacing w:before="120" w:after="120" w:line="240" w:lineRule="auto"/>
        <w:rPr>
          <w:i/>
          <w:iCs/>
        </w:rPr>
      </w:pPr>
      <w:r>
        <w:rPr>
          <w:i/>
          <w:iCs/>
        </w:rPr>
        <w:t>900 MHz band elements of the draft RAGs</w:t>
      </w:r>
    </w:p>
    <w:p w14:paraId="6571171A" w14:textId="24BBBD05" w:rsidR="006D1049" w:rsidRPr="00C82572" w:rsidRDefault="00057C00" w:rsidP="006D1049">
      <w:pPr>
        <w:pStyle w:val="Bulletlevel1"/>
        <w:numPr>
          <w:ilvl w:val="0"/>
          <w:numId w:val="0"/>
        </w:numPr>
        <w:spacing w:before="120" w:after="120" w:line="240" w:lineRule="auto"/>
      </w:pPr>
      <w:r>
        <w:t xml:space="preserve">Adjacent band services relevant to the 900 MHz elements of the draft 850/900 MHz RAG </w:t>
      </w:r>
      <w:proofErr w:type="spellStart"/>
      <w:r>
        <w:t>rx</w:t>
      </w:r>
      <w:proofErr w:type="spellEnd"/>
      <w:r>
        <w:t xml:space="preserve"> and RAG </w:t>
      </w:r>
      <w:proofErr w:type="spellStart"/>
      <w:r>
        <w:t>tx</w:t>
      </w:r>
      <w:proofErr w:type="spellEnd"/>
      <w:r w:rsidR="006E7419">
        <w:t xml:space="preserve"> include: </w:t>
      </w:r>
    </w:p>
    <w:p w14:paraId="62F164C7" w14:textId="634EF5D2" w:rsidR="006E7419" w:rsidRDefault="006E7419" w:rsidP="006E7419">
      <w:pPr>
        <w:pStyle w:val="Bulletlevel1"/>
        <w:spacing w:before="120" w:after="120" w:line="240" w:lineRule="auto"/>
      </w:pPr>
      <w:r>
        <w:t xml:space="preserve">Lower-adjacent 850 MHz wireless broadband services (also within scope of this TLG); </w:t>
      </w:r>
    </w:p>
    <w:p w14:paraId="673966A5" w14:textId="4A012459" w:rsidR="006E7419" w:rsidRDefault="006E7419" w:rsidP="006E7419">
      <w:pPr>
        <w:pStyle w:val="Bulletlevel1"/>
        <w:spacing w:before="120" w:after="120" w:line="240" w:lineRule="auto"/>
      </w:pPr>
      <w:r>
        <w:t>Devices authorised under the Low Interference Potential Devices (LIPD) Class Licence; and</w:t>
      </w:r>
    </w:p>
    <w:p w14:paraId="28DC43B9" w14:textId="2609EE45" w:rsidR="006E7419" w:rsidRDefault="006E7419" w:rsidP="006E7419">
      <w:pPr>
        <w:pStyle w:val="Bulletlevel1"/>
        <w:spacing w:before="120" w:after="120" w:line="240" w:lineRule="auto"/>
      </w:pPr>
      <w:r>
        <w:t xml:space="preserve">Aeronautical services operating above 960 MHz (predominantly distance measuring equipment (DME)). </w:t>
      </w:r>
    </w:p>
    <w:p w14:paraId="3E6E50F6" w14:textId="35D337F2" w:rsidR="00233E3B" w:rsidRPr="00E874E4" w:rsidRDefault="00F33359" w:rsidP="006D1049">
      <w:pPr>
        <w:spacing w:before="120" w:after="120" w:line="240" w:lineRule="auto"/>
      </w:pPr>
      <w:r>
        <w:t xml:space="preserve">Feedback </w:t>
      </w:r>
      <w:r w:rsidR="00057C00">
        <w:t>to the 1</w:t>
      </w:r>
      <w:r w:rsidR="00057C00" w:rsidRPr="008F390D">
        <w:rPr>
          <w:vertAlign w:val="superscript"/>
        </w:rPr>
        <w:t>st</w:t>
      </w:r>
      <w:r w:rsidR="00057C00">
        <w:t xml:space="preserve"> </w:t>
      </w:r>
      <w:r>
        <w:t xml:space="preserve"> TLG </w:t>
      </w:r>
      <w:r w:rsidR="00057C00">
        <w:t xml:space="preserve">paper </w:t>
      </w:r>
      <w:r>
        <w:t>noted that specific protection requirements beyond provisions of standards would be needed for LIPD services. Similarity, some respondents noted that 3GPP-standarised services already operate in the 900 MHz band without additional constraints on OOBE, so it is expected that upper-adjacent aeronautical services will continue to be protected under updated arrangements</w:t>
      </w:r>
      <w:r w:rsidR="000D0AF5">
        <w:t xml:space="preserve">. </w:t>
      </w:r>
      <w:r>
        <w:t xml:space="preserve">Nonetheless, the transition from apparatus to spectrum licences dictates that protection requirements for </w:t>
      </w:r>
      <w:r w:rsidRPr="00D162D5">
        <w:t xml:space="preserve">aeronautical services be codified in the RAG </w:t>
      </w:r>
      <w:proofErr w:type="spellStart"/>
      <w:r w:rsidRPr="00D162D5">
        <w:t>tx</w:t>
      </w:r>
      <w:proofErr w:type="spellEnd"/>
      <w:r w:rsidR="00C8618A">
        <w:t xml:space="preserve">, including a specific protection requirement for registered </w:t>
      </w:r>
      <w:r w:rsidR="0085100F">
        <w:t xml:space="preserve">(apparatus licensed) </w:t>
      </w:r>
      <w:r w:rsidR="00C8618A">
        <w:t>DME ground transponders.</w:t>
      </w:r>
    </w:p>
    <w:p w14:paraId="39D16E3E" w14:textId="02644E6B" w:rsidR="006D1049" w:rsidRPr="00D3250D" w:rsidRDefault="004958C3" w:rsidP="00E874E4">
      <w:pPr>
        <w:pBdr>
          <w:top w:val="single" w:sz="18" w:space="1" w:color="auto"/>
          <w:left w:val="single" w:sz="18" w:space="4" w:color="auto"/>
          <w:bottom w:val="single" w:sz="18" w:space="0" w:color="auto"/>
          <w:right w:val="single" w:sz="18" w:space="4" w:color="auto"/>
        </w:pBdr>
        <w:spacing w:before="120" w:after="120" w:line="240" w:lineRule="auto"/>
        <w:rPr>
          <w:b/>
          <w:color w:val="FF0000"/>
        </w:rPr>
      </w:pPr>
      <w:r>
        <w:rPr>
          <w:b/>
        </w:rPr>
        <w:t>T</w:t>
      </w:r>
      <w:r w:rsidR="00C8618A">
        <w:rPr>
          <w:b/>
        </w:rPr>
        <w:t>he draft 850/900 MHz RAGs</w:t>
      </w:r>
      <w:r w:rsidR="00605D99" w:rsidRPr="00E874E4">
        <w:rPr>
          <w:b/>
        </w:rPr>
        <w:t xml:space="preserve"> </w:t>
      </w:r>
      <w:r w:rsidR="005F7374" w:rsidRPr="00E874E4">
        <w:rPr>
          <w:b/>
        </w:rPr>
        <w:t>include provisions for adjacent</w:t>
      </w:r>
      <w:r w:rsidR="005C608C" w:rsidRPr="00E874E4">
        <w:rPr>
          <w:b/>
          <w:bCs/>
        </w:rPr>
        <w:t>-band</w:t>
      </w:r>
      <w:r w:rsidR="005F7374" w:rsidRPr="00E874E4">
        <w:rPr>
          <w:b/>
          <w:bCs/>
        </w:rPr>
        <w:t xml:space="preserve"> aero</w:t>
      </w:r>
      <w:r w:rsidR="005C608C" w:rsidRPr="00E874E4">
        <w:rPr>
          <w:b/>
          <w:bCs/>
        </w:rPr>
        <w:t>nautical services</w:t>
      </w:r>
      <w:r w:rsidR="005F7374" w:rsidRPr="00E874E4">
        <w:rPr>
          <w:b/>
          <w:bCs/>
        </w:rPr>
        <w:t xml:space="preserve"> </w:t>
      </w:r>
      <w:r w:rsidR="005F7374" w:rsidRPr="00E874E4">
        <w:rPr>
          <w:b/>
        </w:rPr>
        <w:t xml:space="preserve">but not LIPD </w:t>
      </w:r>
      <w:r w:rsidR="005C608C" w:rsidRPr="00E874E4">
        <w:rPr>
          <w:b/>
          <w:bCs/>
        </w:rPr>
        <w:t>services</w:t>
      </w:r>
      <w:r w:rsidR="005F7374" w:rsidRPr="00E874E4">
        <w:rPr>
          <w:b/>
          <w:bCs/>
        </w:rPr>
        <w:t xml:space="preserve"> </w:t>
      </w:r>
      <w:r w:rsidR="005F7374" w:rsidRPr="00E874E4">
        <w:rPr>
          <w:b/>
        </w:rPr>
        <w:t>in</w:t>
      </w:r>
      <w:r w:rsidR="00605D99" w:rsidRPr="00E874E4">
        <w:rPr>
          <w:b/>
        </w:rPr>
        <w:t xml:space="preserve"> the 900 MHz RAG </w:t>
      </w:r>
      <w:proofErr w:type="spellStart"/>
      <w:r w:rsidR="00605D99" w:rsidRPr="00E874E4">
        <w:rPr>
          <w:b/>
        </w:rPr>
        <w:t>tx</w:t>
      </w:r>
      <w:proofErr w:type="spellEnd"/>
      <w:r w:rsidR="00605D99" w:rsidRPr="00E874E4">
        <w:rPr>
          <w:b/>
        </w:rPr>
        <w:t xml:space="preserve"> </w:t>
      </w:r>
      <w:r w:rsidR="005C608C" w:rsidRPr="00E874E4">
        <w:rPr>
          <w:b/>
          <w:bCs/>
        </w:rPr>
        <w:t>that</w:t>
      </w:r>
      <w:r w:rsidR="00605D99" w:rsidRPr="00E874E4">
        <w:rPr>
          <w:b/>
        </w:rPr>
        <w:t xml:space="preserve"> codify protection requirements for adjacent services</w:t>
      </w:r>
      <w:r w:rsidR="003A2BE0" w:rsidRPr="00E874E4">
        <w:rPr>
          <w:b/>
        </w:rPr>
        <w:t xml:space="preserve"> using </w:t>
      </w:r>
      <w:r w:rsidR="003070C8" w:rsidRPr="00E874E4">
        <w:rPr>
          <w:b/>
          <w:bCs/>
        </w:rPr>
        <w:t xml:space="preserve">contemporary </w:t>
      </w:r>
      <w:r w:rsidR="003A2BE0" w:rsidRPr="00E874E4">
        <w:rPr>
          <w:b/>
          <w:bCs/>
        </w:rPr>
        <w:t>3GPP standards</w:t>
      </w:r>
      <w:r w:rsidR="003A2BE0" w:rsidRPr="00E874E4">
        <w:rPr>
          <w:b/>
        </w:rPr>
        <w:t xml:space="preserve"> </w:t>
      </w:r>
      <w:r w:rsidR="000D0AF5" w:rsidRPr="00E874E4">
        <w:rPr>
          <w:b/>
        </w:rPr>
        <w:t xml:space="preserve">(noting the OOBE limits prescribed in Attachment 1) </w:t>
      </w:r>
      <w:r w:rsidR="003A2BE0" w:rsidRPr="00E874E4">
        <w:rPr>
          <w:b/>
        </w:rPr>
        <w:t>as the basis for these requirements</w:t>
      </w:r>
      <w:r w:rsidR="00605D99" w:rsidRPr="00E874E4">
        <w:rPr>
          <w:b/>
        </w:rPr>
        <w:t>.</w:t>
      </w:r>
    </w:p>
    <w:p w14:paraId="1C76AB1D" w14:textId="4B94072D" w:rsidR="005509AE" w:rsidRDefault="005509AE" w:rsidP="005509AE">
      <w:pPr>
        <w:spacing w:before="120" w:after="120" w:line="240" w:lineRule="auto"/>
        <w:rPr>
          <w:b/>
          <w:bCs/>
        </w:rPr>
      </w:pPr>
      <w:r>
        <w:rPr>
          <w:b/>
          <w:bCs/>
        </w:rPr>
        <w:t>Mobile Communications on</w:t>
      </w:r>
      <w:r w:rsidR="00416911">
        <w:rPr>
          <w:b/>
          <w:bCs/>
        </w:rPr>
        <w:t xml:space="preserve"> </w:t>
      </w:r>
      <w:r>
        <w:rPr>
          <w:b/>
          <w:bCs/>
        </w:rPr>
        <w:t>board Aircraft (MCA)</w:t>
      </w:r>
    </w:p>
    <w:p w14:paraId="494280FD" w14:textId="2690A2B4" w:rsidR="005509AE" w:rsidRDefault="005509AE" w:rsidP="005509AE">
      <w:pPr>
        <w:spacing w:before="120" w:after="120" w:line="240" w:lineRule="auto"/>
      </w:pPr>
      <w:r>
        <w:t xml:space="preserve">The current 850 MHz RAG </w:t>
      </w:r>
      <w:proofErr w:type="spellStart"/>
      <w:r>
        <w:t>tx</w:t>
      </w:r>
      <w:proofErr w:type="spellEnd"/>
      <w:r>
        <w:t xml:space="preserve"> contains provisions for operating mobile communications systems aboard aircraft (MCA). These services are normally operated under PMTS class C licences, however when operating in spectrum-licenced areas/frequencies must be operated under the spectrum licence (either directly or via 3</w:t>
      </w:r>
      <w:r w:rsidRPr="0071460B">
        <w:rPr>
          <w:vertAlign w:val="superscript"/>
        </w:rPr>
        <w:t>rd</w:t>
      </w:r>
      <w:r>
        <w:t xml:space="preserve"> party, depending on the operating entity). The provisions set out in the</w:t>
      </w:r>
      <w:r w:rsidR="003D66DE">
        <w:t xml:space="preserve"> original</w:t>
      </w:r>
      <w:r>
        <w:t xml:space="preserve"> RAG refer to the conditions </w:t>
      </w:r>
      <w:r w:rsidR="00416911">
        <w:t>for PMTS class C operation set out in the PTS LCD.</w:t>
      </w:r>
      <w:r>
        <w:t xml:space="preserve"> The intent is to retain these provisions in updates to the 850 MHz frameworks (and extend their applicability across the expanded band) and to reproduce them in new 900 MHz frameworks.</w:t>
      </w:r>
    </w:p>
    <w:p w14:paraId="6385898D" w14:textId="5D210D2D" w:rsidR="00416911" w:rsidRDefault="00EA2192" w:rsidP="00416911">
      <w:pPr>
        <w:spacing w:before="120" w:after="120" w:line="240" w:lineRule="auto"/>
      </w:pPr>
      <w:r>
        <w:t xml:space="preserve">Input was sought on whether MCA provisions in the current 850 MHz RAG </w:t>
      </w:r>
      <w:proofErr w:type="spellStart"/>
      <w:r>
        <w:t>tx</w:t>
      </w:r>
      <w:proofErr w:type="spellEnd"/>
      <w:r>
        <w:t xml:space="preserve"> remained appropriate, noting that these provisions have not been replicated in other technical frameworks for bands that may be used for MCA purposes. One respondent suggested that MCA itself is no longer relevant, given the advent of </w:t>
      </w:r>
      <w:proofErr w:type="spellStart"/>
      <w:r>
        <w:t>WiFi</w:t>
      </w:r>
      <w:proofErr w:type="spellEnd"/>
      <w:r>
        <w:t xml:space="preserve"> on board commercial aircraft. No respondents explicitly supported the retention of these provisions</w:t>
      </w:r>
      <w:r w:rsidR="00C8618A">
        <w:t xml:space="preserve"> and the 2</w:t>
      </w:r>
      <w:r w:rsidR="00C8618A" w:rsidRPr="008F390D">
        <w:rPr>
          <w:vertAlign w:val="superscript"/>
        </w:rPr>
        <w:t>nd</w:t>
      </w:r>
      <w:r w:rsidR="00C8618A">
        <w:t xml:space="preserve"> TLG paper proposed that these provisions be removed.</w:t>
      </w:r>
    </w:p>
    <w:p w14:paraId="14FACE4D" w14:textId="57790824" w:rsidR="00416911" w:rsidRDefault="00EA2192" w:rsidP="00416911">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Part 5 of the existing 850 MHz RAG Tx</w:t>
      </w:r>
      <w:r w:rsidR="005677EE">
        <w:rPr>
          <w:b/>
          <w:bCs/>
        </w:rPr>
        <w:t>, which solely pertains to MCA use,</w:t>
      </w:r>
      <w:r>
        <w:rPr>
          <w:b/>
          <w:bCs/>
        </w:rPr>
        <w:t xml:space="preserve"> </w:t>
      </w:r>
      <w:r w:rsidR="00C8618A">
        <w:rPr>
          <w:b/>
          <w:bCs/>
        </w:rPr>
        <w:t>has</w:t>
      </w:r>
      <w:r>
        <w:rPr>
          <w:b/>
          <w:bCs/>
        </w:rPr>
        <w:t xml:space="preserve"> not </w:t>
      </w:r>
      <w:r w:rsidR="00C8618A">
        <w:rPr>
          <w:b/>
          <w:bCs/>
        </w:rPr>
        <w:t xml:space="preserve">been </w:t>
      </w:r>
      <w:r>
        <w:rPr>
          <w:b/>
          <w:bCs/>
        </w:rPr>
        <w:t xml:space="preserve">replicated in the </w:t>
      </w:r>
      <w:r w:rsidR="00C8618A">
        <w:rPr>
          <w:b/>
          <w:bCs/>
        </w:rPr>
        <w:t xml:space="preserve">draft </w:t>
      </w:r>
      <w:r>
        <w:rPr>
          <w:b/>
          <w:bCs/>
        </w:rPr>
        <w:t xml:space="preserve">850 </w:t>
      </w:r>
      <w:r w:rsidR="00C8618A">
        <w:rPr>
          <w:b/>
          <w:bCs/>
        </w:rPr>
        <w:t>/</w:t>
      </w:r>
      <w:r>
        <w:rPr>
          <w:b/>
          <w:bCs/>
        </w:rPr>
        <w:t xml:space="preserve"> 900 MHz band RAG Tx.</w:t>
      </w:r>
    </w:p>
    <w:p w14:paraId="74C91EE9" w14:textId="77777777" w:rsidR="00416911" w:rsidRDefault="00416911" w:rsidP="00416911">
      <w:pPr>
        <w:spacing w:before="120" w:after="120" w:line="240" w:lineRule="auto"/>
        <w:rPr>
          <w:rFonts w:cs="Arial"/>
        </w:rPr>
      </w:pPr>
    </w:p>
    <w:p w14:paraId="6949A4C1" w14:textId="77777777" w:rsidR="005509AE" w:rsidRDefault="005509AE" w:rsidP="005509AE">
      <w:pPr>
        <w:spacing w:before="120" w:after="120" w:line="240" w:lineRule="auto"/>
        <w:rPr>
          <w:rFonts w:cs="Arial"/>
        </w:rPr>
      </w:pPr>
    </w:p>
    <w:p w14:paraId="1EF34258" w14:textId="77777777" w:rsidR="00BC6101" w:rsidRDefault="00BC6101" w:rsidP="0071460B">
      <w:pPr>
        <w:spacing w:before="120" w:after="120" w:line="240" w:lineRule="auto"/>
        <w:sectPr w:rsidR="00BC6101"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pPr>
    </w:p>
    <w:p w14:paraId="29388114" w14:textId="77777777" w:rsidR="00E874E4" w:rsidRDefault="00E874E4" w:rsidP="007B295F">
      <w:pPr>
        <w:pStyle w:val="Heading2"/>
      </w:pPr>
      <w:bookmarkStart w:id="24" w:name="_Toc65674884"/>
      <w:r>
        <w:lastRenderedPageBreak/>
        <w:t xml:space="preserve">Attachment 1 - </w:t>
      </w:r>
      <w:r w:rsidRPr="00BC6101">
        <w:t>Proposed Unwanted Limits for 850 Expansion &amp; 900 MHz</w:t>
      </w:r>
      <w:bookmarkEnd w:id="24"/>
    </w:p>
    <w:p w14:paraId="176C7085" w14:textId="77777777" w:rsidR="005A56AD" w:rsidRPr="00CB7AB0" w:rsidRDefault="005A56AD" w:rsidP="005A56AD">
      <w:pPr>
        <w:pStyle w:val="subsection"/>
        <w:rPr>
          <w:i/>
          <w:iCs/>
        </w:rPr>
      </w:pPr>
      <w:r>
        <w:rPr>
          <w:i/>
          <w:iCs/>
        </w:rPr>
        <w:t>Radiocommunications transmitters operating in 859–890 MHz or 935 MHz–960 MHz frequency ranges</w:t>
      </w:r>
    </w:p>
    <w:p w14:paraId="36254DF9" w14:textId="7876A403" w:rsidR="005A56AD" w:rsidRDefault="005A56AD" w:rsidP="005A56AD">
      <w:pPr>
        <w:pStyle w:val="subsection"/>
      </w:pPr>
      <w:r>
        <w:tab/>
        <w:t>(</w:t>
      </w:r>
      <w:r w:rsidR="00596405">
        <w:t>1</w:t>
      </w:r>
      <w:r>
        <w:t>)</w:t>
      </w:r>
      <w:r>
        <w:tab/>
        <w:t>The unwanted emission limits in Table 1, measured over the measurement bandwidth, apply to non-AAS transmitters:</w:t>
      </w:r>
    </w:p>
    <w:p w14:paraId="502D1103" w14:textId="77777777" w:rsidR="005A56AD" w:rsidRPr="00FF3517" w:rsidRDefault="005A56AD" w:rsidP="005A56AD">
      <w:pPr>
        <w:pStyle w:val="paragraph0"/>
        <w:tabs>
          <w:tab w:val="left" w:pos="2160"/>
          <w:tab w:val="left" w:pos="2880"/>
          <w:tab w:val="left" w:pos="3600"/>
          <w:tab w:val="center" w:pos="4513"/>
        </w:tabs>
        <w:spacing w:before="0"/>
      </w:pPr>
      <w:r w:rsidRPr="00FF3517">
        <w:tab/>
        <w:t>(a)</w:t>
      </w:r>
      <w:r w:rsidRPr="00FF3517">
        <w:tab/>
      </w:r>
      <w:r w:rsidRPr="00840CBF">
        <w:t>for transmitters operating in the frequency range 859</w:t>
      </w:r>
      <w:r>
        <w:t xml:space="preserve"> MHz–</w:t>
      </w:r>
      <w:r w:rsidRPr="00840CBF">
        <w:t>890 MHz</w:t>
      </w:r>
      <w:r>
        <w:t xml:space="preserve"> – </w:t>
      </w:r>
      <w:r w:rsidRPr="00BD261F">
        <w:t xml:space="preserve"> </w:t>
      </w:r>
      <w:r>
        <w:t>in the frequency</w:t>
      </w:r>
      <w:r w:rsidRPr="00840CBF">
        <w:t xml:space="preserve"> range 849</w:t>
      </w:r>
      <w:r>
        <w:t xml:space="preserve"> MHz–</w:t>
      </w:r>
      <w:r w:rsidRPr="00840CBF">
        <w:t>900 MHz</w:t>
      </w:r>
      <w:r>
        <w:t>;</w:t>
      </w:r>
    </w:p>
    <w:p w14:paraId="6BF28BD6" w14:textId="77777777" w:rsidR="005A56AD" w:rsidRPr="00FF3517" w:rsidRDefault="005A56AD" w:rsidP="005A56AD">
      <w:pPr>
        <w:pStyle w:val="paragraph0"/>
        <w:tabs>
          <w:tab w:val="left" w:pos="2160"/>
          <w:tab w:val="left" w:pos="2880"/>
          <w:tab w:val="left" w:pos="3600"/>
          <w:tab w:val="center" w:pos="4513"/>
        </w:tabs>
        <w:spacing w:before="0"/>
      </w:pPr>
      <w:r w:rsidRPr="00FF3517">
        <w:tab/>
        <w:t>(b)</w:t>
      </w:r>
      <w:r w:rsidRPr="00FF3517">
        <w:tab/>
      </w:r>
      <w:r w:rsidRPr="00840CBF">
        <w:t>for transmitters operating in the frequency range 935</w:t>
      </w:r>
      <w:r>
        <w:t xml:space="preserve"> MHz–</w:t>
      </w:r>
      <w:r w:rsidRPr="00840CBF">
        <w:t>960 MHz</w:t>
      </w:r>
      <w:r>
        <w:t xml:space="preserve"> – in the frequency range 925 MHz–970 MHz;</w:t>
      </w:r>
    </w:p>
    <w:p w14:paraId="52EB7239" w14:textId="77777777" w:rsidR="005A56AD" w:rsidRPr="00FF3517" w:rsidRDefault="005A56AD" w:rsidP="005A56AD">
      <w:pPr>
        <w:pStyle w:val="subsection"/>
        <w:spacing w:before="60"/>
      </w:pPr>
      <w:r w:rsidRPr="00FF3517">
        <w:tab/>
      </w:r>
      <w:r>
        <w:tab/>
      </w:r>
      <w:r w:rsidRPr="00FF3517">
        <w:t>where:</w:t>
      </w:r>
    </w:p>
    <w:p w14:paraId="2D89DAB0" w14:textId="77777777" w:rsidR="005A56AD" w:rsidRPr="00FF3517" w:rsidRDefault="005A56AD" w:rsidP="005A56AD">
      <w:pPr>
        <w:pStyle w:val="paragraph0"/>
        <w:tabs>
          <w:tab w:val="clear" w:pos="1531"/>
          <w:tab w:val="left" w:pos="2160"/>
          <w:tab w:val="left" w:pos="2880"/>
          <w:tab w:val="left" w:pos="3600"/>
          <w:tab w:val="center" w:pos="4513"/>
        </w:tabs>
        <w:spacing w:before="60"/>
        <w:ind w:left="1134"/>
      </w:pPr>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p>
    <w:p w14:paraId="1C974D95" w14:textId="77777777" w:rsidR="005A56AD" w:rsidRPr="00FF3517" w:rsidRDefault="005A56AD" w:rsidP="005A56AD">
      <w:pPr>
        <w:pStyle w:val="ItemHead"/>
        <w:tabs>
          <w:tab w:val="left" w:pos="2520"/>
        </w:tabs>
        <w:spacing w:after="120"/>
        <w:ind w:left="1134" w:hanging="1134"/>
        <w:rPr>
          <w:rFonts w:ascii="Times New Roman" w:hAnsi="Times New Roman"/>
          <w:vertAlign w:val="subscript"/>
        </w:rPr>
      </w:pPr>
      <w:r w:rsidRPr="00FF3517">
        <w:rPr>
          <w:rFonts w:ascii="Times New Roman" w:hAnsi="Times New Roman"/>
        </w:rPr>
        <w:t>Table 1</w:t>
      </w:r>
      <w:r w:rsidRPr="00FF3517">
        <w:rPr>
          <w:rFonts w:ascii="Times New Roman" w:hAnsi="Times New Roman"/>
        </w:rPr>
        <w:tab/>
      </w:r>
      <w:r>
        <w:rPr>
          <w:rFonts w:ascii="Times New Roman" w:hAnsi="Times New Roman"/>
        </w:rPr>
        <w:t>Unwanted emission limits in 849 MHz to 900 MHz and 925 MHz to 970 MHz for transmitters operating in 859 MHz to 890 MHz or 935 MHz to 960 MHz – non-AAS transmitters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2983"/>
        <w:gridCol w:w="1980"/>
      </w:tblGrid>
      <w:tr w:rsidR="005A56AD" w:rsidRPr="00FF3517" w14:paraId="79831332" w14:textId="77777777" w:rsidTr="00985940">
        <w:trPr>
          <w:cantSplit/>
          <w:jc w:val="center"/>
        </w:trPr>
        <w:tc>
          <w:tcPr>
            <w:tcW w:w="2972" w:type="dxa"/>
          </w:tcPr>
          <w:p w14:paraId="73881715"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73620F">
              <w:rPr>
                <w:rFonts w:ascii="Times New Roman" w:hAnsi="Times New Roman"/>
                <w:b/>
                <w:color w:val="000000"/>
              </w:rPr>
              <w:t>Frequency offset of measurement filter 3dB point from upper/lower limit of licence</w:t>
            </w:r>
          </w:p>
        </w:tc>
        <w:tc>
          <w:tcPr>
            <w:tcW w:w="3350" w:type="dxa"/>
          </w:tcPr>
          <w:p w14:paraId="46EA652F"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73620F">
              <w:rPr>
                <w:rFonts w:ascii="Times New Roman" w:hAnsi="Times New Roman"/>
                <w:b/>
                <w:color w:val="000000"/>
              </w:rPr>
              <w:t xml:space="preserve">Mean </w:t>
            </w:r>
            <w:r>
              <w:rPr>
                <w:rFonts w:ascii="Times New Roman" w:hAnsi="Times New Roman"/>
                <w:b/>
                <w:color w:val="000000"/>
              </w:rPr>
              <w:t>p</w:t>
            </w:r>
            <w:r w:rsidRPr="0073620F">
              <w:rPr>
                <w:rFonts w:ascii="Times New Roman" w:hAnsi="Times New Roman"/>
                <w:b/>
                <w:color w:val="000000"/>
              </w:rPr>
              <w:t xml:space="preserve">ower per </w:t>
            </w:r>
            <w:r>
              <w:rPr>
                <w:rFonts w:ascii="Times New Roman" w:hAnsi="Times New Roman"/>
                <w:b/>
                <w:color w:val="000000"/>
              </w:rPr>
              <w:t>t</w:t>
            </w:r>
            <w:r w:rsidRPr="0073620F">
              <w:rPr>
                <w:rFonts w:ascii="Times New Roman" w:hAnsi="Times New Roman"/>
                <w:b/>
                <w:color w:val="000000"/>
              </w:rPr>
              <w:t>ransmitter</w:t>
            </w:r>
            <w:r w:rsidRPr="0073620F" w:rsidDel="0073620F">
              <w:rPr>
                <w:rFonts w:ascii="Times New Roman" w:hAnsi="Times New Roman"/>
                <w:b/>
                <w:color w:val="000000"/>
              </w:rPr>
              <w:t xml:space="preserve"> </w:t>
            </w:r>
            <w:r w:rsidRPr="00FF3517">
              <w:rPr>
                <w:rFonts w:ascii="Times New Roman" w:hAnsi="Times New Roman"/>
                <w:b/>
                <w:color w:val="000000"/>
              </w:rPr>
              <w:t>(dBm)</w:t>
            </w:r>
          </w:p>
        </w:tc>
        <w:tc>
          <w:tcPr>
            <w:tcW w:w="2102" w:type="dxa"/>
          </w:tcPr>
          <w:p w14:paraId="29388CEC"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6239A3C1" w14:textId="77777777" w:rsidTr="00985940">
        <w:trPr>
          <w:cantSplit/>
          <w:jc w:val="center"/>
        </w:trPr>
        <w:tc>
          <w:tcPr>
            <w:tcW w:w="2972" w:type="dxa"/>
          </w:tcPr>
          <w:p w14:paraId="348460B9"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5 MHz</w:t>
            </w:r>
          </w:p>
        </w:tc>
        <w:tc>
          <w:tcPr>
            <w:tcW w:w="3350" w:type="dxa"/>
          </w:tcPr>
          <w:p w14:paraId="557F60EA" w14:textId="77777777" w:rsidR="005A56AD" w:rsidRPr="0024586D" w:rsidRDefault="005A56AD" w:rsidP="00985940">
            <w:pPr>
              <w:jc w:val="center"/>
              <w:rPr>
                <w:rFonts w:ascii="Times New Roman" w:hAnsi="Times New Roman"/>
                <w:color w:val="000000"/>
              </w:rPr>
            </w:pPr>
            <m:oMathPara>
              <m:oMath>
                <m:r>
                  <w:rPr>
                    <w:rFonts w:ascii="Cambria Math" w:hAnsi="Cambria Math"/>
                    <w:color w:val="000000"/>
                  </w:rPr>
                  <m:t>-7dBm-</m:t>
                </m:r>
                <m:f>
                  <m:fPr>
                    <m:ctrlPr>
                      <w:rPr>
                        <w:rFonts w:ascii="Cambria Math" w:hAnsi="Cambria Math"/>
                        <w:i/>
                        <w:color w:val="000000"/>
                      </w:rPr>
                    </m:ctrlPr>
                  </m:fPr>
                  <m:num>
                    <m:r>
                      <w:rPr>
                        <w:rFonts w:ascii="Cambria Math" w:hAnsi="Cambria Math"/>
                        <w:color w:val="000000"/>
                      </w:rPr>
                      <m:t>7</m:t>
                    </m:r>
                  </m:num>
                  <m:den>
                    <m:r>
                      <w:rPr>
                        <w:rFonts w:ascii="Cambria Math" w:hAnsi="Cambria Math"/>
                        <w:color w:val="000000"/>
                      </w:rPr>
                      <m:t>5</m:t>
                    </m:r>
                  </m:den>
                </m:f>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offset</m:t>
                            </m:r>
                          </m:sub>
                        </m:sSub>
                      </m:num>
                      <m:den>
                        <m:r>
                          <w:rPr>
                            <w:rFonts w:ascii="Cambria Math" w:hAnsi="Cambria Math"/>
                            <w:color w:val="000000"/>
                          </w:rPr>
                          <m:t>MHz</m:t>
                        </m:r>
                      </m:den>
                    </m:f>
                    <m:r>
                      <w:rPr>
                        <w:rFonts w:ascii="Cambria Math" w:hAnsi="Cambria Math"/>
                        <w:color w:val="000000"/>
                      </w:rPr>
                      <m:t>-0.05</m:t>
                    </m:r>
                  </m:e>
                </m:d>
                <m:r>
                  <w:rPr>
                    <w:rFonts w:ascii="Cambria Math" w:hAnsi="Cambria Math"/>
                    <w:color w:val="000000"/>
                  </w:rPr>
                  <m:t>dB</m:t>
                </m:r>
              </m:oMath>
            </m:oMathPara>
          </w:p>
        </w:tc>
        <w:tc>
          <w:tcPr>
            <w:tcW w:w="2102" w:type="dxa"/>
            <w:vAlign w:val="center"/>
          </w:tcPr>
          <w:p w14:paraId="12B5C455" w14:textId="77777777" w:rsidR="005A56AD" w:rsidRPr="00FF3517" w:rsidRDefault="005A56AD" w:rsidP="00985940">
            <w:pPr>
              <w:jc w:val="center"/>
              <w:rPr>
                <w:rFonts w:ascii="Times New Roman" w:hAnsi="Times New Roman"/>
              </w:rPr>
            </w:pPr>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0E5D5F0B" w14:textId="77777777" w:rsidTr="00985940">
        <w:trPr>
          <w:cantSplit/>
          <w:jc w:val="center"/>
        </w:trPr>
        <w:tc>
          <w:tcPr>
            <w:tcW w:w="2972" w:type="dxa"/>
          </w:tcPr>
          <w:p w14:paraId="584C09C4"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781F7832" w14:textId="77777777" w:rsidR="005A56AD" w:rsidRPr="00C03BD5" w:rsidRDefault="005A56AD" w:rsidP="00985940">
            <w:pPr>
              <w:jc w:val="center"/>
              <w:rPr>
                <w:rFonts w:ascii="Times New Roman" w:hAnsi="Times New Roman"/>
                <w:noProof/>
              </w:rPr>
            </w:pPr>
            <w:r w:rsidRPr="00C03BD5">
              <w:rPr>
                <w:rFonts w:ascii="Times New Roman" w:hAnsi="Times New Roman"/>
                <w:noProof/>
              </w:rPr>
              <w:t>-14</w:t>
            </w:r>
          </w:p>
        </w:tc>
        <w:tc>
          <w:tcPr>
            <w:tcW w:w="2102" w:type="dxa"/>
            <w:vAlign w:val="center"/>
          </w:tcPr>
          <w:p w14:paraId="6A5307C1"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3CB3BB46" w14:textId="77777777" w:rsidTr="00985940">
        <w:trPr>
          <w:cantSplit/>
          <w:jc w:val="center"/>
        </w:trPr>
        <w:tc>
          <w:tcPr>
            <w:tcW w:w="2972" w:type="dxa"/>
          </w:tcPr>
          <w:p w14:paraId="2F13DA00" w14:textId="77777777" w:rsidR="005A56AD" w:rsidRDefault="005A56AD" w:rsidP="00985940">
            <w:pPr>
              <w:tabs>
                <w:tab w:val="right" w:pos="1080"/>
                <w:tab w:val="left" w:pos="1260"/>
                <w:tab w:val="left" w:pos="1800"/>
              </w:tabs>
              <w:spacing w:before="40"/>
              <w:jc w:val="center"/>
              <w:rPr>
                <w:rFonts w:ascii="Times New Roman" w:hAnsi="Times New Roman"/>
                <w:color w:val="000000"/>
              </w:rPr>
            </w:pP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279F03E6" w14:textId="77777777" w:rsidR="005A56AD" w:rsidRPr="00C03BD5" w:rsidRDefault="005A56AD" w:rsidP="00985940">
            <w:pPr>
              <w:jc w:val="center"/>
              <w:rPr>
                <w:rFonts w:ascii="Times New Roman" w:hAnsi="Times New Roman"/>
                <w:noProof/>
              </w:rPr>
            </w:pPr>
            <w:r w:rsidRPr="00C03BD5">
              <w:rPr>
                <w:rFonts w:ascii="Times New Roman" w:hAnsi="Times New Roman"/>
                <w:noProof/>
              </w:rPr>
              <w:t>-16</w:t>
            </w:r>
          </w:p>
        </w:tc>
        <w:tc>
          <w:tcPr>
            <w:tcW w:w="2102" w:type="dxa"/>
            <w:vAlign w:val="center"/>
          </w:tcPr>
          <w:p w14:paraId="1A65567D"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bl>
    <w:p w14:paraId="5624394E" w14:textId="72B5831E" w:rsidR="005A56AD" w:rsidRDefault="005A56AD" w:rsidP="005A56AD">
      <w:pPr>
        <w:pStyle w:val="subsection"/>
      </w:pPr>
      <w:r>
        <w:tab/>
        <w:t>(</w:t>
      </w:r>
      <w:r w:rsidR="00596405">
        <w:t>2</w:t>
      </w:r>
      <w:r>
        <w:t>)</w:t>
      </w:r>
      <w:r>
        <w:tab/>
        <w:t>The unwanted emission limits in Table 2, measured over the measurement bandwidth, apply to transmitters with AAS:</w:t>
      </w:r>
    </w:p>
    <w:p w14:paraId="46B74D1D" w14:textId="77777777" w:rsidR="005A56AD" w:rsidRPr="00FF3517" w:rsidRDefault="005A56AD" w:rsidP="005A56AD">
      <w:pPr>
        <w:pStyle w:val="paragraph0"/>
        <w:tabs>
          <w:tab w:val="left" w:pos="2160"/>
          <w:tab w:val="left" w:pos="2880"/>
          <w:tab w:val="left" w:pos="3600"/>
          <w:tab w:val="center" w:pos="4513"/>
        </w:tabs>
        <w:spacing w:before="0"/>
      </w:pPr>
      <w:r w:rsidRPr="00FF3517">
        <w:tab/>
        <w:t>(a)</w:t>
      </w:r>
      <w:r w:rsidRPr="00FF3517">
        <w:tab/>
      </w:r>
      <w:r w:rsidRPr="00840CBF">
        <w:t>for transmitters operating in the frequency range 859</w:t>
      </w:r>
      <w:r>
        <w:t xml:space="preserve"> MHz–</w:t>
      </w:r>
      <w:r w:rsidRPr="00840CBF">
        <w:t>890 MHz</w:t>
      </w:r>
      <w:r>
        <w:t xml:space="preserve"> – in the frequency</w:t>
      </w:r>
      <w:r w:rsidRPr="00840CBF">
        <w:t xml:space="preserve"> range 849</w:t>
      </w:r>
      <w:r>
        <w:t xml:space="preserve"> MHz–</w:t>
      </w:r>
      <w:r w:rsidRPr="00840CBF">
        <w:t>900 MHz</w:t>
      </w:r>
      <w:r>
        <w:t>;</w:t>
      </w:r>
    </w:p>
    <w:p w14:paraId="01161AF8" w14:textId="77777777" w:rsidR="005A56AD" w:rsidRDefault="005A56AD" w:rsidP="005A56AD">
      <w:pPr>
        <w:pStyle w:val="paragraph0"/>
        <w:tabs>
          <w:tab w:val="left" w:pos="2160"/>
          <w:tab w:val="left" w:pos="2880"/>
          <w:tab w:val="left" w:pos="3600"/>
          <w:tab w:val="center" w:pos="4513"/>
        </w:tabs>
        <w:spacing w:before="0"/>
      </w:pPr>
      <w:r w:rsidRPr="00FF3517">
        <w:tab/>
        <w:t>(b)</w:t>
      </w:r>
      <w:r w:rsidRPr="00FF3517">
        <w:tab/>
      </w:r>
      <w:r w:rsidRPr="00840CBF">
        <w:t>for transmitters operating in the frequency range 935</w:t>
      </w:r>
      <w:r>
        <w:t xml:space="preserve"> MHz–</w:t>
      </w:r>
      <w:r w:rsidRPr="00840CBF">
        <w:t>960 MHz</w:t>
      </w:r>
      <w:r>
        <w:t xml:space="preserve"> – in the frequency</w:t>
      </w:r>
      <w:r w:rsidRPr="00840CBF">
        <w:t xml:space="preserve"> range 925</w:t>
      </w:r>
      <w:r>
        <w:t xml:space="preserve"> MHz–</w:t>
      </w:r>
      <w:r w:rsidRPr="00840CBF">
        <w:t>9</w:t>
      </w:r>
      <w:r>
        <w:t>6</w:t>
      </w:r>
      <w:r w:rsidRPr="00840CBF">
        <w:t>0 MHz</w:t>
      </w:r>
      <w:r>
        <w:t>;</w:t>
      </w:r>
    </w:p>
    <w:p w14:paraId="48154FDE" w14:textId="77777777" w:rsidR="005A56AD" w:rsidRPr="00FF3517" w:rsidRDefault="005A56AD" w:rsidP="005A56AD">
      <w:pPr>
        <w:pStyle w:val="subsection"/>
        <w:spacing w:before="60"/>
      </w:pPr>
      <w:r>
        <w:tab/>
      </w:r>
      <w:r>
        <w:tab/>
      </w:r>
      <w:r w:rsidRPr="00FF3517">
        <w:t>where:</w:t>
      </w:r>
    </w:p>
    <w:p w14:paraId="74A5E531" w14:textId="77777777" w:rsidR="005A56AD" w:rsidRPr="00FF3517" w:rsidRDefault="005A56AD" w:rsidP="005A56AD">
      <w:pPr>
        <w:pStyle w:val="paragraph0"/>
        <w:tabs>
          <w:tab w:val="clear" w:pos="1531"/>
          <w:tab w:val="left" w:pos="2160"/>
          <w:tab w:val="left" w:pos="2880"/>
          <w:tab w:val="left" w:pos="3600"/>
          <w:tab w:val="center" w:pos="4513"/>
        </w:tabs>
        <w:spacing w:before="60"/>
        <w:ind w:left="1134"/>
      </w:pPr>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p>
    <w:p w14:paraId="1B568389" w14:textId="77777777" w:rsidR="005A56AD" w:rsidRPr="00FF3517" w:rsidRDefault="005A56AD" w:rsidP="005A56AD">
      <w:pPr>
        <w:pStyle w:val="ItemHead"/>
        <w:tabs>
          <w:tab w:val="left" w:pos="2520"/>
        </w:tabs>
        <w:spacing w:after="120"/>
        <w:ind w:left="1134" w:hanging="1134"/>
        <w:rPr>
          <w:rFonts w:ascii="Times New Roman" w:hAnsi="Times New Roman"/>
          <w:vertAlign w:val="subscript"/>
        </w:rPr>
      </w:pPr>
      <w:r w:rsidRPr="00FF3517">
        <w:rPr>
          <w:rFonts w:ascii="Times New Roman" w:hAnsi="Times New Roman"/>
        </w:rPr>
        <w:lastRenderedPageBreak/>
        <w:t xml:space="preserve">Table </w:t>
      </w:r>
      <w:r>
        <w:rPr>
          <w:rFonts w:ascii="Times New Roman" w:hAnsi="Times New Roman"/>
        </w:rPr>
        <w:t>2</w:t>
      </w:r>
      <w:r w:rsidRPr="00FF3517">
        <w:rPr>
          <w:rFonts w:ascii="Times New Roman" w:hAnsi="Times New Roman"/>
        </w:rPr>
        <w:tab/>
      </w:r>
      <w:r>
        <w:rPr>
          <w:rFonts w:ascii="Times New Roman" w:hAnsi="Times New Roman"/>
        </w:rPr>
        <w:t>Unwanted emission limits in 849 MHz to 900 MHz and 925 MHz to 960 MHz for transmitters operating in 859 MHz to 890 MHz or 935 MHz to 960 MHz –transmitters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23"/>
        <w:gridCol w:w="1968"/>
      </w:tblGrid>
      <w:tr w:rsidR="005A56AD" w:rsidRPr="00FF3517" w14:paraId="1E74C60F" w14:textId="77777777" w:rsidTr="00985940">
        <w:trPr>
          <w:cantSplit/>
          <w:jc w:val="center"/>
        </w:trPr>
        <w:tc>
          <w:tcPr>
            <w:tcW w:w="2972" w:type="dxa"/>
          </w:tcPr>
          <w:p w14:paraId="6100E6A0"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73620F">
              <w:rPr>
                <w:rFonts w:ascii="Times New Roman" w:hAnsi="Times New Roman"/>
                <w:b/>
                <w:color w:val="000000"/>
              </w:rPr>
              <w:t>Frequency offset of measurement filter 3dB point from upper/lower limit of licence</w:t>
            </w:r>
          </w:p>
        </w:tc>
        <w:tc>
          <w:tcPr>
            <w:tcW w:w="3350" w:type="dxa"/>
          </w:tcPr>
          <w:p w14:paraId="7A9C6961"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Pr>
                <w:rFonts w:ascii="Times New Roman" w:hAnsi="Times New Roman"/>
                <w:b/>
                <w:color w:val="000000"/>
              </w:rPr>
              <w:t>Total radiated power per</w:t>
            </w:r>
            <w:r w:rsidRPr="0073620F">
              <w:rPr>
                <w:rFonts w:ascii="Times New Roman" w:hAnsi="Times New Roman"/>
                <w:b/>
                <w:color w:val="000000"/>
              </w:rPr>
              <w:t xml:space="preserve"> </w:t>
            </w:r>
            <w:r>
              <w:rPr>
                <w:rFonts w:ascii="Times New Roman" w:hAnsi="Times New Roman"/>
                <w:b/>
                <w:color w:val="000000"/>
              </w:rPr>
              <w:t>sector</w:t>
            </w:r>
            <w:r w:rsidRPr="0073620F" w:rsidDel="0073620F">
              <w:rPr>
                <w:rFonts w:ascii="Times New Roman" w:hAnsi="Times New Roman"/>
                <w:b/>
                <w:color w:val="000000"/>
              </w:rPr>
              <w:t xml:space="preserve"> </w:t>
            </w:r>
            <w:r w:rsidRPr="00FF3517">
              <w:rPr>
                <w:rFonts w:ascii="Times New Roman" w:hAnsi="Times New Roman"/>
                <w:b/>
                <w:color w:val="000000"/>
              </w:rPr>
              <w:t>(dBm)</w:t>
            </w:r>
          </w:p>
        </w:tc>
        <w:tc>
          <w:tcPr>
            <w:tcW w:w="2102" w:type="dxa"/>
          </w:tcPr>
          <w:p w14:paraId="5D83A599"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0DAB7B87" w14:textId="77777777" w:rsidTr="00985940">
        <w:trPr>
          <w:cantSplit/>
          <w:jc w:val="center"/>
        </w:trPr>
        <w:tc>
          <w:tcPr>
            <w:tcW w:w="2972" w:type="dxa"/>
          </w:tcPr>
          <w:p w14:paraId="00DF0160"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 5 MHz</w:t>
            </w:r>
          </w:p>
        </w:tc>
        <w:tc>
          <w:tcPr>
            <w:tcW w:w="3350" w:type="dxa"/>
          </w:tcPr>
          <w:p w14:paraId="06445DC6" w14:textId="77777777" w:rsidR="005A56AD" w:rsidRPr="0024586D" w:rsidRDefault="005A56AD" w:rsidP="00985940">
            <w:pPr>
              <w:jc w:val="center"/>
              <w:rPr>
                <w:rFonts w:ascii="Times New Roman" w:hAnsi="Times New Roman"/>
                <w:color w:val="000000"/>
              </w:rPr>
            </w:pPr>
            <m:oMathPara>
              <m:oMath>
                <m:r>
                  <w:rPr>
                    <w:rFonts w:ascii="Cambria Math" w:hAnsi="Cambria Math"/>
                    <w:color w:val="000000"/>
                  </w:rPr>
                  <m:t>2 dBm-</m:t>
                </m:r>
                <m:f>
                  <m:fPr>
                    <m:ctrlPr>
                      <w:rPr>
                        <w:rFonts w:ascii="Cambria Math" w:hAnsi="Cambria Math"/>
                        <w:i/>
                        <w:color w:val="000000"/>
                      </w:rPr>
                    </m:ctrlPr>
                  </m:fPr>
                  <m:num>
                    <m:r>
                      <w:rPr>
                        <w:rFonts w:ascii="Cambria Math" w:hAnsi="Cambria Math"/>
                        <w:color w:val="000000"/>
                      </w:rPr>
                      <m:t>7</m:t>
                    </m:r>
                  </m:num>
                  <m:den>
                    <m:r>
                      <w:rPr>
                        <w:rFonts w:ascii="Cambria Math" w:hAnsi="Cambria Math"/>
                        <w:color w:val="000000"/>
                      </w:rPr>
                      <m:t>5</m:t>
                    </m:r>
                  </m:den>
                </m:f>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offset</m:t>
                            </m:r>
                          </m:sub>
                        </m:sSub>
                      </m:num>
                      <m:den>
                        <m:r>
                          <w:rPr>
                            <w:rFonts w:ascii="Cambria Math" w:hAnsi="Cambria Math"/>
                            <w:color w:val="000000"/>
                          </w:rPr>
                          <m:t>MHz</m:t>
                        </m:r>
                      </m:den>
                    </m:f>
                  </m:e>
                </m:d>
                <m:r>
                  <w:rPr>
                    <w:rFonts w:ascii="Cambria Math" w:hAnsi="Cambria Math"/>
                    <w:color w:val="000000"/>
                  </w:rPr>
                  <m:t>dB</m:t>
                </m:r>
              </m:oMath>
            </m:oMathPara>
          </w:p>
        </w:tc>
        <w:tc>
          <w:tcPr>
            <w:tcW w:w="2102" w:type="dxa"/>
            <w:vAlign w:val="center"/>
          </w:tcPr>
          <w:p w14:paraId="07CE3A9E" w14:textId="77777777" w:rsidR="005A56AD" w:rsidRPr="00FF3517" w:rsidRDefault="005A56AD" w:rsidP="00985940">
            <w:pPr>
              <w:jc w:val="center"/>
              <w:rPr>
                <w:rFonts w:ascii="Times New Roman" w:hAnsi="Times New Roman"/>
              </w:rPr>
            </w:pPr>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45E11A56" w14:textId="77777777" w:rsidTr="00985940">
        <w:trPr>
          <w:cantSplit/>
          <w:jc w:val="center"/>
        </w:trPr>
        <w:tc>
          <w:tcPr>
            <w:tcW w:w="2972" w:type="dxa"/>
          </w:tcPr>
          <w:p w14:paraId="06AEA020"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7441AC7E" w14:textId="77777777" w:rsidR="005A56AD" w:rsidRPr="00C03BD5" w:rsidRDefault="005A56AD" w:rsidP="00985940">
            <w:pPr>
              <w:jc w:val="center"/>
              <w:rPr>
                <w:rFonts w:ascii="Times New Roman" w:hAnsi="Times New Roman"/>
                <w:noProof/>
              </w:rPr>
            </w:pPr>
            <w:r w:rsidRPr="00C03BD5">
              <w:rPr>
                <w:rFonts w:ascii="Times New Roman" w:hAnsi="Times New Roman"/>
                <w:noProof/>
              </w:rPr>
              <w:t>-</w:t>
            </w:r>
            <w:r>
              <w:rPr>
                <w:rFonts w:ascii="Times New Roman" w:hAnsi="Times New Roman"/>
                <w:noProof/>
              </w:rPr>
              <w:t>5</w:t>
            </w:r>
          </w:p>
        </w:tc>
        <w:tc>
          <w:tcPr>
            <w:tcW w:w="2102" w:type="dxa"/>
            <w:vAlign w:val="center"/>
          </w:tcPr>
          <w:p w14:paraId="16834B01"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7108EA9A" w14:textId="77777777" w:rsidTr="00985940">
        <w:trPr>
          <w:cantSplit/>
          <w:jc w:val="center"/>
        </w:trPr>
        <w:tc>
          <w:tcPr>
            <w:tcW w:w="2972" w:type="dxa"/>
          </w:tcPr>
          <w:p w14:paraId="67BC3F30" w14:textId="77777777" w:rsidR="005A56AD" w:rsidRDefault="005A56AD" w:rsidP="00985940">
            <w:pPr>
              <w:tabs>
                <w:tab w:val="right" w:pos="1080"/>
                <w:tab w:val="left" w:pos="1260"/>
                <w:tab w:val="left" w:pos="1800"/>
              </w:tabs>
              <w:spacing w:before="40"/>
              <w:jc w:val="center"/>
              <w:rPr>
                <w:rFonts w:ascii="Times New Roman" w:hAnsi="Times New Roman"/>
                <w:color w:val="000000"/>
              </w:rPr>
            </w:pP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3BD10E7F" w14:textId="77777777" w:rsidR="005A56AD" w:rsidRPr="00C03BD5" w:rsidRDefault="005A56AD" w:rsidP="00985940">
            <w:pPr>
              <w:jc w:val="center"/>
              <w:rPr>
                <w:rFonts w:ascii="Times New Roman" w:hAnsi="Times New Roman"/>
                <w:noProof/>
              </w:rPr>
            </w:pPr>
            <w:r w:rsidRPr="00C03BD5">
              <w:rPr>
                <w:rFonts w:ascii="Times New Roman" w:hAnsi="Times New Roman"/>
                <w:noProof/>
              </w:rPr>
              <w:t>-</w:t>
            </w:r>
            <w:r>
              <w:rPr>
                <w:rFonts w:ascii="Times New Roman" w:hAnsi="Times New Roman"/>
                <w:noProof/>
              </w:rPr>
              <w:t>7</w:t>
            </w:r>
          </w:p>
        </w:tc>
        <w:tc>
          <w:tcPr>
            <w:tcW w:w="2102" w:type="dxa"/>
            <w:vAlign w:val="center"/>
          </w:tcPr>
          <w:p w14:paraId="5E25F3DA"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bl>
    <w:p w14:paraId="7E1D122C" w14:textId="54A9A16C" w:rsidR="005A56AD" w:rsidRDefault="005A56AD" w:rsidP="005A56AD">
      <w:pPr>
        <w:pStyle w:val="subsection"/>
      </w:pPr>
      <w:r>
        <w:tab/>
        <w:t>(</w:t>
      </w:r>
      <w:r w:rsidR="00596405">
        <w:t>3</w:t>
      </w:r>
      <w:r>
        <w:t>)</w:t>
      </w:r>
      <w:r>
        <w:tab/>
        <w:t>The unwanted emission limits in Table 3, measured over the measurement bandwidth, apply to non-AAS transmitters:</w:t>
      </w:r>
    </w:p>
    <w:p w14:paraId="3C4F287B" w14:textId="77777777" w:rsidR="005A56AD" w:rsidRPr="00FF3517" w:rsidRDefault="005A56AD" w:rsidP="005A56AD">
      <w:pPr>
        <w:pStyle w:val="paragraph0"/>
        <w:tabs>
          <w:tab w:val="left" w:pos="2160"/>
          <w:tab w:val="left" w:pos="2880"/>
          <w:tab w:val="left" w:pos="3600"/>
          <w:tab w:val="center" w:pos="4513"/>
        </w:tabs>
        <w:spacing w:before="0"/>
      </w:pPr>
      <w:r w:rsidRPr="00FF3517">
        <w:tab/>
        <w:t>(a)</w:t>
      </w:r>
      <w:r w:rsidRPr="00FF3517">
        <w:tab/>
      </w:r>
      <w:r w:rsidRPr="00840CBF">
        <w:t>for transmitters operating in the frequency range 859</w:t>
      </w:r>
      <w:r>
        <w:t xml:space="preserve"> MHz–</w:t>
      </w:r>
      <w:r w:rsidRPr="00840CBF">
        <w:t>890 MHz</w:t>
      </w:r>
      <w:r>
        <w:t xml:space="preserve"> – outside the frequency</w:t>
      </w:r>
      <w:r w:rsidRPr="00840CBF">
        <w:t xml:space="preserve"> range 849</w:t>
      </w:r>
      <w:r>
        <w:t xml:space="preserve"> MHz–</w:t>
      </w:r>
      <w:r w:rsidRPr="00840CBF">
        <w:t>900 MHz</w:t>
      </w:r>
      <w:r>
        <w:t>;</w:t>
      </w:r>
    </w:p>
    <w:p w14:paraId="43D0D252" w14:textId="77777777" w:rsidR="005A56AD" w:rsidRPr="00A6638D" w:rsidRDefault="005A56AD" w:rsidP="005A56AD">
      <w:pPr>
        <w:pStyle w:val="paragraph0"/>
        <w:tabs>
          <w:tab w:val="left" w:pos="2160"/>
          <w:tab w:val="left" w:pos="2880"/>
          <w:tab w:val="left" w:pos="3600"/>
          <w:tab w:val="center" w:pos="4513"/>
        </w:tabs>
      </w:pPr>
      <w:r w:rsidRPr="00FF3517">
        <w:tab/>
        <w:t>(b)</w:t>
      </w:r>
      <w:r w:rsidRPr="00FF3517">
        <w:tab/>
      </w:r>
      <w:r w:rsidRPr="00840CBF">
        <w:t>for transmitters operating in the frequency range 935</w:t>
      </w:r>
      <w:r>
        <w:t xml:space="preserve"> MHz–</w:t>
      </w:r>
      <w:r w:rsidRPr="00840CBF">
        <w:t>960 MHz</w:t>
      </w:r>
      <w:r>
        <w:t xml:space="preserve"> – outside the frequency</w:t>
      </w:r>
      <w:r w:rsidRPr="00840CBF">
        <w:t xml:space="preserve"> range 925</w:t>
      </w:r>
      <w:r>
        <w:t xml:space="preserve"> MHz–</w:t>
      </w:r>
      <w:r w:rsidRPr="00840CBF">
        <w:t>9</w:t>
      </w:r>
      <w:r>
        <w:t>6</w:t>
      </w:r>
      <w:r w:rsidRPr="00840CBF">
        <w:t xml:space="preserve">0 </w:t>
      </w:r>
      <w:proofErr w:type="spellStart"/>
      <w:r w:rsidRPr="00840CBF">
        <w:t>MHz</w:t>
      </w:r>
      <w:r>
        <w:t>.</w:t>
      </w:r>
      <w:proofErr w:type="spellEnd"/>
    </w:p>
    <w:p w14:paraId="3D217340" w14:textId="77777777" w:rsidR="005A56AD" w:rsidRPr="0007148C" w:rsidRDefault="005A56AD" w:rsidP="005A56AD">
      <w:pPr>
        <w:pStyle w:val="ItemHead"/>
        <w:tabs>
          <w:tab w:val="left" w:pos="2520"/>
        </w:tabs>
        <w:spacing w:after="120"/>
        <w:ind w:left="1134" w:hanging="1134"/>
      </w:pPr>
      <w:r w:rsidRPr="0007148C">
        <w:rPr>
          <w:rFonts w:ascii="Times New Roman" w:hAnsi="Times New Roman"/>
        </w:rPr>
        <w:t>Table 3</w:t>
      </w:r>
      <w:r w:rsidRPr="00004B17">
        <w:rPr>
          <w:rFonts w:ascii="Times New Roman" w:hAnsi="Times New Roman"/>
        </w:rPr>
        <w:tab/>
      </w:r>
      <w:r>
        <w:rPr>
          <w:rFonts w:ascii="Times New Roman" w:hAnsi="Times New Roman"/>
        </w:rPr>
        <w:t>Unwanted emission limits outside 849 MHz to 900 MHz and 925 MHz to 970 MHz for transmitters operating in 859 MHz to 890 MHz or 935 MHz to 960 MHz – non-AAS transmitters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2716"/>
        <w:gridCol w:w="1999"/>
      </w:tblGrid>
      <w:tr w:rsidR="005A56AD" w:rsidRPr="00FF3517" w14:paraId="0979AED1" w14:textId="77777777" w:rsidTr="00985940">
        <w:trPr>
          <w:cantSplit/>
          <w:jc w:val="center"/>
        </w:trPr>
        <w:tc>
          <w:tcPr>
            <w:tcW w:w="3256" w:type="dxa"/>
          </w:tcPr>
          <w:p w14:paraId="474F2176"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Frequency range</w:t>
            </w:r>
            <w:r>
              <w:rPr>
                <w:rFonts w:ascii="Times New Roman" w:hAnsi="Times New Roman"/>
                <w:b/>
                <w:color w:val="000000"/>
              </w:rPr>
              <w:t xml:space="preserve"> (f) </w:t>
            </w:r>
          </w:p>
        </w:tc>
        <w:tc>
          <w:tcPr>
            <w:tcW w:w="2976" w:type="dxa"/>
          </w:tcPr>
          <w:p w14:paraId="41C38315" w14:textId="77777777" w:rsidR="005A56AD" w:rsidRPr="00FF3517" w:rsidRDefault="005A56AD" w:rsidP="00985940">
            <w:pPr>
              <w:tabs>
                <w:tab w:val="right" w:pos="1080"/>
                <w:tab w:val="left" w:pos="1260"/>
                <w:tab w:val="left" w:pos="1800"/>
              </w:tabs>
              <w:spacing w:before="40"/>
              <w:jc w:val="center"/>
              <w:rPr>
                <w:rFonts w:ascii="Times New Roman" w:hAnsi="Times New Roman"/>
                <w:b/>
                <w:color w:val="000000"/>
              </w:rPr>
            </w:pPr>
            <w:r>
              <w:rPr>
                <w:rFonts w:ascii="Times New Roman" w:hAnsi="Times New Roman"/>
                <w:b/>
                <w:color w:val="000000"/>
              </w:rPr>
              <w:t xml:space="preserve">Mean power per transmitter </w:t>
            </w:r>
            <w:r w:rsidRPr="00FF3517">
              <w:rPr>
                <w:rFonts w:ascii="Times New Roman" w:hAnsi="Times New Roman"/>
                <w:b/>
                <w:color w:val="000000"/>
              </w:rPr>
              <w:t>(dBm)</w:t>
            </w:r>
          </w:p>
        </w:tc>
        <w:tc>
          <w:tcPr>
            <w:tcW w:w="2102" w:type="dxa"/>
            <w:tcBorders>
              <w:bottom w:val="single" w:sz="4" w:space="0" w:color="auto"/>
            </w:tcBorders>
          </w:tcPr>
          <w:p w14:paraId="0488A6F5" w14:textId="77777777" w:rsidR="005A56AD" w:rsidRPr="00FF3517" w:rsidRDefault="005A56AD" w:rsidP="00985940">
            <w:pPr>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53C0E184" w14:textId="77777777" w:rsidTr="00985940">
        <w:trPr>
          <w:cantSplit/>
          <w:jc w:val="center"/>
        </w:trPr>
        <w:tc>
          <w:tcPr>
            <w:tcW w:w="3256" w:type="dxa"/>
          </w:tcPr>
          <w:p w14:paraId="1C34490A"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p>
        </w:tc>
        <w:tc>
          <w:tcPr>
            <w:tcW w:w="2976" w:type="dxa"/>
          </w:tcPr>
          <w:p w14:paraId="1CE2D88E" w14:textId="77777777" w:rsidR="005A56AD" w:rsidRPr="00F21834"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bottom w:val="single" w:sz="4" w:space="0" w:color="auto"/>
            </w:tcBorders>
            <w:vAlign w:val="center"/>
          </w:tcPr>
          <w:p w14:paraId="459A83D8" w14:textId="77777777" w:rsidR="005A56AD" w:rsidRPr="00FF3517" w:rsidRDefault="005A56AD" w:rsidP="00985940">
            <w:pPr>
              <w:jc w:val="center"/>
              <w:rPr>
                <w:rFonts w:ascii="Times New Roman" w:hAnsi="Times New Roman"/>
              </w:rPr>
            </w:pPr>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5832C5DC" w14:textId="77777777" w:rsidTr="00985940">
        <w:trPr>
          <w:cantSplit/>
          <w:jc w:val="center"/>
        </w:trPr>
        <w:tc>
          <w:tcPr>
            <w:tcW w:w="3256" w:type="dxa"/>
          </w:tcPr>
          <w:p w14:paraId="29985BF2"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p>
        </w:tc>
        <w:tc>
          <w:tcPr>
            <w:tcW w:w="2976" w:type="dxa"/>
          </w:tcPr>
          <w:p w14:paraId="550C2855" w14:textId="77777777" w:rsidR="005A56AD"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top w:val="single" w:sz="4" w:space="0" w:color="auto"/>
            </w:tcBorders>
            <w:vAlign w:val="center"/>
          </w:tcPr>
          <w:p w14:paraId="4E74216A" w14:textId="77777777" w:rsidR="005A56AD" w:rsidRDefault="005A56AD" w:rsidP="00985940">
            <w:pPr>
              <w:jc w:val="center"/>
              <w:rPr>
                <w:rFonts w:ascii="Times New Roman" w:hAnsi="Times New Roman"/>
                <w:color w:val="000000"/>
              </w:rPr>
            </w:pPr>
            <w:r>
              <w:rPr>
                <w:rFonts w:ascii="Times New Roman" w:hAnsi="Times New Roman"/>
                <w:color w:val="000000"/>
              </w:rPr>
              <w:t>10 kHz</w:t>
            </w:r>
          </w:p>
        </w:tc>
      </w:tr>
      <w:tr w:rsidR="005A56AD" w:rsidRPr="00FF3517" w14:paraId="0CDCEE0F" w14:textId="77777777" w:rsidTr="00985940">
        <w:trPr>
          <w:cantSplit/>
          <w:jc w:val="center"/>
        </w:trPr>
        <w:tc>
          <w:tcPr>
            <w:tcW w:w="3256" w:type="dxa"/>
          </w:tcPr>
          <w:p w14:paraId="2EDD6768"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p>
        </w:tc>
        <w:tc>
          <w:tcPr>
            <w:tcW w:w="2976" w:type="dxa"/>
          </w:tcPr>
          <w:p w14:paraId="7ED4DC7D" w14:textId="77777777" w:rsidR="005A56AD"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top w:val="single" w:sz="4" w:space="0" w:color="auto"/>
            </w:tcBorders>
            <w:vAlign w:val="center"/>
          </w:tcPr>
          <w:p w14:paraId="471BB433"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54802D01" w14:textId="77777777" w:rsidTr="00985940">
        <w:trPr>
          <w:cantSplit/>
          <w:jc w:val="center"/>
        </w:trPr>
        <w:tc>
          <w:tcPr>
            <w:tcW w:w="3256" w:type="dxa"/>
          </w:tcPr>
          <w:p w14:paraId="12A56DA6"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p>
        </w:tc>
        <w:tc>
          <w:tcPr>
            <w:tcW w:w="2976" w:type="dxa"/>
          </w:tcPr>
          <w:p w14:paraId="6F6C359F" w14:textId="77777777" w:rsidR="005A56AD" w:rsidRPr="00F21834" w:rsidRDefault="005A56AD" w:rsidP="00985940">
            <w:pPr>
              <w:jc w:val="center"/>
              <w:rPr>
                <w:rFonts w:ascii="Times New Roman" w:hAnsi="Times New Roman"/>
                <w:noProof/>
              </w:rPr>
            </w:pPr>
            <w:r>
              <w:rPr>
                <w:rFonts w:ascii="Times New Roman" w:hAnsi="Times New Roman"/>
                <w:color w:val="000000"/>
              </w:rPr>
              <w:t>-30</w:t>
            </w:r>
          </w:p>
        </w:tc>
        <w:tc>
          <w:tcPr>
            <w:tcW w:w="2102" w:type="dxa"/>
            <w:vAlign w:val="center"/>
          </w:tcPr>
          <w:p w14:paraId="2551F712"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544B536F" w14:textId="17773EA8" w:rsidR="005A56AD" w:rsidRDefault="005A56AD" w:rsidP="005A56AD">
      <w:pPr>
        <w:pStyle w:val="subsection"/>
      </w:pPr>
      <w:r>
        <w:tab/>
        <w:t>(</w:t>
      </w:r>
      <w:r w:rsidR="00596405">
        <w:t>4</w:t>
      </w:r>
      <w:r>
        <w:t>)</w:t>
      </w:r>
      <w:r>
        <w:tab/>
      </w:r>
      <w:r w:rsidRPr="002C2F6C">
        <w:t xml:space="preserve">The limits in Table </w:t>
      </w:r>
      <w:r>
        <w:t>4, measured over the measurement bandwidth,</w:t>
      </w:r>
      <w:r w:rsidRPr="002C2F6C">
        <w:t xml:space="preserve"> apply to </w:t>
      </w:r>
      <w:r>
        <w:t xml:space="preserve">transmitters with </w:t>
      </w:r>
      <w:r w:rsidRPr="002C2F6C">
        <w:t>AAS:</w:t>
      </w:r>
    </w:p>
    <w:p w14:paraId="68CC9B85" w14:textId="77777777" w:rsidR="005A56AD" w:rsidRPr="00FF3517" w:rsidRDefault="005A56AD" w:rsidP="005A56AD">
      <w:pPr>
        <w:pStyle w:val="paragraph0"/>
        <w:tabs>
          <w:tab w:val="left" w:pos="2160"/>
          <w:tab w:val="left" w:pos="2880"/>
          <w:tab w:val="left" w:pos="3600"/>
          <w:tab w:val="center" w:pos="4513"/>
        </w:tabs>
        <w:spacing w:before="0"/>
      </w:pPr>
      <w:r w:rsidRPr="00FF3517">
        <w:tab/>
        <w:t>(a)</w:t>
      </w:r>
      <w:r w:rsidRPr="00FF3517">
        <w:tab/>
      </w:r>
      <w:r w:rsidRPr="00840CBF">
        <w:t>for transmitters operating in the frequency range 859</w:t>
      </w:r>
      <w:r>
        <w:t xml:space="preserve"> MHz–</w:t>
      </w:r>
      <w:r w:rsidRPr="00840CBF">
        <w:t>890 MHz</w:t>
      </w:r>
      <w:r>
        <w:t xml:space="preserve"> – outside the frequency</w:t>
      </w:r>
      <w:r w:rsidRPr="00840CBF">
        <w:t xml:space="preserve"> range 849</w:t>
      </w:r>
      <w:r>
        <w:t xml:space="preserve"> MHz–</w:t>
      </w:r>
      <w:r w:rsidRPr="00840CBF">
        <w:t>900 MHz</w:t>
      </w:r>
      <w:r>
        <w:t>;</w:t>
      </w:r>
    </w:p>
    <w:p w14:paraId="0C772120" w14:textId="77777777" w:rsidR="005A56AD" w:rsidRDefault="005A56AD" w:rsidP="005A56AD">
      <w:pPr>
        <w:pStyle w:val="paragraph0"/>
        <w:tabs>
          <w:tab w:val="left" w:pos="2160"/>
          <w:tab w:val="left" w:pos="2880"/>
          <w:tab w:val="left" w:pos="3600"/>
          <w:tab w:val="center" w:pos="4513"/>
        </w:tabs>
      </w:pPr>
      <w:r w:rsidRPr="00FF3517">
        <w:tab/>
        <w:t>(b)</w:t>
      </w:r>
      <w:r w:rsidRPr="00FF3517">
        <w:tab/>
      </w:r>
      <w:r w:rsidRPr="00840CBF">
        <w:t>for transmitters operating in the frequency range 935</w:t>
      </w:r>
      <w:r>
        <w:t xml:space="preserve"> MHz–</w:t>
      </w:r>
      <w:r w:rsidRPr="00840CBF">
        <w:t>960 MHz</w:t>
      </w:r>
      <w:r>
        <w:t xml:space="preserve"> – outside the frequency</w:t>
      </w:r>
      <w:r w:rsidRPr="00840CBF">
        <w:t xml:space="preserve"> range 925</w:t>
      </w:r>
      <w:r>
        <w:t xml:space="preserve"> MHz–</w:t>
      </w:r>
      <w:r w:rsidRPr="00840CBF">
        <w:t>9</w:t>
      </w:r>
      <w:r>
        <w:t>7</w:t>
      </w:r>
      <w:r w:rsidRPr="00840CBF">
        <w:t xml:space="preserve">0 </w:t>
      </w:r>
      <w:proofErr w:type="spellStart"/>
      <w:r w:rsidRPr="00840CBF">
        <w:t>MHz</w:t>
      </w:r>
      <w:r>
        <w:t>.</w:t>
      </w:r>
      <w:proofErr w:type="spellEnd"/>
    </w:p>
    <w:p w14:paraId="513E7A01" w14:textId="6E0C876E" w:rsidR="005A56AD" w:rsidRDefault="005A56AD" w:rsidP="005A56AD">
      <w:pPr>
        <w:pStyle w:val="ItemHead"/>
        <w:tabs>
          <w:tab w:val="left" w:pos="2520"/>
        </w:tabs>
        <w:spacing w:after="120"/>
        <w:ind w:left="1134" w:hanging="1134"/>
        <w:rPr>
          <w:rFonts w:ascii="Times New Roman" w:hAnsi="Times New Roman"/>
        </w:rPr>
      </w:pPr>
      <w:r w:rsidRPr="00004B17">
        <w:rPr>
          <w:rFonts w:ascii="Times New Roman" w:hAnsi="Times New Roman"/>
        </w:rPr>
        <w:lastRenderedPageBreak/>
        <w:t xml:space="preserve">Table </w:t>
      </w:r>
      <w:r>
        <w:rPr>
          <w:rFonts w:ascii="Times New Roman" w:hAnsi="Times New Roman"/>
        </w:rPr>
        <w:t>4</w:t>
      </w:r>
      <w:r>
        <w:rPr>
          <w:rFonts w:ascii="Times New Roman" w:hAnsi="Times New Roman"/>
        </w:rPr>
        <w:tab/>
        <w:t>Unwanted emission limits outside 849 MHz to 900 MHz and 925 MHz to 9</w:t>
      </w:r>
      <w:r w:rsidR="00985940">
        <w:rPr>
          <w:rFonts w:ascii="Times New Roman" w:hAnsi="Times New Roman"/>
        </w:rPr>
        <w:t>7</w:t>
      </w:r>
      <w:r>
        <w:rPr>
          <w:rFonts w:ascii="Times New Roman" w:hAnsi="Times New Roman"/>
        </w:rPr>
        <w:t>0 MHz for transmitters operating in 859 MHz to 890 MHz or 935 MHz to 960 MHz – transmitters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5EEE8797" w14:textId="77777777" w:rsidTr="00985940">
        <w:trPr>
          <w:cantSplit/>
          <w:jc w:val="center"/>
        </w:trPr>
        <w:tc>
          <w:tcPr>
            <w:tcW w:w="3256" w:type="dxa"/>
          </w:tcPr>
          <w:p w14:paraId="64DB46BD"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Frequency range</w:t>
            </w:r>
            <w:r>
              <w:rPr>
                <w:rFonts w:ascii="Times New Roman" w:hAnsi="Times New Roman"/>
                <w:b/>
                <w:color w:val="000000"/>
              </w:rPr>
              <w:t xml:space="preserve"> (f) </w:t>
            </w:r>
          </w:p>
        </w:tc>
        <w:tc>
          <w:tcPr>
            <w:tcW w:w="2976" w:type="dxa"/>
          </w:tcPr>
          <w:p w14:paraId="4B359A59" w14:textId="77777777" w:rsidR="005A56AD" w:rsidRPr="00FF3517" w:rsidRDefault="005A56AD" w:rsidP="00985940">
            <w:pPr>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Total radiated power</w:t>
            </w:r>
            <w:r>
              <w:rPr>
                <w:rFonts w:ascii="Times New Roman" w:hAnsi="Times New Roman"/>
                <w:b/>
                <w:color w:val="000000"/>
              </w:rPr>
              <w:t xml:space="preserve"> per sector </w:t>
            </w:r>
            <w:r w:rsidRPr="00FF3517">
              <w:rPr>
                <w:rFonts w:ascii="Times New Roman" w:hAnsi="Times New Roman"/>
                <w:b/>
                <w:color w:val="000000"/>
              </w:rPr>
              <w:t>(dBm)</w:t>
            </w:r>
          </w:p>
        </w:tc>
        <w:tc>
          <w:tcPr>
            <w:tcW w:w="2102" w:type="dxa"/>
            <w:tcBorders>
              <w:bottom w:val="single" w:sz="4" w:space="0" w:color="auto"/>
            </w:tcBorders>
          </w:tcPr>
          <w:p w14:paraId="626F326E" w14:textId="77777777" w:rsidR="005A56AD" w:rsidRPr="00FF3517" w:rsidRDefault="005A56AD" w:rsidP="00985940">
            <w:pPr>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5FF07E4E" w14:textId="77777777" w:rsidTr="00985940">
        <w:trPr>
          <w:cantSplit/>
          <w:jc w:val="center"/>
        </w:trPr>
        <w:tc>
          <w:tcPr>
            <w:tcW w:w="3256" w:type="dxa"/>
          </w:tcPr>
          <w:p w14:paraId="7FD49FB1"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p>
        </w:tc>
        <w:tc>
          <w:tcPr>
            <w:tcW w:w="2976" w:type="dxa"/>
          </w:tcPr>
          <w:p w14:paraId="1AFF4276" w14:textId="77777777" w:rsidR="005A56AD" w:rsidRPr="00F21834" w:rsidRDefault="005A56AD" w:rsidP="00985940">
            <w:pPr>
              <w:jc w:val="center"/>
              <w:rPr>
                <w:rFonts w:ascii="Times New Roman" w:hAnsi="Times New Roman"/>
                <w:color w:val="000000"/>
              </w:rPr>
            </w:pPr>
            <w:r>
              <w:rPr>
                <w:rFonts w:ascii="Times New Roman" w:hAnsi="Times New Roman"/>
                <w:color w:val="000000"/>
              </w:rPr>
              <w:t>-27</w:t>
            </w:r>
          </w:p>
        </w:tc>
        <w:tc>
          <w:tcPr>
            <w:tcW w:w="2102" w:type="dxa"/>
            <w:tcBorders>
              <w:bottom w:val="single" w:sz="4" w:space="0" w:color="auto"/>
            </w:tcBorders>
            <w:vAlign w:val="center"/>
          </w:tcPr>
          <w:p w14:paraId="4DA577C4" w14:textId="77777777" w:rsidR="005A56AD" w:rsidRPr="00FF3517" w:rsidRDefault="005A56AD" w:rsidP="00985940">
            <w:pPr>
              <w:jc w:val="center"/>
              <w:rPr>
                <w:rFonts w:ascii="Times New Roman" w:hAnsi="Times New Roman"/>
              </w:rPr>
            </w:pPr>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4D46BA4E" w14:textId="77777777" w:rsidTr="00985940">
        <w:trPr>
          <w:cantSplit/>
          <w:jc w:val="center"/>
        </w:trPr>
        <w:tc>
          <w:tcPr>
            <w:tcW w:w="3256" w:type="dxa"/>
          </w:tcPr>
          <w:p w14:paraId="282A69F4"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p>
        </w:tc>
        <w:tc>
          <w:tcPr>
            <w:tcW w:w="2976" w:type="dxa"/>
          </w:tcPr>
          <w:p w14:paraId="7E2F7387" w14:textId="77777777" w:rsidR="005A56AD" w:rsidRDefault="005A56AD" w:rsidP="00985940">
            <w:pPr>
              <w:jc w:val="center"/>
              <w:rPr>
                <w:rFonts w:ascii="Times New Roman" w:hAnsi="Times New Roman"/>
                <w:color w:val="000000"/>
              </w:rPr>
            </w:pPr>
            <w:r>
              <w:rPr>
                <w:rFonts w:ascii="Times New Roman" w:hAnsi="Times New Roman"/>
                <w:color w:val="000000"/>
              </w:rPr>
              <w:t>-27</w:t>
            </w:r>
          </w:p>
        </w:tc>
        <w:tc>
          <w:tcPr>
            <w:tcW w:w="2102" w:type="dxa"/>
            <w:tcBorders>
              <w:top w:val="single" w:sz="4" w:space="0" w:color="auto"/>
            </w:tcBorders>
            <w:vAlign w:val="center"/>
          </w:tcPr>
          <w:p w14:paraId="7D700397" w14:textId="77777777" w:rsidR="005A56AD" w:rsidRDefault="005A56AD" w:rsidP="00985940">
            <w:pPr>
              <w:jc w:val="center"/>
              <w:rPr>
                <w:rFonts w:ascii="Times New Roman" w:hAnsi="Times New Roman"/>
                <w:color w:val="000000"/>
              </w:rPr>
            </w:pPr>
            <w:r>
              <w:rPr>
                <w:rFonts w:ascii="Times New Roman" w:hAnsi="Times New Roman"/>
                <w:color w:val="000000"/>
              </w:rPr>
              <w:t>10 kHz</w:t>
            </w:r>
          </w:p>
        </w:tc>
      </w:tr>
      <w:tr w:rsidR="005A56AD" w:rsidRPr="00FF3517" w14:paraId="66A42937" w14:textId="77777777" w:rsidTr="00985940">
        <w:trPr>
          <w:cantSplit/>
          <w:jc w:val="center"/>
        </w:trPr>
        <w:tc>
          <w:tcPr>
            <w:tcW w:w="3256" w:type="dxa"/>
          </w:tcPr>
          <w:p w14:paraId="2D662551"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p>
        </w:tc>
        <w:tc>
          <w:tcPr>
            <w:tcW w:w="2976" w:type="dxa"/>
          </w:tcPr>
          <w:p w14:paraId="42B26C3E" w14:textId="77777777" w:rsidR="005A56AD" w:rsidRDefault="005A56AD" w:rsidP="00985940">
            <w:pPr>
              <w:jc w:val="center"/>
              <w:rPr>
                <w:rFonts w:ascii="Times New Roman" w:hAnsi="Times New Roman"/>
                <w:color w:val="000000"/>
              </w:rPr>
            </w:pPr>
            <w:r>
              <w:rPr>
                <w:rFonts w:ascii="Times New Roman" w:hAnsi="Times New Roman"/>
                <w:color w:val="000000"/>
              </w:rPr>
              <w:t>-27</w:t>
            </w:r>
          </w:p>
        </w:tc>
        <w:tc>
          <w:tcPr>
            <w:tcW w:w="2102" w:type="dxa"/>
            <w:tcBorders>
              <w:top w:val="single" w:sz="4" w:space="0" w:color="auto"/>
            </w:tcBorders>
            <w:vAlign w:val="center"/>
          </w:tcPr>
          <w:p w14:paraId="51EF5BDE"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26FAC8CB" w14:textId="77777777" w:rsidTr="00985940">
        <w:trPr>
          <w:cantSplit/>
          <w:jc w:val="center"/>
        </w:trPr>
        <w:tc>
          <w:tcPr>
            <w:tcW w:w="3256" w:type="dxa"/>
          </w:tcPr>
          <w:p w14:paraId="42CE0D74"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p>
        </w:tc>
        <w:tc>
          <w:tcPr>
            <w:tcW w:w="2976" w:type="dxa"/>
          </w:tcPr>
          <w:p w14:paraId="75E6F93F" w14:textId="77777777" w:rsidR="005A56AD" w:rsidRPr="00F21834" w:rsidRDefault="005A56AD" w:rsidP="00985940">
            <w:pPr>
              <w:jc w:val="center"/>
              <w:rPr>
                <w:rFonts w:ascii="Times New Roman" w:hAnsi="Times New Roman"/>
                <w:noProof/>
              </w:rPr>
            </w:pPr>
            <w:r>
              <w:rPr>
                <w:rFonts w:ascii="Times New Roman" w:hAnsi="Times New Roman"/>
                <w:color w:val="000000"/>
              </w:rPr>
              <w:t>-21</w:t>
            </w:r>
          </w:p>
        </w:tc>
        <w:tc>
          <w:tcPr>
            <w:tcW w:w="2102" w:type="dxa"/>
            <w:vAlign w:val="center"/>
          </w:tcPr>
          <w:p w14:paraId="38F4EB7C"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7DF5D7ED" w14:textId="77777777" w:rsidR="005A56AD" w:rsidRDefault="005A56AD" w:rsidP="005A56AD">
      <w:pPr>
        <w:pStyle w:val="subsection"/>
      </w:pPr>
      <w:r>
        <w:rPr>
          <w:i/>
          <w:iCs/>
        </w:rPr>
        <w:t>Radiocommunications transmitters operating in 935 MHz–960 MHz frequency range</w:t>
      </w:r>
    </w:p>
    <w:p w14:paraId="5B69AA8A" w14:textId="4EBEF871" w:rsidR="005A56AD" w:rsidRPr="00FF3517" w:rsidRDefault="005A56AD" w:rsidP="005A56AD">
      <w:pPr>
        <w:pStyle w:val="subsection"/>
      </w:pPr>
      <w:r>
        <w:tab/>
        <w:t>(</w:t>
      </w:r>
      <w:r w:rsidR="00596405">
        <w:t>5</w:t>
      </w:r>
      <w:r>
        <w:t>)</w:t>
      </w:r>
      <w:r>
        <w:tab/>
        <w:t>The unwanted emission limits in Table 5, measured over the measurement bandwidth, apply in the frequency range 960 MHz–970</w:t>
      </w:r>
      <w:r w:rsidRPr="00840CBF">
        <w:t xml:space="preserve"> MHz</w:t>
      </w:r>
      <w:r>
        <w:t>,</w:t>
      </w:r>
      <w:r w:rsidRPr="00840CBF">
        <w:t xml:space="preserve"> for transmitters</w:t>
      </w:r>
      <w:r>
        <w:t xml:space="preserve"> with AAS</w:t>
      </w:r>
      <w:r w:rsidRPr="00840CBF">
        <w:t xml:space="preserve"> operating in the frequency range </w:t>
      </w:r>
      <w:r>
        <w:t>935 MHz–960</w:t>
      </w:r>
      <w:r w:rsidRPr="00840CBF">
        <w:t xml:space="preserve"> MHz</w:t>
      </w:r>
      <w:r>
        <w:t xml:space="preserve">, </w:t>
      </w:r>
      <w:r w:rsidRPr="00FF3517">
        <w:t>where:</w:t>
      </w:r>
    </w:p>
    <w:p w14:paraId="7FC04B51"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pPr>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p>
    <w:p w14:paraId="0F1664CE" w14:textId="77777777" w:rsidR="005A56AD" w:rsidRPr="00004B17" w:rsidRDefault="005A56AD" w:rsidP="005A56AD">
      <w:pPr>
        <w:pStyle w:val="ItemHead"/>
        <w:tabs>
          <w:tab w:val="left" w:pos="2520"/>
        </w:tabs>
        <w:spacing w:after="120"/>
        <w:ind w:left="1134" w:hanging="1134"/>
        <w:rPr>
          <w:rFonts w:ascii="Times New Roman" w:hAnsi="Times New Roman"/>
        </w:rPr>
      </w:pPr>
      <w:r w:rsidRPr="00FF3517">
        <w:rPr>
          <w:rFonts w:ascii="Times New Roman" w:hAnsi="Times New Roman"/>
        </w:rPr>
        <w:t xml:space="preserve">Table </w:t>
      </w:r>
      <w:r>
        <w:rPr>
          <w:rFonts w:ascii="Times New Roman" w:hAnsi="Times New Roman"/>
        </w:rPr>
        <w:t>5</w:t>
      </w:r>
      <w:r w:rsidRPr="00FF3517">
        <w:rPr>
          <w:rFonts w:ascii="Times New Roman" w:hAnsi="Times New Roman"/>
        </w:rPr>
        <w:tab/>
      </w:r>
      <w:r>
        <w:rPr>
          <w:rFonts w:ascii="Times New Roman" w:hAnsi="Times New Roman"/>
        </w:rPr>
        <w:t>Unwanted emission limits in 960 MHz to 970 MHz for transmitters operating in 935 MHz to 960 MHz – transmitters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23"/>
        <w:gridCol w:w="1968"/>
      </w:tblGrid>
      <w:tr w:rsidR="005A56AD" w:rsidRPr="00FF3517" w14:paraId="702200EA" w14:textId="77777777" w:rsidTr="00985940">
        <w:trPr>
          <w:cantSplit/>
          <w:jc w:val="center"/>
        </w:trPr>
        <w:tc>
          <w:tcPr>
            <w:tcW w:w="2972" w:type="dxa"/>
          </w:tcPr>
          <w:p w14:paraId="6925E868"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73620F">
              <w:rPr>
                <w:rFonts w:ascii="Times New Roman" w:hAnsi="Times New Roman"/>
                <w:b/>
                <w:color w:val="000000"/>
              </w:rPr>
              <w:t>Frequency offset of measurement filter 3dB point from upper/lower limit of licence</w:t>
            </w:r>
          </w:p>
        </w:tc>
        <w:tc>
          <w:tcPr>
            <w:tcW w:w="3350" w:type="dxa"/>
          </w:tcPr>
          <w:p w14:paraId="6E51D91C"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Pr>
                <w:rFonts w:ascii="Times New Roman" w:hAnsi="Times New Roman"/>
                <w:b/>
                <w:color w:val="000000"/>
              </w:rPr>
              <w:t>Total radiated power per</w:t>
            </w:r>
            <w:r w:rsidRPr="0073620F">
              <w:rPr>
                <w:rFonts w:ascii="Times New Roman" w:hAnsi="Times New Roman"/>
                <w:b/>
                <w:color w:val="000000"/>
              </w:rPr>
              <w:t xml:space="preserve"> </w:t>
            </w:r>
            <w:r>
              <w:rPr>
                <w:rFonts w:ascii="Times New Roman" w:hAnsi="Times New Roman"/>
                <w:b/>
                <w:color w:val="000000"/>
              </w:rPr>
              <w:t>sector</w:t>
            </w:r>
            <w:r w:rsidRPr="0073620F" w:rsidDel="0073620F">
              <w:rPr>
                <w:rFonts w:ascii="Times New Roman" w:hAnsi="Times New Roman"/>
                <w:b/>
                <w:color w:val="000000"/>
              </w:rPr>
              <w:t xml:space="preserve"> </w:t>
            </w:r>
            <w:r w:rsidRPr="00FF3517">
              <w:rPr>
                <w:rFonts w:ascii="Times New Roman" w:hAnsi="Times New Roman"/>
                <w:b/>
                <w:color w:val="000000"/>
              </w:rPr>
              <w:t>(dBm)</w:t>
            </w:r>
          </w:p>
        </w:tc>
        <w:tc>
          <w:tcPr>
            <w:tcW w:w="2102" w:type="dxa"/>
          </w:tcPr>
          <w:p w14:paraId="550306A0"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6076832F" w14:textId="77777777" w:rsidTr="00985940">
        <w:trPr>
          <w:cantSplit/>
          <w:jc w:val="center"/>
        </w:trPr>
        <w:tc>
          <w:tcPr>
            <w:tcW w:w="2972" w:type="dxa"/>
          </w:tcPr>
          <w:p w14:paraId="6389F436"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sidRPr="00FF3517">
              <w:rPr>
                <w:rFonts w:ascii="Times New Roman" w:hAnsi="Times New Roman"/>
                <w:color w:val="000000"/>
              </w:rPr>
              <w:t xml:space="preserve">0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5 MHz</w:t>
            </w:r>
          </w:p>
        </w:tc>
        <w:tc>
          <w:tcPr>
            <w:tcW w:w="3350" w:type="dxa"/>
          </w:tcPr>
          <w:p w14:paraId="3E6AA857" w14:textId="77777777" w:rsidR="005A56AD" w:rsidRPr="0024586D" w:rsidRDefault="005A56AD" w:rsidP="00985940">
            <w:pPr>
              <w:jc w:val="center"/>
              <w:rPr>
                <w:rFonts w:ascii="Times New Roman" w:hAnsi="Times New Roman"/>
                <w:color w:val="000000"/>
              </w:rPr>
            </w:pPr>
            <m:oMathPara>
              <m:oMath>
                <m:r>
                  <w:rPr>
                    <w:rFonts w:ascii="Cambria Math" w:hAnsi="Cambria Math"/>
                    <w:color w:val="000000"/>
                  </w:rPr>
                  <m:t>-7 dBm-</m:t>
                </m:r>
                <m:f>
                  <m:fPr>
                    <m:ctrlPr>
                      <w:rPr>
                        <w:rFonts w:ascii="Cambria Math" w:hAnsi="Cambria Math"/>
                        <w:i/>
                        <w:color w:val="000000"/>
                      </w:rPr>
                    </m:ctrlPr>
                  </m:fPr>
                  <m:num>
                    <m:r>
                      <w:rPr>
                        <w:rFonts w:ascii="Cambria Math" w:hAnsi="Cambria Math"/>
                        <w:color w:val="000000"/>
                      </w:rPr>
                      <m:t>7</m:t>
                    </m:r>
                  </m:num>
                  <m:den>
                    <m:r>
                      <w:rPr>
                        <w:rFonts w:ascii="Cambria Math" w:hAnsi="Cambria Math"/>
                        <w:color w:val="000000"/>
                      </w:rPr>
                      <m:t>5</m:t>
                    </m:r>
                  </m:den>
                </m:f>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f</m:t>
                            </m:r>
                          </m:e>
                          <m:sub>
                            <m:r>
                              <w:rPr>
                                <w:rFonts w:ascii="Cambria Math" w:hAnsi="Cambria Math"/>
                                <w:color w:val="000000"/>
                              </w:rPr>
                              <m:t>offset</m:t>
                            </m:r>
                          </m:sub>
                        </m:sSub>
                      </m:num>
                      <m:den>
                        <m:r>
                          <w:rPr>
                            <w:rFonts w:ascii="Cambria Math" w:hAnsi="Cambria Math"/>
                            <w:color w:val="000000"/>
                          </w:rPr>
                          <m:t>MHz</m:t>
                        </m:r>
                      </m:den>
                    </m:f>
                  </m:e>
                </m:d>
                <m:r>
                  <w:rPr>
                    <w:rFonts w:ascii="Cambria Math" w:hAnsi="Cambria Math"/>
                    <w:color w:val="000000"/>
                  </w:rPr>
                  <m:t>dB</m:t>
                </m:r>
              </m:oMath>
            </m:oMathPara>
          </w:p>
        </w:tc>
        <w:tc>
          <w:tcPr>
            <w:tcW w:w="2102" w:type="dxa"/>
            <w:vAlign w:val="center"/>
          </w:tcPr>
          <w:p w14:paraId="1CC8DA97" w14:textId="77777777" w:rsidR="005A56AD" w:rsidRPr="00FF3517" w:rsidRDefault="005A56AD" w:rsidP="00985940">
            <w:pPr>
              <w:jc w:val="center"/>
              <w:rPr>
                <w:rFonts w:ascii="Times New Roman" w:hAnsi="Times New Roman"/>
              </w:rPr>
            </w:pPr>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67E0D798" w14:textId="77777777" w:rsidTr="00985940">
        <w:trPr>
          <w:cantSplit/>
          <w:jc w:val="center"/>
        </w:trPr>
        <w:tc>
          <w:tcPr>
            <w:tcW w:w="2972" w:type="dxa"/>
          </w:tcPr>
          <w:p w14:paraId="3D9381FC"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5</w:t>
            </w:r>
            <w:r w:rsidRPr="00FF3517">
              <w:rPr>
                <w:rFonts w:ascii="Times New Roman" w:hAnsi="Times New Roman"/>
                <w:color w:val="000000"/>
              </w:rPr>
              <w:t xml:space="preserve"> MHz ≤ </w:t>
            </w: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sidRPr="00FF3517">
              <w:rPr>
                <w:rFonts w:ascii="Times New Roman" w:hAnsi="Times New Roman"/>
                <w:color w:val="000000"/>
              </w:rPr>
              <w:t xml:space="preserve"> </w:t>
            </w:r>
            <w:r>
              <w:rPr>
                <w:rFonts w:ascii="Times New Roman" w:hAnsi="Times New Roman"/>
                <w:color w:val="000000"/>
              </w:rPr>
              <w:t>&lt;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5EEE6734" w14:textId="77777777" w:rsidR="005A56AD" w:rsidRPr="00C03BD5" w:rsidRDefault="005A56AD" w:rsidP="00985940">
            <w:pPr>
              <w:jc w:val="center"/>
              <w:rPr>
                <w:rFonts w:ascii="Times New Roman" w:hAnsi="Times New Roman"/>
                <w:noProof/>
              </w:rPr>
            </w:pPr>
            <w:r w:rsidRPr="00C03BD5">
              <w:rPr>
                <w:rFonts w:ascii="Times New Roman" w:hAnsi="Times New Roman"/>
                <w:noProof/>
              </w:rPr>
              <w:t>-</w:t>
            </w:r>
            <w:r>
              <w:rPr>
                <w:rFonts w:ascii="Times New Roman" w:hAnsi="Times New Roman"/>
                <w:noProof/>
              </w:rPr>
              <w:t>14</w:t>
            </w:r>
          </w:p>
        </w:tc>
        <w:tc>
          <w:tcPr>
            <w:tcW w:w="2102" w:type="dxa"/>
            <w:vAlign w:val="center"/>
          </w:tcPr>
          <w:p w14:paraId="7AFA1ABE"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1C889494" w14:textId="77777777" w:rsidTr="00985940">
        <w:trPr>
          <w:cantSplit/>
          <w:jc w:val="center"/>
        </w:trPr>
        <w:tc>
          <w:tcPr>
            <w:tcW w:w="2972" w:type="dxa"/>
          </w:tcPr>
          <w:p w14:paraId="37BBC3B4" w14:textId="77777777" w:rsidR="005A56AD" w:rsidRDefault="005A56AD" w:rsidP="00985940">
            <w:pPr>
              <w:tabs>
                <w:tab w:val="right" w:pos="1080"/>
                <w:tab w:val="left" w:pos="1260"/>
                <w:tab w:val="left" w:pos="1800"/>
              </w:tabs>
              <w:spacing w:before="40"/>
              <w:jc w:val="center"/>
              <w:rPr>
                <w:rFonts w:ascii="Times New Roman" w:hAnsi="Times New Roman"/>
                <w:color w:val="000000"/>
              </w:rPr>
            </w:pPr>
            <w:proofErr w:type="spellStart"/>
            <w:r w:rsidRPr="00FF3517">
              <w:rPr>
                <w:rFonts w:ascii="Times New Roman" w:hAnsi="Times New Roman"/>
                <w:color w:val="000000"/>
              </w:rPr>
              <w:t>f</w:t>
            </w:r>
            <w:r w:rsidRPr="00FF3517">
              <w:rPr>
                <w:rFonts w:ascii="Times New Roman" w:hAnsi="Times New Roman"/>
                <w:color w:val="000000"/>
                <w:vertAlign w:val="subscript"/>
              </w:rPr>
              <w:t>offset</w:t>
            </w:r>
            <w:proofErr w:type="spellEnd"/>
            <w:r>
              <w:rPr>
                <w:rFonts w:ascii="Times New Roman" w:hAnsi="Times New Roman"/>
                <w:color w:val="000000"/>
                <w:vertAlign w:val="subscript"/>
              </w:rPr>
              <w:t xml:space="preserve"> </w:t>
            </w:r>
            <w:r w:rsidRPr="00FF3517">
              <w:rPr>
                <w:rFonts w:ascii="Times New Roman" w:hAnsi="Times New Roman"/>
                <w:color w:val="000000"/>
              </w:rPr>
              <w:t xml:space="preserve"> </w:t>
            </w:r>
            <w:r>
              <w:rPr>
                <w:rFonts w:ascii="Times New Roman" w:hAnsi="Times New Roman"/>
                <w:color w:val="000000"/>
              </w:rPr>
              <w:t>≥</w:t>
            </w:r>
            <w:r w:rsidRPr="00FF3517">
              <w:rPr>
                <w:rFonts w:ascii="Times New Roman" w:hAnsi="Times New Roman"/>
                <w:color w:val="000000"/>
              </w:rPr>
              <w:t xml:space="preserve"> </w:t>
            </w:r>
            <w:r>
              <w:rPr>
                <w:rFonts w:ascii="Times New Roman" w:hAnsi="Times New Roman"/>
                <w:color w:val="000000"/>
              </w:rPr>
              <w:t>10 MHz</w:t>
            </w:r>
          </w:p>
        </w:tc>
        <w:tc>
          <w:tcPr>
            <w:tcW w:w="3350" w:type="dxa"/>
          </w:tcPr>
          <w:p w14:paraId="394F8FEE" w14:textId="77777777" w:rsidR="005A56AD" w:rsidRPr="00C03BD5" w:rsidRDefault="005A56AD" w:rsidP="00985940">
            <w:pPr>
              <w:jc w:val="center"/>
              <w:rPr>
                <w:rFonts w:ascii="Times New Roman" w:hAnsi="Times New Roman"/>
                <w:noProof/>
              </w:rPr>
            </w:pPr>
            <w:r w:rsidRPr="00C03BD5">
              <w:rPr>
                <w:rFonts w:ascii="Times New Roman" w:hAnsi="Times New Roman"/>
                <w:noProof/>
              </w:rPr>
              <w:t>-</w:t>
            </w:r>
            <w:r>
              <w:rPr>
                <w:rFonts w:ascii="Times New Roman" w:hAnsi="Times New Roman"/>
                <w:noProof/>
              </w:rPr>
              <w:t>16</w:t>
            </w:r>
          </w:p>
        </w:tc>
        <w:tc>
          <w:tcPr>
            <w:tcW w:w="2102" w:type="dxa"/>
            <w:vAlign w:val="center"/>
          </w:tcPr>
          <w:p w14:paraId="3C517880"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bl>
    <w:p w14:paraId="3EB8AF95" w14:textId="77777777" w:rsidR="005A56AD" w:rsidRPr="00CB7AB0" w:rsidRDefault="005A56AD" w:rsidP="005A56AD">
      <w:pPr>
        <w:pStyle w:val="subsection"/>
        <w:rPr>
          <w:i/>
          <w:iCs/>
        </w:rPr>
      </w:pPr>
      <w:r>
        <w:rPr>
          <w:i/>
          <w:iCs/>
        </w:rPr>
        <w:t xml:space="preserve">Radiocommunications transmitters operating in the </w:t>
      </w:r>
      <w:r w:rsidRPr="008D795C">
        <w:rPr>
          <w:i/>
          <w:iCs/>
        </w:rPr>
        <w:t>814</w:t>
      </w:r>
      <w:r>
        <w:rPr>
          <w:i/>
          <w:iCs/>
        </w:rPr>
        <w:t xml:space="preserve"> MHz–</w:t>
      </w:r>
      <w:r w:rsidRPr="008D795C">
        <w:rPr>
          <w:i/>
          <w:iCs/>
        </w:rPr>
        <w:t>845 MHz or 890</w:t>
      </w:r>
      <w:r>
        <w:rPr>
          <w:i/>
          <w:iCs/>
        </w:rPr>
        <w:t xml:space="preserve"> MHz–</w:t>
      </w:r>
      <w:r w:rsidRPr="008D795C">
        <w:rPr>
          <w:i/>
          <w:iCs/>
        </w:rPr>
        <w:t>915</w:t>
      </w:r>
      <w:r>
        <w:rPr>
          <w:i/>
          <w:iCs/>
        </w:rPr>
        <w:t>MHz frequency ranges</w:t>
      </w:r>
    </w:p>
    <w:p w14:paraId="4E34BB59" w14:textId="75B148D7" w:rsidR="005A56AD" w:rsidRPr="00FF3517" w:rsidRDefault="005A56AD" w:rsidP="005A56AD">
      <w:pPr>
        <w:pStyle w:val="subsection"/>
      </w:pPr>
      <w:r>
        <w:tab/>
        <w:t>(</w:t>
      </w:r>
      <w:r w:rsidR="00596405">
        <w:t>6</w:t>
      </w:r>
      <w:r>
        <w:t>)</w:t>
      </w:r>
      <w:r>
        <w:tab/>
        <w:t xml:space="preserve">The unwanted emission limits in Table 6, measured over the measurement bandwidth, apply </w:t>
      </w:r>
      <w:r w:rsidRPr="00840CBF">
        <w:t>for transmitters</w:t>
      </w:r>
      <w:r>
        <w:t xml:space="preserve"> </w:t>
      </w:r>
      <w:r w:rsidRPr="00840CBF">
        <w:t>operating in the frequency range</w:t>
      </w:r>
      <w:r>
        <w:t>s</w:t>
      </w:r>
      <w:r w:rsidRPr="00840CBF">
        <w:t xml:space="preserve"> </w:t>
      </w:r>
      <w:r>
        <w:t>814 MHz–845</w:t>
      </w:r>
      <w:r w:rsidRPr="00840CBF">
        <w:t xml:space="preserve"> MHz</w:t>
      </w:r>
      <w:r>
        <w:t xml:space="preserve"> or 890 MHz–915 MHz, at </w:t>
      </w:r>
      <w:proofErr w:type="spellStart"/>
      <w:r w:rsidRPr="00004B17">
        <w:t>f</w:t>
      </w:r>
      <w:r w:rsidRPr="00004B17">
        <w:rPr>
          <w:vertAlign w:val="subscript"/>
        </w:rPr>
        <w:t>offset</w:t>
      </w:r>
      <w:proofErr w:type="spellEnd"/>
      <w:r w:rsidRPr="00A6638D">
        <w:t xml:space="preserve"> </w:t>
      </w:r>
      <w:r>
        <w:t xml:space="preserve">≤ 25 MHz, </w:t>
      </w:r>
      <w:r w:rsidRPr="00FF3517">
        <w:t>where:</w:t>
      </w:r>
    </w:p>
    <w:p w14:paraId="58042577"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pPr>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w:t>
      </w:r>
      <w:r w:rsidRPr="00FF3517">
        <w:lastRenderedPageBreak/>
        <w:t xml:space="preserve">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p>
    <w:p w14:paraId="321E21CB" w14:textId="77777777" w:rsidR="005A56AD" w:rsidRPr="00FF3517" w:rsidRDefault="005A56AD" w:rsidP="005A56AD">
      <w:pPr>
        <w:pStyle w:val="ItemHead"/>
        <w:tabs>
          <w:tab w:val="left" w:pos="2520"/>
        </w:tabs>
        <w:spacing w:after="120"/>
        <w:ind w:left="1134" w:hanging="1134"/>
        <w:rPr>
          <w:rFonts w:ascii="Times New Roman" w:hAnsi="Times New Roman"/>
          <w:vertAlign w:val="subscript"/>
        </w:rPr>
      </w:pPr>
      <w:r w:rsidRPr="00FF3517">
        <w:rPr>
          <w:rFonts w:ascii="Times New Roman" w:hAnsi="Times New Roman"/>
        </w:rPr>
        <w:t xml:space="preserve">Table </w:t>
      </w:r>
      <w:r>
        <w:rPr>
          <w:rFonts w:ascii="Times New Roman" w:hAnsi="Times New Roman"/>
        </w:rPr>
        <w:t>6</w:t>
      </w:r>
      <w:r w:rsidRPr="00FF3517">
        <w:rPr>
          <w:rFonts w:ascii="Times New Roman" w:hAnsi="Times New Roman"/>
        </w:rPr>
        <w:tab/>
      </w:r>
      <w:r w:rsidRPr="00C253FE">
        <w:rPr>
          <w:rFonts w:ascii="Times New Roman" w:hAnsi="Times New Roman"/>
        </w:rPr>
        <w:t xml:space="preserve"> </w:t>
      </w:r>
      <w:r>
        <w:rPr>
          <w:rFonts w:ascii="Times New Roman" w:hAnsi="Times New Roman"/>
        </w:rPr>
        <w:t>Unwanted emission limits for transmitters operating in 814 MHz to 845 MHz or 890 to 915 MHz – frequency offset less than or equal to 25 MHz</w:t>
      </w:r>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08"/>
        <w:gridCol w:w="2102"/>
      </w:tblGrid>
      <w:tr w:rsidR="005A56AD" w:rsidRPr="00FF3517" w14:paraId="7D8714E0" w14:textId="77777777" w:rsidTr="00985940">
        <w:trPr>
          <w:cantSplit/>
          <w:jc w:val="center"/>
        </w:trPr>
        <w:tc>
          <w:tcPr>
            <w:tcW w:w="3114" w:type="dxa"/>
            <w:vAlign w:val="center"/>
          </w:tcPr>
          <w:p w14:paraId="4903413C" w14:textId="77777777" w:rsidR="005A56AD" w:rsidRPr="00A6638D" w:rsidDel="00F87B22"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004B17">
              <w:rPr>
                <w:rFonts w:ascii="Times New Roman" w:hAnsi="Times New Roman"/>
                <w:b/>
                <w:color w:val="000000"/>
                <w:sz w:val="22"/>
                <w:szCs w:val="22"/>
              </w:rPr>
              <w:t xml:space="preserve">Frequency offset of measurement filter </w:t>
            </w:r>
            <w:r w:rsidRPr="00004B17">
              <w:rPr>
                <w:rFonts w:ascii="Times New Roman" w:hAnsi="Times New Roman"/>
                <w:b/>
                <w:color w:val="000000"/>
                <w:sz w:val="22"/>
                <w:szCs w:val="22"/>
              </w:rPr>
              <w:noBreakHyphen/>
              <w:t>3dB point from upper/lower limit of licence</w:t>
            </w:r>
          </w:p>
        </w:tc>
        <w:tc>
          <w:tcPr>
            <w:tcW w:w="3208" w:type="dxa"/>
          </w:tcPr>
          <w:p w14:paraId="1CEA887F"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Pr>
                <w:rFonts w:ascii="Times New Roman" w:hAnsi="Times New Roman"/>
                <w:b/>
                <w:color w:val="000000"/>
              </w:rPr>
              <w:t xml:space="preserve">Mean power per transmitter </w:t>
            </w:r>
            <w:r w:rsidRPr="00FF3517">
              <w:rPr>
                <w:rFonts w:ascii="Times New Roman" w:hAnsi="Times New Roman"/>
                <w:b/>
                <w:color w:val="000000"/>
              </w:rPr>
              <w:t>(dBm)</w:t>
            </w:r>
          </w:p>
        </w:tc>
        <w:tc>
          <w:tcPr>
            <w:tcW w:w="2102" w:type="dxa"/>
          </w:tcPr>
          <w:p w14:paraId="6C83209D" w14:textId="77777777" w:rsidR="005A56AD" w:rsidRPr="00FF3517" w:rsidRDefault="005A56AD" w:rsidP="00985940">
            <w:pPr>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5785CF64" w14:textId="77777777" w:rsidTr="00985940">
        <w:trPr>
          <w:cantSplit/>
          <w:jc w:val="center"/>
        </w:trPr>
        <w:tc>
          <w:tcPr>
            <w:tcW w:w="3114" w:type="dxa"/>
          </w:tcPr>
          <w:p w14:paraId="4238E0AB" w14:textId="77777777" w:rsidR="005A56AD" w:rsidRPr="00FF3517" w:rsidDel="00F87B22" w:rsidRDefault="005A56AD" w:rsidP="00985940">
            <w:pPr>
              <w:tabs>
                <w:tab w:val="right" w:pos="1080"/>
                <w:tab w:val="left" w:pos="1260"/>
                <w:tab w:val="left" w:pos="1800"/>
              </w:tabs>
              <w:spacing w:before="40"/>
              <w:jc w:val="center"/>
              <w:rPr>
                <w:rFonts w:ascii="Times New Roman" w:hAnsi="Times New Roman"/>
                <w:color w:val="000000"/>
              </w:rPr>
            </w:pPr>
            <w:r w:rsidRPr="00004B17">
              <w:rPr>
                <w:rFonts w:ascii="Times New Roman" w:hAnsi="Times New Roman"/>
                <w:color w:val="000000"/>
                <w:sz w:val="22"/>
                <w:szCs w:val="22"/>
              </w:rPr>
              <w:t xml:space="preserve">0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r w:rsidRPr="00004B17">
              <w:rPr>
                <w:rFonts w:ascii="Times New Roman" w:hAnsi="Times New Roman"/>
                <w:i/>
                <w:iCs/>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i/>
                <w:iCs/>
                <w:color w:val="000000"/>
                <w:sz w:val="22"/>
                <w:szCs w:val="22"/>
              </w:rPr>
              <w:t xml:space="preserve"> </w:t>
            </w:r>
            <w:r w:rsidRPr="00004B17">
              <w:rPr>
                <w:rFonts w:ascii="Times New Roman" w:hAnsi="Times New Roman"/>
                <w:color w:val="000000"/>
                <w:sz w:val="22"/>
                <w:szCs w:val="22"/>
              </w:rPr>
              <w:t>&lt; 1 MHz</w:t>
            </w:r>
          </w:p>
        </w:tc>
        <w:tc>
          <w:tcPr>
            <w:tcW w:w="3208" w:type="dxa"/>
          </w:tcPr>
          <w:p w14:paraId="1B0FCD60" w14:textId="77777777" w:rsidR="005A56AD" w:rsidRPr="007B176E" w:rsidRDefault="005A56AD" w:rsidP="00985940">
            <w:pPr>
              <w:jc w:val="center"/>
              <w:rPr>
                <w:rFonts w:ascii="Times New Roman" w:hAnsi="Times New Roman"/>
                <w:color w:val="000000"/>
              </w:rPr>
            </w:pPr>
            <m:oMathPara>
              <m:oMath>
                <m:r>
                  <w:rPr>
                    <w:rFonts w:ascii="Cambria Math" w:hAnsi="Cambria Math"/>
                    <w:color w:val="000000"/>
                  </w:rPr>
                  <m:t>-13</m:t>
                </m:r>
              </m:oMath>
            </m:oMathPara>
          </w:p>
        </w:tc>
        <w:tc>
          <w:tcPr>
            <w:tcW w:w="2102" w:type="dxa"/>
            <w:vAlign w:val="center"/>
          </w:tcPr>
          <w:p w14:paraId="484699C4" w14:textId="77777777" w:rsidR="005A56AD" w:rsidRPr="00FF3517" w:rsidRDefault="005A56AD" w:rsidP="00985940">
            <w:pPr>
              <w:jc w:val="center"/>
              <w:rPr>
                <w:rFonts w:ascii="Times New Roman" w:hAnsi="Times New Roman"/>
              </w:rPr>
            </w:pPr>
            <w:r>
              <w:rPr>
                <w:rFonts w:ascii="Times New Roman" w:hAnsi="Times New Roman"/>
                <w:color w:val="000000"/>
              </w:rPr>
              <w:t>50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30A71752" w14:textId="77777777" w:rsidTr="00985940">
        <w:trPr>
          <w:cantSplit/>
          <w:jc w:val="center"/>
        </w:trPr>
        <w:tc>
          <w:tcPr>
            <w:tcW w:w="3114" w:type="dxa"/>
          </w:tcPr>
          <w:p w14:paraId="43720B57" w14:textId="77777777" w:rsidR="005A56AD" w:rsidDel="00F87B22" w:rsidRDefault="005A56AD" w:rsidP="00985940">
            <w:pPr>
              <w:tabs>
                <w:tab w:val="right" w:pos="1080"/>
                <w:tab w:val="left" w:pos="1260"/>
                <w:tab w:val="left" w:pos="1800"/>
              </w:tabs>
              <w:spacing w:before="40"/>
              <w:jc w:val="center"/>
              <w:rPr>
                <w:rFonts w:ascii="Times New Roman" w:hAnsi="Times New Roman"/>
                <w:color w:val="000000"/>
              </w:rPr>
            </w:pPr>
            <w:r w:rsidRPr="00004B17">
              <w:rPr>
                <w:rFonts w:ascii="Times New Roman" w:hAnsi="Times New Roman"/>
                <w:color w:val="000000"/>
                <w:sz w:val="22"/>
                <w:szCs w:val="22"/>
              </w:rPr>
              <w:t xml:space="preserve">1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color w:val="000000"/>
                <w:sz w:val="22"/>
                <w:szCs w:val="22"/>
              </w:rPr>
              <w:t xml:space="preserve"> &lt; 5 MHz</w:t>
            </w:r>
          </w:p>
        </w:tc>
        <w:tc>
          <w:tcPr>
            <w:tcW w:w="3208" w:type="dxa"/>
          </w:tcPr>
          <w:p w14:paraId="0929E48C" w14:textId="77777777" w:rsidR="005A56AD" w:rsidRPr="00F21834" w:rsidRDefault="005A56AD" w:rsidP="00985940">
            <w:pPr>
              <w:jc w:val="center"/>
              <w:rPr>
                <w:rFonts w:ascii="Times New Roman" w:hAnsi="Times New Roman"/>
                <w:noProof/>
              </w:rPr>
            </w:pPr>
            <w:r w:rsidRPr="00F21834">
              <w:rPr>
                <w:rFonts w:ascii="Times New Roman" w:hAnsi="Times New Roman"/>
                <w:noProof/>
              </w:rPr>
              <w:t>-</w:t>
            </w:r>
            <w:r>
              <w:rPr>
                <w:rFonts w:ascii="Times New Roman" w:hAnsi="Times New Roman"/>
                <w:noProof/>
              </w:rPr>
              <w:t>10</w:t>
            </w:r>
          </w:p>
        </w:tc>
        <w:tc>
          <w:tcPr>
            <w:tcW w:w="2102" w:type="dxa"/>
            <w:vAlign w:val="center"/>
          </w:tcPr>
          <w:p w14:paraId="27317D77"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r w:rsidR="005A56AD" w:rsidRPr="00FF3517" w14:paraId="0C65C9B5" w14:textId="77777777" w:rsidTr="00985940">
        <w:trPr>
          <w:cantSplit/>
          <w:jc w:val="center"/>
        </w:trPr>
        <w:tc>
          <w:tcPr>
            <w:tcW w:w="3114" w:type="dxa"/>
          </w:tcPr>
          <w:p w14:paraId="15367D82" w14:textId="77777777" w:rsidR="005A56AD" w:rsidRPr="00FF3517" w:rsidDel="00F87B22" w:rsidRDefault="005A56AD" w:rsidP="00985940">
            <w:pPr>
              <w:tabs>
                <w:tab w:val="right" w:pos="1080"/>
                <w:tab w:val="left" w:pos="1260"/>
                <w:tab w:val="left" w:pos="1800"/>
              </w:tabs>
              <w:spacing w:before="40"/>
              <w:jc w:val="center"/>
              <w:rPr>
                <w:rFonts w:ascii="Times New Roman" w:hAnsi="Times New Roman"/>
                <w:color w:val="000000"/>
              </w:rPr>
            </w:pPr>
            <w:r w:rsidRPr="00004B17">
              <w:rPr>
                <w:rFonts w:ascii="Times New Roman" w:hAnsi="Times New Roman"/>
                <w:color w:val="000000"/>
                <w:sz w:val="22"/>
                <w:szCs w:val="22"/>
              </w:rPr>
              <w:t xml:space="preserve">5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004B17">
              <w:rPr>
                <w:rFonts w:ascii="Times New Roman" w:hAnsi="Times New Roman"/>
                <w:color w:val="000000"/>
                <w:sz w:val="22"/>
                <w:szCs w:val="22"/>
              </w:rPr>
              <w:t xml:space="preserve"> &lt; 20 MHz</w:t>
            </w:r>
          </w:p>
        </w:tc>
        <w:tc>
          <w:tcPr>
            <w:tcW w:w="3208" w:type="dxa"/>
          </w:tcPr>
          <w:p w14:paraId="66799A19" w14:textId="77777777" w:rsidR="005A56AD" w:rsidRPr="00F21834" w:rsidRDefault="005A56AD" w:rsidP="00985940">
            <w:pPr>
              <w:jc w:val="center"/>
              <w:rPr>
                <w:rFonts w:ascii="Times New Roman" w:hAnsi="Times New Roman"/>
                <w:noProof/>
              </w:rPr>
            </w:pPr>
            <w:r w:rsidRPr="00F21834">
              <w:rPr>
                <w:rFonts w:ascii="Times New Roman" w:hAnsi="Times New Roman"/>
                <w:noProof/>
              </w:rPr>
              <w:t>-1</w:t>
            </w:r>
            <w:r>
              <w:rPr>
                <w:rFonts w:ascii="Times New Roman" w:hAnsi="Times New Roman"/>
                <w:noProof/>
              </w:rPr>
              <w:t>3</w:t>
            </w:r>
          </w:p>
        </w:tc>
        <w:tc>
          <w:tcPr>
            <w:tcW w:w="2102" w:type="dxa"/>
            <w:vAlign w:val="center"/>
          </w:tcPr>
          <w:p w14:paraId="6219A1EC"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r w:rsidR="005A56AD" w:rsidRPr="00FF3517" w14:paraId="1C111DC5" w14:textId="77777777" w:rsidTr="00985940">
        <w:trPr>
          <w:cantSplit/>
          <w:jc w:val="center"/>
        </w:trPr>
        <w:tc>
          <w:tcPr>
            <w:tcW w:w="3114" w:type="dxa"/>
          </w:tcPr>
          <w:p w14:paraId="37F7D89B"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sidRPr="00004B17">
              <w:rPr>
                <w:rFonts w:ascii="Times New Roman" w:hAnsi="Times New Roman"/>
                <w:color w:val="000000"/>
                <w:sz w:val="22"/>
                <w:szCs w:val="22"/>
              </w:rPr>
              <w:t xml:space="preserve">20 MHz </w:t>
            </w:r>
            <w:r w:rsidRPr="00004B17">
              <w:rPr>
                <w:rFonts w:ascii="Times New Roman" w:hAnsi="Times New Roman"/>
                <w:color w:val="000000"/>
                <w:sz w:val="22"/>
                <w:szCs w:val="22"/>
              </w:rPr>
              <w:sym w:font="Symbol" w:char="F0A3"/>
            </w:r>
            <w:r w:rsidRPr="00004B17">
              <w:rPr>
                <w:rFonts w:ascii="Times New Roman" w:hAnsi="Times New Roman"/>
                <w:color w:val="000000"/>
                <w:sz w:val="22"/>
                <w:szCs w:val="22"/>
              </w:rPr>
              <w:t xml:space="preserve">  </w:t>
            </w:r>
            <w:proofErr w:type="spellStart"/>
            <w:r w:rsidRPr="00004B17">
              <w:rPr>
                <w:rFonts w:ascii="Times New Roman" w:hAnsi="Times New Roman"/>
                <w:i/>
                <w:iCs/>
                <w:color w:val="000000"/>
                <w:sz w:val="22"/>
                <w:szCs w:val="22"/>
              </w:rPr>
              <w:t>f</w:t>
            </w:r>
            <w:r w:rsidRPr="00004B17">
              <w:rPr>
                <w:rFonts w:ascii="Times New Roman" w:hAnsi="Times New Roman"/>
                <w:i/>
                <w:iCs/>
                <w:color w:val="000000"/>
                <w:sz w:val="22"/>
                <w:szCs w:val="22"/>
                <w:vertAlign w:val="subscript"/>
              </w:rPr>
              <w:t>offset</w:t>
            </w:r>
            <w:proofErr w:type="spellEnd"/>
            <w:r w:rsidRPr="00B915FE">
              <w:rPr>
                <w:rFonts w:ascii="Times New Roman" w:hAnsi="Times New Roman"/>
                <w:i/>
                <w:iCs/>
                <w:color w:val="000000"/>
              </w:rPr>
              <w:t xml:space="preserve"> </w:t>
            </w:r>
            <w:r w:rsidRPr="00004B17">
              <w:rPr>
                <w:rFonts w:ascii="Times New Roman" w:hAnsi="Times New Roman"/>
                <w:color w:val="000000"/>
                <w:sz w:val="22"/>
                <w:szCs w:val="22"/>
              </w:rPr>
              <w:t>≤ 25 MHz</w:t>
            </w:r>
          </w:p>
        </w:tc>
        <w:tc>
          <w:tcPr>
            <w:tcW w:w="3208" w:type="dxa"/>
          </w:tcPr>
          <w:p w14:paraId="3A3D8076" w14:textId="77777777" w:rsidR="005A56AD" w:rsidRPr="00F21834" w:rsidRDefault="005A56AD" w:rsidP="00985940">
            <w:pPr>
              <w:jc w:val="center"/>
              <w:rPr>
                <w:rFonts w:ascii="Times New Roman" w:hAnsi="Times New Roman"/>
                <w:noProof/>
              </w:rPr>
            </w:pPr>
            <w:r>
              <w:rPr>
                <w:rFonts w:ascii="Times New Roman" w:hAnsi="Times New Roman"/>
                <w:noProof/>
              </w:rPr>
              <w:t>-25</w:t>
            </w:r>
          </w:p>
        </w:tc>
        <w:tc>
          <w:tcPr>
            <w:tcW w:w="2102" w:type="dxa"/>
            <w:vAlign w:val="center"/>
          </w:tcPr>
          <w:p w14:paraId="6475F3A6"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57AFC8B6" w14:textId="55CE697B" w:rsidR="005A56AD" w:rsidRPr="00FF3517" w:rsidRDefault="005A56AD" w:rsidP="005A56AD">
      <w:pPr>
        <w:pStyle w:val="subsection"/>
      </w:pPr>
      <w:r>
        <w:tab/>
        <w:t>(</w:t>
      </w:r>
      <w:r w:rsidR="00596405">
        <w:t>7</w:t>
      </w:r>
      <w:r>
        <w:t>)</w:t>
      </w:r>
      <w:r>
        <w:tab/>
        <w:t xml:space="preserve">The unwanted emission limits in Table 7, measured over the measurement bandwidth, apply </w:t>
      </w:r>
      <w:r w:rsidRPr="00840CBF">
        <w:t>for transmitters</w:t>
      </w:r>
      <w:r>
        <w:t xml:space="preserve"> </w:t>
      </w:r>
      <w:r w:rsidRPr="00840CBF">
        <w:t>operating in the frequency range</w:t>
      </w:r>
      <w:r>
        <w:t>s</w:t>
      </w:r>
      <w:r w:rsidRPr="00840CBF">
        <w:t xml:space="preserve"> </w:t>
      </w:r>
      <w:r>
        <w:t>814 MHz–845</w:t>
      </w:r>
      <w:r w:rsidRPr="00840CBF">
        <w:t xml:space="preserve"> MHz</w:t>
      </w:r>
      <w:r>
        <w:t xml:space="preserve"> or 890 MHz–915 MHz, at </w:t>
      </w:r>
      <w:proofErr w:type="spellStart"/>
      <w:r w:rsidRPr="00A30DF2">
        <w:t>f</w:t>
      </w:r>
      <w:r w:rsidRPr="00A30DF2">
        <w:rPr>
          <w:vertAlign w:val="subscript"/>
        </w:rPr>
        <w:t>offset</w:t>
      </w:r>
      <w:proofErr w:type="spellEnd"/>
      <w:r w:rsidRPr="00A30DF2">
        <w:t xml:space="preserve"> </w:t>
      </w:r>
      <w:r>
        <w:t xml:space="preserve">&gt; 25 MHz, </w:t>
      </w:r>
      <w:r w:rsidRPr="00FF3517">
        <w:t>where:</w:t>
      </w:r>
    </w:p>
    <w:p w14:paraId="0DB3C629" w14:textId="77777777" w:rsidR="005A56AD" w:rsidRPr="00FF3517" w:rsidRDefault="005A56AD" w:rsidP="005A56AD">
      <w:pPr>
        <w:pStyle w:val="paragraph0"/>
        <w:tabs>
          <w:tab w:val="clear" w:pos="1531"/>
          <w:tab w:val="left" w:pos="2160"/>
          <w:tab w:val="left" w:pos="2880"/>
          <w:tab w:val="left" w:pos="3600"/>
          <w:tab w:val="center" w:pos="4513"/>
        </w:tabs>
        <w:spacing w:before="120"/>
        <w:ind w:left="1134"/>
      </w:pPr>
      <w:r w:rsidRPr="00FF3517">
        <w:tab/>
      </w:r>
      <w:proofErr w:type="spellStart"/>
      <w:r w:rsidRPr="00FF3517">
        <w:rPr>
          <w:b/>
          <w:bCs/>
          <w:i/>
          <w:iCs/>
        </w:rPr>
        <w:t>f</w:t>
      </w:r>
      <w:r w:rsidRPr="00FF3517">
        <w:rPr>
          <w:b/>
          <w:bCs/>
          <w:i/>
          <w:iCs/>
          <w:vertAlign w:val="subscript"/>
        </w:rPr>
        <w:t>offset</w:t>
      </w:r>
      <w:proofErr w:type="spellEnd"/>
      <w:r w:rsidRPr="00FF3517">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323B4C">
        <w:rPr>
          <w:bCs/>
        </w:rPr>
        <w:t>f</w:t>
      </w:r>
      <w:r w:rsidRPr="00323B4C">
        <w:rPr>
          <w:bCs/>
          <w:vertAlign w:val="subscript"/>
        </w:rPr>
        <w:t>offset</w:t>
      </w:r>
      <w:proofErr w:type="spellEnd"/>
      <w:r w:rsidRPr="00FF3517">
        <w:t>.</w:t>
      </w:r>
    </w:p>
    <w:p w14:paraId="44C5D6C8" w14:textId="77777777" w:rsidR="005A56AD" w:rsidRPr="00FF3517" w:rsidRDefault="005A56AD" w:rsidP="005A56AD">
      <w:pPr>
        <w:pStyle w:val="ItemHead"/>
        <w:tabs>
          <w:tab w:val="left" w:pos="2520"/>
        </w:tabs>
        <w:spacing w:after="120"/>
        <w:ind w:left="1134" w:hanging="1134"/>
        <w:rPr>
          <w:rFonts w:ascii="Times New Roman" w:hAnsi="Times New Roman"/>
          <w:vertAlign w:val="subscript"/>
        </w:rPr>
      </w:pPr>
      <w:r w:rsidRPr="00FF3517">
        <w:rPr>
          <w:rFonts w:ascii="Times New Roman" w:hAnsi="Times New Roman"/>
        </w:rPr>
        <w:t xml:space="preserve">Table </w:t>
      </w:r>
      <w:r>
        <w:rPr>
          <w:rFonts w:ascii="Times New Roman" w:hAnsi="Times New Roman"/>
        </w:rPr>
        <w:t>7</w:t>
      </w:r>
      <w:r w:rsidRPr="00FF3517">
        <w:rPr>
          <w:rFonts w:ascii="Times New Roman" w:hAnsi="Times New Roman"/>
        </w:rPr>
        <w:tab/>
      </w:r>
      <w:r w:rsidRPr="00C253FE">
        <w:rPr>
          <w:rFonts w:ascii="Times New Roman" w:hAnsi="Times New Roman"/>
        </w:rPr>
        <w:t xml:space="preserve"> </w:t>
      </w:r>
      <w:r>
        <w:rPr>
          <w:rFonts w:ascii="Times New Roman" w:hAnsi="Times New Roman"/>
        </w:rPr>
        <w:t>Unwanted emission limits for transmitters operating in 814 MHz to 845 MHz or 890 to 915 MHz – frequency offset greater than 25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2722"/>
        <w:gridCol w:w="1997"/>
      </w:tblGrid>
      <w:tr w:rsidR="005A56AD" w:rsidRPr="00FF3517" w14:paraId="6793B910" w14:textId="77777777" w:rsidTr="00985940">
        <w:trPr>
          <w:cantSplit/>
          <w:jc w:val="center"/>
        </w:trPr>
        <w:tc>
          <w:tcPr>
            <w:tcW w:w="3256" w:type="dxa"/>
          </w:tcPr>
          <w:p w14:paraId="74CD7FDC"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Frequency range</w:t>
            </w:r>
            <w:r>
              <w:rPr>
                <w:rFonts w:ascii="Times New Roman" w:hAnsi="Times New Roman"/>
                <w:b/>
                <w:color w:val="000000"/>
              </w:rPr>
              <w:t xml:space="preserve"> (f) </w:t>
            </w:r>
          </w:p>
        </w:tc>
        <w:tc>
          <w:tcPr>
            <w:tcW w:w="2976" w:type="dxa"/>
          </w:tcPr>
          <w:p w14:paraId="0AAF0686"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Pr>
                <w:rFonts w:ascii="Times New Roman" w:hAnsi="Times New Roman"/>
                <w:b/>
                <w:color w:val="000000"/>
              </w:rPr>
              <w:t xml:space="preserve">Mean Power per Transmitter </w:t>
            </w:r>
            <w:r w:rsidRPr="00FF3517">
              <w:rPr>
                <w:rFonts w:ascii="Times New Roman" w:hAnsi="Times New Roman"/>
                <w:b/>
                <w:color w:val="000000"/>
              </w:rPr>
              <w:t>(dBm)</w:t>
            </w:r>
          </w:p>
        </w:tc>
        <w:tc>
          <w:tcPr>
            <w:tcW w:w="2102" w:type="dxa"/>
            <w:tcBorders>
              <w:bottom w:val="single" w:sz="4" w:space="0" w:color="auto"/>
            </w:tcBorders>
          </w:tcPr>
          <w:p w14:paraId="7799EFDC"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63E4E44C" w14:textId="77777777" w:rsidTr="00985940">
        <w:trPr>
          <w:cantSplit/>
          <w:jc w:val="center"/>
        </w:trPr>
        <w:tc>
          <w:tcPr>
            <w:tcW w:w="3256" w:type="dxa"/>
          </w:tcPr>
          <w:p w14:paraId="292F9B9E"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9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150 kHz</w:t>
            </w:r>
          </w:p>
        </w:tc>
        <w:tc>
          <w:tcPr>
            <w:tcW w:w="2976" w:type="dxa"/>
          </w:tcPr>
          <w:p w14:paraId="2271B918" w14:textId="77777777" w:rsidR="005A56AD" w:rsidRPr="00F21834"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bottom w:val="single" w:sz="4" w:space="0" w:color="auto"/>
            </w:tcBorders>
            <w:vAlign w:val="center"/>
          </w:tcPr>
          <w:p w14:paraId="7FD68623" w14:textId="77777777" w:rsidR="005A56AD" w:rsidRPr="00FF3517" w:rsidRDefault="005A56AD" w:rsidP="00985940">
            <w:pPr>
              <w:jc w:val="center"/>
              <w:rPr>
                <w:rFonts w:ascii="Times New Roman" w:hAnsi="Times New Roman"/>
              </w:rPr>
            </w:pPr>
            <w:r>
              <w:rPr>
                <w:rFonts w:ascii="Times New Roman" w:hAnsi="Times New Roman"/>
                <w:color w:val="000000"/>
              </w:rPr>
              <w:t>1</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rsidRPr="00FF3517" w14:paraId="6A2B881E" w14:textId="77777777" w:rsidTr="00985940">
        <w:trPr>
          <w:cantSplit/>
          <w:jc w:val="center"/>
        </w:trPr>
        <w:tc>
          <w:tcPr>
            <w:tcW w:w="3256" w:type="dxa"/>
          </w:tcPr>
          <w:p w14:paraId="5F1733EA"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150 k</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30 MHz</w:t>
            </w:r>
          </w:p>
        </w:tc>
        <w:tc>
          <w:tcPr>
            <w:tcW w:w="2976" w:type="dxa"/>
          </w:tcPr>
          <w:p w14:paraId="182F7EF6" w14:textId="77777777" w:rsidR="005A56AD"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top w:val="single" w:sz="4" w:space="0" w:color="auto"/>
            </w:tcBorders>
            <w:vAlign w:val="center"/>
          </w:tcPr>
          <w:p w14:paraId="71266CDF" w14:textId="77777777" w:rsidR="005A56AD" w:rsidRDefault="005A56AD" w:rsidP="00985940">
            <w:pPr>
              <w:jc w:val="center"/>
              <w:rPr>
                <w:rFonts w:ascii="Times New Roman" w:hAnsi="Times New Roman"/>
                <w:color w:val="000000"/>
              </w:rPr>
            </w:pPr>
            <w:r>
              <w:rPr>
                <w:rFonts w:ascii="Times New Roman" w:hAnsi="Times New Roman"/>
                <w:color w:val="000000"/>
              </w:rPr>
              <w:t>10 kHz</w:t>
            </w:r>
          </w:p>
        </w:tc>
      </w:tr>
      <w:tr w:rsidR="005A56AD" w:rsidRPr="00FF3517" w14:paraId="49E1D18B" w14:textId="77777777" w:rsidTr="00985940">
        <w:trPr>
          <w:cantSplit/>
          <w:jc w:val="center"/>
        </w:trPr>
        <w:tc>
          <w:tcPr>
            <w:tcW w:w="3256" w:type="dxa"/>
          </w:tcPr>
          <w:p w14:paraId="2311D053"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p>
        </w:tc>
        <w:tc>
          <w:tcPr>
            <w:tcW w:w="2976" w:type="dxa"/>
          </w:tcPr>
          <w:p w14:paraId="7D71C96E" w14:textId="77777777" w:rsidR="005A56AD" w:rsidRDefault="005A56AD" w:rsidP="00985940">
            <w:pPr>
              <w:jc w:val="center"/>
              <w:rPr>
                <w:rFonts w:ascii="Times New Roman" w:hAnsi="Times New Roman"/>
                <w:color w:val="000000"/>
              </w:rPr>
            </w:pPr>
            <w:r>
              <w:rPr>
                <w:rFonts w:ascii="Times New Roman" w:hAnsi="Times New Roman"/>
                <w:color w:val="000000"/>
              </w:rPr>
              <w:t>-36</w:t>
            </w:r>
          </w:p>
        </w:tc>
        <w:tc>
          <w:tcPr>
            <w:tcW w:w="2102" w:type="dxa"/>
            <w:tcBorders>
              <w:top w:val="single" w:sz="4" w:space="0" w:color="auto"/>
            </w:tcBorders>
            <w:vAlign w:val="center"/>
          </w:tcPr>
          <w:p w14:paraId="11497388" w14:textId="77777777" w:rsidR="005A56AD" w:rsidRDefault="005A56AD" w:rsidP="00985940">
            <w:pPr>
              <w:jc w:val="center"/>
              <w:rPr>
                <w:rFonts w:ascii="Times New Roman" w:hAnsi="Times New Roman"/>
                <w:color w:val="000000"/>
              </w:rPr>
            </w:pPr>
            <w:r>
              <w:rPr>
                <w:rFonts w:ascii="Times New Roman" w:hAnsi="Times New Roman"/>
                <w:color w:val="000000"/>
              </w:rPr>
              <w:t>100 kHz</w:t>
            </w:r>
          </w:p>
        </w:tc>
      </w:tr>
      <w:tr w:rsidR="005A56AD" w:rsidRPr="00FF3517" w14:paraId="5BBF8727" w14:textId="77777777" w:rsidTr="00985940">
        <w:trPr>
          <w:cantSplit/>
          <w:jc w:val="center"/>
        </w:trPr>
        <w:tc>
          <w:tcPr>
            <w:tcW w:w="3256" w:type="dxa"/>
          </w:tcPr>
          <w:p w14:paraId="7730909E"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p>
        </w:tc>
        <w:tc>
          <w:tcPr>
            <w:tcW w:w="2976" w:type="dxa"/>
          </w:tcPr>
          <w:p w14:paraId="1D28F669" w14:textId="77777777" w:rsidR="005A56AD" w:rsidRPr="00F21834" w:rsidRDefault="005A56AD" w:rsidP="00985940">
            <w:pPr>
              <w:jc w:val="center"/>
              <w:rPr>
                <w:rFonts w:ascii="Times New Roman" w:hAnsi="Times New Roman"/>
                <w:noProof/>
              </w:rPr>
            </w:pPr>
            <w:r>
              <w:rPr>
                <w:rFonts w:ascii="Times New Roman" w:hAnsi="Times New Roman"/>
                <w:color w:val="000000"/>
              </w:rPr>
              <w:t>-30</w:t>
            </w:r>
          </w:p>
        </w:tc>
        <w:tc>
          <w:tcPr>
            <w:tcW w:w="2102" w:type="dxa"/>
            <w:vAlign w:val="center"/>
          </w:tcPr>
          <w:p w14:paraId="4781DB1B"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5DB0D608" w14:textId="77777777" w:rsidR="005A56AD" w:rsidRPr="00CB7AB0" w:rsidRDefault="005A56AD" w:rsidP="005A56AD">
      <w:pPr>
        <w:pStyle w:val="subsection"/>
        <w:rPr>
          <w:i/>
          <w:iCs/>
        </w:rPr>
      </w:pPr>
      <w:r>
        <w:rPr>
          <w:i/>
          <w:iCs/>
        </w:rPr>
        <w:t>Radiocommunications receivers</w:t>
      </w:r>
    </w:p>
    <w:p w14:paraId="640FDC34" w14:textId="03DE2EA6" w:rsidR="005A56AD" w:rsidRDefault="005A56AD" w:rsidP="005A56AD">
      <w:pPr>
        <w:pStyle w:val="subsection"/>
      </w:pPr>
      <w:r>
        <w:tab/>
        <w:t>(</w:t>
      </w:r>
      <w:r w:rsidR="00596405">
        <w:t>8</w:t>
      </w:r>
      <w:r>
        <w:t>)</w:t>
      </w:r>
      <w:r>
        <w:tab/>
      </w:r>
      <w:r w:rsidRPr="00FF3517">
        <w:t xml:space="preserve">The unwanted emissions limits in Table </w:t>
      </w:r>
      <w:r>
        <w:t>8</w:t>
      </w:r>
      <w:r w:rsidRPr="00FF3517">
        <w:t xml:space="preserve">, </w:t>
      </w:r>
      <w:r w:rsidRPr="00FF3517">
        <w:rPr>
          <w:color w:val="000000"/>
        </w:rPr>
        <w:t xml:space="preserve">measured over the </w:t>
      </w:r>
      <w:r>
        <w:rPr>
          <w:color w:val="000000"/>
        </w:rPr>
        <w:t>measurement</w:t>
      </w:r>
      <w:r w:rsidRPr="00FF3517">
        <w:rPr>
          <w:color w:val="000000"/>
        </w:rPr>
        <w:t xml:space="preserve"> bandwidth for the relevant frequency range,</w:t>
      </w:r>
      <w:r w:rsidRPr="00FF3517">
        <w:t xml:space="preserve"> apply</w:t>
      </w:r>
      <w:r>
        <w:t xml:space="preserve"> for non-AAS receivers:</w:t>
      </w:r>
    </w:p>
    <w:p w14:paraId="4F7F94ED" w14:textId="77777777" w:rsidR="005A56AD" w:rsidRDefault="005A56AD" w:rsidP="005A56AD">
      <w:pPr>
        <w:pStyle w:val="paragraph0"/>
        <w:tabs>
          <w:tab w:val="left" w:pos="2160"/>
          <w:tab w:val="left" w:pos="2880"/>
          <w:tab w:val="left" w:pos="3600"/>
          <w:tab w:val="center" w:pos="4513"/>
        </w:tabs>
      </w:pPr>
      <w:r>
        <w:tab/>
        <w:t>(a)</w:t>
      </w:r>
      <w:r>
        <w:tab/>
        <w:t>f</w:t>
      </w:r>
      <w:r w:rsidRPr="00A6638D">
        <w:t>or all receivers operating in the frequency ranges 859</w:t>
      </w:r>
      <w:r>
        <w:t xml:space="preserve"> MHz–</w:t>
      </w:r>
      <w:r w:rsidRPr="00A6638D">
        <w:t>890 MHz or 935</w:t>
      </w:r>
      <w:r>
        <w:t> MHz–</w:t>
      </w:r>
      <w:r w:rsidRPr="00A6638D">
        <w:t>960</w:t>
      </w:r>
      <w:r>
        <w:t xml:space="preserve"> MHz;</w:t>
      </w:r>
    </w:p>
    <w:p w14:paraId="6C81205C" w14:textId="77777777" w:rsidR="005A56AD" w:rsidRPr="00004B17" w:rsidRDefault="005A56AD" w:rsidP="005A56AD">
      <w:pPr>
        <w:pStyle w:val="paragraph0"/>
        <w:tabs>
          <w:tab w:val="left" w:pos="2160"/>
          <w:tab w:val="left" w:pos="2880"/>
          <w:tab w:val="left" w:pos="3600"/>
          <w:tab w:val="center" w:pos="4513"/>
        </w:tabs>
      </w:pPr>
      <w:r>
        <w:lastRenderedPageBreak/>
        <w:tab/>
        <w:t>(b)</w:t>
      </w:r>
      <w:r>
        <w:tab/>
      </w:r>
      <w:r w:rsidRPr="00004B17">
        <w:t>for receivers operating in the frequency range 814</w:t>
      </w:r>
      <w:r>
        <w:t xml:space="preserve"> MHz–</w:t>
      </w:r>
      <w:r w:rsidRPr="00004B17">
        <w:t>845 MHz</w:t>
      </w:r>
      <w:r>
        <w:t xml:space="preserve"> – o</w:t>
      </w:r>
      <w:r w:rsidRPr="00E47957">
        <w:t xml:space="preserve">utside the </w:t>
      </w:r>
      <w:r>
        <w:t xml:space="preserve">frequency </w:t>
      </w:r>
      <w:r w:rsidRPr="00E47957">
        <w:t>range 849</w:t>
      </w:r>
      <w:r>
        <w:t xml:space="preserve"> MHz–</w:t>
      </w:r>
      <w:r w:rsidRPr="00E47957">
        <w:t>900 MHz</w:t>
      </w:r>
      <w:r>
        <w:t>;</w:t>
      </w:r>
    </w:p>
    <w:p w14:paraId="30C36894" w14:textId="77777777" w:rsidR="005A56AD" w:rsidRDefault="005A56AD" w:rsidP="005A56AD">
      <w:pPr>
        <w:pStyle w:val="paragraph0"/>
        <w:tabs>
          <w:tab w:val="left" w:pos="2160"/>
          <w:tab w:val="left" w:pos="2880"/>
          <w:tab w:val="left" w:pos="3600"/>
          <w:tab w:val="center" w:pos="4513"/>
        </w:tabs>
      </w:pPr>
      <w:r>
        <w:tab/>
        <w:t>(c)</w:t>
      </w:r>
      <w:r>
        <w:tab/>
      </w:r>
      <w:r w:rsidRPr="00004B17">
        <w:t>for receivers operating in the frequency range 890</w:t>
      </w:r>
      <w:r>
        <w:t xml:space="preserve"> MHz–</w:t>
      </w:r>
      <w:r w:rsidRPr="00004B17">
        <w:t>915 MHz</w:t>
      </w:r>
      <w:r w:rsidRPr="005031E5">
        <w:t xml:space="preserve"> </w:t>
      </w:r>
      <w:r>
        <w:t>– as o</w:t>
      </w:r>
      <w:r w:rsidRPr="000929EC">
        <w:t xml:space="preserve">utside the </w:t>
      </w:r>
      <w:r>
        <w:t xml:space="preserve">frequency </w:t>
      </w:r>
      <w:r w:rsidRPr="000929EC">
        <w:t>range 925</w:t>
      </w:r>
      <w:r>
        <w:t xml:space="preserve"> MHz–</w:t>
      </w:r>
      <w:r w:rsidRPr="000929EC">
        <w:t xml:space="preserve">970 </w:t>
      </w:r>
      <w:proofErr w:type="spellStart"/>
      <w:r w:rsidRPr="000929EC">
        <w:t>MHz</w:t>
      </w:r>
      <w:r w:rsidRPr="00004B17">
        <w:t>.</w:t>
      </w:r>
      <w:proofErr w:type="spellEnd"/>
    </w:p>
    <w:p w14:paraId="538FB2AE" w14:textId="77777777" w:rsidR="005A56AD" w:rsidRPr="00004B17" w:rsidRDefault="005A56AD" w:rsidP="005A56AD">
      <w:pPr>
        <w:pStyle w:val="ItemHead"/>
        <w:tabs>
          <w:tab w:val="left" w:pos="2520"/>
        </w:tabs>
        <w:spacing w:after="120"/>
        <w:ind w:left="1134" w:hanging="1134"/>
        <w:rPr>
          <w:rFonts w:ascii="Times New Roman" w:hAnsi="Times New Roman"/>
        </w:rPr>
      </w:pPr>
      <w:r w:rsidRPr="00FF3517">
        <w:rPr>
          <w:rFonts w:ascii="Times New Roman" w:hAnsi="Times New Roman"/>
        </w:rPr>
        <w:t xml:space="preserve">Table </w:t>
      </w:r>
      <w:r>
        <w:rPr>
          <w:rFonts w:ascii="Times New Roman" w:hAnsi="Times New Roman"/>
        </w:rPr>
        <w:t>8</w:t>
      </w:r>
      <w:r w:rsidRPr="00FF3517">
        <w:rPr>
          <w:rFonts w:ascii="Times New Roman" w:hAnsi="Times New Roman"/>
        </w:rPr>
        <w:tab/>
      </w:r>
      <w:r>
        <w:rPr>
          <w:rFonts w:ascii="Times New Roman" w:hAnsi="Times New Roman"/>
        </w:rPr>
        <w:t>U</w:t>
      </w:r>
      <w:r w:rsidRPr="00FF3517">
        <w:rPr>
          <w:rFonts w:ascii="Times New Roman" w:hAnsi="Times New Roman"/>
        </w:rPr>
        <w:t xml:space="preserve">nwanted emission limits </w:t>
      </w:r>
      <w:r>
        <w:rPr>
          <w:rFonts w:ascii="Times New Roman" w:hAnsi="Times New Roman"/>
        </w:rPr>
        <w:t>for non-AAS receivers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7F9F6CCE" w14:textId="77777777" w:rsidTr="00985940">
        <w:trPr>
          <w:cantSplit/>
          <w:jc w:val="center"/>
        </w:trPr>
        <w:tc>
          <w:tcPr>
            <w:tcW w:w="3256" w:type="dxa"/>
          </w:tcPr>
          <w:p w14:paraId="4AC6B0E6"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Frequency range</w:t>
            </w:r>
            <w:r>
              <w:rPr>
                <w:rFonts w:ascii="Times New Roman" w:hAnsi="Times New Roman"/>
                <w:b/>
                <w:color w:val="000000"/>
              </w:rPr>
              <w:t xml:space="preserve"> (f) </w:t>
            </w:r>
          </w:p>
        </w:tc>
        <w:tc>
          <w:tcPr>
            <w:tcW w:w="2976" w:type="dxa"/>
          </w:tcPr>
          <w:p w14:paraId="437D52C7"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Total radiated power</w:t>
            </w:r>
            <w:r>
              <w:rPr>
                <w:rFonts w:ascii="Times New Roman" w:hAnsi="Times New Roman"/>
                <w:b/>
                <w:color w:val="000000"/>
              </w:rPr>
              <w:t xml:space="preserve"> </w:t>
            </w:r>
            <w:r w:rsidRPr="00FF3517">
              <w:rPr>
                <w:rFonts w:ascii="Times New Roman" w:hAnsi="Times New Roman"/>
                <w:b/>
                <w:color w:val="000000"/>
              </w:rPr>
              <w:t>(dBm)</w:t>
            </w:r>
          </w:p>
        </w:tc>
        <w:tc>
          <w:tcPr>
            <w:tcW w:w="2102" w:type="dxa"/>
            <w:tcBorders>
              <w:bottom w:val="single" w:sz="4" w:space="0" w:color="auto"/>
            </w:tcBorders>
          </w:tcPr>
          <w:p w14:paraId="39DD735C"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08779F19" w14:textId="77777777" w:rsidTr="00985940">
        <w:trPr>
          <w:cantSplit/>
          <w:jc w:val="center"/>
        </w:trPr>
        <w:tc>
          <w:tcPr>
            <w:tcW w:w="3256" w:type="dxa"/>
          </w:tcPr>
          <w:p w14:paraId="221E199E"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p>
        </w:tc>
        <w:tc>
          <w:tcPr>
            <w:tcW w:w="2976" w:type="dxa"/>
          </w:tcPr>
          <w:p w14:paraId="77C982C2" w14:textId="77777777" w:rsidR="005A56AD" w:rsidRPr="00F21834" w:rsidRDefault="005A56AD" w:rsidP="00985940">
            <w:pPr>
              <w:jc w:val="center"/>
              <w:rPr>
                <w:rFonts w:ascii="Times New Roman" w:hAnsi="Times New Roman"/>
                <w:color w:val="000000"/>
              </w:rPr>
            </w:pPr>
            <w:r>
              <w:rPr>
                <w:rFonts w:ascii="Times New Roman" w:hAnsi="Times New Roman"/>
                <w:color w:val="000000"/>
              </w:rPr>
              <w:t>-57</w:t>
            </w:r>
          </w:p>
        </w:tc>
        <w:tc>
          <w:tcPr>
            <w:tcW w:w="2102" w:type="dxa"/>
            <w:tcBorders>
              <w:bottom w:val="single" w:sz="4" w:space="0" w:color="auto"/>
            </w:tcBorders>
            <w:vAlign w:val="center"/>
          </w:tcPr>
          <w:p w14:paraId="08AA4DCE" w14:textId="77777777" w:rsidR="005A56AD" w:rsidRPr="00FF3517" w:rsidRDefault="005A56AD" w:rsidP="00985940">
            <w:pPr>
              <w:jc w:val="center"/>
              <w:rPr>
                <w:rFonts w:ascii="Times New Roman" w:hAnsi="Times New Roman"/>
              </w:rPr>
            </w:pPr>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14:paraId="0ADB3460" w14:textId="77777777" w:rsidTr="00985940">
        <w:trPr>
          <w:cantSplit/>
          <w:jc w:val="center"/>
        </w:trPr>
        <w:tc>
          <w:tcPr>
            <w:tcW w:w="3256" w:type="dxa"/>
          </w:tcPr>
          <w:p w14:paraId="701F2B97"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p>
        </w:tc>
        <w:tc>
          <w:tcPr>
            <w:tcW w:w="2976" w:type="dxa"/>
          </w:tcPr>
          <w:p w14:paraId="76D831D2" w14:textId="77777777" w:rsidR="005A56AD" w:rsidRDefault="005A56AD" w:rsidP="00985940">
            <w:pPr>
              <w:jc w:val="center"/>
              <w:rPr>
                <w:rFonts w:ascii="Times New Roman" w:hAnsi="Times New Roman"/>
                <w:color w:val="000000"/>
              </w:rPr>
            </w:pPr>
            <w:r>
              <w:rPr>
                <w:rFonts w:ascii="Times New Roman" w:hAnsi="Times New Roman"/>
                <w:color w:val="000000"/>
              </w:rPr>
              <w:t>-47</w:t>
            </w:r>
          </w:p>
        </w:tc>
        <w:tc>
          <w:tcPr>
            <w:tcW w:w="2102" w:type="dxa"/>
            <w:tcBorders>
              <w:top w:val="single" w:sz="4" w:space="0" w:color="auto"/>
            </w:tcBorders>
            <w:vAlign w:val="center"/>
          </w:tcPr>
          <w:p w14:paraId="5EFC29C4"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1674F722" w14:textId="559859BC" w:rsidR="005A56AD" w:rsidRDefault="005A56AD" w:rsidP="005A56AD">
      <w:pPr>
        <w:pStyle w:val="subsection"/>
      </w:pPr>
      <w:r>
        <w:tab/>
        <w:t>(</w:t>
      </w:r>
      <w:r w:rsidR="00596405">
        <w:t>9</w:t>
      </w:r>
      <w:r>
        <w:t>)</w:t>
      </w:r>
      <w:r>
        <w:tab/>
      </w:r>
      <w:r w:rsidRPr="00FF3517">
        <w:t xml:space="preserve">The unwanted emissions limits in Table </w:t>
      </w:r>
      <w:r>
        <w:t>9</w:t>
      </w:r>
      <w:r w:rsidRPr="00FF3517">
        <w:t xml:space="preserve">, </w:t>
      </w:r>
      <w:r w:rsidRPr="00FF3517">
        <w:rPr>
          <w:color w:val="000000"/>
        </w:rPr>
        <w:t xml:space="preserve">measured over the </w:t>
      </w:r>
      <w:r>
        <w:rPr>
          <w:color w:val="000000"/>
        </w:rPr>
        <w:t>measurement</w:t>
      </w:r>
      <w:r w:rsidRPr="00FF3517">
        <w:rPr>
          <w:color w:val="000000"/>
        </w:rPr>
        <w:t xml:space="preserve"> bandwidth for the relevant frequency range,</w:t>
      </w:r>
      <w:r w:rsidRPr="00FF3517">
        <w:t xml:space="preserve"> apply</w:t>
      </w:r>
      <w:r>
        <w:t xml:space="preserve"> to receivers with AAS:</w:t>
      </w:r>
    </w:p>
    <w:p w14:paraId="203985EE" w14:textId="77777777" w:rsidR="005A56AD" w:rsidRDefault="005A56AD" w:rsidP="005A56AD">
      <w:pPr>
        <w:pStyle w:val="paragraph0"/>
        <w:tabs>
          <w:tab w:val="left" w:pos="2160"/>
          <w:tab w:val="left" w:pos="2880"/>
          <w:tab w:val="left" w:pos="3600"/>
          <w:tab w:val="center" w:pos="4513"/>
        </w:tabs>
      </w:pPr>
      <w:r>
        <w:tab/>
        <w:t>(a)</w:t>
      </w:r>
      <w:r>
        <w:tab/>
        <w:t xml:space="preserve">for receivers operating in the frequency range 814 MHz–845 MHz – outside the frequency range 849 MHz–900 MHz; </w:t>
      </w:r>
    </w:p>
    <w:p w14:paraId="59D3C63D" w14:textId="77777777" w:rsidR="005A56AD" w:rsidRDefault="005A56AD" w:rsidP="005A56AD">
      <w:pPr>
        <w:pStyle w:val="paragraph0"/>
        <w:tabs>
          <w:tab w:val="left" w:pos="2160"/>
          <w:tab w:val="left" w:pos="2880"/>
          <w:tab w:val="left" w:pos="3600"/>
          <w:tab w:val="center" w:pos="4513"/>
        </w:tabs>
      </w:pPr>
      <w:r>
        <w:tab/>
        <w:t>(b)</w:t>
      </w:r>
      <w:r>
        <w:tab/>
        <w:t xml:space="preserve">for receivers operating in the frequency range 890 MHz–915 MHz – outside the frequency range 925 MHz–970 </w:t>
      </w:r>
      <w:proofErr w:type="spellStart"/>
      <w:r>
        <w:t>MHz.</w:t>
      </w:r>
      <w:proofErr w:type="spellEnd"/>
    </w:p>
    <w:p w14:paraId="2C68F6A4" w14:textId="77777777" w:rsidR="005A56AD" w:rsidRPr="00004B17" w:rsidRDefault="005A56AD" w:rsidP="005A56AD">
      <w:pPr>
        <w:pStyle w:val="ItemHead"/>
        <w:tabs>
          <w:tab w:val="left" w:pos="2520"/>
        </w:tabs>
        <w:spacing w:after="120"/>
        <w:ind w:left="1134" w:hanging="1134"/>
        <w:rPr>
          <w:rFonts w:ascii="Times New Roman" w:hAnsi="Times New Roman"/>
        </w:rPr>
      </w:pPr>
      <w:r w:rsidRPr="00FF3517">
        <w:rPr>
          <w:rFonts w:ascii="Times New Roman" w:hAnsi="Times New Roman"/>
        </w:rPr>
        <w:t xml:space="preserve">Table </w:t>
      </w:r>
      <w:r>
        <w:rPr>
          <w:rFonts w:ascii="Times New Roman" w:hAnsi="Times New Roman"/>
        </w:rPr>
        <w:t>9</w:t>
      </w:r>
      <w:r w:rsidRPr="00FF3517">
        <w:rPr>
          <w:rFonts w:ascii="Times New Roman" w:hAnsi="Times New Roman"/>
        </w:rPr>
        <w:tab/>
      </w:r>
      <w:r>
        <w:rPr>
          <w:rFonts w:ascii="Times New Roman" w:hAnsi="Times New Roman"/>
        </w:rPr>
        <w:t>U</w:t>
      </w:r>
      <w:r w:rsidRPr="00FF3517">
        <w:rPr>
          <w:rFonts w:ascii="Times New Roman" w:hAnsi="Times New Roman"/>
        </w:rPr>
        <w:t xml:space="preserve">nwanted emission limits </w:t>
      </w:r>
      <w:r>
        <w:rPr>
          <w:rFonts w:ascii="Times New Roman" w:hAnsi="Times New Roman"/>
        </w:rPr>
        <w:t>for receivers with AAS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695"/>
        <w:gridCol w:w="2004"/>
      </w:tblGrid>
      <w:tr w:rsidR="005A56AD" w:rsidRPr="00FF3517" w14:paraId="46287118" w14:textId="77777777" w:rsidTr="00985940">
        <w:trPr>
          <w:cantSplit/>
          <w:jc w:val="center"/>
        </w:trPr>
        <w:tc>
          <w:tcPr>
            <w:tcW w:w="3256" w:type="dxa"/>
          </w:tcPr>
          <w:p w14:paraId="51CABB4F"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Frequency range</w:t>
            </w:r>
            <w:r>
              <w:rPr>
                <w:rFonts w:ascii="Times New Roman" w:hAnsi="Times New Roman"/>
                <w:b/>
                <w:color w:val="000000"/>
              </w:rPr>
              <w:t xml:space="preserve"> (f) </w:t>
            </w:r>
          </w:p>
        </w:tc>
        <w:tc>
          <w:tcPr>
            <w:tcW w:w="2976" w:type="dxa"/>
          </w:tcPr>
          <w:p w14:paraId="69809559"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b/>
                <w:color w:val="000000"/>
              </w:rPr>
            </w:pPr>
            <w:r w:rsidRPr="00FF3517">
              <w:rPr>
                <w:rFonts w:ascii="Times New Roman" w:hAnsi="Times New Roman"/>
                <w:b/>
                <w:color w:val="000000"/>
              </w:rPr>
              <w:t>Total radiated power</w:t>
            </w:r>
            <w:r>
              <w:rPr>
                <w:rFonts w:ascii="Times New Roman" w:hAnsi="Times New Roman"/>
                <w:b/>
                <w:color w:val="000000"/>
              </w:rPr>
              <w:t xml:space="preserve"> </w:t>
            </w:r>
            <w:r w:rsidRPr="00FF3517">
              <w:rPr>
                <w:rFonts w:ascii="Times New Roman" w:hAnsi="Times New Roman"/>
                <w:b/>
                <w:color w:val="000000"/>
              </w:rPr>
              <w:t>(dBm)</w:t>
            </w:r>
          </w:p>
        </w:tc>
        <w:tc>
          <w:tcPr>
            <w:tcW w:w="2102" w:type="dxa"/>
            <w:tcBorders>
              <w:bottom w:val="single" w:sz="4" w:space="0" w:color="auto"/>
            </w:tcBorders>
          </w:tcPr>
          <w:p w14:paraId="04EE5466" w14:textId="77777777" w:rsidR="005A56AD" w:rsidRPr="00FF3517" w:rsidRDefault="005A56AD" w:rsidP="00985940">
            <w:pPr>
              <w:keepNext/>
              <w:keepLines/>
              <w:tabs>
                <w:tab w:val="right" w:pos="1080"/>
                <w:tab w:val="left" w:pos="1260"/>
                <w:tab w:val="left" w:pos="1800"/>
              </w:tabs>
              <w:spacing w:before="40"/>
              <w:jc w:val="center"/>
              <w:rPr>
                <w:rFonts w:ascii="Times New Roman" w:hAnsi="Times New Roman"/>
              </w:rPr>
            </w:pPr>
            <w:r>
              <w:rPr>
                <w:rFonts w:ascii="Times New Roman" w:hAnsi="Times New Roman"/>
                <w:b/>
                <w:color w:val="000000"/>
              </w:rPr>
              <w:t xml:space="preserve">Measurement </w:t>
            </w:r>
            <w:r w:rsidRPr="00FF3517">
              <w:rPr>
                <w:rFonts w:ascii="Times New Roman" w:hAnsi="Times New Roman"/>
                <w:b/>
                <w:color w:val="000000"/>
              </w:rPr>
              <w:t>bandwidth</w:t>
            </w:r>
          </w:p>
        </w:tc>
      </w:tr>
      <w:tr w:rsidR="005A56AD" w:rsidRPr="00FF3517" w14:paraId="72AEA7B7" w14:textId="77777777" w:rsidTr="00985940">
        <w:trPr>
          <w:cantSplit/>
          <w:jc w:val="center"/>
        </w:trPr>
        <w:tc>
          <w:tcPr>
            <w:tcW w:w="3256" w:type="dxa"/>
          </w:tcPr>
          <w:p w14:paraId="18878DB9" w14:textId="77777777" w:rsidR="005A56AD" w:rsidRPr="00FF3517"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30 M</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 GHz</w:t>
            </w:r>
          </w:p>
        </w:tc>
        <w:tc>
          <w:tcPr>
            <w:tcW w:w="2976" w:type="dxa"/>
          </w:tcPr>
          <w:p w14:paraId="2354AA2E" w14:textId="77777777" w:rsidR="005A56AD" w:rsidRPr="00F21834" w:rsidRDefault="005A56AD" w:rsidP="00985940">
            <w:pPr>
              <w:jc w:val="center"/>
              <w:rPr>
                <w:rFonts w:ascii="Times New Roman" w:hAnsi="Times New Roman"/>
                <w:color w:val="000000"/>
              </w:rPr>
            </w:pPr>
            <w:r>
              <w:rPr>
                <w:rFonts w:ascii="Times New Roman" w:hAnsi="Times New Roman"/>
                <w:color w:val="000000"/>
              </w:rPr>
              <w:t>-27</w:t>
            </w:r>
          </w:p>
        </w:tc>
        <w:tc>
          <w:tcPr>
            <w:tcW w:w="2102" w:type="dxa"/>
            <w:tcBorders>
              <w:bottom w:val="single" w:sz="4" w:space="0" w:color="auto"/>
            </w:tcBorders>
            <w:vAlign w:val="center"/>
          </w:tcPr>
          <w:p w14:paraId="0211747E" w14:textId="77777777" w:rsidR="005A56AD" w:rsidRPr="00FF3517" w:rsidRDefault="005A56AD" w:rsidP="00985940">
            <w:pPr>
              <w:jc w:val="center"/>
              <w:rPr>
                <w:rFonts w:ascii="Times New Roman" w:hAnsi="Times New Roman"/>
              </w:rPr>
            </w:pPr>
            <w:r>
              <w:rPr>
                <w:rFonts w:ascii="Times New Roman" w:hAnsi="Times New Roman"/>
                <w:color w:val="000000"/>
              </w:rPr>
              <w:t>100</w:t>
            </w:r>
            <w:r w:rsidRPr="00FF3517">
              <w:rPr>
                <w:rFonts w:ascii="Times New Roman" w:hAnsi="Times New Roman"/>
                <w:color w:val="000000"/>
              </w:rPr>
              <w:t xml:space="preserve"> </w:t>
            </w:r>
            <w:r>
              <w:rPr>
                <w:rFonts w:ascii="Times New Roman" w:hAnsi="Times New Roman"/>
                <w:color w:val="000000"/>
              </w:rPr>
              <w:t>k</w:t>
            </w:r>
            <w:r w:rsidRPr="00FF3517">
              <w:rPr>
                <w:rFonts w:ascii="Times New Roman" w:hAnsi="Times New Roman"/>
                <w:color w:val="000000"/>
              </w:rPr>
              <w:t>Hz</w:t>
            </w:r>
          </w:p>
        </w:tc>
      </w:tr>
      <w:tr w:rsidR="005A56AD" w14:paraId="7334D5ED" w14:textId="77777777" w:rsidTr="00985940">
        <w:trPr>
          <w:cantSplit/>
          <w:jc w:val="center"/>
        </w:trPr>
        <w:tc>
          <w:tcPr>
            <w:tcW w:w="3256" w:type="dxa"/>
          </w:tcPr>
          <w:p w14:paraId="3164FC30" w14:textId="77777777" w:rsidR="005A56AD" w:rsidRDefault="005A56AD" w:rsidP="00985940">
            <w:pPr>
              <w:tabs>
                <w:tab w:val="right" w:pos="1080"/>
                <w:tab w:val="left" w:pos="1260"/>
                <w:tab w:val="left" w:pos="1800"/>
              </w:tabs>
              <w:spacing w:before="40"/>
              <w:jc w:val="center"/>
              <w:rPr>
                <w:rFonts w:ascii="Times New Roman" w:hAnsi="Times New Roman"/>
                <w:color w:val="000000"/>
              </w:rPr>
            </w:pPr>
            <w:r>
              <w:rPr>
                <w:rFonts w:ascii="Times New Roman" w:hAnsi="Times New Roman"/>
                <w:color w:val="000000"/>
              </w:rPr>
              <w:t>1 G</w:t>
            </w:r>
            <w:r w:rsidRPr="00FF3517">
              <w:rPr>
                <w:rFonts w:ascii="Times New Roman" w:hAnsi="Times New Roman"/>
                <w:color w:val="000000"/>
              </w:rPr>
              <w:t xml:space="preserve">Hz </w:t>
            </w:r>
            <w:r>
              <w:rPr>
                <w:rFonts w:ascii="Times New Roman" w:hAnsi="Times New Roman"/>
                <w:color w:val="000000"/>
              </w:rPr>
              <w:t>&lt;</w:t>
            </w:r>
            <w:r w:rsidRPr="00FF3517">
              <w:rPr>
                <w:rFonts w:ascii="Times New Roman" w:hAnsi="Times New Roman"/>
                <w:color w:val="000000"/>
              </w:rPr>
              <w:t xml:space="preserve"> f ≤ </w:t>
            </w:r>
            <w:r>
              <w:rPr>
                <w:rFonts w:ascii="Times New Roman" w:hAnsi="Times New Roman"/>
                <w:color w:val="000000"/>
              </w:rPr>
              <w:t>12.75 GHz</w:t>
            </w:r>
          </w:p>
        </w:tc>
        <w:tc>
          <w:tcPr>
            <w:tcW w:w="2976" w:type="dxa"/>
          </w:tcPr>
          <w:p w14:paraId="0A2B8CCA" w14:textId="77777777" w:rsidR="005A56AD" w:rsidRDefault="005A56AD" w:rsidP="00985940">
            <w:pPr>
              <w:jc w:val="center"/>
              <w:rPr>
                <w:rFonts w:ascii="Times New Roman" w:hAnsi="Times New Roman"/>
                <w:color w:val="000000"/>
              </w:rPr>
            </w:pPr>
            <w:r>
              <w:rPr>
                <w:rFonts w:ascii="Times New Roman" w:hAnsi="Times New Roman"/>
                <w:color w:val="000000"/>
              </w:rPr>
              <w:t>-21</w:t>
            </w:r>
          </w:p>
        </w:tc>
        <w:tc>
          <w:tcPr>
            <w:tcW w:w="2102" w:type="dxa"/>
            <w:tcBorders>
              <w:top w:val="single" w:sz="4" w:space="0" w:color="auto"/>
            </w:tcBorders>
            <w:vAlign w:val="center"/>
          </w:tcPr>
          <w:p w14:paraId="43C4E292" w14:textId="77777777" w:rsidR="005A56AD" w:rsidRDefault="005A56AD" w:rsidP="00985940">
            <w:pPr>
              <w:jc w:val="center"/>
              <w:rPr>
                <w:rFonts w:ascii="Times New Roman" w:hAnsi="Times New Roman"/>
                <w:color w:val="000000"/>
              </w:rPr>
            </w:pPr>
            <w:r>
              <w:rPr>
                <w:rFonts w:ascii="Times New Roman" w:hAnsi="Times New Roman"/>
                <w:color w:val="000000"/>
              </w:rPr>
              <w:t>1 MHz</w:t>
            </w:r>
          </w:p>
        </w:tc>
      </w:tr>
    </w:tbl>
    <w:p w14:paraId="4CFFCB99" w14:textId="25F1FB7A" w:rsidR="005A56AD" w:rsidRDefault="005A56AD" w:rsidP="005A56AD">
      <w:pPr>
        <w:pStyle w:val="subsection"/>
        <w:rPr>
          <w:i/>
          <w:iCs/>
        </w:rPr>
      </w:pPr>
      <w:r>
        <w:tab/>
      </w:r>
      <w:r w:rsidRPr="003A7F10">
        <w:t>(</w:t>
      </w:r>
      <w:r w:rsidR="00596405">
        <w:t>10</w:t>
      </w:r>
      <w:r w:rsidRPr="003A7F10">
        <w:t>)</w:t>
      </w:r>
      <w:r w:rsidRPr="003A7F10">
        <w:tab/>
        <w:t>The emission limits mentioned in (</w:t>
      </w:r>
      <w:r w:rsidR="00596405">
        <w:t>8</w:t>
      </w:r>
      <w:r w:rsidRPr="003A7F10">
        <w:t xml:space="preserve">) </w:t>
      </w:r>
      <w:r>
        <w:t>and (</w:t>
      </w:r>
      <w:r w:rsidR="00596405">
        <w:t>9</w:t>
      </w:r>
      <w:r>
        <w:t xml:space="preserve">) </w:t>
      </w:r>
      <w:r w:rsidRPr="003A7F10">
        <w:t xml:space="preserve">do not apply to radiocommunications </w:t>
      </w:r>
      <w:r>
        <w:t>receivers</w:t>
      </w:r>
      <w:r w:rsidRPr="003A7F10">
        <w:t xml:space="preserve"> where the antenna or transceiver array boundary connectors support both a radiocommunications receiver and </w:t>
      </w:r>
      <w:r>
        <w:t xml:space="preserve">a radiocommunications </w:t>
      </w:r>
      <w:r w:rsidRPr="003A7F10">
        <w:t>transmitter.</w:t>
      </w:r>
    </w:p>
    <w:p w14:paraId="0C329902" w14:textId="77777777" w:rsidR="005A56AD" w:rsidRPr="00FF3517" w:rsidRDefault="005A56AD" w:rsidP="005A56AD">
      <w:pPr>
        <w:pStyle w:val="subsection"/>
        <w:keepNext/>
        <w:spacing w:before="240" w:after="120"/>
        <w:rPr>
          <w:i/>
          <w:iCs/>
        </w:rPr>
      </w:pPr>
      <w:r w:rsidRPr="00FF3517">
        <w:rPr>
          <w:i/>
          <w:iCs/>
        </w:rPr>
        <w:tab/>
        <w:t>Definitions</w:t>
      </w:r>
    </w:p>
    <w:p w14:paraId="0C248ED6" w14:textId="4AAFE415" w:rsidR="005A56AD" w:rsidRDefault="005A56AD" w:rsidP="005A56AD">
      <w:pPr>
        <w:pStyle w:val="subsection"/>
        <w:rPr>
          <w:bCs/>
          <w:color w:val="000000"/>
        </w:rPr>
      </w:pPr>
      <w:r w:rsidRPr="00D64B49">
        <w:rPr>
          <w:bCs/>
          <w:color w:val="000000"/>
        </w:rPr>
        <w:tab/>
        <w:t>(1</w:t>
      </w:r>
      <w:r w:rsidR="00596405">
        <w:rPr>
          <w:bCs/>
          <w:color w:val="000000"/>
        </w:rPr>
        <w:t>1</w:t>
      </w:r>
      <w:r w:rsidRPr="00D64B49">
        <w:rPr>
          <w:bCs/>
          <w:color w:val="000000"/>
        </w:rPr>
        <w:t>)</w:t>
      </w:r>
      <w:r w:rsidRPr="00D64B49">
        <w:rPr>
          <w:bCs/>
          <w:color w:val="000000"/>
        </w:rPr>
        <w:tab/>
        <w:t>In this clause</w:t>
      </w:r>
      <w:r>
        <w:rPr>
          <w:bCs/>
          <w:color w:val="000000"/>
        </w:rPr>
        <w:t>;</w:t>
      </w:r>
    </w:p>
    <w:p w14:paraId="7188688D" w14:textId="77777777" w:rsidR="005A56AD" w:rsidRDefault="005A56AD" w:rsidP="005A56AD">
      <w:pPr>
        <w:pStyle w:val="subsection"/>
        <w:rPr>
          <w:bCs/>
          <w:color w:val="000000"/>
        </w:rPr>
      </w:pPr>
      <w:r>
        <w:rPr>
          <w:bCs/>
          <w:color w:val="000000"/>
        </w:rPr>
        <w:tab/>
      </w:r>
      <w:r>
        <w:rPr>
          <w:bCs/>
          <w:color w:val="000000"/>
        </w:rPr>
        <w:tab/>
      </w:r>
      <w:r w:rsidRPr="00004B17">
        <w:rPr>
          <w:b/>
          <w:i/>
          <w:iCs/>
          <w:color w:val="000000"/>
        </w:rPr>
        <w:t>non-AAS receiver</w:t>
      </w:r>
      <w:r>
        <w:rPr>
          <w:bCs/>
          <w:color w:val="000000"/>
        </w:rPr>
        <w:t xml:space="preserve"> means a radiocommunications receiver without AAS.</w:t>
      </w:r>
    </w:p>
    <w:p w14:paraId="191FEE00" w14:textId="77777777" w:rsidR="005A56AD" w:rsidRDefault="005A56AD" w:rsidP="005A56AD">
      <w:pPr>
        <w:pStyle w:val="subsection"/>
        <w:rPr>
          <w:bCs/>
          <w:color w:val="000000"/>
        </w:rPr>
      </w:pPr>
      <w:r>
        <w:rPr>
          <w:bCs/>
          <w:color w:val="000000"/>
        </w:rPr>
        <w:tab/>
      </w:r>
      <w:r>
        <w:rPr>
          <w:bCs/>
          <w:color w:val="000000"/>
        </w:rPr>
        <w:tab/>
      </w:r>
      <w:r w:rsidRPr="00004B17">
        <w:rPr>
          <w:b/>
          <w:i/>
          <w:iCs/>
          <w:color w:val="000000"/>
        </w:rPr>
        <w:t>non-AAS transmitter</w:t>
      </w:r>
      <w:r>
        <w:rPr>
          <w:bCs/>
          <w:color w:val="000000"/>
        </w:rPr>
        <w:t xml:space="preserve"> means a radiocommunications transmitter without AAS.</w:t>
      </w:r>
    </w:p>
    <w:p w14:paraId="78FA2461" w14:textId="77777777" w:rsidR="005A56AD" w:rsidRPr="00FF3517" w:rsidRDefault="005A56AD" w:rsidP="005A56AD">
      <w:pPr>
        <w:pStyle w:val="subsection"/>
      </w:pPr>
      <w:r>
        <w:rPr>
          <w:b/>
          <w:i/>
          <w:iCs/>
          <w:color w:val="000000"/>
        </w:rPr>
        <w:tab/>
      </w:r>
      <w:r>
        <w:rPr>
          <w:b/>
          <w:i/>
          <w:iCs/>
          <w:color w:val="000000"/>
        </w:rPr>
        <w:tab/>
      </w:r>
      <w:r w:rsidRPr="00D64B49">
        <w:rPr>
          <w:b/>
          <w:i/>
          <w:iCs/>
          <w:color w:val="000000"/>
        </w:rPr>
        <w:t>upper or lower frequency limits</w:t>
      </w:r>
      <w:r w:rsidRPr="00D64B49">
        <w:rPr>
          <w:bCs/>
          <w:color w:val="000000"/>
        </w:rPr>
        <w:t xml:space="preserve">, for a spectrum licence, means the maximum and </w:t>
      </w:r>
      <w:r w:rsidRPr="00004B17">
        <w:t>minimum</w:t>
      </w:r>
      <w:r w:rsidRPr="00D64B49">
        <w:rPr>
          <w:bCs/>
          <w:color w:val="000000"/>
        </w:rPr>
        <w:t xml:space="preserve"> frequencies, respectively, specified in the core condition included in the licence in accordance with paragraph 66(1)(a) of the Act.</w:t>
      </w:r>
    </w:p>
    <w:p w14:paraId="32037A3A" w14:textId="77777777" w:rsidR="005E7B11" w:rsidRPr="008F390D" w:rsidRDefault="005E7B11" w:rsidP="005E7B11">
      <w:pPr>
        <w:rPr>
          <w:rFonts w:cs="Arial"/>
          <w:i/>
          <w:iCs/>
          <w:szCs w:val="20"/>
        </w:rPr>
      </w:pPr>
    </w:p>
    <w:p w14:paraId="3C64FF67" w14:textId="77777777" w:rsidR="00BC6101" w:rsidRPr="00C60FB2" w:rsidRDefault="00BC6101" w:rsidP="0085100F">
      <w:pPr>
        <w:spacing w:before="120" w:after="120" w:line="240" w:lineRule="auto"/>
        <w:rPr>
          <w:rFonts w:cs="Arial"/>
          <w:szCs w:val="20"/>
        </w:rPr>
      </w:pPr>
    </w:p>
    <w:sectPr w:rsidR="00BC6101" w:rsidRPr="00C60FB2" w:rsidSect="008F390D">
      <w:headerReference w:type="default" r:id="rId46"/>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696CA" w14:textId="77777777" w:rsidR="00E931F6" w:rsidRDefault="00E931F6">
      <w:r>
        <w:separator/>
      </w:r>
    </w:p>
  </w:endnote>
  <w:endnote w:type="continuationSeparator" w:id="0">
    <w:p w14:paraId="6D93D134" w14:textId="77777777" w:rsidR="00E931F6" w:rsidRDefault="00E931F6">
      <w:r>
        <w:continuationSeparator/>
      </w:r>
    </w:p>
  </w:endnote>
  <w:endnote w:type="continuationNotice" w:id="1">
    <w:p w14:paraId="1CAFB56C" w14:textId="77777777" w:rsidR="00E931F6" w:rsidRDefault="00E93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800000AF" w:usb1="4000204A" w:usb2="00000000" w:usb3="00000000" w:csb0="00000001"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169" w14:textId="77777777" w:rsidR="00985940" w:rsidRDefault="00985940" w:rsidP="005E250B">
    <w:pPr>
      <w:pStyle w:val="Footer"/>
      <w:jc w:val="right"/>
    </w:pPr>
    <w:r w:rsidRPr="005E250B">
      <w:rPr>
        <w:noProof/>
        <w:vertAlign w:val="subscript"/>
      </w:rPr>
      <w:drawing>
        <wp:inline distT="0" distB="0" distL="0" distR="0" wp14:anchorId="0F8BCF9A" wp14:editId="01A81028">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E07B" w14:textId="77777777" w:rsidR="00985940" w:rsidRDefault="009859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6287" w14:textId="77777777" w:rsidR="00985940" w:rsidRDefault="009859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1C37" w14:textId="77777777" w:rsidR="00985940" w:rsidRPr="00622A3B" w:rsidRDefault="00985940"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034FA9" w14:textId="77777777" w:rsidR="00985940" w:rsidRPr="00A5474E" w:rsidRDefault="00985940"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317C" w14:textId="77777777" w:rsidR="00985940" w:rsidRPr="00622A3B" w:rsidRDefault="00985940"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3691EBD" w14:textId="77777777" w:rsidR="00985940" w:rsidRPr="00A5474E" w:rsidRDefault="00985940"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41A3" w14:textId="77777777" w:rsidR="00985940" w:rsidRPr="00622A3B" w:rsidRDefault="00985940"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B27E028" w14:textId="77777777" w:rsidR="00985940" w:rsidRPr="00A5474E" w:rsidRDefault="00985940"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088" w14:textId="77777777" w:rsidR="00985940" w:rsidRPr="00622A3B" w:rsidRDefault="00985940"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48E3A3" w14:textId="77777777" w:rsidR="00985940" w:rsidRPr="00A5474E" w:rsidRDefault="00985940"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8818" w14:textId="1FBD2020" w:rsidR="00985940" w:rsidRPr="00622A3B" w:rsidRDefault="00985940"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2732D28B" w14:textId="77777777" w:rsidR="00985940" w:rsidRPr="00A5474E" w:rsidRDefault="00985940" w:rsidP="00736216">
    <w:pPr>
      <w:pStyle w:val="Footer"/>
      <w:ind w:right="-1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CA35B" w14:textId="77777777" w:rsidR="00E931F6" w:rsidRDefault="00E931F6">
      <w:r>
        <w:separator/>
      </w:r>
    </w:p>
  </w:footnote>
  <w:footnote w:type="continuationSeparator" w:id="0">
    <w:p w14:paraId="6FC023AE" w14:textId="77777777" w:rsidR="00E931F6" w:rsidRDefault="00E931F6">
      <w:r>
        <w:continuationSeparator/>
      </w:r>
    </w:p>
  </w:footnote>
  <w:footnote w:type="continuationNotice" w:id="1">
    <w:p w14:paraId="7757D2E8" w14:textId="77777777" w:rsidR="00E931F6" w:rsidRDefault="00E931F6">
      <w:pPr>
        <w:spacing w:after="0" w:line="240" w:lineRule="auto"/>
      </w:pPr>
    </w:p>
  </w:footnote>
  <w:footnote w:id="2">
    <w:p w14:paraId="212E0CF6" w14:textId="16342473" w:rsidR="00985940" w:rsidRPr="00003DDF" w:rsidRDefault="00985940" w:rsidP="007E0B73">
      <w:pPr>
        <w:spacing w:after="0" w:line="240" w:lineRule="auto"/>
        <w:rPr>
          <w:lang w:val="en-US"/>
        </w:rPr>
      </w:pPr>
      <w:r w:rsidRPr="00F52540">
        <w:rPr>
          <w:rStyle w:val="FootnoteReference"/>
          <w:sz w:val="16"/>
          <w:szCs w:val="16"/>
        </w:rPr>
        <w:footnoteRef/>
      </w:r>
      <w:r w:rsidRPr="00F52540">
        <w:rPr>
          <w:sz w:val="16"/>
          <w:szCs w:val="16"/>
        </w:rPr>
        <w:t xml:space="preserve"> </w:t>
      </w:r>
      <w:r w:rsidRPr="00311AA9">
        <w:rPr>
          <w:rFonts w:cs="Arial"/>
          <w:sz w:val="16"/>
          <w:szCs w:val="16"/>
        </w:rPr>
        <w:t>‘850 MHz expansion’ band refers to</w:t>
      </w:r>
      <w:r w:rsidRPr="00F52540">
        <w:rPr>
          <w:rFonts w:cs="Arial"/>
          <w:sz w:val="16"/>
          <w:szCs w:val="16"/>
        </w:rPr>
        <w:t xml:space="preserve"> the harmonised International Mobile Telecommunications (IMT) frequencies that are frequency lower adjacent to the existing 850 MHz band and standardised by 3GPP for 3G and 4G technologies</w:t>
      </w:r>
      <w:r>
        <w:rPr>
          <w:rFonts w:cs="Arial"/>
          <w:sz w:val="16"/>
          <w:szCs w:val="16"/>
        </w:rPr>
        <w:t xml:space="preserve"> (under the band numbers 26 and 27)</w:t>
      </w:r>
      <w:r w:rsidRPr="00F52540">
        <w:rPr>
          <w:rFonts w:cs="Arial"/>
          <w:sz w:val="16"/>
          <w:szCs w:val="16"/>
        </w:rPr>
        <w:t>.</w:t>
      </w:r>
      <w:r>
        <w:rPr>
          <w:rFonts w:cs="Arial"/>
          <w:sz w:val="16"/>
          <w:szCs w:val="16"/>
        </w:rPr>
        <w:t xml:space="preserve"> As its name suggests, it is a downwards expansion of the 850 MHz band.</w:t>
      </w:r>
    </w:p>
  </w:footnote>
  <w:footnote w:id="3">
    <w:p w14:paraId="4472BF22" w14:textId="77777777" w:rsidR="00985940" w:rsidRPr="00241EAC" w:rsidRDefault="00985940" w:rsidP="0051423A">
      <w:pPr>
        <w:pStyle w:val="FootnoteText"/>
      </w:pPr>
      <w:r>
        <w:rPr>
          <w:rStyle w:val="FootnoteReference"/>
        </w:rPr>
        <w:footnoteRef/>
      </w:r>
      <w:r>
        <w:t xml:space="preserve"> </w:t>
      </w:r>
      <w:r w:rsidRPr="00241EAC">
        <w:t xml:space="preserve">Existing </w:t>
      </w:r>
      <w:r>
        <w:t xml:space="preserve">850 MHz band </w:t>
      </w:r>
      <w:r w:rsidRPr="00241EAC">
        <w:t>frameworks were made under the name ‘800 MHz band’</w:t>
      </w:r>
    </w:p>
  </w:footnote>
  <w:footnote w:id="4">
    <w:p w14:paraId="4B421579" w14:textId="2321E601" w:rsidR="00985940" w:rsidRDefault="00985940" w:rsidP="004A5A42">
      <w:pPr>
        <w:pStyle w:val="Bulletlevel1last"/>
        <w:numPr>
          <w:ilvl w:val="0"/>
          <w:numId w:val="43"/>
        </w:numPr>
      </w:pPr>
      <w:r>
        <w:rPr>
          <w:rStyle w:val="FootnoteReference"/>
        </w:rPr>
        <w:footnoteRef/>
      </w:r>
      <w:r>
        <w:t xml:space="preserve"> The ACMA understands that offline discussions among some members to explore ways to formally shift the 890 MHz down to 889 MHz, including coexistence arrangements with the upper-adjacent 900 MHz band, are ongoing. The ACMA can consider detailed proposals that have been made outside the TLG and as part of the formal consultation process but we would expect any additional proposals brought forward after the TLG process would reflect an agreement reached between interested or affected stakeholders</w:t>
      </w:r>
    </w:p>
    <w:p w14:paraId="698EE43C" w14:textId="79FD587A" w:rsidR="00985940" w:rsidRDefault="00985940">
      <w:pPr>
        <w:pStyle w:val="FootnoteText"/>
      </w:pPr>
    </w:p>
  </w:footnote>
  <w:footnote w:id="5">
    <w:p w14:paraId="101D1442" w14:textId="60DE30F6" w:rsidR="00985940" w:rsidRDefault="00985940">
      <w:pPr>
        <w:pStyle w:val="FootnoteText"/>
      </w:pPr>
      <w:r>
        <w:rPr>
          <w:rStyle w:val="FootnoteReference"/>
        </w:rPr>
        <w:footnoteRef/>
      </w:r>
      <w:r>
        <w:t xml:space="preserve"> Ordinarily one month is provided for comment, however additional time was added to accommodate the holiday period. This was further extended by one week in response to requests from the membership. </w:t>
      </w:r>
    </w:p>
  </w:footnote>
  <w:footnote w:id="6">
    <w:p w14:paraId="46D9226B" w14:textId="77777777" w:rsidR="00985940" w:rsidRDefault="00985940" w:rsidP="004D3E75">
      <w:pPr>
        <w:pStyle w:val="FootnoteText"/>
      </w:pPr>
      <w:r>
        <w:rPr>
          <w:rStyle w:val="FootnoteReference"/>
        </w:rPr>
        <w:footnoteRef/>
      </w:r>
      <w:r>
        <w:t xml:space="preserve"> Available at: </w:t>
      </w:r>
      <w:hyperlink r:id="rId1" w:history="1">
        <w:r w:rsidRPr="005B2226">
          <w:rPr>
            <w:rStyle w:val="Hyperlink"/>
          </w:rPr>
          <w:t>http://www.acma.gov.au/webwr/_assets/main/lib410188/australian_spectrum_map_grid_28feb2012.docx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7D51" w14:textId="77777777" w:rsidR="00985940" w:rsidRPr="00A5474E" w:rsidRDefault="00985940" w:rsidP="00A5474E">
    <w:pPr>
      <w:pStyle w:val="Header"/>
    </w:pPr>
    <w:r>
      <w:rPr>
        <w:noProof/>
      </w:rPr>
      <w:drawing>
        <wp:inline distT="0" distB="0" distL="0" distR="0" wp14:anchorId="33F7FBF8" wp14:editId="4B8A312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D94F" w14:textId="77777777" w:rsidR="00985940" w:rsidRPr="00A5474E" w:rsidRDefault="00985940"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7AB5" w14:textId="77777777" w:rsidR="00985940" w:rsidRDefault="009859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E557" w14:textId="77777777" w:rsidR="00985940" w:rsidRDefault="009859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85940" w14:paraId="18358453" w14:textId="77777777" w:rsidTr="007E1233">
      <w:trPr>
        <w:trHeight w:hRule="exact" w:val="988"/>
      </w:trPr>
      <w:tc>
        <w:tcPr>
          <w:tcW w:w="7678" w:type="dxa"/>
          <w:shd w:val="clear" w:color="auto" w:fill="auto"/>
        </w:tcPr>
        <w:p w14:paraId="306E72C4" w14:textId="77777777" w:rsidR="00985940" w:rsidRDefault="00985940" w:rsidP="00971914">
          <w:pPr>
            <w:pStyle w:val="Header"/>
          </w:pPr>
        </w:p>
      </w:tc>
    </w:tr>
    <w:tr w:rsidR="00985940" w14:paraId="30C01857" w14:textId="77777777" w:rsidTr="007E1233">
      <w:tc>
        <w:tcPr>
          <w:tcW w:w="7678" w:type="dxa"/>
          <w:shd w:val="clear" w:color="auto" w:fill="auto"/>
        </w:tcPr>
        <w:p w14:paraId="582223B1" w14:textId="77777777" w:rsidR="00985940" w:rsidRDefault="00985940" w:rsidP="00971914">
          <w:pPr>
            <w:pStyle w:val="GridTable31"/>
          </w:pPr>
          <w:r>
            <w:t xml:space="preserve">Contents </w:t>
          </w:r>
          <w:r w:rsidRPr="00915B1C">
            <w:rPr>
              <w:b w:val="0"/>
              <w:spacing w:val="0"/>
              <w:sz w:val="28"/>
              <w:szCs w:val="28"/>
            </w:rPr>
            <w:t>(Continued)</w:t>
          </w:r>
        </w:p>
      </w:tc>
    </w:tr>
    <w:tr w:rsidR="00985940" w14:paraId="49FEEA64" w14:textId="77777777" w:rsidTr="007E1233">
      <w:trPr>
        <w:trHeight w:val="1220"/>
      </w:trPr>
      <w:tc>
        <w:tcPr>
          <w:tcW w:w="7678" w:type="dxa"/>
          <w:shd w:val="clear" w:color="auto" w:fill="auto"/>
        </w:tcPr>
        <w:p w14:paraId="54728FAE" w14:textId="77777777" w:rsidR="00985940" w:rsidRDefault="00985940" w:rsidP="00971914"/>
      </w:tc>
    </w:tr>
  </w:tbl>
  <w:p w14:paraId="5372D28C" w14:textId="77777777" w:rsidR="00985940" w:rsidRDefault="00985940"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85940" w14:paraId="68628D61" w14:textId="77777777" w:rsidTr="007E1233">
      <w:trPr>
        <w:trHeight w:hRule="exact" w:val="988"/>
      </w:trPr>
      <w:tc>
        <w:tcPr>
          <w:tcW w:w="7678" w:type="dxa"/>
          <w:shd w:val="clear" w:color="auto" w:fill="auto"/>
        </w:tcPr>
        <w:p w14:paraId="750BFFD5" w14:textId="77777777" w:rsidR="00985940" w:rsidRDefault="00985940" w:rsidP="00971914">
          <w:pPr>
            <w:pStyle w:val="Header"/>
          </w:pPr>
        </w:p>
      </w:tc>
    </w:tr>
    <w:tr w:rsidR="00985940" w14:paraId="7441C27B" w14:textId="77777777" w:rsidTr="007E1233">
      <w:tc>
        <w:tcPr>
          <w:tcW w:w="7678" w:type="dxa"/>
          <w:shd w:val="clear" w:color="auto" w:fill="auto"/>
        </w:tcPr>
        <w:p w14:paraId="27D6BDF2" w14:textId="77777777" w:rsidR="00985940" w:rsidRDefault="00985940" w:rsidP="00971914">
          <w:pPr>
            <w:pStyle w:val="GridTable31"/>
          </w:pPr>
          <w:r>
            <w:t xml:space="preserve">Contents </w:t>
          </w:r>
          <w:r w:rsidRPr="00915B1C">
            <w:rPr>
              <w:b w:val="0"/>
              <w:spacing w:val="0"/>
              <w:sz w:val="28"/>
              <w:szCs w:val="28"/>
            </w:rPr>
            <w:t>(Continued)</w:t>
          </w:r>
        </w:p>
      </w:tc>
    </w:tr>
    <w:tr w:rsidR="00985940" w14:paraId="2E8783B8" w14:textId="77777777" w:rsidTr="007E1233">
      <w:trPr>
        <w:trHeight w:val="1220"/>
      </w:trPr>
      <w:tc>
        <w:tcPr>
          <w:tcW w:w="7678" w:type="dxa"/>
          <w:shd w:val="clear" w:color="auto" w:fill="auto"/>
        </w:tcPr>
        <w:p w14:paraId="19CED329" w14:textId="77777777" w:rsidR="00985940" w:rsidRDefault="00985940" w:rsidP="00971914"/>
      </w:tc>
    </w:tr>
  </w:tbl>
  <w:p w14:paraId="1FD4E9AF" w14:textId="77777777" w:rsidR="00985940" w:rsidRPr="00A5474E" w:rsidRDefault="00985940"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FB5" w14:textId="77777777" w:rsidR="00985940" w:rsidRDefault="0098594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34BA" w14:textId="77777777" w:rsidR="00985940" w:rsidRDefault="0098594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9D5B" w14:textId="77777777" w:rsidR="00985940" w:rsidRPr="00E874E4" w:rsidRDefault="00985940" w:rsidP="00BC6101">
    <w:pPr>
      <w:pStyle w:val="Heading3"/>
      <w:rPr>
        <w:b w:val="0"/>
        <w:bCs w:val="0"/>
      </w:rPr>
    </w:pPr>
    <w:r w:rsidRPr="00E874E4">
      <w:rPr>
        <w:b w:val="0"/>
        <w:bCs w:val="0"/>
      </w:rPr>
      <w:t>Attachment 1 - Proposed Unwanted Limits for 850 Expansion &amp; 900 MHz</w:t>
    </w:r>
  </w:p>
  <w:p w14:paraId="442D99E4" w14:textId="77777777" w:rsidR="00985940" w:rsidRDefault="00985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9B29DD"/>
    <w:multiLevelType w:val="hybridMultilevel"/>
    <w:tmpl w:val="37006C28"/>
    <w:lvl w:ilvl="0" w:tplc="17D484D4">
      <w:start w:val="1"/>
      <w:numFmt w:val="bullet"/>
      <w:lvlText w:val=""/>
      <w:lvlJc w:val="left"/>
      <w:pPr>
        <w:ind w:left="1800" w:hanging="360"/>
      </w:pPr>
      <w:rPr>
        <w:rFonts w:ascii="Symbol" w:eastAsia="Calibri" w:hAnsi="Symbol" w:cs="Times New Roman"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5"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3" w15:restartNumberingAfterBreak="0">
    <w:nsid w:val="1BAA7D44"/>
    <w:multiLevelType w:val="hybridMultilevel"/>
    <w:tmpl w:val="B44E9FB0"/>
    <w:lvl w:ilvl="0" w:tplc="80BC2E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FE25D40"/>
    <w:multiLevelType w:val="hybridMultilevel"/>
    <w:tmpl w:val="A502B39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13647E7"/>
    <w:multiLevelType w:val="hybridMultilevel"/>
    <w:tmpl w:val="148EF7EA"/>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3FC3951"/>
    <w:multiLevelType w:val="hybridMultilevel"/>
    <w:tmpl w:val="568A4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FB2A6A"/>
    <w:multiLevelType w:val="hybridMultilevel"/>
    <w:tmpl w:val="CFE8966A"/>
    <w:lvl w:ilvl="0" w:tplc="0F62A4F0">
      <w:numFmt w:val="bullet"/>
      <w:lvlText w:val="•"/>
      <w:lvlJc w:val="left"/>
      <w:pPr>
        <w:ind w:left="720" w:hanging="720"/>
      </w:pPr>
      <w:rPr>
        <w:rFonts w:ascii="Times New Roman" w:eastAsiaTheme="minorHAns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5704E80"/>
    <w:multiLevelType w:val="hybridMultilevel"/>
    <w:tmpl w:val="400674E2"/>
    <w:lvl w:ilvl="0" w:tplc="083C4BFA">
      <w:start w:val="10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BBC5B58"/>
    <w:multiLevelType w:val="hybridMultilevel"/>
    <w:tmpl w:val="FDB48FB6"/>
    <w:lvl w:ilvl="0" w:tplc="0F62A4F0">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FB3325"/>
    <w:multiLevelType w:val="hybridMultilevel"/>
    <w:tmpl w:val="D5743A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4451E4E"/>
    <w:multiLevelType w:val="hybridMultilevel"/>
    <w:tmpl w:val="DA3CF3C0"/>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757AE6"/>
    <w:multiLevelType w:val="hybridMultilevel"/>
    <w:tmpl w:val="F9F015FE"/>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277BCF"/>
    <w:multiLevelType w:val="hybridMultilevel"/>
    <w:tmpl w:val="684203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9"/>
  </w:num>
  <w:num w:numId="6">
    <w:abstractNumId w:val="31"/>
  </w:num>
  <w:num w:numId="7">
    <w:abstractNumId w:val="28"/>
  </w:num>
  <w:num w:numId="8">
    <w:abstractNumId w:val="30"/>
  </w:num>
  <w:num w:numId="9">
    <w:abstractNumId w:val="33"/>
  </w:num>
  <w:num w:numId="10">
    <w:abstractNumId w:val="7"/>
  </w:num>
  <w:num w:numId="11">
    <w:abstractNumId w:val="5"/>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0"/>
  </w:num>
  <w:num w:numId="17">
    <w:abstractNumId w:val="24"/>
  </w:num>
  <w:num w:numId="18">
    <w:abstractNumId w:val="8"/>
  </w:num>
  <w:num w:numId="19">
    <w:abstractNumId w:val="27"/>
  </w:num>
  <w:num w:numId="20">
    <w:abstractNumId w:val="14"/>
  </w:num>
  <w:num w:numId="21">
    <w:abstractNumId w:val="21"/>
  </w:num>
  <w:num w:numId="22">
    <w:abstractNumId w:val="29"/>
  </w:num>
  <w:num w:numId="23">
    <w:abstractNumId w:val="11"/>
  </w:num>
  <w:num w:numId="24">
    <w:abstractNumId w:val="10"/>
  </w:num>
  <w:num w:numId="25">
    <w:abstractNumId w:val="32"/>
  </w:num>
  <w:num w:numId="26">
    <w:abstractNumId w:val="9"/>
  </w:num>
  <w:num w:numId="27">
    <w:abstractNumId w:val="25"/>
  </w:num>
  <w:num w:numId="28">
    <w:abstractNumId w:val="6"/>
  </w:num>
  <w:num w:numId="29">
    <w:abstractNumId w:val="16"/>
  </w:num>
  <w:num w:numId="30">
    <w:abstractNumId w:val="17"/>
  </w:num>
  <w:num w:numId="31">
    <w:abstractNumId w:val="13"/>
  </w:num>
  <w:num w:numId="32">
    <w:abstractNumId w:val="33"/>
    <w:lvlOverride w:ilvl="0">
      <w:startOverride w:val="1"/>
    </w:lvlOverride>
  </w:num>
  <w:num w:numId="33">
    <w:abstractNumId w:val="3"/>
  </w:num>
  <w:num w:numId="34">
    <w:abstractNumId w:val="3"/>
  </w:num>
  <w:num w:numId="35">
    <w:abstractNumId w:val="3"/>
  </w:num>
  <w:num w:numId="36">
    <w:abstractNumId w:val="34"/>
  </w:num>
  <w:num w:numId="37">
    <w:abstractNumId w:val="26"/>
  </w:num>
  <w:num w:numId="38">
    <w:abstractNumId w:val="23"/>
  </w:num>
  <w:num w:numId="39">
    <w:abstractNumId w:val="18"/>
  </w:num>
  <w:num w:numId="40">
    <w:abstractNumId w:val="22"/>
  </w:num>
  <w:num w:numId="41">
    <w:abstractNumId w:val="4"/>
  </w:num>
  <w:num w:numId="42">
    <w:abstractNumId w:val="15"/>
  </w:num>
  <w:num w:numId="43">
    <w:abstractNumId w:val="3"/>
  </w:num>
  <w:num w:numId="4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7"/>
    <w:rsid w:val="000011EB"/>
    <w:rsid w:val="00005B7E"/>
    <w:rsid w:val="000068BE"/>
    <w:rsid w:val="00010096"/>
    <w:rsid w:val="00010667"/>
    <w:rsid w:val="000129D5"/>
    <w:rsid w:val="00014549"/>
    <w:rsid w:val="000155F0"/>
    <w:rsid w:val="00015AE7"/>
    <w:rsid w:val="00016E21"/>
    <w:rsid w:val="0001719C"/>
    <w:rsid w:val="000216CA"/>
    <w:rsid w:val="0002224E"/>
    <w:rsid w:val="00023C72"/>
    <w:rsid w:val="000245E5"/>
    <w:rsid w:val="00026C05"/>
    <w:rsid w:val="00026F91"/>
    <w:rsid w:val="00027D52"/>
    <w:rsid w:val="00032621"/>
    <w:rsid w:val="00032AFE"/>
    <w:rsid w:val="00032F13"/>
    <w:rsid w:val="0003672F"/>
    <w:rsid w:val="0003776F"/>
    <w:rsid w:val="00037DD4"/>
    <w:rsid w:val="00042FCA"/>
    <w:rsid w:val="0004764C"/>
    <w:rsid w:val="0005011A"/>
    <w:rsid w:val="0005045A"/>
    <w:rsid w:val="000504BF"/>
    <w:rsid w:val="0005182C"/>
    <w:rsid w:val="00051C1E"/>
    <w:rsid w:val="000539F9"/>
    <w:rsid w:val="00054C27"/>
    <w:rsid w:val="00055EC3"/>
    <w:rsid w:val="000563CE"/>
    <w:rsid w:val="000569E0"/>
    <w:rsid w:val="00057979"/>
    <w:rsid w:val="00057C00"/>
    <w:rsid w:val="00061544"/>
    <w:rsid w:val="00062071"/>
    <w:rsid w:val="00063324"/>
    <w:rsid w:val="000643E7"/>
    <w:rsid w:val="00064D0F"/>
    <w:rsid w:val="000659B6"/>
    <w:rsid w:val="0006686F"/>
    <w:rsid w:val="0006719A"/>
    <w:rsid w:val="0006722A"/>
    <w:rsid w:val="000732CF"/>
    <w:rsid w:val="00074520"/>
    <w:rsid w:val="00075B96"/>
    <w:rsid w:val="00077DCE"/>
    <w:rsid w:val="00080113"/>
    <w:rsid w:val="00081543"/>
    <w:rsid w:val="0008196A"/>
    <w:rsid w:val="00083225"/>
    <w:rsid w:val="00083C62"/>
    <w:rsid w:val="00085730"/>
    <w:rsid w:val="000857D9"/>
    <w:rsid w:val="000868E9"/>
    <w:rsid w:val="000911FE"/>
    <w:rsid w:val="000915ED"/>
    <w:rsid w:val="0009209D"/>
    <w:rsid w:val="00092535"/>
    <w:rsid w:val="000928BC"/>
    <w:rsid w:val="00093A01"/>
    <w:rsid w:val="0009463C"/>
    <w:rsid w:val="00094651"/>
    <w:rsid w:val="00095519"/>
    <w:rsid w:val="000969BD"/>
    <w:rsid w:val="000969BF"/>
    <w:rsid w:val="00096D2A"/>
    <w:rsid w:val="000973BE"/>
    <w:rsid w:val="000A01F1"/>
    <w:rsid w:val="000A0C22"/>
    <w:rsid w:val="000A1400"/>
    <w:rsid w:val="000A1925"/>
    <w:rsid w:val="000A36E9"/>
    <w:rsid w:val="000A3C43"/>
    <w:rsid w:val="000A3DEB"/>
    <w:rsid w:val="000A432D"/>
    <w:rsid w:val="000A4A51"/>
    <w:rsid w:val="000A566B"/>
    <w:rsid w:val="000A5D2B"/>
    <w:rsid w:val="000A7D2F"/>
    <w:rsid w:val="000B11D1"/>
    <w:rsid w:val="000B193F"/>
    <w:rsid w:val="000B2446"/>
    <w:rsid w:val="000B2E0C"/>
    <w:rsid w:val="000B4664"/>
    <w:rsid w:val="000B5DE3"/>
    <w:rsid w:val="000B6BA8"/>
    <w:rsid w:val="000C0A57"/>
    <w:rsid w:val="000C230C"/>
    <w:rsid w:val="000C38D4"/>
    <w:rsid w:val="000C554F"/>
    <w:rsid w:val="000C6AB4"/>
    <w:rsid w:val="000C6ED9"/>
    <w:rsid w:val="000D0AF5"/>
    <w:rsid w:val="000D1869"/>
    <w:rsid w:val="000D1918"/>
    <w:rsid w:val="000D1C26"/>
    <w:rsid w:val="000D3358"/>
    <w:rsid w:val="000D3583"/>
    <w:rsid w:val="000D5C0B"/>
    <w:rsid w:val="000D71D9"/>
    <w:rsid w:val="000D76E0"/>
    <w:rsid w:val="000D7E8B"/>
    <w:rsid w:val="000E0E67"/>
    <w:rsid w:val="000E4449"/>
    <w:rsid w:val="000E5D0F"/>
    <w:rsid w:val="000E6097"/>
    <w:rsid w:val="000E759E"/>
    <w:rsid w:val="000F1741"/>
    <w:rsid w:val="000F3EC8"/>
    <w:rsid w:val="000F4C5D"/>
    <w:rsid w:val="000F5DDB"/>
    <w:rsid w:val="00103829"/>
    <w:rsid w:val="00105BFD"/>
    <w:rsid w:val="001105B7"/>
    <w:rsid w:val="00111FCE"/>
    <w:rsid w:val="00120570"/>
    <w:rsid w:val="001229A5"/>
    <w:rsid w:val="001232AF"/>
    <w:rsid w:val="00123D2E"/>
    <w:rsid w:val="00123FE3"/>
    <w:rsid w:val="0012489B"/>
    <w:rsid w:val="001270FB"/>
    <w:rsid w:val="00130017"/>
    <w:rsid w:val="00130F91"/>
    <w:rsid w:val="00131332"/>
    <w:rsid w:val="00131ACE"/>
    <w:rsid w:val="0013322C"/>
    <w:rsid w:val="001336E1"/>
    <w:rsid w:val="001349ED"/>
    <w:rsid w:val="00137424"/>
    <w:rsid w:val="00140318"/>
    <w:rsid w:val="00141AD9"/>
    <w:rsid w:val="00146796"/>
    <w:rsid w:val="00146AF9"/>
    <w:rsid w:val="00146CE6"/>
    <w:rsid w:val="0015223E"/>
    <w:rsid w:val="00152903"/>
    <w:rsid w:val="00153FD5"/>
    <w:rsid w:val="0015476E"/>
    <w:rsid w:val="0015614F"/>
    <w:rsid w:val="001577C2"/>
    <w:rsid w:val="0015795C"/>
    <w:rsid w:val="001610B1"/>
    <w:rsid w:val="0016152D"/>
    <w:rsid w:val="001617F8"/>
    <w:rsid w:val="001633C4"/>
    <w:rsid w:val="00163CCD"/>
    <w:rsid w:val="001643CC"/>
    <w:rsid w:val="001661D4"/>
    <w:rsid w:val="00167208"/>
    <w:rsid w:val="00167237"/>
    <w:rsid w:val="0016751D"/>
    <w:rsid w:val="001704D5"/>
    <w:rsid w:val="00171591"/>
    <w:rsid w:val="00171EF7"/>
    <w:rsid w:val="00173981"/>
    <w:rsid w:val="0017460F"/>
    <w:rsid w:val="0017719D"/>
    <w:rsid w:val="00182701"/>
    <w:rsid w:val="00183FD7"/>
    <w:rsid w:val="00185CAB"/>
    <w:rsid w:val="001875B7"/>
    <w:rsid w:val="00187CB3"/>
    <w:rsid w:val="0019050A"/>
    <w:rsid w:val="001910D4"/>
    <w:rsid w:val="00191D9F"/>
    <w:rsid w:val="00192E63"/>
    <w:rsid w:val="00193C60"/>
    <w:rsid w:val="00194FAC"/>
    <w:rsid w:val="0019680B"/>
    <w:rsid w:val="001976E3"/>
    <w:rsid w:val="00197AC5"/>
    <w:rsid w:val="001A072C"/>
    <w:rsid w:val="001A44EC"/>
    <w:rsid w:val="001B1A77"/>
    <w:rsid w:val="001B58AA"/>
    <w:rsid w:val="001B7E48"/>
    <w:rsid w:val="001C0045"/>
    <w:rsid w:val="001C068C"/>
    <w:rsid w:val="001C17CE"/>
    <w:rsid w:val="001C1BBF"/>
    <w:rsid w:val="001C219C"/>
    <w:rsid w:val="001C31C6"/>
    <w:rsid w:val="001C36CA"/>
    <w:rsid w:val="001C44D1"/>
    <w:rsid w:val="001C61A2"/>
    <w:rsid w:val="001C6AEE"/>
    <w:rsid w:val="001C7630"/>
    <w:rsid w:val="001D1B03"/>
    <w:rsid w:val="001D5B44"/>
    <w:rsid w:val="001D5EAD"/>
    <w:rsid w:val="001D6D15"/>
    <w:rsid w:val="001D7E1F"/>
    <w:rsid w:val="001E1EB9"/>
    <w:rsid w:val="001E6E36"/>
    <w:rsid w:val="001E745B"/>
    <w:rsid w:val="001F0035"/>
    <w:rsid w:val="001F1773"/>
    <w:rsid w:val="001F1F17"/>
    <w:rsid w:val="001F33A1"/>
    <w:rsid w:val="001F414C"/>
    <w:rsid w:val="001F44D9"/>
    <w:rsid w:val="001F50F7"/>
    <w:rsid w:val="001F5D7C"/>
    <w:rsid w:val="001F64E0"/>
    <w:rsid w:val="001F7558"/>
    <w:rsid w:val="00201EE2"/>
    <w:rsid w:val="002038FD"/>
    <w:rsid w:val="00204A55"/>
    <w:rsid w:val="00205B57"/>
    <w:rsid w:val="00206FF1"/>
    <w:rsid w:val="0021426C"/>
    <w:rsid w:val="002157E0"/>
    <w:rsid w:val="00216A57"/>
    <w:rsid w:val="00217448"/>
    <w:rsid w:val="0022334F"/>
    <w:rsid w:val="00226819"/>
    <w:rsid w:val="00230AD2"/>
    <w:rsid w:val="0023204C"/>
    <w:rsid w:val="002330B3"/>
    <w:rsid w:val="00233101"/>
    <w:rsid w:val="00233817"/>
    <w:rsid w:val="00233E3B"/>
    <w:rsid w:val="00233F03"/>
    <w:rsid w:val="002367FF"/>
    <w:rsid w:val="00237FB9"/>
    <w:rsid w:val="00240CE9"/>
    <w:rsid w:val="00242FB5"/>
    <w:rsid w:val="002434BA"/>
    <w:rsid w:val="00246089"/>
    <w:rsid w:val="00246093"/>
    <w:rsid w:val="00246702"/>
    <w:rsid w:val="00247C59"/>
    <w:rsid w:val="00247F2E"/>
    <w:rsid w:val="00250ADC"/>
    <w:rsid w:val="00250B07"/>
    <w:rsid w:val="0025299A"/>
    <w:rsid w:val="002530D8"/>
    <w:rsid w:val="0025349D"/>
    <w:rsid w:val="00255A04"/>
    <w:rsid w:val="002563B1"/>
    <w:rsid w:val="00257553"/>
    <w:rsid w:val="002579D3"/>
    <w:rsid w:val="00260F47"/>
    <w:rsid w:val="00260FB2"/>
    <w:rsid w:val="00262128"/>
    <w:rsid w:val="0026474C"/>
    <w:rsid w:val="002702F7"/>
    <w:rsid w:val="0027165D"/>
    <w:rsid w:val="00273CEB"/>
    <w:rsid w:val="00274169"/>
    <w:rsid w:val="002760C0"/>
    <w:rsid w:val="0028061F"/>
    <w:rsid w:val="002817DC"/>
    <w:rsid w:val="00281C89"/>
    <w:rsid w:val="0028282F"/>
    <w:rsid w:val="0028362C"/>
    <w:rsid w:val="00284AEA"/>
    <w:rsid w:val="00293601"/>
    <w:rsid w:val="00294C3F"/>
    <w:rsid w:val="0029593B"/>
    <w:rsid w:val="0029696F"/>
    <w:rsid w:val="00297FC5"/>
    <w:rsid w:val="002A0417"/>
    <w:rsid w:val="002A10EF"/>
    <w:rsid w:val="002A12FD"/>
    <w:rsid w:val="002A16D8"/>
    <w:rsid w:val="002A1BC8"/>
    <w:rsid w:val="002A1E44"/>
    <w:rsid w:val="002A3EF2"/>
    <w:rsid w:val="002A7FB0"/>
    <w:rsid w:val="002B0DED"/>
    <w:rsid w:val="002B19A2"/>
    <w:rsid w:val="002B381A"/>
    <w:rsid w:val="002B4FCC"/>
    <w:rsid w:val="002B5697"/>
    <w:rsid w:val="002B5EBF"/>
    <w:rsid w:val="002B6222"/>
    <w:rsid w:val="002B7408"/>
    <w:rsid w:val="002B7CFD"/>
    <w:rsid w:val="002C0530"/>
    <w:rsid w:val="002C0E53"/>
    <w:rsid w:val="002C210F"/>
    <w:rsid w:val="002C3505"/>
    <w:rsid w:val="002C3D5F"/>
    <w:rsid w:val="002C3DC4"/>
    <w:rsid w:val="002C4FB1"/>
    <w:rsid w:val="002D34B6"/>
    <w:rsid w:val="002D3600"/>
    <w:rsid w:val="002D7BEE"/>
    <w:rsid w:val="002E3DCF"/>
    <w:rsid w:val="002E4DDC"/>
    <w:rsid w:val="002F10BD"/>
    <w:rsid w:val="002F27EB"/>
    <w:rsid w:val="002F63CD"/>
    <w:rsid w:val="00302480"/>
    <w:rsid w:val="00302758"/>
    <w:rsid w:val="003070C8"/>
    <w:rsid w:val="00307D3B"/>
    <w:rsid w:val="003102BB"/>
    <w:rsid w:val="00310FDB"/>
    <w:rsid w:val="00312991"/>
    <w:rsid w:val="003165E6"/>
    <w:rsid w:val="00317C61"/>
    <w:rsid w:val="003215B5"/>
    <w:rsid w:val="003221CF"/>
    <w:rsid w:val="003233ED"/>
    <w:rsid w:val="00323652"/>
    <w:rsid w:val="003249ED"/>
    <w:rsid w:val="00324A45"/>
    <w:rsid w:val="00324D9F"/>
    <w:rsid w:val="00325F8F"/>
    <w:rsid w:val="00327711"/>
    <w:rsid w:val="00327948"/>
    <w:rsid w:val="0033000F"/>
    <w:rsid w:val="00332011"/>
    <w:rsid w:val="00332518"/>
    <w:rsid w:val="00332925"/>
    <w:rsid w:val="00332E3F"/>
    <w:rsid w:val="003332ED"/>
    <w:rsid w:val="00333B0C"/>
    <w:rsid w:val="0033450B"/>
    <w:rsid w:val="003368DC"/>
    <w:rsid w:val="003372C5"/>
    <w:rsid w:val="00344D65"/>
    <w:rsid w:val="00345927"/>
    <w:rsid w:val="00345A2B"/>
    <w:rsid w:val="003478DB"/>
    <w:rsid w:val="00350584"/>
    <w:rsid w:val="00350653"/>
    <w:rsid w:val="00350ADD"/>
    <w:rsid w:val="003515E3"/>
    <w:rsid w:val="00351857"/>
    <w:rsid w:val="003520F2"/>
    <w:rsid w:val="003545E8"/>
    <w:rsid w:val="003551DA"/>
    <w:rsid w:val="00357B4B"/>
    <w:rsid w:val="003610E1"/>
    <w:rsid w:val="00365292"/>
    <w:rsid w:val="003671BE"/>
    <w:rsid w:val="00372485"/>
    <w:rsid w:val="00373200"/>
    <w:rsid w:val="003747E0"/>
    <w:rsid w:val="00375493"/>
    <w:rsid w:val="00375DB8"/>
    <w:rsid w:val="00375EF5"/>
    <w:rsid w:val="00375FA9"/>
    <w:rsid w:val="003767A5"/>
    <w:rsid w:val="00376A84"/>
    <w:rsid w:val="00376B30"/>
    <w:rsid w:val="00380956"/>
    <w:rsid w:val="00380D20"/>
    <w:rsid w:val="00381D15"/>
    <w:rsid w:val="00383E02"/>
    <w:rsid w:val="00384758"/>
    <w:rsid w:val="00384DE6"/>
    <w:rsid w:val="00385000"/>
    <w:rsid w:val="00385254"/>
    <w:rsid w:val="00386833"/>
    <w:rsid w:val="003933E8"/>
    <w:rsid w:val="00394031"/>
    <w:rsid w:val="00396DC2"/>
    <w:rsid w:val="00397432"/>
    <w:rsid w:val="00397A73"/>
    <w:rsid w:val="003A04DB"/>
    <w:rsid w:val="003A2BE0"/>
    <w:rsid w:val="003A36E4"/>
    <w:rsid w:val="003A5761"/>
    <w:rsid w:val="003A5F5B"/>
    <w:rsid w:val="003A789A"/>
    <w:rsid w:val="003B12EC"/>
    <w:rsid w:val="003B2C30"/>
    <w:rsid w:val="003B4681"/>
    <w:rsid w:val="003B4BC9"/>
    <w:rsid w:val="003B6722"/>
    <w:rsid w:val="003B7B8C"/>
    <w:rsid w:val="003B7DCF"/>
    <w:rsid w:val="003C03B8"/>
    <w:rsid w:val="003C354A"/>
    <w:rsid w:val="003C5B06"/>
    <w:rsid w:val="003C77E0"/>
    <w:rsid w:val="003C7AA8"/>
    <w:rsid w:val="003D17D7"/>
    <w:rsid w:val="003D2678"/>
    <w:rsid w:val="003D66DE"/>
    <w:rsid w:val="003D71A3"/>
    <w:rsid w:val="003E2B8A"/>
    <w:rsid w:val="003E32F6"/>
    <w:rsid w:val="003E3CB8"/>
    <w:rsid w:val="003E40D2"/>
    <w:rsid w:val="003F10EE"/>
    <w:rsid w:val="003F16F6"/>
    <w:rsid w:val="003F1C46"/>
    <w:rsid w:val="003F23A2"/>
    <w:rsid w:val="003F2F1C"/>
    <w:rsid w:val="003F4DC7"/>
    <w:rsid w:val="003F5235"/>
    <w:rsid w:val="003F78BA"/>
    <w:rsid w:val="004027E4"/>
    <w:rsid w:val="00405C57"/>
    <w:rsid w:val="00406127"/>
    <w:rsid w:val="00407392"/>
    <w:rsid w:val="0041071D"/>
    <w:rsid w:val="00414AFC"/>
    <w:rsid w:val="004151A7"/>
    <w:rsid w:val="00415310"/>
    <w:rsid w:val="00416911"/>
    <w:rsid w:val="00421709"/>
    <w:rsid w:val="00422CB0"/>
    <w:rsid w:val="00423763"/>
    <w:rsid w:val="00423DC5"/>
    <w:rsid w:val="004247FE"/>
    <w:rsid w:val="004272B9"/>
    <w:rsid w:val="0042733B"/>
    <w:rsid w:val="0042762F"/>
    <w:rsid w:val="0042765D"/>
    <w:rsid w:val="00427DC7"/>
    <w:rsid w:val="00431310"/>
    <w:rsid w:val="00431613"/>
    <w:rsid w:val="00431792"/>
    <w:rsid w:val="0043297A"/>
    <w:rsid w:val="00432EB2"/>
    <w:rsid w:val="004335BD"/>
    <w:rsid w:val="00433A9A"/>
    <w:rsid w:val="00436A16"/>
    <w:rsid w:val="0043714F"/>
    <w:rsid w:val="004438B5"/>
    <w:rsid w:val="004447CD"/>
    <w:rsid w:val="00447037"/>
    <w:rsid w:val="0045124D"/>
    <w:rsid w:val="0045130C"/>
    <w:rsid w:val="00451554"/>
    <w:rsid w:val="00452CAA"/>
    <w:rsid w:val="00453A99"/>
    <w:rsid w:val="00454596"/>
    <w:rsid w:val="00454EF3"/>
    <w:rsid w:val="004551F5"/>
    <w:rsid w:val="0045605D"/>
    <w:rsid w:val="00460552"/>
    <w:rsid w:val="00461012"/>
    <w:rsid w:val="0046135B"/>
    <w:rsid w:val="00461D47"/>
    <w:rsid w:val="0046684D"/>
    <w:rsid w:val="00467030"/>
    <w:rsid w:val="004718CC"/>
    <w:rsid w:val="00472BF6"/>
    <w:rsid w:val="004753F0"/>
    <w:rsid w:val="00481695"/>
    <w:rsid w:val="00481F42"/>
    <w:rsid w:val="00485997"/>
    <w:rsid w:val="0048777B"/>
    <w:rsid w:val="004916F9"/>
    <w:rsid w:val="004919B5"/>
    <w:rsid w:val="00494268"/>
    <w:rsid w:val="004958C3"/>
    <w:rsid w:val="00495A96"/>
    <w:rsid w:val="00495BB3"/>
    <w:rsid w:val="00496047"/>
    <w:rsid w:val="004A56BB"/>
    <w:rsid w:val="004A5A42"/>
    <w:rsid w:val="004A70D6"/>
    <w:rsid w:val="004B1751"/>
    <w:rsid w:val="004B2C56"/>
    <w:rsid w:val="004B650E"/>
    <w:rsid w:val="004C0253"/>
    <w:rsid w:val="004C0C90"/>
    <w:rsid w:val="004C48C1"/>
    <w:rsid w:val="004C49AB"/>
    <w:rsid w:val="004C5814"/>
    <w:rsid w:val="004C5ABD"/>
    <w:rsid w:val="004D3E75"/>
    <w:rsid w:val="004D56FF"/>
    <w:rsid w:val="004E1D58"/>
    <w:rsid w:val="004E39D3"/>
    <w:rsid w:val="004E508A"/>
    <w:rsid w:val="004E5884"/>
    <w:rsid w:val="004E6031"/>
    <w:rsid w:val="004E616D"/>
    <w:rsid w:val="004F1448"/>
    <w:rsid w:val="004F1B5D"/>
    <w:rsid w:val="004F1BDE"/>
    <w:rsid w:val="004F2CEE"/>
    <w:rsid w:val="004F556E"/>
    <w:rsid w:val="004F591C"/>
    <w:rsid w:val="004F6558"/>
    <w:rsid w:val="004F7F44"/>
    <w:rsid w:val="005019DD"/>
    <w:rsid w:val="005037B4"/>
    <w:rsid w:val="005079BF"/>
    <w:rsid w:val="0051269A"/>
    <w:rsid w:val="005128CC"/>
    <w:rsid w:val="0051423A"/>
    <w:rsid w:val="00515C75"/>
    <w:rsid w:val="005219E7"/>
    <w:rsid w:val="0052238D"/>
    <w:rsid w:val="00531B9A"/>
    <w:rsid w:val="00531D15"/>
    <w:rsid w:val="00532FE9"/>
    <w:rsid w:val="00536326"/>
    <w:rsid w:val="005368C1"/>
    <w:rsid w:val="0053751B"/>
    <w:rsid w:val="00537604"/>
    <w:rsid w:val="00541C4B"/>
    <w:rsid w:val="00541D8F"/>
    <w:rsid w:val="00542377"/>
    <w:rsid w:val="00543636"/>
    <w:rsid w:val="005458D4"/>
    <w:rsid w:val="005471D5"/>
    <w:rsid w:val="005476EB"/>
    <w:rsid w:val="00547C56"/>
    <w:rsid w:val="005509AE"/>
    <w:rsid w:val="005514E9"/>
    <w:rsid w:val="005516CC"/>
    <w:rsid w:val="00551782"/>
    <w:rsid w:val="005569AC"/>
    <w:rsid w:val="00560148"/>
    <w:rsid w:val="00561D62"/>
    <w:rsid w:val="00563EF1"/>
    <w:rsid w:val="00564B87"/>
    <w:rsid w:val="00565C2F"/>
    <w:rsid w:val="005665E6"/>
    <w:rsid w:val="00566AB4"/>
    <w:rsid w:val="005677EE"/>
    <w:rsid w:val="00573812"/>
    <w:rsid w:val="005758D9"/>
    <w:rsid w:val="00575AC5"/>
    <w:rsid w:val="0057605D"/>
    <w:rsid w:val="00576D05"/>
    <w:rsid w:val="00581347"/>
    <w:rsid w:val="00581AC9"/>
    <w:rsid w:val="00582A96"/>
    <w:rsid w:val="005849F8"/>
    <w:rsid w:val="00584E3C"/>
    <w:rsid w:val="00586389"/>
    <w:rsid w:val="005864AB"/>
    <w:rsid w:val="00586AD1"/>
    <w:rsid w:val="00590FC1"/>
    <w:rsid w:val="005920D4"/>
    <w:rsid w:val="005935D0"/>
    <w:rsid w:val="005938DF"/>
    <w:rsid w:val="00594E9C"/>
    <w:rsid w:val="00594F3F"/>
    <w:rsid w:val="00595CB0"/>
    <w:rsid w:val="00596405"/>
    <w:rsid w:val="00597297"/>
    <w:rsid w:val="005A099B"/>
    <w:rsid w:val="005A225D"/>
    <w:rsid w:val="005A2D9C"/>
    <w:rsid w:val="005A37DC"/>
    <w:rsid w:val="005A3D63"/>
    <w:rsid w:val="005A42C6"/>
    <w:rsid w:val="005A499B"/>
    <w:rsid w:val="005A55FE"/>
    <w:rsid w:val="005A56AD"/>
    <w:rsid w:val="005A5F55"/>
    <w:rsid w:val="005A6A11"/>
    <w:rsid w:val="005B2BE4"/>
    <w:rsid w:val="005B2F0D"/>
    <w:rsid w:val="005B4FFA"/>
    <w:rsid w:val="005B5214"/>
    <w:rsid w:val="005B6393"/>
    <w:rsid w:val="005B6476"/>
    <w:rsid w:val="005B6D5A"/>
    <w:rsid w:val="005C07E3"/>
    <w:rsid w:val="005C0845"/>
    <w:rsid w:val="005C1389"/>
    <w:rsid w:val="005C178B"/>
    <w:rsid w:val="005C34EF"/>
    <w:rsid w:val="005C402E"/>
    <w:rsid w:val="005C5FE4"/>
    <w:rsid w:val="005C608C"/>
    <w:rsid w:val="005D0306"/>
    <w:rsid w:val="005D2064"/>
    <w:rsid w:val="005D2502"/>
    <w:rsid w:val="005D3C0D"/>
    <w:rsid w:val="005D40BB"/>
    <w:rsid w:val="005D47F3"/>
    <w:rsid w:val="005D49BF"/>
    <w:rsid w:val="005D4AA5"/>
    <w:rsid w:val="005D6F4E"/>
    <w:rsid w:val="005D6FA3"/>
    <w:rsid w:val="005D787E"/>
    <w:rsid w:val="005D7C73"/>
    <w:rsid w:val="005E143B"/>
    <w:rsid w:val="005E17BC"/>
    <w:rsid w:val="005E1D25"/>
    <w:rsid w:val="005E250B"/>
    <w:rsid w:val="005E31E2"/>
    <w:rsid w:val="005E35ED"/>
    <w:rsid w:val="005E3A1A"/>
    <w:rsid w:val="005E3ACD"/>
    <w:rsid w:val="005E6D33"/>
    <w:rsid w:val="005E7226"/>
    <w:rsid w:val="005E7A57"/>
    <w:rsid w:val="005E7B11"/>
    <w:rsid w:val="005E7E39"/>
    <w:rsid w:val="005F0B97"/>
    <w:rsid w:val="005F24B0"/>
    <w:rsid w:val="005F7374"/>
    <w:rsid w:val="005F7E4B"/>
    <w:rsid w:val="0060285E"/>
    <w:rsid w:val="00602927"/>
    <w:rsid w:val="00602D50"/>
    <w:rsid w:val="006037CA"/>
    <w:rsid w:val="00604315"/>
    <w:rsid w:val="00604E26"/>
    <w:rsid w:val="0060523F"/>
    <w:rsid w:val="006052CF"/>
    <w:rsid w:val="00605D99"/>
    <w:rsid w:val="00607B8D"/>
    <w:rsid w:val="00611F5C"/>
    <w:rsid w:val="00612750"/>
    <w:rsid w:val="00615F35"/>
    <w:rsid w:val="00616E09"/>
    <w:rsid w:val="00621028"/>
    <w:rsid w:val="00621808"/>
    <w:rsid w:val="00621D37"/>
    <w:rsid w:val="006223EE"/>
    <w:rsid w:val="00622A3B"/>
    <w:rsid w:val="00622EEA"/>
    <w:rsid w:val="0062396C"/>
    <w:rsid w:val="00623E98"/>
    <w:rsid w:val="00623FF9"/>
    <w:rsid w:val="00625245"/>
    <w:rsid w:val="0062781B"/>
    <w:rsid w:val="00627D4E"/>
    <w:rsid w:val="006306BA"/>
    <w:rsid w:val="00630ADA"/>
    <w:rsid w:val="00632472"/>
    <w:rsid w:val="006326B5"/>
    <w:rsid w:val="00632B89"/>
    <w:rsid w:val="00632E8E"/>
    <w:rsid w:val="0063346D"/>
    <w:rsid w:val="00634478"/>
    <w:rsid w:val="00635104"/>
    <w:rsid w:val="0063560E"/>
    <w:rsid w:val="00635E17"/>
    <w:rsid w:val="00641AB1"/>
    <w:rsid w:val="00642548"/>
    <w:rsid w:val="00643C24"/>
    <w:rsid w:val="00643E15"/>
    <w:rsid w:val="00644373"/>
    <w:rsid w:val="00645915"/>
    <w:rsid w:val="00646CC4"/>
    <w:rsid w:val="006476DF"/>
    <w:rsid w:val="00647AD0"/>
    <w:rsid w:val="006519C3"/>
    <w:rsid w:val="006528F8"/>
    <w:rsid w:val="00652B30"/>
    <w:rsid w:val="00654A41"/>
    <w:rsid w:val="00656345"/>
    <w:rsid w:val="00656DC6"/>
    <w:rsid w:val="00660E89"/>
    <w:rsid w:val="00660EC6"/>
    <w:rsid w:val="0066312A"/>
    <w:rsid w:val="00664110"/>
    <w:rsid w:val="00664D17"/>
    <w:rsid w:val="00665722"/>
    <w:rsid w:val="00666520"/>
    <w:rsid w:val="00667C5B"/>
    <w:rsid w:val="00672760"/>
    <w:rsid w:val="00676D90"/>
    <w:rsid w:val="0068333D"/>
    <w:rsid w:val="00686EAD"/>
    <w:rsid w:val="00691D2A"/>
    <w:rsid w:val="00691EB8"/>
    <w:rsid w:val="00692CDE"/>
    <w:rsid w:val="00693073"/>
    <w:rsid w:val="00695880"/>
    <w:rsid w:val="00695BA5"/>
    <w:rsid w:val="006977FF"/>
    <w:rsid w:val="006A01FA"/>
    <w:rsid w:val="006A0E9E"/>
    <w:rsid w:val="006A25C7"/>
    <w:rsid w:val="006A3460"/>
    <w:rsid w:val="006A4AAD"/>
    <w:rsid w:val="006A4CCA"/>
    <w:rsid w:val="006A4D28"/>
    <w:rsid w:val="006A5553"/>
    <w:rsid w:val="006A6959"/>
    <w:rsid w:val="006A6DA2"/>
    <w:rsid w:val="006A7AB2"/>
    <w:rsid w:val="006B0C8D"/>
    <w:rsid w:val="006B2747"/>
    <w:rsid w:val="006B3963"/>
    <w:rsid w:val="006B52DE"/>
    <w:rsid w:val="006B5717"/>
    <w:rsid w:val="006B582F"/>
    <w:rsid w:val="006B5EB2"/>
    <w:rsid w:val="006B641A"/>
    <w:rsid w:val="006C0CEB"/>
    <w:rsid w:val="006C1631"/>
    <w:rsid w:val="006C2692"/>
    <w:rsid w:val="006C3B1E"/>
    <w:rsid w:val="006C47FD"/>
    <w:rsid w:val="006C4A52"/>
    <w:rsid w:val="006C4ECD"/>
    <w:rsid w:val="006C5C19"/>
    <w:rsid w:val="006C70A0"/>
    <w:rsid w:val="006C7FAB"/>
    <w:rsid w:val="006D1049"/>
    <w:rsid w:val="006D27CB"/>
    <w:rsid w:val="006D2BDA"/>
    <w:rsid w:val="006D2F08"/>
    <w:rsid w:val="006D4445"/>
    <w:rsid w:val="006D4BA8"/>
    <w:rsid w:val="006D51B0"/>
    <w:rsid w:val="006D576C"/>
    <w:rsid w:val="006D5865"/>
    <w:rsid w:val="006E074F"/>
    <w:rsid w:val="006E1266"/>
    <w:rsid w:val="006E1F55"/>
    <w:rsid w:val="006E4B1B"/>
    <w:rsid w:val="006E5445"/>
    <w:rsid w:val="006E7419"/>
    <w:rsid w:val="006E7916"/>
    <w:rsid w:val="006E7D93"/>
    <w:rsid w:val="006F024A"/>
    <w:rsid w:val="006F4B87"/>
    <w:rsid w:val="0070133D"/>
    <w:rsid w:val="007029A3"/>
    <w:rsid w:val="00702D6B"/>
    <w:rsid w:val="00703419"/>
    <w:rsid w:val="00703738"/>
    <w:rsid w:val="00703B97"/>
    <w:rsid w:val="007059EB"/>
    <w:rsid w:val="00706E4E"/>
    <w:rsid w:val="00707826"/>
    <w:rsid w:val="0070791C"/>
    <w:rsid w:val="00712791"/>
    <w:rsid w:val="0071383C"/>
    <w:rsid w:val="007141A7"/>
    <w:rsid w:val="0071460B"/>
    <w:rsid w:val="00715722"/>
    <w:rsid w:val="00715BAF"/>
    <w:rsid w:val="00721032"/>
    <w:rsid w:val="00721B55"/>
    <w:rsid w:val="0072262B"/>
    <w:rsid w:val="0072393D"/>
    <w:rsid w:val="00723DDD"/>
    <w:rsid w:val="00724264"/>
    <w:rsid w:val="00726CE4"/>
    <w:rsid w:val="00727B3D"/>
    <w:rsid w:val="00733F3C"/>
    <w:rsid w:val="007340DF"/>
    <w:rsid w:val="00734143"/>
    <w:rsid w:val="00736216"/>
    <w:rsid w:val="00737780"/>
    <w:rsid w:val="00737CAA"/>
    <w:rsid w:val="00737E47"/>
    <w:rsid w:val="00740EAC"/>
    <w:rsid w:val="00742B84"/>
    <w:rsid w:val="00743556"/>
    <w:rsid w:val="00744956"/>
    <w:rsid w:val="00745A5C"/>
    <w:rsid w:val="0074605F"/>
    <w:rsid w:val="00746A6A"/>
    <w:rsid w:val="007470F6"/>
    <w:rsid w:val="00747E94"/>
    <w:rsid w:val="007530E1"/>
    <w:rsid w:val="00754C83"/>
    <w:rsid w:val="00761857"/>
    <w:rsid w:val="00761E5C"/>
    <w:rsid w:val="007624FB"/>
    <w:rsid w:val="00765DF8"/>
    <w:rsid w:val="00766749"/>
    <w:rsid w:val="00767C1B"/>
    <w:rsid w:val="00770B3F"/>
    <w:rsid w:val="007714A9"/>
    <w:rsid w:val="00773785"/>
    <w:rsid w:val="00774167"/>
    <w:rsid w:val="00774F88"/>
    <w:rsid w:val="00774FDB"/>
    <w:rsid w:val="007767B8"/>
    <w:rsid w:val="00777B8A"/>
    <w:rsid w:val="00777BA2"/>
    <w:rsid w:val="00780E38"/>
    <w:rsid w:val="00781408"/>
    <w:rsid w:val="00784A2D"/>
    <w:rsid w:val="00784F7F"/>
    <w:rsid w:val="007878BD"/>
    <w:rsid w:val="00790214"/>
    <w:rsid w:val="00794011"/>
    <w:rsid w:val="00796F25"/>
    <w:rsid w:val="007A0D22"/>
    <w:rsid w:val="007A1493"/>
    <w:rsid w:val="007A2E98"/>
    <w:rsid w:val="007A3BA3"/>
    <w:rsid w:val="007A3E47"/>
    <w:rsid w:val="007A4119"/>
    <w:rsid w:val="007A42D0"/>
    <w:rsid w:val="007A6CC0"/>
    <w:rsid w:val="007A7FEC"/>
    <w:rsid w:val="007B1499"/>
    <w:rsid w:val="007B1BBF"/>
    <w:rsid w:val="007B295F"/>
    <w:rsid w:val="007B2960"/>
    <w:rsid w:val="007B355D"/>
    <w:rsid w:val="007B41AA"/>
    <w:rsid w:val="007B4A33"/>
    <w:rsid w:val="007B7248"/>
    <w:rsid w:val="007B7980"/>
    <w:rsid w:val="007C0DEF"/>
    <w:rsid w:val="007C2DE5"/>
    <w:rsid w:val="007C5D5A"/>
    <w:rsid w:val="007C607F"/>
    <w:rsid w:val="007C79DD"/>
    <w:rsid w:val="007D1A97"/>
    <w:rsid w:val="007D2CD6"/>
    <w:rsid w:val="007D2F24"/>
    <w:rsid w:val="007D3063"/>
    <w:rsid w:val="007D3301"/>
    <w:rsid w:val="007D3CEB"/>
    <w:rsid w:val="007D403B"/>
    <w:rsid w:val="007D4405"/>
    <w:rsid w:val="007D6046"/>
    <w:rsid w:val="007D70B2"/>
    <w:rsid w:val="007E0B73"/>
    <w:rsid w:val="007E1233"/>
    <w:rsid w:val="007E339A"/>
    <w:rsid w:val="007E63D1"/>
    <w:rsid w:val="007E7683"/>
    <w:rsid w:val="007E7D2D"/>
    <w:rsid w:val="007F1B60"/>
    <w:rsid w:val="007F1F95"/>
    <w:rsid w:val="007F447C"/>
    <w:rsid w:val="007F47A2"/>
    <w:rsid w:val="007F49FA"/>
    <w:rsid w:val="007F54C4"/>
    <w:rsid w:val="007F5B99"/>
    <w:rsid w:val="007F658D"/>
    <w:rsid w:val="007F6E9A"/>
    <w:rsid w:val="00800CCD"/>
    <w:rsid w:val="008044D4"/>
    <w:rsid w:val="008053AF"/>
    <w:rsid w:val="00807A0C"/>
    <w:rsid w:val="00807A25"/>
    <w:rsid w:val="00810AB4"/>
    <w:rsid w:val="00812AA0"/>
    <w:rsid w:val="00813D5A"/>
    <w:rsid w:val="00813FD1"/>
    <w:rsid w:val="00817B56"/>
    <w:rsid w:val="00821538"/>
    <w:rsid w:val="008216B1"/>
    <w:rsid w:val="00821A88"/>
    <w:rsid w:val="00821FEA"/>
    <w:rsid w:val="008230F0"/>
    <w:rsid w:val="0082322E"/>
    <w:rsid w:val="0082495D"/>
    <w:rsid w:val="008261AC"/>
    <w:rsid w:val="00827B2A"/>
    <w:rsid w:val="0083071F"/>
    <w:rsid w:val="00831AC3"/>
    <w:rsid w:val="00833EFC"/>
    <w:rsid w:val="008359A1"/>
    <w:rsid w:val="00836DB5"/>
    <w:rsid w:val="00836FCE"/>
    <w:rsid w:val="008408FF"/>
    <w:rsid w:val="00841D0B"/>
    <w:rsid w:val="0085100F"/>
    <w:rsid w:val="00851F3F"/>
    <w:rsid w:val="008525F9"/>
    <w:rsid w:val="00852E9F"/>
    <w:rsid w:val="00853C9A"/>
    <w:rsid w:val="00856D65"/>
    <w:rsid w:val="00856EDC"/>
    <w:rsid w:val="00857436"/>
    <w:rsid w:val="008623B5"/>
    <w:rsid w:val="00862A8C"/>
    <w:rsid w:val="00862B31"/>
    <w:rsid w:val="008635D8"/>
    <w:rsid w:val="00867E6C"/>
    <w:rsid w:val="008705F4"/>
    <w:rsid w:val="00870A00"/>
    <w:rsid w:val="00870ABA"/>
    <w:rsid w:val="008710E1"/>
    <w:rsid w:val="008716E5"/>
    <w:rsid w:val="008764C9"/>
    <w:rsid w:val="0087695A"/>
    <w:rsid w:val="00881CA9"/>
    <w:rsid w:val="00883628"/>
    <w:rsid w:val="00885544"/>
    <w:rsid w:val="00885BB9"/>
    <w:rsid w:val="0088634E"/>
    <w:rsid w:val="008916EE"/>
    <w:rsid w:val="00893AB8"/>
    <w:rsid w:val="00894E36"/>
    <w:rsid w:val="008A04C8"/>
    <w:rsid w:val="008A094F"/>
    <w:rsid w:val="008A1B38"/>
    <w:rsid w:val="008A3A69"/>
    <w:rsid w:val="008A6913"/>
    <w:rsid w:val="008B0271"/>
    <w:rsid w:val="008B1AB4"/>
    <w:rsid w:val="008B3F13"/>
    <w:rsid w:val="008B70F3"/>
    <w:rsid w:val="008B71C4"/>
    <w:rsid w:val="008B76DF"/>
    <w:rsid w:val="008C10F4"/>
    <w:rsid w:val="008C203A"/>
    <w:rsid w:val="008C3A6E"/>
    <w:rsid w:val="008C65F7"/>
    <w:rsid w:val="008C7EDC"/>
    <w:rsid w:val="008D0E3D"/>
    <w:rsid w:val="008D24A0"/>
    <w:rsid w:val="008D3549"/>
    <w:rsid w:val="008D4377"/>
    <w:rsid w:val="008D53BF"/>
    <w:rsid w:val="008D5CF0"/>
    <w:rsid w:val="008E0428"/>
    <w:rsid w:val="008E4767"/>
    <w:rsid w:val="008E6437"/>
    <w:rsid w:val="008E744B"/>
    <w:rsid w:val="008E7A8C"/>
    <w:rsid w:val="008E7C28"/>
    <w:rsid w:val="008F390D"/>
    <w:rsid w:val="008F4895"/>
    <w:rsid w:val="008F5CAB"/>
    <w:rsid w:val="0090203B"/>
    <w:rsid w:val="0090222A"/>
    <w:rsid w:val="00903285"/>
    <w:rsid w:val="009048E5"/>
    <w:rsid w:val="009053F4"/>
    <w:rsid w:val="00906F40"/>
    <w:rsid w:val="0090731E"/>
    <w:rsid w:val="009140ED"/>
    <w:rsid w:val="009148AF"/>
    <w:rsid w:val="00915B1C"/>
    <w:rsid w:val="009163B6"/>
    <w:rsid w:val="00917470"/>
    <w:rsid w:val="009174F3"/>
    <w:rsid w:val="0091751F"/>
    <w:rsid w:val="0091797D"/>
    <w:rsid w:val="00917B46"/>
    <w:rsid w:val="00922BFD"/>
    <w:rsid w:val="009238DE"/>
    <w:rsid w:val="00923CBA"/>
    <w:rsid w:val="0092435D"/>
    <w:rsid w:val="009244FE"/>
    <w:rsid w:val="00924726"/>
    <w:rsid w:val="00926703"/>
    <w:rsid w:val="00926D3F"/>
    <w:rsid w:val="00927691"/>
    <w:rsid w:val="00927A5F"/>
    <w:rsid w:val="00930510"/>
    <w:rsid w:val="00930987"/>
    <w:rsid w:val="00933D39"/>
    <w:rsid w:val="0093411E"/>
    <w:rsid w:val="009346B3"/>
    <w:rsid w:val="00935B63"/>
    <w:rsid w:val="00936E95"/>
    <w:rsid w:val="0094078F"/>
    <w:rsid w:val="00940986"/>
    <w:rsid w:val="00940FA3"/>
    <w:rsid w:val="00941FB0"/>
    <w:rsid w:val="009426D4"/>
    <w:rsid w:val="00942AD9"/>
    <w:rsid w:val="00946029"/>
    <w:rsid w:val="00947A3C"/>
    <w:rsid w:val="00947F25"/>
    <w:rsid w:val="00950159"/>
    <w:rsid w:val="00950B88"/>
    <w:rsid w:val="009522AA"/>
    <w:rsid w:val="00952629"/>
    <w:rsid w:val="0095490B"/>
    <w:rsid w:val="00960649"/>
    <w:rsid w:val="00960A33"/>
    <w:rsid w:val="009612AA"/>
    <w:rsid w:val="00963C8E"/>
    <w:rsid w:val="0096586E"/>
    <w:rsid w:val="00971914"/>
    <w:rsid w:val="009725B7"/>
    <w:rsid w:val="00974363"/>
    <w:rsid w:val="00980D31"/>
    <w:rsid w:val="00981898"/>
    <w:rsid w:val="00982082"/>
    <w:rsid w:val="00983DFA"/>
    <w:rsid w:val="00983F64"/>
    <w:rsid w:val="00985940"/>
    <w:rsid w:val="00987D47"/>
    <w:rsid w:val="009926BC"/>
    <w:rsid w:val="0099577C"/>
    <w:rsid w:val="009964FF"/>
    <w:rsid w:val="009A021C"/>
    <w:rsid w:val="009A1094"/>
    <w:rsid w:val="009A11FA"/>
    <w:rsid w:val="009A25CC"/>
    <w:rsid w:val="009A2FA5"/>
    <w:rsid w:val="009B1FAA"/>
    <w:rsid w:val="009B24A5"/>
    <w:rsid w:val="009B2509"/>
    <w:rsid w:val="009B2601"/>
    <w:rsid w:val="009B31AB"/>
    <w:rsid w:val="009B4119"/>
    <w:rsid w:val="009B4E9E"/>
    <w:rsid w:val="009C05D9"/>
    <w:rsid w:val="009C1690"/>
    <w:rsid w:val="009C1C92"/>
    <w:rsid w:val="009C1EEB"/>
    <w:rsid w:val="009C217B"/>
    <w:rsid w:val="009C6881"/>
    <w:rsid w:val="009C6B6C"/>
    <w:rsid w:val="009C72F9"/>
    <w:rsid w:val="009C7759"/>
    <w:rsid w:val="009D043D"/>
    <w:rsid w:val="009D0569"/>
    <w:rsid w:val="009D07C8"/>
    <w:rsid w:val="009D17EC"/>
    <w:rsid w:val="009D2E33"/>
    <w:rsid w:val="009D4C2F"/>
    <w:rsid w:val="009D4C85"/>
    <w:rsid w:val="009D6C71"/>
    <w:rsid w:val="009E0631"/>
    <w:rsid w:val="009E121D"/>
    <w:rsid w:val="009E16D0"/>
    <w:rsid w:val="009E2051"/>
    <w:rsid w:val="009E38FD"/>
    <w:rsid w:val="009E3CF3"/>
    <w:rsid w:val="009E4B83"/>
    <w:rsid w:val="009E74AE"/>
    <w:rsid w:val="009F13D6"/>
    <w:rsid w:val="009F402D"/>
    <w:rsid w:val="009F4C6B"/>
    <w:rsid w:val="009F570E"/>
    <w:rsid w:val="009F6496"/>
    <w:rsid w:val="009F78A8"/>
    <w:rsid w:val="00A02AD6"/>
    <w:rsid w:val="00A05588"/>
    <w:rsid w:val="00A07096"/>
    <w:rsid w:val="00A07318"/>
    <w:rsid w:val="00A07CAB"/>
    <w:rsid w:val="00A07FCC"/>
    <w:rsid w:val="00A109EB"/>
    <w:rsid w:val="00A11370"/>
    <w:rsid w:val="00A12902"/>
    <w:rsid w:val="00A12C73"/>
    <w:rsid w:val="00A224CE"/>
    <w:rsid w:val="00A22522"/>
    <w:rsid w:val="00A23FCD"/>
    <w:rsid w:val="00A24AFD"/>
    <w:rsid w:val="00A24F5C"/>
    <w:rsid w:val="00A25324"/>
    <w:rsid w:val="00A30641"/>
    <w:rsid w:val="00A32F96"/>
    <w:rsid w:val="00A33CE6"/>
    <w:rsid w:val="00A40871"/>
    <w:rsid w:val="00A412AB"/>
    <w:rsid w:val="00A4175D"/>
    <w:rsid w:val="00A4193E"/>
    <w:rsid w:val="00A440E0"/>
    <w:rsid w:val="00A442EF"/>
    <w:rsid w:val="00A506F3"/>
    <w:rsid w:val="00A51BD8"/>
    <w:rsid w:val="00A51D1A"/>
    <w:rsid w:val="00A5238E"/>
    <w:rsid w:val="00A53523"/>
    <w:rsid w:val="00A53D4A"/>
    <w:rsid w:val="00A5418D"/>
    <w:rsid w:val="00A5474E"/>
    <w:rsid w:val="00A5576C"/>
    <w:rsid w:val="00A55B3E"/>
    <w:rsid w:val="00A56D38"/>
    <w:rsid w:val="00A61960"/>
    <w:rsid w:val="00A64234"/>
    <w:rsid w:val="00A6560B"/>
    <w:rsid w:val="00A70ADF"/>
    <w:rsid w:val="00A71466"/>
    <w:rsid w:val="00A74B5E"/>
    <w:rsid w:val="00A76F66"/>
    <w:rsid w:val="00A77848"/>
    <w:rsid w:val="00A7784F"/>
    <w:rsid w:val="00A8021C"/>
    <w:rsid w:val="00A81BED"/>
    <w:rsid w:val="00A81EC4"/>
    <w:rsid w:val="00A824E8"/>
    <w:rsid w:val="00A82661"/>
    <w:rsid w:val="00A94BC9"/>
    <w:rsid w:val="00A96132"/>
    <w:rsid w:val="00A967FD"/>
    <w:rsid w:val="00A96A66"/>
    <w:rsid w:val="00A971CC"/>
    <w:rsid w:val="00AA2DE5"/>
    <w:rsid w:val="00AA63FF"/>
    <w:rsid w:val="00AA7148"/>
    <w:rsid w:val="00AB156C"/>
    <w:rsid w:val="00AB31AE"/>
    <w:rsid w:val="00AB609C"/>
    <w:rsid w:val="00AB6814"/>
    <w:rsid w:val="00AB7043"/>
    <w:rsid w:val="00AC04BA"/>
    <w:rsid w:val="00AC0E39"/>
    <w:rsid w:val="00AC134D"/>
    <w:rsid w:val="00AC16D4"/>
    <w:rsid w:val="00AC1DB0"/>
    <w:rsid w:val="00AC3F18"/>
    <w:rsid w:val="00AC415B"/>
    <w:rsid w:val="00AC5226"/>
    <w:rsid w:val="00AC7B9C"/>
    <w:rsid w:val="00AD0F75"/>
    <w:rsid w:val="00AD144A"/>
    <w:rsid w:val="00AD20B6"/>
    <w:rsid w:val="00AD3082"/>
    <w:rsid w:val="00AD32B4"/>
    <w:rsid w:val="00AD4A65"/>
    <w:rsid w:val="00AD4AD0"/>
    <w:rsid w:val="00AD541C"/>
    <w:rsid w:val="00AD5436"/>
    <w:rsid w:val="00AD60CD"/>
    <w:rsid w:val="00AD6B0A"/>
    <w:rsid w:val="00AD6C8C"/>
    <w:rsid w:val="00AE091D"/>
    <w:rsid w:val="00AE283E"/>
    <w:rsid w:val="00AE3B60"/>
    <w:rsid w:val="00AE514C"/>
    <w:rsid w:val="00AE53A1"/>
    <w:rsid w:val="00AE6017"/>
    <w:rsid w:val="00AE6837"/>
    <w:rsid w:val="00AE6DBA"/>
    <w:rsid w:val="00AF2484"/>
    <w:rsid w:val="00AF5478"/>
    <w:rsid w:val="00AF63E7"/>
    <w:rsid w:val="00AF6E17"/>
    <w:rsid w:val="00B0165D"/>
    <w:rsid w:val="00B01B60"/>
    <w:rsid w:val="00B01CB8"/>
    <w:rsid w:val="00B031F3"/>
    <w:rsid w:val="00B052A4"/>
    <w:rsid w:val="00B055EB"/>
    <w:rsid w:val="00B06AB3"/>
    <w:rsid w:val="00B125DE"/>
    <w:rsid w:val="00B13FDD"/>
    <w:rsid w:val="00B16347"/>
    <w:rsid w:val="00B20C73"/>
    <w:rsid w:val="00B21894"/>
    <w:rsid w:val="00B22EB2"/>
    <w:rsid w:val="00B24D73"/>
    <w:rsid w:val="00B26A7A"/>
    <w:rsid w:val="00B27442"/>
    <w:rsid w:val="00B30505"/>
    <w:rsid w:val="00B31167"/>
    <w:rsid w:val="00B329D8"/>
    <w:rsid w:val="00B32BB9"/>
    <w:rsid w:val="00B33AE1"/>
    <w:rsid w:val="00B37C38"/>
    <w:rsid w:val="00B40736"/>
    <w:rsid w:val="00B4288C"/>
    <w:rsid w:val="00B43262"/>
    <w:rsid w:val="00B44100"/>
    <w:rsid w:val="00B46CBA"/>
    <w:rsid w:val="00B46F94"/>
    <w:rsid w:val="00B47EE5"/>
    <w:rsid w:val="00B506EF"/>
    <w:rsid w:val="00B519E0"/>
    <w:rsid w:val="00B52BB1"/>
    <w:rsid w:val="00B53461"/>
    <w:rsid w:val="00B57321"/>
    <w:rsid w:val="00B57F32"/>
    <w:rsid w:val="00B6003C"/>
    <w:rsid w:val="00B61F03"/>
    <w:rsid w:val="00B6223A"/>
    <w:rsid w:val="00B626E4"/>
    <w:rsid w:val="00B727B1"/>
    <w:rsid w:val="00B72F4A"/>
    <w:rsid w:val="00B80886"/>
    <w:rsid w:val="00B81A6A"/>
    <w:rsid w:val="00B83C27"/>
    <w:rsid w:val="00B84BC3"/>
    <w:rsid w:val="00B84BDD"/>
    <w:rsid w:val="00B92812"/>
    <w:rsid w:val="00B9710A"/>
    <w:rsid w:val="00BA044C"/>
    <w:rsid w:val="00BA569B"/>
    <w:rsid w:val="00BB1593"/>
    <w:rsid w:val="00BB1C3E"/>
    <w:rsid w:val="00BB1E82"/>
    <w:rsid w:val="00BB30A3"/>
    <w:rsid w:val="00BB45A1"/>
    <w:rsid w:val="00BB6335"/>
    <w:rsid w:val="00BB72C0"/>
    <w:rsid w:val="00BB7686"/>
    <w:rsid w:val="00BB7802"/>
    <w:rsid w:val="00BC0A37"/>
    <w:rsid w:val="00BC23F9"/>
    <w:rsid w:val="00BC30FC"/>
    <w:rsid w:val="00BC3421"/>
    <w:rsid w:val="00BC533B"/>
    <w:rsid w:val="00BC580F"/>
    <w:rsid w:val="00BC6101"/>
    <w:rsid w:val="00BC6D0D"/>
    <w:rsid w:val="00BC732C"/>
    <w:rsid w:val="00BD0054"/>
    <w:rsid w:val="00BD4071"/>
    <w:rsid w:val="00BD4421"/>
    <w:rsid w:val="00BD4737"/>
    <w:rsid w:val="00BD513E"/>
    <w:rsid w:val="00BE2580"/>
    <w:rsid w:val="00BE266D"/>
    <w:rsid w:val="00BE3938"/>
    <w:rsid w:val="00BE4C11"/>
    <w:rsid w:val="00BE549E"/>
    <w:rsid w:val="00BE597A"/>
    <w:rsid w:val="00BE646A"/>
    <w:rsid w:val="00BE71C0"/>
    <w:rsid w:val="00BF4788"/>
    <w:rsid w:val="00BF4D69"/>
    <w:rsid w:val="00BF610C"/>
    <w:rsid w:val="00BF6162"/>
    <w:rsid w:val="00BF6549"/>
    <w:rsid w:val="00BF6BD2"/>
    <w:rsid w:val="00C0060B"/>
    <w:rsid w:val="00C0154A"/>
    <w:rsid w:val="00C01A6C"/>
    <w:rsid w:val="00C026FE"/>
    <w:rsid w:val="00C0277D"/>
    <w:rsid w:val="00C02F26"/>
    <w:rsid w:val="00C053A1"/>
    <w:rsid w:val="00C07AE9"/>
    <w:rsid w:val="00C16198"/>
    <w:rsid w:val="00C2083D"/>
    <w:rsid w:val="00C21F66"/>
    <w:rsid w:val="00C229EF"/>
    <w:rsid w:val="00C24975"/>
    <w:rsid w:val="00C24A53"/>
    <w:rsid w:val="00C27030"/>
    <w:rsid w:val="00C27873"/>
    <w:rsid w:val="00C311F4"/>
    <w:rsid w:val="00C322E3"/>
    <w:rsid w:val="00C3288B"/>
    <w:rsid w:val="00C34A05"/>
    <w:rsid w:val="00C35258"/>
    <w:rsid w:val="00C35CCE"/>
    <w:rsid w:val="00C3631F"/>
    <w:rsid w:val="00C4032F"/>
    <w:rsid w:val="00C410A7"/>
    <w:rsid w:val="00C41F21"/>
    <w:rsid w:val="00C42C53"/>
    <w:rsid w:val="00C4316D"/>
    <w:rsid w:val="00C44047"/>
    <w:rsid w:val="00C44166"/>
    <w:rsid w:val="00C45155"/>
    <w:rsid w:val="00C5498F"/>
    <w:rsid w:val="00C55235"/>
    <w:rsid w:val="00C56357"/>
    <w:rsid w:val="00C60FB2"/>
    <w:rsid w:val="00C61BBB"/>
    <w:rsid w:val="00C64CD0"/>
    <w:rsid w:val="00C65721"/>
    <w:rsid w:val="00C65F61"/>
    <w:rsid w:val="00C6684F"/>
    <w:rsid w:val="00C67240"/>
    <w:rsid w:val="00C70E70"/>
    <w:rsid w:val="00C724B9"/>
    <w:rsid w:val="00C740A3"/>
    <w:rsid w:val="00C75DD3"/>
    <w:rsid w:val="00C75F8D"/>
    <w:rsid w:val="00C77154"/>
    <w:rsid w:val="00C77380"/>
    <w:rsid w:val="00C77FA2"/>
    <w:rsid w:val="00C82572"/>
    <w:rsid w:val="00C82DCA"/>
    <w:rsid w:val="00C8618A"/>
    <w:rsid w:val="00C87423"/>
    <w:rsid w:val="00C87E8A"/>
    <w:rsid w:val="00C913D6"/>
    <w:rsid w:val="00C91531"/>
    <w:rsid w:val="00C9194E"/>
    <w:rsid w:val="00C922C9"/>
    <w:rsid w:val="00C95205"/>
    <w:rsid w:val="00C97736"/>
    <w:rsid w:val="00CA345A"/>
    <w:rsid w:val="00CA6E7E"/>
    <w:rsid w:val="00CA797A"/>
    <w:rsid w:val="00CB05AF"/>
    <w:rsid w:val="00CB1E82"/>
    <w:rsid w:val="00CB206A"/>
    <w:rsid w:val="00CB3EED"/>
    <w:rsid w:val="00CB40B1"/>
    <w:rsid w:val="00CB4BA8"/>
    <w:rsid w:val="00CB52D7"/>
    <w:rsid w:val="00CB7168"/>
    <w:rsid w:val="00CB77F8"/>
    <w:rsid w:val="00CC0CDA"/>
    <w:rsid w:val="00CC3490"/>
    <w:rsid w:val="00CC3BD2"/>
    <w:rsid w:val="00CC6732"/>
    <w:rsid w:val="00CC6CDC"/>
    <w:rsid w:val="00CC70F6"/>
    <w:rsid w:val="00CC720D"/>
    <w:rsid w:val="00CD0522"/>
    <w:rsid w:val="00CD47A3"/>
    <w:rsid w:val="00CD6ACF"/>
    <w:rsid w:val="00CD7830"/>
    <w:rsid w:val="00CE0559"/>
    <w:rsid w:val="00CE1355"/>
    <w:rsid w:val="00CE17BB"/>
    <w:rsid w:val="00CE3C96"/>
    <w:rsid w:val="00CE4469"/>
    <w:rsid w:val="00CE51A8"/>
    <w:rsid w:val="00CE54B3"/>
    <w:rsid w:val="00CE5B7E"/>
    <w:rsid w:val="00CF0BFE"/>
    <w:rsid w:val="00CF3049"/>
    <w:rsid w:val="00CF369B"/>
    <w:rsid w:val="00CF70B2"/>
    <w:rsid w:val="00D00D8E"/>
    <w:rsid w:val="00D00E20"/>
    <w:rsid w:val="00D00E28"/>
    <w:rsid w:val="00D01BC7"/>
    <w:rsid w:val="00D0269E"/>
    <w:rsid w:val="00D05D6C"/>
    <w:rsid w:val="00D06061"/>
    <w:rsid w:val="00D12C87"/>
    <w:rsid w:val="00D15810"/>
    <w:rsid w:val="00D162D5"/>
    <w:rsid w:val="00D16D4E"/>
    <w:rsid w:val="00D16FE3"/>
    <w:rsid w:val="00D240E3"/>
    <w:rsid w:val="00D27E9F"/>
    <w:rsid w:val="00D27F41"/>
    <w:rsid w:val="00D3250D"/>
    <w:rsid w:val="00D32CF2"/>
    <w:rsid w:val="00D33A71"/>
    <w:rsid w:val="00D34AC2"/>
    <w:rsid w:val="00D36441"/>
    <w:rsid w:val="00D4064E"/>
    <w:rsid w:val="00D43CA6"/>
    <w:rsid w:val="00D44E9B"/>
    <w:rsid w:val="00D47AEB"/>
    <w:rsid w:val="00D50DB9"/>
    <w:rsid w:val="00D51302"/>
    <w:rsid w:val="00D52C43"/>
    <w:rsid w:val="00D5413D"/>
    <w:rsid w:val="00D546F3"/>
    <w:rsid w:val="00D61243"/>
    <w:rsid w:val="00D6507F"/>
    <w:rsid w:val="00D660D3"/>
    <w:rsid w:val="00D66D22"/>
    <w:rsid w:val="00D730BC"/>
    <w:rsid w:val="00D73912"/>
    <w:rsid w:val="00D74698"/>
    <w:rsid w:val="00D76027"/>
    <w:rsid w:val="00D771A5"/>
    <w:rsid w:val="00D82EF9"/>
    <w:rsid w:val="00D84E60"/>
    <w:rsid w:val="00D85226"/>
    <w:rsid w:val="00D86C7B"/>
    <w:rsid w:val="00D87B94"/>
    <w:rsid w:val="00D91309"/>
    <w:rsid w:val="00D92D49"/>
    <w:rsid w:val="00D92EC1"/>
    <w:rsid w:val="00D96DEA"/>
    <w:rsid w:val="00DA1F43"/>
    <w:rsid w:val="00DA3206"/>
    <w:rsid w:val="00DA36F8"/>
    <w:rsid w:val="00DA387B"/>
    <w:rsid w:val="00DA4E41"/>
    <w:rsid w:val="00DB117A"/>
    <w:rsid w:val="00DB16AA"/>
    <w:rsid w:val="00DB37C3"/>
    <w:rsid w:val="00DB5173"/>
    <w:rsid w:val="00DB599A"/>
    <w:rsid w:val="00DB7873"/>
    <w:rsid w:val="00DC187B"/>
    <w:rsid w:val="00DC32FC"/>
    <w:rsid w:val="00DC36AF"/>
    <w:rsid w:val="00DC7585"/>
    <w:rsid w:val="00DC7F9D"/>
    <w:rsid w:val="00DD161E"/>
    <w:rsid w:val="00DD1A43"/>
    <w:rsid w:val="00DD391C"/>
    <w:rsid w:val="00DD680F"/>
    <w:rsid w:val="00DD73C2"/>
    <w:rsid w:val="00DE0E6D"/>
    <w:rsid w:val="00DE129A"/>
    <w:rsid w:val="00DE319B"/>
    <w:rsid w:val="00DE5C58"/>
    <w:rsid w:val="00DF1691"/>
    <w:rsid w:val="00DF1F9C"/>
    <w:rsid w:val="00DF23CA"/>
    <w:rsid w:val="00DF3263"/>
    <w:rsid w:val="00DF34FE"/>
    <w:rsid w:val="00DF56AA"/>
    <w:rsid w:val="00DF56AF"/>
    <w:rsid w:val="00DF78E7"/>
    <w:rsid w:val="00E02827"/>
    <w:rsid w:val="00E02A7F"/>
    <w:rsid w:val="00E03515"/>
    <w:rsid w:val="00E079BF"/>
    <w:rsid w:val="00E110E0"/>
    <w:rsid w:val="00E1151D"/>
    <w:rsid w:val="00E15371"/>
    <w:rsid w:val="00E165E6"/>
    <w:rsid w:val="00E21056"/>
    <w:rsid w:val="00E23C65"/>
    <w:rsid w:val="00E240F1"/>
    <w:rsid w:val="00E24104"/>
    <w:rsid w:val="00E302D0"/>
    <w:rsid w:val="00E3125D"/>
    <w:rsid w:val="00E32832"/>
    <w:rsid w:val="00E348B2"/>
    <w:rsid w:val="00E35707"/>
    <w:rsid w:val="00E36A87"/>
    <w:rsid w:val="00E36AA1"/>
    <w:rsid w:val="00E36B1C"/>
    <w:rsid w:val="00E3798E"/>
    <w:rsid w:val="00E41ECB"/>
    <w:rsid w:val="00E42676"/>
    <w:rsid w:val="00E5002C"/>
    <w:rsid w:val="00E542A2"/>
    <w:rsid w:val="00E54FDB"/>
    <w:rsid w:val="00E5617D"/>
    <w:rsid w:val="00E563D7"/>
    <w:rsid w:val="00E57221"/>
    <w:rsid w:val="00E57F7D"/>
    <w:rsid w:val="00E61519"/>
    <w:rsid w:val="00E64D68"/>
    <w:rsid w:val="00E65939"/>
    <w:rsid w:val="00E663F4"/>
    <w:rsid w:val="00E666F2"/>
    <w:rsid w:val="00E66DD4"/>
    <w:rsid w:val="00E66E6F"/>
    <w:rsid w:val="00E70383"/>
    <w:rsid w:val="00E71872"/>
    <w:rsid w:val="00E733F2"/>
    <w:rsid w:val="00E735C7"/>
    <w:rsid w:val="00E7416E"/>
    <w:rsid w:val="00E748CC"/>
    <w:rsid w:val="00E75415"/>
    <w:rsid w:val="00E7718F"/>
    <w:rsid w:val="00E775B1"/>
    <w:rsid w:val="00E810A7"/>
    <w:rsid w:val="00E8152A"/>
    <w:rsid w:val="00E826FF"/>
    <w:rsid w:val="00E83A09"/>
    <w:rsid w:val="00E871C9"/>
    <w:rsid w:val="00E874E4"/>
    <w:rsid w:val="00E91668"/>
    <w:rsid w:val="00E931F6"/>
    <w:rsid w:val="00E93629"/>
    <w:rsid w:val="00E93B5C"/>
    <w:rsid w:val="00E94CEC"/>
    <w:rsid w:val="00E953FD"/>
    <w:rsid w:val="00EA04EF"/>
    <w:rsid w:val="00EA2192"/>
    <w:rsid w:val="00EA24D4"/>
    <w:rsid w:val="00EA332A"/>
    <w:rsid w:val="00EA33BF"/>
    <w:rsid w:val="00EA382C"/>
    <w:rsid w:val="00EA4F1A"/>
    <w:rsid w:val="00EA6C79"/>
    <w:rsid w:val="00EA6F19"/>
    <w:rsid w:val="00EA7A07"/>
    <w:rsid w:val="00EB1EBF"/>
    <w:rsid w:val="00EB7090"/>
    <w:rsid w:val="00EC1BBE"/>
    <w:rsid w:val="00EC2B68"/>
    <w:rsid w:val="00EC2D30"/>
    <w:rsid w:val="00EC3AEF"/>
    <w:rsid w:val="00EC55F9"/>
    <w:rsid w:val="00EC5CD7"/>
    <w:rsid w:val="00ED1AFE"/>
    <w:rsid w:val="00ED2B7A"/>
    <w:rsid w:val="00EE0B18"/>
    <w:rsid w:val="00EE1799"/>
    <w:rsid w:val="00EE5FB3"/>
    <w:rsid w:val="00EE7F79"/>
    <w:rsid w:val="00EF242D"/>
    <w:rsid w:val="00EF347F"/>
    <w:rsid w:val="00EF5651"/>
    <w:rsid w:val="00EF715A"/>
    <w:rsid w:val="00F02D49"/>
    <w:rsid w:val="00F04005"/>
    <w:rsid w:val="00F06E14"/>
    <w:rsid w:val="00F07156"/>
    <w:rsid w:val="00F13466"/>
    <w:rsid w:val="00F13B0A"/>
    <w:rsid w:val="00F15B12"/>
    <w:rsid w:val="00F1784E"/>
    <w:rsid w:val="00F179D4"/>
    <w:rsid w:val="00F22A23"/>
    <w:rsid w:val="00F22CA3"/>
    <w:rsid w:val="00F24448"/>
    <w:rsid w:val="00F271B8"/>
    <w:rsid w:val="00F30109"/>
    <w:rsid w:val="00F3069E"/>
    <w:rsid w:val="00F320CC"/>
    <w:rsid w:val="00F32459"/>
    <w:rsid w:val="00F32B08"/>
    <w:rsid w:val="00F33359"/>
    <w:rsid w:val="00F33C56"/>
    <w:rsid w:val="00F347C7"/>
    <w:rsid w:val="00F34848"/>
    <w:rsid w:val="00F34EBC"/>
    <w:rsid w:val="00F36467"/>
    <w:rsid w:val="00F37258"/>
    <w:rsid w:val="00F40970"/>
    <w:rsid w:val="00F422C3"/>
    <w:rsid w:val="00F42D46"/>
    <w:rsid w:val="00F42FB4"/>
    <w:rsid w:val="00F44266"/>
    <w:rsid w:val="00F4496C"/>
    <w:rsid w:val="00F44F3A"/>
    <w:rsid w:val="00F4665C"/>
    <w:rsid w:val="00F51F10"/>
    <w:rsid w:val="00F526B9"/>
    <w:rsid w:val="00F5284E"/>
    <w:rsid w:val="00F529A5"/>
    <w:rsid w:val="00F5310D"/>
    <w:rsid w:val="00F559C6"/>
    <w:rsid w:val="00F563B4"/>
    <w:rsid w:val="00F56E16"/>
    <w:rsid w:val="00F57285"/>
    <w:rsid w:val="00F5756B"/>
    <w:rsid w:val="00F60F00"/>
    <w:rsid w:val="00F614C0"/>
    <w:rsid w:val="00F656C8"/>
    <w:rsid w:val="00F70DBF"/>
    <w:rsid w:val="00F72C2E"/>
    <w:rsid w:val="00F819F1"/>
    <w:rsid w:val="00F83848"/>
    <w:rsid w:val="00F85958"/>
    <w:rsid w:val="00F85E56"/>
    <w:rsid w:val="00F91FD5"/>
    <w:rsid w:val="00F920C8"/>
    <w:rsid w:val="00F92CFA"/>
    <w:rsid w:val="00F94071"/>
    <w:rsid w:val="00F96FCE"/>
    <w:rsid w:val="00F975E9"/>
    <w:rsid w:val="00F97E62"/>
    <w:rsid w:val="00FA1B7D"/>
    <w:rsid w:val="00FA4D88"/>
    <w:rsid w:val="00FB39F5"/>
    <w:rsid w:val="00FB68A8"/>
    <w:rsid w:val="00FC017B"/>
    <w:rsid w:val="00FC04C3"/>
    <w:rsid w:val="00FC07B9"/>
    <w:rsid w:val="00FC1E93"/>
    <w:rsid w:val="00FC3E3D"/>
    <w:rsid w:val="00FC4E21"/>
    <w:rsid w:val="00FC5F6D"/>
    <w:rsid w:val="00FD0107"/>
    <w:rsid w:val="00FD2787"/>
    <w:rsid w:val="00FD2C2F"/>
    <w:rsid w:val="00FD3B31"/>
    <w:rsid w:val="00FD6196"/>
    <w:rsid w:val="00FE1823"/>
    <w:rsid w:val="00FE3CAB"/>
    <w:rsid w:val="00FE487A"/>
    <w:rsid w:val="00FE4B16"/>
    <w:rsid w:val="00FE5600"/>
    <w:rsid w:val="00FF0569"/>
    <w:rsid w:val="00FF1808"/>
    <w:rsid w:val="00FF1A34"/>
    <w:rsid w:val="00FF206E"/>
    <w:rsid w:val="00FF274F"/>
    <w:rsid w:val="00FF2C92"/>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6456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link w:val="ListBulletChar"/>
    <w:uiPriority w:val="99"/>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ReportTitle">
    <w:name w:val="ACMA_ReportTitle"/>
    <w:basedOn w:val="Normal"/>
    <w:qFormat/>
    <w:rsid w:val="007A3E47"/>
    <w:pPr>
      <w:spacing w:after="0" w:line="560" w:lineRule="exact"/>
    </w:pPr>
    <w:rPr>
      <w:b/>
      <w:spacing w:val="-28"/>
      <w:sz w:val="53"/>
    </w:rPr>
  </w:style>
  <w:style w:type="paragraph" w:customStyle="1" w:styleId="ACMAReportSubTitle">
    <w:name w:val="ACMA_ReportSubTitle"/>
    <w:basedOn w:val="Normal"/>
    <w:qFormat/>
    <w:rsid w:val="007A3E47"/>
    <w:pPr>
      <w:spacing w:after="200" w:line="560" w:lineRule="exact"/>
    </w:pPr>
    <w:rPr>
      <w:color w:val="323232"/>
      <w:spacing w:val="-28"/>
      <w:sz w:val="53"/>
    </w:rPr>
  </w:style>
  <w:style w:type="paragraph" w:styleId="ListParagraph">
    <w:name w:val="List Paragraph"/>
    <w:basedOn w:val="Normal"/>
    <w:uiPriority w:val="34"/>
    <w:qFormat/>
    <w:rsid w:val="007A3E47"/>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7A3E47"/>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7A3E47"/>
    <w:rPr>
      <w:snapToGrid w:val="0"/>
      <w:szCs w:val="20"/>
      <w:lang w:eastAsia="en-US"/>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7A3E47"/>
    <w:rPr>
      <w:rFonts w:ascii="Arial" w:hAnsi="Arial"/>
      <w:sz w:val="16"/>
      <w:szCs w:val="16"/>
    </w:rPr>
  </w:style>
  <w:style w:type="character" w:customStyle="1" w:styleId="ListBulletChar">
    <w:name w:val="List Bullet Char"/>
    <w:aliases w:val="List Bullet 1 Char"/>
    <w:basedOn w:val="DefaultParagraphFont"/>
    <w:link w:val="ListBullet"/>
    <w:rsid w:val="00A4175D"/>
    <w:rPr>
      <w:rFonts w:ascii="Arial" w:hAnsi="Arial"/>
      <w:sz w:val="20"/>
    </w:rPr>
  </w:style>
  <w:style w:type="paragraph" w:customStyle="1" w:styleId="TableHeading0">
    <w:name w:val="Table Heading"/>
    <w:basedOn w:val="Normal"/>
    <w:qFormat/>
    <w:rsid w:val="00E542A2"/>
    <w:pPr>
      <w:spacing w:after="0"/>
    </w:pPr>
    <w:rPr>
      <w:b/>
    </w:rPr>
  </w:style>
  <w:style w:type="paragraph" w:styleId="NormalWeb">
    <w:name w:val="Normal (Web)"/>
    <w:basedOn w:val="Normal"/>
    <w:uiPriority w:val="99"/>
    <w:unhideWhenUsed/>
    <w:rsid w:val="004F1B5D"/>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8F4895"/>
    <w:rPr>
      <w:color w:val="2B579A"/>
      <w:shd w:val="clear" w:color="auto" w:fill="E1DFDD"/>
    </w:rPr>
  </w:style>
  <w:style w:type="paragraph" w:styleId="Revision">
    <w:name w:val="Revision"/>
    <w:hidden/>
    <w:semiHidden/>
    <w:rsid w:val="00E5002C"/>
    <w:rPr>
      <w:rFonts w:ascii="Arial" w:hAnsi="Arial"/>
      <w:sz w:val="20"/>
    </w:rPr>
  </w:style>
  <w:style w:type="paragraph" w:customStyle="1" w:styleId="TAN">
    <w:name w:val="TAN"/>
    <w:basedOn w:val="Normal"/>
    <w:link w:val="TANChar"/>
    <w:qFormat/>
    <w:rsid w:val="00171EF7"/>
    <w:pPr>
      <w:keepNext/>
      <w:keepLines/>
      <w:spacing w:after="0" w:line="240" w:lineRule="auto"/>
      <w:ind w:left="851" w:hanging="851"/>
    </w:pPr>
    <w:rPr>
      <w:sz w:val="18"/>
      <w:szCs w:val="20"/>
      <w:lang w:val="en-GB" w:eastAsia="en-US"/>
    </w:rPr>
  </w:style>
  <w:style w:type="character" w:customStyle="1" w:styleId="TANChar">
    <w:name w:val="TAN Char"/>
    <w:link w:val="TAN"/>
    <w:qFormat/>
    <w:rsid w:val="00171EF7"/>
    <w:rPr>
      <w:rFonts w:ascii="Arial" w:hAnsi="Arial"/>
      <w:sz w:val="18"/>
      <w:szCs w:val="20"/>
      <w:lang w:val="en-GB" w:eastAsia="en-US"/>
    </w:rPr>
  </w:style>
  <w:style w:type="paragraph" w:customStyle="1" w:styleId="TAH">
    <w:name w:val="TAH"/>
    <w:basedOn w:val="Normal"/>
    <w:link w:val="TAHCar"/>
    <w:uiPriority w:val="99"/>
    <w:qFormat/>
    <w:rsid w:val="00C4316D"/>
    <w:pPr>
      <w:keepNext/>
      <w:keepLines/>
      <w:spacing w:after="0" w:line="240" w:lineRule="auto"/>
      <w:jc w:val="center"/>
    </w:pPr>
    <w:rPr>
      <w:rFonts w:eastAsiaTheme="minorEastAsia"/>
      <w:b/>
      <w:sz w:val="18"/>
      <w:szCs w:val="20"/>
      <w:lang w:val="en-GB" w:eastAsia="en-US"/>
    </w:rPr>
  </w:style>
  <w:style w:type="character" w:customStyle="1" w:styleId="TAHCar">
    <w:name w:val="TAH Car"/>
    <w:link w:val="TAH"/>
    <w:uiPriority w:val="99"/>
    <w:qFormat/>
    <w:rsid w:val="00C4316D"/>
    <w:rPr>
      <w:rFonts w:ascii="Arial" w:eastAsiaTheme="minorEastAsia" w:hAnsi="Arial"/>
      <w:b/>
      <w:sz w:val="18"/>
      <w:szCs w:val="20"/>
      <w:lang w:val="en-GB" w:eastAsia="en-US"/>
    </w:rPr>
  </w:style>
  <w:style w:type="paragraph" w:customStyle="1" w:styleId="TH">
    <w:name w:val="TH"/>
    <w:basedOn w:val="Normal"/>
    <w:link w:val="THChar"/>
    <w:qFormat/>
    <w:rsid w:val="00C4316D"/>
    <w:pPr>
      <w:keepNext/>
      <w:keepLines/>
      <w:spacing w:before="60" w:after="180" w:line="240" w:lineRule="auto"/>
      <w:jc w:val="center"/>
    </w:pPr>
    <w:rPr>
      <w:rFonts w:eastAsiaTheme="minorEastAsia"/>
      <w:b/>
      <w:szCs w:val="20"/>
      <w:lang w:val="en-GB" w:eastAsia="en-US"/>
    </w:rPr>
  </w:style>
  <w:style w:type="character" w:customStyle="1" w:styleId="THChar">
    <w:name w:val="TH Char"/>
    <w:link w:val="TH"/>
    <w:qFormat/>
    <w:rsid w:val="00C4316D"/>
    <w:rPr>
      <w:rFonts w:ascii="Arial" w:eastAsiaTheme="minorEastAsia" w:hAnsi="Arial"/>
      <w:b/>
      <w:sz w:val="20"/>
      <w:szCs w:val="20"/>
      <w:lang w:val="en-GB" w:eastAsia="en-US"/>
    </w:rPr>
  </w:style>
  <w:style w:type="paragraph" w:customStyle="1" w:styleId="TAC">
    <w:name w:val="TAC"/>
    <w:basedOn w:val="Normal"/>
    <w:link w:val="TACChar"/>
    <w:qFormat/>
    <w:rsid w:val="005E7B11"/>
    <w:pPr>
      <w:keepNext/>
      <w:keepLines/>
      <w:spacing w:after="0" w:line="240" w:lineRule="auto"/>
      <w:jc w:val="center"/>
    </w:pPr>
    <w:rPr>
      <w:sz w:val="18"/>
      <w:szCs w:val="20"/>
      <w:lang w:val="en-GB" w:eastAsia="en-US"/>
    </w:rPr>
  </w:style>
  <w:style w:type="character" w:customStyle="1" w:styleId="TACChar">
    <w:name w:val="TAC Char"/>
    <w:link w:val="TAC"/>
    <w:qFormat/>
    <w:rsid w:val="005E7B11"/>
    <w:rPr>
      <w:rFonts w:ascii="Arial" w:hAnsi="Arial"/>
      <w:sz w:val="18"/>
      <w:szCs w:val="20"/>
      <w:lang w:val="en-GB" w:eastAsia="en-US"/>
    </w:rPr>
  </w:style>
  <w:style w:type="paragraph" w:customStyle="1" w:styleId="subsection">
    <w:name w:val="subsection"/>
    <w:aliases w:val="ss,Subsection"/>
    <w:basedOn w:val="Normal"/>
    <w:link w:val="subsectionChar"/>
    <w:rsid w:val="005A56AD"/>
    <w:pPr>
      <w:tabs>
        <w:tab w:val="right" w:pos="1021"/>
      </w:tabs>
      <w:spacing w:before="180" w:after="0" w:line="240" w:lineRule="auto"/>
      <w:ind w:left="1134" w:hanging="1134"/>
    </w:pPr>
    <w:rPr>
      <w:rFonts w:ascii="Times New Roman" w:hAnsi="Times New Roman"/>
      <w:sz w:val="22"/>
      <w:szCs w:val="20"/>
    </w:rPr>
  </w:style>
  <w:style w:type="character" w:customStyle="1" w:styleId="subsectionChar">
    <w:name w:val="subsection Char"/>
    <w:aliases w:val="ss Char"/>
    <w:basedOn w:val="DefaultParagraphFont"/>
    <w:link w:val="subsection"/>
    <w:locked/>
    <w:rsid w:val="005A56AD"/>
    <w:rPr>
      <w:sz w:val="22"/>
      <w:szCs w:val="20"/>
    </w:rPr>
  </w:style>
  <w:style w:type="paragraph" w:customStyle="1" w:styleId="paragraph0">
    <w:name w:val="paragraph"/>
    <w:aliases w:val="a,indent(a)"/>
    <w:basedOn w:val="Normal"/>
    <w:link w:val="paragraphChar"/>
    <w:rsid w:val="005A56AD"/>
    <w:pPr>
      <w:tabs>
        <w:tab w:val="right" w:pos="1531"/>
      </w:tabs>
      <w:spacing w:before="40" w:after="0" w:line="240" w:lineRule="auto"/>
      <w:ind w:left="1644" w:hanging="1644"/>
    </w:pPr>
    <w:rPr>
      <w:rFonts w:ascii="Times New Roman" w:hAnsi="Times New Roman"/>
      <w:sz w:val="22"/>
      <w:szCs w:val="20"/>
    </w:rPr>
  </w:style>
  <w:style w:type="paragraph" w:customStyle="1" w:styleId="ItemHead">
    <w:name w:val="ItemHead"/>
    <w:aliases w:val="ih"/>
    <w:basedOn w:val="Normal"/>
    <w:next w:val="Normal"/>
    <w:rsid w:val="005A56AD"/>
    <w:pPr>
      <w:keepNext/>
      <w:keepLines/>
      <w:spacing w:before="220" w:after="0" w:line="240" w:lineRule="auto"/>
      <w:ind w:left="709" w:hanging="709"/>
    </w:pPr>
    <w:rPr>
      <w:b/>
      <w:kern w:val="28"/>
      <w:sz w:val="24"/>
      <w:szCs w:val="20"/>
    </w:rPr>
  </w:style>
  <w:style w:type="character" w:customStyle="1" w:styleId="paragraphChar">
    <w:name w:val="paragraph Char"/>
    <w:aliases w:val="a Char"/>
    <w:link w:val="paragraph0"/>
    <w:locked/>
    <w:rsid w:val="005A56AD"/>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6638">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669254977">
      <w:bodyDiv w:val="1"/>
      <w:marLeft w:val="0"/>
      <w:marRight w:val="0"/>
      <w:marTop w:val="0"/>
      <w:marBottom w:val="0"/>
      <w:divBdr>
        <w:top w:val="none" w:sz="0" w:space="0" w:color="auto"/>
        <w:left w:val="none" w:sz="0" w:space="0" w:color="auto"/>
        <w:bottom w:val="none" w:sz="0" w:space="0" w:color="auto"/>
        <w:right w:val="none" w:sz="0" w:space="0" w:color="auto"/>
      </w:divBdr>
    </w:div>
    <w:div w:id="123531795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84392157">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ites/default/files/2019-12/The%20ACMAs%20long-term%20strategy%20for%20the%20803960%20MHz%20band_decision%20paper.docx" TargetMode="External"/><Relationship Id="rId39" Type="http://schemas.openxmlformats.org/officeDocument/2006/relationships/hyperlink" Target="http://www.comlaw.gov.au/Details/F2012L01775"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acma.gov.au/theACMA/Library/Industry-library/Spectrum/know-your-obligationshelp-for-spectrum-licensees" TargetMode="External"/><Relationship Id="rId42" Type="http://schemas.openxmlformats.org/officeDocument/2006/relationships/header" Target="header7.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803-960-mhz-overview" TargetMode="External"/><Relationship Id="rId33" Type="http://schemas.openxmlformats.org/officeDocument/2006/relationships/hyperlink" Target="https://www.legislation.gov.au/Details/F2018C00564" TargetMode="External"/><Relationship Id="rId38" Type="http://schemas.openxmlformats.org/officeDocument/2006/relationships/hyperlink" Target="https://web.acma.gov.au/rrl/licence_image.extract_pdf?pLICENCE_NO=9263429" TargetMode="External"/><Relationship Id="rId46"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2019-11/rules/rali-ms-40-800-mhz-band-plan" TargetMode="External"/><Relationship Id="rId41" Type="http://schemas.openxmlformats.org/officeDocument/2006/relationships/hyperlink" Target="https://www.acma.gov.au/sites/default/files/2019-12/The%20ACMAs%20long-term%20strategy%20for%20the%20803960%20MHz%20band_decision%20paper.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803-960-mhz-overview" TargetMode="External"/><Relationship Id="rId32" Type="http://schemas.openxmlformats.org/officeDocument/2006/relationships/hyperlink" Target="http://www.comlaw.gov.au/Details/F2012L01774" TargetMode="External"/><Relationship Id="rId37" Type="http://schemas.openxmlformats.org/officeDocument/2006/relationships/image" Target="media/image5.png"/><Relationship Id="rId40" Type="http://schemas.openxmlformats.org/officeDocument/2006/relationships/hyperlink" Target="http://www.comlaw.gov.au/Details/F2012L01774"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800-mhz-technical-framework" TargetMode="External"/><Relationship Id="rId36"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comlaw.gov.au/Details/F2012L01775"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minister.infrastructure.gov.au/fletcher/media-release/2021-will-be-year-5g" TargetMode="External"/><Relationship Id="rId30" Type="http://schemas.openxmlformats.org/officeDocument/2006/relationships/hyperlink" Target="https://www.acma.gov.au/800-mhz-technical-framework" TargetMode="External"/><Relationship Id="rId35" Type="http://schemas.openxmlformats.org/officeDocument/2006/relationships/hyperlink" Target="https://www.legislation.gov.au/Details/F2015C00469" TargetMode="External"/><Relationship Id="rId43" Type="http://schemas.openxmlformats.org/officeDocument/2006/relationships/header" Target="header8.xm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ma.gov.au/webwr/_assets/main/lib410188/australian_spectrum_map_grid_28feb201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F457-65BB-4584-A72A-8DF1BF00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9121</Words>
  <Characters>51995</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60995</CharactersWithSpaces>
  <SharedDoc>false</SharedDoc>
  <HyperlinkBase/>
  <HLinks>
    <vt:vector size="54" baseType="variant">
      <vt:variant>
        <vt:i4>8192032</vt:i4>
      </vt:variant>
      <vt:variant>
        <vt:i4>69</vt:i4>
      </vt:variant>
      <vt:variant>
        <vt:i4>0</vt:i4>
      </vt:variant>
      <vt:variant>
        <vt:i4>5</vt:i4>
      </vt:variant>
      <vt:variant>
        <vt:lpwstr>https://www.legislation.gov.au/Details/F2015C00469</vt:lpwstr>
      </vt:variant>
      <vt:variant>
        <vt:lpwstr/>
      </vt:variant>
      <vt:variant>
        <vt:i4>4849678</vt:i4>
      </vt:variant>
      <vt:variant>
        <vt:i4>66</vt:i4>
      </vt:variant>
      <vt:variant>
        <vt:i4>0</vt:i4>
      </vt:variant>
      <vt:variant>
        <vt:i4>5</vt:i4>
      </vt:variant>
      <vt:variant>
        <vt:lpwstr>http://www.acma.gov.au/theACMA/Library/Industry-library/Spectrum/know-your-obligationshelp-for-spectrum-licensees</vt:lpwstr>
      </vt:variant>
      <vt:variant>
        <vt:lpwstr/>
      </vt:variant>
      <vt:variant>
        <vt:i4>5963835</vt:i4>
      </vt:variant>
      <vt:variant>
        <vt:i4>63</vt:i4>
      </vt:variant>
      <vt:variant>
        <vt:i4>0</vt:i4>
      </vt:variant>
      <vt:variant>
        <vt:i4>5</vt:i4>
      </vt:variant>
      <vt:variant>
        <vt:lpwstr>https://www.acma.gov.au/sites/default/files/2019-12/The ACMAs long-term strategy for the 803960 MHz band_decision paper.docx</vt:lpwstr>
      </vt:variant>
      <vt:variant>
        <vt:lpwstr/>
      </vt:variant>
      <vt:variant>
        <vt:i4>4980826</vt:i4>
      </vt:variant>
      <vt:variant>
        <vt:i4>60</vt:i4>
      </vt:variant>
      <vt:variant>
        <vt:i4>0</vt:i4>
      </vt:variant>
      <vt:variant>
        <vt:i4>5</vt:i4>
      </vt:variant>
      <vt:variant>
        <vt:lpwstr>https://www.acma.gov.au/803-960-mhz-overview</vt:lpwstr>
      </vt:variant>
      <vt:variant>
        <vt:lpwstr/>
      </vt:variant>
      <vt:variant>
        <vt:i4>4980826</vt:i4>
      </vt:variant>
      <vt:variant>
        <vt:i4>57</vt:i4>
      </vt:variant>
      <vt:variant>
        <vt:i4>0</vt:i4>
      </vt:variant>
      <vt:variant>
        <vt:i4>5</vt:i4>
      </vt:variant>
      <vt:variant>
        <vt:lpwstr>https://www.acma.gov.au/803-960-mhz-overview</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327725</vt:i4>
      </vt:variant>
      <vt:variant>
        <vt:i4>0</vt:i4>
      </vt:variant>
      <vt:variant>
        <vt:i4>0</vt:i4>
      </vt:variant>
      <vt:variant>
        <vt:i4>5</vt:i4>
      </vt:variant>
      <vt:variant>
        <vt:lpwstr>http://www.acma.gov.au/webwr/_assets/main/lib410188/australian_spectrum_map_grid_28feb2012.docx</vt:lpwstr>
      </vt:variant>
      <vt:variant>
        <vt:lpwstr/>
      </vt:variant>
      <vt:variant>
        <vt:i4>2555933</vt:i4>
      </vt:variant>
      <vt:variant>
        <vt:i4>0</vt:i4>
      </vt:variant>
      <vt:variant>
        <vt:i4>0</vt:i4>
      </vt:variant>
      <vt:variant>
        <vt:i4>5</vt:i4>
      </vt:variant>
      <vt:variant>
        <vt:lpwstr>mailto:Christopher.Worley@acma.gov.au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2021-05-21T06:05:00Z</dcterms:created>
  <dcterms:modified xsi:type="dcterms:W3CDTF">2021-05-21T06:06:00Z</dcterms:modified>
  <cp:category/>
</cp:coreProperties>
</file>