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FB08B4" w14:textId="48157995" w:rsidR="00390997" w:rsidRDefault="00390997" w:rsidP="00390997">
      <w:pPr>
        <w:pStyle w:val="ACMALinecover"/>
        <w:pBdr>
          <w:bottom w:val="none" w:sz="0" w:space="0" w:color="auto"/>
        </w:pBdr>
        <w:rPr>
          <w:rFonts w:ascii="Arial" w:hAnsi="Arial"/>
        </w:rPr>
      </w:pPr>
      <w:r>
        <w:rPr>
          <w:noProof/>
        </w:rPr>
        <w:drawing>
          <wp:inline distT="0" distB="0" distL="0" distR="0" wp14:anchorId="0F39D05C" wp14:editId="7BFE13D2">
            <wp:extent cx="1724025" cy="342900"/>
            <wp:effectExtent l="0" t="0" r="9525" b="0"/>
            <wp:docPr id="6" name="Picture 6" descr="Graphic saying Market analy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 saying Market analysis"/>
                    <pic:cNvPicPr/>
                  </pic:nvPicPr>
                  <pic:blipFill>
                    <a:blip r:embed="rId8">
                      <a:extLst>
                        <a:ext uri="{28A0092B-C50C-407E-A947-70E740481C1C}">
                          <a14:useLocalDpi xmlns:a14="http://schemas.microsoft.com/office/drawing/2010/main" val="0"/>
                        </a:ext>
                      </a:extLst>
                    </a:blip>
                    <a:stretch>
                      <a:fillRect/>
                    </a:stretch>
                  </pic:blipFill>
                  <pic:spPr>
                    <a:xfrm>
                      <a:off x="0" y="0"/>
                      <a:ext cx="1724025" cy="342900"/>
                    </a:xfrm>
                    <a:prstGeom prst="rect">
                      <a:avLst/>
                    </a:prstGeom>
                  </pic:spPr>
                </pic:pic>
              </a:graphicData>
            </a:graphic>
          </wp:inline>
        </w:drawing>
      </w:r>
    </w:p>
    <w:p w14:paraId="376CCC07" w14:textId="77777777" w:rsidR="00BB7E5C" w:rsidRPr="009D2B71" w:rsidRDefault="00BB7E5C" w:rsidP="00BB7E5C">
      <w:pPr>
        <w:pStyle w:val="Reporttitle"/>
      </w:pPr>
      <w:r w:rsidRPr="009D2B71">
        <w:t>Market study</w:t>
      </w:r>
    </w:p>
    <w:p w14:paraId="63DBF964" w14:textId="77777777" w:rsidR="00BB7E5C" w:rsidRPr="00890B41" w:rsidRDefault="00BB7E5C" w:rsidP="00BB7E5C">
      <w:pPr>
        <w:pStyle w:val="Reportsubtitle"/>
      </w:pPr>
      <w:r w:rsidRPr="00890B41">
        <w:t xml:space="preserve">Australian </w:t>
      </w:r>
      <w:r>
        <w:t>space sector</w:t>
      </w:r>
    </w:p>
    <w:p w14:paraId="38AD8B8D" w14:textId="050DC6D8" w:rsidR="00BB7E5C" w:rsidRDefault="000C405E" w:rsidP="00390997">
      <w:pPr>
        <w:pStyle w:val="Reportdate"/>
        <w:spacing w:after="240"/>
      </w:pPr>
      <w:r>
        <w:t>APRIL</w:t>
      </w:r>
      <w:r w:rsidRPr="009D2B71">
        <w:t xml:space="preserve"> </w:t>
      </w:r>
      <w:r w:rsidR="00BB7E5C" w:rsidRPr="009D2B71">
        <w:t>202</w:t>
      </w:r>
      <w:r w:rsidR="00BB7E5C">
        <w:t>1</w:t>
      </w:r>
    </w:p>
    <w:p w14:paraId="54F99DD3" w14:textId="37B01CDB" w:rsidR="00390997" w:rsidRDefault="00390997" w:rsidP="00BB7E5C">
      <w:pPr>
        <w:pStyle w:val="Reportdate"/>
        <w:rPr>
          <w:rFonts w:cs="Arial"/>
        </w:rPr>
      </w:pPr>
    </w:p>
    <w:p w14:paraId="08FB4ACC" w14:textId="789C681E" w:rsidR="00BB7E5C" w:rsidRPr="009D2B71" w:rsidRDefault="00BB7E5C" w:rsidP="00BB7E5C">
      <w:pPr>
        <w:pStyle w:val="Reportdate"/>
        <w:rPr>
          <w:rFonts w:cs="Arial"/>
        </w:rPr>
        <w:sectPr w:rsidR="00BB7E5C" w:rsidRPr="009D2B71" w:rsidSect="005E250B">
          <w:headerReference w:type="even" r:id="rId9"/>
          <w:headerReference w:type="default" r:id="rId10"/>
          <w:footerReference w:type="even" r:id="rId11"/>
          <w:footerReference w:type="default" r:id="rId12"/>
          <w:headerReference w:type="first" r:id="rId13"/>
          <w:pgSz w:w="11906" w:h="16838" w:code="9"/>
          <w:pgMar w:top="3924" w:right="992" w:bottom="1440" w:left="1134" w:header="709" w:footer="454" w:gutter="0"/>
          <w:cols w:space="708"/>
          <w:docGrid w:linePitch="360"/>
        </w:sectPr>
      </w:pPr>
    </w:p>
    <w:p w14:paraId="41EC4714" w14:textId="77777777" w:rsidR="00284A74" w:rsidRPr="00702EA1" w:rsidRDefault="00284A74" w:rsidP="00284A74">
      <w:pPr>
        <w:pStyle w:val="ACMACorporateAddressHeader"/>
      </w:pPr>
      <w:r w:rsidRPr="00702EA1">
        <w:lastRenderedPageBreak/>
        <w:t>Canberra</w:t>
      </w:r>
    </w:p>
    <w:p w14:paraId="206F96C5" w14:textId="77777777" w:rsidR="00284A74" w:rsidRPr="00702EA1" w:rsidRDefault="00284A74" w:rsidP="00284A74">
      <w:pPr>
        <w:pStyle w:val="ACMACorporateAddresses"/>
      </w:pPr>
      <w:r w:rsidRPr="00702EA1">
        <w:t xml:space="preserve">Red Building </w:t>
      </w:r>
      <w:r w:rsidRPr="00702EA1">
        <w:br/>
        <w:t>Benjamin Offices</w:t>
      </w:r>
      <w:r w:rsidRPr="00702EA1">
        <w:br/>
        <w:t xml:space="preserve">Chan Street </w:t>
      </w:r>
      <w:r w:rsidRPr="00702EA1">
        <w:br/>
        <w:t>Belconnen ACT</w:t>
      </w:r>
    </w:p>
    <w:p w14:paraId="73F7C87F" w14:textId="77777777" w:rsidR="00284A74" w:rsidRPr="00702EA1" w:rsidRDefault="00284A74" w:rsidP="00284A74">
      <w:pPr>
        <w:pStyle w:val="ACMACorporateAddresses"/>
      </w:pPr>
      <w:r w:rsidRPr="00702EA1">
        <w:t>PO Box 78</w:t>
      </w:r>
      <w:r w:rsidRPr="00702EA1">
        <w:br/>
        <w:t>Belconnen ACT 2616</w:t>
      </w:r>
    </w:p>
    <w:p w14:paraId="03D3B48A" w14:textId="77777777" w:rsidR="00284A74" w:rsidRPr="00702EA1" w:rsidRDefault="00284A74" w:rsidP="00284A74">
      <w:pPr>
        <w:pStyle w:val="ACMACorporateAddresses"/>
      </w:pPr>
      <w:r w:rsidRPr="00702EA1">
        <w:t>T</w:t>
      </w:r>
      <w:r w:rsidRPr="00702EA1">
        <w:tab/>
        <w:t>+61 2 6219 5555</w:t>
      </w:r>
      <w:r w:rsidRPr="00702EA1">
        <w:br/>
        <w:t>F</w:t>
      </w:r>
      <w:r w:rsidRPr="00702EA1">
        <w:tab/>
        <w:t>+61 2 6219 5353</w:t>
      </w:r>
    </w:p>
    <w:p w14:paraId="6BC1C41C" w14:textId="77777777" w:rsidR="00284A74" w:rsidRPr="00702EA1" w:rsidRDefault="00284A74" w:rsidP="00284A74">
      <w:pPr>
        <w:pStyle w:val="ACMACorporateAddressHeader"/>
      </w:pPr>
      <w:r w:rsidRPr="00702EA1">
        <w:t>Melbourne</w:t>
      </w:r>
    </w:p>
    <w:p w14:paraId="038D45EF" w14:textId="77777777" w:rsidR="00284A74" w:rsidRPr="00702EA1" w:rsidRDefault="00284A74" w:rsidP="00284A74">
      <w:pPr>
        <w:pStyle w:val="ACMACorporateAddresses"/>
      </w:pPr>
      <w:r w:rsidRPr="00702EA1">
        <w:t xml:space="preserve">Level 32 </w:t>
      </w:r>
      <w:r w:rsidRPr="00702EA1">
        <w:br/>
        <w:t>Melbourne Central Tower</w:t>
      </w:r>
      <w:r w:rsidRPr="00702EA1">
        <w:br/>
        <w:t xml:space="preserve">360 Elizabeth Street </w:t>
      </w:r>
      <w:r w:rsidRPr="00702EA1">
        <w:br/>
        <w:t>Melbourne VIC</w:t>
      </w:r>
    </w:p>
    <w:p w14:paraId="5DC09AB1" w14:textId="77777777" w:rsidR="00284A74" w:rsidRPr="00702EA1" w:rsidRDefault="00284A74" w:rsidP="00284A74">
      <w:pPr>
        <w:pStyle w:val="ACMACorporateAddresses"/>
      </w:pPr>
      <w:r w:rsidRPr="00702EA1">
        <w:t>PO Box 13112</w:t>
      </w:r>
      <w:r w:rsidRPr="00702EA1">
        <w:br/>
        <w:t xml:space="preserve">Law Courts </w:t>
      </w:r>
      <w:r w:rsidRPr="00702EA1">
        <w:br/>
        <w:t>Melbourne VIC 8010</w:t>
      </w:r>
    </w:p>
    <w:p w14:paraId="40FB7355" w14:textId="77777777" w:rsidR="00284A74" w:rsidRPr="00702EA1" w:rsidRDefault="00284A74" w:rsidP="00284A74">
      <w:pPr>
        <w:pStyle w:val="ACMACorporateAddresses"/>
      </w:pPr>
      <w:r w:rsidRPr="00702EA1">
        <w:t>T</w:t>
      </w:r>
      <w:r w:rsidRPr="00702EA1">
        <w:tab/>
        <w:t>+61 3 9963 6800</w:t>
      </w:r>
      <w:r w:rsidRPr="00702EA1">
        <w:br/>
        <w:t>F</w:t>
      </w:r>
      <w:r w:rsidRPr="00702EA1">
        <w:tab/>
        <w:t>+61 3 9963 6899</w:t>
      </w:r>
    </w:p>
    <w:p w14:paraId="09846776" w14:textId="77777777" w:rsidR="00284A74" w:rsidRPr="00702EA1" w:rsidRDefault="00284A74" w:rsidP="00284A74">
      <w:pPr>
        <w:pStyle w:val="ACMACorporateAddressHeader"/>
      </w:pPr>
      <w:r w:rsidRPr="00702EA1">
        <w:t>Sydney</w:t>
      </w:r>
    </w:p>
    <w:p w14:paraId="3781DCB4" w14:textId="77777777" w:rsidR="00284A74" w:rsidRPr="00702EA1" w:rsidRDefault="00284A74" w:rsidP="00284A74">
      <w:pPr>
        <w:pStyle w:val="ACMACorporateAddresses"/>
      </w:pPr>
      <w:r w:rsidRPr="00702EA1">
        <w:t xml:space="preserve">Level 5 </w:t>
      </w:r>
      <w:r w:rsidRPr="00702EA1">
        <w:br/>
        <w:t>The Bay Centre</w:t>
      </w:r>
      <w:r w:rsidRPr="00702EA1">
        <w:br/>
        <w:t xml:space="preserve">65 Pirrama Road </w:t>
      </w:r>
      <w:r w:rsidRPr="00702EA1">
        <w:br/>
        <w:t>Pyrmont NSW</w:t>
      </w:r>
    </w:p>
    <w:p w14:paraId="0BFCC022" w14:textId="77777777" w:rsidR="00284A74" w:rsidRPr="00702EA1" w:rsidRDefault="00284A74" w:rsidP="00284A74">
      <w:pPr>
        <w:pStyle w:val="ACMACorporateAddresses"/>
      </w:pPr>
      <w:r w:rsidRPr="00702EA1">
        <w:t>PO Box Q500</w:t>
      </w:r>
      <w:r w:rsidRPr="00702EA1">
        <w:br/>
        <w:t xml:space="preserve">Queen Victoria Building </w:t>
      </w:r>
      <w:r w:rsidRPr="00702EA1">
        <w:br/>
        <w:t>NSW 1230</w:t>
      </w:r>
    </w:p>
    <w:p w14:paraId="7A638A8D" w14:textId="77777777" w:rsidR="00284A74" w:rsidRPr="00702EA1" w:rsidRDefault="00284A74" w:rsidP="00284A74">
      <w:pPr>
        <w:pStyle w:val="ACMACorporateAddresses"/>
      </w:pPr>
      <w:r w:rsidRPr="00702EA1">
        <w:t>T</w:t>
      </w:r>
      <w:r w:rsidRPr="00702EA1">
        <w:tab/>
        <w:t>+61 2 9334 7700</w:t>
      </w:r>
      <w:r w:rsidRPr="00702EA1">
        <w:br/>
        <w:t>F</w:t>
      </w:r>
      <w:r w:rsidRPr="00702EA1">
        <w:tab/>
        <w:t>+61 2 9334 7799</w:t>
      </w:r>
    </w:p>
    <w:p w14:paraId="57C737E3" w14:textId="77777777" w:rsidR="00284A74" w:rsidRPr="00702EA1" w:rsidRDefault="00284A74" w:rsidP="00284A74">
      <w:pPr>
        <w:pStyle w:val="ACMACopyrightHeader"/>
      </w:pPr>
      <w:r w:rsidRPr="00702EA1">
        <w:t>Copyright notice</w:t>
      </w:r>
    </w:p>
    <w:p w14:paraId="10B7D244" w14:textId="77777777" w:rsidR="00284A74" w:rsidRPr="00702EA1" w:rsidRDefault="00284A74" w:rsidP="00284A74">
      <w:pPr>
        <w:pStyle w:val="ACMACClogo"/>
      </w:pPr>
      <w:r>
        <w:rPr>
          <w:noProof/>
        </w:rPr>
        <w:drawing>
          <wp:inline distT="0" distB="0" distL="0" distR="0" wp14:anchorId="4F3B0FFF" wp14:editId="72ED1ADC">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5">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770A2329" w14:textId="77777777" w:rsidR="00284A74" w:rsidRPr="00702EA1" w:rsidRDefault="007268D3" w:rsidP="00284A74">
      <w:pPr>
        <w:pStyle w:val="ACMACorporateAddresses"/>
        <w:rPr>
          <w:rStyle w:val="Hyperlink"/>
        </w:rPr>
      </w:pPr>
      <w:hyperlink r:id="rId16" w:history="1">
        <w:r w:rsidR="00284A74" w:rsidRPr="00702EA1">
          <w:rPr>
            <w:rStyle w:val="Hyperlink"/>
          </w:rPr>
          <w:t>https://creativecommons.org/licenses/by/4.0/</w:t>
        </w:r>
      </w:hyperlink>
    </w:p>
    <w:p w14:paraId="5AF3DF64" w14:textId="77777777" w:rsidR="00284A74" w:rsidRPr="00702EA1" w:rsidRDefault="00284A74" w:rsidP="00284A74">
      <w:pPr>
        <w:pStyle w:val="ACMACorporateAddresses"/>
      </w:pPr>
      <w:r w:rsidRPr="00702EA1">
        <w:t xml:space="preserve">With the exception of coats of arms, logos, emblems, images, other third-party material or devices protected by a trademark, this content is made available under the terms of the Creative Commons Attribution 4.0 International (CC BY 4.0) licence. </w:t>
      </w:r>
    </w:p>
    <w:p w14:paraId="58CDF723" w14:textId="77777777" w:rsidR="00284A74" w:rsidRPr="00702EA1" w:rsidRDefault="00284A74" w:rsidP="00284A74">
      <w:pPr>
        <w:pStyle w:val="ACMACorporateAddresses"/>
      </w:pPr>
      <w:r w:rsidRPr="00702EA1">
        <w:t>We request attribution as © Commonwealth of Australia (Australian Communications and Media Authority) 2021.</w:t>
      </w:r>
    </w:p>
    <w:p w14:paraId="708EE48F" w14:textId="77777777" w:rsidR="00284A74" w:rsidRPr="00702EA1" w:rsidRDefault="00284A74" w:rsidP="00284A74">
      <w:pPr>
        <w:pStyle w:val="ACMACorporateAddresses"/>
      </w:pPr>
      <w:r w:rsidRPr="00702EA1">
        <w:t>All other rights are reserved.</w:t>
      </w:r>
    </w:p>
    <w:p w14:paraId="34E342E7" w14:textId="77777777" w:rsidR="00284A74" w:rsidRPr="00702EA1" w:rsidRDefault="00284A74" w:rsidP="00284A74">
      <w:pPr>
        <w:pStyle w:val="ACMACorporateAddresses"/>
      </w:pPr>
      <w:r w:rsidRPr="00702EA1">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D8A62A0" w14:textId="77777777" w:rsidR="00284A74" w:rsidRPr="00702EA1" w:rsidRDefault="00284A74" w:rsidP="00284A74">
      <w:pPr>
        <w:pStyle w:val="ACMACorporateAddresses"/>
      </w:pPr>
      <w:r w:rsidRPr="00702EA1">
        <w:t>Written enquiries may be sent to:</w:t>
      </w:r>
    </w:p>
    <w:p w14:paraId="10F64B47" w14:textId="77777777" w:rsidR="00284A74" w:rsidRPr="00702EA1" w:rsidRDefault="00284A74" w:rsidP="00284A74">
      <w:pPr>
        <w:pStyle w:val="ACMACorporateAddresses"/>
        <w:rPr>
          <w:rStyle w:val="Hyperlink"/>
        </w:rPr>
      </w:pPr>
      <w:r w:rsidRPr="00702EA1">
        <w:t>Manager, Editorial Services</w:t>
      </w:r>
      <w:r w:rsidRPr="00702EA1">
        <w:br/>
        <w:t>PO Box 13112</w:t>
      </w:r>
      <w:r w:rsidRPr="00702EA1">
        <w:br/>
        <w:t>Law Courts</w:t>
      </w:r>
      <w:r w:rsidRPr="00702EA1">
        <w:br/>
        <w:t>Melbourne VIC 8010</w:t>
      </w:r>
      <w:r w:rsidRPr="00702EA1">
        <w:br/>
        <w:t xml:space="preserve">Email: </w:t>
      </w:r>
      <w:hyperlink r:id="rId17" w:history="1">
        <w:r w:rsidRPr="00702EA1">
          <w:rPr>
            <w:rStyle w:val="Hyperlink"/>
          </w:rPr>
          <w:t>info@acma.gov.au</w:t>
        </w:r>
      </w:hyperlink>
    </w:p>
    <w:p w14:paraId="53B28A48" w14:textId="77777777" w:rsidR="00D16FE3" w:rsidRPr="00702EA1" w:rsidRDefault="00D16FE3" w:rsidP="00D16FE3">
      <w:pPr>
        <w:pStyle w:val="ACMACorporateAddresses"/>
        <w:sectPr w:rsidR="00D16FE3" w:rsidRPr="00702EA1">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42B2439C" w14:textId="79995FC0" w:rsidR="000C644E" w:rsidRDefault="00DF0799">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"Exec summary heading,1" </w:instrText>
      </w:r>
      <w:r>
        <w:rPr>
          <w:rFonts w:cs="Arial"/>
        </w:rPr>
        <w:fldChar w:fldCharType="separate"/>
      </w:r>
      <w:hyperlink w:anchor="_Toc65851757" w:history="1">
        <w:r w:rsidR="000C644E" w:rsidRPr="00ED05F3">
          <w:rPr>
            <w:rStyle w:val="Hyperlink"/>
          </w:rPr>
          <w:t>Executive summary</w:t>
        </w:r>
        <w:r w:rsidR="000C644E">
          <w:rPr>
            <w:webHidden/>
          </w:rPr>
          <w:tab/>
        </w:r>
        <w:r w:rsidR="000C644E">
          <w:rPr>
            <w:webHidden/>
          </w:rPr>
          <w:fldChar w:fldCharType="begin"/>
        </w:r>
        <w:r w:rsidR="000C644E">
          <w:rPr>
            <w:webHidden/>
          </w:rPr>
          <w:instrText xml:space="preserve"> PAGEREF _Toc65851757 \h </w:instrText>
        </w:r>
        <w:r w:rsidR="000C644E">
          <w:rPr>
            <w:webHidden/>
          </w:rPr>
        </w:r>
        <w:r w:rsidR="000C644E">
          <w:rPr>
            <w:webHidden/>
          </w:rPr>
          <w:fldChar w:fldCharType="separate"/>
        </w:r>
        <w:r w:rsidR="008A46F2">
          <w:rPr>
            <w:webHidden/>
          </w:rPr>
          <w:t>1</w:t>
        </w:r>
        <w:r w:rsidR="000C644E">
          <w:rPr>
            <w:webHidden/>
          </w:rPr>
          <w:fldChar w:fldCharType="end"/>
        </w:r>
      </w:hyperlink>
    </w:p>
    <w:p w14:paraId="4BD89050" w14:textId="0113A21D" w:rsidR="000C644E" w:rsidRDefault="007268D3">
      <w:pPr>
        <w:pStyle w:val="TOC2"/>
        <w:rPr>
          <w:rFonts w:asciiTheme="minorHAnsi" w:eastAsiaTheme="minorEastAsia" w:hAnsiTheme="minorHAnsi" w:cstheme="minorBidi"/>
          <w:spacing w:val="0"/>
          <w:sz w:val="22"/>
          <w:szCs w:val="22"/>
        </w:rPr>
      </w:pPr>
      <w:hyperlink w:anchor="_Toc65851758" w:history="1">
        <w:r w:rsidR="000C644E" w:rsidRPr="00ED05F3">
          <w:rPr>
            <w:rStyle w:val="Hyperlink"/>
          </w:rPr>
          <w:t>Analysis of space sector businesses</w:t>
        </w:r>
        <w:r w:rsidR="000C644E">
          <w:rPr>
            <w:webHidden/>
          </w:rPr>
          <w:tab/>
        </w:r>
        <w:r w:rsidR="000C644E">
          <w:rPr>
            <w:webHidden/>
          </w:rPr>
          <w:fldChar w:fldCharType="begin"/>
        </w:r>
        <w:r w:rsidR="000C644E">
          <w:rPr>
            <w:webHidden/>
          </w:rPr>
          <w:instrText xml:space="preserve"> PAGEREF _Toc65851758 \h </w:instrText>
        </w:r>
        <w:r w:rsidR="000C644E">
          <w:rPr>
            <w:webHidden/>
          </w:rPr>
        </w:r>
        <w:r w:rsidR="000C644E">
          <w:rPr>
            <w:webHidden/>
          </w:rPr>
          <w:fldChar w:fldCharType="separate"/>
        </w:r>
        <w:r w:rsidR="008A46F2">
          <w:rPr>
            <w:webHidden/>
          </w:rPr>
          <w:t>3</w:t>
        </w:r>
        <w:r w:rsidR="000C644E">
          <w:rPr>
            <w:webHidden/>
          </w:rPr>
          <w:fldChar w:fldCharType="end"/>
        </w:r>
      </w:hyperlink>
    </w:p>
    <w:p w14:paraId="4E252255" w14:textId="4220EC4C" w:rsidR="000C644E" w:rsidRDefault="007268D3">
      <w:pPr>
        <w:pStyle w:val="TOC1"/>
        <w:rPr>
          <w:rFonts w:asciiTheme="minorHAnsi" w:eastAsiaTheme="minorEastAsia" w:hAnsiTheme="minorHAnsi" w:cstheme="minorBidi"/>
          <w:b w:val="0"/>
          <w:spacing w:val="0"/>
          <w:sz w:val="22"/>
          <w:szCs w:val="22"/>
        </w:rPr>
      </w:pPr>
      <w:hyperlink w:anchor="_Toc65851759" w:history="1">
        <w:r w:rsidR="000C644E" w:rsidRPr="00ED05F3">
          <w:rPr>
            <w:rStyle w:val="Hyperlink"/>
          </w:rPr>
          <w:t>About this study</w:t>
        </w:r>
        <w:r w:rsidR="000C644E">
          <w:rPr>
            <w:webHidden/>
          </w:rPr>
          <w:tab/>
        </w:r>
        <w:r w:rsidR="000C644E">
          <w:rPr>
            <w:webHidden/>
          </w:rPr>
          <w:fldChar w:fldCharType="begin"/>
        </w:r>
        <w:r w:rsidR="000C644E">
          <w:rPr>
            <w:webHidden/>
          </w:rPr>
          <w:instrText xml:space="preserve"> PAGEREF _Toc65851759 \h </w:instrText>
        </w:r>
        <w:r w:rsidR="000C644E">
          <w:rPr>
            <w:webHidden/>
          </w:rPr>
        </w:r>
        <w:r w:rsidR="000C644E">
          <w:rPr>
            <w:webHidden/>
          </w:rPr>
          <w:fldChar w:fldCharType="separate"/>
        </w:r>
        <w:r w:rsidR="008A46F2">
          <w:rPr>
            <w:webHidden/>
          </w:rPr>
          <w:t>5</w:t>
        </w:r>
        <w:r w:rsidR="000C644E">
          <w:rPr>
            <w:webHidden/>
          </w:rPr>
          <w:fldChar w:fldCharType="end"/>
        </w:r>
      </w:hyperlink>
    </w:p>
    <w:p w14:paraId="01A2E57C" w14:textId="14A2F6C9" w:rsidR="000C644E" w:rsidRDefault="007268D3">
      <w:pPr>
        <w:pStyle w:val="TOC1"/>
        <w:rPr>
          <w:rFonts w:asciiTheme="minorHAnsi" w:eastAsiaTheme="minorEastAsia" w:hAnsiTheme="minorHAnsi" w:cstheme="minorBidi"/>
          <w:b w:val="0"/>
          <w:spacing w:val="0"/>
          <w:sz w:val="22"/>
          <w:szCs w:val="22"/>
        </w:rPr>
      </w:pPr>
      <w:hyperlink w:anchor="_Toc65851760" w:history="1">
        <w:r w:rsidR="000C644E" w:rsidRPr="00ED05F3">
          <w:rPr>
            <w:rStyle w:val="Hyperlink"/>
          </w:rPr>
          <w:t>Background</w:t>
        </w:r>
        <w:r w:rsidR="000C644E">
          <w:rPr>
            <w:webHidden/>
          </w:rPr>
          <w:tab/>
        </w:r>
        <w:r w:rsidR="000C644E">
          <w:rPr>
            <w:webHidden/>
          </w:rPr>
          <w:fldChar w:fldCharType="begin"/>
        </w:r>
        <w:r w:rsidR="000C644E">
          <w:rPr>
            <w:webHidden/>
          </w:rPr>
          <w:instrText xml:space="preserve"> PAGEREF _Toc65851760 \h </w:instrText>
        </w:r>
        <w:r w:rsidR="000C644E">
          <w:rPr>
            <w:webHidden/>
          </w:rPr>
        </w:r>
        <w:r w:rsidR="000C644E">
          <w:rPr>
            <w:webHidden/>
          </w:rPr>
          <w:fldChar w:fldCharType="separate"/>
        </w:r>
        <w:r w:rsidR="008A46F2">
          <w:rPr>
            <w:webHidden/>
          </w:rPr>
          <w:t>6</w:t>
        </w:r>
        <w:r w:rsidR="000C644E">
          <w:rPr>
            <w:webHidden/>
          </w:rPr>
          <w:fldChar w:fldCharType="end"/>
        </w:r>
      </w:hyperlink>
    </w:p>
    <w:p w14:paraId="614A67EA" w14:textId="71C5E4AD" w:rsidR="000C644E" w:rsidRDefault="007268D3">
      <w:pPr>
        <w:pStyle w:val="TOC2"/>
        <w:rPr>
          <w:rFonts w:asciiTheme="minorHAnsi" w:eastAsiaTheme="minorEastAsia" w:hAnsiTheme="minorHAnsi" w:cstheme="minorBidi"/>
          <w:spacing w:val="0"/>
          <w:sz w:val="22"/>
          <w:szCs w:val="22"/>
        </w:rPr>
      </w:pPr>
      <w:hyperlink w:anchor="_Toc65851761" w:history="1">
        <w:r w:rsidR="000C644E" w:rsidRPr="00ED05F3">
          <w:rPr>
            <w:rStyle w:val="Hyperlink"/>
          </w:rPr>
          <w:t>Investment environment</w:t>
        </w:r>
        <w:r w:rsidR="000C644E">
          <w:rPr>
            <w:webHidden/>
          </w:rPr>
          <w:tab/>
        </w:r>
        <w:r w:rsidR="000C644E">
          <w:rPr>
            <w:webHidden/>
          </w:rPr>
          <w:fldChar w:fldCharType="begin"/>
        </w:r>
        <w:r w:rsidR="000C644E">
          <w:rPr>
            <w:webHidden/>
          </w:rPr>
          <w:instrText xml:space="preserve"> PAGEREF _Toc65851761 \h </w:instrText>
        </w:r>
        <w:r w:rsidR="000C644E">
          <w:rPr>
            <w:webHidden/>
          </w:rPr>
        </w:r>
        <w:r w:rsidR="000C644E">
          <w:rPr>
            <w:webHidden/>
          </w:rPr>
          <w:fldChar w:fldCharType="separate"/>
        </w:r>
        <w:r w:rsidR="008A46F2">
          <w:rPr>
            <w:webHidden/>
          </w:rPr>
          <w:t>7</w:t>
        </w:r>
        <w:r w:rsidR="000C644E">
          <w:rPr>
            <w:webHidden/>
          </w:rPr>
          <w:fldChar w:fldCharType="end"/>
        </w:r>
      </w:hyperlink>
    </w:p>
    <w:p w14:paraId="7E8159BE" w14:textId="21F1A94A" w:rsidR="000C644E" w:rsidRDefault="007268D3">
      <w:pPr>
        <w:pStyle w:val="TOC2"/>
        <w:rPr>
          <w:rFonts w:asciiTheme="minorHAnsi" w:eastAsiaTheme="minorEastAsia" w:hAnsiTheme="minorHAnsi" w:cstheme="minorBidi"/>
          <w:spacing w:val="0"/>
          <w:sz w:val="22"/>
          <w:szCs w:val="22"/>
        </w:rPr>
      </w:pPr>
      <w:hyperlink w:anchor="_Toc65851762" w:history="1">
        <w:r w:rsidR="000C644E" w:rsidRPr="00ED05F3">
          <w:rPr>
            <w:rStyle w:val="Hyperlink"/>
          </w:rPr>
          <w:t>Launches</w:t>
        </w:r>
        <w:r w:rsidR="000C644E">
          <w:rPr>
            <w:webHidden/>
          </w:rPr>
          <w:tab/>
        </w:r>
        <w:r w:rsidR="000C644E">
          <w:rPr>
            <w:webHidden/>
          </w:rPr>
          <w:fldChar w:fldCharType="begin"/>
        </w:r>
        <w:r w:rsidR="000C644E">
          <w:rPr>
            <w:webHidden/>
          </w:rPr>
          <w:instrText xml:space="preserve"> PAGEREF _Toc65851762 \h </w:instrText>
        </w:r>
        <w:r w:rsidR="000C644E">
          <w:rPr>
            <w:webHidden/>
          </w:rPr>
        </w:r>
        <w:r w:rsidR="000C644E">
          <w:rPr>
            <w:webHidden/>
          </w:rPr>
          <w:fldChar w:fldCharType="separate"/>
        </w:r>
        <w:r w:rsidR="008A46F2">
          <w:rPr>
            <w:webHidden/>
          </w:rPr>
          <w:t>8</w:t>
        </w:r>
        <w:r w:rsidR="000C644E">
          <w:rPr>
            <w:webHidden/>
          </w:rPr>
          <w:fldChar w:fldCharType="end"/>
        </w:r>
      </w:hyperlink>
    </w:p>
    <w:p w14:paraId="435CBC3E" w14:textId="483874D0" w:rsidR="000C644E" w:rsidRDefault="007268D3">
      <w:pPr>
        <w:pStyle w:val="TOC2"/>
        <w:rPr>
          <w:rFonts w:asciiTheme="minorHAnsi" w:eastAsiaTheme="minorEastAsia" w:hAnsiTheme="minorHAnsi" w:cstheme="minorBidi"/>
          <w:spacing w:val="0"/>
          <w:sz w:val="22"/>
          <w:szCs w:val="22"/>
        </w:rPr>
      </w:pPr>
      <w:hyperlink w:anchor="_Toc65851763" w:history="1">
        <w:r w:rsidR="000C644E" w:rsidRPr="00ED05F3">
          <w:rPr>
            <w:rStyle w:val="Hyperlink"/>
          </w:rPr>
          <w:t>Payloads</w:t>
        </w:r>
        <w:r w:rsidR="000C644E">
          <w:rPr>
            <w:webHidden/>
          </w:rPr>
          <w:tab/>
        </w:r>
        <w:r w:rsidR="000C644E">
          <w:rPr>
            <w:webHidden/>
          </w:rPr>
          <w:fldChar w:fldCharType="begin"/>
        </w:r>
        <w:r w:rsidR="000C644E">
          <w:rPr>
            <w:webHidden/>
          </w:rPr>
          <w:instrText xml:space="preserve"> PAGEREF _Toc65851763 \h </w:instrText>
        </w:r>
        <w:r w:rsidR="000C644E">
          <w:rPr>
            <w:webHidden/>
          </w:rPr>
        </w:r>
        <w:r w:rsidR="000C644E">
          <w:rPr>
            <w:webHidden/>
          </w:rPr>
          <w:fldChar w:fldCharType="separate"/>
        </w:r>
        <w:r w:rsidR="008A46F2">
          <w:rPr>
            <w:webHidden/>
          </w:rPr>
          <w:t>9</w:t>
        </w:r>
        <w:r w:rsidR="000C644E">
          <w:rPr>
            <w:webHidden/>
          </w:rPr>
          <w:fldChar w:fldCharType="end"/>
        </w:r>
      </w:hyperlink>
    </w:p>
    <w:p w14:paraId="57AE77DB" w14:textId="469EDC21" w:rsidR="000C644E" w:rsidRDefault="007268D3">
      <w:pPr>
        <w:pStyle w:val="TOC3"/>
        <w:rPr>
          <w:rFonts w:asciiTheme="minorHAnsi" w:eastAsiaTheme="minorEastAsia" w:hAnsiTheme="minorHAnsi" w:cstheme="minorBidi"/>
        </w:rPr>
      </w:pPr>
      <w:hyperlink w:anchor="_Toc65851764" w:history="1">
        <w:r w:rsidR="000C644E" w:rsidRPr="00ED05F3">
          <w:rPr>
            <w:rStyle w:val="Hyperlink"/>
          </w:rPr>
          <w:t>Satellites</w:t>
        </w:r>
        <w:r w:rsidR="000C644E">
          <w:rPr>
            <w:webHidden/>
          </w:rPr>
          <w:tab/>
        </w:r>
        <w:r w:rsidR="000C644E">
          <w:rPr>
            <w:webHidden/>
          </w:rPr>
          <w:fldChar w:fldCharType="begin"/>
        </w:r>
        <w:r w:rsidR="000C644E">
          <w:rPr>
            <w:webHidden/>
          </w:rPr>
          <w:instrText xml:space="preserve"> PAGEREF _Toc65851764 \h </w:instrText>
        </w:r>
        <w:r w:rsidR="000C644E">
          <w:rPr>
            <w:webHidden/>
          </w:rPr>
        </w:r>
        <w:r w:rsidR="000C644E">
          <w:rPr>
            <w:webHidden/>
          </w:rPr>
          <w:fldChar w:fldCharType="separate"/>
        </w:r>
        <w:r w:rsidR="008A46F2">
          <w:rPr>
            <w:webHidden/>
          </w:rPr>
          <w:t>10</w:t>
        </w:r>
        <w:r w:rsidR="000C644E">
          <w:rPr>
            <w:webHidden/>
          </w:rPr>
          <w:fldChar w:fldCharType="end"/>
        </w:r>
      </w:hyperlink>
    </w:p>
    <w:p w14:paraId="5B38E486" w14:textId="27527902" w:rsidR="000C644E" w:rsidRDefault="007268D3">
      <w:pPr>
        <w:pStyle w:val="TOC2"/>
        <w:rPr>
          <w:rFonts w:asciiTheme="minorHAnsi" w:eastAsiaTheme="minorEastAsia" w:hAnsiTheme="minorHAnsi" w:cstheme="minorBidi"/>
          <w:spacing w:val="0"/>
          <w:sz w:val="22"/>
          <w:szCs w:val="22"/>
        </w:rPr>
      </w:pPr>
      <w:hyperlink w:anchor="_Toc65851765" w:history="1">
        <w:r w:rsidR="000C644E" w:rsidRPr="00ED05F3">
          <w:rPr>
            <w:rStyle w:val="Hyperlink"/>
          </w:rPr>
          <w:t>Australian space industry</w:t>
        </w:r>
        <w:r w:rsidR="000C644E">
          <w:rPr>
            <w:webHidden/>
          </w:rPr>
          <w:tab/>
        </w:r>
        <w:r w:rsidR="000C644E">
          <w:rPr>
            <w:webHidden/>
          </w:rPr>
          <w:fldChar w:fldCharType="begin"/>
        </w:r>
        <w:r w:rsidR="000C644E">
          <w:rPr>
            <w:webHidden/>
          </w:rPr>
          <w:instrText xml:space="preserve"> PAGEREF _Toc65851765 \h </w:instrText>
        </w:r>
        <w:r w:rsidR="000C644E">
          <w:rPr>
            <w:webHidden/>
          </w:rPr>
        </w:r>
        <w:r w:rsidR="000C644E">
          <w:rPr>
            <w:webHidden/>
          </w:rPr>
          <w:fldChar w:fldCharType="separate"/>
        </w:r>
        <w:r w:rsidR="008A46F2">
          <w:rPr>
            <w:webHidden/>
          </w:rPr>
          <w:t>12</w:t>
        </w:r>
        <w:r w:rsidR="000C644E">
          <w:rPr>
            <w:webHidden/>
          </w:rPr>
          <w:fldChar w:fldCharType="end"/>
        </w:r>
      </w:hyperlink>
    </w:p>
    <w:p w14:paraId="30A3CBF6" w14:textId="0DAF78FE" w:rsidR="000C644E" w:rsidRDefault="007268D3">
      <w:pPr>
        <w:pStyle w:val="TOC3"/>
        <w:rPr>
          <w:rFonts w:asciiTheme="minorHAnsi" w:eastAsiaTheme="minorEastAsia" w:hAnsiTheme="minorHAnsi" w:cstheme="minorBidi"/>
        </w:rPr>
      </w:pPr>
      <w:hyperlink w:anchor="_Toc65851766" w:history="1">
        <w:r w:rsidR="000C644E" w:rsidRPr="00ED05F3">
          <w:rPr>
            <w:rStyle w:val="Hyperlink"/>
          </w:rPr>
          <w:t>Australian Government initiatives</w:t>
        </w:r>
        <w:r w:rsidR="000C644E">
          <w:rPr>
            <w:webHidden/>
          </w:rPr>
          <w:tab/>
        </w:r>
        <w:r w:rsidR="000C644E">
          <w:rPr>
            <w:webHidden/>
          </w:rPr>
          <w:fldChar w:fldCharType="begin"/>
        </w:r>
        <w:r w:rsidR="000C644E">
          <w:rPr>
            <w:webHidden/>
          </w:rPr>
          <w:instrText xml:space="preserve"> PAGEREF _Toc65851766 \h </w:instrText>
        </w:r>
        <w:r w:rsidR="000C644E">
          <w:rPr>
            <w:webHidden/>
          </w:rPr>
        </w:r>
        <w:r w:rsidR="000C644E">
          <w:rPr>
            <w:webHidden/>
          </w:rPr>
          <w:fldChar w:fldCharType="separate"/>
        </w:r>
        <w:r w:rsidR="008A46F2">
          <w:rPr>
            <w:webHidden/>
          </w:rPr>
          <w:t>13</w:t>
        </w:r>
        <w:r w:rsidR="000C644E">
          <w:rPr>
            <w:webHidden/>
          </w:rPr>
          <w:fldChar w:fldCharType="end"/>
        </w:r>
      </w:hyperlink>
    </w:p>
    <w:p w14:paraId="16D469B2" w14:textId="52F77CFD" w:rsidR="000C644E" w:rsidRDefault="007268D3">
      <w:pPr>
        <w:pStyle w:val="TOC1"/>
        <w:rPr>
          <w:rFonts w:asciiTheme="minorHAnsi" w:eastAsiaTheme="minorEastAsia" w:hAnsiTheme="minorHAnsi" w:cstheme="minorBidi"/>
          <w:b w:val="0"/>
          <w:spacing w:val="0"/>
          <w:sz w:val="22"/>
          <w:szCs w:val="22"/>
        </w:rPr>
      </w:pPr>
      <w:hyperlink w:anchor="_Toc65851767" w:history="1">
        <w:r w:rsidR="000C644E" w:rsidRPr="00ED05F3">
          <w:rPr>
            <w:rStyle w:val="Hyperlink"/>
          </w:rPr>
          <w:t>Space sector businesses</w:t>
        </w:r>
        <w:r w:rsidR="000C644E">
          <w:rPr>
            <w:webHidden/>
          </w:rPr>
          <w:tab/>
        </w:r>
        <w:r w:rsidR="000C644E">
          <w:rPr>
            <w:webHidden/>
          </w:rPr>
          <w:fldChar w:fldCharType="begin"/>
        </w:r>
        <w:r w:rsidR="000C644E">
          <w:rPr>
            <w:webHidden/>
          </w:rPr>
          <w:instrText xml:space="preserve"> PAGEREF _Toc65851767 \h </w:instrText>
        </w:r>
        <w:r w:rsidR="000C644E">
          <w:rPr>
            <w:webHidden/>
          </w:rPr>
        </w:r>
        <w:r w:rsidR="000C644E">
          <w:rPr>
            <w:webHidden/>
          </w:rPr>
          <w:fldChar w:fldCharType="separate"/>
        </w:r>
        <w:r w:rsidR="008A46F2">
          <w:rPr>
            <w:webHidden/>
          </w:rPr>
          <w:t>15</w:t>
        </w:r>
        <w:r w:rsidR="000C644E">
          <w:rPr>
            <w:webHidden/>
          </w:rPr>
          <w:fldChar w:fldCharType="end"/>
        </w:r>
      </w:hyperlink>
    </w:p>
    <w:p w14:paraId="6DE79685" w14:textId="505E4586" w:rsidR="000C644E" w:rsidRDefault="007268D3">
      <w:pPr>
        <w:pStyle w:val="TOC2"/>
        <w:rPr>
          <w:rFonts w:asciiTheme="minorHAnsi" w:eastAsiaTheme="minorEastAsia" w:hAnsiTheme="minorHAnsi" w:cstheme="minorBidi"/>
          <w:spacing w:val="0"/>
          <w:sz w:val="22"/>
          <w:szCs w:val="22"/>
        </w:rPr>
      </w:pPr>
      <w:hyperlink w:anchor="_Toc65851768" w:history="1">
        <w:r w:rsidR="000C644E" w:rsidRPr="00ED05F3">
          <w:rPr>
            <w:rStyle w:val="Hyperlink"/>
          </w:rPr>
          <w:t>Established space businesses</w:t>
        </w:r>
        <w:r w:rsidR="000C644E">
          <w:rPr>
            <w:webHidden/>
          </w:rPr>
          <w:tab/>
        </w:r>
        <w:r w:rsidR="000C644E">
          <w:rPr>
            <w:webHidden/>
          </w:rPr>
          <w:fldChar w:fldCharType="begin"/>
        </w:r>
        <w:r w:rsidR="000C644E">
          <w:rPr>
            <w:webHidden/>
          </w:rPr>
          <w:instrText xml:space="preserve"> PAGEREF _Toc65851768 \h </w:instrText>
        </w:r>
        <w:r w:rsidR="000C644E">
          <w:rPr>
            <w:webHidden/>
          </w:rPr>
        </w:r>
        <w:r w:rsidR="000C644E">
          <w:rPr>
            <w:webHidden/>
          </w:rPr>
          <w:fldChar w:fldCharType="separate"/>
        </w:r>
        <w:r w:rsidR="008A46F2">
          <w:rPr>
            <w:webHidden/>
          </w:rPr>
          <w:t>15</w:t>
        </w:r>
        <w:r w:rsidR="000C644E">
          <w:rPr>
            <w:webHidden/>
          </w:rPr>
          <w:fldChar w:fldCharType="end"/>
        </w:r>
      </w:hyperlink>
    </w:p>
    <w:p w14:paraId="688669BF" w14:textId="544C75AB" w:rsidR="000C644E" w:rsidRDefault="007268D3">
      <w:pPr>
        <w:pStyle w:val="TOC2"/>
        <w:rPr>
          <w:rFonts w:asciiTheme="minorHAnsi" w:eastAsiaTheme="minorEastAsia" w:hAnsiTheme="minorHAnsi" w:cstheme="minorBidi"/>
          <w:spacing w:val="0"/>
          <w:sz w:val="22"/>
          <w:szCs w:val="22"/>
        </w:rPr>
      </w:pPr>
      <w:hyperlink w:anchor="_Toc65851769" w:history="1">
        <w:r w:rsidR="000C644E" w:rsidRPr="00ED05F3">
          <w:rPr>
            <w:rStyle w:val="Hyperlink"/>
          </w:rPr>
          <w:t>Start-up space businesses</w:t>
        </w:r>
        <w:r w:rsidR="000C644E">
          <w:rPr>
            <w:webHidden/>
          </w:rPr>
          <w:tab/>
        </w:r>
        <w:r w:rsidR="000C644E">
          <w:rPr>
            <w:webHidden/>
          </w:rPr>
          <w:fldChar w:fldCharType="begin"/>
        </w:r>
        <w:r w:rsidR="000C644E">
          <w:rPr>
            <w:webHidden/>
          </w:rPr>
          <w:instrText xml:space="preserve"> PAGEREF _Toc65851769 \h </w:instrText>
        </w:r>
        <w:r w:rsidR="000C644E">
          <w:rPr>
            <w:webHidden/>
          </w:rPr>
        </w:r>
        <w:r w:rsidR="000C644E">
          <w:rPr>
            <w:webHidden/>
          </w:rPr>
          <w:fldChar w:fldCharType="separate"/>
        </w:r>
        <w:r w:rsidR="008A46F2">
          <w:rPr>
            <w:webHidden/>
          </w:rPr>
          <w:t>15</w:t>
        </w:r>
        <w:r w:rsidR="000C644E">
          <w:rPr>
            <w:webHidden/>
          </w:rPr>
          <w:fldChar w:fldCharType="end"/>
        </w:r>
      </w:hyperlink>
    </w:p>
    <w:p w14:paraId="0793A0ED" w14:textId="7BEE02C7" w:rsidR="000C644E" w:rsidRDefault="007268D3">
      <w:pPr>
        <w:pStyle w:val="TOC2"/>
        <w:rPr>
          <w:rFonts w:asciiTheme="minorHAnsi" w:eastAsiaTheme="minorEastAsia" w:hAnsiTheme="minorHAnsi" w:cstheme="minorBidi"/>
          <w:spacing w:val="0"/>
          <w:sz w:val="22"/>
          <w:szCs w:val="22"/>
        </w:rPr>
      </w:pPr>
      <w:hyperlink w:anchor="_Toc65851770" w:history="1">
        <w:r w:rsidR="000C644E" w:rsidRPr="00ED05F3">
          <w:rPr>
            <w:rStyle w:val="Hyperlink"/>
          </w:rPr>
          <w:t>Government sector</w:t>
        </w:r>
        <w:r w:rsidR="000C644E">
          <w:rPr>
            <w:webHidden/>
          </w:rPr>
          <w:tab/>
        </w:r>
        <w:r w:rsidR="000C644E">
          <w:rPr>
            <w:webHidden/>
          </w:rPr>
          <w:fldChar w:fldCharType="begin"/>
        </w:r>
        <w:r w:rsidR="000C644E">
          <w:rPr>
            <w:webHidden/>
          </w:rPr>
          <w:instrText xml:space="preserve"> PAGEREF _Toc65851770 \h </w:instrText>
        </w:r>
        <w:r w:rsidR="000C644E">
          <w:rPr>
            <w:webHidden/>
          </w:rPr>
        </w:r>
        <w:r w:rsidR="000C644E">
          <w:rPr>
            <w:webHidden/>
          </w:rPr>
          <w:fldChar w:fldCharType="separate"/>
        </w:r>
        <w:r w:rsidR="008A46F2">
          <w:rPr>
            <w:webHidden/>
          </w:rPr>
          <w:t>16</w:t>
        </w:r>
        <w:r w:rsidR="000C644E">
          <w:rPr>
            <w:webHidden/>
          </w:rPr>
          <w:fldChar w:fldCharType="end"/>
        </w:r>
      </w:hyperlink>
    </w:p>
    <w:p w14:paraId="45916416" w14:textId="0694F25C" w:rsidR="000C644E" w:rsidRDefault="007268D3">
      <w:pPr>
        <w:pStyle w:val="TOC2"/>
        <w:rPr>
          <w:rFonts w:asciiTheme="minorHAnsi" w:eastAsiaTheme="minorEastAsia" w:hAnsiTheme="minorHAnsi" w:cstheme="minorBidi"/>
          <w:spacing w:val="0"/>
          <w:sz w:val="22"/>
          <w:szCs w:val="22"/>
        </w:rPr>
      </w:pPr>
      <w:hyperlink w:anchor="_Toc65851771" w:history="1">
        <w:r w:rsidR="000C644E" w:rsidRPr="00ED05F3">
          <w:rPr>
            <w:rStyle w:val="Hyperlink"/>
          </w:rPr>
          <w:t>Other space sector businesses</w:t>
        </w:r>
        <w:r w:rsidR="000C644E">
          <w:rPr>
            <w:webHidden/>
          </w:rPr>
          <w:tab/>
        </w:r>
        <w:r w:rsidR="000C644E">
          <w:rPr>
            <w:webHidden/>
          </w:rPr>
          <w:fldChar w:fldCharType="begin"/>
        </w:r>
        <w:r w:rsidR="000C644E">
          <w:rPr>
            <w:webHidden/>
          </w:rPr>
          <w:instrText xml:space="preserve"> PAGEREF _Toc65851771 \h </w:instrText>
        </w:r>
        <w:r w:rsidR="000C644E">
          <w:rPr>
            <w:webHidden/>
          </w:rPr>
        </w:r>
        <w:r w:rsidR="000C644E">
          <w:rPr>
            <w:webHidden/>
          </w:rPr>
          <w:fldChar w:fldCharType="separate"/>
        </w:r>
        <w:r w:rsidR="008A46F2">
          <w:rPr>
            <w:webHidden/>
          </w:rPr>
          <w:t>16</w:t>
        </w:r>
        <w:r w:rsidR="000C644E">
          <w:rPr>
            <w:webHidden/>
          </w:rPr>
          <w:fldChar w:fldCharType="end"/>
        </w:r>
      </w:hyperlink>
    </w:p>
    <w:p w14:paraId="75B97E79" w14:textId="52CA55A4" w:rsidR="000C644E" w:rsidRDefault="007268D3">
      <w:pPr>
        <w:pStyle w:val="TOC1"/>
        <w:rPr>
          <w:rFonts w:asciiTheme="minorHAnsi" w:eastAsiaTheme="minorEastAsia" w:hAnsiTheme="minorHAnsi" w:cstheme="minorBidi"/>
          <w:b w:val="0"/>
          <w:spacing w:val="0"/>
          <w:sz w:val="22"/>
          <w:szCs w:val="22"/>
        </w:rPr>
      </w:pPr>
      <w:hyperlink w:anchor="_Toc65851772" w:history="1">
        <w:r w:rsidR="000C644E" w:rsidRPr="00ED05F3">
          <w:rPr>
            <w:rStyle w:val="Hyperlink"/>
          </w:rPr>
          <w:t xml:space="preserve">Spectrum </w:t>
        </w:r>
        <w:r w:rsidR="00C05B5F">
          <w:rPr>
            <w:rStyle w:val="Hyperlink"/>
          </w:rPr>
          <w:t>i</w:t>
        </w:r>
        <w:r w:rsidR="000C644E" w:rsidRPr="00ED05F3">
          <w:rPr>
            <w:rStyle w:val="Hyperlink"/>
          </w:rPr>
          <w:t>mplications</w:t>
        </w:r>
        <w:r w:rsidR="000C644E">
          <w:rPr>
            <w:webHidden/>
          </w:rPr>
          <w:tab/>
        </w:r>
        <w:r w:rsidR="000C644E">
          <w:rPr>
            <w:webHidden/>
          </w:rPr>
          <w:fldChar w:fldCharType="begin"/>
        </w:r>
        <w:r w:rsidR="000C644E">
          <w:rPr>
            <w:webHidden/>
          </w:rPr>
          <w:instrText xml:space="preserve"> PAGEREF _Toc65851772 \h </w:instrText>
        </w:r>
        <w:r w:rsidR="000C644E">
          <w:rPr>
            <w:webHidden/>
          </w:rPr>
        </w:r>
        <w:r w:rsidR="000C644E">
          <w:rPr>
            <w:webHidden/>
          </w:rPr>
          <w:fldChar w:fldCharType="separate"/>
        </w:r>
        <w:r w:rsidR="008A46F2">
          <w:rPr>
            <w:webHidden/>
          </w:rPr>
          <w:t>17</w:t>
        </w:r>
        <w:r w:rsidR="000C644E">
          <w:rPr>
            <w:webHidden/>
          </w:rPr>
          <w:fldChar w:fldCharType="end"/>
        </w:r>
      </w:hyperlink>
    </w:p>
    <w:p w14:paraId="6835EA08" w14:textId="25B6A2E7" w:rsidR="000C644E" w:rsidRDefault="007268D3">
      <w:pPr>
        <w:pStyle w:val="TOC2"/>
        <w:rPr>
          <w:rFonts w:asciiTheme="minorHAnsi" w:eastAsiaTheme="minorEastAsia" w:hAnsiTheme="minorHAnsi" w:cstheme="minorBidi"/>
          <w:spacing w:val="0"/>
          <w:sz w:val="22"/>
          <w:szCs w:val="22"/>
        </w:rPr>
      </w:pPr>
      <w:hyperlink w:anchor="_Toc65851773" w:history="1">
        <w:r w:rsidR="000C644E" w:rsidRPr="00ED05F3">
          <w:rPr>
            <w:rStyle w:val="Hyperlink"/>
          </w:rPr>
          <w:t>The ACMA’s approach</w:t>
        </w:r>
        <w:r w:rsidR="000C644E">
          <w:rPr>
            <w:webHidden/>
          </w:rPr>
          <w:tab/>
        </w:r>
        <w:r w:rsidR="000C644E">
          <w:rPr>
            <w:webHidden/>
          </w:rPr>
          <w:fldChar w:fldCharType="begin"/>
        </w:r>
        <w:r w:rsidR="000C644E">
          <w:rPr>
            <w:webHidden/>
          </w:rPr>
          <w:instrText xml:space="preserve"> PAGEREF _Toc65851773 \h </w:instrText>
        </w:r>
        <w:r w:rsidR="000C644E">
          <w:rPr>
            <w:webHidden/>
          </w:rPr>
        </w:r>
        <w:r w:rsidR="000C644E">
          <w:rPr>
            <w:webHidden/>
          </w:rPr>
          <w:fldChar w:fldCharType="separate"/>
        </w:r>
        <w:r w:rsidR="008A46F2">
          <w:rPr>
            <w:webHidden/>
          </w:rPr>
          <w:t>17</w:t>
        </w:r>
        <w:r w:rsidR="000C644E">
          <w:rPr>
            <w:webHidden/>
          </w:rPr>
          <w:fldChar w:fldCharType="end"/>
        </w:r>
      </w:hyperlink>
    </w:p>
    <w:p w14:paraId="77601B55" w14:textId="141D1B36" w:rsidR="000C644E" w:rsidRDefault="007268D3">
      <w:pPr>
        <w:pStyle w:val="TOC3"/>
        <w:rPr>
          <w:rFonts w:asciiTheme="minorHAnsi" w:eastAsiaTheme="minorEastAsia" w:hAnsiTheme="minorHAnsi" w:cstheme="minorBidi"/>
        </w:rPr>
      </w:pPr>
      <w:hyperlink w:anchor="_Toc65851774" w:history="1">
        <w:r w:rsidR="000C644E" w:rsidRPr="00ED05F3">
          <w:rPr>
            <w:rStyle w:val="Hyperlink"/>
          </w:rPr>
          <w:t>Updating regulatory arrangements</w:t>
        </w:r>
        <w:r w:rsidR="000C644E">
          <w:rPr>
            <w:webHidden/>
          </w:rPr>
          <w:tab/>
        </w:r>
        <w:r w:rsidR="000C644E">
          <w:rPr>
            <w:webHidden/>
          </w:rPr>
          <w:fldChar w:fldCharType="begin"/>
        </w:r>
        <w:r w:rsidR="000C644E">
          <w:rPr>
            <w:webHidden/>
          </w:rPr>
          <w:instrText xml:space="preserve"> PAGEREF _Toc65851774 \h </w:instrText>
        </w:r>
        <w:r w:rsidR="000C644E">
          <w:rPr>
            <w:webHidden/>
          </w:rPr>
        </w:r>
        <w:r w:rsidR="000C644E">
          <w:rPr>
            <w:webHidden/>
          </w:rPr>
          <w:fldChar w:fldCharType="separate"/>
        </w:r>
        <w:r w:rsidR="008A46F2">
          <w:rPr>
            <w:webHidden/>
          </w:rPr>
          <w:t>18</w:t>
        </w:r>
        <w:r w:rsidR="000C644E">
          <w:rPr>
            <w:webHidden/>
          </w:rPr>
          <w:fldChar w:fldCharType="end"/>
        </w:r>
      </w:hyperlink>
    </w:p>
    <w:p w14:paraId="3D057155" w14:textId="2CCDBBD7" w:rsidR="000C644E" w:rsidRDefault="007268D3">
      <w:pPr>
        <w:pStyle w:val="TOC3"/>
        <w:rPr>
          <w:rFonts w:asciiTheme="minorHAnsi" w:eastAsiaTheme="minorEastAsia" w:hAnsiTheme="minorHAnsi" w:cstheme="minorBidi"/>
        </w:rPr>
      </w:pPr>
      <w:hyperlink w:anchor="_Toc65851775" w:history="1">
        <w:r w:rsidR="000C644E" w:rsidRPr="00ED05F3">
          <w:rPr>
            <w:rStyle w:val="Hyperlink"/>
          </w:rPr>
          <w:t>Satellite filing activity</w:t>
        </w:r>
        <w:r w:rsidR="000C644E">
          <w:rPr>
            <w:webHidden/>
          </w:rPr>
          <w:tab/>
        </w:r>
        <w:r w:rsidR="000C644E">
          <w:rPr>
            <w:webHidden/>
          </w:rPr>
          <w:fldChar w:fldCharType="begin"/>
        </w:r>
        <w:r w:rsidR="000C644E">
          <w:rPr>
            <w:webHidden/>
          </w:rPr>
          <w:instrText xml:space="preserve"> PAGEREF _Toc65851775 \h </w:instrText>
        </w:r>
        <w:r w:rsidR="000C644E">
          <w:rPr>
            <w:webHidden/>
          </w:rPr>
        </w:r>
        <w:r w:rsidR="000C644E">
          <w:rPr>
            <w:webHidden/>
          </w:rPr>
          <w:fldChar w:fldCharType="separate"/>
        </w:r>
        <w:r w:rsidR="008A46F2">
          <w:rPr>
            <w:webHidden/>
          </w:rPr>
          <w:t>18</w:t>
        </w:r>
        <w:r w:rsidR="000C644E">
          <w:rPr>
            <w:webHidden/>
          </w:rPr>
          <w:fldChar w:fldCharType="end"/>
        </w:r>
      </w:hyperlink>
    </w:p>
    <w:p w14:paraId="14D9A19F" w14:textId="18B5E285" w:rsidR="000C644E" w:rsidRDefault="007268D3">
      <w:pPr>
        <w:pStyle w:val="TOC3"/>
        <w:rPr>
          <w:rFonts w:asciiTheme="minorHAnsi" w:eastAsiaTheme="minorEastAsia" w:hAnsiTheme="minorHAnsi" w:cstheme="minorBidi"/>
        </w:rPr>
      </w:pPr>
      <w:hyperlink w:anchor="_Toc65851776" w:history="1">
        <w:r w:rsidR="000C644E" w:rsidRPr="00ED05F3">
          <w:rPr>
            <w:rStyle w:val="Hyperlink"/>
          </w:rPr>
          <w:t>Earth station protection zones</w:t>
        </w:r>
        <w:r w:rsidR="000C644E">
          <w:rPr>
            <w:webHidden/>
          </w:rPr>
          <w:tab/>
        </w:r>
        <w:r w:rsidR="000C644E">
          <w:rPr>
            <w:webHidden/>
          </w:rPr>
          <w:fldChar w:fldCharType="begin"/>
        </w:r>
        <w:r w:rsidR="000C644E">
          <w:rPr>
            <w:webHidden/>
          </w:rPr>
          <w:instrText xml:space="preserve"> PAGEREF _Toc65851776 \h </w:instrText>
        </w:r>
        <w:r w:rsidR="000C644E">
          <w:rPr>
            <w:webHidden/>
          </w:rPr>
        </w:r>
        <w:r w:rsidR="000C644E">
          <w:rPr>
            <w:webHidden/>
          </w:rPr>
          <w:fldChar w:fldCharType="separate"/>
        </w:r>
        <w:r w:rsidR="008A46F2">
          <w:rPr>
            <w:webHidden/>
          </w:rPr>
          <w:t>19</w:t>
        </w:r>
        <w:r w:rsidR="000C644E">
          <w:rPr>
            <w:webHidden/>
          </w:rPr>
          <w:fldChar w:fldCharType="end"/>
        </w:r>
      </w:hyperlink>
    </w:p>
    <w:p w14:paraId="7C1A1F22" w14:textId="5332745E" w:rsidR="000C644E" w:rsidRDefault="007268D3">
      <w:pPr>
        <w:pStyle w:val="TOC3"/>
        <w:rPr>
          <w:rFonts w:asciiTheme="minorHAnsi" w:eastAsiaTheme="minorEastAsia" w:hAnsiTheme="minorHAnsi" w:cstheme="minorBidi"/>
        </w:rPr>
      </w:pPr>
      <w:hyperlink w:anchor="_Toc65851777" w:history="1">
        <w:r w:rsidR="000C644E" w:rsidRPr="00ED05F3">
          <w:rPr>
            <w:rStyle w:val="Hyperlink"/>
          </w:rPr>
          <w:t>Infrared (optical) communication</w:t>
        </w:r>
        <w:r w:rsidR="000C644E">
          <w:rPr>
            <w:webHidden/>
          </w:rPr>
          <w:tab/>
        </w:r>
        <w:r w:rsidR="000C644E">
          <w:rPr>
            <w:webHidden/>
          </w:rPr>
          <w:fldChar w:fldCharType="begin"/>
        </w:r>
        <w:r w:rsidR="000C644E">
          <w:rPr>
            <w:webHidden/>
          </w:rPr>
          <w:instrText xml:space="preserve"> PAGEREF _Toc65851777 \h </w:instrText>
        </w:r>
        <w:r w:rsidR="000C644E">
          <w:rPr>
            <w:webHidden/>
          </w:rPr>
        </w:r>
        <w:r w:rsidR="000C644E">
          <w:rPr>
            <w:webHidden/>
          </w:rPr>
          <w:fldChar w:fldCharType="separate"/>
        </w:r>
        <w:r w:rsidR="008A46F2">
          <w:rPr>
            <w:webHidden/>
          </w:rPr>
          <w:t>20</w:t>
        </w:r>
        <w:r w:rsidR="000C644E">
          <w:rPr>
            <w:webHidden/>
          </w:rPr>
          <w:fldChar w:fldCharType="end"/>
        </w:r>
      </w:hyperlink>
    </w:p>
    <w:p w14:paraId="11295B68" w14:textId="4759A108" w:rsidR="000C644E" w:rsidRDefault="007268D3">
      <w:pPr>
        <w:pStyle w:val="TOC1"/>
        <w:rPr>
          <w:rFonts w:asciiTheme="minorHAnsi" w:eastAsiaTheme="minorEastAsia" w:hAnsiTheme="minorHAnsi" w:cstheme="minorBidi"/>
          <w:b w:val="0"/>
          <w:spacing w:val="0"/>
          <w:sz w:val="22"/>
          <w:szCs w:val="22"/>
        </w:rPr>
      </w:pPr>
      <w:hyperlink w:anchor="_Toc65851778" w:history="1">
        <w:r w:rsidR="000C644E" w:rsidRPr="00ED05F3">
          <w:rPr>
            <w:rStyle w:val="Hyperlink"/>
          </w:rPr>
          <w:t>Attachment A - Space sector value chain</w:t>
        </w:r>
        <w:r w:rsidR="000C644E">
          <w:rPr>
            <w:webHidden/>
          </w:rPr>
          <w:tab/>
        </w:r>
        <w:r w:rsidR="000C644E">
          <w:rPr>
            <w:webHidden/>
          </w:rPr>
          <w:fldChar w:fldCharType="begin"/>
        </w:r>
        <w:r w:rsidR="000C644E">
          <w:rPr>
            <w:webHidden/>
          </w:rPr>
          <w:instrText xml:space="preserve"> PAGEREF _Toc65851778 \h </w:instrText>
        </w:r>
        <w:r w:rsidR="000C644E">
          <w:rPr>
            <w:webHidden/>
          </w:rPr>
        </w:r>
        <w:r w:rsidR="000C644E">
          <w:rPr>
            <w:webHidden/>
          </w:rPr>
          <w:fldChar w:fldCharType="separate"/>
        </w:r>
        <w:r w:rsidR="008A46F2">
          <w:rPr>
            <w:webHidden/>
          </w:rPr>
          <w:t>21</w:t>
        </w:r>
        <w:r w:rsidR="000C644E">
          <w:rPr>
            <w:webHidden/>
          </w:rPr>
          <w:fldChar w:fldCharType="end"/>
        </w:r>
      </w:hyperlink>
    </w:p>
    <w:p w14:paraId="45B8D118" w14:textId="0749414C" w:rsidR="000C644E" w:rsidRDefault="007268D3">
      <w:pPr>
        <w:pStyle w:val="TOC1"/>
        <w:rPr>
          <w:rFonts w:asciiTheme="minorHAnsi" w:eastAsiaTheme="minorEastAsia" w:hAnsiTheme="minorHAnsi" w:cstheme="minorBidi"/>
          <w:b w:val="0"/>
          <w:spacing w:val="0"/>
          <w:sz w:val="22"/>
          <w:szCs w:val="22"/>
        </w:rPr>
      </w:pPr>
      <w:hyperlink w:anchor="_Toc65851782" w:history="1">
        <w:r w:rsidR="000C644E" w:rsidRPr="00ED05F3">
          <w:rPr>
            <w:rStyle w:val="Hyperlink"/>
          </w:rPr>
          <w:t>Attachment B - Space sector businesses</w:t>
        </w:r>
        <w:r w:rsidR="000C644E">
          <w:rPr>
            <w:webHidden/>
          </w:rPr>
          <w:tab/>
        </w:r>
        <w:r w:rsidR="000C644E">
          <w:rPr>
            <w:webHidden/>
          </w:rPr>
          <w:fldChar w:fldCharType="begin"/>
        </w:r>
        <w:r w:rsidR="000C644E">
          <w:rPr>
            <w:webHidden/>
          </w:rPr>
          <w:instrText xml:space="preserve"> PAGEREF _Toc65851782 \h </w:instrText>
        </w:r>
        <w:r w:rsidR="000C644E">
          <w:rPr>
            <w:webHidden/>
          </w:rPr>
        </w:r>
        <w:r w:rsidR="000C644E">
          <w:rPr>
            <w:webHidden/>
          </w:rPr>
          <w:fldChar w:fldCharType="separate"/>
        </w:r>
        <w:r w:rsidR="008A46F2">
          <w:rPr>
            <w:webHidden/>
          </w:rPr>
          <w:t>24</w:t>
        </w:r>
        <w:r w:rsidR="000C644E">
          <w:rPr>
            <w:webHidden/>
          </w:rPr>
          <w:fldChar w:fldCharType="end"/>
        </w:r>
      </w:hyperlink>
    </w:p>
    <w:p w14:paraId="1E8794F6" w14:textId="56ACC75F" w:rsidR="000C644E" w:rsidRDefault="007268D3">
      <w:pPr>
        <w:pStyle w:val="TOC1"/>
        <w:rPr>
          <w:rFonts w:asciiTheme="minorHAnsi" w:eastAsiaTheme="minorEastAsia" w:hAnsiTheme="minorHAnsi" w:cstheme="minorBidi"/>
          <w:b w:val="0"/>
          <w:spacing w:val="0"/>
          <w:sz w:val="22"/>
          <w:szCs w:val="22"/>
        </w:rPr>
      </w:pPr>
      <w:hyperlink w:anchor="_Toc65851790" w:history="1">
        <w:r w:rsidR="000C644E" w:rsidRPr="00ED05F3">
          <w:rPr>
            <w:rStyle w:val="Hyperlink"/>
          </w:rPr>
          <w:t>Attachment C - Infrared (optical) communication: Legislative background</w:t>
        </w:r>
        <w:r w:rsidR="000C644E">
          <w:rPr>
            <w:webHidden/>
          </w:rPr>
          <w:tab/>
        </w:r>
        <w:r w:rsidR="000C644E">
          <w:rPr>
            <w:webHidden/>
          </w:rPr>
          <w:fldChar w:fldCharType="begin"/>
        </w:r>
        <w:r w:rsidR="000C644E">
          <w:rPr>
            <w:webHidden/>
          </w:rPr>
          <w:instrText xml:space="preserve"> PAGEREF _Toc65851790 \h </w:instrText>
        </w:r>
        <w:r w:rsidR="000C644E">
          <w:rPr>
            <w:webHidden/>
          </w:rPr>
        </w:r>
        <w:r w:rsidR="000C644E">
          <w:rPr>
            <w:webHidden/>
          </w:rPr>
          <w:fldChar w:fldCharType="separate"/>
        </w:r>
        <w:r w:rsidR="008A46F2">
          <w:rPr>
            <w:webHidden/>
          </w:rPr>
          <w:t>40</w:t>
        </w:r>
        <w:r w:rsidR="000C644E">
          <w:rPr>
            <w:webHidden/>
          </w:rPr>
          <w:fldChar w:fldCharType="end"/>
        </w:r>
      </w:hyperlink>
    </w:p>
    <w:p w14:paraId="526A53DE" w14:textId="266E7D99" w:rsidR="000C644E" w:rsidRDefault="007268D3">
      <w:pPr>
        <w:pStyle w:val="TOC1"/>
        <w:rPr>
          <w:rFonts w:asciiTheme="minorHAnsi" w:eastAsiaTheme="minorEastAsia" w:hAnsiTheme="minorHAnsi" w:cstheme="minorBidi"/>
          <w:b w:val="0"/>
          <w:spacing w:val="0"/>
          <w:sz w:val="22"/>
          <w:szCs w:val="22"/>
        </w:rPr>
      </w:pPr>
      <w:hyperlink w:anchor="_Toc65851791" w:history="1">
        <w:r w:rsidR="000C644E" w:rsidRPr="00ED05F3">
          <w:rPr>
            <w:rStyle w:val="Hyperlink"/>
          </w:rPr>
          <w:t>Glossary</w:t>
        </w:r>
        <w:r w:rsidR="000C644E">
          <w:rPr>
            <w:webHidden/>
          </w:rPr>
          <w:tab/>
        </w:r>
        <w:r w:rsidR="000C644E">
          <w:rPr>
            <w:webHidden/>
          </w:rPr>
          <w:fldChar w:fldCharType="begin"/>
        </w:r>
        <w:r w:rsidR="000C644E">
          <w:rPr>
            <w:webHidden/>
          </w:rPr>
          <w:instrText xml:space="preserve"> PAGEREF _Toc65851791 \h </w:instrText>
        </w:r>
        <w:r w:rsidR="000C644E">
          <w:rPr>
            <w:webHidden/>
          </w:rPr>
        </w:r>
        <w:r w:rsidR="000C644E">
          <w:rPr>
            <w:webHidden/>
          </w:rPr>
          <w:fldChar w:fldCharType="separate"/>
        </w:r>
        <w:r w:rsidR="008A46F2">
          <w:rPr>
            <w:webHidden/>
          </w:rPr>
          <w:t>41</w:t>
        </w:r>
        <w:r w:rsidR="000C644E">
          <w:rPr>
            <w:webHidden/>
          </w:rPr>
          <w:fldChar w:fldCharType="end"/>
        </w:r>
      </w:hyperlink>
    </w:p>
    <w:p w14:paraId="57D262DF" w14:textId="286BF0D8" w:rsidR="004D56FF" w:rsidRPr="00702EA1" w:rsidRDefault="00DF0799">
      <w:pPr>
        <w:rPr>
          <w:rFonts w:cs="Arial"/>
        </w:rPr>
        <w:sectPr w:rsidR="004D56FF" w:rsidRPr="00702EA1"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r>
        <w:rPr>
          <w:rFonts w:cs="Arial"/>
        </w:rPr>
        <w:fldChar w:fldCharType="end"/>
      </w:r>
    </w:p>
    <w:p w14:paraId="34E62658" w14:textId="77777777" w:rsidR="00BB7E5C" w:rsidRPr="00251847" w:rsidRDefault="00BB7E5C" w:rsidP="006F1C04">
      <w:pPr>
        <w:pStyle w:val="Execsummaryheading"/>
        <w:spacing w:after="960"/>
      </w:pPr>
      <w:bookmarkStart w:id="0" w:name="_Toc62205735"/>
      <w:bookmarkStart w:id="1" w:name="_Toc65851757"/>
      <w:r>
        <w:lastRenderedPageBreak/>
        <w:t>Executive summary</w:t>
      </w:r>
      <w:bookmarkEnd w:id="0"/>
      <w:bookmarkEnd w:id="1"/>
    </w:p>
    <w:p w14:paraId="69CC7F57" w14:textId="40661845" w:rsidR="00D10B59" w:rsidRDefault="009E41C9" w:rsidP="004F6FE8">
      <w:pPr>
        <w:pStyle w:val="Paragraph"/>
      </w:pPr>
      <w:r w:rsidRPr="001334DA">
        <w:t xml:space="preserve">The Australian Communications and Media Authority (ACMA) </w:t>
      </w:r>
      <w:r>
        <w:t xml:space="preserve">regulates communications and media to maximise the economic and social benefits for </w:t>
      </w:r>
      <w:r w:rsidRPr="004F6FE8">
        <w:t>Australia</w:t>
      </w:r>
      <w:r>
        <w:t xml:space="preserve">. </w:t>
      </w:r>
    </w:p>
    <w:p w14:paraId="5CF22651" w14:textId="7729D8BD" w:rsidR="54A1E6E4" w:rsidRPr="00D1143B" w:rsidRDefault="54A1E6E4" w:rsidP="004F6FE8">
      <w:pPr>
        <w:pStyle w:val="Paragraph"/>
      </w:pPr>
      <w:r w:rsidRPr="004F6FE8">
        <w:t>This market study provides a snapshot of the domestic and international space sector</w:t>
      </w:r>
      <w:r w:rsidR="001D4CE7">
        <w:t>s</w:t>
      </w:r>
      <w:r w:rsidRPr="004F6FE8">
        <w:t xml:space="preserve"> to help us stay in</w:t>
      </w:r>
      <w:r w:rsidRPr="0077306B">
        <w:t xml:space="preserve">formed of developments.  </w:t>
      </w:r>
    </w:p>
    <w:p w14:paraId="653E2A55" w14:textId="77777777" w:rsidR="00D10B59" w:rsidRDefault="00D10B59" w:rsidP="00D10B59">
      <w:pPr>
        <w:pStyle w:val="Paragraphbeforelist"/>
      </w:pPr>
      <w:r>
        <w:t>The market study highlights recent growth in the space sector with implications for the ACMA:</w:t>
      </w:r>
    </w:p>
    <w:p w14:paraId="1CEAF724" w14:textId="77777777" w:rsidR="00D10B59" w:rsidRPr="00CA6CCD" w:rsidRDefault="00D10B59" w:rsidP="00D10B59">
      <w:pPr>
        <w:pStyle w:val="Bulletlevel1"/>
      </w:pPr>
      <w:r>
        <w:t>an increase in satellite filing work</w:t>
      </w:r>
    </w:p>
    <w:p w14:paraId="7D17E802" w14:textId="77777777" w:rsidR="00D10B59" w:rsidRPr="00CA6CCD" w:rsidRDefault="00D10B59" w:rsidP="00D10B59">
      <w:pPr>
        <w:pStyle w:val="Bulletlevel1"/>
      </w:pPr>
      <w:r>
        <w:t>an increase in licence application requests</w:t>
      </w:r>
    </w:p>
    <w:p w14:paraId="192C7CF4" w14:textId="77777777" w:rsidR="00D10B59" w:rsidRPr="00230D5D" w:rsidRDefault="00D10B59" w:rsidP="00D10B59">
      <w:pPr>
        <w:pStyle w:val="Bulletlevel1"/>
      </w:pPr>
      <w:r>
        <w:t>a need to provide guidance and information on spectrum requirements – to assist entrants such as start-ups and research organisations that are considering developing experimental satellite systems with short-duration missions</w:t>
      </w:r>
    </w:p>
    <w:p w14:paraId="5AC26997" w14:textId="77777777" w:rsidR="00D10B59" w:rsidRPr="00D53903" w:rsidRDefault="00D10B59" w:rsidP="00D10B59">
      <w:pPr>
        <w:pStyle w:val="Bulletlevel1last"/>
      </w:pPr>
      <w:r>
        <w:t>a need to monitor</w:t>
      </w:r>
      <w:r w:rsidRPr="00D53903">
        <w:t xml:space="preserve"> developments in emerging space-based technologies and application</w:t>
      </w:r>
      <w:r>
        <w:t>s</w:t>
      </w:r>
      <w:r w:rsidRPr="00D53903">
        <w:t>, and trends in the spectrum needs of space-based communications systems</w:t>
      </w:r>
      <w:r>
        <w:t>,</w:t>
      </w:r>
      <w:r w:rsidRPr="00D53903">
        <w:t xml:space="preserve"> with a view to informing future spectrum priorities</w:t>
      </w:r>
      <w:r>
        <w:t>.</w:t>
      </w:r>
    </w:p>
    <w:p w14:paraId="1C05F3CF" w14:textId="1C055A95" w:rsidR="00BB7E5C" w:rsidRPr="001334DA" w:rsidRDefault="0C2C936B" w:rsidP="006C6774">
      <w:pPr>
        <w:pStyle w:val="Paragraphbeforelist"/>
      </w:pPr>
      <w:r>
        <w:t>The Australian Space Agency (ASA) defines the space sector as ‘the provision of space related goods, services and applications to broader industries, [excluding] non-space (value adding) activities’.</w:t>
      </w:r>
      <w:r w:rsidR="00BB7E5C" w:rsidRPr="3139967D">
        <w:rPr>
          <w:rStyle w:val="FootnoteReference"/>
        </w:rPr>
        <w:footnoteReference w:id="2"/>
      </w:r>
      <w:r w:rsidR="68249DE4" w:rsidRPr="629F3BDB">
        <w:rPr>
          <w:rStyle w:val="FootnoteReference"/>
        </w:rPr>
        <w:t xml:space="preserve"> </w:t>
      </w:r>
      <w:r w:rsidR="264689D7">
        <w:t xml:space="preserve">The space sector supports the delivery of </w:t>
      </w:r>
      <w:r w:rsidR="36467AC9">
        <w:t xml:space="preserve">a </w:t>
      </w:r>
      <w:r w:rsidR="264689D7">
        <w:t xml:space="preserve">diverse </w:t>
      </w:r>
      <w:r w:rsidR="771794E2">
        <w:t xml:space="preserve">range of </w:t>
      </w:r>
      <w:r w:rsidR="264689D7">
        <w:t xml:space="preserve">services </w:t>
      </w:r>
      <w:r w:rsidR="01944C27">
        <w:t>including</w:t>
      </w:r>
      <w:r w:rsidR="264689D7">
        <w:t>:</w:t>
      </w:r>
    </w:p>
    <w:p w14:paraId="4A911D61" w14:textId="695383B7" w:rsidR="00BB7E5C" w:rsidRPr="001334DA" w:rsidRDefault="00691629" w:rsidP="006C6774">
      <w:pPr>
        <w:pStyle w:val="Bulletlevel1"/>
        <w:rPr>
          <w:rFonts w:ascii="Symbol" w:eastAsia="Symbol" w:hAnsi="Symbol" w:cs="Symbol"/>
        </w:rPr>
      </w:pPr>
      <w:r>
        <w:t>v</w:t>
      </w:r>
      <w:r w:rsidR="65FF3935" w:rsidRPr="3139967D">
        <w:t>oice and internet</w:t>
      </w:r>
    </w:p>
    <w:p w14:paraId="43498424" w14:textId="4532D47A" w:rsidR="00BB7E5C" w:rsidRPr="001334DA" w:rsidRDefault="00691629" w:rsidP="006C6774">
      <w:pPr>
        <w:pStyle w:val="Bulletlevel1"/>
      </w:pPr>
      <w:r>
        <w:t xml:space="preserve">the </w:t>
      </w:r>
      <w:r w:rsidR="65FF3935" w:rsidRPr="3139967D">
        <w:t>Internet of Things</w:t>
      </w:r>
      <w:r>
        <w:t xml:space="preserve"> (IoT)</w:t>
      </w:r>
    </w:p>
    <w:p w14:paraId="175843B3" w14:textId="43F0F6F2" w:rsidR="00803CCF" w:rsidRDefault="00691629" w:rsidP="00803CCF">
      <w:pPr>
        <w:pStyle w:val="Bulletlevel1"/>
      </w:pPr>
      <w:r>
        <w:t>n</w:t>
      </w:r>
      <w:r w:rsidR="65FF3935" w:rsidRPr="3139967D">
        <w:t>avigation</w:t>
      </w:r>
    </w:p>
    <w:p w14:paraId="109CA4E8" w14:textId="109363AF" w:rsidR="00691629" w:rsidRDefault="00423DDD" w:rsidP="00803CCF">
      <w:pPr>
        <w:pStyle w:val="Bulletlevel1"/>
      </w:pPr>
      <w:r>
        <w:t>r</w:t>
      </w:r>
      <w:r w:rsidR="00691629">
        <w:t>adio astronomy</w:t>
      </w:r>
    </w:p>
    <w:p w14:paraId="671FDEE7" w14:textId="6EEEA6E0" w:rsidR="00BB7E5C" w:rsidRPr="001334DA" w:rsidRDefault="00423DDD" w:rsidP="006C6774">
      <w:pPr>
        <w:pStyle w:val="Bulletlevel1"/>
      </w:pPr>
      <w:r>
        <w:t>c</w:t>
      </w:r>
      <w:r w:rsidR="00691629">
        <w:t>ommunications links to support backhaul networks</w:t>
      </w:r>
      <w:r w:rsidR="65FF3935" w:rsidRPr="3139967D">
        <w:t xml:space="preserve"> </w:t>
      </w:r>
    </w:p>
    <w:p w14:paraId="0C5A1694" w14:textId="0E3E783C" w:rsidR="00BB7E5C" w:rsidRPr="001334DA" w:rsidRDefault="00423DDD" w:rsidP="006C6774">
      <w:pPr>
        <w:pStyle w:val="Bulletlevel1last"/>
      </w:pPr>
      <w:r>
        <w:t>w</w:t>
      </w:r>
      <w:r w:rsidR="65FF3935" w:rsidRPr="3139967D">
        <w:t>eather monitoring</w:t>
      </w:r>
      <w:r w:rsidR="00D15263">
        <w:t>.</w:t>
      </w:r>
    </w:p>
    <w:p w14:paraId="7C59DE8C" w14:textId="193A958F" w:rsidR="00BB7E5C" w:rsidRPr="001334DA" w:rsidRDefault="00BB7E5C" w:rsidP="3352C131">
      <w:pPr>
        <w:pStyle w:val="Paragraph"/>
      </w:pPr>
      <w:r w:rsidRPr="001334DA">
        <w:t xml:space="preserve">The Organisation for Economic Cooperation and Development (OECD) </w:t>
      </w:r>
      <w:r w:rsidR="00B24EC8" w:rsidRPr="001334DA">
        <w:t>estimate</w:t>
      </w:r>
      <w:r w:rsidR="00B24EC8">
        <w:t>s</w:t>
      </w:r>
      <w:r w:rsidR="00B24EC8" w:rsidRPr="001334DA">
        <w:t xml:space="preserve"> </w:t>
      </w:r>
      <w:r w:rsidRPr="001334DA">
        <w:t>the</w:t>
      </w:r>
      <w:r w:rsidDel="00BB7E5C">
        <w:t xml:space="preserve"> </w:t>
      </w:r>
      <w:r w:rsidRPr="001334DA">
        <w:t xml:space="preserve">global space sector </w:t>
      </w:r>
      <w:r w:rsidR="00B24EC8">
        <w:t xml:space="preserve">was worth </w:t>
      </w:r>
      <w:r w:rsidRPr="001334DA">
        <w:t>US</w:t>
      </w:r>
      <w:r w:rsidR="00C3235B">
        <w:t>$</w:t>
      </w:r>
      <w:r w:rsidRPr="001334DA">
        <w:t>277 billion in revenues in 2018</w:t>
      </w:r>
      <w:r w:rsidR="7A03680A" w:rsidRPr="001334DA">
        <w:t>, predominantly</w:t>
      </w:r>
      <w:r w:rsidR="00D15263">
        <w:t xml:space="preserve"> </w:t>
      </w:r>
      <w:r w:rsidRPr="001334DA">
        <w:t>attributed to satellite</w:t>
      </w:r>
      <w:r w:rsidR="00B24EC8">
        <w:t xml:space="preserve"> </w:t>
      </w:r>
      <w:r w:rsidRPr="001334DA">
        <w:t>services and equipment.</w:t>
      </w:r>
      <w:r w:rsidRPr="001334DA">
        <w:rPr>
          <w:vertAlign w:val="superscript"/>
        </w:rPr>
        <w:footnoteReference w:id="3"/>
      </w:r>
    </w:p>
    <w:p w14:paraId="14A43071" w14:textId="7347BEB0" w:rsidR="78EE8F6D" w:rsidRDefault="7E76569B" w:rsidP="00AF094D">
      <w:pPr>
        <w:pStyle w:val="Paragraphbeforelist"/>
        <w:rPr>
          <w:rFonts w:eastAsia="Arial"/>
        </w:rPr>
      </w:pPr>
      <w:r>
        <w:t xml:space="preserve">This </w:t>
      </w:r>
      <w:r w:rsidR="4A487105">
        <w:t xml:space="preserve">report </w:t>
      </w:r>
      <w:r>
        <w:t xml:space="preserve">identifies </w:t>
      </w:r>
      <w:r w:rsidR="269DB519" w:rsidRPr="00AF094D">
        <w:t>several</w:t>
      </w:r>
      <w:r>
        <w:t xml:space="preserve"> developments </w:t>
      </w:r>
      <w:r w:rsidR="08438D8B">
        <w:t xml:space="preserve">shaping the global </w:t>
      </w:r>
      <w:r>
        <w:t>space sector, including:</w:t>
      </w:r>
    </w:p>
    <w:p w14:paraId="7AF420B2" w14:textId="38970B6C" w:rsidR="248BE9E7" w:rsidRDefault="41B40E73" w:rsidP="00BB7536">
      <w:pPr>
        <w:pStyle w:val="Bulletlevel1"/>
        <w:rPr>
          <w:rFonts w:ascii="Symbol" w:eastAsia="Symbol" w:hAnsi="Symbol" w:cs="Symbol"/>
        </w:rPr>
      </w:pPr>
      <w:r w:rsidRPr="00BB7536">
        <w:rPr>
          <w:b/>
        </w:rPr>
        <w:t xml:space="preserve">Investment </w:t>
      </w:r>
      <w:r w:rsidR="2A1DC9DA" w:rsidRPr="00BB7536">
        <w:rPr>
          <w:b/>
        </w:rPr>
        <w:t>envir</w:t>
      </w:r>
      <w:r w:rsidR="2A1DC9DA" w:rsidRPr="629F3BDB">
        <w:rPr>
          <w:b/>
          <w:bCs/>
        </w:rPr>
        <w:t>o</w:t>
      </w:r>
      <w:r w:rsidR="2A1DC9DA" w:rsidRPr="00BB7536">
        <w:rPr>
          <w:b/>
        </w:rPr>
        <w:t>nment</w:t>
      </w:r>
      <w:r w:rsidR="2A1DC9DA">
        <w:t xml:space="preserve">: investment </w:t>
      </w:r>
      <w:r>
        <w:t>through venture capital firms has been increasing in the space sector over the past 10 years. Start-up investment and the proportion of start-up launches has increased in recent years. Th</w:t>
      </w:r>
      <w:r w:rsidR="00624A7D">
        <w:t xml:space="preserve">e increase in </w:t>
      </w:r>
      <w:r w:rsidR="00601835">
        <w:t>the number of launches</w:t>
      </w:r>
      <w:r>
        <w:t xml:space="preserve"> has been further fuelled by reduced costs associated with CubeSats and nanosats.</w:t>
      </w:r>
    </w:p>
    <w:p w14:paraId="6F2E9E2C" w14:textId="55CA418F" w:rsidR="17043CA9" w:rsidRDefault="17043CA9" w:rsidP="00B1507B">
      <w:pPr>
        <w:pStyle w:val="Bulletlevel1"/>
        <w:keepLines/>
        <w:rPr>
          <w:rFonts w:eastAsia="Arial"/>
          <w:szCs w:val="20"/>
        </w:rPr>
      </w:pPr>
      <w:r w:rsidRPr="00BB7536">
        <w:rPr>
          <w:b/>
        </w:rPr>
        <w:lastRenderedPageBreak/>
        <w:t>Launches</w:t>
      </w:r>
      <w:r w:rsidRPr="3139967D">
        <w:t>:</w:t>
      </w:r>
      <w:r w:rsidR="389A1020" w:rsidRPr="3139967D">
        <w:t xml:space="preserve"> t</w:t>
      </w:r>
      <w:r w:rsidRPr="3139967D">
        <w:t>he cost of launching payloads into space has been falling since 2001, couple</w:t>
      </w:r>
      <w:r w:rsidR="47E44C01" w:rsidRPr="3139967D">
        <w:t>d</w:t>
      </w:r>
      <w:r w:rsidRPr="3139967D">
        <w:t xml:space="preserve"> with </w:t>
      </w:r>
      <w:r w:rsidR="46048EBB" w:rsidRPr="3139967D">
        <w:t xml:space="preserve">an increase in launch numbers. Ridesharing </w:t>
      </w:r>
      <w:r w:rsidR="00A00C35">
        <w:t xml:space="preserve">and specialised </w:t>
      </w:r>
      <w:r w:rsidR="00E36E5C">
        <w:t xml:space="preserve">small </w:t>
      </w:r>
      <w:r w:rsidR="00573916">
        <w:t>satellite (SmallSat</w:t>
      </w:r>
      <w:r w:rsidR="00973B0C">
        <w:t>, comprising mini, micro and nano satellites</w:t>
      </w:r>
      <w:r w:rsidR="00573916">
        <w:t>)</w:t>
      </w:r>
      <w:r w:rsidR="00A00C35">
        <w:t xml:space="preserve"> launch providers </w:t>
      </w:r>
      <w:r w:rsidR="46048EBB" w:rsidRPr="3139967D">
        <w:t>ha</w:t>
      </w:r>
      <w:r w:rsidR="00A00C35">
        <w:t>ve</w:t>
      </w:r>
      <w:r w:rsidR="46048EBB" w:rsidRPr="3139967D">
        <w:t xml:space="preserve"> </w:t>
      </w:r>
      <w:r w:rsidR="009A1E79">
        <w:t>reduced</w:t>
      </w:r>
      <w:r w:rsidR="46048EBB" w:rsidRPr="3139967D">
        <w:t xml:space="preserve"> barriers to entry for satelli</w:t>
      </w:r>
      <w:r w:rsidR="7620B704" w:rsidRPr="3139967D">
        <w:t>te operators by reducing launch costs.</w:t>
      </w:r>
    </w:p>
    <w:p w14:paraId="680112B5" w14:textId="234F07A9" w:rsidR="7620B704" w:rsidRDefault="4CC080F4" w:rsidP="00BB7536">
      <w:pPr>
        <w:pStyle w:val="Bulletlevel1last"/>
      </w:pPr>
      <w:r w:rsidRPr="00BB7536">
        <w:rPr>
          <w:b/>
        </w:rPr>
        <w:t>Payloads</w:t>
      </w:r>
      <w:r>
        <w:t>: satellite</w:t>
      </w:r>
      <w:r w:rsidR="7916323F">
        <w:t>s</w:t>
      </w:r>
      <w:r>
        <w:t xml:space="preserve"> rema</w:t>
      </w:r>
      <w:r w:rsidR="6C736F35">
        <w:t>i</w:t>
      </w:r>
      <w:r>
        <w:t xml:space="preserve">n the most common payload </w:t>
      </w:r>
      <w:r w:rsidR="1BA342D4">
        <w:t>launched into space</w:t>
      </w:r>
      <w:r w:rsidR="5780392A">
        <w:t>. The number of satellite</w:t>
      </w:r>
      <w:r w:rsidR="37BF101E">
        <w:t xml:space="preserve"> payloads has doubled in the </w:t>
      </w:r>
      <w:r w:rsidR="2FD815FD">
        <w:t>past 20 years. Small</w:t>
      </w:r>
      <w:r w:rsidR="705BC068">
        <w:t>S</w:t>
      </w:r>
      <w:r w:rsidR="2FD815FD">
        <w:t>at satellite</w:t>
      </w:r>
      <w:r w:rsidR="43B4F4F6">
        <w:t xml:space="preserve"> deployments are an area of growth. One estimate is that average number of SmallSat</w:t>
      </w:r>
      <w:r w:rsidR="34E309DC">
        <w:t>s</w:t>
      </w:r>
      <w:r w:rsidR="43B4F4F6">
        <w:t xml:space="preserve"> </w:t>
      </w:r>
      <w:r w:rsidR="7354719F">
        <w:t>launche</w:t>
      </w:r>
      <w:r w:rsidR="77C51D0F">
        <w:t xml:space="preserve">d per year will increase from 181 </w:t>
      </w:r>
      <w:r w:rsidR="5FE9ADA4">
        <w:t>in 20</w:t>
      </w:r>
      <w:r w:rsidR="00513E91">
        <w:t>19</w:t>
      </w:r>
      <w:r w:rsidR="5FE9ADA4">
        <w:t xml:space="preserve"> </w:t>
      </w:r>
      <w:r w:rsidR="77C51D0F">
        <w:t>to 1,011 by 2029.</w:t>
      </w:r>
    </w:p>
    <w:p w14:paraId="437C482F" w14:textId="29E59385" w:rsidR="00BB7E5C" w:rsidRDefault="77C51D0F" w:rsidP="00BB7536">
      <w:pPr>
        <w:pStyle w:val="Paragraph"/>
      </w:pPr>
      <w:r>
        <w:t xml:space="preserve">The Australian </w:t>
      </w:r>
      <w:r w:rsidR="36B4A569">
        <w:t>space sector has received a renewed focus with the establishment of the ASA on 1 July 2018. The ASA aims to gr</w:t>
      </w:r>
      <w:r w:rsidR="75598A9A">
        <w:t>ow the Australian space sector to be worth A$12 billion per annum by 2030 – supporting a</w:t>
      </w:r>
      <w:r w:rsidR="70569F7A">
        <w:t xml:space="preserve"> further</w:t>
      </w:r>
      <w:r w:rsidR="75598A9A">
        <w:t xml:space="preserve"> 20,000 space industry jobs.</w:t>
      </w:r>
    </w:p>
    <w:p w14:paraId="47B53E93" w14:textId="77777777" w:rsidR="00001A59" w:rsidRPr="00025E26" w:rsidRDefault="00001A59" w:rsidP="00001A59">
      <w:pPr>
        <w:pStyle w:val="Paragraph"/>
        <w:keepNext/>
        <w:keepLines/>
        <w:rPr>
          <w:rStyle w:val="Hyperlink"/>
        </w:rPr>
      </w:pPr>
      <w:r>
        <w:t xml:space="preserve">The ASA has identified 6 focus areas in its </w:t>
      </w:r>
      <w:hyperlink r:id="rId27" w:history="1">
        <w:r>
          <w:t>Communications Technologies and Services Roadmap</w:t>
        </w:r>
      </w:hyperlink>
      <w:r w:rsidRPr="00025E26">
        <w:rPr>
          <w:i/>
          <w:iCs/>
        </w:rPr>
        <w:t xml:space="preserve"> </w:t>
      </w:r>
      <w:r>
        <w:t xml:space="preserve">as areas of greatest opportunity for Australia. This is linked with other government initiatives, such as the </w:t>
      </w:r>
      <w:hyperlink r:id="rId28" w:history="1">
        <w:r>
          <w:t>Space Infrastructure Fund</w:t>
        </w:r>
      </w:hyperlink>
      <w:r>
        <w:t xml:space="preserve"> and </w:t>
      </w:r>
      <w:hyperlink r:id="rId29" w:history="1">
        <w:r>
          <w:t>International Space Investment – Expand Capability Grants</w:t>
        </w:r>
      </w:hyperlink>
      <w:r w:rsidRPr="0033391F">
        <w:t xml:space="preserve"> wh</w:t>
      </w:r>
      <w:r>
        <w:t>ich are seeking to grow Australia’s space sector.</w:t>
      </w:r>
      <w:r>
        <w:rPr>
          <w:rStyle w:val="Hyperlink"/>
        </w:rPr>
        <w:t xml:space="preserve"> </w:t>
      </w:r>
    </w:p>
    <w:p w14:paraId="27C7D95D" w14:textId="26D9973D" w:rsidR="00BB7E5C" w:rsidRDefault="75598A9A" w:rsidP="00025E26">
      <w:pPr>
        <w:pStyle w:val="Paragraphbeforelist"/>
        <w:rPr>
          <w:szCs w:val="20"/>
        </w:rPr>
      </w:pPr>
      <w:r w:rsidRPr="629F3BDB">
        <w:t>I</w:t>
      </w:r>
      <w:r w:rsidR="5A2036D5" w:rsidRPr="629F3BDB">
        <w:t>BIS W</w:t>
      </w:r>
      <w:r w:rsidRPr="629F3BDB">
        <w:t>orld</w:t>
      </w:r>
      <w:r w:rsidR="6939F283" w:rsidRPr="629F3BDB">
        <w:t>, a</w:t>
      </w:r>
      <w:r w:rsidR="004C23AF">
        <w:t>n industry</w:t>
      </w:r>
      <w:r w:rsidR="6939F283" w:rsidRPr="629F3BDB">
        <w:t xml:space="preserve"> research firm, </w:t>
      </w:r>
      <w:r w:rsidRPr="629F3BDB">
        <w:t xml:space="preserve">estimates the Australian space sector generated A$5.7 billion in 2020, with </w:t>
      </w:r>
      <w:r w:rsidR="2BE2D7B1" w:rsidRPr="629F3BDB">
        <w:t>829 businesses supporting 15,234 jobs. Key factors or trends relevant to the Australian space market include</w:t>
      </w:r>
      <w:r w:rsidR="00BB7E5C">
        <w:t>:</w:t>
      </w:r>
    </w:p>
    <w:p w14:paraId="38EA8D77" w14:textId="77777777" w:rsidR="00BB7E5C" w:rsidRDefault="00BB7E5C" w:rsidP="00BB7E5C">
      <w:pPr>
        <w:pStyle w:val="ListBullet"/>
      </w:pPr>
      <w:r>
        <w:t>Australia's geographic position providing a strategic advantage for space observation</w:t>
      </w:r>
    </w:p>
    <w:p w14:paraId="33D187D3" w14:textId="77777777" w:rsidR="00BB7E5C" w:rsidRDefault="00BB7E5C" w:rsidP="00BB7E5C">
      <w:pPr>
        <w:pStyle w:val="ListBullet"/>
      </w:pPr>
      <w:r>
        <w:t>flow-on benefits to regional Australia through industry growth</w:t>
      </w:r>
    </w:p>
    <w:p w14:paraId="0854758F" w14:textId="67D95A74" w:rsidR="00BB7E5C" w:rsidRDefault="00BB7E5C" w:rsidP="00BB7E5C">
      <w:pPr>
        <w:pStyle w:val="Bulletlevel1last"/>
      </w:pPr>
      <w:r>
        <w:t xml:space="preserve">innovation and multinational space projects, as highlighted by </w:t>
      </w:r>
      <w:r w:rsidR="00857012">
        <w:t xml:space="preserve">the </w:t>
      </w:r>
      <w:r>
        <w:t>investment trends above, lead to increased opportunities.</w:t>
      </w:r>
    </w:p>
    <w:p w14:paraId="58C3E647" w14:textId="01D8AD45" w:rsidR="00F64410" w:rsidRDefault="00F64410" w:rsidP="00B1507B">
      <w:pPr>
        <w:pStyle w:val="Heading2"/>
        <w:keepLines/>
        <w:spacing w:after="240"/>
      </w:pPr>
      <w:bookmarkStart w:id="2" w:name="_Toc65851758"/>
      <w:r>
        <w:lastRenderedPageBreak/>
        <w:t>Analysis of space sector businesses</w:t>
      </w:r>
      <w:bookmarkEnd w:id="2"/>
    </w:p>
    <w:tbl>
      <w:tblPr>
        <w:tblStyle w:val="ACMAtablestyle"/>
        <w:tblW w:w="0" w:type="auto"/>
        <w:tblCellMar>
          <w:top w:w="113" w:type="dxa"/>
          <w:left w:w="113" w:type="dxa"/>
          <w:bottom w:w="113" w:type="dxa"/>
          <w:right w:w="113" w:type="dxa"/>
        </w:tblCellMar>
        <w:tblLook w:val="0420" w:firstRow="1" w:lastRow="0" w:firstColumn="0" w:lastColumn="0" w:noHBand="0" w:noVBand="1"/>
      </w:tblPr>
      <w:tblGrid>
        <w:gridCol w:w="856"/>
        <w:gridCol w:w="6652"/>
      </w:tblGrid>
      <w:tr w:rsidR="00BB7E5C" w14:paraId="67819C0E" w14:textId="77777777" w:rsidTr="00B1507B">
        <w:trPr>
          <w:cnfStyle w:val="100000000000" w:firstRow="1" w:lastRow="0" w:firstColumn="0" w:lastColumn="0" w:oddVBand="0" w:evenVBand="0" w:oddHBand="0" w:evenHBand="0" w:firstRowFirstColumn="0" w:firstRowLastColumn="0" w:lastRowFirstColumn="0" w:lastRowLastColumn="0"/>
          <w:trHeight w:val="744"/>
        </w:trPr>
        <w:tc>
          <w:tcPr>
            <w:tcW w:w="0" w:type="dxa"/>
            <w:tcBorders>
              <w:top w:val="nil"/>
              <w:left w:val="nil"/>
              <w:bottom w:val="nil"/>
            </w:tcBorders>
            <w:shd w:val="clear" w:color="auto" w:fill="E8EAF4"/>
            <w:vAlign w:val="center"/>
          </w:tcPr>
          <w:p w14:paraId="69F5F758" w14:textId="11A057ED" w:rsidR="00BB7E5C" w:rsidRDefault="00091134" w:rsidP="00617871">
            <w:pPr>
              <w:pStyle w:val="TableBody"/>
              <w:keepNext/>
              <w:keepLines/>
              <w:jc w:val="center"/>
            </w:pPr>
            <w:r w:rsidRPr="1CC3DC31">
              <w:rPr>
                <w:noProof/>
              </w:rPr>
              <w:t xml:space="preserve"> </w:t>
            </w:r>
            <w:r w:rsidR="003C1CB6">
              <w:rPr>
                <w:noProof/>
              </w:rPr>
              <w:drawing>
                <wp:inline distT="0" distB="0" distL="0" distR="0" wp14:anchorId="54267E85" wp14:editId="5D4B4F3B">
                  <wp:extent cx="323850" cy="323850"/>
                  <wp:effectExtent l="0" t="0" r="0" b="0"/>
                  <wp:docPr id="21" name="Graphic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a:extLst>
                              <a:ext uri="{C183D7F6-B498-43B3-948B-1728B52AA6E4}">
                                <adec:decorative xmlns:adec="http://schemas.microsoft.com/office/drawing/2017/decorative" val="1"/>
                              </a:ext>
                            </a:extLst>
                          </pic:cNvPr>
                          <pic:cNvPicPr/>
                        </pic:nvPicPr>
                        <pic:blipFill>
                          <a:blip r:embed="rId30">
                            <a:extLst>
                              <a:ext uri="{96DAC541-7B7A-43D3-8B79-37D633B846F1}">
                                <asvg:svgBlip xmlns:asvg="http://schemas.microsoft.com/office/drawing/2016/SVG/main" r:embed="rId31"/>
                              </a:ext>
                            </a:extLst>
                          </a:blip>
                          <a:stretch>
                            <a:fillRect/>
                          </a:stretch>
                        </pic:blipFill>
                        <pic:spPr>
                          <a:xfrm>
                            <a:off x="0" y="0"/>
                            <a:ext cx="323850" cy="323850"/>
                          </a:xfrm>
                          <a:prstGeom prst="rect">
                            <a:avLst/>
                          </a:prstGeom>
                        </pic:spPr>
                      </pic:pic>
                    </a:graphicData>
                  </a:graphic>
                </wp:inline>
              </w:drawing>
            </w:r>
          </w:p>
        </w:tc>
        <w:tc>
          <w:tcPr>
            <w:tcW w:w="0" w:type="dxa"/>
            <w:tcBorders>
              <w:top w:val="nil"/>
              <w:bottom w:val="nil"/>
              <w:right w:val="nil"/>
            </w:tcBorders>
            <w:shd w:val="clear" w:color="auto" w:fill="E8EAF4"/>
            <w:vAlign w:val="center"/>
          </w:tcPr>
          <w:p w14:paraId="1C1EDFEF" w14:textId="16F031AD" w:rsidR="00BB7E5C" w:rsidRPr="00DD4C67" w:rsidRDefault="003727DA" w:rsidP="00617871">
            <w:pPr>
              <w:pStyle w:val="TableBody"/>
              <w:keepNext/>
              <w:keepLines/>
              <w:rPr>
                <w:color w:val="auto"/>
              </w:rPr>
            </w:pPr>
            <w:r w:rsidRPr="00DD4C67">
              <w:rPr>
                <w:color w:val="auto"/>
              </w:rPr>
              <w:t xml:space="preserve">We examined </w:t>
            </w:r>
            <w:r w:rsidR="00BB7E5C" w:rsidRPr="00DD4C67">
              <w:rPr>
                <w:color w:val="auto"/>
              </w:rPr>
              <w:t>31 entities operating within the space sector</w:t>
            </w:r>
            <w:r w:rsidR="00BA45B1" w:rsidRPr="00DD4C67">
              <w:rPr>
                <w:color w:val="auto"/>
              </w:rPr>
              <w:t>.</w:t>
            </w:r>
          </w:p>
        </w:tc>
      </w:tr>
      <w:tr w:rsidR="00BB7E5C" w14:paraId="622D262B" w14:textId="77777777" w:rsidTr="00617871">
        <w:trPr>
          <w:cnfStyle w:val="000000100000" w:firstRow="0" w:lastRow="0" w:firstColumn="0" w:lastColumn="0" w:oddVBand="0" w:evenVBand="0" w:oddHBand="1" w:evenHBand="0" w:firstRowFirstColumn="0" w:firstRowLastColumn="0" w:lastRowFirstColumn="0" w:lastRowLastColumn="0"/>
          <w:trHeight w:val="1906"/>
        </w:trPr>
        <w:tc>
          <w:tcPr>
            <w:tcW w:w="856" w:type="dxa"/>
            <w:tcBorders>
              <w:top w:val="nil"/>
              <w:left w:val="nil"/>
              <w:bottom w:val="nil"/>
              <w:right w:val="nil"/>
            </w:tcBorders>
            <w:shd w:val="clear" w:color="auto" w:fill="F1F3F9"/>
          </w:tcPr>
          <w:p w14:paraId="724CA2D2" w14:textId="7696C8C0" w:rsidR="00BB7E5C" w:rsidRDefault="00091134" w:rsidP="00617871">
            <w:pPr>
              <w:pStyle w:val="TableBody"/>
              <w:keepNext/>
              <w:keepLines/>
              <w:jc w:val="center"/>
              <w:rPr>
                <w:noProof/>
              </w:rPr>
            </w:pPr>
            <w:r w:rsidRPr="1CC3DC31">
              <w:rPr>
                <w:noProof/>
              </w:rPr>
              <w:t xml:space="preserve"> </w:t>
            </w:r>
            <w:r w:rsidR="008B0DF5">
              <w:rPr>
                <w:noProof/>
              </w:rPr>
              <w:drawing>
                <wp:inline distT="0" distB="0" distL="0" distR="0" wp14:anchorId="73D5850C" wp14:editId="2D2B72A9">
                  <wp:extent cx="333375" cy="333375"/>
                  <wp:effectExtent l="0" t="0" r="9525" b="9525"/>
                  <wp:docPr id="22" name="Graphic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raphic 22">
                            <a:extLst>
                              <a:ext uri="{C183D7F6-B498-43B3-948B-1728B52AA6E4}">
                                <adec:decorative xmlns:adec="http://schemas.microsoft.com/office/drawing/2017/decorative" val="1"/>
                              </a:ext>
                            </a:extLst>
                          </pic:cNvPr>
                          <pic:cNvPicPr/>
                        </pic:nvPicPr>
                        <pic:blipFill>
                          <a:blip r:embed="rId32">
                            <a:extLst>
                              <a:ext uri="{96DAC541-7B7A-43D3-8B79-37D633B846F1}">
                                <asvg:svgBlip xmlns:asvg="http://schemas.microsoft.com/office/drawing/2016/SVG/main" r:embed="rId33"/>
                              </a:ext>
                            </a:extLst>
                          </a:blip>
                          <a:stretch>
                            <a:fillRect/>
                          </a:stretch>
                        </pic:blipFill>
                        <pic:spPr>
                          <a:xfrm>
                            <a:off x="0" y="0"/>
                            <a:ext cx="333375" cy="333375"/>
                          </a:xfrm>
                          <a:prstGeom prst="rect">
                            <a:avLst/>
                          </a:prstGeom>
                        </pic:spPr>
                      </pic:pic>
                    </a:graphicData>
                  </a:graphic>
                </wp:inline>
              </w:drawing>
            </w:r>
          </w:p>
        </w:tc>
        <w:tc>
          <w:tcPr>
            <w:tcW w:w="6652" w:type="dxa"/>
            <w:tcBorders>
              <w:top w:val="nil"/>
              <w:left w:val="nil"/>
              <w:bottom w:val="nil"/>
              <w:right w:val="nil"/>
            </w:tcBorders>
            <w:shd w:val="clear" w:color="auto" w:fill="F1F3F9"/>
            <w:vAlign w:val="center"/>
          </w:tcPr>
          <w:p w14:paraId="010F350C" w14:textId="41F26421" w:rsidR="00BB7E5C" w:rsidRDefault="00BB7E5C" w:rsidP="00617871">
            <w:pPr>
              <w:pStyle w:val="Paragraphbeforelist"/>
              <w:keepNext/>
              <w:keepLines/>
            </w:pPr>
            <w:r>
              <w:t>Due to the high capital expenditures associated with manufacturing, launching and operating of satellites</w:t>
            </w:r>
            <w:r w:rsidR="003727DA">
              <w:t>,</w:t>
            </w:r>
            <w:r>
              <w:t xml:space="preserve"> it </w:t>
            </w:r>
            <w:r w:rsidR="003727DA">
              <w:t>was</w:t>
            </w:r>
            <w:r>
              <w:t xml:space="preserve"> </w:t>
            </w:r>
            <w:r w:rsidR="003727DA">
              <w:t xml:space="preserve">common </w:t>
            </w:r>
            <w:r>
              <w:t>to observe:</w:t>
            </w:r>
          </w:p>
          <w:p w14:paraId="3F72D06C" w14:textId="77777777" w:rsidR="00BB7E5C" w:rsidRDefault="00BB7E5C" w:rsidP="00617871">
            <w:pPr>
              <w:pStyle w:val="Bulletlevel1"/>
              <w:keepNext/>
              <w:keepLines/>
            </w:pPr>
            <w:r>
              <w:t>government investment or ownership of space sector companies</w:t>
            </w:r>
          </w:p>
          <w:p w14:paraId="32B28884" w14:textId="6B90BDB2" w:rsidR="00BB7E5C" w:rsidRDefault="00BB7E5C" w:rsidP="00617871">
            <w:pPr>
              <w:pStyle w:val="Bulletlevel1"/>
              <w:keepNext/>
              <w:keepLines/>
            </w:pPr>
            <w:r>
              <w:t xml:space="preserve">businesses relying on large amounts of debt (leading to restructuring of finances via mechanisms </w:t>
            </w:r>
            <w:r w:rsidR="003727DA">
              <w:t xml:space="preserve">such </w:t>
            </w:r>
            <w:r>
              <w:t>as Chapter 11 bankruptcy)</w:t>
            </w:r>
          </w:p>
          <w:p w14:paraId="062C07A0" w14:textId="211B1986" w:rsidR="00BB7E5C" w:rsidRDefault="00BB7E5C" w:rsidP="00060089">
            <w:pPr>
              <w:pStyle w:val="Bulletlevel1"/>
            </w:pPr>
            <w:r>
              <w:t>EBITDA and revenue figures to be healthy</w:t>
            </w:r>
            <w:r w:rsidR="003727DA">
              <w:t>,</w:t>
            </w:r>
            <w:r>
              <w:t xml:space="preserve"> while net income or profits to be low</w:t>
            </w:r>
            <w:r w:rsidR="003727DA">
              <w:t>,</w:t>
            </w:r>
            <w:r>
              <w:t xml:space="preserve"> due to </w:t>
            </w:r>
            <w:r w:rsidR="003727DA">
              <w:t xml:space="preserve">high </w:t>
            </w:r>
            <w:r>
              <w:t xml:space="preserve">depreciation and interest </w:t>
            </w:r>
            <w:r w:rsidR="003727DA">
              <w:t>costs</w:t>
            </w:r>
            <w:r w:rsidR="00DB0A0C">
              <w:t>.</w:t>
            </w:r>
          </w:p>
        </w:tc>
      </w:tr>
      <w:tr w:rsidR="00BB7E5C" w14:paraId="48E094CD" w14:textId="77777777" w:rsidTr="00617871">
        <w:trPr>
          <w:cnfStyle w:val="000000010000" w:firstRow="0" w:lastRow="0" w:firstColumn="0" w:lastColumn="0" w:oddVBand="0" w:evenVBand="0" w:oddHBand="0" w:evenHBand="1" w:firstRowFirstColumn="0" w:firstRowLastColumn="0" w:lastRowFirstColumn="0" w:lastRowLastColumn="0"/>
          <w:trHeight w:val="803"/>
        </w:trPr>
        <w:tc>
          <w:tcPr>
            <w:tcW w:w="856" w:type="dxa"/>
            <w:tcBorders>
              <w:top w:val="nil"/>
              <w:left w:val="nil"/>
              <w:bottom w:val="nil"/>
              <w:right w:val="nil"/>
            </w:tcBorders>
            <w:shd w:val="clear" w:color="auto" w:fill="E8EAF4"/>
            <w:vAlign w:val="center"/>
          </w:tcPr>
          <w:p w14:paraId="791E1D6E" w14:textId="00D83B29" w:rsidR="00BB7E5C" w:rsidRDefault="00091134" w:rsidP="00617871">
            <w:pPr>
              <w:pStyle w:val="TableBody"/>
              <w:keepNext/>
              <w:keepLines/>
              <w:jc w:val="center"/>
              <w:rPr>
                <w:noProof/>
              </w:rPr>
            </w:pPr>
            <w:r w:rsidRPr="1CC3DC31">
              <w:rPr>
                <w:noProof/>
              </w:rPr>
              <w:t xml:space="preserve"> </w:t>
            </w:r>
            <w:r w:rsidR="003604C4">
              <w:rPr>
                <w:noProof/>
              </w:rPr>
              <w:drawing>
                <wp:inline distT="0" distB="0" distL="0" distR="0" wp14:anchorId="55A2EC9E" wp14:editId="76DA8A45">
                  <wp:extent cx="352425" cy="266700"/>
                  <wp:effectExtent l="0" t="0" r="9525" b="0"/>
                  <wp:docPr id="20" name="Graphic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Graphic 20">
                            <a:extLst>
                              <a:ext uri="{C183D7F6-B498-43B3-948B-1728B52AA6E4}">
                                <adec:decorative xmlns:adec="http://schemas.microsoft.com/office/drawing/2017/decorative" val="1"/>
                              </a:ext>
                            </a:extLst>
                          </pic:cNvPr>
                          <pic:cNvPicPr/>
                        </pic:nvPicPr>
                        <pic:blipFill>
                          <a:blip r:embed="rId34">
                            <a:extLst>
                              <a:ext uri="{96DAC541-7B7A-43D3-8B79-37D633B846F1}">
                                <asvg:svgBlip xmlns:asvg="http://schemas.microsoft.com/office/drawing/2016/SVG/main" r:embed="rId35"/>
                              </a:ext>
                            </a:extLst>
                          </a:blip>
                          <a:stretch>
                            <a:fillRect/>
                          </a:stretch>
                        </pic:blipFill>
                        <pic:spPr>
                          <a:xfrm>
                            <a:off x="0" y="0"/>
                            <a:ext cx="352425" cy="266700"/>
                          </a:xfrm>
                          <a:prstGeom prst="rect">
                            <a:avLst/>
                          </a:prstGeom>
                        </pic:spPr>
                      </pic:pic>
                    </a:graphicData>
                  </a:graphic>
                </wp:inline>
              </w:drawing>
            </w:r>
          </w:p>
        </w:tc>
        <w:tc>
          <w:tcPr>
            <w:tcW w:w="6652" w:type="dxa"/>
            <w:tcBorders>
              <w:top w:val="nil"/>
              <w:left w:val="nil"/>
              <w:bottom w:val="nil"/>
              <w:right w:val="nil"/>
            </w:tcBorders>
            <w:shd w:val="clear" w:color="auto" w:fill="E8EAF4"/>
            <w:vAlign w:val="center"/>
          </w:tcPr>
          <w:p w14:paraId="135BEEB0" w14:textId="584D917D" w:rsidR="00BB7E5C" w:rsidRDefault="00BB7E5C" w:rsidP="00617871">
            <w:pPr>
              <w:pStyle w:val="TableBody"/>
              <w:keepNext/>
              <w:keepLines/>
            </w:pPr>
            <w:r>
              <w:t xml:space="preserve">Businesses which have relied on </w:t>
            </w:r>
            <w:r w:rsidR="008B139B">
              <w:t xml:space="preserve">revenues from </w:t>
            </w:r>
            <w:r>
              <w:t xml:space="preserve">communications </w:t>
            </w:r>
            <w:r w:rsidR="002528EA">
              <w:t xml:space="preserve">in </w:t>
            </w:r>
            <w:r>
              <w:t xml:space="preserve">the transportation sector have faced negative impacts from </w:t>
            </w:r>
            <w:r w:rsidR="003727DA">
              <w:t xml:space="preserve">the </w:t>
            </w:r>
            <w:r>
              <w:t>COVID-19</w:t>
            </w:r>
            <w:r w:rsidR="003727DA">
              <w:t xml:space="preserve"> pandemic</w:t>
            </w:r>
            <w:r>
              <w:t>.</w:t>
            </w:r>
          </w:p>
        </w:tc>
      </w:tr>
      <w:tr w:rsidR="00BB7E5C" w14:paraId="5D98597D" w14:textId="77777777" w:rsidTr="00617871">
        <w:trPr>
          <w:cnfStyle w:val="000000100000" w:firstRow="0" w:lastRow="0" w:firstColumn="0" w:lastColumn="0" w:oddVBand="0" w:evenVBand="0" w:oddHBand="1" w:evenHBand="0" w:firstRowFirstColumn="0" w:firstRowLastColumn="0" w:lastRowFirstColumn="0" w:lastRowLastColumn="0"/>
          <w:trHeight w:val="775"/>
        </w:trPr>
        <w:tc>
          <w:tcPr>
            <w:tcW w:w="856" w:type="dxa"/>
            <w:tcBorders>
              <w:top w:val="nil"/>
              <w:left w:val="nil"/>
              <w:bottom w:val="nil"/>
              <w:right w:val="nil"/>
            </w:tcBorders>
            <w:shd w:val="clear" w:color="auto" w:fill="F1F3F9"/>
            <w:vAlign w:val="center"/>
          </w:tcPr>
          <w:p w14:paraId="6AB96585" w14:textId="02623ED5" w:rsidR="00BB7E5C" w:rsidRDefault="00091134" w:rsidP="00617871">
            <w:pPr>
              <w:pStyle w:val="TableBody"/>
              <w:keepNext/>
              <w:keepLines/>
              <w:jc w:val="center"/>
              <w:rPr>
                <w:noProof/>
              </w:rPr>
            </w:pPr>
            <w:r w:rsidRPr="1CC3DC31">
              <w:rPr>
                <w:noProof/>
              </w:rPr>
              <w:t xml:space="preserve"> </w:t>
            </w:r>
            <w:r w:rsidR="00D822C0">
              <w:rPr>
                <w:noProof/>
              </w:rPr>
              <w:drawing>
                <wp:inline distT="0" distB="0" distL="0" distR="0" wp14:anchorId="59EAAE46" wp14:editId="054B07FA">
                  <wp:extent cx="353695" cy="267970"/>
                  <wp:effectExtent l="0" t="0" r="8255" b="0"/>
                  <wp:docPr id="24" name="Picture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a:extLst>
                              <a:ext uri="{C183D7F6-B498-43B3-948B-1728B52AA6E4}">
                                <adec:decorative xmlns:adec="http://schemas.microsoft.com/office/drawing/2017/decorative" val="1"/>
                              </a:ext>
                            </a:extLst>
                          </pic:cNvPr>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53695" cy="267970"/>
                          </a:xfrm>
                          <a:prstGeom prst="rect">
                            <a:avLst/>
                          </a:prstGeom>
                          <a:noFill/>
                        </pic:spPr>
                      </pic:pic>
                    </a:graphicData>
                  </a:graphic>
                </wp:inline>
              </w:drawing>
            </w:r>
          </w:p>
        </w:tc>
        <w:tc>
          <w:tcPr>
            <w:tcW w:w="6652" w:type="dxa"/>
            <w:tcBorders>
              <w:top w:val="nil"/>
              <w:left w:val="nil"/>
              <w:bottom w:val="nil"/>
              <w:right w:val="nil"/>
            </w:tcBorders>
            <w:shd w:val="clear" w:color="auto" w:fill="F1F3F9"/>
            <w:vAlign w:val="center"/>
          </w:tcPr>
          <w:p w14:paraId="6578927B" w14:textId="3E4298DA" w:rsidR="00BB7E5C" w:rsidRDefault="00BB7E5C" w:rsidP="00617871">
            <w:pPr>
              <w:pStyle w:val="TableBody"/>
              <w:keepNext/>
              <w:keepLines/>
            </w:pPr>
            <w:r>
              <w:t>Business revenues associated with communication services</w:t>
            </w:r>
            <w:r w:rsidR="0033538F">
              <w:t xml:space="preserve"> (</w:t>
            </w:r>
            <w:r w:rsidR="00D539A9">
              <w:t>such as</w:t>
            </w:r>
            <w:r w:rsidR="0033538F">
              <w:t xml:space="preserve"> telecommunications</w:t>
            </w:r>
            <w:r w:rsidR="00D539A9">
              <w:t xml:space="preserve"> and</w:t>
            </w:r>
            <w:r w:rsidR="0033538F">
              <w:t xml:space="preserve"> </w:t>
            </w:r>
            <w:r w:rsidR="00BE386C">
              <w:t>IoT)</w:t>
            </w:r>
            <w:r>
              <w:t xml:space="preserve"> </w:t>
            </w:r>
            <w:r w:rsidR="00BE386C">
              <w:t xml:space="preserve">have increased or remained stable </w:t>
            </w:r>
            <w:r w:rsidR="003727DA">
              <w:t xml:space="preserve">during the </w:t>
            </w:r>
            <w:r>
              <w:t>COVID-19</w:t>
            </w:r>
            <w:r w:rsidR="003727DA">
              <w:t xml:space="preserve"> pandemic</w:t>
            </w:r>
            <w:r>
              <w:t>.</w:t>
            </w:r>
          </w:p>
        </w:tc>
      </w:tr>
      <w:tr w:rsidR="00BB7E5C" w14:paraId="29CAAB14" w14:textId="77777777" w:rsidTr="00617871">
        <w:trPr>
          <w:cnfStyle w:val="000000010000" w:firstRow="0" w:lastRow="0" w:firstColumn="0" w:lastColumn="0" w:oddVBand="0" w:evenVBand="0" w:oddHBand="0" w:evenHBand="1" w:firstRowFirstColumn="0" w:firstRowLastColumn="0" w:lastRowFirstColumn="0" w:lastRowLastColumn="0"/>
          <w:trHeight w:val="673"/>
        </w:trPr>
        <w:tc>
          <w:tcPr>
            <w:tcW w:w="856" w:type="dxa"/>
            <w:tcBorders>
              <w:top w:val="nil"/>
              <w:left w:val="nil"/>
              <w:bottom w:val="nil"/>
              <w:right w:val="nil"/>
            </w:tcBorders>
            <w:shd w:val="clear" w:color="auto" w:fill="E8EAF4"/>
            <w:vAlign w:val="center"/>
          </w:tcPr>
          <w:p w14:paraId="38AE0453" w14:textId="0E1127EE" w:rsidR="00BB7E5C" w:rsidRDefault="00091134" w:rsidP="00617871">
            <w:pPr>
              <w:pStyle w:val="TableBody"/>
              <w:keepNext/>
              <w:keepLines/>
              <w:jc w:val="center"/>
            </w:pPr>
            <w:r w:rsidRPr="1CC3DC31">
              <w:rPr>
                <w:noProof/>
              </w:rPr>
              <w:t xml:space="preserve"> </w:t>
            </w:r>
            <w:r w:rsidR="00780ABF">
              <w:rPr>
                <w:noProof/>
              </w:rPr>
              <w:drawing>
                <wp:inline distT="0" distB="0" distL="0" distR="0" wp14:anchorId="47F94167" wp14:editId="38F760D8">
                  <wp:extent cx="341630" cy="372110"/>
                  <wp:effectExtent l="0" t="0" r="1270" b="8890"/>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a:extLst>
                              <a:ext uri="{C183D7F6-B498-43B3-948B-1728B52AA6E4}">
                                <adec:decorative xmlns:adec="http://schemas.microsoft.com/office/drawing/2017/decorative" val="1"/>
                              </a:ext>
                            </a:extLst>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41630" cy="372110"/>
                          </a:xfrm>
                          <a:prstGeom prst="rect">
                            <a:avLst/>
                          </a:prstGeom>
                          <a:noFill/>
                        </pic:spPr>
                      </pic:pic>
                    </a:graphicData>
                  </a:graphic>
                </wp:inline>
              </w:drawing>
            </w:r>
          </w:p>
        </w:tc>
        <w:tc>
          <w:tcPr>
            <w:tcW w:w="6652" w:type="dxa"/>
            <w:tcBorders>
              <w:top w:val="nil"/>
              <w:left w:val="nil"/>
              <w:bottom w:val="nil"/>
              <w:right w:val="nil"/>
            </w:tcBorders>
            <w:shd w:val="clear" w:color="auto" w:fill="E8EAF4"/>
            <w:vAlign w:val="center"/>
          </w:tcPr>
          <w:p w14:paraId="06E8BDEC" w14:textId="77777777" w:rsidR="00BB7E5C" w:rsidRDefault="00BB7E5C" w:rsidP="00617871">
            <w:pPr>
              <w:pStyle w:val="TableBody"/>
              <w:keepNext/>
              <w:keepLines/>
            </w:pPr>
            <w:r w:rsidRPr="007458F3">
              <w:t xml:space="preserve">Revenues from government contracts </w:t>
            </w:r>
            <w:r>
              <w:t>have</w:t>
            </w:r>
            <w:r w:rsidRPr="007458F3">
              <w:t xml:space="preserve"> been mixed</w:t>
            </w:r>
            <w:r w:rsidR="003727DA">
              <w:t>,</w:t>
            </w:r>
            <w:r w:rsidRPr="007458F3">
              <w:t xml:space="preserve"> depending on each country’s response to </w:t>
            </w:r>
            <w:r w:rsidR="003727DA">
              <w:t xml:space="preserve">the </w:t>
            </w:r>
            <w:r w:rsidRPr="007458F3">
              <w:t>COVID-19</w:t>
            </w:r>
            <w:r w:rsidR="003727DA">
              <w:t xml:space="preserve"> pandemic</w:t>
            </w:r>
            <w:r w:rsidRPr="007458F3">
              <w:t>.</w:t>
            </w:r>
          </w:p>
        </w:tc>
      </w:tr>
      <w:tr w:rsidR="00BB7E5C" w14:paraId="70E7C5B1" w14:textId="77777777" w:rsidTr="00617871">
        <w:trPr>
          <w:cnfStyle w:val="000000100000" w:firstRow="0" w:lastRow="0" w:firstColumn="0" w:lastColumn="0" w:oddVBand="0" w:evenVBand="0" w:oddHBand="1" w:evenHBand="0" w:firstRowFirstColumn="0" w:firstRowLastColumn="0" w:lastRowFirstColumn="0" w:lastRowLastColumn="0"/>
          <w:trHeight w:val="772"/>
        </w:trPr>
        <w:tc>
          <w:tcPr>
            <w:tcW w:w="856" w:type="dxa"/>
            <w:tcBorders>
              <w:top w:val="nil"/>
              <w:left w:val="nil"/>
              <w:bottom w:val="nil"/>
              <w:right w:val="nil"/>
            </w:tcBorders>
            <w:shd w:val="clear" w:color="auto" w:fill="F1F3F9"/>
            <w:vAlign w:val="center"/>
          </w:tcPr>
          <w:p w14:paraId="5F11D569" w14:textId="43359D6D" w:rsidR="00BB7E5C" w:rsidRDefault="00091134" w:rsidP="00617871">
            <w:pPr>
              <w:pStyle w:val="TableBody"/>
              <w:keepNext/>
              <w:keepLines/>
              <w:jc w:val="center"/>
              <w:rPr>
                <w:noProof/>
              </w:rPr>
            </w:pPr>
            <w:r w:rsidRPr="1CC3DC31">
              <w:rPr>
                <w:noProof/>
              </w:rPr>
              <w:t xml:space="preserve"> </w:t>
            </w:r>
            <w:r w:rsidR="00255294">
              <w:rPr>
                <w:noProof/>
              </w:rPr>
              <w:drawing>
                <wp:inline distT="0" distB="0" distL="0" distR="0" wp14:anchorId="33BCAD58" wp14:editId="2A7DBC91">
                  <wp:extent cx="390525" cy="342900"/>
                  <wp:effectExtent l="0" t="0" r="9525" b="0"/>
                  <wp:docPr id="26" name="Graphic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Graphic 26">
                            <a:extLst>
                              <a:ext uri="{C183D7F6-B498-43B3-948B-1728B52AA6E4}">
                                <adec:decorative xmlns:adec="http://schemas.microsoft.com/office/drawing/2017/decorative" val="1"/>
                              </a:ext>
                            </a:extLst>
                          </pic:cNvPr>
                          <pic:cNvPicPr/>
                        </pic:nvPicPr>
                        <pic:blipFill>
                          <a:blip r:embed="rId38">
                            <a:extLst>
                              <a:ext uri="{96DAC541-7B7A-43D3-8B79-37D633B846F1}">
                                <asvg:svgBlip xmlns:asvg="http://schemas.microsoft.com/office/drawing/2016/SVG/main" r:embed="rId39"/>
                              </a:ext>
                            </a:extLst>
                          </a:blip>
                          <a:stretch>
                            <a:fillRect/>
                          </a:stretch>
                        </pic:blipFill>
                        <pic:spPr>
                          <a:xfrm>
                            <a:off x="0" y="0"/>
                            <a:ext cx="390525" cy="342900"/>
                          </a:xfrm>
                          <a:prstGeom prst="rect">
                            <a:avLst/>
                          </a:prstGeom>
                        </pic:spPr>
                      </pic:pic>
                    </a:graphicData>
                  </a:graphic>
                </wp:inline>
              </w:drawing>
            </w:r>
          </w:p>
        </w:tc>
        <w:tc>
          <w:tcPr>
            <w:tcW w:w="6652" w:type="dxa"/>
            <w:tcBorders>
              <w:top w:val="nil"/>
              <w:left w:val="nil"/>
              <w:bottom w:val="nil"/>
              <w:right w:val="nil"/>
            </w:tcBorders>
            <w:shd w:val="clear" w:color="auto" w:fill="F1F3F9"/>
            <w:vAlign w:val="center"/>
          </w:tcPr>
          <w:p w14:paraId="4A35115C" w14:textId="77777777" w:rsidR="00BB7E5C" w:rsidRDefault="00BB7E5C" w:rsidP="00617871">
            <w:pPr>
              <w:pStyle w:val="TableBody"/>
              <w:keepNext/>
              <w:keepLines/>
            </w:pPr>
            <w:r>
              <w:t xml:space="preserve">The more diversified space sector businesses have been able to offset losses experienced from </w:t>
            </w:r>
            <w:r w:rsidR="003727DA">
              <w:t xml:space="preserve">the </w:t>
            </w:r>
            <w:r>
              <w:t xml:space="preserve">COVID-19 </w:t>
            </w:r>
            <w:r w:rsidR="003727DA">
              <w:t xml:space="preserve">pandemic </w:t>
            </w:r>
            <w:r>
              <w:t>with gains in other parts of their businesses.</w:t>
            </w:r>
          </w:p>
        </w:tc>
      </w:tr>
      <w:tr w:rsidR="00BB7E5C" w14:paraId="1F9C5831" w14:textId="77777777" w:rsidTr="00617871">
        <w:trPr>
          <w:cnfStyle w:val="000000010000" w:firstRow="0" w:lastRow="0" w:firstColumn="0" w:lastColumn="0" w:oddVBand="0" w:evenVBand="0" w:oddHBand="0" w:evenHBand="1" w:firstRowFirstColumn="0" w:firstRowLastColumn="0" w:lastRowFirstColumn="0" w:lastRowLastColumn="0"/>
          <w:trHeight w:val="771"/>
        </w:trPr>
        <w:tc>
          <w:tcPr>
            <w:tcW w:w="856" w:type="dxa"/>
            <w:tcBorders>
              <w:top w:val="nil"/>
              <w:left w:val="nil"/>
              <w:bottom w:val="nil"/>
              <w:right w:val="nil"/>
            </w:tcBorders>
            <w:shd w:val="clear" w:color="auto" w:fill="E8EAF4"/>
            <w:vAlign w:val="center"/>
          </w:tcPr>
          <w:p w14:paraId="06981E40" w14:textId="7AE5467C" w:rsidR="00BB7E5C" w:rsidRDefault="00091134" w:rsidP="00617871">
            <w:pPr>
              <w:pStyle w:val="TableBody"/>
              <w:keepNext/>
              <w:keepLines/>
              <w:jc w:val="center"/>
              <w:rPr>
                <w:noProof/>
              </w:rPr>
            </w:pPr>
            <w:r w:rsidRPr="1CC3DC31">
              <w:rPr>
                <w:noProof/>
              </w:rPr>
              <w:t xml:space="preserve"> </w:t>
            </w:r>
            <w:r w:rsidR="00B11CBD">
              <w:rPr>
                <w:noProof/>
              </w:rPr>
              <w:drawing>
                <wp:inline distT="0" distB="0" distL="0" distR="0" wp14:anchorId="2F2D0151" wp14:editId="34B7C9BD">
                  <wp:extent cx="335280" cy="335280"/>
                  <wp:effectExtent l="0" t="0" r="7620" b="7620"/>
                  <wp:docPr id="27" name="Picture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a:extLst>
                              <a:ext uri="{C183D7F6-B498-43B3-948B-1728B52AA6E4}">
                                <adec:decorative xmlns:adec="http://schemas.microsoft.com/office/drawing/2017/decorative" val="1"/>
                              </a:ext>
                            </a:extLst>
                          </pic:cNvPr>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35280" cy="335280"/>
                          </a:xfrm>
                          <a:prstGeom prst="rect">
                            <a:avLst/>
                          </a:prstGeom>
                          <a:noFill/>
                        </pic:spPr>
                      </pic:pic>
                    </a:graphicData>
                  </a:graphic>
                </wp:inline>
              </w:drawing>
            </w:r>
          </w:p>
        </w:tc>
        <w:tc>
          <w:tcPr>
            <w:tcW w:w="6652" w:type="dxa"/>
            <w:tcBorders>
              <w:top w:val="nil"/>
              <w:left w:val="nil"/>
              <w:bottom w:val="nil"/>
              <w:right w:val="nil"/>
            </w:tcBorders>
            <w:shd w:val="clear" w:color="auto" w:fill="E8EAF4"/>
            <w:vAlign w:val="center"/>
          </w:tcPr>
          <w:p w14:paraId="14CD35F9" w14:textId="77777777" w:rsidR="00BB7E5C" w:rsidRDefault="00BB7E5C" w:rsidP="00617871">
            <w:pPr>
              <w:pStyle w:val="TableBody"/>
              <w:keepNext/>
              <w:keepLines/>
            </w:pPr>
            <w:r>
              <w:t>With the exception of established Australian operators, revenues from the Australian market appear to form a small proportion of revenues for most space sector businesses.</w:t>
            </w:r>
          </w:p>
        </w:tc>
      </w:tr>
      <w:tr w:rsidR="00BB7E5C" w14:paraId="5EAED061" w14:textId="77777777" w:rsidTr="00617871">
        <w:trPr>
          <w:cnfStyle w:val="000000100000" w:firstRow="0" w:lastRow="0" w:firstColumn="0" w:lastColumn="0" w:oddVBand="0" w:evenVBand="0" w:oddHBand="1" w:evenHBand="0" w:firstRowFirstColumn="0" w:firstRowLastColumn="0" w:lastRowFirstColumn="0" w:lastRowLastColumn="0"/>
          <w:trHeight w:val="629"/>
        </w:trPr>
        <w:tc>
          <w:tcPr>
            <w:tcW w:w="856" w:type="dxa"/>
            <w:tcBorders>
              <w:top w:val="nil"/>
              <w:left w:val="nil"/>
              <w:bottom w:val="nil"/>
              <w:right w:val="nil"/>
            </w:tcBorders>
            <w:shd w:val="clear" w:color="auto" w:fill="F1F3F9"/>
            <w:vAlign w:val="center"/>
          </w:tcPr>
          <w:p w14:paraId="4BF01542" w14:textId="48CDEA26" w:rsidR="00BB7E5C" w:rsidRDefault="00091134" w:rsidP="00617871">
            <w:pPr>
              <w:pStyle w:val="TableBody"/>
              <w:keepNext/>
              <w:keepLines/>
              <w:jc w:val="center"/>
              <w:rPr>
                <w:noProof/>
              </w:rPr>
            </w:pPr>
            <w:r w:rsidRPr="1CC3DC31">
              <w:rPr>
                <w:noProof/>
              </w:rPr>
              <w:t xml:space="preserve"> </w:t>
            </w:r>
            <w:r w:rsidR="00DB34A0">
              <w:rPr>
                <w:noProof/>
              </w:rPr>
              <w:drawing>
                <wp:inline distT="0" distB="0" distL="0" distR="0" wp14:anchorId="1292A987" wp14:editId="1DD389C1">
                  <wp:extent cx="359410" cy="341630"/>
                  <wp:effectExtent l="0" t="0" r="2540" b="1270"/>
                  <wp:docPr id="28" name="Pictur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59410" cy="341630"/>
                          </a:xfrm>
                          <a:prstGeom prst="rect">
                            <a:avLst/>
                          </a:prstGeom>
                          <a:noFill/>
                        </pic:spPr>
                      </pic:pic>
                    </a:graphicData>
                  </a:graphic>
                </wp:inline>
              </w:drawing>
            </w:r>
          </w:p>
        </w:tc>
        <w:tc>
          <w:tcPr>
            <w:tcW w:w="6652" w:type="dxa"/>
            <w:tcBorders>
              <w:top w:val="nil"/>
              <w:left w:val="nil"/>
              <w:bottom w:val="nil"/>
              <w:right w:val="nil"/>
            </w:tcBorders>
            <w:shd w:val="clear" w:color="auto" w:fill="F1F3F9"/>
            <w:vAlign w:val="center"/>
          </w:tcPr>
          <w:p w14:paraId="546C6D6D" w14:textId="57222EAF" w:rsidR="00BB7E5C" w:rsidRDefault="00BB7E5C" w:rsidP="00617871">
            <w:pPr>
              <w:pStyle w:val="TableBody"/>
              <w:keepNext/>
              <w:keepLines/>
            </w:pPr>
            <w:r>
              <w:t xml:space="preserve">Australia </w:t>
            </w:r>
            <w:r w:rsidR="7F0ECEC4">
              <w:t xml:space="preserve">is important </w:t>
            </w:r>
            <w:r w:rsidR="00F64410">
              <w:t xml:space="preserve">as </w:t>
            </w:r>
            <w:r>
              <w:t>its geographic location allows space sector businesses to monitor their services and to offer global coverage</w:t>
            </w:r>
            <w:r w:rsidR="00521748">
              <w:t>.</w:t>
            </w:r>
            <w:r w:rsidR="24B2F600">
              <w:t xml:space="preserve"> </w:t>
            </w:r>
          </w:p>
        </w:tc>
      </w:tr>
      <w:tr w:rsidR="00BB7E5C" w14:paraId="49D37BC2" w14:textId="77777777" w:rsidTr="00F936E5">
        <w:trPr>
          <w:cnfStyle w:val="000000010000" w:firstRow="0" w:lastRow="0" w:firstColumn="0" w:lastColumn="0" w:oddVBand="0" w:evenVBand="0" w:oddHBand="0" w:evenHBand="1" w:firstRowFirstColumn="0" w:firstRowLastColumn="0" w:lastRowFirstColumn="0" w:lastRowLastColumn="0"/>
          <w:trHeight w:val="2685"/>
        </w:trPr>
        <w:tc>
          <w:tcPr>
            <w:tcW w:w="856" w:type="dxa"/>
            <w:tcBorders>
              <w:top w:val="nil"/>
              <w:left w:val="nil"/>
              <w:bottom w:val="nil"/>
              <w:right w:val="nil"/>
            </w:tcBorders>
            <w:shd w:val="clear" w:color="auto" w:fill="E8EAF4"/>
          </w:tcPr>
          <w:p w14:paraId="737CF4A6" w14:textId="1E9C8B40" w:rsidR="00BB7E5C" w:rsidRDefault="00091134" w:rsidP="00617871">
            <w:pPr>
              <w:pStyle w:val="TableBody"/>
              <w:keepNext/>
              <w:keepLines/>
              <w:jc w:val="center"/>
              <w:rPr>
                <w:noProof/>
              </w:rPr>
            </w:pPr>
            <w:r w:rsidRPr="1CC3DC31">
              <w:rPr>
                <w:noProof/>
              </w:rPr>
              <w:t xml:space="preserve"> </w:t>
            </w:r>
            <w:r w:rsidR="00454570">
              <w:rPr>
                <w:noProof/>
              </w:rPr>
              <w:drawing>
                <wp:inline distT="0" distB="0" distL="0" distR="0" wp14:anchorId="110B029A" wp14:editId="09C320F2">
                  <wp:extent cx="372110" cy="384175"/>
                  <wp:effectExtent l="0" t="0" r="8890" b="0"/>
                  <wp:docPr id="29" name="Picture 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a:extLst>
                              <a:ext uri="{C183D7F6-B498-43B3-948B-1728B52AA6E4}">
                                <adec:decorative xmlns:adec="http://schemas.microsoft.com/office/drawing/2017/decorative" val="1"/>
                              </a:ext>
                            </a:extLst>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72110" cy="384175"/>
                          </a:xfrm>
                          <a:prstGeom prst="rect">
                            <a:avLst/>
                          </a:prstGeom>
                          <a:noFill/>
                        </pic:spPr>
                      </pic:pic>
                    </a:graphicData>
                  </a:graphic>
                </wp:inline>
              </w:drawing>
            </w:r>
          </w:p>
        </w:tc>
        <w:tc>
          <w:tcPr>
            <w:tcW w:w="6652" w:type="dxa"/>
            <w:tcBorders>
              <w:top w:val="nil"/>
              <w:left w:val="nil"/>
              <w:bottom w:val="nil"/>
              <w:right w:val="nil"/>
            </w:tcBorders>
            <w:shd w:val="clear" w:color="auto" w:fill="E8EAF4"/>
            <w:vAlign w:val="center"/>
          </w:tcPr>
          <w:p w14:paraId="1BC27539" w14:textId="05B86AA8" w:rsidR="00BB7E5C" w:rsidRDefault="00BB7E5C" w:rsidP="00617871">
            <w:pPr>
              <w:pStyle w:val="Paragraphbeforelist"/>
              <w:keepNext/>
              <w:keepLines/>
            </w:pPr>
            <w:r>
              <w:t>Several</w:t>
            </w:r>
            <w:r w:rsidRPr="00996379">
              <w:t xml:space="preserve"> start-up ventures</w:t>
            </w:r>
            <w:r w:rsidR="005D6E3A">
              <w:t xml:space="preserve"> are</w:t>
            </w:r>
            <w:r w:rsidRPr="00996379">
              <w:t xml:space="preserve"> in the process of obtaining regulatory approvals to operate </w:t>
            </w:r>
            <w:r w:rsidR="00F64410">
              <w:t>on</w:t>
            </w:r>
            <w:r w:rsidRPr="00996379">
              <w:t xml:space="preserve"> a global scale. </w:t>
            </w:r>
          </w:p>
          <w:p w14:paraId="0E17DB5C" w14:textId="77777777" w:rsidR="00BB7E5C" w:rsidRPr="007458F3" w:rsidRDefault="00BB7E5C" w:rsidP="00617871">
            <w:pPr>
              <w:pStyle w:val="Bulletlevel1"/>
              <w:keepNext/>
              <w:keepLines/>
            </w:pPr>
            <w:r w:rsidRPr="007458F3">
              <w:t xml:space="preserve">A majority of these providers are seeking to provide high-speed internet to parts of the world where traditional broadband is too costly to provide. </w:t>
            </w:r>
          </w:p>
          <w:p w14:paraId="44470F1F" w14:textId="77777777" w:rsidR="00BB7E5C" w:rsidRPr="007458F3" w:rsidRDefault="00BB7E5C" w:rsidP="00617871">
            <w:pPr>
              <w:pStyle w:val="Bulletlevel1"/>
              <w:keepNext/>
              <w:keepLines/>
            </w:pPr>
            <w:r w:rsidRPr="007458F3">
              <w:t xml:space="preserve">These businesses are largely being led by either consortia or technology companies. </w:t>
            </w:r>
          </w:p>
          <w:p w14:paraId="751BE2AA" w14:textId="094DDA3C" w:rsidR="00BB7E5C" w:rsidRDefault="00497086" w:rsidP="00617871">
            <w:pPr>
              <w:pStyle w:val="TableBody"/>
              <w:keepNext/>
              <w:keepLines/>
            </w:pPr>
            <w:r>
              <w:t>Australian universit</w:t>
            </w:r>
            <w:r w:rsidR="007765D2">
              <w:t>ies</w:t>
            </w:r>
            <w:r>
              <w:t xml:space="preserve"> are working with private industry and the government to </w:t>
            </w:r>
            <w:r w:rsidR="00962B38">
              <w:t xml:space="preserve">increase </w:t>
            </w:r>
            <w:r w:rsidR="00307728">
              <w:t>Australia’s space capability and its competitive position internationally.</w:t>
            </w:r>
          </w:p>
        </w:tc>
      </w:tr>
    </w:tbl>
    <w:p w14:paraId="54804AD5" w14:textId="77777777" w:rsidR="006745C8" w:rsidRDefault="006745C8" w:rsidP="00BB7E5C">
      <w:pPr>
        <w:pStyle w:val="Paragraphbeforelist"/>
      </w:pPr>
    </w:p>
    <w:p w14:paraId="6AFFE96D" w14:textId="675926D6" w:rsidR="00BF19D9" w:rsidRDefault="68A555CD" w:rsidP="00B1507B">
      <w:pPr>
        <w:pStyle w:val="Paragraph"/>
        <w:keepNext/>
      </w:pPr>
      <w:r>
        <w:lastRenderedPageBreak/>
        <w:t>T</w:t>
      </w:r>
      <w:r w:rsidR="499BDDCC">
        <w:t>he</w:t>
      </w:r>
      <w:r w:rsidR="00435414">
        <w:t xml:space="preserve"> ACMA encourages </w:t>
      </w:r>
      <w:r w:rsidR="113C47E9">
        <w:t xml:space="preserve">industry participants and new entrants </w:t>
      </w:r>
      <w:r w:rsidR="00435414">
        <w:t xml:space="preserve">to contact </w:t>
      </w:r>
      <w:hyperlink r:id="rId43" w:history="1">
        <w:r w:rsidR="004F6FE8" w:rsidRPr="00993AC5">
          <w:rPr>
            <w:rStyle w:val="Hyperlink"/>
          </w:rPr>
          <w:t>satellite.coordination@acma.gov.au</w:t>
        </w:r>
      </w:hyperlink>
      <w:r w:rsidR="004F6FE8">
        <w:t xml:space="preserve"> </w:t>
      </w:r>
      <w:r w:rsidR="00435414">
        <w:t>early to discuss their business plans and spectrum requirements.</w:t>
      </w:r>
    </w:p>
    <w:p w14:paraId="513F9FD0" w14:textId="6233D18E" w:rsidR="00BB7E5C" w:rsidRPr="00996379" w:rsidRDefault="008F7222" w:rsidP="00573964">
      <w:pPr>
        <w:pStyle w:val="Paragraph"/>
      </w:pPr>
      <w:r>
        <w:t>T</w:t>
      </w:r>
      <w:r w:rsidR="00721431" w:rsidRPr="00721431">
        <w:t>he ACMA is seeking advice from the space sector on infrared communication systems to determine the most appropriate regime to support such systems.</w:t>
      </w:r>
      <w:r w:rsidR="00435414">
        <w:br w:type="page"/>
      </w:r>
    </w:p>
    <w:p w14:paraId="10E2BC57" w14:textId="77777777" w:rsidR="00BB7E5C" w:rsidRDefault="00BB7E5C" w:rsidP="00BB7E5C">
      <w:pPr>
        <w:pStyle w:val="Heading1"/>
      </w:pPr>
      <w:bookmarkStart w:id="3" w:name="_Toc62205736"/>
      <w:bookmarkStart w:id="4" w:name="_Toc65851759"/>
      <w:r>
        <w:lastRenderedPageBreak/>
        <w:t>About this study</w:t>
      </w:r>
      <w:bookmarkEnd w:id="3"/>
      <w:bookmarkEnd w:id="4"/>
    </w:p>
    <w:p w14:paraId="56C07782" w14:textId="78FB316A" w:rsidR="00F81741" w:rsidRDefault="006B04FB">
      <w:r>
        <w:t xml:space="preserve">The ACMA </w:t>
      </w:r>
      <w:r w:rsidR="03C369B1">
        <w:t xml:space="preserve">conducts </w:t>
      </w:r>
      <w:r>
        <w:t>market analysis</w:t>
      </w:r>
      <w:r w:rsidR="00BB7E5C">
        <w:t xml:space="preserve"> </w:t>
      </w:r>
      <w:r w:rsidR="6278FD1B">
        <w:t xml:space="preserve">which </w:t>
      </w:r>
      <w:r w:rsidR="00BB7E5C">
        <w:t xml:space="preserve">contributes to </w:t>
      </w:r>
      <w:r>
        <w:t xml:space="preserve">our </w:t>
      </w:r>
      <w:r w:rsidR="00BB7E5C">
        <w:t xml:space="preserve">understanding of communications and media markets. </w:t>
      </w:r>
    </w:p>
    <w:p w14:paraId="407BACD0" w14:textId="77777777" w:rsidR="00F81741" w:rsidRDefault="4058A2EF">
      <w:r>
        <w:t xml:space="preserve">As part of the market analysis workstream, this market study was conducted to inform our understanding of developments in the space sector. The </w:t>
      </w:r>
      <w:r w:rsidR="4D927987">
        <w:t xml:space="preserve">study </w:t>
      </w:r>
      <w:r>
        <w:t>was develope</w:t>
      </w:r>
      <w:r w:rsidR="5376FCA3">
        <w:t xml:space="preserve">d based on desktop </w:t>
      </w:r>
      <w:r w:rsidR="00F81741">
        <w:t xml:space="preserve">research </w:t>
      </w:r>
      <w:r w:rsidR="5376FCA3">
        <w:t xml:space="preserve">that considered both domestic and </w:t>
      </w:r>
      <w:r w:rsidR="70A2FE4A">
        <w:t>international</w:t>
      </w:r>
      <w:r w:rsidR="5376FCA3">
        <w:t xml:space="preserve"> developments. </w:t>
      </w:r>
    </w:p>
    <w:p w14:paraId="40B22832" w14:textId="3B5F8479" w:rsidR="00BB7E5C" w:rsidRDefault="72FA5E54" w:rsidP="00B1507B">
      <w:r>
        <w:t>The study include</w:t>
      </w:r>
      <w:r w:rsidR="7EC68076">
        <w:t>s</w:t>
      </w:r>
      <w:r>
        <w:t xml:space="preserve"> a</w:t>
      </w:r>
      <w:r w:rsidR="00B62DAE">
        <w:t xml:space="preserve"> summary</w:t>
      </w:r>
      <w:r>
        <w:t xml:space="preserve"> of space sector businesses</w:t>
      </w:r>
      <w:r w:rsidR="3896690D">
        <w:t xml:space="preserve"> at Attachment B</w:t>
      </w:r>
      <w:r>
        <w:t xml:space="preserve">. This is based on an illustrative sample </w:t>
      </w:r>
      <w:r w:rsidR="3A4F535A">
        <w:t xml:space="preserve">selected to identify </w:t>
      </w:r>
      <w:r w:rsidR="7D675993">
        <w:t xml:space="preserve">general </w:t>
      </w:r>
      <w:r w:rsidR="3A4F535A">
        <w:t>industry trends</w:t>
      </w:r>
      <w:r w:rsidR="3F3BF1C8">
        <w:t xml:space="preserve"> and is not intended to be an exhaustive list</w:t>
      </w:r>
      <w:r w:rsidR="3A4F535A">
        <w:t xml:space="preserve">.  </w:t>
      </w:r>
      <w:r>
        <w:t xml:space="preserve">  </w:t>
      </w:r>
    </w:p>
    <w:p w14:paraId="1F52CEBE" w14:textId="14C9208A" w:rsidR="002B419C" w:rsidRPr="000E7E04" w:rsidRDefault="00C635CB" w:rsidP="002B419C">
      <w:r w:rsidRPr="00C635CB">
        <w:rPr>
          <w:rFonts w:cs="Arial"/>
        </w:rPr>
        <w:t xml:space="preserve">The ACMA would like to thank the Australian Space Agency (ASA) who provided feedback and input </w:t>
      </w:r>
      <w:r w:rsidR="0026694C">
        <w:rPr>
          <w:rFonts w:cs="Arial"/>
        </w:rPr>
        <w:t xml:space="preserve">into </w:t>
      </w:r>
      <w:r w:rsidRPr="00C635CB">
        <w:rPr>
          <w:rFonts w:cs="Arial"/>
        </w:rPr>
        <w:t>the development of this market study.</w:t>
      </w:r>
    </w:p>
    <w:p w14:paraId="69E6EDBC" w14:textId="7A6B019A" w:rsidR="25BA116C" w:rsidRDefault="25BA116C" w:rsidP="25BA116C">
      <w:pPr>
        <w:rPr>
          <w:rFonts w:cs="Arial"/>
        </w:rPr>
      </w:pPr>
    </w:p>
    <w:p w14:paraId="7C8FF565" w14:textId="3604E099" w:rsidR="25BA116C" w:rsidRDefault="25BA116C" w:rsidP="25BA116C">
      <w:pPr>
        <w:rPr>
          <w:rFonts w:cs="Arial"/>
        </w:rPr>
      </w:pPr>
    </w:p>
    <w:p w14:paraId="46D2184E" w14:textId="2991F05D" w:rsidR="00BB7E5C" w:rsidRDefault="3E6F6496" w:rsidP="00BB7E5C">
      <w:pPr>
        <w:pStyle w:val="Heading1"/>
      </w:pPr>
      <w:bookmarkStart w:id="5" w:name="_Toc62205737"/>
      <w:bookmarkStart w:id="6" w:name="_Toc65851760"/>
      <w:r>
        <w:lastRenderedPageBreak/>
        <w:t>Space sector overview</w:t>
      </w:r>
      <w:bookmarkEnd w:id="5"/>
      <w:bookmarkEnd w:id="6"/>
    </w:p>
    <w:p w14:paraId="4CAC73F2" w14:textId="1EDF84E3" w:rsidR="00BB7E5C" w:rsidRDefault="00BB7E5C" w:rsidP="006F1C04">
      <w:pPr>
        <w:pStyle w:val="Paragraph"/>
      </w:pPr>
      <w:r>
        <w:t xml:space="preserve">Estimates </w:t>
      </w:r>
      <w:r w:rsidR="00795546">
        <w:t xml:space="preserve">of the value of </w:t>
      </w:r>
      <w:r>
        <w:t xml:space="preserve">the </w:t>
      </w:r>
      <w:r w:rsidR="55D078A8">
        <w:t xml:space="preserve">global </w:t>
      </w:r>
      <w:r>
        <w:t>space sector range from US</w:t>
      </w:r>
      <w:r w:rsidR="00795546">
        <w:t>$</w:t>
      </w:r>
      <w:r>
        <w:t>271 billion to US</w:t>
      </w:r>
      <w:r w:rsidR="00795546">
        <w:t>$</w:t>
      </w:r>
      <w:r>
        <w:t>350 billion.</w:t>
      </w:r>
      <w:r>
        <w:rPr>
          <w:rStyle w:val="FootnoteReference"/>
        </w:rPr>
        <w:footnoteReference w:id="4"/>
      </w:r>
      <w:r>
        <w:t xml:space="preserve">  </w:t>
      </w:r>
      <w:r w:rsidR="00446FEE">
        <w:t>Figure 1 summarises</w:t>
      </w:r>
      <w:r>
        <w:t xml:space="preserve"> </w:t>
      </w:r>
      <w:r w:rsidR="00446FEE">
        <w:t xml:space="preserve">industry </w:t>
      </w:r>
      <w:r>
        <w:t>revenue</w:t>
      </w:r>
      <w:r w:rsidR="00446FEE">
        <w:t xml:space="preserve"> estimates</w:t>
      </w:r>
      <w:r>
        <w:t xml:space="preserve"> for each of the various areas of the global space industry</w:t>
      </w:r>
      <w:r w:rsidR="005A6EBC">
        <w:t>. This shows</w:t>
      </w:r>
      <w:r w:rsidR="003F7503">
        <w:t xml:space="preserve"> that ground equipment </w:t>
      </w:r>
      <w:r w:rsidR="0070261D">
        <w:t xml:space="preserve">(US$130 billion) </w:t>
      </w:r>
      <w:r w:rsidR="003F7503">
        <w:t xml:space="preserve">and satellite services </w:t>
      </w:r>
      <w:r w:rsidR="00205C3B">
        <w:t xml:space="preserve">(US$123 billion) </w:t>
      </w:r>
      <w:r w:rsidR="00A7085F">
        <w:t xml:space="preserve">are </w:t>
      </w:r>
      <w:r w:rsidR="006059D7">
        <w:t xml:space="preserve">the </w:t>
      </w:r>
      <w:r w:rsidR="00C9526A">
        <w:t>largest</w:t>
      </w:r>
      <w:r w:rsidR="000F7393">
        <w:t xml:space="preserve"> sectors in terms of revenue</w:t>
      </w:r>
      <w:r w:rsidR="00AE25D5">
        <w:t>.</w:t>
      </w:r>
      <w:r w:rsidR="062722BD">
        <w:t xml:space="preserve"> One estimate is the value of the space industry will grow to US$1</w:t>
      </w:r>
      <w:r w:rsidR="00F401B2">
        <w:t xml:space="preserve"> </w:t>
      </w:r>
      <w:r w:rsidR="062722BD">
        <w:t>trillion or more in 2040.</w:t>
      </w:r>
      <w:r w:rsidRPr="629F3BDB">
        <w:rPr>
          <w:rStyle w:val="FootnoteReference"/>
        </w:rPr>
        <w:footnoteReference w:id="5"/>
      </w:r>
    </w:p>
    <w:p w14:paraId="77466AA4" w14:textId="115731EB" w:rsidR="00AA3A6F" w:rsidRDefault="00AA3A6F" w:rsidP="006F1C04">
      <w:pPr>
        <w:pStyle w:val="Figureheading"/>
        <w:keepLines/>
        <w:spacing w:line="240" w:lineRule="auto"/>
      </w:pPr>
      <w:r>
        <w:t>Global satellite industry revenues</w:t>
      </w:r>
      <w:r w:rsidR="000F7393">
        <w:t xml:space="preserve"> </w:t>
      </w:r>
      <w:r w:rsidR="00733FA3">
        <w:t>–</w:t>
      </w:r>
      <w:r w:rsidR="000F7393">
        <w:t xml:space="preserve"> 2019</w:t>
      </w:r>
    </w:p>
    <w:p w14:paraId="7F30EC15" w14:textId="650F6E54" w:rsidR="005B0224" w:rsidRDefault="007D7D8C" w:rsidP="006F1C04">
      <w:pPr>
        <w:pStyle w:val="TableBody"/>
      </w:pPr>
      <w:r>
        <w:rPr>
          <w:noProof/>
        </w:rPr>
        <w:drawing>
          <wp:inline distT="0" distB="0" distL="0" distR="0" wp14:anchorId="6FDAAEFF" wp14:editId="5551F4EC">
            <wp:extent cx="4871356" cy="3105704"/>
            <wp:effectExtent l="0" t="0" r="5715" b="0"/>
            <wp:docPr id="41" name="Picture 41" descr="Graphic comparing revenues. Most information should be within the text. Diagram explanations are in text but if you need help reading this diagram, please contact our Customer Service Centre on tel: 1300 850 115, or email: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Graphic comparing revenues. Most information should be within the text. Diagram explanations are in text but if you need help reading this diagram, please contact our Customer Service Centre on tel: 1300 850 115, or email: info@acma.gov.au"/>
                    <pic:cNvPicPr/>
                  </pic:nvPicPr>
                  <pic:blipFill>
                    <a:blip r:embed="rId44">
                      <a:extLst>
                        <a:ext uri="{28A0092B-C50C-407E-A947-70E740481C1C}">
                          <a14:useLocalDpi xmlns:a14="http://schemas.microsoft.com/office/drawing/2010/main" val="0"/>
                        </a:ext>
                      </a:extLst>
                    </a:blip>
                    <a:stretch>
                      <a:fillRect/>
                    </a:stretch>
                  </pic:blipFill>
                  <pic:spPr>
                    <a:xfrm>
                      <a:off x="0" y="0"/>
                      <a:ext cx="4871356" cy="3105704"/>
                    </a:xfrm>
                    <a:prstGeom prst="rect">
                      <a:avLst/>
                    </a:prstGeom>
                  </pic:spPr>
                </pic:pic>
              </a:graphicData>
            </a:graphic>
          </wp:inline>
        </w:drawing>
      </w:r>
    </w:p>
    <w:p w14:paraId="4E342DD5" w14:textId="766F2CC5" w:rsidR="00C71220" w:rsidRDefault="00C71220" w:rsidP="0020258F">
      <w:pPr>
        <w:pStyle w:val="Tableorfigurenotemultiple"/>
        <w:keepLines/>
      </w:pPr>
      <w:r>
        <w:t xml:space="preserve">Note: BB is short for broadband, RS is short for remote sensing, and GNSS stands for </w:t>
      </w:r>
      <w:r w:rsidR="00A55A45" w:rsidRPr="00A55A45">
        <w:t>Global Navigation Satellite System</w:t>
      </w:r>
      <w:r w:rsidR="00A55A45">
        <w:t>.</w:t>
      </w:r>
      <w:r w:rsidR="00F11B53">
        <w:t xml:space="preserve"> Fixed comprises </w:t>
      </w:r>
      <w:r w:rsidR="0048633E">
        <w:t xml:space="preserve">transponder agreements and </w:t>
      </w:r>
      <w:r w:rsidR="0020258F">
        <w:t>managed network services (including spaceflight management services).</w:t>
      </w:r>
    </w:p>
    <w:p w14:paraId="7B2ADDEE" w14:textId="1645B9CE" w:rsidR="00A55A45" w:rsidRDefault="00A55A45" w:rsidP="006F1C04">
      <w:pPr>
        <w:pStyle w:val="Tableorfigurenote"/>
        <w:keepLines/>
      </w:pPr>
      <w:r>
        <w:t xml:space="preserve">Source: </w:t>
      </w:r>
      <w:r w:rsidR="00446FEE" w:rsidRPr="00CC0650">
        <w:t xml:space="preserve">Bryce Space and Technology, </w:t>
      </w:r>
      <w:hyperlink r:id="rId45" w:history="1">
        <w:r w:rsidR="00446FEE" w:rsidRPr="00E34DAA">
          <w:rPr>
            <w:rStyle w:val="Hyperlink"/>
            <w:color w:val="auto"/>
            <w:u w:val="none"/>
          </w:rPr>
          <w:t>State of the satellite industry report</w:t>
        </w:r>
        <w:r w:rsidR="00446FEE" w:rsidRPr="00CC0650">
          <w:rPr>
            <w:rStyle w:val="Hyperlink"/>
            <w:color w:val="auto"/>
            <w:u w:val="none"/>
          </w:rPr>
          <w:t>: 2019 top-level global satellite industry findings</w:t>
        </w:r>
      </w:hyperlink>
      <w:r w:rsidR="00446FEE" w:rsidRPr="00CC0650">
        <w:t xml:space="preserve">, </w:t>
      </w:r>
      <w:r w:rsidR="00446FEE">
        <w:t>accessed</w:t>
      </w:r>
      <w:r w:rsidR="00446FEE" w:rsidRPr="00CC0650">
        <w:t xml:space="preserve"> 11 August 2020, p. 2.</w:t>
      </w:r>
    </w:p>
    <w:p w14:paraId="26DC5348" w14:textId="1B25DE8A" w:rsidR="00BB7E5C" w:rsidRDefault="00BB7E5C" w:rsidP="00860EEA">
      <w:pPr>
        <w:pStyle w:val="Paragraph"/>
        <w:keepNext/>
        <w:keepLines/>
      </w:pPr>
      <w:r>
        <w:lastRenderedPageBreak/>
        <w:t>The space sector is evolving rapidly in several ways</w:t>
      </w:r>
      <w:r w:rsidR="00D83C63">
        <w:t>:</w:t>
      </w:r>
      <w:r>
        <w:t xml:space="preserve"> </w:t>
      </w:r>
    </w:p>
    <w:tbl>
      <w:tblPr>
        <w:tblW w:w="0" w:type="auto"/>
        <w:shd w:val="clear" w:color="auto" w:fill="E8EAF4"/>
        <w:tblCellMar>
          <w:top w:w="113" w:type="dxa"/>
        </w:tblCellMar>
        <w:tblLook w:val="04A0" w:firstRow="1" w:lastRow="0" w:firstColumn="1" w:lastColumn="0" w:noHBand="0" w:noVBand="1"/>
      </w:tblPr>
      <w:tblGrid>
        <w:gridCol w:w="7661"/>
      </w:tblGrid>
      <w:tr w:rsidR="00BB7E5C" w:rsidRPr="00CC0650" w14:paraId="3ACA6804" w14:textId="77777777" w:rsidTr="00E34DAA">
        <w:trPr>
          <w:trHeight w:val="2178"/>
        </w:trPr>
        <w:tc>
          <w:tcPr>
            <w:tcW w:w="7661" w:type="dxa"/>
            <w:shd w:val="clear" w:color="auto" w:fill="E8EAF4"/>
          </w:tcPr>
          <w:p w14:paraId="6D73B3B1" w14:textId="42530944" w:rsidR="00BB7E5C" w:rsidRPr="00E34DAA" w:rsidRDefault="00BB7E5C" w:rsidP="00860EEA">
            <w:pPr>
              <w:pStyle w:val="Paragraph"/>
              <w:keepNext/>
              <w:keepLines/>
              <w:ind w:left="284"/>
              <w:rPr>
                <w:color w:val="000000" w:themeColor="text1"/>
                <w:sz w:val="19"/>
                <w:shd w:val="clear" w:color="auto" w:fill="FFFFFF" w:themeFill="background1"/>
              </w:rPr>
            </w:pPr>
            <w:r w:rsidRPr="00E34DAA">
              <w:rPr>
                <w:color w:val="000000" w:themeColor="text1"/>
                <w:sz w:val="19"/>
              </w:rPr>
              <w:t xml:space="preserve">Worldwide, governments are the main investors in space activities, via procurement and grants mechanisms to public agencies, research institutes, universities and the private sector. But in only 5 years the global landscape for space activities has evolved, with new countries investing in space research and development, and getting involved in global value chains. Private funding of commercial projects has also grown, with unprecedented private capital flows in the space sector from angel and venture capital investments. </w:t>
            </w:r>
          </w:p>
          <w:p w14:paraId="3281DB64" w14:textId="134BA7C2" w:rsidR="00BB7E5C" w:rsidRPr="00E34DAA" w:rsidRDefault="00BB7E5C" w:rsidP="00860EEA">
            <w:pPr>
              <w:pStyle w:val="Paragraph"/>
              <w:keepNext/>
              <w:keepLines/>
              <w:ind w:left="284"/>
              <w:rPr>
                <w:color w:val="FFFFFF" w:themeColor="background1"/>
              </w:rPr>
            </w:pPr>
            <w:r w:rsidRPr="00E34DAA">
              <w:rPr>
                <w:color w:val="000000" w:themeColor="text1"/>
              </w:rPr>
              <w:t xml:space="preserve">OECD, </w:t>
            </w:r>
            <w:hyperlink r:id="rId46" w:history="1">
              <w:r w:rsidRPr="00E34DAA">
                <w:rPr>
                  <w:rStyle w:val="Hyperlink"/>
                  <w:i/>
                </w:rPr>
                <w:t xml:space="preserve">The </w:t>
              </w:r>
              <w:r w:rsidR="00650737" w:rsidRPr="00E34DAA">
                <w:rPr>
                  <w:rStyle w:val="Hyperlink"/>
                  <w:i/>
                  <w:iCs/>
                </w:rPr>
                <w:t>S</w:t>
              </w:r>
              <w:r w:rsidRPr="00E34DAA">
                <w:rPr>
                  <w:rStyle w:val="Hyperlink"/>
                  <w:i/>
                  <w:iCs/>
                </w:rPr>
                <w:t xml:space="preserve">pace </w:t>
              </w:r>
              <w:r w:rsidR="00650737" w:rsidRPr="00E34DAA">
                <w:rPr>
                  <w:rStyle w:val="Hyperlink"/>
                  <w:i/>
                  <w:iCs/>
                </w:rPr>
                <w:t>E</w:t>
              </w:r>
              <w:r w:rsidRPr="00E34DAA">
                <w:rPr>
                  <w:rStyle w:val="Hyperlink"/>
                  <w:i/>
                  <w:iCs/>
                </w:rPr>
                <w:t>conomy</w:t>
              </w:r>
              <w:r w:rsidRPr="00E34DAA">
                <w:rPr>
                  <w:rStyle w:val="Hyperlink"/>
                  <w:i/>
                </w:rPr>
                <w:t xml:space="preserve"> in </w:t>
              </w:r>
              <w:r w:rsidR="00650737" w:rsidRPr="00E34DAA">
                <w:rPr>
                  <w:rStyle w:val="Hyperlink"/>
                  <w:i/>
                  <w:iCs/>
                </w:rPr>
                <w:t>F</w:t>
              </w:r>
              <w:r w:rsidRPr="00E34DAA">
                <w:rPr>
                  <w:rStyle w:val="Hyperlink"/>
                  <w:i/>
                  <w:iCs/>
                </w:rPr>
                <w:t>igures</w:t>
              </w:r>
            </w:hyperlink>
            <w:r w:rsidRPr="00E34DAA">
              <w:rPr>
                <w:color w:val="000000" w:themeColor="text1"/>
              </w:rPr>
              <w:t>, 5 July 2019.</w:t>
            </w:r>
          </w:p>
        </w:tc>
      </w:tr>
    </w:tbl>
    <w:p w14:paraId="63E2BB40" w14:textId="42B6FD74" w:rsidR="001C3530" w:rsidRDefault="001C3530" w:rsidP="00E34DAA">
      <w:pPr>
        <w:pStyle w:val="Paragraph"/>
      </w:pPr>
      <w:bookmarkStart w:id="7" w:name="_Toc62205738"/>
    </w:p>
    <w:tbl>
      <w:tblPr>
        <w:tblW w:w="0" w:type="auto"/>
        <w:shd w:val="clear" w:color="auto" w:fill="E8EAF4"/>
        <w:tblCellMar>
          <w:top w:w="113" w:type="dxa"/>
        </w:tblCellMar>
        <w:tblLook w:val="04A0" w:firstRow="1" w:lastRow="0" w:firstColumn="1" w:lastColumn="0" w:noHBand="0" w:noVBand="1"/>
      </w:tblPr>
      <w:tblGrid>
        <w:gridCol w:w="7661"/>
      </w:tblGrid>
      <w:tr w:rsidR="001C3530" w:rsidRPr="00902DA6" w14:paraId="3597EB27" w14:textId="77777777" w:rsidTr="00E34DAA">
        <w:tc>
          <w:tcPr>
            <w:tcW w:w="7661" w:type="dxa"/>
            <w:shd w:val="clear" w:color="auto" w:fill="E8EAF4"/>
          </w:tcPr>
          <w:p w14:paraId="7E219769" w14:textId="77777777" w:rsidR="001C3530" w:rsidRPr="00E34DAA" w:rsidRDefault="001C3530" w:rsidP="00E34DAA">
            <w:pPr>
              <w:pStyle w:val="Paragraph"/>
              <w:ind w:left="284"/>
              <w:rPr>
                <w:color w:val="000000" w:themeColor="text1"/>
                <w:sz w:val="19"/>
                <w:szCs w:val="19"/>
              </w:rPr>
            </w:pPr>
            <w:r w:rsidRPr="00E34DAA">
              <w:rPr>
                <w:color w:val="000000" w:themeColor="text1"/>
                <w:sz w:val="19"/>
                <w:szCs w:val="19"/>
              </w:rPr>
              <w:t>While reusable rockets will help drive those costs down, so too will the mass-production of satellites and the maturation of satellite technology. Currently, the cost to launch a satellite has declined to about $60 million, from $200 million, via reusable rockets, with a potential drop to as low as $5 million. And satellite mass production could decrease that cost from $500 million per satellite to $500,000.</w:t>
            </w:r>
          </w:p>
          <w:p w14:paraId="69BA92A0" w14:textId="097A3303" w:rsidR="001C3530" w:rsidRPr="00902DA6" w:rsidRDefault="09CB254D" w:rsidP="00E34DAA">
            <w:pPr>
              <w:pStyle w:val="Paragraph"/>
              <w:ind w:left="284"/>
              <w:rPr>
                <w:color w:val="FFFFFF" w:themeColor="background1"/>
              </w:rPr>
            </w:pPr>
            <w:r w:rsidRPr="43B8AE36">
              <w:rPr>
                <w:color w:val="000000" w:themeColor="text1"/>
              </w:rPr>
              <w:t xml:space="preserve">Morgan Stanley, </w:t>
            </w:r>
            <w:r w:rsidR="20F521AD" w:rsidRPr="43B8AE36">
              <w:rPr>
                <w:color w:val="000000" w:themeColor="text1"/>
              </w:rPr>
              <w:t>‘</w:t>
            </w:r>
            <w:hyperlink r:id="rId47">
              <w:r w:rsidRPr="43B8AE36">
                <w:rPr>
                  <w:rStyle w:val="Hyperlink"/>
                </w:rPr>
                <w:t xml:space="preserve">Space: Investing in the </w:t>
              </w:r>
              <w:r w:rsidR="20F521AD" w:rsidRPr="43B8AE36">
                <w:rPr>
                  <w:rStyle w:val="Hyperlink"/>
                </w:rPr>
                <w:t>F</w:t>
              </w:r>
              <w:r w:rsidRPr="43B8AE36">
                <w:rPr>
                  <w:rStyle w:val="Hyperlink"/>
                </w:rPr>
                <w:t xml:space="preserve">inal </w:t>
              </w:r>
              <w:r w:rsidR="20F521AD" w:rsidRPr="43B8AE36">
                <w:rPr>
                  <w:rStyle w:val="Hyperlink"/>
                </w:rPr>
                <w:t>F</w:t>
              </w:r>
              <w:r w:rsidRPr="43B8AE36">
                <w:rPr>
                  <w:rStyle w:val="Hyperlink"/>
                </w:rPr>
                <w:t>rontier</w:t>
              </w:r>
            </w:hyperlink>
            <w:r w:rsidR="20F521AD" w:rsidRPr="43B8AE36">
              <w:rPr>
                <w:rStyle w:val="Hyperlink"/>
                <w:color w:val="000000" w:themeColor="text1"/>
              </w:rPr>
              <w:t>’</w:t>
            </w:r>
            <w:r w:rsidRPr="43B8AE36">
              <w:rPr>
                <w:color w:val="000000" w:themeColor="text1"/>
              </w:rPr>
              <w:t>, 24 July 2020.</w:t>
            </w:r>
          </w:p>
        </w:tc>
      </w:tr>
    </w:tbl>
    <w:p w14:paraId="02052F62" w14:textId="77777777" w:rsidR="00BB7E5C" w:rsidRDefault="00BB7E5C" w:rsidP="006F1C04">
      <w:pPr>
        <w:pStyle w:val="Heading2"/>
        <w:keepLines/>
      </w:pPr>
      <w:bookmarkStart w:id="8" w:name="_Toc65851761"/>
      <w:r>
        <w:t xml:space="preserve">Investment </w:t>
      </w:r>
      <w:r w:rsidRPr="00282D1C">
        <w:t>environment</w:t>
      </w:r>
      <w:bookmarkEnd w:id="7"/>
      <w:bookmarkEnd w:id="8"/>
    </w:p>
    <w:p w14:paraId="1BF7727C" w14:textId="56FA9577" w:rsidR="00BB7E5C" w:rsidRDefault="00BB7E5C" w:rsidP="00A3125B">
      <w:pPr>
        <w:pStyle w:val="Paragraph"/>
        <w:keepNext/>
        <w:keepLines/>
      </w:pPr>
      <w:r>
        <w:t>The</w:t>
      </w:r>
      <w:r w:rsidR="00B826F8">
        <w:t>re has been</w:t>
      </w:r>
      <w:r>
        <w:t xml:space="preserve"> increased investment by governments into space programs</w:t>
      </w:r>
      <w:r w:rsidR="00F561C1">
        <w:t xml:space="preserve"> </w:t>
      </w:r>
      <w:r w:rsidR="00EA242E">
        <w:t>– increasing</w:t>
      </w:r>
      <w:r>
        <w:t xml:space="preserve"> from </w:t>
      </w:r>
      <w:r w:rsidR="00795546">
        <w:t>US$</w:t>
      </w:r>
      <w:r>
        <w:t xml:space="preserve">52 billion in 2008 to </w:t>
      </w:r>
      <w:r w:rsidR="00795546">
        <w:t>US$</w:t>
      </w:r>
      <w:r>
        <w:t>75 billion in 2017.</w:t>
      </w:r>
      <w:r>
        <w:rPr>
          <w:rStyle w:val="FootnoteReference"/>
        </w:rPr>
        <w:footnoteReference w:id="6"/>
      </w:r>
      <w:r>
        <w:t xml:space="preserve"> The</w:t>
      </w:r>
      <w:r w:rsidR="00D95535">
        <w:t>re</w:t>
      </w:r>
      <w:r>
        <w:t xml:space="preserve"> </w:t>
      </w:r>
      <w:r w:rsidR="00C41589">
        <w:t>are</w:t>
      </w:r>
      <w:r w:rsidR="00D95535">
        <w:t xml:space="preserve"> also</w:t>
      </w:r>
      <w:r w:rsidRPr="002E7F79">
        <w:t xml:space="preserve"> </w:t>
      </w:r>
      <w:r w:rsidR="002F7310" w:rsidRPr="002E7F79">
        <w:t>record</w:t>
      </w:r>
      <w:r w:rsidRPr="002E7F79">
        <w:t xml:space="preserve"> investments from angel and venture capital funds, although the amounts </w:t>
      </w:r>
      <w:r>
        <w:t>are lower</w:t>
      </w:r>
      <w:r w:rsidRPr="002E7F79">
        <w:t xml:space="preserve"> compared to public funding.</w:t>
      </w:r>
      <w:r>
        <w:t xml:space="preserve"> </w:t>
      </w:r>
    </w:p>
    <w:p w14:paraId="51B84020" w14:textId="5B9A2C58" w:rsidR="00BB7E5C" w:rsidRDefault="000E2F5A" w:rsidP="005D1DF6">
      <w:pPr>
        <w:pStyle w:val="Paragraph"/>
      </w:pPr>
      <w:r>
        <w:t>T</w:t>
      </w:r>
      <w:r w:rsidR="00BB7E5C">
        <w:t xml:space="preserve">he mix of funding has changed significantly over the past </w:t>
      </w:r>
      <w:r w:rsidR="00F561C1">
        <w:t>20 </w:t>
      </w:r>
      <w:r w:rsidR="00BB7E5C">
        <w:t>years, with venture capital being the largest source of funding in recent years (overtaking private debt financing which peaked in 2010).</w:t>
      </w:r>
      <w:r w:rsidR="00BB7E5C">
        <w:rPr>
          <w:rStyle w:val="FootnoteReference"/>
        </w:rPr>
        <w:footnoteReference w:id="7"/>
      </w:r>
      <w:r w:rsidR="00BB7E5C">
        <w:t xml:space="preserve"> </w:t>
      </w:r>
      <w:r w:rsidR="309B8B1A">
        <w:t>P</w:t>
      </w:r>
      <w:r w:rsidR="00BB7E5C">
        <w:t>rivate sector investment is geographically dispersed</w:t>
      </w:r>
      <w:r w:rsidR="00F561C1">
        <w:t xml:space="preserve">, </w:t>
      </w:r>
      <w:r w:rsidR="00BB7E5C">
        <w:t>with the greater number of private investors located in the United Kingdom (UK), the United States (US), Japan and China.</w:t>
      </w:r>
      <w:r w:rsidR="005D1DF6">
        <w:rPr>
          <w:rStyle w:val="FootnoteReference"/>
        </w:rPr>
        <w:footnoteReference w:id="8"/>
      </w:r>
    </w:p>
    <w:p w14:paraId="161138CB" w14:textId="7F951B34" w:rsidR="00BB7E5C" w:rsidRDefault="45C5EA8E" w:rsidP="00BB7E5C">
      <w:pPr>
        <w:pStyle w:val="Paragraphbeforelist"/>
      </w:pPr>
      <w:r>
        <w:t>K</w:t>
      </w:r>
      <w:r w:rsidR="39409FD4">
        <w:t>ey</w:t>
      </w:r>
      <w:r w:rsidR="00A9595C">
        <w:t xml:space="preserve"> </w:t>
      </w:r>
      <w:r w:rsidR="3295F260">
        <w:t xml:space="preserve">observations </w:t>
      </w:r>
      <w:r w:rsidR="00A9595C">
        <w:t xml:space="preserve">about the funding </w:t>
      </w:r>
      <w:r w:rsidR="00347F3D">
        <w:t xml:space="preserve">of the </w:t>
      </w:r>
      <w:r w:rsidR="00D43E1C">
        <w:t>space sector include</w:t>
      </w:r>
      <w:r w:rsidR="00BB7E5C">
        <w:rPr>
          <w:rStyle w:val="FootnoteReference"/>
        </w:rPr>
        <w:footnoteReference w:id="9"/>
      </w:r>
      <w:r w:rsidR="00CF4013" w:rsidRPr="008722D2">
        <w:rPr>
          <w:vertAlign w:val="superscript"/>
        </w:rPr>
        <w:t xml:space="preserve">, </w:t>
      </w:r>
      <w:r w:rsidR="00CF4013">
        <w:rPr>
          <w:rStyle w:val="FootnoteReference"/>
        </w:rPr>
        <w:footnoteReference w:id="10"/>
      </w:r>
      <w:r w:rsidR="00D83C63">
        <w:t>:</w:t>
      </w:r>
    </w:p>
    <w:p w14:paraId="2DBC8071" w14:textId="24235E98" w:rsidR="00BB7E5C" w:rsidRDefault="00BB7E5C" w:rsidP="00BB7E5C">
      <w:pPr>
        <w:pStyle w:val="ListBullet"/>
      </w:pPr>
      <w:r>
        <w:t xml:space="preserve">space venture funds </w:t>
      </w:r>
      <w:r w:rsidR="004312A0">
        <w:t>include</w:t>
      </w:r>
      <w:r>
        <w:t xml:space="preserve"> </w:t>
      </w:r>
      <w:r w:rsidRPr="008D47BA">
        <w:t>Boeing’s HorizonX Ventures, Lockheed Martin Ventures, Airbus Ventures, Thales Corporate Ventures, and the Dassault System Venture Fund</w:t>
      </w:r>
    </w:p>
    <w:p w14:paraId="33982779" w14:textId="5A1DB527" w:rsidR="00BB7E5C" w:rsidRDefault="00BB7E5C" w:rsidP="00BB7E5C">
      <w:pPr>
        <w:pStyle w:val="ListBullet"/>
      </w:pPr>
      <w:r w:rsidRPr="00B46B4A">
        <w:t xml:space="preserve">start-up equity investments </w:t>
      </w:r>
      <w:r w:rsidR="00063486">
        <w:t>were</w:t>
      </w:r>
      <w:r w:rsidRPr="00B46B4A">
        <w:t xml:space="preserve"> US</w:t>
      </w:r>
      <w:r w:rsidR="00F561C1">
        <w:t>$</w:t>
      </w:r>
      <w:r w:rsidRPr="00B46B4A">
        <w:t xml:space="preserve">3 </w:t>
      </w:r>
      <w:r w:rsidR="00F561C1">
        <w:t>billion</w:t>
      </w:r>
      <w:r w:rsidRPr="00B46B4A">
        <w:t xml:space="preserve"> to </w:t>
      </w:r>
      <w:r w:rsidR="00F561C1" w:rsidRPr="00B46B4A">
        <w:t>US</w:t>
      </w:r>
      <w:r w:rsidR="00F561C1">
        <w:t>$</w:t>
      </w:r>
      <w:r>
        <w:t>5</w:t>
      </w:r>
      <w:r w:rsidRPr="00B46B4A">
        <w:t>.</w:t>
      </w:r>
      <w:r>
        <w:t>7</w:t>
      </w:r>
      <w:r w:rsidRPr="00B46B4A">
        <w:t xml:space="preserve"> billion in 201</w:t>
      </w:r>
      <w:r>
        <w:t>9</w:t>
      </w:r>
    </w:p>
    <w:p w14:paraId="6F2F1E2D" w14:textId="40BB80F2" w:rsidR="00BB7E5C" w:rsidRDefault="00BB7E5C" w:rsidP="00BB7E5C">
      <w:pPr>
        <w:pStyle w:val="ListBullet"/>
      </w:pPr>
      <w:r w:rsidRPr="00C368B3">
        <w:t>investment transactions grew globally, from 200 investment deals in 2011 to over 1</w:t>
      </w:r>
      <w:r>
        <w:t>,</w:t>
      </w:r>
      <w:r w:rsidRPr="00C368B3">
        <w:t>400 in 2017</w:t>
      </w:r>
    </w:p>
    <w:p w14:paraId="7DA5A0A6" w14:textId="19EB5976" w:rsidR="00BB7E5C" w:rsidRDefault="00F561C1" w:rsidP="00BB7E5C">
      <w:pPr>
        <w:pStyle w:val="ListBullet"/>
      </w:pPr>
      <w:r>
        <w:lastRenderedPageBreak/>
        <w:t>m</w:t>
      </w:r>
      <w:r w:rsidR="00BB7E5C" w:rsidRPr="00171BB7">
        <w:t>ost of the recent space companies are privately funded (</w:t>
      </w:r>
      <w:r>
        <w:t>for example,</w:t>
      </w:r>
      <w:r w:rsidR="00BB7E5C" w:rsidRPr="00171BB7">
        <w:t xml:space="preserve"> SpaceX, Blue Origin) and not publicly traded</w:t>
      </w:r>
    </w:p>
    <w:p w14:paraId="2FA78AA1" w14:textId="67EFB530" w:rsidR="00742AB3" w:rsidRDefault="001A60BC" w:rsidP="005A273C">
      <w:pPr>
        <w:pStyle w:val="Bulletlevel1"/>
      </w:pPr>
      <w:r>
        <w:t xml:space="preserve">access to capital </w:t>
      </w:r>
      <w:r w:rsidR="000B6291">
        <w:t xml:space="preserve">has tightened with the </w:t>
      </w:r>
      <w:r w:rsidR="005A273C">
        <w:t>COVID-19 pandemic</w:t>
      </w:r>
      <w:r w:rsidR="005A273C" w:rsidRPr="005A273C">
        <w:t xml:space="preserve"> disrupt</w:t>
      </w:r>
      <w:r w:rsidR="000B6291">
        <w:t>ing</w:t>
      </w:r>
      <w:r w:rsidR="005A273C" w:rsidRPr="005A273C">
        <w:t xml:space="preserve"> key revenue streams and </w:t>
      </w:r>
      <w:r w:rsidR="000B6291">
        <w:t xml:space="preserve">investors </w:t>
      </w:r>
      <w:r w:rsidR="00CF4013">
        <w:t>realising</w:t>
      </w:r>
      <w:r w:rsidR="005A273C" w:rsidRPr="005A273C">
        <w:t xml:space="preserve"> the market's demand for new high-speed satellite connectivity may not match supply</w:t>
      </w:r>
    </w:p>
    <w:p w14:paraId="066231FE" w14:textId="16418B09" w:rsidR="00BB7E5C" w:rsidRDefault="00ED1CBC" w:rsidP="006F1C04">
      <w:pPr>
        <w:pStyle w:val="Bulletlevel1"/>
      </w:pPr>
      <w:r>
        <w:t>key factors for investors</w:t>
      </w:r>
      <w:r w:rsidR="00B53D22">
        <w:t xml:space="preserve"> </w:t>
      </w:r>
      <w:r>
        <w:t>include</w:t>
      </w:r>
      <w:r w:rsidR="00B53D22">
        <w:t xml:space="preserve"> increased</w:t>
      </w:r>
      <w:r w:rsidR="00BB7E5C" w:rsidRPr="001F47B7">
        <w:t xml:space="preserve"> competition between incumbents</w:t>
      </w:r>
      <w:r>
        <w:t xml:space="preserve"> and</w:t>
      </w:r>
      <w:r w:rsidR="00BB7E5C" w:rsidRPr="001F47B7">
        <w:t xml:space="preserve"> new technological solutions</w:t>
      </w:r>
    </w:p>
    <w:p w14:paraId="133B03AC" w14:textId="29C427D6" w:rsidR="003B4B37" w:rsidRPr="003B4B37" w:rsidRDefault="682097CC" w:rsidP="003B4B37">
      <w:pPr>
        <w:pStyle w:val="ListBulletLast"/>
      </w:pPr>
      <w:r>
        <w:t>a greater majority of the funding from the private sector has been focused on SpaceX and OneWeb.</w:t>
      </w:r>
      <w:r w:rsidR="50E1E59F" w:rsidRPr="6E1A33C4">
        <w:rPr>
          <w:rStyle w:val="FootnoteReference"/>
        </w:rPr>
        <w:footnoteReference w:id="11"/>
      </w:r>
    </w:p>
    <w:p w14:paraId="77E66A22" w14:textId="4AE8021D" w:rsidR="57037D6A" w:rsidRDefault="00DA3F20" w:rsidP="00DA3F20">
      <w:pPr>
        <w:pStyle w:val="ListBulletLast"/>
        <w:numPr>
          <w:ilvl w:val="0"/>
          <w:numId w:val="0"/>
        </w:numPr>
      </w:pPr>
      <w:r>
        <w:rPr>
          <w:rStyle w:val="normaltextrun"/>
          <w:color w:val="000000"/>
          <w:szCs w:val="20"/>
          <w:shd w:val="clear" w:color="auto" w:fill="FFFFFF"/>
        </w:rPr>
        <w:t>Despite positive trends, sustained access to finance will remain a challenge for a majority of established and new players in the space sector.</w:t>
      </w:r>
      <w:r>
        <w:rPr>
          <w:rStyle w:val="eop"/>
          <w:color w:val="000000"/>
          <w:szCs w:val="20"/>
          <w:shd w:val="clear" w:color="auto" w:fill="FFFFFF"/>
        </w:rPr>
        <w:t> </w:t>
      </w:r>
    </w:p>
    <w:p w14:paraId="3D3B6C4B" w14:textId="77777777" w:rsidR="00BB7E5C" w:rsidRDefault="00BB7E5C" w:rsidP="00BB7E5C">
      <w:pPr>
        <w:pStyle w:val="Heading2"/>
      </w:pPr>
      <w:bookmarkStart w:id="10" w:name="_Toc62205739"/>
      <w:bookmarkStart w:id="11" w:name="_Toc65851762"/>
      <w:r>
        <w:t>Launches</w:t>
      </w:r>
      <w:bookmarkEnd w:id="10"/>
      <w:bookmarkEnd w:id="11"/>
    </w:p>
    <w:p w14:paraId="2BB650FD" w14:textId="0653554B" w:rsidR="00C54B61" w:rsidRDefault="35169801" w:rsidP="00C54B61">
      <w:pPr>
        <w:pStyle w:val="Paragraph"/>
      </w:pPr>
      <w:r>
        <w:t>T</w:t>
      </w:r>
      <w:r w:rsidR="00BB7E5C">
        <w:t>he cost of launching objects (payloads) into space has been falling</w:t>
      </w:r>
      <w:r w:rsidR="002809CB">
        <w:t xml:space="preserve"> since</w:t>
      </w:r>
      <w:r w:rsidR="000979B7">
        <w:t xml:space="preserve"> 2001 coupled</w:t>
      </w:r>
      <w:r w:rsidR="2486ADB5">
        <w:t xml:space="preserve"> with </w:t>
      </w:r>
      <w:r w:rsidR="00DF4A5E">
        <w:t xml:space="preserve">an increase </w:t>
      </w:r>
      <w:r w:rsidR="003C44C8">
        <w:t xml:space="preserve">in </w:t>
      </w:r>
      <w:r w:rsidR="004078C8">
        <w:t>launch numbers</w:t>
      </w:r>
      <w:r w:rsidR="00BB7E5C">
        <w:t>.</w:t>
      </w:r>
      <w:r w:rsidR="005D1DF6">
        <w:rPr>
          <w:rStyle w:val="FootnoteReference"/>
        </w:rPr>
        <w:footnoteReference w:id="12"/>
      </w:r>
    </w:p>
    <w:p w14:paraId="6FC46F53" w14:textId="2D731F6F" w:rsidR="00BB7E5C" w:rsidRDefault="005D2EF3" w:rsidP="00BB7E5C">
      <w:pPr>
        <w:pStyle w:val="Paragraphbeforelist"/>
      </w:pPr>
      <w:r>
        <w:t>T</w:t>
      </w:r>
      <w:r w:rsidR="00BB7E5C">
        <w:t>here were 102 launches for 2019, comprising 86 public and 16 private launches.</w:t>
      </w:r>
      <w:r w:rsidR="00BB7E5C">
        <w:rPr>
          <w:rStyle w:val="FootnoteReference"/>
        </w:rPr>
        <w:footnoteReference w:id="13"/>
      </w:r>
      <w:r w:rsidR="00BB7E5C">
        <w:t xml:space="preserve"> </w:t>
      </w:r>
      <w:r w:rsidR="00A22AA3">
        <w:t>Reasons for</w:t>
      </w:r>
      <w:r w:rsidR="00BB7E5C">
        <w:t xml:space="preserve"> the </w:t>
      </w:r>
      <w:r w:rsidR="00A342EE">
        <w:t>inc</w:t>
      </w:r>
      <w:r w:rsidR="0065729C">
        <w:t>reasing</w:t>
      </w:r>
      <w:r w:rsidR="00BB7E5C">
        <w:t xml:space="preserve"> market for commercial launches</w:t>
      </w:r>
      <w:r w:rsidR="00DD26B0">
        <w:t xml:space="preserve"> are</w:t>
      </w:r>
      <w:r w:rsidR="00BB7E5C">
        <w:rPr>
          <w:rStyle w:val="FootnoteReference"/>
        </w:rPr>
        <w:footnoteReference w:id="14"/>
      </w:r>
      <w:r w:rsidR="001704A3">
        <w:t>:</w:t>
      </w:r>
    </w:p>
    <w:p w14:paraId="5DEFB6FD" w14:textId="285142A3" w:rsidR="00BB7E5C" w:rsidRDefault="00BB7E5C" w:rsidP="00BB7E5C">
      <w:pPr>
        <w:pStyle w:val="ListBullet"/>
      </w:pPr>
      <w:r>
        <w:t xml:space="preserve">Since 2014, </w:t>
      </w:r>
      <w:r w:rsidR="00D44925">
        <w:t>US</w:t>
      </w:r>
      <w:r>
        <w:t xml:space="preserve">-based providers </w:t>
      </w:r>
      <w:r w:rsidR="005610C9">
        <w:t>are gaining in</w:t>
      </w:r>
      <w:r>
        <w:t xml:space="preserve"> share of commercial launches </w:t>
      </w:r>
      <w:r w:rsidR="005610C9">
        <w:t>relative to</w:t>
      </w:r>
      <w:r>
        <w:t xml:space="preserve"> Russian providers through: </w:t>
      </w:r>
    </w:p>
    <w:p w14:paraId="504C0138" w14:textId="62893820" w:rsidR="00BB7E5C" w:rsidRDefault="00BB7E5C" w:rsidP="002D60C2">
      <w:pPr>
        <w:pStyle w:val="Bulletlevel2"/>
      </w:pPr>
      <w:r>
        <w:t>the entrance of SpaceX</w:t>
      </w:r>
      <w:r w:rsidR="005610C9">
        <w:t xml:space="preserve"> and </w:t>
      </w:r>
      <w:r>
        <w:t>its Falcon 9 vehicle</w:t>
      </w:r>
      <w:r w:rsidR="005610C9">
        <w:t>,</w:t>
      </w:r>
      <w:r>
        <w:t xml:space="preserve"> at comparatively lower prices</w:t>
      </w:r>
      <w:r w:rsidR="00FC5D1C">
        <w:t xml:space="preserve"> (in part achieved through the ability to reuse its </w:t>
      </w:r>
      <w:r w:rsidR="0009794F">
        <w:t>vehicles)</w:t>
      </w:r>
    </w:p>
    <w:p w14:paraId="277D11E7" w14:textId="687F0CCA" w:rsidR="00D00A71" w:rsidRDefault="00BB7E5C">
      <w:pPr>
        <w:pStyle w:val="Bulletlevel2"/>
      </w:pPr>
      <w:r>
        <w:t>during the past several years, launch failures, quality control problems and supply chain issues have continued to affect the Russian space industry</w:t>
      </w:r>
    </w:p>
    <w:p w14:paraId="0ED79E1C" w14:textId="6D1A8017" w:rsidR="00BB7E5C" w:rsidRDefault="00592613" w:rsidP="002D60C2">
      <w:pPr>
        <w:pStyle w:val="Bulletlevel2"/>
      </w:pPr>
      <w:r>
        <w:t>d</w:t>
      </w:r>
      <w:r w:rsidR="00D00A71">
        <w:t xml:space="preserve">uring this time </w:t>
      </w:r>
      <w:r w:rsidR="00BB7E5C">
        <w:t>Europe’s Arianespace</w:t>
      </w:r>
      <w:r w:rsidR="00D00A71">
        <w:t xml:space="preserve"> has </w:t>
      </w:r>
      <w:r w:rsidR="002D60C2">
        <w:t xml:space="preserve">remained as </w:t>
      </w:r>
      <w:r w:rsidR="00D00A71">
        <w:t>another option</w:t>
      </w:r>
    </w:p>
    <w:p w14:paraId="00D946B5" w14:textId="2CB0E2F9" w:rsidR="00BB7E5C" w:rsidRDefault="00BB7E5C" w:rsidP="00BB7E5C">
      <w:pPr>
        <w:pStyle w:val="ListBullet"/>
        <w:rPr>
          <w:rFonts w:eastAsia="Arial"/>
        </w:rPr>
      </w:pPr>
      <w:r>
        <w:t xml:space="preserve">Sea </w:t>
      </w:r>
      <w:r w:rsidRPr="002324F8">
        <w:t>Launch</w:t>
      </w:r>
      <w:r>
        <w:t xml:space="preserve"> (once a key player but not dominant)</w:t>
      </w:r>
      <w:r w:rsidRPr="002324F8">
        <w:t xml:space="preserve"> </w:t>
      </w:r>
      <w:r>
        <w:rPr>
          <w:rFonts w:eastAsia="Arial"/>
        </w:rPr>
        <w:t xml:space="preserve">ceased </w:t>
      </w:r>
      <w:r w:rsidRPr="002324F8">
        <w:rPr>
          <w:rFonts w:eastAsia="Arial"/>
        </w:rPr>
        <w:t>operations</w:t>
      </w:r>
    </w:p>
    <w:p w14:paraId="2A7A3984" w14:textId="77777777" w:rsidR="00BB7E5C" w:rsidRDefault="00BB7E5C" w:rsidP="00BB7E5C">
      <w:pPr>
        <w:pStyle w:val="Bulletlevel1last"/>
      </w:pPr>
      <w:r>
        <w:t>Japan’s Mitsubishi Heavy Industries (MHI) Launch Services and India’s Antrix have become more aggressive at marketing their H-IIA/B and Polar Satellite Launch Vehicle (PSLV), respectively.</w:t>
      </w:r>
    </w:p>
    <w:p w14:paraId="2DFD336E" w14:textId="035BE6F6" w:rsidR="00BB7E5C" w:rsidRDefault="00BB7E5C" w:rsidP="00BB7E5C">
      <w:pPr>
        <w:pStyle w:val="Paragraph"/>
      </w:pPr>
      <w:r>
        <w:t>China Aerospace (</w:t>
      </w:r>
      <w:r w:rsidR="004438D1">
        <w:t>9</w:t>
      </w:r>
      <w:r>
        <w:t>) and SpaceX (</w:t>
      </w:r>
      <w:r w:rsidR="004438D1">
        <w:t>10</w:t>
      </w:r>
      <w:r>
        <w:t>) ha</w:t>
      </w:r>
      <w:r w:rsidR="005A6172">
        <w:t>d</w:t>
      </w:r>
      <w:r>
        <w:t xml:space="preserve"> the most launches in the </w:t>
      </w:r>
      <w:r w:rsidR="005761EE">
        <w:t xml:space="preserve">December 2020 </w:t>
      </w:r>
      <w:r w:rsidR="00E53B97">
        <w:t>quarter</w:t>
      </w:r>
      <w:r w:rsidR="00820F86">
        <w:t>.</w:t>
      </w:r>
      <w:r w:rsidR="00820F86">
        <w:rPr>
          <w:rStyle w:val="FootnoteReference"/>
        </w:rPr>
        <w:footnoteReference w:id="15"/>
      </w:r>
      <w:r w:rsidR="00820F86">
        <w:t xml:space="preserve"> I</w:t>
      </w:r>
      <w:r w:rsidR="00E53B97">
        <w:t>n the previous quarter</w:t>
      </w:r>
      <w:r w:rsidR="00347AF8">
        <w:t>,</w:t>
      </w:r>
      <w:r w:rsidR="00E53B97">
        <w:t xml:space="preserve"> China Aerospace had </w:t>
      </w:r>
      <w:r w:rsidR="65A8175D">
        <w:t xml:space="preserve">the </w:t>
      </w:r>
      <w:r w:rsidR="00E53B97">
        <w:t>most launches followed by SpaceX</w:t>
      </w:r>
      <w:r>
        <w:t>.</w:t>
      </w:r>
      <w:r>
        <w:rPr>
          <w:rStyle w:val="FootnoteReference"/>
        </w:rPr>
        <w:footnoteReference w:id="16"/>
      </w:r>
    </w:p>
    <w:p w14:paraId="71DC6D62" w14:textId="325FD77C" w:rsidR="005802E5" w:rsidRDefault="005802E5" w:rsidP="005802E5">
      <w:pPr>
        <w:pStyle w:val="Paragraph"/>
      </w:pPr>
      <w:r>
        <w:t>Locations of the launch sites are spread across the world with the number of launches predominantly originating from China (39) and the US (31) in 2018.</w:t>
      </w:r>
      <w:r w:rsidRPr="007437BB">
        <w:footnoteReference w:id="17"/>
      </w:r>
      <w:r>
        <w:t xml:space="preserve"> There were no active launch sites in Australia, with the last launch occurring in Woomera in 1967. However, Australia has been relatively active when it comes to investing in space ventures and is in the process of building launch sites in </w:t>
      </w:r>
      <w:hyperlink r:id="rId48" w:history="1">
        <w:r>
          <w:t>Whalers Way</w:t>
        </w:r>
      </w:hyperlink>
      <w:r>
        <w:t xml:space="preserve"> (Southern </w:t>
      </w:r>
      <w:r>
        <w:lastRenderedPageBreak/>
        <w:t>Launch in South Australia)</w:t>
      </w:r>
      <w:r w:rsidRPr="003359D3">
        <w:rPr>
          <w:vertAlign w:val="superscript"/>
        </w:rPr>
        <w:footnoteReference w:id="18"/>
      </w:r>
      <w:r>
        <w:t xml:space="preserve">, </w:t>
      </w:r>
      <w:hyperlink r:id="rId49" w:history="1">
        <w:r>
          <w:t>Nhulunbuy</w:t>
        </w:r>
      </w:hyperlink>
      <w:r>
        <w:t xml:space="preserve"> (Equatorial Launch Australia in Northern Territory) and Woomera (RAAF in South Australia). </w:t>
      </w:r>
    </w:p>
    <w:p w14:paraId="6FDF41F2" w14:textId="6B024C7F" w:rsidR="005802E5" w:rsidRDefault="005802E5" w:rsidP="006F1C04">
      <w:pPr>
        <w:pStyle w:val="Paragraph"/>
      </w:pPr>
      <w:r>
        <w:t>Other</w:t>
      </w:r>
      <w:r w:rsidR="00BB7E5C">
        <w:t xml:space="preserve"> recent development</w:t>
      </w:r>
      <w:r>
        <w:t>s</w:t>
      </w:r>
      <w:r w:rsidR="00BB7E5C">
        <w:t xml:space="preserve"> </w:t>
      </w:r>
      <w:r>
        <w:t xml:space="preserve">have </w:t>
      </w:r>
      <w:r w:rsidR="00BB7E5C">
        <w:t>been ridesharing</w:t>
      </w:r>
      <w:r w:rsidR="00EA5760">
        <w:t xml:space="preserve"> and small </w:t>
      </w:r>
      <w:r w:rsidR="00003A01">
        <w:t xml:space="preserve">vehicle launch providers. </w:t>
      </w:r>
    </w:p>
    <w:p w14:paraId="18416F69" w14:textId="163EB042" w:rsidR="00BB7E5C" w:rsidRDefault="00003A01" w:rsidP="005802E5">
      <w:pPr>
        <w:pStyle w:val="Paragraph"/>
      </w:pPr>
      <w:r>
        <w:t xml:space="preserve">Ridesharing </w:t>
      </w:r>
      <w:r w:rsidR="00014098">
        <w:t>involves</w:t>
      </w:r>
      <w:r w:rsidR="00BB7E5C">
        <w:t xml:space="preserve"> satellite operators </w:t>
      </w:r>
      <w:r w:rsidR="00014098">
        <w:t>entering</w:t>
      </w:r>
      <w:r w:rsidR="00BB7E5C">
        <w:t xml:space="preserve"> an arrangement to have their satellites included as part of a payload. </w:t>
      </w:r>
      <w:r w:rsidR="00F46D45">
        <w:t xml:space="preserve">This </w:t>
      </w:r>
      <w:r w:rsidR="00014098">
        <w:t xml:space="preserve">reduces </w:t>
      </w:r>
      <w:r w:rsidR="00F46D45">
        <w:t>a signi</w:t>
      </w:r>
      <w:r w:rsidR="00E33235">
        <w:t xml:space="preserve">ficant </w:t>
      </w:r>
      <w:r w:rsidR="00E71CA7">
        <w:t>barrier to entry</w:t>
      </w:r>
      <w:r w:rsidR="00E33235">
        <w:t xml:space="preserve"> (that is, launch costs)</w:t>
      </w:r>
      <w:r w:rsidR="00E71CA7">
        <w:t xml:space="preserve"> into the satellite market. </w:t>
      </w:r>
      <w:r w:rsidR="00BB7E5C">
        <w:t xml:space="preserve">For example, Arianespace enables smaller operators to launch their satellites via its </w:t>
      </w:r>
      <w:r w:rsidR="00BB7E5C" w:rsidRPr="001C5CAD">
        <w:t>Small Spacecraft Mission Service</w:t>
      </w:r>
      <w:r w:rsidR="00BB7E5C">
        <w:t xml:space="preserve"> (SSMS).</w:t>
      </w:r>
      <w:r w:rsidR="00BB7E5C">
        <w:rPr>
          <w:rStyle w:val="FootnoteReference"/>
        </w:rPr>
        <w:footnoteReference w:id="19"/>
      </w:r>
      <w:r w:rsidR="00BB7E5C">
        <w:t xml:space="preserve"> Arianespace </w:t>
      </w:r>
      <w:r w:rsidR="00944F36">
        <w:t xml:space="preserve">says </w:t>
      </w:r>
      <w:r w:rsidR="43FB2B3B">
        <w:t xml:space="preserve">the </w:t>
      </w:r>
      <w:r w:rsidR="00BB7E5C">
        <w:t>SSMS</w:t>
      </w:r>
      <w:r w:rsidR="041349CE">
        <w:t xml:space="preserve"> provides flexibility for accommodating market requirements and minimises cost by reducing overheads</w:t>
      </w:r>
      <w:r w:rsidR="00BB7E5C">
        <w:t xml:space="preserve"> for small satellite operators</w:t>
      </w:r>
      <w:r w:rsidR="00C31822">
        <w:t>. This is achieved</w:t>
      </w:r>
      <w:r w:rsidR="00BB7E5C">
        <w:t xml:space="preserve"> through reducing legal costs (using simplified contracts) and operational costs (applying </w:t>
      </w:r>
      <w:r w:rsidR="00BB7E5C" w:rsidRPr="007A6FF7">
        <w:t>a lean integration chain</w:t>
      </w:r>
      <w:r w:rsidR="00BB7E5C">
        <w:t>)</w:t>
      </w:r>
      <w:r w:rsidR="005802E5">
        <w:t>. T</w:t>
      </w:r>
      <w:r w:rsidR="00BB7E5C">
        <w:t xml:space="preserve">he first commercial Arianespace launch occurred in September 2020, with regular follow-on SSMS flights planned once the </w:t>
      </w:r>
      <w:r w:rsidR="1F75DDD2">
        <w:t>‘</w:t>
      </w:r>
      <w:r w:rsidR="00BB7E5C">
        <w:t>next-generation</w:t>
      </w:r>
      <w:r w:rsidR="776FC5A0">
        <w:t>’</w:t>
      </w:r>
      <w:r w:rsidR="00BB7E5C">
        <w:t xml:space="preserve"> Vega C launcher begins operations.</w:t>
      </w:r>
      <w:r w:rsidR="00BB7E5C">
        <w:rPr>
          <w:rStyle w:val="FootnoteReference"/>
        </w:rPr>
        <w:footnoteReference w:id="20"/>
      </w:r>
    </w:p>
    <w:p w14:paraId="0E8DD483" w14:textId="27EB7163" w:rsidR="005802E5" w:rsidRDefault="00C77782" w:rsidP="005802E5">
      <w:pPr>
        <w:pStyle w:val="Paragraph"/>
      </w:pPr>
      <w:r>
        <w:t xml:space="preserve">Small vehicle launch providers </w:t>
      </w:r>
      <w:r w:rsidR="00A514D9">
        <w:t>specialise in launching SmallSats into space</w:t>
      </w:r>
      <w:r w:rsidR="00D30332">
        <w:t>. Their approach focuses on minimising launch costs by using smaller rockets</w:t>
      </w:r>
      <w:r w:rsidR="002723EC">
        <w:t xml:space="preserve">, as the payloads associated with SmallSats are significantly smaller than larger satellites. Examples </w:t>
      </w:r>
      <w:r w:rsidR="00B0422C">
        <w:t xml:space="preserve">include </w:t>
      </w:r>
      <w:hyperlink r:id="rId50" w:history="1">
        <w:r w:rsidR="00B0422C" w:rsidRPr="006143D3">
          <w:rPr>
            <w:rStyle w:val="Hyperlink"/>
          </w:rPr>
          <w:t>Electron</w:t>
        </w:r>
        <w:r w:rsidR="006143D3" w:rsidRPr="006143D3">
          <w:rPr>
            <w:rStyle w:val="Hyperlink"/>
          </w:rPr>
          <w:t xml:space="preserve"> (Rocketlab)</w:t>
        </w:r>
      </w:hyperlink>
      <w:r w:rsidR="006143D3">
        <w:t xml:space="preserve">, </w:t>
      </w:r>
      <w:hyperlink r:id="rId51" w:history="1">
        <w:r w:rsidR="007A78C6" w:rsidRPr="007A78C6">
          <w:rPr>
            <w:rStyle w:val="Hyperlink"/>
          </w:rPr>
          <w:t>Virgin Orbit (LauncherOne)</w:t>
        </w:r>
      </w:hyperlink>
      <w:r w:rsidR="007A78C6">
        <w:t xml:space="preserve">, </w:t>
      </w:r>
      <w:hyperlink r:id="rId52" w:history="1">
        <w:r w:rsidR="000D0C97" w:rsidRPr="00FA3947">
          <w:rPr>
            <w:rStyle w:val="Hyperlink"/>
          </w:rPr>
          <w:t>Firefly Aerospace (Alpha)</w:t>
        </w:r>
      </w:hyperlink>
      <w:r w:rsidR="001833F9">
        <w:t xml:space="preserve"> and other providers.</w:t>
      </w:r>
    </w:p>
    <w:p w14:paraId="5E2AE179" w14:textId="21DA6E3D" w:rsidR="00BB7E5C" w:rsidRDefault="00BB7E5C" w:rsidP="00BB7E5C">
      <w:pPr>
        <w:pStyle w:val="Heading2"/>
      </w:pPr>
      <w:bookmarkStart w:id="12" w:name="_Toc62205740"/>
      <w:bookmarkStart w:id="13" w:name="_Toc65851763"/>
      <w:r>
        <w:t>Payloads</w:t>
      </w:r>
      <w:bookmarkEnd w:id="12"/>
      <w:bookmarkEnd w:id="13"/>
    </w:p>
    <w:p w14:paraId="2E18CC6E" w14:textId="6A9C0EBC" w:rsidR="00BB7E5C" w:rsidRDefault="00BB7E5C" w:rsidP="00BB7E5C">
      <w:pPr>
        <w:pStyle w:val="Paragraph"/>
      </w:pPr>
      <w:r>
        <w:t xml:space="preserve">Payloads traditionally refer to the cargo on a vessel. With respect to space, payloads </w:t>
      </w:r>
      <w:r w:rsidR="0035301D">
        <w:t xml:space="preserve">can comprise </w:t>
      </w:r>
      <w:r>
        <w:t xml:space="preserve">satellite(s) on a rocket or </w:t>
      </w:r>
      <w:r w:rsidRPr="00AC1495">
        <w:t>elements of the spacecraft specifically dedicated to producing mission data and then relaying that data back to Earth</w:t>
      </w:r>
      <w:r>
        <w:t xml:space="preserve">. </w:t>
      </w:r>
      <w:r w:rsidR="004E6E60">
        <w:t>U</w:t>
      </w:r>
      <w:r w:rsidR="00C54B61">
        <w:t xml:space="preserve">ntil the mid-1990s, the launching of objects into space </w:t>
      </w:r>
      <w:r w:rsidR="00BD4A01">
        <w:t xml:space="preserve">was </w:t>
      </w:r>
      <w:r w:rsidR="00C54B61">
        <w:t>largely the government’s domain (defence and civil</w:t>
      </w:r>
      <w:r w:rsidR="00BD4A01">
        <w:t xml:space="preserve">), </w:t>
      </w:r>
      <w:r w:rsidR="00C54B61">
        <w:t>with communications and imaging satellites being launched at low Earth orbit (LEO).</w:t>
      </w:r>
      <w:r w:rsidR="00C54B61">
        <w:rPr>
          <w:rStyle w:val="FootnoteReference"/>
        </w:rPr>
        <w:footnoteReference w:id="21"/>
      </w:r>
      <w:r w:rsidR="00C54B61">
        <w:t xml:space="preserve"> From the late 1990s to early 2000s there </w:t>
      </w:r>
      <w:r w:rsidR="00BD4A01">
        <w:t xml:space="preserve">was </w:t>
      </w:r>
      <w:r w:rsidR="00C54B61">
        <w:t>an increasing trend of commercial payloads</w:t>
      </w:r>
      <w:r w:rsidR="00BD4A01">
        <w:t>,</w:t>
      </w:r>
      <w:r w:rsidR="00C54B61">
        <w:t xml:space="preserve"> with technology and science objects being launched at LEO.</w:t>
      </w:r>
    </w:p>
    <w:p w14:paraId="59F1FFCE" w14:textId="43468D2E" w:rsidR="00BB7E5C" w:rsidRDefault="00943A29" w:rsidP="00BB7E5C">
      <w:pPr>
        <w:pStyle w:val="Paragraph"/>
      </w:pPr>
      <w:r>
        <w:t>F</w:t>
      </w:r>
      <w:r w:rsidR="00C54B61">
        <w:t xml:space="preserve">or </w:t>
      </w:r>
      <w:r w:rsidR="00C54B61" w:rsidRPr="00C54B61">
        <w:t>geostationary Earth orbit (GEO)</w:t>
      </w:r>
      <w:r w:rsidR="00C54B61">
        <w:t xml:space="preserve"> satellites,</w:t>
      </w:r>
      <w:r w:rsidR="00C54B61" w:rsidRPr="00C54B61">
        <w:t xml:space="preserve"> </w:t>
      </w:r>
      <w:r w:rsidR="00BB7E5C">
        <w:t>commercial payloads have been a feature since the 1970s</w:t>
      </w:r>
      <w:r w:rsidR="00BD4A01">
        <w:t>,</w:t>
      </w:r>
      <w:r w:rsidR="000D18E4">
        <w:t xml:space="preserve"> carr</w:t>
      </w:r>
      <w:r w:rsidR="004D1AB2">
        <w:t>ying both</w:t>
      </w:r>
      <w:r w:rsidR="00BB7E5C">
        <w:t xml:space="preserve"> commercial and civil payloads. Communications appear to be the most common application.</w:t>
      </w:r>
      <w:r w:rsidR="00C54B61">
        <w:rPr>
          <w:rStyle w:val="FootnoteReference"/>
        </w:rPr>
        <w:footnoteReference w:id="22"/>
      </w:r>
      <w:r w:rsidR="00BB7E5C">
        <w:t xml:space="preserve"> During the 2000s</w:t>
      </w:r>
      <w:r w:rsidR="00BD4A01">
        <w:t>,</w:t>
      </w:r>
      <w:r w:rsidR="00BB7E5C">
        <w:t xml:space="preserve"> the proliferation of devices using global positioning technologies </w:t>
      </w:r>
      <w:r w:rsidR="305919E3">
        <w:t xml:space="preserve">was </w:t>
      </w:r>
      <w:r w:rsidR="00BB7E5C">
        <w:t>reflected in the increase of navigation payloads.</w:t>
      </w:r>
    </w:p>
    <w:p w14:paraId="33EF645E" w14:textId="3DA973BF" w:rsidR="00BB7E5C" w:rsidRPr="0086163A" w:rsidRDefault="00BB7E5C" w:rsidP="00BB7E5C">
      <w:pPr>
        <w:pStyle w:val="Paragraph"/>
      </w:pPr>
      <w:r>
        <w:t>In the third</w:t>
      </w:r>
      <w:r w:rsidR="00E814CE">
        <w:t xml:space="preserve"> and fourth</w:t>
      </w:r>
      <w:r>
        <w:t xml:space="preserve"> quarter</w:t>
      </w:r>
      <w:r w:rsidR="00E814CE">
        <w:t>s</w:t>
      </w:r>
      <w:r>
        <w:t xml:space="preserve"> of 2020, SpaceX launched the most upmass (</w:t>
      </w:r>
      <w:r w:rsidR="00BD4A01">
        <w:t>that is,</w:t>
      </w:r>
      <w:r>
        <w:t xml:space="preserve"> payload mass carried) into space</w:t>
      </w:r>
      <w:r w:rsidR="00C54B61">
        <w:t>.</w:t>
      </w:r>
      <w:r w:rsidR="00C54B61">
        <w:rPr>
          <w:rStyle w:val="FootnoteReference"/>
        </w:rPr>
        <w:footnoteReference w:id="23"/>
      </w:r>
      <w:r w:rsidR="00BB3E4F">
        <w:rPr>
          <w:vertAlign w:val="superscript"/>
        </w:rPr>
        <w:t>,</w:t>
      </w:r>
      <w:r w:rsidR="0086163A">
        <w:rPr>
          <w:vertAlign w:val="superscript"/>
        </w:rPr>
        <w:t xml:space="preserve"> </w:t>
      </w:r>
      <w:r w:rsidR="0086163A">
        <w:rPr>
          <w:rStyle w:val="FootnoteReference"/>
        </w:rPr>
        <w:footnoteReference w:id="24"/>
      </w:r>
    </w:p>
    <w:p w14:paraId="47A5A99C" w14:textId="77777777" w:rsidR="00BB7E5C" w:rsidRPr="00F96539" w:rsidRDefault="00BB7E5C" w:rsidP="006F1C04">
      <w:pPr>
        <w:pStyle w:val="Heading3"/>
        <w:keepLines/>
      </w:pPr>
      <w:bookmarkStart w:id="14" w:name="_Toc62205741"/>
      <w:bookmarkStart w:id="15" w:name="_Toc65851764"/>
      <w:r w:rsidRPr="00F96539">
        <w:lastRenderedPageBreak/>
        <w:t>Satellites</w:t>
      </w:r>
      <w:bookmarkEnd w:id="14"/>
      <w:bookmarkEnd w:id="15"/>
    </w:p>
    <w:p w14:paraId="39689A7E" w14:textId="7184C8F2" w:rsidR="00BB7E5C" w:rsidRDefault="00BB7E5C" w:rsidP="002D60C2">
      <w:pPr>
        <w:pStyle w:val="Paragraph"/>
        <w:keepNext/>
        <w:keepLines/>
      </w:pPr>
      <w:r>
        <w:t xml:space="preserve">Satellites are one of the most </w:t>
      </w:r>
      <w:r w:rsidRPr="00F96539">
        <w:t>common</w:t>
      </w:r>
      <w:r>
        <w:t xml:space="preserve"> payloads launched into space. T</w:t>
      </w:r>
      <w:r w:rsidR="354F9010">
        <w:t xml:space="preserve">he </w:t>
      </w:r>
      <w:r>
        <w:t xml:space="preserve">number </w:t>
      </w:r>
      <w:r w:rsidR="4F7485C9">
        <w:t xml:space="preserve">of satellite payloads has </w:t>
      </w:r>
      <w:r>
        <w:t>doubl</w:t>
      </w:r>
      <w:r w:rsidR="2CFB153D">
        <w:t>ed</w:t>
      </w:r>
      <w:r>
        <w:t xml:space="preserve"> in the past 20 years.</w:t>
      </w:r>
      <w:r w:rsidR="00C54B61">
        <w:rPr>
          <w:rStyle w:val="FootnoteReference"/>
        </w:rPr>
        <w:footnoteReference w:id="25"/>
      </w:r>
    </w:p>
    <w:p w14:paraId="54B99FAA" w14:textId="1AFAA345" w:rsidR="00BB7E5C" w:rsidRDefault="00BB7E5C" w:rsidP="002D60C2">
      <w:pPr>
        <w:pStyle w:val="Paragraph"/>
        <w:keepNext/>
        <w:keepLines/>
      </w:pPr>
      <w:r>
        <w:t xml:space="preserve">Satellites range in sizes from large to nano </w:t>
      </w:r>
      <w:r w:rsidR="00BD4A01">
        <w:t>(</w:t>
      </w:r>
      <w:r w:rsidR="00BB3E4F">
        <w:t xml:space="preserve">see </w:t>
      </w:r>
      <w:r w:rsidR="00BD4A01">
        <w:t xml:space="preserve">Table </w:t>
      </w:r>
      <w:r>
        <w:t>1</w:t>
      </w:r>
      <w:r w:rsidR="00BD4A01">
        <w:t>)</w:t>
      </w:r>
      <w:r>
        <w:t>.</w:t>
      </w:r>
    </w:p>
    <w:p w14:paraId="702F267B" w14:textId="504505B9" w:rsidR="00BB7E5C" w:rsidRDefault="00BD4A01" w:rsidP="002D60C2">
      <w:pPr>
        <w:pStyle w:val="Tableheading"/>
        <w:keepLines/>
      </w:pPr>
      <w:r>
        <w:t>Satellite sizes</w:t>
      </w:r>
    </w:p>
    <w:tbl>
      <w:tblPr>
        <w:tblStyle w:val="ACMAtablestyle"/>
        <w:tblW w:w="0" w:type="auto"/>
        <w:tblLook w:val="04A0" w:firstRow="1" w:lastRow="0" w:firstColumn="1" w:lastColumn="0" w:noHBand="0" w:noVBand="1"/>
      </w:tblPr>
      <w:tblGrid>
        <w:gridCol w:w="2535"/>
        <w:gridCol w:w="2540"/>
        <w:gridCol w:w="2586"/>
      </w:tblGrid>
      <w:tr w:rsidR="00BD4A01" w14:paraId="6D607F3E" w14:textId="77777777" w:rsidTr="002D60C2">
        <w:trPr>
          <w:cnfStyle w:val="100000000000" w:firstRow="1" w:lastRow="0" w:firstColumn="0" w:lastColumn="0" w:oddVBand="0" w:evenVBand="0" w:oddHBand="0" w:evenHBand="0" w:firstRowFirstColumn="0" w:firstRowLastColumn="0" w:lastRowFirstColumn="0" w:lastRowLastColumn="0"/>
        </w:trPr>
        <w:tc>
          <w:tcPr>
            <w:tcW w:w="2535" w:type="dxa"/>
          </w:tcPr>
          <w:p w14:paraId="36F4045D" w14:textId="7D4AAF65" w:rsidR="00BD4A01" w:rsidRPr="00F64410" w:rsidRDefault="00BD4A01" w:rsidP="002D60C2">
            <w:pPr>
              <w:pStyle w:val="Tableheaderrow"/>
              <w:keepNext/>
              <w:keepLines/>
            </w:pPr>
            <w:r w:rsidRPr="00453C8F">
              <w:t>Satellite type</w:t>
            </w:r>
          </w:p>
        </w:tc>
        <w:tc>
          <w:tcPr>
            <w:tcW w:w="2540" w:type="dxa"/>
          </w:tcPr>
          <w:p w14:paraId="4A5832D6" w14:textId="70495DF2" w:rsidR="00BD4A01" w:rsidRPr="000C2A4A" w:rsidRDefault="00BD4A01" w:rsidP="002D60C2">
            <w:pPr>
              <w:pStyle w:val="Tableheaderrow"/>
              <w:keepNext/>
              <w:keepLines/>
            </w:pPr>
            <w:r w:rsidRPr="00BD4A01">
              <w:t>Example</w:t>
            </w:r>
          </w:p>
        </w:tc>
        <w:tc>
          <w:tcPr>
            <w:tcW w:w="2586" w:type="dxa"/>
          </w:tcPr>
          <w:p w14:paraId="34A3076C" w14:textId="2928ECE9" w:rsidR="00BD4A01" w:rsidRPr="000C2A4A" w:rsidRDefault="00BD4A01" w:rsidP="002D60C2">
            <w:pPr>
              <w:pStyle w:val="Tableheaderrow"/>
              <w:keepNext/>
              <w:keepLines/>
            </w:pPr>
            <w:r w:rsidRPr="00BD4A01">
              <w:t>Weight</w:t>
            </w:r>
          </w:p>
        </w:tc>
      </w:tr>
      <w:tr w:rsidR="00BD4A01" w14:paraId="68F6F6A0" w14:textId="77777777" w:rsidTr="002D60C2">
        <w:trPr>
          <w:cnfStyle w:val="000000100000" w:firstRow="0" w:lastRow="0" w:firstColumn="0" w:lastColumn="0" w:oddVBand="0" w:evenVBand="0" w:oddHBand="1" w:evenHBand="0" w:firstRowFirstColumn="0" w:firstRowLastColumn="0" w:lastRowFirstColumn="0" w:lastRowLastColumn="0"/>
        </w:trPr>
        <w:tc>
          <w:tcPr>
            <w:tcW w:w="2535" w:type="dxa"/>
          </w:tcPr>
          <w:p w14:paraId="29FE5287" w14:textId="2E3D8F53" w:rsidR="00BD4A01" w:rsidRDefault="00BD4A01" w:rsidP="002D60C2">
            <w:pPr>
              <w:pStyle w:val="TableBody"/>
              <w:keepNext/>
              <w:keepLines/>
            </w:pPr>
            <w:r>
              <w:t>Large satellite</w:t>
            </w:r>
          </w:p>
        </w:tc>
        <w:tc>
          <w:tcPr>
            <w:tcW w:w="2540" w:type="dxa"/>
          </w:tcPr>
          <w:p w14:paraId="1CB0D931" w14:textId="0E422D4D" w:rsidR="00BD4A01" w:rsidRDefault="00BD4A01" w:rsidP="002D60C2">
            <w:pPr>
              <w:pStyle w:val="TableBody"/>
              <w:keepNext/>
              <w:keepLines/>
            </w:pPr>
            <w:r>
              <w:t>RADARSAT-2</w:t>
            </w:r>
          </w:p>
        </w:tc>
        <w:tc>
          <w:tcPr>
            <w:tcW w:w="2586" w:type="dxa"/>
          </w:tcPr>
          <w:p w14:paraId="4788DF9A" w14:textId="4AA3949B" w:rsidR="00BD4A01" w:rsidRDefault="00BD4A01" w:rsidP="002D60C2">
            <w:pPr>
              <w:pStyle w:val="TableBody"/>
              <w:keepNext/>
              <w:keepLines/>
            </w:pPr>
            <w:r>
              <w:t>&gt;1000 kg</w:t>
            </w:r>
          </w:p>
        </w:tc>
      </w:tr>
      <w:tr w:rsidR="00BD4A01" w14:paraId="07716095" w14:textId="77777777" w:rsidTr="002D60C2">
        <w:trPr>
          <w:cnfStyle w:val="000000010000" w:firstRow="0" w:lastRow="0" w:firstColumn="0" w:lastColumn="0" w:oddVBand="0" w:evenVBand="0" w:oddHBand="0" w:evenHBand="1" w:firstRowFirstColumn="0" w:firstRowLastColumn="0" w:lastRowFirstColumn="0" w:lastRowLastColumn="0"/>
        </w:trPr>
        <w:tc>
          <w:tcPr>
            <w:tcW w:w="2535" w:type="dxa"/>
          </w:tcPr>
          <w:p w14:paraId="6560569A" w14:textId="533BBE0F" w:rsidR="00BD4A01" w:rsidRDefault="00BD4A01" w:rsidP="002D60C2">
            <w:pPr>
              <w:pStyle w:val="TableBody"/>
              <w:keepNext/>
              <w:keepLines/>
            </w:pPr>
            <w:r>
              <w:t>Medium satellite</w:t>
            </w:r>
          </w:p>
        </w:tc>
        <w:tc>
          <w:tcPr>
            <w:tcW w:w="2540" w:type="dxa"/>
          </w:tcPr>
          <w:p w14:paraId="3BE7432A" w14:textId="02D18484" w:rsidR="00BD4A01" w:rsidRDefault="00BD4A01" w:rsidP="002D60C2">
            <w:pPr>
              <w:pStyle w:val="TableBody"/>
              <w:keepNext/>
              <w:keepLines/>
            </w:pPr>
            <w:r>
              <w:t>CASSIOPE</w:t>
            </w:r>
          </w:p>
        </w:tc>
        <w:tc>
          <w:tcPr>
            <w:tcW w:w="2586" w:type="dxa"/>
          </w:tcPr>
          <w:p w14:paraId="32086758" w14:textId="6D79CC9A" w:rsidR="00BD4A01" w:rsidRDefault="00BD4A01" w:rsidP="002D60C2">
            <w:pPr>
              <w:pStyle w:val="TableBody"/>
              <w:keepNext/>
              <w:keepLines/>
            </w:pPr>
            <w:r>
              <w:t>500–1000 kg</w:t>
            </w:r>
          </w:p>
        </w:tc>
      </w:tr>
      <w:tr w:rsidR="00BD4A01" w14:paraId="45B0CF11" w14:textId="77777777" w:rsidTr="002D60C2">
        <w:trPr>
          <w:cnfStyle w:val="000000100000" w:firstRow="0" w:lastRow="0" w:firstColumn="0" w:lastColumn="0" w:oddVBand="0" w:evenVBand="0" w:oddHBand="1" w:evenHBand="0" w:firstRowFirstColumn="0" w:firstRowLastColumn="0" w:lastRowFirstColumn="0" w:lastRowLastColumn="0"/>
        </w:trPr>
        <w:tc>
          <w:tcPr>
            <w:tcW w:w="2535" w:type="dxa"/>
          </w:tcPr>
          <w:p w14:paraId="2392DDCB" w14:textId="75DD9A4F" w:rsidR="00BD4A01" w:rsidRDefault="00BD4A01" w:rsidP="002D60C2">
            <w:pPr>
              <w:pStyle w:val="TableBody"/>
              <w:keepNext/>
              <w:keepLines/>
            </w:pPr>
            <w:r>
              <w:t>Mini satellite</w:t>
            </w:r>
          </w:p>
        </w:tc>
        <w:tc>
          <w:tcPr>
            <w:tcW w:w="2540" w:type="dxa"/>
          </w:tcPr>
          <w:p w14:paraId="545367EC" w14:textId="1464A2B6" w:rsidR="00BD4A01" w:rsidRDefault="00BD4A01" w:rsidP="002D60C2">
            <w:pPr>
              <w:pStyle w:val="TableBody"/>
              <w:keepNext/>
              <w:keepLines/>
            </w:pPr>
            <w:r>
              <w:t>SCISAT</w:t>
            </w:r>
          </w:p>
        </w:tc>
        <w:tc>
          <w:tcPr>
            <w:tcW w:w="2586" w:type="dxa"/>
          </w:tcPr>
          <w:p w14:paraId="1EC6A4E6" w14:textId="79E9AC55" w:rsidR="00BD4A01" w:rsidRDefault="00BD4A01" w:rsidP="002D60C2">
            <w:pPr>
              <w:pStyle w:val="TableBody"/>
              <w:keepNext/>
              <w:keepLines/>
            </w:pPr>
            <w:r>
              <w:t>100–350 kg</w:t>
            </w:r>
          </w:p>
        </w:tc>
      </w:tr>
      <w:tr w:rsidR="00BD4A01" w14:paraId="51F08532" w14:textId="77777777" w:rsidTr="002D60C2">
        <w:trPr>
          <w:cnfStyle w:val="000000010000" w:firstRow="0" w:lastRow="0" w:firstColumn="0" w:lastColumn="0" w:oddVBand="0" w:evenVBand="0" w:oddHBand="0" w:evenHBand="1" w:firstRowFirstColumn="0" w:firstRowLastColumn="0" w:lastRowFirstColumn="0" w:lastRowLastColumn="0"/>
        </w:trPr>
        <w:tc>
          <w:tcPr>
            <w:tcW w:w="2535" w:type="dxa"/>
          </w:tcPr>
          <w:p w14:paraId="2B048BE7" w14:textId="0D6A899C" w:rsidR="00BD4A01" w:rsidRDefault="00BD4A01" w:rsidP="002D60C2">
            <w:pPr>
              <w:pStyle w:val="TableBody"/>
              <w:keepNext/>
              <w:keepLines/>
            </w:pPr>
            <w:r>
              <w:t>Micro satellite</w:t>
            </w:r>
          </w:p>
        </w:tc>
        <w:tc>
          <w:tcPr>
            <w:tcW w:w="2540" w:type="dxa"/>
          </w:tcPr>
          <w:p w14:paraId="6877F6C1" w14:textId="27306C28" w:rsidR="00BD4A01" w:rsidRDefault="00BD4A01" w:rsidP="002D60C2">
            <w:pPr>
              <w:pStyle w:val="TableBody"/>
              <w:keepNext/>
              <w:keepLines/>
            </w:pPr>
            <w:r>
              <w:t>M3MSat</w:t>
            </w:r>
          </w:p>
        </w:tc>
        <w:tc>
          <w:tcPr>
            <w:tcW w:w="2586" w:type="dxa"/>
          </w:tcPr>
          <w:p w14:paraId="5D424226" w14:textId="0F8A04F1" w:rsidR="00BD4A01" w:rsidRDefault="00BD4A01" w:rsidP="002D60C2">
            <w:pPr>
              <w:pStyle w:val="TableBody"/>
              <w:keepNext/>
              <w:keepLines/>
            </w:pPr>
            <w:r>
              <w:t>10–100 kg</w:t>
            </w:r>
          </w:p>
        </w:tc>
      </w:tr>
      <w:tr w:rsidR="00BD4A01" w14:paraId="09E60699" w14:textId="77777777" w:rsidTr="002D60C2">
        <w:trPr>
          <w:cnfStyle w:val="000000100000" w:firstRow="0" w:lastRow="0" w:firstColumn="0" w:lastColumn="0" w:oddVBand="0" w:evenVBand="0" w:oddHBand="1" w:evenHBand="0" w:firstRowFirstColumn="0" w:firstRowLastColumn="0" w:lastRowFirstColumn="0" w:lastRowLastColumn="0"/>
        </w:trPr>
        <w:tc>
          <w:tcPr>
            <w:tcW w:w="2535" w:type="dxa"/>
          </w:tcPr>
          <w:p w14:paraId="0E817B95" w14:textId="2E357852" w:rsidR="00BD4A01" w:rsidRDefault="00BD4A01" w:rsidP="002D60C2">
            <w:pPr>
              <w:pStyle w:val="TableBody"/>
              <w:keepNext/>
              <w:keepLines/>
            </w:pPr>
            <w:r>
              <w:t>Nano satellite (including CubeSat)</w:t>
            </w:r>
          </w:p>
        </w:tc>
        <w:tc>
          <w:tcPr>
            <w:tcW w:w="2540" w:type="dxa"/>
          </w:tcPr>
          <w:p w14:paraId="186EC0DF" w14:textId="073EA2A4" w:rsidR="00BD4A01" w:rsidRDefault="00BD4A01" w:rsidP="002D60C2">
            <w:pPr>
              <w:pStyle w:val="TableBody"/>
              <w:keepNext/>
              <w:keepLines/>
            </w:pPr>
            <w:r>
              <w:t>Ex-Alta 1</w:t>
            </w:r>
          </w:p>
        </w:tc>
        <w:tc>
          <w:tcPr>
            <w:tcW w:w="2586" w:type="dxa"/>
          </w:tcPr>
          <w:p w14:paraId="6BE9F843" w14:textId="258EC885" w:rsidR="00BD4A01" w:rsidRDefault="00BD4A01" w:rsidP="002D60C2">
            <w:pPr>
              <w:pStyle w:val="TableBody"/>
              <w:keepNext/>
              <w:keepLines/>
            </w:pPr>
            <w:r>
              <w:t>1–10 kg (1 kg per unit)</w:t>
            </w:r>
          </w:p>
        </w:tc>
      </w:tr>
    </w:tbl>
    <w:p w14:paraId="59F2F0F9" w14:textId="7E191CF9" w:rsidR="00BB7E5C" w:rsidRDefault="00BB7E5C" w:rsidP="00AD6E26">
      <w:pPr>
        <w:pStyle w:val="Tableorfigurenotemultiple"/>
      </w:pPr>
      <w:r>
        <w:t xml:space="preserve">Source: Canadian Space Agency, </w:t>
      </w:r>
      <w:hyperlink r:id="rId53" w:history="1">
        <w:r w:rsidRPr="009A4C37">
          <w:rPr>
            <w:rStyle w:val="Hyperlink"/>
          </w:rPr>
          <w:t>What is a CubeSat</w:t>
        </w:r>
      </w:hyperlink>
      <w:r>
        <w:t>, Accessed 4 November 2020.</w:t>
      </w:r>
    </w:p>
    <w:p w14:paraId="2479668F" w14:textId="2EDE5D44" w:rsidR="00AD6E26" w:rsidRDefault="00F609F4" w:rsidP="00AD6E26">
      <w:pPr>
        <w:pStyle w:val="Tableorfigurenote"/>
      </w:pPr>
      <w:r>
        <w:t>Note: SmallSats comprise mini, micro and nano satellites (see glossary for definition).</w:t>
      </w:r>
    </w:p>
    <w:p w14:paraId="58135F51" w14:textId="4C934583" w:rsidR="00BB7E5C" w:rsidRDefault="00E20DD4" w:rsidP="00BB7E5C">
      <w:pPr>
        <w:pStyle w:val="Paragraph"/>
      </w:pPr>
      <w:r>
        <w:t>T</w:t>
      </w:r>
      <w:r w:rsidR="00BB7E5C">
        <w:t xml:space="preserve">here </w:t>
      </w:r>
      <w:r w:rsidR="00E91FE4">
        <w:t xml:space="preserve">were </w:t>
      </w:r>
      <w:r w:rsidR="00BB7E5C">
        <w:t>2,666 operating satellites</w:t>
      </w:r>
      <w:r w:rsidR="00E91FE4">
        <w:t xml:space="preserve"> in </w:t>
      </w:r>
      <w:r w:rsidR="00805D47">
        <w:t>March 2020</w:t>
      </w:r>
      <w:r w:rsidR="08590803">
        <w:t>.</w:t>
      </w:r>
      <w:r w:rsidR="00BB7E5C">
        <w:rPr>
          <w:rStyle w:val="FootnoteReference"/>
        </w:rPr>
        <w:footnoteReference w:id="26"/>
      </w:r>
      <w:r w:rsidR="00BB7E5C" w:rsidRPr="00110664">
        <w:t xml:space="preserve"> </w:t>
      </w:r>
      <w:r w:rsidR="00BB7E5C">
        <w:t>This comprises 1,918 LEO, 135 medium Earth orbit (MEO), 59 elliptical and 554 GEO satellites.</w:t>
      </w:r>
    </w:p>
    <w:p w14:paraId="1D454DE9" w14:textId="45F63F19" w:rsidR="00BB7E5C" w:rsidRDefault="00BB7E5C" w:rsidP="00BB7E5C">
      <w:pPr>
        <w:pStyle w:val="Paragraph"/>
      </w:pPr>
      <w:r>
        <w:t>SmallSat</w:t>
      </w:r>
      <w:r w:rsidR="2B329E28">
        <w:t xml:space="preserve"> deployments</w:t>
      </w:r>
      <w:r w:rsidR="0FDA1E12">
        <w:t>, comprising mini, micro and nano satellites,</w:t>
      </w:r>
      <w:r>
        <w:t xml:space="preserve"> are a</w:t>
      </w:r>
      <w:r w:rsidR="7E032CA1">
        <w:t>n</w:t>
      </w:r>
      <w:r>
        <w:t xml:space="preserve"> area of growth</w:t>
      </w:r>
      <w:r w:rsidR="00BB3E4F">
        <w:t>,</w:t>
      </w:r>
      <w:r>
        <w:t xml:space="preserve"> particularly at LEO. </w:t>
      </w:r>
      <w:r w:rsidR="000E6983">
        <w:t>One estimate is</w:t>
      </w:r>
      <w:r>
        <w:t xml:space="preserve"> the average number of SmallSats launched per year will increase from 181</w:t>
      </w:r>
      <w:r w:rsidR="00D61866">
        <w:t>in 2019</w:t>
      </w:r>
      <w:r>
        <w:t xml:space="preserve"> to 1,011 by 2029.</w:t>
      </w:r>
      <w:r w:rsidR="004A4436">
        <w:rPr>
          <w:rStyle w:val="FootnoteReference"/>
        </w:rPr>
        <w:footnoteReference w:id="27"/>
      </w:r>
    </w:p>
    <w:p w14:paraId="09EE8394" w14:textId="006F3700" w:rsidR="00BB7E5C" w:rsidRDefault="000444F1" w:rsidP="002D60C2">
      <w:pPr>
        <w:pStyle w:val="Paragraphbeforelist"/>
        <w:keepNext/>
        <w:keepLines/>
      </w:pPr>
      <w:r>
        <w:t xml:space="preserve">For the </w:t>
      </w:r>
      <w:r w:rsidR="00E450C1">
        <w:t>S</w:t>
      </w:r>
      <w:r>
        <w:t>mall</w:t>
      </w:r>
      <w:r w:rsidR="00B77D56">
        <w:t xml:space="preserve">Sat </w:t>
      </w:r>
      <w:r w:rsidR="00C10A24">
        <w:t>market</w:t>
      </w:r>
      <w:r w:rsidR="00BB7E5C">
        <w:rPr>
          <w:rStyle w:val="FootnoteReference"/>
        </w:rPr>
        <w:footnoteReference w:id="28"/>
      </w:r>
      <w:r w:rsidR="002D60C2">
        <w:t>:</w:t>
      </w:r>
    </w:p>
    <w:p w14:paraId="1E3A7984" w14:textId="7FEE27E5" w:rsidR="00BB7E5C" w:rsidRPr="00884F1D" w:rsidRDefault="00871E30" w:rsidP="002D60C2">
      <w:pPr>
        <w:pStyle w:val="ListBullet"/>
        <w:keepNext/>
        <w:keepLines/>
      </w:pPr>
      <w:r>
        <w:t>M</w:t>
      </w:r>
      <w:r w:rsidRPr="00884F1D">
        <w:t>ega</w:t>
      </w:r>
      <w:r w:rsidR="00BB7E5C" w:rsidRPr="00884F1D">
        <w:t>-constellations</w:t>
      </w:r>
      <w:r w:rsidR="00E63CC7">
        <w:t xml:space="preserve"> (for example, Starlink </w:t>
      </w:r>
      <w:r w:rsidR="00355CBF">
        <w:t>and Kuiper)</w:t>
      </w:r>
      <w:r w:rsidR="00BB7E5C" w:rsidRPr="00884F1D">
        <w:t xml:space="preserve"> will</w:t>
      </w:r>
      <w:r w:rsidR="00BB7E5C">
        <w:t xml:space="preserve"> </w:t>
      </w:r>
      <w:r w:rsidR="00BB7E5C" w:rsidRPr="00884F1D">
        <w:t xml:space="preserve">account for half </w:t>
      </w:r>
      <w:r w:rsidR="00D273FD">
        <w:t>the quantity of</w:t>
      </w:r>
      <w:r w:rsidR="00BB7E5C" w:rsidRPr="00884F1D">
        <w:t xml:space="preserve"> </w:t>
      </w:r>
      <w:r w:rsidR="00BB7E5C">
        <w:t>S</w:t>
      </w:r>
      <w:r w:rsidR="00BB7E5C" w:rsidRPr="00884F1D">
        <w:t>mall</w:t>
      </w:r>
      <w:r w:rsidR="00BB7E5C">
        <w:t>S</w:t>
      </w:r>
      <w:r w:rsidR="00BB7E5C" w:rsidRPr="00884F1D">
        <w:t xml:space="preserve">ats to be launched between 2020 and 2029, yet only account for </w:t>
      </w:r>
      <w:r w:rsidR="00D273FD">
        <w:t>20%</w:t>
      </w:r>
      <w:r w:rsidR="00BB7E5C" w:rsidRPr="00884F1D">
        <w:t xml:space="preserve"> of the </w:t>
      </w:r>
      <w:r w:rsidR="00BB7E5C">
        <w:t>S</w:t>
      </w:r>
      <w:r w:rsidR="00BB7E5C" w:rsidRPr="00884F1D">
        <w:t>mall</w:t>
      </w:r>
      <w:r w:rsidR="00BB7E5C">
        <w:t>S</w:t>
      </w:r>
      <w:r w:rsidR="00BB7E5C" w:rsidRPr="00884F1D">
        <w:t>at</w:t>
      </w:r>
      <w:r w:rsidR="00BB7E5C">
        <w:t xml:space="preserve"> </w:t>
      </w:r>
      <w:r w:rsidR="00BB7E5C" w:rsidRPr="00884F1D">
        <w:t xml:space="preserve">market value due to </w:t>
      </w:r>
      <w:r w:rsidR="00D273FD">
        <w:t>newer satellites being cheaper to manufacture and launch.</w:t>
      </w:r>
    </w:p>
    <w:p w14:paraId="445491FF" w14:textId="6E7D8814" w:rsidR="00BB7E5C" w:rsidRDefault="00D273FD" w:rsidP="002D60C2">
      <w:pPr>
        <w:pStyle w:val="ListBullet"/>
        <w:keepNext/>
        <w:keepLines/>
      </w:pPr>
      <w:r>
        <w:t xml:space="preserve">An </w:t>
      </w:r>
      <w:r w:rsidR="00BB7E5C" w:rsidRPr="00884F1D">
        <w:t xml:space="preserve">annual average of 1,000 </w:t>
      </w:r>
      <w:r w:rsidR="00BB7E5C">
        <w:t>S</w:t>
      </w:r>
      <w:r w:rsidR="00BB7E5C" w:rsidRPr="00884F1D">
        <w:t>mall</w:t>
      </w:r>
      <w:r w:rsidR="00BB7E5C">
        <w:t>S</w:t>
      </w:r>
      <w:r w:rsidR="00BB7E5C" w:rsidRPr="00884F1D">
        <w:t xml:space="preserve">ats </w:t>
      </w:r>
      <w:r w:rsidR="3AD5FB0E">
        <w:t xml:space="preserve">are </w:t>
      </w:r>
      <w:r>
        <w:t xml:space="preserve">expected </w:t>
      </w:r>
      <w:r w:rsidR="00BB7E5C" w:rsidRPr="00884F1D">
        <w:t>to be launched</w:t>
      </w:r>
      <w:r>
        <w:t xml:space="preserve"> during the 2020s</w:t>
      </w:r>
      <w:r w:rsidR="00871E30">
        <w:t>.</w:t>
      </w:r>
    </w:p>
    <w:p w14:paraId="7B71C3B1" w14:textId="60DA6C43" w:rsidR="00BB7E5C" w:rsidRDefault="00BB7E5C" w:rsidP="002D60C2">
      <w:pPr>
        <w:pStyle w:val="ListBullet"/>
        <w:keepNext/>
        <w:keepLines/>
      </w:pPr>
      <w:r w:rsidRPr="00884F1D">
        <w:t xml:space="preserve">2019 had the highest number of </w:t>
      </w:r>
      <w:r>
        <w:t>S</w:t>
      </w:r>
      <w:r w:rsidRPr="00884F1D">
        <w:t>mall</w:t>
      </w:r>
      <w:r>
        <w:t>S</w:t>
      </w:r>
      <w:r w:rsidRPr="00884F1D">
        <w:t xml:space="preserve">ats to date, with 385 </w:t>
      </w:r>
      <w:r>
        <w:t>S</w:t>
      </w:r>
      <w:r w:rsidRPr="00884F1D">
        <w:t>mall</w:t>
      </w:r>
      <w:r>
        <w:t>S</w:t>
      </w:r>
      <w:r w:rsidRPr="00884F1D">
        <w:t>ats launched</w:t>
      </w:r>
      <w:r w:rsidR="00871E30">
        <w:t>.</w:t>
      </w:r>
    </w:p>
    <w:p w14:paraId="566D5842" w14:textId="36783011" w:rsidR="00BB7E5C" w:rsidRPr="00884F1D" w:rsidRDefault="00BB7E5C" w:rsidP="002D60C2">
      <w:pPr>
        <w:pStyle w:val="Bulletlevel2"/>
      </w:pPr>
      <w:r w:rsidRPr="00884F1D">
        <w:t>These spacecraft generated</w:t>
      </w:r>
      <w:r>
        <w:t xml:space="preserve"> </w:t>
      </w:r>
      <w:r w:rsidR="002D60C2">
        <w:t>US</w:t>
      </w:r>
      <w:r w:rsidRPr="00884F1D">
        <w:t>$2.8 billion of market value in 2019, of which 70</w:t>
      </w:r>
      <w:r w:rsidR="00503AE3">
        <w:t>%</w:t>
      </w:r>
      <w:r w:rsidR="00D273FD">
        <w:t xml:space="preserve"> was </w:t>
      </w:r>
      <w:r w:rsidRPr="00884F1D">
        <w:t>for manufacturing and 30</w:t>
      </w:r>
      <w:r w:rsidR="00E538E7">
        <w:t>%</w:t>
      </w:r>
      <w:r w:rsidRPr="00884F1D">
        <w:t xml:space="preserve"> for launch</w:t>
      </w:r>
      <w:r w:rsidR="00871E30">
        <w:t>.</w:t>
      </w:r>
    </w:p>
    <w:p w14:paraId="26B6C7D8" w14:textId="048977D1" w:rsidR="00AB3A32" w:rsidRPr="006F1C04" w:rsidRDefault="00BB7E5C" w:rsidP="00BB7E5C">
      <w:pPr>
        <w:pStyle w:val="ListBullet"/>
        <w:rPr>
          <w:rFonts w:eastAsia="Arial" w:cs="Arial"/>
        </w:rPr>
      </w:pPr>
      <w:r w:rsidRPr="00884F1D">
        <w:t>From 2020 to 2029,</w:t>
      </w:r>
      <w:r>
        <w:t xml:space="preserve"> t</w:t>
      </w:r>
      <w:r w:rsidRPr="00884F1D">
        <w:t xml:space="preserve">he Asian market will account for 1,600 </w:t>
      </w:r>
      <w:r>
        <w:t>S</w:t>
      </w:r>
      <w:r w:rsidRPr="00884F1D">
        <w:t>mall</w:t>
      </w:r>
      <w:r>
        <w:t>S</w:t>
      </w:r>
      <w:r w:rsidRPr="00884F1D">
        <w:t>ats over the next decade, competing</w:t>
      </w:r>
      <w:r>
        <w:t xml:space="preserve"> </w:t>
      </w:r>
      <w:r w:rsidRPr="00884F1D">
        <w:t>with US companies</w:t>
      </w:r>
      <w:r w:rsidR="00036400">
        <w:t>.</w:t>
      </w:r>
    </w:p>
    <w:p w14:paraId="10BC1FB0" w14:textId="28C6377D" w:rsidR="00BB7E5C" w:rsidRPr="00884F1D" w:rsidRDefault="00E25C26" w:rsidP="002D60C2">
      <w:pPr>
        <w:pStyle w:val="Bulletlevel2"/>
      </w:pPr>
      <w:r>
        <w:t>7</w:t>
      </w:r>
      <w:r w:rsidR="005E51E2">
        <w:t>2% of t</w:t>
      </w:r>
      <w:r w:rsidR="005E51E2" w:rsidRPr="00884F1D">
        <w:t xml:space="preserve">he </w:t>
      </w:r>
      <w:r w:rsidR="00AB3A32">
        <w:t>Asian market</w:t>
      </w:r>
      <w:r w:rsidR="00AB3A32" w:rsidRPr="00884F1D">
        <w:t xml:space="preserve"> </w:t>
      </w:r>
      <w:r w:rsidR="00BB7E5C" w:rsidRPr="00884F1D">
        <w:t xml:space="preserve">is </w:t>
      </w:r>
      <w:r w:rsidR="005E51E2">
        <w:t>government</w:t>
      </w:r>
      <w:r w:rsidR="00C93502">
        <w:t>-</w:t>
      </w:r>
      <w:r w:rsidR="005E51E2">
        <w:t xml:space="preserve">driven </w:t>
      </w:r>
      <w:r w:rsidR="00C93502">
        <w:t>and predominantly involves, but is n</w:t>
      </w:r>
      <w:r w:rsidR="003F1F36">
        <w:t>ot limited to,</w:t>
      </w:r>
      <w:r w:rsidR="00BB7E5C" w:rsidRPr="00884F1D">
        <w:t xml:space="preserve"> China</w:t>
      </w:r>
      <w:r w:rsidR="00036400">
        <w:t>.</w:t>
      </w:r>
    </w:p>
    <w:p w14:paraId="1C1852D2" w14:textId="574B707A" w:rsidR="00BB7E5C" w:rsidRDefault="00BB7E5C" w:rsidP="00BB7E5C">
      <w:pPr>
        <w:pStyle w:val="ListBullet"/>
      </w:pPr>
      <w:r w:rsidRPr="00884F1D">
        <w:t xml:space="preserve">In the coming decade, </w:t>
      </w:r>
      <w:r>
        <w:t>S</w:t>
      </w:r>
      <w:r w:rsidRPr="00884F1D">
        <w:t>mall</w:t>
      </w:r>
      <w:r>
        <w:t>S</w:t>
      </w:r>
      <w:r w:rsidRPr="00884F1D">
        <w:t>at market growth will be dominated by communication satellites</w:t>
      </w:r>
      <w:r w:rsidR="00C1750F">
        <w:t>,</w:t>
      </w:r>
      <w:r w:rsidRPr="00884F1D">
        <w:t xml:space="preserve"> with nearly 5,700 units</w:t>
      </w:r>
      <w:r>
        <w:t xml:space="preserve"> </w:t>
      </w:r>
      <w:r w:rsidRPr="00884F1D">
        <w:t>forecast for launch</w:t>
      </w:r>
      <w:r w:rsidR="00036400">
        <w:t>.</w:t>
      </w:r>
    </w:p>
    <w:p w14:paraId="540DA8EC" w14:textId="7F5A3976" w:rsidR="00BB7E5C" w:rsidRDefault="00BB7E5C" w:rsidP="0050561F">
      <w:pPr>
        <w:pStyle w:val="Bulletlevel1last"/>
        <w:rPr>
          <w:rFonts w:eastAsia="Arial"/>
        </w:rPr>
      </w:pPr>
      <w:r>
        <w:lastRenderedPageBreak/>
        <w:t>H</w:t>
      </w:r>
      <w:r w:rsidRPr="00884F1D">
        <w:t xml:space="preserve">igh levels of uncertainty remain as the </w:t>
      </w:r>
      <w:r>
        <w:t>S</w:t>
      </w:r>
      <w:r w:rsidRPr="00884F1D">
        <w:t>mall</w:t>
      </w:r>
      <w:r>
        <w:t>S</w:t>
      </w:r>
      <w:r w:rsidRPr="00884F1D">
        <w:t>at market is, b</w:t>
      </w:r>
      <w:r>
        <w:t xml:space="preserve">y </w:t>
      </w:r>
      <w:r w:rsidRPr="00884F1D">
        <w:t>definition, very volatile</w:t>
      </w:r>
      <w:r w:rsidR="00D273FD">
        <w:t>.</w:t>
      </w:r>
      <w:r w:rsidR="0D44F4B6">
        <w:t xml:space="preserve"> The failure (or market entry) of a single constellation may represent </w:t>
      </w:r>
      <w:r w:rsidR="000E5AA5">
        <w:t xml:space="preserve">a variation </w:t>
      </w:r>
      <w:r w:rsidR="007855D4">
        <w:t>in the</w:t>
      </w:r>
      <w:r w:rsidR="006920E5">
        <w:t xml:space="preserve"> </w:t>
      </w:r>
      <w:r w:rsidR="006534A5">
        <w:t xml:space="preserve">forecast in the </w:t>
      </w:r>
      <w:r w:rsidR="0D44F4B6">
        <w:t>hundreds.</w:t>
      </w:r>
    </w:p>
    <w:tbl>
      <w:tblPr>
        <w:tblW w:w="0" w:type="auto"/>
        <w:shd w:val="clear" w:color="auto" w:fill="B8CCE4" w:themeFill="accent1" w:themeFillTint="66"/>
        <w:tblLook w:val="04A0" w:firstRow="1" w:lastRow="0" w:firstColumn="1" w:lastColumn="0" w:noHBand="0" w:noVBand="1"/>
      </w:tblPr>
      <w:tblGrid>
        <w:gridCol w:w="7661"/>
      </w:tblGrid>
      <w:tr w:rsidR="00160738" w14:paraId="47868ED1" w14:textId="77777777" w:rsidTr="0051329A">
        <w:tc>
          <w:tcPr>
            <w:tcW w:w="7661" w:type="dxa"/>
            <w:shd w:val="clear" w:color="auto" w:fill="E8EAF4"/>
          </w:tcPr>
          <w:p w14:paraId="55A64017" w14:textId="12866542" w:rsidR="00160738" w:rsidRPr="0051329A" w:rsidRDefault="00160738" w:rsidP="0051329A">
            <w:pPr>
              <w:pStyle w:val="Paragraph"/>
              <w:ind w:left="284"/>
              <w:rPr>
                <w:color w:val="000000" w:themeColor="text1"/>
                <w:sz w:val="19"/>
              </w:rPr>
            </w:pPr>
            <w:r w:rsidRPr="0051329A">
              <w:rPr>
                <w:color w:val="000000" w:themeColor="text1"/>
                <w:sz w:val="19"/>
              </w:rPr>
              <w:t>The applications offered by LEO sats are likely to replicate the offerings of LTE and 5G in a number of areas – and likely at much lower cost. Today, railway operators are installing private LTE networks for signalling – LEO satellites could provide this without requiring a single new base station to be built. It’s a similar story for data on the trains themselves.</w:t>
            </w:r>
          </w:p>
          <w:p w14:paraId="65F58380" w14:textId="77777777" w:rsidR="00160738" w:rsidRPr="0051329A" w:rsidRDefault="00160738" w:rsidP="0051329A">
            <w:pPr>
              <w:pStyle w:val="Paragraph"/>
              <w:ind w:left="284"/>
              <w:rPr>
                <w:color w:val="000000" w:themeColor="text1"/>
                <w:sz w:val="19"/>
              </w:rPr>
            </w:pPr>
            <w:r w:rsidRPr="0051329A">
              <w:rPr>
                <w:color w:val="000000" w:themeColor="text1"/>
                <w:sz w:val="19"/>
              </w:rPr>
              <w:t>In fact, many internet of things (IoT) applications being touted as dependent on 5G may well be more economically served by LEO sats, such as transport and logistics, autonomous vehicles, and other in-vehicle data applications. Why would Mercedes, when seeking coverage for autonomous cars, sign up 172 agreements with local mobile operators around the world, for patchy, incomplete coverage when they could have one contract with a worldwide provider?</w:t>
            </w:r>
          </w:p>
          <w:p w14:paraId="16C2BAD7" w14:textId="6C9A9B9C" w:rsidR="00160738" w:rsidRDefault="00894DFE" w:rsidP="0051329A">
            <w:pPr>
              <w:pStyle w:val="Paragraph"/>
              <w:ind w:left="284"/>
            </w:pPr>
            <w:r w:rsidRPr="00694BDE">
              <w:rPr>
                <w:color w:val="000000" w:themeColor="text1"/>
              </w:rPr>
              <w:t>Michael Ackland, General Manager Government and Strategic Projects, Vocus</w:t>
            </w:r>
            <w:r w:rsidRPr="00694BDE">
              <w:rPr>
                <w:rStyle w:val="FootnoteReference"/>
                <w:color w:val="000000" w:themeColor="text1"/>
              </w:rPr>
              <w:footnoteReference w:id="29"/>
            </w:r>
          </w:p>
        </w:tc>
      </w:tr>
    </w:tbl>
    <w:p w14:paraId="2E0E47F4" w14:textId="77777777" w:rsidR="00160738" w:rsidRDefault="00160738" w:rsidP="00BB7E5C">
      <w:pPr>
        <w:pStyle w:val="Paragraph"/>
      </w:pPr>
    </w:p>
    <w:p w14:paraId="7938B202" w14:textId="435B5A7B" w:rsidR="00BB7E5C" w:rsidRDefault="00AD1E93" w:rsidP="00BB7E5C">
      <w:pPr>
        <w:pStyle w:val="Paragraph"/>
      </w:pPr>
      <w:r>
        <w:t>Figure</w:t>
      </w:r>
      <w:r w:rsidDel="00FB6465">
        <w:t xml:space="preserve"> </w:t>
      </w:r>
      <w:r w:rsidR="00FB6465">
        <w:t xml:space="preserve">2 </w:t>
      </w:r>
      <w:r>
        <w:t>shows the launch trends of</w:t>
      </w:r>
      <w:r w:rsidDel="00AD1E93">
        <w:t xml:space="preserve"> </w:t>
      </w:r>
      <w:r w:rsidR="00BB7E5C">
        <w:t>CubeSats, nanosatellites, picosatellites and various other small satellites.</w:t>
      </w:r>
      <w:r w:rsidR="00BB7E5C">
        <w:rPr>
          <w:rStyle w:val="FootnoteReference"/>
        </w:rPr>
        <w:footnoteReference w:id="30"/>
      </w:r>
      <w:r w:rsidR="00BB7E5C">
        <w:t xml:space="preserve"> </w:t>
      </w:r>
    </w:p>
    <w:p w14:paraId="0F11FF66" w14:textId="77777777" w:rsidR="00BB7E5C" w:rsidRDefault="00BB7E5C" w:rsidP="0051329A">
      <w:pPr>
        <w:pStyle w:val="Figureheading"/>
        <w:keepLines/>
      </w:pPr>
      <w:r>
        <w:t>Total nanosatellites and CubeSats launched</w:t>
      </w:r>
    </w:p>
    <w:p w14:paraId="407FAB85" w14:textId="77777777" w:rsidR="00BB7E5C" w:rsidRDefault="00BB7E5C" w:rsidP="0051329A">
      <w:pPr>
        <w:pStyle w:val="TableBody"/>
        <w:keepNext/>
        <w:keepLines/>
      </w:pPr>
      <w:r>
        <w:rPr>
          <w:noProof/>
        </w:rPr>
        <w:drawing>
          <wp:inline distT="0" distB="0" distL="0" distR="0" wp14:anchorId="0D502045" wp14:editId="70178058">
            <wp:extent cx="4871085" cy="2727008"/>
            <wp:effectExtent l="0" t="0" r="5715" b="0"/>
            <wp:docPr id="2" name="Picture 2" descr="Graph showing increases in launches from 1998 to 2020. Diagram explanations are in text but if you need help reading this diagram, please contact our Customer Service Centre on tel: 1300 850 115, or email: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 showing increases in launches from 1998 to 2020. Diagram explanations are in text but if you need help reading this diagram, please contact our Customer Service Centre on tel: 1300 850 115, or email: info@acma.gov.au"/>
                    <pic:cNvPicPr>
                      <a:picLocks noChangeAspect="1" noChangeArrowheads="1"/>
                    </pic:cNvPicPr>
                  </pic:nvPicPr>
                  <pic:blipFill rotWithShape="1">
                    <a:blip r:embed="rId54">
                      <a:extLst>
                        <a:ext uri="{28A0092B-C50C-407E-A947-70E740481C1C}">
                          <a14:useLocalDpi xmlns:a14="http://schemas.microsoft.com/office/drawing/2010/main" val="0"/>
                        </a:ext>
                      </a:extLst>
                    </a:blip>
                    <a:srcRect/>
                    <a:stretch/>
                  </pic:blipFill>
                  <pic:spPr bwMode="auto">
                    <a:xfrm>
                      <a:off x="0" y="0"/>
                      <a:ext cx="4871085" cy="2727008"/>
                    </a:xfrm>
                    <a:prstGeom prst="rect">
                      <a:avLst/>
                    </a:prstGeom>
                    <a:noFill/>
                    <a:ln>
                      <a:noFill/>
                    </a:ln>
                    <a:extLst>
                      <a:ext uri="{53640926-AAD7-44D8-BBD7-CCE9431645EC}">
                        <a14:shadowObscured xmlns:a14="http://schemas.microsoft.com/office/drawing/2010/main"/>
                      </a:ext>
                    </a:extLst>
                  </pic:spPr>
                </pic:pic>
              </a:graphicData>
            </a:graphic>
          </wp:inline>
        </w:drawing>
      </w:r>
    </w:p>
    <w:p w14:paraId="7CE3E162" w14:textId="2243F011" w:rsidR="00BB7E5C" w:rsidRDefault="00BB7E5C" w:rsidP="00B1507B">
      <w:pPr>
        <w:pStyle w:val="Tableorfigurenote"/>
        <w:keepLines/>
      </w:pPr>
      <w:r>
        <w:t xml:space="preserve">Source: </w:t>
      </w:r>
      <w:r w:rsidR="004A4436">
        <w:t xml:space="preserve">Erik Kulu, </w:t>
      </w:r>
      <w:r>
        <w:t xml:space="preserve">Nanosats </w:t>
      </w:r>
      <w:r w:rsidR="004A4436">
        <w:t>D</w:t>
      </w:r>
      <w:r>
        <w:t>atabase,</w:t>
      </w:r>
      <w:r w:rsidR="004A4436">
        <w:t xml:space="preserve"> www.nanosats.eu</w:t>
      </w:r>
      <w:r>
        <w:t xml:space="preserve"> </w:t>
      </w:r>
      <w:r w:rsidR="004A4436">
        <w:t>(</w:t>
      </w:r>
      <w:hyperlink r:id="rId55" w:history="1">
        <w:r w:rsidRPr="005D2B47">
          <w:rPr>
            <w:rStyle w:val="Hyperlink"/>
          </w:rPr>
          <w:t>Figures</w:t>
        </w:r>
      </w:hyperlink>
      <w:r w:rsidR="004A4436">
        <w:rPr>
          <w:rStyle w:val="Hyperlink"/>
        </w:rPr>
        <w:t>)</w:t>
      </w:r>
      <w:r>
        <w:t>, Accessed 25 August 2020.</w:t>
      </w:r>
    </w:p>
    <w:p w14:paraId="4D4A6529" w14:textId="1AAE05AE" w:rsidR="00BB7E5C" w:rsidRPr="005000F5" w:rsidRDefault="00AD1E93" w:rsidP="00B1507B">
      <w:pPr>
        <w:pStyle w:val="Paragraph"/>
        <w:keepNext/>
        <w:keepLines/>
      </w:pPr>
      <w:r>
        <w:lastRenderedPageBreak/>
        <w:t xml:space="preserve">One estimate is </w:t>
      </w:r>
      <w:r w:rsidR="00BB7E5C">
        <w:t>there will be over 6,500 nanosats launch</w:t>
      </w:r>
      <w:r>
        <w:t>es</w:t>
      </w:r>
      <w:r w:rsidR="00BB7E5C">
        <w:t xml:space="preserve"> in 6 years </w:t>
      </w:r>
      <w:r>
        <w:t>from</w:t>
      </w:r>
      <w:r w:rsidR="00BB7E5C">
        <w:t xml:space="preserve"> 2020.</w:t>
      </w:r>
      <w:r w:rsidR="00BB7E5C">
        <w:rPr>
          <w:rStyle w:val="FootnoteReference"/>
        </w:rPr>
        <w:footnoteReference w:id="31"/>
      </w:r>
      <w:r w:rsidR="00C1750F">
        <w:rPr>
          <w:vertAlign w:val="superscript"/>
        </w:rPr>
        <w:t>,</w:t>
      </w:r>
      <w:r w:rsidR="005000F5" w:rsidRPr="0051329A">
        <w:rPr>
          <w:vertAlign w:val="superscript"/>
        </w:rPr>
        <w:t xml:space="preserve"> </w:t>
      </w:r>
      <w:r w:rsidR="005000F5">
        <w:rPr>
          <w:rStyle w:val="FootnoteReference"/>
        </w:rPr>
        <w:footnoteReference w:id="32"/>
      </w:r>
    </w:p>
    <w:p w14:paraId="3A17B9C6" w14:textId="641048C9" w:rsidR="00BB7E5C" w:rsidRDefault="00AD1E93" w:rsidP="00B1507B">
      <w:pPr>
        <w:pStyle w:val="Paragraph"/>
        <w:keepLines/>
      </w:pPr>
      <w:r>
        <w:t>I</w:t>
      </w:r>
      <w:r w:rsidR="00C1750F">
        <w:t>n</w:t>
      </w:r>
      <w:r w:rsidR="00BB7E5C">
        <w:t xml:space="preserve"> the third </w:t>
      </w:r>
      <w:r w:rsidR="0041234E">
        <w:t xml:space="preserve">and fourth </w:t>
      </w:r>
      <w:r w:rsidR="00BB7E5C">
        <w:t>quarter</w:t>
      </w:r>
      <w:r w:rsidR="0041234E">
        <w:t>s</w:t>
      </w:r>
      <w:r w:rsidR="00BB7E5C">
        <w:t xml:space="preserve"> of 2020, SpaceX has launched 184 </w:t>
      </w:r>
      <w:r w:rsidR="0041234E">
        <w:t xml:space="preserve">and 247 </w:t>
      </w:r>
      <w:r w:rsidR="00BB7E5C">
        <w:t>spacecraft</w:t>
      </w:r>
      <w:r w:rsidR="002F7BFD">
        <w:t xml:space="preserve"> (for example, satellites)</w:t>
      </w:r>
      <w:r w:rsidR="0041234E">
        <w:t xml:space="preserve"> respectively</w:t>
      </w:r>
      <w:r w:rsidR="00BB7E5C">
        <w:t>.</w:t>
      </w:r>
      <w:r w:rsidR="004A4436">
        <w:rPr>
          <w:rStyle w:val="FootnoteReference"/>
        </w:rPr>
        <w:footnoteReference w:id="33"/>
      </w:r>
    </w:p>
    <w:p w14:paraId="031026C8" w14:textId="77777777" w:rsidR="00BB7E5C" w:rsidRDefault="00BB7E5C" w:rsidP="00BB7E5C">
      <w:pPr>
        <w:pStyle w:val="Heading2"/>
      </w:pPr>
      <w:bookmarkStart w:id="16" w:name="_Toc62205742"/>
      <w:bookmarkStart w:id="17" w:name="_Toc65851765"/>
      <w:r>
        <w:t>Australian space industry</w:t>
      </w:r>
      <w:bookmarkEnd w:id="16"/>
      <w:bookmarkEnd w:id="17"/>
    </w:p>
    <w:p w14:paraId="1DAC7B42" w14:textId="32820CAC" w:rsidR="00BB7E5C" w:rsidRDefault="00BB7E5C" w:rsidP="00E37C90">
      <w:pPr>
        <w:pStyle w:val="Paragraph"/>
      </w:pPr>
      <w:r>
        <w:t xml:space="preserve">The Australian space sector has received a renewed focus with the establishment of the ASA on 1 July 2018. The ASA aims </w:t>
      </w:r>
      <w:r w:rsidR="00EC000A">
        <w:t xml:space="preserve">to </w:t>
      </w:r>
      <w:r>
        <w:t xml:space="preserve">grow the Australian space sector to be worth </w:t>
      </w:r>
      <w:r w:rsidR="00EC000A">
        <w:t>A</w:t>
      </w:r>
      <w:r>
        <w:t>$12 billion per annum by 2030</w:t>
      </w:r>
      <w:r w:rsidR="00795546">
        <w:t xml:space="preserve"> – </w:t>
      </w:r>
      <w:r w:rsidRPr="00E81855">
        <w:t>supporting another 20,000 space industry jobs</w:t>
      </w:r>
      <w:r>
        <w:t>.</w:t>
      </w:r>
      <w:r>
        <w:rPr>
          <w:rStyle w:val="FootnoteReference"/>
        </w:rPr>
        <w:footnoteReference w:id="34"/>
      </w:r>
      <w:r w:rsidR="00E60D9D">
        <w:t xml:space="preserve"> </w:t>
      </w:r>
      <w:r w:rsidR="00AE5507">
        <w:t>Table</w:t>
      </w:r>
      <w:r w:rsidR="005F283E">
        <w:t xml:space="preserve"> </w:t>
      </w:r>
      <w:r w:rsidR="009C5511">
        <w:t xml:space="preserve">2 </w:t>
      </w:r>
      <w:r w:rsidR="005F283E">
        <w:t>shows</w:t>
      </w:r>
      <w:r w:rsidR="003F6D06">
        <w:t xml:space="preserve"> key information about</w:t>
      </w:r>
      <w:r>
        <w:t xml:space="preserve"> </w:t>
      </w:r>
      <w:r w:rsidR="0C6B4EE6">
        <w:t xml:space="preserve">the </w:t>
      </w:r>
      <w:r w:rsidR="4968A836">
        <w:t xml:space="preserve">Australian </w:t>
      </w:r>
      <w:r>
        <w:t>space industry.</w:t>
      </w:r>
    </w:p>
    <w:p w14:paraId="1CFEF71B" w14:textId="0E68163F" w:rsidR="00AE5507" w:rsidRDefault="009C5511" w:rsidP="00AE5507">
      <w:pPr>
        <w:pStyle w:val="Tableheading"/>
        <w:keepLines/>
      </w:pPr>
      <w:r>
        <w:t>Key statistics</w:t>
      </w:r>
      <w:r w:rsidR="00887F19">
        <w:t xml:space="preserve"> and indicators for Australian industry (2020)</w:t>
      </w:r>
    </w:p>
    <w:tbl>
      <w:tblPr>
        <w:tblStyle w:val="ACMAtablestyle"/>
        <w:tblW w:w="0" w:type="auto"/>
        <w:tblLook w:val="04A0" w:firstRow="1" w:lastRow="0" w:firstColumn="1" w:lastColumn="0" w:noHBand="0" w:noVBand="1"/>
      </w:tblPr>
      <w:tblGrid>
        <w:gridCol w:w="1838"/>
        <w:gridCol w:w="5812"/>
      </w:tblGrid>
      <w:tr w:rsidR="00887F19" w14:paraId="42A23FE9" w14:textId="77777777" w:rsidTr="0025173C">
        <w:trPr>
          <w:cnfStyle w:val="100000000000" w:firstRow="1" w:lastRow="0" w:firstColumn="0" w:lastColumn="0" w:oddVBand="0" w:evenVBand="0" w:oddHBand="0" w:evenHBand="0" w:firstRowFirstColumn="0" w:firstRowLastColumn="0" w:lastRowFirstColumn="0" w:lastRowLastColumn="0"/>
        </w:trPr>
        <w:tc>
          <w:tcPr>
            <w:tcW w:w="1838" w:type="dxa"/>
          </w:tcPr>
          <w:p w14:paraId="7C5A8392" w14:textId="51438E25" w:rsidR="00887F19" w:rsidRPr="00F64410" w:rsidRDefault="00887F19" w:rsidP="00BE2077">
            <w:pPr>
              <w:pStyle w:val="Tableheaderrow"/>
              <w:keepNext/>
              <w:keepLines/>
            </w:pPr>
            <w:r>
              <w:t>Statistic/indicator</w:t>
            </w:r>
          </w:p>
        </w:tc>
        <w:tc>
          <w:tcPr>
            <w:tcW w:w="5812" w:type="dxa"/>
          </w:tcPr>
          <w:p w14:paraId="37768428" w14:textId="23E02800" w:rsidR="00887F19" w:rsidRPr="000C2A4A" w:rsidRDefault="00887F19" w:rsidP="00BE2077">
            <w:pPr>
              <w:pStyle w:val="Tableheaderrow"/>
              <w:keepNext/>
              <w:keepLines/>
            </w:pPr>
          </w:p>
        </w:tc>
      </w:tr>
      <w:tr w:rsidR="00887F19" w14:paraId="67C95731" w14:textId="77777777" w:rsidTr="0025173C">
        <w:trPr>
          <w:cnfStyle w:val="000000100000" w:firstRow="0" w:lastRow="0" w:firstColumn="0" w:lastColumn="0" w:oddVBand="0" w:evenVBand="0" w:oddHBand="1" w:evenHBand="0" w:firstRowFirstColumn="0" w:firstRowLastColumn="0" w:lastRowFirstColumn="0" w:lastRowLastColumn="0"/>
        </w:trPr>
        <w:tc>
          <w:tcPr>
            <w:tcW w:w="1838" w:type="dxa"/>
          </w:tcPr>
          <w:p w14:paraId="17A91394" w14:textId="160422D9" w:rsidR="00887F19" w:rsidRDefault="00887F19" w:rsidP="00BE2077">
            <w:pPr>
              <w:pStyle w:val="TableBody"/>
              <w:keepNext/>
              <w:keepLines/>
            </w:pPr>
            <w:r>
              <w:t>Revenue</w:t>
            </w:r>
          </w:p>
        </w:tc>
        <w:tc>
          <w:tcPr>
            <w:tcW w:w="5812" w:type="dxa"/>
          </w:tcPr>
          <w:p w14:paraId="4C60C71E" w14:textId="1C5668E2" w:rsidR="00887F19" w:rsidRDefault="00887F19" w:rsidP="00BE2077">
            <w:pPr>
              <w:pStyle w:val="TableBody"/>
              <w:keepNext/>
              <w:keepLines/>
            </w:pPr>
            <w:r>
              <w:t>A$5.7 billion</w:t>
            </w:r>
          </w:p>
        </w:tc>
      </w:tr>
      <w:tr w:rsidR="00D8248C" w14:paraId="5C63BA53" w14:textId="77777777" w:rsidTr="0025173C">
        <w:trPr>
          <w:cnfStyle w:val="000000010000" w:firstRow="0" w:lastRow="0" w:firstColumn="0" w:lastColumn="0" w:oddVBand="0" w:evenVBand="0" w:oddHBand="0" w:evenHBand="1" w:firstRowFirstColumn="0" w:firstRowLastColumn="0" w:lastRowFirstColumn="0" w:lastRowLastColumn="0"/>
        </w:trPr>
        <w:tc>
          <w:tcPr>
            <w:tcW w:w="1838" w:type="dxa"/>
          </w:tcPr>
          <w:p w14:paraId="22C37A85" w14:textId="41F426EB" w:rsidR="00D8248C" w:rsidRDefault="00D8248C" w:rsidP="00D8248C">
            <w:pPr>
              <w:pStyle w:val="TableBody"/>
              <w:keepNext/>
              <w:keepLines/>
            </w:pPr>
            <w:r>
              <w:t>Profit margin</w:t>
            </w:r>
          </w:p>
        </w:tc>
        <w:tc>
          <w:tcPr>
            <w:tcW w:w="5812" w:type="dxa"/>
          </w:tcPr>
          <w:p w14:paraId="403FF67D" w14:textId="4E85EA13" w:rsidR="00D8248C" w:rsidRDefault="00D8248C" w:rsidP="00D8248C">
            <w:pPr>
              <w:pStyle w:val="TableBody"/>
              <w:keepNext/>
              <w:keepLines/>
            </w:pPr>
            <w:r>
              <w:t>6.1%</w:t>
            </w:r>
          </w:p>
        </w:tc>
      </w:tr>
      <w:tr w:rsidR="00D8248C" w14:paraId="26D51CD6" w14:textId="77777777" w:rsidTr="0025173C">
        <w:trPr>
          <w:cnfStyle w:val="000000100000" w:firstRow="0" w:lastRow="0" w:firstColumn="0" w:lastColumn="0" w:oddVBand="0" w:evenVBand="0" w:oddHBand="1" w:evenHBand="0" w:firstRowFirstColumn="0" w:firstRowLastColumn="0" w:lastRowFirstColumn="0" w:lastRowLastColumn="0"/>
        </w:trPr>
        <w:tc>
          <w:tcPr>
            <w:tcW w:w="1838" w:type="dxa"/>
          </w:tcPr>
          <w:p w14:paraId="78EFDDF0" w14:textId="0271B98A" w:rsidR="00D8248C" w:rsidRDefault="00D8248C" w:rsidP="00D8248C">
            <w:pPr>
              <w:pStyle w:val="TableBody"/>
              <w:keepNext/>
              <w:keepLines/>
            </w:pPr>
            <w:r>
              <w:t>Businesses</w:t>
            </w:r>
          </w:p>
        </w:tc>
        <w:tc>
          <w:tcPr>
            <w:tcW w:w="5812" w:type="dxa"/>
          </w:tcPr>
          <w:p w14:paraId="25222D96" w14:textId="5FE7A66B" w:rsidR="00D8248C" w:rsidRDefault="00D8248C" w:rsidP="00D8248C">
            <w:pPr>
              <w:pStyle w:val="TableBody"/>
              <w:keepNext/>
              <w:keepLines/>
            </w:pPr>
            <w:r>
              <w:t>829 businesses</w:t>
            </w:r>
          </w:p>
        </w:tc>
      </w:tr>
      <w:tr w:rsidR="00D8248C" w14:paraId="27554AA8" w14:textId="77777777" w:rsidTr="0025173C">
        <w:trPr>
          <w:cnfStyle w:val="000000010000" w:firstRow="0" w:lastRow="0" w:firstColumn="0" w:lastColumn="0" w:oddVBand="0" w:evenVBand="0" w:oddHBand="0" w:evenHBand="1" w:firstRowFirstColumn="0" w:firstRowLastColumn="0" w:lastRowFirstColumn="0" w:lastRowLastColumn="0"/>
        </w:trPr>
        <w:tc>
          <w:tcPr>
            <w:tcW w:w="1838" w:type="dxa"/>
          </w:tcPr>
          <w:p w14:paraId="30D6AD55" w14:textId="54E8350F" w:rsidR="00D8248C" w:rsidRDefault="00D8248C" w:rsidP="00D8248C">
            <w:pPr>
              <w:pStyle w:val="TableBody"/>
              <w:keepNext/>
              <w:keepLines/>
            </w:pPr>
            <w:r>
              <w:t>Employment</w:t>
            </w:r>
          </w:p>
        </w:tc>
        <w:tc>
          <w:tcPr>
            <w:tcW w:w="5812" w:type="dxa"/>
          </w:tcPr>
          <w:p w14:paraId="36C464A1" w14:textId="51499FBA" w:rsidR="00D8248C" w:rsidRDefault="00D8248C" w:rsidP="00D8248C">
            <w:pPr>
              <w:pStyle w:val="TableBody"/>
              <w:keepNext/>
              <w:keepLines/>
            </w:pPr>
            <w:r>
              <w:t>15,234 jobs</w:t>
            </w:r>
          </w:p>
        </w:tc>
      </w:tr>
      <w:tr w:rsidR="00D8248C" w14:paraId="7615792D" w14:textId="77777777" w:rsidTr="0025173C">
        <w:trPr>
          <w:cnfStyle w:val="000000100000" w:firstRow="0" w:lastRow="0" w:firstColumn="0" w:lastColumn="0" w:oddVBand="0" w:evenVBand="0" w:oddHBand="1" w:evenHBand="0" w:firstRowFirstColumn="0" w:firstRowLastColumn="0" w:lastRowFirstColumn="0" w:lastRowLastColumn="0"/>
        </w:trPr>
        <w:tc>
          <w:tcPr>
            <w:tcW w:w="1838" w:type="dxa"/>
          </w:tcPr>
          <w:p w14:paraId="16736220" w14:textId="0464F823" w:rsidR="00D8248C" w:rsidRDefault="00D8248C" w:rsidP="00D8248C">
            <w:pPr>
              <w:pStyle w:val="TableBody"/>
              <w:keepNext/>
              <w:keepLines/>
            </w:pPr>
            <w:r>
              <w:t>Life cycle</w:t>
            </w:r>
          </w:p>
        </w:tc>
        <w:tc>
          <w:tcPr>
            <w:tcW w:w="5812" w:type="dxa"/>
          </w:tcPr>
          <w:p w14:paraId="63881188" w14:textId="30900FA9" w:rsidR="00D8248C" w:rsidRDefault="00D8248C" w:rsidP="00D8248C">
            <w:pPr>
              <w:pStyle w:val="TableBody"/>
              <w:keepNext/>
              <w:keepLines/>
            </w:pPr>
            <w:r>
              <w:t>Growing</w:t>
            </w:r>
          </w:p>
        </w:tc>
      </w:tr>
      <w:tr w:rsidR="00D8248C" w14:paraId="49CA2E05" w14:textId="77777777" w:rsidTr="0025173C">
        <w:trPr>
          <w:cnfStyle w:val="000000010000" w:firstRow="0" w:lastRow="0" w:firstColumn="0" w:lastColumn="0" w:oddVBand="0" w:evenVBand="0" w:oddHBand="0" w:evenHBand="1" w:firstRowFirstColumn="0" w:firstRowLastColumn="0" w:lastRowFirstColumn="0" w:lastRowLastColumn="0"/>
        </w:trPr>
        <w:tc>
          <w:tcPr>
            <w:tcW w:w="1838" w:type="dxa"/>
          </w:tcPr>
          <w:p w14:paraId="63E7F72B" w14:textId="5015EC5D" w:rsidR="00D8248C" w:rsidRDefault="00D8248C" w:rsidP="00D8248C">
            <w:pPr>
              <w:pStyle w:val="TableBody"/>
              <w:keepNext/>
              <w:keepLines/>
            </w:pPr>
            <w:r>
              <w:t>Barriers to entry</w:t>
            </w:r>
          </w:p>
        </w:tc>
        <w:tc>
          <w:tcPr>
            <w:tcW w:w="5812" w:type="dxa"/>
          </w:tcPr>
          <w:p w14:paraId="550206C2" w14:textId="56AC3A92" w:rsidR="00D8248C" w:rsidRDefault="00D8248C" w:rsidP="00D8248C">
            <w:pPr>
              <w:pStyle w:val="TableBody"/>
              <w:keepNext/>
              <w:keepLines/>
            </w:pPr>
            <w:r>
              <w:t>High but decreasing</w:t>
            </w:r>
            <w:r w:rsidR="4D5ABA7A">
              <w:t xml:space="preserve"> due to cheaper launch options</w:t>
            </w:r>
          </w:p>
        </w:tc>
      </w:tr>
      <w:tr w:rsidR="00D8248C" w14:paraId="6DE96A41" w14:textId="77777777" w:rsidTr="0025173C">
        <w:trPr>
          <w:cnfStyle w:val="000000100000" w:firstRow="0" w:lastRow="0" w:firstColumn="0" w:lastColumn="0" w:oddVBand="0" w:evenVBand="0" w:oddHBand="1" w:evenHBand="0" w:firstRowFirstColumn="0" w:firstRowLastColumn="0" w:lastRowFirstColumn="0" w:lastRowLastColumn="0"/>
        </w:trPr>
        <w:tc>
          <w:tcPr>
            <w:tcW w:w="1838" w:type="dxa"/>
          </w:tcPr>
          <w:p w14:paraId="0BD86C83" w14:textId="1483C1A4" w:rsidR="00D8248C" w:rsidRDefault="00D8248C" w:rsidP="00D8248C">
            <w:pPr>
              <w:pStyle w:val="TableBody"/>
              <w:keepNext/>
              <w:keepLines/>
            </w:pPr>
            <w:r>
              <w:t>Competition</w:t>
            </w:r>
          </w:p>
        </w:tc>
        <w:tc>
          <w:tcPr>
            <w:tcW w:w="5812" w:type="dxa"/>
          </w:tcPr>
          <w:p w14:paraId="08C7A3F4" w14:textId="281F6F22" w:rsidR="00D8248C" w:rsidRDefault="192D9C1E" w:rsidP="00D8248C">
            <w:pPr>
              <w:pStyle w:val="TableBody"/>
              <w:keepNext/>
              <w:keepLines/>
            </w:pPr>
            <w:r>
              <w:t>Medium but increasing</w:t>
            </w:r>
            <w:r w:rsidR="2F25DB98">
              <w:t xml:space="preserve"> due to </w:t>
            </w:r>
            <w:r w:rsidR="00F003C8">
              <w:t>investment and lower barriers</w:t>
            </w:r>
          </w:p>
        </w:tc>
      </w:tr>
    </w:tbl>
    <w:p w14:paraId="20E759AE" w14:textId="77777777" w:rsidR="00BB7E5C" w:rsidRDefault="00BB7E5C" w:rsidP="00BB7E5C">
      <w:pPr>
        <w:pStyle w:val="Tableorfigurenote"/>
      </w:pPr>
      <w:bookmarkStart w:id="18" w:name="_Hlk48832430"/>
      <w:r>
        <w:t>Source: IBIS World, S</w:t>
      </w:r>
      <w:r w:rsidRPr="00BD5C76">
        <w:t>atellite communications and astronautics market</w:t>
      </w:r>
      <w:r>
        <w:t>, January 2020, p. 6.</w:t>
      </w:r>
    </w:p>
    <w:bookmarkEnd w:id="18"/>
    <w:p w14:paraId="459E8238" w14:textId="1AC7A7E2" w:rsidR="00BB7E5C" w:rsidRDefault="07FB58F3" w:rsidP="00BB7E5C">
      <w:pPr>
        <w:pStyle w:val="Paragraphbeforelist"/>
      </w:pPr>
      <w:r>
        <w:t xml:space="preserve">IBIS World highlights </w:t>
      </w:r>
      <w:r w:rsidR="64EDFCF8">
        <w:t xml:space="preserve">that </w:t>
      </w:r>
      <w:r>
        <w:t xml:space="preserve">the </w:t>
      </w:r>
      <w:r w:rsidR="7DE393A6">
        <w:t>k</w:t>
      </w:r>
      <w:r w:rsidR="00BB7E5C">
        <w:t xml:space="preserve">ey factors and/or trends </w:t>
      </w:r>
      <w:r w:rsidR="003F6D06">
        <w:t>for the Australian space market include</w:t>
      </w:r>
      <w:r w:rsidR="00BB7E5C">
        <w:rPr>
          <w:rStyle w:val="FootnoteReference"/>
        </w:rPr>
        <w:footnoteReference w:id="35"/>
      </w:r>
      <w:r w:rsidR="002101A6">
        <w:t>:</w:t>
      </w:r>
    </w:p>
    <w:p w14:paraId="6CF66E5D" w14:textId="77777777" w:rsidR="00BB7E5C" w:rsidRDefault="00BB7E5C" w:rsidP="00BB7E5C">
      <w:pPr>
        <w:pStyle w:val="ListBullet"/>
      </w:pPr>
      <w:r>
        <w:t>Australia's geographic position providing a strategic advantage for space observation</w:t>
      </w:r>
    </w:p>
    <w:p w14:paraId="44F4E5B0" w14:textId="77777777" w:rsidR="00BB7E5C" w:rsidRDefault="00BB7E5C" w:rsidP="00BB7E5C">
      <w:pPr>
        <w:pStyle w:val="ListBullet"/>
      </w:pPr>
      <w:r>
        <w:t>challenges in retaining staff due to higher industry wages found overseas</w:t>
      </w:r>
    </w:p>
    <w:p w14:paraId="021C6D2E" w14:textId="77777777" w:rsidR="00BB7E5C" w:rsidRDefault="00BB7E5C" w:rsidP="00BB7E5C">
      <w:pPr>
        <w:pStyle w:val="ListBullet"/>
      </w:pPr>
      <w:r>
        <w:t>increased government support through the recent creation of the ASA</w:t>
      </w:r>
    </w:p>
    <w:p w14:paraId="179521D4" w14:textId="77777777" w:rsidR="00BB7E5C" w:rsidRDefault="00BB7E5C" w:rsidP="00BB7E5C">
      <w:pPr>
        <w:pStyle w:val="ListBullet"/>
      </w:pPr>
      <w:r>
        <w:t>the development of reusable launch vehicles is likely to reduce satellite costs</w:t>
      </w:r>
    </w:p>
    <w:p w14:paraId="4F3F8A9F" w14:textId="77777777" w:rsidR="00BB7E5C" w:rsidRDefault="00BB7E5C" w:rsidP="00BB7E5C">
      <w:pPr>
        <w:pStyle w:val="ListBullet"/>
      </w:pPr>
      <w:r>
        <w:t>flow-on benefits to regional Australia through industry growth</w:t>
      </w:r>
    </w:p>
    <w:p w14:paraId="53B5E6FA" w14:textId="77777777" w:rsidR="00BB7E5C" w:rsidRDefault="00BB7E5C" w:rsidP="00BB7E5C">
      <w:pPr>
        <w:pStyle w:val="Bulletlevel1last"/>
      </w:pPr>
      <w:r>
        <w:t>innovation and multinational space projects, as highlighted by investment trends above, lead to increased opportunities.</w:t>
      </w:r>
    </w:p>
    <w:p w14:paraId="723435B9" w14:textId="7CBC1030" w:rsidR="25E55F6E" w:rsidRDefault="00DD2D5E" w:rsidP="629F3BDB">
      <w:pPr>
        <w:pStyle w:val="Paragraph"/>
      </w:pPr>
      <w:r w:rsidRPr="0025173C">
        <w:t>Attachment</w:t>
      </w:r>
      <w:r w:rsidR="25E55F6E" w:rsidRPr="00DD2D5E">
        <w:t xml:space="preserve"> A</w:t>
      </w:r>
      <w:r w:rsidR="25E55F6E" w:rsidRPr="0025173C">
        <w:rPr>
          <w:b/>
        </w:rPr>
        <w:t xml:space="preserve"> </w:t>
      </w:r>
      <w:r w:rsidR="25E55F6E">
        <w:t>provides an overview of the space sector value chain</w:t>
      </w:r>
      <w:r w:rsidR="7F545E57">
        <w:t>.</w:t>
      </w:r>
      <w:r w:rsidR="25E55F6E">
        <w:t xml:space="preserve"> </w:t>
      </w:r>
    </w:p>
    <w:p w14:paraId="046AF045" w14:textId="55940328" w:rsidR="00BB7E5C" w:rsidRPr="00591BE8" w:rsidRDefault="00BB7E5C" w:rsidP="00B1507B">
      <w:pPr>
        <w:pStyle w:val="Paragraph"/>
        <w:keepLines/>
      </w:pPr>
      <w:r>
        <w:lastRenderedPageBreak/>
        <w:t>Australia's technical expertise is highly regarded internationally, and Australia is involved in several multilateral space projects. For example, the Canberra Deep Space Communication Complex, Tracking Data Relay Satellite System in Western Australia, and the United States National Aeronautics and Space Administration (NASA) ballooning facilities in the Northern Territory.</w:t>
      </w:r>
      <w:r>
        <w:rPr>
          <w:rStyle w:val="FootnoteReference"/>
        </w:rPr>
        <w:footnoteReference w:id="36"/>
      </w:r>
      <w:r>
        <w:t xml:space="preserve"> </w:t>
      </w:r>
    </w:p>
    <w:p w14:paraId="258D9E7A" w14:textId="23B810E0" w:rsidR="00BB7E5C" w:rsidRDefault="00BB7E5C" w:rsidP="00BB7E5C">
      <w:pPr>
        <w:pStyle w:val="Paragraph"/>
      </w:pPr>
      <w:r>
        <w:t>Australia is not involved in all parts of the supply chain</w:t>
      </w:r>
      <w:r w:rsidR="6F7B39A6">
        <w:t>.</w:t>
      </w:r>
      <w:r>
        <w:t xml:space="preserve"> For example, businesses such as Optus and Foxtel tend </w:t>
      </w:r>
      <w:r w:rsidR="00515F38">
        <w:t xml:space="preserve">to </w:t>
      </w:r>
      <w:r w:rsidR="00FD1C06">
        <w:t>have satellite</w:t>
      </w:r>
      <w:r w:rsidR="00CE3F18">
        <w:t xml:space="preserve"> service</w:t>
      </w:r>
      <w:r w:rsidR="00795A83">
        <w:t>s</w:t>
      </w:r>
      <w:r>
        <w:t xml:space="preserve"> but outsource </w:t>
      </w:r>
      <w:r w:rsidR="00205820">
        <w:t xml:space="preserve">multiple aspects </w:t>
      </w:r>
      <w:r w:rsidR="00AB093C">
        <w:t xml:space="preserve">such as design, </w:t>
      </w:r>
      <w:r>
        <w:t xml:space="preserve">manufacturing and testing to foreign firms. Based </w:t>
      </w:r>
      <w:r w:rsidR="00C636EE">
        <w:t>on</w:t>
      </w:r>
      <w:r>
        <w:t xml:space="preserve"> reviewing the financial results of different operators in the space sector</w:t>
      </w:r>
      <w:r w:rsidR="531371CF">
        <w:t xml:space="preserve"> (see space businesses discussion and Attachment B)</w:t>
      </w:r>
      <w:r w:rsidR="4F9F5430">
        <w:t>,</w:t>
      </w:r>
      <w:r>
        <w:t xml:space="preserve"> </w:t>
      </w:r>
      <w:r w:rsidR="00903B52">
        <w:t xml:space="preserve">the </w:t>
      </w:r>
      <w:r>
        <w:t xml:space="preserve">COVID-19 </w:t>
      </w:r>
      <w:r w:rsidR="00903B52">
        <w:t xml:space="preserve">pandemic </w:t>
      </w:r>
      <w:r>
        <w:t xml:space="preserve">has had adverse impacts in terms of revenues and provisions for bad debts. Companies which </w:t>
      </w:r>
      <w:r w:rsidR="00F47BF2">
        <w:t>provide comm</w:t>
      </w:r>
      <w:r w:rsidR="0073521B">
        <w:t>u</w:t>
      </w:r>
      <w:r w:rsidR="00F47BF2">
        <w:t>n</w:t>
      </w:r>
      <w:r w:rsidR="0073521B">
        <w:t>i</w:t>
      </w:r>
      <w:r w:rsidR="00F47BF2">
        <w:t>cations services</w:t>
      </w:r>
      <w:r>
        <w:t xml:space="preserve"> to the travel industry</w:t>
      </w:r>
      <w:r w:rsidR="00110984">
        <w:t xml:space="preserve"> (</w:t>
      </w:r>
      <w:r w:rsidR="00D539A9">
        <w:t xml:space="preserve">such as </w:t>
      </w:r>
      <w:r w:rsidR="00110984">
        <w:t>airlines</w:t>
      </w:r>
      <w:r w:rsidR="004B0C41">
        <w:t>, maritime</w:t>
      </w:r>
      <w:r w:rsidR="00110984">
        <w:t xml:space="preserve"> and cruise ships</w:t>
      </w:r>
      <w:r w:rsidR="00F003C8">
        <w:t xml:space="preserve"> -</w:t>
      </w:r>
      <w:r w:rsidR="3793BC92">
        <w:t xml:space="preserve"> all of which are customers for satellite-based communications services</w:t>
      </w:r>
      <w:r w:rsidR="377547DA">
        <w:t>)</w:t>
      </w:r>
      <w:r>
        <w:t xml:space="preserve"> have experienced the most significant impacts.</w:t>
      </w:r>
    </w:p>
    <w:p w14:paraId="12B4F393" w14:textId="530543EF" w:rsidR="00CA5432" w:rsidRDefault="00CA5432" w:rsidP="00C97503">
      <w:pPr>
        <w:pStyle w:val="Heading3"/>
      </w:pPr>
      <w:bookmarkStart w:id="19" w:name="_Toc65851766"/>
      <w:r>
        <w:t xml:space="preserve">Australian Government </w:t>
      </w:r>
      <w:r w:rsidR="00C636EE">
        <w:t>i</w:t>
      </w:r>
      <w:r>
        <w:t>nitiatives</w:t>
      </w:r>
      <w:bookmarkEnd w:id="19"/>
    </w:p>
    <w:p w14:paraId="405AE074" w14:textId="5668EF66" w:rsidR="00B575A0" w:rsidRDefault="000F3EA6" w:rsidP="00B575A0">
      <w:pPr>
        <w:pStyle w:val="Paragraph"/>
      </w:pPr>
      <w:r>
        <w:t xml:space="preserve">The Australian </w:t>
      </w:r>
      <w:r w:rsidR="00C80C8D">
        <w:t xml:space="preserve">Government </w:t>
      </w:r>
      <w:r w:rsidR="003D135A">
        <w:t xml:space="preserve">recently </w:t>
      </w:r>
      <w:r w:rsidR="00C80C8D">
        <w:t>invest</w:t>
      </w:r>
      <w:r w:rsidR="00C52D7E">
        <w:t>ed</w:t>
      </w:r>
      <w:r w:rsidR="00C80C8D">
        <w:t xml:space="preserve"> in </w:t>
      </w:r>
      <w:r w:rsidR="003D135A">
        <w:t xml:space="preserve">the </w:t>
      </w:r>
      <w:r w:rsidR="00C80C8D">
        <w:t xml:space="preserve">space </w:t>
      </w:r>
      <w:r w:rsidR="003D135A">
        <w:t>industry</w:t>
      </w:r>
      <w:r w:rsidR="00C80C8D">
        <w:t xml:space="preserve"> through </w:t>
      </w:r>
      <w:r w:rsidR="00497D6D">
        <w:t xml:space="preserve">the </w:t>
      </w:r>
      <w:hyperlink r:id="rId56" w:history="1">
        <w:r w:rsidR="00497D6D" w:rsidRPr="007B0B5A">
          <w:rPr>
            <w:rStyle w:val="Hyperlink"/>
          </w:rPr>
          <w:t>Space Infrastructure Fund</w:t>
        </w:r>
      </w:hyperlink>
      <w:r w:rsidR="00497D6D">
        <w:t xml:space="preserve"> and </w:t>
      </w:r>
      <w:hyperlink r:id="rId57" w:history="1">
        <w:r w:rsidR="00251486" w:rsidRPr="00964BD5">
          <w:rPr>
            <w:rStyle w:val="Hyperlink"/>
          </w:rPr>
          <w:t>International Space Investment –</w:t>
        </w:r>
        <w:r w:rsidR="00055B3C" w:rsidRPr="00964BD5">
          <w:rPr>
            <w:rStyle w:val="Hyperlink"/>
          </w:rPr>
          <w:t xml:space="preserve"> </w:t>
        </w:r>
        <w:r w:rsidR="00217EF1" w:rsidRPr="00964BD5">
          <w:rPr>
            <w:rStyle w:val="Hyperlink"/>
          </w:rPr>
          <w:t>Expand Capability Grants</w:t>
        </w:r>
      </w:hyperlink>
      <w:r w:rsidR="00230332">
        <w:t xml:space="preserve">. </w:t>
      </w:r>
    </w:p>
    <w:p w14:paraId="2D4676D9" w14:textId="77777777" w:rsidR="001F0E7C" w:rsidRDefault="002D5CAC" w:rsidP="00994BA0">
      <w:pPr>
        <w:pStyle w:val="Paragraphbeforelist"/>
      </w:pPr>
      <w:r>
        <w:t xml:space="preserve">The Space Infrastructure Fund </w:t>
      </w:r>
      <w:r w:rsidR="00E95B87" w:rsidRPr="00E95B87">
        <w:t xml:space="preserve">is a </w:t>
      </w:r>
      <w:r w:rsidR="00C636EE">
        <w:t>A</w:t>
      </w:r>
      <w:r w:rsidR="00E95B87" w:rsidRPr="00E95B87">
        <w:t xml:space="preserve">$19.5 million investment into the growth of </w:t>
      </w:r>
      <w:r w:rsidR="001F0E7C">
        <w:t>the Australian</w:t>
      </w:r>
      <w:r w:rsidR="00E95B87" w:rsidRPr="00E95B87">
        <w:t xml:space="preserve"> space sector.</w:t>
      </w:r>
      <w:r w:rsidR="001F0E7C">
        <w:t xml:space="preserve"> It covers 7 projects:</w:t>
      </w:r>
    </w:p>
    <w:p w14:paraId="096B051C" w14:textId="3E67A749" w:rsidR="003746F4" w:rsidRDefault="00356513" w:rsidP="00356513">
      <w:pPr>
        <w:pStyle w:val="Numberlistlevel1"/>
      </w:pPr>
      <w:r>
        <w:t>Space manufacturing facilities (</w:t>
      </w:r>
      <w:r w:rsidR="00C636EE">
        <w:t>A</w:t>
      </w:r>
      <w:r>
        <w:t>$2 million) to</w:t>
      </w:r>
      <w:r w:rsidR="00DB28BF">
        <w:t xml:space="preserve"> </w:t>
      </w:r>
      <w:r>
        <w:t>support delivery of future space manufacturing capability</w:t>
      </w:r>
      <w:r w:rsidR="00DB28BF">
        <w:t xml:space="preserve"> and</w:t>
      </w:r>
      <w:r w:rsidR="003746F4">
        <w:t xml:space="preserve"> to </w:t>
      </w:r>
      <w:r>
        <w:t>develop high-tech skills and new space objects</w:t>
      </w:r>
      <w:r w:rsidR="003746F4">
        <w:t>.</w:t>
      </w:r>
    </w:p>
    <w:p w14:paraId="2B341E98" w14:textId="29896EC4" w:rsidR="005717A3" w:rsidRDefault="00356513" w:rsidP="005717A3">
      <w:pPr>
        <w:pStyle w:val="Numberlistlevel1"/>
      </w:pPr>
      <w:r>
        <w:t>Mission control</w:t>
      </w:r>
      <w:r w:rsidR="003746F4">
        <w:t xml:space="preserve"> centre</w:t>
      </w:r>
      <w:r>
        <w:t xml:space="preserve"> (</w:t>
      </w:r>
      <w:r w:rsidR="00C636EE">
        <w:t>A</w:t>
      </w:r>
      <w:r>
        <w:t xml:space="preserve">$6 million) for small and medium enterprises </w:t>
      </w:r>
      <w:r w:rsidR="00C458CF">
        <w:t>(SMEs)</w:t>
      </w:r>
      <w:r>
        <w:t xml:space="preserve"> and researchers to control small satellite missions. </w:t>
      </w:r>
    </w:p>
    <w:p w14:paraId="03E68AD5" w14:textId="186B277A" w:rsidR="005717A3" w:rsidRDefault="00356513" w:rsidP="00356513">
      <w:pPr>
        <w:pStyle w:val="Numberlistlevel1"/>
      </w:pPr>
      <w:r>
        <w:t>Tracking facilities upgrade (</w:t>
      </w:r>
      <w:r w:rsidR="00C636EE">
        <w:t>A</w:t>
      </w:r>
      <w:r>
        <w:t>$1.2 million)</w:t>
      </w:r>
      <w:r w:rsidR="005717A3">
        <w:t xml:space="preserve"> </w:t>
      </w:r>
      <w:r>
        <w:t>to support precision tracking of satellites and spacecraft.</w:t>
      </w:r>
    </w:p>
    <w:p w14:paraId="584D9509" w14:textId="79586B4A" w:rsidR="000A4A07" w:rsidRPr="000A4A07" w:rsidRDefault="00356513" w:rsidP="000A4A07">
      <w:pPr>
        <w:pStyle w:val="Numberlistlevel1"/>
      </w:pPr>
      <w:r>
        <w:t xml:space="preserve">Robotics, automation and </w:t>
      </w:r>
      <w:r w:rsidR="00986450">
        <w:t>a</w:t>
      </w:r>
      <w:r w:rsidR="007B26B3">
        <w:t>rtificial</w:t>
      </w:r>
      <w:r w:rsidR="00265FBF">
        <w:t xml:space="preserve"> </w:t>
      </w:r>
      <w:r w:rsidR="00986450">
        <w:t>i</w:t>
      </w:r>
      <w:r w:rsidR="00265FBF">
        <w:t>nte</w:t>
      </w:r>
      <w:r w:rsidR="007B26B3">
        <w:t>lligence</w:t>
      </w:r>
      <w:r>
        <w:t xml:space="preserve"> command and control (</w:t>
      </w:r>
      <w:r w:rsidR="0051329A">
        <w:t>A</w:t>
      </w:r>
      <w:r>
        <w:t>$4.5</w:t>
      </w:r>
      <w:r w:rsidR="00E541C6">
        <w:t> </w:t>
      </w:r>
      <w:r>
        <w:t>million)</w:t>
      </w:r>
      <w:r w:rsidR="00F853DF">
        <w:t xml:space="preserve"> to </w:t>
      </w:r>
      <w:r>
        <w:t>allow SMEs and researchers control over autonomous space operations</w:t>
      </w:r>
      <w:r w:rsidR="00F853DF">
        <w:t xml:space="preserve">, </w:t>
      </w:r>
      <w:r>
        <w:t>build capability in space technologies</w:t>
      </w:r>
      <w:r w:rsidR="00D771A6">
        <w:t>,</w:t>
      </w:r>
      <w:r w:rsidR="000A4A07">
        <w:t xml:space="preserve"> and </w:t>
      </w:r>
      <w:r>
        <w:t>support development and operation of robotic and remote asset management activities in space</w:t>
      </w:r>
      <w:r w:rsidR="000A4A07">
        <w:t>.</w:t>
      </w:r>
    </w:p>
    <w:p w14:paraId="0E9160AE" w14:textId="63471082" w:rsidR="000A4A07" w:rsidRPr="000A4A07" w:rsidRDefault="00356513" w:rsidP="000A4A07">
      <w:pPr>
        <w:pStyle w:val="Numberlistlevel1"/>
      </w:pPr>
      <w:r>
        <w:t>Space data analysis facilities (</w:t>
      </w:r>
      <w:r w:rsidR="00D771A6">
        <w:t>A</w:t>
      </w:r>
      <w:r>
        <w:t>$1.5 million)</w:t>
      </w:r>
      <w:r w:rsidR="000A4A07">
        <w:t xml:space="preserve">, </w:t>
      </w:r>
      <w:r w:rsidR="000A4A07">
        <w:rPr>
          <w:rFonts w:cs="Arial"/>
        </w:rPr>
        <w:t>p</w:t>
      </w:r>
      <w:r>
        <w:t>roviding SMEs and researchers with space data analysis capability for</w:t>
      </w:r>
      <w:r w:rsidR="000A4A07">
        <w:t xml:space="preserve"> </w:t>
      </w:r>
      <w:r>
        <w:t>agriculture</w:t>
      </w:r>
      <w:r w:rsidR="000A4A07">
        <w:t xml:space="preserve">, </w:t>
      </w:r>
      <w:r>
        <w:t>mining</w:t>
      </w:r>
      <w:r w:rsidR="000A4A07">
        <w:t xml:space="preserve">, </w:t>
      </w:r>
      <w:r>
        <w:t>emergency services</w:t>
      </w:r>
      <w:r w:rsidR="000A4A07">
        <w:t xml:space="preserve"> and </w:t>
      </w:r>
      <w:r>
        <w:t>maritime surveillance</w:t>
      </w:r>
      <w:r w:rsidR="000A4A07">
        <w:t>.</w:t>
      </w:r>
    </w:p>
    <w:p w14:paraId="716EEA9F" w14:textId="51BB5672" w:rsidR="00510DAF" w:rsidRPr="00510DAF" w:rsidRDefault="00356513" w:rsidP="0095445A">
      <w:pPr>
        <w:pStyle w:val="Numberlistlevel1"/>
        <w:keepLines/>
        <w:ind w:left="357" w:hanging="357"/>
      </w:pPr>
      <w:r>
        <w:t>Space payload qualification facilities (</w:t>
      </w:r>
      <w:r w:rsidR="0051329A">
        <w:t>A</w:t>
      </w:r>
      <w:r>
        <w:t>$2.5 million)</w:t>
      </w:r>
      <w:r w:rsidR="00C458CF">
        <w:t>, p</w:t>
      </w:r>
      <w:r>
        <w:t>roviding capability for SMEs and researchers to test space equipment that is mission-ready</w:t>
      </w:r>
      <w:r w:rsidR="00546AC7">
        <w:t xml:space="preserve"> including</w:t>
      </w:r>
      <w:r w:rsidR="009F13D5">
        <w:t xml:space="preserve"> </w:t>
      </w:r>
      <w:r>
        <w:t>new facilities to support manufacturing</w:t>
      </w:r>
      <w:r w:rsidR="009F13D5">
        <w:t xml:space="preserve">, </w:t>
      </w:r>
      <w:r>
        <w:t>streamline testing of space equipment in Australia</w:t>
      </w:r>
      <w:r w:rsidR="00B62819">
        <w:t xml:space="preserve">, and </w:t>
      </w:r>
      <w:r>
        <w:t>speed up the delivery of new space-based products and services</w:t>
      </w:r>
      <w:r w:rsidR="00510DAF">
        <w:t>.</w:t>
      </w:r>
    </w:p>
    <w:p w14:paraId="21D80EAE" w14:textId="71EF0D42" w:rsidR="00B575A0" w:rsidRDefault="00356513" w:rsidP="000962F2">
      <w:pPr>
        <w:pStyle w:val="Numberlistlast"/>
      </w:pPr>
      <w:r>
        <w:t>Pathway to launch (</w:t>
      </w:r>
      <w:r w:rsidR="0051329A">
        <w:t>A</w:t>
      </w:r>
      <w:r>
        <w:t>$0.9 million)</w:t>
      </w:r>
      <w:r w:rsidR="000962F2">
        <w:t>, including</w:t>
      </w:r>
      <w:r w:rsidR="00A7350B">
        <w:t xml:space="preserve"> </w:t>
      </w:r>
      <w:r w:rsidR="000962F2">
        <w:t>p</w:t>
      </w:r>
      <w:r>
        <w:t>rojects to start</w:t>
      </w:r>
      <w:r w:rsidR="000962F2">
        <w:t xml:space="preserve"> </w:t>
      </w:r>
      <w:r>
        <w:t>addressing the active interest and growing readiness in industry for launch in Australia</w:t>
      </w:r>
      <w:r w:rsidR="000962F2">
        <w:t xml:space="preserve">, and </w:t>
      </w:r>
      <w:r>
        <w:t>ensuring safety on Earth and in space</w:t>
      </w:r>
      <w:r w:rsidR="000962F2">
        <w:t>.</w:t>
      </w:r>
      <w:r w:rsidR="00B575A0">
        <w:t xml:space="preserve"> </w:t>
      </w:r>
    </w:p>
    <w:p w14:paraId="0C61C93A" w14:textId="326D3005" w:rsidR="00994BA0" w:rsidRDefault="00230332" w:rsidP="00994BA0">
      <w:pPr>
        <w:pStyle w:val="Paragraphbeforelist"/>
      </w:pPr>
      <w:r>
        <w:t xml:space="preserve">The focus of the </w:t>
      </w:r>
      <w:r w:rsidR="00964BD5">
        <w:t>E</w:t>
      </w:r>
      <w:r w:rsidR="00DC3A58">
        <w:t>x</w:t>
      </w:r>
      <w:r w:rsidR="00964BD5">
        <w:t xml:space="preserve">pand </w:t>
      </w:r>
      <w:r w:rsidR="00DC3A58">
        <w:t xml:space="preserve">Capability Grants </w:t>
      </w:r>
      <w:r w:rsidR="009E62CA">
        <w:t>scheme was to</w:t>
      </w:r>
      <w:r w:rsidR="00994BA0">
        <w:t>:</w:t>
      </w:r>
    </w:p>
    <w:p w14:paraId="3527F2BE" w14:textId="00F365A3" w:rsidR="009E62CA" w:rsidRDefault="009E62CA" w:rsidP="00994BA0">
      <w:pPr>
        <w:pStyle w:val="Bulletlevel1"/>
      </w:pPr>
      <w:r>
        <w:t>provide international space opportunities for the Australian space sector</w:t>
      </w:r>
    </w:p>
    <w:p w14:paraId="58983931" w14:textId="78DD6B7D" w:rsidR="009E62CA" w:rsidRDefault="009E62CA" w:rsidP="00994BA0">
      <w:pPr>
        <w:pStyle w:val="Bulletlevel1"/>
      </w:pPr>
      <w:r>
        <w:t>expand the capability and capacity of the Australian space sector and support job creation</w:t>
      </w:r>
    </w:p>
    <w:p w14:paraId="64C36134" w14:textId="003AAB66" w:rsidR="000F3EA6" w:rsidRDefault="009E62CA" w:rsidP="00994BA0">
      <w:pPr>
        <w:pStyle w:val="Bulletlevel1last"/>
      </w:pPr>
      <w:r>
        <w:t>demonstrate the Australian space sector’s ability to successfully deliver space-related products and services internationally</w:t>
      </w:r>
      <w:r w:rsidR="00994BA0">
        <w:t>.</w:t>
      </w:r>
      <w:r w:rsidR="00C80C8D">
        <w:t xml:space="preserve"> </w:t>
      </w:r>
    </w:p>
    <w:p w14:paraId="65CE0AAB" w14:textId="0AE52435" w:rsidR="00994BA0" w:rsidRDefault="000350F6" w:rsidP="00994BA0">
      <w:pPr>
        <w:pStyle w:val="Paragraph"/>
      </w:pPr>
      <w:r>
        <w:lastRenderedPageBreak/>
        <w:t xml:space="preserve">Grants ranging between </w:t>
      </w:r>
      <w:r w:rsidR="00D771A6">
        <w:t>A</w:t>
      </w:r>
      <w:r>
        <w:t xml:space="preserve">$0.2 </w:t>
      </w:r>
      <w:r w:rsidR="00D771A6">
        <w:t xml:space="preserve">million </w:t>
      </w:r>
      <w:r>
        <w:t xml:space="preserve">and </w:t>
      </w:r>
      <w:r w:rsidR="00D771A6">
        <w:t>A</w:t>
      </w:r>
      <w:r>
        <w:t xml:space="preserve">$1.5 million were awarded to </w:t>
      </w:r>
      <w:r w:rsidR="00234D54">
        <w:t>10 entities.</w:t>
      </w:r>
      <w:r w:rsidR="00F00E41">
        <w:t xml:space="preserve"> The Australian Government has also invested in </w:t>
      </w:r>
      <w:r w:rsidR="0016028A">
        <w:t>government-based programs and joint programs with other governments</w:t>
      </w:r>
      <w:r w:rsidR="00986450">
        <w:t>, f</w:t>
      </w:r>
      <w:r w:rsidR="00E5097B">
        <w:t>or e</w:t>
      </w:r>
      <w:r w:rsidR="0016028A">
        <w:t>xample</w:t>
      </w:r>
      <w:r w:rsidR="00E5097B">
        <w:t>,</w:t>
      </w:r>
      <w:r w:rsidR="0016028A">
        <w:t xml:space="preserve"> </w:t>
      </w:r>
      <w:r w:rsidR="00FE08B3">
        <w:t xml:space="preserve">the </w:t>
      </w:r>
      <w:hyperlink r:id="rId58" w:history="1">
        <w:r w:rsidR="00FE08B3" w:rsidRPr="00804570">
          <w:rPr>
            <w:rStyle w:val="Hyperlink"/>
          </w:rPr>
          <w:t>Moon to Mars Initiative</w:t>
        </w:r>
      </w:hyperlink>
      <w:r w:rsidR="00FE08B3">
        <w:t xml:space="preserve"> (</w:t>
      </w:r>
      <w:r w:rsidR="00D771A6">
        <w:t>A</w:t>
      </w:r>
      <w:r w:rsidR="00FE08B3">
        <w:t>$150 million</w:t>
      </w:r>
      <w:r w:rsidR="00804570">
        <w:t>)</w:t>
      </w:r>
      <w:r w:rsidR="00E5097B">
        <w:t>.</w:t>
      </w:r>
      <w:r w:rsidR="00117F8C">
        <w:t xml:space="preserve"> Further details around funding, grants and cooperation can be found in the </w:t>
      </w:r>
      <w:hyperlink r:id="rId59" w:history="1">
        <w:r w:rsidR="00117F8C" w:rsidRPr="00D63E37">
          <w:rPr>
            <w:rStyle w:val="Hyperlink"/>
          </w:rPr>
          <w:t>ASA’s submission</w:t>
        </w:r>
      </w:hyperlink>
      <w:r w:rsidR="00117F8C">
        <w:t xml:space="preserve"> to the </w:t>
      </w:r>
      <w:r w:rsidR="00D771A6">
        <w:t>p</w:t>
      </w:r>
      <w:r w:rsidR="00AC3C36">
        <w:t xml:space="preserve">arliamentary </w:t>
      </w:r>
      <w:r w:rsidR="00D771A6">
        <w:t>i</w:t>
      </w:r>
      <w:r w:rsidR="00AC3C36">
        <w:t>nquiry into developing Australia’s space industry.</w:t>
      </w:r>
    </w:p>
    <w:p w14:paraId="13AAB117" w14:textId="7CD5D509" w:rsidR="007D3B13" w:rsidRDefault="00045970" w:rsidP="00994BA0">
      <w:pPr>
        <w:pStyle w:val="Paragraph"/>
      </w:pPr>
      <w:r>
        <w:t xml:space="preserve">The Australian Government </w:t>
      </w:r>
      <w:hyperlink r:id="rId60" w:history="1">
        <w:r w:rsidRPr="00B41107">
          <w:rPr>
            <w:rStyle w:val="Hyperlink"/>
          </w:rPr>
          <w:t>announced</w:t>
        </w:r>
      </w:hyperlink>
      <w:r>
        <w:t xml:space="preserve"> the opening of the </w:t>
      </w:r>
      <w:r w:rsidR="00AD1982">
        <w:t xml:space="preserve">ASA’s </w:t>
      </w:r>
      <w:hyperlink r:id="rId61" w:history="1">
        <w:r w:rsidRPr="009C5E3E">
          <w:rPr>
            <w:rStyle w:val="Hyperlink"/>
          </w:rPr>
          <w:t>Space Discovery Centre</w:t>
        </w:r>
      </w:hyperlink>
      <w:r w:rsidR="00AD1982">
        <w:t xml:space="preserve"> on 31 March 2021. The Space Discovery centre</w:t>
      </w:r>
      <w:r w:rsidR="00746580">
        <w:t xml:space="preserve"> (located in Adelaide, South Australia)</w:t>
      </w:r>
      <w:r w:rsidR="00AD1982">
        <w:t xml:space="preserve"> will include a </w:t>
      </w:r>
      <w:r w:rsidR="002C36EA">
        <w:t xml:space="preserve">Mission Control Centre </w:t>
      </w:r>
      <w:r w:rsidR="003E071B">
        <w:t xml:space="preserve">to enable </w:t>
      </w:r>
      <w:r w:rsidR="00C90FBA" w:rsidRPr="00C90FBA">
        <w:t xml:space="preserve">pre-flight testing, launch support, </w:t>
      </w:r>
      <w:r w:rsidR="006D53B4">
        <w:t>and</w:t>
      </w:r>
      <w:r w:rsidR="00C90FBA" w:rsidRPr="00C90FBA">
        <w:t xml:space="preserve"> communications during flight</w:t>
      </w:r>
      <w:r w:rsidR="00C90FBA">
        <w:t>.</w:t>
      </w:r>
      <w:r w:rsidR="00023CD3">
        <w:t xml:space="preserve"> </w:t>
      </w:r>
      <w:r w:rsidR="00A16D93">
        <w:t xml:space="preserve"> </w:t>
      </w:r>
    </w:p>
    <w:p w14:paraId="45057B0C" w14:textId="77777777" w:rsidR="00BB7E5C" w:rsidRDefault="00BB7E5C" w:rsidP="00C97503">
      <w:pPr>
        <w:pStyle w:val="Heading4"/>
      </w:pPr>
      <w:bookmarkStart w:id="20" w:name="_Toc62205743"/>
      <w:r>
        <w:t>Focus areas</w:t>
      </w:r>
      <w:bookmarkEnd w:id="20"/>
    </w:p>
    <w:p w14:paraId="7E4E5532" w14:textId="676C2063" w:rsidR="00BB7E5C" w:rsidRDefault="00BB7E5C" w:rsidP="00BB7E5C">
      <w:pPr>
        <w:pStyle w:val="Paragraphbeforelist"/>
      </w:pPr>
      <w:r>
        <w:t xml:space="preserve">The ASA released its </w:t>
      </w:r>
      <w:hyperlink r:id="rId62" w:history="1">
        <w:r w:rsidR="0051329A" w:rsidRPr="00694BDE">
          <w:rPr>
            <w:rStyle w:val="Hyperlink"/>
          </w:rPr>
          <w:t xml:space="preserve">Communications Technologies and Services </w:t>
        </w:r>
        <w:r w:rsidR="0051329A" w:rsidRPr="0051329A">
          <w:rPr>
            <w:rStyle w:val="Hyperlink"/>
          </w:rPr>
          <w:t>Roadmap</w:t>
        </w:r>
      </w:hyperlink>
      <w:r w:rsidR="00D771A6">
        <w:t>,</w:t>
      </w:r>
      <w:r>
        <w:t xml:space="preserve"> which identifies Australia’s geographic location, regulatory regime and clear skies as areas of competitive advantage.</w:t>
      </w:r>
      <w:r>
        <w:rPr>
          <w:rStyle w:val="FootnoteReference"/>
        </w:rPr>
        <w:footnoteReference w:id="37"/>
      </w:r>
      <w:r>
        <w:t xml:space="preserve"> The ASA identifies 6 </w:t>
      </w:r>
      <w:r w:rsidRPr="00E02BD0">
        <w:t>areas of greatest opportunity for the Australian space sector</w:t>
      </w:r>
      <w:r>
        <w:rPr>
          <w:rStyle w:val="FootnoteReference"/>
        </w:rPr>
        <w:footnoteReference w:id="38"/>
      </w:r>
      <w:r w:rsidR="00962745">
        <w:t>:</w:t>
      </w:r>
    </w:p>
    <w:p w14:paraId="1E275734" w14:textId="3A236CF4" w:rsidR="00BB7E5C" w:rsidRDefault="00BB7E5C" w:rsidP="00140B2C">
      <w:pPr>
        <w:pStyle w:val="ListNumber"/>
        <w:numPr>
          <w:ilvl w:val="0"/>
          <w:numId w:val="25"/>
        </w:numPr>
      </w:pPr>
      <w:r w:rsidRPr="00B1507B">
        <w:rPr>
          <w:b/>
        </w:rPr>
        <w:t>LEO satellite services</w:t>
      </w:r>
      <w:r w:rsidR="00F97949">
        <w:t>:</w:t>
      </w:r>
      <w:r w:rsidR="00795546">
        <w:t xml:space="preserve"> </w:t>
      </w:r>
      <w:r>
        <w:t>specifically focusing on IoT applications</w:t>
      </w:r>
      <w:r w:rsidR="00D7736C">
        <w:t>.</w:t>
      </w:r>
    </w:p>
    <w:p w14:paraId="66491911" w14:textId="2F2A3316" w:rsidR="00BB7E5C" w:rsidRDefault="00D7736C" w:rsidP="00BB7E5C">
      <w:pPr>
        <w:pStyle w:val="Numberlistlevel1"/>
      </w:pPr>
      <w:r>
        <w:rPr>
          <w:b/>
        </w:rPr>
        <w:t>O</w:t>
      </w:r>
      <w:r w:rsidRPr="00B1507B">
        <w:rPr>
          <w:b/>
        </w:rPr>
        <w:t xml:space="preserve">ptical </w:t>
      </w:r>
      <w:r w:rsidR="00BB7E5C" w:rsidRPr="00B1507B">
        <w:rPr>
          <w:b/>
        </w:rPr>
        <w:t>ground stations</w:t>
      </w:r>
      <w:r w:rsidR="00F97949">
        <w:t>:</w:t>
      </w:r>
      <w:r w:rsidR="00795546">
        <w:t xml:space="preserve"> </w:t>
      </w:r>
      <w:r w:rsidR="00BB7E5C" w:rsidRPr="00495104">
        <w:t>provid</w:t>
      </w:r>
      <w:r w:rsidR="00BB7E5C">
        <w:t>ing</w:t>
      </w:r>
      <w:r w:rsidR="00BB7E5C" w:rsidRPr="00495104">
        <w:t xml:space="preserve"> infrastructure via the Australasian Optical Ground Station Network (AOGSN) extensible to international use and regional growth</w:t>
      </w:r>
      <w:r>
        <w:t>.</w:t>
      </w:r>
    </w:p>
    <w:p w14:paraId="1D537D57" w14:textId="0F715A29" w:rsidR="00BB7E5C" w:rsidRDefault="00D7736C" w:rsidP="00BB7E5C">
      <w:pPr>
        <w:pStyle w:val="Numberlistlevel1"/>
      </w:pPr>
      <w:r>
        <w:rPr>
          <w:b/>
        </w:rPr>
        <w:t>H</w:t>
      </w:r>
      <w:r w:rsidRPr="00B1507B">
        <w:rPr>
          <w:b/>
        </w:rPr>
        <w:t xml:space="preserve">ybrid </w:t>
      </w:r>
      <w:r w:rsidR="00BB7E5C" w:rsidRPr="00B1507B">
        <w:rPr>
          <w:b/>
        </w:rPr>
        <w:t>radiofrequency optical terminals</w:t>
      </w:r>
      <w:r w:rsidR="00F97949">
        <w:t>:</w:t>
      </w:r>
      <w:r w:rsidR="00795546">
        <w:t xml:space="preserve"> </w:t>
      </w:r>
      <w:r w:rsidR="00BB7E5C">
        <w:t>d</w:t>
      </w:r>
      <w:r w:rsidR="00BB7E5C" w:rsidRPr="00143081">
        <w:t>eveloping this capability could create a new market for high data rate user terminals</w:t>
      </w:r>
      <w:r>
        <w:t>.</w:t>
      </w:r>
    </w:p>
    <w:p w14:paraId="26FC361E" w14:textId="3543DB5B" w:rsidR="00BB7E5C" w:rsidRDefault="00D7736C" w:rsidP="00BB7E5C">
      <w:pPr>
        <w:pStyle w:val="Numberlistlevel1"/>
      </w:pPr>
      <w:r>
        <w:rPr>
          <w:b/>
        </w:rPr>
        <w:t>R</w:t>
      </w:r>
      <w:r w:rsidRPr="00B1507B">
        <w:rPr>
          <w:b/>
        </w:rPr>
        <w:t xml:space="preserve">econfigurable </w:t>
      </w:r>
      <w:r w:rsidR="00BB7E5C" w:rsidRPr="00B1507B">
        <w:rPr>
          <w:b/>
        </w:rPr>
        <w:t>networks, radios, modems and waveforms</w:t>
      </w:r>
      <w:r w:rsidR="00F97949">
        <w:t>:</w:t>
      </w:r>
      <w:r w:rsidR="00795546">
        <w:t xml:space="preserve"> </w:t>
      </w:r>
      <w:r w:rsidR="00BB7E5C">
        <w:t>contributing to cognitive radio global supply chains and hosting ground segment support to international space missions</w:t>
      </w:r>
      <w:r>
        <w:t>.</w:t>
      </w:r>
    </w:p>
    <w:p w14:paraId="34B4E9A0" w14:textId="2F61F85E" w:rsidR="00BB7E5C" w:rsidRDefault="00D7736C" w:rsidP="00BB7E5C">
      <w:pPr>
        <w:pStyle w:val="Numberlistlevel1"/>
      </w:pPr>
      <w:r>
        <w:rPr>
          <w:b/>
        </w:rPr>
        <w:t>S</w:t>
      </w:r>
      <w:r w:rsidRPr="00B1507B">
        <w:rPr>
          <w:b/>
        </w:rPr>
        <w:t xml:space="preserve">atellite </w:t>
      </w:r>
      <w:r w:rsidR="00BB7E5C" w:rsidRPr="00B1507B">
        <w:rPr>
          <w:b/>
        </w:rPr>
        <w:t>communication network management tools</w:t>
      </w:r>
      <w:r w:rsidR="00F97949">
        <w:t>:</w:t>
      </w:r>
      <w:r w:rsidR="00795546">
        <w:t xml:space="preserve"> </w:t>
      </w:r>
      <w:r w:rsidR="00BB7E5C">
        <w:t>supporting operators’ planning and operations to cope with the increasing demand and complexities of communication sub-systems through s</w:t>
      </w:r>
      <w:r w:rsidR="00BB7E5C" w:rsidRPr="00F06A03">
        <w:t>oftware</w:t>
      </w:r>
      <w:r w:rsidR="00D771A6">
        <w:t>-</w:t>
      </w:r>
      <w:r w:rsidR="00BB7E5C" w:rsidRPr="00F06A03">
        <w:t>enabled network planning tools, underpinned by artificial intelligence</w:t>
      </w:r>
      <w:r>
        <w:t>.</w:t>
      </w:r>
    </w:p>
    <w:p w14:paraId="1B7378F7" w14:textId="7EC64CB4" w:rsidR="00BB7E5C" w:rsidRDefault="00D7736C" w:rsidP="00BB7E5C">
      <w:pPr>
        <w:pStyle w:val="Numberlistlast"/>
      </w:pPr>
      <w:r>
        <w:rPr>
          <w:b/>
        </w:rPr>
        <w:t>Q</w:t>
      </w:r>
      <w:r w:rsidRPr="00B1507B">
        <w:rPr>
          <w:b/>
        </w:rPr>
        <w:t>uantum</w:t>
      </w:r>
      <w:r w:rsidR="00BB7E5C" w:rsidRPr="00B1507B">
        <w:rPr>
          <w:b/>
        </w:rPr>
        <w:t>-enabled communications</w:t>
      </w:r>
      <w:r w:rsidR="00F97949">
        <w:t>:</w:t>
      </w:r>
      <w:r w:rsidR="00795546">
        <w:t xml:space="preserve"> </w:t>
      </w:r>
      <w:r w:rsidR="00BB7E5C" w:rsidRPr="0024225B">
        <w:t>security advances from quantum</w:t>
      </w:r>
      <w:r w:rsidR="00D771A6">
        <w:t>-</w:t>
      </w:r>
      <w:r w:rsidR="00BB7E5C" w:rsidRPr="0024225B">
        <w:t>enabled communications are expected to transform data security in sectors such as finance and defence</w:t>
      </w:r>
      <w:r w:rsidR="00BB7E5C">
        <w:t>, and p</w:t>
      </w:r>
      <w:r w:rsidR="00BB7E5C" w:rsidRPr="003A397B">
        <w:t>osition Australia at the forefront of the international supply chain for satellite quantum communication</w:t>
      </w:r>
      <w:r w:rsidR="00BB7E5C">
        <w:t>.</w:t>
      </w:r>
    </w:p>
    <w:p w14:paraId="4E1831DB" w14:textId="1879803E" w:rsidR="00945C91" w:rsidRPr="00591BE8" w:rsidRDefault="00945C91" w:rsidP="00945C91">
      <w:pPr>
        <w:pStyle w:val="Paragraphbeforelist"/>
      </w:pPr>
      <w:r>
        <w:t xml:space="preserve">In addition, the ASA </w:t>
      </w:r>
      <w:r w:rsidR="0032355E">
        <w:t xml:space="preserve">enters into </w:t>
      </w:r>
      <w:hyperlink r:id="rId63" w:history="1">
        <w:r w:rsidR="00D771A6">
          <w:rPr>
            <w:rStyle w:val="Hyperlink"/>
          </w:rPr>
          <w:t>s</w:t>
        </w:r>
        <w:r w:rsidR="0032355E" w:rsidRPr="00326DFE">
          <w:rPr>
            <w:rStyle w:val="Hyperlink"/>
          </w:rPr>
          <w:t xml:space="preserve">tatements of </w:t>
        </w:r>
        <w:r w:rsidR="00D771A6">
          <w:rPr>
            <w:rStyle w:val="Hyperlink"/>
          </w:rPr>
          <w:t>s</w:t>
        </w:r>
        <w:r w:rsidR="0032355E" w:rsidRPr="00326DFE">
          <w:rPr>
            <w:rStyle w:val="Hyperlink"/>
          </w:rPr>
          <w:t xml:space="preserve">trategic </w:t>
        </w:r>
        <w:r w:rsidR="00D771A6">
          <w:rPr>
            <w:rStyle w:val="Hyperlink"/>
          </w:rPr>
          <w:t>i</w:t>
        </w:r>
        <w:r w:rsidR="0032355E" w:rsidRPr="00326DFE">
          <w:rPr>
            <w:rStyle w:val="Hyperlink"/>
          </w:rPr>
          <w:t xml:space="preserve">ntent and </w:t>
        </w:r>
        <w:r w:rsidR="00D771A6">
          <w:rPr>
            <w:rStyle w:val="Hyperlink"/>
          </w:rPr>
          <w:t>c</w:t>
        </w:r>
        <w:r w:rsidR="0032355E" w:rsidRPr="00326DFE">
          <w:rPr>
            <w:rStyle w:val="Hyperlink"/>
          </w:rPr>
          <w:t>ooperation</w:t>
        </w:r>
      </w:hyperlink>
      <w:r w:rsidR="0032355E">
        <w:t xml:space="preserve"> with businesses </w:t>
      </w:r>
      <w:r w:rsidR="008B4414">
        <w:t xml:space="preserve">to allow them to highlight their commitment to growing Australia’s space sector. </w:t>
      </w:r>
      <w:r w:rsidR="00703EE0">
        <w:t xml:space="preserve">The agency has entered into 16 statements as </w:t>
      </w:r>
      <w:r w:rsidR="00AF4687">
        <w:t>of</w:t>
      </w:r>
      <w:r w:rsidR="00703EE0">
        <w:t xml:space="preserve"> </w:t>
      </w:r>
      <w:r w:rsidR="00326DFE">
        <w:t>December 2020.</w:t>
      </w:r>
    </w:p>
    <w:p w14:paraId="52DBBB2F" w14:textId="66514A17" w:rsidR="004D4B94" w:rsidRDefault="004D4B94" w:rsidP="629F3BDB">
      <w:pPr>
        <w:pStyle w:val="Heading1"/>
      </w:pPr>
      <w:bookmarkStart w:id="21" w:name="_Toc65851767"/>
      <w:r w:rsidRPr="004D4B94">
        <w:lastRenderedPageBreak/>
        <w:t>Space sector businesses</w:t>
      </w:r>
      <w:bookmarkEnd w:id="21"/>
    </w:p>
    <w:p w14:paraId="3B872362" w14:textId="4D03828B" w:rsidR="004D4B94" w:rsidRDefault="00CD4698" w:rsidP="004D4B94">
      <w:pPr>
        <w:pStyle w:val="Paragraph"/>
      </w:pPr>
      <w:r>
        <w:t>To inform its understanding of the space sector, t</w:t>
      </w:r>
      <w:r w:rsidR="007E73A0">
        <w:t xml:space="preserve">he ACMA </w:t>
      </w:r>
      <w:r>
        <w:t xml:space="preserve">monitors developments </w:t>
      </w:r>
      <w:r w:rsidR="00CC35E8">
        <w:t>regularly. The following is</w:t>
      </w:r>
      <w:r w:rsidR="004D4B94">
        <w:t xml:space="preserve"> a representative sample of space sector operators in the Australian market. </w:t>
      </w:r>
      <w:r w:rsidR="00CF5B41">
        <w:t>The discussion which follows provides observations about several broad groupings</w:t>
      </w:r>
      <w:r w:rsidR="007C3481">
        <w:t>. F</w:t>
      </w:r>
      <w:r w:rsidR="00CF5B41">
        <w:t>urther detail</w:t>
      </w:r>
      <w:r w:rsidR="007C3481">
        <w:t xml:space="preserve">s on these </w:t>
      </w:r>
      <w:r w:rsidR="00050470">
        <w:t>operators</w:t>
      </w:r>
      <w:r w:rsidR="00E13EFE">
        <w:t xml:space="preserve"> are</w:t>
      </w:r>
      <w:r w:rsidR="00CF5B41">
        <w:t xml:space="preserve"> provided in Attachment B</w:t>
      </w:r>
      <w:r w:rsidR="004D4B94">
        <w:t xml:space="preserve">. </w:t>
      </w:r>
    </w:p>
    <w:p w14:paraId="4A653760" w14:textId="77777777" w:rsidR="004D4B94" w:rsidRDefault="004D4B94" w:rsidP="004D4B94">
      <w:pPr>
        <w:pStyle w:val="Heading2"/>
      </w:pPr>
      <w:bookmarkStart w:id="22" w:name="_Toc65851768"/>
      <w:r>
        <w:t>Established space businesses</w:t>
      </w:r>
      <w:bookmarkEnd w:id="22"/>
    </w:p>
    <w:p w14:paraId="280A305F" w14:textId="5A06DF91" w:rsidR="004D4B94" w:rsidRDefault="009D64C2" w:rsidP="004D4B94">
      <w:pPr>
        <w:pStyle w:val="Paragraphbeforelist"/>
      </w:pPr>
      <w:r>
        <w:t xml:space="preserve">Established space sector businesses are those that have been </w:t>
      </w:r>
      <w:r w:rsidR="004D4B94">
        <w:t xml:space="preserve">operating internationally for </w:t>
      </w:r>
      <w:r w:rsidR="006C4DC8">
        <w:t xml:space="preserve">more than </w:t>
      </w:r>
      <w:r w:rsidR="004D4B94">
        <w:t>15 years or have an established presence in Australia</w:t>
      </w:r>
      <w:r w:rsidR="0039530F">
        <w:t>,</w:t>
      </w:r>
      <w:r w:rsidR="00E13EFE">
        <w:t xml:space="preserve"> or both</w:t>
      </w:r>
      <w:r w:rsidR="004D4B94">
        <w:t xml:space="preserve">. </w:t>
      </w:r>
      <w:r w:rsidR="00FE3985">
        <w:t>General</w:t>
      </w:r>
      <w:r w:rsidR="004D4B94">
        <w:t xml:space="preserve"> trends</w:t>
      </w:r>
      <w:r w:rsidR="00E40F8A">
        <w:t xml:space="preserve"> for these operators</w:t>
      </w:r>
      <w:r w:rsidR="00FE3985">
        <w:t xml:space="preserve"> include</w:t>
      </w:r>
      <w:r w:rsidR="004D4B94">
        <w:t>:</w:t>
      </w:r>
    </w:p>
    <w:p w14:paraId="29EE85D4" w14:textId="77777777" w:rsidR="004D4B94" w:rsidRDefault="004D4B94" w:rsidP="004D4B94">
      <w:pPr>
        <w:pStyle w:val="Bulletlevel1"/>
      </w:pPr>
      <w:r>
        <w:t>due to the high capital expenditures associated with manufacturing, launching and operating of satellites, it is common to observe:</w:t>
      </w:r>
    </w:p>
    <w:p w14:paraId="3E90DD46" w14:textId="77777777" w:rsidR="004D4B94" w:rsidRDefault="004D4B94" w:rsidP="004D4B94">
      <w:pPr>
        <w:pStyle w:val="Bulletlevel2"/>
        <w:tabs>
          <w:tab w:val="clear" w:pos="295"/>
          <w:tab w:val="num" w:pos="845"/>
        </w:tabs>
        <w:ind w:left="845" w:hanging="544"/>
      </w:pPr>
      <w:r>
        <w:t>government investment or ownership of space sector companies</w:t>
      </w:r>
    </w:p>
    <w:p w14:paraId="5685964D" w14:textId="77777777" w:rsidR="004D4B94" w:rsidRDefault="004D4B94" w:rsidP="004D4B94">
      <w:pPr>
        <w:pStyle w:val="Bulletlevel2"/>
        <w:tabs>
          <w:tab w:val="clear" w:pos="295"/>
          <w:tab w:val="num" w:pos="845"/>
        </w:tabs>
        <w:ind w:left="845" w:hanging="544"/>
      </w:pPr>
      <w:r>
        <w:t>businesses relying on large amounts of debt to finance operations (leading to restructuring of finances via such mechanisms as Chapter 11 bankruptcy)</w:t>
      </w:r>
    </w:p>
    <w:p w14:paraId="5DE3F9F0" w14:textId="77777777" w:rsidR="004D4B94" w:rsidRDefault="004D4B94" w:rsidP="004D4B94">
      <w:pPr>
        <w:pStyle w:val="Bulletlevel2"/>
        <w:tabs>
          <w:tab w:val="clear" w:pos="295"/>
          <w:tab w:val="num" w:pos="845"/>
        </w:tabs>
        <w:ind w:left="845" w:hanging="544"/>
      </w:pPr>
      <w:r>
        <w:t xml:space="preserve">EBITDA and revenue figures to be healthy while figures such as net income or profits to be low due to high depreciation and interest costs </w:t>
      </w:r>
    </w:p>
    <w:p w14:paraId="0DF85098" w14:textId="77777777" w:rsidR="004D4B94" w:rsidRDefault="004D4B94" w:rsidP="004D4B94">
      <w:pPr>
        <w:pStyle w:val="Bulletlevel1"/>
      </w:pPr>
      <w:r>
        <w:t xml:space="preserve">businesses which have relied on communications around the transportation sector have faced negative impacts from the COVID-19 pandemic due to reduced travel </w:t>
      </w:r>
    </w:p>
    <w:p w14:paraId="0A3899FC" w14:textId="77777777" w:rsidR="004D4B94" w:rsidRDefault="004D4B94" w:rsidP="004D4B94">
      <w:pPr>
        <w:pStyle w:val="Bulletlevel1"/>
      </w:pPr>
      <w:r>
        <w:t>businesses have seen increased revenues associated with their communication services during the COVID-19 pandemic</w:t>
      </w:r>
    </w:p>
    <w:p w14:paraId="387805F4" w14:textId="77777777" w:rsidR="004D4B94" w:rsidRDefault="004D4B94" w:rsidP="004D4B94">
      <w:pPr>
        <w:pStyle w:val="Bulletlevel1"/>
      </w:pPr>
      <w:r>
        <w:t xml:space="preserve">revenues from government contracts have been mixed depending on each country’s response to the COVID-19 pandemic </w:t>
      </w:r>
    </w:p>
    <w:p w14:paraId="6F893E53" w14:textId="77777777" w:rsidR="004D4B94" w:rsidRDefault="004D4B94" w:rsidP="004D4B94">
      <w:pPr>
        <w:pStyle w:val="Bulletlevel1"/>
      </w:pPr>
      <w:r>
        <w:t>the more diversified space sector businesses have been able to offset losses experienced from the COVID-19 pandemic with gains in other parts of their businesses</w:t>
      </w:r>
    </w:p>
    <w:p w14:paraId="7F28EA70" w14:textId="77777777" w:rsidR="004D4B94" w:rsidRDefault="004D4B94" w:rsidP="004D4B94">
      <w:pPr>
        <w:pStyle w:val="Bulletlevel1"/>
      </w:pPr>
      <w:r>
        <w:t>with the exception of established Australian operators, revenues from the Australian market appear to form a small proportion of revenues</w:t>
      </w:r>
    </w:p>
    <w:p w14:paraId="5FB6C74B" w14:textId="322FB936" w:rsidR="004D4B94" w:rsidRDefault="004D4B94" w:rsidP="004D4B94">
      <w:pPr>
        <w:pStyle w:val="Bulletlevel2"/>
      </w:pPr>
      <w:r>
        <w:t xml:space="preserve">Australia appears to be of importance due to its geographic location, which allows space sector businesses to monitor their services and to offer global coverage. This suggests companies view supply-side benefits from Australia. </w:t>
      </w:r>
      <w:r w:rsidRPr="3139967D">
        <w:t>Most businesses marketing themselves as Australian operators tend to leverage services from established international satellite services (for example Pivotel using Iridium, Intelsat</w:t>
      </w:r>
      <w:r w:rsidR="000D3CF4">
        <w:t>, Optus</w:t>
      </w:r>
      <w:r w:rsidRPr="003C7B35">
        <w:rPr>
          <w:szCs w:val="20"/>
        </w:rPr>
        <w:t>).</w:t>
      </w:r>
      <w:r>
        <w:rPr>
          <w:rStyle w:val="FootnoteReference"/>
        </w:rPr>
        <w:footnoteReference w:id="39"/>
      </w:r>
      <w:r>
        <w:t xml:space="preserve">   </w:t>
      </w:r>
    </w:p>
    <w:p w14:paraId="6B3B2177" w14:textId="77777777" w:rsidR="00C412B4" w:rsidRDefault="00C412B4" w:rsidP="00C412B4">
      <w:pPr>
        <w:pStyle w:val="Heading2"/>
      </w:pPr>
      <w:bookmarkStart w:id="23" w:name="_Toc65851769"/>
      <w:r>
        <w:t>Start-up space businesses</w:t>
      </w:r>
      <w:bookmarkEnd w:id="23"/>
    </w:p>
    <w:p w14:paraId="75F76CA9" w14:textId="54BB9D5C" w:rsidR="00D029A2" w:rsidRDefault="00D029A2">
      <w:pPr>
        <w:pStyle w:val="Paragraph"/>
      </w:pPr>
      <w:r>
        <w:t xml:space="preserve">Start-up space businesses are </w:t>
      </w:r>
      <w:r w:rsidR="00EE474F">
        <w:t>in</w:t>
      </w:r>
      <w:r>
        <w:t xml:space="preserve"> the early stages of commercialisation</w:t>
      </w:r>
      <w:r w:rsidR="00FE3985">
        <w:t xml:space="preserve">. </w:t>
      </w:r>
      <w:r>
        <w:t xml:space="preserve"> </w:t>
      </w:r>
    </w:p>
    <w:p w14:paraId="3F67D6AD" w14:textId="1F42C0FF" w:rsidR="00202562" w:rsidRDefault="00BF1DD7">
      <w:pPr>
        <w:pStyle w:val="Paragraph"/>
      </w:pPr>
      <w:r>
        <w:t>T</w:t>
      </w:r>
      <w:r w:rsidR="00626ED0">
        <w:t>he ACMA obser</w:t>
      </w:r>
      <w:r>
        <w:t xml:space="preserve">ves </w:t>
      </w:r>
      <w:r w:rsidR="00C02CFB">
        <w:t>p</w:t>
      </w:r>
      <w:r w:rsidR="00C412B4">
        <w:t xml:space="preserve">roposed LEO constellations have been </w:t>
      </w:r>
      <w:r>
        <w:t xml:space="preserve">generally </w:t>
      </w:r>
      <w:r w:rsidR="00C412B4">
        <w:t>growing in number, with several start-up ventures in the process of obtaining regulatory approvals to operate on a global scale</w:t>
      </w:r>
      <w:r w:rsidR="00B21DFA">
        <w:t xml:space="preserve"> (for example, Starlink via its parent Space</w:t>
      </w:r>
      <w:r w:rsidR="00E47122">
        <w:t xml:space="preserve"> Exploration Technologies (SpaceX)</w:t>
      </w:r>
      <w:r w:rsidR="00B21DFA">
        <w:t>)</w:t>
      </w:r>
      <w:r w:rsidR="00C412B4">
        <w:t xml:space="preserve">. </w:t>
      </w:r>
      <w:r w:rsidR="00E47122">
        <w:t>Most of</w:t>
      </w:r>
      <w:r w:rsidR="00C412B4">
        <w:t xml:space="preserve"> these providers are seeking to provide high-speed internet to parts of the world where traditional broadband is too costly to provide. </w:t>
      </w:r>
    </w:p>
    <w:p w14:paraId="1B10B6A2" w14:textId="4C70F2FE" w:rsidR="00C412B4" w:rsidRDefault="00C412B4" w:rsidP="00C36126">
      <w:pPr>
        <w:pStyle w:val="Paragraph"/>
      </w:pPr>
      <w:r>
        <w:lastRenderedPageBreak/>
        <w:t>These businesses are largely being led by either consortia or technology companies. It is too early at this stage to tell which provider will emerge as successful, with announcements being released on a weekly, or in some cases daily, basis.</w:t>
      </w:r>
      <w:r w:rsidR="00E1549F">
        <w:t xml:space="preserve"> Due to the COVID-19 pandemic and the significant capital costs involved in launching satellites, some of these businesses have had to restructure their finances or</w:t>
      </w:r>
      <w:r w:rsidR="006E0AD6">
        <w:t xml:space="preserve"> have been taken over by investment consortia. The more successful start-up businesses to date </w:t>
      </w:r>
      <w:r w:rsidR="00366991">
        <w:t>are supported by either government</w:t>
      </w:r>
      <w:r w:rsidR="00250386">
        <w:t xml:space="preserve"> entities, multi-</w:t>
      </w:r>
      <w:r w:rsidR="00C05B5F">
        <w:t>billion-dollar</w:t>
      </w:r>
      <w:r w:rsidR="00D1218B">
        <w:t xml:space="preserve"> </w:t>
      </w:r>
      <w:r w:rsidR="00250386">
        <w:t>parent companies or billions of dollars in venture capital.</w:t>
      </w:r>
    </w:p>
    <w:p w14:paraId="345C7C71" w14:textId="77777777" w:rsidR="004D4B94" w:rsidRDefault="004D4B94" w:rsidP="004D4B94">
      <w:pPr>
        <w:pStyle w:val="Heading2"/>
      </w:pPr>
      <w:bookmarkStart w:id="24" w:name="_Toc65851770"/>
      <w:r>
        <w:t>Government sector</w:t>
      </w:r>
      <w:bookmarkEnd w:id="24"/>
    </w:p>
    <w:p w14:paraId="7E44553E" w14:textId="5A2B5726" w:rsidR="00595341" w:rsidRDefault="00B442AD" w:rsidP="004D4B94">
      <w:pPr>
        <w:pStyle w:val="Paragraph"/>
      </w:pPr>
      <w:r>
        <w:t xml:space="preserve">The </w:t>
      </w:r>
      <w:r w:rsidR="00595341">
        <w:t xml:space="preserve">Australian </w:t>
      </w:r>
      <w:r>
        <w:t>government sec</w:t>
      </w:r>
      <w:r w:rsidR="005446AE">
        <w:t xml:space="preserve">tor comprises a mix of entities, </w:t>
      </w:r>
      <w:r w:rsidR="00595341">
        <w:t>these include:</w:t>
      </w:r>
    </w:p>
    <w:p w14:paraId="66A68F86" w14:textId="4526A02F" w:rsidR="00595341" w:rsidRDefault="004D4B94" w:rsidP="00595341">
      <w:pPr>
        <w:pStyle w:val="Bulletlevel1"/>
      </w:pPr>
      <w:r w:rsidRPr="00B1507B">
        <w:rPr>
          <w:b/>
        </w:rPr>
        <w:t>Department of Defence</w:t>
      </w:r>
      <w:r w:rsidR="00A839AD">
        <w:t>:</w:t>
      </w:r>
      <w:r w:rsidR="007F1126">
        <w:t xml:space="preserve"> providing communications for the Defence Force and </w:t>
      </w:r>
      <w:r w:rsidR="00B37AE6">
        <w:t xml:space="preserve">taking a proactive role </w:t>
      </w:r>
      <w:r w:rsidR="00C440B5">
        <w:t xml:space="preserve">in Australia’s </w:t>
      </w:r>
      <w:r w:rsidR="007F1126">
        <w:t xml:space="preserve">security </w:t>
      </w:r>
      <w:r w:rsidR="00C440B5">
        <w:t>requirements (for example,</w:t>
      </w:r>
      <w:r w:rsidR="007F1126">
        <w:t xml:space="preserve"> </w:t>
      </w:r>
      <w:r w:rsidR="00C440B5">
        <w:t xml:space="preserve">ensuring security of </w:t>
      </w:r>
      <w:r w:rsidR="007F1126">
        <w:t xml:space="preserve">critical infrastructure </w:t>
      </w:r>
      <w:r w:rsidR="00C440B5">
        <w:t>such as</w:t>
      </w:r>
      <w:r w:rsidR="007F1126">
        <w:t xml:space="preserve"> communications satellites)</w:t>
      </w:r>
    </w:p>
    <w:p w14:paraId="3BF97A49" w14:textId="6651FD49" w:rsidR="00B37AE6" w:rsidRDefault="004D4B94" w:rsidP="00595341">
      <w:pPr>
        <w:pStyle w:val="Bulletlevel1"/>
      </w:pPr>
      <w:r w:rsidDel="00C440B5">
        <w:t xml:space="preserve"> </w:t>
      </w:r>
      <w:r w:rsidRPr="00B1507B">
        <w:rPr>
          <w:b/>
        </w:rPr>
        <w:t>Bureau of Meteorology (BoM</w:t>
      </w:r>
      <w:r w:rsidRPr="00B1507B">
        <w:rPr>
          <w:b/>
          <w:bCs/>
        </w:rPr>
        <w:t>)</w:t>
      </w:r>
      <w:r w:rsidR="00A839AD">
        <w:t>:</w:t>
      </w:r>
      <w:r w:rsidR="007F1126">
        <w:t xml:space="preserve"> providing </w:t>
      </w:r>
      <w:r w:rsidR="00B37AE6">
        <w:t>weather and scientific services</w:t>
      </w:r>
    </w:p>
    <w:p w14:paraId="707B9FB2" w14:textId="27136804" w:rsidR="00FD5E8D" w:rsidRDefault="00FD5E8D" w:rsidP="00FD5E8D">
      <w:pPr>
        <w:pStyle w:val="Bulletlevel1"/>
      </w:pPr>
      <w:r w:rsidRPr="00B1507B">
        <w:rPr>
          <w:b/>
        </w:rPr>
        <w:t>Commonwealth Scientific and Industrial Research Organisation (</w:t>
      </w:r>
      <w:r w:rsidR="004D4B94" w:rsidRPr="00B1507B">
        <w:rPr>
          <w:b/>
        </w:rPr>
        <w:t>CSIRO</w:t>
      </w:r>
      <w:r w:rsidRPr="00B1507B">
        <w:rPr>
          <w:b/>
          <w:bCs/>
        </w:rPr>
        <w:t>)</w:t>
      </w:r>
      <w:r w:rsidR="00A839AD" w:rsidRPr="00B1507B">
        <w:t>:</w:t>
      </w:r>
      <w:r w:rsidR="00F4054C" w:rsidRPr="00B1507B">
        <w:t xml:space="preserve"> </w:t>
      </w:r>
      <w:r w:rsidR="007F54EA">
        <w:t xml:space="preserve">contributing to scientific </w:t>
      </w:r>
      <w:r w:rsidR="00310B3C">
        <w:t xml:space="preserve">research and supporting the development of emerging technologies (for example, </w:t>
      </w:r>
      <w:r w:rsidR="00871528">
        <w:t>the development of cheaper SmallSats)</w:t>
      </w:r>
    </w:p>
    <w:p w14:paraId="5B1EB9C4" w14:textId="2E8A2FAE" w:rsidR="004D4B94" w:rsidRDefault="004D4B94" w:rsidP="00156CD5">
      <w:pPr>
        <w:pStyle w:val="Bulletlevel1last"/>
      </w:pPr>
      <w:r w:rsidRPr="00B1507B">
        <w:rPr>
          <w:b/>
        </w:rPr>
        <w:t>NBN Co</w:t>
      </w:r>
      <w:r w:rsidR="00A839AD">
        <w:t>:</w:t>
      </w:r>
      <w:r w:rsidDel="008A6600">
        <w:t xml:space="preserve"> </w:t>
      </w:r>
      <w:r w:rsidR="008A6600">
        <w:t xml:space="preserve">who </w:t>
      </w:r>
      <w:r>
        <w:t xml:space="preserve">offer and provide </w:t>
      </w:r>
      <w:r w:rsidR="008A6600">
        <w:t xml:space="preserve">commercial </w:t>
      </w:r>
      <w:r>
        <w:t>satellite services</w:t>
      </w:r>
      <w:r w:rsidR="008A6600">
        <w:t xml:space="preserve"> to regional and remo</w:t>
      </w:r>
      <w:r w:rsidR="00156CD5">
        <w:t>te Australia through its Sky Muster satellites</w:t>
      </w:r>
      <w:r>
        <w:t xml:space="preserve">. </w:t>
      </w:r>
    </w:p>
    <w:p w14:paraId="72DC38A6" w14:textId="1DA8B174" w:rsidR="00156CD5" w:rsidRDefault="00AE568B" w:rsidP="00734A66">
      <w:pPr>
        <w:pStyle w:val="Paragraphbeforelist"/>
      </w:pPr>
      <w:r>
        <w:t xml:space="preserve">Most government entities </w:t>
      </w:r>
      <w:r w:rsidR="008E3FA8">
        <w:t xml:space="preserve">form partnerships with international government agencies and businesses to deliver </w:t>
      </w:r>
      <w:r w:rsidR="00372B69">
        <w:t>their services</w:t>
      </w:r>
      <w:r w:rsidR="00AE5348">
        <w:t>.</w:t>
      </w:r>
      <w:r w:rsidR="00372B69">
        <w:t xml:space="preserve"> Such partnerships range from commercial arrangements to design and manufacture satellites</w:t>
      </w:r>
      <w:r w:rsidR="00273BC6">
        <w:t xml:space="preserve"> to formal agreements to provide </w:t>
      </w:r>
      <w:r w:rsidR="00D9172F">
        <w:t>communications in space (given Australia’s geographic location)</w:t>
      </w:r>
      <w:r w:rsidR="004C0554">
        <w:t>.</w:t>
      </w:r>
    </w:p>
    <w:p w14:paraId="48A6F475" w14:textId="77777777" w:rsidR="004D4B94" w:rsidRDefault="004D4B94" w:rsidP="004D4B94">
      <w:pPr>
        <w:pStyle w:val="Heading2"/>
        <w:keepLines/>
      </w:pPr>
      <w:bookmarkStart w:id="25" w:name="_Toc65851771"/>
      <w:r>
        <w:t>Other space sector businesses</w:t>
      </w:r>
      <w:bookmarkEnd w:id="25"/>
    </w:p>
    <w:p w14:paraId="47FD11F5" w14:textId="3F0FF4F7" w:rsidR="004D4B94" w:rsidRDefault="006E2228" w:rsidP="004D4B94">
      <w:pPr>
        <w:pStyle w:val="Paragraph"/>
        <w:keepNext/>
        <w:keepLines/>
      </w:pPr>
      <w:r>
        <w:t>There are a number of</w:t>
      </w:r>
      <w:r w:rsidR="004D4B94">
        <w:t xml:space="preserve"> other businesses which are in the process of increasing their presence in Australia or intending to launch services in </w:t>
      </w:r>
      <w:r w:rsidR="005879AB">
        <w:t xml:space="preserve">the </w:t>
      </w:r>
      <w:r w:rsidR="004D4B94">
        <w:t xml:space="preserve">near future. These companies tend to form partnerships with satellite operators and other major </w:t>
      </w:r>
      <w:r w:rsidR="00C05B5F">
        <w:t>companies,</w:t>
      </w:r>
      <w:r w:rsidR="004D4B94">
        <w:t xml:space="preserve"> and they focus on their core strengths to carve out a niche in the market. </w:t>
      </w:r>
      <w:r w:rsidR="004269C5">
        <w:t>This</w:t>
      </w:r>
      <w:r w:rsidR="004D4B94">
        <w:t xml:space="preserve"> includes Australian universities, who are receiving government funding to advance Australia’s standing in the international space industry (for example, </w:t>
      </w:r>
      <w:hyperlink r:id="rId64" w:history="1">
        <w:r w:rsidR="004D4B94" w:rsidRPr="007E16DC">
          <w:rPr>
            <w:rStyle w:val="Hyperlink"/>
          </w:rPr>
          <w:t>SpiRIT</w:t>
        </w:r>
      </w:hyperlink>
      <w:r w:rsidR="004D4B94">
        <w:t xml:space="preserve"> and </w:t>
      </w:r>
      <w:hyperlink r:id="rId65" w:history="1">
        <w:r w:rsidR="004D4B94" w:rsidRPr="007E16DC">
          <w:rPr>
            <w:rStyle w:val="Hyperlink"/>
          </w:rPr>
          <w:t>CUAVA</w:t>
        </w:r>
      </w:hyperlink>
      <w:r w:rsidR="004D4B94">
        <w:t>).</w:t>
      </w:r>
    </w:p>
    <w:p w14:paraId="1F3CAF48" w14:textId="17266A2D" w:rsidR="68D7E019" w:rsidRDefault="68D7E019" w:rsidP="629F3BDB">
      <w:pPr>
        <w:pStyle w:val="Heading1"/>
      </w:pPr>
      <w:bookmarkStart w:id="26" w:name="_Toc65851772"/>
      <w:r>
        <w:lastRenderedPageBreak/>
        <w:t xml:space="preserve">Spectrum </w:t>
      </w:r>
      <w:r w:rsidR="008002B3">
        <w:t>i</w:t>
      </w:r>
      <w:r>
        <w:t>mplications</w:t>
      </w:r>
      <w:bookmarkEnd w:id="26"/>
    </w:p>
    <w:p w14:paraId="5B56F0BF" w14:textId="13E66AA2" w:rsidR="68D7E019" w:rsidRDefault="68D7E019" w:rsidP="629F3BDB">
      <w:pPr>
        <w:pStyle w:val="Paragraphbeforelist"/>
      </w:pPr>
      <w:r>
        <w:t xml:space="preserve">As reflected in the analysis of this market study and observing global trends, the space industry </w:t>
      </w:r>
      <w:r w:rsidR="00816E7A">
        <w:t xml:space="preserve">is </w:t>
      </w:r>
      <w:r w:rsidR="002C2C9C">
        <w:t>growing</w:t>
      </w:r>
      <w:r>
        <w:t>. A number of service providers are currently in the trial phase and developing their plans to deliver commercial services in Australia. The ACMA’s expectation is that growth in the space industry will result in:</w:t>
      </w:r>
    </w:p>
    <w:p w14:paraId="4ABDAF30" w14:textId="13EF54C6" w:rsidR="68D7E019" w:rsidRDefault="68D7E019" w:rsidP="629F3BDB">
      <w:pPr>
        <w:pStyle w:val="Bulletlevel1"/>
      </w:pPr>
      <w:r>
        <w:t>an increase in the ACMA’s satellite filing work</w:t>
      </w:r>
    </w:p>
    <w:p w14:paraId="649ACD7E" w14:textId="27761E2A" w:rsidR="68D7E019" w:rsidRDefault="68D7E019" w:rsidP="629F3BDB">
      <w:pPr>
        <w:pStyle w:val="Bulletlevel1"/>
      </w:pPr>
      <w:r>
        <w:t>an increase in licence application requests</w:t>
      </w:r>
    </w:p>
    <w:p w14:paraId="3ABFAF3B" w14:textId="77777777" w:rsidR="68D7E019" w:rsidRDefault="68D7E019" w:rsidP="629F3BDB">
      <w:pPr>
        <w:pStyle w:val="Bulletlevel1"/>
      </w:pPr>
      <w:r>
        <w:t>a need to provide guidance and information on spectrum requirements to assist new entrants, such as start-ups and research organisations, considering developing experimental satellite systems with short-duration missions</w:t>
      </w:r>
    </w:p>
    <w:p w14:paraId="3744B013" w14:textId="60F157D1" w:rsidR="68D7E019" w:rsidRDefault="68D7E019" w:rsidP="629F3BDB">
      <w:pPr>
        <w:pStyle w:val="Bulletlevel1last"/>
      </w:pPr>
      <w:r>
        <w:t>a need to monitor developments in emerging space-based technologies and applications, and trends in the spectrum needs of space-based communications systems, with a view to informing the ACMA’s future spectrum priorities.</w:t>
      </w:r>
    </w:p>
    <w:p w14:paraId="665222BE" w14:textId="09957CA1" w:rsidR="68D7E019" w:rsidRDefault="00831D72" w:rsidP="629F3BDB">
      <w:pPr>
        <w:pStyle w:val="Paragraph"/>
      </w:pPr>
      <w:r>
        <w:t xml:space="preserve">The ACMA </w:t>
      </w:r>
      <w:r w:rsidR="68D7E019">
        <w:t>encourage</w:t>
      </w:r>
      <w:r>
        <w:t>s</w:t>
      </w:r>
      <w:r w:rsidR="68D7E019">
        <w:t xml:space="preserve"> entrants to contact </w:t>
      </w:r>
      <w:hyperlink r:id="rId66" w:history="1">
        <w:r w:rsidR="00177CF1" w:rsidRPr="00993AC5">
          <w:rPr>
            <w:rStyle w:val="Hyperlink"/>
          </w:rPr>
          <w:t>satellite.coordination@acma.gov.au</w:t>
        </w:r>
      </w:hyperlink>
      <w:r w:rsidR="00177CF1">
        <w:t xml:space="preserve"> </w:t>
      </w:r>
      <w:r w:rsidR="68D7E019">
        <w:t>early to discuss their business plans and spectrum requirements.</w:t>
      </w:r>
    </w:p>
    <w:p w14:paraId="5A3EB645" w14:textId="17F31D6C" w:rsidR="68D7E019" w:rsidRDefault="68D7E019" w:rsidP="629F3BDB">
      <w:pPr>
        <w:pStyle w:val="Paragraphbeforelist"/>
        <w:shd w:val="clear" w:color="auto" w:fill="FFFFFF" w:themeFill="background1"/>
      </w:pPr>
      <w:r>
        <w:t xml:space="preserve">The rest of this section discusses our approach to the space sector </w:t>
      </w:r>
      <w:r w:rsidR="00363083">
        <w:t>and</w:t>
      </w:r>
      <w:r>
        <w:t xml:space="preserve"> the known growth areas and challenges – linking together issues identified in this market study and the ACMA’s approach.</w:t>
      </w:r>
    </w:p>
    <w:p w14:paraId="22F2C563" w14:textId="5A156354" w:rsidR="68D7E019" w:rsidRDefault="68D7E019" w:rsidP="629F3BDB">
      <w:pPr>
        <w:pStyle w:val="Heading2"/>
      </w:pPr>
      <w:bookmarkStart w:id="27" w:name="_Toc65851773"/>
      <w:r>
        <w:t>The ACMA’s approach</w:t>
      </w:r>
      <w:bookmarkEnd w:id="27"/>
      <w:r>
        <w:t xml:space="preserve"> </w:t>
      </w:r>
    </w:p>
    <w:p w14:paraId="0003E6F5" w14:textId="53E12921" w:rsidR="68D7E019" w:rsidRDefault="68D7E019" w:rsidP="629F3BDB">
      <w:pPr>
        <w:pStyle w:val="Paragraph"/>
      </w:pPr>
      <w:r>
        <w:t xml:space="preserve">Each year, the ACMA publishes a spectrum work program called the </w:t>
      </w:r>
      <w:hyperlink r:id="rId67" w:history="1">
        <w:r>
          <w:t>five-year spectrum outlook</w:t>
        </w:r>
      </w:hyperlink>
      <w:r>
        <w:t xml:space="preserve"> (FYSO). The FYSO provides an overview of the technology, market and policy drivers likely to shape the demand for spectrum over the next 5 years, as well as our spectrum management priorities for the next 5 years and our detailed work plan for the coming year. </w:t>
      </w:r>
    </w:p>
    <w:p w14:paraId="1B65327E" w14:textId="70D4160B" w:rsidR="68D7E019" w:rsidRDefault="68D7E019" w:rsidP="629F3BDB">
      <w:pPr>
        <w:pStyle w:val="Paragraphbeforelist"/>
      </w:pPr>
      <w:r>
        <w:t xml:space="preserve">The FYSO is developed in consultation with industry. Consultation on the draft FYSO forms a key part of the ACMA’s engagement and transparency with industry and the community on our spectrum management priorities. </w:t>
      </w:r>
      <w:r w:rsidR="00CE11B3">
        <w:t>S</w:t>
      </w:r>
      <w:r>
        <w:t xml:space="preserve">pectrum </w:t>
      </w:r>
      <w:r w:rsidR="00E4278C">
        <w:t>management</w:t>
      </w:r>
      <w:r>
        <w:t xml:space="preserve"> priorities in the FYSO are intended to support growth in the space sector and can be summarised as:  </w:t>
      </w:r>
    </w:p>
    <w:p w14:paraId="4A510949" w14:textId="5D05C221" w:rsidR="68D7E019" w:rsidRDefault="68D7E019" w:rsidP="629F3BDB">
      <w:pPr>
        <w:pStyle w:val="Bulletlevel1"/>
      </w:pPr>
      <w:r>
        <w:t>providing ongoing operational support for Australian-filed satellite networks</w:t>
      </w:r>
    </w:p>
    <w:p w14:paraId="0A3F2F07" w14:textId="46DAF3AC" w:rsidR="68D7E019" w:rsidRDefault="68D7E019" w:rsidP="629F3BDB">
      <w:pPr>
        <w:pStyle w:val="Bulletlevel1"/>
      </w:pPr>
      <w:r>
        <w:t xml:space="preserve">updating regulatory </w:t>
      </w:r>
      <w:r w:rsidR="00D12514">
        <w:t xml:space="preserve">(including pricing) </w:t>
      </w:r>
      <w:r>
        <w:t>arrangements to support satellite providers in the Australian market</w:t>
      </w:r>
    </w:p>
    <w:p w14:paraId="1EE4E8E8" w14:textId="58C2D663" w:rsidR="68D7E019" w:rsidRDefault="68D7E019" w:rsidP="629F3BDB">
      <w:pPr>
        <w:pStyle w:val="Bulletlevel1"/>
      </w:pPr>
      <w:r>
        <w:t>implementing outcomes of replanning activities to provide new spectrum arrangements for satellite services</w:t>
      </w:r>
    </w:p>
    <w:p w14:paraId="35D55BEF" w14:textId="4FB24459" w:rsidR="68D7E019" w:rsidRDefault="68D7E019" w:rsidP="629F3BDB">
      <w:pPr>
        <w:pStyle w:val="Bulletlevel1"/>
      </w:pPr>
      <w:r>
        <w:t xml:space="preserve">providing guidance and information on spectrum </w:t>
      </w:r>
      <w:r w:rsidR="005D319B">
        <w:t xml:space="preserve">management </w:t>
      </w:r>
      <w:r>
        <w:t>requirements to assist new entrants</w:t>
      </w:r>
    </w:p>
    <w:p w14:paraId="7FA82260" w14:textId="7F95DCC0" w:rsidR="68D7E019" w:rsidRDefault="68D7E019" w:rsidP="629F3BDB">
      <w:pPr>
        <w:pStyle w:val="Bulletlevel1"/>
      </w:pPr>
      <w:r>
        <w:t>monitoring developments in emerging space-based technologies and applications, and trends in the spectrum needs of space-based communications systems, with a view to informing the ACMA’s future spectrum priorities</w:t>
      </w:r>
    </w:p>
    <w:p w14:paraId="6BC4C724" w14:textId="3D8067F6" w:rsidR="68D7E019" w:rsidRDefault="68D7E019" w:rsidP="629F3BDB">
      <w:pPr>
        <w:pStyle w:val="Bulletlevel1"/>
      </w:pPr>
      <w:r>
        <w:t xml:space="preserve">developing coordination arrangements between earth stations and terrestrial services as appropriate </w:t>
      </w:r>
    </w:p>
    <w:p w14:paraId="133237CA" w14:textId="51A88A08" w:rsidR="68D7E019" w:rsidRDefault="68D7E019" w:rsidP="629F3BDB">
      <w:pPr>
        <w:pStyle w:val="Bulletlevel1last"/>
      </w:pPr>
      <w:r>
        <w:t xml:space="preserve">providing support and information to assist the growing interest from organisations that are considering developing experimental satellite systems with short duration missions. </w:t>
      </w:r>
    </w:p>
    <w:p w14:paraId="24E7D727" w14:textId="2020418F" w:rsidR="68D7E019" w:rsidRDefault="68D7E019" w:rsidP="629F3BDB">
      <w:pPr>
        <w:pStyle w:val="ListBullet"/>
        <w:numPr>
          <w:ilvl w:val="0"/>
          <w:numId w:val="0"/>
        </w:numPr>
      </w:pPr>
      <w:r>
        <w:lastRenderedPageBreak/>
        <w:t xml:space="preserve">In addition, the work identified in the FYSO has implications for the ACMA business as usual activities such as: </w:t>
      </w:r>
    </w:p>
    <w:p w14:paraId="56F14AF8" w14:textId="78BC7832" w:rsidR="68D7E019" w:rsidRDefault="68D7E019" w:rsidP="629F3BDB">
      <w:pPr>
        <w:pStyle w:val="Bulletlevel1"/>
      </w:pPr>
      <w:r>
        <w:t xml:space="preserve">increases in the number and complexity of licence applications </w:t>
      </w:r>
    </w:p>
    <w:p w14:paraId="26E93F84" w14:textId="77777777" w:rsidR="68D7E019" w:rsidRDefault="68D7E019" w:rsidP="629F3BDB">
      <w:pPr>
        <w:pStyle w:val="Bulletlevel1"/>
      </w:pPr>
      <w:r>
        <w:t>increases in satellite filing activity arising from:</w:t>
      </w:r>
    </w:p>
    <w:p w14:paraId="4535BB53" w14:textId="77777777" w:rsidR="68D7E019" w:rsidRDefault="68D7E019" w:rsidP="629F3BDB">
      <w:pPr>
        <w:pStyle w:val="Bulletlevel2"/>
      </w:pPr>
      <w:r>
        <w:t xml:space="preserve">requests for new Australian satellite filings </w:t>
      </w:r>
    </w:p>
    <w:p w14:paraId="79294515" w14:textId="24098568" w:rsidR="68D7E019" w:rsidRDefault="68D7E019" w:rsidP="629F3BDB">
      <w:pPr>
        <w:pStyle w:val="Bulletlevel2"/>
      </w:pPr>
      <w:r>
        <w:t xml:space="preserve">satellite filing coordination activity </w:t>
      </w:r>
    </w:p>
    <w:p w14:paraId="2D614415" w14:textId="099E759D" w:rsidR="68D7E019" w:rsidRDefault="68D7E019" w:rsidP="629F3BDB">
      <w:pPr>
        <w:pStyle w:val="Bulletlevel1last"/>
      </w:pPr>
      <w:r>
        <w:t>requests to update the Australian Space Objects and Foreign Space Objects Determinations.</w:t>
      </w:r>
    </w:p>
    <w:p w14:paraId="0C49FB01" w14:textId="7176E9CE" w:rsidR="68D7E019" w:rsidRDefault="68D7E019" w:rsidP="629F3BDB">
      <w:pPr>
        <w:pStyle w:val="Paragraph"/>
      </w:pPr>
      <w:r>
        <w:t>This increase in activities is reflected in recent trends relating to the ACMA’s regulatory activities outlined below.</w:t>
      </w:r>
      <w:r w:rsidR="001C1AB2">
        <w:t xml:space="preserve"> The ACMA is </w:t>
      </w:r>
      <w:r w:rsidR="001C1AB2" w:rsidRPr="001C1AB2">
        <w:t>consider</w:t>
      </w:r>
      <w:r w:rsidR="001C1AB2">
        <w:t>ing</w:t>
      </w:r>
      <w:r w:rsidR="001C1AB2" w:rsidRPr="001C1AB2">
        <w:t xml:space="preserve"> ways of more actively coordinating spectrum access and managing competing spectrum demand</w:t>
      </w:r>
      <w:r w:rsidR="00F91273">
        <w:t>.</w:t>
      </w:r>
    </w:p>
    <w:p w14:paraId="6BFC72F1" w14:textId="1C02A597" w:rsidR="68D7E019" w:rsidRDefault="68D7E019" w:rsidP="629F3BDB">
      <w:pPr>
        <w:pStyle w:val="Heading3"/>
      </w:pPr>
      <w:bookmarkStart w:id="28" w:name="_Toc65851774"/>
      <w:r>
        <w:t>Updating regulatory arrangements</w:t>
      </w:r>
      <w:bookmarkEnd w:id="28"/>
      <w:r>
        <w:t xml:space="preserve"> </w:t>
      </w:r>
    </w:p>
    <w:p w14:paraId="638DAFD4" w14:textId="4DE6D6DE" w:rsidR="002144B0" w:rsidRDefault="68D7E019" w:rsidP="629F3BDB">
      <w:pPr>
        <w:pStyle w:val="Paragraphbeforelist"/>
        <w:rPr>
          <w:rStyle w:val="Hyperlink"/>
          <w:rFonts w:eastAsiaTheme="minorEastAsia"/>
        </w:rPr>
      </w:pPr>
      <w:r w:rsidRPr="629F3BDB">
        <w:rPr>
          <w:rFonts w:eastAsiaTheme="minorEastAsia"/>
        </w:rPr>
        <w:t xml:space="preserve">Under the </w:t>
      </w:r>
      <w:hyperlink r:id="rId68" w:history="1">
        <w:r w:rsidRPr="629F3BDB">
          <w:rPr>
            <w:rFonts w:eastAsiaTheme="minorEastAsia"/>
            <w:i/>
            <w:iCs/>
          </w:rPr>
          <w:t>Radiocommunications Act 1992</w:t>
        </w:r>
      </w:hyperlink>
      <w:r w:rsidRPr="629F3BDB">
        <w:rPr>
          <w:rFonts w:eastAsiaTheme="minorEastAsia"/>
        </w:rPr>
        <w:t xml:space="preserve">, a foreign satellite operator must first be included in the </w:t>
      </w:r>
      <w:hyperlink r:id="rId69" w:history="1">
        <w:r w:rsidRPr="629F3BDB">
          <w:rPr>
            <w:rFonts w:eastAsiaTheme="minorEastAsia"/>
          </w:rPr>
          <w:t>Radiocommunications (Foreign Space Objects) Determination 2014</w:t>
        </w:r>
      </w:hyperlink>
      <w:r w:rsidRPr="629F3BDB">
        <w:rPr>
          <w:rFonts w:eastAsiaTheme="minorEastAsia"/>
        </w:rPr>
        <w:t xml:space="preserve"> (Foreign Space Objects Determination) before its satellite network can be licensed to operate in specific shared satellite radiofrequency bands listed in the </w:t>
      </w:r>
      <w:hyperlink r:id="rId70" w:history="1">
        <w:r w:rsidRPr="629F3BDB">
          <w:rPr>
            <w:rFonts w:eastAsiaTheme="minorEastAsia"/>
          </w:rPr>
          <w:t>Radiocommunications (Communication with Space Object) Class Licence 2015</w:t>
        </w:r>
      </w:hyperlink>
      <w:r w:rsidR="00537A7B" w:rsidRPr="008A6165">
        <w:rPr>
          <w:rFonts w:eastAsiaTheme="minorEastAsia"/>
        </w:rPr>
        <w:t>.</w:t>
      </w:r>
      <w:r w:rsidRPr="629F3BDB">
        <w:rPr>
          <w:rStyle w:val="Hyperlink"/>
          <w:rFonts w:eastAsiaTheme="minorEastAsia"/>
        </w:rPr>
        <w:t xml:space="preserve"> </w:t>
      </w:r>
    </w:p>
    <w:p w14:paraId="5E3D90D6" w14:textId="2F296ED5" w:rsidR="68D7E019" w:rsidRDefault="68D7E019" w:rsidP="629F3BDB">
      <w:pPr>
        <w:pStyle w:val="Paragraphbeforelist"/>
      </w:pPr>
      <w:r w:rsidRPr="629F3BDB">
        <w:rPr>
          <w:rFonts w:eastAsiaTheme="minorEastAsia"/>
        </w:rPr>
        <w:t xml:space="preserve">Inclusion in the determination does not confer a right on that entity to obtain a licence, rather it is a prerequisite before a space apparatus licence can be issued. With recent interest from </w:t>
      </w:r>
      <w:r>
        <w:t>new satellite companies looking to provide services in Australia, the ACMA has updated the determination in:</w:t>
      </w:r>
    </w:p>
    <w:p w14:paraId="64DC7CF8" w14:textId="6497BC37" w:rsidR="68D7E019" w:rsidRDefault="68D7E019" w:rsidP="629F3BDB">
      <w:pPr>
        <w:pStyle w:val="Bulletlevel1"/>
      </w:pPr>
      <w:r>
        <w:t>2017 to include Network Access Associates Ltd (incorporated in the UK) (OneWeb)</w:t>
      </w:r>
    </w:p>
    <w:p w14:paraId="747B0B5E" w14:textId="2C1C779A" w:rsidR="68D7E019" w:rsidRDefault="68D7E019" w:rsidP="629F3BDB">
      <w:pPr>
        <w:pStyle w:val="Bulletlevel1"/>
      </w:pPr>
      <w:r>
        <w:t>2018 to include SpaceQuest, Ltd. (incorporated in the US)</w:t>
      </w:r>
    </w:p>
    <w:p w14:paraId="459B17E8" w14:textId="3A1C29E4" w:rsidR="68D7E019" w:rsidRDefault="68D7E019" w:rsidP="629F3BDB">
      <w:pPr>
        <w:pStyle w:val="Bulletlevel1last"/>
      </w:pPr>
      <w:r>
        <w:t>2020 to include Kepler Communications Inc. (incorporated in Canada), SpaceX Services, Inc. (incorporated in the US) and Swarm Technologies, Inc. (incorporated in the US).</w:t>
      </w:r>
    </w:p>
    <w:p w14:paraId="2E46D0E2" w14:textId="7943A00C" w:rsidR="68D7E019" w:rsidRDefault="68D7E019" w:rsidP="629F3BDB">
      <w:pPr>
        <w:pStyle w:val="Paragraph"/>
      </w:pPr>
      <w:r>
        <w:t xml:space="preserve">From December 2020 to February 2021, the ACMA </w:t>
      </w:r>
      <w:hyperlink r:id="rId71" w:history="1">
        <w:r>
          <w:t>consulted</w:t>
        </w:r>
      </w:hyperlink>
      <w:r>
        <w:t xml:space="preserve"> on another update, to consider the possible inclusion of Astrocast SA (incorporated in Switzerland), Fleet Space Technologies Pty Ltd (incorporated in Australia), Hiber B.V. (incorporated in The Netherlands), Kinéis SAS (incorporated in France), O3b Limited (incorporated in Jersey), Viasat, Inc. (incorporated in the US).</w:t>
      </w:r>
    </w:p>
    <w:p w14:paraId="23109413" w14:textId="6107486A" w:rsidR="68D7E019" w:rsidRDefault="68D7E019" w:rsidP="629F3BDB">
      <w:pPr>
        <w:pStyle w:val="Heading3"/>
      </w:pPr>
      <w:bookmarkStart w:id="29" w:name="_Toc65851775"/>
      <w:r>
        <w:t>Satellite filing activity</w:t>
      </w:r>
      <w:bookmarkEnd w:id="29"/>
      <w:r>
        <w:t xml:space="preserve"> </w:t>
      </w:r>
    </w:p>
    <w:p w14:paraId="637940FE" w14:textId="168543EF" w:rsidR="68D7E019" w:rsidRDefault="68D7E019" w:rsidP="629F3BDB">
      <w:pPr>
        <w:pStyle w:val="Paragraph"/>
      </w:pPr>
      <w:r>
        <w:t>Before operating a satellite network in Australia, along with radiocommunications licensing requirements outlined below, the technical details of the network must be filed with the International Telecommunication Union (ITU).</w:t>
      </w:r>
      <w:r w:rsidRPr="629F3BDB">
        <w:rPr>
          <w:rStyle w:val="FootnoteReference"/>
        </w:rPr>
        <w:footnoteReference w:id="40"/>
      </w:r>
      <w:r>
        <w:t xml:space="preserve"> </w:t>
      </w:r>
    </w:p>
    <w:p w14:paraId="40CBEFBF" w14:textId="46E60751" w:rsidR="68D7E019" w:rsidRDefault="68D7E019" w:rsidP="00E5111D">
      <w:pPr>
        <w:pStyle w:val="Paragraph"/>
        <w:keepLines/>
      </w:pPr>
      <w:r>
        <w:t xml:space="preserve">The ITU only deals with administrations of ITU member states in the satellite filing process, not with satellite operators. As part of its spectrum management function, the ACMA acts as the Australian administration responsible for the ITU’s international process for management of frequencies for satellite communications. </w:t>
      </w:r>
    </w:p>
    <w:p w14:paraId="36B71351" w14:textId="6ACD2CF3" w:rsidR="68D7E019" w:rsidRDefault="68D7E019" w:rsidP="629F3BDB">
      <w:pPr>
        <w:pStyle w:val="Paragraphbeforelist"/>
      </w:pPr>
      <w:r>
        <w:t xml:space="preserve">The way the ACMA manages its role in the filing and coordination of Australian satellite systems with the ITU is set out in </w:t>
      </w:r>
      <w:hyperlink r:id="rId72" w:history="1">
        <w:r>
          <w:t>Australian procedures for the coordination and notification of satellite systems</w:t>
        </w:r>
      </w:hyperlink>
      <w:r w:rsidRPr="00B1507B">
        <w:rPr>
          <w:rStyle w:val="Hyperlink"/>
          <w:u w:val="none"/>
        </w:rPr>
        <w:t>.</w:t>
      </w:r>
      <w:r>
        <w:t xml:space="preserve"> The ACMA’s role includes:</w:t>
      </w:r>
    </w:p>
    <w:p w14:paraId="6A5B2FE8" w14:textId="77777777" w:rsidR="68D7E019" w:rsidRDefault="68D7E019" w:rsidP="629F3BDB">
      <w:pPr>
        <w:pStyle w:val="Bulletlevel1"/>
      </w:pPr>
      <w:r>
        <w:t>assisting Australian satellite operators with ongoing satellite coordination negotiations with other administrations</w:t>
      </w:r>
    </w:p>
    <w:p w14:paraId="0A1340A8" w14:textId="77777777" w:rsidR="68D7E019" w:rsidRDefault="68D7E019" w:rsidP="629F3BDB">
      <w:pPr>
        <w:pStyle w:val="Bulletlevel1"/>
      </w:pPr>
      <w:r>
        <w:lastRenderedPageBreak/>
        <w:t>assessing new notices related to progress of existing Australian satellite networks</w:t>
      </w:r>
    </w:p>
    <w:p w14:paraId="3DE9F9AF" w14:textId="77777777" w:rsidR="68D7E019" w:rsidRDefault="68D7E019" w:rsidP="629F3BDB">
      <w:pPr>
        <w:pStyle w:val="Bulletlevel1"/>
      </w:pPr>
      <w:r>
        <w:t>filing of new Australian satellite networks</w:t>
      </w:r>
    </w:p>
    <w:p w14:paraId="4304656C" w14:textId="77777777" w:rsidR="68D7E019" w:rsidRDefault="68D7E019" w:rsidP="629F3BDB">
      <w:pPr>
        <w:pStyle w:val="Bulletlevel1last"/>
      </w:pPr>
      <w:r>
        <w:t>supporting international administration-level satellite coordination meetings with other administrations.</w:t>
      </w:r>
    </w:p>
    <w:p w14:paraId="05CB7568" w14:textId="348DEE5F" w:rsidR="68D7E019" w:rsidRDefault="68D7E019" w:rsidP="629F3BDB">
      <w:pPr>
        <w:pStyle w:val="Paragraph"/>
      </w:pPr>
      <w:r>
        <w:t xml:space="preserve">While satellite filing activity can be an irregular activity (as illustrated in Figure </w:t>
      </w:r>
      <w:r w:rsidR="00FB6465">
        <w:t>3</w:t>
      </w:r>
      <w:r>
        <w:t>), after a lull, there has been an increase in the number of satellite filing requests considered by the ACMA.</w:t>
      </w:r>
    </w:p>
    <w:p w14:paraId="196C269F" w14:textId="6FBDD861" w:rsidR="68D7E019" w:rsidRDefault="68D7E019" w:rsidP="629F3BDB">
      <w:pPr>
        <w:pStyle w:val="Figureheading"/>
        <w:rPr>
          <w:noProof/>
        </w:rPr>
      </w:pPr>
      <w:r>
        <w:t>Request to file satellite network</w:t>
      </w:r>
      <w:r w:rsidR="001E4D8C">
        <w:t>s</w:t>
      </w:r>
      <w:r>
        <w:t xml:space="preserve"> with the ITU</w:t>
      </w:r>
    </w:p>
    <w:p w14:paraId="5007B9FE" w14:textId="683EEFB2" w:rsidR="629F3BDB" w:rsidRDefault="00FB6465" w:rsidP="629F3BDB">
      <w:pPr>
        <w:pStyle w:val="Paragraphbeforelist"/>
      </w:pPr>
      <w:r>
        <w:rPr>
          <w:noProof/>
        </w:rPr>
        <w:drawing>
          <wp:inline distT="0" distB="0" distL="0" distR="0" wp14:anchorId="517E5C20" wp14:editId="4E819FAE">
            <wp:extent cx="4871085" cy="2361565"/>
            <wp:effectExtent l="0" t="0" r="5715" b="635"/>
            <wp:docPr id="3" name="Chart 3" descr="Bar graph shows requests from 2000 to 2021. Diagram explanations are in text but if you need help reading this diagram, please contact our Customer Service Centre on tel: 1300 850 115, or email: info@acma.gov.au">
              <a:extLst xmlns:a="http://schemas.openxmlformats.org/drawingml/2006/main">
                <a:ext uri="{FF2B5EF4-FFF2-40B4-BE49-F238E27FC236}">
                  <a16:creationId xmlns:a16="http://schemas.microsoft.com/office/drawing/2014/main" id="{403B75DD-1A9E-4563-A7CA-B90FAB0ABF3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14:paraId="438B2A9D" w14:textId="77777777" w:rsidR="68D7E019" w:rsidRDefault="68D7E019" w:rsidP="629F3BDB">
      <w:pPr>
        <w:pStyle w:val="Tableorfigurenote"/>
      </w:pPr>
      <w:r>
        <w:t>Source: ACMA analysis</w:t>
      </w:r>
    </w:p>
    <w:p w14:paraId="75BD8680" w14:textId="2548E913" w:rsidR="68D7E019" w:rsidRDefault="68D7E019" w:rsidP="629F3BDB">
      <w:pPr>
        <w:pStyle w:val="Paragraph"/>
      </w:pPr>
      <w:r>
        <w:t>Of note is that in the last 2 years, there have been 6 requests for NGSO networks, compared to the previous 20 years where there have been 3 requests. In part, the increase in NGSO filing is due to interest from start-ups and research organisations as discussed above.</w:t>
      </w:r>
    </w:p>
    <w:p w14:paraId="740D8DAC" w14:textId="4118A7C8" w:rsidR="68D7E019" w:rsidRDefault="68D7E019" w:rsidP="629F3BDB">
      <w:pPr>
        <w:pStyle w:val="Paragraph"/>
      </w:pPr>
      <w:r>
        <w:t>Since 1 July 2020, on behalf of Australian satellite operators, the ACMA has filed 5 new satellite systems with the ITU and submitted modifications to 2.</w:t>
      </w:r>
    </w:p>
    <w:p w14:paraId="354E0E27" w14:textId="51A88A08" w:rsidR="68D7E019" w:rsidRDefault="68D7E019" w:rsidP="629F3BDB">
      <w:pPr>
        <w:pStyle w:val="Heading3"/>
      </w:pPr>
      <w:bookmarkStart w:id="30" w:name="_Toc65851776"/>
      <w:r>
        <w:t>Earth station protection zones</w:t>
      </w:r>
      <w:bookmarkEnd w:id="30"/>
      <w:r>
        <w:t xml:space="preserve">   </w:t>
      </w:r>
    </w:p>
    <w:p w14:paraId="0A5C2CC1" w14:textId="57D15D55" w:rsidR="00DE5349" w:rsidRDefault="00184843" w:rsidP="00D8686C">
      <w:pPr>
        <w:pStyle w:val="Paragraph"/>
        <w:keepLines/>
      </w:pPr>
      <w:r>
        <w:t>The ACMA a</w:t>
      </w:r>
      <w:r w:rsidR="00B601A9">
        <w:t>cknowledg</w:t>
      </w:r>
      <w:r>
        <w:t>es</w:t>
      </w:r>
      <w:r w:rsidR="00B601A9">
        <w:t xml:space="preserve"> </w:t>
      </w:r>
      <w:r w:rsidR="00FC4994">
        <w:t xml:space="preserve">coexistence of </w:t>
      </w:r>
      <w:r w:rsidR="00B601A9">
        <w:t xml:space="preserve">earth stations </w:t>
      </w:r>
      <w:r w:rsidR="00FC4994">
        <w:t xml:space="preserve">with </w:t>
      </w:r>
      <w:r w:rsidR="008830DD">
        <w:t>other spectrum uses</w:t>
      </w:r>
      <w:r w:rsidR="00FC4994">
        <w:t xml:space="preserve"> can</w:t>
      </w:r>
      <w:r w:rsidR="00615106">
        <w:t>,</w:t>
      </w:r>
      <w:r w:rsidR="00FC4994">
        <w:t xml:space="preserve"> at time</w:t>
      </w:r>
      <w:r w:rsidR="008830DD">
        <w:t>s</w:t>
      </w:r>
      <w:r w:rsidR="00615106">
        <w:t>,</w:t>
      </w:r>
      <w:r w:rsidR="00FC4994">
        <w:t xml:space="preserve"> be challenging</w:t>
      </w:r>
      <w:r w:rsidR="00C44C3E">
        <w:t>, as well as</w:t>
      </w:r>
      <w:r w:rsidR="000C3794">
        <w:t xml:space="preserve"> the desirability for satellite earth </w:t>
      </w:r>
      <w:r w:rsidR="008830DD">
        <w:t>station</w:t>
      </w:r>
      <w:r w:rsidR="000C3794">
        <w:t xml:space="preserve"> operators to plan with a degree of </w:t>
      </w:r>
      <w:r w:rsidR="00D52A43">
        <w:t>predictability</w:t>
      </w:r>
      <w:r w:rsidR="000C3794">
        <w:t>,</w:t>
      </w:r>
      <w:r w:rsidR="00B601A9">
        <w:t xml:space="preserve"> </w:t>
      </w:r>
      <w:r w:rsidR="00753041">
        <w:t>in bands shared with other services</w:t>
      </w:r>
      <w:r w:rsidR="007C66F1">
        <w:t>.</w:t>
      </w:r>
      <w:r w:rsidR="00753041">
        <w:t xml:space="preserve"> </w:t>
      </w:r>
      <w:r w:rsidR="007C66F1">
        <w:t xml:space="preserve">Therefore, </w:t>
      </w:r>
      <w:r w:rsidR="68D7E019">
        <w:t xml:space="preserve">the ACMA encourages </w:t>
      </w:r>
      <w:r w:rsidR="00B065FC">
        <w:t xml:space="preserve">for </w:t>
      </w:r>
      <w:r w:rsidR="00060DD6">
        <w:t xml:space="preserve">earth stations </w:t>
      </w:r>
      <w:r w:rsidR="68D7E019">
        <w:t>to operate</w:t>
      </w:r>
      <w:r w:rsidR="000759FD">
        <w:t>,</w:t>
      </w:r>
      <w:r w:rsidR="68D7E019">
        <w:t xml:space="preserve"> </w:t>
      </w:r>
      <w:r w:rsidR="000759FD">
        <w:t>where possible,</w:t>
      </w:r>
      <w:r w:rsidR="68D7E019">
        <w:t xml:space="preserve"> in locations (typically </w:t>
      </w:r>
      <w:r w:rsidR="000C3794">
        <w:t xml:space="preserve">regional and </w:t>
      </w:r>
      <w:r w:rsidR="68D7E019">
        <w:t xml:space="preserve">remote areas) </w:t>
      </w:r>
      <w:r w:rsidR="00C05D2D">
        <w:t>that</w:t>
      </w:r>
      <w:r w:rsidR="00753041">
        <w:t xml:space="preserve"> help manage </w:t>
      </w:r>
      <w:r w:rsidR="00C4596C">
        <w:t>coexistence</w:t>
      </w:r>
      <w:r w:rsidR="00753041">
        <w:t xml:space="preserve"> with </w:t>
      </w:r>
      <w:r w:rsidR="68D7E019">
        <w:t xml:space="preserve">other services. </w:t>
      </w:r>
    </w:p>
    <w:p w14:paraId="0BC0EC06" w14:textId="2805048B" w:rsidR="68D7E019" w:rsidRDefault="68D7E019" w:rsidP="00B1507B">
      <w:pPr>
        <w:pStyle w:val="Paragraph"/>
      </w:pPr>
      <w:r>
        <w:t xml:space="preserve">Where possible, the ACMA </w:t>
      </w:r>
      <w:r w:rsidR="00B065FC">
        <w:t xml:space="preserve">also </w:t>
      </w:r>
      <w:r>
        <w:t xml:space="preserve">encourages </w:t>
      </w:r>
      <w:r w:rsidR="00D52A43">
        <w:t xml:space="preserve">these </w:t>
      </w:r>
      <w:r w:rsidR="00B065FC">
        <w:t>earth stations to locate in</w:t>
      </w:r>
      <w:r>
        <w:t xml:space="preserve"> the same area(s) in order to minimise the impact on spectrum availability for other services. As an incentive to promote such development</w:t>
      </w:r>
      <w:r w:rsidR="0035216B">
        <w:t>s</w:t>
      </w:r>
      <w:r>
        <w:t xml:space="preserve">, the ACMA has </w:t>
      </w:r>
      <w:r w:rsidR="0035216B">
        <w:t>established</w:t>
      </w:r>
      <w:r>
        <w:t xml:space="preserve"> several earth station </w:t>
      </w:r>
      <w:r w:rsidRPr="00B1507B">
        <w:t>protection</w:t>
      </w:r>
      <w:r>
        <w:t xml:space="preserve"> zones.</w:t>
      </w:r>
    </w:p>
    <w:p w14:paraId="26499F8C" w14:textId="638C0FD3" w:rsidR="00D96871" w:rsidRDefault="68D7E019" w:rsidP="00B1507B">
      <w:pPr>
        <w:pStyle w:val="Paragraph"/>
      </w:pPr>
      <w:r>
        <w:t>In 2009, the ACMA introduced an earth station protection zone in Mingenew, Western Australia (</w:t>
      </w:r>
      <w:hyperlink r:id="rId74" w:history="1">
        <w:r w:rsidR="005F30E2" w:rsidRPr="005F30E2">
          <w:rPr>
            <w:rStyle w:val="Hyperlink"/>
          </w:rPr>
          <w:t>spectrum embargo 49</w:t>
        </w:r>
      </w:hyperlink>
      <w:r w:rsidRPr="00A626DB">
        <w:t>).</w:t>
      </w:r>
      <w:r w:rsidR="00D96871">
        <w:t xml:space="preserve">  As of 1 January 2021, </w:t>
      </w:r>
      <w:r w:rsidR="00C979CF">
        <w:t xml:space="preserve">there were </w:t>
      </w:r>
      <w:r w:rsidR="00542625">
        <w:t>1</w:t>
      </w:r>
      <w:r w:rsidR="00DB754B">
        <w:t>6</w:t>
      </w:r>
      <w:r w:rsidR="00542625">
        <w:t xml:space="preserve"> earth station </w:t>
      </w:r>
      <w:r w:rsidR="008C5EC3">
        <w:t xml:space="preserve">sites </w:t>
      </w:r>
      <w:r w:rsidR="00821680">
        <w:t>located within the protection zone</w:t>
      </w:r>
      <w:r w:rsidR="00812FD2">
        <w:t>,</w:t>
      </w:r>
      <w:r w:rsidR="00DB754B">
        <w:t xml:space="preserve"> with </w:t>
      </w:r>
      <w:r w:rsidR="008C5EC3">
        <w:t xml:space="preserve">179 </w:t>
      </w:r>
      <w:r w:rsidR="00DB754B">
        <w:t>assignments</w:t>
      </w:r>
      <w:r w:rsidR="008C5EC3">
        <w:t xml:space="preserve"> (1</w:t>
      </w:r>
      <w:r w:rsidR="00542625">
        <w:t xml:space="preserve">16 earth station receive </w:t>
      </w:r>
      <w:r w:rsidR="00542625" w:rsidRPr="00B1507B">
        <w:t>and</w:t>
      </w:r>
      <w:r w:rsidR="00542625">
        <w:t xml:space="preserve"> </w:t>
      </w:r>
      <w:r w:rsidR="008C5EC3">
        <w:t>63 earth station transmit).</w:t>
      </w:r>
    </w:p>
    <w:p w14:paraId="37B9A086" w14:textId="77777777" w:rsidR="008C5EC3" w:rsidRDefault="008C5EC3" w:rsidP="00D96871">
      <w:pPr>
        <w:pStyle w:val="Paragraphbeforelist"/>
      </w:pPr>
    </w:p>
    <w:p w14:paraId="156FCCE9" w14:textId="681D24C4" w:rsidR="00A926B0" w:rsidRDefault="008C5EC3" w:rsidP="00B1507B">
      <w:pPr>
        <w:pStyle w:val="Paragraph"/>
      </w:pPr>
      <w:r>
        <w:lastRenderedPageBreak/>
        <w:t>I</w:t>
      </w:r>
      <w:r w:rsidR="68D7E019">
        <w:t>n July 2018</w:t>
      </w:r>
      <w:r w:rsidR="000E4C7D">
        <w:t>,</w:t>
      </w:r>
      <w:r w:rsidR="68D7E019">
        <w:t xml:space="preserve"> the ACMA identified 3 potential areas for additional earth station protection zones on the east coast of Australia</w:t>
      </w:r>
      <w:r w:rsidR="005F2FDC">
        <w:t xml:space="preserve"> (</w:t>
      </w:r>
      <w:hyperlink r:id="rId75" w:history="1">
        <w:r w:rsidR="005F2FDC" w:rsidRPr="000F305F">
          <w:rPr>
            <w:rStyle w:val="Hyperlink"/>
          </w:rPr>
          <w:t>Roma, Moree and Qui</w:t>
        </w:r>
        <w:r w:rsidR="00710C48" w:rsidRPr="000F305F">
          <w:rPr>
            <w:rStyle w:val="Hyperlink"/>
          </w:rPr>
          <w:t>ri</w:t>
        </w:r>
        <w:r w:rsidR="005F2FDC" w:rsidRPr="000F305F">
          <w:rPr>
            <w:rStyle w:val="Hyperlink"/>
          </w:rPr>
          <w:t>ndi</w:t>
        </w:r>
      </w:hyperlink>
      <w:r w:rsidR="005F2FDC">
        <w:t>)</w:t>
      </w:r>
      <w:r w:rsidR="00A622EA">
        <w:t xml:space="preserve">, refer </w:t>
      </w:r>
      <w:hyperlink r:id="rId76" w:history="1">
        <w:r w:rsidR="006C4889" w:rsidRPr="00D96871">
          <w:rPr>
            <w:rStyle w:val="Hyperlink"/>
          </w:rPr>
          <w:t>Frequency coordination procedures for the earth station protection zones</w:t>
        </w:r>
      </w:hyperlink>
      <w:r w:rsidR="00D96871">
        <w:t>)</w:t>
      </w:r>
      <w:r w:rsidR="68D7E019">
        <w:t xml:space="preserve">. </w:t>
      </w:r>
      <w:r w:rsidR="00F77956">
        <w:t xml:space="preserve">As of 1 January 2021, there was only </w:t>
      </w:r>
      <w:r w:rsidR="00D70E5A">
        <w:t>one</w:t>
      </w:r>
      <w:r w:rsidR="00A926B0">
        <w:t xml:space="preserve"> e</w:t>
      </w:r>
      <w:r w:rsidR="00F77956">
        <w:t xml:space="preserve">arth station site </w:t>
      </w:r>
      <w:r w:rsidR="00821680">
        <w:t xml:space="preserve">in </w:t>
      </w:r>
      <w:r w:rsidR="00DB754B">
        <w:t xml:space="preserve">east coast </w:t>
      </w:r>
      <w:r w:rsidR="00821680">
        <w:t>protection zones (</w:t>
      </w:r>
      <w:r w:rsidR="00A926B0">
        <w:t>Roma)</w:t>
      </w:r>
      <w:r w:rsidR="00DB754B">
        <w:t>.</w:t>
      </w:r>
    </w:p>
    <w:p w14:paraId="0B262E68" w14:textId="47E7B074" w:rsidR="68D7E019" w:rsidRDefault="68D7E019" w:rsidP="00B1507B">
      <w:pPr>
        <w:pStyle w:val="Paragraphbeforelist"/>
      </w:pPr>
      <w:r>
        <w:t>In the</w:t>
      </w:r>
      <w:r w:rsidR="008C5EC3">
        <w:t xml:space="preserve"> protection zones</w:t>
      </w:r>
      <w:r>
        <w:t xml:space="preserve">, arrangements are in place to </w:t>
      </w:r>
      <w:r w:rsidR="003F41B6">
        <w:t>facilitate long</w:t>
      </w:r>
      <w:r w:rsidR="00B235A7">
        <w:t>-</w:t>
      </w:r>
      <w:r w:rsidR="003F41B6">
        <w:t xml:space="preserve">term use and planning </w:t>
      </w:r>
      <w:r w:rsidR="00FC2738">
        <w:t>for</w:t>
      </w:r>
      <w:r>
        <w:t xml:space="preserve"> future space communications facilities. These arrangements, to an extent, quarantine these areas from terrestrial services to encourage the deployment of space communications facilities at these locations. </w:t>
      </w:r>
    </w:p>
    <w:p w14:paraId="272CDB90" w14:textId="36C24450" w:rsidR="68D7E019" w:rsidRDefault="00B617DC" w:rsidP="629F3BDB">
      <w:pPr>
        <w:pStyle w:val="Paragraph"/>
      </w:pPr>
      <w:r>
        <w:t>The</w:t>
      </w:r>
      <w:r w:rsidR="68D7E019">
        <w:t xml:space="preserve"> ACMA </w:t>
      </w:r>
      <w:r w:rsidR="00246057">
        <w:t>encourage</w:t>
      </w:r>
      <w:r w:rsidR="00C22814">
        <w:t>s</w:t>
      </w:r>
      <w:r w:rsidR="00246057">
        <w:t xml:space="preserve"> industry use of these </w:t>
      </w:r>
      <w:r w:rsidR="00134F1F">
        <w:t>earth station protection zone</w:t>
      </w:r>
      <w:r w:rsidR="00962337">
        <w:t>s</w:t>
      </w:r>
      <w:r w:rsidR="00134F1F">
        <w:t xml:space="preserve"> and </w:t>
      </w:r>
      <w:r w:rsidR="00F67EA6">
        <w:t>feedback on the associated arrangements</w:t>
      </w:r>
      <w:r w:rsidR="68D7E019">
        <w:t xml:space="preserve"> (such as the frequency bands and associated protection requirements).</w:t>
      </w:r>
    </w:p>
    <w:p w14:paraId="613FFF4C" w14:textId="08276543" w:rsidR="68D7E019" w:rsidRDefault="68D7E019" w:rsidP="629F3BDB">
      <w:pPr>
        <w:pStyle w:val="Heading3"/>
      </w:pPr>
      <w:bookmarkStart w:id="31" w:name="_Toc65851777"/>
      <w:r>
        <w:t>Infrared (optical) communication</w:t>
      </w:r>
      <w:bookmarkEnd w:id="31"/>
    </w:p>
    <w:p w14:paraId="02528465" w14:textId="7D91E38E" w:rsidR="68D7E019" w:rsidRDefault="68D7E019">
      <w:r>
        <w:t xml:space="preserve">As noted earlier in this market study, the ASA identified optical ground stations as one of 6 focus segments. </w:t>
      </w:r>
    </w:p>
    <w:p w14:paraId="5588A4FA" w14:textId="55C388CD" w:rsidR="68D7E019" w:rsidRDefault="68D7E019" w:rsidP="629F3BDB">
      <w:pPr>
        <w:pStyle w:val="paragraph11"/>
      </w:pPr>
      <w:r>
        <w:t xml:space="preserve">Under current regulatory arrangements, infrared optical communications systems would be subject to the Radiocommunications Act (See Attachment </w:t>
      </w:r>
      <w:r w:rsidR="00831035">
        <w:t>C</w:t>
      </w:r>
      <w:r>
        <w:t xml:space="preserve"> for legislative background). While supportive of the innovations that infrared communications systems bring, the current spectrum management framework is not designed explicitly to support optical/infrared-based satellite communications systems.</w:t>
      </w:r>
    </w:p>
    <w:p w14:paraId="622F4A91" w14:textId="1F8E924F" w:rsidR="68D7E019" w:rsidRDefault="68D7E019" w:rsidP="629F3BDB">
      <w:pPr>
        <w:pStyle w:val="paragraph11"/>
      </w:pPr>
      <w:r>
        <w:t xml:space="preserve">The ACMA is currently seeking advice from the space sector on infrared communication systems to </w:t>
      </w:r>
      <w:r w:rsidR="00C65E59">
        <w:t>determine the most appropriate</w:t>
      </w:r>
      <w:r>
        <w:t xml:space="preserve"> regime to support such systems</w:t>
      </w:r>
      <w:r w:rsidR="003132CE">
        <w:t>, for example</w:t>
      </w:r>
      <w:r w:rsidR="005F76CE">
        <w:t>,</w:t>
      </w:r>
      <w:r w:rsidR="003132CE">
        <w:t xml:space="preserve"> through ‘light touch’ regulation where possible</w:t>
      </w:r>
      <w:r>
        <w:t>.</w:t>
      </w:r>
    </w:p>
    <w:p w14:paraId="315C1E6E" w14:textId="1B020830" w:rsidR="629F3BDB" w:rsidRDefault="629F3BDB" w:rsidP="629F3BDB">
      <w:pPr>
        <w:pStyle w:val="Paragraphbeforelist"/>
        <w:rPr>
          <w:szCs w:val="20"/>
        </w:rPr>
      </w:pPr>
    </w:p>
    <w:p w14:paraId="37F46D67" w14:textId="5BF7D76B" w:rsidR="00BB7E5C" w:rsidRDefault="00A67824" w:rsidP="00BB7E5C">
      <w:pPr>
        <w:pStyle w:val="Heading1"/>
      </w:pPr>
      <w:bookmarkStart w:id="32" w:name="_Toc62205744"/>
      <w:bookmarkStart w:id="33" w:name="_Toc65851778"/>
      <w:r>
        <w:lastRenderedPageBreak/>
        <w:t>Attachment</w:t>
      </w:r>
      <w:r w:rsidR="2078F434">
        <w:t xml:space="preserve"> A </w:t>
      </w:r>
      <w:r w:rsidR="007C066B">
        <w:t>–</w:t>
      </w:r>
      <w:r w:rsidR="2078F434">
        <w:t xml:space="preserve"> </w:t>
      </w:r>
      <w:r w:rsidR="00BB7E5C">
        <w:t xml:space="preserve">Space sector </w:t>
      </w:r>
      <w:r w:rsidR="03924163">
        <w:t>value chain</w:t>
      </w:r>
      <w:bookmarkEnd w:id="32"/>
      <w:bookmarkEnd w:id="33"/>
    </w:p>
    <w:p w14:paraId="4B9C894F" w14:textId="6F3D879C" w:rsidR="00BB7E5C" w:rsidRDefault="00BB7E5C" w:rsidP="00BB7E5C">
      <w:pPr>
        <w:pStyle w:val="Paragraph"/>
      </w:pPr>
      <w:r>
        <w:t>The ASA defines the space sector as</w:t>
      </w:r>
      <w:r w:rsidRPr="008065CD">
        <w:t xml:space="preserve"> </w:t>
      </w:r>
      <w:r w:rsidR="00D771A6">
        <w:t>‘</w:t>
      </w:r>
      <w:r w:rsidRPr="008065CD">
        <w:t xml:space="preserve">the provision of space related goods, services and applications to broader industries, </w:t>
      </w:r>
      <w:r w:rsidR="00D771A6">
        <w:t>[</w:t>
      </w:r>
      <w:r>
        <w:t>excluding</w:t>
      </w:r>
      <w:r w:rsidR="00D771A6">
        <w:t>]</w:t>
      </w:r>
      <w:r w:rsidRPr="008065CD">
        <w:t xml:space="preserve"> non-space (value adding) activities</w:t>
      </w:r>
      <w:r w:rsidR="00D771A6">
        <w:t>’</w:t>
      </w:r>
      <w:r>
        <w:t>.</w:t>
      </w:r>
      <w:r>
        <w:rPr>
          <w:rStyle w:val="FootnoteReference"/>
        </w:rPr>
        <w:footnoteReference w:id="41"/>
      </w:r>
      <w:r>
        <w:t xml:space="preserve"> </w:t>
      </w:r>
    </w:p>
    <w:p w14:paraId="387E1D1D" w14:textId="1D676D9E" w:rsidR="00BB7E5C" w:rsidRDefault="390CCA5D" w:rsidP="006F1C04">
      <w:pPr>
        <w:pStyle w:val="Paragraphbeforelist"/>
      </w:pPr>
      <w:r>
        <w:t>The key components need to operate a service include:</w:t>
      </w:r>
    </w:p>
    <w:p w14:paraId="5F6CFF6A" w14:textId="1B09166A" w:rsidR="00BB7E5C" w:rsidRDefault="390CCA5D" w:rsidP="006F1C04">
      <w:pPr>
        <w:pStyle w:val="Bulletlevel1"/>
      </w:pPr>
      <w:r>
        <w:t>having satellites and satellite dishes</w:t>
      </w:r>
    </w:p>
    <w:p w14:paraId="7DE7A711" w14:textId="46AD99FA" w:rsidR="00BB7E5C" w:rsidRDefault="390CCA5D" w:rsidP="006F1C04">
      <w:pPr>
        <w:pStyle w:val="Bulletlevel1"/>
      </w:pPr>
      <w:r>
        <w:t>having facilities to launch and build rockets which carry satellites to space</w:t>
      </w:r>
    </w:p>
    <w:p w14:paraId="381C1710" w14:textId="0CF8F1E0" w:rsidR="00BB7E5C" w:rsidRDefault="390CCA5D" w:rsidP="006F1C04">
      <w:pPr>
        <w:pStyle w:val="Bulletlevel1last"/>
      </w:pPr>
      <w:r>
        <w:t xml:space="preserve">being able to communicate with the satellites in order to reduce the likelihood of collisions, to de-orbit satellites and to provide services on earth through either ground stations or antennae. </w:t>
      </w:r>
    </w:p>
    <w:p w14:paraId="3AECF9D0" w14:textId="09B5B92B" w:rsidR="00BB7E5C" w:rsidRPr="00085051" w:rsidRDefault="390CCA5D" w:rsidP="00085051">
      <w:pPr>
        <w:pStyle w:val="Paragraph"/>
      </w:pPr>
      <w:r w:rsidRPr="00085051">
        <w:t>In addition to these components there are enablers, which usually involve overheads and support (for the smooth running of businesses), and research and development for the continual improvement of technology (for example, developments in satellites, reusable rocketry components).</w:t>
      </w:r>
    </w:p>
    <w:p w14:paraId="02FA55AD" w14:textId="3038CA30" w:rsidR="00BB7E5C" w:rsidRDefault="007C066B" w:rsidP="00BB7E5C">
      <w:pPr>
        <w:pStyle w:val="Paragraph"/>
      </w:pPr>
      <w:r>
        <w:t xml:space="preserve">Figure </w:t>
      </w:r>
      <w:r w:rsidR="008651E4">
        <w:t>A1</w:t>
      </w:r>
      <w:r w:rsidR="1A9870CF">
        <w:t xml:space="preserve"> identifies the segments in the </w:t>
      </w:r>
      <w:r w:rsidR="00BB7E5C">
        <w:t>space value chain.</w:t>
      </w:r>
    </w:p>
    <w:p w14:paraId="58B5885E" w14:textId="303C0A2F" w:rsidR="00BB7E5C" w:rsidRPr="00792DD4" w:rsidRDefault="008651E4" w:rsidP="00774034">
      <w:pPr>
        <w:pStyle w:val="Figureheading"/>
        <w:numPr>
          <w:ilvl w:val="0"/>
          <w:numId w:val="0"/>
        </w:numPr>
      </w:pPr>
      <w:r>
        <w:t>Figure A1:</w:t>
      </w:r>
      <w:r>
        <w:tab/>
      </w:r>
      <w:r w:rsidR="00BB7E5C" w:rsidRPr="002362B2">
        <w:t>Value chain of the space sector</w:t>
      </w:r>
    </w:p>
    <w:p w14:paraId="473D52AB" w14:textId="77777777" w:rsidR="00BB7E5C" w:rsidRDefault="00BB7E5C" w:rsidP="00BB7E5C">
      <w:pPr>
        <w:pStyle w:val="TableBody"/>
      </w:pPr>
      <w:r>
        <w:rPr>
          <w:noProof/>
        </w:rPr>
        <w:drawing>
          <wp:inline distT="0" distB="0" distL="0" distR="0" wp14:anchorId="6D75CFB1" wp14:editId="5634ABE3">
            <wp:extent cx="4871086" cy="3260090"/>
            <wp:effectExtent l="0" t="0" r="5715" b="0"/>
            <wp:docPr id="11" name="Picture 11" descr="Graphic overview of the activities included in the space sector. Detailed information is provided in the following table be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a:blip r:embed="rId77">
                      <a:extLst>
                        <a:ext uri="{28A0092B-C50C-407E-A947-70E740481C1C}">
                          <a14:useLocalDpi xmlns:a14="http://schemas.microsoft.com/office/drawing/2010/main" val="0"/>
                        </a:ext>
                      </a:extLst>
                    </a:blip>
                    <a:stretch>
                      <a:fillRect/>
                    </a:stretch>
                  </pic:blipFill>
                  <pic:spPr>
                    <a:xfrm>
                      <a:off x="0" y="0"/>
                      <a:ext cx="4871086" cy="3260090"/>
                    </a:xfrm>
                    <a:prstGeom prst="rect">
                      <a:avLst/>
                    </a:prstGeom>
                  </pic:spPr>
                </pic:pic>
              </a:graphicData>
            </a:graphic>
          </wp:inline>
        </w:drawing>
      </w:r>
    </w:p>
    <w:p w14:paraId="169956C5" w14:textId="36FAD949" w:rsidR="00BB7E5C" w:rsidRDefault="00BB7E5C" w:rsidP="00BB7E5C">
      <w:pPr>
        <w:pStyle w:val="Tableorfigurenote"/>
      </w:pPr>
      <w:r>
        <w:t>Source: A</w:t>
      </w:r>
      <w:r w:rsidR="00137973">
        <w:t xml:space="preserve">ustralian </w:t>
      </w:r>
      <w:r>
        <w:t>S</w:t>
      </w:r>
      <w:r w:rsidR="00493C23">
        <w:t xml:space="preserve">pace </w:t>
      </w:r>
      <w:r>
        <w:t>A</w:t>
      </w:r>
      <w:r w:rsidR="00493C23">
        <w:t>gency</w:t>
      </w:r>
      <w:r>
        <w:t xml:space="preserve">, </w:t>
      </w:r>
      <w:hyperlink r:id="rId78" w:history="1">
        <w:r w:rsidRPr="001262B6">
          <w:rPr>
            <w:rStyle w:val="Hyperlink"/>
          </w:rPr>
          <w:t>Activities included in the space sector</w:t>
        </w:r>
      </w:hyperlink>
      <w:r>
        <w:t>, Accessed 19 August 2020,</w:t>
      </w:r>
    </w:p>
    <w:p w14:paraId="5CEB5994" w14:textId="52E873A4" w:rsidR="00BB7E5C" w:rsidRDefault="00BB7E5C" w:rsidP="00BB7E5C">
      <w:pPr>
        <w:pStyle w:val="Heading2"/>
      </w:pPr>
      <w:bookmarkStart w:id="34" w:name="_Toc62205745"/>
      <w:bookmarkStart w:id="35" w:name="_Toc65851779"/>
      <w:r>
        <w:lastRenderedPageBreak/>
        <w:t>Manufacturing and core inputs</w:t>
      </w:r>
      <w:bookmarkEnd w:id="34"/>
      <w:bookmarkEnd w:id="35"/>
    </w:p>
    <w:p w14:paraId="4BD8624C" w14:textId="77777777" w:rsidR="00BB7E5C" w:rsidRDefault="00BB7E5C" w:rsidP="00BB7E5C">
      <w:pPr>
        <w:pStyle w:val="Paragraphbeforelist"/>
      </w:pPr>
      <w:r>
        <w:t>Manufacturing and core inputs comprise of the building of facilities and services relating to:</w:t>
      </w:r>
    </w:p>
    <w:p w14:paraId="473FEE27" w14:textId="1266CB88" w:rsidR="00BB7E5C" w:rsidRDefault="00BB7E5C" w:rsidP="00BB7E5C">
      <w:pPr>
        <w:pStyle w:val="Bulletlevel1"/>
      </w:pPr>
      <w:r>
        <w:t>ground-based facilities, such as</w:t>
      </w:r>
    </w:p>
    <w:p w14:paraId="7AA02143" w14:textId="7CB44C57" w:rsidR="00BB7E5C" w:rsidRDefault="00BB7E5C" w:rsidP="0051329A">
      <w:pPr>
        <w:pStyle w:val="Bulletlevel2"/>
      </w:pPr>
      <w:r>
        <w:t>building and integration of facilities and equipment on Earth for satellite and space craft operations (</w:t>
      </w:r>
      <w:r w:rsidR="00210F95">
        <w:t>for example,</w:t>
      </w:r>
      <w:r>
        <w:t xml:space="preserve"> control centres, telemetry and antennae)</w:t>
      </w:r>
    </w:p>
    <w:p w14:paraId="6C28F209" w14:textId="77777777" w:rsidR="00BB7E5C" w:rsidRDefault="00BB7E5C" w:rsidP="0051329A">
      <w:pPr>
        <w:pStyle w:val="Bulletlevel2"/>
      </w:pPr>
      <w:r>
        <w:t>building and integration of launch vehicles and subsystems, scientific instruments, ground segment systems and equipment</w:t>
      </w:r>
    </w:p>
    <w:p w14:paraId="79DA3648" w14:textId="77777777" w:rsidR="00BB7E5C" w:rsidRDefault="00BB7E5C" w:rsidP="0051329A">
      <w:pPr>
        <w:pStyle w:val="Bulletlevel2"/>
      </w:pPr>
      <w:r>
        <w:t>services associated with ground segments (for example, day-to-day professional and technical operations of ground segment systems)</w:t>
      </w:r>
    </w:p>
    <w:p w14:paraId="43616177" w14:textId="2BE18F68" w:rsidR="00BB7E5C" w:rsidRDefault="00BB7E5C" w:rsidP="00BB7E5C">
      <w:pPr>
        <w:pStyle w:val="Bulletlevel1"/>
      </w:pPr>
      <w:r>
        <w:t>space segment manufacturing and services</w:t>
      </w:r>
    </w:p>
    <w:p w14:paraId="09E4EF12" w14:textId="77777777" w:rsidR="00BB7E5C" w:rsidRDefault="00BB7E5C" w:rsidP="0051329A">
      <w:pPr>
        <w:pStyle w:val="Bulletlevel2"/>
      </w:pPr>
      <w:r>
        <w:t>b</w:t>
      </w:r>
      <w:r w:rsidRPr="00630EA1">
        <w:t>uilding</w:t>
      </w:r>
      <w:r>
        <w:t xml:space="preserve"> and integration</w:t>
      </w:r>
      <w:r w:rsidRPr="00630EA1">
        <w:t xml:space="preserve"> of spacecraft, and any components thereof including propulsion systems, rockets, space craft and satellites</w:t>
      </w:r>
    </w:p>
    <w:p w14:paraId="2EB43B0A" w14:textId="07474E8B" w:rsidR="00BB7E5C" w:rsidRDefault="00BB7E5C" w:rsidP="0051329A">
      <w:pPr>
        <w:pStyle w:val="Bulletlevel2"/>
      </w:pPr>
      <w:r>
        <w:t>building and integration of payloads and their components, including but not limited to satellites, subsystems, and scientific instruments</w:t>
      </w:r>
    </w:p>
    <w:p w14:paraId="5349BCA2" w14:textId="22F97CF3" w:rsidR="00BB7E5C" w:rsidRDefault="00BB7E5C" w:rsidP="0051329A">
      <w:pPr>
        <w:pStyle w:val="Bulletlevel2"/>
      </w:pPr>
      <w:r>
        <w:t>manufacturing of products for use in-space (for example, space and flight suits)</w:t>
      </w:r>
    </w:p>
    <w:p w14:paraId="4ED67010" w14:textId="77777777" w:rsidR="00BB7E5C" w:rsidRDefault="00BB7E5C" w:rsidP="0051329A">
      <w:pPr>
        <w:pStyle w:val="Bulletlevel2"/>
      </w:pPr>
      <w:r>
        <w:t>services associated with space segment manufacturing (for example, day-to-day professional and technical operations of space segment systems).</w:t>
      </w:r>
    </w:p>
    <w:p w14:paraId="1395EE28" w14:textId="77777777" w:rsidR="00BB7E5C" w:rsidRDefault="00BB7E5C" w:rsidP="00BB7E5C">
      <w:pPr>
        <w:pStyle w:val="Heading2"/>
      </w:pPr>
      <w:bookmarkStart w:id="36" w:name="_Toc62205746"/>
      <w:bookmarkStart w:id="37" w:name="_Toc65851780"/>
      <w:r>
        <w:t>Space operations</w:t>
      </w:r>
      <w:bookmarkEnd w:id="36"/>
      <w:bookmarkEnd w:id="37"/>
    </w:p>
    <w:p w14:paraId="79DE2DEC" w14:textId="462C609A" w:rsidR="00BB7E5C" w:rsidRPr="00622052" w:rsidRDefault="00BB7E5C" w:rsidP="00BB7E5C">
      <w:pPr>
        <w:pStyle w:val="Paragraphbeforelist"/>
      </w:pPr>
      <w:r>
        <w:t>Involves activities associated with ensuring that satellites are able to be safely put into orbit and function. The ASA provides examples of space operations:</w:t>
      </w:r>
      <w:r>
        <w:rPr>
          <w:rStyle w:val="FootnoteReference"/>
        </w:rPr>
        <w:footnoteReference w:id="42"/>
      </w:r>
    </w:p>
    <w:p w14:paraId="5B94BC2E" w14:textId="42A524DA" w:rsidR="00BB7E5C" w:rsidRDefault="00EF01B4" w:rsidP="00BB7E5C">
      <w:pPr>
        <w:pStyle w:val="ListBullet"/>
      </w:pPr>
      <w:r>
        <w:t>l</w:t>
      </w:r>
      <w:r w:rsidR="00BB7E5C">
        <w:t>aunch activities and launch services</w:t>
      </w:r>
    </w:p>
    <w:p w14:paraId="74041DE1" w14:textId="5482033F" w:rsidR="00BB7E5C" w:rsidRDefault="00EF01B4" w:rsidP="00BB7E5C">
      <w:pPr>
        <w:pStyle w:val="ListBullet"/>
      </w:pPr>
      <w:r>
        <w:t>s</w:t>
      </w:r>
      <w:r w:rsidR="00BB7E5C">
        <w:t>pace object tracking and mission planning, including day-to-day management of satellites and spacecraft once they are in space (for example, telemetry, tracking and control, satellite passes), and space situational awareness (for example, monitoring, recovery operations and collision avoidance)</w:t>
      </w:r>
    </w:p>
    <w:p w14:paraId="5CFB3387" w14:textId="7E71324E" w:rsidR="00BB7E5C" w:rsidRDefault="00EF01B4" w:rsidP="00BB7E5C">
      <w:pPr>
        <w:pStyle w:val="ListBullet"/>
      </w:pPr>
      <w:r>
        <w:t>l</w:t>
      </w:r>
      <w:r w:rsidR="00BB7E5C">
        <w:t>ease or sale of satellite capacity</w:t>
      </w:r>
    </w:p>
    <w:p w14:paraId="2BF4A660" w14:textId="45906008" w:rsidR="00BB7E5C" w:rsidRDefault="00EF01B4" w:rsidP="00BB7E5C">
      <w:pPr>
        <w:pStyle w:val="ListBullet"/>
      </w:pPr>
      <w:r>
        <w:t>u</w:t>
      </w:r>
      <w:r w:rsidR="00BB7E5C">
        <w:t>plinks and downlinks for signal processing to reception facility</w:t>
      </w:r>
    </w:p>
    <w:p w14:paraId="639F6CAA" w14:textId="76178738" w:rsidR="00BB7E5C" w:rsidRDefault="00EF01B4" w:rsidP="00BB7E5C">
      <w:pPr>
        <w:pStyle w:val="ListBullet"/>
      </w:pPr>
      <w:r>
        <w:t>o</w:t>
      </w:r>
      <w:r w:rsidR="00BB7E5C">
        <w:t>perations and remote operations in space</w:t>
      </w:r>
      <w:r w:rsidR="00292FAE">
        <w:t xml:space="preserve">, </w:t>
      </w:r>
      <w:r w:rsidR="00BB7E5C">
        <w:t>for example, robotics in orbit and on the surface of the Moon or other celestial bodies, experiments conducted in space relating to biology, effects of microgravity on the human body, microgravity manufacturing in space.</w:t>
      </w:r>
      <w:r w:rsidR="00BB7E5C" w:rsidRPr="00296DC9">
        <w:rPr>
          <w:noProof/>
        </w:rPr>
        <w:t xml:space="preserve"> </w:t>
      </w:r>
    </w:p>
    <w:p w14:paraId="7618B402" w14:textId="77777777" w:rsidR="00BB7E5C" w:rsidRDefault="00BB7E5C" w:rsidP="0051329A">
      <w:pPr>
        <w:pStyle w:val="Heading2"/>
        <w:keepLines/>
      </w:pPr>
      <w:bookmarkStart w:id="38" w:name="_Toc62205747"/>
      <w:bookmarkStart w:id="39" w:name="_Toc65851781"/>
      <w:r>
        <w:t>Space applications</w:t>
      </w:r>
      <w:bookmarkEnd w:id="38"/>
      <w:bookmarkEnd w:id="39"/>
    </w:p>
    <w:p w14:paraId="2CBEB367" w14:textId="25B6947F" w:rsidR="00BB7E5C" w:rsidRPr="00622052" w:rsidRDefault="00BB7E5C" w:rsidP="008651E4">
      <w:pPr>
        <w:pStyle w:val="Paragraphbeforelist"/>
        <w:keepLines/>
      </w:pPr>
      <w:r>
        <w:t xml:space="preserve">Satellites are largely an input as part of delivering a service or ensuring that a </w:t>
      </w:r>
      <w:r w:rsidR="002F6B7B">
        <w:t>product</w:t>
      </w:r>
      <w:r w:rsidR="0051329A">
        <w:t xml:space="preserve"> </w:t>
      </w:r>
      <w:r>
        <w:t>operates the way it is intended to operate (</w:t>
      </w:r>
      <w:r w:rsidR="002F6B7B">
        <w:t>for example,</w:t>
      </w:r>
      <w:r>
        <w:t xml:space="preserve"> a product which uses satellites to tell the user its position). In turn, commercial and public benefits are derived from these goods and services. The ASA provides examples of space applications:</w:t>
      </w:r>
      <w:r>
        <w:rPr>
          <w:rStyle w:val="FootnoteReference"/>
        </w:rPr>
        <w:footnoteReference w:id="43"/>
      </w:r>
    </w:p>
    <w:p w14:paraId="2AF547DE" w14:textId="77777777" w:rsidR="00BB7E5C" w:rsidRDefault="00BB7E5C" w:rsidP="008651E4">
      <w:pPr>
        <w:pStyle w:val="Bulletlevel1"/>
        <w:keepLines/>
      </w:pPr>
      <w:r>
        <w:t>satellite communications and broadband products and services (</w:t>
      </w:r>
      <w:r w:rsidRPr="00775371">
        <w:t>for example, mobile satellite communications, satellite internet systems, satellite data, satellite imaging and all other non-television satellite broadcasting, Fixed-Satellite Service (FSS) transponder leasing, FSS managed services, direct to node communications</w:t>
      </w:r>
      <w:r>
        <w:t>)</w:t>
      </w:r>
    </w:p>
    <w:p w14:paraId="1ED2D423" w14:textId="77777777" w:rsidR="00BB7E5C" w:rsidRDefault="00BB7E5C" w:rsidP="008651E4">
      <w:pPr>
        <w:pStyle w:val="Bulletlevel1"/>
        <w:keepLines/>
      </w:pPr>
      <w:r>
        <w:lastRenderedPageBreak/>
        <w:t>direct to home television products and services</w:t>
      </w:r>
    </w:p>
    <w:p w14:paraId="1920F6F1" w14:textId="106E1CBA" w:rsidR="00BB7E5C" w:rsidRDefault="00BB7E5C" w:rsidP="008651E4">
      <w:pPr>
        <w:pStyle w:val="Bulletlevel1"/>
        <w:keepLines/>
      </w:pPr>
      <w:r>
        <w:t>earth observation and associated communication and data products and services</w:t>
      </w:r>
      <w:r w:rsidR="00CE0F95">
        <w:t xml:space="preserve">, </w:t>
      </w:r>
      <w:r>
        <w:t>for example, weather, surveillance, agriculture, transportation and mining</w:t>
      </w:r>
    </w:p>
    <w:p w14:paraId="20AE462E" w14:textId="77777777" w:rsidR="00BB7E5C" w:rsidRDefault="00BB7E5C" w:rsidP="008651E4">
      <w:pPr>
        <w:pStyle w:val="Bulletlevel1"/>
        <w:keepLines/>
      </w:pPr>
      <w:r>
        <w:t>global positioning, navigation, and timing products and services</w:t>
      </w:r>
    </w:p>
    <w:p w14:paraId="58C72940" w14:textId="13B8414B" w:rsidR="00BB7E5C" w:rsidRDefault="00BB7E5C" w:rsidP="008651E4">
      <w:pPr>
        <w:pStyle w:val="Bulletlevel1"/>
        <w:keepLines/>
      </w:pPr>
      <w:r>
        <w:t>manufacturing and/or development of equipment/software to enable services on the ground</w:t>
      </w:r>
      <w:r w:rsidR="00CE0F95">
        <w:t xml:space="preserve">, </w:t>
      </w:r>
      <w:r>
        <w:t>for example</w:t>
      </w:r>
      <w:r w:rsidR="00CE0F95">
        <w:t>,</w:t>
      </w:r>
      <w:r>
        <w:t xml:space="preserve"> antennae and satellite dishes</w:t>
      </w:r>
    </w:p>
    <w:p w14:paraId="6B867495" w14:textId="7565346A" w:rsidR="00BB7E5C" w:rsidRDefault="00BB7E5C" w:rsidP="008651E4">
      <w:pPr>
        <w:pStyle w:val="Bulletlevel1"/>
        <w:keepLines/>
      </w:pPr>
      <w:r>
        <w:t>IoT services that use satellites</w:t>
      </w:r>
    </w:p>
    <w:p w14:paraId="20336D65" w14:textId="1EAD9584" w:rsidR="00BB7E5C" w:rsidRDefault="00BB7E5C" w:rsidP="0051329A">
      <w:pPr>
        <w:pStyle w:val="Bulletlevel1"/>
        <w:keepNext/>
        <w:keepLines/>
      </w:pPr>
      <w:r>
        <w:t>atlases and maps that are informed by spaced-based data.</w:t>
      </w:r>
    </w:p>
    <w:p w14:paraId="6FF87981" w14:textId="56AC3474" w:rsidR="00BB7E5C" w:rsidRDefault="7AC693DE" w:rsidP="00BB7E5C">
      <w:pPr>
        <w:pStyle w:val="Heading1"/>
      </w:pPr>
      <w:bookmarkStart w:id="40" w:name="_Toc62205748"/>
      <w:bookmarkStart w:id="41" w:name="_Toc65851782"/>
      <w:r>
        <w:lastRenderedPageBreak/>
        <w:t>A</w:t>
      </w:r>
      <w:r w:rsidR="00DD2D5E">
        <w:t>ttachment</w:t>
      </w:r>
      <w:r>
        <w:t xml:space="preserve"> </w:t>
      </w:r>
      <w:r w:rsidR="00DD2D5E">
        <w:t>B</w:t>
      </w:r>
      <w:r>
        <w:t xml:space="preserve"> </w:t>
      </w:r>
      <w:r w:rsidR="008651E4">
        <w:t>–</w:t>
      </w:r>
      <w:r>
        <w:t xml:space="preserve"> </w:t>
      </w:r>
      <w:r w:rsidR="00BB7E5C">
        <w:t>Space sector businesses</w:t>
      </w:r>
      <w:bookmarkEnd w:id="40"/>
      <w:bookmarkEnd w:id="41"/>
    </w:p>
    <w:p w14:paraId="030BCEB8" w14:textId="5218033A" w:rsidR="007169BC" w:rsidRPr="007169BC" w:rsidRDefault="00566D67" w:rsidP="007169BC">
      <w:pPr>
        <w:pStyle w:val="Paragraph"/>
      </w:pPr>
      <w:r>
        <w:t xml:space="preserve">Attachment B provides a </w:t>
      </w:r>
      <w:r w:rsidR="00A40FD0">
        <w:t>non</w:t>
      </w:r>
      <w:r w:rsidR="00277534">
        <w:t xml:space="preserve">-exhaustive </w:t>
      </w:r>
      <w:r>
        <w:t xml:space="preserve">snapshot of </w:t>
      </w:r>
      <w:r w:rsidR="00277534">
        <w:t>key</w:t>
      </w:r>
      <w:r>
        <w:t xml:space="preserve"> activitie</w:t>
      </w:r>
      <w:r w:rsidR="00B76A42">
        <w:t xml:space="preserve">s being undertaken by businesses operating in the space sector as at </w:t>
      </w:r>
      <w:r w:rsidR="00E5484A">
        <w:t>March</w:t>
      </w:r>
      <w:r w:rsidR="00B76A42">
        <w:t xml:space="preserve"> 2021</w:t>
      </w:r>
      <w:r w:rsidR="00DD7865">
        <w:t>.</w:t>
      </w:r>
      <w:r w:rsidR="00910D87">
        <w:t xml:space="preserve"> It was developed</w:t>
      </w:r>
      <w:r w:rsidR="00A40FD0">
        <w:t xml:space="preserve"> based upon information in the public domain and subscription services.</w:t>
      </w:r>
    </w:p>
    <w:p w14:paraId="6400A98C" w14:textId="77777777" w:rsidR="00BB7E5C" w:rsidRDefault="00BB7E5C" w:rsidP="00BB7E5C">
      <w:pPr>
        <w:pStyle w:val="Heading2"/>
      </w:pPr>
      <w:bookmarkStart w:id="42" w:name="_Toc62205749"/>
      <w:bookmarkStart w:id="43" w:name="_Toc65851783"/>
      <w:r>
        <w:t>Established space businesses</w:t>
      </w:r>
      <w:bookmarkEnd w:id="42"/>
      <w:bookmarkEnd w:id="43"/>
    </w:p>
    <w:p w14:paraId="3D4817D5" w14:textId="43AA5CEC" w:rsidR="00BB7E5C" w:rsidRDefault="00BB7E5C" w:rsidP="008651E4">
      <w:pPr>
        <w:pStyle w:val="Paragraph"/>
      </w:pPr>
      <w:r>
        <w:t xml:space="preserve">Table </w:t>
      </w:r>
      <w:r w:rsidR="008651E4">
        <w:t>B</w:t>
      </w:r>
      <w:r w:rsidR="00E47122">
        <w:t xml:space="preserve">1 </w:t>
      </w:r>
      <w:r>
        <w:t xml:space="preserve">outlines </w:t>
      </w:r>
      <w:r w:rsidR="00677834">
        <w:t xml:space="preserve">operators </w:t>
      </w:r>
      <w:r>
        <w:t xml:space="preserve">who have been operating internationally for around </w:t>
      </w:r>
      <w:r w:rsidR="00C96669">
        <w:t xml:space="preserve">more than </w:t>
      </w:r>
      <w:r w:rsidR="00090288">
        <w:t>15 </w:t>
      </w:r>
      <w:r>
        <w:t>years or have an established presence in Australia</w:t>
      </w:r>
      <w:r w:rsidR="00907F6E">
        <w:t xml:space="preserve"> or both</w:t>
      </w:r>
      <w:r>
        <w:t xml:space="preserve">.    </w:t>
      </w:r>
    </w:p>
    <w:p w14:paraId="11C71B93" w14:textId="768CBBC8" w:rsidR="00BB7E5C" w:rsidRPr="0048568E" w:rsidRDefault="00CB441E" w:rsidP="003130CD">
      <w:pPr>
        <w:pStyle w:val="ACMATableHeader"/>
        <w:numPr>
          <w:ilvl w:val="0"/>
          <w:numId w:val="0"/>
        </w:numPr>
        <w:ind w:left="964" w:hanging="964"/>
      </w:pPr>
      <w:r>
        <w:t>Table B1:</w:t>
      </w:r>
      <w:r>
        <w:tab/>
      </w:r>
      <w:r w:rsidR="00BB7E5C">
        <w:t>Established b</w:t>
      </w:r>
      <w:r w:rsidR="00BB7E5C" w:rsidRPr="0048568E">
        <w:t xml:space="preserve">usinesses in the </w:t>
      </w:r>
      <w:r w:rsidR="00BB7E5C">
        <w:t>space sector</w:t>
      </w:r>
    </w:p>
    <w:tbl>
      <w:tblPr>
        <w:tblStyle w:val="ACMAtablestyle"/>
        <w:tblW w:w="0" w:type="auto"/>
        <w:tblLayout w:type="fixed"/>
        <w:tblLook w:val="04A0" w:firstRow="1" w:lastRow="0" w:firstColumn="1" w:lastColumn="0" w:noHBand="0" w:noVBand="1"/>
      </w:tblPr>
      <w:tblGrid>
        <w:gridCol w:w="1696"/>
        <w:gridCol w:w="1418"/>
        <w:gridCol w:w="4545"/>
      </w:tblGrid>
      <w:tr w:rsidR="004F2AFA" w14:paraId="09E7FB8B" w14:textId="77777777" w:rsidTr="00B1507B">
        <w:trPr>
          <w:cnfStyle w:val="100000000000" w:firstRow="1" w:lastRow="0" w:firstColumn="0" w:lastColumn="0" w:oddVBand="0" w:evenVBand="0" w:oddHBand="0" w:evenHBand="0" w:firstRowFirstColumn="0" w:firstRowLastColumn="0" w:lastRowFirstColumn="0" w:lastRowLastColumn="0"/>
        </w:trPr>
        <w:tc>
          <w:tcPr>
            <w:tcW w:w="1696" w:type="dxa"/>
          </w:tcPr>
          <w:p w14:paraId="1E799E09" w14:textId="77777777" w:rsidR="00BB7E5C" w:rsidRDefault="00BB7E5C" w:rsidP="00BB7E5C">
            <w:pPr>
              <w:pStyle w:val="Tableheaderrow"/>
            </w:pPr>
            <w:r>
              <w:t>Company</w:t>
            </w:r>
          </w:p>
        </w:tc>
        <w:tc>
          <w:tcPr>
            <w:tcW w:w="1418" w:type="dxa"/>
          </w:tcPr>
          <w:p w14:paraId="3AB08B9F" w14:textId="77777777" w:rsidR="00BB7E5C" w:rsidRDefault="00BB7E5C" w:rsidP="00BB7E5C">
            <w:pPr>
              <w:pStyle w:val="Tableheaderrow"/>
            </w:pPr>
            <w:r>
              <w:t>Segment(s)</w:t>
            </w:r>
          </w:p>
        </w:tc>
        <w:tc>
          <w:tcPr>
            <w:tcW w:w="4545" w:type="dxa"/>
          </w:tcPr>
          <w:p w14:paraId="21E93020" w14:textId="77777777" w:rsidR="00BB7E5C" w:rsidRDefault="00BB7E5C" w:rsidP="00BB7E5C">
            <w:pPr>
              <w:pStyle w:val="Tableheaderrow"/>
            </w:pPr>
            <w:r>
              <w:t>Businesses/locations</w:t>
            </w:r>
          </w:p>
        </w:tc>
      </w:tr>
      <w:tr w:rsidR="004F2AFA" w14:paraId="1FE9F1DA" w14:textId="77777777" w:rsidTr="00B1507B">
        <w:trPr>
          <w:cnfStyle w:val="000000100000" w:firstRow="0" w:lastRow="0" w:firstColumn="0" w:lastColumn="0" w:oddVBand="0" w:evenVBand="0" w:oddHBand="1" w:evenHBand="0" w:firstRowFirstColumn="0" w:firstRowLastColumn="0" w:lastRowFirstColumn="0" w:lastRowLastColumn="0"/>
        </w:trPr>
        <w:tc>
          <w:tcPr>
            <w:tcW w:w="1696" w:type="dxa"/>
          </w:tcPr>
          <w:p w14:paraId="40842423" w14:textId="43E1CCD9" w:rsidR="00BB7E5C" w:rsidRDefault="00BB7E5C" w:rsidP="00BB7E5C">
            <w:pPr>
              <w:pStyle w:val="TableBody"/>
            </w:pPr>
            <w:r>
              <w:t xml:space="preserve">Al Yahsat Company </w:t>
            </w:r>
            <w:r w:rsidRPr="002D79C8">
              <w:t>(</w:t>
            </w:r>
            <w:r w:rsidR="00773D8F" w:rsidRPr="002D79C8">
              <w:t>r</w:t>
            </w:r>
            <w:r w:rsidRPr="002D79C8">
              <w:t>evenue not publicly reported)</w:t>
            </w:r>
          </w:p>
        </w:tc>
        <w:tc>
          <w:tcPr>
            <w:tcW w:w="1418" w:type="dxa"/>
          </w:tcPr>
          <w:p w14:paraId="286B38C5" w14:textId="77777777" w:rsidR="00BB7E5C" w:rsidRDefault="00BB7E5C" w:rsidP="00BB7E5C">
            <w:pPr>
              <w:pStyle w:val="TableBody"/>
            </w:pPr>
            <w:r>
              <w:t>Space applications</w:t>
            </w:r>
          </w:p>
        </w:tc>
        <w:tc>
          <w:tcPr>
            <w:tcW w:w="4545" w:type="dxa"/>
          </w:tcPr>
          <w:p w14:paraId="346DA02E" w14:textId="7EF36599" w:rsidR="00BB7E5C" w:rsidRDefault="00BB7E5C" w:rsidP="00BB7E5C">
            <w:pPr>
              <w:pStyle w:val="ListBullet"/>
            </w:pPr>
            <w:r>
              <w:t xml:space="preserve">United Arab Emirates government parent owner (established in 2007), which owns </w:t>
            </w:r>
            <w:r w:rsidR="00A2668C">
              <w:t>5</w:t>
            </w:r>
            <w:r>
              <w:t xml:space="preserve"> satellites offering f</w:t>
            </w:r>
            <w:r w:rsidRPr="002559E8">
              <w:t xml:space="preserve">ixed and mobile satellite services </w:t>
            </w:r>
            <w:r>
              <w:t>(</w:t>
            </w:r>
            <w:r w:rsidRPr="002559E8">
              <w:t>broadband, video broadcasting, backhauling and mobile voice and data services</w:t>
            </w:r>
            <w:r>
              <w:t>).</w:t>
            </w:r>
            <w:r w:rsidR="001D315B">
              <w:t xml:space="preserve"> </w:t>
            </w:r>
            <w:r w:rsidR="00AF5C03">
              <w:rPr>
                <w:rStyle w:val="FootnoteReference"/>
              </w:rPr>
              <w:footnoteReference w:id="44"/>
            </w:r>
            <w:r w:rsidR="00E20CA8" w:rsidRPr="00983CFA">
              <w:rPr>
                <w:vertAlign w:val="superscript"/>
              </w:rPr>
              <w:t>,</w:t>
            </w:r>
            <w:r w:rsidR="00F97A19" w:rsidRPr="00983CFA">
              <w:t xml:space="preserve"> </w:t>
            </w:r>
            <w:r w:rsidR="001D315B">
              <w:rPr>
                <w:rStyle w:val="FootnoteReference"/>
              </w:rPr>
              <w:footnoteReference w:id="45"/>
            </w:r>
          </w:p>
          <w:p w14:paraId="6CA6CA8B" w14:textId="68F2A2A2" w:rsidR="00BB7E5C" w:rsidRDefault="00BB7E5C" w:rsidP="00BB7E5C">
            <w:pPr>
              <w:pStyle w:val="ListBullet"/>
            </w:pPr>
            <w:r>
              <w:t xml:space="preserve">Provides services to </w:t>
            </w:r>
            <w:r w:rsidRPr="002559E8">
              <w:t xml:space="preserve">150 countries across Europe, the Middle East, Africa, South America, Asia and Australasia. </w:t>
            </w:r>
          </w:p>
          <w:p w14:paraId="55B51B6C" w14:textId="4D5C8453" w:rsidR="00BB7E5C" w:rsidRDefault="00BB7E5C" w:rsidP="00BB7E5C">
            <w:pPr>
              <w:pStyle w:val="ListBullet"/>
            </w:pPr>
            <w:r>
              <w:t>Acquired Thuraya in 2018 which recently has a focus on IoT and machine-to-machine (M2M) communications via satellite.</w:t>
            </w:r>
            <w:r w:rsidR="00736224">
              <w:rPr>
                <w:rStyle w:val="FootnoteReference"/>
              </w:rPr>
              <w:footnoteReference w:id="46"/>
            </w:r>
            <w:r>
              <w:t xml:space="preserve"> </w:t>
            </w:r>
          </w:p>
        </w:tc>
      </w:tr>
      <w:tr w:rsidR="004F2AFA" w14:paraId="19FE0743" w14:textId="77777777" w:rsidTr="00B1507B">
        <w:trPr>
          <w:cnfStyle w:val="000000010000" w:firstRow="0" w:lastRow="0" w:firstColumn="0" w:lastColumn="0" w:oddVBand="0" w:evenVBand="0" w:oddHBand="0" w:evenHBand="1" w:firstRowFirstColumn="0" w:firstRowLastColumn="0" w:lastRowFirstColumn="0" w:lastRowLastColumn="0"/>
        </w:trPr>
        <w:tc>
          <w:tcPr>
            <w:tcW w:w="1696" w:type="dxa"/>
          </w:tcPr>
          <w:p w14:paraId="4CC0852E" w14:textId="77A0F182" w:rsidR="00BB7E5C" w:rsidRDefault="00BB7E5C" w:rsidP="00BB7E5C">
            <w:pPr>
              <w:pStyle w:val="TableBody"/>
            </w:pPr>
            <w:r>
              <w:t xml:space="preserve">AsiaSat </w:t>
            </w:r>
            <w:r w:rsidR="00E20CA8">
              <w:br/>
            </w:r>
            <w:r w:rsidRPr="002D79C8">
              <w:t>(</w:t>
            </w:r>
            <w:r w:rsidR="00B079F6" w:rsidRPr="002D79C8">
              <w:t>Dec</w:t>
            </w:r>
            <w:r w:rsidR="00B079F6">
              <w:t> </w:t>
            </w:r>
            <w:r w:rsidR="00B079F6" w:rsidRPr="002D79C8">
              <w:t>18</w:t>
            </w:r>
            <w:r w:rsidR="00B079F6">
              <w:t xml:space="preserve"> </w:t>
            </w:r>
            <w:r w:rsidR="00773D8F" w:rsidRPr="002D79C8">
              <w:t>r</w:t>
            </w:r>
            <w:r w:rsidRPr="002D79C8">
              <w:t xml:space="preserve">evenue  </w:t>
            </w:r>
            <w:r w:rsidR="0012306D" w:rsidRPr="002D79C8">
              <w:t>A</w:t>
            </w:r>
            <w:r w:rsidRPr="002D79C8">
              <w:t>$0.</w:t>
            </w:r>
            <w:r w:rsidR="003D38BC" w:rsidRPr="002D79C8">
              <w:t>3</w:t>
            </w:r>
            <w:r w:rsidR="00C75BD7">
              <w:t> </w:t>
            </w:r>
            <w:r w:rsidRPr="002D79C8">
              <w:t>b</w:t>
            </w:r>
            <w:r w:rsidR="00E20CA8" w:rsidRPr="002D79C8">
              <w:t>illion</w:t>
            </w:r>
            <w:r>
              <w:t>)</w:t>
            </w:r>
            <w:r w:rsidR="009134D6">
              <w:rPr>
                <w:rStyle w:val="FootnoteReference"/>
              </w:rPr>
              <w:footnoteReference w:id="47"/>
            </w:r>
          </w:p>
        </w:tc>
        <w:tc>
          <w:tcPr>
            <w:tcW w:w="1418" w:type="dxa"/>
          </w:tcPr>
          <w:p w14:paraId="10C211CD" w14:textId="77777777" w:rsidR="00BB7E5C" w:rsidRDefault="00BB7E5C" w:rsidP="00BB7E5C">
            <w:pPr>
              <w:pStyle w:val="TableBody"/>
            </w:pPr>
            <w:r>
              <w:t>Earth stations and space applications</w:t>
            </w:r>
          </w:p>
        </w:tc>
        <w:tc>
          <w:tcPr>
            <w:tcW w:w="4545" w:type="dxa"/>
          </w:tcPr>
          <w:p w14:paraId="5C50B05E" w14:textId="3B5C7066" w:rsidR="00A2668C" w:rsidRDefault="006F3F3A" w:rsidP="00BB7E5C">
            <w:pPr>
              <w:pStyle w:val="ListBullet"/>
            </w:pPr>
            <w:r w:rsidRPr="00AD578E">
              <w:t>AsiaSat</w:t>
            </w:r>
            <w:r>
              <w:t xml:space="preserve"> is owned by </w:t>
            </w:r>
            <w:r w:rsidRPr="00FF747C">
              <w:t>Asia Satellite Telecommunications Holdings Limited (AST)</w:t>
            </w:r>
            <w:r>
              <w:t>,</w:t>
            </w:r>
            <w:r w:rsidRPr="00FF747C">
              <w:t xml:space="preserve"> an investment holding company</w:t>
            </w:r>
            <w:r>
              <w:t>.</w:t>
            </w:r>
            <w:r>
              <w:rPr>
                <w:rStyle w:val="FootnoteReference"/>
              </w:rPr>
              <w:footnoteReference w:id="48"/>
            </w:r>
            <w:r>
              <w:t xml:space="preserve"> AsiaSat </w:t>
            </w:r>
            <w:r w:rsidRPr="00CE5A5A">
              <w:t>is headquartered in Wanchai, Hong Kong.</w:t>
            </w:r>
            <w:r>
              <w:t xml:space="preserve"> </w:t>
            </w:r>
            <w:r w:rsidR="00A2668C">
              <w:t>Established in 1988.</w:t>
            </w:r>
            <w:r w:rsidR="00A2668C">
              <w:rPr>
                <w:rStyle w:val="FootnoteReference"/>
              </w:rPr>
              <w:footnoteReference w:id="49"/>
            </w:r>
          </w:p>
          <w:p w14:paraId="0031A205" w14:textId="4C812170" w:rsidR="00BB7E5C" w:rsidRDefault="00BB7E5C" w:rsidP="00BB7E5C">
            <w:pPr>
              <w:pStyle w:val="ListBullet"/>
            </w:pPr>
            <w:r>
              <w:t>Was sold to private equity firms on 3</w:t>
            </w:r>
            <w:r w:rsidR="00E42D09">
              <w:t> </w:t>
            </w:r>
            <w:r>
              <w:t>September 2019 (becoming a privately listed company).</w:t>
            </w:r>
            <w:r w:rsidR="002933B8">
              <w:rPr>
                <w:rStyle w:val="FootnoteReference"/>
              </w:rPr>
              <w:footnoteReference w:id="50"/>
            </w:r>
          </w:p>
          <w:p w14:paraId="0B21444E" w14:textId="1803170A" w:rsidR="00BB7E5C" w:rsidRDefault="005E721A" w:rsidP="00BB7E5C">
            <w:pPr>
              <w:pStyle w:val="ListBullet"/>
            </w:pPr>
            <w:r>
              <w:lastRenderedPageBreak/>
              <w:t>It operates 7 satellites and provides</w:t>
            </w:r>
            <w:r w:rsidR="00BB7E5C">
              <w:t xml:space="preserve"> satellite services for 100 public and private television and radio broadcasters worldwide.</w:t>
            </w:r>
            <w:r>
              <w:rPr>
                <w:rStyle w:val="FootnoteReference"/>
              </w:rPr>
              <w:footnoteReference w:id="51"/>
            </w:r>
          </w:p>
          <w:p w14:paraId="16461771" w14:textId="77777777" w:rsidR="00BB7E5C" w:rsidRDefault="00BB7E5C" w:rsidP="00BB7E5C">
            <w:pPr>
              <w:pStyle w:val="ListBullet"/>
            </w:pPr>
            <w:r>
              <w:t>Its footprint is largely focused around the Asia-Pacific and Middle East.</w:t>
            </w:r>
          </w:p>
        </w:tc>
      </w:tr>
      <w:tr w:rsidR="004F2AFA" w14:paraId="53DECA7A" w14:textId="77777777" w:rsidTr="00B1507B">
        <w:trPr>
          <w:cnfStyle w:val="000000100000" w:firstRow="0" w:lastRow="0" w:firstColumn="0" w:lastColumn="0" w:oddVBand="0" w:evenVBand="0" w:oddHBand="1" w:evenHBand="0" w:firstRowFirstColumn="0" w:firstRowLastColumn="0" w:lastRowFirstColumn="0" w:lastRowLastColumn="0"/>
        </w:trPr>
        <w:tc>
          <w:tcPr>
            <w:tcW w:w="1696" w:type="dxa"/>
          </w:tcPr>
          <w:p w14:paraId="7F1F9B66" w14:textId="246BA73E" w:rsidR="00BB7E5C" w:rsidRDefault="00BB7E5C" w:rsidP="00BB7E5C">
            <w:pPr>
              <w:pStyle w:val="TableBody"/>
            </w:pPr>
            <w:r>
              <w:lastRenderedPageBreak/>
              <w:t>BAI Communications (</w:t>
            </w:r>
            <w:r w:rsidR="00773D8F">
              <w:t>r</w:t>
            </w:r>
            <w:r>
              <w:t>evenue not publicly reported)</w:t>
            </w:r>
          </w:p>
        </w:tc>
        <w:tc>
          <w:tcPr>
            <w:tcW w:w="1418" w:type="dxa"/>
          </w:tcPr>
          <w:p w14:paraId="7A99A4C4" w14:textId="77777777" w:rsidR="00BB7E5C" w:rsidRDefault="00BB7E5C" w:rsidP="00BB7E5C">
            <w:pPr>
              <w:pStyle w:val="TableBody"/>
            </w:pPr>
            <w:r>
              <w:t>Earth stations</w:t>
            </w:r>
          </w:p>
        </w:tc>
        <w:tc>
          <w:tcPr>
            <w:tcW w:w="4545" w:type="dxa"/>
          </w:tcPr>
          <w:p w14:paraId="7352F833" w14:textId="4EE56514" w:rsidR="00BB7E5C" w:rsidRDefault="00BB7E5C" w:rsidP="00635EA5">
            <w:pPr>
              <w:pStyle w:val="Bulletlevel1"/>
            </w:pPr>
            <w:r>
              <w:t>Predominantly involved with communications relating to transit systems globally and broadcast transmission in Australia.</w:t>
            </w:r>
            <w:r w:rsidR="00F312ED">
              <w:rPr>
                <w:rStyle w:val="FootnoteReference"/>
              </w:rPr>
              <w:footnoteReference w:id="52"/>
            </w:r>
          </w:p>
          <w:p w14:paraId="5108A640" w14:textId="77777777" w:rsidR="00BB7E5C" w:rsidRPr="006E308E" w:rsidRDefault="00BB7E5C" w:rsidP="00BB7E5C">
            <w:pPr>
              <w:pStyle w:val="ListBullet"/>
            </w:pPr>
            <w:r>
              <w:t>Provides project management and engineering for the design and construction of Earth stations necessary for Australia to connect into the Wideband Global SATCOM (WGS) network.</w:t>
            </w:r>
          </w:p>
        </w:tc>
      </w:tr>
      <w:tr w:rsidR="004F2AFA" w14:paraId="43FC9F9B" w14:textId="77777777" w:rsidTr="00B1507B">
        <w:trPr>
          <w:cnfStyle w:val="000000010000" w:firstRow="0" w:lastRow="0" w:firstColumn="0" w:lastColumn="0" w:oddVBand="0" w:evenVBand="0" w:oddHBand="0" w:evenHBand="1" w:firstRowFirstColumn="0" w:firstRowLastColumn="0" w:lastRowFirstColumn="0" w:lastRowLastColumn="0"/>
        </w:trPr>
        <w:tc>
          <w:tcPr>
            <w:tcW w:w="1696" w:type="dxa"/>
          </w:tcPr>
          <w:p w14:paraId="14BB0B14" w14:textId="77777777" w:rsidR="00B079F6" w:rsidRDefault="00BB7E5C" w:rsidP="00BB7E5C">
            <w:pPr>
              <w:pStyle w:val="TableBody"/>
            </w:pPr>
            <w:r>
              <w:t xml:space="preserve">Boeing </w:t>
            </w:r>
          </w:p>
          <w:p w14:paraId="21C47051" w14:textId="76D498C1" w:rsidR="00BB7E5C" w:rsidRDefault="00BB7E5C" w:rsidP="00BB7E5C">
            <w:pPr>
              <w:pStyle w:val="TableBody"/>
            </w:pPr>
            <w:r>
              <w:t>(</w:t>
            </w:r>
            <w:r w:rsidR="00B079F6">
              <w:t xml:space="preserve">Dec 20 </w:t>
            </w:r>
            <w:r>
              <w:t xml:space="preserve">Defence &amp; Satellites revenue </w:t>
            </w:r>
            <w:r w:rsidR="00453336">
              <w:t>A</w:t>
            </w:r>
            <w:r>
              <w:t>$</w:t>
            </w:r>
            <w:r w:rsidR="00235310">
              <w:t>38</w:t>
            </w:r>
            <w:r>
              <w:t>.</w:t>
            </w:r>
            <w:r w:rsidR="00235310">
              <w:t>1</w:t>
            </w:r>
            <w:r w:rsidR="00A80D4F">
              <w:t> </w:t>
            </w:r>
            <w:r>
              <w:t>b</w:t>
            </w:r>
            <w:r w:rsidR="00E20CA8">
              <w:t>illion</w:t>
            </w:r>
            <w:r>
              <w:t>)</w:t>
            </w:r>
            <w:r>
              <w:rPr>
                <w:rStyle w:val="FootnoteReference"/>
              </w:rPr>
              <w:footnoteReference w:id="53"/>
            </w:r>
          </w:p>
        </w:tc>
        <w:tc>
          <w:tcPr>
            <w:tcW w:w="1418" w:type="dxa"/>
          </w:tcPr>
          <w:p w14:paraId="08158DE0" w14:textId="77777777" w:rsidR="00BB7E5C" w:rsidRDefault="00BB7E5C" w:rsidP="00BB7E5C">
            <w:pPr>
              <w:pStyle w:val="TableBody"/>
            </w:pPr>
            <w:r>
              <w:t>Manufacturer</w:t>
            </w:r>
          </w:p>
        </w:tc>
        <w:tc>
          <w:tcPr>
            <w:tcW w:w="4545" w:type="dxa"/>
          </w:tcPr>
          <w:p w14:paraId="3DF07190" w14:textId="71B200B9" w:rsidR="00BB7E5C" w:rsidRDefault="00BB7E5C" w:rsidP="00BB7E5C">
            <w:pPr>
              <w:pStyle w:val="ListBullet"/>
            </w:pPr>
            <w:r w:rsidRPr="006E308E">
              <w:t>Boeing’s satellite activities fall within the Defence, Space &amp; Security segment.</w:t>
            </w:r>
            <w:r w:rsidR="009F6360">
              <w:rPr>
                <w:rStyle w:val="FootnoteReference"/>
              </w:rPr>
              <w:footnoteReference w:id="54"/>
            </w:r>
            <w:r w:rsidRPr="006E308E">
              <w:t xml:space="preserve"> </w:t>
            </w:r>
          </w:p>
          <w:p w14:paraId="4C417B13" w14:textId="77777777" w:rsidR="00BB7E5C" w:rsidRDefault="00BB7E5C" w:rsidP="00BB7E5C">
            <w:pPr>
              <w:pStyle w:val="ListBullet"/>
            </w:pPr>
            <w:r w:rsidRPr="006E308E">
              <w:t>This segment engages in the research, development, production and modification of satellite systems</w:t>
            </w:r>
            <w:r>
              <w:t>.</w:t>
            </w:r>
          </w:p>
          <w:p w14:paraId="071B78F9" w14:textId="77777777" w:rsidR="00BB7E5C" w:rsidRDefault="00BB7E5C" w:rsidP="00BB7E5C">
            <w:pPr>
              <w:pStyle w:val="ListBullet"/>
            </w:pPr>
            <w:r w:rsidRPr="006E308E">
              <w:t>Space &amp; Security customers include the NASA and customers in international defence, civil and commercial satellite markets.</w:t>
            </w:r>
          </w:p>
        </w:tc>
      </w:tr>
      <w:tr w:rsidR="004F2AFA" w14:paraId="17A383AC" w14:textId="77777777" w:rsidTr="00B1507B">
        <w:trPr>
          <w:cnfStyle w:val="000000100000" w:firstRow="0" w:lastRow="0" w:firstColumn="0" w:lastColumn="0" w:oddVBand="0" w:evenVBand="0" w:oddHBand="1" w:evenHBand="0" w:firstRowFirstColumn="0" w:firstRowLastColumn="0" w:lastRowFirstColumn="0" w:lastRowLastColumn="0"/>
        </w:trPr>
        <w:tc>
          <w:tcPr>
            <w:tcW w:w="1696" w:type="dxa"/>
          </w:tcPr>
          <w:p w14:paraId="5415B32B" w14:textId="77777777" w:rsidR="00BB7E5C" w:rsidRDefault="00BB7E5C" w:rsidP="00BB7E5C">
            <w:pPr>
              <w:pStyle w:val="TableBody"/>
            </w:pPr>
            <w:r>
              <w:t>Echostar</w:t>
            </w:r>
          </w:p>
          <w:p w14:paraId="5F875934" w14:textId="62356CAA" w:rsidR="00BB7E5C" w:rsidRDefault="00BB7E5C" w:rsidP="00BB7E5C">
            <w:pPr>
              <w:pStyle w:val="TableBody"/>
            </w:pPr>
            <w:r>
              <w:t>(</w:t>
            </w:r>
            <w:r w:rsidR="00B079F6">
              <w:t xml:space="preserve">Dec 20 </w:t>
            </w:r>
            <w:r w:rsidR="00773D8F">
              <w:t>r</w:t>
            </w:r>
            <w:r>
              <w:t>evenue</w:t>
            </w:r>
            <w:r w:rsidR="007970B9">
              <w:t xml:space="preserve"> </w:t>
            </w:r>
            <w:r w:rsidR="00453336">
              <w:t>A</w:t>
            </w:r>
            <w:r w:rsidR="454F9432">
              <w:t>$</w:t>
            </w:r>
            <w:r>
              <w:t>2.7</w:t>
            </w:r>
            <w:r w:rsidR="00E20CA8">
              <w:t xml:space="preserve"> </w:t>
            </w:r>
            <w:r>
              <w:t>b</w:t>
            </w:r>
            <w:r w:rsidR="00E20CA8">
              <w:t>illion</w:t>
            </w:r>
            <w:r>
              <w:t>)</w:t>
            </w:r>
            <w:r>
              <w:rPr>
                <w:rStyle w:val="FootnoteReference"/>
              </w:rPr>
              <w:footnoteReference w:id="55"/>
            </w:r>
          </w:p>
        </w:tc>
        <w:tc>
          <w:tcPr>
            <w:tcW w:w="1418" w:type="dxa"/>
          </w:tcPr>
          <w:p w14:paraId="6675FEE6" w14:textId="77777777" w:rsidR="00BB7E5C" w:rsidRDefault="00BB7E5C" w:rsidP="00BB7E5C">
            <w:pPr>
              <w:pStyle w:val="TableBody"/>
            </w:pPr>
            <w:r>
              <w:t>Manufacturer and space operations</w:t>
            </w:r>
          </w:p>
        </w:tc>
        <w:tc>
          <w:tcPr>
            <w:tcW w:w="4545" w:type="dxa"/>
          </w:tcPr>
          <w:p w14:paraId="57C0A3AE" w14:textId="25926F2A" w:rsidR="00BB7E5C" w:rsidRDefault="00BB7E5C" w:rsidP="00BB7E5C">
            <w:pPr>
              <w:pStyle w:val="ListBullet"/>
            </w:pPr>
            <w:r>
              <w:t>Hughes satellites (designs, builds and operates satellites and assists in ground station coordination and design).</w:t>
            </w:r>
            <w:r w:rsidR="007507AB">
              <w:rPr>
                <w:rStyle w:val="FootnoteReference"/>
              </w:rPr>
              <w:footnoteReference w:id="56"/>
            </w:r>
          </w:p>
          <w:p w14:paraId="14543A28" w14:textId="7DBF686F" w:rsidR="00BB7E5C" w:rsidRDefault="00BB7E5C" w:rsidP="00BB7E5C">
            <w:pPr>
              <w:pStyle w:val="ListBullet"/>
            </w:pPr>
            <w:r>
              <w:t xml:space="preserve">Operates predominantly in the </w:t>
            </w:r>
            <w:r w:rsidR="00D44925">
              <w:t>US</w:t>
            </w:r>
            <w:r>
              <w:t xml:space="preserve">, the UK and Mexico but has recently expanded into Brazil, India, Africa, the US and Europe. </w:t>
            </w:r>
          </w:p>
          <w:p w14:paraId="7E47D23D" w14:textId="331663C9" w:rsidR="00BB7E5C" w:rsidRDefault="00BB7E5C" w:rsidP="00BB7E5C">
            <w:pPr>
              <w:pStyle w:val="ListBullet"/>
            </w:pPr>
            <w:r>
              <w:t xml:space="preserve">EchoStar Systems (ESS) provides satellite services on a full-time and/or occasional-use basis to the US </w:t>
            </w:r>
            <w:r w:rsidR="00E20CA8">
              <w:t xml:space="preserve">Government </w:t>
            </w:r>
            <w:r>
              <w:t>service providers, internet service providers, broadcast news organi</w:t>
            </w:r>
            <w:r w:rsidR="00D57B80">
              <w:t>s</w:t>
            </w:r>
            <w:r>
              <w:t>ations, content providers and private enterprise customers.</w:t>
            </w:r>
          </w:p>
          <w:p w14:paraId="245979D4" w14:textId="77777777" w:rsidR="00BB7E5C" w:rsidRDefault="00BB7E5C" w:rsidP="00BB7E5C">
            <w:pPr>
              <w:pStyle w:val="ListBullet"/>
            </w:pPr>
            <w:r>
              <w:t>Operates in the US.</w:t>
            </w:r>
          </w:p>
        </w:tc>
      </w:tr>
      <w:tr w:rsidR="004F2AFA" w14:paraId="1410C814" w14:textId="77777777" w:rsidTr="00B1507B">
        <w:trPr>
          <w:cnfStyle w:val="000000010000" w:firstRow="0" w:lastRow="0" w:firstColumn="0" w:lastColumn="0" w:oddVBand="0" w:evenVBand="0" w:oddHBand="0" w:evenHBand="1" w:firstRowFirstColumn="0" w:firstRowLastColumn="0" w:lastRowFirstColumn="0" w:lastRowLastColumn="0"/>
        </w:trPr>
        <w:tc>
          <w:tcPr>
            <w:tcW w:w="1696" w:type="dxa"/>
          </w:tcPr>
          <w:p w14:paraId="3567FA71" w14:textId="373B3CEB" w:rsidR="00BB7E5C" w:rsidRDefault="00BB7E5C" w:rsidP="00BB7E5C">
            <w:pPr>
              <w:pStyle w:val="TableBody"/>
              <w:rPr>
                <w:noProof/>
              </w:rPr>
            </w:pPr>
            <w:r>
              <w:rPr>
                <w:noProof/>
              </w:rPr>
              <w:lastRenderedPageBreak/>
              <w:t>Global Eagle (</w:t>
            </w:r>
            <w:r w:rsidR="00B079F6">
              <w:rPr>
                <w:noProof/>
              </w:rPr>
              <w:t xml:space="preserve">Jun 20 </w:t>
            </w:r>
            <w:r w:rsidR="00773D8F">
              <w:rPr>
                <w:noProof/>
              </w:rPr>
              <w:t>r</w:t>
            </w:r>
            <w:r>
              <w:rPr>
                <w:noProof/>
              </w:rPr>
              <w:t xml:space="preserve">evenue </w:t>
            </w:r>
            <w:r w:rsidR="00453336">
              <w:rPr>
                <w:noProof/>
              </w:rPr>
              <w:t>A</w:t>
            </w:r>
            <w:r>
              <w:rPr>
                <w:noProof/>
              </w:rPr>
              <w:t>$0.8</w:t>
            </w:r>
            <w:r w:rsidR="00E20CA8">
              <w:rPr>
                <w:noProof/>
              </w:rPr>
              <w:t xml:space="preserve"> </w:t>
            </w:r>
            <w:r>
              <w:rPr>
                <w:noProof/>
              </w:rPr>
              <w:t>b</w:t>
            </w:r>
            <w:r w:rsidR="00E20CA8">
              <w:rPr>
                <w:noProof/>
              </w:rPr>
              <w:t>illion</w:t>
            </w:r>
            <w:r>
              <w:rPr>
                <w:noProof/>
              </w:rPr>
              <w:t>)</w:t>
            </w:r>
            <w:r w:rsidR="00104CBA">
              <w:rPr>
                <w:rStyle w:val="FootnoteReference"/>
                <w:noProof/>
              </w:rPr>
              <w:footnoteReference w:id="57"/>
            </w:r>
          </w:p>
        </w:tc>
        <w:tc>
          <w:tcPr>
            <w:tcW w:w="1418" w:type="dxa"/>
          </w:tcPr>
          <w:p w14:paraId="70FF8B27" w14:textId="77777777" w:rsidR="00BB7E5C" w:rsidRDefault="00BB7E5C" w:rsidP="00BB7E5C">
            <w:pPr>
              <w:pStyle w:val="TableBody"/>
            </w:pPr>
            <w:r>
              <w:t>Space applications</w:t>
            </w:r>
          </w:p>
        </w:tc>
        <w:tc>
          <w:tcPr>
            <w:tcW w:w="4545" w:type="dxa"/>
          </w:tcPr>
          <w:p w14:paraId="168A49A9" w14:textId="666EF5A9" w:rsidR="00BB7E5C" w:rsidRDefault="00BB7E5C" w:rsidP="00BB7E5C">
            <w:pPr>
              <w:pStyle w:val="ListBullet"/>
            </w:pPr>
            <w:r w:rsidRPr="001F2499">
              <w:t>Global Eagle provides media, content, connectivity and data analytics to markets across air, sea and land.</w:t>
            </w:r>
            <w:r w:rsidR="005A1BCC">
              <w:rPr>
                <w:rStyle w:val="FootnoteReference"/>
              </w:rPr>
              <w:footnoteReference w:id="58"/>
            </w:r>
          </w:p>
          <w:p w14:paraId="5238A0D9" w14:textId="3F8DFFE1" w:rsidR="00BB7E5C" w:rsidRDefault="00BB7E5C" w:rsidP="00BB7E5C">
            <w:pPr>
              <w:pStyle w:val="ListBullet"/>
            </w:pPr>
            <w:r w:rsidRPr="001F2499">
              <w:t xml:space="preserve">Global Eagle was founded in 2011 and is located in Los Angeles, California, </w:t>
            </w:r>
            <w:r w:rsidR="00D44925">
              <w:t>US</w:t>
            </w:r>
            <w:r w:rsidRPr="001F2499">
              <w:t>.</w:t>
            </w:r>
          </w:p>
          <w:p w14:paraId="617F9778" w14:textId="77777777" w:rsidR="00BB7E5C" w:rsidRDefault="00BB7E5C" w:rsidP="00BB7E5C">
            <w:pPr>
              <w:pStyle w:val="ListBullet"/>
            </w:pPr>
            <w:r>
              <w:t>It provides connectivity via Hughes satellites.</w:t>
            </w:r>
          </w:p>
          <w:p w14:paraId="76E2D359" w14:textId="2D66E30A" w:rsidR="00BB7E5C" w:rsidRDefault="00BB7E5C" w:rsidP="00BB7E5C">
            <w:pPr>
              <w:pStyle w:val="ListBullet"/>
            </w:pPr>
            <w:r>
              <w:t>The company</w:t>
            </w:r>
            <w:r w:rsidR="006D4EDE">
              <w:t>’s</w:t>
            </w:r>
            <w:r>
              <w:t xml:space="preserve"> reliance on the travel industry meant it was affected by </w:t>
            </w:r>
            <w:r w:rsidR="00903B52">
              <w:t>the COVID-19 pandemic</w:t>
            </w:r>
            <w:r>
              <w:t xml:space="preserve"> and filed for bankruptcy in July 2020.</w:t>
            </w:r>
            <w:r w:rsidR="002B77A8">
              <w:rPr>
                <w:rStyle w:val="FootnoteReference"/>
              </w:rPr>
              <w:footnoteReference w:id="59"/>
            </w:r>
          </w:p>
          <w:p w14:paraId="76D2E7BA" w14:textId="769CC65B" w:rsidR="00BB7E5C" w:rsidRDefault="00BB7E5C" w:rsidP="00BB7E5C">
            <w:pPr>
              <w:pStyle w:val="ListBullet"/>
            </w:pPr>
            <w:r>
              <w:t>It has been able to reduce its debt by US</w:t>
            </w:r>
            <w:r w:rsidR="0017287E">
              <w:t>$</w:t>
            </w:r>
            <w:r w:rsidR="007C115E">
              <w:t>475 </w:t>
            </w:r>
            <w:r>
              <w:t>million by selling its assets to its investor group.</w:t>
            </w:r>
          </w:p>
        </w:tc>
      </w:tr>
      <w:tr w:rsidR="004F2AFA" w14:paraId="0E86B727" w14:textId="77777777" w:rsidTr="00B1507B">
        <w:trPr>
          <w:cnfStyle w:val="000000100000" w:firstRow="0" w:lastRow="0" w:firstColumn="0" w:lastColumn="0" w:oddVBand="0" w:evenVBand="0" w:oddHBand="1" w:evenHBand="0" w:firstRowFirstColumn="0" w:firstRowLastColumn="0" w:lastRowFirstColumn="0" w:lastRowLastColumn="0"/>
        </w:trPr>
        <w:tc>
          <w:tcPr>
            <w:tcW w:w="1696" w:type="dxa"/>
          </w:tcPr>
          <w:p w14:paraId="5A34B5D0" w14:textId="77777777" w:rsidR="00B079F6" w:rsidRDefault="00BB7E5C" w:rsidP="00BB7E5C">
            <w:pPr>
              <w:pStyle w:val="TableBody"/>
            </w:pPr>
            <w:r>
              <w:t xml:space="preserve">Globalstar </w:t>
            </w:r>
          </w:p>
          <w:p w14:paraId="228DEC25" w14:textId="21A90FC2" w:rsidR="00BB7E5C" w:rsidRPr="005C0451" w:rsidRDefault="00BB7E5C" w:rsidP="00BB7E5C">
            <w:pPr>
              <w:pStyle w:val="TableBody"/>
            </w:pPr>
            <w:r>
              <w:t>(</w:t>
            </w:r>
            <w:r w:rsidR="00B079F6">
              <w:t xml:space="preserve">Dec 20 </w:t>
            </w:r>
            <w:r w:rsidR="00773D8F">
              <w:t>r</w:t>
            </w:r>
            <w:r>
              <w:t xml:space="preserve">evenue </w:t>
            </w:r>
            <w:r w:rsidR="00453336">
              <w:t>A</w:t>
            </w:r>
            <w:r>
              <w:t>$0.2</w:t>
            </w:r>
            <w:r w:rsidR="00E20CA8">
              <w:t xml:space="preserve"> </w:t>
            </w:r>
            <w:r>
              <w:t>b</w:t>
            </w:r>
            <w:r w:rsidR="00E20CA8">
              <w:t>illion</w:t>
            </w:r>
            <w:r>
              <w:t>)</w:t>
            </w:r>
            <w:r w:rsidR="00104CBA">
              <w:rPr>
                <w:rStyle w:val="FootnoteReference"/>
              </w:rPr>
              <w:footnoteReference w:id="60"/>
            </w:r>
          </w:p>
        </w:tc>
        <w:tc>
          <w:tcPr>
            <w:tcW w:w="1418" w:type="dxa"/>
          </w:tcPr>
          <w:p w14:paraId="39A9040F" w14:textId="77777777" w:rsidR="00BB7E5C" w:rsidRDefault="00BB7E5C" w:rsidP="00BB7E5C">
            <w:pPr>
              <w:pStyle w:val="TableBody"/>
            </w:pPr>
            <w:r>
              <w:t>Earth stations and space applications</w:t>
            </w:r>
          </w:p>
        </w:tc>
        <w:tc>
          <w:tcPr>
            <w:tcW w:w="4545" w:type="dxa"/>
          </w:tcPr>
          <w:p w14:paraId="240D8B44" w14:textId="4D072C88" w:rsidR="00BB7E5C" w:rsidRDefault="00BB7E5C" w:rsidP="00BB7E5C">
            <w:pPr>
              <w:pStyle w:val="ListBullet"/>
            </w:pPr>
            <w:r>
              <w:t xml:space="preserve">Globalstar operates satellites and ground stations worldwide. </w:t>
            </w:r>
            <w:r w:rsidRPr="005E6890">
              <w:t>Globalstar is headquartered in Covington, Louisiana</w:t>
            </w:r>
            <w:r w:rsidR="0017287E">
              <w:t>, US</w:t>
            </w:r>
            <w:r w:rsidRPr="005E6890">
              <w:t xml:space="preserve"> and incorporated in 2003.</w:t>
            </w:r>
            <w:r w:rsidR="008437E8">
              <w:rPr>
                <w:rStyle w:val="FootnoteReference"/>
              </w:rPr>
              <w:footnoteReference w:id="61"/>
            </w:r>
          </w:p>
          <w:p w14:paraId="36A4850C" w14:textId="290671AC" w:rsidR="00BB7E5C" w:rsidRDefault="00BB7E5C" w:rsidP="00BB7E5C">
            <w:pPr>
              <w:pStyle w:val="ListBullet"/>
            </w:pPr>
            <w:r>
              <w:t>It operates 48 LEO satellites and has 24 Earth stations.</w:t>
            </w:r>
            <w:r w:rsidR="00D21445">
              <w:rPr>
                <w:rStyle w:val="FootnoteReference"/>
              </w:rPr>
              <w:footnoteReference w:id="62"/>
            </w:r>
          </w:p>
          <w:p w14:paraId="6090F2ED" w14:textId="77777777" w:rsidR="00BB7E5C" w:rsidRDefault="00BB7E5C" w:rsidP="00BB7E5C">
            <w:pPr>
              <w:pStyle w:val="ListBullet"/>
            </w:pPr>
            <w:r>
              <w:t>Its revenues are predominantly from the US market, however it does resell wholesale services to operators worldwide, such as Pivotel in Australia.</w:t>
            </w:r>
          </w:p>
          <w:p w14:paraId="33C45892" w14:textId="77777777" w:rsidR="00BB7E5C" w:rsidRDefault="00BB7E5C" w:rsidP="00BB7E5C">
            <w:pPr>
              <w:pStyle w:val="ListBullet"/>
            </w:pPr>
            <w:r>
              <w:t>Another key service for its business centres around IoT and location tracking.</w:t>
            </w:r>
          </w:p>
        </w:tc>
      </w:tr>
      <w:tr w:rsidR="004F2AFA" w14:paraId="2D74CBA4" w14:textId="77777777" w:rsidTr="00B1507B">
        <w:trPr>
          <w:cnfStyle w:val="000000010000" w:firstRow="0" w:lastRow="0" w:firstColumn="0" w:lastColumn="0" w:oddVBand="0" w:evenVBand="0" w:oddHBand="0" w:evenHBand="1" w:firstRowFirstColumn="0" w:firstRowLastColumn="0" w:lastRowFirstColumn="0" w:lastRowLastColumn="0"/>
        </w:trPr>
        <w:tc>
          <w:tcPr>
            <w:tcW w:w="1696" w:type="dxa"/>
          </w:tcPr>
          <w:p w14:paraId="1833B04E" w14:textId="77777777" w:rsidR="00BB7E5C" w:rsidRDefault="00BB7E5C" w:rsidP="00BB7E5C">
            <w:pPr>
              <w:pStyle w:val="TableBody"/>
            </w:pPr>
            <w:r>
              <w:t>Inmarsat Holdings</w:t>
            </w:r>
          </w:p>
          <w:p w14:paraId="11FF5D8E" w14:textId="6DCE5413" w:rsidR="00BB7E5C" w:rsidRPr="005C0451" w:rsidRDefault="00BB7E5C" w:rsidP="00BB7E5C">
            <w:pPr>
              <w:pStyle w:val="TableBody"/>
            </w:pPr>
            <w:r>
              <w:t>(</w:t>
            </w:r>
            <w:r w:rsidR="00B079F6">
              <w:t xml:space="preserve">Dec 19 </w:t>
            </w:r>
            <w:r w:rsidR="00773D8F">
              <w:t>r</w:t>
            </w:r>
            <w:r>
              <w:t xml:space="preserve">evenue </w:t>
            </w:r>
            <w:r w:rsidR="00366405">
              <w:t>A</w:t>
            </w:r>
            <w:r>
              <w:t>$2.0</w:t>
            </w:r>
            <w:r w:rsidR="00E20CA8">
              <w:t xml:space="preserve"> </w:t>
            </w:r>
            <w:r>
              <w:t>b</w:t>
            </w:r>
            <w:r w:rsidR="00E20CA8">
              <w:t>illion</w:t>
            </w:r>
            <w:r>
              <w:t>)</w:t>
            </w:r>
            <w:r w:rsidR="00EF29F8">
              <w:rPr>
                <w:rStyle w:val="FootnoteReference"/>
              </w:rPr>
              <w:footnoteReference w:id="63"/>
            </w:r>
          </w:p>
        </w:tc>
        <w:tc>
          <w:tcPr>
            <w:tcW w:w="1418" w:type="dxa"/>
          </w:tcPr>
          <w:p w14:paraId="0CB4D36D" w14:textId="77777777" w:rsidR="00BB7E5C" w:rsidRDefault="00BB7E5C" w:rsidP="00BB7E5C">
            <w:pPr>
              <w:pStyle w:val="TableBody"/>
            </w:pPr>
            <w:r>
              <w:t>Earth stations, space operations and applications</w:t>
            </w:r>
          </w:p>
        </w:tc>
        <w:tc>
          <w:tcPr>
            <w:tcW w:w="4545" w:type="dxa"/>
          </w:tcPr>
          <w:p w14:paraId="101FB0FA" w14:textId="4E042BE3" w:rsidR="00BB7E5C" w:rsidRDefault="00BB7E5C" w:rsidP="00BB7E5C">
            <w:pPr>
              <w:pStyle w:val="ListBullet"/>
            </w:pPr>
            <w:r w:rsidRPr="002B740C">
              <w:t>Inmarsat designs, launches and operates satellite-based networks.</w:t>
            </w:r>
            <w:r>
              <w:t xml:space="preserve"> </w:t>
            </w:r>
            <w:r w:rsidRPr="00AF0DFA">
              <w:t xml:space="preserve">Inmarsat is headquartered in London, </w:t>
            </w:r>
            <w:r w:rsidR="0017287E">
              <w:t>UK,</w:t>
            </w:r>
            <w:r w:rsidRPr="00AF0DFA">
              <w:t xml:space="preserve"> </w:t>
            </w:r>
            <w:r>
              <w:t xml:space="preserve">and </w:t>
            </w:r>
            <w:r w:rsidRPr="00AF0DFA">
              <w:t>was founded in 1979.</w:t>
            </w:r>
            <w:r w:rsidR="00824E3C">
              <w:rPr>
                <w:rStyle w:val="FootnoteReference"/>
              </w:rPr>
              <w:footnoteReference w:id="64"/>
            </w:r>
          </w:p>
          <w:p w14:paraId="2AD51906" w14:textId="5ADF77CC" w:rsidR="00BB7E5C" w:rsidRDefault="00BB7E5C" w:rsidP="00BB7E5C">
            <w:pPr>
              <w:pStyle w:val="ListBullet"/>
            </w:pPr>
            <w:r w:rsidRPr="007B3EC3">
              <w:t>Inmarsat owns and operates 13 satellites. It has operations in more than 60 countries across Europe, North America and Asia-Pacific.</w:t>
            </w:r>
            <w:r w:rsidR="00B91E23">
              <w:rPr>
                <w:rStyle w:val="FootnoteReference"/>
              </w:rPr>
              <w:footnoteReference w:id="65"/>
            </w:r>
          </w:p>
          <w:p w14:paraId="4C2DC97B" w14:textId="4A03BC4D" w:rsidR="00BB7E5C" w:rsidRDefault="00BB7E5C" w:rsidP="00BB7E5C">
            <w:pPr>
              <w:pStyle w:val="ListBullet"/>
            </w:pPr>
            <w:r w:rsidRPr="007B3EC3">
              <w:lastRenderedPageBreak/>
              <w:t xml:space="preserve">Revenues and </w:t>
            </w:r>
            <w:r>
              <w:t>earnings before interest, taxes, and depreciation and amortisation (</w:t>
            </w:r>
            <w:r w:rsidRPr="007B3EC3">
              <w:t>EBITDA</w:t>
            </w:r>
            <w:r>
              <w:t>)</w:t>
            </w:r>
            <w:r w:rsidRPr="007B3EC3">
              <w:t xml:space="preserve"> remained relatively stable over the past year</w:t>
            </w:r>
            <w:r w:rsidR="0017287E">
              <w:t>,</w:t>
            </w:r>
            <w:r>
              <w:t xml:space="preserve"> with a </w:t>
            </w:r>
            <w:r w:rsidRPr="007B3EC3">
              <w:t>steep decline in net profit attributed to a revaluation of a debt instrument.</w:t>
            </w:r>
          </w:p>
          <w:p w14:paraId="6285AE82" w14:textId="77777777" w:rsidR="00B10840" w:rsidRDefault="00BB7E5C" w:rsidP="00B10840">
            <w:pPr>
              <w:pStyle w:val="ListBullet"/>
            </w:pPr>
            <w:r>
              <w:t xml:space="preserve">The company has announced </w:t>
            </w:r>
            <w:r w:rsidR="006D4EDE">
              <w:t>several</w:t>
            </w:r>
            <w:r>
              <w:t xml:space="preserve"> strategic partnerships recently, including with Farmbot, a leading provider of IoT solutions to the agricultural industry and Pivotel, Australia’s leading provider of mobile satellite services.</w:t>
            </w:r>
            <w:r w:rsidR="00262D05">
              <w:rPr>
                <w:rStyle w:val="FootnoteReference"/>
              </w:rPr>
              <w:footnoteReference w:id="66"/>
            </w:r>
          </w:p>
          <w:p w14:paraId="13974668" w14:textId="12377134" w:rsidR="00D6788C" w:rsidRDefault="00B10840" w:rsidP="00163FB4">
            <w:pPr>
              <w:pStyle w:val="Bulletlevel1"/>
            </w:pPr>
            <w:r>
              <w:t xml:space="preserve">Inmarsat </w:t>
            </w:r>
            <w:r w:rsidRPr="00B10840">
              <w:rPr>
                <w:szCs w:val="20"/>
              </w:rPr>
              <w:t xml:space="preserve">has </w:t>
            </w:r>
            <w:hyperlink r:id="rId79" w:tgtFrame="_blank" w:tooltip="https://www.inmarsat.com/en/news/latest-news/government/2021/australian-defence-force-takes-control-with-inmarsat-virtual-sat.html" w:history="1">
              <w:r w:rsidRPr="00B10840">
                <w:rPr>
                  <w:rStyle w:val="Hyperlink"/>
                  <w:szCs w:val="20"/>
                </w:rPr>
                <w:t>announced</w:t>
              </w:r>
            </w:hyperlink>
            <w:r>
              <w:t xml:space="preserve"> that</w:t>
            </w:r>
            <w:r w:rsidRPr="00B10840">
              <w:t xml:space="preserve"> the Australian Defence Force has </w:t>
            </w:r>
            <w:r>
              <w:t>extended its arrangement with the company into 2027. The agreement was initially signed in 2017</w:t>
            </w:r>
            <w:r w:rsidR="00A318D3">
              <w:t xml:space="preserve"> and has a contact value </w:t>
            </w:r>
            <w:r w:rsidR="00731D81">
              <w:t>of</w:t>
            </w:r>
            <w:r>
              <w:t xml:space="preserve"> A$221 million. </w:t>
            </w:r>
            <w:r w:rsidR="00D6788C">
              <w:t xml:space="preserve"> </w:t>
            </w:r>
          </w:p>
        </w:tc>
      </w:tr>
      <w:tr w:rsidR="004F2AFA" w14:paraId="482B5192" w14:textId="77777777" w:rsidTr="00B1507B">
        <w:trPr>
          <w:cnfStyle w:val="000000100000" w:firstRow="0" w:lastRow="0" w:firstColumn="0" w:lastColumn="0" w:oddVBand="0" w:evenVBand="0" w:oddHBand="1" w:evenHBand="0" w:firstRowFirstColumn="0" w:firstRowLastColumn="0" w:lastRowFirstColumn="0" w:lastRowLastColumn="0"/>
        </w:trPr>
        <w:tc>
          <w:tcPr>
            <w:tcW w:w="1696" w:type="dxa"/>
          </w:tcPr>
          <w:p w14:paraId="60D2ABF4" w14:textId="22B861C5" w:rsidR="00BB7E5C" w:rsidRPr="005C0451" w:rsidRDefault="00BB7E5C" w:rsidP="00BB7E5C">
            <w:pPr>
              <w:pStyle w:val="TableBody"/>
            </w:pPr>
            <w:r>
              <w:lastRenderedPageBreak/>
              <w:t xml:space="preserve">Intelsat </w:t>
            </w:r>
            <w:r w:rsidR="00E20CA8">
              <w:br/>
            </w:r>
            <w:r>
              <w:t>(</w:t>
            </w:r>
            <w:r w:rsidR="00B079F6">
              <w:t xml:space="preserve">Sep 20 </w:t>
            </w:r>
            <w:r w:rsidR="00773D8F">
              <w:t>r</w:t>
            </w:r>
            <w:r>
              <w:t xml:space="preserve">evenue </w:t>
            </w:r>
            <w:r w:rsidR="00366405">
              <w:t>A</w:t>
            </w:r>
            <w:r>
              <w:t>$2.9</w:t>
            </w:r>
            <w:r w:rsidR="00E20CA8">
              <w:t xml:space="preserve"> </w:t>
            </w:r>
            <w:r>
              <w:t>b</w:t>
            </w:r>
            <w:r w:rsidR="00E20CA8">
              <w:t>illion</w:t>
            </w:r>
            <w:r>
              <w:t>)</w:t>
            </w:r>
            <w:r w:rsidR="0069737E">
              <w:rPr>
                <w:rStyle w:val="FootnoteReference"/>
              </w:rPr>
              <w:footnoteReference w:id="67"/>
            </w:r>
          </w:p>
        </w:tc>
        <w:tc>
          <w:tcPr>
            <w:tcW w:w="1418" w:type="dxa"/>
          </w:tcPr>
          <w:p w14:paraId="0D1B971F" w14:textId="77777777" w:rsidR="00BB7E5C" w:rsidRDefault="00BB7E5C" w:rsidP="00BB7E5C">
            <w:pPr>
              <w:pStyle w:val="TableBody"/>
            </w:pPr>
            <w:r>
              <w:t>Earth stations, space operations and applications</w:t>
            </w:r>
          </w:p>
        </w:tc>
        <w:tc>
          <w:tcPr>
            <w:tcW w:w="4545" w:type="dxa"/>
          </w:tcPr>
          <w:p w14:paraId="76812DD1" w14:textId="442CB1FF" w:rsidR="00BB7E5C" w:rsidRDefault="00BB7E5C" w:rsidP="00D8686C">
            <w:pPr>
              <w:pStyle w:val="ListBullet"/>
              <w:keepLines/>
            </w:pPr>
            <w:r>
              <w:t>Intelsat provides commercial satellite communication services to media companies, telcos and networking companies</w:t>
            </w:r>
            <w:r w:rsidR="0017287E">
              <w:t>,</w:t>
            </w:r>
            <w:r>
              <w:t xml:space="preserve"> the US </w:t>
            </w:r>
            <w:r w:rsidR="0017287E">
              <w:t>G</w:t>
            </w:r>
            <w:r>
              <w:t>overnment and other select military organi</w:t>
            </w:r>
            <w:r w:rsidR="00D57B80">
              <w:t>s</w:t>
            </w:r>
            <w:r>
              <w:t>ations and their contractors.</w:t>
            </w:r>
            <w:r w:rsidR="00D67BDD">
              <w:rPr>
                <w:rStyle w:val="FootnoteReference"/>
              </w:rPr>
              <w:footnoteReference w:id="68"/>
            </w:r>
            <w:r>
              <w:t xml:space="preserve"> </w:t>
            </w:r>
          </w:p>
          <w:p w14:paraId="54C7958C" w14:textId="77777777" w:rsidR="00BB7E5C" w:rsidRDefault="00BB7E5C" w:rsidP="00BB7E5C">
            <w:pPr>
              <w:pStyle w:val="ListBullet"/>
            </w:pPr>
            <w:r>
              <w:t>The company was founded in 1964 and is headquartered in Luxembourg.</w:t>
            </w:r>
          </w:p>
          <w:p w14:paraId="07C107FC" w14:textId="01B55F6E" w:rsidR="00BB7E5C" w:rsidRDefault="00BB7E5C" w:rsidP="00BB7E5C">
            <w:pPr>
              <w:pStyle w:val="ListBullet"/>
            </w:pPr>
            <w:r w:rsidRPr="00F43305">
              <w:t xml:space="preserve">Intelsat filed for </w:t>
            </w:r>
            <w:r w:rsidR="0017287E">
              <w:t>C</w:t>
            </w:r>
            <w:r w:rsidRPr="00F43305">
              <w:t>hapter 11 bankruptcy on 14 May 2020</w:t>
            </w:r>
            <w:r>
              <w:t xml:space="preserve"> to free up funding to participate in FCC processes and to reorganise its operations.</w:t>
            </w:r>
            <w:r w:rsidR="00CD3695" w:rsidRPr="00984B39">
              <w:rPr>
                <w:rStyle w:val="FootnoteReference"/>
                <w:color w:val="365F91" w:themeColor="accent1" w:themeShade="BF"/>
              </w:rPr>
              <w:footnoteReference w:id="69"/>
            </w:r>
          </w:p>
          <w:p w14:paraId="135C0626" w14:textId="207E9457" w:rsidR="00BB7E5C" w:rsidRDefault="00BB7E5C" w:rsidP="00BB7E5C">
            <w:pPr>
              <w:pStyle w:val="ListBullet"/>
            </w:pPr>
            <w:r>
              <w:t>Intelsat provides satellite communications services across 200 countries and territories. The company operates through a network of 54 satellites.</w:t>
            </w:r>
            <w:r w:rsidR="00EB3474">
              <w:rPr>
                <w:rStyle w:val="FootnoteReference"/>
              </w:rPr>
              <w:footnoteReference w:id="70"/>
            </w:r>
          </w:p>
          <w:p w14:paraId="4C648ABD" w14:textId="7FB17F26" w:rsidR="00BB7E5C" w:rsidRDefault="00BB7E5C" w:rsidP="00BB7E5C">
            <w:pPr>
              <w:pStyle w:val="ListBullet"/>
            </w:pPr>
            <w:r>
              <w:t>The company focuses on business-to-business services and offers more than 4 different service types: transponder services, managed services, channel services, mobile satellite services and other services.</w:t>
            </w:r>
          </w:p>
        </w:tc>
      </w:tr>
      <w:tr w:rsidR="004F2AFA" w14:paraId="7C203C72" w14:textId="77777777" w:rsidTr="00B1507B">
        <w:trPr>
          <w:cnfStyle w:val="000000010000" w:firstRow="0" w:lastRow="0" w:firstColumn="0" w:lastColumn="0" w:oddVBand="0" w:evenVBand="0" w:oddHBand="0" w:evenHBand="1" w:firstRowFirstColumn="0" w:firstRowLastColumn="0" w:lastRowFirstColumn="0" w:lastRowLastColumn="0"/>
        </w:trPr>
        <w:tc>
          <w:tcPr>
            <w:tcW w:w="1696" w:type="dxa"/>
          </w:tcPr>
          <w:p w14:paraId="3390A4E4" w14:textId="61E563C4" w:rsidR="00BB7E5C" w:rsidRDefault="00BB7E5C" w:rsidP="00BB7E5C">
            <w:pPr>
              <w:pStyle w:val="TableBody"/>
            </w:pPr>
            <w:r>
              <w:t xml:space="preserve">Iridium </w:t>
            </w:r>
            <w:r w:rsidR="00E20CA8">
              <w:br/>
            </w:r>
            <w:r>
              <w:t>(</w:t>
            </w:r>
            <w:r w:rsidR="00B079F6">
              <w:t xml:space="preserve">Dec 20 </w:t>
            </w:r>
            <w:r w:rsidR="00773D8F">
              <w:t>r</w:t>
            </w:r>
            <w:r>
              <w:t>evenue</w:t>
            </w:r>
            <w:r w:rsidR="009B5564">
              <w:t xml:space="preserve"> </w:t>
            </w:r>
            <w:r w:rsidR="00366405">
              <w:t>A</w:t>
            </w:r>
            <w:r>
              <w:t>$0.9</w:t>
            </w:r>
            <w:r w:rsidR="00E20CA8">
              <w:t xml:space="preserve"> </w:t>
            </w:r>
            <w:r>
              <w:t>b</w:t>
            </w:r>
            <w:r w:rsidR="00E20CA8">
              <w:t>illion</w:t>
            </w:r>
            <w:r>
              <w:t>)</w:t>
            </w:r>
            <w:r w:rsidR="00013822">
              <w:rPr>
                <w:rStyle w:val="FootnoteReference"/>
              </w:rPr>
              <w:footnoteReference w:id="71"/>
            </w:r>
          </w:p>
        </w:tc>
        <w:tc>
          <w:tcPr>
            <w:tcW w:w="1418" w:type="dxa"/>
          </w:tcPr>
          <w:p w14:paraId="4F129C6A" w14:textId="77777777" w:rsidR="00BB7E5C" w:rsidRDefault="00BB7E5C" w:rsidP="00BB7E5C">
            <w:pPr>
              <w:pStyle w:val="TableBody"/>
            </w:pPr>
            <w:r>
              <w:t xml:space="preserve">Earth stations, space operations </w:t>
            </w:r>
            <w:r>
              <w:lastRenderedPageBreak/>
              <w:t>and applications.</w:t>
            </w:r>
          </w:p>
        </w:tc>
        <w:tc>
          <w:tcPr>
            <w:tcW w:w="4545" w:type="dxa"/>
          </w:tcPr>
          <w:p w14:paraId="18076354" w14:textId="59AE3591" w:rsidR="00BB7E5C" w:rsidRDefault="00BB7E5C" w:rsidP="00BB7E5C">
            <w:pPr>
              <w:pStyle w:val="ListBullet"/>
            </w:pPr>
            <w:r w:rsidRPr="00A77B1B">
              <w:lastRenderedPageBreak/>
              <w:t xml:space="preserve">Iridium offers voice and data communications services and products to businesses, government agencies and other customers </w:t>
            </w:r>
            <w:r w:rsidRPr="00A77B1B">
              <w:lastRenderedPageBreak/>
              <w:t>worldwide through a constellation of LEO satellites.</w:t>
            </w:r>
            <w:r w:rsidR="00D74EBD">
              <w:rPr>
                <w:rStyle w:val="FootnoteReference"/>
              </w:rPr>
              <w:footnoteReference w:id="72"/>
            </w:r>
          </w:p>
          <w:p w14:paraId="6E7A58AB" w14:textId="0A0A0D32" w:rsidR="00BB7E5C" w:rsidRDefault="00BB7E5C" w:rsidP="00BB7E5C">
            <w:pPr>
              <w:pStyle w:val="ListBullet"/>
            </w:pPr>
            <w:r w:rsidRPr="00A77B1B">
              <w:t>Iridium was founded in 2000. The company was incorporated in 2007</w:t>
            </w:r>
            <w:r>
              <w:t xml:space="preserve"> </w:t>
            </w:r>
            <w:r w:rsidRPr="00A77B1B">
              <w:t>and is headquartered in McLean, Virginia, US.</w:t>
            </w:r>
          </w:p>
          <w:p w14:paraId="66A87914" w14:textId="3EA8DEF4" w:rsidR="00BB7E5C" w:rsidRDefault="00BB7E5C" w:rsidP="00BB7E5C">
            <w:pPr>
              <w:pStyle w:val="ListBullet"/>
            </w:pPr>
            <w:r>
              <w:t xml:space="preserve">Compared to several of the other major satellite providers (which have faced either declining revenues or reduced liquidity), Iridium has improved its financial position and </w:t>
            </w:r>
            <w:r w:rsidR="005463EA">
              <w:t xml:space="preserve">exceeded </w:t>
            </w:r>
            <w:r>
              <w:t>expectations.</w:t>
            </w:r>
          </w:p>
          <w:p w14:paraId="6839CFE7" w14:textId="3CA1871F" w:rsidR="00BB7E5C" w:rsidRDefault="00BB7E5C" w:rsidP="00BB7E5C">
            <w:pPr>
              <w:pStyle w:val="ListBullet"/>
            </w:pPr>
            <w:r>
              <w:t xml:space="preserve">It operates through forming partnerships with various providers (including </w:t>
            </w:r>
            <w:hyperlink r:id="rId80">
              <w:r w:rsidRPr="7EF6276D">
                <w:rPr>
                  <w:rStyle w:val="Hyperlink"/>
                </w:rPr>
                <w:t>Speedcast</w:t>
              </w:r>
            </w:hyperlink>
            <w:r>
              <w:t xml:space="preserve"> and </w:t>
            </w:r>
            <w:hyperlink r:id="rId81">
              <w:r w:rsidRPr="7EF6276D">
                <w:rPr>
                  <w:rStyle w:val="Hyperlink"/>
                </w:rPr>
                <w:t>Pivotel</w:t>
              </w:r>
            </w:hyperlink>
            <w:r>
              <w:t xml:space="preserve"> in Australia).</w:t>
            </w:r>
          </w:p>
          <w:p w14:paraId="0CE9B061" w14:textId="77777777" w:rsidR="00BB7E5C" w:rsidRPr="00B0225C" w:rsidRDefault="00BB7E5C" w:rsidP="00BB7E5C">
            <w:pPr>
              <w:pStyle w:val="ListBullet"/>
            </w:pPr>
            <w:r>
              <w:t>A key part of its business relates to IoT services.</w:t>
            </w:r>
          </w:p>
        </w:tc>
      </w:tr>
      <w:tr w:rsidR="004F2AFA" w14:paraId="4CDF3155" w14:textId="77777777" w:rsidTr="00B1507B">
        <w:trPr>
          <w:cnfStyle w:val="000000100000" w:firstRow="0" w:lastRow="0" w:firstColumn="0" w:lastColumn="0" w:oddVBand="0" w:evenVBand="0" w:oddHBand="1" w:evenHBand="0" w:firstRowFirstColumn="0" w:firstRowLastColumn="0" w:lastRowFirstColumn="0" w:lastRowLastColumn="0"/>
        </w:trPr>
        <w:tc>
          <w:tcPr>
            <w:tcW w:w="1696" w:type="dxa"/>
          </w:tcPr>
          <w:p w14:paraId="7166A098" w14:textId="38314BFE" w:rsidR="00BB7E5C" w:rsidRDefault="00BB7E5C" w:rsidP="00BB7E5C">
            <w:pPr>
              <w:pStyle w:val="TableBody"/>
            </w:pPr>
            <w:r>
              <w:lastRenderedPageBreak/>
              <w:t xml:space="preserve">Optus </w:t>
            </w:r>
            <w:r w:rsidR="00E20CA8">
              <w:br/>
            </w:r>
            <w:r>
              <w:t>(</w:t>
            </w:r>
            <w:r w:rsidR="00B079F6">
              <w:t xml:space="preserve">Mar 20 </w:t>
            </w:r>
            <w:r w:rsidR="00773D8F">
              <w:t>r</w:t>
            </w:r>
            <w:r>
              <w:t xml:space="preserve">evenue </w:t>
            </w:r>
            <w:r w:rsidR="00912574">
              <w:t>A</w:t>
            </w:r>
            <w:r>
              <w:t>$9.0</w:t>
            </w:r>
            <w:r w:rsidR="00E20CA8">
              <w:t xml:space="preserve"> </w:t>
            </w:r>
            <w:r>
              <w:t>b</w:t>
            </w:r>
            <w:r w:rsidR="00E20CA8">
              <w:t>illion</w:t>
            </w:r>
            <w:r>
              <w:t>)</w:t>
            </w:r>
            <w:r w:rsidR="00C43116">
              <w:rPr>
                <w:rStyle w:val="FootnoteReference"/>
              </w:rPr>
              <w:footnoteReference w:id="73"/>
            </w:r>
          </w:p>
        </w:tc>
        <w:tc>
          <w:tcPr>
            <w:tcW w:w="1418" w:type="dxa"/>
          </w:tcPr>
          <w:p w14:paraId="092BDDD5" w14:textId="77777777" w:rsidR="00BB7E5C" w:rsidRDefault="00BB7E5C" w:rsidP="00BB7E5C">
            <w:pPr>
              <w:pStyle w:val="TableBody"/>
            </w:pPr>
            <w:r>
              <w:t>Earth stations and space applications</w:t>
            </w:r>
          </w:p>
        </w:tc>
        <w:tc>
          <w:tcPr>
            <w:tcW w:w="4545" w:type="dxa"/>
          </w:tcPr>
          <w:p w14:paraId="72E9FC88" w14:textId="7ECB3C03" w:rsidR="00BB7E5C" w:rsidRDefault="00BB7E5C" w:rsidP="00D8686C">
            <w:pPr>
              <w:pStyle w:val="ListBullet"/>
              <w:keepLines/>
            </w:pPr>
            <w:r>
              <w:t>Optus positions itself as Australia and New Zealand’s largest satellite operator with 5 GEO satellites and 10 Earth stations operating. It commenced operations in 1992.</w:t>
            </w:r>
            <w:r w:rsidR="00AF655F">
              <w:rPr>
                <w:rStyle w:val="FootnoteReference"/>
              </w:rPr>
              <w:footnoteReference w:id="74"/>
            </w:r>
          </w:p>
          <w:p w14:paraId="1589EA8A" w14:textId="1C2AF30D" w:rsidR="00BB7E5C" w:rsidRDefault="00BB7E5C" w:rsidP="00BB7E5C">
            <w:pPr>
              <w:pStyle w:val="ListBullet"/>
            </w:pPr>
            <w:r>
              <w:t>With its network and through its parent, it provides coverage across Antarctica, Asia, Pacific region, Europe, Africa, India and the West Coast of the US.</w:t>
            </w:r>
            <w:r w:rsidR="00E33D87">
              <w:rPr>
                <w:rStyle w:val="FootnoteReference"/>
              </w:rPr>
              <w:footnoteReference w:id="75"/>
            </w:r>
          </w:p>
          <w:p w14:paraId="66F770CB" w14:textId="03F8F54E" w:rsidR="00BB7E5C" w:rsidRDefault="00BB7E5C" w:rsidP="00BB7E5C">
            <w:pPr>
              <w:pStyle w:val="ListBullet"/>
            </w:pPr>
            <w:r>
              <w:t xml:space="preserve">It has a long-standing agreement with Foxtel which has been </w:t>
            </w:r>
            <w:hyperlink r:id="rId82">
              <w:r w:rsidRPr="7EF6276D">
                <w:rPr>
                  <w:rStyle w:val="Hyperlink"/>
                </w:rPr>
                <w:t>extended</w:t>
              </w:r>
            </w:hyperlink>
            <w:r>
              <w:t xml:space="preserve"> to 2031.</w:t>
            </w:r>
          </w:p>
          <w:p w14:paraId="3DAF1295" w14:textId="0B930CF5" w:rsidR="00BB7E5C" w:rsidRDefault="00BB7E5C" w:rsidP="00BB7E5C">
            <w:pPr>
              <w:pStyle w:val="ListBullet"/>
            </w:pPr>
            <w:r>
              <w:t>I</w:t>
            </w:r>
            <w:r w:rsidRPr="0060408C">
              <w:t xml:space="preserve">t has </w:t>
            </w:r>
            <w:hyperlink r:id="rId83">
              <w:r w:rsidRPr="7EF6276D">
                <w:rPr>
                  <w:rStyle w:val="Hyperlink"/>
                </w:rPr>
                <w:t>contracted</w:t>
              </w:r>
            </w:hyperlink>
            <w:r w:rsidRPr="0060408C">
              <w:t xml:space="preserve"> Airbus Defence and Space for a brand new, OneSat software-defined satellite, Optus 11, to be deployed for Australia and New Zealand in 2023</w:t>
            </w:r>
            <w:r>
              <w:t>.</w:t>
            </w:r>
          </w:p>
          <w:p w14:paraId="0068BB1E" w14:textId="0533B742" w:rsidR="00BB7E5C" w:rsidRDefault="00BB7E5C" w:rsidP="00BB7E5C">
            <w:pPr>
              <w:pStyle w:val="ListBullet"/>
            </w:pPr>
            <w:r>
              <w:t>It operates in an advisory capacity for Australian SmallSat operators.</w:t>
            </w:r>
            <w:r w:rsidR="00144C85">
              <w:rPr>
                <w:rStyle w:val="FootnoteReference"/>
              </w:rPr>
              <w:footnoteReference w:id="76"/>
            </w:r>
          </w:p>
        </w:tc>
      </w:tr>
      <w:tr w:rsidR="004F2AFA" w14:paraId="63B039F6" w14:textId="77777777" w:rsidTr="00B1507B">
        <w:trPr>
          <w:cnfStyle w:val="000000010000" w:firstRow="0" w:lastRow="0" w:firstColumn="0" w:lastColumn="0" w:oddVBand="0" w:evenVBand="0" w:oddHBand="0" w:evenHBand="1" w:firstRowFirstColumn="0" w:firstRowLastColumn="0" w:lastRowFirstColumn="0" w:lastRowLastColumn="0"/>
        </w:trPr>
        <w:tc>
          <w:tcPr>
            <w:tcW w:w="1696" w:type="dxa"/>
          </w:tcPr>
          <w:p w14:paraId="4D1EC6CD" w14:textId="77777777" w:rsidR="00B079F6" w:rsidRDefault="00BB7E5C" w:rsidP="004A4436">
            <w:pPr>
              <w:pStyle w:val="TableBody"/>
            </w:pPr>
            <w:r>
              <w:t xml:space="preserve">Pivotel </w:t>
            </w:r>
          </w:p>
          <w:p w14:paraId="73DFCA58" w14:textId="69646FB8" w:rsidR="00BB7E5C" w:rsidRDefault="00BB7E5C" w:rsidP="004A4436">
            <w:pPr>
              <w:pStyle w:val="TableBody"/>
            </w:pPr>
            <w:r>
              <w:t>(</w:t>
            </w:r>
            <w:r w:rsidR="00773D8F">
              <w:t>r</w:t>
            </w:r>
            <w:r>
              <w:t>evenue not publicly reported)</w:t>
            </w:r>
          </w:p>
        </w:tc>
        <w:tc>
          <w:tcPr>
            <w:tcW w:w="1418" w:type="dxa"/>
          </w:tcPr>
          <w:p w14:paraId="6B6284D5" w14:textId="77777777" w:rsidR="00BB7E5C" w:rsidRDefault="00BB7E5C" w:rsidP="00BB7E5C">
            <w:pPr>
              <w:pStyle w:val="TableBody"/>
            </w:pPr>
            <w:r>
              <w:t>Space applications</w:t>
            </w:r>
          </w:p>
        </w:tc>
        <w:tc>
          <w:tcPr>
            <w:tcW w:w="4545" w:type="dxa"/>
          </w:tcPr>
          <w:p w14:paraId="3D8ECAC0" w14:textId="5B7B4351" w:rsidR="00BB7E5C" w:rsidRDefault="00BB7E5C" w:rsidP="00BB7E5C">
            <w:pPr>
              <w:pStyle w:val="ListBullet"/>
            </w:pPr>
            <w:r>
              <w:t xml:space="preserve">Positions itself as having the </w:t>
            </w:r>
            <w:r w:rsidR="005A65D4">
              <w:t>fourth</w:t>
            </w:r>
            <w:r>
              <w:t xml:space="preserve"> largest mobile network in Australia. It was founded in 2002 and is based in Southport, Queensland, Australia.</w:t>
            </w:r>
            <w:r w:rsidR="00C61AC1">
              <w:rPr>
                <w:rStyle w:val="FootnoteReference"/>
              </w:rPr>
              <w:footnoteReference w:id="77"/>
            </w:r>
          </w:p>
          <w:p w14:paraId="2A050CD4" w14:textId="22D26A5F" w:rsidR="00BB7E5C" w:rsidRDefault="00BB7E5C" w:rsidP="00BB7E5C">
            <w:pPr>
              <w:pStyle w:val="ListBullet"/>
            </w:pPr>
            <w:r>
              <w:t>Like Omnispace</w:t>
            </w:r>
            <w:r>
              <w:rPr>
                <w:rStyle w:val="FootnoteReference"/>
              </w:rPr>
              <w:footnoteReference w:id="78"/>
            </w:r>
            <w:r>
              <w:t xml:space="preserve">, it markets to its customers the ability to use mobile and satellite services </w:t>
            </w:r>
            <w:r>
              <w:lastRenderedPageBreak/>
              <w:t>as part of their service offering; reselling services of major satellite providers and mobile network owners.</w:t>
            </w:r>
            <w:r w:rsidR="000D6191">
              <w:rPr>
                <w:rStyle w:val="FootnoteReference"/>
              </w:rPr>
              <w:footnoteReference w:id="79"/>
            </w:r>
          </w:p>
          <w:p w14:paraId="1EC9FC21" w14:textId="77777777" w:rsidR="00BB7E5C" w:rsidRDefault="00BB7E5C" w:rsidP="00B1507B">
            <w:pPr>
              <w:pStyle w:val="ListBullet"/>
              <w:keepLines/>
            </w:pPr>
            <w:r w:rsidRPr="00A40692">
              <w:t>It provides voice, data, tracking, and satellite services for individuals, small businesses, industry and government, and large corporations in Australia and internationally.</w:t>
            </w:r>
          </w:p>
          <w:p w14:paraId="45DA5308" w14:textId="77777777" w:rsidR="00BB7E5C" w:rsidRDefault="00BB7E5C" w:rsidP="00BB7E5C">
            <w:pPr>
              <w:pStyle w:val="ListBullet"/>
            </w:pPr>
            <w:r w:rsidRPr="00624662">
              <w:t xml:space="preserve">The company provides </w:t>
            </w:r>
            <w:r>
              <w:t>carriers</w:t>
            </w:r>
            <w:r w:rsidRPr="00624662">
              <w:t xml:space="preserve"> with direct connection service to mobile satellite networks including Iridium, Inmarsat, Thuraya and Globalstar.</w:t>
            </w:r>
          </w:p>
        </w:tc>
      </w:tr>
      <w:tr w:rsidR="004F2AFA" w14:paraId="29994C66" w14:textId="77777777" w:rsidTr="00B1507B">
        <w:trPr>
          <w:cnfStyle w:val="000000100000" w:firstRow="0" w:lastRow="0" w:firstColumn="0" w:lastColumn="0" w:oddVBand="0" w:evenVBand="0" w:oddHBand="1" w:evenHBand="0" w:firstRowFirstColumn="0" w:firstRowLastColumn="0" w:lastRowFirstColumn="0" w:lastRowLastColumn="0"/>
        </w:trPr>
        <w:tc>
          <w:tcPr>
            <w:tcW w:w="1696" w:type="dxa"/>
          </w:tcPr>
          <w:p w14:paraId="48B685C3" w14:textId="77777777" w:rsidR="00BB7E5C" w:rsidRDefault="00BB7E5C" w:rsidP="00BB7E5C">
            <w:pPr>
              <w:pStyle w:val="TableBody"/>
            </w:pPr>
            <w:r>
              <w:lastRenderedPageBreak/>
              <w:t>Speedcast</w:t>
            </w:r>
          </w:p>
          <w:p w14:paraId="1D36772A" w14:textId="3002E8B8" w:rsidR="00BB7E5C" w:rsidRDefault="00BB7E5C" w:rsidP="00BB7E5C">
            <w:pPr>
              <w:pStyle w:val="TableBody"/>
            </w:pPr>
            <w:r>
              <w:t>(</w:t>
            </w:r>
            <w:r w:rsidR="00B079F6">
              <w:t xml:space="preserve">Dec 19 </w:t>
            </w:r>
            <w:r w:rsidR="00773D8F">
              <w:t>r</w:t>
            </w:r>
            <w:r>
              <w:t xml:space="preserve">evenue </w:t>
            </w:r>
            <w:r w:rsidR="00912574">
              <w:t>A</w:t>
            </w:r>
            <w:r>
              <w:t>$</w:t>
            </w:r>
            <w:r w:rsidRPr="00E91929">
              <w:t>1</w:t>
            </w:r>
            <w:r>
              <w:t>.</w:t>
            </w:r>
            <w:r w:rsidRPr="00E91929">
              <w:t>0</w:t>
            </w:r>
            <w:r w:rsidR="00E20CA8">
              <w:t xml:space="preserve"> </w:t>
            </w:r>
            <w:r>
              <w:t>b</w:t>
            </w:r>
            <w:r w:rsidR="00E20CA8">
              <w:t>illion</w:t>
            </w:r>
            <w:r>
              <w:t>)</w:t>
            </w:r>
            <w:r w:rsidR="00A55C99">
              <w:rPr>
                <w:rStyle w:val="FootnoteReference"/>
              </w:rPr>
              <w:footnoteReference w:id="80"/>
            </w:r>
          </w:p>
        </w:tc>
        <w:tc>
          <w:tcPr>
            <w:tcW w:w="1418" w:type="dxa"/>
          </w:tcPr>
          <w:p w14:paraId="4D863A42" w14:textId="77777777" w:rsidR="00BB7E5C" w:rsidRDefault="00BB7E5C" w:rsidP="00BB7E5C">
            <w:pPr>
              <w:pStyle w:val="TableBody"/>
            </w:pPr>
            <w:r>
              <w:t>Space applications</w:t>
            </w:r>
          </w:p>
        </w:tc>
        <w:tc>
          <w:tcPr>
            <w:tcW w:w="4545" w:type="dxa"/>
          </w:tcPr>
          <w:p w14:paraId="3175D211" w14:textId="3C3598BD" w:rsidR="00BB7E5C" w:rsidRDefault="00BB7E5C" w:rsidP="00BB7E5C">
            <w:pPr>
              <w:pStyle w:val="ListBullet"/>
            </w:pPr>
            <w:r w:rsidRPr="00E91929">
              <w:t>Speedcast provides remote communications and IT services</w:t>
            </w:r>
            <w:r>
              <w:t xml:space="preserve">. </w:t>
            </w:r>
            <w:r w:rsidRPr="00E91929">
              <w:t>The company was founded in 1999 and is headquartered in Botany, Australia.</w:t>
            </w:r>
            <w:r w:rsidR="00824343">
              <w:rPr>
                <w:rStyle w:val="FootnoteReference"/>
              </w:rPr>
              <w:footnoteReference w:id="81"/>
            </w:r>
          </w:p>
          <w:p w14:paraId="100892B9" w14:textId="77777777" w:rsidR="00BB7E5C" w:rsidRDefault="00BB7E5C" w:rsidP="00BB7E5C">
            <w:pPr>
              <w:pStyle w:val="ListBullet"/>
            </w:pPr>
            <w:r>
              <w:t>It uses a</w:t>
            </w:r>
            <w:r w:rsidRPr="00E91929">
              <w:t xml:space="preserve"> multi-band and multi-orbit network of satellites and an interconnecting global terrestrial network. </w:t>
            </w:r>
          </w:p>
          <w:p w14:paraId="33F16DB1" w14:textId="4D23234F" w:rsidR="00BB7E5C" w:rsidRDefault="00BB7E5C" w:rsidP="00BB7E5C">
            <w:pPr>
              <w:pStyle w:val="ListBullet"/>
            </w:pPr>
            <w:r>
              <w:t xml:space="preserve">It </w:t>
            </w:r>
            <w:r w:rsidR="0001645C">
              <w:t xml:space="preserve">filed for </w:t>
            </w:r>
            <w:r>
              <w:t xml:space="preserve">Chapter 11 bankruptcy in </w:t>
            </w:r>
            <w:r w:rsidR="0001645C">
              <w:t>the US</w:t>
            </w:r>
            <w:r>
              <w:t xml:space="preserve"> in </w:t>
            </w:r>
            <w:r w:rsidR="00C05B5F">
              <w:t>April 2020 but</w:t>
            </w:r>
            <w:r>
              <w:t xml:space="preserve"> has recently reached a deal to reorganise its finances with one its largest debt investors</w:t>
            </w:r>
            <w:r w:rsidR="00EA1ED3">
              <w:t>,</w:t>
            </w:r>
            <w:r>
              <w:t xml:space="preserve"> </w:t>
            </w:r>
            <w:r w:rsidRPr="00897FFD">
              <w:t>Centerbridge Partners</w:t>
            </w:r>
            <w:r>
              <w:t xml:space="preserve"> (paying </w:t>
            </w:r>
            <w:r w:rsidR="00702597">
              <w:t>US</w:t>
            </w:r>
            <w:r>
              <w:t xml:space="preserve">$500 million in return for cancelling out </w:t>
            </w:r>
            <w:r w:rsidR="00702597">
              <w:t>US</w:t>
            </w:r>
            <w:r>
              <w:t>$634 million in debt).</w:t>
            </w:r>
            <w:r w:rsidR="00163DC8">
              <w:rPr>
                <w:rStyle w:val="FootnoteReference"/>
              </w:rPr>
              <w:footnoteReference w:id="82"/>
            </w:r>
          </w:p>
          <w:p w14:paraId="5009F8C4" w14:textId="63348D48" w:rsidR="00BB7E5C" w:rsidRDefault="00AF381F" w:rsidP="00BB7E5C">
            <w:pPr>
              <w:pStyle w:val="ListBullet"/>
            </w:pPr>
            <w:r>
              <w:t xml:space="preserve">Speedcast completed </w:t>
            </w:r>
            <w:r w:rsidR="00CB5541">
              <w:t>its reorganisation</w:t>
            </w:r>
            <w:r w:rsidR="0051729E">
              <w:t xml:space="preserve"> u</w:t>
            </w:r>
            <w:r w:rsidR="0051729E" w:rsidRPr="0051729E">
              <w:t>nder the ownership of Centerbridge Partners, L.P</w:t>
            </w:r>
            <w:r w:rsidR="00BB7E5C">
              <w:t>.</w:t>
            </w:r>
            <w:r w:rsidR="0051729E">
              <w:rPr>
                <w:rStyle w:val="FootnoteReference"/>
              </w:rPr>
              <w:footnoteReference w:id="83"/>
            </w:r>
          </w:p>
        </w:tc>
      </w:tr>
      <w:tr w:rsidR="004F2AFA" w14:paraId="15ED5877" w14:textId="77777777" w:rsidTr="00B1507B">
        <w:trPr>
          <w:cnfStyle w:val="000000010000" w:firstRow="0" w:lastRow="0" w:firstColumn="0" w:lastColumn="0" w:oddVBand="0" w:evenVBand="0" w:oddHBand="0" w:evenHBand="1" w:firstRowFirstColumn="0" w:firstRowLastColumn="0" w:lastRowFirstColumn="0" w:lastRowLastColumn="0"/>
        </w:trPr>
        <w:tc>
          <w:tcPr>
            <w:tcW w:w="1696" w:type="dxa"/>
          </w:tcPr>
          <w:p w14:paraId="2931A84B" w14:textId="77777777" w:rsidR="00BB7E5C" w:rsidRDefault="00BB7E5C" w:rsidP="00BB7E5C">
            <w:pPr>
              <w:pStyle w:val="TableBody"/>
            </w:pPr>
            <w:r>
              <w:t>Telesat Canada</w:t>
            </w:r>
          </w:p>
          <w:p w14:paraId="7111FC51" w14:textId="772D17FD" w:rsidR="00BB7E5C" w:rsidRDefault="00BB7E5C" w:rsidP="00BB7E5C">
            <w:pPr>
              <w:pStyle w:val="TableBody"/>
            </w:pPr>
            <w:r>
              <w:t>(</w:t>
            </w:r>
            <w:r w:rsidR="00B079F6">
              <w:t xml:space="preserve">Dec 20 </w:t>
            </w:r>
            <w:r w:rsidR="00773D8F">
              <w:t>r</w:t>
            </w:r>
            <w:r>
              <w:t xml:space="preserve">evenue </w:t>
            </w:r>
            <w:r w:rsidR="00912574">
              <w:t>A</w:t>
            </w:r>
            <w:r>
              <w:t>$0.9</w:t>
            </w:r>
            <w:r w:rsidR="00E20CA8">
              <w:t xml:space="preserve"> </w:t>
            </w:r>
            <w:r>
              <w:t>b</w:t>
            </w:r>
            <w:r w:rsidR="00E20CA8">
              <w:t>illion</w:t>
            </w:r>
            <w:r>
              <w:t>)</w:t>
            </w:r>
            <w:r>
              <w:rPr>
                <w:rStyle w:val="FootnoteReference"/>
              </w:rPr>
              <w:footnoteReference w:id="84"/>
            </w:r>
          </w:p>
        </w:tc>
        <w:tc>
          <w:tcPr>
            <w:tcW w:w="1418" w:type="dxa"/>
          </w:tcPr>
          <w:p w14:paraId="5A099CAC" w14:textId="77777777" w:rsidR="00BB7E5C" w:rsidRDefault="00BB7E5C" w:rsidP="00BB7E5C">
            <w:pPr>
              <w:pStyle w:val="TableBody"/>
            </w:pPr>
            <w:r>
              <w:t>Space operations</w:t>
            </w:r>
          </w:p>
        </w:tc>
        <w:tc>
          <w:tcPr>
            <w:tcW w:w="4545" w:type="dxa"/>
          </w:tcPr>
          <w:p w14:paraId="3DCC4608" w14:textId="1B6FF78B" w:rsidR="00BB7E5C" w:rsidRDefault="00BB7E5C" w:rsidP="00BB7E5C">
            <w:pPr>
              <w:pStyle w:val="ListBullet"/>
            </w:pPr>
            <w:r>
              <w:t>Canada-based, operates globally (including Australia)</w:t>
            </w:r>
            <w:r w:rsidR="00EA1ED3">
              <w:t>,</w:t>
            </w:r>
            <w:r>
              <w:t xml:space="preserve"> </w:t>
            </w:r>
            <w:r w:rsidR="00EA1ED3">
              <w:t>b</w:t>
            </w:r>
            <w:r>
              <w:t>roadcast distribution and communications, government services.</w:t>
            </w:r>
            <w:r w:rsidR="009C7232">
              <w:rPr>
                <w:rStyle w:val="FootnoteReference"/>
              </w:rPr>
              <w:footnoteReference w:id="85"/>
            </w:r>
          </w:p>
          <w:p w14:paraId="60A768B0" w14:textId="317841C6" w:rsidR="00BB7E5C" w:rsidRDefault="00BB7E5C" w:rsidP="00BB7E5C">
            <w:pPr>
              <w:pStyle w:val="ListBullet"/>
            </w:pPr>
            <w:r>
              <w:t xml:space="preserve">Profitability is sensitive to exchange rates and has been affected by </w:t>
            </w:r>
            <w:r w:rsidR="00903B52">
              <w:t xml:space="preserve">the COVID-19 pandemic </w:t>
            </w:r>
            <w:r>
              <w:t>through lower revenues and increased provisions for bad debts.</w:t>
            </w:r>
            <w:r w:rsidR="00E16433">
              <w:rPr>
                <w:rStyle w:val="FootnoteReference"/>
              </w:rPr>
              <w:footnoteReference w:id="86"/>
            </w:r>
          </w:p>
          <w:p w14:paraId="1168023B" w14:textId="19EE4567" w:rsidR="00BB7E5C" w:rsidRDefault="00BB7E5C" w:rsidP="00BB7E5C">
            <w:pPr>
              <w:pStyle w:val="ListBullet"/>
            </w:pPr>
            <w:r>
              <w:t xml:space="preserve">Currently conducting </w:t>
            </w:r>
            <w:r w:rsidRPr="00A20452">
              <w:t>trials</w:t>
            </w:r>
            <w:r>
              <w:t xml:space="preserve"> using its LEO satellites for commercial and non-commercial </w:t>
            </w:r>
            <w:r>
              <w:lastRenderedPageBreak/>
              <w:t>applications (including public safety mobile broadband and in-flight connectivity).</w:t>
            </w:r>
            <w:r w:rsidR="00A20452">
              <w:rPr>
                <w:rStyle w:val="FootnoteReference"/>
              </w:rPr>
              <w:footnoteReference w:id="87"/>
            </w:r>
          </w:p>
          <w:p w14:paraId="5E2A4030" w14:textId="77777777" w:rsidR="00BB7E5C" w:rsidRDefault="00BB7E5C" w:rsidP="00BB7E5C">
            <w:pPr>
              <w:pStyle w:val="ListBullet"/>
            </w:pPr>
            <w:r>
              <w:t>It intends to launch a constellation of 298 LEO satellites.</w:t>
            </w:r>
          </w:p>
        </w:tc>
      </w:tr>
      <w:tr w:rsidR="004F2AFA" w14:paraId="7DE925B1" w14:textId="77777777" w:rsidTr="00B1507B">
        <w:trPr>
          <w:cnfStyle w:val="000000100000" w:firstRow="0" w:lastRow="0" w:firstColumn="0" w:lastColumn="0" w:oddVBand="0" w:evenVBand="0" w:oddHBand="1" w:evenHBand="0" w:firstRowFirstColumn="0" w:firstRowLastColumn="0" w:lastRowFirstColumn="0" w:lastRowLastColumn="0"/>
        </w:trPr>
        <w:tc>
          <w:tcPr>
            <w:tcW w:w="1696" w:type="dxa"/>
          </w:tcPr>
          <w:p w14:paraId="1B19DF61" w14:textId="213325F4" w:rsidR="00BB7E5C" w:rsidRDefault="00BB7E5C" w:rsidP="00BB7E5C">
            <w:pPr>
              <w:pStyle w:val="TableBody"/>
            </w:pPr>
            <w:r>
              <w:lastRenderedPageBreak/>
              <w:t xml:space="preserve">Telstra </w:t>
            </w:r>
            <w:r w:rsidR="00E20CA8">
              <w:br/>
            </w:r>
            <w:r>
              <w:t>(</w:t>
            </w:r>
            <w:r w:rsidR="00B079F6">
              <w:t xml:space="preserve">Dec 20 </w:t>
            </w:r>
            <w:r w:rsidR="00773D8F">
              <w:t>r</w:t>
            </w:r>
            <w:r>
              <w:t xml:space="preserve">evenue </w:t>
            </w:r>
            <w:r w:rsidR="00E20CA8">
              <w:br/>
            </w:r>
            <w:r w:rsidR="00DF66A1">
              <w:t>A</w:t>
            </w:r>
            <w:r>
              <w:t>$2</w:t>
            </w:r>
            <w:r w:rsidR="009B33F1">
              <w:t>2</w:t>
            </w:r>
            <w:r>
              <w:t>.</w:t>
            </w:r>
            <w:r w:rsidR="009B33F1">
              <w:t>5</w:t>
            </w:r>
            <w:r w:rsidR="00E20CA8">
              <w:t xml:space="preserve"> </w:t>
            </w:r>
            <w:r>
              <w:t>b</w:t>
            </w:r>
            <w:r w:rsidR="00E20CA8">
              <w:t>illion</w:t>
            </w:r>
            <w:r>
              <w:t>)</w:t>
            </w:r>
            <w:r w:rsidR="001829CF">
              <w:rPr>
                <w:rStyle w:val="FootnoteReference"/>
              </w:rPr>
              <w:footnoteReference w:id="88"/>
            </w:r>
          </w:p>
        </w:tc>
        <w:tc>
          <w:tcPr>
            <w:tcW w:w="1418" w:type="dxa"/>
          </w:tcPr>
          <w:p w14:paraId="4A9B4FAC" w14:textId="77777777" w:rsidR="00BB7E5C" w:rsidRDefault="00BB7E5C" w:rsidP="00BB7E5C">
            <w:pPr>
              <w:pStyle w:val="TableBody"/>
            </w:pPr>
            <w:r>
              <w:t>Earth stations and applications</w:t>
            </w:r>
          </w:p>
        </w:tc>
        <w:tc>
          <w:tcPr>
            <w:tcW w:w="4545" w:type="dxa"/>
          </w:tcPr>
          <w:p w14:paraId="434C659B" w14:textId="1FFB8E6F" w:rsidR="00BB7E5C" w:rsidRDefault="00BB7E5C" w:rsidP="00BB7E5C">
            <w:pPr>
              <w:pStyle w:val="ListBullet"/>
            </w:pPr>
            <w:r>
              <w:t>Telstra’s satellite business is a relatively small part of its business with it owning 3 Earth stations.</w:t>
            </w:r>
            <w:r w:rsidR="008303DA">
              <w:rPr>
                <w:rStyle w:val="FootnoteReference"/>
              </w:rPr>
              <w:footnoteReference w:id="89"/>
            </w:r>
          </w:p>
          <w:p w14:paraId="64E2C944" w14:textId="7642293A" w:rsidR="00BB7E5C" w:rsidRDefault="00BB7E5C" w:rsidP="00774034">
            <w:pPr>
              <w:pStyle w:val="ListBullet"/>
              <w:keepLines/>
            </w:pPr>
            <w:r>
              <w:t>Telstra’s satellite presence is linked with its Earth stations and extensive global telecommunications network. It partners with satellite operators (</w:t>
            </w:r>
            <w:r w:rsidR="00D90156">
              <w:t>such as</w:t>
            </w:r>
            <w:r>
              <w:t xml:space="preserve"> NBN Co, Optus</w:t>
            </w:r>
            <w:r w:rsidR="00D90156">
              <w:t xml:space="preserve"> and</w:t>
            </w:r>
            <w:r>
              <w:t xml:space="preserve"> Intelsat).</w:t>
            </w:r>
            <w:r w:rsidR="00664FD8">
              <w:rPr>
                <w:rStyle w:val="FootnoteReference"/>
              </w:rPr>
              <w:footnoteReference w:id="90"/>
            </w:r>
          </w:p>
          <w:p w14:paraId="6B502D5C" w14:textId="77777777" w:rsidR="00BB7E5C" w:rsidRDefault="00BB7E5C" w:rsidP="00BB7E5C">
            <w:pPr>
              <w:pStyle w:val="ListBullet"/>
            </w:pPr>
            <w:r>
              <w:t>It provides connectivity to its enterprise customers through a range of products.</w:t>
            </w:r>
          </w:p>
        </w:tc>
      </w:tr>
      <w:tr w:rsidR="004F2AFA" w14:paraId="70C98364" w14:textId="77777777" w:rsidTr="00B1507B">
        <w:trPr>
          <w:cnfStyle w:val="000000010000" w:firstRow="0" w:lastRow="0" w:firstColumn="0" w:lastColumn="0" w:oddVBand="0" w:evenVBand="0" w:oddHBand="0" w:evenHBand="1" w:firstRowFirstColumn="0" w:firstRowLastColumn="0" w:lastRowFirstColumn="0" w:lastRowLastColumn="0"/>
        </w:trPr>
        <w:tc>
          <w:tcPr>
            <w:tcW w:w="1696" w:type="dxa"/>
          </w:tcPr>
          <w:p w14:paraId="6F17D217" w14:textId="76E7F550" w:rsidR="00BB7E5C" w:rsidRDefault="00BB7E5C" w:rsidP="00BB7E5C">
            <w:pPr>
              <w:pStyle w:val="TableBody"/>
            </w:pPr>
            <w:r>
              <w:t xml:space="preserve">Thaicom </w:t>
            </w:r>
            <w:r w:rsidR="00BD5F67">
              <w:br/>
            </w:r>
            <w:r>
              <w:t>(</w:t>
            </w:r>
            <w:r w:rsidR="00B079F6">
              <w:t xml:space="preserve">Dec 20 </w:t>
            </w:r>
            <w:r w:rsidR="00773D8F">
              <w:t>r</w:t>
            </w:r>
            <w:r>
              <w:t xml:space="preserve">evenue </w:t>
            </w:r>
            <w:r w:rsidR="00DF66A1">
              <w:t>A</w:t>
            </w:r>
            <w:r>
              <w:t>$0.2</w:t>
            </w:r>
            <w:r w:rsidR="00E20CA8">
              <w:t xml:space="preserve"> </w:t>
            </w:r>
            <w:r>
              <w:t>b</w:t>
            </w:r>
            <w:r w:rsidR="00E20CA8">
              <w:t>illion</w:t>
            </w:r>
            <w:r>
              <w:t>)</w:t>
            </w:r>
            <w:r>
              <w:rPr>
                <w:rStyle w:val="FootnoteReference"/>
              </w:rPr>
              <w:footnoteReference w:id="91"/>
            </w:r>
          </w:p>
        </w:tc>
        <w:tc>
          <w:tcPr>
            <w:tcW w:w="1418" w:type="dxa"/>
          </w:tcPr>
          <w:p w14:paraId="7FE3A0FB" w14:textId="77777777" w:rsidR="00BB7E5C" w:rsidRDefault="00BB7E5C" w:rsidP="00BB7E5C">
            <w:pPr>
              <w:pStyle w:val="TableBody"/>
            </w:pPr>
            <w:r>
              <w:t>Earth stations and space applications</w:t>
            </w:r>
          </w:p>
        </w:tc>
        <w:tc>
          <w:tcPr>
            <w:tcW w:w="4545" w:type="dxa"/>
          </w:tcPr>
          <w:p w14:paraId="5AA3BB49" w14:textId="44011A18" w:rsidR="00BB7E5C" w:rsidRDefault="00BB7E5C" w:rsidP="00774034">
            <w:pPr>
              <w:pStyle w:val="ListBullet"/>
              <w:keepLines/>
            </w:pPr>
            <w:r w:rsidRPr="007D7ED2">
              <w:t>Thaicom provides satellite transponder leasing and related services, internet-related services, telephone-related services (overseas), and telephone directories and distribution.</w:t>
            </w:r>
            <w:r>
              <w:t xml:space="preserve"> </w:t>
            </w:r>
            <w:r w:rsidRPr="007F21A5">
              <w:t>Thaicom is headquartered in Nonthaburi, Thailand.</w:t>
            </w:r>
            <w:r w:rsidR="00130514">
              <w:rPr>
                <w:rStyle w:val="FootnoteReference"/>
              </w:rPr>
              <w:footnoteReference w:id="92"/>
            </w:r>
          </w:p>
          <w:p w14:paraId="5654D455" w14:textId="3557E12A" w:rsidR="00BB7E5C" w:rsidRDefault="00BB7E5C" w:rsidP="00BB7E5C">
            <w:pPr>
              <w:pStyle w:val="ListBullet"/>
            </w:pPr>
            <w:r>
              <w:t>It has operations in Cambodia, Mauritius, the British Virgin Islands, Myanmar, Philippines, Singapore, Thailand, India, Japan, New Zealand and Australia (IPSTAR</w:t>
            </w:r>
            <w:r w:rsidR="2D8BF633">
              <w:t>, a Thaicom subsidiary</w:t>
            </w:r>
            <w:r>
              <w:t>). IPSTAR was founded in 2003 and is based in North Ryde, Australia.</w:t>
            </w:r>
          </w:p>
          <w:p w14:paraId="0F62A18A" w14:textId="77777777" w:rsidR="00BB7E5C" w:rsidRDefault="00BB7E5C" w:rsidP="00BB7E5C">
            <w:pPr>
              <w:pStyle w:val="ListBullet"/>
            </w:pPr>
            <w:r>
              <w:t xml:space="preserve">IPSTAR </w:t>
            </w:r>
            <w:r w:rsidRPr="007F21A5">
              <w:t>claims to support over 100,000 regional customers</w:t>
            </w:r>
            <w:r>
              <w:t xml:space="preserve"> and uses the NBN to connect customers</w:t>
            </w:r>
            <w:r w:rsidRPr="007F21A5">
              <w:t>.</w:t>
            </w:r>
            <w:r>
              <w:t xml:space="preserve"> It also owns </w:t>
            </w:r>
            <w:hyperlink r:id="rId84">
              <w:r w:rsidRPr="7EF6276D">
                <w:rPr>
                  <w:rStyle w:val="Hyperlink"/>
                </w:rPr>
                <w:t>Orion Satellite Systems</w:t>
              </w:r>
            </w:hyperlink>
            <w:r>
              <w:t xml:space="preserve"> which also operates in Australia.</w:t>
            </w:r>
          </w:p>
          <w:p w14:paraId="55DBEABF" w14:textId="27056C43" w:rsidR="00BB7E5C" w:rsidRDefault="00BB7E5C" w:rsidP="00BB7E5C">
            <w:pPr>
              <w:pStyle w:val="ListBullet"/>
            </w:pPr>
            <w:r>
              <w:t>NBN Co used to lease IPSTAR’s satellites to provide satellite coverage in Australia (</w:t>
            </w:r>
            <w:r w:rsidR="00983CFA">
              <w:t>that is,</w:t>
            </w:r>
            <w:r>
              <w:t xml:space="preserve"> prior to the 2 Sky Muster satellites NBN Co now operates).</w:t>
            </w:r>
            <w:r w:rsidR="0068151E">
              <w:rPr>
                <w:rStyle w:val="FootnoteReference"/>
              </w:rPr>
              <w:footnoteReference w:id="93"/>
            </w:r>
            <w:r>
              <w:t xml:space="preserve"> </w:t>
            </w:r>
          </w:p>
        </w:tc>
      </w:tr>
      <w:tr w:rsidR="004F2AFA" w14:paraId="7EF526FC" w14:textId="77777777" w:rsidTr="00B1507B">
        <w:trPr>
          <w:cnfStyle w:val="000000100000" w:firstRow="0" w:lastRow="0" w:firstColumn="0" w:lastColumn="0" w:oddVBand="0" w:evenVBand="0" w:oddHBand="1" w:evenHBand="0" w:firstRowFirstColumn="0" w:firstRowLastColumn="0" w:lastRowFirstColumn="0" w:lastRowLastColumn="0"/>
        </w:trPr>
        <w:tc>
          <w:tcPr>
            <w:tcW w:w="1696" w:type="dxa"/>
          </w:tcPr>
          <w:p w14:paraId="2A413592" w14:textId="64123496" w:rsidR="00BB7E5C" w:rsidRDefault="00BB7E5C" w:rsidP="00BB7E5C">
            <w:pPr>
              <w:pStyle w:val="TableBody"/>
            </w:pPr>
            <w:r>
              <w:t xml:space="preserve">Viasat </w:t>
            </w:r>
            <w:r w:rsidR="00E20CA8">
              <w:br/>
            </w:r>
            <w:r>
              <w:t>(</w:t>
            </w:r>
            <w:r w:rsidR="00B079F6">
              <w:t xml:space="preserve">Dec 20 </w:t>
            </w:r>
            <w:r w:rsidR="00773D8F">
              <w:t>r</w:t>
            </w:r>
            <w:r>
              <w:t xml:space="preserve">evenue </w:t>
            </w:r>
            <w:r w:rsidR="00DF66A1">
              <w:t>A</w:t>
            </w:r>
            <w:r>
              <w:t>$3.3</w:t>
            </w:r>
            <w:r w:rsidR="00E20CA8">
              <w:t xml:space="preserve"> </w:t>
            </w:r>
            <w:r>
              <w:t>b</w:t>
            </w:r>
            <w:r w:rsidR="00E20CA8">
              <w:t>illion</w:t>
            </w:r>
            <w:r>
              <w:t>)</w:t>
            </w:r>
            <w:r>
              <w:rPr>
                <w:rStyle w:val="FootnoteReference"/>
              </w:rPr>
              <w:footnoteReference w:id="94"/>
            </w:r>
          </w:p>
        </w:tc>
        <w:tc>
          <w:tcPr>
            <w:tcW w:w="1418" w:type="dxa"/>
          </w:tcPr>
          <w:p w14:paraId="22B0F9C8" w14:textId="77777777" w:rsidR="00BB7E5C" w:rsidRDefault="00BB7E5C" w:rsidP="00BB7E5C">
            <w:pPr>
              <w:pStyle w:val="TableBody"/>
            </w:pPr>
            <w:r>
              <w:t>Earth stations and space applications</w:t>
            </w:r>
          </w:p>
        </w:tc>
        <w:tc>
          <w:tcPr>
            <w:tcW w:w="4545" w:type="dxa"/>
          </w:tcPr>
          <w:p w14:paraId="7A6B3C07" w14:textId="017254F3" w:rsidR="00BB7E5C" w:rsidRDefault="00BB7E5C" w:rsidP="00BB7E5C">
            <w:pPr>
              <w:pStyle w:val="Bulletlevel1"/>
            </w:pPr>
            <w:r>
              <w:t xml:space="preserve">Viasat is a global communications company that offers fixed and mobile broadband services, secure networking systems, and advanced satellite communication systems. </w:t>
            </w:r>
            <w:r>
              <w:lastRenderedPageBreak/>
              <w:t>ViaSat is headquartered in Carlsbad, California, US and was founded in 1986.</w:t>
            </w:r>
            <w:r w:rsidR="00AF07D6">
              <w:rPr>
                <w:rStyle w:val="FootnoteReference"/>
              </w:rPr>
              <w:footnoteReference w:id="95"/>
            </w:r>
          </w:p>
          <w:p w14:paraId="7EEAD898" w14:textId="19B2EA41" w:rsidR="00BB7E5C" w:rsidRDefault="00BB7E5C" w:rsidP="00BB7E5C">
            <w:pPr>
              <w:pStyle w:val="Bulletlevel1"/>
            </w:pPr>
            <w:r>
              <w:t>Approximately 90</w:t>
            </w:r>
            <w:r w:rsidR="00E538E7">
              <w:t>%</w:t>
            </w:r>
            <w:r>
              <w:t xml:space="preserve"> of its revenues are from the US market. It has 3 satellites and is building a LEO service.</w:t>
            </w:r>
          </w:p>
          <w:p w14:paraId="12842965" w14:textId="68ADAAAA" w:rsidR="00BB7E5C" w:rsidRDefault="00BB7E5C" w:rsidP="00BB7E5C">
            <w:pPr>
              <w:pStyle w:val="Bulletlevel1"/>
            </w:pPr>
            <w:r>
              <w:t xml:space="preserve">It has 10 Earth stations </w:t>
            </w:r>
            <w:r w:rsidR="00D3313A">
              <w:t>including one</w:t>
            </w:r>
            <w:r>
              <w:t xml:space="preserve"> in Alice Springs.</w:t>
            </w:r>
            <w:r w:rsidR="0008455D">
              <w:rPr>
                <w:rStyle w:val="FootnoteReference"/>
              </w:rPr>
              <w:footnoteReference w:id="96"/>
            </w:r>
          </w:p>
          <w:p w14:paraId="7334CA00" w14:textId="3B9E4B31" w:rsidR="00BB7E5C" w:rsidRDefault="00BB7E5C" w:rsidP="00D8686C">
            <w:pPr>
              <w:pStyle w:val="Bulletlevel1"/>
              <w:keepLines/>
            </w:pPr>
            <w:r w:rsidRPr="00B050E0">
              <w:t xml:space="preserve">It has a business presence across the Americas, Europe, Asia-Pacific, the </w:t>
            </w:r>
            <w:r w:rsidR="00C05B5F" w:rsidRPr="00B050E0">
              <w:t>Middle East</w:t>
            </w:r>
            <w:r w:rsidRPr="00B050E0">
              <w:t xml:space="preserve"> and Africa. </w:t>
            </w:r>
            <w:r>
              <w:t>It has previously delivered satellite services for NBN Co and has contracts with the Australian Defence Force to contribute to the Five Eyes partnership.</w:t>
            </w:r>
            <w:r w:rsidR="00DE50FD">
              <w:rPr>
                <w:rStyle w:val="FootnoteReference"/>
              </w:rPr>
              <w:footnoteReference w:id="97"/>
            </w:r>
          </w:p>
          <w:p w14:paraId="4B3658B0" w14:textId="2978485E" w:rsidR="00BB7E5C" w:rsidRDefault="00BB7E5C" w:rsidP="00BB7E5C">
            <w:pPr>
              <w:pStyle w:val="Bulletlevel1"/>
            </w:pPr>
            <w:r>
              <w:t xml:space="preserve">The company </w:t>
            </w:r>
            <w:hyperlink r:id="rId85">
              <w:r w:rsidRPr="7EF6276D">
                <w:rPr>
                  <w:rStyle w:val="Hyperlink"/>
                </w:rPr>
                <w:t>announced</w:t>
              </w:r>
            </w:hyperlink>
            <w:r>
              <w:t xml:space="preserve"> it entered into a definitive agreement to acquire RigNet, Inc. </w:t>
            </w:r>
            <w:r w:rsidRPr="00E73EAC">
              <w:t xml:space="preserve">in an all-stock transaction that values RigNet at an enterprise value of approximately </w:t>
            </w:r>
            <w:r w:rsidR="00983CFA">
              <w:t>US</w:t>
            </w:r>
            <w:r w:rsidRPr="00E73EAC">
              <w:t>$</w:t>
            </w:r>
            <w:r w:rsidR="00543E32" w:rsidRPr="00E73EAC">
              <w:t>222</w:t>
            </w:r>
            <w:r w:rsidR="00543E32">
              <w:t> </w:t>
            </w:r>
            <w:r w:rsidRPr="00E73EAC">
              <w:t>million</w:t>
            </w:r>
            <w:r>
              <w:t>.</w:t>
            </w:r>
            <w:r w:rsidRPr="00E73EAC">
              <w:t xml:space="preserve"> </w:t>
            </w:r>
            <w:r>
              <w:t>The acquisition diversifies Viasat’s offerings into the IoT space, providing asset tracking and communications services across the globe.</w:t>
            </w:r>
          </w:p>
        </w:tc>
      </w:tr>
    </w:tbl>
    <w:p w14:paraId="1DE58397" w14:textId="77777777" w:rsidR="00BB7E5C" w:rsidRDefault="00BB7E5C" w:rsidP="00BB7E5C">
      <w:pPr>
        <w:pStyle w:val="Tableorfigurenote"/>
      </w:pPr>
      <w:r>
        <w:lastRenderedPageBreak/>
        <w:t xml:space="preserve"> Note: Reported revenues relate to the most recent financial reporting period (year-on-year) for entire business (including revenues attributed to space activities).</w:t>
      </w:r>
    </w:p>
    <w:p w14:paraId="08F5FD05" w14:textId="77777777" w:rsidR="00BB7E5C" w:rsidRDefault="00BB7E5C" w:rsidP="00BB7E5C">
      <w:pPr>
        <w:pStyle w:val="Heading2"/>
      </w:pPr>
      <w:bookmarkStart w:id="44" w:name="_Toc62205750"/>
      <w:bookmarkStart w:id="45" w:name="_Toc65851784"/>
      <w:r>
        <w:t>Start-up space businesses</w:t>
      </w:r>
      <w:bookmarkEnd w:id="44"/>
      <w:bookmarkEnd w:id="45"/>
    </w:p>
    <w:p w14:paraId="5FF84F07" w14:textId="30227DF4" w:rsidR="00BB7E5C" w:rsidRDefault="00632BAF" w:rsidP="00BB7E5C">
      <w:pPr>
        <w:pStyle w:val="Paragraph"/>
      </w:pPr>
      <w:r>
        <w:t>Table </w:t>
      </w:r>
      <w:r w:rsidR="00EC42EA">
        <w:t>B</w:t>
      </w:r>
      <w:r w:rsidR="00E47122">
        <w:t>2</w:t>
      </w:r>
      <w:r w:rsidR="00BB7E5C">
        <w:t xml:space="preserve"> provides a summary of some of the key </w:t>
      </w:r>
      <w:r w:rsidR="00E47122">
        <w:t>start-up businesses</w:t>
      </w:r>
      <w:r w:rsidR="00BB7E5C">
        <w:t>.</w:t>
      </w:r>
    </w:p>
    <w:p w14:paraId="53FCB1CF" w14:textId="189D02E7" w:rsidR="00BB7E5C" w:rsidRDefault="001526EB" w:rsidP="001526EB">
      <w:pPr>
        <w:pStyle w:val="Tableheading"/>
        <w:numPr>
          <w:ilvl w:val="0"/>
          <w:numId w:val="0"/>
        </w:numPr>
        <w:ind w:left="964" w:hanging="964"/>
      </w:pPr>
      <w:r>
        <w:t>Table B2:</w:t>
      </w:r>
      <w:r>
        <w:tab/>
      </w:r>
      <w:r w:rsidR="00BB7E5C">
        <w:t>Start-up LEO businesses</w:t>
      </w:r>
    </w:p>
    <w:tbl>
      <w:tblPr>
        <w:tblStyle w:val="ACMAtablestyle"/>
        <w:tblW w:w="5000" w:type="pct"/>
        <w:tblLook w:val="04A0" w:firstRow="1" w:lastRow="0" w:firstColumn="1" w:lastColumn="0" w:noHBand="0" w:noVBand="1"/>
      </w:tblPr>
      <w:tblGrid>
        <w:gridCol w:w="1696"/>
        <w:gridCol w:w="1417"/>
        <w:gridCol w:w="4548"/>
      </w:tblGrid>
      <w:tr w:rsidR="009536E9" w14:paraId="515637FF" w14:textId="77777777" w:rsidTr="00B1507B">
        <w:trPr>
          <w:cnfStyle w:val="100000000000" w:firstRow="1" w:lastRow="0" w:firstColumn="0" w:lastColumn="0" w:oddVBand="0" w:evenVBand="0" w:oddHBand="0" w:evenHBand="0" w:firstRowFirstColumn="0" w:firstRowLastColumn="0" w:lastRowFirstColumn="0" w:lastRowLastColumn="0"/>
        </w:trPr>
        <w:tc>
          <w:tcPr>
            <w:tcW w:w="1107" w:type="pct"/>
          </w:tcPr>
          <w:p w14:paraId="203E2C1E" w14:textId="77777777" w:rsidR="00BB7E5C" w:rsidRDefault="00BB7E5C" w:rsidP="00BB7E5C">
            <w:pPr>
              <w:pStyle w:val="Tableheaderrow"/>
            </w:pPr>
            <w:r>
              <w:t>Company</w:t>
            </w:r>
          </w:p>
        </w:tc>
        <w:tc>
          <w:tcPr>
            <w:tcW w:w="925" w:type="pct"/>
          </w:tcPr>
          <w:p w14:paraId="0C2F2D2E" w14:textId="77777777" w:rsidR="00BB7E5C" w:rsidRDefault="00BB7E5C" w:rsidP="00BB7E5C">
            <w:pPr>
              <w:pStyle w:val="Tableheaderrow"/>
            </w:pPr>
            <w:r>
              <w:t>Segment(s)</w:t>
            </w:r>
          </w:p>
        </w:tc>
        <w:tc>
          <w:tcPr>
            <w:tcW w:w="2968" w:type="pct"/>
          </w:tcPr>
          <w:p w14:paraId="08E4EC9F" w14:textId="77777777" w:rsidR="00BB7E5C" w:rsidRDefault="00BB7E5C" w:rsidP="00BB7E5C">
            <w:pPr>
              <w:pStyle w:val="Tableheaderrow"/>
            </w:pPr>
            <w:r>
              <w:t>Businesses/locations</w:t>
            </w:r>
          </w:p>
        </w:tc>
      </w:tr>
      <w:tr w:rsidR="009536E9" w14:paraId="75094BDB" w14:textId="77777777" w:rsidTr="00B1507B">
        <w:trPr>
          <w:cnfStyle w:val="000000100000" w:firstRow="0" w:lastRow="0" w:firstColumn="0" w:lastColumn="0" w:oddVBand="0" w:evenVBand="0" w:oddHBand="1" w:evenHBand="0" w:firstRowFirstColumn="0" w:firstRowLastColumn="0" w:lastRowFirstColumn="0" w:lastRowLastColumn="0"/>
        </w:trPr>
        <w:tc>
          <w:tcPr>
            <w:tcW w:w="1107" w:type="pct"/>
          </w:tcPr>
          <w:p w14:paraId="2074552C" w14:textId="77777777" w:rsidR="00BB7E5C" w:rsidRDefault="00BB7E5C" w:rsidP="00BB7E5C">
            <w:pPr>
              <w:pStyle w:val="TableBody"/>
            </w:pPr>
            <w:r>
              <w:t>Amazon (via Amazon Web Services (AWS))</w:t>
            </w:r>
          </w:p>
          <w:p w14:paraId="29F43574" w14:textId="49D7399A" w:rsidR="00BB7E5C" w:rsidRDefault="00BB7E5C" w:rsidP="00BB7E5C">
            <w:pPr>
              <w:pStyle w:val="TableBody"/>
            </w:pPr>
            <w:r>
              <w:t>(</w:t>
            </w:r>
            <w:r w:rsidR="009538FB">
              <w:t>Dec 20</w:t>
            </w:r>
            <w:r w:rsidR="00065771">
              <w:t xml:space="preserve"> </w:t>
            </w:r>
            <w:r w:rsidR="00773D8F">
              <w:t>r</w:t>
            </w:r>
            <w:r>
              <w:t>evenue</w:t>
            </w:r>
            <w:r w:rsidR="000944F1">
              <w:t xml:space="preserve"> </w:t>
            </w:r>
            <w:r w:rsidR="00E20CA8">
              <w:br/>
            </w:r>
            <w:r w:rsidR="007C6D5A">
              <w:t>A</w:t>
            </w:r>
            <w:r>
              <w:t>$</w:t>
            </w:r>
            <w:r w:rsidR="00353F6C">
              <w:t>65</w:t>
            </w:r>
            <w:r>
              <w:t>.</w:t>
            </w:r>
            <w:r w:rsidR="00353F6C">
              <w:t>9</w:t>
            </w:r>
            <w:r w:rsidR="00065771">
              <w:t> </w:t>
            </w:r>
            <w:r>
              <w:t>b</w:t>
            </w:r>
            <w:r w:rsidR="00E20CA8">
              <w:t>illion</w:t>
            </w:r>
            <w:r w:rsidR="00065771">
              <w:t>)</w:t>
            </w:r>
            <w:r w:rsidR="0038575A">
              <w:rPr>
                <w:rStyle w:val="FootnoteReference"/>
              </w:rPr>
              <w:footnoteReference w:id="98"/>
            </w:r>
          </w:p>
        </w:tc>
        <w:tc>
          <w:tcPr>
            <w:tcW w:w="925" w:type="pct"/>
          </w:tcPr>
          <w:p w14:paraId="18B36D06" w14:textId="77777777" w:rsidR="00BB7E5C" w:rsidRDefault="00BB7E5C" w:rsidP="00BB7E5C">
            <w:pPr>
              <w:pStyle w:val="TableBody"/>
            </w:pPr>
            <w:r>
              <w:t>Earth stations and space applications</w:t>
            </w:r>
          </w:p>
        </w:tc>
        <w:tc>
          <w:tcPr>
            <w:tcW w:w="2968" w:type="pct"/>
          </w:tcPr>
          <w:p w14:paraId="366A3667" w14:textId="4F079D4F" w:rsidR="00BB7E5C" w:rsidRDefault="00BB7E5C" w:rsidP="00BB7E5C">
            <w:pPr>
              <w:pStyle w:val="ListBullet"/>
            </w:pPr>
            <w:r w:rsidRPr="0079000B">
              <w:t>AWS provides cloud computing services to organisations internationally</w:t>
            </w:r>
            <w:r>
              <w:t xml:space="preserve"> and was founded in Seattle, Washington.</w:t>
            </w:r>
            <w:r w:rsidR="007865FD">
              <w:rPr>
                <w:rStyle w:val="FootnoteReference"/>
              </w:rPr>
              <w:footnoteReference w:id="99"/>
            </w:r>
          </w:p>
          <w:p w14:paraId="23B5E23D" w14:textId="37DCF3B2" w:rsidR="00BB7E5C" w:rsidRDefault="00BB7E5C" w:rsidP="00BB7E5C">
            <w:pPr>
              <w:pStyle w:val="ListBullet"/>
            </w:pPr>
            <w:r w:rsidRPr="006C60FC">
              <w:t xml:space="preserve">It has locations in </w:t>
            </w:r>
            <w:r w:rsidR="002C61CD">
              <w:t>US (</w:t>
            </w:r>
            <w:r w:rsidRPr="006C60FC">
              <w:t>Oregon, California,</w:t>
            </w:r>
            <w:r w:rsidR="00DC784D">
              <w:t xml:space="preserve"> and </w:t>
            </w:r>
            <w:r w:rsidRPr="006C60FC">
              <w:t>Virginia</w:t>
            </w:r>
            <w:r w:rsidR="00DC784D">
              <w:t>)</w:t>
            </w:r>
            <w:r w:rsidRPr="006C60FC">
              <w:t xml:space="preserve">, </w:t>
            </w:r>
            <w:r w:rsidR="00DC784D">
              <w:t>Brazil (</w:t>
            </w:r>
            <w:r w:rsidRPr="006C60FC">
              <w:t>Sao Paulo</w:t>
            </w:r>
            <w:r w:rsidR="00DC784D">
              <w:t>)</w:t>
            </w:r>
            <w:r w:rsidRPr="006C60FC">
              <w:t xml:space="preserve">, </w:t>
            </w:r>
            <w:r w:rsidR="00DC784D">
              <w:t>Irel</w:t>
            </w:r>
            <w:r w:rsidR="00970385">
              <w:t>and (</w:t>
            </w:r>
            <w:r w:rsidRPr="006C60FC">
              <w:t>Dublin</w:t>
            </w:r>
            <w:r w:rsidR="00970385">
              <w:t>)</w:t>
            </w:r>
            <w:r w:rsidRPr="006C60FC">
              <w:t xml:space="preserve">, </w:t>
            </w:r>
            <w:r w:rsidR="00970385">
              <w:t>Germany (</w:t>
            </w:r>
            <w:r w:rsidRPr="006C60FC">
              <w:t>Frankfurt</w:t>
            </w:r>
            <w:r w:rsidR="00970385">
              <w:t>)</w:t>
            </w:r>
            <w:r w:rsidRPr="006C60FC">
              <w:t xml:space="preserve">, </w:t>
            </w:r>
            <w:r w:rsidR="00970385">
              <w:t>South Korea (</w:t>
            </w:r>
            <w:r w:rsidRPr="006C60FC">
              <w:t>Seoul</w:t>
            </w:r>
            <w:r w:rsidR="00970385">
              <w:t>)</w:t>
            </w:r>
            <w:r w:rsidRPr="006C60FC">
              <w:t xml:space="preserve">, Singapore, </w:t>
            </w:r>
            <w:r w:rsidR="00970385">
              <w:t>Australia (</w:t>
            </w:r>
            <w:r w:rsidRPr="006C60FC">
              <w:t>Sydney</w:t>
            </w:r>
            <w:r w:rsidR="00970385">
              <w:t>)</w:t>
            </w:r>
            <w:r w:rsidRPr="006C60FC">
              <w:t xml:space="preserve">, </w:t>
            </w:r>
            <w:r w:rsidR="00EA4C0B">
              <w:t>Japan (</w:t>
            </w:r>
            <w:r w:rsidRPr="006C60FC">
              <w:t>Tokyo</w:t>
            </w:r>
            <w:r w:rsidR="00EA4C0B">
              <w:t>)</w:t>
            </w:r>
            <w:r w:rsidRPr="006C60FC">
              <w:t xml:space="preserve">, </w:t>
            </w:r>
            <w:r w:rsidR="00EA4C0B">
              <w:t>Sweden (</w:t>
            </w:r>
            <w:r w:rsidRPr="006C60FC">
              <w:t>Stockholm</w:t>
            </w:r>
            <w:r w:rsidR="00EA4C0B">
              <w:t>)</w:t>
            </w:r>
            <w:r w:rsidRPr="006C60FC">
              <w:t xml:space="preserve">, </w:t>
            </w:r>
            <w:r w:rsidR="00EA4C0B">
              <w:t>South Africa (</w:t>
            </w:r>
            <w:r w:rsidRPr="006C60FC">
              <w:t>Johannesburg</w:t>
            </w:r>
            <w:r w:rsidR="00EA4C0B">
              <w:t>)</w:t>
            </w:r>
            <w:r w:rsidRPr="006C60FC">
              <w:t xml:space="preserve">, </w:t>
            </w:r>
            <w:r w:rsidR="00EA4C0B">
              <w:t>Sweden (</w:t>
            </w:r>
            <w:r w:rsidRPr="006C60FC">
              <w:t>Copenhagen</w:t>
            </w:r>
            <w:r w:rsidR="00EA4C0B">
              <w:t>)</w:t>
            </w:r>
            <w:r w:rsidRPr="006C60FC">
              <w:t xml:space="preserve">, </w:t>
            </w:r>
            <w:r w:rsidR="00EA4C0B">
              <w:t>Norway (</w:t>
            </w:r>
            <w:r w:rsidRPr="006C60FC">
              <w:t>Oslo</w:t>
            </w:r>
            <w:r w:rsidR="00EA4C0B">
              <w:t>)</w:t>
            </w:r>
            <w:r w:rsidRPr="006C60FC">
              <w:t xml:space="preserve">, and </w:t>
            </w:r>
            <w:r w:rsidR="007C6D5A">
              <w:t>India (</w:t>
            </w:r>
            <w:r w:rsidRPr="006C60FC">
              <w:t>Bengaluru</w:t>
            </w:r>
            <w:r w:rsidR="007C6D5A">
              <w:t>)</w:t>
            </w:r>
            <w:r w:rsidRPr="006C60FC">
              <w:t>.</w:t>
            </w:r>
          </w:p>
          <w:p w14:paraId="13B50951" w14:textId="77777777" w:rsidR="00BB7E5C" w:rsidRDefault="00BB7E5C" w:rsidP="00BB7E5C">
            <w:pPr>
              <w:pStyle w:val="ListBullet"/>
            </w:pPr>
            <w:r>
              <w:t xml:space="preserve">AWS’s project Kuiper (LEO venture) plans to invest more than US$10 billion for the </w:t>
            </w:r>
            <w:r>
              <w:lastRenderedPageBreak/>
              <w:t>development of the LEO satellite constellation as a potential rival to Starlink.</w:t>
            </w:r>
            <w:r>
              <w:rPr>
                <w:rStyle w:val="FootnoteReference"/>
              </w:rPr>
              <w:footnoteReference w:id="100"/>
            </w:r>
            <w:r>
              <w:t xml:space="preserve"> </w:t>
            </w:r>
          </w:p>
          <w:p w14:paraId="7BD3524D" w14:textId="72FC0972" w:rsidR="00BB7E5C" w:rsidRDefault="00BB7E5C" w:rsidP="00BB7E5C">
            <w:pPr>
              <w:pStyle w:val="ListBullet"/>
            </w:pPr>
            <w:r>
              <w:t>It is intending to have a constellation of 3,236 satellites operating at 3 orbits within the Ka-band</w:t>
            </w:r>
            <w:r w:rsidR="00632BAF">
              <w:t xml:space="preserve">, </w:t>
            </w:r>
            <w:r>
              <w:t>covering 95</w:t>
            </w:r>
            <w:r w:rsidR="00E538E7">
              <w:t>%</w:t>
            </w:r>
            <w:r w:rsidR="00D84E03">
              <w:t xml:space="preserve"> </w:t>
            </w:r>
            <w:r>
              <w:t>of the world’s population.</w:t>
            </w:r>
          </w:p>
        </w:tc>
      </w:tr>
      <w:tr w:rsidR="009536E9" w14:paraId="096EA85A" w14:textId="77777777" w:rsidTr="00B1507B">
        <w:trPr>
          <w:cnfStyle w:val="000000010000" w:firstRow="0" w:lastRow="0" w:firstColumn="0" w:lastColumn="0" w:oddVBand="0" w:evenVBand="0" w:oddHBand="0" w:evenHBand="1" w:firstRowFirstColumn="0" w:firstRowLastColumn="0" w:lastRowFirstColumn="0" w:lastRowLastColumn="0"/>
        </w:trPr>
        <w:tc>
          <w:tcPr>
            <w:tcW w:w="1107" w:type="pct"/>
          </w:tcPr>
          <w:p w14:paraId="5FA3C8C6" w14:textId="77777777" w:rsidR="0094772B" w:rsidRDefault="00BB7E5C" w:rsidP="00BB7E5C">
            <w:pPr>
              <w:pStyle w:val="TableBody"/>
            </w:pPr>
            <w:r>
              <w:lastRenderedPageBreak/>
              <w:t xml:space="preserve">Facebook </w:t>
            </w:r>
          </w:p>
          <w:p w14:paraId="7B57F36A" w14:textId="7A1BCC37" w:rsidR="00BB7E5C" w:rsidRPr="005C0451" w:rsidRDefault="00BB7E5C" w:rsidP="00BB7E5C">
            <w:pPr>
              <w:pStyle w:val="TableBody"/>
            </w:pPr>
            <w:r>
              <w:t>(</w:t>
            </w:r>
            <w:r w:rsidR="0094772B">
              <w:t xml:space="preserve">Dec 20 </w:t>
            </w:r>
            <w:r w:rsidR="00773D8F">
              <w:t>r</w:t>
            </w:r>
            <w:r>
              <w:t>evenue</w:t>
            </w:r>
            <w:r w:rsidR="00172062">
              <w:t xml:space="preserve"> </w:t>
            </w:r>
            <w:r w:rsidR="007C6D5A">
              <w:t>A</w:t>
            </w:r>
            <w:r>
              <w:t>$</w:t>
            </w:r>
            <w:r w:rsidR="00172062">
              <w:t>124</w:t>
            </w:r>
            <w:r>
              <w:t>.</w:t>
            </w:r>
            <w:r w:rsidR="00172062">
              <w:t>9</w:t>
            </w:r>
            <w:r w:rsidR="00E20CA8">
              <w:t xml:space="preserve"> </w:t>
            </w:r>
            <w:r>
              <w:t>b</w:t>
            </w:r>
            <w:r w:rsidR="00E20CA8">
              <w:t>illion</w:t>
            </w:r>
            <w:r w:rsidR="00765618">
              <w:t xml:space="preserve"> </w:t>
            </w:r>
            <w:r w:rsidR="00943477">
              <w:t>–</w:t>
            </w:r>
            <w:r w:rsidR="00765618">
              <w:t xml:space="preserve"> </w:t>
            </w:r>
            <w:r w:rsidR="00943477">
              <w:t>A$28.8 billion in Asia-Pacific</w:t>
            </w:r>
            <w:r>
              <w:t>)</w:t>
            </w:r>
            <w:r w:rsidR="00565AF4">
              <w:rPr>
                <w:rStyle w:val="FootnoteReference"/>
              </w:rPr>
              <w:footnoteReference w:id="101"/>
            </w:r>
          </w:p>
        </w:tc>
        <w:tc>
          <w:tcPr>
            <w:tcW w:w="925" w:type="pct"/>
          </w:tcPr>
          <w:p w14:paraId="782221D7" w14:textId="77777777" w:rsidR="00BB7E5C" w:rsidRDefault="00BB7E5C" w:rsidP="00BB7E5C">
            <w:pPr>
              <w:pStyle w:val="TableBody"/>
            </w:pPr>
            <w:r>
              <w:t>Space applications</w:t>
            </w:r>
          </w:p>
        </w:tc>
        <w:tc>
          <w:tcPr>
            <w:tcW w:w="2968" w:type="pct"/>
          </w:tcPr>
          <w:p w14:paraId="507935E8" w14:textId="7909C68E" w:rsidR="00BB7E5C" w:rsidRDefault="00BB7E5C" w:rsidP="00D8686C">
            <w:pPr>
              <w:pStyle w:val="ListBullet"/>
              <w:keepLines/>
            </w:pPr>
            <w:r>
              <w:t>Facebook has been involved in various ventures to provide connectivity with its most recent venture being Project Athena via a subsidiary PointView LLC in 2018.</w:t>
            </w:r>
            <w:r w:rsidR="005A1BA7">
              <w:rPr>
                <w:rStyle w:val="FootnoteReference"/>
              </w:rPr>
              <w:footnoteReference w:id="102"/>
            </w:r>
            <w:r w:rsidR="00632BAF">
              <w:rPr>
                <w:vertAlign w:val="superscript"/>
              </w:rPr>
              <w:t xml:space="preserve">, </w:t>
            </w:r>
            <w:r w:rsidR="00565AF4">
              <w:rPr>
                <w:rStyle w:val="FootnoteReference"/>
              </w:rPr>
              <w:footnoteReference w:id="103"/>
            </w:r>
          </w:p>
          <w:p w14:paraId="5515E869" w14:textId="5614E864" w:rsidR="00BB7E5C" w:rsidRDefault="00BB7E5C" w:rsidP="00BB7E5C">
            <w:pPr>
              <w:pStyle w:val="ListBullet"/>
            </w:pPr>
            <w:bookmarkStart w:id="46" w:name="_Hlk57023210"/>
            <w:r>
              <w:t xml:space="preserve">In October 2020 it was </w:t>
            </w:r>
            <w:hyperlink r:id="rId86">
              <w:r w:rsidRPr="629F3BDB">
                <w:rPr>
                  <w:rStyle w:val="Hyperlink"/>
                </w:rPr>
                <w:t>reported</w:t>
              </w:r>
            </w:hyperlink>
            <w:r>
              <w:t xml:space="preserve"> that Facebook launched an </w:t>
            </w:r>
            <w:r w:rsidR="00F561C1">
              <w:t>‘</w:t>
            </w:r>
            <w:r>
              <w:t>experimental</w:t>
            </w:r>
            <w:r w:rsidR="00F561C1">
              <w:t xml:space="preserve">’ </w:t>
            </w:r>
            <w:r>
              <w:t>vehicle with an Arianespace launch on 2</w:t>
            </w:r>
            <w:r w:rsidR="00632BAF">
              <w:rPr>
                <w:vertAlign w:val="superscript"/>
              </w:rPr>
              <w:t> </w:t>
            </w:r>
            <w:r>
              <w:t>September 2020.</w:t>
            </w:r>
          </w:p>
          <w:p w14:paraId="4481E9E6" w14:textId="7E4594D2" w:rsidR="00BB7E5C" w:rsidRDefault="00BB7E5C" w:rsidP="00BB7E5C">
            <w:pPr>
              <w:pStyle w:val="ListBullet"/>
            </w:pPr>
            <w:r>
              <w:t>In response to media requests</w:t>
            </w:r>
            <w:r w:rsidR="00B1176E">
              <w:t>,</w:t>
            </w:r>
            <w:r>
              <w:t xml:space="preserve"> Facebook has not announced any intentions to launch a broadband satellite service.</w:t>
            </w:r>
            <w:r>
              <w:rPr>
                <w:rStyle w:val="FootnoteReference"/>
              </w:rPr>
              <w:footnoteReference w:id="104"/>
            </w:r>
            <w:r>
              <w:t xml:space="preserve"> </w:t>
            </w:r>
            <w:bookmarkEnd w:id="46"/>
          </w:p>
          <w:p w14:paraId="46F6E9A8" w14:textId="45BE6A62" w:rsidR="00BB7E5C" w:rsidRDefault="00BB7E5C" w:rsidP="00BB7E5C">
            <w:pPr>
              <w:pStyle w:val="ListBullet"/>
            </w:pPr>
            <w:r>
              <w:t>It recently collaborated with Hughes</w:t>
            </w:r>
            <w:r w:rsidR="00632BAF">
              <w:t xml:space="preserve"> </w:t>
            </w:r>
            <w:r>
              <w:t xml:space="preserve">to provide </w:t>
            </w:r>
            <w:r w:rsidR="00632BAF">
              <w:t>w</w:t>
            </w:r>
            <w:r>
              <w:t>i</w:t>
            </w:r>
            <w:r w:rsidR="00632BAF">
              <w:t>-f</w:t>
            </w:r>
            <w:r>
              <w:t>i connectivity in Mexico.</w:t>
            </w:r>
          </w:p>
        </w:tc>
      </w:tr>
      <w:tr w:rsidR="009536E9" w14:paraId="0BCD636F" w14:textId="77777777" w:rsidTr="00B1507B">
        <w:trPr>
          <w:cnfStyle w:val="000000100000" w:firstRow="0" w:lastRow="0" w:firstColumn="0" w:lastColumn="0" w:oddVBand="0" w:evenVBand="0" w:oddHBand="1" w:evenHBand="0" w:firstRowFirstColumn="0" w:firstRowLastColumn="0" w:lastRowFirstColumn="0" w:lastRowLastColumn="0"/>
        </w:trPr>
        <w:tc>
          <w:tcPr>
            <w:tcW w:w="1107" w:type="pct"/>
          </w:tcPr>
          <w:p w14:paraId="07FE9DAD" w14:textId="77777777" w:rsidR="0094772B" w:rsidRDefault="00BB7E5C" w:rsidP="00D536B5">
            <w:pPr>
              <w:pStyle w:val="TableBody"/>
              <w:rPr>
                <w:noProof/>
              </w:rPr>
            </w:pPr>
            <w:r>
              <w:rPr>
                <w:noProof/>
              </w:rPr>
              <w:t xml:space="preserve">Kepler </w:t>
            </w:r>
          </w:p>
          <w:p w14:paraId="4A10B11A" w14:textId="295A4B11" w:rsidR="00BB7E5C" w:rsidRDefault="00BB7E5C" w:rsidP="00D536B5">
            <w:pPr>
              <w:pStyle w:val="TableBody"/>
              <w:rPr>
                <w:noProof/>
              </w:rPr>
            </w:pPr>
            <w:r>
              <w:rPr>
                <w:noProof/>
              </w:rPr>
              <w:t>(</w:t>
            </w:r>
            <w:r w:rsidR="00773D8F">
              <w:rPr>
                <w:noProof/>
              </w:rPr>
              <w:t>r</w:t>
            </w:r>
            <w:r>
              <w:rPr>
                <w:noProof/>
              </w:rPr>
              <w:t xml:space="preserve">evenue </w:t>
            </w:r>
            <w:r w:rsidR="00773D8F">
              <w:rPr>
                <w:noProof/>
              </w:rPr>
              <w:t>n/a –</w:t>
            </w:r>
            <w:r>
              <w:rPr>
                <w:noProof/>
              </w:rPr>
              <w:t xml:space="preserve"> start-up phase)</w:t>
            </w:r>
          </w:p>
        </w:tc>
        <w:tc>
          <w:tcPr>
            <w:tcW w:w="925" w:type="pct"/>
          </w:tcPr>
          <w:p w14:paraId="7D671592" w14:textId="77777777" w:rsidR="00BB7E5C" w:rsidRDefault="00BB7E5C" w:rsidP="00BB7E5C">
            <w:pPr>
              <w:pStyle w:val="TableBody"/>
            </w:pPr>
            <w:r>
              <w:t xml:space="preserve">Manufacturer and space applications </w:t>
            </w:r>
          </w:p>
        </w:tc>
        <w:tc>
          <w:tcPr>
            <w:tcW w:w="2968" w:type="pct"/>
          </w:tcPr>
          <w:p w14:paraId="76B38E27" w14:textId="5DFDF0CC" w:rsidR="00BB7E5C" w:rsidRDefault="00BB7E5C" w:rsidP="00BB7E5C">
            <w:pPr>
              <w:pStyle w:val="ListBullet"/>
            </w:pPr>
            <w:r w:rsidRPr="0009096B">
              <w:t>Kepler designs, develops, and operates satellites and infrastructure for space-based connectivity that connects space stations, habitats, machines, and devices with satellites on orbit.</w:t>
            </w:r>
            <w:r w:rsidR="006C6560">
              <w:rPr>
                <w:rStyle w:val="FootnoteReference"/>
              </w:rPr>
              <w:footnoteReference w:id="105"/>
            </w:r>
          </w:p>
          <w:p w14:paraId="616161C8" w14:textId="60796648" w:rsidR="00BB7E5C" w:rsidRDefault="00BB7E5C" w:rsidP="00BB7E5C">
            <w:pPr>
              <w:pStyle w:val="ListBullet"/>
            </w:pPr>
            <w:r w:rsidRPr="0009096B">
              <w:t xml:space="preserve">To date Kepler has raised </w:t>
            </w:r>
            <w:r w:rsidR="00EE2423">
              <w:t>A</w:t>
            </w:r>
            <w:r w:rsidRPr="0009096B">
              <w:t>$27.5 million</w:t>
            </w:r>
            <w:r w:rsidR="00632BAF">
              <w:t>,</w:t>
            </w:r>
            <w:r>
              <w:t xml:space="preserve"> funded largely </w:t>
            </w:r>
            <w:r w:rsidR="006262D4">
              <w:t>by</w:t>
            </w:r>
            <w:r>
              <w:t xml:space="preserve"> venture capital.</w:t>
            </w:r>
            <w:r w:rsidR="0073767D">
              <w:rPr>
                <w:rStyle w:val="FootnoteReference"/>
              </w:rPr>
              <w:footnoteReference w:id="106"/>
            </w:r>
          </w:p>
          <w:p w14:paraId="6FF119FC" w14:textId="4B2DF510" w:rsidR="00BB7E5C" w:rsidRDefault="00BB7E5C" w:rsidP="00BB7E5C">
            <w:pPr>
              <w:pStyle w:val="ListBullet"/>
            </w:pPr>
            <w:r>
              <w:t>It has built and launched several test satellites and has commenced launching commercial satellites as of September 2020 (operating in the Ku Band).</w:t>
            </w:r>
            <w:r w:rsidR="00AE0A5A">
              <w:rPr>
                <w:rStyle w:val="FootnoteReference"/>
              </w:rPr>
              <w:footnoteReference w:id="107"/>
            </w:r>
            <w:r>
              <w:t xml:space="preserve"> </w:t>
            </w:r>
          </w:p>
          <w:p w14:paraId="0F7EBAB5" w14:textId="77777777" w:rsidR="00BB7E5C" w:rsidRDefault="00BB7E5C" w:rsidP="00BB7E5C">
            <w:pPr>
              <w:pStyle w:val="ListBullet"/>
            </w:pPr>
            <w:r>
              <w:t>It intends to offer satellite services and IoT connectivity.</w:t>
            </w:r>
          </w:p>
        </w:tc>
      </w:tr>
      <w:tr w:rsidR="009536E9" w14:paraId="78527671" w14:textId="77777777" w:rsidTr="00B1507B">
        <w:trPr>
          <w:cnfStyle w:val="000000010000" w:firstRow="0" w:lastRow="0" w:firstColumn="0" w:lastColumn="0" w:oddVBand="0" w:evenVBand="0" w:oddHBand="0" w:evenHBand="1" w:firstRowFirstColumn="0" w:firstRowLastColumn="0" w:lastRowFirstColumn="0" w:lastRowLastColumn="0"/>
        </w:trPr>
        <w:tc>
          <w:tcPr>
            <w:tcW w:w="1107" w:type="pct"/>
          </w:tcPr>
          <w:p w14:paraId="616C5D35" w14:textId="0782DBF5" w:rsidR="00BB7E5C" w:rsidRDefault="0011661B" w:rsidP="0011661B">
            <w:pPr>
              <w:pStyle w:val="TableBody"/>
              <w:rPr>
                <w:noProof/>
              </w:rPr>
            </w:pPr>
            <w:r>
              <w:t>Kinéis</w:t>
            </w:r>
          </w:p>
          <w:p w14:paraId="1540A9D3" w14:textId="7D75B2FC" w:rsidR="00BB7E5C" w:rsidRDefault="00BB7E5C" w:rsidP="00BB7E5C">
            <w:pPr>
              <w:pStyle w:val="TableBody"/>
              <w:rPr>
                <w:noProof/>
              </w:rPr>
            </w:pPr>
            <w:r>
              <w:rPr>
                <w:noProof/>
              </w:rPr>
              <w:t>(</w:t>
            </w:r>
            <w:r w:rsidR="00773D8F">
              <w:rPr>
                <w:noProof/>
              </w:rPr>
              <w:t>r</w:t>
            </w:r>
            <w:r>
              <w:rPr>
                <w:noProof/>
              </w:rPr>
              <w:t xml:space="preserve">evenue </w:t>
            </w:r>
            <w:r w:rsidR="00773D8F">
              <w:rPr>
                <w:noProof/>
              </w:rPr>
              <w:t>n/a –</w:t>
            </w:r>
            <w:r>
              <w:rPr>
                <w:noProof/>
              </w:rPr>
              <w:t xml:space="preserve"> start-up phase)</w:t>
            </w:r>
          </w:p>
        </w:tc>
        <w:tc>
          <w:tcPr>
            <w:tcW w:w="925" w:type="pct"/>
          </w:tcPr>
          <w:p w14:paraId="6CBFC8E2" w14:textId="77777777" w:rsidR="00BB7E5C" w:rsidRDefault="00BB7E5C" w:rsidP="00BB7E5C">
            <w:pPr>
              <w:pStyle w:val="TableBody"/>
            </w:pPr>
            <w:r>
              <w:t>Earth stations and space applications</w:t>
            </w:r>
          </w:p>
        </w:tc>
        <w:tc>
          <w:tcPr>
            <w:tcW w:w="2968" w:type="pct"/>
          </w:tcPr>
          <w:p w14:paraId="148A8003" w14:textId="78939012" w:rsidR="00BB7E5C" w:rsidRDefault="00BB7E5C" w:rsidP="00BB7E5C">
            <w:pPr>
              <w:pStyle w:val="ListBullet"/>
            </w:pPr>
            <w:r>
              <w:t xml:space="preserve">The Centre </w:t>
            </w:r>
            <w:r w:rsidR="006C2905">
              <w:t>N</w:t>
            </w:r>
            <w:r>
              <w:t xml:space="preserve">ational d'études </w:t>
            </w:r>
            <w:r w:rsidR="006C2905">
              <w:t>S</w:t>
            </w:r>
            <w:r>
              <w:t>patiales (CNES – French Space Agency) and Collecte, Localisation, Satellites (CLS) created Kinéis in 2019.</w:t>
            </w:r>
            <w:r w:rsidR="00C01BB6">
              <w:rPr>
                <w:rStyle w:val="FootnoteReference"/>
              </w:rPr>
              <w:footnoteReference w:id="108"/>
            </w:r>
            <w:r>
              <w:t xml:space="preserve"> </w:t>
            </w:r>
          </w:p>
          <w:p w14:paraId="205DBAF3" w14:textId="2755F0AF" w:rsidR="00BB7E5C" w:rsidRDefault="00BB7E5C" w:rsidP="00BB7E5C">
            <w:pPr>
              <w:pStyle w:val="ListBullet"/>
            </w:pPr>
            <w:r>
              <w:lastRenderedPageBreak/>
              <w:t xml:space="preserve">To date Kinéis has raised </w:t>
            </w:r>
            <w:r w:rsidR="00145588">
              <w:t>A</w:t>
            </w:r>
            <w:r>
              <w:t>$165</w:t>
            </w:r>
            <w:r w:rsidR="00132A3E">
              <w:t>.3</w:t>
            </w:r>
            <w:r>
              <w:t xml:space="preserve"> million in funding. </w:t>
            </w:r>
          </w:p>
          <w:p w14:paraId="46D9B72C" w14:textId="3A64C4CE" w:rsidR="00BB7E5C" w:rsidRDefault="00BB7E5C" w:rsidP="00BB7E5C">
            <w:pPr>
              <w:pStyle w:val="ListBullet"/>
            </w:pPr>
            <w:r>
              <w:t xml:space="preserve">Kinéis has 9 satellites in orbit onboarding ARGOS payloads and a network of </w:t>
            </w:r>
            <w:r w:rsidR="003040F6">
              <w:t xml:space="preserve">more than </w:t>
            </w:r>
            <w:r>
              <w:t>20 ground stations.</w:t>
            </w:r>
            <w:r w:rsidR="002348FF">
              <w:rPr>
                <w:rStyle w:val="FootnoteReference"/>
              </w:rPr>
              <w:footnoteReference w:id="109"/>
            </w:r>
          </w:p>
          <w:p w14:paraId="2954E3FC" w14:textId="77777777" w:rsidR="00BB7E5C" w:rsidRDefault="00BB7E5C" w:rsidP="00BB7E5C">
            <w:pPr>
              <w:pStyle w:val="ListBullet"/>
            </w:pPr>
            <w:r>
              <w:t>It is intending to launch a constellation of 22 LEO satellites by 2022 and to enter the Australian market.</w:t>
            </w:r>
          </w:p>
          <w:p w14:paraId="38BAFB96" w14:textId="46DEDC6A" w:rsidR="00BB7E5C" w:rsidRDefault="00BB7E5C" w:rsidP="00BB7E5C">
            <w:pPr>
              <w:pStyle w:val="ListBullet"/>
            </w:pPr>
            <w:r>
              <w:t>The company serves various industries with its selling points being its radio chipset to provide satellite network connectivity to any mobile device.</w:t>
            </w:r>
            <w:r w:rsidR="008A7533">
              <w:rPr>
                <w:rStyle w:val="FootnoteReference"/>
              </w:rPr>
              <w:footnoteReference w:id="110"/>
            </w:r>
            <w:r>
              <w:t xml:space="preserve"> </w:t>
            </w:r>
          </w:p>
        </w:tc>
      </w:tr>
      <w:tr w:rsidR="009536E9" w14:paraId="42254374" w14:textId="77777777" w:rsidTr="00B1507B">
        <w:trPr>
          <w:cnfStyle w:val="000000100000" w:firstRow="0" w:lastRow="0" w:firstColumn="0" w:lastColumn="0" w:oddVBand="0" w:evenVBand="0" w:oddHBand="1" w:evenHBand="0" w:firstRowFirstColumn="0" w:firstRowLastColumn="0" w:lastRowFirstColumn="0" w:lastRowLastColumn="0"/>
        </w:trPr>
        <w:tc>
          <w:tcPr>
            <w:tcW w:w="1107" w:type="pct"/>
          </w:tcPr>
          <w:p w14:paraId="3576DD77" w14:textId="72E356A9" w:rsidR="00FA13AB" w:rsidRDefault="0004332F" w:rsidP="00BB7E5C">
            <w:pPr>
              <w:pStyle w:val="TableBody"/>
            </w:pPr>
            <w:r>
              <w:lastRenderedPageBreak/>
              <w:t>Omnispace (</w:t>
            </w:r>
            <w:r w:rsidR="00773D8F">
              <w:t>r</w:t>
            </w:r>
            <w:r>
              <w:t xml:space="preserve">evenue </w:t>
            </w:r>
            <w:r w:rsidR="00773D8F">
              <w:t>n/a –</w:t>
            </w:r>
            <w:r>
              <w:t xml:space="preserve"> start-up phase)</w:t>
            </w:r>
          </w:p>
        </w:tc>
        <w:tc>
          <w:tcPr>
            <w:tcW w:w="925" w:type="pct"/>
          </w:tcPr>
          <w:p w14:paraId="2C1AEA0F" w14:textId="6EA1D10B" w:rsidR="00FA13AB" w:rsidRDefault="0004332F" w:rsidP="00BB7E5C">
            <w:pPr>
              <w:pStyle w:val="TableBody"/>
            </w:pPr>
            <w:r>
              <w:t>Space applications</w:t>
            </w:r>
          </w:p>
        </w:tc>
        <w:tc>
          <w:tcPr>
            <w:tcW w:w="2968" w:type="pct"/>
          </w:tcPr>
          <w:p w14:paraId="4324D7EB" w14:textId="177647E7" w:rsidR="00FA13AB" w:rsidRDefault="00A4373E" w:rsidP="00BB7E5C">
            <w:pPr>
              <w:pStyle w:val="ListBullet"/>
            </w:pPr>
            <w:r>
              <w:t>Omnispace was founded in 2012</w:t>
            </w:r>
            <w:r w:rsidR="00F66982">
              <w:t xml:space="preserve"> and </w:t>
            </w:r>
            <w:r w:rsidR="005F17F3">
              <w:t xml:space="preserve">is based </w:t>
            </w:r>
            <w:r w:rsidR="00F66982">
              <w:t>in the US.</w:t>
            </w:r>
            <w:r w:rsidR="00365B4F">
              <w:t xml:space="preserve"> </w:t>
            </w:r>
            <w:r w:rsidR="005C7C77">
              <w:t>It has r</w:t>
            </w:r>
            <w:r w:rsidR="00365B4F">
              <w:t xml:space="preserve">aised over </w:t>
            </w:r>
            <w:r w:rsidR="007C6D5A">
              <w:t>A</w:t>
            </w:r>
            <w:r w:rsidR="00365B4F">
              <w:t>$</w:t>
            </w:r>
            <w:r w:rsidR="00F55665">
              <w:t>178.5 </w:t>
            </w:r>
            <w:r w:rsidR="00365B4F">
              <w:t>million to date.</w:t>
            </w:r>
            <w:r w:rsidR="00365B4F">
              <w:rPr>
                <w:rStyle w:val="FootnoteReference"/>
              </w:rPr>
              <w:footnoteReference w:id="111"/>
            </w:r>
          </w:p>
          <w:p w14:paraId="64282337" w14:textId="77777777" w:rsidR="00E31A5B" w:rsidRDefault="00D9406C" w:rsidP="00BB7E5C">
            <w:pPr>
              <w:pStyle w:val="ListBullet"/>
            </w:pPr>
            <w:r>
              <w:t>I</w:t>
            </w:r>
            <w:r w:rsidR="005C7C77">
              <w:t>t is i</w:t>
            </w:r>
            <w:r>
              <w:t>n</w:t>
            </w:r>
            <w:r w:rsidR="00490916">
              <w:t>tending to offer</w:t>
            </w:r>
            <w:r w:rsidR="00A623BB">
              <w:t xml:space="preserve"> a service </w:t>
            </w:r>
            <w:r w:rsidR="00E9632D">
              <w:t xml:space="preserve">with </w:t>
            </w:r>
            <w:r w:rsidR="00342955">
              <w:t>a 5G network that uses both satellite and mobile technologies</w:t>
            </w:r>
            <w:r w:rsidR="00632BAF">
              <w:t xml:space="preserve"> – </w:t>
            </w:r>
            <w:r w:rsidR="00D922F6">
              <w:t>moving away from viewing satellites as providing backhaul services</w:t>
            </w:r>
            <w:r w:rsidR="00AC7B70">
              <w:t xml:space="preserve"> but rather a complement or alternative to terrestrial networks</w:t>
            </w:r>
            <w:r w:rsidR="00F23038">
              <w:t>.</w:t>
            </w:r>
            <w:r w:rsidR="00AC7B70">
              <w:rPr>
                <w:rStyle w:val="FootnoteReference"/>
              </w:rPr>
              <w:footnoteReference w:id="112"/>
            </w:r>
          </w:p>
          <w:p w14:paraId="1DCD8424" w14:textId="4DCD7D82" w:rsidR="00356C75" w:rsidRDefault="00E31A5B" w:rsidP="00B1507B">
            <w:pPr>
              <w:pStyle w:val="Bulletlevel2"/>
            </w:pPr>
            <w:r>
              <w:t xml:space="preserve">The company </w:t>
            </w:r>
            <w:r w:rsidR="00EF553B" w:rsidRPr="00EF553B">
              <w:t>entered into a strategic interest agreement</w:t>
            </w:r>
            <w:r w:rsidR="00C528F6">
              <w:t xml:space="preserve"> with </w:t>
            </w:r>
            <w:hyperlink r:id="rId87" w:history="1">
              <w:r w:rsidR="00C528F6" w:rsidRPr="00186B70">
                <w:rPr>
                  <w:rStyle w:val="Hyperlink"/>
                </w:rPr>
                <w:t>Lockheed Martin</w:t>
              </w:r>
            </w:hyperlink>
            <w:r w:rsidR="00EF553B" w:rsidRPr="00EF553B">
              <w:t xml:space="preserve"> to explore jointly developing 5G capability from space</w:t>
            </w:r>
            <w:r w:rsidR="00A46295">
              <w:t xml:space="preserve"> (using spectrum in the 2 GHz band)</w:t>
            </w:r>
            <w:r w:rsidR="00EF553B">
              <w:t>.</w:t>
            </w:r>
            <w:r w:rsidR="00EF553B">
              <w:rPr>
                <w:rStyle w:val="FootnoteReference"/>
              </w:rPr>
              <w:footnoteReference w:id="113"/>
            </w:r>
            <w:r w:rsidR="00623F5A">
              <w:t xml:space="preserve"> </w:t>
            </w:r>
          </w:p>
          <w:p w14:paraId="3D164DDA" w14:textId="59406A51" w:rsidR="00356C75" w:rsidRDefault="00B770A3" w:rsidP="00E9632D">
            <w:pPr>
              <w:pStyle w:val="Bulletlevel2"/>
              <w:ind w:left="295"/>
            </w:pPr>
            <w:r>
              <w:t>I</w:t>
            </w:r>
            <w:r w:rsidR="00557164">
              <w:t xml:space="preserve">ntention of having mobile phones being able to access </w:t>
            </w:r>
            <w:r w:rsidR="00356C75">
              <w:t>terrestrial and satellite networks with</w:t>
            </w:r>
            <w:r w:rsidR="00E9632D">
              <w:t>out</w:t>
            </w:r>
            <w:r w:rsidR="00356C75">
              <w:t xml:space="preserve"> requiring multiple handsets.</w:t>
            </w:r>
            <w:r w:rsidR="00356C75">
              <w:rPr>
                <w:rStyle w:val="FootnoteReference"/>
              </w:rPr>
              <w:footnoteReference w:id="114"/>
            </w:r>
          </w:p>
          <w:p w14:paraId="47D8EB73" w14:textId="3DE9600B" w:rsidR="00F23038" w:rsidRDefault="00623F5A" w:rsidP="00E9632D">
            <w:pPr>
              <w:pStyle w:val="Bulletlevel2"/>
              <w:ind w:left="295"/>
            </w:pPr>
            <w:r>
              <w:t xml:space="preserve">Has links with Intelsat and </w:t>
            </w:r>
            <w:r w:rsidR="00FE5FFE">
              <w:t>Verizon.</w:t>
            </w:r>
          </w:p>
          <w:p w14:paraId="38CDA2EB" w14:textId="0C42781C" w:rsidR="00166955" w:rsidRDefault="00347E6D" w:rsidP="00BB7E5C">
            <w:pPr>
              <w:pStyle w:val="ListBullet"/>
            </w:pPr>
            <w:r>
              <w:t>It f</w:t>
            </w:r>
            <w:r w:rsidR="00F23038">
              <w:t>ocus</w:t>
            </w:r>
            <w:r>
              <w:t>es</w:t>
            </w:r>
            <w:r w:rsidR="00F23038">
              <w:t xml:space="preserve"> on</w:t>
            </w:r>
            <w:r w:rsidR="00490916">
              <w:t xml:space="preserve"> </w:t>
            </w:r>
            <w:r w:rsidR="00FA0C00">
              <w:t xml:space="preserve">IoT and </w:t>
            </w:r>
            <w:r w:rsidR="00410A54">
              <w:t>mobile satellite services</w:t>
            </w:r>
            <w:r w:rsidR="00F23038">
              <w:t>.</w:t>
            </w:r>
            <w:r w:rsidR="00A272A0">
              <w:rPr>
                <w:rStyle w:val="FootnoteReference"/>
              </w:rPr>
              <w:footnoteReference w:id="115"/>
            </w:r>
          </w:p>
          <w:p w14:paraId="1F921466" w14:textId="6D068883" w:rsidR="00D9406C" w:rsidRDefault="75DD89BE" w:rsidP="00BB7E5C">
            <w:pPr>
              <w:pStyle w:val="ListBullet"/>
            </w:pPr>
            <w:r>
              <w:t xml:space="preserve">It </w:t>
            </w:r>
            <w:r w:rsidR="7FD9A562">
              <w:t>h</w:t>
            </w:r>
            <w:r w:rsidR="0F8EE1A7">
              <w:t xml:space="preserve">as deals with </w:t>
            </w:r>
            <w:hyperlink r:id="rId88">
              <w:r w:rsidR="0F8EE1A7" w:rsidRPr="629F3BDB">
                <w:rPr>
                  <w:rStyle w:val="Hyperlink"/>
                </w:rPr>
                <w:t>Thales</w:t>
              </w:r>
            </w:hyperlink>
            <w:r w:rsidR="0F8EE1A7">
              <w:t xml:space="preserve"> and </w:t>
            </w:r>
            <w:hyperlink r:id="rId89">
              <w:r w:rsidR="0F8EE1A7" w:rsidRPr="629F3BDB">
                <w:rPr>
                  <w:rStyle w:val="Hyperlink"/>
                </w:rPr>
                <w:t>Exolaunch</w:t>
              </w:r>
            </w:hyperlink>
            <w:r w:rsidR="0F8EE1A7">
              <w:t xml:space="preserve"> </w:t>
            </w:r>
            <w:r w:rsidR="4024B62B">
              <w:t>to manufacture and launch its satellites.</w:t>
            </w:r>
            <w:r w:rsidR="7347D536">
              <w:t xml:space="preserve"> </w:t>
            </w:r>
          </w:p>
        </w:tc>
      </w:tr>
      <w:tr w:rsidR="009536E9" w14:paraId="1900856C" w14:textId="77777777" w:rsidTr="00B1507B">
        <w:trPr>
          <w:cnfStyle w:val="000000010000" w:firstRow="0" w:lastRow="0" w:firstColumn="0" w:lastColumn="0" w:oddVBand="0" w:evenVBand="0" w:oddHBand="0" w:evenHBand="1" w:firstRowFirstColumn="0" w:firstRowLastColumn="0" w:lastRowFirstColumn="0" w:lastRowLastColumn="0"/>
        </w:trPr>
        <w:tc>
          <w:tcPr>
            <w:tcW w:w="1107" w:type="pct"/>
          </w:tcPr>
          <w:p w14:paraId="47AF4691" w14:textId="2883E2F8" w:rsidR="00BB7E5C" w:rsidRDefault="00BB7E5C" w:rsidP="00BB7E5C">
            <w:pPr>
              <w:pStyle w:val="TableBody"/>
            </w:pPr>
            <w:r>
              <w:t>OneWeb (</w:t>
            </w:r>
            <w:r w:rsidR="00773D8F">
              <w:t>r</w:t>
            </w:r>
            <w:r>
              <w:t xml:space="preserve">evenue </w:t>
            </w:r>
            <w:r w:rsidR="00773D8F">
              <w:t>n/a –</w:t>
            </w:r>
            <w:r>
              <w:t xml:space="preserve"> start-up phase)</w:t>
            </w:r>
          </w:p>
        </w:tc>
        <w:tc>
          <w:tcPr>
            <w:tcW w:w="925" w:type="pct"/>
          </w:tcPr>
          <w:p w14:paraId="2A331121" w14:textId="77777777" w:rsidR="00BB7E5C" w:rsidRDefault="00BB7E5C" w:rsidP="00BB7E5C">
            <w:pPr>
              <w:pStyle w:val="TableBody"/>
            </w:pPr>
            <w:r>
              <w:t>Space operations and applications</w:t>
            </w:r>
          </w:p>
        </w:tc>
        <w:tc>
          <w:tcPr>
            <w:tcW w:w="2968" w:type="pct"/>
          </w:tcPr>
          <w:p w14:paraId="0424DA69" w14:textId="50BEF8E4" w:rsidR="00BB7E5C" w:rsidRDefault="00BB7E5C" w:rsidP="00BB7E5C">
            <w:pPr>
              <w:pStyle w:val="ListBullet"/>
            </w:pPr>
            <w:r>
              <w:t xml:space="preserve">Start-up UK business took over WorldVu in 2015. </w:t>
            </w:r>
            <w:r w:rsidR="00750CAB">
              <w:t>It has r</w:t>
            </w:r>
            <w:r>
              <w:t xml:space="preserve">aised over </w:t>
            </w:r>
            <w:r w:rsidR="00AB21A2">
              <w:t>A</w:t>
            </w:r>
            <w:r>
              <w:t>$4</w:t>
            </w:r>
            <w:r w:rsidR="00AB21A2">
              <w:t xml:space="preserve"> </w:t>
            </w:r>
            <w:r>
              <w:t>b</w:t>
            </w:r>
            <w:r w:rsidR="00AB21A2">
              <w:t>illion</w:t>
            </w:r>
            <w:r>
              <w:t xml:space="preserve"> to date.</w:t>
            </w:r>
            <w:r w:rsidR="00EC4656">
              <w:rPr>
                <w:rStyle w:val="FootnoteReference"/>
              </w:rPr>
              <w:footnoteReference w:id="116"/>
            </w:r>
          </w:p>
          <w:p w14:paraId="14DBA332" w14:textId="2FB12E61" w:rsidR="00BB7E5C" w:rsidRDefault="00BB7E5C" w:rsidP="00BB7E5C">
            <w:pPr>
              <w:pStyle w:val="ListBullet"/>
            </w:pPr>
            <w:r>
              <w:t xml:space="preserve">Declared bankruptcy in March 2020 but has been acquired by a joint venture involving the </w:t>
            </w:r>
            <w:r>
              <w:lastRenderedPageBreak/>
              <w:t xml:space="preserve">UK </w:t>
            </w:r>
            <w:r w:rsidR="00632BAF">
              <w:t xml:space="preserve">Government </w:t>
            </w:r>
            <w:r>
              <w:t xml:space="preserve">and Bharti Global for </w:t>
            </w:r>
            <w:r w:rsidR="00632BAF">
              <w:t>US</w:t>
            </w:r>
            <w:r>
              <w:t>$</w:t>
            </w:r>
            <w:r w:rsidR="00543E32">
              <w:t>1 </w:t>
            </w:r>
            <w:r>
              <w:t>billion.</w:t>
            </w:r>
            <w:r w:rsidR="00301A5B">
              <w:rPr>
                <w:rStyle w:val="FootnoteReference"/>
              </w:rPr>
              <w:footnoteReference w:id="117"/>
            </w:r>
          </w:p>
          <w:p w14:paraId="49107FB8" w14:textId="7B84CA7D" w:rsidR="00BB7E5C" w:rsidRDefault="00BB7E5C" w:rsidP="00B1507B">
            <w:pPr>
              <w:pStyle w:val="ListBullet"/>
              <w:keepLines/>
            </w:pPr>
            <w:r>
              <w:t>I</w:t>
            </w:r>
            <w:r w:rsidR="00DD155D">
              <w:t>t i</w:t>
            </w:r>
            <w:r>
              <w:t>ntend</w:t>
            </w:r>
            <w:r w:rsidR="00DD155D">
              <w:t>s</w:t>
            </w:r>
            <w:r>
              <w:t xml:space="preserve"> to have 110 LEO satellites in orbit by December 2020 and intends to provide in-flight connectivity, backhaul for mobile networks, and connectivity in remote locations (</w:t>
            </w:r>
            <w:r w:rsidR="00FA31D5">
              <w:t>for example,</w:t>
            </w:r>
            <w:r>
              <w:t xml:space="preserve"> Alaska).</w:t>
            </w:r>
            <w:r w:rsidR="00FE052F">
              <w:rPr>
                <w:rStyle w:val="FootnoteReference"/>
              </w:rPr>
              <w:footnoteReference w:id="118"/>
            </w:r>
          </w:p>
        </w:tc>
      </w:tr>
      <w:tr w:rsidR="009536E9" w14:paraId="1D0523AB" w14:textId="77777777" w:rsidTr="00B1507B">
        <w:trPr>
          <w:cnfStyle w:val="000000100000" w:firstRow="0" w:lastRow="0" w:firstColumn="0" w:lastColumn="0" w:oddVBand="0" w:evenVBand="0" w:oddHBand="1" w:evenHBand="0" w:firstRowFirstColumn="0" w:firstRowLastColumn="0" w:lastRowFirstColumn="0" w:lastRowLastColumn="0"/>
        </w:trPr>
        <w:tc>
          <w:tcPr>
            <w:tcW w:w="1107" w:type="pct"/>
          </w:tcPr>
          <w:p w14:paraId="179F87BB" w14:textId="77777777" w:rsidR="0094772B" w:rsidRDefault="00BB7E5C" w:rsidP="00BB7E5C">
            <w:pPr>
              <w:pStyle w:val="TableBody"/>
            </w:pPr>
            <w:r>
              <w:lastRenderedPageBreak/>
              <w:t xml:space="preserve">SpaceX </w:t>
            </w:r>
          </w:p>
          <w:p w14:paraId="7C3BE541" w14:textId="4DF3A8CC" w:rsidR="00BB7E5C" w:rsidRDefault="00BB7E5C" w:rsidP="00BB7E5C">
            <w:pPr>
              <w:pStyle w:val="TableBody"/>
            </w:pPr>
            <w:r>
              <w:t>(</w:t>
            </w:r>
            <w:r w:rsidR="00773D8F">
              <w:t>r</w:t>
            </w:r>
            <w:r>
              <w:t xml:space="preserve">evenue </w:t>
            </w:r>
            <w:r w:rsidR="00773D8F">
              <w:t>n/a</w:t>
            </w:r>
            <w:r>
              <w:t xml:space="preserve"> – start-up phase)</w:t>
            </w:r>
          </w:p>
        </w:tc>
        <w:tc>
          <w:tcPr>
            <w:tcW w:w="925" w:type="pct"/>
          </w:tcPr>
          <w:p w14:paraId="20D6D63E" w14:textId="77777777" w:rsidR="00BB7E5C" w:rsidRDefault="00BB7E5C" w:rsidP="00BB7E5C">
            <w:pPr>
              <w:pStyle w:val="TableBody"/>
            </w:pPr>
            <w:r>
              <w:t>Manufacture, space operations and applications</w:t>
            </w:r>
          </w:p>
        </w:tc>
        <w:tc>
          <w:tcPr>
            <w:tcW w:w="2968" w:type="pct"/>
          </w:tcPr>
          <w:p w14:paraId="6CE5C417" w14:textId="1438AEF0" w:rsidR="00BB7E5C" w:rsidRDefault="00BB7E5C" w:rsidP="00BB7E5C">
            <w:pPr>
              <w:pStyle w:val="ListBullet"/>
            </w:pPr>
            <w:r>
              <w:t xml:space="preserve">SpaceX was </w:t>
            </w:r>
            <w:r w:rsidRPr="002B16EA">
              <w:t>founded in 2002 and is based in Hawthorne, California</w:t>
            </w:r>
            <w:r w:rsidR="00632BAF">
              <w:t>, US</w:t>
            </w:r>
            <w:r>
              <w:t xml:space="preserve">. Approximately </w:t>
            </w:r>
            <w:r w:rsidR="00AB21A2">
              <w:t>A</w:t>
            </w:r>
            <w:r>
              <w:t>$</w:t>
            </w:r>
            <w:r w:rsidR="00B36223">
              <w:t>7</w:t>
            </w:r>
            <w:r>
              <w:t>.</w:t>
            </w:r>
            <w:r w:rsidR="00B36223">
              <w:t>5</w:t>
            </w:r>
            <w:r w:rsidR="00632BAF">
              <w:t xml:space="preserve"> </w:t>
            </w:r>
            <w:r>
              <w:t>b</w:t>
            </w:r>
            <w:r w:rsidR="00632BAF">
              <w:t>illion</w:t>
            </w:r>
            <w:r>
              <w:t xml:space="preserve"> raised to date.</w:t>
            </w:r>
            <w:r w:rsidR="00A95CAC">
              <w:rPr>
                <w:rStyle w:val="FootnoteReference"/>
              </w:rPr>
              <w:footnoteReference w:id="119"/>
            </w:r>
          </w:p>
          <w:p w14:paraId="45A08FB4" w14:textId="3C598DE9" w:rsidR="00BB7E5C" w:rsidRDefault="006D149D" w:rsidP="00BB7E5C">
            <w:pPr>
              <w:pStyle w:val="ListBullet"/>
            </w:pPr>
            <w:r>
              <w:t>It m</w:t>
            </w:r>
            <w:r w:rsidR="00BB7E5C" w:rsidRPr="002B16EA">
              <w:t>anufactures and launches rockets and spacecraft</w:t>
            </w:r>
            <w:r w:rsidR="00BB7E5C">
              <w:t>.</w:t>
            </w:r>
          </w:p>
          <w:p w14:paraId="3BB5D537" w14:textId="52A5F3E4" w:rsidR="00BB7E5C" w:rsidRDefault="00BB7E5C" w:rsidP="00D8686C">
            <w:pPr>
              <w:pStyle w:val="ListBullet"/>
              <w:keepLines/>
            </w:pPr>
            <w:r>
              <w:t>Products and services include rockets, spacecraft, cryogenic tank structure, guidance and control software, launch vehicles, crew and cargo transportation (</w:t>
            </w:r>
            <w:r w:rsidR="00FA31D5">
              <w:t xml:space="preserve">for example, </w:t>
            </w:r>
            <w:r>
              <w:t>rideshare), and launch services.</w:t>
            </w:r>
          </w:p>
          <w:p w14:paraId="49C17D3D" w14:textId="542F63C2" w:rsidR="00BB7E5C" w:rsidRDefault="00BB7E5C" w:rsidP="00BB7E5C">
            <w:pPr>
              <w:pStyle w:val="ListBullet"/>
            </w:pPr>
            <w:r>
              <w:t xml:space="preserve">The company launched the </w:t>
            </w:r>
            <w:r w:rsidRPr="009B75DF">
              <w:t>GPS III SV04</w:t>
            </w:r>
            <w:r>
              <w:t xml:space="preserve"> satellite, modernising and improving the speed and accuracy of positioning systems.</w:t>
            </w:r>
            <w:r w:rsidR="00441032">
              <w:rPr>
                <w:rStyle w:val="FootnoteReference"/>
              </w:rPr>
              <w:footnoteReference w:id="120"/>
            </w:r>
          </w:p>
          <w:p w14:paraId="05ABCFDF" w14:textId="6EC1E861" w:rsidR="00AB21A2" w:rsidRDefault="007B6679" w:rsidP="00BB7E5C">
            <w:pPr>
              <w:pStyle w:val="ListBullet"/>
            </w:pPr>
            <w:r w:rsidRPr="007B6679">
              <w:t>Starlink is a satellite internet constellation being constructed by SpaceX</w:t>
            </w:r>
            <w:r w:rsidR="003A1D8D">
              <w:t>.</w:t>
            </w:r>
            <w:r w:rsidRPr="007B6679">
              <w:t xml:space="preserve"> </w:t>
            </w:r>
          </w:p>
          <w:p w14:paraId="1F9FAFCB" w14:textId="6EC1E861" w:rsidR="00A33AFF" w:rsidRDefault="004E3E64" w:rsidP="0082794B">
            <w:pPr>
              <w:pStyle w:val="Bulletlevel2"/>
            </w:pPr>
            <w:r>
              <w:t>SpaceX</w:t>
            </w:r>
            <w:r w:rsidR="00BB7E5C">
              <w:t xml:space="preserve"> has launched almost 1,000 satellites with the intention of offering broadband services initially to Northern </w:t>
            </w:r>
            <w:r w:rsidR="00D44925">
              <w:t>US</w:t>
            </w:r>
            <w:r w:rsidR="00BB7E5C">
              <w:t xml:space="preserve"> and Canada</w:t>
            </w:r>
            <w:r w:rsidR="004B5A0C">
              <w:t xml:space="preserve">. </w:t>
            </w:r>
          </w:p>
          <w:p w14:paraId="1EEE7A55" w14:textId="0D3E5C93" w:rsidR="00BB7E5C" w:rsidRDefault="004B5A0C" w:rsidP="0082794B">
            <w:pPr>
              <w:pStyle w:val="Bulletlevel2"/>
            </w:pPr>
            <w:r>
              <w:t>It has plans to</w:t>
            </w:r>
            <w:r w:rsidR="00BB7E5C">
              <w:t xml:space="preserve"> expand to the rest of the world</w:t>
            </w:r>
            <w:r w:rsidR="00632BAF">
              <w:t xml:space="preserve">, </w:t>
            </w:r>
            <w:r w:rsidR="00BB7E5C">
              <w:t>with approval to have a constellation of 12,000 satellites.</w:t>
            </w:r>
            <w:r w:rsidR="00D62845">
              <w:rPr>
                <w:rStyle w:val="FootnoteReference"/>
              </w:rPr>
              <w:footnoteReference w:id="121"/>
            </w:r>
            <w:r w:rsidR="00BB7E5C">
              <w:t xml:space="preserve"> </w:t>
            </w:r>
          </w:p>
          <w:p w14:paraId="4FF62110" w14:textId="77777777" w:rsidR="00BB7E5C" w:rsidRDefault="00BB7E5C" w:rsidP="00BB7E5C">
            <w:pPr>
              <w:pStyle w:val="ListBullet"/>
            </w:pPr>
            <w:r>
              <w:t xml:space="preserve">Starlink is currently in a trial phase. Early reporting of tests suggests </w:t>
            </w:r>
            <w:r w:rsidRPr="004573C3">
              <w:t>download speeds topping 100 Mbps, upload speeds above 40 Mbps and roundtrip latency under 40ms</w:t>
            </w:r>
            <w:r>
              <w:t>.</w:t>
            </w:r>
            <w:r w:rsidR="004F1A66">
              <w:rPr>
                <w:rStyle w:val="FootnoteReference"/>
              </w:rPr>
              <w:footnoteReference w:id="122"/>
            </w:r>
          </w:p>
          <w:p w14:paraId="2C90BDD3" w14:textId="77777777" w:rsidR="000C62E8" w:rsidRDefault="000C62E8" w:rsidP="00BB7E5C">
            <w:pPr>
              <w:pStyle w:val="ListBullet"/>
            </w:pPr>
            <w:r>
              <w:t>SpaceX holds apparatus licences in Australia to operate its Starlink service</w:t>
            </w:r>
            <w:r w:rsidR="00DA24FD">
              <w:rPr>
                <w:rStyle w:val="FootnoteReference"/>
              </w:rPr>
              <w:footnoteReference w:id="123"/>
            </w:r>
            <w:r>
              <w:t xml:space="preserve"> which has been highlighted in media reports.</w:t>
            </w:r>
            <w:r>
              <w:rPr>
                <w:rStyle w:val="FootnoteReference"/>
              </w:rPr>
              <w:footnoteReference w:id="124"/>
            </w:r>
          </w:p>
          <w:p w14:paraId="6F22FB2B" w14:textId="5D9BE23C" w:rsidR="00895340" w:rsidRDefault="00895340" w:rsidP="0082794B">
            <w:pPr>
              <w:pStyle w:val="Bulletlevel2"/>
              <w:ind w:left="579"/>
            </w:pPr>
            <w:r>
              <w:lastRenderedPageBreak/>
              <w:t>It is taking orders for a mid to late 2021 launch in Australia</w:t>
            </w:r>
            <w:r w:rsidR="00632BAF">
              <w:t>,</w:t>
            </w:r>
            <w:r>
              <w:t xml:space="preserve"> quoting an installation cost of </w:t>
            </w:r>
            <w:r w:rsidR="00FA31D5">
              <w:t>A</w:t>
            </w:r>
            <w:r w:rsidR="00830472">
              <w:t xml:space="preserve">$809 and </w:t>
            </w:r>
            <w:r w:rsidR="00FA31D5">
              <w:t>A</w:t>
            </w:r>
            <w:r w:rsidR="0071521D">
              <w:t>$139</w:t>
            </w:r>
            <w:r w:rsidR="00AD6FA3">
              <w:t xml:space="preserve"> per month</w:t>
            </w:r>
            <w:r w:rsidR="00632BAF">
              <w:t>.</w:t>
            </w:r>
            <w:r w:rsidR="0043546B">
              <w:rPr>
                <w:rStyle w:val="FootnoteReference"/>
              </w:rPr>
              <w:footnoteReference w:id="125"/>
            </w:r>
          </w:p>
          <w:p w14:paraId="3DD7DB4E" w14:textId="29900F73" w:rsidR="00F41676" w:rsidRDefault="00F41676" w:rsidP="0082794B">
            <w:pPr>
              <w:pStyle w:val="Bulletlevel2"/>
              <w:ind w:left="874"/>
            </w:pPr>
            <w:r>
              <w:t>It is offering unlimited data</w:t>
            </w:r>
            <w:r w:rsidR="00781B23">
              <w:t>, with speeds varying between 50 to 150 M</w:t>
            </w:r>
            <w:r w:rsidR="009A4C8F">
              <w:t>bps and a latency of 20 milliseconds.</w:t>
            </w:r>
            <w:r w:rsidR="009A4C8F">
              <w:rPr>
                <w:rStyle w:val="FootnoteReference"/>
              </w:rPr>
              <w:footnoteReference w:id="126"/>
            </w:r>
          </w:p>
        </w:tc>
      </w:tr>
    </w:tbl>
    <w:p w14:paraId="693612E9" w14:textId="77777777" w:rsidR="00BB7E5C" w:rsidRDefault="00BB7E5C" w:rsidP="00BB7E5C">
      <w:pPr>
        <w:pStyle w:val="Tableorfigurenote"/>
      </w:pPr>
      <w:r>
        <w:lastRenderedPageBreak/>
        <w:t>Note: Reported revenues relate to the most recent financial reporting period (year-on-year) for entire business (including revenues attributed to space activities).</w:t>
      </w:r>
    </w:p>
    <w:p w14:paraId="5A8072E6" w14:textId="77777777" w:rsidR="00BB7E5C" w:rsidRDefault="00BB7E5C" w:rsidP="00BB7E5C">
      <w:pPr>
        <w:pStyle w:val="Heading2"/>
      </w:pPr>
      <w:bookmarkStart w:id="47" w:name="_Toc62205751"/>
      <w:bookmarkStart w:id="48" w:name="_Toc65851785"/>
      <w:r>
        <w:t>Government sector</w:t>
      </w:r>
      <w:bookmarkEnd w:id="47"/>
      <w:bookmarkEnd w:id="48"/>
    </w:p>
    <w:p w14:paraId="0CC4BDDF" w14:textId="404308B7" w:rsidR="00BB7E5C" w:rsidRDefault="00BB7E5C" w:rsidP="00F13546">
      <w:pPr>
        <w:pStyle w:val="Paragraph"/>
        <w:keepNext/>
      </w:pPr>
      <w:r>
        <w:t xml:space="preserve">Table </w:t>
      </w:r>
      <w:r w:rsidR="009962C3">
        <w:t>B</w:t>
      </w:r>
      <w:r w:rsidR="00E47122">
        <w:t>3</w:t>
      </w:r>
      <w:r>
        <w:t xml:space="preserve"> </w:t>
      </w:r>
      <w:r w:rsidRPr="003214AB">
        <w:t>provides a summary</w:t>
      </w:r>
      <w:r w:rsidR="00E47122">
        <w:t xml:space="preserve"> of </w:t>
      </w:r>
      <w:r w:rsidR="006D2445">
        <w:t xml:space="preserve">Australian </w:t>
      </w:r>
      <w:r w:rsidR="000B603E">
        <w:t xml:space="preserve">Government </w:t>
      </w:r>
      <w:r w:rsidR="00527CC8">
        <w:t>entities</w:t>
      </w:r>
      <w:r w:rsidR="006D2445">
        <w:t xml:space="preserve"> conducting space activity</w:t>
      </w:r>
      <w:r>
        <w:t>.</w:t>
      </w:r>
    </w:p>
    <w:p w14:paraId="72B4BF18" w14:textId="5CD9FB3C" w:rsidR="00BB7E5C" w:rsidRDefault="009962C3" w:rsidP="00F13546">
      <w:pPr>
        <w:pStyle w:val="Tableheading"/>
        <w:numPr>
          <w:ilvl w:val="0"/>
          <w:numId w:val="0"/>
        </w:numPr>
        <w:ind w:left="964" w:hanging="964"/>
      </w:pPr>
      <w:r>
        <w:t>Table B3:</w:t>
      </w:r>
      <w:r>
        <w:tab/>
      </w:r>
      <w:r w:rsidR="00BB7E5C">
        <w:t>Government sector</w:t>
      </w:r>
    </w:p>
    <w:tbl>
      <w:tblPr>
        <w:tblStyle w:val="ACMAtablestyle"/>
        <w:tblW w:w="0" w:type="auto"/>
        <w:tblLook w:val="04A0" w:firstRow="1" w:lastRow="0" w:firstColumn="1" w:lastColumn="0" w:noHBand="0" w:noVBand="1"/>
      </w:tblPr>
      <w:tblGrid>
        <w:gridCol w:w="1695"/>
        <w:gridCol w:w="1417"/>
        <w:gridCol w:w="4547"/>
      </w:tblGrid>
      <w:tr w:rsidR="009536E9" w14:paraId="5E7D1133" w14:textId="77777777" w:rsidTr="00B1507B">
        <w:trPr>
          <w:cnfStyle w:val="100000000000" w:firstRow="1" w:lastRow="0" w:firstColumn="0" w:lastColumn="0" w:oddVBand="0" w:evenVBand="0" w:oddHBand="0" w:evenHBand="0" w:firstRowFirstColumn="0" w:firstRowLastColumn="0" w:lastRowFirstColumn="0" w:lastRowLastColumn="0"/>
        </w:trPr>
        <w:tc>
          <w:tcPr>
            <w:tcW w:w="1695" w:type="dxa"/>
          </w:tcPr>
          <w:p w14:paraId="1B13E692" w14:textId="77777777" w:rsidR="00BB7E5C" w:rsidRDefault="00BB7E5C" w:rsidP="00BB7E5C">
            <w:pPr>
              <w:pStyle w:val="Tableheaderrow"/>
            </w:pPr>
            <w:r>
              <w:t>Company</w:t>
            </w:r>
          </w:p>
        </w:tc>
        <w:tc>
          <w:tcPr>
            <w:tcW w:w="1417" w:type="dxa"/>
          </w:tcPr>
          <w:p w14:paraId="65812369" w14:textId="77777777" w:rsidR="00BB7E5C" w:rsidRDefault="00BB7E5C" w:rsidP="00BB7E5C">
            <w:pPr>
              <w:pStyle w:val="Tableheaderrow"/>
            </w:pPr>
            <w:r>
              <w:t>Segment(s)</w:t>
            </w:r>
          </w:p>
        </w:tc>
        <w:tc>
          <w:tcPr>
            <w:tcW w:w="4547" w:type="dxa"/>
          </w:tcPr>
          <w:p w14:paraId="26387213" w14:textId="77777777" w:rsidR="00BB7E5C" w:rsidRDefault="00BB7E5C" w:rsidP="00BB7E5C">
            <w:pPr>
              <w:pStyle w:val="Tableheaderrow"/>
            </w:pPr>
            <w:r>
              <w:t>Businesses/locations</w:t>
            </w:r>
          </w:p>
        </w:tc>
      </w:tr>
      <w:tr w:rsidR="009536E9" w14:paraId="0B8C2DF6" w14:textId="77777777" w:rsidTr="00B1507B">
        <w:trPr>
          <w:cnfStyle w:val="000000100000" w:firstRow="0" w:lastRow="0" w:firstColumn="0" w:lastColumn="0" w:oddVBand="0" w:evenVBand="0" w:oddHBand="1" w:evenHBand="0" w:firstRowFirstColumn="0" w:firstRowLastColumn="0" w:lastRowFirstColumn="0" w:lastRowLastColumn="0"/>
        </w:trPr>
        <w:tc>
          <w:tcPr>
            <w:tcW w:w="1695" w:type="dxa"/>
          </w:tcPr>
          <w:p w14:paraId="148B30CE" w14:textId="77777777" w:rsidR="0094772B" w:rsidRDefault="00BB7E5C" w:rsidP="00BB7E5C">
            <w:pPr>
              <w:pStyle w:val="TableBody"/>
            </w:pPr>
            <w:r>
              <w:t>Bureau of Meteorology (</w:t>
            </w:r>
            <w:r w:rsidR="00730241">
              <w:t xml:space="preserve">BoM) </w:t>
            </w:r>
          </w:p>
          <w:p w14:paraId="35AEB0E4" w14:textId="6CE5E40C" w:rsidR="00BB7E5C" w:rsidRDefault="00BB7E5C" w:rsidP="00BB7E5C">
            <w:pPr>
              <w:pStyle w:val="TableBody"/>
            </w:pPr>
            <w:r>
              <w:t>(</w:t>
            </w:r>
            <w:r w:rsidR="0094772B">
              <w:t xml:space="preserve">Jun 20 </w:t>
            </w:r>
            <w:r w:rsidR="00210F95">
              <w:t>r</w:t>
            </w:r>
            <w:r>
              <w:t xml:space="preserve">evenue </w:t>
            </w:r>
            <w:r w:rsidR="00794276">
              <w:br/>
            </w:r>
            <w:r w:rsidR="00294248">
              <w:t>A</w:t>
            </w:r>
            <w:r>
              <w:t>$0.3</w:t>
            </w:r>
            <w:r w:rsidR="00E20CA8">
              <w:t xml:space="preserve"> </w:t>
            </w:r>
            <w:r>
              <w:t>b</w:t>
            </w:r>
            <w:r w:rsidR="00E20CA8">
              <w:t>illion</w:t>
            </w:r>
            <w:r>
              <w:t>)</w:t>
            </w:r>
            <w:r w:rsidR="00C923EB">
              <w:rPr>
                <w:rStyle w:val="FootnoteReference"/>
              </w:rPr>
              <w:footnoteReference w:id="127"/>
            </w:r>
          </w:p>
        </w:tc>
        <w:tc>
          <w:tcPr>
            <w:tcW w:w="1417" w:type="dxa"/>
          </w:tcPr>
          <w:p w14:paraId="09C4FC2A" w14:textId="77777777" w:rsidR="00BB7E5C" w:rsidRDefault="00BB7E5C" w:rsidP="00BB7E5C">
            <w:pPr>
              <w:pStyle w:val="TableBody"/>
            </w:pPr>
            <w:r>
              <w:t>Earth stations and space applications</w:t>
            </w:r>
          </w:p>
        </w:tc>
        <w:tc>
          <w:tcPr>
            <w:tcW w:w="4547" w:type="dxa"/>
          </w:tcPr>
          <w:p w14:paraId="650A88DC" w14:textId="4731D3D9" w:rsidR="00BB7E5C" w:rsidRDefault="00BB7E5C" w:rsidP="00BB7E5C">
            <w:pPr>
              <w:pStyle w:val="ListBullet"/>
            </w:pPr>
            <w:r w:rsidRPr="00124F7F">
              <w:t>The BoM provides one of the most widely used services through regular forecasts, warnings, monitoring and advice spanning the Australian region and Antarctic territory</w:t>
            </w:r>
            <w:r>
              <w:t>.</w:t>
            </w:r>
            <w:r w:rsidR="006E29C8">
              <w:rPr>
                <w:rStyle w:val="FootnoteReference"/>
              </w:rPr>
              <w:footnoteReference w:id="128"/>
            </w:r>
          </w:p>
          <w:p w14:paraId="60314333" w14:textId="77777777" w:rsidR="00BB7E5C" w:rsidRDefault="00BB7E5C" w:rsidP="00BB7E5C">
            <w:pPr>
              <w:pStyle w:val="ListBullet"/>
            </w:pPr>
            <w:r>
              <w:t>The agency does not own or operate satellites.</w:t>
            </w:r>
          </w:p>
          <w:p w14:paraId="5CEBEF37" w14:textId="429AC618" w:rsidR="00BB7E5C" w:rsidRDefault="00BB7E5C" w:rsidP="00BB7E5C">
            <w:pPr>
              <w:pStyle w:val="ListBullet"/>
            </w:pPr>
            <w:r>
              <w:t>The BoM uses 5 Earth stations, of which it owns 4, to receive data from various weather satellites.</w:t>
            </w:r>
            <w:r w:rsidR="00354067">
              <w:rPr>
                <w:rStyle w:val="FootnoteReference"/>
              </w:rPr>
              <w:footnoteReference w:id="129"/>
            </w:r>
          </w:p>
          <w:p w14:paraId="6244FC33" w14:textId="63C26264" w:rsidR="00BB7E5C" w:rsidRPr="006E308E" w:rsidRDefault="00BB7E5C" w:rsidP="00BB7E5C">
            <w:pPr>
              <w:pStyle w:val="ListBullet"/>
            </w:pPr>
            <w:r>
              <w:t>It leverages satellite technologies (</w:t>
            </w:r>
            <w:r w:rsidR="00A33AFF">
              <w:t>for example,</w:t>
            </w:r>
            <w:r>
              <w:t xml:space="preserve"> GPS) to aid in providing weather information.</w:t>
            </w:r>
          </w:p>
        </w:tc>
      </w:tr>
      <w:tr w:rsidR="009536E9" w14:paraId="25575A34" w14:textId="77777777" w:rsidTr="00B1507B">
        <w:trPr>
          <w:cnfStyle w:val="000000010000" w:firstRow="0" w:lastRow="0" w:firstColumn="0" w:lastColumn="0" w:oddVBand="0" w:evenVBand="0" w:oddHBand="0" w:evenHBand="1" w:firstRowFirstColumn="0" w:firstRowLastColumn="0" w:lastRowFirstColumn="0" w:lastRowLastColumn="0"/>
        </w:trPr>
        <w:tc>
          <w:tcPr>
            <w:tcW w:w="1695" w:type="dxa"/>
          </w:tcPr>
          <w:p w14:paraId="3F6D362B" w14:textId="77777777" w:rsidR="002B1D73" w:rsidRDefault="00BB7E5C" w:rsidP="00BB7E5C">
            <w:pPr>
              <w:pStyle w:val="TableBody"/>
            </w:pPr>
            <w:r w:rsidRPr="00EF4A17">
              <w:t>Commonwealth Scientific and Industrial Research Organisation (CSIRO)</w:t>
            </w:r>
            <w:r>
              <w:t xml:space="preserve"> </w:t>
            </w:r>
          </w:p>
          <w:p w14:paraId="793890BE" w14:textId="7B27C2E8" w:rsidR="00BB7E5C" w:rsidRDefault="00BB7E5C" w:rsidP="00BB7E5C">
            <w:pPr>
              <w:pStyle w:val="TableBody"/>
              <w:rPr>
                <w:noProof/>
              </w:rPr>
            </w:pPr>
            <w:r>
              <w:t>(</w:t>
            </w:r>
            <w:r w:rsidR="00210F95">
              <w:t>r</w:t>
            </w:r>
            <w:r>
              <w:t>evenue not available)</w:t>
            </w:r>
          </w:p>
        </w:tc>
        <w:tc>
          <w:tcPr>
            <w:tcW w:w="1417" w:type="dxa"/>
          </w:tcPr>
          <w:p w14:paraId="0A15AFC1" w14:textId="77777777" w:rsidR="00BB7E5C" w:rsidRDefault="00BB7E5C" w:rsidP="00BB7E5C">
            <w:pPr>
              <w:pStyle w:val="TableBody"/>
            </w:pPr>
            <w:r>
              <w:t>Earth stations and space applications</w:t>
            </w:r>
          </w:p>
        </w:tc>
        <w:tc>
          <w:tcPr>
            <w:tcW w:w="4547" w:type="dxa"/>
          </w:tcPr>
          <w:p w14:paraId="7D0433C9" w14:textId="79654915" w:rsidR="00BB7E5C" w:rsidRDefault="00BB7E5C" w:rsidP="00BB7E5C">
            <w:pPr>
              <w:pStyle w:val="ListBullet"/>
            </w:pPr>
            <w:r w:rsidRPr="002F7755">
              <w:t>CSIRO is Australia’s national science research agency.</w:t>
            </w:r>
            <w:r w:rsidR="00840231">
              <w:rPr>
                <w:rStyle w:val="FootnoteReference"/>
              </w:rPr>
              <w:footnoteReference w:id="130"/>
            </w:r>
          </w:p>
          <w:p w14:paraId="25439A76" w14:textId="3DB1988D" w:rsidR="00BB7E5C" w:rsidRDefault="00BB7E5C" w:rsidP="00BB7E5C">
            <w:pPr>
              <w:pStyle w:val="ListBullet"/>
            </w:pPr>
            <w:r w:rsidRPr="002F7755">
              <w:t>CSIRO has a long and successful history in the space sector from radio astronomy research, managing complex facilities and observing Earth from above to supporting data and manufacturing supply chains.</w:t>
            </w:r>
          </w:p>
          <w:p w14:paraId="2D895ED6" w14:textId="77777777" w:rsidR="00BB7E5C" w:rsidRDefault="00BB7E5C" w:rsidP="00BB7E5C">
            <w:pPr>
              <w:pStyle w:val="ListBullet"/>
            </w:pPr>
            <w:r>
              <w:t>It has partnerships with the ASA, ESA and NASA.</w:t>
            </w:r>
          </w:p>
          <w:p w14:paraId="0A07F38A" w14:textId="6439F5FD" w:rsidR="00BB7E5C" w:rsidRDefault="00BB7E5C" w:rsidP="00BB7E5C">
            <w:pPr>
              <w:pStyle w:val="ListBullet"/>
            </w:pPr>
            <w:r>
              <w:t>It operates the Square Kilometre Array</w:t>
            </w:r>
            <w:r w:rsidR="00210F95">
              <w:t>,</w:t>
            </w:r>
            <w:r>
              <w:t xml:space="preserve"> which is used for astronomy and space research.</w:t>
            </w:r>
            <w:r w:rsidR="005749D6">
              <w:rPr>
                <w:rStyle w:val="FootnoteReference"/>
              </w:rPr>
              <w:footnoteReference w:id="131"/>
            </w:r>
          </w:p>
          <w:p w14:paraId="6E16A6A8" w14:textId="0A65ADDD" w:rsidR="00BB7E5C" w:rsidRDefault="00BB7E5C" w:rsidP="00BB7E5C">
            <w:pPr>
              <w:pStyle w:val="ListBullet"/>
            </w:pPr>
            <w:r>
              <w:lastRenderedPageBreak/>
              <w:t xml:space="preserve">It has had a 30-year partnership with Boeing, including </w:t>
            </w:r>
            <w:r w:rsidRPr="00FC2E8E">
              <w:t>a 5</w:t>
            </w:r>
            <w:r w:rsidR="00730241">
              <w:t>-</w:t>
            </w:r>
            <w:r w:rsidRPr="00FC2E8E">
              <w:t xml:space="preserve">year, </w:t>
            </w:r>
            <w:r w:rsidR="00294248">
              <w:t>A</w:t>
            </w:r>
            <w:r w:rsidRPr="00FC2E8E">
              <w:t>$35 million research agreement with Boeing with the focus on space technologies</w:t>
            </w:r>
            <w:r>
              <w:t>.</w:t>
            </w:r>
            <w:r w:rsidR="0071592C">
              <w:rPr>
                <w:rStyle w:val="FootnoteReference"/>
              </w:rPr>
              <w:footnoteReference w:id="132"/>
            </w:r>
          </w:p>
          <w:p w14:paraId="76047DB4" w14:textId="77777777" w:rsidR="00BB7E5C" w:rsidRDefault="00BB7E5C" w:rsidP="00BB7E5C">
            <w:pPr>
              <w:pStyle w:val="ListBullet"/>
            </w:pPr>
            <w:r w:rsidRPr="00DF046F">
              <w:t>In 2018, CSIRO's investment fund and Boeing HorizonX Ventures, the company's venture capital fund, invested in Australian nanosatellite communications start-up Myriota</w:t>
            </w:r>
            <w:r>
              <w:t xml:space="preserve"> (see below)</w:t>
            </w:r>
            <w:r w:rsidRPr="00DF046F">
              <w:t>.</w:t>
            </w:r>
          </w:p>
        </w:tc>
      </w:tr>
      <w:tr w:rsidR="009536E9" w14:paraId="7D1400F3" w14:textId="77777777" w:rsidTr="00B1507B">
        <w:trPr>
          <w:cnfStyle w:val="000000100000" w:firstRow="0" w:lastRow="0" w:firstColumn="0" w:lastColumn="0" w:oddVBand="0" w:evenVBand="0" w:oddHBand="1" w:evenHBand="0" w:firstRowFirstColumn="0" w:firstRowLastColumn="0" w:lastRowFirstColumn="0" w:lastRowLastColumn="0"/>
        </w:trPr>
        <w:tc>
          <w:tcPr>
            <w:tcW w:w="1695" w:type="dxa"/>
          </w:tcPr>
          <w:p w14:paraId="73D7BA55" w14:textId="79CBBD0A" w:rsidR="00BB7E5C" w:rsidRDefault="00BB7E5C" w:rsidP="00BB7E5C">
            <w:pPr>
              <w:pStyle w:val="TableBody"/>
            </w:pPr>
            <w:r>
              <w:lastRenderedPageBreak/>
              <w:t>Department of Defence (Defence) (</w:t>
            </w:r>
            <w:r w:rsidR="00210F95">
              <w:t>r</w:t>
            </w:r>
            <w:r>
              <w:t>evenue not applicable)</w:t>
            </w:r>
          </w:p>
        </w:tc>
        <w:tc>
          <w:tcPr>
            <w:tcW w:w="1417" w:type="dxa"/>
          </w:tcPr>
          <w:p w14:paraId="36143BC0" w14:textId="77777777" w:rsidR="00BB7E5C" w:rsidRDefault="00BB7E5C" w:rsidP="00BB7E5C">
            <w:pPr>
              <w:pStyle w:val="TableBody"/>
            </w:pPr>
            <w:r>
              <w:t>Earth stations and space applications</w:t>
            </w:r>
          </w:p>
        </w:tc>
        <w:tc>
          <w:tcPr>
            <w:tcW w:w="4547" w:type="dxa"/>
          </w:tcPr>
          <w:p w14:paraId="41450BBE" w14:textId="2A62D2BA" w:rsidR="00BB7E5C" w:rsidRDefault="00BB7E5C" w:rsidP="00BB7E5C">
            <w:pPr>
              <w:pStyle w:val="ListBullet"/>
            </w:pPr>
            <w:r>
              <w:t>Air Force operates Defence’s space functions.</w:t>
            </w:r>
            <w:r w:rsidR="00515E05">
              <w:rPr>
                <w:rStyle w:val="FootnoteReference"/>
              </w:rPr>
              <w:footnoteReference w:id="133"/>
            </w:r>
          </w:p>
          <w:p w14:paraId="10E04D72" w14:textId="77777777" w:rsidR="00BB7E5C" w:rsidRDefault="00BB7E5C" w:rsidP="00BB7E5C">
            <w:pPr>
              <w:pStyle w:val="ListBullet"/>
            </w:pPr>
            <w:r>
              <w:t>Defence works with the ASA, international partners and commercial providers to deliver a space capability.</w:t>
            </w:r>
          </w:p>
          <w:p w14:paraId="0807C497" w14:textId="1D8C59FC" w:rsidR="00BB7E5C" w:rsidRDefault="00BB7E5C" w:rsidP="00BB7E5C">
            <w:pPr>
              <w:pStyle w:val="ListBullet"/>
            </w:pPr>
            <w:r>
              <w:t xml:space="preserve">The Australian Government recently announced a </w:t>
            </w:r>
            <w:r w:rsidR="00294248">
              <w:t>A</w:t>
            </w:r>
            <w:r>
              <w:t>$7 billion investment as part of the 2020 Force Structure Plan.</w:t>
            </w:r>
            <w:r w:rsidR="008F2E4B">
              <w:rPr>
                <w:rStyle w:val="FootnoteReference"/>
              </w:rPr>
              <w:footnoteReference w:id="134"/>
            </w:r>
          </w:p>
          <w:p w14:paraId="2D0D94D9" w14:textId="77777777" w:rsidR="00BB7E5C" w:rsidRPr="00124F7F" w:rsidRDefault="00BB7E5C" w:rsidP="00BB7E5C">
            <w:pPr>
              <w:pStyle w:val="ListBullet"/>
            </w:pPr>
            <w:r>
              <w:t>It is upgrading ground stations, working with commercial satellite imagery providers and testing CubeSats as a means to upgrade its capability in space.</w:t>
            </w:r>
          </w:p>
        </w:tc>
      </w:tr>
      <w:tr w:rsidR="009536E9" w14:paraId="43BC2232" w14:textId="77777777" w:rsidTr="00B1507B">
        <w:trPr>
          <w:cnfStyle w:val="000000010000" w:firstRow="0" w:lastRow="0" w:firstColumn="0" w:lastColumn="0" w:oddVBand="0" w:evenVBand="0" w:oddHBand="0" w:evenHBand="1" w:firstRowFirstColumn="0" w:firstRowLastColumn="0" w:lastRowFirstColumn="0" w:lastRowLastColumn="0"/>
        </w:trPr>
        <w:tc>
          <w:tcPr>
            <w:tcW w:w="1695" w:type="dxa"/>
          </w:tcPr>
          <w:p w14:paraId="37487785" w14:textId="77777777" w:rsidR="00D9055B" w:rsidRDefault="00BB7E5C" w:rsidP="0011661B">
            <w:pPr>
              <w:pStyle w:val="TableBody"/>
              <w:rPr>
                <w:noProof/>
              </w:rPr>
            </w:pPr>
            <w:r>
              <w:rPr>
                <w:noProof/>
              </w:rPr>
              <w:t xml:space="preserve">NBN Co Limited (NBN Co) </w:t>
            </w:r>
          </w:p>
          <w:p w14:paraId="4ACA9F1F" w14:textId="296CCA3D" w:rsidR="00BB7E5C" w:rsidRDefault="00BB7E5C" w:rsidP="0011661B">
            <w:pPr>
              <w:pStyle w:val="TableBody"/>
              <w:rPr>
                <w:noProof/>
              </w:rPr>
            </w:pPr>
            <w:r>
              <w:rPr>
                <w:noProof/>
              </w:rPr>
              <w:t>(</w:t>
            </w:r>
            <w:r w:rsidR="002B1D73">
              <w:rPr>
                <w:noProof/>
              </w:rPr>
              <w:t xml:space="preserve">Dec 20 </w:t>
            </w:r>
            <w:r w:rsidR="00210F95">
              <w:rPr>
                <w:noProof/>
              </w:rPr>
              <w:t>r</w:t>
            </w:r>
            <w:r>
              <w:rPr>
                <w:noProof/>
              </w:rPr>
              <w:t xml:space="preserve">evenue </w:t>
            </w:r>
            <w:r w:rsidR="00294248">
              <w:rPr>
                <w:noProof/>
              </w:rPr>
              <w:t>A</w:t>
            </w:r>
            <w:r>
              <w:rPr>
                <w:noProof/>
              </w:rPr>
              <w:t>$</w:t>
            </w:r>
            <w:r w:rsidR="00C25022">
              <w:rPr>
                <w:noProof/>
              </w:rPr>
              <w:t>4</w:t>
            </w:r>
            <w:r>
              <w:rPr>
                <w:noProof/>
              </w:rPr>
              <w:t>.</w:t>
            </w:r>
            <w:r w:rsidR="00C25022">
              <w:rPr>
                <w:noProof/>
              </w:rPr>
              <w:t>3</w:t>
            </w:r>
            <w:r w:rsidR="00E20CA8">
              <w:rPr>
                <w:noProof/>
              </w:rPr>
              <w:t xml:space="preserve"> </w:t>
            </w:r>
            <w:r>
              <w:rPr>
                <w:noProof/>
              </w:rPr>
              <w:t>b</w:t>
            </w:r>
            <w:r w:rsidR="00E20CA8">
              <w:rPr>
                <w:noProof/>
              </w:rPr>
              <w:t>illion</w:t>
            </w:r>
            <w:r>
              <w:rPr>
                <w:noProof/>
              </w:rPr>
              <w:t>)</w:t>
            </w:r>
            <w:r w:rsidR="001B00A3">
              <w:rPr>
                <w:rStyle w:val="FootnoteReference"/>
                <w:noProof/>
              </w:rPr>
              <w:footnoteReference w:id="135"/>
            </w:r>
          </w:p>
        </w:tc>
        <w:tc>
          <w:tcPr>
            <w:tcW w:w="1417" w:type="dxa"/>
          </w:tcPr>
          <w:p w14:paraId="5A474DB7" w14:textId="77777777" w:rsidR="00BB7E5C" w:rsidRDefault="00BB7E5C" w:rsidP="00BB7E5C">
            <w:pPr>
              <w:pStyle w:val="TableBody"/>
            </w:pPr>
            <w:r>
              <w:t>Space applications</w:t>
            </w:r>
          </w:p>
        </w:tc>
        <w:tc>
          <w:tcPr>
            <w:tcW w:w="4547" w:type="dxa"/>
          </w:tcPr>
          <w:p w14:paraId="7C7D3D11" w14:textId="5C0B1AA0" w:rsidR="00BB7E5C" w:rsidRDefault="00BB7E5C" w:rsidP="00BB7E5C">
            <w:pPr>
              <w:pStyle w:val="ListBullet"/>
            </w:pPr>
            <w:r>
              <w:t xml:space="preserve">NBN Co provides wholesale broadband communications services to residential and business customers. </w:t>
            </w:r>
            <w:r w:rsidRPr="00075ED0">
              <w:t>The company was founded in 2009 and is headquartered in Sydney.</w:t>
            </w:r>
            <w:r w:rsidR="00277435">
              <w:rPr>
                <w:rStyle w:val="FootnoteReference"/>
              </w:rPr>
              <w:footnoteReference w:id="136"/>
            </w:r>
          </w:p>
          <w:p w14:paraId="6B9CC257" w14:textId="6CA02746" w:rsidR="00BB7E5C" w:rsidRDefault="00BB7E5C" w:rsidP="00BB7E5C">
            <w:pPr>
              <w:pStyle w:val="ListBullet"/>
            </w:pPr>
            <w:r>
              <w:t xml:space="preserve">It has a constellation of 2 satellites operating the Sky Muster services, covering regional and remote customers in </w:t>
            </w:r>
            <w:r w:rsidRPr="005E7B55">
              <w:t>mainland Australia and Tasmania, and remote islands such as Norfolk Island, Christmas Island, Lord Howe Island and the Cocos (Keeling) Islands</w:t>
            </w:r>
            <w:r>
              <w:t>.</w:t>
            </w:r>
            <w:r w:rsidR="00234CB4">
              <w:rPr>
                <w:rStyle w:val="FootnoteReference"/>
              </w:rPr>
              <w:footnoteReference w:id="137"/>
            </w:r>
          </w:p>
          <w:p w14:paraId="0DE09AD0" w14:textId="77777777" w:rsidR="00BB7E5C" w:rsidRDefault="00BB7E5C" w:rsidP="00BB7E5C">
            <w:pPr>
              <w:pStyle w:val="ListBullet"/>
            </w:pPr>
            <w:r>
              <w:t>The company connected its 100,000</w:t>
            </w:r>
            <w:r w:rsidRPr="006F6F0E">
              <w:rPr>
                <w:vertAlign w:val="superscript"/>
              </w:rPr>
              <w:t>th</w:t>
            </w:r>
            <w:r>
              <w:t xml:space="preserve"> customer to its satellite service</w:t>
            </w:r>
            <w:r w:rsidR="001670BC">
              <w:t xml:space="preserve"> around June 2020</w:t>
            </w:r>
            <w:r>
              <w:t>.</w:t>
            </w:r>
            <w:r>
              <w:rPr>
                <w:rStyle w:val="FootnoteReference"/>
              </w:rPr>
              <w:footnoteReference w:id="138"/>
            </w:r>
          </w:p>
          <w:p w14:paraId="55714664" w14:textId="502F0C00" w:rsidR="00320BAC" w:rsidRDefault="003815B1" w:rsidP="00BB7E5C">
            <w:pPr>
              <w:pStyle w:val="ListBullet"/>
            </w:pPr>
            <w:r>
              <w:t xml:space="preserve">The company </w:t>
            </w:r>
            <w:hyperlink r:id="rId90" w:history="1">
              <w:r w:rsidRPr="00F06CDE">
                <w:rPr>
                  <w:rStyle w:val="Hyperlink"/>
                </w:rPr>
                <w:t>announced</w:t>
              </w:r>
            </w:hyperlink>
            <w:r>
              <w:t xml:space="preserve"> that it will </w:t>
            </w:r>
            <w:r w:rsidR="00725F2E" w:rsidRPr="00725F2E">
              <w:t xml:space="preserve">expand its satellite beams for </w:t>
            </w:r>
            <w:r w:rsidR="00E726E0">
              <w:t>retail service provider’s</w:t>
            </w:r>
            <w:r w:rsidR="00725F2E" w:rsidRPr="00725F2E">
              <w:t xml:space="preserve"> business </w:t>
            </w:r>
            <w:r w:rsidR="00725F2E">
              <w:t>customers</w:t>
            </w:r>
            <w:r w:rsidR="00725F2E" w:rsidRPr="00725F2E">
              <w:t xml:space="preserve"> to cover 100</w:t>
            </w:r>
            <w:r w:rsidR="00E726E0">
              <w:t>%</w:t>
            </w:r>
            <w:r w:rsidR="00725F2E" w:rsidRPr="00725F2E">
              <w:t xml:space="preserve"> </w:t>
            </w:r>
            <w:r w:rsidR="00E726E0">
              <w:t xml:space="preserve">of </w:t>
            </w:r>
            <w:r w:rsidR="00725F2E" w:rsidRPr="00725F2E">
              <w:t>mainland</w:t>
            </w:r>
            <w:r w:rsidR="00E726E0">
              <w:t xml:space="preserve"> Australia</w:t>
            </w:r>
            <w:r w:rsidR="00725F2E" w:rsidRPr="00725F2E">
              <w:t xml:space="preserve"> and surrounding large islands</w:t>
            </w:r>
            <w:r w:rsidR="00141AC1">
              <w:t xml:space="preserve"> on 29 July 2021</w:t>
            </w:r>
            <w:r w:rsidR="007E334A">
              <w:t>.</w:t>
            </w:r>
          </w:p>
          <w:p w14:paraId="4341A9C4" w14:textId="77777777" w:rsidR="007E334A" w:rsidRDefault="00A14846" w:rsidP="007E334A">
            <w:pPr>
              <w:pStyle w:val="Bulletlevel2"/>
            </w:pPr>
            <w:r>
              <w:lastRenderedPageBreak/>
              <w:t>Sky</w:t>
            </w:r>
            <w:r w:rsidR="006B06B9">
              <w:t xml:space="preserve"> Muster’s </w:t>
            </w:r>
            <w:r w:rsidR="00E7736E">
              <w:t xml:space="preserve">satellite speeds peak at </w:t>
            </w:r>
            <w:r w:rsidR="00431D29">
              <w:t>50/13</w:t>
            </w:r>
            <w:r w:rsidR="00E7736E">
              <w:t xml:space="preserve"> Mbps</w:t>
            </w:r>
            <w:r w:rsidR="00C921D4">
              <w:t xml:space="preserve"> for businesses</w:t>
            </w:r>
            <w:r w:rsidR="00733944">
              <w:t>.</w:t>
            </w:r>
          </w:p>
          <w:p w14:paraId="77D86589" w14:textId="409DAFB6" w:rsidR="00691F07" w:rsidRDefault="00724950" w:rsidP="008E0C12">
            <w:pPr>
              <w:pStyle w:val="Bulletlevel2"/>
            </w:pPr>
            <w:r>
              <w:t>I</w:t>
            </w:r>
            <w:r w:rsidR="0006587B">
              <w:t>t has reduced the wholesale price on the service by 40%.</w:t>
            </w:r>
          </w:p>
        </w:tc>
      </w:tr>
    </w:tbl>
    <w:p w14:paraId="2378A185" w14:textId="7D864910" w:rsidR="00BB7E5C" w:rsidRDefault="00BB7E5C" w:rsidP="00BB7E5C">
      <w:pPr>
        <w:pStyle w:val="Tableorfigurenote"/>
      </w:pPr>
      <w:r>
        <w:lastRenderedPageBreak/>
        <w:t>Note: Reported revenues relate to the most recent financial reporting period (year-on-year) for entire business (including revenues attributed to space activities).</w:t>
      </w:r>
    </w:p>
    <w:p w14:paraId="65D93E7C" w14:textId="77777777" w:rsidR="00BB7E5C" w:rsidRDefault="00BB7E5C" w:rsidP="006F1C04">
      <w:pPr>
        <w:pStyle w:val="Heading2"/>
        <w:keepLines/>
      </w:pPr>
      <w:bookmarkStart w:id="49" w:name="_Toc62205752"/>
      <w:bookmarkStart w:id="50" w:name="_Toc65851786"/>
      <w:r>
        <w:t>Other space sector businesses</w:t>
      </w:r>
      <w:bookmarkEnd w:id="49"/>
      <w:bookmarkEnd w:id="50"/>
    </w:p>
    <w:p w14:paraId="5A3F0CB6" w14:textId="4871C5E7" w:rsidR="00BB7E5C" w:rsidRDefault="00BB7E5C" w:rsidP="00B80B6B">
      <w:pPr>
        <w:pStyle w:val="Paragraph"/>
        <w:keepNext/>
        <w:keepLines/>
      </w:pPr>
      <w:r>
        <w:t xml:space="preserve">Table </w:t>
      </w:r>
      <w:r w:rsidR="00F13546">
        <w:t>B</w:t>
      </w:r>
      <w:r w:rsidR="00527CC8">
        <w:t>4</w:t>
      </w:r>
      <w:r>
        <w:t xml:space="preserve"> outlines</w:t>
      </w:r>
      <w:r w:rsidR="00B80B6B">
        <w:t xml:space="preserve"> </w:t>
      </w:r>
      <w:r>
        <w:t>other businesses which are in the process of increasing the</w:t>
      </w:r>
      <w:r w:rsidR="00730241">
        <w:t>ir</w:t>
      </w:r>
      <w:r>
        <w:t xml:space="preserve"> presence in Australia or intending to launch services in near future.</w:t>
      </w:r>
    </w:p>
    <w:p w14:paraId="3FD79103" w14:textId="5906CF8C" w:rsidR="00BB7E5C" w:rsidRDefault="00F13546" w:rsidP="00F13546">
      <w:pPr>
        <w:pStyle w:val="Tableheading"/>
        <w:numPr>
          <w:ilvl w:val="0"/>
          <w:numId w:val="0"/>
        </w:numPr>
        <w:ind w:left="964" w:hanging="964"/>
      </w:pPr>
      <w:r>
        <w:t xml:space="preserve">Table B4: </w:t>
      </w:r>
      <w:r w:rsidR="00BB7E5C">
        <w:t>Other space sector businesses</w:t>
      </w:r>
    </w:p>
    <w:tbl>
      <w:tblPr>
        <w:tblStyle w:val="ACMAtablestyle"/>
        <w:tblW w:w="4999" w:type="pct"/>
        <w:tblLook w:val="04A0" w:firstRow="1" w:lastRow="0" w:firstColumn="1" w:lastColumn="0" w:noHBand="0" w:noVBand="1"/>
      </w:tblPr>
      <w:tblGrid>
        <w:gridCol w:w="1696"/>
        <w:gridCol w:w="1417"/>
        <w:gridCol w:w="4546"/>
      </w:tblGrid>
      <w:tr w:rsidR="009536E9" w14:paraId="29CC7B68" w14:textId="77777777" w:rsidTr="00B1507B">
        <w:trPr>
          <w:cnfStyle w:val="100000000000" w:firstRow="1" w:lastRow="0" w:firstColumn="0" w:lastColumn="0" w:oddVBand="0" w:evenVBand="0" w:oddHBand="0" w:evenHBand="0" w:firstRowFirstColumn="0" w:firstRowLastColumn="0" w:lastRowFirstColumn="0" w:lastRowLastColumn="0"/>
        </w:trPr>
        <w:tc>
          <w:tcPr>
            <w:tcW w:w="1107" w:type="pct"/>
          </w:tcPr>
          <w:p w14:paraId="4BE2F356" w14:textId="77777777" w:rsidR="00BB7E5C" w:rsidRDefault="00BB7E5C" w:rsidP="00BB7E5C">
            <w:pPr>
              <w:pStyle w:val="Tableheaderrow"/>
            </w:pPr>
            <w:r>
              <w:t>Company</w:t>
            </w:r>
          </w:p>
        </w:tc>
        <w:tc>
          <w:tcPr>
            <w:tcW w:w="925" w:type="pct"/>
          </w:tcPr>
          <w:p w14:paraId="5C9DFC83" w14:textId="77777777" w:rsidR="00BB7E5C" w:rsidRDefault="00BB7E5C" w:rsidP="00BB7E5C">
            <w:pPr>
              <w:pStyle w:val="Tableheaderrow"/>
            </w:pPr>
            <w:r>
              <w:t>Segment(s)</w:t>
            </w:r>
          </w:p>
        </w:tc>
        <w:tc>
          <w:tcPr>
            <w:tcW w:w="2968" w:type="pct"/>
          </w:tcPr>
          <w:p w14:paraId="33ED185D" w14:textId="77777777" w:rsidR="00BB7E5C" w:rsidRDefault="00BB7E5C" w:rsidP="00BB7E5C">
            <w:pPr>
              <w:pStyle w:val="Tableheaderrow"/>
            </w:pPr>
            <w:r>
              <w:t>Businesses/locations</w:t>
            </w:r>
          </w:p>
        </w:tc>
      </w:tr>
      <w:tr w:rsidR="009536E9" w14:paraId="7DA21EE9" w14:textId="77777777" w:rsidTr="00B1507B">
        <w:trPr>
          <w:cnfStyle w:val="000000100000" w:firstRow="0" w:lastRow="0" w:firstColumn="0" w:lastColumn="0" w:oddVBand="0" w:evenVBand="0" w:oddHBand="1" w:evenHBand="0" w:firstRowFirstColumn="0" w:firstRowLastColumn="0" w:lastRowFirstColumn="0" w:lastRowLastColumn="0"/>
        </w:trPr>
        <w:tc>
          <w:tcPr>
            <w:tcW w:w="1107" w:type="pct"/>
          </w:tcPr>
          <w:p w14:paraId="38A51E93" w14:textId="7D8E8CA6" w:rsidR="00BB7E5C" w:rsidRDefault="00BB7E5C" w:rsidP="00BB7E5C">
            <w:pPr>
              <w:pStyle w:val="TableBody"/>
            </w:pPr>
            <w:r>
              <w:t>Astrocast (</w:t>
            </w:r>
            <w:r w:rsidR="00210F95">
              <w:t>r</w:t>
            </w:r>
            <w:r>
              <w:t xml:space="preserve">evenue </w:t>
            </w:r>
            <w:r w:rsidR="00773D8F">
              <w:rPr>
                <w:noProof/>
              </w:rPr>
              <w:t>n/a –</w:t>
            </w:r>
            <w:r>
              <w:t xml:space="preserve"> start-up phase)</w:t>
            </w:r>
          </w:p>
        </w:tc>
        <w:tc>
          <w:tcPr>
            <w:tcW w:w="925" w:type="pct"/>
          </w:tcPr>
          <w:p w14:paraId="3192C2E6" w14:textId="77777777" w:rsidR="00BB7E5C" w:rsidRDefault="00BB7E5C" w:rsidP="00BB7E5C">
            <w:pPr>
              <w:pStyle w:val="TableBody"/>
            </w:pPr>
            <w:r>
              <w:t>Space operations</w:t>
            </w:r>
          </w:p>
        </w:tc>
        <w:tc>
          <w:tcPr>
            <w:tcW w:w="2968" w:type="pct"/>
          </w:tcPr>
          <w:p w14:paraId="664BAEB2" w14:textId="4D97476C" w:rsidR="00BB7E5C" w:rsidRDefault="00BB7E5C" w:rsidP="00BB7E5C">
            <w:pPr>
              <w:pStyle w:val="ListBullet"/>
            </w:pPr>
            <w:r>
              <w:t xml:space="preserve">Start-up Swiss business (established in 2014) which has funding entities including the ESA and Airbus. </w:t>
            </w:r>
            <w:r w:rsidR="00B80B6B">
              <w:t>A</w:t>
            </w:r>
            <w:r>
              <w:t>$2</w:t>
            </w:r>
            <w:r w:rsidR="00461175">
              <w:t>3.8</w:t>
            </w:r>
            <w:r w:rsidR="00730241">
              <w:t> </w:t>
            </w:r>
            <w:r>
              <w:t>m</w:t>
            </w:r>
            <w:r w:rsidR="00730241">
              <w:t>illion</w:t>
            </w:r>
            <w:r>
              <w:t xml:space="preserve"> raised to date.</w:t>
            </w:r>
            <w:r w:rsidR="00DD3335">
              <w:rPr>
                <w:rStyle w:val="FootnoteReference"/>
              </w:rPr>
              <w:footnoteReference w:id="139"/>
            </w:r>
          </w:p>
          <w:p w14:paraId="0079C4E6" w14:textId="222E7544" w:rsidR="00BB7E5C" w:rsidRDefault="00BB7E5C" w:rsidP="00BB7E5C">
            <w:pPr>
              <w:pStyle w:val="ListBullet"/>
            </w:pPr>
            <w:r>
              <w:t>Largely focused on building and operating nanosats at LEO to support IoT applications.</w:t>
            </w:r>
          </w:p>
          <w:p w14:paraId="6B556627" w14:textId="15FADBE8" w:rsidR="00080D01" w:rsidRDefault="00080D01" w:rsidP="00BB7E5C">
            <w:pPr>
              <w:pStyle w:val="ListBullet"/>
            </w:pPr>
            <w:r>
              <w:t xml:space="preserve">Recently announced a </w:t>
            </w:r>
            <w:hyperlink r:id="rId91">
              <w:r w:rsidR="04F4BE03" w:rsidRPr="629F3BDB">
                <w:rPr>
                  <w:rStyle w:val="Hyperlink"/>
                </w:rPr>
                <w:t>partnership</w:t>
              </w:r>
            </w:hyperlink>
            <w:r>
              <w:t xml:space="preserve"> with </w:t>
            </w:r>
            <w:hyperlink r:id="rId92">
              <w:r w:rsidR="04F4BE03" w:rsidRPr="629F3BDB">
                <w:rPr>
                  <w:rStyle w:val="Hyperlink"/>
                </w:rPr>
                <w:t>Vertical M2M</w:t>
              </w:r>
            </w:hyperlink>
            <w:r>
              <w:t>, who</w:t>
            </w:r>
            <w:r w:rsidRPr="0015052D">
              <w:t xml:space="preserve"> provides a multi-technology IoT Application Enablement Platform, the CommonSense IoT Platform</w:t>
            </w:r>
            <w:r>
              <w:t xml:space="preserve">, focusing on </w:t>
            </w:r>
            <w:r w:rsidR="0075394F">
              <w:t>oil &amp; gas, farming, and transport &amp; logistics.</w:t>
            </w:r>
          </w:p>
          <w:p w14:paraId="5A83640D" w14:textId="28839867" w:rsidR="00BB7E5C" w:rsidRDefault="00BB7E5C" w:rsidP="009B0CE6">
            <w:pPr>
              <w:pStyle w:val="ListBullet"/>
              <w:keepLines/>
            </w:pPr>
            <w:r>
              <w:t>Does not launch its own satellites, has agreements with providers to launch (</w:t>
            </w:r>
            <w:r w:rsidR="00A33AFF">
              <w:t>for example,</w:t>
            </w:r>
            <w:r>
              <w:t xml:space="preserve"> </w:t>
            </w:r>
            <w:hyperlink r:id="rId93">
              <w:r w:rsidRPr="629F3BDB">
                <w:rPr>
                  <w:rStyle w:val="Hyperlink"/>
                </w:rPr>
                <w:t>Spaceflight</w:t>
              </w:r>
            </w:hyperlink>
            <w:r w:rsidR="003E6C82">
              <w:t>,</w:t>
            </w:r>
            <w:r>
              <w:t xml:space="preserve"> a rideshare provider to space).</w:t>
            </w:r>
          </w:p>
        </w:tc>
      </w:tr>
      <w:tr w:rsidR="00281567" w14:paraId="16156703" w14:textId="77777777" w:rsidTr="00B1507B">
        <w:trPr>
          <w:cnfStyle w:val="000000010000" w:firstRow="0" w:lastRow="0" w:firstColumn="0" w:lastColumn="0" w:oddVBand="0" w:evenVBand="0" w:oddHBand="0" w:evenHBand="1" w:firstRowFirstColumn="0" w:firstRowLastColumn="0" w:lastRowFirstColumn="0" w:lastRowLastColumn="0"/>
        </w:trPr>
        <w:tc>
          <w:tcPr>
            <w:tcW w:w="1107" w:type="pct"/>
          </w:tcPr>
          <w:p w14:paraId="0F5A4792" w14:textId="0225BC09" w:rsidR="00281567" w:rsidRDefault="00281567" w:rsidP="00BB7E5C">
            <w:pPr>
              <w:pStyle w:val="TableBody"/>
            </w:pPr>
            <w:r>
              <w:t>Curtin University (</w:t>
            </w:r>
            <w:r w:rsidR="00210F95">
              <w:t>r</w:t>
            </w:r>
            <w:r>
              <w:t>e</w:t>
            </w:r>
            <w:r w:rsidR="00D45C8E">
              <w:t xml:space="preserve">venue </w:t>
            </w:r>
            <w:r w:rsidR="00210F95">
              <w:t>n/a</w:t>
            </w:r>
            <w:r w:rsidR="00D45C8E">
              <w:t xml:space="preserve"> </w:t>
            </w:r>
            <w:r w:rsidR="00773D8F">
              <w:t>–</w:t>
            </w:r>
            <w:r w:rsidR="00D45C8E">
              <w:t xml:space="preserve"> academic research)</w:t>
            </w:r>
          </w:p>
        </w:tc>
        <w:tc>
          <w:tcPr>
            <w:tcW w:w="925" w:type="pct"/>
          </w:tcPr>
          <w:p w14:paraId="1578746C" w14:textId="635ED930" w:rsidR="00281567" w:rsidRDefault="00D45C8E" w:rsidP="00BB7E5C">
            <w:pPr>
              <w:pStyle w:val="TableBody"/>
            </w:pPr>
            <w:r>
              <w:t>Space applications</w:t>
            </w:r>
          </w:p>
        </w:tc>
        <w:tc>
          <w:tcPr>
            <w:tcW w:w="2968" w:type="pct"/>
          </w:tcPr>
          <w:p w14:paraId="32A9754B" w14:textId="05D57987" w:rsidR="00281567" w:rsidRDefault="00673893" w:rsidP="00BB7E5C">
            <w:pPr>
              <w:pStyle w:val="ListBullet"/>
            </w:pPr>
            <w:r>
              <w:t xml:space="preserve">Curtin University is developing </w:t>
            </w:r>
            <w:hyperlink r:id="rId94">
              <w:r w:rsidR="278AD6ED" w:rsidRPr="629F3BDB">
                <w:rPr>
                  <w:rStyle w:val="Hyperlink"/>
                </w:rPr>
                <w:t>CubeSats</w:t>
              </w:r>
            </w:hyperlink>
            <w:r>
              <w:t xml:space="preserve"> </w:t>
            </w:r>
            <w:r w:rsidR="00FA1B28">
              <w:t xml:space="preserve">to </w:t>
            </w:r>
            <w:r w:rsidR="004D0017">
              <w:t>improve Australia’s position in the space industry.</w:t>
            </w:r>
          </w:p>
          <w:p w14:paraId="4917188B" w14:textId="09BDEAA7" w:rsidR="004D0017" w:rsidRDefault="001D356F" w:rsidP="00BB7E5C">
            <w:pPr>
              <w:pStyle w:val="ListBullet"/>
            </w:pPr>
            <w:r>
              <w:t xml:space="preserve">A Japanese start-up, </w:t>
            </w:r>
            <w:hyperlink r:id="rId95">
              <w:r w:rsidR="4132DB5B" w:rsidRPr="629F3BDB">
                <w:rPr>
                  <w:rStyle w:val="Hyperlink"/>
                </w:rPr>
                <w:t>Space BD</w:t>
              </w:r>
            </w:hyperlink>
            <w:r>
              <w:t xml:space="preserve"> </w:t>
            </w:r>
            <w:r w:rsidR="0084692F">
              <w:t>is intending to</w:t>
            </w:r>
            <w:r w:rsidR="00C05EE4">
              <w:t xml:space="preserve"> </w:t>
            </w:r>
            <w:hyperlink r:id="rId96">
              <w:r w:rsidR="07C5CC21" w:rsidRPr="629F3BDB">
                <w:rPr>
                  <w:rStyle w:val="Hyperlink"/>
                </w:rPr>
                <w:t>launch</w:t>
              </w:r>
            </w:hyperlink>
            <w:r w:rsidR="00C05EE4">
              <w:t xml:space="preserve"> </w:t>
            </w:r>
            <w:r w:rsidR="0084692F">
              <w:t>2</w:t>
            </w:r>
            <w:r w:rsidR="00C05EE4">
              <w:t xml:space="preserve"> of its CubeSats</w:t>
            </w:r>
            <w:r w:rsidR="0084692F">
              <w:t xml:space="preserve"> (</w:t>
            </w:r>
            <w:r w:rsidR="0084692F" w:rsidRPr="0084692F">
              <w:t>Binar-1 and Binar-2</w:t>
            </w:r>
            <w:r w:rsidR="0001364B">
              <w:t>)</w:t>
            </w:r>
            <w:r w:rsidR="0084692F" w:rsidRPr="0084692F">
              <w:t xml:space="preserve"> from the Japanese Experiment Module Kibo on the International Space Station</w:t>
            </w:r>
            <w:r w:rsidR="0001364B">
              <w:t>.</w:t>
            </w:r>
          </w:p>
        </w:tc>
      </w:tr>
      <w:tr w:rsidR="009536E9" w14:paraId="717F2C98" w14:textId="77777777" w:rsidTr="00B1507B">
        <w:trPr>
          <w:cnfStyle w:val="000000100000" w:firstRow="0" w:lastRow="0" w:firstColumn="0" w:lastColumn="0" w:oddVBand="0" w:evenVBand="0" w:oddHBand="1" w:evenHBand="0" w:firstRowFirstColumn="0" w:firstRowLastColumn="0" w:lastRowFirstColumn="0" w:lastRowLastColumn="0"/>
        </w:trPr>
        <w:tc>
          <w:tcPr>
            <w:tcW w:w="1107" w:type="pct"/>
          </w:tcPr>
          <w:p w14:paraId="4F4520A1" w14:textId="3D427F4E" w:rsidR="00BB7E5C" w:rsidRDefault="00BB7E5C" w:rsidP="0011661B">
            <w:pPr>
              <w:pStyle w:val="TableBody"/>
              <w:rPr>
                <w:noProof/>
              </w:rPr>
            </w:pPr>
            <w:r>
              <w:rPr>
                <w:noProof/>
              </w:rPr>
              <w:t>Gilmour Space (</w:t>
            </w:r>
            <w:r w:rsidR="00210F95">
              <w:rPr>
                <w:noProof/>
              </w:rPr>
              <w:t>r</w:t>
            </w:r>
            <w:r>
              <w:rPr>
                <w:noProof/>
              </w:rPr>
              <w:t xml:space="preserve">evenue </w:t>
            </w:r>
            <w:r w:rsidR="00210F95">
              <w:rPr>
                <w:noProof/>
              </w:rPr>
              <w:t>n/</w:t>
            </w:r>
            <w:r w:rsidR="00773D8F">
              <w:rPr>
                <w:noProof/>
              </w:rPr>
              <w:t>a –</w:t>
            </w:r>
            <w:r>
              <w:rPr>
                <w:noProof/>
              </w:rPr>
              <w:t xml:space="preserve"> </w:t>
            </w:r>
            <w:r w:rsidR="000139B4">
              <w:rPr>
                <w:noProof/>
              </w:rPr>
              <w:t>s</w:t>
            </w:r>
            <w:r>
              <w:rPr>
                <w:noProof/>
              </w:rPr>
              <w:t>start-up phase)</w:t>
            </w:r>
          </w:p>
        </w:tc>
        <w:tc>
          <w:tcPr>
            <w:tcW w:w="925" w:type="pct"/>
          </w:tcPr>
          <w:p w14:paraId="2A01A318" w14:textId="77777777" w:rsidR="00BB7E5C" w:rsidRDefault="00BB7E5C" w:rsidP="00BB7E5C">
            <w:pPr>
              <w:pStyle w:val="TableBody"/>
            </w:pPr>
            <w:r>
              <w:t>Rocket manufacturer and launch services</w:t>
            </w:r>
          </w:p>
        </w:tc>
        <w:tc>
          <w:tcPr>
            <w:tcW w:w="2968" w:type="pct"/>
          </w:tcPr>
          <w:p w14:paraId="036730EA" w14:textId="51A88A08" w:rsidR="00B80B6B" w:rsidRDefault="00BB7E5C" w:rsidP="00BB7E5C">
            <w:pPr>
              <w:pStyle w:val="ListBullet"/>
            </w:pPr>
            <w:r>
              <w:t xml:space="preserve">Gilmour Space develops low-cost hybrid rockets for the small satellite market. A key technology it leverages for its business is 3D printing. </w:t>
            </w:r>
          </w:p>
          <w:p w14:paraId="1BDAAB0F" w14:textId="17FDEC84" w:rsidR="00BB7E5C" w:rsidRDefault="00BB7E5C" w:rsidP="00B80B6B">
            <w:pPr>
              <w:pStyle w:val="Bulletlevel2"/>
            </w:pPr>
            <w:r>
              <w:t>It is a venture backed company, having partnerships with government, private and academic entities.</w:t>
            </w:r>
            <w:r w:rsidR="00042E79">
              <w:rPr>
                <w:rStyle w:val="FootnoteReference"/>
              </w:rPr>
              <w:footnoteReference w:id="140"/>
            </w:r>
          </w:p>
          <w:p w14:paraId="2EE12209" w14:textId="77777777" w:rsidR="00BB7E5C" w:rsidRDefault="00BB7E5C" w:rsidP="00BB7E5C">
            <w:pPr>
              <w:pStyle w:val="ListBullet"/>
            </w:pPr>
            <w:r>
              <w:t>The company was founded in 2012 and is based in Pimpama, Australia.</w:t>
            </w:r>
          </w:p>
          <w:p w14:paraId="0DE386F8" w14:textId="58BEBA73" w:rsidR="00BB7E5C" w:rsidRDefault="00BB7E5C" w:rsidP="00BB7E5C">
            <w:pPr>
              <w:pStyle w:val="ListBullet"/>
            </w:pPr>
            <w:r>
              <w:lastRenderedPageBreak/>
              <w:t xml:space="preserve">To date Gilmour has raised </w:t>
            </w:r>
            <w:r w:rsidR="00B80B6B">
              <w:t>A</w:t>
            </w:r>
            <w:r>
              <w:t xml:space="preserve">$26 million in funding from venture capital and has been awarded $3.25 million in grants to work on composite components. </w:t>
            </w:r>
          </w:p>
          <w:p w14:paraId="6CBD8772" w14:textId="77777777" w:rsidR="00BB7E5C" w:rsidRDefault="00BB7E5C" w:rsidP="00BB7E5C">
            <w:pPr>
              <w:pStyle w:val="ListBullet"/>
            </w:pPr>
            <w:r>
              <w:t>Investors include private venture capital and the CSIRO’s venture capital investment fund.</w:t>
            </w:r>
          </w:p>
          <w:p w14:paraId="0F9F34FC" w14:textId="77777777" w:rsidR="00BB7E5C" w:rsidRDefault="00BB7E5C" w:rsidP="00BB7E5C">
            <w:pPr>
              <w:pStyle w:val="ListBullet"/>
            </w:pPr>
            <w:r>
              <w:t>It intends to commence commercial launches in 2022.</w:t>
            </w:r>
            <w:r w:rsidR="00FB6895">
              <w:rPr>
                <w:rStyle w:val="FootnoteReference"/>
              </w:rPr>
              <w:footnoteReference w:id="141"/>
            </w:r>
          </w:p>
          <w:p w14:paraId="3E0218D3" w14:textId="0A66F758" w:rsidR="00040F2C" w:rsidRDefault="00040F2C" w:rsidP="00BB7E5C">
            <w:pPr>
              <w:pStyle w:val="ListBullet"/>
            </w:pPr>
            <w:r>
              <w:t xml:space="preserve">The company </w:t>
            </w:r>
            <w:hyperlink r:id="rId97" w:history="1">
              <w:r w:rsidR="00B503A2" w:rsidRPr="00995646">
                <w:rPr>
                  <w:rStyle w:val="Hyperlink"/>
                </w:rPr>
                <w:t>announced</w:t>
              </w:r>
            </w:hyperlink>
            <w:r w:rsidR="00B503A2">
              <w:t xml:space="preserve"> that it is partnering with South Australian </w:t>
            </w:r>
            <w:r w:rsidR="009A378A">
              <w:t xml:space="preserve">business, Fleet Space, to launch </w:t>
            </w:r>
            <w:r w:rsidR="00664EE4">
              <w:t>6</w:t>
            </w:r>
            <w:r w:rsidR="00664EE4" w:rsidRPr="00664EE4">
              <w:t xml:space="preserve"> Centauri nanosatellites </w:t>
            </w:r>
            <w:r w:rsidR="00664EE4">
              <w:t>using its</w:t>
            </w:r>
            <w:r w:rsidR="00664EE4" w:rsidRPr="00664EE4">
              <w:t xml:space="preserve"> Eris rockets in 2023</w:t>
            </w:r>
            <w:r w:rsidR="00664EE4">
              <w:t>.</w:t>
            </w:r>
          </w:p>
        </w:tc>
      </w:tr>
      <w:tr w:rsidR="00BB7E5C" w14:paraId="27F36F8E" w14:textId="77777777" w:rsidTr="00B1507B">
        <w:trPr>
          <w:cnfStyle w:val="000000010000" w:firstRow="0" w:lastRow="0" w:firstColumn="0" w:lastColumn="0" w:oddVBand="0" w:evenVBand="0" w:oddHBand="0" w:evenHBand="1" w:firstRowFirstColumn="0" w:firstRowLastColumn="0" w:lastRowFirstColumn="0" w:lastRowLastColumn="0"/>
        </w:trPr>
        <w:tc>
          <w:tcPr>
            <w:tcW w:w="1107" w:type="pct"/>
          </w:tcPr>
          <w:p w14:paraId="173323A4" w14:textId="35E07C97" w:rsidR="00BB7E5C" w:rsidRDefault="00BB7E5C" w:rsidP="00BB7E5C">
            <w:pPr>
              <w:pStyle w:val="TableBody"/>
            </w:pPr>
            <w:r w:rsidRPr="005C0451">
              <w:lastRenderedPageBreak/>
              <w:t>Goonhilly Earth Station Ltd</w:t>
            </w:r>
            <w:r>
              <w:t xml:space="preserve"> (</w:t>
            </w:r>
            <w:r w:rsidR="00210F95">
              <w:t>r</w:t>
            </w:r>
            <w:r>
              <w:t>evenue not publicly reported)</w:t>
            </w:r>
          </w:p>
        </w:tc>
        <w:tc>
          <w:tcPr>
            <w:tcW w:w="925" w:type="pct"/>
          </w:tcPr>
          <w:p w14:paraId="1FEB1343" w14:textId="77777777" w:rsidR="00BB7E5C" w:rsidRDefault="00BB7E5C" w:rsidP="00BB7E5C">
            <w:pPr>
              <w:pStyle w:val="TableBody"/>
            </w:pPr>
            <w:r>
              <w:t>Earth station</w:t>
            </w:r>
          </w:p>
        </w:tc>
        <w:tc>
          <w:tcPr>
            <w:tcW w:w="2968" w:type="pct"/>
          </w:tcPr>
          <w:p w14:paraId="184EAC29" w14:textId="4C962E1A" w:rsidR="00BB7E5C" w:rsidRDefault="00BB7E5C" w:rsidP="00BB7E5C">
            <w:pPr>
              <w:pStyle w:val="ListBullet"/>
            </w:pPr>
            <w:r>
              <w:t>Teleport</w:t>
            </w:r>
            <w:r w:rsidR="00B421AB">
              <w:rPr>
                <w:rStyle w:val="FootnoteReference"/>
              </w:rPr>
              <w:footnoteReference w:id="142"/>
            </w:r>
            <w:r>
              <w:t>, located in the UK, is forming partnerships with commercial and academic agencies to offer a range of services across the globe.</w:t>
            </w:r>
            <w:r w:rsidR="00261CBC">
              <w:rPr>
                <w:rStyle w:val="FootnoteReference"/>
              </w:rPr>
              <w:footnoteReference w:id="143"/>
            </w:r>
          </w:p>
          <w:p w14:paraId="1D2F6AED" w14:textId="3F9BDC17" w:rsidR="00BB7E5C" w:rsidRDefault="00BB7E5C" w:rsidP="00BB7E5C">
            <w:pPr>
              <w:pStyle w:val="ListBullet"/>
            </w:pPr>
            <w:r>
              <w:t xml:space="preserve">Raised an estimated </w:t>
            </w:r>
            <w:r w:rsidR="00B80B6B">
              <w:t>A</w:t>
            </w:r>
            <w:r>
              <w:t>$</w:t>
            </w:r>
            <w:r w:rsidR="00A62197">
              <w:t>50.1 </w:t>
            </w:r>
            <w:r>
              <w:t>million to date.</w:t>
            </w:r>
            <w:r w:rsidR="00AB02AE">
              <w:rPr>
                <w:rStyle w:val="FootnoteReference"/>
              </w:rPr>
              <w:footnoteReference w:id="144"/>
            </w:r>
            <w:r>
              <w:t xml:space="preserve">   </w:t>
            </w:r>
          </w:p>
          <w:p w14:paraId="3F25CB42" w14:textId="77777777" w:rsidR="00BB7E5C" w:rsidRDefault="00BB7E5C" w:rsidP="00BB7E5C">
            <w:pPr>
              <w:pStyle w:val="ListBullet"/>
            </w:pPr>
            <w:r>
              <w:t xml:space="preserve">The ASA and Goonhilly Earth Station Ltd signed a </w:t>
            </w:r>
            <w:hyperlink r:id="rId98">
              <w:r w:rsidRPr="3846241F">
                <w:rPr>
                  <w:rStyle w:val="Hyperlink"/>
                </w:rPr>
                <w:t>statement of intent</w:t>
              </w:r>
            </w:hyperlink>
            <w:r>
              <w:t xml:space="preserve"> to collaborate and create new opportunities in the space economy in Australia, the UK and beyond.</w:t>
            </w:r>
          </w:p>
        </w:tc>
      </w:tr>
      <w:tr w:rsidR="009536E9" w14:paraId="4363AA5E" w14:textId="77777777" w:rsidTr="00B1507B">
        <w:trPr>
          <w:cnfStyle w:val="000000100000" w:firstRow="0" w:lastRow="0" w:firstColumn="0" w:lastColumn="0" w:oddVBand="0" w:evenVBand="0" w:oddHBand="1" w:evenHBand="0" w:firstRowFirstColumn="0" w:firstRowLastColumn="0" w:lastRowFirstColumn="0" w:lastRowLastColumn="0"/>
        </w:trPr>
        <w:tc>
          <w:tcPr>
            <w:tcW w:w="1107" w:type="pct"/>
          </w:tcPr>
          <w:p w14:paraId="37275A2D" w14:textId="77777777" w:rsidR="00875A45" w:rsidRDefault="00BB7E5C" w:rsidP="00BB7E5C">
            <w:pPr>
              <w:pStyle w:val="TableBody"/>
            </w:pPr>
            <w:r>
              <w:t xml:space="preserve">Myriota </w:t>
            </w:r>
          </w:p>
          <w:p w14:paraId="6D67A352" w14:textId="4813B584" w:rsidR="00BB7E5C" w:rsidRDefault="00BB7E5C" w:rsidP="00BB7E5C">
            <w:pPr>
              <w:pStyle w:val="TableBody"/>
            </w:pPr>
            <w:r>
              <w:t>(</w:t>
            </w:r>
            <w:r w:rsidR="00210F95">
              <w:t>r</w:t>
            </w:r>
            <w:r>
              <w:t xml:space="preserve">evenue </w:t>
            </w:r>
            <w:r w:rsidR="00773D8F">
              <w:rPr>
                <w:noProof/>
              </w:rPr>
              <w:t>n/a –</w:t>
            </w:r>
            <w:r>
              <w:t xml:space="preserve"> start-up phase)</w:t>
            </w:r>
          </w:p>
        </w:tc>
        <w:tc>
          <w:tcPr>
            <w:tcW w:w="925" w:type="pct"/>
          </w:tcPr>
          <w:p w14:paraId="3BF17FCB" w14:textId="77777777" w:rsidR="00BB7E5C" w:rsidRDefault="00BB7E5C" w:rsidP="00BB7E5C">
            <w:pPr>
              <w:pStyle w:val="TableBody"/>
            </w:pPr>
            <w:r>
              <w:t>Space applications</w:t>
            </w:r>
          </w:p>
        </w:tc>
        <w:tc>
          <w:tcPr>
            <w:tcW w:w="2968" w:type="pct"/>
          </w:tcPr>
          <w:p w14:paraId="3AC06417" w14:textId="5D2F895D" w:rsidR="00BB7E5C" w:rsidRDefault="00BB7E5C" w:rsidP="00BB7E5C">
            <w:pPr>
              <w:pStyle w:val="ListBullet"/>
            </w:pPr>
            <w:r>
              <w:t>Myriota focuses on developing terminals, infrastructure, and applications for the satellite IoT global market. The company serves agriculture, oil and gas, mining, environmental monitoring, and defence sectors. Myriota was incorporated in 2015 and is based in Adelaide, Australia.</w:t>
            </w:r>
            <w:r w:rsidR="00C720C7">
              <w:rPr>
                <w:rStyle w:val="FootnoteReference"/>
              </w:rPr>
              <w:footnoteReference w:id="145"/>
            </w:r>
          </w:p>
          <w:p w14:paraId="01CC9BED" w14:textId="595740BC" w:rsidR="00BB7E5C" w:rsidRDefault="00BB7E5C" w:rsidP="00BB7E5C">
            <w:pPr>
              <w:pStyle w:val="ListBullet"/>
            </w:pPr>
            <w:r>
              <w:t xml:space="preserve">To date Myriota has raised </w:t>
            </w:r>
            <w:r w:rsidR="00B80B6B">
              <w:t>A</w:t>
            </w:r>
            <w:r>
              <w:t>$50</w:t>
            </w:r>
            <w:r w:rsidR="00360851">
              <w:t>.2</w:t>
            </w:r>
            <w:r>
              <w:t xml:space="preserve"> million in funding and is a new business.</w:t>
            </w:r>
            <w:r w:rsidR="00561A0E">
              <w:rPr>
                <w:rStyle w:val="FootnoteReference"/>
              </w:rPr>
              <w:footnoteReference w:id="146"/>
            </w:r>
          </w:p>
          <w:p w14:paraId="4666CCB9" w14:textId="51A88A08" w:rsidR="00B80B6B" w:rsidRDefault="00BB7E5C" w:rsidP="00BB7E5C">
            <w:pPr>
              <w:pStyle w:val="ListBullet"/>
            </w:pPr>
            <w:r>
              <w:t xml:space="preserve">Myriota </w:t>
            </w:r>
            <w:hyperlink r:id="rId99">
              <w:r w:rsidRPr="629F3BDB">
                <w:rPr>
                  <w:rStyle w:val="Hyperlink"/>
                </w:rPr>
                <w:t>announced</w:t>
              </w:r>
            </w:hyperlink>
            <w:r w:rsidRPr="00B015A3">
              <w:t xml:space="preserve"> its involvement in the SASAT1 Space Services Mission to deliver space services to South Australia</w:t>
            </w:r>
            <w:r>
              <w:t xml:space="preserve">; a </w:t>
            </w:r>
            <w:r w:rsidR="00B80B6B">
              <w:t>A</w:t>
            </w:r>
            <w:r>
              <w:t>$6.5 million project</w:t>
            </w:r>
            <w:r w:rsidRPr="00B015A3">
              <w:t>.</w:t>
            </w:r>
            <w:r>
              <w:t xml:space="preserve"> </w:t>
            </w:r>
          </w:p>
          <w:p w14:paraId="272BBA12" w14:textId="77777777" w:rsidR="00BB7E5C" w:rsidRDefault="00BB7E5C" w:rsidP="00B80B6B">
            <w:pPr>
              <w:pStyle w:val="Bulletlevel2"/>
            </w:pPr>
            <w:r>
              <w:t>Myriota’s IoT connectivity will support the collection of data about multiple weather events, including rainfall and bushfires</w:t>
            </w:r>
            <w:r w:rsidR="003E6C82">
              <w:t>.</w:t>
            </w:r>
          </w:p>
          <w:p w14:paraId="21869736" w14:textId="65DAB820" w:rsidR="004B59F4" w:rsidRDefault="004B59F4" w:rsidP="007268D3">
            <w:pPr>
              <w:pStyle w:val="Bulletlevel1"/>
              <w:keepNext/>
              <w:keepLines/>
            </w:pPr>
            <w:r>
              <w:lastRenderedPageBreak/>
              <w:t xml:space="preserve">The company </w:t>
            </w:r>
            <w:hyperlink r:id="rId100" w:history="1">
              <w:r w:rsidRPr="006A7174">
                <w:rPr>
                  <w:rStyle w:val="Hyperlink"/>
                </w:rPr>
                <w:t>announced</w:t>
              </w:r>
            </w:hyperlink>
            <w:r>
              <w:t xml:space="preserve"> that it </w:t>
            </w:r>
            <w:r w:rsidR="00A8791A">
              <w:t xml:space="preserve">has expanded </w:t>
            </w:r>
            <w:r w:rsidR="00B65804">
              <w:t>access to the Myriota satellite</w:t>
            </w:r>
            <w:r w:rsidR="00A8791A">
              <w:t xml:space="preserve"> into Canada and the United States</w:t>
            </w:r>
            <w:r w:rsidR="006A7174">
              <w:t>; using Rocket</w:t>
            </w:r>
            <w:r w:rsidR="00AA7FC2">
              <w:t>l</w:t>
            </w:r>
            <w:r w:rsidR="006A7174">
              <w:t>ab to launch its satellites</w:t>
            </w:r>
            <w:r w:rsidR="00B65804">
              <w:t>.</w:t>
            </w:r>
            <w:r w:rsidR="00A8791A">
              <w:t xml:space="preserve"> </w:t>
            </w:r>
          </w:p>
        </w:tc>
      </w:tr>
    </w:tbl>
    <w:p w14:paraId="727DBAF4" w14:textId="29167EF5" w:rsidR="4871D9B1" w:rsidRDefault="4871D9B1" w:rsidP="629F3BDB">
      <w:pPr>
        <w:pStyle w:val="Heading1"/>
      </w:pPr>
      <w:bookmarkStart w:id="51" w:name="_Toc65851790"/>
      <w:r>
        <w:lastRenderedPageBreak/>
        <w:t xml:space="preserve">Attachment </w:t>
      </w:r>
      <w:r w:rsidR="00DD2D5E">
        <w:t>C</w:t>
      </w:r>
      <w:r w:rsidR="00C37BAD">
        <w:t xml:space="preserve"> </w:t>
      </w:r>
      <w:r w:rsidR="0081792C">
        <w:t>–</w:t>
      </w:r>
      <w:r>
        <w:t xml:space="preserve"> Infrared (optical) communication: Legislative background</w:t>
      </w:r>
      <w:bookmarkEnd w:id="51"/>
    </w:p>
    <w:p w14:paraId="16F90C04" w14:textId="212A4EDE" w:rsidR="4871D9B1" w:rsidRDefault="4871D9B1">
      <w:r>
        <w:t xml:space="preserve">Under the </w:t>
      </w:r>
      <w:r w:rsidRPr="629F3BDB">
        <w:rPr>
          <w:i/>
          <w:iCs/>
        </w:rPr>
        <w:t>Radiocommunications Act 1992</w:t>
      </w:r>
      <w:r>
        <w:t xml:space="preserve"> (the Radiocommunications Act), radio emissions are considered to be any emission of electromagnetic energy of frequencies below 420 THz. In comparison, in the International Telecommunication Union’s Radio Regulations, the frequency limit is 3 THz. Laser (optical) communications systems operate both using visible and infrared light. Laser systems using visible light operating at frequencies above 420 THz are outside the scope of the Radiocommunications Act and hence are not subject to regulation administered by the ACMA.</w:t>
      </w:r>
    </w:p>
    <w:p w14:paraId="760AB5C3" w14:textId="29B18BF5" w:rsidR="4871D9B1" w:rsidRDefault="4871D9B1">
      <w:r>
        <w:t>The infrared portion of the spectrum is approximately between 300 GHz to 430 THz (1 millimetre to 700 nanometres). Accordingly, infrared lasers operating within this range such as those used for earth to satellite communications are within scope of the Radiocommunications Act.</w:t>
      </w:r>
    </w:p>
    <w:p w14:paraId="59205B8C" w14:textId="37359BF1" w:rsidR="4871D9B1" w:rsidRDefault="4871D9B1">
      <w:r>
        <w:t>Under the current regulatory framework, all earth stations require licensing. Hence any earth station operating on frequencies below 420 THz requires some form of authorisation under the ACMA’s radiocommunications licensing scheme. There are class licensing arrangements support devices such as infrared remote controls and some terrestrial short range (building to building) optical links. However, these arrangements have not been developed with infrared satellite communications specifically in mind.</w:t>
      </w:r>
    </w:p>
    <w:p w14:paraId="69DDFE82" w14:textId="7B336CBE" w:rsidR="629F3BDB" w:rsidRDefault="00E57C84" w:rsidP="00001413">
      <w:pPr>
        <w:rPr>
          <w:szCs w:val="20"/>
        </w:rPr>
      </w:pPr>
      <w:r>
        <w:t>I</w:t>
      </w:r>
      <w:r w:rsidR="4871D9B1">
        <w:t>n the longer term supporting infrared communications might require consideration of the frequency limits of the Radiocommunications Act</w:t>
      </w:r>
      <w:r>
        <w:t>. This</w:t>
      </w:r>
      <w:r w:rsidR="4871D9B1">
        <w:t xml:space="preserve"> is a matter for the Department of Infrastructure, Transport, Regional Development and Communications.</w:t>
      </w:r>
    </w:p>
    <w:p w14:paraId="1C55D89E" w14:textId="77777777" w:rsidR="00B24EC8" w:rsidRPr="00251847" w:rsidRDefault="00BB7E5C" w:rsidP="00B24EC8">
      <w:pPr>
        <w:pStyle w:val="Heading1"/>
      </w:pPr>
      <w:bookmarkStart w:id="52" w:name="_Toc65851791"/>
      <w:r w:rsidRPr="00251847">
        <w:lastRenderedPageBreak/>
        <w:t>Glossary</w:t>
      </w:r>
      <w:bookmarkEnd w:id="52"/>
    </w:p>
    <w:tbl>
      <w:tblPr>
        <w:tblStyle w:val="ACMAtablestyle"/>
        <w:tblW w:w="5000" w:type="pct"/>
        <w:tblLook w:val="04A0" w:firstRow="1" w:lastRow="0" w:firstColumn="1" w:lastColumn="0" w:noHBand="0" w:noVBand="1"/>
      </w:tblPr>
      <w:tblGrid>
        <w:gridCol w:w="1980"/>
        <w:gridCol w:w="5681"/>
      </w:tblGrid>
      <w:tr w:rsidR="00BB7E5C" w:rsidRPr="00251847" w14:paraId="2549E5CD" w14:textId="77777777" w:rsidTr="00BA511A">
        <w:trPr>
          <w:cnfStyle w:val="100000000000" w:firstRow="1" w:lastRow="0" w:firstColumn="0" w:lastColumn="0" w:oddVBand="0" w:evenVBand="0" w:oddHBand="0" w:evenHBand="0" w:firstRowFirstColumn="0" w:firstRowLastColumn="0" w:lastRowFirstColumn="0" w:lastRowLastColumn="0"/>
        </w:trPr>
        <w:tc>
          <w:tcPr>
            <w:tcW w:w="1292" w:type="pct"/>
          </w:tcPr>
          <w:p w14:paraId="5A2E77AE" w14:textId="77777777" w:rsidR="00BB7E5C" w:rsidRPr="00251847" w:rsidRDefault="00BB7E5C" w:rsidP="00BB7E5C">
            <w:pPr>
              <w:pStyle w:val="Tableheaderrow"/>
            </w:pPr>
            <w:r w:rsidRPr="00251847">
              <w:t>Term</w:t>
            </w:r>
          </w:p>
        </w:tc>
        <w:tc>
          <w:tcPr>
            <w:tcW w:w="3708" w:type="pct"/>
          </w:tcPr>
          <w:p w14:paraId="43B22BDF" w14:textId="77777777" w:rsidR="00BB7E5C" w:rsidRPr="00251847" w:rsidRDefault="00BB7E5C" w:rsidP="00BB7E5C">
            <w:pPr>
              <w:pStyle w:val="Tableheaderrow"/>
            </w:pPr>
            <w:r w:rsidRPr="00251847">
              <w:t>Definition</w:t>
            </w:r>
          </w:p>
        </w:tc>
      </w:tr>
      <w:tr w:rsidR="00B24EC8" w14:paraId="30363D73" w14:textId="77777777" w:rsidTr="00857012">
        <w:trPr>
          <w:cnfStyle w:val="000000100000" w:firstRow="0" w:lastRow="0" w:firstColumn="0" w:lastColumn="0" w:oddVBand="0" w:evenVBand="0" w:oddHBand="1" w:evenHBand="0" w:firstRowFirstColumn="0" w:firstRowLastColumn="0" w:lastRowFirstColumn="0" w:lastRowLastColumn="0"/>
          <w:trHeight w:val="304"/>
        </w:trPr>
        <w:tc>
          <w:tcPr>
            <w:tcW w:w="1292" w:type="pct"/>
          </w:tcPr>
          <w:p w14:paraId="789435FE" w14:textId="5EBF9B1D" w:rsidR="00B24EC8" w:rsidRDefault="00903B52" w:rsidP="00857012">
            <w:pPr>
              <w:pStyle w:val="TableBody"/>
            </w:pPr>
            <w:r>
              <w:t>A</w:t>
            </w:r>
            <w:r w:rsidR="00B24EC8">
              <w:t>$</w:t>
            </w:r>
          </w:p>
        </w:tc>
        <w:tc>
          <w:tcPr>
            <w:tcW w:w="3708" w:type="pct"/>
          </w:tcPr>
          <w:p w14:paraId="68E83B42" w14:textId="77777777" w:rsidR="00B24EC8" w:rsidRDefault="00B24EC8" w:rsidP="00857012">
            <w:pPr>
              <w:pStyle w:val="TableBody"/>
            </w:pPr>
            <w:r>
              <w:t>Australian dollars</w:t>
            </w:r>
          </w:p>
        </w:tc>
      </w:tr>
      <w:tr w:rsidR="00B24EC8" w14:paraId="32AFF0B3" w14:textId="4944F941" w:rsidTr="00857012">
        <w:trPr>
          <w:cnfStyle w:val="000000010000" w:firstRow="0" w:lastRow="0" w:firstColumn="0" w:lastColumn="0" w:oddVBand="0" w:evenVBand="0" w:oddHBand="0" w:evenHBand="1" w:firstRowFirstColumn="0" w:firstRowLastColumn="0" w:lastRowFirstColumn="0" w:lastRowLastColumn="0"/>
          <w:trHeight w:val="304"/>
        </w:trPr>
        <w:tc>
          <w:tcPr>
            <w:tcW w:w="1292" w:type="pct"/>
          </w:tcPr>
          <w:p w14:paraId="2BE042E4" w14:textId="69656436" w:rsidR="00B24EC8" w:rsidRDefault="00B24EC8" w:rsidP="00857012">
            <w:pPr>
              <w:pStyle w:val="TableBody"/>
            </w:pPr>
            <w:r>
              <w:t>ACMA</w:t>
            </w:r>
          </w:p>
        </w:tc>
        <w:tc>
          <w:tcPr>
            <w:tcW w:w="3708" w:type="pct"/>
          </w:tcPr>
          <w:p w14:paraId="5572DDB3" w14:textId="71C26260" w:rsidR="00B24EC8" w:rsidRDefault="00B24EC8" w:rsidP="00857012">
            <w:pPr>
              <w:pStyle w:val="TableBody"/>
            </w:pPr>
            <w:r>
              <w:t>Australian Communications and Media Authority</w:t>
            </w:r>
          </w:p>
        </w:tc>
      </w:tr>
      <w:tr w:rsidR="00B24EC8" w14:paraId="761ADAF1" w14:textId="77777777" w:rsidTr="00857012">
        <w:trPr>
          <w:cnfStyle w:val="000000100000" w:firstRow="0" w:lastRow="0" w:firstColumn="0" w:lastColumn="0" w:oddVBand="0" w:evenVBand="0" w:oddHBand="1" w:evenHBand="0" w:firstRowFirstColumn="0" w:firstRowLastColumn="0" w:lastRowFirstColumn="0" w:lastRowLastColumn="0"/>
          <w:trHeight w:val="304"/>
        </w:trPr>
        <w:tc>
          <w:tcPr>
            <w:tcW w:w="1292" w:type="pct"/>
          </w:tcPr>
          <w:p w14:paraId="22B1C03F" w14:textId="77777777" w:rsidR="00B24EC8" w:rsidRPr="00251847" w:rsidRDefault="00B24EC8" w:rsidP="00857012">
            <w:pPr>
              <w:pStyle w:val="TableBody"/>
            </w:pPr>
            <w:bookmarkStart w:id="53" w:name="_Hlk64468338"/>
            <w:r w:rsidRPr="00251847">
              <w:t>Apogee</w:t>
            </w:r>
            <w:bookmarkEnd w:id="53"/>
          </w:p>
        </w:tc>
        <w:tc>
          <w:tcPr>
            <w:tcW w:w="3708" w:type="pct"/>
          </w:tcPr>
          <w:p w14:paraId="1828F3BA" w14:textId="77777777" w:rsidR="00B24EC8" w:rsidRPr="00251847" w:rsidRDefault="00B24EC8" w:rsidP="00857012">
            <w:pPr>
              <w:pStyle w:val="TableBody"/>
            </w:pPr>
            <w:r w:rsidRPr="00251847">
              <w:t>Highest point of the orbit (farthest to the Earth)</w:t>
            </w:r>
          </w:p>
        </w:tc>
      </w:tr>
      <w:tr w:rsidR="00B24EC8" w14:paraId="0E8A6016"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7F4E4E7A" w14:textId="77777777" w:rsidR="00B24EC8" w:rsidRDefault="00B24EC8" w:rsidP="00857012">
            <w:pPr>
              <w:pStyle w:val="TableBody"/>
            </w:pPr>
            <w:r>
              <w:t>ADF</w:t>
            </w:r>
          </w:p>
        </w:tc>
        <w:tc>
          <w:tcPr>
            <w:tcW w:w="3708" w:type="pct"/>
          </w:tcPr>
          <w:p w14:paraId="7A259321" w14:textId="77777777" w:rsidR="00B24EC8" w:rsidRDefault="00B24EC8" w:rsidP="00857012">
            <w:pPr>
              <w:pStyle w:val="TableBody"/>
            </w:pPr>
            <w:r>
              <w:t>Australian Defence Force</w:t>
            </w:r>
          </w:p>
        </w:tc>
      </w:tr>
      <w:tr w:rsidR="00B24EC8" w14:paraId="21A57E41"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6D94F2A6" w14:textId="77777777" w:rsidR="00B24EC8" w:rsidRDefault="00B24EC8" w:rsidP="00857012">
            <w:pPr>
              <w:pStyle w:val="TableBody"/>
            </w:pPr>
            <w:r>
              <w:t>ASA</w:t>
            </w:r>
          </w:p>
        </w:tc>
        <w:tc>
          <w:tcPr>
            <w:tcW w:w="3708" w:type="pct"/>
          </w:tcPr>
          <w:p w14:paraId="062DAF29" w14:textId="77777777" w:rsidR="00B24EC8" w:rsidRDefault="00B24EC8" w:rsidP="00857012">
            <w:pPr>
              <w:pStyle w:val="TableBody"/>
            </w:pPr>
            <w:r>
              <w:t>Australian Space Agency</w:t>
            </w:r>
          </w:p>
        </w:tc>
      </w:tr>
      <w:tr w:rsidR="00B24EC8" w14:paraId="6CB67F8D"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64E94C97" w14:textId="77777777" w:rsidR="00B24EC8" w:rsidRDefault="00B24EC8" w:rsidP="00857012">
            <w:pPr>
              <w:pStyle w:val="TableBody"/>
            </w:pPr>
            <w:r>
              <w:t>AOGSN</w:t>
            </w:r>
          </w:p>
        </w:tc>
        <w:tc>
          <w:tcPr>
            <w:tcW w:w="3708" w:type="pct"/>
          </w:tcPr>
          <w:p w14:paraId="652C39E9" w14:textId="77777777" w:rsidR="00B24EC8" w:rsidRDefault="00B24EC8" w:rsidP="00857012">
            <w:pPr>
              <w:pStyle w:val="TableBody"/>
            </w:pPr>
            <w:r w:rsidRPr="00495104">
              <w:t>Australasian Optical Ground Station Network</w:t>
            </w:r>
          </w:p>
        </w:tc>
      </w:tr>
      <w:tr w:rsidR="00B24EC8" w14:paraId="0102BB52"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3048313F" w14:textId="77777777" w:rsidR="00B24EC8" w:rsidRDefault="00B24EC8" w:rsidP="00857012">
            <w:pPr>
              <w:pStyle w:val="TableBody"/>
            </w:pPr>
            <w:r>
              <w:t>AWS</w:t>
            </w:r>
          </w:p>
        </w:tc>
        <w:tc>
          <w:tcPr>
            <w:tcW w:w="3708" w:type="pct"/>
          </w:tcPr>
          <w:p w14:paraId="5C95FC73" w14:textId="77777777" w:rsidR="00B24EC8" w:rsidRDefault="00B24EC8" w:rsidP="00857012">
            <w:pPr>
              <w:pStyle w:val="TableBody"/>
            </w:pPr>
            <w:r>
              <w:t>Amazon Web Services</w:t>
            </w:r>
          </w:p>
        </w:tc>
      </w:tr>
      <w:tr w:rsidR="00B24EC8" w14:paraId="71F754B2"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60D8EFB6" w14:textId="77777777" w:rsidR="00B24EC8" w:rsidRDefault="00B24EC8" w:rsidP="00857012">
            <w:pPr>
              <w:pStyle w:val="TableBody"/>
            </w:pPr>
            <w:r>
              <w:t>BoM</w:t>
            </w:r>
          </w:p>
        </w:tc>
        <w:tc>
          <w:tcPr>
            <w:tcW w:w="3708" w:type="pct"/>
          </w:tcPr>
          <w:p w14:paraId="7D70F86C" w14:textId="77777777" w:rsidR="00B24EC8" w:rsidRDefault="00B24EC8" w:rsidP="00857012">
            <w:pPr>
              <w:pStyle w:val="TableBody"/>
            </w:pPr>
            <w:r>
              <w:t>Bureau of Meteorology</w:t>
            </w:r>
          </w:p>
        </w:tc>
      </w:tr>
      <w:tr w:rsidR="00B24EC8" w14:paraId="342DB4E4"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526F0356" w14:textId="77777777" w:rsidR="00B24EC8" w:rsidRDefault="00B24EC8" w:rsidP="00857012">
            <w:pPr>
              <w:pStyle w:val="TableBody"/>
            </w:pPr>
            <w:r>
              <w:t>COVID-19</w:t>
            </w:r>
          </w:p>
        </w:tc>
        <w:tc>
          <w:tcPr>
            <w:tcW w:w="3708" w:type="pct"/>
          </w:tcPr>
          <w:p w14:paraId="07DFEA57" w14:textId="472A7864" w:rsidR="00B24EC8" w:rsidRDefault="00FB26BA" w:rsidP="00857012">
            <w:pPr>
              <w:pStyle w:val="TableBody"/>
            </w:pPr>
            <w:r w:rsidRPr="00FB26BA">
              <w:t>Coronavirus disease; refers to pandemic caused by a new form of coronavirus. It was first reported in December 2019 in Wuhan, China.</w:t>
            </w:r>
          </w:p>
        </w:tc>
      </w:tr>
      <w:tr w:rsidR="00F2616E" w14:paraId="7D4CFC95"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1BC762E0" w14:textId="02669256" w:rsidR="00F2616E" w:rsidRDefault="00F2616E" w:rsidP="00857012">
            <w:pPr>
              <w:pStyle w:val="TableBody"/>
            </w:pPr>
            <w:r>
              <w:t>CubeSat</w:t>
            </w:r>
          </w:p>
        </w:tc>
        <w:tc>
          <w:tcPr>
            <w:tcW w:w="3708" w:type="pct"/>
          </w:tcPr>
          <w:p w14:paraId="4B28F507" w14:textId="47BF264A" w:rsidR="00F2616E" w:rsidRDefault="00436192" w:rsidP="00857012">
            <w:pPr>
              <w:pStyle w:val="TableBody"/>
            </w:pPr>
            <w:r>
              <w:t>A</w:t>
            </w:r>
            <w:r w:rsidRPr="00FA3F74">
              <w:t xml:space="preserve"> type of small satellite comprise</w:t>
            </w:r>
            <w:r>
              <w:t>d of</w:t>
            </w:r>
            <w:r w:rsidRPr="00FA3F74">
              <w:t xml:space="preserve"> modular units (or cubes) each measuring 10x10x10 cm with a combined weight under 10 </w:t>
            </w:r>
            <w:r>
              <w:t xml:space="preserve">kilograms (see also </w:t>
            </w:r>
            <w:hyperlink r:id="rId101" w:history="1">
              <w:r w:rsidRPr="00986030">
                <w:rPr>
                  <w:rStyle w:val="Hyperlink"/>
                </w:rPr>
                <w:t>What are SmallSats and CubeSats?</w:t>
              </w:r>
            </w:hyperlink>
            <w:r>
              <w:t>).</w:t>
            </w:r>
          </w:p>
        </w:tc>
      </w:tr>
      <w:tr w:rsidR="00B24EC8" w14:paraId="52C2B28C"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2C091293" w14:textId="77777777" w:rsidR="00B24EC8" w:rsidRDefault="00B24EC8" w:rsidP="00857012">
            <w:pPr>
              <w:pStyle w:val="TableBody"/>
            </w:pPr>
            <w:r>
              <w:t>FYSO</w:t>
            </w:r>
          </w:p>
        </w:tc>
        <w:tc>
          <w:tcPr>
            <w:tcW w:w="3708" w:type="pct"/>
          </w:tcPr>
          <w:p w14:paraId="731A4B2B" w14:textId="77777777" w:rsidR="00B24EC8" w:rsidRDefault="00B24EC8" w:rsidP="00857012">
            <w:pPr>
              <w:pStyle w:val="TableBody"/>
            </w:pPr>
            <w:r>
              <w:t>Five-year spectrum outlook</w:t>
            </w:r>
          </w:p>
        </w:tc>
      </w:tr>
      <w:tr w:rsidR="00B24EC8" w14:paraId="5870902A"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12487D81" w14:textId="77777777" w:rsidR="00B24EC8" w:rsidRDefault="00B24EC8" w:rsidP="00857012">
            <w:pPr>
              <w:pStyle w:val="TableBody"/>
            </w:pPr>
            <w:r>
              <w:t>GEO</w:t>
            </w:r>
          </w:p>
        </w:tc>
        <w:tc>
          <w:tcPr>
            <w:tcW w:w="3708" w:type="pct"/>
          </w:tcPr>
          <w:p w14:paraId="02036CC6" w14:textId="77777777" w:rsidR="00B24EC8" w:rsidRDefault="00B24EC8" w:rsidP="00857012">
            <w:pPr>
              <w:pStyle w:val="TableBody"/>
            </w:pPr>
            <w:r>
              <w:t>Geostationary Earth Orbit – operates at an altitude of approximately 36,000 km</w:t>
            </w:r>
          </w:p>
        </w:tc>
      </w:tr>
      <w:tr w:rsidR="00B24EC8" w14:paraId="153CFEAB"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715789DA" w14:textId="77777777" w:rsidR="00B24EC8" w:rsidRDefault="00B24EC8" w:rsidP="00857012">
            <w:pPr>
              <w:pStyle w:val="TableBody"/>
            </w:pPr>
            <w:r>
              <w:t>GNSS</w:t>
            </w:r>
          </w:p>
        </w:tc>
        <w:tc>
          <w:tcPr>
            <w:tcW w:w="3708" w:type="pct"/>
          </w:tcPr>
          <w:p w14:paraId="465064EF" w14:textId="77777777" w:rsidR="00B24EC8" w:rsidRDefault="00B24EC8" w:rsidP="00857012">
            <w:pPr>
              <w:pStyle w:val="TableBody"/>
            </w:pPr>
            <w:r>
              <w:t>Global Navigation Satellite System</w:t>
            </w:r>
          </w:p>
        </w:tc>
      </w:tr>
      <w:tr w:rsidR="00B24EC8" w14:paraId="457104EC"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6002916E" w14:textId="77777777" w:rsidR="00B24EC8" w:rsidRDefault="00B24EC8" w:rsidP="00857012">
            <w:pPr>
              <w:pStyle w:val="TableBody"/>
            </w:pPr>
            <w:r>
              <w:t>GPS</w:t>
            </w:r>
          </w:p>
        </w:tc>
        <w:tc>
          <w:tcPr>
            <w:tcW w:w="3708" w:type="pct"/>
          </w:tcPr>
          <w:p w14:paraId="5D920259" w14:textId="77777777" w:rsidR="00B24EC8" w:rsidRPr="008955D5" w:rsidRDefault="00B24EC8" w:rsidP="00857012">
            <w:pPr>
              <w:pStyle w:val="TableBody"/>
            </w:pPr>
            <w:r>
              <w:t>Global Positioning System</w:t>
            </w:r>
          </w:p>
        </w:tc>
      </w:tr>
      <w:tr w:rsidR="00B24EC8" w14:paraId="140406DA"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1BD69D7D" w14:textId="77777777" w:rsidR="00B24EC8" w:rsidRDefault="00B24EC8" w:rsidP="00857012">
            <w:pPr>
              <w:pStyle w:val="TableBody"/>
            </w:pPr>
            <w:r>
              <w:t>HAPS</w:t>
            </w:r>
          </w:p>
        </w:tc>
        <w:tc>
          <w:tcPr>
            <w:tcW w:w="3708" w:type="pct"/>
          </w:tcPr>
          <w:p w14:paraId="13649064" w14:textId="77777777" w:rsidR="00B24EC8" w:rsidRDefault="00B24EC8" w:rsidP="00857012">
            <w:pPr>
              <w:pStyle w:val="TableBody"/>
            </w:pPr>
            <w:r w:rsidRPr="008955D5">
              <w:t>High-altitude platform station or High-Altitude Pseudo-Satellite</w:t>
            </w:r>
            <w:r>
              <w:t xml:space="preserve"> – operates at </w:t>
            </w:r>
            <w:r w:rsidRPr="00EF4DE5">
              <w:t>an altitude of 20-50 kilometres and at a specified, nominal, fixed point relative to the Earth.</w:t>
            </w:r>
          </w:p>
        </w:tc>
      </w:tr>
      <w:tr w:rsidR="00B24EC8" w14:paraId="22FF4216"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3355FC6F" w14:textId="77777777" w:rsidR="00B24EC8" w:rsidRDefault="00B24EC8" w:rsidP="00857012">
            <w:pPr>
              <w:pStyle w:val="TableBody"/>
            </w:pPr>
            <w:r>
              <w:t>IoT</w:t>
            </w:r>
          </w:p>
        </w:tc>
        <w:tc>
          <w:tcPr>
            <w:tcW w:w="3708" w:type="pct"/>
          </w:tcPr>
          <w:p w14:paraId="04C209D1" w14:textId="77777777" w:rsidR="00B24EC8" w:rsidRDefault="00B24EC8" w:rsidP="00857012">
            <w:pPr>
              <w:pStyle w:val="TableBody"/>
            </w:pPr>
            <w:r>
              <w:t>Internet of Things</w:t>
            </w:r>
          </w:p>
        </w:tc>
      </w:tr>
      <w:tr w:rsidR="00B24EC8" w14:paraId="3018611B"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35971172" w14:textId="77777777" w:rsidR="00B24EC8" w:rsidRDefault="00B24EC8" w:rsidP="00857012">
            <w:pPr>
              <w:pStyle w:val="TableBody"/>
            </w:pPr>
            <w:r>
              <w:t>ITU</w:t>
            </w:r>
          </w:p>
        </w:tc>
        <w:tc>
          <w:tcPr>
            <w:tcW w:w="3708" w:type="pct"/>
          </w:tcPr>
          <w:p w14:paraId="7F8518E1" w14:textId="77777777" w:rsidR="00B24EC8" w:rsidRDefault="00B24EC8" w:rsidP="00857012">
            <w:pPr>
              <w:pStyle w:val="TableBody"/>
            </w:pPr>
            <w:r>
              <w:t>International Telecommunication Union</w:t>
            </w:r>
          </w:p>
        </w:tc>
      </w:tr>
      <w:tr w:rsidR="00B24EC8" w14:paraId="4EFF150D"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32521BE8" w14:textId="77777777" w:rsidR="00B24EC8" w:rsidRDefault="00B24EC8" w:rsidP="00857012">
            <w:pPr>
              <w:pStyle w:val="TableBody"/>
            </w:pPr>
            <w:r>
              <w:t>ITU-R</w:t>
            </w:r>
          </w:p>
        </w:tc>
        <w:tc>
          <w:tcPr>
            <w:tcW w:w="3708" w:type="pct"/>
          </w:tcPr>
          <w:p w14:paraId="1305579E" w14:textId="77777777" w:rsidR="00B24EC8" w:rsidRDefault="00B24EC8" w:rsidP="00857012">
            <w:pPr>
              <w:pStyle w:val="TableBody"/>
            </w:pPr>
            <w:r w:rsidRPr="00BB2536">
              <w:t>ITU Radiocommunication Sector</w:t>
            </w:r>
          </w:p>
        </w:tc>
      </w:tr>
      <w:tr w:rsidR="00B24EC8" w14:paraId="03B86B1C"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2AD76698" w14:textId="77777777" w:rsidR="00B24EC8" w:rsidRDefault="00B24EC8" w:rsidP="00857012">
            <w:pPr>
              <w:pStyle w:val="TableBody"/>
            </w:pPr>
            <w:r>
              <w:t>LEO</w:t>
            </w:r>
          </w:p>
        </w:tc>
        <w:tc>
          <w:tcPr>
            <w:tcW w:w="3708" w:type="pct"/>
          </w:tcPr>
          <w:p w14:paraId="2487AB03" w14:textId="77777777" w:rsidR="00B24EC8" w:rsidRDefault="00B24EC8" w:rsidP="00857012">
            <w:pPr>
              <w:pStyle w:val="TableBody"/>
            </w:pPr>
            <w:r>
              <w:t>Low Earth Orbit – operates between 160 km and 2,000 km</w:t>
            </w:r>
          </w:p>
        </w:tc>
      </w:tr>
      <w:tr w:rsidR="00B24EC8" w14:paraId="75FBD504"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54F1BC8E" w14:textId="77777777" w:rsidR="00B24EC8" w:rsidRDefault="00B24EC8" w:rsidP="00857012">
            <w:pPr>
              <w:pStyle w:val="TableBody"/>
            </w:pPr>
            <w:r>
              <w:t>M2M</w:t>
            </w:r>
          </w:p>
        </w:tc>
        <w:tc>
          <w:tcPr>
            <w:tcW w:w="3708" w:type="pct"/>
          </w:tcPr>
          <w:p w14:paraId="58DB73F1" w14:textId="77777777" w:rsidR="00B24EC8" w:rsidRDefault="00B24EC8" w:rsidP="00857012">
            <w:pPr>
              <w:pStyle w:val="TableBody"/>
            </w:pPr>
            <w:r>
              <w:t>Machine-to-machine</w:t>
            </w:r>
          </w:p>
        </w:tc>
      </w:tr>
      <w:tr w:rsidR="00B24EC8" w14:paraId="5148B0CA"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5927ECF1" w14:textId="77777777" w:rsidR="00B24EC8" w:rsidRDefault="00B24EC8" w:rsidP="00857012">
            <w:pPr>
              <w:pStyle w:val="TableBody"/>
            </w:pPr>
            <w:r>
              <w:t>MEO</w:t>
            </w:r>
          </w:p>
        </w:tc>
        <w:tc>
          <w:tcPr>
            <w:tcW w:w="3708" w:type="pct"/>
          </w:tcPr>
          <w:p w14:paraId="6BB9C85E" w14:textId="77777777" w:rsidR="00B24EC8" w:rsidRDefault="00B24EC8" w:rsidP="00857012">
            <w:pPr>
              <w:pStyle w:val="TableBody"/>
            </w:pPr>
            <w:r>
              <w:t>Medium Earth Orbit – altitudes between around 2,000 km to below the geosynchronous orbit (approximately 36,000 km)</w:t>
            </w:r>
          </w:p>
        </w:tc>
      </w:tr>
      <w:tr w:rsidR="00B24EC8" w14:paraId="65156296"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6CB30BEC" w14:textId="77777777" w:rsidR="00B24EC8" w:rsidRDefault="00B24EC8" w:rsidP="00857012">
            <w:pPr>
              <w:pStyle w:val="TableBody"/>
            </w:pPr>
            <w:r>
              <w:t>Microsatellite</w:t>
            </w:r>
          </w:p>
        </w:tc>
        <w:tc>
          <w:tcPr>
            <w:tcW w:w="3708" w:type="pct"/>
          </w:tcPr>
          <w:p w14:paraId="2BDD5512" w14:textId="77777777" w:rsidR="00B24EC8" w:rsidRDefault="00B24EC8" w:rsidP="00857012">
            <w:pPr>
              <w:pStyle w:val="TableBody"/>
            </w:pPr>
            <w:r>
              <w:t xml:space="preserve">A satellite which weighs between 10 and 100 kilograms, with a maximum bus power of 150 Watts, costing between US$ 10 to 150 million, and maximum dimensions of 1 to 5 metres. They have a mission duration of 2 to 6 years (see </w:t>
            </w:r>
            <w:hyperlink r:id="rId102" w:history="1">
              <w:r w:rsidRPr="00183559">
                <w:rPr>
                  <w:rStyle w:val="Hyperlink"/>
                </w:rPr>
                <w:t>ITU definitions</w:t>
              </w:r>
            </w:hyperlink>
            <w:r>
              <w:t xml:space="preserve"> for further info). </w:t>
            </w:r>
          </w:p>
        </w:tc>
      </w:tr>
      <w:tr w:rsidR="00B24EC8" w14:paraId="6512094C"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0074068A" w14:textId="77777777" w:rsidR="00B24EC8" w:rsidRDefault="00B24EC8" w:rsidP="00857012">
            <w:pPr>
              <w:pStyle w:val="TableBody"/>
            </w:pPr>
            <w:r>
              <w:lastRenderedPageBreak/>
              <w:t>Minisatellite</w:t>
            </w:r>
          </w:p>
        </w:tc>
        <w:tc>
          <w:tcPr>
            <w:tcW w:w="3708" w:type="pct"/>
          </w:tcPr>
          <w:p w14:paraId="7E2B7AC6" w14:textId="7EDFB55F" w:rsidR="00B24EC8" w:rsidRDefault="00B24EC8" w:rsidP="00857012">
            <w:pPr>
              <w:pStyle w:val="TableBody"/>
            </w:pPr>
            <w:r>
              <w:t xml:space="preserve">A satellite which weighs between 100 and 500 kilograms, with a maximum bus power of 1 000 Watts, costing between US$30 to 200 million, and maximum dimensions of 3 to 10 metres. They have a mission duration of 5 to 10 years (see </w:t>
            </w:r>
            <w:hyperlink r:id="rId103" w:history="1">
              <w:r w:rsidRPr="00183559">
                <w:rPr>
                  <w:rStyle w:val="Hyperlink"/>
                </w:rPr>
                <w:t>ITU definitions</w:t>
              </w:r>
            </w:hyperlink>
            <w:r>
              <w:t xml:space="preserve"> for further info).</w:t>
            </w:r>
          </w:p>
        </w:tc>
      </w:tr>
      <w:tr w:rsidR="00BB7E5C" w14:paraId="768156C9" w14:textId="77777777" w:rsidTr="004F7DF0">
        <w:trPr>
          <w:cnfStyle w:val="000000010000" w:firstRow="0" w:lastRow="0" w:firstColumn="0" w:lastColumn="0" w:oddVBand="0" w:evenVBand="0" w:oddHBand="0" w:evenHBand="1" w:firstRowFirstColumn="0" w:firstRowLastColumn="0" w:lastRowFirstColumn="0" w:lastRowLastColumn="0"/>
        </w:trPr>
        <w:tc>
          <w:tcPr>
            <w:tcW w:w="1292" w:type="pct"/>
          </w:tcPr>
          <w:p w14:paraId="6E9275AC" w14:textId="77777777" w:rsidR="00BB7E5C" w:rsidRDefault="00BB7E5C" w:rsidP="00BB7E5C">
            <w:pPr>
              <w:pStyle w:val="TableBody"/>
            </w:pPr>
            <w:r>
              <w:t>MHI</w:t>
            </w:r>
          </w:p>
        </w:tc>
        <w:tc>
          <w:tcPr>
            <w:tcW w:w="3708" w:type="pct"/>
          </w:tcPr>
          <w:p w14:paraId="03B94B10" w14:textId="77777777" w:rsidR="00BB7E5C" w:rsidRDefault="00BB7E5C" w:rsidP="00BB7E5C">
            <w:pPr>
              <w:pStyle w:val="TableBody"/>
            </w:pPr>
            <w:r w:rsidRPr="001C5CAD">
              <w:t>Mitsubishi Heavy Industries</w:t>
            </w:r>
          </w:p>
        </w:tc>
      </w:tr>
      <w:tr w:rsidR="00BB7E5C" w14:paraId="2EBB40BC" w14:textId="77777777" w:rsidTr="004F7DF0">
        <w:trPr>
          <w:cnfStyle w:val="000000100000" w:firstRow="0" w:lastRow="0" w:firstColumn="0" w:lastColumn="0" w:oddVBand="0" w:evenVBand="0" w:oddHBand="1" w:evenHBand="0" w:firstRowFirstColumn="0" w:firstRowLastColumn="0" w:lastRowFirstColumn="0" w:lastRowLastColumn="0"/>
        </w:trPr>
        <w:tc>
          <w:tcPr>
            <w:tcW w:w="1292" w:type="pct"/>
          </w:tcPr>
          <w:p w14:paraId="5AEB6324" w14:textId="77777777" w:rsidR="00BB7E5C" w:rsidRDefault="00BB7E5C" w:rsidP="00BB7E5C">
            <w:pPr>
              <w:pStyle w:val="TableBody"/>
            </w:pPr>
            <w:r>
              <w:t>MSS</w:t>
            </w:r>
          </w:p>
        </w:tc>
        <w:tc>
          <w:tcPr>
            <w:tcW w:w="3708" w:type="pct"/>
          </w:tcPr>
          <w:p w14:paraId="13473B51" w14:textId="77777777" w:rsidR="00BB7E5C" w:rsidRDefault="00BB7E5C" w:rsidP="00BB7E5C">
            <w:pPr>
              <w:pStyle w:val="TableBody"/>
            </w:pPr>
            <w:r>
              <w:t>Mobile Satellite Service</w:t>
            </w:r>
          </w:p>
        </w:tc>
      </w:tr>
      <w:tr w:rsidR="00BB7E5C" w14:paraId="1C457320" w14:textId="77777777" w:rsidTr="004F7DF0">
        <w:trPr>
          <w:cnfStyle w:val="000000010000" w:firstRow="0" w:lastRow="0" w:firstColumn="0" w:lastColumn="0" w:oddVBand="0" w:evenVBand="0" w:oddHBand="0" w:evenHBand="1" w:firstRowFirstColumn="0" w:firstRowLastColumn="0" w:lastRowFirstColumn="0" w:lastRowLastColumn="0"/>
        </w:trPr>
        <w:tc>
          <w:tcPr>
            <w:tcW w:w="1292" w:type="pct"/>
          </w:tcPr>
          <w:p w14:paraId="60AF2983" w14:textId="77777777" w:rsidR="00BB7E5C" w:rsidRDefault="00BB7E5C" w:rsidP="00BB7E5C">
            <w:pPr>
              <w:pStyle w:val="TableBody"/>
            </w:pPr>
            <w:r>
              <w:t>NASA</w:t>
            </w:r>
          </w:p>
        </w:tc>
        <w:tc>
          <w:tcPr>
            <w:tcW w:w="3708" w:type="pct"/>
          </w:tcPr>
          <w:p w14:paraId="3AD86FCA" w14:textId="77777777" w:rsidR="00BB7E5C" w:rsidRDefault="00BB7E5C" w:rsidP="00BB7E5C">
            <w:pPr>
              <w:pStyle w:val="TableBody"/>
            </w:pPr>
            <w:r>
              <w:t>National Aeronautics and Space Agency, a United States government agency</w:t>
            </w:r>
          </w:p>
        </w:tc>
      </w:tr>
      <w:tr w:rsidR="00B24EC8" w14:paraId="6036BFFB"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75A23BEF" w14:textId="77777777" w:rsidR="00B24EC8" w:rsidRDefault="00B24EC8" w:rsidP="00857012">
            <w:pPr>
              <w:pStyle w:val="TableBody"/>
            </w:pPr>
            <w:r>
              <w:t>Nanosatellite</w:t>
            </w:r>
          </w:p>
        </w:tc>
        <w:tc>
          <w:tcPr>
            <w:tcW w:w="3708" w:type="pct"/>
          </w:tcPr>
          <w:p w14:paraId="6BE235CC" w14:textId="511B5D24" w:rsidR="00B24EC8" w:rsidRDefault="00B24EC8" w:rsidP="00857012">
            <w:pPr>
              <w:pStyle w:val="TableBody"/>
            </w:pPr>
            <w:r>
              <w:t>A satellite which weighs between 1 and 10 kilograms, with a maximum bus power of 20 Watts, costing between US$100</w:t>
            </w:r>
            <w:r w:rsidR="00F725F6">
              <w:t> </w:t>
            </w:r>
            <w:r>
              <w:t xml:space="preserve">thousand to 10 million, and maximum dimensions of 0.1 to 1 metre. They have a mission duration of 1 to 3 years (see </w:t>
            </w:r>
            <w:hyperlink r:id="rId104" w:history="1">
              <w:r w:rsidRPr="00183559">
                <w:rPr>
                  <w:rStyle w:val="Hyperlink"/>
                </w:rPr>
                <w:t>ITU definitions</w:t>
              </w:r>
            </w:hyperlink>
            <w:r>
              <w:t xml:space="preserve"> for further info). Also known as a nanosat.</w:t>
            </w:r>
          </w:p>
        </w:tc>
      </w:tr>
      <w:tr w:rsidR="00B24EC8" w14:paraId="12A371BE"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2F6FD72D" w14:textId="77777777" w:rsidR="00B24EC8" w:rsidRDefault="00B24EC8" w:rsidP="00857012">
            <w:pPr>
              <w:pStyle w:val="TableBody"/>
            </w:pPr>
            <w:r>
              <w:t>NGSO</w:t>
            </w:r>
          </w:p>
        </w:tc>
        <w:tc>
          <w:tcPr>
            <w:tcW w:w="3708" w:type="pct"/>
          </w:tcPr>
          <w:p w14:paraId="709EAEC3" w14:textId="77777777" w:rsidR="00B24EC8" w:rsidRDefault="00B24EC8" w:rsidP="00857012">
            <w:pPr>
              <w:pStyle w:val="TableBody"/>
            </w:pPr>
            <w:r>
              <w:t>Non-geostationary orbit</w:t>
            </w:r>
          </w:p>
        </w:tc>
      </w:tr>
      <w:tr w:rsidR="00B24EC8" w14:paraId="5131B001"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234F4617" w14:textId="77777777" w:rsidR="00B24EC8" w:rsidRDefault="00B24EC8" w:rsidP="00857012">
            <w:pPr>
              <w:pStyle w:val="TableBody"/>
            </w:pPr>
            <w:r>
              <w:t>OECD</w:t>
            </w:r>
          </w:p>
        </w:tc>
        <w:tc>
          <w:tcPr>
            <w:tcW w:w="3708" w:type="pct"/>
          </w:tcPr>
          <w:p w14:paraId="33409F72" w14:textId="77777777" w:rsidR="00B24EC8" w:rsidRDefault="00B24EC8" w:rsidP="00857012">
            <w:pPr>
              <w:pStyle w:val="TableBody"/>
            </w:pPr>
            <w:r>
              <w:t>Organisation for Economic Cooperation and Development</w:t>
            </w:r>
          </w:p>
        </w:tc>
      </w:tr>
      <w:tr w:rsidR="00B24EC8" w14:paraId="540A18DC"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7A39FD29" w14:textId="77777777" w:rsidR="00B24EC8" w:rsidRDefault="00B24EC8" w:rsidP="00857012">
            <w:pPr>
              <w:pStyle w:val="TableBody"/>
            </w:pPr>
            <w:r>
              <w:t>Payload</w:t>
            </w:r>
          </w:p>
        </w:tc>
        <w:tc>
          <w:tcPr>
            <w:tcW w:w="3708" w:type="pct"/>
          </w:tcPr>
          <w:p w14:paraId="1DB21631" w14:textId="77777777" w:rsidR="00B24EC8" w:rsidRDefault="00B24EC8" w:rsidP="00857012">
            <w:pPr>
              <w:pStyle w:val="TableBody"/>
            </w:pPr>
            <w:r>
              <w:t>P</w:t>
            </w:r>
            <w:r w:rsidRPr="00F67C29">
              <w:t>art of a vehicle's load from which revenue is derived</w:t>
            </w:r>
            <w:r>
              <w:t>, for example,</w:t>
            </w:r>
            <w:r w:rsidRPr="00F67C29">
              <w:t xml:space="preserve"> </w:t>
            </w:r>
            <w:r>
              <w:t>a satellite on a rocket</w:t>
            </w:r>
          </w:p>
        </w:tc>
      </w:tr>
      <w:tr w:rsidR="00B24EC8" w14:paraId="79250C29"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22689F91" w14:textId="77777777" w:rsidR="00B24EC8" w:rsidRDefault="00B24EC8" w:rsidP="00857012">
            <w:pPr>
              <w:pStyle w:val="TableBody"/>
            </w:pPr>
            <w:r>
              <w:t>Picosatellite</w:t>
            </w:r>
          </w:p>
        </w:tc>
        <w:tc>
          <w:tcPr>
            <w:tcW w:w="3708" w:type="pct"/>
          </w:tcPr>
          <w:p w14:paraId="22BE49E1" w14:textId="21D0FFE7" w:rsidR="00B24EC8" w:rsidRDefault="00B24EC8" w:rsidP="00857012">
            <w:pPr>
              <w:pStyle w:val="TableBody"/>
            </w:pPr>
            <w:r>
              <w:t xml:space="preserve">A satellite which weighs between 100 grams and 1 kilogram, with a maximum bus power of 5 Watts, costing between US$50 thousand to 2 million, and maximum dimensions of 0.05 to 0.1 metre. They have a mission duration of 1 to 3 years (see </w:t>
            </w:r>
            <w:hyperlink r:id="rId105" w:history="1">
              <w:r w:rsidRPr="00183559">
                <w:rPr>
                  <w:rStyle w:val="Hyperlink"/>
                </w:rPr>
                <w:t>ITU definitions</w:t>
              </w:r>
            </w:hyperlink>
            <w:r>
              <w:t xml:space="preserve"> for further info).</w:t>
            </w:r>
          </w:p>
        </w:tc>
      </w:tr>
      <w:tr w:rsidR="00BB7E5C" w14:paraId="1D53C126" w14:textId="77777777" w:rsidTr="00BA511A">
        <w:trPr>
          <w:cnfStyle w:val="000000010000" w:firstRow="0" w:lastRow="0" w:firstColumn="0" w:lastColumn="0" w:oddVBand="0" w:evenVBand="0" w:oddHBand="0" w:evenHBand="1" w:firstRowFirstColumn="0" w:firstRowLastColumn="0" w:lastRowFirstColumn="0" w:lastRowLastColumn="0"/>
        </w:trPr>
        <w:tc>
          <w:tcPr>
            <w:tcW w:w="1292" w:type="pct"/>
          </w:tcPr>
          <w:p w14:paraId="2F5E44D4" w14:textId="77777777" w:rsidR="00BB7E5C" w:rsidRDefault="00BB7E5C" w:rsidP="00BB7E5C">
            <w:pPr>
              <w:pStyle w:val="TableBody"/>
            </w:pPr>
            <w:bookmarkStart w:id="54" w:name="_Hlk64468418"/>
            <w:r>
              <w:t>Perigee</w:t>
            </w:r>
            <w:bookmarkEnd w:id="54"/>
          </w:p>
        </w:tc>
        <w:tc>
          <w:tcPr>
            <w:tcW w:w="3708" w:type="pct"/>
          </w:tcPr>
          <w:p w14:paraId="4E834751" w14:textId="77777777" w:rsidR="00BB7E5C" w:rsidRDefault="00BB7E5C" w:rsidP="00BB7E5C">
            <w:pPr>
              <w:pStyle w:val="TableBody"/>
            </w:pPr>
            <w:r>
              <w:t>Lowest point of the orbit (closest to the Earth)</w:t>
            </w:r>
          </w:p>
        </w:tc>
      </w:tr>
      <w:tr w:rsidR="00BB7E5C" w14:paraId="63FF81AA" w14:textId="77777777" w:rsidTr="00BA511A">
        <w:trPr>
          <w:cnfStyle w:val="000000100000" w:firstRow="0" w:lastRow="0" w:firstColumn="0" w:lastColumn="0" w:oddVBand="0" w:evenVBand="0" w:oddHBand="1" w:evenHBand="0" w:firstRowFirstColumn="0" w:firstRowLastColumn="0" w:lastRowFirstColumn="0" w:lastRowLastColumn="0"/>
        </w:trPr>
        <w:tc>
          <w:tcPr>
            <w:tcW w:w="1292" w:type="pct"/>
          </w:tcPr>
          <w:p w14:paraId="312596AA" w14:textId="77777777" w:rsidR="00BB7E5C" w:rsidRDefault="00BB7E5C" w:rsidP="00BB7E5C">
            <w:pPr>
              <w:pStyle w:val="TableBody"/>
            </w:pPr>
            <w:r>
              <w:t>PSLV</w:t>
            </w:r>
          </w:p>
        </w:tc>
        <w:tc>
          <w:tcPr>
            <w:tcW w:w="3708" w:type="pct"/>
          </w:tcPr>
          <w:p w14:paraId="0A11B2A8" w14:textId="77777777" w:rsidR="00BB7E5C" w:rsidRDefault="00BB7E5C" w:rsidP="00BB7E5C">
            <w:pPr>
              <w:pStyle w:val="TableBody"/>
            </w:pPr>
            <w:r w:rsidRPr="001C5CAD">
              <w:t>Polar Satellite Launch Vehicle</w:t>
            </w:r>
          </w:p>
        </w:tc>
      </w:tr>
      <w:tr w:rsidR="00BB7E5C" w14:paraId="2A598837" w14:textId="77777777" w:rsidTr="00BA511A">
        <w:trPr>
          <w:cnfStyle w:val="000000010000" w:firstRow="0" w:lastRow="0" w:firstColumn="0" w:lastColumn="0" w:oddVBand="0" w:evenVBand="0" w:oddHBand="0" w:evenHBand="1" w:firstRowFirstColumn="0" w:firstRowLastColumn="0" w:lastRowFirstColumn="0" w:lastRowLastColumn="0"/>
        </w:trPr>
        <w:tc>
          <w:tcPr>
            <w:tcW w:w="1292" w:type="pct"/>
          </w:tcPr>
          <w:p w14:paraId="5C1E3E28" w14:textId="77777777" w:rsidR="00BB7E5C" w:rsidRDefault="00BB7E5C" w:rsidP="00BB7E5C">
            <w:pPr>
              <w:pStyle w:val="TableBody"/>
            </w:pPr>
            <w:r>
              <w:t>RAAF</w:t>
            </w:r>
          </w:p>
        </w:tc>
        <w:tc>
          <w:tcPr>
            <w:tcW w:w="3708" w:type="pct"/>
          </w:tcPr>
          <w:p w14:paraId="0F4377D9" w14:textId="77777777" w:rsidR="00BB7E5C" w:rsidRDefault="00BB7E5C" w:rsidP="00BB7E5C">
            <w:pPr>
              <w:pStyle w:val="TableBody"/>
            </w:pPr>
            <w:r>
              <w:t>Royal Australian Air Force</w:t>
            </w:r>
          </w:p>
        </w:tc>
      </w:tr>
      <w:tr w:rsidR="00BB7E5C" w14:paraId="624A9CB7" w14:textId="77777777" w:rsidTr="00BA511A">
        <w:trPr>
          <w:cnfStyle w:val="000000100000" w:firstRow="0" w:lastRow="0" w:firstColumn="0" w:lastColumn="0" w:oddVBand="0" w:evenVBand="0" w:oddHBand="1" w:evenHBand="0" w:firstRowFirstColumn="0" w:firstRowLastColumn="0" w:lastRowFirstColumn="0" w:lastRowLastColumn="0"/>
        </w:trPr>
        <w:tc>
          <w:tcPr>
            <w:tcW w:w="1292" w:type="pct"/>
          </w:tcPr>
          <w:p w14:paraId="47CB6B4A" w14:textId="77777777" w:rsidR="00BB7E5C" w:rsidRDefault="00BB7E5C" w:rsidP="00BB7E5C">
            <w:pPr>
              <w:pStyle w:val="TableBody"/>
            </w:pPr>
            <w:r>
              <w:t>RMI</w:t>
            </w:r>
          </w:p>
        </w:tc>
        <w:tc>
          <w:tcPr>
            <w:tcW w:w="3708" w:type="pct"/>
          </w:tcPr>
          <w:p w14:paraId="61DFD065" w14:textId="77777777" w:rsidR="00BB7E5C" w:rsidRDefault="00BB7E5C" w:rsidP="00BB7E5C">
            <w:pPr>
              <w:pStyle w:val="TableBody"/>
            </w:pPr>
            <w:r>
              <w:t xml:space="preserve">Regulatory Futures, Markets and International </w:t>
            </w:r>
          </w:p>
        </w:tc>
      </w:tr>
      <w:tr w:rsidR="00BB7E5C" w14:paraId="7BE7E60D" w14:textId="77777777" w:rsidTr="00BA511A">
        <w:trPr>
          <w:cnfStyle w:val="000000010000" w:firstRow="0" w:lastRow="0" w:firstColumn="0" w:lastColumn="0" w:oddVBand="0" w:evenVBand="0" w:oddHBand="0" w:evenHBand="1" w:firstRowFirstColumn="0" w:firstRowLastColumn="0" w:lastRowFirstColumn="0" w:lastRowLastColumn="0"/>
        </w:trPr>
        <w:tc>
          <w:tcPr>
            <w:tcW w:w="1292" w:type="pct"/>
          </w:tcPr>
          <w:p w14:paraId="636AF324" w14:textId="77777777" w:rsidR="00BB7E5C" w:rsidRDefault="00BB7E5C" w:rsidP="00BB7E5C">
            <w:pPr>
              <w:pStyle w:val="TableBody"/>
            </w:pPr>
            <w:r>
              <w:t>SETI</w:t>
            </w:r>
          </w:p>
        </w:tc>
        <w:tc>
          <w:tcPr>
            <w:tcW w:w="3708" w:type="pct"/>
          </w:tcPr>
          <w:p w14:paraId="18FEA40B" w14:textId="434BCA49" w:rsidR="00BB7E5C" w:rsidRDefault="00BB7E5C" w:rsidP="00BB7E5C">
            <w:pPr>
              <w:pStyle w:val="TableBody"/>
            </w:pPr>
            <w:r>
              <w:t xml:space="preserve">Search for extra-terrestrial intelligence, </w:t>
            </w:r>
            <w:r w:rsidRPr="001C5CAD">
              <w:t>a non-profit corporation that serves as an institutional home for research and educational projects related to the study of life in the universe</w:t>
            </w:r>
          </w:p>
        </w:tc>
      </w:tr>
      <w:tr w:rsidR="00BB7E5C" w14:paraId="137642C3" w14:textId="77777777" w:rsidTr="004F7DF0">
        <w:trPr>
          <w:cnfStyle w:val="000000100000" w:firstRow="0" w:lastRow="0" w:firstColumn="0" w:lastColumn="0" w:oddVBand="0" w:evenVBand="0" w:oddHBand="1" w:evenHBand="0" w:firstRowFirstColumn="0" w:firstRowLastColumn="0" w:lastRowFirstColumn="0" w:lastRowLastColumn="0"/>
        </w:trPr>
        <w:tc>
          <w:tcPr>
            <w:tcW w:w="1292" w:type="pct"/>
          </w:tcPr>
          <w:p w14:paraId="0A717970" w14:textId="77777777" w:rsidR="00BB7E5C" w:rsidRDefault="00BB7E5C" w:rsidP="00BB7E5C">
            <w:pPr>
              <w:pStyle w:val="TableBody"/>
            </w:pPr>
            <w:r>
              <w:t>SmallSat</w:t>
            </w:r>
          </w:p>
        </w:tc>
        <w:tc>
          <w:tcPr>
            <w:tcW w:w="3708" w:type="pct"/>
          </w:tcPr>
          <w:p w14:paraId="3E4C62C7" w14:textId="77777777" w:rsidR="00BB7E5C" w:rsidRDefault="00BB7E5C" w:rsidP="00BB7E5C">
            <w:pPr>
              <w:pStyle w:val="TableBody"/>
            </w:pPr>
            <w:r>
              <w:t>A satellite that weighs less than 500 kilograms, also known as a small satellite</w:t>
            </w:r>
          </w:p>
        </w:tc>
      </w:tr>
      <w:tr w:rsidR="00BB7E5C" w14:paraId="6FE31123" w14:textId="77777777" w:rsidTr="004F7DF0">
        <w:trPr>
          <w:cnfStyle w:val="000000010000" w:firstRow="0" w:lastRow="0" w:firstColumn="0" w:lastColumn="0" w:oddVBand="0" w:evenVBand="0" w:oddHBand="0" w:evenHBand="1" w:firstRowFirstColumn="0" w:firstRowLastColumn="0" w:lastRowFirstColumn="0" w:lastRowLastColumn="0"/>
        </w:trPr>
        <w:tc>
          <w:tcPr>
            <w:tcW w:w="1292" w:type="pct"/>
          </w:tcPr>
          <w:p w14:paraId="3AEBFDD8" w14:textId="77777777" w:rsidR="00BB7E5C" w:rsidRDefault="00BB7E5C" w:rsidP="00BB7E5C">
            <w:pPr>
              <w:pStyle w:val="TableBody"/>
            </w:pPr>
            <w:r>
              <w:t>SpaceX</w:t>
            </w:r>
          </w:p>
        </w:tc>
        <w:tc>
          <w:tcPr>
            <w:tcW w:w="3708" w:type="pct"/>
          </w:tcPr>
          <w:p w14:paraId="0A761A7E" w14:textId="1FF34D2D" w:rsidR="00BB7E5C" w:rsidDel="002B6980" w:rsidRDefault="00BB7E5C" w:rsidP="00BB7E5C">
            <w:pPr>
              <w:pStyle w:val="TableBody"/>
            </w:pPr>
            <w:r>
              <w:t xml:space="preserve">Space </w:t>
            </w:r>
            <w:r w:rsidR="004A33B2">
              <w:t>E</w:t>
            </w:r>
            <w:r>
              <w:t xml:space="preserve">xploration </w:t>
            </w:r>
            <w:r w:rsidR="004A33B2">
              <w:t>T</w:t>
            </w:r>
            <w:r>
              <w:t>echnologies</w:t>
            </w:r>
          </w:p>
        </w:tc>
      </w:tr>
      <w:tr w:rsidR="00C97503" w14:paraId="10657A6F" w14:textId="77777777" w:rsidTr="004F7DF0">
        <w:trPr>
          <w:cnfStyle w:val="000000100000" w:firstRow="0" w:lastRow="0" w:firstColumn="0" w:lastColumn="0" w:oddVBand="0" w:evenVBand="0" w:oddHBand="1" w:evenHBand="0" w:firstRowFirstColumn="0" w:firstRowLastColumn="0" w:lastRowFirstColumn="0" w:lastRowLastColumn="0"/>
        </w:trPr>
        <w:tc>
          <w:tcPr>
            <w:tcW w:w="1292" w:type="pct"/>
          </w:tcPr>
          <w:p w14:paraId="751562D9" w14:textId="77777777" w:rsidR="00C97503" w:rsidRDefault="00C97503" w:rsidP="00BB7E5C">
            <w:pPr>
              <w:pStyle w:val="TableBody"/>
            </w:pPr>
            <w:r>
              <w:t>SMEs</w:t>
            </w:r>
          </w:p>
        </w:tc>
        <w:tc>
          <w:tcPr>
            <w:tcW w:w="3708" w:type="pct"/>
          </w:tcPr>
          <w:p w14:paraId="507E17D7" w14:textId="77777777" w:rsidR="00C97503" w:rsidRDefault="00C97503" w:rsidP="00BB7E5C">
            <w:pPr>
              <w:pStyle w:val="TableBody"/>
            </w:pPr>
            <w:r>
              <w:t>S</w:t>
            </w:r>
            <w:r w:rsidRPr="00C97503">
              <w:t>mall and medium enterprises</w:t>
            </w:r>
          </w:p>
        </w:tc>
      </w:tr>
      <w:tr w:rsidR="00BB7E5C" w14:paraId="5A63D0D3" w14:textId="77777777" w:rsidTr="00BA511A">
        <w:trPr>
          <w:cnfStyle w:val="000000010000" w:firstRow="0" w:lastRow="0" w:firstColumn="0" w:lastColumn="0" w:oddVBand="0" w:evenVBand="0" w:oddHBand="0" w:evenHBand="1" w:firstRowFirstColumn="0" w:firstRowLastColumn="0" w:lastRowFirstColumn="0" w:lastRowLastColumn="0"/>
        </w:trPr>
        <w:tc>
          <w:tcPr>
            <w:tcW w:w="1292" w:type="pct"/>
          </w:tcPr>
          <w:p w14:paraId="2016BA4F" w14:textId="77777777" w:rsidR="00BB7E5C" w:rsidRDefault="00BB7E5C" w:rsidP="00BB7E5C">
            <w:pPr>
              <w:pStyle w:val="TableBody"/>
            </w:pPr>
            <w:r>
              <w:t>SSMS</w:t>
            </w:r>
          </w:p>
        </w:tc>
        <w:tc>
          <w:tcPr>
            <w:tcW w:w="3708" w:type="pct"/>
          </w:tcPr>
          <w:p w14:paraId="22F63534" w14:textId="77777777" w:rsidR="00BB7E5C" w:rsidRDefault="00BB7E5C" w:rsidP="00BB7E5C">
            <w:pPr>
              <w:pStyle w:val="TableBody"/>
            </w:pPr>
            <w:r w:rsidRPr="001C5CAD">
              <w:t>Small Spacecraft Mission Service</w:t>
            </w:r>
          </w:p>
        </w:tc>
      </w:tr>
      <w:tr w:rsidR="00B24EC8" w14:paraId="4053688D" w14:textId="77777777" w:rsidTr="00857012">
        <w:trPr>
          <w:cnfStyle w:val="000000100000" w:firstRow="0" w:lastRow="0" w:firstColumn="0" w:lastColumn="0" w:oddVBand="0" w:evenVBand="0" w:oddHBand="1" w:evenHBand="0" w:firstRowFirstColumn="0" w:firstRowLastColumn="0" w:lastRowFirstColumn="0" w:lastRowLastColumn="0"/>
        </w:trPr>
        <w:tc>
          <w:tcPr>
            <w:tcW w:w="1292" w:type="pct"/>
          </w:tcPr>
          <w:p w14:paraId="4A35DDC8" w14:textId="77777777" w:rsidR="00B24EC8" w:rsidRDefault="00B24EC8" w:rsidP="00857012">
            <w:pPr>
              <w:pStyle w:val="TableBody"/>
            </w:pPr>
            <w:r>
              <w:t>Sub-orbital</w:t>
            </w:r>
          </w:p>
        </w:tc>
        <w:tc>
          <w:tcPr>
            <w:tcW w:w="3708" w:type="pct"/>
          </w:tcPr>
          <w:p w14:paraId="0F8A1BA6" w14:textId="77777777" w:rsidR="00B24EC8" w:rsidRDefault="00B24EC8" w:rsidP="00857012">
            <w:pPr>
              <w:pStyle w:val="TableBody"/>
            </w:pPr>
            <w:r w:rsidRPr="008307EC">
              <w:t>The intentional flight of a vehicle expected to reach the upper atmosphere with a portion of its flight path that may occur in space without completing a full orbit around the Earth before returning back to the surface of the Earth</w:t>
            </w:r>
            <w:r>
              <w:t xml:space="preserve"> (see </w:t>
            </w:r>
            <w:hyperlink r:id="rId106" w:history="1">
              <w:r w:rsidRPr="00F466C8">
                <w:rPr>
                  <w:rStyle w:val="Hyperlink"/>
                </w:rPr>
                <w:t>ITU-R definition</w:t>
              </w:r>
            </w:hyperlink>
            <w:r>
              <w:t>).</w:t>
            </w:r>
          </w:p>
        </w:tc>
      </w:tr>
      <w:tr w:rsidR="002B1160" w14:paraId="2A9067AF" w14:textId="77777777" w:rsidTr="00BA511A">
        <w:trPr>
          <w:cnfStyle w:val="000000010000" w:firstRow="0" w:lastRow="0" w:firstColumn="0" w:lastColumn="0" w:oddVBand="0" w:evenVBand="0" w:oddHBand="0" w:evenHBand="1" w:firstRowFirstColumn="0" w:firstRowLastColumn="0" w:lastRowFirstColumn="0" w:lastRowLastColumn="0"/>
        </w:trPr>
        <w:tc>
          <w:tcPr>
            <w:tcW w:w="1292" w:type="pct"/>
          </w:tcPr>
          <w:p w14:paraId="424F0CB0" w14:textId="77777777" w:rsidR="002B1160" w:rsidRDefault="002B1160" w:rsidP="00BB7E5C">
            <w:pPr>
              <w:pStyle w:val="TableBody"/>
            </w:pPr>
            <w:r>
              <w:t>UK</w:t>
            </w:r>
          </w:p>
        </w:tc>
        <w:tc>
          <w:tcPr>
            <w:tcW w:w="3708" w:type="pct"/>
          </w:tcPr>
          <w:p w14:paraId="6DA69433" w14:textId="77777777" w:rsidR="002B1160" w:rsidRDefault="002B1160" w:rsidP="00BB7E5C">
            <w:pPr>
              <w:pStyle w:val="TableBody"/>
            </w:pPr>
            <w:r>
              <w:t>United Kingdom</w:t>
            </w:r>
          </w:p>
        </w:tc>
      </w:tr>
      <w:tr w:rsidR="00BB7E5C" w14:paraId="530C664E" w14:textId="77777777" w:rsidTr="00BA511A">
        <w:trPr>
          <w:cnfStyle w:val="000000100000" w:firstRow="0" w:lastRow="0" w:firstColumn="0" w:lastColumn="0" w:oddVBand="0" w:evenVBand="0" w:oddHBand="1" w:evenHBand="0" w:firstRowFirstColumn="0" w:firstRowLastColumn="0" w:lastRowFirstColumn="0" w:lastRowLastColumn="0"/>
        </w:trPr>
        <w:tc>
          <w:tcPr>
            <w:tcW w:w="1292" w:type="pct"/>
          </w:tcPr>
          <w:p w14:paraId="00E6617F" w14:textId="77777777" w:rsidR="00BB7E5C" w:rsidRDefault="00BB7E5C" w:rsidP="00BB7E5C">
            <w:pPr>
              <w:pStyle w:val="TableBody"/>
            </w:pPr>
            <w:r>
              <w:lastRenderedPageBreak/>
              <w:t>US</w:t>
            </w:r>
          </w:p>
        </w:tc>
        <w:tc>
          <w:tcPr>
            <w:tcW w:w="3708" w:type="pct"/>
          </w:tcPr>
          <w:p w14:paraId="2136EC1A" w14:textId="77777777" w:rsidR="00BB7E5C" w:rsidRDefault="00BB7E5C" w:rsidP="00BB7E5C">
            <w:pPr>
              <w:pStyle w:val="TableBody"/>
            </w:pPr>
            <w:r>
              <w:t>United States</w:t>
            </w:r>
          </w:p>
        </w:tc>
      </w:tr>
      <w:tr w:rsidR="00B24EC8" w14:paraId="3F33B0CF" w14:textId="77777777" w:rsidTr="00857012">
        <w:trPr>
          <w:cnfStyle w:val="000000010000" w:firstRow="0" w:lastRow="0" w:firstColumn="0" w:lastColumn="0" w:oddVBand="0" w:evenVBand="0" w:oddHBand="0" w:evenHBand="1" w:firstRowFirstColumn="0" w:firstRowLastColumn="0" w:lastRowFirstColumn="0" w:lastRowLastColumn="0"/>
        </w:trPr>
        <w:tc>
          <w:tcPr>
            <w:tcW w:w="1292" w:type="pct"/>
          </w:tcPr>
          <w:p w14:paraId="5BFA02E4" w14:textId="77777777" w:rsidR="00B24EC8" w:rsidRDefault="00B24EC8" w:rsidP="00857012">
            <w:pPr>
              <w:pStyle w:val="TableBody"/>
            </w:pPr>
            <w:r>
              <w:t>US$</w:t>
            </w:r>
          </w:p>
        </w:tc>
        <w:tc>
          <w:tcPr>
            <w:tcW w:w="3708" w:type="pct"/>
          </w:tcPr>
          <w:p w14:paraId="214DC2B7" w14:textId="0019FAAD" w:rsidR="00B24EC8" w:rsidRDefault="00B24EC8" w:rsidP="00857012">
            <w:pPr>
              <w:pStyle w:val="TableBody"/>
            </w:pPr>
            <w:r>
              <w:t xml:space="preserve">United States </w:t>
            </w:r>
            <w:r w:rsidR="00903B52">
              <w:t>d</w:t>
            </w:r>
            <w:r>
              <w:t>ollars</w:t>
            </w:r>
          </w:p>
        </w:tc>
      </w:tr>
      <w:tr w:rsidR="00BB7E5C" w14:paraId="42A70188" w14:textId="77777777" w:rsidTr="00BA511A">
        <w:trPr>
          <w:cnfStyle w:val="000000100000" w:firstRow="0" w:lastRow="0" w:firstColumn="0" w:lastColumn="0" w:oddVBand="0" w:evenVBand="0" w:oddHBand="1" w:evenHBand="0" w:firstRowFirstColumn="0" w:firstRowLastColumn="0" w:lastRowFirstColumn="0" w:lastRowLastColumn="0"/>
        </w:trPr>
        <w:tc>
          <w:tcPr>
            <w:tcW w:w="1292" w:type="pct"/>
          </w:tcPr>
          <w:p w14:paraId="1DBDA0E8" w14:textId="77777777" w:rsidR="00BB7E5C" w:rsidRDefault="00BB7E5C" w:rsidP="00BB7E5C">
            <w:pPr>
              <w:pStyle w:val="TableBody"/>
            </w:pPr>
            <w:r>
              <w:t>VSAT</w:t>
            </w:r>
          </w:p>
        </w:tc>
        <w:tc>
          <w:tcPr>
            <w:tcW w:w="3708" w:type="pct"/>
          </w:tcPr>
          <w:p w14:paraId="0ED2A8EB" w14:textId="4D9C2F0E" w:rsidR="00BB7E5C" w:rsidRDefault="00BB7E5C" w:rsidP="00BB7E5C">
            <w:pPr>
              <w:pStyle w:val="TableBody"/>
            </w:pPr>
            <w:r>
              <w:t>Very small aperture terminal is a two-way satellite ground station. VSAT systems provide high speed, broadband satellite communications for internet or private network communications</w:t>
            </w:r>
          </w:p>
        </w:tc>
      </w:tr>
      <w:tr w:rsidR="00BB7E5C" w14:paraId="6C71E994" w14:textId="77777777" w:rsidTr="00BA511A">
        <w:trPr>
          <w:cnfStyle w:val="000000010000" w:firstRow="0" w:lastRow="0" w:firstColumn="0" w:lastColumn="0" w:oddVBand="0" w:evenVBand="0" w:oddHBand="0" w:evenHBand="1" w:firstRowFirstColumn="0" w:firstRowLastColumn="0" w:lastRowFirstColumn="0" w:lastRowLastColumn="0"/>
        </w:trPr>
        <w:tc>
          <w:tcPr>
            <w:tcW w:w="1292" w:type="pct"/>
          </w:tcPr>
          <w:p w14:paraId="1BF2A729" w14:textId="77777777" w:rsidR="00BB7E5C" w:rsidRDefault="00BB7E5C" w:rsidP="00BB7E5C">
            <w:pPr>
              <w:pStyle w:val="TableBody"/>
            </w:pPr>
            <w:r w:rsidRPr="00746C17">
              <w:t>WGS</w:t>
            </w:r>
          </w:p>
        </w:tc>
        <w:tc>
          <w:tcPr>
            <w:tcW w:w="3708" w:type="pct"/>
          </w:tcPr>
          <w:p w14:paraId="470380D3" w14:textId="7BC6126F" w:rsidR="00BB7E5C" w:rsidRDefault="00BB7E5C" w:rsidP="00BB7E5C">
            <w:pPr>
              <w:pStyle w:val="TableBody"/>
            </w:pPr>
            <w:r>
              <w:t>Wideband Global SATCOM is a high-capacity satellite communications system planned for use in partnership by the United States Department of Defense, Canadian Department of National Defence and the Australian Department of Defence</w:t>
            </w:r>
          </w:p>
        </w:tc>
      </w:tr>
    </w:tbl>
    <w:p w14:paraId="321F8FCE" w14:textId="7B7853C1" w:rsidR="00FF3C69" w:rsidRPr="00702EA1" w:rsidRDefault="00FF3C69" w:rsidP="008767F9"/>
    <w:sectPr w:rsidR="00FF3C69" w:rsidRPr="00702EA1" w:rsidSect="00C77380">
      <w:headerReference w:type="even" r:id="rId107"/>
      <w:headerReference w:type="default" r:id="rId108"/>
      <w:footerReference w:type="even" r:id="rId109"/>
      <w:footerReference w:type="default" r:id="rId11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14443A" w14:textId="77777777" w:rsidR="001C0754" w:rsidRDefault="001C0754">
      <w:r>
        <w:separator/>
      </w:r>
    </w:p>
  </w:endnote>
  <w:endnote w:type="continuationSeparator" w:id="0">
    <w:p w14:paraId="6C22AE58" w14:textId="77777777" w:rsidR="001C0754" w:rsidRDefault="001C0754">
      <w:r>
        <w:continuationSeparator/>
      </w:r>
    </w:p>
  </w:endnote>
  <w:endnote w:type="continuationNotice" w:id="1">
    <w:p w14:paraId="2AC093CC" w14:textId="77777777" w:rsidR="001C0754" w:rsidRDefault="001C07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ova Light">
    <w:charset w:val="00"/>
    <w:family w:val="swiss"/>
    <w:pitch w:val="variable"/>
    <w:sig w:usb0="0000028F" w:usb1="00000002" w:usb2="00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60"/>
      <w:gridCol w:w="3260"/>
      <w:gridCol w:w="3260"/>
    </w:tblGrid>
    <w:tr w:rsidR="001C0754" w14:paraId="6203DC83" w14:textId="77777777" w:rsidTr="00BB7E5C">
      <w:tc>
        <w:tcPr>
          <w:tcW w:w="3260" w:type="dxa"/>
        </w:tcPr>
        <w:p w14:paraId="438DE27F" w14:textId="77777777" w:rsidR="001C0754" w:rsidRDefault="001C0754" w:rsidP="00BB7E5C">
          <w:pPr>
            <w:pStyle w:val="Header"/>
            <w:ind w:left="-115"/>
          </w:pPr>
        </w:p>
      </w:tc>
      <w:tc>
        <w:tcPr>
          <w:tcW w:w="3260" w:type="dxa"/>
        </w:tcPr>
        <w:p w14:paraId="35370AD0" w14:textId="77777777" w:rsidR="001C0754" w:rsidRDefault="001C0754" w:rsidP="00BB7E5C">
          <w:pPr>
            <w:pStyle w:val="Header"/>
            <w:jc w:val="center"/>
          </w:pPr>
        </w:p>
      </w:tc>
      <w:tc>
        <w:tcPr>
          <w:tcW w:w="3260" w:type="dxa"/>
        </w:tcPr>
        <w:p w14:paraId="1BA69DE3" w14:textId="77777777" w:rsidR="001C0754" w:rsidRDefault="001C0754" w:rsidP="00BB7E5C">
          <w:pPr>
            <w:pStyle w:val="Header"/>
            <w:ind w:right="-115"/>
            <w:jc w:val="right"/>
          </w:pPr>
        </w:p>
      </w:tc>
    </w:tr>
  </w:tbl>
  <w:p w14:paraId="492F7FA1" w14:textId="77777777" w:rsidR="001C0754" w:rsidRDefault="001C07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5292ED" w14:textId="5FA61D94" w:rsidR="001C0754" w:rsidRDefault="001C0754" w:rsidP="006F1C04">
    <w:pPr>
      <w:pStyle w:val="Footer"/>
      <w:jc w:val="right"/>
    </w:pPr>
    <w:r>
      <w:rPr>
        <w:noProof/>
      </w:rPr>
      <w:drawing>
        <wp:inline distT="0" distB="0" distL="0" distR="0" wp14:anchorId="769A8E3C" wp14:editId="4C82838C">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D06D8C" w14:textId="77777777" w:rsidR="001C0754" w:rsidRDefault="001C075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6CADA9" w14:textId="77777777" w:rsidR="001C0754" w:rsidRDefault="001C075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5AB5D0" w14:textId="77777777" w:rsidR="001C0754" w:rsidRPr="00622A3B" w:rsidRDefault="001C075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8FD9480" w14:textId="77777777" w:rsidR="001C0754" w:rsidRPr="00A5474E" w:rsidRDefault="001C0754"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8E391" w14:textId="77777777" w:rsidR="001C0754" w:rsidRPr="00622A3B" w:rsidRDefault="001C075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C7EEC92" w14:textId="77777777" w:rsidR="001C0754" w:rsidRPr="00A5474E" w:rsidRDefault="001C0754"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F836AB" w14:textId="77777777" w:rsidR="001C0754" w:rsidRPr="00622A3B" w:rsidRDefault="001C0754"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156316F" w14:textId="77777777" w:rsidR="001C0754" w:rsidRPr="00A5474E" w:rsidRDefault="001C0754"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178E0F" w14:textId="77777777" w:rsidR="001C0754" w:rsidRPr="00622A3B" w:rsidRDefault="001C0754"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CB1BB94" w14:textId="77777777" w:rsidR="001C0754" w:rsidRPr="00A5474E" w:rsidRDefault="001C0754"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1585EA" w14:textId="77777777" w:rsidR="001C0754" w:rsidRPr="00622A3B" w:rsidRDefault="001C0754"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3BF4330" w14:textId="77777777" w:rsidR="001C0754" w:rsidRPr="00A5474E" w:rsidRDefault="001C0754"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1BF4F5" w14:textId="77777777" w:rsidR="001C0754" w:rsidRDefault="001C0754" w:rsidP="00DB3A64">
      <w:pPr>
        <w:spacing w:after="0"/>
      </w:pPr>
      <w:r>
        <w:separator/>
      </w:r>
    </w:p>
  </w:footnote>
  <w:footnote w:type="continuationSeparator" w:id="0">
    <w:p w14:paraId="582C8515" w14:textId="77777777" w:rsidR="001C0754" w:rsidRDefault="001C0754">
      <w:r>
        <w:continuationSeparator/>
      </w:r>
    </w:p>
  </w:footnote>
  <w:footnote w:type="continuationNotice" w:id="1">
    <w:p w14:paraId="2446F942" w14:textId="77777777" w:rsidR="001C0754" w:rsidRDefault="001C0754">
      <w:pPr>
        <w:spacing w:after="0" w:line="240" w:lineRule="auto"/>
      </w:pPr>
    </w:p>
  </w:footnote>
  <w:footnote w:id="2">
    <w:p w14:paraId="0F321E36" w14:textId="2E6C3279" w:rsidR="001C0754" w:rsidRDefault="001C0754" w:rsidP="3139967D">
      <w:pPr>
        <w:pStyle w:val="FootnoteText"/>
      </w:pPr>
      <w:r w:rsidRPr="3139967D">
        <w:rPr>
          <w:rStyle w:val="FootnoteReference"/>
        </w:rPr>
        <w:footnoteRef/>
      </w:r>
      <w:r>
        <w:t xml:space="preserve"> Department of Industry, Science, Energy and Resources, </w:t>
      </w:r>
      <w:hyperlink r:id="rId1">
        <w:r w:rsidRPr="3139967D">
          <w:rPr>
            <w:rStyle w:val="Hyperlink"/>
          </w:rPr>
          <w:t>Defining the Australian space sector</w:t>
        </w:r>
      </w:hyperlink>
      <w:r>
        <w:t>, accessed 10 August 2020.</w:t>
      </w:r>
    </w:p>
  </w:footnote>
  <w:footnote w:id="3">
    <w:p w14:paraId="5F27B749" w14:textId="2A6E506B" w:rsidR="001C0754" w:rsidRDefault="001C0754" w:rsidP="00BB7E5C">
      <w:pPr>
        <w:pStyle w:val="FootnoteText"/>
      </w:pPr>
      <w:r>
        <w:rPr>
          <w:rStyle w:val="FootnoteReference"/>
        </w:rPr>
        <w:footnoteRef/>
      </w:r>
      <w:r>
        <w:t xml:space="preserve"> OECD, </w:t>
      </w:r>
      <w:hyperlink r:id="rId2" w:history="1">
        <w:r w:rsidRPr="00F80F1B">
          <w:rPr>
            <w:rStyle w:val="Hyperlink"/>
          </w:rPr>
          <w:t>The impacts of COVID-19 on the space industry</w:t>
        </w:r>
      </w:hyperlink>
      <w:r>
        <w:t>, accessed 11 August 2020, p. 2.</w:t>
      </w:r>
    </w:p>
  </w:footnote>
  <w:footnote w:id="4">
    <w:p w14:paraId="5D539311" w14:textId="77659BFB" w:rsidR="001C0754" w:rsidRDefault="001C0754" w:rsidP="00BB7E5C">
      <w:pPr>
        <w:pStyle w:val="FootnoteText"/>
      </w:pPr>
      <w:r>
        <w:rPr>
          <w:rStyle w:val="FootnoteReference"/>
        </w:rPr>
        <w:footnoteRef/>
      </w:r>
      <w:r>
        <w:t xml:space="preserve"> </w:t>
      </w:r>
      <w:r w:rsidRPr="00CC0650">
        <w:t xml:space="preserve">Bryce Space and Technology, </w:t>
      </w:r>
      <w:hyperlink r:id="rId3" w:history="1">
        <w:r w:rsidRPr="00CC0650">
          <w:rPr>
            <w:rStyle w:val="Hyperlink"/>
            <w:color w:val="auto"/>
            <w:u w:val="none"/>
          </w:rPr>
          <w:t>State of the satellite industry report: 2019 top-level global satellite industry findings</w:t>
        </w:r>
      </w:hyperlink>
      <w:r w:rsidRPr="00CC0650">
        <w:t>, Accessed 11 August 2020, p. 2</w:t>
      </w:r>
      <w:r>
        <w:t>; and Morgan Stanley, ‘</w:t>
      </w:r>
      <w:hyperlink r:id="rId4" w:history="1">
        <w:r w:rsidRPr="00A511EB">
          <w:rPr>
            <w:rStyle w:val="Hyperlink"/>
          </w:rPr>
          <w:t>Space: Investing in the Final Frontier</w:t>
        </w:r>
      </w:hyperlink>
      <w:r>
        <w:rPr>
          <w:rStyle w:val="Hyperlink"/>
        </w:rPr>
        <w:t>’</w:t>
      </w:r>
      <w:r>
        <w:t>, accessed 12 August 2020.</w:t>
      </w:r>
    </w:p>
  </w:footnote>
  <w:footnote w:id="5">
    <w:p w14:paraId="3897C5BC" w14:textId="665E8B28" w:rsidR="001C0754" w:rsidRDefault="001C0754" w:rsidP="629F3BDB">
      <w:pPr>
        <w:pStyle w:val="FootnoteText"/>
      </w:pPr>
      <w:r w:rsidRPr="629F3BDB">
        <w:rPr>
          <w:rStyle w:val="FootnoteReference"/>
        </w:rPr>
        <w:footnoteRef/>
      </w:r>
      <w:r>
        <w:t xml:space="preserve"> Morgan Stanley, ‘</w:t>
      </w:r>
      <w:hyperlink r:id="rId5">
        <w:r w:rsidRPr="629F3BDB">
          <w:rPr>
            <w:rStyle w:val="Hyperlink"/>
          </w:rPr>
          <w:t>Space: Investing in the Final Frontierspace</w:t>
        </w:r>
      </w:hyperlink>
      <w:r w:rsidRPr="629F3BDB">
        <w:rPr>
          <w:rStyle w:val="Hyperlink"/>
        </w:rPr>
        <w:t>’</w:t>
      </w:r>
      <w:r>
        <w:t>, accessed 12 August 2020., Accessed 12 August 2020.</w:t>
      </w:r>
    </w:p>
  </w:footnote>
  <w:footnote w:id="6">
    <w:p w14:paraId="6410B488" w14:textId="601B1F83" w:rsidR="001C0754" w:rsidRDefault="001C0754" w:rsidP="00BB7E5C">
      <w:pPr>
        <w:pStyle w:val="FootnoteText"/>
      </w:pPr>
      <w:r>
        <w:rPr>
          <w:rStyle w:val="FootnoteReference"/>
        </w:rPr>
        <w:footnoteRef/>
      </w:r>
      <w:r>
        <w:t xml:space="preserve"> </w:t>
      </w:r>
      <w:r w:rsidRPr="00387A2E">
        <w:t xml:space="preserve">OECD, </w:t>
      </w:r>
      <w:hyperlink r:id="rId6" w:history="1">
        <w:r w:rsidRPr="00E34DAA">
          <w:rPr>
            <w:rStyle w:val="Hyperlink"/>
            <w:i/>
          </w:rPr>
          <w:t>The Space Economy in Figures: How Space Contributes to the Global Economy</w:t>
        </w:r>
        <w:r w:rsidRPr="00A17941">
          <w:rPr>
            <w:rStyle w:val="Hyperlink"/>
          </w:rPr>
          <w:t>; Chapter 1</w:t>
        </w:r>
      </w:hyperlink>
      <w:r w:rsidRPr="00387A2E">
        <w:t xml:space="preserve">, </w:t>
      </w:r>
      <w:r>
        <w:t>a</w:t>
      </w:r>
      <w:r w:rsidRPr="00387A2E">
        <w:t>ccessed 1</w:t>
      </w:r>
      <w:r>
        <w:t>3</w:t>
      </w:r>
      <w:r w:rsidRPr="00387A2E">
        <w:t xml:space="preserve"> August 2020.</w:t>
      </w:r>
    </w:p>
  </w:footnote>
  <w:footnote w:id="7">
    <w:p w14:paraId="33CD2822" w14:textId="692972EE" w:rsidR="001C0754" w:rsidRDefault="001C0754">
      <w:pPr>
        <w:pStyle w:val="FootnoteText"/>
      </w:pPr>
      <w:r>
        <w:rPr>
          <w:rStyle w:val="FootnoteReference"/>
        </w:rPr>
        <w:footnoteRef/>
      </w:r>
      <w:r>
        <w:t xml:space="preserve"> </w:t>
      </w:r>
      <w:r w:rsidRPr="00BB7E5C">
        <w:t xml:space="preserve">Bryce Space and Technology, </w:t>
      </w:r>
      <w:hyperlink r:id="rId7" w:history="1">
        <w:r w:rsidRPr="00E34DAA">
          <w:rPr>
            <w:rStyle w:val="Hyperlink"/>
            <w:i/>
          </w:rPr>
          <w:t>Start up space: Update on investment in commercial space ventures</w:t>
        </w:r>
        <w:r w:rsidRPr="00BB7E5C">
          <w:rPr>
            <w:rStyle w:val="Hyperlink"/>
          </w:rPr>
          <w:t xml:space="preserve"> 2020</w:t>
        </w:r>
      </w:hyperlink>
      <w:r w:rsidRPr="00BB7E5C">
        <w:t xml:space="preserve">, </w:t>
      </w:r>
      <w:r>
        <w:t>a</w:t>
      </w:r>
      <w:r w:rsidRPr="00BB7E5C">
        <w:t>ccessed 13 August 2020, p. 12.</w:t>
      </w:r>
    </w:p>
  </w:footnote>
  <w:footnote w:id="8">
    <w:p w14:paraId="4784C779" w14:textId="6FB7F561" w:rsidR="001C0754" w:rsidRDefault="001C0754">
      <w:pPr>
        <w:pStyle w:val="FootnoteText"/>
      </w:pPr>
      <w:r>
        <w:rPr>
          <w:rStyle w:val="FootnoteReference"/>
        </w:rPr>
        <w:footnoteRef/>
      </w:r>
      <w:r>
        <w:t xml:space="preserve"> </w:t>
      </w:r>
      <w:r w:rsidRPr="00BB7E5C">
        <w:t xml:space="preserve">Bryce Space and Technology, </w:t>
      </w:r>
      <w:hyperlink r:id="rId8" w:history="1">
        <w:r w:rsidRPr="00E34DAA">
          <w:rPr>
            <w:rStyle w:val="Hyperlink"/>
            <w:i/>
          </w:rPr>
          <w:t>Start up space: Update on investment in commercial space ventures</w:t>
        </w:r>
        <w:r w:rsidRPr="00BB7E5C">
          <w:rPr>
            <w:rStyle w:val="Hyperlink"/>
          </w:rPr>
          <w:t xml:space="preserve"> 2020</w:t>
        </w:r>
      </w:hyperlink>
      <w:r w:rsidRPr="00BB7E5C">
        <w:t xml:space="preserve">, </w:t>
      </w:r>
      <w:r>
        <w:t>a</w:t>
      </w:r>
      <w:r w:rsidRPr="00BB7E5C">
        <w:t xml:space="preserve">ccessed 13 August 2020, p. </w:t>
      </w:r>
      <w:r>
        <w:t>26</w:t>
      </w:r>
      <w:r w:rsidRPr="00BB7E5C">
        <w:t>.</w:t>
      </w:r>
    </w:p>
  </w:footnote>
  <w:footnote w:id="9">
    <w:p w14:paraId="6FEAB0C7" w14:textId="222DE5A8" w:rsidR="001C0754" w:rsidRDefault="001C0754" w:rsidP="00BB7E5C">
      <w:pPr>
        <w:pStyle w:val="FootnoteText"/>
      </w:pPr>
      <w:r>
        <w:rPr>
          <w:rStyle w:val="FootnoteReference"/>
        </w:rPr>
        <w:footnoteRef/>
      </w:r>
      <w:r>
        <w:t xml:space="preserve"> </w:t>
      </w:r>
      <w:r w:rsidRPr="00387A2E">
        <w:t xml:space="preserve">OECD, </w:t>
      </w:r>
      <w:hyperlink r:id="rId9" w:history="1">
        <w:r w:rsidRPr="00E34DAA">
          <w:rPr>
            <w:rStyle w:val="Hyperlink"/>
            <w:i/>
          </w:rPr>
          <w:t>The Space Economy in Figures: How Space Contributes to the Global Economy</w:t>
        </w:r>
        <w:r w:rsidRPr="00A17941">
          <w:rPr>
            <w:rStyle w:val="Hyperlink"/>
          </w:rPr>
          <w:t>; Chapter 1</w:t>
        </w:r>
      </w:hyperlink>
      <w:r w:rsidRPr="00387A2E">
        <w:t xml:space="preserve">, </w:t>
      </w:r>
      <w:r>
        <w:t>a</w:t>
      </w:r>
      <w:r w:rsidRPr="00387A2E">
        <w:t>ccessed 1</w:t>
      </w:r>
      <w:r>
        <w:t>3</w:t>
      </w:r>
      <w:r w:rsidRPr="00387A2E">
        <w:t xml:space="preserve"> August 2020</w:t>
      </w:r>
      <w:r>
        <w:t xml:space="preserve">; and Bryce Space and Technology, </w:t>
      </w:r>
      <w:bookmarkStart w:id="9" w:name="_Hlk48230445"/>
      <w:r>
        <w:fldChar w:fldCharType="begin"/>
      </w:r>
      <w:r>
        <w:instrText xml:space="preserve"> HYPERLINK "https://brycetech.com/reports/report-documents/Bryce_Start_Up_Space_2020.pdf" </w:instrText>
      </w:r>
      <w:r>
        <w:fldChar w:fldCharType="separate"/>
      </w:r>
      <w:r w:rsidRPr="00E34DAA">
        <w:rPr>
          <w:rStyle w:val="Hyperlink"/>
          <w:i/>
        </w:rPr>
        <w:t>Start up space: Update on investment in commercial space ventures</w:t>
      </w:r>
      <w:r w:rsidRPr="00F71101">
        <w:rPr>
          <w:rStyle w:val="Hyperlink"/>
        </w:rPr>
        <w:t xml:space="preserve"> 2020</w:t>
      </w:r>
      <w:r>
        <w:fldChar w:fldCharType="end"/>
      </w:r>
      <w:bookmarkEnd w:id="9"/>
      <w:r>
        <w:t>, accessed 13 August, p. iii</w:t>
      </w:r>
      <w:r w:rsidRPr="00387A2E">
        <w:t>.</w:t>
      </w:r>
    </w:p>
  </w:footnote>
  <w:footnote w:id="10">
    <w:p w14:paraId="54C7B793" w14:textId="1A21786C" w:rsidR="001C0754" w:rsidRDefault="001C0754">
      <w:pPr>
        <w:pStyle w:val="FootnoteText"/>
      </w:pPr>
      <w:r>
        <w:rPr>
          <w:rStyle w:val="FootnoteReference"/>
        </w:rPr>
        <w:footnoteRef/>
      </w:r>
      <w:r>
        <w:t xml:space="preserve"> Sarah Barry James &amp; Stefen Joshua Rasay,</w:t>
      </w:r>
      <w:hyperlink r:id="rId10" w:history="1">
        <w:r w:rsidRPr="008B6FE4">
          <w:rPr>
            <w:rStyle w:val="Hyperlink"/>
          </w:rPr>
          <w:t>’3 satellite bankruptcies in 3 months: What happened and who could be next</w:t>
        </w:r>
      </w:hyperlink>
      <w:r>
        <w:t xml:space="preserve">’, </w:t>
      </w:r>
      <w:r w:rsidRPr="00B94C5F">
        <w:t>S&amp;P Market Intelligence</w:t>
      </w:r>
      <w:r>
        <w:t xml:space="preserve">, 2 June 2020. </w:t>
      </w:r>
    </w:p>
  </w:footnote>
  <w:footnote w:id="11">
    <w:p w14:paraId="3C2B78BC" w14:textId="7C703219" w:rsidR="001C0754" w:rsidRDefault="001C0754" w:rsidP="6E1A33C4">
      <w:pPr>
        <w:pStyle w:val="FootnoteText"/>
      </w:pPr>
      <w:r w:rsidRPr="6E1A33C4">
        <w:rPr>
          <w:rStyle w:val="FootnoteReference"/>
        </w:rPr>
        <w:footnoteRef/>
      </w:r>
      <w:r>
        <w:t xml:space="preserve"> Bryce Space and Technology, </w:t>
      </w:r>
      <w:hyperlink r:id="rId11">
        <w:r w:rsidRPr="6E1A33C4">
          <w:rPr>
            <w:rStyle w:val="Hyperlink"/>
            <w:i/>
            <w:iCs/>
          </w:rPr>
          <w:t>Start up space: Update on investment in commercial space ventures</w:t>
        </w:r>
        <w:r w:rsidRPr="6E1A33C4">
          <w:rPr>
            <w:rStyle w:val="Hyperlink"/>
          </w:rPr>
          <w:t xml:space="preserve"> 2020</w:t>
        </w:r>
      </w:hyperlink>
      <w:r>
        <w:t>, accessed 13 August 2020, p. 24.</w:t>
      </w:r>
    </w:p>
  </w:footnote>
  <w:footnote w:id="12">
    <w:p w14:paraId="7AC66A6F" w14:textId="43408A93" w:rsidR="001C0754" w:rsidRDefault="001C0754">
      <w:pPr>
        <w:pStyle w:val="FootnoteText"/>
      </w:pPr>
      <w:r>
        <w:rPr>
          <w:rStyle w:val="FootnoteReference"/>
        </w:rPr>
        <w:footnoteRef/>
      </w:r>
      <w:r>
        <w:t xml:space="preserve"> </w:t>
      </w:r>
      <w:r w:rsidRPr="00E34DAA">
        <w:rPr>
          <w:i/>
          <w:iCs/>
        </w:rPr>
        <w:t>The</w:t>
      </w:r>
      <w:r w:rsidRPr="00E34DAA">
        <w:rPr>
          <w:i/>
        </w:rPr>
        <w:t xml:space="preserve"> Economist</w:t>
      </w:r>
      <w:r>
        <w:t>, ‘“</w:t>
      </w:r>
      <w:hyperlink r:id="rId12" w:history="1">
        <w:r w:rsidRPr="001B04C1">
          <w:rPr>
            <w:rStyle w:val="Hyperlink"/>
          </w:rPr>
          <w:t>The space race is dominated by new contenders</w:t>
        </w:r>
      </w:hyperlink>
      <w:r>
        <w:t>’, 18 October 2018.</w:t>
      </w:r>
    </w:p>
  </w:footnote>
  <w:footnote w:id="13">
    <w:p w14:paraId="198CA74D" w14:textId="17CDEA7F" w:rsidR="001C0754" w:rsidRDefault="001C0754" w:rsidP="00BB7E5C">
      <w:pPr>
        <w:pStyle w:val="FootnoteText"/>
      </w:pPr>
      <w:r>
        <w:rPr>
          <w:rStyle w:val="FootnoteReference"/>
        </w:rPr>
        <w:footnoteRef/>
      </w:r>
      <w:r>
        <w:t xml:space="preserve"> </w:t>
      </w:r>
      <w:r w:rsidRPr="001F5B2A">
        <w:t>Bryce</w:t>
      </w:r>
      <w:r>
        <w:t xml:space="preserve"> Space and Technology, </w:t>
      </w:r>
      <w:hyperlink r:id="rId13" w:history="1">
        <w:r w:rsidRPr="002D60C2">
          <w:rPr>
            <w:rStyle w:val="Hyperlink"/>
            <w:i/>
          </w:rPr>
          <w:t>2019 Orbital launches year in review</w:t>
        </w:r>
      </w:hyperlink>
      <w:r>
        <w:t>, accessed 14 August 2020, p. 2.</w:t>
      </w:r>
    </w:p>
  </w:footnote>
  <w:footnote w:id="14">
    <w:p w14:paraId="43FAE2C1" w14:textId="76F32C2E" w:rsidR="001C0754" w:rsidRDefault="001C0754" w:rsidP="00BB7E5C">
      <w:pPr>
        <w:pStyle w:val="FootnoteText"/>
      </w:pPr>
      <w:r>
        <w:rPr>
          <w:rStyle w:val="FootnoteReference"/>
        </w:rPr>
        <w:footnoteRef/>
      </w:r>
      <w:r>
        <w:t xml:space="preserve"> Bryce Space and Technology, </w:t>
      </w:r>
      <w:hyperlink r:id="rId14" w:history="1">
        <w:r w:rsidRPr="002D60C2">
          <w:rPr>
            <w:rStyle w:val="Hyperlink"/>
            <w:i/>
          </w:rPr>
          <w:t>Annual Compendium of Commercial Space Transportation: 2018</w:t>
        </w:r>
      </w:hyperlink>
      <w:r>
        <w:t>, accessed14 August 2020, p. 1.</w:t>
      </w:r>
    </w:p>
  </w:footnote>
  <w:footnote w:id="15">
    <w:p w14:paraId="5FE7BCA9" w14:textId="6B63ABCB" w:rsidR="001C0754" w:rsidRDefault="001C0754">
      <w:pPr>
        <w:pStyle w:val="FootnoteText"/>
      </w:pPr>
      <w:r>
        <w:rPr>
          <w:rStyle w:val="FootnoteReference"/>
        </w:rPr>
        <w:footnoteRef/>
      </w:r>
      <w:r>
        <w:t xml:space="preserve"> Bryce Space and Technology, </w:t>
      </w:r>
      <w:hyperlink r:id="rId15" w:history="1">
        <w:r>
          <w:rPr>
            <w:rStyle w:val="Hyperlink"/>
          </w:rPr>
          <w:t>‘</w:t>
        </w:r>
        <w:r w:rsidRPr="00916376">
          <w:rPr>
            <w:rStyle w:val="Hyperlink"/>
          </w:rPr>
          <w:t>Global Orbital Space Launches Q</w:t>
        </w:r>
        <w:r>
          <w:rPr>
            <w:rStyle w:val="Hyperlink"/>
          </w:rPr>
          <w:t>4</w:t>
        </w:r>
        <w:r w:rsidRPr="00916376">
          <w:rPr>
            <w:rStyle w:val="Hyperlink"/>
          </w:rPr>
          <w:t xml:space="preserve"> 2020</w:t>
        </w:r>
      </w:hyperlink>
      <w:r>
        <w:rPr>
          <w:rStyle w:val="Hyperlink"/>
        </w:rPr>
        <w:t>’</w:t>
      </w:r>
      <w:r>
        <w:t>, 22 January 2021.</w:t>
      </w:r>
    </w:p>
  </w:footnote>
  <w:footnote w:id="16">
    <w:p w14:paraId="0AD9DF48" w14:textId="69C27D3C" w:rsidR="001C0754" w:rsidRDefault="001C0754" w:rsidP="00BB7E5C">
      <w:pPr>
        <w:pStyle w:val="FootnoteText"/>
      </w:pPr>
      <w:r>
        <w:rPr>
          <w:rStyle w:val="FootnoteReference"/>
        </w:rPr>
        <w:footnoteRef/>
      </w:r>
      <w:r>
        <w:t xml:space="preserve"> Bryce Space and Technology, </w:t>
      </w:r>
      <w:hyperlink r:id="rId16" w:history="1">
        <w:r>
          <w:rPr>
            <w:rStyle w:val="Hyperlink"/>
          </w:rPr>
          <w:t>‘</w:t>
        </w:r>
        <w:r w:rsidRPr="00916376">
          <w:rPr>
            <w:rStyle w:val="Hyperlink"/>
          </w:rPr>
          <w:t>Global Orbital Space Launches Q3 2020</w:t>
        </w:r>
      </w:hyperlink>
      <w:r>
        <w:rPr>
          <w:rStyle w:val="Hyperlink"/>
        </w:rPr>
        <w:t>’</w:t>
      </w:r>
      <w:r>
        <w:t>, 31 October 2020.</w:t>
      </w:r>
    </w:p>
  </w:footnote>
  <w:footnote w:id="17">
    <w:p w14:paraId="026EDEAA" w14:textId="77777777" w:rsidR="001C0754" w:rsidRDefault="001C0754" w:rsidP="005802E5">
      <w:pPr>
        <w:pStyle w:val="FootnoteText"/>
      </w:pPr>
      <w:r>
        <w:rPr>
          <w:rStyle w:val="FootnoteReference"/>
        </w:rPr>
        <w:footnoteRef/>
      </w:r>
      <w:r>
        <w:t xml:space="preserve"> Bryce Communications, </w:t>
      </w:r>
      <w:hyperlink r:id="rId17" w:history="1">
        <w:r w:rsidRPr="002D60C2">
          <w:rPr>
            <w:rStyle w:val="Hyperlink"/>
            <w:i/>
          </w:rPr>
          <w:t>2018 Orbital launches year in review</w:t>
        </w:r>
      </w:hyperlink>
      <w:r>
        <w:t>, accessed 14 August 2020, p. 2.</w:t>
      </w:r>
    </w:p>
  </w:footnote>
  <w:footnote w:id="18">
    <w:p w14:paraId="7260C6DE" w14:textId="77777777" w:rsidR="001C0754" w:rsidRDefault="001C0754" w:rsidP="005802E5">
      <w:pPr>
        <w:pStyle w:val="FootnoteText"/>
      </w:pPr>
      <w:r w:rsidRPr="4C0CE872">
        <w:rPr>
          <w:rStyle w:val="FootnoteReference"/>
        </w:rPr>
        <w:footnoteRef/>
      </w:r>
      <w:r>
        <w:t xml:space="preserve"> It was recently announced that a successful </w:t>
      </w:r>
      <w:hyperlink r:id="rId18">
        <w:r w:rsidRPr="4C0CE872">
          <w:rPr>
            <w:rStyle w:val="Hyperlink"/>
          </w:rPr>
          <w:t>launch</w:t>
        </w:r>
      </w:hyperlink>
      <w:r>
        <w:t xml:space="preserve"> was conducted from this site.</w:t>
      </w:r>
    </w:p>
  </w:footnote>
  <w:footnote w:id="19">
    <w:p w14:paraId="63578679" w14:textId="654B559D" w:rsidR="001C0754" w:rsidRDefault="001C0754" w:rsidP="00BB7E5C">
      <w:pPr>
        <w:pStyle w:val="FootnoteText"/>
      </w:pPr>
      <w:r>
        <w:rPr>
          <w:rStyle w:val="FootnoteReference"/>
        </w:rPr>
        <w:footnoteRef/>
      </w:r>
      <w:r>
        <w:t xml:space="preserve"> Arianespace, ‘</w:t>
      </w:r>
      <w:hyperlink r:id="rId19" w:history="1">
        <w:r w:rsidRPr="006F049A">
          <w:rPr>
            <w:rStyle w:val="Hyperlink"/>
          </w:rPr>
          <w:t>Arianespace gives a lift to the small-sat market with Vega’s SSMS debut</w:t>
        </w:r>
      </w:hyperlink>
      <w:r>
        <w:rPr>
          <w:rStyle w:val="Hyperlink"/>
        </w:rPr>
        <w:t>’</w:t>
      </w:r>
      <w:r>
        <w:t>, 3 September 2020.</w:t>
      </w:r>
    </w:p>
  </w:footnote>
  <w:footnote w:id="20">
    <w:p w14:paraId="2FCECE70" w14:textId="16205AAE" w:rsidR="001C0754" w:rsidRDefault="001C0754" w:rsidP="00BB7E5C">
      <w:pPr>
        <w:pStyle w:val="FootnoteText"/>
      </w:pPr>
      <w:r>
        <w:rPr>
          <w:rStyle w:val="FootnoteReference"/>
        </w:rPr>
        <w:footnoteRef/>
      </w:r>
      <w:r>
        <w:t xml:space="preserve"> Arianespace, ‘</w:t>
      </w:r>
      <w:hyperlink r:id="rId20" w:history="1">
        <w:r w:rsidRPr="006F049A">
          <w:rPr>
            <w:rStyle w:val="Hyperlink"/>
          </w:rPr>
          <w:t>Arianespace gives a lift to the small-sat market with Vega’s SSMS debut</w:t>
        </w:r>
      </w:hyperlink>
      <w:r>
        <w:rPr>
          <w:rStyle w:val="Hyperlink"/>
        </w:rPr>
        <w:t>’</w:t>
      </w:r>
      <w:r>
        <w:t>, 3 September 2020.</w:t>
      </w:r>
    </w:p>
  </w:footnote>
  <w:footnote w:id="21">
    <w:p w14:paraId="0026B1C6" w14:textId="26AA0FF4" w:rsidR="001C0754" w:rsidRPr="00C54B61" w:rsidRDefault="001C0754" w:rsidP="00C54B61">
      <w:pPr>
        <w:pStyle w:val="FootnoteText"/>
      </w:pPr>
      <w:r>
        <w:rPr>
          <w:rStyle w:val="FootnoteReference"/>
        </w:rPr>
        <w:footnoteRef/>
      </w:r>
      <w:r>
        <w:t xml:space="preserve"> </w:t>
      </w:r>
      <w:r w:rsidRPr="00C54B61">
        <w:t xml:space="preserve">ESA, </w:t>
      </w:r>
      <w:hyperlink r:id="rId21" w:history="1">
        <w:r w:rsidRPr="002D60C2">
          <w:rPr>
            <w:rStyle w:val="Hyperlink"/>
            <w:i/>
          </w:rPr>
          <w:t>ESA’s Annual Space Environment Report 2019</w:t>
        </w:r>
      </w:hyperlink>
      <w:r w:rsidRPr="00C54B61">
        <w:t xml:space="preserve">, </w:t>
      </w:r>
      <w:r>
        <w:t>accessed</w:t>
      </w:r>
      <w:r w:rsidRPr="00C54B61">
        <w:t xml:space="preserve"> 19 August 2020, p. 20.</w:t>
      </w:r>
    </w:p>
  </w:footnote>
  <w:footnote w:id="22">
    <w:p w14:paraId="434DB9EB" w14:textId="69F601E1" w:rsidR="001C0754" w:rsidRDefault="001C0754" w:rsidP="00C54B61">
      <w:pPr>
        <w:pStyle w:val="FootnoteText"/>
      </w:pPr>
      <w:r>
        <w:rPr>
          <w:rStyle w:val="FootnoteReference"/>
        </w:rPr>
        <w:footnoteRef/>
      </w:r>
      <w:r>
        <w:t xml:space="preserve"> </w:t>
      </w:r>
      <w:r w:rsidRPr="00C54B61">
        <w:t xml:space="preserve">ESA, </w:t>
      </w:r>
      <w:hyperlink r:id="rId22" w:history="1">
        <w:r w:rsidRPr="002D60C2">
          <w:rPr>
            <w:rStyle w:val="Hyperlink"/>
            <w:i/>
          </w:rPr>
          <w:t>ESA’s Annual Space Environment Report 2019</w:t>
        </w:r>
      </w:hyperlink>
      <w:r w:rsidRPr="00C54B61">
        <w:t xml:space="preserve">, </w:t>
      </w:r>
      <w:r>
        <w:t>accessed</w:t>
      </w:r>
      <w:r w:rsidRPr="00C54B61">
        <w:t xml:space="preserve"> 19 August 2020, p. 22.</w:t>
      </w:r>
    </w:p>
  </w:footnote>
  <w:footnote w:id="23">
    <w:p w14:paraId="74FF3989" w14:textId="39F68CA1" w:rsidR="001C0754" w:rsidRDefault="001C0754">
      <w:pPr>
        <w:pStyle w:val="FootnoteText"/>
      </w:pPr>
      <w:r>
        <w:rPr>
          <w:rStyle w:val="FootnoteReference"/>
        </w:rPr>
        <w:footnoteRef/>
      </w:r>
      <w:r>
        <w:t xml:space="preserve"> Bryce Space and Technology, </w:t>
      </w:r>
      <w:hyperlink r:id="rId23" w:history="1">
        <w:r>
          <w:rPr>
            <w:rStyle w:val="Hyperlink"/>
          </w:rPr>
          <w:t>‘</w:t>
        </w:r>
        <w:r w:rsidRPr="00916376">
          <w:rPr>
            <w:rStyle w:val="Hyperlink"/>
          </w:rPr>
          <w:t>Global Orbital Space Launches Q3 2020</w:t>
        </w:r>
      </w:hyperlink>
      <w:r>
        <w:rPr>
          <w:rStyle w:val="Hyperlink"/>
        </w:rPr>
        <w:t>’</w:t>
      </w:r>
      <w:r>
        <w:t>, 31 October 2020.</w:t>
      </w:r>
    </w:p>
  </w:footnote>
  <w:footnote w:id="24">
    <w:p w14:paraId="482472E2" w14:textId="427DCC36" w:rsidR="001C0754" w:rsidRDefault="001C0754">
      <w:pPr>
        <w:pStyle w:val="FootnoteText"/>
      </w:pPr>
      <w:r>
        <w:rPr>
          <w:rStyle w:val="FootnoteReference"/>
        </w:rPr>
        <w:footnoteRef/>
      </w:r>
      <w:r>
        <w:t xml:space="preserve"> Bryce Space and Technology, </w:t>
      </w:r>
      <w:hyperlink r:id="rId24" w:history="1">
        <w:r>
          <w:rPr>
            <w:rStyle w:val="Hyperlink"/>
          </w:rPr>
          <w:t>‘</w:t>
        </w:r>
        <w:r w:rsidRPr="00916376">
          <w:rPr>
            <w:rStyle w:val="Hyperlink"/>
          </w:rPr>
          <w:t>Global Orbital Space Launches Q</w:t>
        </w:r>
        <w:r>
          <w:rPr>
            <w:rStyle w:val="Hyperlink"/>
          </w:rPr>
          <w:t>4</w:t>
        </w:r>
        <w:r w:rsidRPr="00916376">
          <w:rPr>
            <w:rStyle w:val="Hyperlink"/>
          </w:rPr>
          <w:t xml:space="preserve"> 2020</w:t>
        </w:r>
      </w:hyperlink>
      <w:r>
        <w:rPr>
          <w:rStyle w:val="Hyperlink"/>
        </w:rPr>
        <w:t>’</w:t>
      </w:r>
      <w:r>
        <w:t>, 22 January 2021.</w:t>
      </w:r>
    </w:p>
  </w:footnote>
  <w:footnote w:id="25">
    <w:p w14:paraId="64465925" w14:textId="46D3FF5C" w:rsidR="001C0754" w:rsidRDefault="001C0754">
      <w:pPr>
        <w:pStyle w:val="FootnoteText"/>
      </w:pPr>
      <w:r>
        <w:rPr>
          <w:rStyle w:val="FootnoteReference"/>
        </w:rPr>
        <w:footnoteRef/>
      </w:r>
      <w:r>
        <w:t xml:space="preserve"> OECD, </w:t>
      </w:r>
      <w:hyperlink r:id="rId25" w:history="1">
        <w:r w:rsidRPr="002D60C2">
          <w:rPr>
            <w:rStyle w:val="Hyperlink"/>
            <w:i/>
          </w:rPr>
          <w:t>The Space Economy in Figures: How Space Contributes to the Global Economy</w:t>
        </w:r>
        <w:r w:rsidRPr="00265F22">
          <w:rPr>
            <w:rStyle w:val="Hyperlink"/>
          </w:rPr>
          <w:t>; Chapter 1</w:t>
        </w:r>
      </w:hyperlink>
      <w:r>
        <w:t>, accessed 11 August 2020, Figure 1.1.</w:t>
      </w:r>
    </w:p>
  </w:footnote>
  <w:footnote w:id="26">
    <w:p w14:paraId="4227BE95" w14:textId="4DF84390" w:rsidR="001C0754" w:rsidRDefault="001C0754" w:rsidP="00BB7E5C">
      <w:pPr>
        <w:pStyle w:val="FootnoteText"/>
      </w:pPr>
      <w:r>
        <w:rPr>
          <w:rStyle w:val="FootnoteReference"/>
        </w:rPr>
        <w:footnoteRef/>
      </w:r>
      <w:r>
        <w:t xml:space="preserve"> UCS, </w:t>
      </w:r>
      <w:hyperlink r:id="rId26" w:history="1">
        <w:r w:rsidRPr="00134C3C">
          <w:rPr>
            <w:rStyle w:val="Hyperlink"/>
          </w:rPr>
          <w:t>UCS satellite database</w:t>
        </w:r>
      </w:hyperlink>
      <w:r>
        <w:t>, accessed 25 August 2020.</w:t>
      </w:r>
    </w:p>
  </w:footnote>
  <w:footnote w:id="27">
    <w:p w14:paraId="109C410F" w14:textId="4844CEAB" w:rsidR="001C0754" w:rsidRDefault="001C0754">
      <w:pPr>
        <w:pStyle w:val="FootnoteText"/>
      </w:pPr>
      <w:r>
        <w:rPr>
          <w:rStyle w:val="FootnoteReference"/>
        </w:rPr>
        <w:footnoteRef/>
      </w:r>
      <w:r>
        <w:t xml:space="preserve"> Euroconsult, </w:t>
      </w:r>
      <w:hyperlink r:id="rId27" w:history="1">
        <w:r w:rsidRPr="002D60C2">
          <w:rPr>
            <w:rStyle w:val="Hyperlink"/>
            <w:i/>
          </w:rPr>
          <w:t>Prospects for the small satellite market: Forecasts to 2029</w:t>
        </w:r>
      </w:hyperlink>
      <w:r>
        <w:t>, accessed 19 August 2020, p. 2.</w:t>
      </w:r>
    </w:p>
  </w:footnote>
  <w:footnote w:id="28">
    <w:p w14:paraId="371965AF" w14:textId="12B94A6B" w:rsidR="001C0754" w:rsidRDefault="001C0754" w:rsidP="00BB7E5C">
      <w:pPr>
        <w:pStyle w:val="FootnoteText"/>
      </w:pPr>
      <w:r>
        <w:rPr>
          <w:rStyle w:val="FootnoteReference"/>
        </w:rPr>
        <w:footnoteRef/>
      </w:r>
      <w:r>
        <w:t xml:space="preserve"> Euroconsult, </w:t>
      </w:r>
      <w:hyperlink r:id="rId28" w:history="1">
        <w:r w:rsidRPr="002D60C2">
          <w:rPr>
            <w:rStyle w:val="Hyperlink"/>
            <w:i/>
          </w:rPr>
          <w:t>Prospects for the small satellite market: Forecasts to 2029</w:t>
        </w:r>
      </w:hyperlink>
      <w:r>
        <w:t>, accessed 19 August 2020, p. 2.</w:t>
      </w:r>
    </w:p>
  </w:footnote>
  <w:footnote w:id="29">
    <w:p w14:paraId="2113A96D" w14:textId="77777777" w:rsidR="001C0754" w:rsidRDefault="001C0754" w:rsidP="00894DFE">
      <w:pPr>
        <w:pStyle w:val="FootnoteText"/>
      </w:pPr>
      <w:r>
        <w:rPr>
          <w:rStyle w:val="FootnoteReference"/>
        </w:rPr>
        <w:footnoteRef/>
      </w:r>
      <w:r>
        <w:t xml:space="preserve"> Vocus, ‘</w:t>
      </w:r>
      <w:hyperlink r:id="rId29" w:history="1">
        <w:r w:rsidRPr="00D04914">
          <w:rPr>
            <w:rStyle w:val="Hyperlink"/>
          </w:rPr>
          <w:t>Comms Day Summit 2020: Michael Ackland’s presentation</w:t>
        </w:r>
      </w:hyperlink>
      <w:r>
        <w:rPr>
          <w:rStyle w:val="Hyperlink"/>
        </w:rPr>
        <w:t>’</w:t>
      </w:r>
      <w:r>
        <w:t>, 27 October 2020.</w:t>
      </w:r>
    </w:p>
  </w:footnote>
  <w:footnote w:id="30">
    <w:p w14:paraId="645EC41D" w14:textId="22410DFD" w:rsidR="001C0754" w:rsidRDefault="001C0754" w:rsidP="00BB7E5C">
      <w:pPr>
        <w:pStyle w:val="FootnoteText"/>
      </w:pPr>
      <w:r>
        <w:rPr>
          <w:rStyle w:val="FootnoteReference"/>
        </w:rPr>
        <w:footnoteRef/>
      </w:r>
      <w:r>
        <w:t xml:space="preserve"> See Nanosats database, ‘</w:t>
      </w:r>
      <w:hyperlink r:id="rId30" w:history="1">
        <w:r w:rsidRPr="002179F8">
          <w:rPr>
            <w:rStyle w:val="Hyperlink"/>
          </w:rPr>
          <w:t>What is a CubeSat &amp; other picosatellites</w:t>
        </w:r>
      </w:hyperlink>
      <w:r>
        <w:rPr>
          <w:rStyle w:val="Hyperlink"/>
        </w:rPr>
        <w:t>’</w:t>
      </w:r>
      <w:r>
        <w:t>, accessed 25 August 2020, for a detailed explanation of the various satellite types.</w:t>
      </w:r>
    </w:p>
  </w:footnote>
  <w:footnote w:id="31">
    <w:p w14:paraId="229668B3" w14:textId="192583D0" w:rsidR="001C0754" w:rsidRDefault="001C0754" w:rsidP="00BB7E5C">
      <w:pPr>
        <w:pStyle w:val="FootnoteText"/>
      </w:pPr>
      <w:r>
        <w:rPr>
          <w:rStyle w:val="FootnoteReference"/>
        </w:rPr>
        <w:footnoteRef/>
      </w:r>
      <w:r>
        <w:t xml:space="preserve"> Erik Kulu, Nanosats Database, www.nanosats.eu (</w:t>
      </w:r>
      <w:hyperlink r:id="rId31" w:history="1">
        <w:r w:rsidRPr="005D2B47">
          <w:rPr>
            <w:rStyle w:val="Hyperlink"/>
          </w:rPr>
          <w:t>Figures</w:t>
        </w:r>
      </w:hyperlink>
      <w:r>
        <w:rPr>
          <w:rStyle w:val="Hyperlink"/>
        </w:rPr>
        <w:t>)</w:t>
      </w:r>
      <w:r>
        <w:t>, accessed 25 August 2020.</w:t>
      </w:r>
    </w:p>
  </w:footnote>
  <w:footnote w:id="32">
    <w:p w14:paraId="0ACFCE8A" w14:textId="348E96BB" w:rsidR="001C0754" w:rsidRDefault="001C0754">
      <w:pPr>
        <w:pStyle w:val="FootnoteText"/>
      </w:pPr>
      <w:r>
        <w:rPr>
          <w:rStyle w:val="FootnoteReference"/>
        </w:rPr>
        <w:footnoteRef/>
      </w:r>
      <w:r>
        <w:t xml:space="preserve"> Bryce Space and Technology, </w:t>
      </w:r>
      <w:hyperlink r:id="rId32" w:history="1">
        <w:r>
          <w:t>‘</w:t>
        </w:r>
        <w:r w:rsidRPr="00916376">
          <w:rPr>
            <w:rStyle w:val="Hyperlink"/>
          </w:rPr>
          <w:t>Global Orbital Space Launches Q</w:t>
        </w:r>
        <w:r>
          <w:rPr>
            <w:rStyle w:val="Hyperlink"/>
          </w:rPr>
          <w:t>4</w:t>
        </w:r>
        <w:r w:rsidRPr="00916376">
          <w:rPr>
            <w:rStyle w:val="Hyperlink"/>
          </w:rPr>
          <w:t xml:space="preserve"> 2020</w:t>
        </w:r>
      </w:hyperlink>
      <w:r>
        <w:rPr>
          <w:rStyle w:val="Hyperlink"/>
        </w:rPr>
        <w:t>’</w:t>
      </w:r>
      <w:r>
        <w:t>, 22 January 2021.</w:t>
      </w:r>
    </w:p>
  </w:footnote>
  <w:footnote w:id="33">
    <w:p w14:paraId="008BFC51" w14:textId="5D396291" w:rsidR="001C0754" w:rsidRDefault="001C0754">
      <w:pPr>
        <w:pStyle w:val="FootnoteText"/>
      </w:pPr>
      <w:r>
        <w:rPr>
          <w:rStyle w:val="FootnoteReference"/>
        </w:rPr>
        <w:footnoteRef/>
      </w:r>
      <w:r>
        <w:t xml:space="preserve"> Bryce Space and Technology, </w:t>
      </w:r>
      <w:hyperlink r:id="rId33" w:history="1">
        <w:r>
          <w:t>‘</w:t>
        </w:r>
        <w:r w:rsidRPr="00916376">
          <w:rPr>
            <w:rStyle w:val="Hyperlink"/>
          </w:rPr>
          <w:t>Global Orbital Space Launches Q3 2020</w:t>
        </w:r>
      </w:hyperlink>
      <w:r>
        <w:rPr>
          <w:rStyle w:val="Hyperlink"/>
        </w:rPr>
        <w:t>’</w:t>
      </w:r>
      <w:r>
        <w:t>, 31 October 2020.</w:t>
      </w:r>
    </w:p>
  </w:footnote>
  <w:footnote w:id="34">
    <w:p w14:paraId="7F3B5E89" w14:textId="52C6A9E1" w:rsidR="001C0754" w:rsidRDefault="001C0754" w:rsidP="00BB7E5C">
      <w:pPr>
        <w:pStyle w:val="FootnoteText"/>
      </w:pPr>
      <w:r>
        <w:rPr>
          <w:rStyle w:val="FootnoteReference"/>
        </w:rPr>
        <w:footnoteRef/>
      </w:r>
      <w:r>
        <w:t xml:space="preserve"> Australian Space Agency, </w:t>
      </w:r>
      <w:hyperlink r:id="rId34" w:history="1">
        <w:r w:rsidRPr="0051329A">
          <w:rPr>
            <w:rStyle w:val="Hyperlink"/>
            <w:i/>
          </w:rPr>
          <w:t>State of space report: A report by the Australian Government Space Coordination Committee</w:t>
        </w:r>
        <w:r w:rsidRPr="00556384">
          <w:rPr>
            <w:rStyle w:val="Hyperlink"/>
          </w:rPr>
          <w:t xml:space="preserve"> (1 January 2018 – 30 June 2019)</w:t>
        </w:r>
      </w:hyperlink>
      <w:r>
        <w:t>, accessed 20 August 2020, p. 6.</w:t>
      </w:r>
    </w:p>
  </w:footnote>
  <w:footnote w:id="35">
    <w:p w14:paraId="23A6A0DD" w14:textId="0B3F323A" w:rsidR="001C0754" w:rsidRDefault="001C0754" w:rsidP="00BB7E5C">
      <w:pPr>
        <w:pStyle w:val="FootnoteText"/>
      </w:pPr>
      <w:r>
        <w:rPr>
          <w:rStyle w:val="FootnoteReference"/>
        </w:rPr>
        <w:footnoteRef/>
      </w:r>
      <w:r>
        <w:t xml:space="preserve"> IBIS World, </w:t>
      </w:r>
      <w:r w:rsidRPr="0051329A">
        <w:rPr>
          <w:i/>
        </w:rPr>
        <w:t xml:space="preserve">Satellite communications and astronautics </w:t>
      </w:r>
      <w:r w:rsidRPr="0051329A">
        <w:rPr>
          <w:i/>
          <w:iCs/>
        </w:rPr>
        <w:t>in Australia</w:t>
      </w:r>
      <w:r w:rsidRPr="00C109E2">
        <w:t>, January 2020, p. 6.</w:t>
      </w:r>
    </w:p>
  </w:footnote>
  <w:footnote w:id="36">
    <w:p w14:paraId="4A75F1C3" w14:textId="12768050" w:rsidR="001C0754" w:rsidRDefault="001C0754" w:rsidP="00BB7E5C">
      <w:pPr>
        <w:pStyle w:val="FootnoteText"/>
      </w:pPr>
      <w:r>
        <w:rPr>
          <w:rStyle w:val="FootnoteReference"/>
        </w:rPr>
        <w:footnoteRef/>
      </w:r>
      <w:r>
        <w:t xml:space="preserve"> </w:t>
      </w:r>
      <w:r w:rsidRPr="008C014A">
        <w:t xml:space="preserve">IBIS World, </w:t>
      </w:r>
      <w:r w:rsidRPr="0051329A">
        <w:rPr>
          <w:i/>
        </w:rPr>
        <w:t xml:space="preserve">Satellite communications and astronautics </w:t>
      </w:r>
      <w:r w:rsidRPr="0051329A">
        <w:rPr>
          <w:i/>
          <w:iCs/>
        </w:rPr>
        <w:t>in Australia</w:t>
      </w:r>
      <w:r w:rsidRPr="008C014A">
        <w:t xml:space="preserve">, January 2020, p. </w:t>
      </w:r>
      <w:r>
        <w:t>12</w:t>
      </w:r>
      <w:r w:rsidRPr="008C014A">
        <w:t>.</w:t>
      </w:r>
    </w:p>
  </w:footnote>
  <w:footnote w:id="37">
    <w:p w14:paraId="0F6955FC" w14:textId="38D82126" w:rsidR="001C0754" w:rsidRDefault="001C0754" w:rsidP="00BB7E5C">
      <w:pPr>
        <w:pStyle w:val="FootnoteText"/>
      </w:pPr>
      <w:r>
        <w:rPr>
          <w:rStyle w:val="FootnoteReference"/>
        </w:rPr>
        <w:footnoteRef/>
      </w:r>
      <w:r>
        <w:t xml:space="preserve"> Australian Space Agency, </w:t>
      </w:r>
      <w:hyperlink r:id="rId35" w:history="1">
        <w:r w:rsidRPr="006F1C04">
          <w:rPr>
            <w:rStyle w:val="Hyperlink"/>
            <w:i/>
          </w:rPr>
          <w:t>Advancing space – Communications technologies and services – Roadmap 2021 – 2030</w:t>
        </w:r>
      </w:hyperlink>
      <w:r>
        <w:t>, p. 4.</w:t>
      </w:r>
    </w:p>
  </w:footnote>
  <w:footnote w:id="38">
    <w:p w14:paraId="57144C68" w14:textId="5E09F95B" w:rsidR="001C0754" w:rsidRDefault="001C0754" w:rsidP="00BB7E5C">
      <w:pPr>
        <w:pStyle w:val="FootnoteText"/>
      </w:pPr>
      <w:r>
        <w:rPr>
          <w:rStyle w:val="FootnoteReference"/>
        </w:rPr>
        <w:footnoteRef/>
      </w:r>
      <w:r>
        <w:t xml:space="preserve"> Australian Space Agency, </w:t>
      </w:r>
      <w:hyperlink r:id="rId36" w:history="1">
        <w:r w:rsidRPr="006F1C04">
          <w:rPr>
            <w:rStyle w:val="Hyperlink"/>
            <w:i/>
          </w:rPr>
          <w:t>Advancing space – Communications technologies and services – Roadmap 2021 – 2030</w:t>
        </w:r>
      </w:hyperlink>
      <w:r>
        <w:t>, pp. 13-20.</w:t>
      </w:r>
    </w:p>
  </w:footnote>
  <w:footnote w:id="39">
    <w:p w14:paraId="598AB5DC" w14:textId="739B9134" w:rsidR="001C0754" w:rsidRDefault="001C0754" w:rsidP="004D4B94">
      <w:pPr>
        <w:pStyle w:val="FootnoteText"/>
      </w:pPr>
      <w:r>
        <w:rPr>
          <w:rStyle w:val="FootnoteReference"/>
        </w:rPr>
        <w:footnoteRef/>
      </w:r>
      <w:r>
        <w:t xml:space="preserve"> Another example of Australian satellite business is </w:t>
      </w:r>
      <w:hyperlink r:id="rId37" w:history="1">
        <w:r w:rsidRPr="00F00603">
          <w:rPr>
            <w:rStyle w:val="Hyperlink"/>
          </w:rPr>
          <w:t>AST Australia</w:t>
        </w:r>
      </w:hyperlink>
      <w:r>
        <w:t xml:space="preserve">, which </w:t>
      </w:r>
      <w:r w:rsidRPr="008C1C9F">
        <w:t xml:space="preserve">includes </w:t>
      </w:r>
      <w:r>
        <w:t>I</w:t>
      </w:r>
      <w:r w:rsidRPr="008C1C9F">
        <w:t xml:space="preserve">ridium, VSAT, </w:t>
      </w:r>
      <w:r>
        <w:t>I</w:t>
      </w:r>
      <w:r w:rsidRPr="008C1C9F">
        <w:t xml:space="preserve">nmarsat, Sat TV, </w:t>
      </w:r>
      <w:r>
        <w:t>O</w:t>
      </w:r>
      <w:r w:rsidRPr="008C1C9F">
        <w:t xml:space="preserve">ptus, </w:t>
      </w:r>
      <w:r>
        <w:t>G</w:t>
      </w:r>
      <w:r w:rsidRPr="008C1C9F">
        <w:t xml:space="preserve">lobalstar, </w:t>
      </w:r>
      <w:r>
        <w:t>T</w:t>
      </w:r>
      <w:r w:rsidRPr="008C1C9F">
        <w:t xml:space="preserve">huraya, </w:t>
      </w:r>
      <w:r>
        <w:t>H</w:t>
      </w:r>
      <w:r w:rsidRPr="008C1C9F">
        <w:t xml:space="preserve">atteland displays, BGAN satellite broadband, satellite phones, satellite phone hire, and </w:t>
      </w:r>
      <w:r>
        <w:t>S</w:t>
      </w:r>
      <w:r w:rsidRPr="008C1C9F">
        <w:t>tratos, as well as smart card operated payphones.</w:t>
      </w:r>
    </w:p>
  </w:footnote>
  <w:footnote w:id="40">
    <w:p w14:paraId="2375AB42" w14:textId="77777777" w:rsidR="001C0754" w:rsidRDefault="001C0754" w:rsidP="629F3BDB">
      <w:pPr>
        <w:pStyle w:val="FootnoteText"/>
      </w:pPr>
      <w:r w:rsidRPr="629F3BDB">
        <w:rPr>
          <w:rStyle w:val="FootnoteReference"/>
        </w:rPr>
        <w:footnoteRef/>
      </w:r>
      <w:r>
        <w:t xml:space="preserve"> Combination of the requirements of ITU Radio Regulations, the Radiocommunications Act and ACMA policy as outlined in </w:t>
      </w:r>
      <w:r w:rsidRPr="629F3BDB">
        <w:rPr>
          <w:rFonts w:cs="Arial"/>
        </w:rPr>
        <w:t>Australian procedures for the coordination and notification of satellite systems</w:t>
      </w:r>
      <w:r>
        <w:t>.</w:t>
      </w:r>
    </w:p>
  </w:footnote>
  <w:footnote w:id="41">
    <w:p w14:paraId="3FA1FA88" w14:textId="6D6E549E" w:rsidR="001C0754" w:rsidRDefault="001C0754" w:rsidP="00BB7E5C">
      <w:pPr>
        <w:pStyle w:val="FootnoteText"/>
      </w:pPr>
      <w:r>
        <w:rPr>
          <w:rStyle w:val="FootnoteReference"/>
        </w:rPr>
        <w:footnoteRef/>
      </w:r>
      <w:r>
        <w:t xml:space="preserve"> Department of Industry, Science, Energy and Resources, ‘</w:t>
      </w:r>
      <w:hyperlink r:id="rId38" w:history="1">
        <w:r w:rsidRPr="0094498D">
          <w:rPr>
            <w:rStyle w:val="Hyperlink"/>
          </w:rPr>
          <w:t>Defining the Australian space sector</w:t>
        </w:r>
      </w:hyperlink>
      <w:r>
        <w:rPr>
          <w:rStyle w:val="Hyperlink"/>
        </w:rPr>
        <w:t>’</w:t>
      </w:r>
      <w:r>
        <w:t>, accessed 10 August 2020.</w:t>
      </w:r>
    </w:p>
  </w:footnote>
  <w:footnote w:id="42">
    <w:p w14:paraId="4415144A" w14:textId="3AF69782" w:rsidR="001C0754" w:rsidRDefault="001C0754" w:rsidP="00BB7E5C">
      <w:pPr>
        <w:pStyle w:val="FootnoteText"/>
      </w:pPr>
      <w:r>
        <w:rPr>
          <w:rStyle w:val="FootnoteReference"/>
        </w:rPr>
        <w:footnoteRef/>
      </w:r>
      <w:r>
        <w:t xml:space="preserve"> Department of Industry, Science, Energy and Resources, ‘</w:t>
      </w:r>
      <w:hyperlink r:id="rId39" w:history="1">
        <w:r w:rsidRPr="00C45D02">
          <w:rPr>
            <w:rStyle w:val="Hyperlink"/>
          </w:rPr>
          <w:t>Activities included in the space sector</w:t>
        </w:r>
      </w:hyperlink>
      <w:r>
        <w:rPr>
          <w:rStyle w:val="Hyperlink"/>
        </w:rPr>
        <w:t>’</w:t>
      </w:r>
      <w:r>
        <w:t>, accessed, 10 August 2020.</w:t>
      </w:r>
    </w:p>
  </w:footnote>
  <w:footnote w:id="43">
    <w:p w14:paraId="77B82F66" w14:textId="468BDC76" w:rsidR="001C0754" w:rsidRDefault="001C0754" w:rsidP="00BB7E5C">
      <w:pPr>
        <w:pStyle w:val="FootnoteText"/>
      </w:pPr>
      <w:r>
        <w:rPr>
          <w:rStyle w:val="FootnoteReference"/>
        </w:rPr>
        <w:footnoteRef/>
      </w:r>
      <w:r>
        <w:t xml:space="preserve"> Department of Industry, Science, Energy and Resources, ‘</w:t>
      </w:r>
      <w:hyperlink r:id="rId40" w:history="1">
        <w:r w:rsidRPr="00C45D02">
          <w:rPr>
            <w:rStyle w:val="Hyperlink"/>
          </w:rPr>
          <w:t>Activities included in the space sector</w:t>
        </w:r>
      </w:hyperlink>
      <w:r>
        <w:rPr>
          <w:rStyle w:val="Hyperlink"/>
        </w:rPr>
        <w:t>’</w:t>
      </w:r>
      <w:r>
        <w:t>, accessed 10 August 2020.</w:t>
      </w:r>
    </w:p>
  </w:footnote>
  <w:footnote w:id="44">
    <w:p w14:paraId="71D613D7" w14:textId="773D757E" w:rsidR="001C0754" w:rsidRDefault="001C0754">
      <w:pPr>
        <w:pStyle w:val="FootnoteText"/>
      </w:pPr>
      <w:r>
        <w:rPr>
          <w:rStyle w:val="FootnoteReference"/>
        </w:rPr>
        <w:footnoteRef/>
      </w:r>
      <w:r>
        <w:t xml:space="preserve"> GlobalData, </w:t>
      </w:r>
      <w:r w:rsidRPr="00E33998">
        <w:rPr>
          <w:u w:color="0000FF"/>
        </w:rPr>
        <w:t>Asia Satellite Telecommunications Holdings Limited Profile</w:t>
      </w:r>
      <w:r>
        <w:t>, accessed 9 November 2020.</w:t>
      </w:r>
    </w:p>
  </w:footnote>
  <w:footnote w:id="45">
    <w:p w14:paraId="4FBE1A21" w14:textId="24E0BB22" w:rsidR="001C0754" w:rsidRDefault="001C0754" w:rsidP="001D315B">
      <w:pPr>
        <w:pStyle w:val="FootnoteText"/>
      </w:pPr>
      <w:r>
        <w:rPr>
          <w:rStyle w:val="FootnoteReference"/>
        </w:rPr>
        <w:footnoteRef/>
      </w:r>
      <w:r>
        <w:t xml:space="preserve"> </w:t>
      </w:r>
      <w:r w:rsidRPr="00F178DB">
        <w:t xml:space="preserve">S&amp;P Market Intelligence Platform, </w:t>
      </w:r>
      <w:r w:rsidRPr="001D315B">
        <w:rPr>
          <w:u w:color="0000FF"/>
        </w:rPr>
        <w:t>Al Yah Satellite Communication Company PJSC | Corporate structure</w:t>
      </w:r>
      <w:r w:rsidRPr="00F178DB">
        <w:t xml:space="preserve">, </w:t>
      </w:r>
      <w:r>
        <w:t>accessed</w:t>
      </w:r>
      <w:r w:rsidRPr="00F178DB">
        <w:t xml:space="preserve"> </w:t>
      </w:r>
      <w:r>
        <w:t>12</w:t>
      </w:r>
      <w:r w:rsidRPr="00F178DB">
        <w:t xml:space="preserve"> October 2020.</w:t>
      </w:r>
    </w:p>
  </w:footnote>
  <w:footnote w:id="46">
    <w:p w14:paraId="63144521" w14:textId="0BD14E13" w:rsidR="001C0754" w:rsidRDefault="001C0754" w:rsidP="00736224">
      <w:pPr>
        <w:pStyle w:val="FootnoteText"/>
      </w:pPr>
      <w:r>
        <w:rPr>
          <w:rStyle w:val="FootnoteReference"/>
        </w:rPr>
        <w:footnoteRef/>
      </w:r>
      <w:r>
        <w:t xml:space="preserve"> GlobalData, </w:t>
      </w:r>
      <w:r w:rsidRPr="00736224">
        <w:rPr>
          <w:u w:color="0000FF"/>
        </w:rPr>
        <w:t>Al Yah Satellite Communication (YAHSAT) Acquires Stake in Thuraya Telecommunications from Etisalat</w:t>
      </w:r>
      <w:r>
        <w:t>, accessed 12 October 2020.</w:t>
      </w:r>
    </w:p>
  </w:footnote>
  <w:footnote w:id="47">
    <w:p w14:paraId="5F19E6A1" w14:textId="5A7A120F" w:rsidR="001C0754" w:rsidRDefault="001C0754" w:rsidP="009134D6">
      <w:pPr>
        <w:pStyle w:val="FootnoteText"/>
      </w:pPr>
      <w:r>
        <w:rPr>
          <w:rStyle w:val="FootnoteReference"/>
        </w:rPr>
        <w:footnoteRef/>
      </w:r>
      <w:r>
        <w:t xml:space="preserve"> S&amp;P Market Intelligence Platform, </w:t>
      </w:r>
      <w:r w:rsidRPr="009134D6">
        <w:rPr>
          <w:u w:color="0000FF"/>
        </w:rPr>
        <w:t xml:space="preserve">Asia Satellite Telecommunications Holdings Limited - </w:t>
      </w:r>
      <w:r w:rsidRPr="009134D6">
        <w:rPr>
          <w:rFonts w:ascii="MS Gothic" w:eastAsia="MS Gothic" w:hAnsi="MS Gothic" w:cs="MS Gothic" w:hint="eastAsia"/>
          <w:u w:color="0000FF"/>
        </w:rPr>
        <w:t>亞洲衛星控股有限公司</w:t>
      </w:r>
      <w:r w:rsidRPr="009134D6">
        <w:rPr>
          <w:u w:color="0000FF"/>
        </w:rPr>
        <w:t xml:space="preserve"> | Financial highlights</w:t>
      </w:r>
      <w:r>
        <w:t>, accessed 23 March 2021.</w:t>
      </w:r>
    </w:p>
  </w:footnote>
  <w:footnote w:id="48">
    <w:p w14:paraId="428824EC" w14:textId="1813BA98" w:rsidR="001C0754" w:rsidRDefault="001C0754" w:rsidP="006F3F3A">
      <w:pPr>
        <w:pStyle w:val="FootnoteText"/>
      </w:pPr>
      <w:r>
        <w:rPr>
          <w:rStyle w:val="FootnoteReference"/>
        </w:rPr>
        <w:footnoteRef/>
      </w:r>
      <w:r>
        <w:t xml:space="preserve"> GlobalData, </w:t>
      </w:r>
      <w:r w:rsidRPr="00E33998">
        <w:rPr>
          <w:u w:color="0000FF"/>
        </w:rPr>
        <w:t>Asia Satellite Telecommunications Holdings Limited | Overview</w:t>
      </w:r>
      <w:r>
        <w:t>, accessed 6 November 2020.</w:t>
      </w:r>
    </w:p>
  </w:footnote>
  <w:footnote w:id="49">
    <w:p w14:paraId="1FB95FE8" w14:textId="4980A4B2" w:rsidR="001C0754" w:rsidRDefault="001C0754" w:rsidP="00A2668C">
      <w:pPr>
        <w:pStyle w:val="FootnoteText"/>
      </w:pPr>
      <w:r>
        <w:rPr>
          <w:rStyle w:val="FootnoteReference"/>
        </w:rPr>
        <w:footnoteRef/>
      </w:r>
      <w:r>
        <w:t xml:space="preserve"> AsiaSat, ‘</w:t>
      </w:r>
      <w:hyperlink r:id="rId41" w:history="1">
        <w:r w:rsidRPr="0076757D">
          <w:rPr>
            <w:rStyle w:val="Hyperlink"/>
          </w:rPr>
          <w:t>About Us</w:t>
        </w:r>
      </w:hyperlink>
      <w:r>
        <w:rPr>
          <w:rStyle w:val="Hyperlink"/>
        </w:rPr>
        <w:t>’</w:t>
      </w:r>
      <w:r>
        <w:t>, accessed 9 November 2020.</w:t>
      </w:r>
    </w:p>
  </w:footnote>
  <w:footnote w:id="50">
    <w:p w14:paraId="4ACF65CC" w14:textId="673B0EF6" w:rsidR="001C0754" w:rsidRDefault="001C0754" w:rsidP="002933B8">
      <w:pPr>
        <w:pStyle w:val="FootnoteText"/>
      </w:pPr>
      <w:r>
        <w:rPr>
          <w:rStyle w:val="FootnoteReference"/>
        </w:rPr>
        <w:footnoteRef/>
      </w:r>
      <w:r>
        <w:t xml:space="preserve"> S&amp;P Market Intelligence Platform, </w:t>
      </w:r>
      <w:r w:rsidRPr="009134D6">
        <w:rPr>
          <w:u w:color="0000FF"/>
        </w:rPr>
        <w:t xml:space="preserve">Asia Satellite Telecommunications Holdings Limited - </w:t>
      </w:r>
      <w:r w:rsidRPr="009134D6">
        <w:rPr>
          <w:rFonts w:ascii="MS Gothic" w:eastAsia="MS Gothic" w:hAnsi="MS Gothic" w:cs="MS Gothic" w:hint="eastAsia"/>
          <w:u w:color="0000FF"/>
        </w:rPr>
        <w:t>亞洲衛星控股有限公司</w:t>
      </w:r>
      <w:r w:rsidRPr="009134D6">
        <w:rPr>
          <w:u w:color="0000FF"/>
        </w:rPr>
        <w:t xml:space="preserve"> | Financial highlights</w:t>
      </w:r>
      <w:r>
        <w:t>, accessed 9 November 2020.</w:t>
      </w:r>
    </w:p>
  </w:footnote>
  <w:footnote w:id="51">
    <w:p w14:paraId="499787F7" w14:textId="47EA1756" w:rsidR="001C0754" w:rsidRDefault="001C0754">
      <w:pPr>
        <w:pStyle w:val="FootnoteText"/>
      </w:pPr>
      <w:r>
        <w:rPr>
          <w:rStyle w:val="FootnoteReference"/>
        </w:rPr>
        <w:footnoteRef/>
      </w:r>
      <w:r>
        <w:t xml:space="preserve"> GlobalData, </w:t>
      </w:r>
      <w:r w:rsidRPr="00F8348A">
        <w:rPr>
          <w:u w:color="0000FF"/>
        </w:rPr>
        <w:t>Asia Satellite Telecommunications Holdings Limited Profile</w:t>
      </w:r>
      <w:r>
        <w:t>, accessed 9 November 2020.</w:t>
      </w:r>
    </w:p>
  </w:footnote>
  <w:footnote w:id="52">
    <w:p w14:paraId="5163A0CF" w14:textId="7AB0E5FE" w:rsidR="001C0754" w:rsidRDefault="001C0754">
      <w:pPr>
        <w:pStyle w:val="FootnoteText"/>
      </w:pPr>
      <w:r>
        <w:rPr>
          <w:rStyle w:val="FootnoteReference"/>
        </w:rPr>
        <w:footnoteRef/>
      </w:r>
      <w:r>
        <w:t xml:space="preserve"> BAI Communications, </w:t>
      </w:r>
      <w:hyperlink r:id="rId42" w:history="1">
        <w:r w:rsidRPr="00EC2F94">
          <w:rPr>
            <w:rStyle w:val="Hyperlink"/>
          </w:rPr>
          <w:t>About Us</w:t>
        </w:r>
      </w:hyperlink>
      <w:r>
        <w:t>, accessed 9 October 2020.</w:t>
      </w:r>
    </w:p>
  </w:footnote>
  <w:footnote w:id="53">
    <w:p w14:paraId="4C4A6CC3" w14:textId="3AB507F2" w:rsidR="001C0754" w:rsidRDefault="001C0754" w:rsidP="00BB7E5C">
      <w:pPr>
        <w:pStyle w:val="FootnoteText"/>
      </w:pPr>
      <w:r>
        <w:rPr>
          <w:rStyle w:val="FootnoteReference"/>
        </w:rPr>
        <w:footnoteRef/>
      </w:r>
      <w:r>
        <w:t xml:space="preserve"> S&amp;P Market Intelligence Platform</w:t>
      </w:r>
      <w:r w:rsidRPr="004A4436">
        <w:rPr>
          <w:u w:color="0000FF"/>
        </w:rPr>
        <w:t>,</w:t>
      </w:r>
      <w:r>
        <w:rPr>
          <w:u w:color="0000FF"/>
        </w:rPr>
        <w:t>'</w:t>
      </w:r>
      <w:r w:rsidRPr="004A4436">
        <w:rPr>
          <w:u w:color="0000FF"/>
        </w:rPr>
        <w:t xml:space="preserve"> Boeing Company | Segment analysis</w:t>
      </w:r>
      <w:r>
        <w:t>, accessed 23 March 2021.</w:t>
      </w:r>
    </w:p>
  </w:footnote>
  <w:footnote w:id="54">
    <w:p w14:paraId="54D2BC7B" w14:textId="5B1D4A56" w:rsidR="001C0754" w:rsidRDefault="001C0754">
      <w:pPr>
        <w:pStyle w:val="FootnoteText"/>
      </w:pPr>
      <w:r>
        <w:rPr>
          <w:rStyle w:val="FootnoteReference"/>
        </w:rPr>
        <w:footnoteRef/>
      </w:r>
      <w:r>
        <w:t xml:space="preserve"> S&amp;P Market Intelligence Platform</w:t>
      </w:r>
      <w:r w:rsidRPr="009F6360">
        <w:rPr>
          <w:u w:color="0000FF"/>
        </w:rPr>
        <w:t xml:space="preserve">, Boeing Company | </w:t>
      </w:r>
      <w:r>
        <w:rPr>
          <w:u w:color="0000FF"/>
        </w:rPr>
        <w:t>Company Description</w:t>
      </w:r>
      <w:r>
        <w:t>, accessed 8 October 2020.</w:t>
      </w:r>
    </w:p>
  </w:footnote>
  <w:footnote w:id="55">
    <w:p w14:paraId="5E3B574B" w14:textId="1547CBC4" w:rsidR="001C0754" w:rsidRDefault="001C0754" w:rsidP="00BB7E5C">
      <w:pPr>
        <w:pStyle w:val="FootnoteText"/>
      </w:pPr>
      <w:r>
        <w:rPr>
          <w:rStyle w:val="FootnoteReference"/>
        </w:rPr>
        <w:footnoteRef/>
      </w:r>
      <w:r>
        <w:t xml:space="preserve"> S&amp;P Market Intelligence, Echostar</w:t>
      </w:r>
      <w:r w:rsidRPr="008876E9">
        <w:t xml:space="preserve"> | </w:t>
      </w:r>
      <w:r>
        <w:t>Financial Highlights, accessed 23 March 2021.</w:t>
      </w:r>
    </w:p>
  </w:footnote>
  <w:footnote w:id="56">
    <w:p w14:paraId="52212927" w14:textId="7E60E874" w:rsidR="001C0754" w:rsidRPr="005A1BCC" w:rsidRDefault="001C0754" w:rsidP="005A1BCC">
      <w:pPr>
        <w:pStyle w:val="FootnoteText"/>
      </w:pPr>
      <w:r w:rsidRPr="005A1BCC">
        <w:rPr>
          <w:rStyle w:val="FootnoteReference"/>
          <w:i/>
          <w:iCs/>
        </w:rPr>
        <w:footnoteRef/>
      </w:r>
      <w:r w:rsidRPr="005A1BCC">
        <w:rPr>
          <w:iCs/>
        </w:rPr>
        <w:t xml:space="preserve"> </w:t>
      </w:r>
      <w:r>
        <w:t>GlobalData</w:t>
      </w:r>
      <w:r w:rsidRPr="005A1BCC">
        <w:t xml:space="preserve">, EchoStar Corp | Overview, </w:t>
      </w:r>
      <w:r>
        <w:t>accessed</w:t>
      </w:r>
      <w:r w:rsidRPr="005A1BCC">
        <w:t xml:space="preserve"> 28 August 2020.</w:t>
      </w:r>
    </w:p>
  </w:footnote>
  <w:footnote w:id="57">
    <w:p w14:paraId="344E8405" w14:textId="703639A1" w:rsidR="001C0754" w:rsidRDefault="001C0754">
      <w:pPr>
        <w:pStyle w:val="FootnoteText"/>
      </w:pPr>
      <w:r>
        <w:rPr>
          <w:rStyle w:val="FootnoteReference"/>
        </w:rPr>
        <w:footnoteRef/>
      </w:r>
      <w:r>
        <w:t xml:space="preserve"> </w:t>
      </w:r>
      <w:r w:rsidRPr="00083400">
        <w:t xml:space="preserve">S&amp;P Market Intelligence Platform, Global Eagle Entertainment Inc. | Company Screener, </w:t>
      </w:r>
      <w:r>
        <w:t>accessed</w:t>
      </w:r>
      <w:r w:rsidRPr="00083400">
        <w:t xml:space="preserve"> 20 January 2021.</w:t>
      </w:r>
    </w:p>
  </w:footnote>
  <w:footnote w:id="58">
    <w:p w14:paraId="49D32FBB" w14:textId="6B4DD517" w:rsidR="001C0754" w:rsidRDefault="001C0754">
      <w:pPr>
        <w:pStyle w:val="FootnoteText"/>
      </w:pPr>
      <w:r>
        <w:rPr>
          <w:rStyle w:val="FootnoteReference"/>
        </w:rPr>
        <w:footnoteRef/>
      </w:r>
      <w:r>
        <w:t xml:space="preserve"> S&amp;P Market Intelligence Platform, </w:t>
      </w:r>
      <w:r w:rsidRPr="00525921">
        <w:t>Global</w:t>
      </w:r>
      <w:r>
        <w:t xml:space="preserve"> Eagle Entertainment</w:t>
      </w:r>
      <w:r w:rsidRPr="00525921">
        <w:t xml:space="preserve"> Inc. | Company</w:t>
      </w:r>
      <w:r w:rsidRPr="005A1BCC">
        <w:t xml:space="preserve"> description,</w:t>
      </w:r>
      <w:r>
        <w:t xml:space="preserve"> accessed 20 January 2021.</w:t>
      </w:r>
    </w:p>
  </w:footnote>
  <w:footnote w:id="59">
    <w:p w14:paraId="4B9C1FA3" w14:textId="293A8AB6" w:rsidR="001C0754" w:rsidRDefault="001C0754" w:rsidP="002B77A8">
      <w:pPr>
        <w:pStyle w:val="FootnoteText"/>
      </w:pPr>
      <w:r>
        <w:rPr>
          <w:rStyle w:val="FootnoteReference"/>
        </w:rPr>
        <w:footnoteRef/>
      </w:r>
      <w:r>
        <w:t xml:space="preserve"> Global Eagle, ‘</w:t>
      </w:r>
      <w:hyperlink r:id="rId43" w:history="1">
        <w:r w:rsidRPr="003C2E8B">
          <w:rPr>
            <w:rStyle w:val="Hyperlink"/>
          </w:rPr>
          <w:t>Global Eagle Receives Court Approval for Sale</w:t>
        </w:r>
      </w:hyperlink>
      <w:r>
        <w:rPr>
          <w:rStyle w:val="Hyperlink"/>
        </w:rPr>
        <w:t>’</w:t>
      </w:r>
      <w:r>
        <w:t>, 15 October 2020.</w:t>
      </w:r>
    </w:p>
  </w:footnote>
  <w:footnote w:id="60">
    <w:p w14:paraId="2C4E799B" w14:textId="56F04161" w:rsidR="001C0754" w:rsidRPr="00104CBA" w:rsidRDefault="001C0754">
      <w:pPr>
        <w:pStyle w:val="FootnoteText"/>
      </w:pPr>
      <w:r>
        <w:rPr>
          <w:rStyle w:val="FootnoteReference"/>
        </w:rPr>
        <w:footnoteRef/>
      </w:r>
      <w:r>
        <w:t xml:space="preserve"> </w:t>
      </w:r>
      <w:r w:rsidRPr="00104CBA">
        <w:t xml:space="preserve">S&amp;P Market Intelligence Platform, Globalstar, Inc. | Company Screener, </w:t>
      </w:r>
      <w:r>
        <w:t>accessed</w:t>
      </w:r>
      <w:r w:rsidRPr="00104CBA">
        <w:t xml:space="preserve"> </w:t>
      </w:r>
      <w:r>
        <w:t>23</w:t>
      </w:r>
      <w:r w:rsidRPr="00104CBA">
        <w:t xml:space="preserve"> </w:t>
      </w:r>
      <w:r>
        <w:t>March</w:t>
      </w:r>
      <w:r w:rsidRPr="00104CBA">
        <w:t xml:space="preserve"> 202</w:t>
      </w:r>
      <w:r>
        <w:t>1</w:t>
      </w:r>
      <w:r w:rsidRPr="00104CBA">
        <w:t>.</w:t>
      </w:r>
    </w:p>
  </w:footnote>
  <w:footnote w:id="61">
    <w:p w14:paraId="53436D93" w14:textId="7E9392AA" w:rsidR="001C0754" w:rsidRDefault="001C0754" w:rsidP="008437E8">
      <w:pPr>
        <w:pStyle w:val="FootnoteText"/>
      </w:pPr>
      <w:r>
        <w:rPr>
          <w:rStyle w:val="FootnoteReference"/>
        </w:rPr>
        <w:footnoteRef/>
      </w:r>
      <w:r>
        <w:t xml:space="preserve"> S&amp;P Market Intelligence Platform, </w:t>
      </w:r>
      <w:r w:rsidRPr="008437E8">
        <w:rPr>
          <w:u w:color="0000FF"/>
        </w:rPr>
        <w:t>Globalstar, Inc. | Long business description</w:t>
      </w:r>
      <w:r>
        <w:t xml:space="preserve">, accessed 10 November 2020. </w:t>
      </w:r>
    </w:p>
  </w:footnote>
  <w:footnote w:id="62">
    <w:p w14:paraId="0EC94EC5" w14:textId="7E6E7831" w:rsidR="001C0754" w:rsidRDefault="001C0754" w:rsidP="00D21445">
      <w:pPr>
        <w:pStyle w:val="FootnoteText"/>
      </w:pPr>
      <w:r>
        <w:rPr>
          <w:rStyle w:val="FootnoteReference"/>
        </w:rPr>
        <w:footnoteRef/>
      </w:r>
      <w:r>
        <w:t xml:space="preserve"> NY20.com, ‘</w:t>
      </w:r>
      <w:hyperlink r:id="rId44" w:history="1">
        <w:r w:rsidRPr="009B47F4">
          <w:rPr>
            <w:rStyle w:val="Hyperlink"/>
          </w:rPr>
          <w:t>Globalstar satellites</w:t>
        </w:r>
      </w:hyperlink>
      <w:r>
        <w:rPr>
          <w:rStyle w:val="Hyperlink"/>
        </w:rPr>
        <w:t>'</w:t>
      </w:r>
      <w:r>
        <w:t>, accessed 10 November 2020.</w:t>
      </w:r>
    </w:p>
  </w:footnote>
  <w:footnote w:id="63">
    <w:p w14:paraId="1BF4E4B5" w14:textId="3A5E093D" w:rsidR="001C0754" w:rsidRDefault="001C0754">
      <w:pPr>
        <w:pStyle w:val="FootnoteText"/>
      </w:pPr>
      <w:r>
        <w:rPr>
          <w:rStyle w:val="FootnoteReference"/>
        </w:rPr>
        <w:footnoteRef/>
      </w:r>
      <w:r>
        <w:t xml:space="preserve"> S&amp;P Market Intelligence Platform, </w:t>
      </w:r>
      <w:r w:rsidRPr="00525921">
        <w:rPr>
          <w:u w:color="0000FF"/>
        </w:rPr>
        <w:t>Inmarsat Group Holdings Limited | Screener</w:t>
      </w:r>
      <w:r>
        <w:t>, accessed 20 November 2020.</w:t>
      </w:r>
    </w:p>
  </w:footnote>
  <w:footnote w:id="64">
    <w:p w14:paraId="63360BEC" w14:textId="0EBD592B" w:rsidR="001C0754" w:rsidRDefault="001C0754" w:rsidP="00824E3C">
      <w:pPr>
        <w:pStyle w:val="FootnoteText"/>
      </w:pPr>
      <w:r>
        <w:rPr>
          <w:rStyle w:val="FootnoteReference"/>
        </w:rPr>
        <w:footnoteRef/>
      </w:r>
      <w:r>
        <w:t xml:space="preserve"> S&amp;P Market Intelligence Platform, </w:t>
      </w:r>
      <w:r w:rsidRPr="00824E3C">
        <w:rPr>
          <w:u w:color="0000FF"/>
        </w:rPr>
        <w:t>Inmarsat Group Holdings Limited | Long Business Description</w:t>
      </w:r>
      <w:r>
        <w:t>, accessed 29 October 2020.</w:t>
      </w:r>
    </w:p>
  </w:footnote>
  <w:footnote w:id="65">
    <w:p w14:paraId="51281A2D" w14:textId="5A0913B5" w:rsidR="001C0754" w:rsidRDefault="001C0754" w:rsidP="00B91E23">
      <w:pPr>
        <w:pStyle w:val="FootnoteText"/>
      </w:pPr>
      <w:r>
        <w:rPr>
          <w:rStyle w:val="FootnoteReference"/>
        </w:rPr>
        <w:footnoteRef/>
      </w:r>
      <w:r>
        <w:t xml:space="preserve"> GlobalData, </w:t>
      </w:r>
      <w:r w:rsidRPr="00B91E23">
        <w:rPr>
          <w:u w:color="0000FF"/>
        </w:rPr>
        <w:t>Inmarsat Group Holdings Ltd | Profile</w:t>
      </w:r>
      <w:r>
        <w:t>, accessed 5 November 2020.</w:t>
      </w:r>
    </w:p>
  </w:footnote>
  <w:footnote w:id="66">
    <w:p w14:paraId="0686F817" w14:textId="335155C9" w:rsidR="001C0754" w:rsidRDefault="001C0754" w:rsidP="00262D05">
      <w:pPr>
        <w:pStyle w:val="FootnoteText"/>
      </w:pPr>
      <w:r>
        <w:rPr>
          <w:rStyle w:val="FootnoteReference"/>
        </w:rPr>
        <w:footnoteRef/>
      </w:r>
      <w:r>
        <w:t xml:space="preserve"> Inmarsat, ‘</w:t>
      </w:r>
      <w:r w:rsidRPr="00E308A4">
        <w:t>Farmbot Monitoring Solutions enters into agreement with Inmarsat and Pivotel to bring IoT-enabled water management solutions to farmers across Australia</w:t>
      </w:r>
      <w:r>
        <w:t>’, accessed 5 November 2020.</w:t>
      </w:r>
    </w:p>
  </w:footnote>
  <w:footnote w:id="67">
    <w:p w14:paraId="6BCF0D21" w14:textId="00FFF11F" w:rsidR="001C0754" w:rsidRDefault="001C0754" w:rsidP="00D53414">
      <w:pPr>
        <w:pStyle w:val="FootnoteText"/>
      </w:pPr>
      <w:r>
        <w:rPr>
          <w:rStyle w:val="FootnoteReference"/>
        </w:rPr>
        <w:footnoteRef/>
      </w:r>
      <w:r>
        <w:t xml:space="preserve"> S&amp;P Market Intelligence Platform, </w:t>
      </w:r>
      <w:r w:rsidRPr="00D53414">
        <w:rPr>
          <w:u w:color="0000FF"/>
        </w:rPr>
        <w:t>Intelsat S.A. | Financial highlights</w:t>
      </w:r>
      <w:r>
        <w:t>, accessed 23 March 2021.</w:t>
      </w:r>
    </w:p>
  </w:footnote>
  <w:footnote w:id="68">
    <w:p w14:paraId="1FEEA73E" w14:textId="1887C904" w:rsidR="001C0754" w:rsidRDefault="001C0754" w:rsidP="00D67BDD">
      <w:pPr>
        <w:pStyle w:val="FootnoteText"/>
      </w:pPr>
      <w:r>
        <w:rPr>
          <w:rStyle w:val="FootnoteReference"/>
        </w:rPr>
        <w:footnoteRef/>
      </w:r>
      <w:r>
        <w:t xml:space="preserve"> S&amp;P Market Intelligence Platform, </w:t>
      </w:r>
      <w:r w:rsidRPr="00D53414">
        <w:rPr>
          <w:u w:color="0000FF"/>
        </w:rPr>
        <w:t>Intelsat S.A. | Long Business Description</w:t>
      </w:r>
      <w:r>
        <w:t>, accessed 27 October 2020.</w:t>
      </w:r>
    </w:p>
  </w:footnote>
  <w:footnote w:id="69">
    <w:p w14:paraId="160ED9DB" w14:textId="7243753D" w:rsidR="001C0754" w:rsidRDefault="001C0754" w:rsidP="00CD3695">
      <w:pPr>
        <w:pStyle w:val="FootnoteText"/>
      </w:pPr>
      <w:r>
        <w:rPr>
          <w:rStyle w:val="FootnoteReference"/>
        </w:rPr>
        <w:footnoteRef/>
      </w:r>
      <w:r>
        <w:t xml:space="preserve"> Intelsat S.A., ‘</w:t>
      </w:r>
      <w:hyperlink r:id="rId45" w:history="1">
        <w:r w:rsidRPr="00F35A2C">
          <w:rPr>
            <w:rStyle w:val="Hyperlink"/>
          </w:rPr>
          <w:t>Intelsat’s Restructuring will help Transform Satellite for a New Age of Connectivity A Q&amp;A with CEO Stephen Spengler</w:t>
        </w:r>
      </w:hyperlink>
      <w:r>
        <w:rPr>
          <w:rStyle w:val="Hyperlink"/>
        </w:rPr>
        <w:t>’</w:t>
      </w:r>
      <w:r>
        <w:t>, 26 May 2020.</w:t>
      </w:r>
    </w:p>
  </w:footnote>
  <w:footnote w:id="70">
    <w:p w14:paraId="3BB55B76" w14:textId="75D1D5DA" w:rsidR="001C0754" w:rsidRDefault="001C0754" w:rsidP="00EB3474">
      <w:pPr>
        <w:pStyle w:val="FootnoteText"/>
      </w:pPr>
      <w:r>
        <w:rPr>
          <w:rStyle w:val="FootnoteReference"/>
        </w:rPr>
        <w:footnoteRef/>
      </w:r>
      <w:r>
        <w:t xml:space="preserve"> GlobalData, </w:t>
      </w:r>
      <w:r w:rsidRPr="00D74EBD">
        <w:rPr>
          <w:u w:color="0000FF"/>
        </w:rPr>
        <w:t>Intelsat SA | Profile</w:t>
      </w:r>
      <w:r>
        <w:t>, accessed 28 October 2020.</w:t>
      </w:r>
    </w:p>
  </w:footnote>
  <w:footnote w:id="71">
    <w:p w14:paraId="73AF8026" w14:textId="6B6941EE" w:rsidR="001C0754" w:rsidRPr="00013822" w:rsidRDefault="001C0754" w:rsidP="00013822">
      <w:pPr>
        <w:pStyle w:val="FootnoteText"/>
      </w:pPr>
      <w:r>
        <w:rPr>
          <w:rStyle w:val="FootnoteReference"/>
        </w:rPr>
        <w:footnoteRef/>
      </w:r>
      <w:r>
        <w:t xml:space="preserve"> </w:t>
      </w:r>
      <w:r w:rsidRPr="00013822">
        <w:t xml:space="preserve">S&amp;P Market Intelligence Platform, Iridium Communications Inc. | </w:t>
      </w:r>
      <w:r>
        <w:t>Financial highlights</w:t>
      </w:r>
      <w:r w:rsidRPr="00013822">
        <w:t xml:space="preserve">, </w:t>
      </w:r>
      <w:r>
        <w:t>accessed</w:t>
      </w:r>
      <w:r w:rsidRPr="00013822">
        <w:t xml:space="preserve"> </w:t>
      </w:r>
      <w:r>
        <w:t>23</w:t>
      </w:r>
      <w:r w:rsidRPr="00013822">
        <w:t xml:space="preserve"> </w:t>
      </w:r>
      <w:r>
        <w:t>March</w:t>
      </w:r>
      <w:r w:rsidRPr="00013822">
        <w:t xml:space="preserve"> 202</w:t>
      </w:r>
      <w:r>
        <w:t>1</w:t>
      </w:r>
      <w:r w:rsidRPr="00013822">
        <w:t>.</w:t>
      </w:r>
    </w:p>
  </w:footnote>
  <w:footnote w:id="72">
    <w:p w14:paraId="0CCC3A97" w14:textId="4013480A" w:rsidR="001C0754" w:rsidRDefault="001C0754" w:rsidP="00D74EBD">
      <w:pPr>
        <w:pStyle w:val="FootnoteText"/>
      </w:pPr>
      <w:r>
        <w:rPr>
          <w:rStyle w:val="FootnoteReference"/>
        </w:rPr>
        <w:footnoteRef/>
      </w:r>
      <w:r>
        <w:t xml:space="preserve"> GlobalData, </w:t>
      </w:r>
      <w:r w:rsidRPr="00D74EBD">
        <w:rPr>
          <w:u w:color="0000FF"/>
        </w:rPr>
        <w:t>Iridium Communications Inc | Overview</w:t>
      </w:r>
      <w:r>
        <w:t>, accessed 10 November 2020.</w:t>
      </w:r>
    </w:p>
  </w:footnote>
  <w:footnote w:id="73">
    <w:p w14:paraId="4897044B" w14:textId="5ADDA90A" w:rsidR="001C0754" w:rsidRDefault="001C0754">
      <w:pPr>
        <w:pStyle w:val="FootnoteText"/>
      </w:pPr>
      <w:r>
        <w:rPr>
          <w:rStyle w:val="FootnoteReference"/>
        </w:rPr>
        <w:footnoteRef/>
      </w:r>
      <w:r>
        <w:t xml:space="preserve"> Singtel Optus Pty Ltd, ‘</w:t>
      </w:r>
      <w:hyperlink r:id="rId46" w:history="1">
        <w:r w:rsidRPr="00EE0478">
          <w:rPr>
            <w:rStyle w:val="Hyperlink"/>
          </w:rPr>
          <w:t>Optus year-end results reflect challenging fourth quarter</w:t>
        </w:r>
      </w:hyperlink>
      <w:r>
        <w:rPr>
          <w:rStyle w:val="Hyperlink"/>
        </w:rPr>
        <w:t>’</w:t>
      </w:r>
      <w:r>
        <w:t>, 28 May 2020.</w:t>
      </w:r>
    </w:p>
  </w:footnote>
  <w:footnote w:id="74">
    <w:p w14:paraId="713BCB8C" w14:textId="0B6773D4" w:rsidR="001C0754" w:rsidRDefault="001C0754" w:rsidP="00AF655F">
      <w:pPr>
        <w:pStyle w:val="FootnoteText"/>
      </w:pPr>
      <w:r>
        <w:rPr>
          <w:rStyle w:val="FootnoteReference"/>
        </w:rPr>
        <w:footnoteRef/>
      </w:r>
      <w:r>
        <w:t xml:space="preserve"> Singtel Optus Pty Ltd, ‘</w:t>
      </w:r>
      <w:hyperlink r:id="rId47" w:history="1">
        <w:r w:rsidRPr="00317F74">
          <w:rPr>
            <w:rStyle w:val="Hyperlink"/>
          </w:rPr>
          <w:t>Satellite Network</w:t>
        </w:r>
      </w:hyperlink>
      <w:r>
        <w:rPr>
          <w:rStyle w:val="Hyperlink"/>
        </w:rPr>
        <w:t>’</w:t>
      </w:r>
      <w:r>
        <w:t>, accessed 20 October 2020.</w:t>
      </w:r>
    </w:p>
  </w:footnote>
  <w:footnote w:id="75">
    <w:p w14:paraId="469C02CC" w14:textId="44A7225A" w:rsidR="001C0754" w:rsidRDefault="001C0754" w:rsidP="00E33D87">
      <w:pPr>
        <w:pStyle w:val="FootnoteText"/>
      </w:pPr>
      <w:r>
        <w:rPr>
          <w:rStyle w:val="FootnoteReference"/>
        </w:rPr>
        <w:footnoteRef/>
      </w:r>
      <w:r>
        <w:t xml:space="preserve"> Singtel Optus Pty Ltd,</w:t>
      </w:r>
      <w:r w:rsidRPr="000D7B0F">
        <w:t xml:space="preserve"> </w:t>
      </w:r>
      <w:r>
        <w:t>‘</w:t>
      </w:r>
      <w:r w:rsidRPr="000D7B0F">
        <w:t>Submission in response to ACMA’s draft spectrum management work programme</w:t>
      </w:r>
      <w:r>
        <w:t>’, June 2020, p. 18.</w:t>
      </w:r>
    </w:p>
  </w:footnote>
  <w:footnote w:id="76">
    <w:p w14:paraId="76708BD7" w14:textId="71DCF4C5" w:rsidR="001C0754" w:rsidRDefault="001C0754" w:rsidP="00144C85">
      <w:pPr>
        <w:pStyle w:val="FootnoteText"/>
      </w:pPr>
      <w:r>
        <w:rPr>
          <w:rStyle w:val="FootnoteReference"/>
        </w:rPr>
        <w:footnoteRef/>
      </w:r>
      <w:r>
        <w:t xml:space="preserve"> Singtel Optus Pty Ltd,</w:t>
      </w:r>
      <w:r w:rsidRPr="000D7B0F">
        <w:t xml:space="preserve"> </w:t>
      </w:r>
      <w:r>
        <w:t>‘</w:t>
      </w:r>
      <w:r w:rsidRPr="000D7B0F">
        <w:t>Submission in response to ACMA’s draft spectrum management work programme</w:t>
      </w:r>
      <w:r>
        <w:t>’, June 2020, p. 18.</w:t>
      </w:r>
    </w:p>
  </w:footnote>
  <w:footnote w:id="77">
    <w:p w14:paraId="4AD5A28E" w14:textId="1AD345F0" w:rsidR="001C0754" w:rsidRDefault="001C0754" w:rsidP="00C61AC1">
      <w:pPr>
        <w:pStyle w:val="FootnoteText"/>
      </w:pPr>
      <w:r>
        <w:rPr>
          <w:rStyle w:val="FootnoteReference"/>
        </w:rPr>
        <w:footnoteRef/>
      </w:r>
      <w:r>
        <w:t xml:space="preserve"> </w:t>
      </w:r>
      <w:r w:rsidRPr="00707A4D">
        <w:t>Pivotel Satellite Pty Limited</w:t>
      </w:r>
      <w:r>
        <w:t>, ‘</w:t>
      </w:r>
      <w:hyperlink r:id="rId48" w:history="1">
        <w:r w:rsidRPr="00707A4D">
          <w:rPr>
            <w:rStyle w:val="Hyperlink"/>
          </w:rPr>
          <w:t>Company Profile</w:t>
        </w:r>
      </w:hyperlink>
      <w:r>
        <w:rPr>
          <w:rStyle w:val="Hyperlink"/>
        </w:rPr>
        <w:t>’</w:t>
      </w:r>
      <w:r>
        <w:t>, accessed 16 October 2020.</w:t>
      </w:r>
    </w:p>
  </w:footnote>
  <w:footnote w:id="78">
    <w:p w14:paraId="2590CC03" w14:textId="702BBF97" w:rsidR="001C0754" w:rsidRDefault="001C0754" w:rsidP="00BB7E5C">
      <w:pPr>
        <w:pStyle w:val="FootnoteText"/>
      </w:pPr>
      <w:r>
        <w:rPr>
          <w:rStyle w:val="FootnoteReference"/>
        </w:rPr>
        <w:footnoteRef/>
      </w:r>
      <w:r>
        <w:t xml:space="preserve"> Omnispace is positioning itself as a business which</w:t>
      </w:r>
      <w:r w:rsidRPr="00977F16">
        <w:t xml:space="preserve"> combin</w:t>
      </w:r>
      <w:r>
        <w:t>es</w:t>
      </w:r>
      <w:r w:rsidRPr="00977F16">
        <w:t xml:space="preserve"> the global footprint of an NGSO satellite constellation with the mobile wireless networks</w:t>
      </w:r>
      <w:r>
        <w:t>, as a reseller of services</w:t>
      </w:r>
      <w:r w:rsidRPr="00977F16">
        <w:t>.</w:t>
      </w:r>
      <w:r>
        <w:t xml:space="preserve"> It recently </w:t>
      </w:r>
      <w:hyperlink r:id="rId49" w:history="1">
        <w:r w:rsidRPr="00214C63">
          <w:rPr>
            <w:rStyle w:val="Hyperlink"/>
          </w:rPr>
          <w:t>announced</w:t>
        </w:r>
      </w:hyperlink>
      <w:r>
        <w:t xml:space="preserve"> that it raised US$60 million from venture capital businesses.</w:t>
      </w:r>
    </w:p>
  </w:footnote>
  <w:footnote w:id="79">
    <w:p w14:paraId="7045786D" w14:textId="727C342A" w:rsidR="001C0754" w:rsidRDefault="001C0754" w:rsidP="000D6191">
      <w:pPr>
        <w:pStyle w:val="FootnoteText"/>
      </w:pPr>
      <w:r>
        <w:rPr>
          <w:rStyle w:val="FootnoteReference"/>
        </w:rPr>
        <w:footnoteRef/>
      </w:r>
      <w:r>
        <w:t xml:space="preserve"> Pivotel, ‘Five-year spectrum outlook 2020-24 Draft Consultation: response by Pivotel’, June 2020, p. 2.</w:t>
      </w:r>
    </w:p>
  </w:footnote>
  <w:footnote w:id="80">
    <w:p w14:paraId="236C585A" w14:textId="689D7A93" w:rsidR="001C0754" w:rsidRDefault="001C0754">
      <w:pPr>
        <w:pStyle w:val="FootnoteText"/>
      </w:pPr>
      <w:r>
        <w:rPr>
          <w:rStyle w:val="FootnoteReference"/>
        </w:rPr>
        <w:footnoteRef/>
      </w:r>
      <w:r>
        <w:t xml:space="preserve"> S&amp;P Market Intelligence platform, </w:t>
      </w:r>
      <w:r w:rsidRPr="00824343">
        <w:rPr>
          <w:u w:color="0000FF"/>
        </w:rPr>
        <w:t xml:space="preserve">Speedcast International Limited | </w:t>
      </w:r>
      <w:r>
        <w:rPr>
          <w:u w:color="0000FF"/>
        </w:rPr>
        <w:t>Financial highlights</w:t>
      </w:r>
      <w:r>
        <w:t>, accessed 23 March 2021.</w:t>
      </w:r>
    </w:p>
  </w:footnote>
  <w:footnote w:id="81">
    <w:p w14:paraId="6F315716" w14:textId="362ECB53" w:rsidR="001C0754" w:rsidRDefault="001C0754">
      <w:pPr>
        <w:pStyle w:val="FootnoteText"/>
      </w:pPr>
      <w:r>
        <w:rPr>
          <w:rStyle w:val="FootnoteReference"/>
        </w:rPr>
        <w:footnoteRef/>
      </w:r>
      <w:r>
        <w:t xml:space="preserve"> S&amp;P Market Intelligence platform, </w:t>
      </w:r>
      <w:r w:rsidRPr="00824343">
        <w:rPr>
          <w:u w:color="0000FF"/>
        </w:rPr>
        <w:t xml:space="preserve">Speedcast International Limited | </w:t>
      </w:r>
      <w:r>
        <w:rPr>
          <w:u w:color="0000FF"/>
        </w:rPr>
        <w:t>Company description</w:t>
      </w:r>
      <w:r>
        <w:t>, accessed 16 October 2020.</w:t>
      </w:r>
    </w:p>
  </w:footnote>
  <w:footnote w:id="82">
    <w:p w14:paraId="2C8E4D32" w14:textId="5E61B987" w:rsidR="001C0754" w:rsidRDefault="001C0754" w:rsidP="00163DC8">
      <w:pPr>
        <w:pStyle w:val="FootnoteText"/>
      </w:pPr>
      <w:r>
        <w:rPr>
          <w:rStyle w:val="FootnoteReference"/>
        </w:rPr>
        <w:footnoteRef/>
      </w:r>
      <w:r>
        <w:t xml:space="preserve"> Zimmerman, A., ‘</w:t>
      </w:r>
      <w:r w:rsidRPr="00AC2598">
        <w:rPr>
          <w:u w:color="0000FF"/>
        </w:rPr>
        <w:t>Speedcast files reorganization plan backed by $500M Centerbridge investment</w:t>
      </w:r>
      <w:r>
        <w:rPr>
          <w:u w:color="0000FF"/>
        </w:rPr>
        <w:t>’</w:t>
      </w:r>
      <w:r>
        <w:t xml:space="preserve">, </w:t>
      </w:r>
      <w:r w:rsidRPr="00445B49">
        <w:rPr>
          <w:i/>
          <w:iCs/>
        </w:rPr>
        <w:t>S&amp;P Market Intelligence: Leveraged commentary and data</w:t>
      </w:r>
      <w:r>
        <w:t>,</w:t>
      </w:r>
      <w:r w:rsidRPr="00445B49">
        <w:t xml:space="preserve"> </w:t>
      </w:r>
      <w:r>
        <w:t>13 October 2020.</w:t>
      </w:r>
    </w:p>
  </w:footnote>
  <w:footnote w:id="83">
    <w:p w14:paraId="587B5773" w14:textId="28B3A5D4" w:rsidR="001C0754" w:rsidRDefault="001C0754">
      <w:pPr>
        <w:pStyle w:val="FootnoteText"/>
      </w:pPr>
      <w:r>
        <w:rPr>
          <w:rStyle w:val="FootnoteReference"/>
        </w:rPr>
        <w:footnoteRef/>
      </w:r>
      <w:r>
        <w:t xml:space="preserve"> Speedcast, ‘</w:t>
      </w:r>
      <w:hyperlink r:id="rId50" w:history="1">
        <w:r w:rsidRPr="00E5484A">
          <w:rPr>
            <w:rStyle w:val="Hyperlink"/>
          </w:rPr>
          <w:t>Speedcast Announces Successful Completion of Restructuring and Emergence Under New Ownership by Centerbridge</w:t>
        </w:r>
      </w:hyperlink>
      <w:r>
        <w:t>’, 11 March 2021.</w:t>
      </w:r>
    </w:p>
  </w:footnote>
  <w:footnote w:id="84">
    <w:p w14:paraId="3EEF5AEB" w14:textId="3C3AFF67" w:rsidR="001C0754" w:rsidRDefault="001C0754" w:rsidP="00BB7E5C">
      <w:pPr>
        <w:pStyle w:val="FootnoteText"/>
      </w:pPr>
      <w:r>
        <w:rPr>
          <w:rStyle w:val="FootnoteReference"/>
        </w:rPr>
        <w:footnoteRef/>
      </w:r>
      <w:r>
        <w:t xml:space="preserve"> Telesat Canada, ‘</w:t>
      </w:r>
      <w:hyperlink r:id="rId51" w:history="1">
        <w:r w:rsidRPr="00555636">
          <w:rPr>
            <w:rStyle w:val="Hyperlink"/>
          </w:rPr>
          <w:t>Performance results</w:t>
        </w:r>
      </w:hyperlink>
      <w:r>
        <w:rPr>
          <w:rStyle w:val="Hyperlink"/>
        </w:rPr>
        <w:t>’</w:t>
      </w:r>
      <w:r>
        <w:t>, accessed 5 October 2020</w:t>
      </w:r>
      <w:r w:rsidRPr="006353DD">
        <w:t>.</w:t>
      </w:r>
    </w:p>
  </w:footnote>
  <w:footnote w:id="85">
    <w:p w14:paraId="20F39B2E" w14:textId="3E64DA80" w:rsidR="001C0754" w:rsidRDefault="001C0754">
      <w:pPr>
        <w:pStyle w:val="FootnoteText"/>
      </w:pPr>
      <w:r>
        <w:rPr>
          <w:rStyle w:val="FootnoteReference"/>
        </w:rPr>
        <w:footnoteRef/>
      </w:r>
      <w:r>
        <w:t xml:space="preserve"> S&amp;P Market Intelligence platform, </w:t>
      </w:r>
      <w:r w:rsidRPr="009C7232">
        <w:rPr>
          <w:u w:color="0000FF"/>
        </w:rPr>
        <w:t>Telesat Canada</w:t>
      </w:r>
      <w:r>
        <w:rPr>
          <w:u w:color="0000FF"/>
        </w:rPr>
        <w:t xml:space="preserve"> | Company Description</w:t>
      </w:r>
      <w:r>
        <w:t>, accessed 6 October 2020.</w:t>
      </w:r>
    </w:p>
  </w:footnote>
  <w:footnote w:id="86">
    <w:p w14:paraId="6146F1A5" w14:textId="4C11C004" w:rsidR="001C0754" w:rsidRDefault="001C0754">
      <w:pPr>
        <w:pStyle w:val="FootnoteText"/>
      </w:pPr>
      <w:r>
        <w:rPr>
          <w:rStyle w:val="FootnoteReference"/>
        </w:rPr>
        <w:footnoteRef/>
      </w:r>
      <w:r>
        <w:t xml:space="preserve"> Telesat, ‘</w:t>
      </w:r>
      <w:hyperlink r:id="rId52" w:history="1">
        <w:r w:rsidRPr="00950401">
          <w:rPr>
            <w:rStyle w:val="Hyperlink"/>
          </w:rPr>
          <w:t>Telesat reports results for the quarter and six months ended June 30</w:t>
        </w:r>
      </w:hyperlink>
      <w:r>
        <w:rPr>
          <w:rStyle w:val="Hyperlink"/>
        </w:rPr>
        <w:t>’</w:t>
      </w:r>
      <w:r>
        <w:t>, 30 July 2020.</w:t>
      </w:r>
    </w:p>
  </w:footnote>
  <w:footnote w:id="87">
    <w:p w14:paraId="7ADD87ED" w14:textId="3E1F304D" w:rsidR="001C0754" w:rsidRDefault="001C0754">
      <w:pPr>
        <w:pStyle w:val="FootnoteText"/>
      </w:pPr>
      <w:r>
        <w:rPr>
          <w:rStyle w:val="FootnoteReference"/>
        </w:rPr>
        <w:footnoteRef/>
      </w:r>
      <w:r>
        <w:t xml:space="preserve"> Telesat Canada, ‘</w:t>
      </w:r>
      <w:hyperlink r:id="rId53" w:history="1">
        <w:r w:rsidRPr="00555636">
          <w:rPr>
            <w:rStyle w:val="Hyperlink"/>
          </w:rPr>
          <w:t>Performance results</w:t>
        </w:r>
      </w:hyperlink>
      <w:r>
        <w:rPr>
          <w:rStyle w:val="Hyperlink"/>
        </w:rPr>
        <w:t>’</w:t>
      </w:r>
      <w:r>
        <w:t>, accessed 5 October 2020.</w:t>
      </w:r>
    </w:p>
  </w:footnote>
  <w:footnote w:id="88">
    <w:p w14:paraId="661C1C9C" w14:textId="0D4B6B56" w:rsidR="001C0754" w:rsidRDefault="001C0754">
      <w:pPr>
        <w:pStyle w:val="FootnoteText"/>
      </w:pPr>
      <w:r>
        <w:rPr>
          <w:rStyle w:val="FootnoteReference"/>
        </w:rPr>
        <w:footnoteRef/>
      </w:r>
      <w:r>
        <w:t xml:space="preserve"> S&amp;P Capital IQ platform, </w:t>
      </w:r>
      <w:r>
        <w:rPr>
          <w:u w:color="0000FF"/>
        </w:rPr>
        <w:t>Telstra Corporation Limited</w:t>
      </w:r>
      <w:r w:rsidRPr="001829CF">
        <w:rPr>
          <w:u w:color="0000FF"/>
        </w:rPr>
        <w:t xml:space="preserve"> | Financial highlights</w:t>
      </w:r>
      <w:r>
        <w:t>, accessed 23 March 2021.</w:t>
      </w:r>
    </w:p>
  </w:footnote>
  <w:footnote w:id="89">
    <w:p w14:paraId="15C62559" w14:textId="216173EC" w:rsidR="001C0754" w:rsidRDefault="001C0754" w:rsidP="008303DA">
      <w:pPr>
        <w:pStyle w:val="FootnoteText"/>
      </w:pPr>
      <w:r>
        <w:rPr>
          <w:rStyle w:val="FootnoteReference"/>
        </w:rPr>
        <w:footnoteRef/>
      </w:r>
      <w:r>
        <w:t xml:space="preserve"> GlobalData, </w:t>
      </w:r>
      <w:r w:rsidRPr="008303DA">
        <w:rPr>
          <w:u w:color="0000FF"/>
        </w:rPr>
        <w:t>Telstra Corp Ltd | Overview</w:t>
      </w:r>
      <w:r>
        <w:t>, accessed 20 October 2020.</w:t>
      </w:r>
    </w:p>
  </w:footnote>
  <w:footnote w:id="90">
    <w:p w14:paraId="2FC4C194" w14:textId="62205C20" w:rsidR="001C0754" w:rsidRDefault="001C0754" w:rsidP="00664FD8">
      <w:pPr>
        <w:pStyle w:val="FootnoteText"/>
      </w:pPr>
      <w:r>
        <w:rPr>
          <w:rStyle w:val="FootnoteReference"/>
        </w:rPr>
        <w:footnoteRef/>
      </w:r>
      <w:r>
        <w:t xml:space="preserve"> Telstra Corporation Ltd, </w:t>
      </w:r>
      <w:hyperlink r:id="rId54" w:history="1">
        <w:r w:rsidRPr="00983CFA">
          <w:rPr>
            <w:rStyle w:val="Hyperlink"/>
            <w:i/>
          </w:rPr>
          <w:t>Telstra Satellite Services</w:t>
        </w:r>
      </w:hyperlink>
      <w:r>
        <w:t>, accessed 20 October 2020, p. 5.</w:t>
      </w:r>
    </w:p>
  </w:footnote>
  <w:footnote w:id="91">
    <w:p w14:paraId="7F7FBC50" w14:textId="788CC353" w:rsidR="001C0754" w:rsidRDefault="001C0754" w:rsidP="00BB7E5C">
      <w:pPr>
        <w:pStyle w:val="FootnoteText"/>
      </w:pPr>
      <w:r>
        <w:rPr>
          <w:rStyle w:val="FootnoteReference"/>
        </w:rPr>
        <w:footnoteRef/>
      </w:r>
      <w:r>
        <w:t xml:space="preserve"> </w:t>
      </w:r>
      <w:r w:rsidRPr="00130514">
        <w:t xml:space="preserve">S&amp;P Market Intelligence platform, </w:t>
      </w:r>
      <w:hyperlink r:id="rId55" w:history="1">
        <w:r w:rsidRPr="00130514">
          <w:t>Thaicom</w:t>
        </w:r>
      </w:hyperlink>
      <w:r w:rsidRPr="00130514">
        <w:t xml:space="preserve"> Public Company Limited | Financial highlights, </w:t>
      </w:r>
      <w:r>
        <w:t>accessed</w:t>
      </w:r>
      <w:r w:rsidRPr="00130514">
        <w:t xml:space="preserve"> </w:t>
      </w:r>
      <w:r>
        <w:t>23</w:t>
      </w:r>
      <w:r w:rsidRPr="00130514">
        <w:t xml:space="preserve"> </w:t>
      </w:r>
      <w:r>
        <w:t>March</w:t>
      </w:r>
      <w:r w:rsidRPr="00130514">
        <w:t xml:space="preserve"> 202</w:t>
      </w:r>
      <w:r>
        <w:t>1.</w:t>
      </w:r>
    </w:p>
  </w:footnote>
  <w:footnote w:id="92">
    <w:p w14:paraId="3E0B65FD" w14:textId="4B2E410F" w:rsidR="001C0754" w:rsidRDefault="001C0754" w:rsidP="00130514">
      <w:pPr>
        <w:pStyle w:val="FootnoteText"/>
      </w:pPr>
      <w:r>
        <w:rPr>
          <w:rStyle w:val="FootnoteReference"/>
        </w:rPr>
        <w:footnoteRef/>
      </w:r>
      <w:r>
        <w:t xml:space="preserve"> GlobalData, </w:t>
      </w:r>
      <w:r w:rsidRPr="00130514">
        <w:rPr>
          <w:u w:color="0000FF"/>
        </w:rPr>
        <w:t>Thaicom Public Company Limited Overview</w:t>
      </w:r>
      <w:r>
        <w:t>, accessed 17 October 2020.</w:t>
      </w:r>
    </w:p>
  </w:footnote>
  <w:footnote w:id="93">
    <w:p w14:paraId="6FC6311B" w14:textId="266902E0" w:rsidR="001C0754" w:rsidRDefault="001C0754" w:rsidP="0068151E">
      <w:pPr>
        <w:pStyle w:val="FootnoteText"/>
      </w:pPr>
      <w:r>
        <w:rPr>
          <w:rStyle w:val="FootnoteReference"/>
        </w:rPr>
        <w:footnoteRef/>
      </w:r>
      <w:r>
        <w:t xml:space="preserve"> IPSTAR Australia Pty Ltd, ‘</w:t>
      </w:r>
      <w:hyperlink r:id="rId56" w:history="1">
        <w:r>
          <w:rPr>
            <w:rStyle w:val="Hyperlink"/>
          </w:rPr>
          <w:t>Internet</w:t>
        </w:r>
      </w:hyperlink>
      <w:r>
        <w:rPr>
          <w:rStyle w:val="Hyperlink"/>
        </w:rPr>
        <w:t>’</w:t>
      </w:r>
      <w:r>
        <w:t>, accessed 17 October 2020.</w:t>
      </w:r>
    </w:p>
  </w:footnote>
  <w:footnote w:id="94">
    <w:p w14:paraId="62684C2F" w14:textId="5387BB7A" w:rsidR="001C0754" w:rsidRDefault="001C0754" w:rsidP="00BB7E5C">
      <w:pPr>
        <w:pStyle w:val="FootnoteText"/>
      </w:pPr>
      <w:r>
        <w:rPr>
          <w:rStyle w:val="FootnoteReference"/>
        </w:rPr>
        <w:footnoteRef/>
      </w:r>
      <w:r>
        <w:t xml:space="preserve"> S&amp;P Market Intelligence Platform, Viasat Inc | Financial highlights, accessed 23 March 2021.</w:t>
      </w:r>
    </w:p>
  </w:footnote>
  <w:footnote w:id="95">
    <w:p w14:paraId="5BD089BE" w14:textId="19302611" w:rsidR="001C0754" w:rsidRDefault="001C0754" w:rsidP="00AF07D6">
      <w:pPr>
        <w:pStyle w:val="FootnoteText"/>
      </w:pPr>
      <w:r>
        <w:rPr>
          <w:rStyle w:val="FootnoteReference"/>
        </w:rPr>
        <w:footnoteRef/>
      </w:r>
      <w:r>
        <w:t xml:space="preserve"> GlobalData, </w:t>
      </w:r>
      <w:r w:rsidRPr="00AF07D6">
        <w:rPr>
          <w:u w:color="0000FF"/>
        </w:rPr>
        <w:t>ViaSat Inc | Overview</w:t>
      </w:r>
      <w:r>
        <w:t>, accessed 13 November 2020.</w:t>
      </w:r>
    </w:p>
  </w:footnote>
  <w:footnote w:id="96">
    <w:p w14:paraId="7324FCD9" w14:textId="67311F7B" w:rsidR="001C0754" w:rsidRDefault="001C0754" w:rsidP="0008455D">
      <w:pPr>
        <w:pStyle w:val="FootnoteText"/>
      </w:pPr>
      <w:r>
        <w:rPr>
          <w:rStyle w:val="FootnoteReference"/>
        </w:rPr>
        <w:footnoteRef/>
      </w:r>
      <w:r>
        <w:t xml:space="preserve"> Henry, C., ‘</w:t>
      </w:r>
      <w:hyperlink r:id="rId57" w:anchor=":~:text=Viasat%20is%20building%20out%20a,satellite%20broadband%20and%20hardware%20business." w:history="1">
        <w:r w:rsidRPr="001D1BEF">
          <w:rPr>
            <w:rStyle w:val="Hyperlink"/>
          </w:rPr>
          <w:t>Viasat expanding into crowded ground-as-a-service business</w:t>
        </w:r>
      </w:hyperlink>
      <w:r>
        <w:rPr>
          <w:rStyle w:val="Hyperlink"/>
        </w:rPr>
        <w:t>’</w:t>
      </w:r>
      <w:r>
        <w:t xml:space="preserve">, </w:t>
      </w:r>
      <w:r>
        <w:rPr>
          <w:i/>
          <w:iCs/>
        </w:rPr>
        <w:t xml:space="preserve">Space News, </w:t>
      </w:r>
      <w:r>
        <w:t>8 August 2019; and GlobalData, ‘</w:t>
      </w:r>
      <w:hyperlink r:id="rId58" w:history="1">
        <w:r w:rsidRPr="001F51AC">
          <w:rPr>
            <w:rStyle w:val="Hyperlink"/>
          </w:rPr>
          <w:t>Viasat announces launch of RTE facility in Alice Springs</w:t>
        </w:r>
      </w:hyperlink>
      <w:r>
        <w:rPr>
          <w:rStyle w:val="Hyperlink"/>
        </w:rPr>
        <w:t>’</w:t>
      </w:r>
      <w:r w:rsidRPr="001F51AC">
        <w:t>, Australia</w:t>
      </w:r>
      <w:r>
        <w:t>, 30 June 2020.</w:t>
      </w:r>
    </w:p>
  </w:footnote>
  <w:footnote w:id="97">
    <w:p w14:paraId="6A7A5307" w14:textId="77777777" w:rsidR="001C0754" w:rsidRDefault="001C0754" w:rsidP="00DE50FD">
      <w:pPr>
        <w:pStyle w:val="FootnoteText"/>
      </w:pPr>
      <w:r>
        <w:rPr>
          <w:rStyle w:val="FootnoteReference"/>
        </w:rPr>
        <w:footnoteRef/>
      </w:r>
      <w:r>
        <w:t xml:space="preserve"> S&amp;P Market Intelligence Platform, </w:t>
      </w:r>
      <w:hyperlink r:id="rId59" w:anchor="company/longBusinessDescription?id=4242781" w:history="1">
        <w:r w:rsidRPr="00446AF7">
          <w:rPr>
            <w:rStyle w:val="Hyperlink"/>
          </w:rPr>
          <w:t>Viasat Inc | Long Business Description</w:t>
        </w:r>
      </w:hyperlink>
      <w:r>
        <w:t>, accessed 18 November 2020.</w:t>
      </w:r>
    </w:p>
  </w:footnote>
  <w:footnote w:id="98">
    <w:p w14:paraId="2A2E2EC7" w14:textId="5264881F" w:rsidR="001C0754" w:rsidRDefault="001C0754">
      <w:pPr>
        <w:pStyle w:val="FootnoteText"/>
      </w:pPr>
      <w:r>
        <w:rPr>
          <w:rStyle w:val="FootnoteReference"/>
        </w:rPr>
        <w:footnoteRef/>
      </w:r>
      <w:r>
        <w:t xml:space="preserve"> S&amp;P Market Intelligence Platform, </w:t>
      </w:r>
      <w:r w:rsidRPr="0038575A">
        <w:rPr>
          <w:u w:color="0000FF"/>
        </w:rPr>
        <w:t>Amazon.com, Inc. | Segment analysis</w:t>
      </w:r>
      <w:r>
        <w:t>, accessed 23 March 2021.</w:t>
      </w:r>
    </w:p>
  </w:footnote>
  <w:footnote w:id="99">
    <w:p w14:paraId="224B9286" w14:textId="0509CC1B" w:rsidR="001C0754" w:rsidRDefault="001C0754" w:rsidP="007865FD">
      <w:pPr>
        <w:pStyle w:val="FootnoteText"/>
      </w:pPr>
      <w:r>
        <w:rPr>
          <w:rStyle w:val="FootnoteReference"/>
        </w:rPr>
        <w:footnoteRef/>
      </w:r>
      <w:r>
        <w:t xml:space="preserve"> </w:t>
      </w:r>
      <w:r w:rsidRPr="00F178DB">
        <w:t xml:space="preserve">S&amp;P Market Intelligence Platform, </w:t>
      </w:r>
      <w:r w:rsidRPr="007865FD">
        <w:rPr>
          <w:u w:color="0000FF"/>
        </w:rPr>
        <w:t>Amazon | Long business description</w:t>
      </w:r>
      <w:r w:rsidRPr="00F178DB">
        <w:t xml:space="preserve">, </w:t>
      </w:r>
      <w:r>
        <w:t>accessed</w:t>
      </w:r>
      <w:r w:rsidRPr="00F178DB">
        <w:t xml:space="preserve"> </w:t>
      </w:r>
      <w:r>
        <w:t>13</w:t>
      </w:r>
      <w:r w:rsidRPr="00F178DB">
        <w:t xml:space="preserve"> October 2020.</w:t>
      </w:r>
    </w:p>
  </w:footnote>
  <w:footnote w:id="100">
    <w:p w14:paraId="563FA27B" w14:textId="75C6DEDB" w:rsidR="001C0754" w:rsidRDefault="001C0754" w:rsidP="00BB7E5C">
      <w:pPr>
        <w:pStyle w:val="FootnoteText"/>
      </w:pPr>
      <w:r>
        <w:rPr>
          <w:rStyle w:val="FootnoteReference"/>
        </w:rPr>
        <w:footnoteRef/>
      </w:r>
      <w:r>
        <w:t xml:space="preserve"> GlobalData, ‘</w:t>
      </w:r>
      <w:r w:rsidRPr="007865FD">
        <w:rPr>
          <w:u w:color="0000FF"/>
        </w:rPr>
        <w:t>Amazon plans to invest more than $10bn on LEO satellite constellation</w:t>
      </w:r>
      <w:r>
        <w:rPr>
          <w:u w:color="0000FF"/>
        </w:rPr>
        <w:t>’</w:t>
      </w:r>
      <w:r>
        <w:t>, 30 July 2020.</w:t>
      </w:r>
    </w:p>
  </w:footnote>
  <w:footnote w:id="101">
    <w:p w14:paraId="735747A7" w14:textId="4F3F98CE" w:rsidR="001C0754" w:rsidRDefault="001C0754">
      <w:pPr>
        <w:pStyle w:val="FootnoteText"/>
      </w:pPr>
      <w:r>
        <w:rPr>
          <w:rStyle w:val="FootnoteReference"/>
        </w:rPr>
        <w:footnoteRef/>
      </w:r>
      <w:r>
        <w:t xml:space="preserve"> S&amp;P Market Intelligence Platform, </w:t>
      </w:r>
      <w:r w:rsidRPr="00A66F2D">
        <w:rPr>
          <w:u w:color="0000FF"/>
        </w:rPr>
        <w:t>Facebook Inc. | Financial Highlights and Segment analysis</w:t>
      </w:r>
      <w:r>
        <w:t>, accessed 23 March 2021.</w:t>
      </w:r>
    </w:p>
  </w:footnote>
  <w:footnote w:id="102">
    <w:p w14:paraId="038FD23A" w14:textId="55D5E655" w:rsidR="001C0754" w:rsidRDefault="001C0754" w:rsidP="005A1BA7">
      <w:pPr>
        <w:pStyle w:val="FootnoteText"/>
      </w:pPr>
      <w:r>
        <w:rPr>
          <w:rStyle w:val="FootnoteReference"/>
        </w:rPr>
        <w:footnoteRef/>
      </w:r>
      <w:r>
        <w:t xml:space="preserve"> GlobalData, </w:t>
      </w:r>
      <w:r w:rsidRPr="005A1BA7">
        <w:rPr>
          <w:u w:color="0000FF"/>
        </w:rPr>
        <w:t>Facebook Inc | Overview</w:t>
      </w:r>
      <w:r>
        <w:t>, accessed 14 October 2020.</w:t>
      </w:r>
    </w:p>
  </w:footnote>
  <w:footnote w:id="103">
    <w:p w14:paraId="68120C61" w14:textId="6900B24E" w:rsidR="001C0754" w:rsidRDefault="001C0754" w:rsidP="00565AF4">
      <w:pPr>
        <w:pStyle w:val="FootnoteText"/>
      </w:pPr>
      <w:r>
        <w:rPr>
          <w:rStyle w:val="FootnoteReference"/>
        </w:rPr>
        <w:footnoteRef/>
      </w:r>
      <w:r>
        <w:t xml:space="preserve"> </w:t>
      </w:r>
      <w:r w:rsidRPr="00010B44">
        <w:t xml:space="preserve">S&amp;P Market Intelligence, </w:t>
      </w:r>
      <w:r w:rsidRPr="00A66F2D">
        <w:rPr>
          <w:u w:color="0000FF"/>
        </w:rPr>
        <w:t>Facebook Inc | Long Business Description</w:t>
      </w:r>
      <w:r w:rsidRPr="00010B44">
        <w:t xml:space="preserve">, </w:t>
      </w:r>
      <w:r>
        <w:t>accessed</w:t>
      </w:r>
      <w:r w:rsidRPr="00010B44">
        <w:t xml:space="preserve"> </w:t>
      </w:r>
      <w:r>
        <w:t>14</w:t>
      </w:r>
      <w:r w:rsidRPr="00010B44">
        <w:t xml:space="preserve"> </w:t>
      </w:r>
      <w:r>
        <w:t>October</w:t>
      </w:r>
      <w:r w:rsidRPr="00010B44">
        <w:t xml:space="preserve"> 2020.</w:t>
      </w:r>
    </w:p>
  </w:footnote>
  <w:footnote w:id="104">
    <w:p w14:paraId="2BACD59E" w14:textId="77777777" w:rsidR="001C0754" w:rsidRDefault="001C0754" w:rsidP="00BB7E5C">
      <w:pPr>
        <w:pStyle w:val="FootnoteText"/>
      </w:pPr>
      <w:r>
        <w:rPr>
          <w:rStyle w:val="FootnoteReference"/>
        </w:rPr>
        <w:footnoteRef/>
      </w:r>
      <w:r>
        <w:t xml:space="preserve"> Dano, M., ‘</w:t>
      </w:r>
      <w:hyperlink r:id="rId60" w:history="1">
        <w:r w:rsidRPr="00755653">
          <w:rPr>
            <w:rStyle w:val="Hyperlink"/>
          </w:rPr>
          <w:t>Facebook goes to space</w:t>
        </w:r>
      </w:hyperlink>
      <w:r>
        <w:t>’, Light Reading, 10 September 2020.</w:t>
      </w:r>
    </w:p>
  </w:footnote>
  <w:footnote w:id="105">
    <w:p w14:paraId="720BB2A6" w14:textId="5AC55B49" w:rsidR="001C0754" w:rsidRDefault="001C0754">
      <w:pPr>
        <w:pStyle w:val="FootnoteText"/>
      </w:pPr>
      <w:r>
        <w:rPr>
          <w:rStyle w:val="FootnoteReference"/>
        </w:rPr>
        <w:footnoteRef/>
      </w:r>
      <w:r>
        <w:t xml:space="preserve"> S&amp;P Market Intelligence Platform, </w:t>
      </w:r>
      <w:r w:rsidRPr="0073767D">
        <w:rPr>
          <w:u w:color="0000FF"/>
        </w:rPr>
        <w:t>Kepler Communications Inc.| Co</w:t>
      </w:r>
      <w:r>
        <w:rPr>
          <w:u w:color="0000FF"/>
        </w:rPr>
        <w:t>mpany Description</w:t>
      </w:r>
      <w:r>
        <w:t>, accessed 18 January 2021.</w:t>
      </w:r>
    </w:p>
  </w:footnote>
  <w:footnote w:id="106">
    <w:p w14:paraId="65BEEED9" w14:textId="604BF082" w:rsidR="001C0754" w:rsidRDefault="001C0754">
      <w:pPr>
        <w:pStyle w:val="FootnoteText"/>
      </w:pPr>
      <w:r>
        <w:rPr>
          <w:rStyle w:val="FootnoteReference"/>
        </w:rPr>
        <w:footnoteRef/>
      </w:r>
      <w:r>
        <w:t xml:space="preserve"> S&amp;P Market Intelligence Platform, </w:t>
      </w:r>
      <w:r w:rsidRPr="0073767D">
        <w:rPr>
          <w:u w:color="0000FF"/>
        </w:rPr>
        <w:t>Kepler Communications Inc.| Corporate Profile</w:t>
      </w:r>
      <w:r>
        <w:t>, accessed 18 January 2021.</w:t>
      </w:r>
    </w:p>
  </w:footnote>
  <w:footnote w:id="107">
    <w:p w14:paraId="4D2B1D7E" w14:textId="447E5F7D" w:rsidR="001C0754" w:rsidRDefault="001C0754" w:rsidP="00AE0A5A">
      <w:pPr>
        <w:pStyle w:val="FootnoteText"/>
      </w:pPr>
      <w:r>
        <w:rPr>
          <w:rStyle w:val="FootnoteReference"/>
        </w:rPr>
        <w:footnoteRef/>
      </w:r>
      <w:r>
        <w:t xml:space="preserve"> Kepler, ‘</w:t>
      </w:r>
      <w:hyperlink r:id="rId61" w:history="1">
        <w:r w:rsidRPr="00256354">
          <w:rPr>
            <w:rStyle w:val="Hyperlink"/>
          </w:rPr>
          <w:t>A Network to Connect the Globe</w:t>
        </w:r>
      </w:hyperlink>
      <w:r>
        <w:rPr>
          <w:rStyle w:val="Hyperlink"/>
        </w:rPr>
        <w:t>’</w:t>
      </w:r>
      <w:r>
        <w:t>, accessed 18 January 2021.</w:t>
      </w:r>
    </w:p>
  </w:footnote>
  <w:footnote w:id="108">
    <w:p w14:paraId="20F2C49B" w14:textId="3F221A46" w:rsidR="001C0754" w:rsidRDefault="001C0754" w:rsidP="00C01BB6">
      <w:pPr>
        <w:pStyle w:val="FootnoteText"/>
      </w:pPr>
      <w:r>
        <w:rPr>
          <w:rStyle w:val="FootnoteReference"/>
        </w:rPr>
        <w:footnoteRef/>
      </w:r>
      <w:r>
        <w:t xml:space="preserve"> S&amp;P Market Intelligence Platform, </w:t>
      </w:r>
      <w:hyperlink r:id="rId62" w:anchor="company/profile?id=5328140" w:history="1">
        <w:r w:rsidRPr="00A25548">
          <w:rPr>
            <w:rStyle w:val="Hyperlink"/>
          </w:rPr>
          <w:t>Myriota Pty. Ltd.| Corporate Profile</w:t>
        </w:r>
      </w:hyperlink>
      <w:r>
        <w:t>, accessed 19 November 2020.</w:t>
      </w:r>
    </w:p>
  </w:footnote>
  <w:footnote w:id="109">
    <w:p w14:paraId="35B658F8" w14:textId="3EBF33B1" w:rsidR="001C0754" w:rsidRDefault="001C0754" w:rsidP="002348FF">
      <w:pPr>
        <w:pStyle w:val="FootnoteText"/>
      </w:pPr>
      <w:r>
        <w:rPr>
          <w:rStyle w:val="FootnoteReference"/>
        </w:rPr>
        <w:footnoteRef/>
      </w:r>
      <w:r>
        <w:t xml:space="preserve"> </w:t>
      </w:r>
      <w:r w:rsidRPr="00F61F68">
        <w:t>Kinéis</w:t>
      </w:r>
      <w:r>
        <w:t>, ‘ACMA 5-year spectrum plan: Kinéis contribution’, 24 June 2020.</w:t>
      </w:r>
    </w:p>
  </w:footnote>
  <w:footnote w:id="110">
    <w:p w14:paraId="123617E1" w14:textId="1A56BD6F" w:rsidR="001C0754" w:rsidRDefault="001C0754" w:rsidP="008A7533">
      <w:pPr>
        <w:pStyle w:val="FootnoteText"/>
      </w:pPr>
      <w:r>
        <w:rPr>
          <w:rStyle w:val="FootnoteReference"/>
        </w:rPr>
        <w:footnoteRef/>
      </w:r>
      <w:r>
        <w:t xml:space="preserve"> </w:t>
      </w:r>
      <w:r w:rsidRPr="00F61F68">
        <w:t>Kinéis</w:t>
      </w:r>
      <w:r>
        <w:t>, ‘</w:t>
      </w:r>
      <w:hyperlink r:id="rId63" w:history="1">
        <w:r w:rsidRPr="00433B8B">
          <w:rPr>
            <w:rStyle w:val="Hyperlink"/>
          </w:rPr>
          <w:t>Your Industry</w:t>
        </w:r>
      </w:hyperlink>
      <w:r>
        <w:rPr>
          <w:rStyle w:val="Hyperlink"/>
        </w:rPr>
        <w:t>’</w:t>
      </w:r>
      <w:r>
        <w:t>, accessed 21 January 2021.</w:t>
      </w:r>
    </w:p>
  </w:footnote>
  <w:footnote w:id="111">
    <w:p w14:paraId="11508E6B" w14:textId="2D9C28CC" w:rsidR="001C0754" w:rsidRDefault="001C0754">
      <w:pPr>
        <w:pStyle w:val="FootnoteText"/>
      </w:pPr>
      <w:r>
        <w:rPr>
          <w:rStyle w:val="FootnoteReference"/>
        </w:rPr>
        <w:footnoteRef/>
      </w:r>
      <w:r>
        <w:t xml:space="preserve"> S&amp;P Market Intelligence Platform, Omnispace LLC | Private company, accessed 23 March 2021.</w:t>
      </w:r>
    </w:p>
  </w:footnote>
  <w:footnote w:id="112">
    <w:p w14:paraId="73BCC19E" w14:textId="15535E95" w:rsidR="001C0754" w:rsidRPr="00313538" w:rsidRDefault="001C0754">
      <w:pPr>
        <w:pStyle w:val="FootnoteText"/>
      </w:pPr>
      <w:r>
        <w:rPr>
          <w:rStyle w:val="FootnoteReference"/>
        </w:rPr>
        <w:footnoteRef/>
      </w:r>
      <w:r>
        <w:t xml:space="preserve"> Hill, J., ‘</w:t>
      </w:r>
      <w:hyperlink r:id="rId64" w:history="1">
        <w:r w:rsidRPr="00313538">
          <w:rPr>
            <w:rStyle w:val="Hyperlink"/>
          </w:rPr>
          <w:t>Omnispace CEO Determined to Defy Convention with 5G Satellite Constellation</w:t>
        </w:r>
      </w:hyperlink>
      <w:r>
        <w:t xml:space="preserve">’, </w:t>
      </w:r>
      <w:r>
        <w:rPr>
          <w:i/>
          <w:iCs/>
        </w:rPr>
        <w:t>Via Satellite</w:t>
      </w:r>
      <w:r>
        <w:t>, 5 February 2021.</w:t>
      </w:r>
    </w:p>
  </w:footnote>
  <w:footnote w:id="113">
    <w:p w14:paraId="79A8C8CD" w14:textId="16556AAC" w:rsidR="001C0754" w:rsidRDefault="001C0754">
      <w:pPr>
        <w:pStyle w:val="FootnoteText"/>
      </w:pPr>
      <w:r>
        <w:rPr>
          <w:rStyle w:val="FootnoteReference"/>
        </w:rPr>
        <w:footnoteRef/>
      </w:r>
      <w:r>
        <w:t xml:space="preserve"> Omnispace, </w:t>
      </w:r>
      <w:hyperlink r:id="rId65" w:history="1">
        <w:r w:rsidRPr="006125EA">
          <w:rPr>
            <w:rStyle w:val="Hyperlink"/>
          </w:rPr>
          <w:t>‘Lockheed Martin and Omnispace Explore Space-Based 5G Global Network’</w:t>
        </w:r>
      </w:hyperlink>
      <w:r>
        <w:t xml:space="preserve">, </w:t>
      </w:r>
    </w:p>
  </w:footnote>
  <w:footnote w:id="114">
    <w:p w14:paraId="1BF6340E" w14:textId="086897CB" w:rsidR="001C0754" w:rsidRDefault="001C0754">
      <w:pPr>
        <w:pStyle w:val="FootnoteText"/>
      </w:pPr>
      <w:r>
        <w:rPr>
          <w:rStyle w:val="FootnoteReference"/>
        </w:rPr>
        <w:footnoteRef/>
      </w:r>
      <w:r>
        <w:t xml:space="preserve"> Other examples of this proposed approach include </w:t>
      </w:r>
      <w:hyperlink r:id="rId66" w:history="1">
        <w:r w:rsidRPr="00AA11E2">
          <w:rPr>
            <w:rStyle w:val="Hyperlink"/>
          </w:rPr>
          <w:t>AST</w:t>
        </w:r>
      </w:hyperlink>
      <w:r>
        <w:t xml:space="preserve"> and </w:t>
      </w:r>
      <w:hyperlink r:id="rId67" w:history="1">
        <w:r w:rsidRPr="00AA11E2">
          <w:rPr>
            <w:rStyle w:val="Hyperlink"/>
          </w:rPr>
          <w:t>Lynk</w:t>
        </w:r>
      </w:hyperlink>
      <w:r>
        <w:t>.</w:t>
      </w:r>
    </w:p>
  </w:footnote>
  <w:footnote w:id="115">
    <w:p w14:paraId="6BF9F3FE" w14:textId="0A962A54" w:rsidR="001C0754" w:rsidRDefault="001C0754">
      <w:pPr>
        <w:pStyle w:val="FootnoteText"/>
      </w:pPr>
      <w:r>
        <w:rPr>
          <w:rStyle w:val="FootnoteReference"/>
        </w:rPr>
        <w:footnoteRef/>
      </w:r>
      <w:r>
        <w:t xml:space="preserve"> Omnispace, ‘</w:t>
      </w:r>
      <w:hyperlink r:id="rId68" w:history="1">
        <w:r w:rsidRPr="008E0A39">
          <w:rPr>
            <w:rStyle w:val="Hyperlink"/>
          </w:rPr>
          <w:t>Redifining connectivity for the 21</w:t>
        </w:r>
        <w:r w:rsidRPr="008E0A39">
          <w:rPr>
            <w:rStyle w:val="Hyperlink"/>
            <w:vertAlign w:val="superscript"/>
          </w:rPr>
          <w:t>st</w:t>
        </w:r>
        <w:r w:rsidRPr="008E0A39">
          <w:rPr>
            <w:rStyle w:val="Hyperlink"/>
          </w:rPr>
          <w:t xml:space="preserve"> century</w:t>
        </w:r>
      </w:hyperlink>
      <w:r>
        <w:rPr>
          <w:rStyle w:val="Hyperlink"/>
        </w:rPr>
        <w:t>’</w:t>
      </w:r>
      <w:r>
        <w:t>, accessed 8 February 2021.</w:t>
      </w:r>
    </w:p>
  </w:footnote>
  <w:footnote w:id="116">
    <w:p w14:paraId="04B6D202" w14:textId="3DE291E9" w:rsidR="001C0754" w:rsidRDefault="001C0754">
      <w:pPr>
        <w:pStyle w:val="FootnoteText"/>
      </w:pPr>
      <w:r>
        <w:rPr>
          <w:rStyle w:val="FootnoteReference"/>
        </w:rPr>
        <w:footnoteRef/>
      </w:r>
      <w:r>
        <w:t xml:space="preserve"> S&amp;P Market Intelligence Platform, </w:t>
      </w:r>
      <w:r w:rsidRPr="00EC4656">
        <w:rPr>
          <w:u w:color="0000FF"/>
        </w:rPr>
        <w:t xml:space="preserve">OneWeb LLC | </w:t>
      </w:r>
      <w:r>
        <w:rPr>
          <w:u w:color="0000FF"/>
        </w:rPr>
        <w:t>Company</w:t>
      </w:r>
      <w:r w:rsidRPr="00EC4656">
        <w:rPr>
          <w:u w:color="0000FF"/>
        </w:rPr>
        <w:t xml:space="preserve"> overview</w:t>
      </w:r>
      <w:r>
        <w:t xml:space="preserve">, accessed 8 </w:t>
      </w:r>
      <w:r w:rsidRPr="00EC4656">
        <w:t>October</w:t>
      </w:r>
      <w:r>
        <w:t xml:space="preserve"> 2020.</w:t>
      </w:r>
    </w:p>
  </w:footnote>
  <w:footnote w:id="117">
    <w:p w14:paraId="5C7A218B" w14:textId="04BFB822" w:rsidR="001C0754" w:rsidRDefault="001C0754" w:rsidP="00301A5B">
      <w:pPr>
        <w:pStyle w:val="FootnoteText"/>
      </w:pPr>
      <w:r>
        <w:rPr>
          <w:rStyle w:val="FootnoteReference"/>
        </w:rPr>
        <w:footnoteRef/>
      </w:r>
      <w:r>
        <w:t xml:space="preserve"> OneWeb, ‘</w:t>
      </w:r>
      <w:hyperlink r:id="rId69" w:history="1">
        <w:r w:rsidRPr="0081179A">
          <w:rPr>
            <w:rStyle w:val="Hyperlink"/>
          </w:rPr>
          <w:t>OneWeb Files for Chapter 11 Restructuring to Execute Sale Process</w:t>
        </w:r>
      </w:hyperlink>
      <w:r>
        <w:rPr>
          <w:rStyle w:val="Hyperlink"/>
        </w:rPr>
        <w:t>’</w:t>
      </w:r>
      <w:r>
        <w:t>, 27 March 2020.</w:t>
      </w:r>
    </w:p>
  </w:footnote>
  <w:footnote w:id="118">
    <w:p w14:paraId="1563661C" w14:textId="6921ADB5" w:rsidR="001C0754" w:rsidRDefault="001C0754" w:rsidP="00FE052F">
      <w:pPr>
        <w:pStyle w:val="FootnoteText"/>
      </w:pPr>
      <w:r>
        <w:rPr>
          <w:rStyle w:val="FootnoteReference"/>
        </w:rPr>
        <w:footnoteRef/>
      </w:r>
      <w:r>
        <w:t xml:space="preserve"> OneWeb, ‘</w:t>
      </w:r>
      <w:hyperlink r:id="rId70" w:history="1">
        <w:r w:rsidRPr="00F61CD0">
          <w:rPr>
            <w:rStyle w:val="Hyperlink"/>
          </w:rPr>
          <w:t>OneWeb and Arianespace to restart launches in December 2020</w:t>
        </w:r>
      </w:hyperlink>
      <w:r>
        <w:rPr>
          <w:rStyle w:val="Hyperlink"/>
        </w:rPr>
        <w:t>’</w:t>
      </w:r>
      <w:r>
        <w:t>, 21 September 2020.</w:t>
      </w:r>
    </w:p>
  </w:footnote>
  <w:footnote w:id="119">
    <w:p w14:paraId="070026B4" w14:textId="6CA0C013" w:rsidR="001C0754" w:rsidRDefault="001C0754" w:rsidP="00A95CAC">
      <w:pPr>
        <w:pStyle w:val="FootnoteText"/>
      </w:pPr>
      <w:r>
        <w:rPr>
          <w:rStyle w:val="FootnoteReference"/>
        </w:rPr>
        <w:footnoteRef/>
      </w:r>
      <w:r>
        <w:t xml:space="preserve"> GlobalData, </w:t>
      </w:r>
      <w:r w:rsidRPr="00441032">
        <w:rPr>
          <w:u w:color="0000FF"/>
        </w:rPr>
        <w:t>Space Exploration Technologies Corp | Overview</w:t>
      </w:r>
      <w:r>
        <w:t>, accessed 23 March 2020.</w:t>
      </w:r>
    </w:p>
  </w:footnote>
  <w:footnote w:id="120">
    <w:p w14:paraId="79CD5F88" w14:textId="4C11F369" w:rsidR="001C0754" w:rsidRDefault="001C0754" w:rsidP="00441032">
      <w:pPr>
        <w:pStyle w:val="FootnoteText"/>
      </w:pPr>
      <w:r>
        <w:rPr>
          <w:rStyle w:val="FootnoteReference"/>
        </w:rPr>
        <w:footnoteRef/>
      </w:r>
      <w:r>
        <w:t xml:space="preserve"> Lockheed Martin, ‘</w:t>
      </w:r>
      <w:hyperlink r:id="rId71" w:history="1">
        <w:r w:rsidRPr="009F6ECB">
          <w:rPr>
            <w:rStyle w:val="Hyperlink"/>
          </w:rPr>
          <w:t>Fourth Lockheed Martin-Built GPS III satellite's on board engine now propelling it to orbit</w:t>
        </w:r>
      </w:hyperlink>
      <w:r>
        <w:rPr>
          <w:rStyle w:val="Hyperlink"/>
        </w:rPr>
        <w:t>’</w:t>
      </w:r>
      <w:r>
        <w:t>, 5 November 2020.</w:t>
      </w:r>
    </w:p>
  </w:footnote>
  <w:footnote w:id="121">
    <w:p w14:paraId="590AD758" w14:textId="67B3EA3E" w:rsidR="001C0754" w:rsidRDefault="001C0754" w:rsidP="00D62845">
      <w:pPr>
        <w:pStyle w:val="FootnoteText"/>
      </w:pPr>
      <w:r>
        <w:rPr>
          <w:rStyle w:val="FootnoteReference"/>
        </w:rPr>
        <w:footnoteRef/>
      </w:r>
      <w:r>
        <w:t xml:space="preserve"> Thompson, A., ‘</w:t>
      </w:r>
      <w:hyperlink r:id="rId72" w:history="1">
        <w:r w:rsidRPr="006112E3">
          <w:rPr>
            <w:rStyle w:val="Hyperlink"/>
          </w:rPr>
          <w:t>SpaceX launches 60 Starlink satellites and lands rocket at sea</w:t>
        </w:r>
      </w:hyperlink>
      <w:r>
        <w:rPr>
          <w:rStyle w:val="Hyperlink"/>
        </w:rPr>
        <w:t>’</w:t>
      </w:r>
      <w:r>
        <w:t>, Space.com, 6 October 2020.</w:t>
      </w:r>
    </w:p>
  </w:footnote>
  <w:footnote w:id="122">
    <w:p w14:paraId="2F5E8E03" w14:textId="7C2E4A53" w:rsidR="001C0754" w:rsidRDefault="001C0754" w:rsidP="004F1A66">
      <w:pPr>
        <w:pStyle w:val="FootnoteText"/>
      </w:pPr>
      <w:r>
        <w:rPr>
          <w:rStyle w:val="FootnoteReference"/>
        </w:rPr>
        <w:footnoteRef/>
      </w:r>
      <w:r>
        <w:t xml:space="preserve"> Thompson, A., ‘</w:t>
      </w:r>
      <w:hyperlink r:id="rId73" w:history="1">
        <w:r w:rsidRPr="006112E3">
          <w:rPr>
            <w:rStyle w:val="Hyperlink"/>
          </w:rPr>
          <w:t>SpaceX launches 60 Starlink satellites and lands rocket at sea</w:t>
        </w:r>
      </w:hyperlink>
      <w:r>
        <w:rPr>
          <w:rStyle w:val="Hyperlink"/>
        </w:rPr>
        <w:t>’</w:t>
      </w:r>
      <w:r>
        <w:t>, Space.com, 6 October 2020.</w:t>
      </w:r>
    </w:p>
  </w:footnote>
  <w:footnote w:id="123">
    <w:p w14:paraId="13612D27" w14:textId="4EF0D9E6" w:rsidR="001C0754" w:rsidRDefault="001C0754" w:rsidP="00DA24FD">
      <w:pPr>
        <w:pStyle w:val="FootnoteText"/>
      </w:pPr>
      <w:r>
        <w:rPr>
          <w:rStyle w:val="FootnoteReference"/>
        </w:rPr>
        <w:footnoteRef/>
      </w:r>
      <w:r>
        <w:t xml:space="preserve"> ACMA, ‘</w:t>
      </w:r>
      <w:hyperlink r:id="rId74" w:history="1">
        <w:r w:rsidRPr="00D90D0B">
          <w:rPr>
            <w:rStyle w:val="Hyperlink"/>
          </w:rPr>
          <w:t>Low density and remote areas</w:t>
        </w:r>
      </w:hyperlink>
      <w:r>
        <w:rPr>
          <w:rStyle w:val="Hyperlink"/>
        </w:rPr>
        <w:t>’</w:t>
      </w:r>
      <w:r>
        <w:t xml:space="preserve">, accessed 21 January 2021. </w:t>
      </w:r>
    </w:p>
  </w:footnote>
  <w:footnote w:id="124">
    <w:p w14:paraId="52B1CCCD" w14:textId="36E35CDC" w:rsidR="001C0754" w:rsidRDefault="001C0754" w:rsidP="000C62E8">
      <w:pPr>
        <w:pStyle w:val="FootnoteText"/>
      </w:pPr>
      <w:r>
        <w:rPr>
          <w:rStyle w:val="FootnoteReference"/>
        </w:rPr>
        <w:footnoteRef/>
      </w:r>
      <w:r>
        <w:t xml:space="preserve"> See for example, Duckett, C., ‘</w:t>
      </w:r>
      <w:hyperlink r:id="rId75" w:history="1">
        <w:r w:rsidRPr="00294248">
          <w:rPr>
            <w:rStyle w:val="Hyperlink"/>
          </w:rPr>
          <w:t>SpaceX Starlink picks up Australian 5G mmWave spectrum</w:t>
        </w:r>
      </w:hyperlink>
      <w:r>
        <w:t xml:space="preserve">’, ZD Net, 21 December 2020; and Chan, T., </w:t>
      </w:r>
      <w:r w:rsidRPr="00294248">
        <w:t>‘Starlink gets ACMA greenlight to operate antennas, paving the way for service launch’</w:t>
      </w:r>
      <w:r>
        <w:t>, Communications Day, 28 January 2021.</w:t>
      </w:r>
    </w:p>
  </w:footnote>
  <w:footnote w:id="125">
    <w:p w14:paraId="506FCB45" w14:textId="4B6E3777" w:rsidR="001C0754" w:rsidRDefault="001C0754">
      <w:pPr>
        <w:pStyle w:val="FootnoteText"/>
      </w:pPr>
      <w:r>
        <w:rPr>
          <w:rStyle w:val="FootnoteReference"/>
        </w:rPr>
        <w:footnoteRef/>
      </w:r>
      <w:r>
        <w:t xml:space="preserve"> Starlink, ‘</w:t>
      </w:r>
      <w:hyperlink r:id="rId76" w:history="1">
        <w:r w:rsidRPr="005F1B54">
          <w:rPr>
            <w:rStyle w:val="Hyperlink"/>
          </w:rPr>
          <w:t>Starlink</w:t>
        </w:r>
      </w:hyperlink>
      <w:r>
        <w:rPr>
          <w:rStyle w:val="Hyperlink"/>
        </w:rPr>
        <w:t>’</w:t>
      </w:r>
      <w:r>
        <w:t>, accessed 10 February 2021.</w:t>
      </w:r>
    </w:p>
  </w:footnote>
  <w:footnote w:id="126">
    <w:p w14:paraId="16AD66B7" w14:textId="5E52BE60" w:rsidR="001C0754" w:rsidRDefault="001C0754">
      <w:pPr>
        <w:pStyle w:val="FootnoteText"/>
      </w:pPr>
      <w:r>
        <w:rPr>
          <w:rStyle w:val="FootnoteReference"/>
        </w:rPr>
        <w:footnoteRef/>
      </w:r>
      <w:r>
        <w:t xml:space="preserve"> Starlink, ‘</w:t>
      </w:r>
      <w:hyperlink r:id="rId77" w:history="1">
        <w:r w:rsidRPr="00817023">
          <w:rPr>
            <w:rStyle w:val="Hyperlink"/>
          </w:rPr>
          <w:t>Starlink Beta FAQs</w:t>
        </w:r>
      </w:hyperlink>
      <w:r>
        <w:rPr>
          <w:rStyle w:val="Hyperlink"/>
        </w:rPr>
        <w:t>’</w:t>
      </w:r>
      <w:r>
        <w:t>, accessed 10 February 2021.</w:t>
      </w:r>
    </w:p>
  </w:footnote>
  <w:footnote w:id="127">
    <w:p w14:paraId="0AAFA193" w14:textId="310946B7" w:rsidR="001C0754" w:rsidRDefault="001C0754" w:rsidP="00C923EB">
      <w:pPr>
        <w:pStyle w:val="FootnoteText"/>
      </w:pPr>
      <w:r>
        <w:rPr>
          <w:rStyle w:val="FootnoteReference"/>
        </w:rPr>
        <w:footnoteRef/>
      </w:r>
      <w:r>
        <w:t xml:space="preserve"> Bureau of Meteorology, </w:t>
      </w:r>
      <w:hyperlink r:id="rId78" w:history="1">
        <w:r w:rsidRPr="00294248">
          <w:rPr>
            <w:rStyle w:val="Hyperlink"/>
            <w:i/>
          </w:rPr>
          <w:t>Annual Report 2019–20</w:t>
        </w:r>
      </w:hyperlink>
      <w:r>
        <w:t>, accessed 21 October 2020, p. 18.</w:t>
      </w:r>
    </w:p>
  </w:footnote>
  <w:footnote w:id="128">
    <w:p w14:paraId="2C32200B" w14:textId="4BEAA51C" w:rsidR="001C0754" w:rsidRDefault="001C0754">
      <w:pPr>
        <w:pStyle w:val="FootnoteText"/>
      </w:pPr>
      <w:r>
        <w:rPr>
          <w:rStyle w:val="FootnoteReference"/>
        </w:rPr>
        <w:footnoteRef/>
      </w:r>
      <w:r>
        <w:t xml:space="preserve"> Bureau of Meteorology, ‘</w:t>
      </w:r>
      <w:hyperlink r:id="rId79" w:anchor=":~:text=The%20Bureau%20of%20Meteorology%20is,widely%20used%20services%20of%20government." w:history="1">
        <w:r w:rsidRPr="006E29C8">
          <w:rPr>
            <w:rStyle w:val="Hyperlink"/>
          </w:rPr>
          <w:t>About us</w:t>
        </w:r>
      </w:hyperlink>
      <w:r>
        <w:rPr>
          <w:rStyle w:val="Hyperlink"/>
        </w:rPr>
        <w:t>’</w:t>
      </w:r>
      <w:r>
        <w:t>, accessed 21 October 2020.</w:t>
      </w:r>
    </w:p>
  </w:footnote>
  <w:footnote w:id="129">
    <w:p w14:paraId="46AE4DAD" w14:textId="03CCF9B8" w:rsidR="001C0754" w:rsidRDefault="001C0754">
      <w:pPr>
        <w:pStyle w:val="FootnoteText"/>
      </w:pPr>
      <w:r>
        <w:rPr>
          <w:rStyle w:val="FootnoteReference"/>
        </w:rPr>
        <w:footnoteRef/>
      </w:r>
      <w:r>
        <w:t xml:space="preserve"> Bureau of Meteorology, ‘</w:t>
      </w:r>
      <w:hyperlink r:id="rId80" w:history="1">
        <w:r w:rsidRPr="00676AB7">
          <w:rPr>
            <w:rStyle w:val="Hyperlink"/>
          </w:rPr>
          <w:t>About environmental satellites</w:t>
        </w:r>
      </w:hyperlink>
      <w:r>
        <w:rPr>
          <w:rStyle w:val="Hyperlink"/>
        </w:rPr>
        <w:t>’</w:t>
      </w:r>
      <w:r>
        <w:t>, accessed 21 October 2020.</w:t>
      </w:r>
    </w:p>
  </w:footnote>
  <w:footnote w:id="130">
    <w:p w14:paraId="4A518551" w14:textId="6994B373" w:rsidR="001C0754" w:rsidRDefault="001C0754">
      <w:pPr>
        <w:pStyle w:val="FootnoteText"/>
      </w:pPr>
      <w:r>
        <w:rPr>
          <w:rStyle w:val="FootnoteReference"/>
        </w:rPr>
        <w:footnoteRef/>
      </w:r>
      <w:r>
        <w:t xml:space="preserve"> CSIRO, ‘</w:t>
      </w:r>
      <w:hyperlink r:id="rId81" w:history="1">
        <w:r w:rsidRPr="00840231">
          <w:rPr>
            <w:rStyle w:val="Hyperlink"/>
          </w:rPr>
          <w:t>About us</w:t>
        </w:r>
      </w:hyperlink>
      <w:r>
        <w:rPr>
          <w:rStyle w:val="Hyperlink"/>
        </w:rPr>
        <w:t>’</w:t>
      </w:r>
      <w:r>
        <w:t>, accessed 19 January 2021.</w:t>
      </w:r>
    </w:p>
  </w:footnote>
  <w:footnote w:id="131">
    <w:p w14:paraId="3DAC9428" w14:textId="08B5380B" w:rsidR="001C0754" w:rsidRDefault="001C0754" w:rsidP="005749D6">
      <w:pPr>
        <w:pStyle w:val="FootnoteText"/>
      </w:pPr>
      <w:r>
        <w:rPr>
          <w:rStyle w:val="FootnoteReference"/>
        </w:rPr>
        <w:footnoteRef/>
      </w:r>
      <w:r>
        <w:t xml:space="preserve"> CSIRO, ‘</w:t>
      </w:r>
      <w:hyperlink r:id="rId82" w:history="1">
        <w:r w:rsidRPr="003A4945">
          <w:rPr>
            <w:rStyle w:val="Hyperlink"/>
          </w:rPr>
          <w:t>Astronomy and space</w:t>
        </w:r>
      </w:hyperlink>
      <w:r>
        <w:rPr>
          <w:rStyle w:val="Hyperlink"/>
        </w:rPr>
        <w:t>’</w:t>
      </w:r>
      <w:r>
        <w:t>, accessed 19 January 2021.</w:t>
      </w:r>
    </w:p>
  </w:footnote>
  <w:footnote w:id="132">
    <w:p w14:paraId="6DCBB328" w14:textId="2B33BBBD" w:rsidR="001C0754" w:rsidRDefault="001C0754" w:rsidP="0071592C">
      <w:pPr>
        <w:pStyle w:val="FootnoteText"/>
      </w:pPr>
      <w:r>
        <w:rPr>
          <w:rStyle w:val="FootnoteReference"/>
        </w:rPr>
        <w:footnoteRef/>
      </w:r>
      <w:r>
        <w:t xml:space="preserve"> CSIRO, ‘</w:t>
      </w:r>
      <w:hyperlink r:id="rId83" w:history="1">
        <w:r w:rsidRPr="003A4945">
          <w:rPr>
            <w:rStyle w:val="Hyperlink"/>
          </w:rPr>
          <w:t>Astronomy and space</w:t>
        </w:r>
      </w:hyperlink>
      <w:r>
        <w:rPr>
          <w:rStyle w:val="Hyperlink"/>
        </w:rPr>
        <w:t>’</w:t>
      </w:r>
      <w:r>
        <w:t>, accessed 19 January 2021.</w:t>
      </w:r>
    </w:p>
  </w:footnote>
  <w:footnote w:id="133">
    <w:p w14:paraId="6AA0020A" w14:textId="7AB60EE8" w:rsidR="001C0754" w:rsidRDefault="001C0754" w:rsidP="00515E05">
      <w:pPr>
        <w:pStyle w:val="FootnoteText"/>
      </w:pPr>
      <w:r>
        <w:rPr>
          <w:rStyle w:val="FootnoteReference"/>
        </w:rPr>
        <w:footnoteRef/>
      </w:r>
      <w:r>
        <w:t xml:space="preserve"> Defence, ‘</w:t>
      </w:r>
      <w:hyperlink r:id="rId84" w:history="1">
        <w:r w:rsidRPr="00E62829">
          <w:rPr>
            <w:rStyle w:val="Hyperlink"/>
          </w:rPr>
          <w:t>Who we are and what we do</w:t>
        </w:r>
      </w:hyperlink>
      <w:r>
        <w:rPr>
          <w:rStyle w:val="Hyperlink"/>
        </w:rPr>
        <w:t>’</w:t>
      </w:r>
      <w:r>
        <w:t>, accessed 22 October 2020.</w:t>
      </w:r>
    </w:p>
  </w:footnote>
  <w:footnote w:id="134">
    <w:p w14:paraId="689D8B2E" w14:textId="476826E4" w:rsidR="001C0754" w:rsidRDefault="001C0754" w:rsidP="008F2E4B">
      <w:pPr>
        <w:pStyle w:val="FootnoteText"/>
      </w:pPr>
      <w:r>
        <w:rPr>
          <w:rStyle w:val="FootnoteReference"/>
        </w:rPr>
        <w:footnoteRef/>
      </w:r>
      <w:r>
        <w:t xml:space="preserve"> Defence, </w:t>
      </w:r>
      <w:hyperlink r:id="rId85" w:history="1">
        <w:r w:rsidRPr="00294248">
          <w:rPr>
            <w:rStyle w:val="Hyperlink"/>
            <w:i/>
          </w:rPr>
          <w:t>Annual Report 2019</w:t>
        </w:r>
        <w:r w:rsidRPr="00294248">
          <w:rPr>
            <w:rStyle w:val="Hyperlink"/>
            <w:i/>
            <w:iCs/>
          </w:rPr>
          <w:t>–</w:t>
        </w:r>
        <w:r w:rsidRPr="00294248">
          <w:rPr>
            <w:rStyle w:val="Hyperlink"/>
            <w:i/>
          </w:rPr>
          <w:t>20</w:t>
        </w:r>
      </w:hyperlink>
      <w:r>
        <w:t>, accessed 22 October 2020, p. 96.</w:t>
      </w:r>
    </w:p>
  </w:footnote>
  <w:footnote w:id="135">
    <w:p w14:paraId="29DCC9B9" w14:textId="019CD557" w:rsidR="001C0754" w:rsidRDefault="001C0754">
      <w:pPr>
        <w:pStyle w:val="FootnoteText"/>
      </w:pPr>
      <w:r>
        <w:rPr>
          <w:rStyle w:val="FootnoteReference"/>
        </w:rPr>
        <w:footnoteRef/>
      </w:r>
      <w:r>
        <w:t xml:space="preserve"> S&amp;P Market Intelligence Platform, </w:t>
      </w:r>
      <w:r>
        <w:rPr>
          <w:u w:color="0000FF"/>
        </w:rPr>
        <w:t>NBN Co Limited</w:t>
      </w:r>
      <w:r w:rsidRPr="00EC4656">
        <w:rPr>
          <w:u w:color="0000FF"/>
        </w:rPr>
        <w:t xml:space="preserve"> | </w:t>
      </w:r>
      <w:r>
        <w:rPr>
          <w:u w:color="0000FF"/>
        </w:rPr>
        <w:t>Financial highlights</w:t>
      </w:r>
      <w:r>
        <w:t>, accessed 23 March 2021.</w:t>
      </w:r>
    </w:p>
  </w:footnote>
  <w:footnote w:id="136">
    <w:p w14:paraId="2B743823" w14:textId="60A9B07E" w:rsidR="001C0754" w:rsidRDefault="001C0754">
      <w:pPr>
        <w:pStyle w:val="FootnoteText"/>
      </w:pPr>
      <w:r>
        <w:rPr>
          <w:rStyle w:val="FootnoteReference"/>
        </w:rPr>
        <w:footnoteRef/>
      </w:r>
      <w:r>
        <w:t xml:space="preserve"> NBN Co, ‘</w:t>
      </w:r>
      <w:hyperlink r:id="rId86" w:history="1">
        <w:r w:rsidRPr="00724BA5">
          <w:rPr>
            <w:rStyle w:val="Hyperlink"/>
          </w:rPr>
          <w:t>About NBN Co</w:t>
        </w:r>
      </w:hyperlink>
      <w:r>
        <w:rPr>
          <w:rStyle w:val="Hyperlink"/>
        </w:rPr>
        <w:t>’</w:t>
      </w:r>
      <w:r>
        <w:t>, accessed 18 December 2020.</w:t>
      </w:r>
    </w:p>
  </w:footnote>
  <w:footnote w:id="137">
    <w:p w14:paraId="574BFF7A" w14:textId="16E65162" w:rsidR="001C0754" w:rsidRDefault="001C0754" w:rsidP="00234CB4">
      <w:pPr>
        <w:pStyle w:val="FootnoteText"/>
      </w:pPr>
      <w:r>
        <w:rPr>
          <w:rStyle w:val="FootnoteReference"/>
        </w:rPr>
        <w:footnoteRef/>
      </w:r>
      <w:r>
        <w:t xml:space="preserve"> NBN Co, ‘</w:t>
      </w:r>
      <w:hyperlink r:id="rId87" w:history="1">
        <w:r w:rsidRPr="00EB713D">
          <w:rPr>
            <w:rStyle w:val="Hyperlink"/>
          </w:rPr>
          <w:t>nbn™ technology 101: What is Sky Muster™?</w:t>
        </w:r>
      </w:hyperlink>
      <w:r>
        <w:rPr>
          <w:rStyle w:val="Hyperlink"/>
        </w:rPr>
        <w:t>’</w:t>
      </w:r>
      <w:r>
        <w:t>, 16 June 2017.</w:t>
      </w:r>
    </w:p>
  </w:footnote>
  <w:footnote w:id="138">
    <w:p w14:paraId="208BEB03" w14:textId="1CCCE090" w:rsidR="001C0754" w:rsidRDefault="001C0754" w:rsidP="00BB7E5C">
      <w:pPr>
        <w:pStyle w:val="FootnoteText"/>
      </w:pPr>
      <w:r>
        <w:rPr>
          <w:rStyle w:val="FootnoteReference"/>
        </w:rPr>
        <w:footnoteRef/>
      </w:r>
      <w:r>
        <w:t xml:space="preserve"> NBN Co, ‘</w:t>
      </w:r>
      <w:hyperlink r:id="rId88" w:history="1">
        <w:r w:rsidRPr="006F6F0E">
          <w:rPr>
            <w:rStyle w:val="Hyperlink"/>
          </w:rPr>
          <w:t>100,000 reasons to love nbn™ Sky Muster™ satellite service</w:t>
        </w:r>
      </w:hyperlink>
      <w:r>
        <w:rPr>
          <w:rStyle w:val="Hyperlink"/>
        </w:rPr>
        <w:t>’</w:t>
      </w:r>
      <w:r>
        <w:t>, 10 June 2020.</w:t>
      </w:r>
    </w:p>
  </w:footnote>
  <w:footnote w:id="139">
    <w:p w14:paraId="3CB17085" w14:textId="68E4B9B2" w:rsidR="001C0754" w:rsidRDefault="001C0754" w:rsidP="00DD3335">
      <w:pPr>
        <w:pStyle w:val="FootnoteText"/>
      </w:pPr>
      <w:r>
        <w:rPr>
          <w:rStyle w:val="FootnoteReference"/>
        </w:rPr>
        <w:footnoteRef/>
      </w:r>
      <w:r>
        <w:t xml:space="preserve"> S&amp;P Market Intelligence Platform, </w:t>
      </w:r>
      <w:r w:rsidRPr="00DD3335">
        <w:rPr>
          <w:u w:color="0000FF"/>
        </w:rPr>
        <w:t>Astrocast | Company profile</w:t>
      </w:r>
      <w:r>
        <w:t>, accessed 6 October 2020.</w:t>
      </w:r>
    </w:p>
  </w:footnote>
  <w:footnote w:id="140">
    <w:p w14:paraId="6B95FE10" w14:textId="6DF583D3" w:rsidR="001C0754" w:rsidRDefault="001C0754" w:rsidP="00042E79">
      <w:pPr>
        <w:pStyle w:val="FootnoteText"/>
      </w:pPr>
      <w:r>
        <w:rPr>
          <w:rStyle w:val="FootnoteReference"/>
        </w:rPr>
        <w:footnoteRef/>
      </w:r>
      <w:r>
        <w:t xml:space="preserve"> Gilmour Space, ‘ </w:t>
      </w:r>
      <w:hyperlink r:id="rId89" w:history="1">
        <w:r w:rsidRPr="00D63DC7">
          <w:rPr>
            <w:rStyle w:val="Hyperlink"/>
          </w:rPr>
          <w:t>About</w:t>
        </w:r>
      </w:hyperlink>
      <w:r>
        <w:rPr>
          <w:rStyle w:val="Hyperlink"/>
        </w:rPr>
        <w:t>’</w:t>
      </w:r>
      <w:r>
        <w:t>, accessed 20 January 2021.</w:t>
      </w:r>
    </w:p>
  </w:footnote>
  <w:footnote w:id="141">
    <w:p w14:paraId="1A686E8C" w14:textId="4F62DF8A" w:rsidR="001C0754" w:rsidRDefault="001C0754" w:rsidP="00FB6895">
      <w:pPr>
        <w:pStyle w:val="FootnoteText"/>
      </w:pPr>
      <w:r>
        <w:rPr>
          <w:rStyle w:val="FootnoteReference"/>
        </w:rPr>
        <w:footnoteRef/>
      </w:r>
      <w:r>
        <w:t xml:space="preserve"> Gilmour Space, ‘</w:t>
      </w:r>
      <w:hyperlink r:id="rId90" w:history="1">
        <w:r w:rsidRPr="001C4440">
          <w:rPr>
            <w:rStyle w:val="Hyperlink"/>
          </w:rPr>
          <w:t>Gilmour Space</w:t>
        </w:r>
      </w:hyperlink>
      <w:r>
        <w:rPr>
          <w:rStyle w:val="Hyperlink"/>
        </w:rPr>
        <w:t>’</w:t>
      </w:r>
      <w:r>
        <w:t>, accessed 20 January 2021.</w:t>
      </w:r>
    </w:p>
  </w:footnote>
  <w:footnote w:id="142">
    <w:p w14:paraId="38738026" w14:textId="49A8EF83" w:rsidR="001C0754" w:rsidRDefault="001C0754">
      <w:pPr>
        <w:pStyle w:val="FootnoteText"/>
      </w:pPr>
      <w:r>
        <w:rPr>
          <w:rStyle w:val="FootnoteReference"/>
        </w:rPr>
        <w:footnoteRef/>
      </w:r>
      <w:r>
        <w:t xml:space="preserve"> Another teleport, which is recently established is </w:t>
      </w:r>
      <w:hyperlink r:id="rId91" w:history="1">
        <w:r w:rsidRPr="00226D59">
          <w:rPr>
            <w:rStyle w:val="Hyperlink"/>
          </w:rPr>
          <w:t>Capricorn Space</w:t>
        </w:r>
      </w:hyperlink>
      <w:r>
        <w:t>, which is looking to offer connections for businesses looking to link their services through Australia.</w:t>
      </w:r>
    </w:p>
  </w:footnote>
  <w:footnote w:id="143">
    <w:p w14:paraId="5E7254A8" w14:textId="1F26A174" w:rsidR="001C0754" w:rsidRDefault="001C0754" w:rsidP="00261CBC">
      <w:pPr>
        <w:pStyle w:val="FootnoteText"/>
      </w:pPr>
      <w:r>
        <w:rPr>
          <w:rStyle w:val="FootnoteReference"/>
        </w:rPr>
        <w:footnoteRef/>
      </w:r>
      <w:r>
        <w:t xml:space="preserve"> Goonhilly Earth Station Limited, ‘</w:t>
      </w:r>
      <w:hyperlink r:id="rId92" w:history="1">
        <w:r w:rsidRPr="00805CBD">
          <w:rPr>
            <w:rStyle w:val="Hyperlink"/>
          </w:rPr>
          <w:t>About GES Ltd</w:t>
        </w:r>
      </w:hyperlink>
      <w:r>
        <w:rPr>
          <w:rStyle w:val="Hyperlink"/>
        </w:rPr>
        <w:t>’</w:t>
      </w:r>
      <w:r>
        <w:t>, accessed 12 October 2020.</w:t>
      </w:r>
    </w:p>
  </w:footnote>
  <w:footnote w:id="144">
    <w:p w14:paraId="53166BC2" w14:textId="69BD1911" w:rsidR="001C0754" w:rsidRDefault="001C0754" w:rsidP="00AB02AE">
      <w:pPr>
        <w:pStyle w:val="FootnoteText"/>
      </w:pPr>
      <w:r>
        <w:rPr>
          <w:rStyle w:val="FootnoteReference"/>
        </w:rPr>
        <w:footnoteRef/>
      </w:r>
      <w:r>
        <w:t xml:space="preserve"> S&amp;P Market Intelligence Platform, </w:t>
      </w:r>
      <w:r w:rsidRPr="00AB02AE">
        <w:rPr>
          <w:u w:color="0000FF"/>
        </w:rPr>
        <w:t>Goonhilly Earth Station Ltd | Funding overview</w:t>
      </w:r>
      <w:r>
        <w:t>, accessed 23 March 2020.</w:t>
      </w:r>
    </w:p>
  </w:footnote>
  <w:footnote w:id="145">
    <w:p w14:paraId="43CD9EFD" w14:textId="06FC9695" w:rsidR="001C0754" w:rsidRDefault="001C0754" w:rsidP="00C720C7">
      <w:pPr>
        <w:pStyle w:val="FootnoteText"/>
      </w:pPr>
      <w:r>
        <w:rPr>
          <w:rStyle w:val="FootnoteReference"/>
        </w:rPr>
        <w:footnoteRef/>
      </w:r>
      <w:r>
        <w:t xml:space="preserve"> S&amp;P Market Intelligence Platform, </w:t>
      </w:r>
      <w:r w:rsidRPr="00C720C7">
        <w:rPr>
          <w:u w:color="0000FF"/>
        </w:rPr>
        <w:t>Myriota Pty. Ltd.| Corporate Profile</w:t>
      </w:r>
      <w:r>
        <w:t>, accessed 19 November 2020.</w:t>
      </w:r>
    </w:p>
  </w:footnote>
  <w:footnote w:id="146">
    <w:p w14:paraId="7DDC0F53" w14:textId="2329774C" w:rsidR="001C0754" w:rsidRDefault="001C0754">
      <w:pPr>
        <w:pStyle w:val="FootnoteText"/>
      </w:pPr>
      <w:r>
        <w:rPr>
          <w:rStyle w:val="FootnoteReference"/>
        </w:rPr>
        <w:footnoteRef/>
      </w:r>
      <w:r>
        <w:t xml:space="preserve"> S&amp;P Market Intelligence Platform, </w:t>
      </w:r>
      <w:r w:rsidRPr="00561A0E">
        <w:rPr>
          <w:u w:color="0000FF"/>
        </w:rPr>
        <w:t>Myriota Pty. Ltd.| Corporate Profile</w:t>
      </w:r>
      <w:r>
        <w:t>, accessed 19 November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60"/>
      <w:gridCol w:w="3260"/>
      <w:gridCol w:w="3260"/>
    </w:tblGrid>
    <w:tr w:rsidR="001C0754" w14:paraId="7276C4F5" w14:textId="77777777" w:rsidTr="00BB7E5C">
      <w:tc>
        <w:tcPr>
          <w:tcW w:w="3260" w:type="dxa"/>
        </w:tcPr>
        <w:p w14:paraId="2B7122F1" w14:textId="77777777" w:rsidR="001C0754" w:rsidRDefault="001C0754" w:rsidP="00BB7E5C">
          <w:pPr>
            <w:pStyle w:val="Header"/>
            <w:ind w:left="-115"/>
          </w:pPr>
        </w:p>
      </w:tc>
      <w:tc>
        <w:tcPr>
          <w:tcW w:w="3260" w:type="dxa"/>
        </w:tcPr>
        <w:p w14:paraId="2E563F2F" w14:textId="77777777" w:rsidR="001C0754" w:rsidRDefault="001C0754" w:rsidP="00BB7E5C">
          <w:pPr>
            <w:pStyle w:val="Header"/>
            <w:jc w:val="center"/>
          </w:pPr>
        </w:p>
      </w:tc>
      <w:tc>
        <w:tcPr>
          <w:tcW w:w="3260" w:type="dxa"/>
        </w:tcPr>
        <w:p w14:paraId="3DC2BA6D" w14:textId="77777777" w:rsidR="001C0754" w:rsidRDefault="001C0754" w:rsidP="00BB7E5C">
          <w:pPr>
            <w:pStyle w:val="Header"/>
            <w:ind w:right="-115"/>
            <w:jc w:val="right"/>
          </w:pPr>
        </w:p>
      </w:tc>
    </w:tr>
  </w:tbl>
  <w:p w14:paraId="516ED148" w14:textId="77777777" w:rsidR="001C0754" w:rsidRDefault="001C07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F41C31" w14:textId="77777777" w:rsidR="001C0754" w:rsidRPr="00A5474E" w:rsidRDefault="001C0754" w:rsidP="00BB7E5C">
    <w:pPr>
      <w:pStyle w:val="Header"/>
    </w:pPr>
    <w:r>
      <w:rPr>
        <w:noProof/>
      </w:rPr>
      <w:drawing>
        <wp:inline distT="0" distB="0" distL="0" distR="0" wp14:anchorId="04D1F3E2" wp14:editId="00243989">
          <wp:extent cx="6283432"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83432" cy="578076"/>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54BDB0" w14:textId="77777777" w:rsidR="001C0754" w:rsidRPr="00A5474E" w:rsidRDefault="001C0754" w:rsidP="00BB7E5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AB8F61" w14:textId="77777777" w:rsidR="001C0754" w:rsidRDefault="001C075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F5FB1" w14:textId="77777777" w:rsidR="001C0754" w:rsidRDefault="001C075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1C0754" w14:paraId="05531477" w14:textId="77777777" w:rsidTr="00BB7E5C">
      <w:trPr>
        <w:trHeight w:hRule="exact" w:val="988"/>
      </w:trPr>
      <w:tc>
        <w:tcPr>
          <w:tcW w:w="7678" w:type="dxa"/>
          <w:shd w:val="clear" w:color="auto" w:fill="auto"/>
        </w:tcPr>
        <w:p w14:paraId="6F861150" w14:textId="77777777" w:rsidR="001C0754" w:rsidRDefault="001C0754" w:rsidP="00971914">
          <w:pPr>
            <w:pStyle w:val="Header"/>
          </w:pPr>
        </w:p>
      </w:tc>
    </w:tr>
    <w:tr w:rsidR="001C0754" w14:paraId="6D069214" w14:textId="77777777" w:rsidTr="00BB7E5C">
      <w:tc>
        <w:tcPr>
          <w:tcW w:w="7678" w:type="dxa"/>
          <w:shd w:val="clear" w:color="auto" w:fill="auto"/>
        </w:tcPr>
        <w:p w14:paraId="5F44CA02" w14:textId="77777777" w:rsidR="001C0754" w:rsidRDefault="001C0754" w:rsidP="00971914">
          <w:pPr>
            <w:pStyle w:val="GridTable31"/>
          </w:pPr>
          <w:r>
            <w:t xml:space="preserve">Contents </w:t>
          </w:r>
          <w:r w:rsidRPr="00915B1C">
            <w:rPr>
              <w:b w:val="0"/>
              <w:spacing w:val="0"/>
              <w:sz w:val="28"/>
              <w:szCs w:val="28"/>
            </w:rPr>
            <w:t>(Continued)</w:t>
          </w:r>
        </w:p>
      </w:tc>
    </w:tr>
    <w:tr w:rsidR="001C0754" w14:paraId="30E65BE9" w14:textId="77777777" w:rsidTr="00BB7E5C">
      <w:trPr>
        <w:trHeight w:val="1220"/>
      </w:trPr>
      <w:tc>
        <w:tcPr>
          <w:tcW w:w="7678" w:type="dxa"/>
          <w:shd w:val="clear" w:color="auto" w:fill="auto"/>
        </w:tcPr>
        <w:p w14:paraId="301F03ED" w14:textId="77777777" w:rsidR="001C0754" w:rsidRDefault="001C0754" w:rsidP="00971914"/>
      </w:tc>
    </w:tr>
  </w:tbl>
  <w:p w14:paraId="1060D80F" w14:textId="77777777" w:rsidR="001C0754" w:rsidRDefault="001C0754"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1C0754" w14:paraId="35AD598B" w14:textId="77777777" w:rsidTr="00BB7E5C">
      <w:trPr>
        <w:trHeight w:hRule="exact" w:val="988"/>
      </w:trPr>
      <w:tc>
        <w:tcPr>
          <w:tcW w:w="7678" w:type="dxa"/>
          <w:shd w:val="clear" w:color="auto" w:fill="auto"/>
        </w:tcPr>
        <w:p w14:paraId="2A486091" w14:textId="77777777" w:rsidR="001C0754" w:rsidRDefault="001C0754" w:rsidP="00971914">
          <w:pPr>
            <w:pStyle w:val="Header"/>
          </w:pPr>
        </w:p>
      </w:tc>
    </w:tr>
    <w:tr w:rsidR="001C0754" w14:paraId="798193DF" w14:textId="77777777" w:rsidTr="00BB7E5C">
      <w:tc>
        <w:tcPr>
          <w:tcW w:w="7678" w:type="dxa"/>
          <w:shd w:val="clear" w:color="auto" w:fill="auto"/>
        </w:tcPr>
        <w:p w14:paraId="5650EC2E" w14:textId="77777777" w:rsidR="001C0754" w:rsidRDefault="001C0754" w:rsidP="00971914">
          <w:pPr>
            <w:pStyle w:val="GridTable31"/>
          </w:pPr>
          <w:r>
            <w:t xml:space="preserve">Contents </w:t>
          </w:r>
          <w:r w:rsidRPr="00915B1C">
            <w:rPr>
              <w:b w:val="0"/>
              <w:spacing w:val="0"/>
              <w:sz w:val="28"/>
              <w:szCs w:val="28"/>
            </w:rPr>
            <w:t>(Continued)</w:t>
          </w:r>
        </w:p>
      </w:tc>
    </w:tr>
    <w:tr w:rsidR="001C0754" w14:paraId="1D22ADA1" w14:textId="77777777" w:rsidTr="00BB7E5C">
      <w:trPr>
        <w:trHeight w:val="1220"/>
      </w:trPr>
      <w:tc>
        <w:tcPr>
          <w:tcW w:w="7678" w:type="dxa"/>
          <w:shd w:val="clear" w:color="auto" w:fill="auto"/>
        </w:tcPr>
        <w:p w14:paraId="7B12D92E" w14:textId="77777777" w:rsidR="001C0754" w:rsidRDefault="001C0754" w:rsidP="00971914"/>
      </w:tc>
    </w:tr>
  </w:tbl>
  <w:p w14:paraId="566BACF7" w14:textId="77777777" w:rsidR="001C0754" w:rsidRPr="00A5474E" w:rsidRDefault="001C0754"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2F7DCC" w14:textId="77777777" w:rsidR="001C0754" w:rsidRDefault="001C075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329C17" w14:textId="77777777" w:rsidR="001C0754" w:rsidRDefault="001C07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91217EA"/>
    <w:lvl w:ilvl="0">
      <w:start w:val="1"/>
      <w:numFmt w:val="decimal"/>
      <w:lvlText w:val="%1."/>
      <w:lvlJc w:val="left"/>
      <w:pPr>
        <w:tabs>
          <w:tab w:val="num" w:pos="1492"/>
        </w:tabs>
        <w:ind w:left="1492" w:hanging="360"/>
      </w:pPr>
    </w:lvl>
  </w:abstractNum>
  <w:abstractNum w:abstractNumId="1" w15:restartNumberingAfterBreak="0">
    <w:nsid w:val="FFFFFF7D"/>
    <w:multiLevelType w:val="hybridMultilevel"/>
    <w:tmpl w:val="0966E554"/>
    <w:lvl w:ilvl="0" w:tplc="89DE87E2">
      <w:start w:val="1"/>
      <w:numFmt w:val="decimal"/>
      <w:lvlText w:val="%1."/>
      <w:lvlJc w:val="left"/>
      <w:pPr>
        <w:tabs>
          <w:tab w:val="num" w:pos="1209"/>
        </w:tabs>
        <w:ind w:left="1209" w:hanging="360"/>
      </w:pPr>
    </w:lvl>
    <w:lvl w:ilvl="1" w:tplc="65DC2E50">
      <w:numFmt w:val="decimal"/>
      <w:lvlText w:val=""/>
      <w:lvlJc w:val="left"/>
    </w:lvl>
    <w:lvl w:ilvl="2" w:tplc="4380D4DA">
      <w:numFmt w:val="decimal"/>
      <w:lvlText w:val=""/>
      <w:lvlJc w:val="left"/>
    </w:lvl>
    <w:lvl w:ilvl="3" w:tplc="4DB44CBA">
      <w:numFmt w:val="decimal"/>
      <w:lvlText w:val=""/>
      <w:lvlJc w:val="left"/>
    </w:lvl>
    <w:lvl w:ilvl="4" w:tplc="CC3CADCA">
      <w:numFmt w:val="decimal"/>
      <w:lvlText w:val=""/>
      <w:lvlJc w:val="left"/>
    </w:lvl>
    <w:lvl w:ilvl="5" w:tplc="D0803C6E">
      <w:numFmt w:val="decimal"/>
      <w:lvlText w:val=""/>
      <w:lvlJc w:val="left"/>
    </w:lvl>
    <w:lvl w:ilvl="6" w:tplc="BB3A3ABE">
      <w:numFmt w:val="decimal"/>
      <w:lvlText w:val=""/>
      <w:lvlJc w:val="left"/>
    </w:lvl>
    <w:lvl w:ilvl="7" w:tplc="EA044AC8">
      <w:numFmt w:val="decimal"/>
      <w:lvlText w:val=""/>
      <w:lvlJc w:val="left"/>
    </w:lvl>
    <w:lvl w:ilvl="8" w:tplc="4C50EC38">
      <w:numFmt w:val="decimal"/>
      <w:lvlText w:val=""/>
      <w:lvlJc w:val="left"/>
    </w:lvl>
  </w:abstractNum>
  <w:abstractNum w:abstractNumId="2" w15:restartNumberingAfterBreak="0">
    <w:nsid w:val="FFFFFF7E"/>
    <w:multiLevelType w:val="hybridMultilevel"/>
    <w:tmpl w:val="09B84374"/>
    <w:lvl w:ilvl="0" w:tplc="8BD62A2C">
      <w:start w:val="1"/>
      <w:numFmt w:val="decimal"/>
      <w:lvlText w:val="%1."/>
      <w:lvlJc w:val="left"/>
      <w:pPr>
        <w:tabs>
          <w:tab w:val="num" w:pos="926"/>
        </w:tabs>
        <w:ind w:left="926" w:hanging="360"/>
      </w:pPr>
    </w:lvl>
    <w:lvl w:ilvl="1" w:tplc="4CF0EB00">
      <w:numFmt w:val="decimal"/>
      <w:lvlText w:val=""/>
      <w:lvlJc w:val="left"/>
    </w:lvl>
    <w:lvl w:ilvl="2" w:tplc="F14EC944">
      <w:numFmt w:val="decimal"/>
      <w:lvlText w:val=""/>
      <w:lvlJc w:val="left"/>
    </w:lvl>
    <w:lvl w:ilvl="3" w:tplc="D428AA40">
      <w:numFmt w:val="decimal"/>
      <w:lvlText w:val=""/>
      <w:lvlJc w:val="left"/>
    </w:lvl>
    <w:lvl w:ilvl="4" w:tplc="FDA06E2C">
      <w:numFmt w:val="decimal"/>
      <w:lvlText w:val=""/>
      <w:lvlJc w:val="left"/>
    </w:lvl>
    <w:lvl w:ilvl="5" w:tplc="EC96F8F2">
      <w:numFmt w:val="decimal"/>
      <w:lvlText w:val=""/>
      <w:lvlJc w:val="left"/>
    </w:lvl>
    <w:lvl w:ilvl="6" w:tplc="23747298">
      <w:numFmt w:val="decimal"/>
      <w:lvlText w:val=""/>
      <w:lvlJc w:val="left"/>
    </w:lvl>
    <w:lvl w:ilvl="7" w:tplc="C2887F60">
      <w:numFmt w:val="decimal"/>
      <w:lvlText w:val=""/>
      <w:lvlJc w:val="left"/>
    </w:lvl>
    <w:lvl w:ilvl="8" w:tplc="F71ED85A">
      <w:numFmt w:val="decimal"/>
      <w:lvlText w:val=""/>
      <w:lvlJc w:val="left"/>
    </w:lvl>
  </w:abstractNum>
  <w:abstractNum w:abstractNumId="3" w15:restartNumberingAfterBreak="0">
    <w:nsid w:val="FFFFFF7F"/>
    <w:multiLevelType w:val="hybridMultilevel"/>
    <w:tmpl w:val="75F22F60"/>
    <w:lvl w:ilvl="0" w:tplc="38987898">
      <w:start w:val="1"/>
      <w:numFmt w:val="lowerRoman"/>
      <w:pStyle w:val="ListNumber2"/>
      <w:lvlText w:val="%1."/>
      <w:lvlJc w:val="right"/>
      <w:pPr>
        <w:ind w:left="717" w:hanging="360"/>
      </w:pPr>
      <w:rPr>
        <w:rFonts w:hint="default"/>
      </w:rPr>
    </w:lvl>
    <w:lvl w:ilvl="1" w:tplc="E9E80FDC">
      <w:numFmt w:val="decimal"/>
      <w:lvlText w:val=""/>
      <w:lvlJc w:val="left"/>
    </w:lvl>
    <w:lvl w:ilvl="2" w:tplc="C5F257EE">
      <w:numFmt w:val="decimal"/>
      <w:lvlText w:val=""/>
      <w:lvlJc w:val="left"/>
    </w:lvl>
    <w:lvl w:ilvl="3" w:tplc="E17E2332">
      <w:numFmt w:val="decimal"/>
      <w:lvlText w:val=""/>
      <w:lvlJc w:val="left"/>
    </w:lvl>
    <w:lvl w:ilvl="4" w:tplc="BB0C6B70">
      <w:numFmt w:val="decimal"/>
      <w:lvlText w:val=""/>
      <w:lvlJc w:val="left"/>
    </w:lvl>
    <w:lvl w:ilvl="5" w:tplc="2ADEE618">
      <w:numFmt w:val="decimal"/>
      <w:lvlText w:val=""/>
      <w:lvlJc w:val="left"/>
    </w:lvl>
    <w:lvl w:ilvl="6" w:tplc="E410BAF4">
      <w:numFmt w:val="decimal"/>
      <w:lvlText w:val=""/>
      <w:lvlJc w:val="left"/>
    </w:lvl>
    <w:lvl w:ilvl="7" w:tplc="DCB23EC0">
      <w:numFmt w:val="decimal"/>
      <w:lvlText w:val=""/>
      <w:lvlJc w:val="left"/>
    </w:lvl>
    <w:lvl w:ilvl="8" w:tplc="AAB8F682">
      <w:numFmt w:val="decimal"/>
      <w:lvlText w:val=""/>
      <w:lvlJc w:val="left"/>
    </w:lvl>
  </w:abstractNum>
  <w:abstractNum w:abstractNumId="4" w15:restartNumberingAfterBreak="0">
    <w:nsid w:val="FFFFFF80"/>
    <w:multiLevelType w:val="hybridMultilevel"/>
    <w:tmpl w:val="A8C4DB2E"/>
    <w:lvl w:ilvl="0" w:tplc="5FF0F094">
      <w:start w:val="1"/>
      <w:numFmt w:val="bullet"/>
      <w:lvlText w:val=""/>
      <w:lvlJc w:val="left"/>
      <w:pPr>
        <w:tabs>
          <w:tab w:val="num" w:pos="1492"/>
        </w:tabs>
        <w:ind w:left="1492" w:hanging="360"/>
      </w:pPr>
      <w:rPr>
        <w:rFonts w:ascii="Symbol" w:hAnsi="Symbol" w:hint="default"/>
      </w:rPr>
    </w:lvl>
    <w:lvl w:ilvl="1" w:tplc="1AE8918E">
      <w:numFmt w:val="decimal"/>
      <w:lvlText w:val=""/>
      <w:lvlJc w:val="left"/>
    </w:lvl>
    <w:lvl w:ilvl="2" w:tplc="86945F58">
      <w:numFmt w:val="decimal"/>
      <w:lvlText w:val=""/>
      <w:lvlJc w:val="left"/>
    </w:lvl>
    <w:lvl w:ilvl="3" w:tplc="3C8AD9A0">
      <w:numFmt w:val="decimal"/>
      <w:lvlText w:val=""/>
      <w:lvlJc w:val="left"/>
    </w:lvl>
    <w:lvl w:ilvl="4" w:tplc="66DCA312">
      <w:numFmt w:val="decimal"/>
      <w:lvlText w:val=""/>
      <w:lvlJc w:val="left"/>
    </w:lvl>
    <w:lvl w:ilvl="5" w:tplc="8B84E162">
      <w:numFmt w:val="decimal"/>
      <w:lvlText w:val=""/>
      <w:lvlJc w:val="left"/>
    </w:lvl>
    <w:lvl w:ilvl="6" w:tplc="10FCFB84">
      <w:numFmt w:val="decimal"/>
      <w:lvlText w:val=""/>
      <w:lvlJc w:val="left"/>
    </w:lvl>
    <w:lvl w:ilvl="7" w:tplc="B0B475A8">
      <w:numFmt w:val="decimal"/>
      <w:lvlText w:val=""/>
      <w:lvlJc w:val="left"/>
    </w:lvl>
    <w:lvl w:ilvl="8" w:tplc="34EA67F6">
      <w:numFmt w:val="decimal"/>
      <w:lvlText w:val=""/>
      <w:lvlJc w:val="left"/>
    </w:lvl>
  </w:abstractNum>
  <w:abstractNum w:abstractNumId="5" w15:restartNumberingAfterBreak="0">
    <w:nsid w:val="FFFFFF81"/>
    <w:multiLevelType w:val="hybridMultilevel"/>
    <w:tmpl w:val="ED1E455E"/>
    <w:lvl w:ilvl="0" w:tplc="25802422">
      <w:start w:val="1"/>
      <w:numFmt w:val="bullet"/>
      <w:lvlText w:val=""/>
      <w:lvlJc w:val="left"/>
      <w:pPr>
        <w:tabs>
          <w:tab w:val="num" w:pos="1209"/>
        </w:tabs>
        <w:ind w:left="1209" w:hanging="360"/>
      </w:pPr>
      <w:rPr>
        <w:rFonts w:ascii="Symbol" w:hAnsi="Symbol" w:hint="default"/>
      </w:rPr>
    </w:lvl>
    <w:lvl w:ilvl="1" w:tplc="93ACA102">
      <w:numFmt w:val="decimal"/>
      <w:lvlText w:val=""/>
      <w:lvlJc w:val="left"/>
    </w:lvl>
    <w:lvl w:ilvl="2" w:tplc="531CC60E">
      <w:numFmt w:val="decimal"/>
      <w:lvlText w:val=""/>
      <w:lvlJc w:val="left"/>
    </w:lvl>
    <w:lvl w:ilvl="3" w:tplc="BB683530">
      <w:numFmt w:val="decimal"/>
      <w:lvlText w:val=""/>
      <w:lvlJc w:val="left"/>
    </w:lvl>
    <w:lvl w:ilvl="4" w:tplc="E662C190">
      <w:numFmt w:val="decimal"/>
      <w:lvlText w:val=""/>
      <w:lvlJc w:val="left"/>
    </w:lvl>
    <w:lvl w:ilvl="5" w:tplc="21844A96">
      <w:numFmt w:val="decimal"/>
      <w:lvlText w:val=""/>
      <w:lvlJc w:val="left"/>
    </w:lvl>
    <w:lvl w:ilvl="6" w:tplc="E6B6674A">
      <w:numFmt w:val="decimal"/>
      <w:lvlText w:val=""/>
      <w:lvlJc w:val="left"/>
    </w:lvl>
    <w:lvl w:ilvl="7" w:tplc="02FCB510">
      <w:numFmt w:val="decimal"/>
      <w:lvlText w:val=""/>
      <w:lvlJc w:val="left"/>
    </w:lvl>
    <w:lvl w:ilvl="8" w:tplc="AB9E53FC">
      <w:numFmt w:val="decimal"/>
      <w:lvlText w:val=""/>
      <w:lvlJc w:val="left"/>
    </w:lvl>
  </w:abstractNum>
  <w:abstractNum w:abstractNumId="6" w15:restartNumberingAfterBreak="0">
    <w:nsid w:val="FFFFFF82"/>
    <w:multiLevelType w:val="hybridMultilevel"/>
    <w:tmpl w:val="6398344E"/>
    <w:lvl w:ilvl="0" w:tplc="17905B5C">
      <w:start w:val="1"/>
      <w:numFmt w:val="bullet"/>
      <w:lvlText w:val=""/>
      <w:lvlJc w:val="left"/>
      <w:pPr>
        <w:tabs>
          <w:tab w:val="num" w:pos="926"/>
        </w:tabs>
        <w:ind w:left="926" w:hanging="360"/>
      </w:pPr>
      <w:rPr>
        <w:rFonts w:ascii="Symbol" w:hAnsi="Symbol" w:hint="default"/>
      </w:rPr>
    </w:lvl>
    <w:lvl w:ilvl="1" w:tplc="34806FCA">
      <w:numFmt w:val="decimal"/>
      <w:lvlText w:val=""/>
      <w:lvlJc w:val="left"/>
    </w:lvl>
    <w:lvl w:ilvl="2" w:tplc="1E8081DC">
      <w:numFmt w:val="decimal"/>
      <w:lvlText w:val=""/>
      <w:lvlJc w:val="left"/>
    </w:lvl>
    <w:lvl w:ilvl="3" w:tplc="4C4A09F4">
      <w:numFmt w:val="decimal"/>
      <w:lvlText w:val=""/>
      <w:lvlJc w:val="left"/>
    </w:lvl>
    <w:lvl w:ilvl="4" w:tplc="47AE3F9A">
      <w:numFmt w:val="decimal"/>
      <w:lvlText w:val=""/>
      <w:lvlJc w:val="left"/>
    </w:lvl>
    <w:lvl w:ilvl="5" w:tplc="4DE00450">
      <w:numFmt w:val="decimal"/>
      <w:lvlText w:val=""/>
      <w:lvlJc w:val="left"/>
    </w:lvl>
    <w:lvl w:ilvl="6" w:tplc="E6CA987E">
      <w:numFmt w:val="decimal"/>
      <w:lvlText w:val=""/>
      <w:lvlJc w:val="left"/>
    </w:lvl>
    <w:lvl w:ilvl="7" w:tplc="9DBCAD22">
      <w:numFmt w:val="decimal"/>
      <w:lvlText w:val=""/>
      <w:lvlJc w:val="left"/>
    </w:lvl>
    <w:lvl w:ilvl="8" w:tplc="902679BA">
      <w:numFmt w:val="decimal"/>
      <w:lvlText w:val=""/>
      <w:lvlJc w:val="left"/>
    </w:lvl>
  </w:abstractNum>
  <w:abstractNum w:abstractNumId="7" w15:restartNumberingAfterBreak="0">
    <w:nsid w:val="FFFFFF83"/>
    <w:multiLevelType w:val="hybridMultilevel"/>
    <w:tmpl w:val="909E78BC"/>
    <w:lvl w:ilvl="0" w:tplc="C2721B80">
      <w:start w:val="1"/>
      <w:numFmt w:val="bullet"/>
      <w:pStyle w:val="ListBullet2"/>
      <w:lvlText w:val="&gt;"/>
      <w:lvlJc w:val="left"/>
      <w:pPr>
        <w:tabs>
          <w:tab w:val="num" w:pos="845"/>
        </w:tabs>
        <w:ind w:left="845" w:hanging="544"/>
      </w:pPr>
      <w:rPr>
        <w:rFonts w:ascii="HelveticaNeueLT Std Lt" w:hAnsi="HelveticaNeueLT Std Lt" w:hint="default"/>
        <w:sz w:val="20"/>
      </w:rPr>
    </w:lvl>
    <w:lvl w:ilvl="1" w:tplc="60B8D2A2">
      <w:numFmt w:val="decimal"/>
      <w:lvlText w:val=""/>
      <w:lvlJc w:val="left"/>
    </w:lvl>
    <w:lvl w:ilvl="2" w:tplc="0E14532E">
      <w:numFmt w:val="decimal"/>
      <w:lvlText w:val=""/>
      <w:lvlJc w:val="left"/>
    </w:lvl>
    <w:lvl w:ilvl="3" w:tplc="6FE41A08">
      <w:numFmt w:val="decimal"/>
      <w:lvlText w:val=""/>
      <w:lvlJc w:val="left"/>
    </w:lvl>
    <w:lvl w:ilvl="4" w:tplc="16203946">
      <w:numFmt w:val="decimal"/>
      <w:lvlText w:val=""/>
      <w:lvlJc w:val="left"/>
    </w:lvl>
    <w:lvl w:ilvl="5" w:tplc="A8B80984">
      <w:numFmt w:val="decimal"/>
      <w:lvlText w:val=""/>
      <w:lvlJc w:val="left"/>
    </w:lvl>
    <w:lvl w:ilvl="6" w:tplc="64A217F2">
      <w:numFmt w:val="decimal"/>
      <w:lvlText w:val=""/>
      <w:lvlJc w:val="left"/>
    </w:lvl>
    <w:lvl w:ilvl="7" w:tplc="ED046B3C">
      <w:numFmt w:val="decimal"/>
      <w:lvlText w:val=""/>
      <w:lvlJc w:val="left"/>
    </w:lvl>
    <w:lvl w:ilvl="8" w:tplc="4F8AE5E2">
      <w:numFmt w:val="decimal"/>
      <w:lvlText w:val=""/>
      <w:lvlJc w:val="left"/>
    </w:lvl>
  </w:abstractNum>
  <w:abstractNum w:abstractNumId="8" w15:restartNumberingAfterBreak="0">
    <w:nsid w:val="FFFFFF88"/>
    <w:multiLevelType w:val="hybridMultilevel"/>
    <w:tmpl w:val="6EBA4AA8"/>
    <w:lvl w:ilvl="0" w:tplc="82184D80">
      <w:start w:val="1"/>
      <w:numFmt w:val="decimal"/>
      <w:pStyle w:val="ListNumber"/>
      <w:lvlText w:val="%1."/>
      <w:lvlJc w:val="left"/>
      <w:pPr>
        <w:ind w:left="360" w:hanging="360"/>
      </w:pPr>
      <w:rPr>
        <w:rFonts w:hint="default"/>
        <w:b w:val="0"/>
        <w:bCs/>
        <w:caps/>
        <w:sz w:val="20"/>
      </w:rPr>
    </w:lvl>
    <w:lvl w:ilvl="1" w:tplc="8DAC9E22">
      <w:numFmt w:val="decimal"/>
      <w:lvlText w:val=""/>
      <w:lvlJc w:val="left"/>
    </w:lvl>
    <w:lvl w:ilvl="2" w:tplc="F4A4EC38">
      <w:numFmt w:val="decimal"/>
      <w:lvlText w:val=""/>
      <w:lvlJc w:val="left"/>
    </w:lvl>
    <w:lvl w:ilvl="3" w:tplc="BF103D54">
      <w:numFmt w:val="decimal"/>
      <w:lvlText w:val=""/>
      <w:lvlJc w:val="left"/>
    </w:lvl>
    <w:lvl w:ilvl="4" w:tplc="14C0614A">
      <w:numFmt w:val="decimal"/>
      <w:lvlText w:val=""/>
      <w:lvlJc w:val="left"/>
    </w:lvl>
    <w:lvl w:ilvl="5" w:tplc="CE96D7E0">
      <w:numFmt w:val="decimal"/>
      <w:lvlText w:val=""/>
      <w:lvlJc w:val="left"/>
    </w:lvl>
    <w:lvl w:ilvl="6" w:tplc="6478A6F0">
      <w:numFmt w:val="decimal"/>
      <w:lvlText w:val=""/>
      <w:lvlJc w:val="left"/>
    </w:lvl>
    <w:lvl w:ilvl="7" w:tplc="AD808096">
      <w:numFmt w:val="decimal"/>
      <w:lvlText w:val=""/>
      <w:lvlJc w:val="left"/>
    </w:lvl>
    <w:lvl w:ilvl="8" w:tplc="912E1502">
      <w:numFmt w:val="decimal"/>
      <w:lvlText w:val=""/>
      <w:lvlJc w:val="left"/>
    </w:lvl>
  </w:abstractNum>
  <w:abstractNum w:abstractNumId="9" w15:restartNumberingAfterBreak="0">
    <w:nsid w:val="FFFFFF89"/>
    <w:multiLevelType w:val="hybridMultilevel"/>
    <w:tmpl w:val="AF18D026"/>
    <w:lvl w:ilvl="0" w:tplc="EA16CDE6">
      <w:start w:val="1"/>
      <w:numFmt w:val="bullet"/>
      <w:pStyle w:val="ListBullet"/>
      <w:lvlText w:val="&gt;"/>
      <w:lvlJc w:val="left"/>
      <w:pPr>
        <w:tabs>
          <w:tab w:val="num" w:pos="295"/>
        </w:tabs>
        <w:ind w:left="295" w:hanging="295"/>
      </w:pPr>
      <w:rPr>
        <w:rFonts w:ascii="HelveticaNeueLT Std Lt" w:hAnsi="HelveticaNeueLT Std Lt" w:hint="default"/>
        <w:sz w:val="20"/>
      </w:rPr>
    </w:lvl>
    <w:lvl w:ilvl="1" w:tplc="6668397E">
      <w:numFmt w:val="decimal"/>
      <w:lvlText w:val=""/>
      <w:lvlJc w:val="left"/>
    </w:lvl>
    <w:lvl w:ilvl="2" w:tplc="2084BADE">
      <w:numFmt w:val="decimal"/>
      <w:lvlText w:val=""/>
      <w:lvlJc w:val="left"/>
    </w:lvl>
    <w:lvl w:ilvl="3" w:tplc="564E536C">
      <w:numFmt w:val="decimal"/>
      <w:lvlText w:val=""/>
      <w:lvlJc w:val="left"/>
    </w:lvl>
    <w:lvl w:ilvl="4" w:tplc="B74A324A">
      <w:numFmt w:val="decimal"/>
      <w:lvlText w:val=""/>
      <w:lvlJc w:val="left"/>
    </w:lvl>
    <w:lvl w:ilvl="5" w:tplc="AC9ECBE6">
      <w:numFmt w:val="decimal"/>
      <w:lvlText w:val=""/>
      <w:lvlJc w:val="left"/>
    </w:lvl>
    <w:lvl w:ilvl="6" w:tplc="B6CC3D48">
      <w:numFmt w:val="decimal"/>
      <w:lvlText w:val=""/>
      <w:lvlJc w:val="left"/>
    </w:lvl>
    <w:lvl w:ilvl="7" w:tplc="4C70D2AE">
      <w:numFmt w:val="decimal"/>
      <w:lvlText w:val=""/>
      <w:lvlJc w:val="left"/>
    </w:lvl>
    <w:lvl w:ilvl="8" w:tplc="02721630">
      <w:numFmt w:val="decimal"/>
      <w:lvlText w:val=""/>
      <w:lvlJc w:val="left"/>
    </w:lvl>
  </w:abstractNum>
  <w:abstractNum w:abstractNumId="10" w15:restartNumberingAfterBreak="0">
    <w:nsid w:val="01600142"/>
    <w:multiLevelType w:val="hybridMultilevel"/>
    <w:tmpl w:val="FFFFFFFF"/>
    <w:lvl w:ilvl="0" w:tplc="E5FA5B8E">
      <w:start w:val="1"/>
      <w:numFmt w:val="bullet"/>
      <w:lvlText w:val=""/>
      <w:lvlJc w:val="left"/>
      <w:pPr>
        <w:ind w:left="720" w:hanging="360"/>
      </w:pPr>
      <w:rPr>
        <w:rFonts w:ascii="Symbol" w:hAnsi="Symbol" w:hint="default"/>
      </w:rPr>
    </w:lvl>
    <w:lvl w:ilvl="1" w:tplc="F0E0857C">
      <w:start w:val="1"/>
      <w:numFmt w:val="bullet"/>
      <w:lvlText w:val="o"/>
      <w:lvlJc w:val="left"/>
      <w:pPr>
        <w:ind w:left="1440" w:hanging="360"/>
      </w:pPr>
      <w:rPr>
        <w:rFonts w:ascii="Courier New" w:hAnsi="Courier New" w:hint="default"/>
      </w:rPr>
    </w:lvl>
    <w:lvl w:ilvl="2" w:tplc="56045BCA">
      <w:start w:val="1"/>
      <w:numFmt w:val="bullet"/>
      <w:lvlText w:val=""/>
      <w:lvlJc w:val="left"/>
      <w:pPr>
        <w:ind w:left="2160" w:hanging="360"/>
      </w:pPr>
      <w:rPr>
        <w:rFonts w:ascii="Wingdings" w:hAnsi="Wingdings" w:hint="default"/>
      </w:rPr>
    </w:lvl>
    <w:lvl w:ilvl="3" w:tplc="A998CF52">
      <w:start w:val="1"/>
      <w:numFmt w:val="bullet"/>
      <w:lvlText w:val=""/>
      <w:lvlJc w:val="left"/>
      <w:pPr>
        <w:ind w:left="2880" w:hanging="360"/>
      </w:pPr>
      <w:rPr>
        <w:rFonts w:ascii="Symbol" w:hAnsi="Symbol" w:hint="default"/>
      </w:rPr>
    </w:lvl>
    <w:lvl w:ilvl="4" w:tplc="FF68C964">
      <w:start w:val="1"/>
      <w:numFmt w:val="bullet"/>
      <w:lvlText w:val="o"/>
      <w:lvlJc w:val="left"/>
      <w:pPr>
        <w:ind w:left="3600" w:hanging="360"/>
      </w:pPr>
      <w:rPr>
        <w:rFonts w:ascii="Courier New" w:hAnsi="Courier New" w:hint="default"/>
      </w:rPr>
    </w:lvl>
    <w:lvl w:ilvl="5" w:tplc="B83433F6">
      <w:start w:val="1"/>
      <w:numFmt w:val="bullet"/>
      <w:lvlText w:val=""/>
      <w:lvlJc w:val="left"/>
      <w:pPr>
        <w:ind w:left="4320" w:hanging="360"/>
      </w:pPr>
      <w:rPr>
        <w:rFonts w:ascii="Wingdings" w:hAnsi="Wingdings" w:hint="default"/>
      </w:rPr>
    </w:lvl>
    <w:lvl w:ilvl="6" w:tplc="E61413BA">
      <w:start w:val="1"/>
      <w:numFmt w:val="bullet"/>
      <w:lvlText w:val=""/>
      <w:lvlJc w:val="left"/>
      <w:pPr>
        <w:ind w:left="5040" w:hanging="360"/>
      </w:pPr>
      <w:rPr>
        <w:rFonts w:ascii="Symbol" w:hAnsi="Symbol" w:hint="default"/>
      </w:rPr>
    </w:lvl>
    <w:lvl w:ilvl="7" w:tplc="193ECFB8">
      <w:start w:val="1"/>
      <w:numFmt w:val="bullet"/>
      <w:lvlText w:val="o"/>
      <w:lvlJc w:val="left"/>
      <w:pPr>
        <w:ind w:left="5760" w:hanging="360"/>
      </w:pPr>
      <w:rPr>
        <w:rFonts w:ascii="Courier New" w:hAnsi="Courier New" w:hint="default"/>
      </w:rPr>
    </w:lvl>
    <w:lvl w:ilvl="8" w:tplc="3C7839EE">
      <w:start w:val="1"/>
      <w:numFmt w:val="bullet"/>
      <w:lvlText w:val=""/>
      <w:lvlJc w:val="left"/>
      <w:pPr>
        <w:ind w:left="6480" w:hanging="360"/>
      </w:pPr>
      <w:rPr>
        <w:rFonts w:ascii="Wingdings" w:hAnsi="Wingdings" w:hint="default"/>
      </w:rPr>
    </w:lvl>
  </w:abstractNum>
  <w:abstractNum w:abstractNumId="11" w15:restartNumberingAfterBreak="0">
    <w:nsid w:val="04C22ACF"/>
    <w:multiLevelType w:val="hybridMultilevel"/>
    <w:tmpl w:val="FFFFFFFF"/>
    <w:lvl w:ilvl="0" w:tplc="8E304C54">
      <w:start w:val="1"/>
      <w:numFmt w:val="decimal"/>
      <w:lvlText w:val="%1."/>
      <w:lvlJc w:val="left"/>
      <w:pPr>
        <w:tabs>
          <w:tab w:val="num" w:pos="720"/>
        </w:tabs>
        <w:ind w:left="720" w:hanging="720"/>
      </w:pPr>
    </w:lvl>
    <w:lvl w:ilvl="1" w:tplc="C1AC9BBE">
      <w:start w:val="1"/>
      <w:numFmt w:val="decimal"/>
      <w:lvlText w:val="%2."/>
      <w:lvlJc w:val="left"/>
      <w:pPr>
        <w:tabs>
          <w:tab w:val="num" w:pos="1440"/>
        </w:tabs>
        <w:ind w:left="1440" w:hanging="720"/>
      </w:pPr>
    </w:lvl>
    <w:lvl w:ilvl="2" w:tplc="6C8A4A34">
      <w:start w:val="1"/>
      <w:numFmt w:val="decimal"/>
      <w:lvlText w:val="%3."/>
      <w:lvlJc w:val="left"/>
      <w:pPr>
        <w:tabs>
          <w:tab w:val="num" w:pos="2160"/>
        </w:tabs>
        <w:ind w:left="2160" w:hanging="720"/>
      </w:pPr>
    </w:lvl>
    <w:lvl w:ilvl="3" w:tplc="FA261D42">
      <w:start w:val="1"/>
      <w:numFmt w:val="decimal"/>
      <w:lvlText w:val="%4."/>
      <w:lvlJc w:val="left"/>
      <w:pPr>
        <w:tabs>
          <w:tab w:val="num" w:pos="2880"/>
        </w:tabs>
        <w:ind w:left="2880" w:hanging="720"/>
      </w:pPr>
    </w:lvl>
    <w:lvl w:ilvl="4" w:tplc="C1F8EB56">
      <w:start w:val="1"/>
      <w:numFmt w:val="decimal"/>
      <w:lvlText w:val="%5."/>
      <w:lvlJc w:val="left"/>
      <w:pPr>
        <w:tabs>
          <w:tab w:val="num" w:pos="3600"/>
        </w:tabs>
        <w:ind w:left="3600" w:hanging="720"/>
      </w:pPr>
    </w:lvl>
    <w:lvl w:ilvl="5" w:tplc="C8DE6388">
      <w:start w:val="1"/>
      <w:numFmt w:val="decimal"/>
      <w:lvlText w:val="%6."/>
      <w:lvlJc w:val="left"/>
      <w:pPr>
        <w:tabs>
          <w:tab w:val="num" w:pos="4320"/>
        </w:tabs>
        <w:ind w:left="4320" w:hanging="720"/>
      </w:pPr>
    </w:lvl>
    <w:lvl w:ilvl="6" w:tplc="BA64318E">
      <w:start w:val="1"/>
      <w:numFmt w:val="decimal"/>
      <w:lvlText w:val="%7."/>
      <w:lvlJc w:val="left"/>
      <w:pPr>
        <w:tabs>
          <w:tab w:val="num" w:pos="5040"/>
        </w:tabs>
        <w:ind w:left="5040" w:hanging="720"/>
      </w:pPr>
    </w:lvl>
    <w:lvl w:ilvl="7" w:tplc="7A0A6EEA">
      <w:start w:val="1"/>
      <w:numFmt w:val="decimal"/>
      <w:lvlText w:val="%8."/>
      <w:lvlJc w:val="left"/>
      <w:pPr>
        <w:tabs>
          <w:tab w:val="num" w:pos="5760"/>
        </w:tabs>
        <w:ind w:left="5760" w:hanging="720"/>
      </w:pPr>
    </w:lvl>
    <w:lvl w:ilvl="8" w:tplc="9608184A">
      <w:start w:val="1"/>
      <w:numFmt w:val="decimal"/>
      <w:lvlText w:val="%9."/>
      <w:lvlJc w:val="left"/>
      <w:pPr>
        <w:tabs>
          <w:tab w:val="num" w:pos="6480"/>
        </w:tabs>
        <w:ind w:left="6480" w:hanging="720"/>
      </w:pPr>
    </w:lvl>
  </w:abstractNum>
  <w:abstractNum w:abstractNumId="12" w15:restartNumberingAfterBreak="0">
    <w:nsid w:val="06E249AA"/>
    <w:multiLevelType w:val="hybridMultilevel"/>
    <w:tmpl w:val="FFFFFFFF"/>
    <w:lvl w:ilvl="0" w:tplc="658C175A">
      <w:start w:val="1"/>
      <w:numFmt w:val="bullet"/>
      <w:lvlText w:val="&gt;"/>
      <w:lvlJc w:val="left"/>
      <w:pPr>
        <w:ind w:left="720" w:hanging="360"/>
      </w:pPr>
      <w:rPr>
        <w:rFonts w:ascii="HelveticaNeueLT Std Lt" w:hAnsi="HelveticaNeueLT Std Lt" w:hint="default"/>
      </w:rPr>
    </w:lvl>
    <w:lvl w:ilvl="1" w:tplc="605280D4">
      <w:start w:val="1"/>
      <w:numFmt w:val="bullet"/>
      <w:lvlText w:val="o"/>
      <w:lvlJc w:val="left"/>
      <w:pPr>
        <w:ind w:left="1440" w:hanging="360"/>
      </w:pPr>
      <w:rPr>
        <w:rFonts w:ascii="Courier New" w:hAnsi="Courier New" w:hint="default"/>
      </w:rPr>
    </w:lvl>
    <w:lvl w:ilvl="2" w:tplc="E912EB14">
      <w:start w:val="1"/>
      <w:numFmt w:val="bullet"/>
      <w:lvlText w:val=""/>
      <w:lvlJc w:val="left"/>
      <w:pPr>
        <w:ind w:left="2160" w:hanging="360"/>
      </w:pPr>
      <w:rPr>
        <w:rFonts w:ascii="Wingdings" w:hAnsi="Wingdings" w:hint="default"/>
      </w:rPr>
    </w:lvl>
    <w:lvl w:ilvl="3" w:tplc="228215D6">
      <w:start w:val="1"/>
      <w:numFmt w:val="bullet"/>
      <w:lvlText w:val=""/>
      <w:lvlJc w:val="left"/>
      <w:pPr>
        <w:ind w:left="2880" w:hanging="360"/>
      </w:pPr>
      <w:rPr>
        <w:rFonts w:ascii="Symbol" w:hAnsi="Symbol" w:hint="default"/>
      </w:rPr>
    </w:lvl>
    <w:lvl w:ilvl="4" w:tplc="F1E43678">
      <w:start w:val="1"/>
      <w:numFmt w:val="bullet"/>
      <w:lvlText w:val="o"/>
      <w:lvlJc w:val="left"/>
      <w:pPr>
        <w:ind w:left="3600" w:hanging="360"/>
      </w:pPr>
      <w:rPr>
        <w:rFonts w:ascii="Courier New" w:hAnsi="Courier New" w:hint="default"/>
      </w:rPr>
    </w:lvl>
    <w:lvl w:ilvl="5" w:tplc="15001F06">
      <w:start w:val="1"/>
      <w:numFmt w:val="bullet"/>
      <w:lvlText w:val=""/>
      <w:lvlJc w:val="left"/>
      <w:pPr>
        <w:ind w:left="4320" w:hanging="360"/>
      </w:pPr>
      <w:rPr>
        <w:rFonts w:ascii="Wingdings" w:hAnsi="Wingdings" w:hint="default"/>
      </w:rPr>
    </w:lvl>
    <w:lvl w:ilvl="6" w:tplc="A76C780E">
      <w:start w:val="1"/>
      <w:numFmt w:val="bullet"/>
      <w:lvlText w:val=""/>
      <w:lvlJc w:val="left"/>
      <w:pPr>
        <w:ind w:left="5040" w:hanging="360"/>
      </w:pPr>
      <w:rPr>
        <w:rFonts w:ascii="Symbol" w:hAnsi="Symbol" w:hint="default"/>
      </w:rPr>
    </w:lvl>
    <w:lvl w:ilvl="7" w:tplc="559219F6">
      <w:start w:val="1"/>
      <w:numFmt w:val="bullet"/>
      <w:lvlText w:val="o"/>
      <w:lvlJc w:val="left"/>
      <w:pPr>
        <w:ind w:left="5760" w:hanging="360"/>
      </w:pPr>
      <w:rPr>
        <w:rFonts w:ascii="Courier New" w:hAnsi="Courier New" w:hint="default"/>
      </w:rPr>
    </w:lvl>
    <w:lvl w:ilvl="8" w:tplc="7644B082">
      <w:start w:val="1"/>
      <w:numFmt w:val="bullet"/>
      <w:lvlText w:val=""/>
      <w:lvlJc w:val="left"/>
      <w:pPr>
        <w:ind w:left="6480" w:hanging="360"/>
      </w:pPr>
      <w:rPr>
        <w:rFonts w:ascii="Wingdings" w:hAnsi="Wingdings" w:hint="default"/>
      </w:rPr>
    </w:lvl>
  </w:abstractNum>
  <w:abstractNum w:abstractNumId="13"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AC43EA4"/>
    <w:multiLevelType w:val="hybridMultilevel"/>
    <w:tmpl w:val="B7A4A7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5274014"/>
    <w:multiLevelType w:val="hybridMultilevel"/>
    <w:tmpl w:val="A0E4FD72"/>
    <w:lvl w:ilvl="0" w:tplc="9A5C2DA0">
      <w:start w:val="1"/>
      <w:numFmt w:val="bullet"/>
      <w:lvlText w:val="&gt;"/>
      <w:lvlJc w:val="left"/>
      <w:pPr>
        <w:ind w:left="1021"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03" w:tentative="1">
      <w:start w:val="1"/>
      <w:numFmt w:val="bullet"/>
      <w:lvlText w:val="o"/>
      <w:lvlJc w:val="left"/>
      <w:pPr>
        <w:ind w:left="1741" w:hanging="360"/>
      </w:pPr>
      <w:rPr>
        <w:rFonts w:ascii="Courier New" w:hAnsi="Courier New" w:cs="Courier New" w:hint="default"/>
      </w:rPr>
    </w:lvl>
    <w:lvl w:ilvl="2" w:tplc="0C090005" w:tentative="1">
      <w:start w:val="1"/>
      <w:numFmt w:val="bullet"/>
      <w:lvlText w:val=""/>
      <w:lvlJc w:val="left"/>
      <w:pPr>
        <w:ind w:left="2461" w:hanging="360"/>
      </w:pPr>
      <w:rPr>
        <w:rFonts w:ascii="Wingdings" w:hAnsi="Wingdings" w:hint="default"/>
      </w:rPr>
    </w:lvl>
    <w:lvl w:ilvl="3" w:tplc="0C090001" w:tentative="1">
      <w:start w:val="1"/>
      <w:numFmt w:val="bullet"/>
      <w:lvlText w:val=""/>
      <w:lvlJc w:val="left"/>
      <w:pPr>
        <w:ind w:left="3181" w:hanging="360"/>
      </w:pPr>
      <w:rPr>
        <w:rFonts w:ascii="Symbol" w:hAnsi="Symbol" w:hint="default"/>
      </w:rPr>
    </w:lvl>
    <w:lvl w:ilvl="4" w:tplc="0C090003" w:tentative="1">
      <w:start w:val="1"/>
      <w:numFmt w:val="bullet"/>
      <w:lvlText w:val="o"/>
      <w:lvlJc w:val="left"/>
      <w:pPr>
        <w:ind w:left="3901" w:hanging="360"/>
      </w:pPr>
      <w:rPr>
        <w:rFonts w:ascii="Courier New" w:hAnsi="Courier New" w:cs="Courier New" w:hint="default"/>
      </w:rPr>
    </w:lvl>
    <w:lvl w:ilvl="5" w:tplc="0C090005" w:tentative="1">
      <w:start w:val="1"/>
      <w:numFmt w:val="bullet"/>
      <w:lvlText w:val=""/>
      <w:lvlJc w:val="left"/>
      <w:pPr>
        <w:ind w:left="4621" w:hanging="360"/>
      </w:pPr>
      <w:rPr>
        <w:rFonts w:ascii="Wingdings" w:hAnsi="Wingdings" w:hint="default"/>
      </w:rPr>
    </w:lvl>
    <w:lvl w:ilvl="6" w:tplc="0C090001" w:tentative="1">
      <w:start w:val="1"/>
      <w:numFmt w:val="bullet"/>
      <w:lvlText w:val=""/>
      <w:lvlJc w:val="left"/>
      <w:pPr>
        <w:ind w:left="5341" w:hanging="360"/>
      </w:pPr>
      <w:rPr>
        <w:rFonts w:ascii="Symbol" w:hAnsi="Symbol" w:hint="default"/>
      </w:rPr>
    </w:lvl>
    <w:lvl w:ilvl="7" w:tplc="0C090003" w:tentative="1">
      <w:start w:val="1"/>
      <w:numFmt w:val="bullet"/>
      <w:lvlText w:val="o"/>
      <w:lvlJc w:val="left"/>
      <w:pPr>
        <w:ind w:left="6061" w:hanging="360"/>
      </w:pPr>
      <w:rPr>
        <w:rFonts w:ascii="Courier New" w:hAnsi="Courier New" w:cs="Courier New" w:hint="default"/>
      </w:rPr>
    </w:lvl>
    <w:lvl w:ilvl="8" w:tplc="0C090005" w:tentative="1">
      <w:start w:val="1"/>
      <w:numFmt w:val="bullet"/>
      <w:lvlText w:val=""/>
      <w:lvlJc w:val="left"/>
      <w:pPr>
        <w:ind w:left="6781" w:hanging="360"/>
      </w:pPr>
      <w:rPr>
        <w:rFonts w:ascii="Wingdings" w:hAnsi="Wingdings" w:hint="default"/>
      </w:rPr>
    </w:lvl>
  </w:abstractNum>
  <w:abstractNum w:abstractNumId="16" w15:restartNumberingAfterBreak="0">
    <w:nsid w:val="189C5831"/>
    <w:multiLevelType w:val="hybridMultilevel"/>
    <w:tmpl w:val="FFFFFFFF"/>
    <w:lvl w:ilvl="0" w:tplc="0D9C99A4">
      <w:start w:val="1"/>
      <w:numFmt w:val="bullet"/>
      <w:lvlText w:val="&gt;"/>
      <w:lvlJc w:val="left"/>
      <w:pPr>
        <w:ind w:left="720" w:hanging="360"/>
      </w:pPr>
      <w:rPr>
        <w:rFonts w:ascii="HelveticaNeueLT Std Lt" w:hAnsi="HelveticaNeueLT Std Lt" w:hint="default"/>
      </w:rPr>
    </w:lvl>
    <w:lvl w:ilvl="1" w:tplc="A02AF60C">
      <w:start w:val="1"/>
      <w:numFmt w:val="bullet"/>
      <w:lvlText w:val="o"/>
      <w:lvlJc w:val="left"/>
      <w:pPr>
        <w:ind w:left="1440" w:hanging="360"/>
      </w:pPr>
      <w:rPr>
        <w:rFonts w:ascii="Courier New" w:hAnsi="Courier New" w:hint="default"/>
      </w:rPr>
    </w:lvl>
    <w:lvl w:ilvl="2" w:tplc="C36A6A2A">
      <w:start w:val="1"/>
      <w:numFmt w:val="bullet"/>
      <w:lvlText w:val=""/>
      <w:lvlJc w:val="left"/>
      <w:pPr>
        <w:ind w:left="2160" w:hanging="360"/>
      </w:pPr>
      <w:rPr>
        <w:rFonts w:ascii="Wingdings" w:hAnsi="Wingdings" w:hint="default"/>
      </w:rPr>
    </w:lvl>
    <w:lvl w:ilvl="3" w:tplc="51FA4C3A">
      <w:start w:val="1"/>
      <w:numFmt w:val="bullet"/>
      <w:lvlText w:val=""/>
      <w:lvlJc w:val="left"/>
      <w:pPr>
        <w:ind w:left="2880" w:hanging="360"/>
      </w:pPr>
      <w:rPr>
        <w:rFonts w:ascii="Symbol" w:hAnsi="Symbol" w:hint="default"/>
      </w:rPr>
    </w:lvl>
    <w:lvl w:ilvl="4" w:tplc="C9626568">
      <w:start w:val="1"/>
      <w:numFmt w:val="bullet"/>
      <w:lvlText w:val="o"/>
      <w:lvlJc w:val="left"/>
      <w:pPr>
        <w:ind w:left="3600" w:hanging="360"/>
      </w:pPr>
      <w:rPr>
        <w:rFonts w:ascii="Courier New" w:hAnsi="Courier New" w:hint="default"/>
      </w:rPr>
    </w:lvl>
    <w:lvl w:ilvl="5" w:tplc="D986700E">
      <w:start w:val="1"/>
      <w:numFmt w:val="bullet"/>
      <w:lvlText w:val=""/>
      <w:lvlJc w:val="left"/>
      <w:pPr>
        <w:ind w:left="4320" w:hanging="360"/>
      </w:pPr>
      <w:rPr>
        <w:rFonts w:ascii="Wingdings" w:hAnsi="Wingdings" w:hint="default"/>
      </w:rPr>
    </w:lvl>
    <w:lvl w:ilvl="6" w:tplc="2BA6EFC8">
      <w:start w:val="1"/>
      <w:numFmt w:val="bullet"/>
      <w:lvlText w:val=""/>
      <w:lvlJc w:val="left"/>
      <w:pPr>
        <w:ind w:left="5040" w:hanging="360"/>
      </w:pPr>
      <w:rPr>
        <w:rFonts w:ascii="Symbol" w:hAnsi="Symbol" w:hint="default"/>
      </w:rPr>
    </w:lvl>
    <w:lvl w:ilvl="7" w:tplc="944CD4F2">
      <w:start w:val="1"/>
      <w:numFmt w:val="bullet"/>
      <w:lvlText w:val="o"/>
      <w:lvlJc w:val="left"/>
      <w:pPr>
        <w:ind w:left="5760" w:hanging="360"/>
      </w:pPr>
      <w:rPr>
        <w:rFonts w:ascii="Courier New" w:hAnsi="Courier New" w:hint="default"/>
      </w:rPr>
    </w:lvl>
    <w:lvl w:ilvl="8" w:tplc="EC3A15B6">
      <w:start w:val="1"/>
      <w:numFmt w:val="bullet"/>
      <w:lvlText w:val=""/>
      <w:lvlJc w:val="left"/>
      <w:pPr>
        <w:ind w:left="6480" w:hanging="360"/>
      </w:pPr>
      <w:rPr>
        <w:rFonts w:ascii="Wingdings" w:hAnsi="Wingdings" w:hint="default"/>
      </w:rPr>
    </w:lvl>
  </w:abstractNum>
  <w:abstractNum w:abstractNumId="17" w15:restartNumberingAfterBreak="0">
    <w:nsid w:val="19A04197"/>
    <w:multiLevelType w:val="hybridMultilevel"/>
    <w:tmpl w:val="FFFFFFFF"/>
    <w:lvl w:ilvl="0" w:tplc="FF200ECC">
      <w:start w:val="1"/>
      <w:numFmt w:val="bullet"/>
      <w:lvlText w:val="&gt;"/>
      <w:lvlJc w:val="left"/>
      <w:pPr>
        <w:ind w:left="720" w:hanging="360"/>
      </w:pPr>
      <w:rPr>
        <w:rFonts w:ascii="HelveticaNeueLT Std Lt" w:hAnsi="HelveticaNeueLT Std Lt" w:hint="default"/>
      </w:rPr>
    </w:lvl>
    <w:lvl w:ilvl="1" w:tplc="2D00D260">
      <w:start w:val="1"/>
      <w:numFmt w:val="bullet"/>
      <w:lvlText w:val="o"/>
      <w:lvlJc w:val="left"/>
      <w:pPr>
        <w:ind w:left="1440" w:hanging="360"/>
      </w:pPr>
      <w:rPr>
        <w:rFonts w:ascii="Courier New" w:hAnsi="Courier New" w:hint="default"/>
      </w:rPr>
    </w:lvl>
    <w:lvl w:ilvl="2" w:tplc="51303196">
      <w:start w:val="1"/>
      <w:numFmt w:val="bullet"/>
      <w:lvlText w:val=""/>
      <w:lvlJc w:val="left"/>
      <w:pPr>
        <w:ind w:left="2160" w:hanging="360"/>
      </w:pPr>
      <w:rPr>
        <w:rFonts w:ascii="Wingdings" w:hAnsi="Wingdings" w:hint="default"/>
      </w:rPr>
    </w:lvl>
    <w:lvl w:ilvl="3" w:tplc="AFBEA270">
      <w:start w:val="1"/>
      <w:numFmt w:val="bullet"/>
      <w:lvlText w:val=""/>
      <w:lvlJc w:val="left"/>
      <w:pPr>
        <w:ind w:left="2880" w:hanging="360"/>
      </w:pPr>
      <w:rPr>
        <w:rFonts w:ascii="Symbol" w:hAnsi="Symbol" w:hint="default"/>
      </w:rPr>
    </w:lvl>
    <w:lvl w:ilvl="4" w:tplc="14CE714A">
      <w:start w:val="1"/>
      <w:numFmt w:val="bullet"/>
      <w:lvlText w:val="o"/>
      <w:lvlJc w:val="left"/>
      <w:pPr>
        <w:ind w:left="3600" w:hanging="360"/>
      </w:pPr>
      <w:rPr>
        <w:rFonts w:ascii="Courier New" w:hAnsi="Courier New" w:hint="default"/>
      </w:rPr>
    </w:lvl>
    <w:lvl w:ilvl="5" w:tplc="B77E02A4">
      <w:start w:val="1"/>
      <w:numFmt w:val="bullet"/>
      <w:lvlText w:val=""/>
      <w:lvlJc w:val="left"/>
      <w:pPr>
        <w:ind w:left="4320" w:hanging="360"/>
      </w:pPr>
      <w:rPr>
        <w:rFonts w:ascii="Wingdings" w:hAnsi="Wingdings" w:hint="default"/>
      </w:rPr>
    </w:lvl>
    <w:lvl w:ilvl="6" w:tplc="B65C6AE8">
      <w:start w:val="1"/>
      <w:numFmt w:val="bullet"/>
      <w:lvlText w:val=""/>
      <w:lvlJc w:val="left"/>
      <w:pPr>
        <w:ind w:left="5040" w:hanging="360"/>
      </w:pPr>
      <w:rPr>
        <w:rFonts w:ascii="Symbol" w:hAnsi="Symbol" w:hint="default"/>
      </w:rPr>
    </w:lvl>
    <w:lvl w:ilvl="7" w:tplc="D008528E">
      <w:start w:val="1"/>
      <w:numFmt w:val="bullet"/>
      <w:lvlText w:val="o"/>
      <w:lvlJc w:val="left"/>
      <w:pPr>
        <w:ind w:left="5760" w:hanging="360"/>
      </w:pPr>
      <w:rPr>
        <w:rFonts w:ascii="Courier New" w:hAnsi="Courier New" w:hint="default"/>
      </w:rPr>
    </w:lvl>
    <w:lvl w:ilvl="8" w:tplc="8092084A">
      <w:start w:val="1"/>
      <w:numFmt w:val="bullet"/>
      <w:lvlText w:val=""/>
      <w:lvlJc w:val="left"/>
      <w:pPr>
        <w:ind w:left="6480" w:hanging="360"/>
      </w:pPr>
      <w:rPr>
        <w:rFonts w:ascii="Wingdings" w:hAnsi="Wingdings" w:hint="default"/>
      </w:rPr>
    </w:lvl>
  </w:abstractNum>
  <w:abstractNum w:abstractNumId="18" w15:restartNumberingAfterBreak="0">
    <w:nsid w:val="1D8105EE"/>
    <w:multiLevelType w:val="hybridMultilevel"/>
    <w:tmpl w:val="FFFFFFFF"/>
    <w:lvl w:ilvl="0" w:tplc="3818716A">
      <w:start w:val="1"/>
      <w:numFmt w:val="decimal"/>
      <w:lvlText w:val="%1."/>
      <w:lvlJc w:val="left"/>
      <w:pPr>
        <w:ind w:left="720" w:hanging="360"/>
      </w:pPr>
    </w:lvl>
    <w:lvl w:ilvl="1" w:tplc="6E726B68">
      <w:start w:val="1"/>
      <w:numFmt w:val="lowerLetter"/>
      <w:lvlText w:val="%2."/>
      <w:lvlJc w:val="left"/>
      <w:pPr>
        <w:ind w:left="1440" w:hanging="360"/>
      </w:pPr>
    </w:lvl>
    <w:lvl w:ilvl="2" w:tplc="E1D0A23E">
      <w:start w:val="1"/>
      <w:numFmt w:val="lowerRoman"/>
      <w:lvlText w:val="%3."/>
      <w:lvlJc w:val="right"/>
      <w:pPr>
        <w:ind w:left="2160" w:hanging="180"/>
      </w:pPr>
    </w:lvl>
    <w:lvl w:ilvl="3" w:tplc="C8501918">
      <w:start w:val="1"/>
      <w:numFmt w:val="decimal"/>
      <w:lvlText w:val="%4."/>
      <w:lvlJc w:val="left"/>
      <w:pPr>
        <w:ind w:left="2880" w:hanging="360"/>
      </w:pPr>
    </w:lvl>
    <w:lvl w:ilvl="4" w:tplc="F6A4B590">
      <w:start w:val="1"/>
      <w:numFmt w:val="lowerLetter"/>
      <w:lvlText w:val="%5."/>
      <w:lvlJc w:val="left"/>
      <w:pPr>
        <w:ind w:left="3600" w:hanging="360"/>
      </w:pPr>
    </w:lvl>
    <w:lvl w:ilvl="5" w:tplc="EB2EC906">
      <w:start w:val="1"/>
      <w:numFmt w:val="lowerRoman"/>
      <w:lvlText w:val="%6."/>
      <w:lvlJc w:val="right"/>
      <w:pPr>
        <w:ind w:left="4320" w:hanging="180"/>
      </w:pPr>
    </w:lvl>
    <w:lvl w:ilvl="6" w:tplc="7428A5EC">
      <w:start w:val="1"/>
      <w:numFmt w:val="decimal"/>
      <w:lvlText w:val="%7."/>
      <w:lvlJc w:val="left"/>
      <w:pPr>
        <w:ind w:left="5040" w:hanging="360"/>
      </w:pPr>
    </w:lvl>
    <w:lvl w:ilvl="7" w:tplc="F91E9196">
      <w:start w:val="1"/>
      <w:numFmt w:val="lowerLetter"/>
      <w:lvlText w:val="%8."/>
      <w:lvlJc w:val="left"/>
      <w:pPr>
        <w:ind w:left="5760" w:hanging="360"/>
      </w:pPr>
    </w:lvl>
    <w:lvl w:ilvl="8" w:tplc="C2B8C882">
      <w:start w:val="1"/>
      <w:numFmt w:val="lowerRoman"/>
      <w:lvlText w:val="%9."/>
      <w:lvlJc w:val="right"/>
      <w:pPr>
        <w:ind w:left="6480" w:hanging="180"/>
      </w:pPr>
    </w:lvl>
  </w:abstractNum>
  <w:abstractNum w:abstractNumId="19" w15:restartNumberingAfterBreak="0">
    <w:nsid w:val="2E301DD4"/>
    <w:multiLevelType w:val="hybridMultilevel"/>
    <w:tmpl w:val="04090023"/>
    <w:lvl w:ilvl="0" w:tplc="769224D2">
      <w:start w:val="1"/>
      <w:numFmt w:val="upperRoman"/>
      <w:lvlText w:val="Article %1."/>
      <w:lvlJc w:val="left"/>
      <w:pPr>
        <w:ind w:left="0" w:firstLine="0"/>
      </w:pPr>
    </w:lvl>
    <w:lvl w:ilvl="1" w:tplc="EEC6AD90">
      <w:start w:val="1"/>
      <w:numFmt w:val="decimalZero"/>
      <w:isLgl/>
      <w:lvlText w:val="Section %1.%2"/>
      <w:lvlJc w:val="left"/>
      <w:pPr>
        <w:ind w:left="0" w:firstLine="0"/>
      </w:pPr>
    </w:lvl>
    <w:lvl w:ilvl="2" w:tplc="FE44161C">
      <w:start w:val="1"/>
      <w:numFmt w:val="lowerLetter"/>
      <w:lvlText w:val="(%3)"/>
      <w:lvlJc w:val="left"/>
      <w:pPr>
        <w:ind w:left="720" w:hanging="432"/>
      </w:pPr>
    </w:lvl>
    <w:lvl w:ilvl="3" w:tplc="715AFD08">
      <w:start w:val="1"/>
      <w:numFmt w:val="lowerRoman"/>
      <w:lvlText w:val="(%4)"/>
      <w:lvlJc w:val="right"/>
      <w:pPr>
        <w:ind w:left="864" w:hanging="144"/>
      </w:pPr>
    </w:lvl>
    <w:lvl w:ilvl="4" w:tplc="DA164020">
      <w:start w:val="1"/>
      <w:numFmt w:val="decimal"/>
      <w:pStyle w:val="Heading5"/>
      <w:lvlText w:val="%5)"/>
      <w:lvlJc w:val="left"/>
      <w:pPr>
        <w:ind w:left="1008" w:hanging="432"/>
      </w:pPr>
    </w:lvl>
    <w:lvl w:ilvl="5" w:tplc="8124AD9C">
      <w:start w:val="1"/>
      <w:numFmt w:val="lowerLetter"/>
      <w:pStyle w:val="Heading6"/>
      <w:lvlText w:val="%6)"/>
      <w:lvlJc w:val="left"/>
      <w:pPr>
        <w:ind w:left="1152" w:hanging="432"/>
      </w:pPr>
    </w:lvl>
    <w:lvl w:ilvl="6" w:tplc="D0307CCA">
      <w:start w:val="1"/>
      <w:numFmt w:val="lowerRoman"/>
      <w:pStyle w:val="Heading7"/>
      <w:lvlText w:val="%7)"/>
      <w:lvlJc w:val="right"/>
      <w:pPr>
        <w:ind w:left="1296" w:hanging="288"/>
      </w:pPr>
    </w:lvl>
    <w:lvl w:ilvl="7" w:tplc="B60EC2A6">
      <w:start w:val="1"/>
      <w:numFmt w:val="lowerLetter"/>
      <w:pStyle w:val="Heading8"/>
      <w:lvlText w:val="%8."/>
      <w:lvlJc w:val="left"/>
      <w:pPr>
        <w:ind w:left="1440" w:hanging="432"/>
      </w:pPr>
    </w:lvl>
    <w:lvl w:ilvl="8" w:tplc="F2C4FAFE">
      <w:start w:val="1"/>
      <w:numFmt w:val="lowerRoman"/>
      <w:pStyle w:val="Heading9"/>
      <w:lvlText w:val="%9."/>
      <w:lvlJc w:val="right"/>
      <w:pPr>
        <w:ind w:left="1584" w:hanging="144"/>
      </w:pPr>
    </w:lvl>
  </w:abstractNum>
  <w:abstractNum w:abstractNumId="20" w15:restartNumberingAfterBreak="0">
    <w:nsid w:val="4A71194C"/>
    <w:multiLevelType w:val="hybridMultilevel"/>
    <w:tmpl w:val="3A427C52"/>
    <w:lvl w:ilvl="0" w:tplc="C50CE07E">
      <w:start w:val="1"/>
      <w:numFmt w:val="bullet"/>
      <w:lvlText w:val="&gt;"/>
      <w:lvlJc w:val="left"/>
      <w:pPr>
        <w:ind w:left="720" w:hanging="360"/>
      </w:pPr>
      <w:rPr>
        <w:rFonts w:ascii="HelveticaNeueLT Std Lt" w:hAnsi="HelveticaNeueLT Std Lt" w:hint="default"/>
      </w:rPr>
    </w:lvl>
    <w:lvl w:ilvl="1" w:tplc="C472020C">
      <w:start w:val="1"/>
      <w:numFmt w:val="bullet"/>
      <w:lvlText w:val="o"/>
      <w:lvlJc w:val="left"/>
      <w:pPr>
        <w:ind w:left="1440" w:hanging="360"/>
      </w:pPr>
      <w:rPr>
        <w:rFonts w:ascii="Courier New" w:hAnsi="Courier New" w:hint="default"/>
      </w:rPr>
    </w:lvl>
    <w:lvl w:ilvl="2" w:tplc="DEB8EE78">
      <w:start w:val="1"/>
      <w:numFmt w:val="bullet"/>
      <w:lvlText w:val=""/>
      <w:lvlJc w:val="left"/>
      <w:pPr>
        <w:ind w:left="2160" w:hanging="360"/>
      </w:pPr>
      <w:rPr>
        <w:rFonts w:ascii="Wingdings" w:hAnsi="Wingdings" w:hint="default"/>
      </w:rPr>
    </w:lvl>
    <w:lvl w:ilvl="3" w:tplc="24B6D720">
      <w:start w:val="1"/>
      <w:numFmt w:val="bullet"/>
      <w:lvlText w:val=""/>
      <w:lvlJc w:val="left"/>
      <w:pPr>
        <w:ind w:left="2880" w:hanging="360"/>
      </w:pPr>
      <w:rPr>
        <w:rFonts w:ascii="Symbol" w:hAnsi="Symbol" w:hint="default"/>
      </w:rPr>
    </w:lvl>
    <w:lvl w:ilvl="4" w:tplc="876E2304">
      <w:start w:val="1"/>
      <w:numFmt w:val="bullet"/>
      <w:lvlText w:val="o"/>
      <w:lvlJc w:val="left"/>
      <w:pPr>
        <w:ind w:left="3600" w:hanging="360"/>
      </w:pPr>
      <w:rPr>
        <w:rFonts w:ascii="Courier New" w:hAnsi="Courier New" w:hint="default"/>
      </w:rPr>
    </w:lvl>
    <w:lvl w:ilvl="5" w:tplc="B0C4F292">
      <w:start w:val="1"/>
      <w:numFmt w:val="bullet"/>
      <w:lvlText w:val=""/>
      <w:lvlJc w:val="left"/>
      <w:pPr>
        <w:ind w:left="4320" w:hanging="360"/>
      </w:pPr>
      <w:rPr>
        <w:rFonts w:ascii="Wingdings" w:hAnsi="Wingdings" w:hint="default"/>
      </w:rPr>
    </w:lvl>
    <w:lvl w:ilvl="6" w:tplc="5F48A7AA">
      <w:start w:val="1"/>
      <w:numFmt w:val="bullet"/>
      <w:lvlText w:val=""/>
      <w:lvlJc w:val="left"/>
      <w:pPr>
        <w:ind w:left="5040" w:hanging="360"/>
      </w:pPr>
      <w:rPr>
        <w:rFonts w:ascii="Symbol" w:hAnsi="Symbol" w:hint="default"/>
      </w:rPr>
    </w:lvl>
    <w:lvl w:ilvl="7" w:tplc="A1D62E8E">
      <w:start w:val="1"/>
      <w:numFmt w:val="bullet"/>
      <w:lvlText w:val="o"/>
      <w:lvlJc w:val="left"/>
      <w:pPr>
        <w:ind w:left="5760" w:hanging="360"/>
      </w:pPr>
      <w:rPr>
        <w:rFonts w:ascii="Courier New" w:hAnsi="Courier New" w:hint="default"/>
      </w:rPr>
    </w:lvl>
    <w:lvl w:ilvl="8" w:tplc="68CCEE38">
      <w:start w:val="1"/>
      <w:numFmt w:val="bullet"/>
      <w:lvlText w:val=""/>
      <w:lvlJc w:val="left"/>
      <w:pPr>
        <w:ind w:left="6480" w:hanging="360"/>
      </w:pPr>
      <w:rPr>
        <w:rFonts w:ascii="Wingdings" w:hAnsi="Wingdings" w:hint="default"/>
      </w:rPr>
    </w:lvl>
  </w:abstractNum>
  <w:abstractNum w:abstractNumId="21" w15:restartNumberingAfterBreak="0">
    <w:nsid w:val="4C4E022D"/>
    <w:multiLevelType w:val="hybridMultilevel"/>
    <w:tmpl w:val="FFFFFFFF"/>
    <w:lvl w:ilvl="0" w:tplc="2E20DA06">
      <w:start w:val="1"/>
      <w:numFmt w:val="bullet"/>
      <w:lvlText w:val="&gt;"/>
      <w:lvlJc w:val="left"/>
      <w:pPr>
        <w:ind w:left="720" w:hanging="360"/>
      </w:pPr>
      <w:rPr>
        <w:rFonts w:ascii="HelveticaNeueLT Std Lt" w:hAnsi="HelveticaNeueLT Std Lt" w:hint="default"/>
      </w:rPr>
    </w:lvl>
    <w:lvl w:ilvl="1" w:tplc="9014BD38">
      <w:start w:val="1"/>
      <w:numFmt w:val="bullet"/>
      <w:lvlText w:val="o"/>
      <w:lvlJc w:val="left"/>
      <w:pPr>
        <w:ind w:left="1440" w:hanging="360"/>
      </w:pPr>
      <w:rPr>
        <w:rFonts w:ascii="Courier New" w:hAnsi="Courier New" w:hint="default"/>
      </w:rPr>
    </w:lvl>
    <w:lvl w:ilvl="2" w:tplc="AEC0A966">
      <w:start w:val="1"/>
      <w:numFmt w:val="bullet"/>
      <w:lvlText w:val=""/>
      <w:lvlJc w:val="left"/>
      <w:pPr>
        <w:ind w:left="2160" w:hanging="360"/>
      </w:pPr>
      <w:rPr>
        <w:rFonts w:ascii="Wingdings" w:hAnsi="Wingdings" w:hint="default"/>
      </w:rPr>
    </w:lvl>
    <w:lvl w:ilvl="3" w:tplc="57723A0E">
      <w:start w:val="1"/>
      <w:numFmt w:val="bullet"/>
      <w:lvlText w:val=""/>
      <w:lvlJc w:val="left"/>
      <w:pPr>
        <w:ind w:left="2880" w:hanging="360"/>
      </w:pPr>
      <w:rPr>
        <w:rFonts w:ascii="Symbol" w:hAnsi="Symbol" w:hint="default"/>
      </w:rPr>
    </w:lvl>
    <w:lvl w:ilvl="4" w:tplc="B53C73CC">
      <w:start w:val="1"/>
      <w:numFmt w:val="bullet"/>
      <w:lvlText w:val="o"/>
      <w:lvlJc w:val="left"/>
      <w:pPr>
        <w:ind w:left="3600" w:hanging="360"/>
      </w:pPr>
      <w:rPr>
        <w:rFonts w:ascii="Courier New" w:hAnsi="Courier New" w:hint="default"/>
      </w:rPr>
    </w:lvl>
    <w:lvl w:ilvl="5" w:tplc="E58E016E">
      <w:start w:val="1"/>
      <w:numFmt w:val="bullet"/>
      <w:lvlText w:val=""/>
      <w:lvlJc w:val="left"/>
      <w:pPr>
        <w:ind w:left="4320" w:hanging="360"/>
      </w:pPr>
      <w:rPr>
        <w:rFonts w:ascii="Wingdings" w:hAnsi="Wingdings" w:hint="default"/>
      </w:rPr>
    </w:lvl>
    <w:lvl w:ilvl="6" w:tplc="2FC4C400">
      <w:start w:val="1"/>
      <w:numFmt w:val="bullet"/>
      <w:lvlText w:val=""/>
      <w:lvlJc w:val="left"/>
      <w:pPr>
        <w:ind w:left="5040" w:hanging="360"/>
      </w:pPr>
      <w:rPr>
        <w:rFonts w:ascii="Symbol" w:hAnsi="Symbol" w:hint="default"/>
      </w:rPr>
    </w:lvl>
    <w:lvl w:ilvl="7" w:tplc="B4C68EE0">
      <w:start w:val="1"/>
      <w:numFmt w:val="bullet"/>
      <w:lvlText w:val="o"/>
      <w:lvlJc w:val="left"/>
      <w:pPr>
        <w:ind w:left="5760" w:hanging="360"/>
      </w:pPr>
      <w:rPr>
        <w:rFonts w:ascii="Courier New" w:hAnsi="Courier New" w:hint="default"/>
      </w:rPr>
    </w:lvl>
    <w:lvl w:ilvl="8" w:tplc="A828B97C">
      <w:start w:val="1"/>
      <w:numFmt w:val="bullet"/>
      <w:lvlText w:val=""/>
      <w:lvlJc w:val="left"/>
      <w:pPr>
        <w:ind w:left="6480" w:hanging="360"/>
      </w:pPr>
      <w:rPr>
        <w:rFonts w:ascii="Wingdings" w:hAnsi="Wingdings" w:hint="default"/>
      </w:rPr>
    </w:lvl>
  </w:abstractNum>
  <w:abstractNum w:abstractNumId="22" w15:restartNumberingAfterBreak="0">
    <w:nsid w:val="4DA16394"/>
    <w:multiLevelType w:val="hybridMultilevel"/>
    <w:tmpl w:val="C8865F24"/>
    <w:lvl w:ilvl="0" w:tplc="4F3293C4">
      <w:start w:val="1"/>
      <w:numFmt w:val="bullet"/>
      <w:lvlText w:val="&gt;"/>
      <w:lvlJc w:val="left"/>
      <w:pPr>
        <w:ind w:left="720" w:hanging="360"/>
      </w:pPr>
      <w:rPr>
        <w:rFonts w:ascii="HelveticaNeueLT Std Lt" w:hAnsi="HelveticaNeueLT Std Lt" w:hint="default"/>
      </w:rPr>
    </w:lvl>
    <w:lvl w:ilvl="1" w:tplc="6CDA7854">
      <w:start w:val="1"/>
      <w:numFmt w:val="bullet"/>
      <w:lvlText w:val="o"/>
      <w:lvlJc w:val="left"/>
      <w:pPr>
        <w:ind w:left="1440" w:hanging="360"/>
      </w:pPr>
      <w:rPr>
        <w:rFonts w:ascii="Courier New" w:hAnsi="Courier New" w:hint="default"/>
      </w:rPr>
    </w:lvl>
    <w:lvl w:ilvl="2" w:tplc="CE36756C">
      <w:start w:val="1"/>
      <w:numFmt w:val="bullet"/>
      <w:lvlText w:val=""/>
      <w:lvlJc w:val="left"/>
      <w:pPr>
        <w:ind w:left="2160" w:hanging="360"/>
      </w:pPr>
      <w:rPr>
        <w:rFonts w:ascii="Wingdings" w:hAnsi="Wingdings" w:hint="default"/>
      </w:rPr>
    </w:lvl>
    <w:lvl w:ilvl="3" w:tplc="0A907CD2">
      <w:start w:val="1"/>
      <w:numFmt w:val="bullet"/>
      <w:lvlText w:val=""/>
      <w:lvlJc w:val="left"/>
      <w:pPr>
        <w:ind w:left="2880" w:hanging="360"/>
      </w:pPr>
      <w:rPr>
        <w:rFonts w:ascii="Symbol" w:hAnsi="Symbol" w:hint="default"/>
      </w:rPr>
    </w:lvl>
    <w:lvl w:ilvl="4" w:tplc="F8069508">
      <w:start w:val="1"/>
      <w:numFmt w:val="bullet"/>
      <w:lvlText w:val="o"/>
      <w:lvlJc w:val="left"/>
      <w:pPr>
        <w:ind w:left="3600" w:hanging="360"/>
      </w:pPr>
      <w:rPr>
        <w:rFonts w:ascii="Courier New" w:hAnsi="Courier New" w:hint="default"/>
      </w:rPr>
    </w:lvl>
    <w:lvl w:ilvl="5" w:tplc="C818B930">
      <w:start w:val="1"/>
      <w:numFmt w:val="bullet"/>
      <w:lvlText w:val=""/>
      <w:lvlJc w:val="left"/>
      <w:pPr>
        <w:ind w:left="4320" w:hanging="360"/>
      </w:pPr>
      <w:rPr>
        <w:rFonts w:ascii="Wingdings" w:hAnsi="Wingdings" w:hint="default"/>
      </w:rPr>
    </w:lvl>
    <w:lvl w:ilvl="6" w:tplc="F39C4CEC">
      <w:start w:val="1"/>
      <w:numFmt w:val="bullet"/>
      <w:lvlText w:val=""/>
      <w:lvlJc w:val="left"/>
      <w:pPr>
        <w:ind w:left="5040" w:hanging="360"/>
      </w:pPr>
      <w:rPr>
        <w:rFonts w:ascii="Symbol" w:hAnsi="Symbol" w:hint="default"/>
      </w:rPr>
    </w:lvl>
    <w:lvl w:ilvl="7" w:tplc="87A65D04">
      <w:start w:val="1"/>
      <w:numFmt w:val="bullet"/>
      <w:lvlText w:val="o"/>
      <w:lvlJc w:val="left"/>
      <w:pPr>
        <w:ind w:left="5760" w:hanging="360"/>
      </w:pPr>
      <w:rPr>
        <w:rFonts w:ascii="Courier New" w:hAnsi="Courier New" w:hint="default"/>
      </w:rPr>
    </w:lvl>
    <w:lvl w:ilvl="8" w:tplc="EBC0A940">
      <w:start w:val="1"/>
      <w:numFmt w:val="bullet"/>
      <w:lvlText w:val=""/>
      <w:lvlJc w:val="left"/>
      <w:pPr>
        <w:ind w:left="6480" w:hanging="360"/>
      </w:pPr>
      <w:rPr>
        <w:rFonts w:ascii="Wingdings" w:hAnsi="Wingdings" w:hint="default"/>
      </w:rPr>
    </w:lvl>
  </w:abstractNum>
  <w:abstractNum w:abstractNumId="23"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A7C19EB"/>
    <w:multiLevelType w:val="hybridMultilevel"/>
    <w:tmpl w:val="FFFFFFFF"/>
    <w:lvl w:ilvl="0" w:tplc="F906F638">
      <w:start w:val="1"/>
      <w:numFmt w:val="bullet"/>
      <w:lvlText w:val="&gt;"/>
      <w:lvlJc w:val="left"/>
      <w:pPr>
        <w:ind w:left="720" w:hanging="360"/>
      </w:pPr>
      <w:rPr>
        <w:rFonts w:ascii="HelveticaNeueLT Std Lt" w:hAnsi="HelveticaNeueLT Std Lt" w:hint="default"/>
      </w:rPr>
    </w:lvl>
    <w:lvl w:ilvl="1" w:tplc="8D88324A">
      <w:start w:val="1"/>
      <w:numFmt w:val="bullet"/>
      <w:lvlText w:val="o"/>
      <w:lvlJc w:val="left"/>
      <w:pPr>
        <w:ind w:left="1440" w:hanging="360"/>
      </w:pPr>
      <w:rPr>
        <w:rFonts w:ascii="Courier New" w:hAnsi="Courier New" w:hint="default"/>
      </w:rPr>
    </w:lvl>
    <w:lvl w:ilvl="2" w:tplc="89C4B136">
      <w:start w:val="1"/>
      <w:numFmt w:val="bullet"/>
      <w:lvlText w:val=""/>
      <w:lvlJc w:val="left"/>
      <w:pPr>
        <w:ind w:left="2160" w:hanging="360"/>
      </w:pPr>
      <w:rPr>
        <w:rFonts w:ascii="Wingdings" w:hAnsi="Wingdings" w:hint="default"/>
      </w:rPr>
    </w:lvl>
    <w:lvl w:ilvl="3" w:tplc="0D083A82">
      <w:start w:val="1"/>
      <w:numFmt w:val="bullet"/>
      <w:lvlText w:val=""/>
      <w:lvlJc w:val="left"/>
      <w:pPr>
        <w:ind w:left="2880" w:hanging="360"/>
      </w:pPr>
      <w:rPr>
        <w:rFonts w:ascii="Symbol" w:hAnsi="Symbol" w:hint="default"/>
      </w:rPr>
    </w:lvl>
    <w:lvl w:ilvl="4" w:tplc="1D54981E">
      <w:start w:val="1"/>
      <w:numFmt w:val="bullet"/>
      <w:lvlText w:val="o"/>
      <w:lvlJc w:val="left"/>
      <w:pPr>
        <w:ind w:left="3600" w:hanging="360"/>
      </w:pPr>
      <w:rPr>
        <w:rFonts w:ascii="Courier New" w:hAnsi="Courier New" w:hint="default"/>
      </w:rPr>
    </w:lvl>
    <w:lvl w:ilvl="5" w:tplc="4EE042FC">
      <w:start w:val="1"/>
      <w:numFmt w:val="bullet"/>
      <w:lvlText w:val=""/>
      <w:lvlJc w:val="left"/>
      <w:pPr>
        <w:ind w:left="4320" w:hanging="360"/>
      </w:pPr>
      <w:rPr>
        <w:rFonts w:ascii="Wingdings" w:hAnsi="Wingdings" w:hint="default"/>
      </w:rPr>
    </w:lvl>
    <w:lvl w:ilvl="6" w:tplc="36C0EE38">
      <w:start w:val="1"/>
      <w:numFmt w:val="bullet"/>
      <w:lvlText w:val=""/>
      <w:lvlJc w:val="left"/>
      <w:pPr>
        <w:ind w:left="5040" w:hanging="360"/>
      </w:pPr>
      <w:rPr>
        <w:rFonts w:ascii="Symbol" w:hAnsi="Symbol" w:hint="default"/>
      </w:rPr>
    </w:lvl>
    <w:lvl w:ilvl="7" w:tplc="7194A310">
      <w:start w:val="1"/>
      <w:numFmt w:val="bullet"/>
      <w:lvlText w:val="o"/>
      <w:lvlJc w:val="left"/>
      <w:pPr>
        <w:ind w:left="5760" w:hanging="360"/>
      </w:pPr>
      <w:rPr>
        <w:rFonts w:ascii="Courier New" w:hAnsi="Courier New" w:hint="default"/>
      </w:rPr>
    </w:lvl>
    <w:lvl w:ilvl="8" w:tplc="24261046">
      <w:start w:val="1"/>
      <w:numFmt w:val="bullet"/>
      <w:lvlText w:val=""/>
      <w:lvlJc w:val="left"/>
      <w:pPr>
        <w:ind w:left="6480" w:hanging="360"/>
      </w:pPr>
      <w:rPr>
        <w:rFonts w:ascii="Wingdings" w:hAnsi="Wingdings" w:hint="default"/>
      </w:rPr>
    </w:lvl>
  </w:abstractNum>
  <w:abstractNum w:abstractNumId="25" w15:restartNumberingAfterBreak="0">
    <w:nsid w:val="5B616349"/>
    <w:multiLevelType w:val="hybridMultilevel"/>
    <w:tmpl w:val="5ACA711E"/>
    <w:lvl w:ilvl="0" w:tplc="18AAB268">
      <w:start w:val="1"/>
      <w:numFmt w:val="bullet"/>
      <w:lvlText w:val="&gt;"/>
      <w:lvlJc w:val="left"/>
      <w:pPr>
        <w:ind w:left="720" w:hanging="360"/>
      </w:pPr>
      <w:rPr>
        <w:rFonts w:ascii="HelveticaNeueLT Std Lt" w:hAnsi="HelveticaNeueLT Std Lt" w:hint="default"/>
      </w:rPr>
    </w:lvl>
    <w:lvl w:ilvl="1" w:tplc="DD0A8C44">
      <w:start w:val="1"/>
      <w:numFmt w:val="bullet"/>
      <w:lvlText w:val="o"/>
      <w:lvlJc w:val="left"/>
      <w:pPr>
        <w:ind w:left="1440" w:hanging="360"/>
      </w:pPr>
      <w:rPr>
        <w:rFonts w:ascii="Courier New" w:hAnsi="Courier New" w:hint="default"/>
      </w:rPr>
    </w:lvl>
    <w:lvl w:ilvl="2" w:tplc="906C2754">
      <w:start w:val="1"/>
      <w:numFmt w:val="bullet"/>
      <w:lvlText w:val=""/>
      <w:lvlJc w:val="left"/>
      <w:pPr>
        <w:ind w:left="2160" w:hanging="360"/>
      </w:pPr>
      <w:rPr>
        <w:rFonts w:ascii="Wingdings" w:hAnsi="Wingdings" w:hint="default"/>
      </w:rPr>
    </w:lvl>
    <w:lvl w:ilvl="3" w:tplc="20AA7B56">
      <w:start w:val="1"/>
      <w:numFmt w:val="bullet"/>
      <w:lvlText w:val=""/>
      <w:lvlJc w:val="left"/>
      <w:pPr>
        <w:ind w:left="2880" w:hanging="360"/>
      </w:pPr>
      <w:rPr>
        <w:rFonts w:ascii="Symbol" w:hAnsi="Symbol" w:hint="default"/>
      </w:rPr>
    </w:lvl>
    <w:lvl w:ilvl="4" w:tplc="28A6E404">
      <w:start w:val="1"/>
      <w:numFmt w:val="bullet"/>
      <w:lvlText w:val="o"/>
      <w:lvlJc w:val="left"/>
      <w:pPr>
        <w:ind w:left="3600" w:hanging="360"/>
      </w:pPr>
      <w:rPr>
        <w:rFonts w:ascii="Courier New" w:hAnsi="Courier New" w:hint="default"/>
      </w:rPr>
    </w:lvl>
    <w:lvl w:ilvl="5" w:tplc="12FE128E">
      <w:start w:val="1"/>
      <w:numFmt w:val="bullet"/>
      <w:lvlText w:val=""/>
      <w:lvlJc w:val="left"/>
      <w:pPr>
        <w:ind w:left="4320" w:hanging="360"/>
      </w:pPr>
      <w:rPr>
        <w:rFonts w:ascii="Wingdings" w:hAnsi="Wingdings" w:hint="default"/>
      </w:rPr>
    </w:lvl>
    <w:lvl w:ilvl="6" w:tplc="567C50CA">
      <w:start w:val="1"/>
      <w:numFmt w:val="bullet"/>
      <w:lvlText w:val=""/>
      <w:lvlJc w:val="left"/>
      <w:pPr>
        <w:ind w:left="5040" w:hanging="360"/>
      </w:pPr>
      <w:rPr>
        <w:rFonts w:ascii="Symbol" w:hAnsi="Symbol" w:hint="default"/>
      </w:rPr>
    </w:lvl>
    <w:lvl w:ilvl="7" w:tplc="EA685BD6">
      <w:start w:val="1"/>
      <w:numFmt w:val="bullet"/>
      <w:lvlText w:val="o"/>
      <w:lvlJc w:val="left"/>
      <w:pPr>
        <w:ind w:left="5760" w:hanging="360"/>
      </w:pPr>
      <w:rPr>
        <w:rFonts w:ascii="Courier New" w:hAnsi="Courier New" w:hint="default"/>
      </w:rPr>
    </w:lvl>
    <w:lvl w:ilvl="8" w:tplc="9FD4154C">
      <w:start w:val="1"/>
      <w:numFmt w:val="bullet"/>
      <w:lvlText w:val=""/>
      <w:lvlJc w:val="left"/>
      <w:pPr>
        <w:ind w:left="6480" w:hanging="360"/>
      </w:pPr>
      <w:rPr>
        <w:rFonts w:ascii="Wingdings" w:hAnsi="Wingdings" w:hint="default"/>
      </w:rPr>
    </w:lvl>
  </w:abstractNum>
  <w:abstractNum w:abstractNumId="26" w15:restartNumberingAfterBreak="0">
    <w:nsid w:val="5E7036FB"/>
    <w:multiLevelType w:val="hybridMultilevel"/>
    <w:tmpl w:val="FFFFFFFF"/>
    <w:lvl w:ilvl="0" w:tplc="157C8AA8">
      <w:start w:val="1"/>
      <w:numFmt w:val="bullet"/>
      <w:lvlText w:val=""/>
      <w:lvlJc w:val="left"/>
      <w:pPr>
        <w:ind w:left="720" w:hanging="360"/>
      </w:pPr>
      <w:rPr>
        <w:rFonts w:ascii="Symbol" w:hAnsi="Symbol" w:hint="default"/>
      </w:rPr>
    </w:lvl>
    <w:lvl w:ilvl="1" w:tplc="C624FD4C">
      <w:start w:val="1"/>
      <w:numFmt w:val="bullet"/>
      <w:lvlText w:val="o"/>
      <w:lvlJc w:val="left"/>
      <w:pPr>
        <w:ind w:left="1440" w:hanging="360"/>
      </w:pPr>
      <w:rPr>
        <w:rFonts w:ascii="Courier New" w:hAnsi="Courier New" w:hint="default"/>
      </w:rPr>
    </w:lvl>
    <w:lvl w:ilvl="2" w:tplc="F54ACFC6">
      <w:start w:val="1"/>
      <w:numFmt w:val="bullet"/>
      <w:lvlText w:val=""/>
      <w:lvlJc w:val="left"/>
      <w:pPr>
        <w:ind w:left="2160" w:hanging="360"/>
      </w:pPr>
      <w:rPr>
        <w:rFonts w:ascii="Wingdings" w:hAnsi="Wingdings" w:hint="default"/>
      </w:rPr>
    </w:lvl>
    <w:lvl w:ilvl="3" w:tplc="87CE5EEC">
      <w:start w:val="1"/>
      <w:numFmt w:val="bullet"/>
      <w:lvlText w:val=""/>
      <w:lvlJc w:val="left"/>
      <w:pPr>
        <w:ind w:left="2880" w:hanging="360"/>
      </w:pPr>
      <w:rPr>
        <w:rFonts w:ascii="Symbol" w:hAnsi="Symbol" w:hint="default"/>
      </w:rPr>
    </w:lvl>
    <w:lvl w:ilvl="4" w:tplc="FAF29C7A">
      <w:start w:val="1"/>
      <w:numFmt w:val="bullet"/>
      <w:lvlText w:val="o"/>
      <w:lvlJc w:val="left"/>
      <w:pPr>
        <w:ind w:left="3600" w:hanging="360"/>
      </w:pPr>
      <w:rPr>
        <w:rFonts w:ascii="Courier New" w:hAnsi="Courier New" w:hint="default"/>
      </w:rPr>
    </w:lvl>
    <w:lvl w:ilvl="5" w:tplc="9296FD48">
      <w:start w:val="1"/>
      <w:numFmt w:val="bullet"/>
      <w:lvlText w:val=""/>
      <w:lvlJc w:val="left"/>
      <w:pPr>
        <w:ind w:left="4320" w:hanging="360"/>
      </w:pPr>
      <w:rPr>
        <w:rFonts w:ascii="Wingdings" w:hAnsi="Wingdings" w:hint="default"/>
      </w:rPr>
    </w:lvl>
    <w:lvl w:ilvl="6" w:tplc="7C52F230">
      <w:start w:val="1"/>
      <w:numFmt w:val="bullet"/>
      <w:lvlText w:val=""/>
      <w:lvlJc w:val="left"/>
      <w:pPr>
        <w:ind w:left="5040" w:hanging="360"/>
      </w:pPr>
      <w:rPr>
        <w:rFonts w:ascii="Symbol" w:hAnsi="Symbol" w:hint="default"/>
      </w:rPr>
    </w:lvl>
    <w:lvl w:ilvl="7" w:tplc="BEEE6A76">
      <w:start w:val="1"/>
      <w:numFmt w:val="bullet"/>
      <w:lvlText w:val="o"/>
      <w:lvlJc w:val="left"/>
      <w:pPr>
        <w:ind w:left="5760" w:hanging="360"/>
      </w:pPr>
      <w:rPr>
        <w:rFonts w:ascii="Courier New" w:hAnsi="Courier New" w:hint="default"/>
      </w:rPr>
    </w:lvl>
    <w:lvl w:ilvl="8" w:tplc="97A05AF6">
      <w:start w:val="1"/>
      <w:numFmt w:val="bullet"/>
      <w:lvlText w:val=""/>
      <w:lvlJc w:val="left"/>
      <w:pPr>
        <w:ind w:left="6480" w:hanging="360"/>
      </w:pPr>
      <w:rPr>
        <w:rFonts w:ascii="Wingdings" w:hAnsi="Wingdings" w:hint="default"/>
      </w:rPr>
    </w:lvl>
  </w:abstractNum>
  <w:abstractNum w:abstractNumId="27" w15:restartNumberingAfterBreak="0">
    <w:nsid w:val="6105538D"/>
    <w:multiLevelType w:val="hybridMultilevel"/>
    <w:tmpl w:val="FFFFFFFF"/>
    <w:lvl w:ilvl="0" w:tplc="0F14CEA0">
      <w:start w:val="1"/>
      <w:numFmt w:val="bullet"/>
      <w:lvlText w:val="&gt;"/>
      <w:lvlJc w:val="left"/>
      <w:pPr>
        <w:ind w:left="720" w:hanging="360"/>
      </w:pPr>
      <w:rPr>
        <w:rFonts w:ascii="HelveticaNeueLT Std Lt" w:hAnsi="HelveticaNeueLT Std Lt" w:hint="default"/>
      </w:rPr>
    </w:lvl>
    <w:lvl w:ilvl="1" w:tplc="6518CECE">
      <w:start w:val="1"/>
      <w:numFmt w:val="bullet"/>
      <w:lvlText w:val="o"/>
      <w:lvlJc w:val="left"/>
      <w:pPr>
        <w:ind w:left="1440" w:hanging="360"/>
      </w:pPr>
      <w:rPr>
        <w:rFonts w:ascii="Courier New" w:hAnsi="Courier New" w:hint="default"/>
      </w:rPr>
    </w:lvl>
    <w:lvl w:ilvl="2" w:tplc="5A2A7094">
      <w:start w:val="1"/>
      <w:numFmt w:val="bullet"/>
      <w:lvlText w:val=""/>
      <w:lvlJc w:val="left"/>
      <w:pPr>
        <w:ind w:left="2160" w:hanging="360"/>
      </w:pPr>
      <w:rPr>
        <w:rFonts w:ascii="Wingdings" w:hAnsi="Wingdings" w:hint="default"/>
      </w:rPr>
    </w:lvl>
    <w:lvl w:ilvl="3" w:tplc="7C9CD15C">
      <w:start w:val="1"/>
      <w:numFmt w:val="bullet"/>
      <w:lvlText w:val=""/>
      <w:lvlJc w:val="left"/>
      <w:pPr>
        <w:ind w:left="2880" w:hanging="360"/>
      </w:pPr>
      <w:rPr>
        <w:rFonts w:ascii="Symbol" w:hAnsi="Symbol" w:hint="default"/>
      </w:rPr>
    </w:lvl>
    <w:lvl w:ilvl="4" w:tplc="3AD2F944">
      <w:start w:val="1"/>
      <w:numFmt w:val="bullet"/>
      <w:lvlText w:val="o"/>
      <w:lvlJc w:val="left"/>
      <w:pPr>
        <w:ind w:left="3600" w:hanging="360"/>
      </w:pPr>
      <w:rPr>
        <w:rFonts w:ascii="Courier New" w:hAnsi="Courier New" w:hint="default"/>
      </w:rPr>
    </w:lvl>
    <w:lvl w:ilvl="5" w:tplc="2B14EDF4">
      <w:start w:val="1"/>
      <w:numFmt w:val="bullet"/>
      <w:lvlText w:val=""/>
      <w:lvlJc w:val="left"/>
      <w:pPr>
        <w:ind w:left="4320" w:hanging="360"/>
      </w:pPr>
      <w:rPr>
        <w:rFonts w:ascii="Wingdings" w:hAnsi="Wingdings" w:hint="default"/>
      </w:rPr>
    </w:lvl>
    <w:lvl w:ilvl="6" w:tplc="650E24F4">
      <w:start w:val="1"/>
      <w:numFmt w:val="bullet"/>
      <w:lvlText w:val=""/>
      <w:lvlJc w:val="left"/>
      <w:pPr>
        <w:ind w:left="5040" w:hanging="360"/>
      </w:pPr>
      <w:rPr>
        <w:rFonts w:ascii="Symbol" w:hAnsi="Symbol" w:hint="default"/>
      </w:rPr>
    </w:lvl>
    <w:lvl w:ilvl="7" w:tplc="0332D836">
      <w:start w:val="1"/>
      <w:numFmt w:val="bullet"/>
      <w:lvlText w:val="o"/>
      <w:lvlJc w:val="left"/>
      <w:pPr>
        <w:ind w:left="5760" w:hanging="360"/>
      </w:pPr>
      <w:rPr>
        <w:rFonts w:ascii="Courier New" w:hAnsi="Courier New" w:hint="default"/>
      </w:rPr>
    </w:lvl>
    <w:lvl w:ilvl="8" w:tplc="4B6CC18C">
      <w:start w:val="1"/>
      <w:numFmt w:val="bullet"/>
      <w:lvlText w:val=""/>
      <w:lvlJc w:val="left"/>
      <w:pPr>
        <w:ind w:left="6480" w:hanging="360"/>
      </w:pPr>
      <w:rPr>
        <w:rFonts w:ascii="Wingdings" w:hAnsi="Wingdings" w:hint="default"/>
      </w:rPr>
    </w:lvl>
  </w:abstractNum>
  <w:abstractNum w:abstractNumId="2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85B282F"/>
    <w:multiLevelType w:val="hybridMultilevel"/>
    <w:tmpl w:val="75584274"/>
    <w:lvl w:ilvl="0" w:tplc="A81E0250">
      <w:start w:val="1"/>
      <w:numFmt w:val="decimal"/>
      <w:lvlText w:val="%1."/>
      <w:lvlJc w:val="left"/>
      <w:pPr>
        <w:ind w:left="720" w:hanging="360"/>
      </w:pPr>
    </w:lvl>
    <w:lvl w:ilvl="1" w:tplc="1E64633A">
      <w:start w:val="1"/>
      <w:numFmt w:val="lowerLetter"/>
      <w:lvlText w:val="%2."/>
      <w:lvlJc w:val="left"/>
      <w:pPr>
        <w:ind w:left="1440" w:hanging="360"/>
      </w:pPr>
    </w:lvl>
    <w:lvl w:ilvl="2" w:tplc="090A0F02">
      <w:start w:val="1"/>
      <w:numFmt w:val="lowerRoman"/>
      <w:lvlText w:val="%3."/>
      <w:lvlJc w:val="right"/>
      <w:pPr>
        <w:ind w:left="2160" w:hanging="180"/>
      </w:pPr>
    </w:lvl>
    <w:lvl w:ilvl="3" w:tplc="33D00174">
      <w:start w:val="1"/>
      <w:numFmt w:val="decimal"/>
      <w:lvlText w:val="%4."/>
      <w:lvlJc w:val="left"/>
      <w:pPr>
        <w:ind w:left="2880" w:hanging="360"/>
      </w:pPr>
    </w:lvl>
    <w:lvl w:ilvl="4" w:tplc="1772D274">
      <w:start w:val="1"/>
      <w:numFmt w:val="lowerLetter"/>
      <w:lvlText w:val="%5."/>
      <w:lvlJc w:val="left"/>
      <w:pPr>
        <w:ind w:left="3600" w:hanging="360"/>
      </w:pPr>
    </w:lvl>
    <w:lvl w:ilvl="5" w:tplc="27A08DFE">
      <w:start w:val="1"/>
      <w:numFmt w:val="lowerRoman"/>
      <w:lvlText w:val="%6."/>
      <w:lvlJc w:val="right"/>
      <w:pPr>
        <w:ind w:left="4320" w:hanging="180"/>
      </w:pPr>
    </w:lvl>
    <w:lvl w:ilvl="6" w:tplc="D81644DC">
      <w:start w:val="1"/>
      <w:numFmt w:val="decimal"/>
      <w:lvlText w:val="%7."/>
      <w:lvlJc w:val="left"/>
      <w:pPr>
        <w:ind w:left="5040" w:hanging="360"/>
      </w:pPr>
    </w:lvl>
    <w:lvl w:ilvl="7" w:tplc="423C44D4">
      <w:start w:val="1"/>
      <w:numFmt w:val="lowerLetter"/>
      <w:lvlText w:val="%8."/>
      <w:lvlJc w:val="left"/>
      <w:pPr>
        <w:ind w:left="5760" w:hanging="360"/>
      </w:pPr>
    </w:lvl>
    <w:lvl w:ilvl="8" w:tplc="F91E8BF4">
      <w:start w:val="1"/>
      <w:numFmt w:val="lowerRoman"/>
      <w:lvlText w:val="%9."/>
      <w:lvlJc w:val="right"/>
      <w:pPr>
        <w:ind w:left="6480" w:hanging="180"/>
      </w:pPr>
    </w:lvl>
  </w:abstractNum>
  <w:abstractNum w:abstractNumId="31" w15:restartNumberingAfterBreak="0">
    <w:nsid w:val="693852B0"/>
    <w:multiLevelType w:val="hybridMultilevel"/>
    <w:tmpl w:val="FFFFFFFF"/>
    <w:lvl w:ilvl="0" w:tplc="3FC6F52E">
      <w:start w:val="1"/>
      <w:numFmt w:val="decimal"/>
      <w:lvlText w:val="%1."/>
      <w:lvlJc w:val="left"/>
      <w:pPr>
        <w:tabs>
          <w:tab w:val="num" w:pos="720"/>
        </w:tabs>
        <w:ind w:left="720" w:hanging="720"/>
      </w:pPr>
    </w:lvl>
    <w:lvl w:ilvl="1" w:tplc="9BF6A91C">
      <w:start w:val="1"/>
      <w:numFmt w:val="decimal"/>
      <w:lvlText w:val="%2."/>
      <w:lvlJc w:val="left"/>
      <w:pPr>
        <w:tabs>
          <w:tab w:val="num" w:pos="1440"/>
        </w:tabs>
        <w:ind w:left="1440" w:hanging="720"/>
      </w:pPr>
    </w:lvl>
    <w:lvl w:ilvl="2" w:tplc="4BB6D3AE">
      <w:start w:val="1"/>
      <w:numFmt w:val="decimal"/>
      <w:lvlText w:val="%3."/>
      <w:lvlJc w:val="left"/>
      <w:pPr>
        <w:tabs>
          <w:tab w:val="num" w:pos="2160"/>
        </w:tabs>
        <w:ind w:left="2160" w:hanging="720"/>
      </w:pPr>
    </w:lvl>
    <w:lvl w:ilvl="3" w:tplc="4AC86F9A">
      <w:start w:val="1"/>
      <w:numFmt w:val="decimal"/>
      <w:lvlText w:val="%4."/>
      <w:lvlJc w:val="left"/>
      <w:pPr>
        <w:tabs>
          <w:tab w:val="num" w:pos="2880"/>
        </w:tabs>
        <w:ind w:left="2880" w:hanging="720"/>
      </w:pPr>
    </w:lvl>
    <w:lvl w:ilvl="4" w:tplc="DC9A8A6E">
      <w:start w:val="1"/>
      <w:numFmt w:val="decimal"/>
      <w:lvlText w:val="%5."/>
      <w:lvlJc w:val="left"/>
      <w:pPr>
        <w:tabs>
          <w:tab w:val="num" w:pos="3600"/>
        </w:tabs>
        <w:ind w:left="3600" w:hanging="720"/>
      </w:pPr>
    </w:lvl>
    <w:lvl w:ilvl="5" w:tplc="16A07286">
      <w:start w:val="1"/>
      <w:numFmt w:val="decimal"/>
      <w:lvlText w:val="%6."/>
      <w:lvlJc w:val="left"/>
      <w:pPr>
        <w:tabs>
          <w:tab w:val="num" w:pos="4320"/>
        </w:tabs>
        <w:ind w:left="4320" w:hanging="720"/>
      </w:pPr>
    </w:lvl>
    <w:lvl w:ilvl="6" w:tplc="1C1015A8">
      <w:start w:val="1"/>
      <w:numFmt w:val="decimal"/>
      <w:lvlText w:val="%7."/>
      <w:lvlJc w:val="left"/>
      <w:pPr>
        <w:tabs>
          <w:tab w:val="num" w:pos="5040"/>
        </w:tabs>
        <w:ind w:left="5040" w:hanging="720"/>
      </w:pPr>
    </w:lvl>
    <w:lvl w:ilvl="7" w:tplc="3A4869BC">
      <w:start w:val="1"/>
      <w:numFmt w:val="decimal"/>
      <w:lvlText w:val="%8."/>
      <w:lvlJc w:val="left"/>
      <w:pPr>
        <w:tabs>
          <w:tab w:val="num" w:pos="5760"/>
        </w:tabs>
        <w:ind w:left="5760" w:hanging="720"/>
      </w:pPr>
    </w:lvl>
    <w:lvl w:ilvl="8" w:tplc="D5C0E388">
      <w:start w:val="1"/>
      <w:numFmt w:val="decimal"/>
      <w:lvlText w:val="%9."/>
      <w:lvlJc w:val="left"/>
      <w:pPr>
        <w:tabs>
          <w:tab w:val="num" w:pos="6480"/>
        </w:tabs>
        <w:ind w:left="6480" w:hanging="720"/>
      </w:pPr>
    </w:lvl>
  </w:abstractNum>
  <w:abstractNum w:abstractNumId="32" w15:restartNumberingAfterBreak="0">
    <w:nsid w:val="6B2E0FF2"/>
    <w:multiLevelType w:val="hybridMultilevel"/>
    <w:tmpl w:val="FFFFFFFF"/>
    <w:lvl w:ilvl="0" w:tplc="D23E25E2">
      <w:start w:val="1"/>
      <w:numFmt w:val="decimal"/>
      <w:lvlText w:val="%1."/>
      <w:lvlJc w:val="left"/>
      <w:pPr>
        <w:ind w:left="720" w:hanging="360"/>
      </w:pPr>
    </w:lvl>
    <w:lvl w:ilvl="1" w:tplc="A0CC22F6">
      <w:start w:val="1"/>
      <w:numFmt w:val="lowerLetter"/>
      <w:lvlText w:val="%2."/>
      <w:lvlJc w:val="left"/>
      <w:pPr>
        <w:ind w:left="1440" w:hanging="360"/>
      </w:pPr>
    </w:lvl>
    <w:lvl w:ilvl="2" w:tplc="8674B4C8">
      <w:start w:val="1"/>
      <w:numFmt w:val="lowerRoman"/>
      <w:lvlText w:val="%3."/>
      <w:lvlJc w:val="right"/>
      <w:pPr>
        <w:ind w:left="2160" w:hanging="180"/>
      </w:pPr>
    </w:lvl>
    <w:lvl w:ilvl="3" w:tplc="FDA09DA2">
      <w:start w:val="1"/>
      <w:numFmt w:val="decimal"/>
      <w:lvlText w:val="%4."/>
      <w:lvlJc w:val="left"/>
      <w:pPr>
        <w:ind w:left="2880" w:hanging="360"/>
      </w:pPr>
    </w:lvl>
    <w:lvl w:ilvl="4" w:tplc="F89627C2">
      <w:start w:val="1"/>
      <w:numFmt w:val="lowerLetter"/>
      <w:lvlText w:val="%5."/>
      <w:lvlJc w:val="left"/>
      <w:pPr>
        <w:ind w:left="3600" w:hanging="360"/>
      </w:pPr>
    </w:lvl>
    <w:lvl w:ilvl="5" w:tplc="958C81EE">
      <w:start w:val="1"/>
      <w:numFmt w:val="lowerRoman"/>
      <w:lvlText w:val="%6."/>
      <w:lvlJc w:val="right"/>
      <w:pPr>
        <w:ind w:left="4320" w:hanging="180"/>
      </w:pPr>
    </w:lvl>
    <w:lvl w:ilvl="6" w:tplc="03145130">
      <w:start w:val="1"/>
      <w:numFmt w:val="decimal"/>
      <w:lvlText w:val="%7."/>
      <w:lvlJc w:val="left"/>
      <w:pPr>
        <w:ind w:left="5040" w:hanging="360"/>
      </w:pPr>
    </w:lvl>
    <w:lvl w:ilvl="7" w:tplc="EF3C75FE">
      <w:start w:val="1"/>
      <w:numFmt w:val="lowerLetter"/>
      <w:lvlText w:val="%8."/>
      <w:lvlJc w:val="left"/>
      <w:pPr>
        <w:ind w:left="5760" w:hanging="360"/>
      </w:pPr>
    </w:lvl>
    <w:lvl w:ilvl="8" w:tplc="0EECE640">
      <w:start w:val="1"/>
      <w:numFmt w:val="lowerRoman"/>
      <w:lvlText w:val="%9."/>
      <w:lvlJc w:val="right"/>
      <w:pPr>
        <w:ind w:left="6480" w:hanging="180"/>
      </w:pPr>
    </w:lvl>
  </w:abstractNum>
  <w:abstractNum w:abstractNumId="3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8"/>
  </w:num>
  <w:num w:numId="4">
    <w:abstractNumId w:val="3"/>
  </w:num>
  <w:num w:numId="5">
    <w:abstractNumId w:val="19"/>
  </w:num>
  <w:num w:numId="6">
    <w:abstractNumId w:val="29"/>
  </w:num>
  <w:num w:numId="7">
    <w:abstractNumId w:val="23"/>
  </w:num>
  <w:num w:numId="8">
    <w:abstractNumId w:val="28"/>
  </w:num>
  <w:num w:numId="9">
    <w:abstractNumId w:val="33"/>
  </w:num>
  <w:num w:numId="10">
    <w:abstractNumId w:val="13"/>
  </w:num>
  <w:num w:numId="11">
    <w:abstractNumId w:val="8"/>
    <w:lvlOverride w:ilvl="0">
      <w:startOverride w:val="1"/>
    </w:lvlOverride>
  </w:num>
  <w:num w:numId="12">
    <w:abstractNumId w:val="8"/>
    <w:lvlOverride w:ilvl="0">
      <w:startOverride w:val="1"/>
    </w:lvlOverride>
  </w:num>
  <w:num w:numId="13">
    <w:abstractNumId w:val="6"/>
  </w:num>
  <w:num w:numId="14">
    <w:abstractNumId w:val="5"/>
  </w:num>
  <w:num w:numId="15">
    <w:abstractNumId w:val="4"/>
  </w:num>
  <w:num w:numId="16">
    <w:abstractNumId w:val="2"/>
  </w:num>
  <w:num w:numId="17">
    <w:abstractNumId w:val="1"/>
  </w:num>
  <w:num w:numId="18">
    <w:abstractNumId w:val="0"/>
  </w:num>
  <w:num w:numId="19">
    <w:abstractNumId w:val="22"/>
  </w:num>
  <w:num w:numId="20">
    <w:abstractNumId w:val="17"/>
  </w:num>
  <w:num w:numId="21">
    <w:abstractNumId w:val="15"/>
  </w:num>
  <w:num w:numId="22">
    <w:abstractNumId w:val="29"/>
    <w:lvlOverride w:ilvl="0">
      <w:startOverride w:val="1"/>
    </w:lvlOverride>
  </w:num>
  <w:num w:numId="23">
    <w:abstractNumId w:val="23"/>
    <w:lvlOverride w:ilvl="0">
      <w:startOverride w:val="1"/>
    </w:lvlOverride>
  </w:num>
  <w:num w:numId="24">
    <w:abstractNumId w:val="29"/>
    <w:lvlOverride w:ilvl="0">
      <w:startOverride w:val="1"/>
    </w:lvlOverride>
  </w:num>
  <w:num w:numId="25">
    <w:abstractNumId w:val="8"/>
    <w:lvlOverride w:ilvl="0">
      <w:startOverride w:val="1"/>
    </w:lvlOverride>
  </w:num>
  <w:num w:numId="26">
    <w:abstractNumId w:val="14"/>
  </w:num>
  <w:num w:numId="27">
    <w:abstractNumId w:val="16"/>
  </w:num>
  <w:num w:numId="28">
    <w:abstractNumId w:val="12"/>
  </w:num>
  <w:num w:numId="29">
    <w:abstractNumId w:val="11"/>
  </w:num>
  <w:num w:numId="30">
    <w:abstractNumId w:val="31"/>
  </w:num>
  <w:num w:numId="31">
    <w:abstractNumId w:val="25"/>
  </w:num>
  <w:num w:numId="32">
    <w:abstractNumId w:val="10"/>
  </w:num>
  <w:num w:numId="33">
    <w:abstractNumId w:val="26"/>
  </w:num>
  <w:num w:numId="34">
    <w:abstractNumId w:val="24"/>
  </w:num>
  <w:num w:numId="35">
    <w:abstractNumId w:val="23"/>
    <w:lvlOverride w:ilvl="0">
      <w:startOverride w:val="1"/>
    </w:lvlOverride>
  </w:num>
  <w:num w:numId="36">
    <w:abstractNumId w:val="30"/>
  </w:num>
  <w:num w:numId="37">
    <w:abstractNumId w:val="20"/>
  </w:num>
  <w:num w:numId="38">
    <w:abstractNumId w:val="18"/>
  </w:num>
  <w:num w:numId="39">
    <w:abstractNumId w:val="21"/>
  </w:num>
  <w:num w:numId="40">
    <w:abstractNumId w:val="32"/>
  </w:num>
  <w:num w:numId="41">
    <w:abstractNumId w:val="2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7"/>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E5C"/>
    <w:rsid w:val="000002E2"/>
    <w:rsid w:val="00001413"/>
    <w:rsid w:val="00001A59"/>
    <w:rsid w:val="00003A01"/>
    <w:rsid w:val="000048AE"/>
    <w:rsid w:val="000054A2"/>
    <w:rsid w:val="00006619"/>
    <w:rsid w:val="00010667"/>
    <w:rsid w:val="00011F1A"/>
    <w:rsid w:val="00012729"/>
    <w:rsid w:val="000129D5"/>
    <w:rsid w:val="0001364B"/>
    <w:rsid w:val="00013822"/>
    <w:rsid w:val="000139B4"/>
    <w:rsid w:val="00013D52"/>
    <w:rsid w:val="00013FF9"/>
    <w:rsid w:val="00014098"/>
    <w:rsid w:val="00015AE7"/>
    <w:rsid w:val="0001645C"/>
    <w:rsid w:val="00016E21"/>
    <w:rsid w:val="00017036"/>
    <w:rsid w:val="0001719C"/>
    <w:rsid w:val="00017D71"/>
    <w:rsid w:val="000200A1"/>
    <w:rsid w:val="00021A37"/>
    <w:rsid w:val="0002224E"/>
    <w:rsid w:val="00023CD3"/>
    <w:rsid w:val="00024300"/>
    <w:rsid w:val="000245E5"/>
    <w:rsid w:val="00025E26"/>
    <w:rsid w:val="00026F91"/>
    <w:rsid w:val="0002758E"/>
    <w:rsid w:val="00030435"/>
    <w:rsid w:val="00030893"/>
    <w:rsid w:val="00030FEC"/>
    <w:rsid w:val="000335A7"/>
    <w:rsid w:val="000341DB"/>
    <w:rsid w:val="000350F6"/>
    <w:rsid w:val="00036400"/>
    <w:rsid w:val="00037606"/>
    <w:rsid w:val="000406E1"/>
    <w:rsid w:val="00040F2C"/>
    <w:rsid w:val="00041858"/>
    <w:rsid w:val="00042E79"/>
    <w:rsid w:val="000432DB"/>
    <w:rsid w:val="0004332F"/>
    <w:rsid w:val="000444F1"/>
    <w:rsid w:val="0004541B"/>
    <w:rsid w:val="00045970"/>
    <w:rsid w:val="00047289"/>
    <w:rsid w:val="0004764C"/>
    <w:rsid w:val="0005011A"/>
    <w:rsid w:val="0005045A"/>
    <w:rsid w:val="00050470"/>
    <w:rsid w:val="00051C1E"/>
    <w:rsid w:val="00051F80"/>
    <w:rsid w:val="000539F9"/>
    <w:rsid w:val="00053A03"/>
    <w:rsid w:val="00054144"/>
    <w:rsid w:val="00054C27"/>
    <w:rsid w:val="000554FA"/>
    <w:rsid w:val="00055B3C"/>
    <w:rsid w:val="00055EC3"/>
    <w:rsid w:val="000563CE"/>
    <w:rsid w:val="0005670E"/>
    <w:rsid w:val="00056AAD"/>
    <w:rsid w:val="00060089"/>
    <w:rsid w:val="000607C8"/>
    <w:rsid w:val="00060DD6"/>
    <w:rsid w:val="00063486"/>
    <w:rsid w:val="0006399E"/>
    <w:rsid w:val="00065771"/>
    <w:rsid w:val="0006587B"/>
    <w:rsid w:val="000659B6"/>
    <w:rsid w:val="0006686F"/>
    <w:rsid w:val="000670EB"/>
    <w:rsid w:val="000671C7"/>
    <w:rsid w:val="0006722A"/>
    <w:rsid w:val="000732CF"/>
    <w:rsid w:val="00073E09"/>
    <w:rsid w:val="00074075"/>
    <w:rsid w:val="000759FD"/>
    <w:rsid w:val="00075B96"/>
    <w:rsid w:val="00076D60"/>
    <w:rsid w:val="00077FC3"/>
    <w:rsid w:val="00080403"/>
    <w:rsid w:val="00080486"/>
    <w:rsid w:val="00080D01"/>
    <w:rsid w:val="0008196A"/>
    <w:rsid w:val="0008294A"/>
    <w:rsid w:val="00083400"/>
    <w:rsid w:val="00083BFB"/>
    <w:rsid w:val="0008455D"/>
    <w:rsid w:val="00085051"/>
    <w:rsid w:val="000864C3"/>
    <w:rsid w:val="00086860"/>
    <w:rsid w:val="00087307"/>
    <w:rsid w:val="00090288"/>
    <w:rsid w:val="0009086B"/>
    <w:rsid w:val="00091134"/>
    <w:rsid w:val="000915ED"/>
    <w:rsid w:val="00091FA6"/>
    <w:rsid w:val="0009209D"/>
    <w:rsid w:val="000944F1"/>
    <w:rsid w:val="0009463C"/>
    <w:rsid w:val="00095CC0"/>
    <w:rsid w:val="000962F2"/>
    <w:rsid w:val="000964F4"/>
    <w:rsid w:val="000969BD"/>
    <w:rsid w:val="000969BF"/>
    <w:rsid w:val="000971BD"/>
    <w:rsid w:val="000977F6"/>
    <w:rsid w:val="0009794F"/>
    <w:rsid w:val="000979B7"/>
    <w:rsid w:val="000A0C22"/>
    <w:rsid w:val="000A1400"/>
    <w:rsid w:val="000A15B1"/>
    <w:rsid w:val="000A3C43"/>
    <w:rsid w:val="000A4A07"/>
    <w:rsid w:val="000A4A51"/>
    <w:rsid w:val="000A5D2B"/>
    <w:rsid w:val="000B0791"/>
    <w:rsid w:val="000B140D"/>
    <w:rsid w:val="000B28A8"/>
    <w:rsid w:val="000B4664"/>
    <w:rsid w:val="000B5DE3"/>
    <w:rsid w:val="000B603E"/>
    <w:rsid w:val="000B6291"/>
    <w:rsid w:val="000B6D5F"/>
    <w:rsid w:val="000C0A57"/>
    <w:rsid w:val="000C18E7"/>
    <w:rsid w:val="000C230C"/>
    <w:rsid w:val="000C2A4A"/>
    <w:rsid w:val="000C3794"/>
    <w:rsid w:val="000C405E"/>
    <w:rsid w:val="000C62E8"/>
    <w:rsid w:val="000C644E"/>
    <w:rsid w:val="000C6AB4"/>
    <w:rsid w:val="000C6D9E"/>
    <w:rsid w:val="000C7C11"/>
    <w:rsid w:val="000D0C97"/>
    <w:rsid w:val="000D18E4"/>
    <w:rsid w:val="000D3CF4"/>
    <w:rsid w:val="000D6191"/>
    <w:rsid w:val="000D71D9"/>
    <w:rsid w:val="000D76E0"/>
    <w:rsid w:val="000D7E8B"/>
    <w:rsid w:val="000E2F5A"/>
    <w:rsid w:val="000E4449"/>
    <w:rsid w:val="000E4809"/>
    <w:rsid w:val="000E4C7D"/>
    <w:rsid w:val="000E501F"/>
    <w:rsid w:val="000E5444"/>
    <w:rsid w:val="000E5AA5"/>
    <w:rsid w:val="000E6097"/>
    <w:rsid w:val="000E6983"/>
    <w:rsid w:val="000E7189"/>
    <w:rsid w:val="000F01CE"/>
    <w:rsid w:val="000F0379"/>
    <w:rsid w:val="000F047C"/>
    <w:rsid w:val="000F1594"/>
    <w:rsid w:val="000F2049"/>
    <w:rsid w:val="000F305F"/>
    <w:rsid w:val="000F3EA6"/>
    <w:rsid w:val="000F5B19"/>
    <w:rsid w:val="000F65F2"/>
    <w:rsid w:val="000F66B3"/>
    <w:rsid w:val="000F7147"/>
    <w:rsid w:val="000F721D"/>
    <w:rsid w:val="000F72A2"/>
    <w:rsid w:val="000F7393"/>
    <w:rsid w:val="0010156D"/>
    <w:rsid w:val="001024D3"/>
    <w:rsid w:val="0010267F"/>
    <w:rsid w:val="00102E32"/>
    <w:rsid w:val="00103829"/>
    <w:rsid w:val="00104AA6"/>
    <w:rsid w:val="00104CBA"/>
    <w:rsid w:val="0010670E"/>
    <w:rsid w:val="001075DE"/>
    <w:rsid w:val="001107CA"/>
    <w:rsid w:val="00110984"/>
    <w:rsid w:val="00111FCE"/>
    <w:rsid w:val="001122F3"/>
    <w:rsid w:val="00113F84"/>
    <w:rsid w:val="00115FAF"/>
    <w:rsid w:val="0011661B"/>
    <w:rsid w:val="001177A2"/>
    <w:rsid w:val="00117F8C"/>
    <w:rsid w:val="00120606"/>
    <w:rsid w:val="00120CF3"/>
    <w:rsid w:val="00121910"/>
    <w:rsid w:val="001229A5"/>
    <w:rsid w:val="0012306D"/>
    <w:rsid w:val="0012489B"/>
    <w:rsid w:val="00126864"/>
    <w:rsid w:val="00130017"/>
    <w:rsid w:val="00130514"/>
    <w:rsid w:val="00130F91"/>
    <w:rsid w:val="0013256A"/>
    <w:rsid w:val="00132A3E"/>
    <w:rsid w:val="00133F53"/>
    <w:rsid w:val="001349ED"/>
    <w:rsid w:val="00134F1F"/>
    <w:rsid w:val="00137424"/>
    <w:rsid w:val="00137973"/>
    <w:rsid w:val="00140318"/>
    <w:rsid w:val="00140B2C"/>
    <w:rsid w:val="00141AC1"/>
    <w:rsid w:val="00141AD9"/>
    <w:rsid w:val="00142EC6"/>
    <w:rsid w:val="00142F4F"/>
    <w:rsid w:val="00143427"/>
    <w:rsid w:val="00144588"/>
    <w:rsid w:val="00144C85"/>
    <w:rsid w:val="00144CB7"/>
    <w:rsid w:val="00145588"/>
    <w:rsid w:val="00146CE6"/>
    <w:rsid w:val="0015042A"/>
    <w:rsid w:val="001526EB"/>
    <w:rsid w:val="00152903"/>
    <w:rsid w:val="00153FD5"/>
    <w:rsid w:val="0015614F"/>
    <w:rsid w:val="00156CD5"/>
    <w:rsid w:val="001577C2"/>
    <w:rsid w:val="0016028A"/>
    <w:rsid w:val="001604DE"/>
    <w:rsid w:val="00160738"/>
    <w:rsid w:val="00162C21"/>
    <w:rsid w:val="001633C4"/>
    <w:rsid w:val="00163DC8"/>
    <w:rsid w:val="00163FB4"/>
    <w:rsid w:val="0016549C"/>
    <w:rsid w:val="001659E6"/>
    <w:rsid w:val="00166955"/>
    <w:rsid w:val="001670BC"/>
    <w:rsid w:val="00167507"/>
    <w:rsid w:val="001678E1"/>
    <w:rsid w:val="001704A3"/>
    <w:rsid w:val="001704D5"/>
    <w:rsid w:val="00171591"/>
    <w:rsid w:val="00172062"/>
    <w:rsid w:val="0017287E"/>
    <w:rsid w:val="0017335D"/>
    <w:rsid w:val="00173981"/>
    <w:rsid w:val="00173D54"/>
    <w:rsid w:val="0017719D"/>
    <w:rsid w:val="00177CF1"/>
    <w:rsid w:val="00180912"/>
    <w:rsid w:val="001817CB"/>
    <w:rsid w:val="00182126"/>
    <w:rsid w:val="001829CF"/>
    <w:rsid w:val="001833F9"/>
    <w:rsid w:val="00183FD7"/>
    <w:rsid w:val="00184843"/>
    <w:rsid w:val="001853C1"/>
    <w:rsid w:val="00185CAB"/>
    <w:rsid w:val="0018680D"/>
    <w:rsid w:val="00186B70"/>
    <w:rsid w:val="001875B7"/>
    <w:rsid w:val="00187A47"/>
    <w:rsid w:val="00187CB3"/>
    <w:rsid w:val="0019050A"/>
    <w:rsid w:val="001910D4"/>
    <w:rsid w:val="0019170D"/>
    <w:rsid w:val="00195BBD"/>
    <w:rsid w:val="0019629F"/>
    <w:rsid w:val="001976E3"/>
    <w:rsid w:val="00197804"/>
    <w:rsid w:val="001A0F7A"/>
    <w:rsid w:val="001A15DC"/>
    <w:rsid w:val="001A1DF0"/>
    <w:rsid w:val="001A3EE3"/>
    <w:rsid w:val="001A44EC"/>
    <w:rsid w:val="001A501F"/>
    <w:rsid w:val="001A5357"/>
    <w:rsid w:val="001A5A57"/>
    <w:rsid w:val="001A60BC"/>
    <w:rsid w:val="001A710E"/>
    <w:rsid w:val="001B00A3"/>
    <w:rsid w:val="001B1929"/>
    <w:rsid w:val="001B28D9"/>
    <w:rsid w:val="001B51DB"/>
    <w:rsid w:val="001B58AA"/>
    <w:rsid w:val="001B6966"/>
    <w:rsid w:val="001B750A"/>
    <w:rsid w:val="001B761A"/>
    <w:rsid w:val="001B7933"/>
    <w:rsid w:val="001B7E48"/>
    <w:rsid w:val="001C03DF"/>
    <w:rsid w:val="001C0754"/>
    <w:rsid w:val="001C137D"/>
    <w:rsid w:val="001C17CE"/>
    <w:rsid w:val="001C1AB2"/>
    <w:rsid w:val="001C3530"/>
    <w:rsid w:val="001C36CA"/>
    <w:rsid w:val="001C391E"/>
    <w:rsid w:val="001C44D1"/>
    <w:rsid w:val="001C5268"/>
    <w:rsid w:val="001C55C4"/>
    <w:rsid w:val="001C58F0"/>
    <w:rsid w:val="001C6AEE"/>
    <w:rsid w:val="001C758A"/>
    <w:rsid w:val="001C75D8"/>
    <w:rsid w:val="001C7630"/>
    <w:rsid w:val="001D0987"/>
    <w:rsid w:val="001D0F65"/>
    <w:rsid w:val="001D1437"/>
    <w:rsid w:val="001D2D85"/>
    <w:rsid w:val="001D315B"/>
    <w:rsid w:val="001D356F"/>
    <w:rsid w:val="001D4CE7"/>
    <w:rsid w:val="001D4DD0"/>
    <w:rsid w:val="001D5591"/>
    <w:rsid w:val="001D6543"/>
    <w:rsid w:val="001D6D15"/>
    <w:rsid w:val="001D727E"/>
    <w:rsid w:val="001D7C70"/>
    <w:rsid w:val="001E08EE"/>
    <w:rsid w:val="001E1132"/>
    <w:rsid w:val="001E2038"/>
    <w:rsid w:val="001E2618"/>
    <w:rsid w:val="001E367E"/>
    <w:rsid w:val="001E435A"/>
    <w:rsid w:val="001E4D8C"/>
    <w:rsid w:val="001E681E"/>
    <w:rsid w:val="001E68C2"/>
    <w:rsid w:val="001F0830"/>
    <w:rsid w:val="001F0E7C"/>
    <w:rsid w:val="001F2DCC"/>
    <w:rsid w:val="001F3D19"/>
    <w:rsid w:val="001F565A"/>
    <w:rsid w:val="001F61C8"/>
    <w:rsid w:val="001F7558"/>
    <w:rsid w:val="00200942"/>
    <w:rsid w:val="002010FF"/>
    <w:rsid w:val="00201109"/>
    <w:rsid w:val="00201B03"/>
    <w:rsid w:val="00202562"/>
    <w:rsid w:val="0020258F"/>
    <w:rsid w:val="002026EA"/>
    <w:rsid w:val="002037C6"/>
    <w:rsid w:val="00204B3B"/>
    <w:rsid w:val="00204CA3"/>
    <w:rsid w:val="00205820"/>
    <w:rsid w:val="00205B57"/>
    <w:rsid w:val="00205C3B"/>
    <w:rsid w:val="002101A6"/>
    <w:rsid w:val="00210F95"/>
    <w:rsid w:val="002144B0"/>
    <w:rsid w:val="00214C63"/>
    <w:rsid w:val="00214F22"/>
    <w:rsid w:val="002157E0"/>
    <w:rsid w:val="00216A57"/>
    <w:rsid w:val="00216F25"/>
    <w:rsid w:val="00217448"/>
    <w:rsid w:val="00217EF1"/>
    <w:rsid w:val="00220C2D"/>
    <w:rsid w:val="002212AF"/>
    <w:rsid w:val="00221A1B"/>
    <w:rsid w:val="00222D52"/>
    <w:rsid w:val="0022334F"/>
    <w:rsid w:val="0022369A"/>
    <w:rsid w:val="00224731"/>
    <w:rsid w:val="0022609D"/>
    <w:rsid w:val="002266CB"/>
    <w:rsid w:val="00226819"/>
    <w:rsid w:val="00226D59"/>
    <w:rsid w:val="00226E75"/>
    <w:rsid w:val="002301A1"/>
    <w:rsid w:val="00230332"/>
    <w:rsid w:val="0023143A"/>
    <w:rsid w:val="00231BF9"/>
    <w:rsid w:val="00233101"/>
    <w:rsid w:val="00233817"/>
    <w:rsid w:val="002348FF"/>
    <w:rsid w:val="00234CB4"/>
    <w:rsid w:val="00234D54"/>
    <w:rsid w:val="00235310"/>
    <w:rsid w:val="002367FF"/>
    <w:rsid w:val="0024098A"/>
    <w:rsid w:val="00240CE9"/>
    <w:rsid w:val="00241F32"/>
    <w:rsid w:val="002434BA"/>
    <w:rsid w:val="00246057"/>
    <w:rsid w:val="00246089"/>
    <w:rsid w:val="00246093"/>
    <w:rsid w:val="00246702"/>
    <w:rsid w:val="00247C59"/>
    <w:rsid w:val="00247F2E"/>
    <w:rsid w:val="00250386"/>
    <w:rsid w:val="00250ADC"/>
    <w:rsid w:val="00250B07"/>
    <w:rsid w:val="00251486"/>
    <w:rsid w:val="0025173C"/>
    <w:rsid w:val="00252132"/>
    <w:rsid w:val="002522AD"/>
    <w:rsid w:val="002528EA"/>
    <w:rsid w:val="00253B4D"/>
    <w:rsid w:val="0025408D"/>
    <w:rsid w:val="00254C92"/>
    <w:rsid w:val="00255294"/>
    <w:rsid w:val="0025698F"/>
    <w:rsid w:val="00257553"/>
    <w:rsid w:val="00260FB2"/>
    <w:rsid w:val="00261CBC"/>
    <w:rsid w:val="00261D1F"/>
    <w:rsid w:val="00262128"/>
    <w:rsid w:val="002629D8"/>
    <w:rsid w:val="00262D05"/>
    <w:rsid w:val="00262E2D"/>
    <w:rsid w:val="00263191"/>
    <w:rsid w:val="00265FBF"/>
    <w:rsid w:val="00266479"/>
    <w:rsid w:val="0026694C"/>
    <w:rsid w:val="00271228"/>
    <w:rsid w:val="0027165D"/>
    <w:rsid w:val="002718D4"/>
    <w:rsid w:val="00271A41"/>
    <w:rsid w:val="002723EC"/>
    <w:rsid w:val="002726D7"/>
    <w:rsid w:val="00272DE2"/>
    <w:rsid w:val="0027342A"/>
    <w:rsid w:val="00273BC6"/>
    <w:rsid w:val="00273CEB"/>
    <w:rsid w:val="00276556"/>
    <w:rsid w:val="0027657F"/>
    <w:rsid w:val="00277435"/>
    <w:rsid w:val="00277534"/>
    <w:rsid w:val="002809CB"/>
    <w:rsid w:val="00281567"/>
    <w:rsid w:val="00281652"/>
    <w:rsid w:val="002817D0"/>
    <w:rsid w:val="00281C89"/>
    <w:rsid w:val="002820E7"/>
    <w:rsid w:val="0028282F"/>
    <w:rsid w:val="00284036"/>
    <w:rsid w:val="00284A74"/>
    <w:rsid w:val="00285F7E"/>
    <w:rsid w:val="00292172"/>
    <w:rsid w:val="00292A1D"/>
    <w:rsid w:val="00292FAE"/>
    <w:rsid w:val="002933B8"/>
    <w:rsid w:val="00294248"/>
    <w:rsid w:val="0029593B"/>
    <w:rsid w:val="00295C03"/>
    <w:rsid w:val="00297FC5"/>
    <w:rsid w:val="002A0417"/>
    <w:rsid w:val="002A06C3"/>
    <w:rsid w:val="002A0FA3"/>
    <w:rsid w:val="002A16D8"/>
    <w:rsid w:val="002A1BC8"/>
    <w:rsid w:val="002A24A0"/>
    <w:rsid w:val="002A2F55"/>
    <w:rsid w:val="002A3AF3"/>
    <w:rsid w:val="002A3EF2"/>
    <w:rsid w:val="002A4831"/>
    <w:rsid w:val="002A4F15"/>
    <w:rsid w:val="002B0010"/>
    <w:rsid w:val="002B02AA"/>
    <w:rsid w:val="002B066F"/>
    <w:rsid w:val="002B0DED"/>
    <w:rsid w:val="002B1160"/>
    <w:rsid w:val="002B1844"/>
    <w:rsid w:val="002B19A2"/>
    <w:rsid w:val="002B1D73"/>
    <w:rsid w:val="002B381A"/>
    <w:rsid w:val="002B419C"/>
    <w:rsid w:val="002B46C2"/>
    <w:rsid w:val="002B4FCC"/>
    <w:rsid w:val="002B51A9"/>
    <w:rsid w:val="002B55C6"/>
    <w:rsid w:val="002B5F3E"/>
    <w:rsid w:val="002B62F5"/>
    <w:rsid w:val="002B73DA"/>
    <w:rsid w:val="002B7408"/>
    <w:rsid w:val="002B77A8"/>
    <w:rsid w:val="002B7CFD"/>
    <w:rsid w:val="002C095E"/>
    <w:rsid w:val="002C1077"/>
    <w:rsid w:val="002C169D"/>
    <w:rsid w:val="002C210F"/>
    <w:rsid w:val="002C2C9C"/>
    <w:rsid w:val="002C2D6F"/>
    <w:rsid w:val="002C36EA"/>
    <w:rsid w:val="002C38A1"/>
    <w:rsid w:val="002C61CD"/>
    <w:rsid w:val="002D31A4"/>
    <w:rsid w:val="002D3600"/>
    <w:rsid w:val="002D5CAC"/>
    <w:rsid w:val="002D60C2"/>
    <w:rsid w:val="002D79C8"/>
    <w:rsid w:val="002E4787"/>
    <w:rsid w:val="002E4DDC"/>
    <w:rsid w:val="002E7C0D"/>
    <w:rsid w:val="002F0307"/>
    <w:rsid w:val="002F0373"/>
    <w:rsid w:val="002F1E6B"/>
    <w:rsid w:val="002F33C1"/>
    <w:rsid w:val="002F6B7B"/>
    <w:rsid w:val="002F7310"/>
    <w:rsid w:val="002F7BFD"/>
    <w:rsid w:val="00301A5B"/>
    <w:rsid w:val="00302480"/>
    <w:rsid w:val="00302758"/>
    <w:rsid w:val="003036D4"/>
    <w:rsid w:val="003040F6"/>
    <w:rsid w:val="003049D4"/>
    <w:rsid w:val="00307728"/>
    <w:rsid w:val="00310B3C"/>
    <w:rsid w:val="00311278"/>
    <w:rsid w:val="00312D9F"/>
    <w:rsid w:val="003130CD"/>
    <w:rsid w:val="003132CE"/>
    <w:rsid w:val="00313538"/>
    <w:rsid w:val="0031530B"/>
    <w:rsid w:val="003165E6"/>
    <w:rsid w:val="00320BAC"/>
    <w:rsid w:val="003215B5"/>
    <w:rsid w:val="003221CF"/>
    <w:rsid w:val="003233ED"/>
    <w:rsid w:val="0032355E"/>
    <w:rsid w:val="00323B98"/>
    <w:rsid w:val="00324D9F"/>
    <w:rsid w:val="0032558C"/>
    <w:rsid w:val="00325BD6"/>
    <w:rsid w:val="0032641F"/>
    <w:rsid w:val="00326DFE"/>
    <w:rsid w:val="00327948"/>
    <w:rsid w:val="0033000F"/>
    <w:rsid w:val="003301A6"/>
    <w:rsid w:val="00332011"/>
    <w:rsid w:val="003324ED"/>
    <w:rsid w:val="00332518"/>
    <w:rsid w:val="00332925"/>
    <w:rsid w:val="003332ED"/>
    <w:rsid w:val="003337FF"/>
    <w:rsid w:val="0033382A"/>
    <w:rsid w:val="0033391F"/>
    <w:rsid w:val="00333DDE"/>
    <w:rsid w:val="0033538F"/>
    <w:rsid w:val="003359D3"/>
    <w:rsid w:val="003368DC"/>
    <w:rsid w:val="003406F5"/>
    <w:rsid w:val="00340C8B"/>
    <w:rsid w:val="0034293D"/>
    <w:rsid w:val="00342955"/>
    <w:rsid w:val="00344EF2"/>
    <w:rsid w:val="00345856"/>
    <w:rsid w:val="00345927"/>
    <w:rsid w:val="00346D9F"/>
    <w:rsid w:val="00347AF8"/>
    <w:rsid w:val="00347E6D"/>
    <w:rsid w:val="00347F3D"/>
    <w:rsid w:val="003503E8"/>
    <w:rsid w:val="00350584"/>
    <w:rsid w:val="00351857"/>
    <w:rsid w:val="0035216B"/>
    <w:rsid w:val="0035301D"/>
    <w:rsid w:val="003531EB"/>
    <w:rsid w:val="00353F6C"/>
    <w:rsid w:val="00354067"/>
    <w:rsid w:val="003545E8"/>
    <w:rsid w:val="00354E89"/>
    <w:rsid w:val="00355CBF"/>
    <w:rsid w:val="00356513"/>
    <w:rsid w:val="00356C75"/>
    <w:rsid w:val="003604C4"/>
    <w:rsid w:val="00360851"/>
    <w:rsid w:val="00361051"/>
    <w:rsid w:val="003610E1"/>
    <w:rsid w:val="00363083"/>
    <w:rsid w:val="00363296"/>
    <w:rsid w:val="00363FC1"/>
    <w:rsid w:val="0036449A"/>
    <w:rsid w:val="00365B4F"/>
    <w:rsid w:val="00366405"/>
    <w:rsid w:val="00366991"/>
    <w:rsid w:val="003671BE"/>
    <w:rsid w:val="00371637"/>
    <w:rsid w:val="003718E6"/>
    <w:rsid w:val="00372110"/>
    <w:rsid w:val="00372485"/>
    <w:rsid w:val="00372630"/>
    <w:rsid w:val="003727DA"/>
    <w:rsid w:val="00372B69"/>
    <w:rsid w:val="00373200"/>
    <w:rsid w:val="003746F4"/>
    <w:rsid w:val="00374BAB"/>
    <w:rsid w:val="00375EF5"/>
    <w:rsid w:val="00376583"/>
    <w:rsid w:val="003767A5"/>
    <w:rsid w:val="003815B1"/>
    <w:rsid w:val="00381D15"/>
    <w:rsid w:val="00382A36"/>
    <w:rsid w:val="003837D0"/>
    <w:rsid w:val="003843EB"/>
    <w:rsid w:val="00385254"/>
    <w:rsid w:val="0038575A"/>
    <w:rsid w:val="00385AF9"/>
    <w:rsid w:val="0039054F"/>
    <w:rsid w:val="00390997"/>
    <w:rsid w:val="003922E9"/>
    <w:rsid w:val="00393763"/>
    <w:rsid w:val="0039530F"/>
    <w:rsid w:val="00396029"/>
    <w:rsid w:val="00396215"/>
    <w:rsid w:val="0039655A"/>
    <w:rsid w:val="0039689E"/>
    <w:rsid w:val="003968E6"/>
    <w:rsid w:val="003A04DB"/>
    <w:rsid w:val="003A1D8D"/>
    <w:rsid w:val="003A2BEA"/>
    <w:rsid w:val="003A54B0"/>
    <w:rsid w:val="003A5F5B"/>
    <w:rsid w:val="003A789A"/>
    <w:rsid w:val="003A7E18"/>
    <w:rsid w:val="003B08DE"/>
    <w:rsid w:val="003B12EC"/>
    <w:rsid w:val="003B1A8B"/>
    <w:rsid w:val="003B1FE2"/>
    <w:rsid w:val="003B238C"/>
    <w:rsid w:val="003B2AFD"/>
    <w:rsid w:val="003B2BDB"/>
    <w:rsid w:val="003B3851"/>
    <w:rsid w:val="003B4425"/>
    <w:rsid w:val="003B4B37"/>
    <w:rsid w:val="003B4E10"/>
    <w:rsid w:val="003B5F5E"/>
    <w:rsid w:val="003C1CB6"/>
    <w:rsid w:val="003C3490"/>
    <w:rsid w:val="003C4017"/>
    <w:rsid w:val="003C44C8"/>
    <w:rsid w:val="003C5323"/>
    <w:rsid w:val="003C6EC7"/>
    <w:rsid w:val="003C77E0"/>
    <w:rsid w:val="003C7B35"/>
    <w:rsid w:val="003D135A"/>
    <w:rsid w:val="003D17D7"/>
    <w:rsid w:val="003D2304"/>
    <w:rsid w:val="003D2678"/>
    <w:rsid w:val="003D38BC"/>
    <w:rsid w:val="003D5868"/>
    <w:rsid w:val="003D71A3"/>
    <w:rsid w:val="003E071B"/>
    <w:rsid w:val="003E1731"/>
    <w:rsid w:val="003E2B8A"/>
    <w:rsid w:val="003E2F59"/>
    <w:rsid w:val="003E5486"/>
    <w:rsid w:val="003E6C82"/>
    <w:rsid w:val="003E6F4B"/>
    <w:rsid w:val="003E7100"/>
    <w:rsid w:val="003E7BC4"/>
    <w:rsid w:val="003F10EE"/>
    <w:rsid w:val="003F1337"/>
    <w:rsid w:val="003F13AE"/>
    <w:rsid w:val="003F16F6"/>
    <w:rsid w:val="003F1F36"/>
    <w:rsid w:val="003F2B83"/>
    <w:rsid w:val="003F3961"/>
    <w:rsid w:val="003F3E2A"/>
    <w:rsid w:val="003F41B6"/>
    <w:rsid w:val="003F4806"/>
    <w:rsid w:val="003F4DC7"/>
    <w:rsid w:val="003F5235"/>
    <w:rsid w:val="003F54BE"/>
    <w:rsid w:val="003F69A8"/>
    <w:rsid w:val="003F6D06"/>
    <w:rsid w:val="003F7503"/>
    <w:rsid w:val="003F7CE4"/>
    <w:rsid w:val="004001BF"/>
    <w:rsid w:val="004010A2"/>
    <w:rsid w:val="004013D4"/>
    <w:rsid w:val="004027E4"/>
    <w:rsid w:val="0040660C"/>
    <w:rsid w:val="00406E6F"/>
    <w:rsid w:val="00407807"/>
    <w:rsid w:val="004078C8"/>
    <w:rsid w:val="0041071D"/>
    <w:rsid w:val="00410A54"/>
    <w:rsid w:val="0041151E"/>
    <w:rsid w:val="00411585"/>
    <w:rsid w:val="0041234E"/>
    <w:rsid w:val="004128A4"/>
    <w:rsid w:val="00413939"/>
    <w:rsid w:val="00413A03"/>
    <w:rsid w:val="00414AFC"/>
    <w:rsid w:val="00414B82"/>
    <w:rsid w:val="004151A7"/>
    <w:rsid w:val="00415310"/>
    <w:rsid w:val="00415328"/>
    <w:rsid w:val="00415F1B"/>
    <w:rsid w:val="00416517"/>
    <w:rsid w:val="00420E78"/>
    <w:rsid w:val="00421709"/>
    <w:rsid w:val="00421B2C"/>
    <w:rsid w:val="004230B6"/>
    <w:rsid w:val="004233E1"/>
    <w:rsid w:val="00423763"/>
    <w:rsid w:val="00423DDD"/>
    <w:rsid w:val="004244A5"/>
    <w:rsid w:val="00424FF7"/>
    <w:rsid w:val="004269C5"/>
    <w:rsid w:val="0042762F"/>
    <w:rsid w:val="00427DC7"/>
    <w:rsid w:val="004312A0"/>
    <w:rsid w:val="00431613"/>
    <w:rsid w:val="00431792"/>
    <w:rsid w:val="00431D29"/>
    <w:rsid w:val="0043297A"/>
    <w:rsid w:val="00432EB2"/>
    <w:rsid w:val="00435201"/>
    <w:rsid w:val="00435414"/>
    <w:rsid w:val="0043546B"/>
    <w:rsid w:val="00436192"/>
    <w:rsid w:val="0043714F"/>
    <w:rsid w:val="004378E5"/>
    <w:rsid w:val="00441032"/>
    <w:rsid w:val="004427A4"/>
    <w:rsid w:val="004432B4"/>
    <w:rsid w:val="004438B5"/>
    <w:rsid w:val="004438D1"/>
    <w:rsid w:val="00443A63"/>
    <w:rsid w:val="0044644B"/>
    <w:rsid w:val="00446A73"/>
    <w:rsid w:val="00446FEE"/>
    <w:rsid w:val="00447037"/>
    <w:rsid w:val="004511C5"/>
    <w:rsid w:val="0045124D"/>
    <w:rsid w:val="00451BEF"/>
    <w:rsid w:val="00452192"/>
    <w:rsid w:val="00452336"/>
    <w:rsid w:val="00452FB0"/>
    <w:rsid w:val="00453336"/>
    <w:rsid w:val="00453C8F"/>
    <w:rsid w:val="00454570"/>
    <w:rsid w:val="00454596"/>
    <w:rsid w:val="0045489C"/>
    <w:rsid w:val="0045605D"/>
    <w:rsid w:val="00456775"/>
    <w:rsid w:val="00461175"/>
    <w:rsid w:val="0046135B"/>
    <w:rsid w:val="004613ED"/>
    <w:rsid w:val="004614FC"/>
    <w:rsid w:val="00461958"/>
    <w:rsid w:val="00461D47"/>
    <w:rsid w:val="00462B67"/>
    <w:rsid w:val="004638B8"/>
    <w:rsid w:val="00465613"/>
    <w:rsid w:val="004718CC"/>
    <w:rsid w:val="00476FD9"/>
    <w:rsid w:val="00480419"/>
    <w:rsid w:val="00480D46"/>
    <w:rsid w:val="00481695"/>
    <w:rsid w:val="0048469A"/>
    <w:rsid w:val="00485C06"/>
    <w:rsid w:val="0048633E"/>
    <w:rsid w:val="00486F31"/>
    <w:rsid w:val="00490916"/>
    <w:rsid w:val="00493C23"/>
    <w:rsid w:val="00494079"/>
    <w:rsid w:val="004954A5"/>
    <w:rsid w:val="00495A96"/>
    <w:rsid w:val="00495BB3"/>
    <w:rsid w:val="00497086"/>
    <w:rsid w:val="00497D6D"/>
    <w:rsid w:val="004A0768"/>
    <w:rsid w:val="004A2DDE"/>
    <w:rsid w:val="004A33B2"/>
    <w:rsid w:val="004A39D3"/>
    <w:rsid w:val="004A405B"/>
    <w:rsid w:val="004A4436"/>
    <w:rsid w:val="004A56BB"/>
    <w:rsid w:val="004A6917"/>
    <w:rsid w:val="004A69A9"/>
    <w:rsid w:val="004A70D6"/>
    <w:rsid w:val="004B04F4"/>
    <w:rsid w:val="004B0C41"/>
    <w:rsid w:val="004B0EF1"/>
    <w:rsid w:val="004B1751"/>
    <w:rsid w:val="004B20A7"/>
    <w:rsid w:val="004B365E"/>
    <w:rsid w:val="004B413C"/>
    <w:rsid w:val="004B5908"/>
    <w:rsid w:val="004B59F4"/>
    <w:rsid w:val="004B5A0C"/>
    <w:rsid w:val="004B5FAA"/>
    <w:rsid w:val="004B69DA"/>
    <w:rsid w:val="004C0253"/>
    <w:rsid w:val="004C0554"/>
    <w:rsid w:val="004C0ED7"/>
    <w:rsid w:val="004C23AF"/>
    <w:rsid w:val="004C3378"/>
    <w:rsid w:val="004C58B5"/>
    <w:rsid w:val="004C7212"/>
    <w:rsid w:val="004D0017"/>
    <w:rsid w:val="004D1586"/>
    <w:rsid w:val="004D1AB2"/>
    <w:rsid w:val="004D24D0"/>
    <w:rsid w:val="004D2E28"/>
    <w:rsid w:val="004D4B94"/>
    <w:rsid w:val="004D4C0C"/>
    <w:rsid w:val="004D5659"/>
    <w:rsid w:val="004D56FF"/>
    <w:rsid w:val="004D7145"/>
    <w:rsid w:val="004E0B96"/>
    <w:rsid w:val="004E105D"/>
    <w:rsid w:val="004E312E"/>
    <w:rsid w:val="004E39D3"/>
    <w:rsid w:val="004E3B5A"/>
    <w:rsid w:val="004E3E64"/>
    <w:rsid w:val="004E508A"/>
    <w:rsid w:val="004E616D"/>
    <w:rsid w:val="004E6E60"/>
    <w:rsid w:val="004F0123"/>
    <w:rsid w:val="004F01C4"/>
    <w:rsid w:val="004F145D"/>
    <w:rsid w:val="004F1A66"/>
    <w:rsid w:val="004F1BDE"/>
    <w:rsid w:val="004F2AFA"/>
    <w:rsid w:val="004F2CEE"/>
    <w:rsid w:val="004F46A4"/>
    <w:rsid w:val="004F5398"/>
    <w:rsid w:val="004F556E"/>
    <w:rsid w:val="004F591C"/>
    <w:rsid w:val="004F682D"/>
    <w:rsid w:val="004F6F52"/>
    <w:rsid w:val="004F6FE8"/>
    <w:rsid w:val="004F7DF0"/>
    <w:rsid w:val="004F7F44"/>
    <w:rsid w:val="005000F5"/>
    <w:rsid w:val="005030AF"/>
    <w:rsid w:val="005037B4"/>
    <w:rsid w:val="00503AE3"/>
    <w:rsid w:val="0050561F"/>
    <w:rsid w:val="005079BF"/>
    <w:rsid w:val="00510DAF"/>
    <w:rsid w:val="00511CC4"/>
    <w:rsid w:val="00512270"/>
    <w:rsid w:val="0051269A"/>
    <w:rsid w:val="0051329A"/>
    <w:rsid w:val="00513E91"/>
    <w:rsid w:val="005144FA"/>
    <w:rsid w:val="00515E05"/>
    <w:rsid w:val="00515F38"/>
    <w:rsid w:val="0051620E"/>
    <w:rsid w:val="0051729E"/>
    <w:rsid w:val="0052000D"/>
    <w:rsid w:val="00521748"/>
    <w:rsid w:val="005217B3"/>
    <w:rsid w:val="005219E7"/>
    <w:rsid w:val="00521ED4"/>
    <w:rsid w:val="00522D07"/>
    <w:rsid w:val="00523A87"/>
    <w:rsid w:val="00525FCB"/>
    <w:rsid w:val="00527CC8"/>
    <w:rsid w:val="00530CCC"/>
    <w:rsid w:val="00531B9A"/>
    <w:rsid w:val="00531D15"/>
    <w:rsid w:val="0053315D"/>
    <w:rsid w:val="00533F90"/>
    <w:rsid w:val="00537604"/>
    <w:rsid w:val="00537A7B"/>
    <w:rsid w:val="005421A7"/>
    <w:rsid w:val="00542377"/>
    <w:rsid w:val="005425A7"/>
    <w:rsid w:val="00542625"/>
    <w:rsid w:val="005435A3"/>
    <w:rsid w:val="00543E32"/>
    <w:rsid w:val="005446AE"/>
    <w:rsid w:val="005447E7"/>
    <w:rsid w:val="00546296"/>
    <w:rsid w:val="005463EA"/>
    <w:rsid w:val="00546AC7"/>
    <w:rsid w:val="005476EB"/>
    <w:rsid w:val="00550087"/>
    <w:rsid w:val="00551782"/>
    <w:rsid w:val="005519FF"/>
    <w:rsid w:val="005553FA"/>
    <w:rsid w:val="00556DD8"/>
    <w:rsid w:val="00557164"/>
    <w:rsid w:val="0056079C"/>
    <w:rsid w:val="0056091A"/>
    <w:rsid w:val="005609F5"/>
    <w:rsid w:val="005610C9"/>
    <w:rsid w:val="00561114"/>
    <w:rsid w:val="005613E3"/>
    <w:rsid w:val="005616F7"/>
    <w:rsid w:val="00561A0E"/>
    <w:rsid w:val="00563EF1"/>
    <w:rsid w:val="005643B0"/>
    <w:rsid w:val="005649EB"/>
    <w:rsid w:val="005656A8"/>
    <w:rsid w:val="00565AF4"/>
    <w:rsid w:val="00566AB4"/>
    <w:rsid w:val="00566D67"/>
    <w:rsid w:val="005717A3"/>
    <w:rsid w:val="005731FF"/>
    <w:rsid w:val="00573916"/>
    <w:rsid w:val="00573964"/>
    <w:rsid w:val="005749D6"/>
    <w:rsid w:val="00574AE8"/>
    <w:rsid w:val="00575AC5"/>
    <w:rsid w:val="0057605D"/>
    <w:rsid w:val="005761EE"/>
    <w:rsid w:val="00576869"/>
    <w:rsid w:val="005802E5"/>
    <w:rsid w:val="00581347"/>
    <w:rsid w:val="00581AC9"/>
    <w:rsid w:val="00583B1B"/>
    <w:rsid w:val="005849F8"/>
    <w:rsid w:val="005851E5"/>
    <w:rsid w:val="005879AB"/>
    <w:rsid w:val="0059255E"/>
    <w:rsid w:val="00592613"/>
    <w:rsid w:val="005938DF"/>
    <w:rsid w:val="00593DE0"/>
    <w:rsid w:val="00594E9C"/>
    <w:rsid w:val="00594F2A"/>
    <w:rsid w:val="00595341"/>
    <w:rsid w:val="0059631D"/>
    <w:rsid w:val="005969F1"/>
    <w:rsid w:val="005A099B"/>
    <w:rsid w:val="005A0BF7"/>
    <w:rsid w:val="005A116B"/>
    <w:rsid w:val="005A1BA7"/>
    <w:rsid w:val="005A1BCC"/>
    <w:rsid w:val="005A273C"/>
    <w:rsid w:val="005A2D9C"/>
    <w:rsid w:val="005A41E0"/>
    <w:rsid w:val="005A55FE"/>
    <w:rsid w:val="005A616C"/>
    <w:rsid w:val="005A6172"/>
    <w:rsid w:val="005A63BE"/>
    <w:rsid w:val="005A65D4"/>
    <w:rsid w:val="005A6A11"/>
    <w:rsid w:val="005A6EBC"/>
    <w:rsid w:val="005B0224"/>
    <w:rsid w:val="005B12AB"/>
    <w:rsid w:val="005B2EAC"/>
    <w:rsid w:val="005B41C4"/>
    <w:rsid w:val="005B7331"/>
    <w:rsid w:val="005B7A7D"/>
    <w:rsid w:val="005C0260"/>
    <w:rsid w:val="005C231A"/>
    <w:rsid w:val="005C4736"/>
    <w:rsid w:val="005C6262"/>
    <w:rsid w:val="005C67C1"/>
    <w:rsid w:val="005C7C77"/>
    <w:rsid w:val="005D1DF6"/>
    <w:rsid w:val="005D2365"/>
    <w:rsid w:val="005D2502"/>
    <w:rsid w:val="005D2EF3"/>
    <w:rsid w:val="005D319B"/>
    <w:rsid w:val="005D3694"/>
    <w:rsid w:val="005D40BB"/>
    <w:rsid w:val="005D47F3"/>
    <w:rsid w:val="005D49BF"/>
    <w:rsid w:val="005D4A5E"/>
    <w:rsid w:val="005D4AA5"/>
    <w:rsid w:val="005D4EB7"/>
    <w:rsid w:val="005D561D"/>
    <w:rsid w:val="005D6E3A"/>
    <w:rsid w:val="005D6F4E"/>
    <w:rsid w:val="005D718E"/>
    <w:rsid w:val="005D7C73"/>
    <w:rsid w:val="005D7C86"/>
    <w:rsid w:val="005E020E"/>
    <w:rsid w:val="005E250B"/>
    <w:rsid w:val="005E2D33"/>
    <w:rsid w:val="005E3953"/>
    <w:rsid w:val="005E3ACD"/>
    <w:rsid w:val="005E4662"/>
    <w:rsid w:val="005E51E2"/>
    <w:rsid w:val="005E721A"/>
    <w:rsid w:val="005E7226"/>
    <w:rsid w:val="005E7A57"/>
    <w:rsid w:val="005F05EE"/>
    <w:rsid w:val="005F17F3"/>
    <w:rsid w:val="005F1B54"/>
    <w:rsid w:val="005F24B0"/>
    <w:rsid w:val="005F283E"/>
    <w:rsid w:val="005F2FDC"/>
    <w:rsid w:val="005F30E2"/>
    <w:rsid w:val="005F3AF2"/>
    <w:rsid w:val="005F3B9A"/>
    <w:rsid w:val="005F3C59"/>
    <w:rsid w:val="005F4DCB"/>
    <w:rsid w:val="005F65FC"/>
    <w:rsid w:val="005F76CE"/>
    <w:rsid w:val="005F79BF"/>
    <w:rsid w:val="00601835"/>
    <w:rsid w:val="00601B57"/>
    <w:rsid w:val="006022EF"/>
    <w:rsid w:val="00602710"/>
    <w:rsid w:val="00603A3B"/>
    <w:rsid w:val="00604315"/>
    <w:rsid w:val="00604E26"/>
    <w:rsid w:val="00604EA8"/>
    <w:rsid w:val="0060523F"/>
    <w:rsid w:val="006052CF"/>
    <w:rsid w:val="006059D7"/>
    <w:rsid w:val="00606B7D"/>
    <w:rsid w:val="00607B8D"/>
    <w:rsid w:val="00611F5C"/>
    <w:rsid w:val="006125EA"/>
    <w:rsid w:val="00612659"/>
    <w:rsid w:val="006143D3"/>
    <w:rsid w:val="00615106"/>
    <w:rsid w:val="00616E09"/>
    <w:rsid w:val="00617871"/>
    <w:rsid w:val="00617BAA"/>
    <w:rsid w:val="00621DF0"/>
    <w:rsid w:val="00622A3B"/>
    <w:rsid w:val="00622EEA"/>
    <w:rsid w:val="0062315C"/>
    <w:rsid w:val="0062396C"/>
    <w:rsid w:val="00623F5A"/>
    <w:rsid w:val="00623FF9"/>
    <w:rsid w:val="00624A7D"/>
    <w:rsid w:val="00625FFB"/>
    <w:rsid w:val="006262D4"/>
    <w:rsid w:val="00626ED0"/>
    <w:rsid w:val="00627D4E"/>
    <w:rsid w:val="00630C60"/>
    <w:rsid w:val="006325C7"/>
    <w:rsid w:val="00632B89"/>
    <w:rsid w:val="00632BAF"/>
    <w:rsid w:val="0063346D"/>
    <w:rsid w:val="006342D6"/>
    <w:rsid w:val="00634478"/>
    <w:rsid w:val="006344E8"/>
    <w:rsid w:val="00635314"/>
    <w:rsid w:val="00635EA5"/>
    <w:rsid w:val="00642118"/>
    <w:rsid w:val="006424C3"/>
    <w:rsid w:val="006438E6"/>
    <w:rsid w:val="00644373"/>
    <w:rsid w:val="006444C0"/>
    <w:rsid w:val="00645915"/>
    <w:rsid w:val="006476BC"/>
    <w:rsid w:val="00650737"/>
    <w:rsid w:val="006519C3"/>
    <w:rsid w:val="00652B30"/>
    <w:rsid w:val="006534A5"/>
    <w:rsid w:val="00653DF2"/>
    <w:rsid w:val="00653E3B"/>
    <w:rsid w:val="006541B3"/>
    <w:rsid w:val="00654766"/>
    <w:rsid w:val="00654AEA"/>
    <w:rsid w:val="00654FF1"/>
    <w:rsid w:val="00655229"/>
    <w:rsid w:val="00656345"/>
    <w:rsid w:val="00656DC6"/>
    <w:rsid w:val="0065729C"/>
    <w:rsid w:val="00660EC6"/>
    <w:rsid w:val="00662245"/>
    <w:rsid w:val="00664110"/>
    <w:rsid w:val="00664D17"/>
    <w:rsid w:val="00664EE4"/>
    <w:rsid w:val="00664FD8"/>
    <w:rsid w:val="00665757"/>
    <w:rsid w:val="00666520"/>
    <w:rsid w:val="00666831"/>
    <w:rsid w:val="00667C5B"/>
    <w:rsid w:val="00671E3C"/>
    <w:rsid w:val="00673893"/>
    <w:rsid w:val="006745C8"/>
    <w:rsid w:val="00674893"/>
    <w:rsid w:val="00676AB7"/>
    <w:rsid w:val="00677834"/>
    <w:rsid w:val="00680322"/>
    <w:rsid w:val="0068143B"/>
    <w:rsid w:val="0068151E"/>
    <w:rsid w:val="00681D98"/>
    <w:rsid w:val="00684035"/>
    <w:rsid w:val="00684B28"/>
    <w:rsid w:val="00686A0E"/>
    <w:rsid w:val="00686B22"/>
    <w:rsid w:val="00691457"/>
    <w:rsid w:val="00691629"/>
    <w:rsid w:val="00691A94"/>
    <w:rsid w:val="00691EB8"/>
    <w:rsid w:val="00691F07"/>
    <w:rsid w:val="006920E5"/>
    <w:rsid w:val="00692CDE"/>
    <w:rsid w:val="00693073"/>
    <w:rsid w:val="00693D1A"/>
    <w:rsid w:val="0069737E"/>
    <w:rsid w:val="006977FF"/>
    <w:rsid w:val="006A01FA"/>
    <w:rsid w:val="006A0E9E"/>
    <w:rsid w:val="006A20A6"/>
    <w:rsid w:val="006A25C7"/>
    <w:rsid w:val="006A281A"/>
    <w:rsid w:val="006A495A"/>
    <w:rsid w:val="006A4AAD"/>
    <w:rsid w:val="006A4C80"/>
    <w:rsid w:val="006A5EE1"/>
    <w:rsid w:val="006A69AF"/>
    <w:rsid w:val="006A6DA2"/>
    <w:rsid w:val="006A7174"/>
    <w:rsid w:val="006A7AB2"/>
    <w:rsid w:val="006B04FB"/>
    <w:rsid w:val="006B06B9"/>
    <w:rsid w:val="006B0A75"/>
    <w:rsid w:val="006B121C"/>
    <w:rsid w:val="006B134D"/>
    <w:rsid w:val="006B4CAA"/>
    <w:rsid w:val="006B4EAD"/>
    <w:rsid w:val="006B52DE"/>
    <w:rsid w:val="006B5717"/>
    <w:rsid w:val="006B582F"/>
    <w:rsid w:val="006B5EB2"/>
    <w:rsid w:val="006C0CEB"/>
    <w:rsid w:val="006C1631"/>
    <w:rsid w:val="006C2905"/>
    <w:rsid w:val="006C2D29"/>
    <w:rsid w:val="006C3B1E"/>
    <w:rsid w:val="006C410D"/>
    <w:rsid w:val="006C4284"/>
    <w:rsid w:val="006C47FD"/>
    <w:rsid w:val="006C4889"/>
    <w:rsid w:val="006C4DC8"/>
    <w:rsid w:val="006C5C19"/>
    <w:rsid w:val="006C6560"/>
    <w:rsid w:val="006C6774"/>
    <w:rsid w:val="006C70A0"/>
    <w:rsid w:val="006D149D"/>
    <w:rsid w:val="006D2039"/>
    <w:rsid w:val="006D2445"/>
    <w:rsid w:val="006D27CB"/>
    <w:rsid w:val="006D2F08"/>
    <w:rsid w:val="006D4E5E"/>
    <w:rsid w:val="006D4EDE"/>
    <w:rsid w:val="006D53B4"/>
    <w:rsid w:val="006D576C"/>
    <w:rsid w:val="006D5865"/>
    <w:rsid w:val="006D6518"/>
    <w:rsid w:val="006D7067"/>
    <w:rsid w:val="006D729A"/>
    <w:rsid w:val="006E0AD6"/>
    <w:rsid w:val="006E109F"/>
    <w:rsid w:val="006E139A"/>
    <w:rsid w:val="006E1E45"/>
    <w:rsid w:val="006E20CE"/>
    <w:rsid w:val="006E2228"/>
    <w:rsid w:val="006E23B0"/>
    <w:rsid w:val="006E29C8"/>
    <w:rsid w:val="006E2D1F"/>
    <w:rsid w:val="006E40C8"/>
    <w:rsid w:val="006E4B1B"/>
    <w:rsid w:val="006E5445"/>
    <w:rsid w:val="006E5816"/>
    <w:rsid w:val="006E5CB0"/>
    <w:rsid w:val="006E7D93"/>
    <w:rsid w:val="006F1C04"/>
    <w:rsid w:val="006F3F3A"/>
    <w:rsid w:val="006F4C24"/>
    <w:rsid w:val="006F53BD"/>
    <w:rsid w:val="006F5667"/>
    <w:rsid w:val="00700AD2"/>
    <w:rsid w:val="00702597"/>
    <w:rsid w:val="0070261D"/>
    <w:rsid w:val="007029A3"/>
    <w:rsid w:val="00702A43"/>
    <w:rsid w:val="00702EA1"/>
    <w:rsid w:val="007030F1"/>
    <w:rsid w:val="00703EE0"/>
    <w:rsid w:val="0070414B"/>
    <w:rsid w:val="00705E9A"/>
    <w:rsid w:val="00706BF1"/>
    <w:rsid w:val="00706E4E"/>
    <w:rsid w:val="0070791C"/>
    <w:rsid w:val="00707C29"/>
    <w:rsid w:val="00710C48"/>
    <w:rsid w:val="007133C8"/>
    <w:rsid w:val="00713684"/>
    <w:rsid w:val="0071383C"/>
    <w:rsid w:val="00713FB1"/>
    <w:rsid w:val="007141A7"/>
    <w:rsid w:val="0071521D"/>
    <w:rsid w:val="007152CD"/>
    <w:rsid w:val="00715722"/>
    <w:rsid w:val="0071592C"/>
    <w:rsid w:val="007169BC"/>
    <w:rsid w:val="00717565"/>
    <w:rsid w:val="00721032"/>
    <w:rsid w:val="00721283"/>
    <w:rsid w:val="00721431"/>
    <w:rsid w:val="00721B55"/>
    <w:rsid w:val="00721F5B"/>
    <w:rsid w:val="0072254E"/>
    <w:rsid w:val="00724950"/>
    <w:rsid w:val="00724BA5"/>
    <w:rsid w:val="0072516A"/>
    <w:rsid w:val="00725821"/>
    <w:rsid w:val="00725F2E"/>
    <w:rsid w:val="00726022"/>
    <w:rsid w:val="007268D3"/>
    <w:rsid w:val="00726CE4"/>
    <w:rsid w:val="00727788"/>
    <w:rsid w:val="0072790C"/>
    <w:rsid w:val="00730241"/>
    <w:rsid w:val="007314FC"/>
    <w:rsid w:val="0073171D"/>
    <w:rsid w:val="00731D81"/>
    <w:rsid w:val="00733944"/>
    <w:rsid w:val="00733F62"/>
    <w:rsid w:val="00733FA3"/>
    <w:rsid w:val="00734143"/>
    <w:rsid w:val="00734A66"/>
    <w:rsid w:val="0073521B"/>
    <w:rsid w:val="00736224"/>
    <w:rsid w:val="0073767D"/>
    <w:rsid w:val="00737E47"/>
    <w:rsid w:val="00737EEA"/>
    <w:rsid w:val="00740EAC"/>
    <w:rsid w:val="007411C3"/>
    <w:rsid w:val="00742AB3"/>
    <w:rsid w:val="00742D3D"/>
    <w:rsid w:val="00744956"/>
    <w:rsid w:val="00745223"/>
    <w:rsid w:val="00745A5C"/>
    <w:rsid w:val="0074605F"/>
    <w:rsid w:val="00746580"/>
    <w:rsid w:val="00747E94"/>
    <w:rsid w:val="007507AB"/>
    <w:rsid w:val="00750CAB"/>
    <w:rsid w:val="00751CA5"/>
    <w:rsid w:val="00751DCC"/>
    <w:rsid w:val="00753041"/>
    <w:rsid w:val="0075394F"/>
    <w:rsid w:val="00754C83"/>
    <w:rsid w:val="0075598E"/>
    <w:rsid w:val="007574C8"/>
    <w:rsid w:val="00757E8A"/>
    <w:rsid w:val="00761121"/>
    <w:rsid w:val="00761E5C"/>
    <w:rsid w:val="00765618"/>
    <w:rsid w:val="00765DF8"/>
    <w:rsid w:val="00766749"/>
    <w:rsid w:val="00767090"/>
    <w:rsid w:val="007676E7"/>
    <w:rsid w:val="00767C02"/>
    <w:rsid w:val="00767C1B"/>
    <w:rsid w:val="007700F6"/>
    <w:rsid w:val="00770588"/>
    <w:rsid w:val="00770989"/>
    <w:rsid w:val="007714A9"/>
    <w:rsid w:val="0077306B"/>
    <w:rsid w:val="00773D8F"/>
    <w:rsid w:val="00774034"/>
    <w:rsid w:val="00774F88"/>
    <w:rsid w:val="00774FDB"/>
    <w:rsid w:val="0077510B"/>
    <w:rsid w:val="007755CE"/>
    <w:rsid w:val="0077602F"/>
    <w:rsid w:val="007765CF"/>
    <w:rsid w:val="007765D2"/>
    <w:rsid w:val="00777BA2"/>
    <w:rsid w:val="00777F9C"/>
    <w:rsid w:val="00780ABF"/>
    <w:rsid w:val="00781019"/>
    <w:rsid w:val="00781408"/>
    <w:rsid w:val="00781B23"/>
    <w:rsid w:val="007838F3"/>
    <w:rsid w:val="00784ADF"/>
    <w:rsid w:val="00784F7F"/>
    <w:rsid w:val="0078526E"/>
    <w:rsid w:val="007854F6"/>
    <w:rsid w:val="007855D4"/>
    <w:rsid w:val="007857FC"/>
    <w:rsid w:val="007865FD"/>
    <w:rsid w:val="00786B10"/>
    <w:rsid w:val="007878BD"/>
    <w:rsid w:val="00790048"/>
    <w:rsid w:val="00792689"/>
    <w:rsid w:val="00793B95"/>
    <w:rsid w:val="00794276"/>
    <w:rsid w:val="00795546"/>
    <w:rsid w:val="00795A83"/>
    <w:rsid w:val="007966D2"/>
    <w:rsid w:val="00796BF3"/>
    <w:rsid w:val="00796F25"/>
    <w:rsid w:val="007970B9"/>
    <w:rsid w:val="007978BD"/>
    <w:rsid w:val="00797D48"/>
    <w:rsid w:val="007A261B"/>
    <w:rsid w:val="007A2E98"/>
    <w:rsid w:val="007A3B5A"/>
    <w:rsid w:val="007A3BA3"/>
    <w:rsid w:val="007A4642"/>
    <w:rsid w:val="007A4E1D"/>
    <w:rsid w:val="007A6280"/>
    <w:rsid w:val="007A6CC0"/>
    <w:rsid w:val="007A78C6"/>
    <w:rsid w:val="007A7FEC"/>
    <w:rsid w:val="007B02F8"/>
    <w:rsid w:val="007B080F"/>
    <w:rsid w:val="007B0B5A"/>
    <w:rsid w:val="007B1499"/>
    <w:rsid w:val="007B15EB"/>
    <w:rsid w:val="007B1BBF"/>
    <w:rsid w:val="007B2213"/>
    <w:rsid w:val="007B26B3"/>
    <w:rsid w:val="007B2960"/>
    <w:rsid w:val="007B2E64"/>
    <w:rsid w:val="007B355D"/>
    <w:rsid w:val="007B54C3"/>
    <w:rsid w:val="007B6679"/>
    <w:rsid w:val="007B77AB"/>
    <w:rsid w:val="007B7980"/>
    <w:rsid w:val="007C0619"/>
    <w:rsid w:val="007C066B"/>
    <w:rsid w:val="007C0DEF"/>
    <w:rsid w:val="007C115E"/>
    <w:rsid w:val="007C2A4D"/>
    <w:rsid w:val="007C3481"/>
    <w:rsid w:val="007C4320"/>
    <w:rsid w:val="007C4E78"/>
    <w:rsid w:val="007C5D5A"/>
    <w:rsid w:val="007C6006"/>
    <w:rsid w:val="007C607F"/>
    <w:rsid w:val="007C66F1"/>
    <w:rsid w:val="007C6D5A"/>
    <w:rsid w:val="007C6E44"/>
    <w:rsid w:val="007C79DD"/>
    <w:rsid w:val="007D06A5"/>
    <w:rsid w:val="007D1A97"/>
    <w:rsid w:val="007D2CD6"/>
    <w:rsid w:val="007D3063"/>
    <w:rsid w:val="007D3B13"/>
    <w:rsid w:val="007D3CEB"/>
    <w:rsid w:val="007D7D8C"/>
    <w:rsid w:val="007E16DC"/>
    <w:rsid w:val="007E334A"/>
    <w:rsid w:val="007E3375"/>
    <w:rsid w:val="007E3814"/>
    <w:rsid w:val="007E6F8B"/>
    <w:rsid w:val="007E73A0"/>
    <w:rsid w:val="007E7683"/>
    <w:rsid w:val="007F1126"/>
    <w:rsid w:val="007F1A37"/>
    <w:rsid w:val="007F49FA"/>
    <w:rsid w:val="007F54C4"/>
    <w:rsid w:val="007F54EA"/>
    <w:rsid w:val="007F5CE0"/>
    <w:rsid w:val="007F622D"/>
    <w:rsid w:val="007F6E9A"/>
    <w:rsid w:val="007F72A2"/>
    <w:rsid w:val="008002B3"/>
    <w:rsid w:val="008002DB"/>
    <w:rsid w:val="008005EB"/>
    <w:rsid w:val="0080094A"/>
    <w:rsid w:val="00800CCD"/>
    <w:rsid w:val="008018C6"/>
    <w:rsid w:val="00803506"/>
    <w:rsid w:val="00803CCF"/>
    <w:rsid w:val="008044D4"/>
    <w:rsid w:val="00804570"/>
    <w:rsid w:val="00804F90"/>
    <w:rsid w:val="00805D47"/>
    <w:rsid w:val="00807BFE"/>
    <w:rsid w:val="00810AB4"/>
    <w:rsid w:val="00810AC0"/>
    <w:rsid w:val="00812595"/>
    <w:rsid w:val="00812FD2"/>
    <w:rsid w:val="00813334"/>
    <w:rsid w:val="00816E7A"/>
    <w:rsid w:val="00817023"/>
    <w:rsid w:val="0081757B"/>
    <w:rsid w:val="0081773A"/>
    <w:rsid w:val="0081792C"/>
    <w:rsid w:val="00817B56"/>
    <w:rsid w:val="00817EC9"/>
    <w:rsid w:val="00820F86"/>
    <w:rsid w:val="00821197"/>
    <w:rsid w:val="00821251"/>
    <w:rsid w:val="00821680"/>
    <w:rsid w:val="008217C3"/>
    <w:rsid w:val="00821A88"/>
    <w:rsid w:val="00821F7A"/>
    <w:rsid w:val="00823F38"/>
    <w:rsid w:val="00824343"/>
    <w:rsid w:val="0082495D"/>
    <w:rsid w:val="00824E3C"/>
    <w:rsid w:val="00825183"/>
    <w:rsid w:val="0082632C"/>
    <w:rsid w:val="00826BB6"/>
    <w:rsid w:val="0082794B"/>
    <w:rsid w:val="00827CEF"/>
    <w:rsid w:val="008303DA"/>
    <w:rsid w:val="00830472"/>
    <w:rsid w:val="00831035"/>
    <w:rsid w:val="00831373"/>
    <w:rsid w:val="00831591"/>
    <w:rsid w:val="00831AC3"/>
    <w:rsid w:val="00831D72"/>
    <w:rsid w:val="00832203"/>
    <w:rsid w:val="00833DF5"/>
    <w:rsid w:val="00833F04"/>
    <w:rsid w:val="00835BE0"/>
    <w:rsid w:val="00835F0E"/>
    <w:rsid w:val="00836C59"/>
    <w:rsid w:val="00836FCE"/>
    <w:rsid w:val="00840231"/>
    <w:rsid w:val="00840570"/>
    <w:rsid w:val="008408FF"/>
    <w:rsid w:val="008437E8"/>
    <w:rsid w:val="00844076"/>
    <w:rsid w:val="0084692F"/>
    <w:rsid w:val="00847B1A"/>
    <w:rsid w:val="00847E91"/>
    <w:rsid w:val="00851F3F"/>
    <w:rsid w:val="008523F5"/>
    <w:rsid w:val="0085244A"/>
    <w:rsid w:val="00854376"/>
    <w:rsid w:val="008548F7"/>
    <w:rsid w:val="00854DCD"/>
    <w:rsid w:val="0085618F"/>
    <w:rsid w:val="00856E81"/>
    <w:rsid w:val="00856EDC"/>
    <w:rsid w:val="00857012"/>
    <w:rsid w:val="0085736F"/>
    <w:rsid w:val="00860CDB"/>
    <w:rsid w:val="00860EEA"/>
    <w:rsid w:val="0086161E"/>
    <w:rsid w:val="0086163A"/>
    <w:rsid w:val="00861F09"/>
    <w:rsid w:val="008623B5"/>
    <w:rsid w:val="00864C8F"/>
    <w:rsid w:val="008651E4"/>
    <w:rsid w:val="0087020A"/>
    <w:rsid w:val="00870229"/>
    <w:rsid w:val="00870979"/>
    <w:rsid w:val="00870ABA"/>
    <w:rsid w:val="008710E1"/>
    <w:rsid w:val="00871528"/>
    <w:rsid w:val="008716E5"/>
    <w:rsid w:val="00871C81"/>
    <w:rsid w:val="00871E30"/>
    <w:rsid w:val="008722D2"/>
    <w:rsid w:val="00873B12"/>
    <w:rsid w:val="00874176"/>
    <w:rsid w:val="00874C5B"/>
    <w:rsid w:val="00875A45"/>
    <w:rsid w:val="008767F9"/>
    <w:rsid w:val="00876F8D"/>
    <w:rsid w:val="00881CA9"/>
    <w:rsid w:val="008830DD"/>
    <w:rsid w:val="00883628"/>
    <w:rsid w:val="00885544"/>
    <w:rsid w:val="0088634E"/>
    <w:rsid w:val="00886C77"/>
    <w:rsid w:val="00887F19"/>
    <w:rsid w:val="008917F0"/>
    <w:rsid w:val="0089359A"/>
    <w:rsid w:val="00893AB8"/>
    <w:rsid w:val="008941BA"/>
    <w:rsid w:val="00894DFE"/>
    <w:rsid w:val="00895340"/>
    <w:rsid w:val="008958E0"/>
    <w:rsid w:val="00896994"/>
    <w:rsid w:val="008A04C8"/>
    <w:rsid w:val="008A1723"/>
    <w:rsid w:val="008A256A"/>
    <w:rsid w:val="008A46F2"/>
    <w:rsid w:val="008A4B86"/>
    <w:rsid w:val="008A5B3B"/>
    <w:rsid w:val="008A6165"/>
    <w:rsid w:val="008A6600"/>
    <w:rsid w:val="008A6913"/>
    <w:rsid w:val="008A7533"/>
    <w:rsid w:val="008B0959"/>
    <w:rsid w:val="008B09E4"/>
    <w:rsid w:val="008B0DF5"/>
    <w:rsid w:val="008B139B"/>
    <w:rsid w:val="008B1828"/>
    <w:rsid w:val="008B4414"/>
    <w:rsid w:val="008B48FA"/>
    <w:rsid w:val="008B6FE4"/>
    <w:rsid w:val="008B70F3"/>
    <w:rsid w:val="008B71C4"/>
    <w:rsid w:val="008B7552"/>
    <w:rsid w:val="008B76DF"/>
    <w:rsid w:val="008C10F4"/>
    <w:rsid w:val="008C5070"/>
    <w:rsid w:val="008C558C"/>
    <w:rsid w:val="008C5EC3"/>
    <w:rsid w:val="008C641E"/>
    <w:rsid w:val="008C65F7"/>
    <w:rsid w:val="008D09CC"/>
    <w:rsid w:val="008D5147"/>
    <w:rsid w:val="008D5655"/>
    <w:rsid w:val="008D6291"/>
    <w:rsid w:val="008D742D"/>
    <w:rsid w:val="008D759B"/>
    <w:rsid w:val="008E099D"/>
    <w:rsid w:val="008E0A39"/>
    <w:rsid w:val="008E0C12"/>
    <w:rsid w:val="008E2C18"/>
    <w:rsid w:val="008E3FA8"/>
    <w:rsid w:val="008E4537"/>
    <w:rsid w:val="008E4767"/>
    <w:rsid w:val="008E6109"/>
    <w:rsid w:val="008E70F0"/>
    <w:rsid w:val="008E7A8C"/>
    <w:rsid w:val="008F0546"/>
    <w:rsid w:val="008F09A5"/>
    <w:rsid w:val="008F2372"/>
    <w:rsid w:val="008F2E4B"/>
    <w:rsid w:val="008F39F5"/>
    <w:rsid w:val="008F4CD5"/>
    <w:rsid w:val="008F6F8F"/>
    <w:rsid w:val="008F719B"/>
    <w:rsid w:val="008F7222"/>
    <w:rsid w:val="008F7C4B"/>
    <w:rsid w:val="008F7D83"/>
    <w:rsid w:val="0090054C"/>
    <w:rsid w:val="0090110D"/>
    <w:rsid w:val="009017B0"/>
    <w:rsid w:val="0090203B"/>
    <w:rsid w:val="00903285"/>
    <w:rsid w:val="00903B38"/>
    <w:rsid w:val="00903B52"/>
    <w:rsid w:val="009060E5"/>
    <w:rsid w:val="00906F40"/>
    <w:rsid w:val="00907298"/>
    <w:rsid w:val="0090731E"/>
    <w:rsid w:val="00907F6E"/>
    <w:rsid w:val="0091032D"/>
    <w:rsid w:val="00910D87"/>
    <w:rsid w:val="0091252D"/>
    <w:rsid w:val="00912574"/>
    <w:rsid w:val="009125C9"/>
    <w:rsid w:val="009134D6"/>
    <w:rsid w:val="00914989"/>
    <w:rsid w:val="00915B1C"/>
    <w:rsid w:val="009169AE"/>
    <w:rsid w:val="009174F3"/>
    <w:rsid w:val="0091797D"/>
    <w:rsid w:val="00923CBA"/>
    <w:rsid w:val="009242EB"/>
    <w:rsid w:val="00924872"/>
    <w:rsid w:val="009252FE"/>
    <w:rsid w:val="00926703"/>
    <w:rsid w:val="00926ED5"/>
    <w:rsid w:val="00927691"/>
    <w:rsid w:val="00927A5F"/>
    <w:rsid w:val="00930510"/>
    <w:rsid w:val="00930BD3"/>
    <w:rsid w:val="0093308B"/>
    <w:rsid w:val="00934DFA"/>
    <w:rsid w:val="00935B63"/>
    <w:rsid w:val="0093753C"/>
    <w:rsid w:val="0094078F"/>
    <w:rsid w:val="00940FA3"/>
    <w:rsid w:val="009411E0"/>
    <w:rsid w:val="00941FB0"/>
    <w:rsid w:val="009426D4"/>
    <w:rsid w:val="00943477"/>
    <w:rsid w:val="00943A29"/>
    <w:rsid w:val="00944F36"/>
    <w:rsid w:val="0094537E"/>
    <w:rsid w:val="00945C91"/>
    <w:rsid w:val="0094772B"/>
    <w:rsid w:val="00947F25"/>
    <w:rsid w:val="00950159"/>
    <w:rsid w:val="009507D8"/>
    <w:rsid w:val="0095241A"/>
    <w:rsid w:val="009536E9"/>
    <w:rsid w:val="009538FB"/>
    <w:rsid w:val="0095445A"/>
    <w:rsid w:val="009546A6"/>
    <w:rsid w:val="0095490B"/>
    <w:rsid w:val="00956833"/>
    <w:rsid w:val="00957D52"/>
    <w:rsid w:val="00960039"/>
    <w:rsid w:val="00960A33"/>
    <w:rsid w:val="009618C9"/>
    <w:rsid w:val="00962337"/>
    <w:rsid w:val="00962745"/>
    <w:rsid w:val="00962B38"/>
    <w:rsid w:val="00962C5D"/>
    <w:rsid w:val="00964BD5"/>
    <w:rsid w:val="00964C0D"/>
    <w:rsid w:val="00965283"/>
    <w:rsid w:val="00970385"/>
    <w:rsid w:val="00971914"/>
    <w:rsid w:val="00973B0C"/>
    <w:rsid w:val="00974363"/>
    <w:rsid w:val="00976C47"/>
    <w:rsid w:val="0097794E"/>
    <w:rsid w:val="00981898"/>
    <w:rsid w:val="00983CFA"/>
    <w:rsid w:val="00983E68"/>
    <w:rsid w:val="00986450"/>
    <w:rsid w:val="00987AF6"/>
    <w:rsid w:val="009908F0"/>
    <w:rsid w:val="0099402C"/>
    <w:rsid w:val="00994BA0"/>
    <w:rsid w:val="00994D83"/>
    <w:rsid w:val="009950F9"/>
    <w:rsid w:val="00995646"/>
    <w:rsid w:val="0099577C"/>
    <w:rsid w:val="009962C3"/>
    <w:rsid w:val="00997C42"/>
    <w:rsid w:val="00997C7C"/>
    <w:rsid w:val="009A103F"/>
    <w:rsid w:val="009A15C1"/>
    <w:rsid w:val="009A1E79"/>
    <w:rsid w:val="009A378A"/>
    <w:rsid w:val="009A4C8F"/>
    <w:rsid w:val="009A5078"/>
    <w:rsid w:val="009A704F"/>
    <w:rsid w:val="009B0CE6"/>
    <w:rsid w:val="009B24A5"/>
    <w:rsid w:val="009B2601"/>
    <w:rsid w:val="009B33F1"/>
    <w:rsid w:val="009B4CFE"/>
    <w:rsid w:val="009B4E9E"/>
    <w:rsid w:val="009B52D6"/>
    <w:rsid w:val="009B550C"/>
    <w:rsid w:val="009B5564"/>
    <w:rsid w:val="009B7DD2"/>
    <w:rsid w:val="009C06F3"/>
    <w:rsid w:val="009C0B8A"/>
    <w:rsid w:val="009C1690"/>
    <w:rsid w:val="009C4FA4"/>
    <w:rsid w:val="009C5511"/>
    <w:rsid w:val="009C5784"/>
    <w:rsid w:val="009C5E3E"/>
    <w:rsid w:val="009C6881"/>
    <w:rsid w:val="009C6DEB"/>
    <w:rsid w:val="009C7232"/>
    <w:rsid w:val="009C7759"/>
    <w:rsid w:val="009D043D"/>
    <w:rsid w:val="009D07C8"/>
    <w:rsid w:val="009D1725"/>
    <w:rsid w:val="009D1D05"/>
    <w:rsid w:val="009D2015"/>
    <w:rsid w:val="009D3D0E"/>
    <w:rsid w:val="009D64C2"/>
    <w:rsid w:val="009D6C71"/>
    <w:rsid w:val="009E0631"/>
    <w:rsid w:val="009E16CE"/>
    <w:rsid w:val="009E16D0"/>
    <w:rsid w:val="009E2051"/>
    <w:rsid w:val="009E327C"/>
    <w:rsid w:val="009E38FD"/>
    <w:rsid w:val="009E4134"/>
    <w:rsid w:val="009E41C9"/>
    <w:rsid w:val="009E62CA"/>
    <w:rsid w:val="009E6B1C"/>
    <w:rsid w:val="009E76AD"/>
    <w:rsid w:val="009E80C1"/>
    <w:rsid w:val="009F13D5"/>
    <w:rsid w:val="009F13D6"/>
    <w:rsid w:val="009F140C"/>
    <w:rsid w:val="009F1A60"/>
    <w:rsid w:val="009F2B32"/>
    <w:rsid w:val="009F4C6B"/>
    <w:rsid w:val="009F58BD"/>
    <w:rsid w:val="009F5BF8"/>
    <w:rsid w:val="009F6360"/>
    <w:rsid w:val="009F6ECB"/>
    <w:rsid w:val="009F78A8"/>
    <w:rsid w:val="00A0075D"/>
    <w:rsid w:val="00A00C35"/>
    <w:rsid w:val="00A02AD6"/>
    <w:rsid w:val="00A02EE2"/>
    <w:rsid w:val="00A05847"/>
    <w:rsid w:val="00A06B15"/>
    <w:rsid w:val="00A07096"/>
    <w:rsid w:val="00A07318"/>
    <w:rsid w:val="00A10577"/>
    <w:rsid w:val="00A11370"/>
    <w:rsid w:val="00A12C09"/>
    <w:rsid w:val="00A14846"/>
    <w:rsid w:val="00A16D93"/>
    <w:rsid w:val="00A16F34"/>
    <w:rsid w:val="00A16FB0"/>
    <w:rsid w:val="00A1A052"/>
    <w:rsid w:val="00A20452"/>
    <w:rsid w:val="00A20F23"/>
    <w:rsid w:val="00A21B9F"/>
    <w:rsid w:val="00A222ED"/>
    <w:rsid w:val="00A224CE"/>
    <w:rsid w:val="00A22522"/>
    <w:rsid w:val="00A22AA3"/>
    <w:rsid w:val="00A22CB2"/>
    <w:rsid w:val="00A234B7"/>
    <w:rsid w:val="00A23C77"/>
    <w:rsid w:val="00A2440D"/>
    <w:rsid w:val="00A24882"/>
    <w:rsid w:val="00A24AFD"/>
    <w:rsid w:val="00A24F5C"/>
    <w:rsid w:val="00A259BF"/>
    <w:rsid w:val="00A2668C"/>
    <w:rsid w:val="00A272A0"/>
    <w:rsid w:val="00A274A4"/>
    <w:rsid w:val="00A30374"/>
    <w:rsid w:val="00A3125B"/>
    <w:rsid w:val="00A318D3"/>
    <w:rsid w:val="00A320A2"/>
    <w:rsid w:val="00A32C07"/>
    <w:rsid w:val="00A32F96"/>
    <w:rsid w:val="00A33AFF"/>
    <w:rsid w:val="00A33BC0"/>
    <w:rsid w:val="00A342EE"/>
    <w:rsid w:val="00A34B3B"/>
    <w:rsid w:val="00A35537"/>
    <w:rsid w:val="00A35E05"/>
    <w:rsid w:val="00A36FE4"/>
    <w:rsid w:val="00A37403"/>
    <w:rsid w:val="00A37963"/>
    <w:rsid w:val="00A4003C"/>
    <w:rsid w:val="00A40871"/>
    <w:rsid w:val="00A40FD0"/>
    <w:rsid w:val="00A412AB"/>
    <w:rsid w:val="00A4193E"/>
    <w:rsid w:val="00A4239F"/>
    <w:rsid w:val="00A42DE7"/>
    <w:rsid w:val="00A4373E"/>
    <w:rsid w:val="00A440E0"/>
    <w:rsid w:val="00A44125"/>
    <w:rsid w:val="00A442EF"/>
    <w:rsid w:val="00A46295"/>
    <w:rsid w:val="00A514D9"/>
    <w:rsid w:val="00A51D1A"/>
    <w:rsid w:val="00A524A0"/>
    <w:rsid w:val="00A535A1"/>
    <w:rsid w:val="00A53C94"/>
    <w:rsid w:val="00A53FF7"/>
    <w:rsid w:val="00A5418D"/>
    <w:rsid w:val="00A5474E"/>
    <w:rsid w:val="00A5543C"/>
    <w:rsid w:val="00A55A45"/>
    <w:rsid w:val="00A55C99"/>
    <w:rsid w:val="00A602F0"/>
    <w:rsid w:val="00A61127"/>
    <w:rsid w:val="00A61D92"/>
    <w:rsid w:val="00A61F37"/>
    <w:rsid w:val="00A62197"/>
    <w:rsid w:val="00A622EA"/>
    <w:rsid w:val="00A623BB"/>
    <w:rsid w:val="00A626DB"/>
    <w:rsid w:val="00A63870"/>
    <w:rsid w:val="00A64234"/>
    <w:rsid w:val="00A65A3E"/>
    <w:rsid w:val="00A66F2D"/>
    <w:rsid w:val="00A67824"/>
    <w:rsid w:val="00A7085F"/>
    <w:rsid w:val="00A70ADF"/>
    <w:rsid w:val="00A71466"/>
    <w:rsid w:val="00A72568"/>
    <w:rsid w:val="00A72A50"/>
    <w:rsid w:val="00A72AC3"/>
    <w:rsid w:val="00A7350B"/>
    <w:rsid w:val="00A7412C"/>
    <w:rsid w:val="00A747BA"/>
    <w:rsid w:val="00A74B5E"/>
    <w:rsid w:val="00A779F0"/>
    <w:rsid w:val="00A80D4F"/>
    <w:rsid w:val="00A81BED"/>
    <w:rsid w:val="00A81EC4"/>
    <w:rsid w:val="00A824E8"/>
    <w:rsid w:val="00A83465"/>
    <w:rsid w:val="00A839AD"/>
    <w:rsid w:val="00A84AC1"/>
    <w:rsid w:val="00A8578A"/>
    <w:rsid w:val="00A86B65"/>
    <w:rsid w:val="00A86D93"/>
    <w:rsid w:val="00A86DBD"/>
    <w:rsid w:val="00A86E4D"/>
    <w:rsid w:val="00A8791A"/>
    <w:rsid w:val="00A87BB7"/>
    <w:rsid w:val="00A90E6C"/>
    <w:rsid w:val="00A926B0"/>
    <w:rsid w:val="00A942D9"/>
    <w:rsid w:val="00A94B4C"/>
    <w:rsid w:val="00A94C05"/>
    <w:rsid w:val="00A9595C"/>
    <w:rsid w:val="00A95CAC"/>
    <w:rsid w:val="00A967FD"/>
    <w:rsid w:val="00AA0BD3"/>
    <w:rsid w:val="00AA11E2"/>
    <w:rsid w:val="00AA2091"/>
    <w:rsid w:val="00AA2DE5"/>
    <w:rsid w:val="00AA3294"/>
    <w:rsid w:val="00AA3A0E"/>
    <w:rsid w:val="00AA3A6F"/>
    <w:rsid w:val="00AA5F27"/>
    <w:rsid w:val="00AA7B32"/>
    <w:rsid w:val="00AA7C9D"/>
    <w:rsid w:val="00AA7FC2"/>
    <w:rsid w:val="00AB02AE"/>
    <w:rsid w:val="00AB093C"/>
    <w:rsid w:val="00AB14C3"/>
    <w:rsid w:val="00AB156C"/>
    <w:rsid w:val="00AB1BED"/>
    <w:rsid w:val="00AB21A2"/>
    <w:rsid w:val="00AB3A32"/>
    <w:rsid w:val="00AB6814"/>
    <w:rsid w:val="00AC04BA"/>
    <w:rsid w:val="00AC0E39"/>
    <w:rsid w:val="00AC2598"/>
    <w:rsid w:val="00AC3163"/>
    <w:rsid w:val="00AC3C36"/>
    <w:rsid w:val="00AC4316"/>
    <w:rsid w:val="00AC7338"/>
    <w:rsid w:val="00AC73A6"/>
    <w:rsid w:val="00AC7868"/>
    <w:rsid w:val="00AC7B70"/>
    <w:rsid w:val="00AD0430"/>
    <w:rsid w:val="00AD1472"/>
    <w:rsid w:val="00AD1848"/>
    <w:rsid w:val="00AD1982"/>
    <w:rsid w:val="00AD1E93"/>
    <w:rsid w:val="00AD3082"/>
    <w:rsid w:val="00AD32B4"/>
    <w:rsid w:val="00AD3745"/>
    <w:rsid w:val="00AD4AD0"/>
    <w:rsid w:val="00AD5162"/>
    <w:rsid w:val="00AD5436"/>
    <w:rsid w:val="00AD60CD"/>
    <w:rsid w:val="00AD6C8C"/>
    <w:rsid w:val="00AD6E26"/>
    <w:rsid w:val="00AD6FA3"/>
    <w:rsid w:val="00AE00EA"/>
    <w:rsid w:val="00AE091D"/>
    <w:rsid w:val="00AE0A5A"/>
    <w:rsid w:val="00AE25D5"/>
    <w:rsid w:val="00AE2E07"/>
    <w:rsid w:val="00AE2E2B"/>
    <w:rsid w:val="00AE3B60"/>
    <w:rsid w:val="00AE43C1"/>
    <w:rsid w:val="00AE4C30"/>
    <w:rsid w:val="00AE5348"/>
    <w:rsid w:val="00AE53A1"/>
    <w:rsid w:val="00AE5507"/>
    <w:rsid w:val="00AE568B"/>
    <w:rsid w:val="00AE6A10"/>
    <w:rsid w:val="00AE6B7B"/>
    <w:rsid w:val="00AE6F99"/>
    <w:rsid w:val="00AE72DE"/>
    <w:rsid w:val="00AE79F2"/>
    <w:rsid w:val="00AE7FEB"/>
    <w:rsid w:val="00AF0187"/>
    <w:rsid w:val="00AF07D6"/>
    <w:rsid w:val="00AF094D"/>
    <w:rsid w:val="00AF1311"/>
    <w:rsid w:val="00AF2484"/>
    <w:rsid w:val="00AF381F"/>
    <w:rsid w:val="00AF4687"/>
    <w:rsid w:val="00AF48A3"/>
    <w:rsid w:val="00AF4BF6"/>
    <w:rsid w:val="00AF4D53"/>
    <w:rsid w:val="00AF5C03"/>
    <w:rsid w:val="00AF63E7"/>
    <w:rsid w:val="00AF655F"/>
    <w:rsid w:val="00AF69D1"/>
    <w:rsid w:val="00AF6E17"/>
    <w:rsid w:val="00B00999"/>
    <w:rsid w:val="00B0165D"/>
    <w:rsid w:val="00B01B60"/>
    <w:rsid w:val="00B031F3"/>
    <w:rsid w:val="00B03936"/>
    <w:rsid w:val="00B0422C"/>
    <w:rsid w:val="00B052A4"/>
    <w:rsid w:val="00B06152"/>
    <w:rsid w:val="00B065FC"/>
    <w:rsid w:val="00B079F6"/>
    <w:rsid w:val="00B10840"/>
    <w:rsid w:val="00B1176E"/>
    <w:rsid w:val="00B11CBD"/>
    <w:rsid w:val="00B125DE"/>
    <w:rsid w:val="00B13960"/>
    <w:rsid w:val="00B13FDD"/>
    <w:rsid w:val="00B1406C"/>
    <w:rsid w:val="00B1425D"/>
    <w:rsid w:val="00B14E77"/>
    <w:rsid w:val="00B1507B"/>
    <w:rsid w:val="00B202B4"/>
    <w:rsid w:val="00B20568"/>
    <w:rsid w:val="00B21DFA"/>
    <w:rsid w:val="00B22958"/>
    <w:rsid w:val="00B22EB2"/>
    <w:rsid w:val="00B235A7"/>
    <w:rsid w:val="00B242AF"/>
    <w:rsid w:val="00B24EC8"/>
    <w:rsid w:val="00B25026"/>
    <w:rsid w:val="00B2584C"/>
    <w:rsid w:val="00B25C75"/>
    <w:rsid w:val="00B26877"/>
    <w:rsid w:val="00B27442"/>
    <w:rsid w:val="00B30AF2"/>
    <w:rsid w:val="00B31167"/>
    <w:rsid w:val="00B31704"/>
    <w:rsid w:val="00B31B8E"/>
    <w:rsid w:val="00B329D8"/>
    <w:rsid w:val="00B32BB9"/>
    <w:rsid w:val="00B33AE1"/>
    <w:rsid w:val="00B34DD7"/>
    <w:rsid w:val="00B35A40"/>
    <w:rsid w:val="00B35AAF"/>
    <w:rsid w:val="00B36223"/>
    <w:rsid w:val="00B37AE6"/>
    <w:rsid w:val="00B37C38"/>
    <w:rsid w:val="00B40B13"/>
    <w:rsid w:val="00B41107"/>
    <w:rsid w:val="00B421AB"/>
    <w:rsid w:val="00B423FE"/>
    <w:rsid w:val="00B4288C"/>
    <w:rsid w:val="00B43262"/>
    <w:rsid w:val="00B44100"/>
    <w:rsid w:val="00B442AD"/>
    <w:rsid w:val="00B44850"/>
    <w:rsid w:val="00B44E30"/>
    <w:rsid w:val="00B46CBA"/>
    <w:rsid w:val="00B46F94"/>
    <w:rsid w:val="00B5022C"/>
    <w:rsid w:val="00B503A2"/>
    <w:rsid w:val="00B521AD"/>
    <w:rsid w:val="00B5223D"/>
    <w:rsid w:val="00B53D22"/>
    <w:rsid w:val="00B56F6C"/>
    <w:rsid w:val="00B57014"/>
    <w:rsid w:val="00B575A0"/>
    <w:rsid w:val="00B57F44"/>
    <w:rsid w:val="00B6003C"/>
    <w:rsid w:val="00B601A9"/>
    <w:rsid w:val="00B617DC"/>
    <w:rsid w:val="00B61F03"/>
    <w:rsid w:val="00B626B6"/>
    <w:rsid w:val="00B626E4"/>
    <w:rsid w:val="00B62819"/>
    <w:rsid w:val="00B62DAE"/>
    <w:rsid w:val="00B63DF5"/>
    <w:rsid w:val="00B64C5B"/>
    <w:rsid w:val="00B65304"/>
    <w:rsid w:val="00B65804"/>
    <w:rsid w:val="00B67294"/>
    <w:rsid w:val="00B7026A"/>
    <w:rsid w:val="00B718DB"/>
    <w:rsid w:val="00B72F4A"/>
    <w:rsid w:val="00B7313B"/>
    <w:rsid w:val="00B73D89"/>
    <w:rsid w:val="00B75456"/>
    <w:rsid w:val="00B75ECA"/>
    <w:rsid w:val="00B765F7"/>
    <w:rsid w:val="00B76A42"/>
    <w:rsid w:val="00B770A3"/>
    <w:rsid w:val="00B77D56"/>
    <w:rsid w:val="00B80235"/>
    <w:rsid w:val="00B804D1"/>
    <w:rsid w:val="00B809B2"/>
    <w:rsid w:val="00B80B6B"/>
    <w:rsid w:val="00B81081"/>
    <w:rsid w:val="00B826F8"/>
    <w:rsid w:val="00B82E08"/>
    <w:rsid w:val="00B83C27"/>
    <w:rsid w:val="00B84BC3"/>
    <w:rsid w:val="00B84BDD"/>
    <w:rsid w:val="00B84C0A"/>
    <w:rsid w:val="00B850EE"/>
    <w:rsid w:val="00B86ADB"/>
    <w:rsid w:val="00B91723"/>
    <w:rsid w:val="00B91E23"/>
    <w:rsid w:val="00B92812"/>
    <w:rsid w:val="00B92F4D"/>
    <w:rsid w:val="00B94C5F"/>
    <w:rsid w:val="00B960C9"/>
    <w:rsid w:val="00B96CB8"/>
    <w:rsid w:val="00B972CE"/>
    <w:rsid w:val="00B9EDEA"/>
    <w:rsid w:val="00BA0073"/>
    <w:rsid w:val="00BA14C4"/>
    <w:rsid w:val="00BA17CD"/>
    <w:rsid w:val="00BA306E"/>
    <w:rsid w:val="00BA31FE"/>
    <w:rsid w:val="00BA45B1"/>
    <w:rsid w:val="00BA511A"/>
    <w:rsid w:val="00BA72BB"/>
    <w:rsid w:val="00BA7D51"/>
    <w:rsid w:val="00BA7DFF"/>
    <w:rsid w:val="00BB0454"/>
    <w:rsid w:val="00BB2536"/>
    <w:rsid w:val="00BB261F"/>
    <w:rsid w:val="00BB30F3"/>
    <w:rsid w:val="00BB3220"/>
    <w:rsid w:val="00BB3E4F"/>
    <w:rsid w:val="00BB45A1"/>
    <w:rsid w:val="00BB5021"/>
    <w:rsid w:val="00BB5C4B"/>
    <w:rsid w:val="00BB7536"/>
    <w:rsid w:val="00BB7686"/>
    <w:rsid w:val="00BB7E5C"/>
    <w:rsid w:val="00BC23F9"/>
    <w:rsid w:val="00BC3421"/>
    <w:rsid w:val="00BC732C"/>
    <w:rsid w:val="00BC7DF4"/>
    <w:rsid w:val="00BC9558"/>
    <w:rsid w:val="00BD3E88"/>
    <w:rsid w:val="00BD4421"/>
    <w:rsid w:val="00BD4A01"/>
    <w:rsid w:val="00BD5F67"/>
    <w:rsid w:val="00BD7249"/>
    <w:rsid w:val="00BE08B4"/>
    <w:rsid w:val="00BE2077"/>
    <w:rsid w:val="00BE230E"/>
    <w:rsid w:val="00BE2580"/>
    <w:rsid w:val="00BE266D"/>
    <w:rsid w:val="00BE3487"/>
    <w:rsid w:val="00BE35CB"/>
    <w:rsid w:val="00BE386C"/>
    <w:rsid w:val="00BE3938"/>
    <w:rsid w:val="00BE4C11"/>
    <w:rsid w:val="00BE4CB5"/>
    <w:rsid w:val="00BE6805"/>
    <w:rsid w:val="00BE71C0"/>
    <w:rsid w:val="00BF0E92"/>
    <w:rsid w:val="00BF19B1"/>
    <w:rsid w:val="00BF19D9"/>
    <w:rsid w:val="00BF1DD7"/>
    <w:rsid w:val="00BF3EA4"/>
    <w:rsid w:val="00BF3F36"/>
    <w:rsid w:val="00BF610C"/>
    <w:rsid w:val="00BF6422"/>
    <w:rsid w:val="00BF68B8"/>
    <w:rsid w:val="00BFEAE3"/>
    <w:rsid w:val="00C0000F"/>
    <w:rsid w:val="00C0060B"/>
    <w:rsid w:val="00C00AEE"/>
    <w:rsid w:val="00C01A6C"/>
    <w:rsid w:val="00C01B03"/>
    <w:rsid w:val="00C01BB6"/>
    <w:rsid w:val="00C0277D"/>
    <w:rsid w:val="00C02CFB"/>
    <w:rsid w:val="00C02E17"/>
    <w:rsid w:val="00C04899"/>
    <w:rsid w:val="00C053A1"/>
    <w:rsid w:val="00C05B5F"/>
    <w:rsid w:val="00C05D2D"/>
    <w:rsid w:val="00C05EE4"/>
    <w:rsid w:val="00C100D0"/>
    <w:rsid w:val="00C108E9"/>
    <w:rsid w:val="00C10A24"/>
    <w:rsid w:val="00C133FD"/>
    <w:rsid w:val="00C15636"/>
    <w:rsid w:val="00C16198"/>
    <w:rsid w:val="00C1750F"/>
    <w:rsid w:val="00C2083D"/>
    <w:rsid w:val="00C21170"/>
    <w:rsid w:val="00C22814"/>
    <w:rsid w:val="00C22D1B"/>
    <w:rsid w:val="00C23508"/>
    <w:rsid w:val="00C24A53"/>
    <w:rsid w:val="00C24F94"/>
    <w:rsid w:val="00C25022"/>
    <w:rsid w:val="00C251C7"/>
    <w:rsid w:val="00C25FCF"/>
    <w:rsid w:val="00C26922"/>
    <w:rsid w:val="00C26C8A"/>
    <w:rsid w:val="00C26F35"/>
    <w:rsid w:val="00C30496"/>
    <w:rsid w:val="00C30BAE"/>
    <w:rsid w:val="00C30EF5"/>
    <w:rsid w:val="00C31822"/>
    <w:rsid w:val="00C3235B"/>
    <w:rsid w:val="00C336FC"/>
    <w:rsid w:val="00C33B4A"/>
    <w:rsid w:val="00C34930"/>
    <w:rsid w:val="00C34A05"/>
    <w:rsid w:val="00C34E3C"/>
    <w:rsid w:val="00C35C3E"/>
    <w:rsid w:val="00C35CCE"/>
    <w:rsid w:val="00C36126"/>
    <w:rsid w:val="00C37A00"/>
    <w:rsid w:val="00C37BAD"/>
    <w:rsid w:val="00C4032F"/>
    <w:rsid w:val="00C410E1"/>
    <w:rsid w:val="00C412B4"/>
    <w:rsid w:val="00C41589"/>
    <w:rsid w:val="00C43116"/>
    <w:rsid w:val="00C44047"/>
    <w:rsid w:val="00C440B5"/>
    <w:rsid w:val="00C44B05"/>
    <w:rsid w:val="00C44C15"/>
    <w:rsid w:val="00C44C3E"/>
    <w:rsid w:val="00C44D75"/>
    <w:rsid w:val="00C45155"/>
    <w:rsid w:val="00C458CF"/>
    <w:rsid w:val="00C4596C"/>
    <w:rsid w:val="00C47BD1"/>
    <w:rsid w:val="00C5010A"/>
    <w:rsid w:val="00C528F6"/>
    <w:rsid w:val="00C52D7E"/>
    <w:rsid w:val="00C53FFB"/>
    <w:rsid w:val="00C5498F"/>
    <w:rsid w:val="00C54B61"/>
    <w:rsid w:val="00C55235"/>
    <w:rsid w:val="00C60243"/>
    <w:rsid w:val="00C61AC1"/>
    <w:rsid w:val="00C635CB"/>
    <w:rsid w:val="00C636EE"/>
    <w:rsid w:val="00C63744"/>
    <w:rsid w:val="00C63D35"/>
    <w:rsid w:val="00C645CD"/>
    <w:rsid w:val="00C64CD0"/>
    <w:rsid w:val="00C6550F"/>
    <w:rsid w:val="00C65E59"/>
    <w:rsid w:val="00C664AB"/>
    <w:rsid w:val="00C665DF"/>
    <w:rsid w:val="00C6684F"/>
    <w:rsid w:val="00C66BD6"/>
    <w:rsid w:val="00C70E70"/>
    <w:rsid w:val="00C71220"/>
    <w:rsid w:val="00C720C7"/>
    <w:rsid w:val="00C75BD7"/>
    <w:rsid w:val="00C75F8D"/>
    <w:rsid w:val="00C77380"/>
    <w:rsid w:val="00C77782"/>
    <w:rsid w:val="00C809B5"/>
    <w:rsid w:val="00C80C8D"/>
    <w:rsid w:val="00C814F4"/>
    <w:rsid w:val="00C82722"/>
    <w:rsid w:val="00C82940"/>
    <w:rsid w:val="00C8485C"/>
    <w:rsid w:val="00C8485F"/>
    <w:rsid w:val="00C860C8"/>
    <w:rsid w:val="00C86E91"/>
    <w:rsid w:val="00C87E8A"/>
    <w:rsid w:val="00C90823"/>
    <w:rsid w:val="00C90FBA"/>
    <w:rsid w:val="00C921D4"/>
    <w:rsid w:val="00C923EB"/>
    <w:rsid w:val="00C93502"/>
    <w:rsid w:val="00C9526A"/>
    <w:rsid w:val="00C96669"/>
    <w:rsid w:val="00C97503"/>
    <w:rsid w:val="00C97736"/>
    <w:rsid w:val="00C979CF"/>
    <w:rsid w:val="00CA01F9"/>
    <w:rsid w:val="00CA32C8"/>
    <w:rsid w:val="00CA345A"/>
    <w:rsid w:val="00CA380B"/>
    <w:rsid w:val="00CA49AE"/>
    <w:rsid w:val="00CA4DC3"/>
    <w:rsid w:val="00CA5432"/>
    <w:rsid w:val="00CA6529"/>
    <w:rsid w:val="00CB0FFD"/>
    <w:rsid w:val="00CB124C"/>
    <w:rsid w:val="00CB19AF"/>
    <w:rsid w:val="00CB1B2C"/>
    <w:rsid w:val="00CB1E82"/>
    <w:rsid w:val="00CB1FC9"/>
    <w:rsid w:val="00CB267F"/>
    <w:rsid w:val="00CB441E"/>
    <w:rsid w:val="00CB4BA8"/>
    <w:rsid w:val="00CB52D7"/>
    <w:rsid w:val="00CB5541"/>
    <w:rsid w:val="00CB6F86"/>
    <w:rsid w:val="00CB78B5"/>
    <w:rsid w:val="00CC2E1D"/>
    <w:rsid w:val="00CC35E8"/>
    <w:rsid w:val="00CC4835"/>
    <w:rsid w:val="00CC4C7F"/>
    <w:rsid w:val="00CC6732"/>
    <w:rsid w:val="00CD04F1"/>
    <w:rsid w:val="00CD2631"/>
    <w:rsid w:val="00CD2D91"/>
    <w:rsid w:val="00CD341F"/>
    <w:rsid w:val="00CD3600"/>
    <w:rsid w:val="00CD3695"/>
    <w:rsid w:val="00CD4698"/>
    <w:rsid w:val="00CD6F72"/>
    <w:rsid w:val="00CD7028"/>
    <w:rsid w:val="00CD7D49"/>
    <w:rsid w:val="00CE023B"/>
    <w:rsid w:val="00CE08E6"/>
    <w:rsid w:val="00CE0BB5"/>
    <w:rsid w:val="00CE0D54"/>
    <w:rsid w:val="00CE0F95"/>
    <w:rsid w:val="00CE11B3"/>
    <w:rsid w:val="00CE120F"/>
    <w:rsid w:val="00CE3C96"/>
    <w:rsid w:val="00CE3F18"/>
    <w:rsid w:val="00CE51A8"/>
    <w:rsid w:val="00CE5C11"/>
    <w:rsid w:val="00CE6E50"/>
    <w:rsid w:val="00CF04E0"/>
    <w:rsid w:val="00CF2121"/>
    <w:rsid w:val="00CF297A"/>
    <w:rsid w:val="00CF2E8B"/>
    <w:rsid w:val="00CF369B"/>
    <w:rsid w:val="00CF4013"/>
    <w:rsid w:val="00CF405F"/>
    <w:rsid w:val="00CF47AD"/>
    <w:rsid w:val="00CF4896"/>
    <w:rsid w:val="00CF4D4D"/>
    <w:rsid w:val="00CF5B41"/>
    <w:rsid w:val="00CF62D8"/>
    <w:rsid w:val="00CF7275"/>
    <w:rsid w:val="00CF7650"/>
    <w:rsid w:val="00D000EA"/>
    <w:rsid w:val="00D00565"/>
    <w:rsid w:val="00D00A71"/>
    <w:rsid w:val="00D00E28"/>
    <w:rsid w:val="00D00E32"/>
    <w:rsid w:val="00D0269E"/>
    <w:rsid w:val="00D029A2"/>
    <w:rsid w:val="00D02F38"/>
    <w:rsid w:val="00D039DE"/>
    <w:rsid w:val="00D04FF8"/>
    <w:rsid w:val="00D05D6C"/>
    <w:rsid w:val="00D0720F"/>
    <w:rsid w:val="00D10647"/>
    <w:rsid w:val="00D10B59"/>
    <w:rsid w:val="00D1143B"/>
    <w:rsid w:val="00D115E0"/>
    <w:rsid w:val="00D1218B"/>
    <w:rsid w:val="00D12514"/>
    <w:rsid w:val="00D13F0C"/>
    <w:rsid w:val="00D15263"/>
    <w:rsid w:val="00D15810"/>
    <w:rsid w:val="00D16D4E"/>
    <w:rsid w:val="00D16FE3"/>
    <w:rsid w:val="00D21445"/>
    <w:rsid w:val="00D22123"/>
    <w:rsid w:val="00D22635"/>
    <w:rsid w:val="00D22B46"/>
    <w:rsid w:val="00D265F7"/>
    <w:rsid w:val="00D273FD"/>
    <w:rsid w:val="00D27F41"/>
    <w:rsid w:val="00D30332"/>
    <w:rsid w:val="00D3100A"/>
    <w:rsid w:val="00D3198E"/>
    <w:rsid w:val="00D32838"/>
    <w:rsid w:val="00D32F25"/>
    <w:rsid w:val="00D3313A"/>
    <w:rsid w:val="00D34C20"/>
    <w:rsid w:val="00D36441"/>
    <w:rsid w:val="00D4064E"/>
    <w:rsid w:val="00D414E9"/>
    <w:rsid w:val="00D420EE"/>
    <w:rsid w:val="00D42EF0"/>
    <w:rsid w:val="00D43E1C"/>
    <w:rsid w:val="00D44925"/>
    <w:rsid w:val="00D44E9B"/>
    <w:rsid w:val="00D45C8E"/>
    <w:rsid w:val="00D45FD2"/>
    <w:rsid w:val="00D46ACD"/>
    <w:rsid w:val="00D47AEB"/>
    <w:rsid w:val="00D47BAD"/>
    <w:rsid w:val="00D50DB9"/>
    <w:rsid w:val="00D51302"/>
    <w:rsid w:val="00D521EE"/>
    <w:rsid w:val="00D52A43"/>
    <w:rsid w:val="00D52C43"/>
    <w:rsid w:val="00D53414"/>
    <w:rsid w:val="00D536B5"/>
    <w:rsid w:val="00D539A9"/>
    <w:rsid w:val="00D54035"/>
    <w:rsid w:val="00D54F8E"/>
    <w:rsid w:val="00D56343"/>
    <w:rsid w:val="00D56399"/>
    <w:rsid w:val="00D56704"/>
    <w:rsid w:val="00D57B80"/>
    <w:rsid w:val="00D60D6B"/>
    <w:rsid w:val="00D61866"/>
    <w:rsid w:val="00D619A6"/>
    <w:rsid w:val="00D62845"/>
    <w:rsid w:val="00D63E37"/>
    <w:rsid w:val="00D648E0"/>
    <w:rsid w:val="00D6507F"/>
    <w:rsid w:val="00D6788C"/>
    <w:rsid w:val="00D67BDD"/>
    <w:rsid w:val="00D70E5A"/>
    <w:rsid w:val="00D70F9D"/>
    <w:rsid w:val="00D730BC"/>
    <w:rsid w:val="00D73912"/>
    <w:rsid w:val="00D74EBD"/>
    <w:rsid w:val="00D76326"/>
    <w:rsid w:val="00D771A6"/>
    <w:rsid w:val="00D7736C"/>
    <w:rsid w:val="00D80416"/>
    <w:rsid w:val="00D81062"/>
    <w:rsid w:val="00D822C0"/>
    <w:rsid w:val="00D8248C"/>
    <w:rsid w:val="00D83235"/>
    <w:rsid w:val="00D837D4"/>
    <w:rsid w:val="00D83C63"/>
    <w:rsid w:val="00D84E03"/>
    <w:rsid w:val="00D85226"/>
    <w:rsid w:val="00D8566D"/>
    <w:rsid w:val="00D85CFE"/>
    <w:rsid w:val="00D8686C"/>
    <w:rsid w:val="00D86DC6"/>
    <w:rsid w:val="00D87B94"/>
    <w:rsid w:val="00D87FB7"/>
    <w:rsid w:val="00D90156"/>
    <w:rsid w:val="00D9055B"/>
    <w:rsid w:val="00D90A94"/>
    <w:rsid w:val="00D91483"/>
    <w:rsid w:val="00D9172F"/>
    <w:rsid w:val="00D91990"/>
    <w:rsid w:val="00D922F6"/>
    <w:rsid w:val="00D92D49"/>
    <w:rsid w:val="00D92EC1"/>
    <w:rsid w:val="00D9406C"/>
    <w:rsid w:val="00D9445A"/>
    <w:rsid w:val="00D95535"/>
    <w:rsid w:val="00D96865"/>
    <w:rsid w:val="00D96871"/>
    <w:rsid w:val="00D96DEA"/>
    <w:rsid w:val="00DA159A"/>
    <w:rsid w:val="00DA15E1"/>
    <w:rsid w:val="00DA1B31"/>
    <w:rsid w:val="00DA1C1B"/>
    <w:rsid w:val="00DA24FD"/>
    <w:rsid w:val="00DA25EA"/>
    <w:rsid w:val="00DA276F"/>
    <w:rsid w:val="00DA3BD8"/>
    <w:rsid w:val="00DA3F20"/>
    <w:rsid w:val="00DA4443"/>
    <w:rsid w:val="00DA4E41"/>
    <w:rsid w:val="00DA6C9D"/>
    <w:rsid w:val="00DB0A0C"/>
    <w:rsid w:val="00DB0A24"/>
    <w:rsid w:val="00DB117A"/>
    <w:rsid w:val="00DB150B"/>
    <w:rsid w:val="00DB2322"/>
    <w:rsid w:val="00DB28BF"/>
    <w:rsid w:val="00DB32FF"/>
    <w:rsid w:val="00DB34A0"/>
    <w:rsid w:val="00DB3A64"/>
    <w:rsid w:val="00DB45BB"/>
    <w:rsid w:val="00DB5173"/>
    <w:rsid w:val="00DB547B"/>
    <w:rsid w:val="00DB65B3"/>
    <w:rsid w:val="00DB6B3A"/>
    <w:rsid w:val="00DB754B"/>
    <w:rsid w:val="00DB7873"/>
    <w:rsid w:val="00DC187B"/>
    <w:rsid w:val="00DC2011"/>
    <w:rsid w:val="00DC2E66"/>
    <w:rsid w:val="00DC3A58"/>
    <w:rsid w:val="00DC531B"/>
    <w:rsid w:val="00DC5592"/>
    <w:rsid w:val="00DC57C4"/>
    <w:rsid w:val="00DC631A"/>
    <w:rsid w:val="00DC784D"/>
    <w:rsid w:val="00DC7DEF"/>
    <w:rsid w:val="00DD155D"/>
    <w:rsid w:val="00DD1A43"/>
    <w:rsid w:val="00DD26B0"/>
    <w:rsid w:val="00DD2D5E"/>
    <w:rsid w:val="00DD2FF3"/>
    <w:rsid w:val="00DD3335"/>
    <w:rsid w:val="00DD426D"/>
    <w:rsid w:val="00DD4C67"/>
    <w:rsid w:val="00DD5881"/>
    <w:rsid w:val="00DD5D54"/>
    <w:rsid w:val="00DD73C2"/>
    <w:rsid w:val="00DD7865"/>
    <w:rsid w:val="00DE0D2F"/>
    <w:rsid w:val="00DE2614"/>
    <w:rsid w:val="00DE2700"/>
    <w:rsid w:val="00DE319B"/>
    <w:rsid w:val="00DE3490"/>
    <w:rsid w:val="00DE4F15"/>
    <w:rsid w:val="00DE50FD"/>
    <w:rsid w:val="00DE5349"/>
    <w:rsid w:val="00DE7516"/>
    <w:rsid w:val="00DE778C"/>
    <w:rsid w:val="00DF0799"/>
    <w:rsid w:val="00DF34FE"/>
    <w:rsid w:val="00DF4A5E"/>
    <w:rsid w:val="00DF5564"/>
    <w:rsid w:val="00DF56AA"/>
    <w:rsid w:val="00DF56AF"/>
    <w:rsid w:val="00DF66A1"/>
    <w:rsid w:val="00DF78E7"/>
    <w:rsid w:val="00E04C76"/>
    <w:rsid w:val="00E110E0"/>
    <w:rsid w:val="00E1167B"/>
    <w:rsid w:val="00E13D27"/>
    <w:rsid w:val="00E13EFE"/>
    <w:rsid w:val="00E14350"/>
    <w:rsid w:val="00E15371"/>
    <w:rsid w:val="00E1549F"/>
    <w:rsid w:val="00E15F8E"/>
    <w:rsid w:val="00E16433"/>
    <w:rsid w:val="00E1733E"/>
    <w:rsid w:val="00E20CA8"/>
    <w:rsid w:val="00E20DD4"/>
    <w:rsid w:val="00E2103D"/>
    <w:rsid w:val="00E21DFE"/>
    <w:rsid w:val="00E221FF"/>
    <w:rsid w:val="00E23372"/>
    <w:rsid w:val="00E240B3"/>
    <w:rsid w:val="00E24104"/>
    <w:rsid w:val="00E24543"/>
    <w:rsid w:val="00E25009"/>
    <w:rsid w:val="00E25C26"/>
    <w:rsid w:val="00E302D0"/>
    <w:rsid w:val="00E31A5B"/>
    <w:rsid w:val="00E31E4D"/>
    <w:rsid w:val="00E31FAB"/>
    <w:rsid w:val="00E32E51"/>
    <w:rsid w:val="00E33235"/>
    <w:rsid w:val="00E33998"/>
    <w:rsid w:val="00E33D87"/>
    <w:rsid w:val="00E34387"/>
    <w:rsid w:val="00E34DAA"/>
    <w:rsid w:val="00E35707"/>
    <w:rsid w:val="00E36352"/>
    <w:rsid w:val="00E36AA1"/>
    <w:rsid w:val="00E36E5C"/>
    <w:rsid w:val="00E37C86"/>
    <w:rsid w:val="00E37C90"/>
    <w:rsid w:val="00E40F8A"/>
    <w:rsid w:val="00E4109A"/>
    <w:rsid w:val="00E41ECB"/>
    <w:rsid w:val="00E420A6"/>
    <w:rsid w:val="00E42676"/>
    <w:rsid w:val="00E42734"/>
    <w:rsid w:val="00E4278C"/>
    <w:rsid w:val="00E429B6"/>
    <w:rsid w:val="00E42D09"/>
    <w:rsid w:val="00E439B9"/>
    <w:rsid w:val="00E43BA9"/>
    <w:rsid w:val="00E443EF"/>
    <w:rsid w:val="00E450C1"/>
    <w:rsid w:val="00E4647E"/>
    <w:rsid w:val="00E47122"/>
    <w:rsid w:val="00E47426"/>
    <w:rsid w:val="00E47DBF"/>
    <w:rsid w:val="00E5097B"/>
    <w:rsid w:val="00E51094"/>
    <w:rsid w:val="00E5111D"/>
    <w:rsid w:val="00E524D9"/>
    <w:rsid w:val="00E538E7"/>
    <w:rsid w:val="00E53B97"/>
    <w:rsid w:val="00E541C6"/>
    <w:rsid w:val="00E5484A"/>
    <w:rsid w:val="00E54FDB"/>
    <w:rsid w:val="00E5617D"/>
    <w:rsid w:val="00E563D7"/>
    <w:rsid w:val="00E56D5F"/>
    <w:rsid w:val="00E57C84"/>
    <w:rsid w:val="00E604F1"/>
    <w:rsid w:val="00E60D9D"/>
    <w:rsid w:val="00E60E58"/>
    <w:rsid w:val="00E6234F"/>
    <w:rsid w:val="00E6281F"/>
    <w:rsid w:val="00E63B4B"/>
    <w:rsid w:val="00E63CC7"/>
    <w:rsid w:val="00E65BDE"/>
    <w:rsid w:val="00E663F4"/>
    <w:rsid w:val="00E666F2"/>
    <w:rsid w:val="00E66DD4"/>
    <w:rsid w:val="00E708AA"/>
    <w:rsid w:val="00E7153D"/>
    <w:rsid w:val="00E71CA7"/>
    <w:rsid w:val="00E726E0"/>
    <w:rsid w:val="00E7408C"/>
    <w:rsid w:val="00E748CC"/>
    <w:rsid w:val="00E75415"/>
    <w:rsid w:val="00E7709F"/>
    <w:rsid w:val="00E7736E"/>
    <w:rsid w:val="00E775B1"/>
    <w:rsid w:val="00E7786E"/>
    <w:rsid w:val="00E80685"/>
    <w:rsid w:val="00E814CE"/>
    <w:rsid w:val="00E8152A"/>
    <w:rsid w:val="00E83BF2"/>
    <w:rsid w:val="00E83E2F"/>
    <w:rsid w:val="00E8413C"/>
    <w:rsid w:val="00E8460D"/>
    <w:rsid w:val="00E8592C"/>
    <w:rsid w:val="00E85B7C"/>
    <w:rsid w:val="00E90002"/>
    <w:rsid w:val="00E90397"/>
    <w:rsid w:val="00E90DD6"/>
    <w:rsid w:val="00E915C8"/>
    <w:rsid w:val="00E91B74"/>
    <w:rsid w:val="00E91FE4"/>
    <w:rsid w:val="00E929AF"/>
    <w:rsid w:val="00E93629"/>
    <w:rsid w:val="00E93B5C"/>
    <w:rsid w:val="00E94CEC"/>
    <w:rsid w:val="00E95B87"/>
    <w:rsid w:val="00E95FD7"/>
    <w:rsid w:val="00E960A1"/>
    <w:rsid w:val="00E961A7"/>
    <w:rsid w:val="00E9632D"/>
    <w:rsid w:val="00E9697D"/>
    <w:rsid w:val="00E9714D"/>
    <w:rsid w:val="00EA04EF"/>
    <w:rsid w:val="00EA1ED3"/>
    <w:rsid w:val="00EA242E"/>
    <w:rsid w:val="00EA399C"/>
    <w:rsid w:val="00EA4565"/>
    <w:rsid w:val="00EA4C0B"/>
    <w:rsid w:val="00EA4E78"/>
    <w:rsid w:val="00EA5760"/>
    <w:rsid w:val="00EA6F19"/>
    <w:rsid w:val="00EB01AA"/>
    <w:rsid w:val="00EB2A8F"/>
    <w:rsid w:val="00EB3474"/>
    <w:rsid w:val="00EB5179"/>
    <w:rsid w:val="00EB60AB"/>
    <w:rsid w:val="00EB7090"/>
    <w:rsid w:val="00EC000A"/>
    <w:rsid w:val="00EC0DC1"/>
    <w:rsid w:val="00EC1BBE"/>
    <w:rsid w:val="00EC2B68"/>
    <w:rsid w:val="00EC2F09"/>
    <w:rsid w:val="00EC2F94"/>
    <w:rsid w:val="00EC3686"/>
    <w:rsid w:val="00EC3796"/>
    <w:rsid w:val="00EC3AEF"/>
    <w:rsid w:val="00EC42EA"/>
    <w:rsid w:val="00EC4656"/>
    <w:rsid w:val="00EC5CD7"/>
    <w:rsid w:val="00EC6588"/>
    <w:rsid w:val="00ED0D8A"/>
    <w:rsid w:val="00ED1CBC"/>
    <w:rsid w:val="00ED3683"/>
    <w:rsid w:val="00ED36A5"/>
    <w:rsid w:val="00EE0478"/>
    <w:rsid w:val="00EE1A9A"/>
    <w:rsid w:val="00EE2423"/>
    <w:rsid w:val="00EE3D30"/>
    <w:rsid w:val="00EE474F"/>
    <w:rsid w:val="00EE5FB3"/>
    <w:rsid w:val="00EE5FF6"/>
    <w:rsid w:val="00EE7F79"/>
    <w:rsid w:val="00EF01B4"/>
    <w:rsid w:val="00EF084F"/>
    <w:rsid w:val="00EF26F4"/>
    <w:rsid w:val="00EF29F8"/>
    <w:rsid w:val="00EF553B"/>
    <w:rsid w:val="00EF59AB"/>
    <w:rsid w:val="00EF715A"/>
    <w:rsid w:val="00EF7494"/>
    <w:rsid w:val="00EF75C5"/>
    <w:rsid w:val="00F003C5"/>
    <w:rsid w:val="00F003C8"/>
    <w:rsid w:val="00F00E41"/>
    <w:rsid w:val="00F01BC3"/>
    <w:rsid w:val="00F06374"/>
    <w:rsid w:val="00F06CDE"/>
    <w:rsid w:val="00F06E14"/>
    <w:rsid w:val="00F11B53"/>
    <w:rsid w:val="00F11E64"/>
    <w:rsid w:val="00F11F64"/>
    <w:rsid w:val="00F131B5"/>
    <w:rsid w:val="00F13546"/>
    <w:rsid w:val="00F13CF9"/>
    <w:rsid w:val="00F152D8"/>
    <w:rsid w:val="00F15A0B"/>
    <w:rsid w:val="00F15D76"/>
    <w:rsid w:val="00F17095"/>
    <w:rsid w:val="00F179D4"/>
    <w:rsid w:val="00F205C0"/>
    <w:rsid w:val="00F212F7"/>
    <w:rsid w:val="00F23038"/>
    <w:rsid w:val="00F23A6E"/>
    <w:rsid w:val="00F2616E"/>
    <w:rsid w:val="00F2693D"/>
    <w:rsid w:val="00F270FC"/>
    <w:rsid w:val="00F2767F"/>
    <w:rsid w:val="00F30538"/>
    <w:rsid w:val="00F312ED"/>
    <w:rsid w:val="00F31435"/>
    <w:rsid w:val="00F32E2A"/>
    <w:rsid w:val="00F33C56"/>
    <w:rsid w:val="00F347C7"/>
    <w:rsid w:val="00F34848"/>
    <w:rsid w:val="00F36CA1"/>
    <w:rsid w:val="00F37F6B"/>
    <w:rsid w:val="00F401B2"/>
    <w:rsid w:val="00F4054C"/>
    <w:rsid w:val="00F41676"/>
    <w:rsid w:val="00F42CDF"/>
    <w:rsid w:val="00F42D46"/>
    <w:rsid w:val="00F4496C"/>
    <w:rsid w:val="00F44CFD"/>
    <w:rsid w:val="00F44F3A"/>
    <w:rsid w:val="00F4541A"/>
    <w:rsid w:val="00F45DD5"/>
    <w:rsid w:val="00F46A2A"/>
    <w:rsid w:val="00F46D45"/>
    <w:rsid w:val="00F47BF2"/>
    <w:rsid w:val="00F500EA"/>
    <w:rsid w:val="00F50548"/>
    <w:rsid w:val="00F51F10"/>
    <w:rsid w:val="00F529A5"/>
    <w:rsid w:val="00F52EEE"/>
    <w:rsid w:val="00F54421"/>
    <w:rsid w:val="00F55665"/>
    <w:rsid w:val="00F561C1"/>
    <w:rsid w:val="00F60094"/>
    <w:rsid w:val="00F609F4"/>
    <w:rsid w:val="00F60F00"/>
    <w:rsid w:val="00F61037"/>
    <w:rsid w:val="00F61121"/>
    <w:rsid w:val="00F614C0"/>
    <w:rsid w:val="00F61C77"/>
    <w:rsid w:val="00F63524"/>
    <w:rsid w:val="00F63B17"/>
    <w:rsid w:val="00F64410"/>
    <w:rsid w:val="00F65268"/>
    <w:rsid w:val="00F65734"/>
    <w:rsid w:val="00F66982"/>
    <w:rsid w:val="00F67EA6"/>
    <w:rsid w:val="00F7074C"/>
    <w:rsid w:val="00F71189"/>
    <w:rsid w:val="00F725F6"/>
    <w:rsid w:val="00F732F0"/>
    <w:rsid w:val="00F73B97"/>
    <w:rsid w:val="00F73FB3"/>
    <w:rsid w:val="00F760F3"/>
    <w:rsid w:val="00F77956"/>
    <w:rsid w:val="00F779B8"/>
    <w:rsid w:val="00F81741"/>
    <w:rsid w:val="00F8348A"/>
    <w:rsid w:val="00F83848"/>
    <w:rsid w:val="00F83963"/>
    <w:rsid w:val="00F853DF"/>
    <w:rsid w:val="00F862AA"/>
    <w:rsid w:val="00F91273"/>
    <w:rsid w:val="00F920C7"/>
    <w:rsid w:val="00F922CC"/>
    <w:rsid w:val="00F92A76"/>
    <w:rsid w:val="00F932BE"/>
    <w:rsid w:val="00F9353B"/>
    <w:rsid w:val="00F936E5"/>
    <w:rsid w:val="00F9430E"/>
    <w:rsid w:val="00F9711B"/>
    <w:rsid w:val="00F975E9"/>
    <w:rsid w:val="00F9764B"/>
    <w:rsid w:val="00F97949"/>
    <w:rsid w:val="00F97A19"/>
    <w:rsid w:val="00F97CA9"/>
    <w:rsid w:val="00FA0C00"/>
    <w:rsid w:val="00FA0F91"/>
    <w:rsid w:val="00FA13AB"/>
    <w:rsid w:val="00FA1B28"/>
    <w:rsid w:val="00FA1B7D"/>
    <w:rsid w:val="00FA22C5"/>
    <w:rsid w:val="00FA31D5"/>
    <w:rsid w:val="00FA3947"/>
    <w:rsid w:val="00FB0677"/>
    <w:rsid w:val="00FB25ED"/>
    <w:rsid w:val="00FB26BA"/>
    <w:rsid w:val="00FB368F"/>
    <w:rsid w:val="00FB37B5"/>
    <w:rsid w:val="00FB3B50"/>
    <w:rsid w:val="00FB4900"/>
    <w:rsid w:val="00FB61C3"/>
    <w:rsid w:val="00FB6465"/>
    <w:rsid w:val="00FB6895"/>
    <w:rsid w:val="00FC07B9"/>
    <w:rsid w:val="00FC1E1A"/>
    <w:rsid w:val="00FC2738"/>
    <w:rsid w:val="00FC39BA"/>
    <w:rsid w:val="00FC471A"/>
    <w:rsid w:val="00FC482B"/>
    <w:rsid w:val="00FC4994"/>
    <w:rsid w:val="00FC4E21"/>
    <w:rsid w:val="00FC51D2"/>
    <w:rsid w:val="00FC55C4"/>
    <w:rsid w:val="00FC5D1C"/>
    <w:rsid w:val="00FC5F6D"/>
    <w:rsid w:val="00FC7098"/>
    <w:rsid w:val="00FD0107"/>
    <w:rsid w:val="00FD1C06"/>
    <w:rsid w:val="00FD2580"/>
    <w:rsid w:val="00FD2C2F"/>
    <w:rsid w:val="00FD314A"/>
    <w:rsid w:val="00FD3A06"/>
    <w:rsid w:val="00FD3B31"/>
    <w:rsid w:val="00FD4885"/>
    <w:rsid w:val="00FD4A2B"/>
    <w:rsid w:val="00FD5E8D"/>
    <w:rsid w:val="00FD6ECF"/>
    <w:rsid w:val="00FE052F"/>
    <w:rsid w:val="00FE08B3"/>
    <w:rsid w:val="00FE1823"/>
    <w:rsid w:val="00FE2AF8"/>
    <w:rsid w:val="00FE3985"/>
    <w:rsid w:val="00FE3FB5"/>
    <w:rsid w:val="00FE44F9"/>
    <w:rsid w:val="00FE487A"/>
    <w:rsid w:val="00FE56D9"/>
    <w:rsid w:val="00FE5A57"/>
    <w:rsid w:val="00FE5DF3"/>
    <w:rsid w:val="00FE5FFE"/>
    <w:rsid w:val="00FE63CE"/>
    <w:rsid w:val="00FF0569"/>
    <w:rsid w:val="00FF151B"/>
    <w:rsid w:val="00FF1A22"/>
    <w:rsid w:val="00FF1E5E"/>
    <w:rsid w:val="00FF206E"/>
    <w:rsid w:val="00FF2B3F"/>
    <w:rsid w:val="00FF3C69"/>
    <w:rsid w:val="00FF45D8"/>
    <w:rsid w:val="00FF6E0A"/>
    <w:rsid w:val="00FF7393"/>
    <w:rsid w:val="00FF7950"/>
    <w:rsid w:val="011443F8"/>
    <w:rsid w:val="011FB927"/>
    <w:rsid w:val="0153D2E3"/>
    <w:rsid w:val="01580BF7"/>
    <w:rsid w:val="015E893D"/>
    <w:rsid w:val="01944C27"/>
    <w:rsid w:val="01950920"/>
    <w:rsid w:val="01DBDDB7"/>
    <w:rsid w:val="0205A6CA"/>
    <w:rsid w:val="0214F027"/>
    <w:rsid w:val="021B03BE"/>
    <w:rsid w:val="021B91B7"/>
    <w:rsid w:val="02327649"/>
    <w:rsid w:val="023D4F1F"/>
    <w:rsid w:val="02420A12"/>
    <w:rsid w:val="025A89D3"/>
    <w:rsid w:val="026D85E2"/>
    <w:rsid w:val="0287EFAC"/>
    <w:rsid w:val="029F62EE"/>
    <w:rsid w:val="02ADDD33"/>
    <w:rsid w:val="02E6DDC1"/>
    <w:rsid w:val="032903CE"/>
    <w:rsid w:val="03315568"/>
    <w:rsid w:val="0342BF83"/>
    <w:rsid w:val="034E2A3B"/>
    <w:rsid w:val="0387F038"/>
    <w:rsid w:val="03924163"/>
    <w:rsid w:val="03A0E71D"/>
    <w:rsid w:val="03AC31BE"/>
    <w:rsid w:val="03B74CF3"/>
    <w:rsid w:val="03C369B1"/>
    <w:rsid w:val="03CED3E4"/>
    <w:rsid w:val="03ECCE78"/>
    <w:rsid w:val="03F0B1AF"/>
    <w:rsid w:val="03F1D560"/>
    <w:rsid w:val="04110BA6"/>
    <w:rsid w:val="041349CE"/>
    <w:rsid w:val="042B674A"/>
    <w:rsid w:val="045606EC"/>
    <w:rsid w:val="0463532B"/>
    <w:rsid w:val="047E1264"/>
    <w:rsid w:val="04A30EFC"/>
    <w:rsid w:val="04AB5319"/>
    <w:rsid w:val="04AD2074"/>
    <w:rsid w:val="04BE2F56"/>
    <w:rsid w:val="04C77825"/>
    <w:rsid w:val="04D6E734"/>
    <w:rsid w:val="04DDF5D5"/>
    <w:rsid w:val="04EC56D4"/>
    <w:rsid w:val="04F4BE03"/>
    <w:rsid w:val="05024AEB"/>
    <w:rsid w:val="05133756"/>
    <w:rsid w:val="051D3AD0"/>
    <w:rsid w:val="052DC951"/>
    <w:rsid w:val="0532F65C"/>
    <w:rsid w:val="05335DF2"/>
    <w:rsid w:val="0551B328"/>
    <w:rsid w:val="0571F1E4"/>
    <w:rsid w:val="05791ED3"/>
    <w:rsid w:val="0617A6F8"/>
    <w:rsid w:val="0619E2C5"/>
    <w:rsid w:val="062722BD"/>
    <w:rsid w:val="066F956A"/>
    <w:rsid w:val="068D4AB2"/>
    <w:rsid w:val="06BBE111"/>
    <w:rsid w:val="06BD4158"/>
    <w:rsid w:val="06F37B18"/>
    <w:rsid w:val="070073E7"/>
    <w:rsid w:val="070CBED6"/>
    <w:rsid w:val="07367336"/>
    <w:rsid w:val="07578590"/>
    <w:rsid w:val="075D6524"/>
    <w:rsid w:val="076EBDD5"/>
    <w:rsid w:val="07904400"/>
    <w:rsid w:val="07944990"/>
    <w:rsid w:val="079A13DE"/>
    <w:rsid w:val="07C14FAE"/>
    <w:rsid w:val="07C5BD8B"/>
    <w:rsid w:val="07C5CC21"/>
    <w:rsid w:val="07CE7694"/>
    <w:rsid w:val="07DB622F"/>
    <w:rsid w:val="07E81453"/>
    <w:rsid w:val="07FB58F3"/>
    <w:rsid w:val="0836D2FF"/>
    <w:rsid w:val="08438D8B"/>
    <w:rsid w:val="084EDDC0"/>
    <w:rsid w:val="08590803"/>
    <w:rsid w:val="086F1829"/>
    <w:rsid w:val="087ED874"/>
    <w:rsid w:val="08B868FA"/>
    <w:rsid w:val="08BAD57B"/>
    <w:rsid w:val="08BB841B"/>
    <w:rsid w:val="08C16C35"/>
    <w:rsid w:val="08D00D4D"/>
    <w:rsid w:val="08EBF2A0"/>
    <w:rsid w:val="08F6FCCD"/>
    <w:rsid w:val="091E630A"/>
    <w:rsid w:val="092D6AC4"/>
    <w:rsid w:val="09467256"/>
    <w:rsid w:val="096D53F1"/>
    <w:rsid w:val="0970B772"/>
    <w:rsid w:val="0990183E"/>
    <w:rsid w:val="09C40C0B"/>
    <w:rsid w:val="09CB254D"/>
    <w:rsid w:val="09DDFC0F"/>
    <w:rsid w:val="09F605F5"/>
    <w:rsid w:val="0A1CBBB7"/>
    <w:rsid w:val="0A2A0015"/>
    <w:rsid w:val="0A341664"/>
    <w:rsid w:val="0A6B2DDF"/>
    <w:rsid w:val="0A8495BD"/>
    <w:rsid w:val="0A8EAC13"/>
    <w:rsid w:val="0A9BC709"/>
    <w:rsid w:val="0AAD4E7C"/>
    <w:rsid w:val="0AB68C2D"/>
    <w:rsid w:val="0AB9DB0F"/>
    <w:rsid w:val="0AF6FAC8"/>
    <w:rsid w:val="0B071D55"/>
    <w:rsid w:val="0B0ECC54"/>
    <w:rsid w:val="0B1955B3"/>
    <w:rsid w:val="0B1B4D89"/>
    <w:rsid w:val="0B2BF657"/>
    <w:rsid w:val="0B308ED5"/>
    <w:rsid w:val="0B3E2D4D"/>
    <w:rsid w:val="0B535FC2"/>
    <w:rsid w:val="0B5AD33C"/>
    <w:rsid w:val="0B6052E6"/>
    <w:rsid w:val="0B915E88"/>
    <w:rsid w:val="0BAD82AA"/>
    <w:rsid w:val="0BB89EDC"/>
    <w:rsid w:val="0C2C936B"/>
    <w:rsid w:val="0C2CC63C"/>
    <w:rsid w:val="0C3DE947"/>
    <w:rsid w:val="0C4003E9"/>
    <w:rsid w:val="0C6B4EE6"/>
    <w:rsid w:val="0C759C0D"/>
    <w:rsid w:val="0C7BDF5D"/>
    <w:rsid w:val="0C87F030"/>
    <w:rsid w:val="0CA2E593"/>
    <w:rsid w:val="0CCB8A87"/>
    <w:rsid w:val="0D424E90"/>
    <w:rsid w:val="0D44F4B6"/>
    <w:rsid w:val="0D88323A"/>
    <w:rsid w:val="0D9170CF"/>
    <w:rsid w:val="0DA2CEA1"/>
    <w:rsid w:val="0DA454BE"/>
    <w:rsid w:val="0DAFF9F6"/>
    <w:rsid w:val="0DD25838"/>
    <w:rsid w:val="0DDCB427"/>
    <w:rsid w:val="0DE87142"/>
    <w:rsid w:val="0DF31751"/>
    <w:rsid w:val="0DFDB1E7"/>
    <w:rsid w:val="0E663E06"/>
    <w:rsid w:val="0E82DBBD"/>
    <w:rsid w:val="0ED795D6"/>
    <w:rsid w:val="0EEDE918"/>
    <w:rsid w:val="0EFBE78D"/>
    <w:rsid w:val="0EFFABCD"/>
    <w:rsid w:val="0F124C6C"/>
    <w:rsid w:val="0F19E021"/>
    <w:rsid w:val="0F2B4031"/>
    <w:rsid w:val="0F3474B0"/>
    <w:rsid w:val="0F43C0B7"/>
    <w:rsid w:val="0F467D03"/>
    <w:rsid w:val="0F4A0FB1"/>
    <w:rsid w:val="0F5A4E69"/>
    <w:rsid w:val="0F6E686D"/>
    <w:rsid w:val="0F725CBD"/>
    <w:rsid w:val="0F7FB180"/>
    <w:rsid w:val="0F8EE1A7"/>
    <w:rsid w:val="0F949E69"/>
    <w:rsid w:val="0FAF7A28"/>
    <w:rsid w:val="0FBAE146"/>
    <w:rsid w:val="0FBB8303"/>
    <w:rsid w:val="0FCB8BAD"/>
    <w:rsid w:val="0FDA1E12"/>
    <w:rsid w:val="0FFEBD59"/>
    <w:rsid w:val="0FFFDE2F"/>
    <w:rsid w:val="100B2A0F"/>
    <w:rsid w:val="101F8043"/>
    <w:rsid w:val="10284C40"/>
    <w:rsid w:val="102B935E"/>
    <w:rsid w:val="102CE20B"/>
    <w:rsid w:val="10325260"/>
    <w:rsid w:val="1039E39B"/>
    <w:rsid w:val="104C7C53"/>
    <w:rsid w:val="1055B5C5"/>
    <w:rsid w:val="1060A840"/>
    <w:rsid w:val="106F09DB"/>
    <w:rsid w:val="10B08927"/>
    <w:rsid w:val="10C343B1"/>
    <w:rsid w:val="10CDB4CF"/>
    <w:rsid w:val="10F0C1F5"/>
    <w:rsid w:val="10FCDB9F"/>
    <w:rsid w:val="112A47FF"/>
    <w:rsid w:val="11368856"/>
    <w:rsid w:val="113C47E9"/>
    <w:rsid w:val="1160F83A"/>
    <w:rsid w:val="11C90466"/>
    <w:rsid w:val="11D105F8"/>
    <w:rsid w:val="11D651B2"/>
    <w:rsid w:val="11DA4F60"/>
    <w:rsid w:val="11E8E21E"/>
    <w:rsid w:val="11F27BE4"/>
    <w:rsid w:val="11FFD6F0"/>
    <w:rsid w:val="1201AB7C"/>
    <w:rsid w:val="1250C5CC"/>
    <w:rsid w:val="12522B8B"/>
    <w:rsid w:val="12884195"/>
    <w:rsid w:val="12A8C2A2"/>
    <w:rsid w:val="12AF4970"/>
    <w:rsid w:val="12B2825D"/>
    <w:rsid w:val="12BF65C7"/>
    <w:rsid w:val="12EC993C"/>
    <w:rsid w:val="12F8F2AD"/>
    <w:rsid w:val="1305128C"/>
    <w:rsid w:val="131B2174"/>
    <w:rsid w:val="1332A60A"/>
    <w:rsid w:val="135C7DDA"/>
    <w:rsid w:val="13645AF0"/>
    <w:rsid w:val="136AFED6"/>
    <w:rsid w:val="136CE29B"/>
    <w:rsid w:val="138407F7"/>
    <w:rsid w:val="1384BC22"/>
    <w:rsid w:val="138B836F"/>
    <w:rsid w:val="1396AAD6"/>
    <w:rsid w:val="139F9E01"/>
    <w:rsid w:val="13B25DE1"/>
    <w:rsid w:val="14185BF9"/>
    <w:rsid w:val="141E5978"/>
    <w:rsid w:val="14443D55"/>
    <w:rsid w:val="1452CA65"/>
    <w:rsid w:val="14575F54"/>
    <w:rsid w:val="145A2DEB"/>
    <w:rsid w:val="146D12DB"/>
    <w:rsid w:val="146FAD74"/>
    <w:rsid w:val="147ADC74"/>
    <w:rsid w:val="148AE2B9"/>
    <w:rsid w:val="149227B6"/>
    <w:rsid w:val="14A15F79"/>
    <w:rsid w:val="14B0CE2E"/>
    <w:rsid w:val="14B1C1FA"/>
    <w:rsid w:val="14F94C49"/>
    <w:rsid w:val="150AB8C5"/>
    <w:rsid w:val="1536333E"/>
    <w:rsid w:val="15387D4A"/>
    <w:rsid w:val="1551DF29"/>
    <w:rsid w:val="1568E773"/>
    <w:rsid w:val="156CD2FE"/>
    <w:rsid w:val="1572DD4A"/>
    <w:rsid w:val="157AED85"/>
    <w:rsid w:val="1581A609"/>
    <w:rsid w:val="1587705B"/>
    <w:rsid w:val="1598CFF3"/>
    <w:rsid w:val="15D27992"/>
    <w:rsid w:val="15D5C410"/>
    <w:rsid w:val="15EB8E4F"/>
    <w:rsid w:val="15ECEE5F"/>
    <w:rsid w:val="1624BAF0"/>
    <w:rsid w:val="164FA255"/>
    <w:rsid w:val="16623198"/>
    <w:rsid w:val="166F1F3A"/>
    <w:rsid w:val="1693D46F"/>
    <w:rsid w:val="169D1DEE"/>
    <w:rsid w:val="16A03A1C"/>
    <w:rsid w:val="16AA2421"/>
    <w:rsid w:val="16AC2A61"/>
    <w:rsid w:val="16B3F9A8"/>
    <w:rsid w:val="16B66007"/>
    <w:rsid w:val="16BF4B1E"/>
    <w:rsid w:val="16C98538"/>
    <w:rsid w:val="16E3C9C6"/>
    <w:rsid w:val="16E91513"/>
    <w:rsid w:val="16FDF666"/>
    <w:rsid w:val="17043CA9"/>
    <w:rsid w:val="1725A5A0"/>
    <w:rsid w:val="17551BC2"/>
    <w:rsid w:val="17580059"/>
    <w:rsid w:val="175C95EE"/>
    <w:rsid w:val="17756C1E"/>
    <w:rsid w:val="1781D643"/>
    <w:rsid w:val="1790B6DC"/>
    <w:rsid w:val="179CC0AB"/>
    <w:rsid w:val="17ECEED0"/>
    <w:rsid w:val="18072788"/>
    <w:rsid w:val="1808BAFC"/>
    <w:rsid w:val="180D53E1"/>
    <w:rsid w:val="180DC039"/>
    <w:rsid w:val="182D693E"/>
    <w:rsid w:val="18325D33"/>
    <w:rsid w:val="1838B9B4"/>
    <w:rsid w:val="18500666"/>
    <w:rsid w:val="185EABBA"/>
    <w:rsid w:val="187E781C"/>
    <w:rsid w:val="18C72B7C"/>
    <w:rsid w:val="18CAA5C1"/>
    <w:rsid w:val="18D51F82"/>
    <w:rsid w:val="18D98DD8"/>
    <w:rsid w:val="18E4C3AE"/>
    <w:rsid w:val="191FA0FE"/>
    <w:rsid w:val="192D9C1E"/>
    <w:rsid w:val="192E7310"/>
    <w:rsid w:val="193C7E1D"/>
    <w:rsid w:val="195DEEA2"/>
    <w:rsid w:val="195F65CA"/>
    <w:rsid w:val="1988BF31"/>
    <w:rsid w:val="199193E6"/>
    <w:rsid w:val="19A3B49B"/>
    <w:rsid w:val="19EBD827"/>
    <w:rsid w:val="19ECE3A4"/>
    <w:rsid w:val="1A023DFD"/>
    <w:rsid w:val="1A144846"/>
    <w:rsid w:val="1A3F7DA7"/>
    <w:rsid w:val="1A62BE39"/>
    <w:rsid w:val="1A65520C"/>
    <w:rsid w:val="1A9870CF"/>
    <w:rsid w:val="1A9A0CB3"/>
    <w:rsid w:val="1AA6564C"/>
    <w:rsid w:val="1ABE65A8"/>
    <w:rsid w:val="1AC0D9C7"/>
    <w:rsid w:val="1AC0DF9F"/>
    <w:rsid w:val="1AD2497F"/>
    <w:rsid w:val="1ADF34A2"/>
    <w:rsid w:val="1AFFE0B0"/>
    <w:rsid w:val="1B075ACB"/>
    <w:rsid w:val="1B0EC210"/>
    <w:rsid w:val="1B2CE33B"/>
    <w:rsid w:val="1B42258C"/>
    <w:rsid w:val="1B54D09F"/>
    <w:rsid w:val="1B74AF50"/>
    <w:rsid w:val="1B8ECBC5"/>
    <w:rsid w:val="1BA342D4"/>
    <w:rsid w:val="1BAA8822"/>
    <w:rsid w:val="1BC0D2CF"/>
    <w:rsid w:val="1BC8B53F"/>
    <w:rsid w:val="1BD7B825"/>
    <w:rsid w:val="1BE2EF09"/>
    <w:rsid w:val="1C17C81E"/>
    <w:rsid w:val="1C1C566D"/>
    <w:rsid w:val="1C28F542"/>
    <w:rsid w:val="1C2B3234"/>
    <w:rsid w:val="1C3363B1"/>
    <w:rsid w:val="1C3E2D13"/>
    <w:rsid w:val="1C4CEB75"/>
    <w:rsid w:val="1C529A65"/>
    <w:rsid w:val="1C86BEB1"/>
    <w:rsid w:val="1C9B61AD"/>
    <w:rsid w:val="1CA1B604"/>
    <w:rsid w:val="1CC3DC31"/>
    <w:rsid w:val="1CD01E9D"/>
    <w:rsid w:val="1D094ADF"/>
    <w:rsid w:val="1D35DC23"/>
    <w:rsid w:val="1D601DAB"/>
    <w:rsid w:val="1D623714"/>
    <w:rsid w:val="1D68219E"/>
    <w:rsid w:val="1D68B221"/>
    <w:rsid w:val="1D6F6044"/>
    <w:rsid w:val="1D77ED63"/>
    <w:rsid w:val="1DA6DB02"/>
    <w:rsid w:val="1DC333C1"/>
    <w:rsid w:val="1DCA3158"/>
    <w:rsid w:val="1DD55755"/>
    <w:rsid w:val="1DE1B95C"/>
    <w:rsid w:val="1DEF1AA8"/>
    <w:rsid w:val="1E1029AE"/>
    <w:rsid w:val="1E35B17C"/>
    <w:rsid w:val="1E5DA87D"/>
    <w:rsid w:val="1E8DA59E"/>
    <w:rsid w:val="1E9A7345"/>
    <w:rsid w:val="1EA81A26"/>
    <w:rsid w:val="1ECEB494"/>
    <w:rsid w:val="1ED020DF"/>
    <w:rsid w:val="1EF1850F"/>
    <w:rsid w:val="1EF21625"/>
    <w:rsid w:val="1F01B90F"/>
    <w:rsid w:val="1F0B5AE5"/>
    <w:rsid w:val="1F44C07D"/>
    <w:rsid w:val="1F670CC0"/>
    <w:rsid w:val="1F752264"/>
    <w:rsid w:val="1F75DDD2"/>
    <w:rsid w:val="1F7DA248"/>
    <w:rsid w:val="1F9736E9"/>
    <w:rsid w:val="1F9769A0"/>
    <w:rsid w:val="1F98FC13"/>
    <w:rsid w:val="1FA2CEDA"/>
    <w:rsid w:val="1FB290CB"/>
    <w:rsid w:val="1FC22F2C"/>
    <w:rsid w:val="1FF18821"/>
    <w:rsid w:val="1FF55F48"/>
    <w:rsid w:val="200A3A94"/>
    <w:rsid w:val="20656A39"/>
    <w:rsid w:val="206600B7"/>
    <w:rsid w:val="206DC803"/>
    <w:rsid w:val="206E1AEA"/>
    <w:rsid w:val="207061A4"/>
    <w:rsid w:val="2070633E"/>
    <w:rsid w:val="2078F434"/>
    <w:rsid w:val="207CC96A"/>
    <w:rsid w:val="20A10038"/>
    <w:rsid w:val="20A84E3F"/>
    <w:rsid w:val="20C2C39C"/>
    <w:rsid w:val="20DC5111"/>
    <w:rsid w:val="20F521AD"/>
    <w:rsid w:val="2117B991"/>
    <w:rsid w:val="212A4431"/>
    <w:rsid w:val="212F9B7E"/>
    <w:rsid w:val="2132E8AA"/>
    <w:rsid w:val="21718F6F"/>
    <w:rsid w:val="21865ADA"/>
    <w:rsid w:val="21BF2656"/>
    <w:rsid w:val="223FC927"/>
    <w:rsid w:val="224C5602"/>
    <w:rsid w:val="225E6141"/>
    <w:rsid w:val="22678B77"/>
    <w:rsid w:val="22818915"/>
    <w:rsid w:val="228B3C33"/>
    <w:rsid w:val="22A1A5AB"/>
    <w:rsid w:val="22AB234E"/>
    <w:rsid w:val="22B930C9"/>
    <w:rsid w:val="22BC4186"/>
    <w:rsid w:val="22C79B48"/>
    <w:rsid w:val="22E3C49A"/>
    <w:rsid w:val="22EBA91E"/>
    <w:rsid w:val="232B599D"/>
    <w:rsid w:val="238A2B4F"/>
    <w:rsid w:val="238AE8EC"/>
    <w:rsid w:val="238DCAE8"/>
    <w:rsid w:val="2393BBB5"/>
    <w:rsid w:val="23AFEFEC"/>
    <w:rsid w:val="23E5C505"/>
    <w:rsid w:val="242601F5"/>
    <w:rsid w:val="242C70D4"/>
    <w:rsid w:val="2486ADB5"/>
    <w:rsid w:val="248BE9E7"/>
    <w:rsid w:val="2492868D"/>
    <w:rsid w:val="249E286D"/>
    <w:rsid w:val="24AED489"/>
    <w:rsid w:val="24B2F600"/>
    <w:rsid w:val="2516734C"/>
    <w:rsid w:val="25287793"/>
    <w:rsid w:val="254383CD"/>
    <w:rsid w:val="256374DB"/>
    <w:rsid w:val="256DB8E9"/>
    <w:rsid w:val="259DD2AB"/>
    <w:rsid w:val="25BA116C"/>
    <w:rsid w:val="25C60A05"/>
    <w:rsid w:val="25D7A9B0"/>
    <w:rsid w:val="25E06278"/>
    <w:rsid w:val="25E55F6E"/>
    <w:rsid w:val="25EB2FA2"/>
    <w:rsid w:val="25EEF47D"/>
    <w:rsid w:val="26053DAC"/>
    <w:rsid w:val="2616ECB2"/>
    <w:rsid w:val="2639EA38"/>
    <w:rsid w:val="264689D7"/>
    <w:rsid w:val="26503F77"/>
    <w:rsid w:val="26550BA5"/>
    <w:rsid w:val="266C7623"/>
    <w:rsid w:val="267D66EE"/>
    <w:rsid w:val="268E1603"/>
    <w:rsid w:val="269D9FA1"/>
    <w:rsid w:val="269DB519"/>
    <w:rsid w:val="26A7C4FA"/>
    <w:rsid w:val="27010305"/>
    <w:rsid w:val="271EE573"/>
    <w:rsid w:val="272ADAA4"/>
    <w:rsid w:val="272EA09E"/>
    <w:rsid w:val="27316FF8"/>
    <w:rsid w:val="274BCEA2"/>
    <w:rsid w:val="274C0B45"/>
    <w:rsid w:val="275F3B65"/>
    <w:rsid w:val="27648CEE"/>
    <w:rsid w:val="2768BE56"/>
    <w:rsid w:val="27858DDF"/>
    <w:rsid w:val="27894316"/>
    <w:rsid w:val="278AD6ED"/>
    <w:rsid w:val="2790AF80"/>
    <w:rsid w:val="27B44D46"/>
    <w:rsid w:val="27CA821B"/>
    <w:rsid w:val="27E013EB"/>
    <w:rsid w:val="281F1BA0"/>
    <w:rsid w:val="28230EC9"/>
    <w:rsid w:val="283A3F90"/>
    <w:rsid w:val="286D80A3"/>
    <w:rsid w:val="288B1545"/>
    <w:rsid w:val="2893DA74"/>
    <w:rsid w:val="291B2B10"/>
    <w:rsid w:val="29242831"/>
    <w:rsid w:val="293A504D"/>
    <w:rsid w:val="2967D8EE"/>
    <w:rsid w:val="296B3706"/>
    <w:rsid w:val="29ADF53A"/>
    <w:rsid w:val="29E40494"/>
    <w:rsid w:val="29F16E1E"/>
    <w:rsid w:val="29FC516A"/>
    <w:rsid w:val="29FE9FCA"/>
    <w:rsid w:val="2A1DC9DA"/>
    <w:rsid w:val="2A3D05AF"/>
    <w:rsid w:val="2A86F3D5"/>
    <w:rsid w:val="2AC54875"/>
    <w:rsid w:val="2AC99E20"/>
    <w:rsid w:val="2AD1D693"/>
    <w:rsid w:val="2AD6834C"/>
    <w:rsid w:val="2AF2301A"/>
    <w:rsid w:val="2B329E28"/>
    <w:rsid w:val="2B3DE302"/>
    <w:rsid w:val="2B5770C2"/>
    <w:rsid w:val="2B62130D"/>
    <w:rsid w:val="2B6B25C3"/>
    <w:rsid w:val="2B6F4EAA"/>
    <w:rsid w:val="2B80A8E1"/>
    <w:rsid w:val="2B839D69"/>
    <w:rsid w:val="2B99B4FC"/>
    <w:rsid w:val="2BC3F564"/>
    <w:rsid w:val="2BC4424A"/>
    <w:rsid w:val="2BD9B3CE"/>
    <w:rsid w:val="2BE2D7B1"/>
    <w:rsid w:val="2C14709D"/>
    <w:rsid w:val="2C1E516A"/>
    <w:rsid w:val="2C1F1642"/>
    <w:rsid w:val="2C3862B8"/>
    <w:rsid w:val="2C45A5C3"/>
    <w:rsid w:val="2C5F9EBE"/>
    <w:rsid w:val="2C6ADD18"/>
    <w:rsid w:val="2C778CBC"/>
    <w:rsid w:val="2C796307"/>
    <w:rsid w:val="2C914371"/>
    <w:rsid w:val="2C96E8DC"/>
    <w:rsid w:val="2CA7F420"/>
    <w:rsid w:val="2CA85E55"/>
    <w:rsid w:val="2CADB48F"/>
    <w:rsid w:val="2CB826E2"/>
    <w:rsid w:val="2CF02D0B"/>
    <w:rsid w:val="2CF8F336"/>
    <w:rsid w:val="2CFB153D"/>
    <w:rsid w:val="2CFE558E"/>
    <w:rsid w:val="2D3ECF69"/>
    <w:rsid w:val="2D57C033"/>
    <w:rsid w:val="2D5C8A4C"/>
    <w:rsid w:val="2D666764"/>
    <w:rsid w:val="2D8BF633"/>
    <w:rsid w:val="2D9A0777"/>
    <w:rsid w:val="2DB60737"/>
    <w:rsid w:val="2DCB988F"/>
    <w:rsid w:val="2DCFC201"/>
    <w:rsid w:val="2DD3BE83"/>
    <w:rsid w:val="2DEF4A05"/>
    <w:rsid w:val="2E01C813"/>
    <w:rsid w:val="2E0EB975"/>
    <w:rsid w:val="2E1AF68A"/>
    <w:rsid w:val="2E6144DA"/>
    <w:rsid w:val="2E6A12C3"/>
    <w:rsid w:val="2E9449E3"/>
    <w:rsid w:val="2EA736D3"/>
    <w:rsid w:val="2ED63AE2"/>
    <w:rsid w:val="2EE3797F"/>
    <w:rsid w:val="2EEF03C4"/>
    <w:rsid w:val="2F25DB98"/>
    <w:rsid w:val="2F2A1ABB"/>
    <w:rsid w:val="2F527E02"/>
    <w:rsid w:val="2FA9DF10"/>
    <w:rsid w:val="2FB8ECA5"/>
    <w:rsid w:val="2FCA0E87"/>
    <w:rsid w:val="2FD41713"/>
    <w:rsid w:val="2FD815FD"/>
    <w:rsid w:val="3008CF4A"/>
    <w:rsid w:val="304D9368"/>
    <w:rsid w:val="305919E3"/>
    <w:rsid w:val="30848FC1"/>
    <w:rsid w:val="3088ECBA"/>
    <w:rsid w:val="309B8B1A"/>
    <w:rsid w:val="30B2596E"/>
    <w:rsid w:val="30BC4192"/>
    <w:rsid w:val="312DD11C"/>
    <w:rsid w:val="3139967D"/>
    <w:rsid w:val="315C1BEC"/>
    <w:rsid w:val="3199151C"/>
    <w:rsid w:val="31A80C1C"/>
    <w:rsid w:val="31B2FAD8"/>
    <w:rsid w:val="31BE13A7"/>
    <w:rsid w:val="3204EBBF"/>
    <w:rsid w:val="321D4266"/>
    <w:rsid w:val="323E56E9"/>
    <w:rsid w:val="329568D6"/>
    <w:rsid w:val="3295F260"/>
    <w:rsid w:val="32B63F57"/>
    <w:rsid w:val="32C30FFF"/>
    <w:rsid w:val="32D0A75D"/>
    <w:rsid w:val="32E2E204"/>
    <w:rsid w:val="33278AFC"/>
    <w:rsid w:val="3352C131"/>
    <w:rsid w:val="339D829B"/>
    <w:rsid w:val="33A5869E"/>
    <w:rsid w:val="33EA8A2A"/>
    <w:rsid w:val="33EC7365"/>
    <w:rsid w:val="3416E395"/>
    <w:rsid w:val="341AE8AA"/>
    <w:rsid w:val="341BB2BF"/>
    <w:rsid w:val="3432CD88"/>
    <w:rsid w:val="3446EDAE"/>
    <w:rsid w:val="345F7BF0"/>
    <w:rsid w:val="34ADBA9F"/>
    <w:rsid w:val="34B1ABAA"/>
    <w:rsid w:val="34C90EB6"/>
    <w:rsid w:val="34D759E3"/>
    <w:rsid w:val="34E309DC"/>
    <w:rsid w:val="34F3B8E4"/>
    <w:rsid w:val="34FA202D"/>
    <w:rsid w:val="3512DA0A"/>
    <w:rsid w:val="35169801"/>
    <w:rsid w:val="351FD07D"/>
    <w:rsid w:val="354F9010"/>
    <w:rsid w:val="35B77FC2"/>
    <w:rsid w:val="35E55A56"/>
    <w:rsid w:val="35EF9723"/>
    <w:rsid w:val="362AC8BE"/>
    <w:rsid w:val="36467AC9"/>
    <w:rsid w:val="366D4B7E"/>
    <w:rsid w:val="366F0B8B"/>
    <w:rsid w:val="36861AD2"/>
    <w:rsid w:val="36883FE1"/>
    <w:rsid w:val="36932B79"/>
    <w:rsid w:val="369C8952"/>
    <w:rsid w:val="369DEAB3"/>
    <w:rsid w:val="36B4A569"/>
    <w:rsid w:val="36BE2D58"/>
    <w:rsid w:val="36CA1E4C"/>
    <w:rsid w:val="36E39D97"/>
    <w:rsid w:val="36F3B859"/>
    <w:rsid w:val="36F7E0EE"/>
    <w:rsid w:val="37137F23"/>
    <w:rsid w:val="3720CAE9"/>
    <w:rsid w:val="3721A15C"/>
    <w:rsid w:val="37293FC9"/>
    <w:rsid w:val="372F224D"/>
    <w:rsid w:val="375DBD12"/>
    <w:rsid w:val="377547DA"/>
    <w:rsid w:val="3793BC92"/>
    <w:rsid w:val="37A5B0D3"/>
    <w:rsid w:val="37A63611"/>
    <w:rsid w:val="37B0BC14"/>
    <w:rsid w:val="37BF101E"/>
    <w:rsid w:val="37CA6151"/>
    <w:rsid w:val="37CE042D"/>
    <w:rsid w:val="37F93117"/>
    <w:rsid w:val="380EF9C8"/>
    <w:rsid w:val="3853E55F"/>
    <w:rsid w:val="385ACA7A"/>
    <w:rsid w:val="38612EBF"/>
    <w:rsid w:val="387BD088"/>
    <w:rsid w:val="3896690D"/>
    <w:rsid w:val="389A1020"/>
    <w:rsid w:val="389A9CD2"/>
    <w:rsid w:val="38C6D126"/>
    <w:rsid w:val="38D2C085"/>
    <w:rsid w:val="38D5DC84"/>
    <w:rsid w:val="38F67D60"/>
    <w:rsid w:val="390CCA5D"/>
    <w:rsid w:val="390D1591"/>
    <w:rsid w:val="3914E7A2"/>
    <w:rsid w:val="39205275"/>
    <w:rsid w:val="39409FD4"/>
    <w:rsid w:val="3965AB3D"/>
    <w:rsid w:val="3969A05E"/>
    <w:rsid w:val="396BEAEB"/>
    <w:rsid w:val="3980E288"/>
    <w:rsid w:val="39A8DED3"/>
    <w:rsid w:val="39B1A00F"/>
    <w:rsid w:val="39CE4962"/>
    <w:rsid w:val="39D56041"/>
    <w:rsid w:val="3A09D213"/>
    <w:rsid w:val="3A1B3D49"/>
    <w:rsid w:val="3A49D85E"/>
    <w:rsid w:val="3A4F535A"/>
    <w:rsid w:val="3A77782A"/>
    <w:rsid w:val="3A7B71B7"/>
    <w:rsid w:val="3A8810EF"/>
    <w:rsid w:val="3AB056CB"/>
    <w:rsid w:val="3AD5FB0E"/>
    <w:rsid w:val="3AF2BB38"/>
    <w:rsid w:val="3AFD75C3"/>
    <w:rsid w:val="3B00BC10"/>
    <w:rsid w:val="3B0AD297"/>
    <w:rsid w:val="3B11B79E"/>
    <w:rsid w:val="3B1B5EFA"/>
    <w:rsid w:val="3B35E43F"/>
    <w:rsid w:val="3B370D7E"/>
    <w:rsid w:val="3B5EC617"/>
    <w:rsid w:val="3B6334A6"/>
    <w:rsid w:val="3B70F78F"/>
    <w:rsid w:val="3B76C52D"/>
    <w:rsid w:val="3BA2002D"/>
    <w:rsid w:val="3BF3F975"/>
    <w:rsid w:val="3C05E48A"/>
    <w:rsid w:val="3C0E2526"/>
    <w:rsid w:val="3C26A725"/>
    <w:rsid w:val="3C3550BF"/>
    <w:rsid w:val="3C3664C8"/>
    <w:rsid w:val="3C5AD045"/>
    <w:rsid w:val="3C783A97"/>
    <w:rsid w:val="3C85DA42"/>
    <w:rsid w:val="3C97D8FE"/>
    <w:rsid w:val="3C9ED216"/>
    <w:rsid w:val="3CBFCB20"/>
    <w:rsid w:val="3CC08F96"/>
    <w:rsid w:val="3CF1EBB1"/>
    <w:rsid w:val="3D072F57"/>
    <w:rsid w:val="3D297A7C"/>
    <w:rsid w:val="3D739031"/>
    <w:rsid w:val="3D81B530"/>
    <w:rsid w:val="3D8D67D0"/>
    <w:rsid w:val="3DB0D30F"/>
    <w:rsid w:val="3DC3C4AF"/>
    <w:rsid w:val="3DCF3F57"/>
    <w:rsid w:val="3E0E41F9"/>
    <w:rsid w:val="3E36187A"/>
    <w:rsid w:val="3E3DB662"/>
    <w:rsid w:val="3E3EFAE3"/>
    <w:rsid w:val="3E543595"/>
    <w:rsid w:val="3E5EEED4"/>
    <w:rsid w:val="3E69FA56"/>
    <w:rsid w:val="3E6F6496"/>
    <w:rsid w:val="3E71D57D"/>
    <w:rsid w:val="3E75152F"/>
    <w:rsid w:val="3EA05CDE"/>
    <w:rsid w:val="3EA6024C"/>
    <w:rsid w:val="3EB68BD8"/>
    <w:rsid w:val="3F183B0D"/>
    <w:rsid w:val="3F1B22B0"/>
    <w:rsid w:val="3F3BF1C8"/>
    <w:rsid w:val="3F4A484A"/>
    <w:rsid w:val="3FBA335D"/>
    <w:rsid w:val="3FCCFCBE"/>
    <w:rsid w:val="3FD7F9C5"/>
    <w:rsid w:val="4002FCE8"/>
    <w:rsid w:val="4009A4DC"/>
    <w:rsid w:val="401E8EBA"/>
    <w:rsid w:val="4024B62B"/>
    <w:rsid w:val="40366B8B"/>
    <w:rsid w:val="403A4AEE"/>
    <w:rsid w:val="4058A2EF"/>
    <w:rsid w:val="4069A3D6"/>
    <w:rsid w:val="4069C432"/>
    <w:rsid w:val="406B160A"/>
    <w:rsid w:val="4074C392"/>
    <w:rsid w:val="409018F1"/>
    <w:rsid w:val="40972C32"/>
    <w:rsid w:val="409B6CE3"/>
    <w:rsid w:val="40AFBA86"/>
    <w:rsid w:val="40CB2E67"/>
    <w:rsid w:val="40D04C80"/>
    <w:rsid w:val="40D50A30"/>
    <w:rsid w:val="40DEFE0D"/>
    <w:rsid w:val="40FF172C"/>
    <w:rsid w:val="41005DDA"/>
    <w:rsid w:val="4106D065"/>
    <w:rsid w:val="4125F492"/>
    <w:rsid w:val="4132DB5B"/>
    <w:rsid w:val="415054B1"/>
    <w:rsid w:val="4172AACA"/>
    <w:rsid w:val="417B6E1A"/>
    <w:rsid w:val="41A7B4D6"/>
    <w:rsid w:val="41AEA876"/>
    <w:rsid w:val="41B40E73"/>
    <w:rsid w:val="41C506D2"/>
    <w:rsid w:val="41DAA3F4"/>
    <w:rsid w:val="41DFB87F"/>
    <w:rsid w:val="41E8BC4F"/>
    <w:rsid w:val="41F2421E"/>
    <w:rsid w:val="421771D8"/>
    <w:rsid w:val="421D0A82"/>
    <w:rsid w:val="4239ADAB"/>
    <w:rsid w:val="42485B43"/>
    <w:rsid w:val="42760F33"/>
    <w:rsid w:val="42B6BC46"/>
    <w:rsid w:val="4300477B"/>
    <w:rsid w:val="4305C088"/>
    <w:rsid w:val="43198180"/>
    <w:rsid w:val="432E6977"/>
    <w:rsid w:val="435930AC"/>
    <w:rsid w:val="4386A309"/>
    <w:rsid w:val="438E35DA"/>
    <w:rsid w:val="43A5C53C"/>
    <w:rsid w:val="43AB04A3"/>
    <w:rsid w:val="43B1D44C"/>
    <w:rsid w:val="43B4F4F6"/>
    <w:rsid w:val="43B8AE36"/>
    <w:rsid w:val="43BCDEDC"/>
    <w:rsid w:val="43FB2B3B"/>
    <w:rsid w:val="44065A58"/>
    <w:rsid w:val="44161B90"/>
    <w:rsid w:val="4424CBCC"/>
    <w:rsid w:val="4446944E"/>
    <w:rsid w:val="44597109"/>
    <w:rsid w:val="4462B7CD"/>
    <w:rsid w:val="449ACB87"/>
    <w:rsid w:val="44B81478"/>
    <w:rsid w:val="44BDFB0C"/>
    <w:rsid w:val="44E8C591"/>
    <w:rsid w:val="44FDA088"/>
    <w:rsid w:val="4513C272"/>
    <w:rsid w:val="45456BCF"/>
    <w:rsid w:val="454F9432"/>
    <w:rsid w:val="45602F37"/>
    <w:rsid w:val="4581FBCB"/>
    <w:rsid w:val="45C5EA8E"/>
    <w:rsid w:val="46048EBB"/>
    <w:rsid w:val="46264DD7"/>
    <w:rsid w:val="4632B938"/>
    <w:rsid w:val="463CF107"/>
    <w:rsid w:val="464361B3"/>
    <w:rsid w:val="46486E37"/>
    <w:rsid w:val="46634BA4"/>
    <w:rsid w:val="46662E9E"/>
    <w:rsid w:val="467EFFBE"/>
    <w:rsid w:val="46966A76"/>
    <w:rsid w:val="469C2F77"/>
    <w:rsid w:val="46C4BDC0"/>
    <w:rsid w:val="46C96EAF"/>
    <w:rsid w:val="46D0BB41"/>
    <w:rsid w:val="46D7E1CE"/>
    <w:rsid w:val="46F749BC"/>
    <w:rsid w:val="46F8B97C"/>
    <w:rsid w:val="46FA8521"/>
    <w:rsid w:val="4707B7C4"/>
    <w:rsid w:val="47121F9D"/>
    <w:rsid w:val="4726D2C0"/>
    <w:rsid w:val="472B5AFA"/>
    <w:rsid w:val="47366E9D"/>
    <w:rsid w:val="47463BA8"/>
    <w:rsid w:val="4749F718"/>
    <w:rsid w:val="476B8DD4"/>
    <w:rsid w:val="477E6554"/>
    <w:rsid w:val="478684EE"/>
    <w:rsid w:val="478D1F0E"/>
    <w:rsid w:val="47D76477"/>
    <w:rsid w:val="47E43E98"/>
    <w:rsid w:val="47E44C01"/>
    <w:rsid w:val="483B6B00"/>
    <w:rsid w:val="483CE59A"/>
    <w:rsid w:val="483D548F"/>
    <w:rsid w:val="4853BC06"/>
    <w:rsid w:val="485562FA"/>
    <w:rsid w:val="4858CD57"/>
    <w:rsid w:val="485A7BC5"/>
    <w:rsid w:val="4871D9B1"/>
    <w:rsid w:val="487247FE"/>
    <w:rsid w:val="4891135C"/>
    <w:rsid w:val="48A085EB"/>
    <w:rsid w:val="48B0A64C"/>
    <w:rsid w:val="48B35133"/>
    <w:rsid w:val="48B8139D"/>
    <w:rsid w:val="48CD5A2A"/>
    <w:rsid w:val="48DC3AA5"/>
    <w:rsid w:val="48EC3C52"/>
    <w:rsid w:val="48F35513"/>
    <w:rsid w:val="491B6513"/>
    <w:rsid w:val="49310283"/>
    <w:rsid w:val="49321A6B"/>
    <w:rsid w:val="493E46C3"/>
    <w:rsid w:val="495D33A9"/>
    <w:rsid w:val="4968A836"/>
    <w:rsid w:val="497D724C"/>
    <w:rsid w:val="49800EF9"/>
    <w:rsid w:val="4980D3CB"/>
    <w:rsid w:val="499BDDCC"/>
    <w:rsid w:val="499D329B"/>
    <w:rsid w:val="49BA181A"/>
    <w:rsid w:val="49D47231"/>
    <w:rsid w:val="49E48356"/>
    <w:rsid w:val="49F6BBD2"/>
    <w:rsid w:val="49FCEAE5"/>
    <w:rsid w:val="4A26F252"/>
    <w:rsid w:val="4A2E31D7"/>
    <w:rsid w:val="4A396A82"/>
    <w:rsid w:val="4A487105"/>
    <w:rsid w:val="4A527FC8"/>
    <w:rsid w:val="4A60D0AD"/>
    <w:rsid w:val="4A717F8C"/>
    <w:rsid w:val="4A7E9446"/>
    <w:rsid w:val="4A809C85"/>
    <w:rsid w:val="4A8C28C6"/>
    <w:rsid w:val="4A948A4E"/>
    <w:rsid w:val="4AA5DAF3"/>
    <w:rsid w:val="4AA6C3BB"/>
    <w:rsid w:val="4AADB2AB"/>
    <w:rsid w:val="4ADBC39F"/>
    <w:rsid w:val="4AFA38D4"/>
    <w:rsid w:val="4AFFC2A0"/>
    <w:rsid w:val="4B2FE900"/>
    <w:rsid w:val="4B39813F"/>
    <w:rsid w:val="4B3BB73C"/>
    <w:rsid w:val="4B50A1D9"/>
    <w:rsid w:val="4B5120C3"/>
    <w:rsid w:val="4B77B40A"/>
    <w:rsid w:val="4B77EF52"/>
    <w:rsid w:val="4B851AE3"/>
    <w:rsid w:val="4B8D592E"/>
    <w:rsid w:val="4B9B697C"/>
    <w:rsid w:val="4BAFF816"/>
    <w:rsid w:val="4BC5F8E9"/>
    <w:rsid w:val="4BE34FA1"/>
    <w:rsid w:val="4BE54D74"/>
    <w:rsid w:val="4BE79189"/>
    <w:rsid w:val="4BEAB203"/>
    <w:rsid w:val="4C0CE872"/>
    <w:rsid w:val="4C1F7FEA"/>
    <w:rsid w:val="4C338454"/>
    <w:rsid w:val="4C34A588"/>
    <w:rsid w:val="4C3D751B"/>
    <w:rsid w:val="4C45978A"/>
    <w:rsid w:val="4C472560"/>
    <w:rsid w:val="4C49A5F3"/>
    <w:rsid w:val="4C61A3E3"/>
    <w:rsid w:val="4C721BAF"/>
    <w:rsid w:val="4C768D01"/>
    <w:rsid w:val="4C9870C6"/>
    <w:rsid w:val="4CAB33EF"/>
    <w:rsid w:val="4CB0C233"/>
    <w:rsid w:val="4CC080F4"/>
    <w:rsid w:val="4CCEB87E"/>
    <w:rsid w:val="4CD12869"/>
    <w:rsid w:val="4CD409DE"/>
    <w:rsid w:val="4CD6BC81"/>
    <w:rsid w:val="4CDE8B1E"/>
    <w:rsid w:val="4CEB5CD6"/>
    <w:rsid w:val="4D17E08A"/>
    <w:rsid w:val="4D1B35EC"/>
    <w:rsid w:val="4D256152"/>
    <w:rsid w:val="4D41A4C6"/>
    <w:rsid w:val="4D4C9B35"/>
    <w:rsid w:val="4D5A95A7"/>
    <w:rsid w:val="4D5ABA7A"/>
    <w:rsid w:val="4D6CCC48"/>
    <w:rsid w:val="4D7184C0"/>
    <w:rsid w:val="4D73FF12"/>
    <w:rsid w:val="4D8DF0A4"/>
    <w:rsid w:val="4D927987"/>
    <w:rsid w:val="4D9972B7"/>
    <w:rsid w:val="4DAB72AE"/>
    <w:rsid w:val="4DB34AEA"/>
    <w:rsid w:val="4DCC2B10"/>
    <w:rsid w:val="4DD66D1F"/>
    <w:rsid w:val="4E0A330F"/>
    <w:rsid w:val="4E1DA6F9"/>
    <w:rsid w:val="4E2EFAAA"/>
    <w:rsid w:val="4E4D5660"/>
    <w:rsid w:val="4E5012FD"/>
    <w:rsid w:val="4E57B425"/>
    <w:rsid w:val="4E5B7AAA"/>
    <w:rsid w:val="4E617438"/>
    <w:rsid w:val="4E68ED14"/>
    <w:rsid w:val="4E9268E0"/>
    <w:rsid w:val="4E96E0DB"/>
    <w:rsid w:val="4EA18FAD"/>
    <w:rsid w:val="4EA944BA"/>
    <w:rsid w:val="4EAE84F0"/>
    <w:rsid w:val="4ED09AFC"/>
    <w:rsid w:val="4EEBAB40"/>
    <w:rsid w:val="4EF529F5"/>
    <w:rsid w:val="4F40CA72"/>
    <w:rsid w:val="4F42849A"/>
    <w:rsid w:val="4F6A1E9B"/>
    <w:rsid w:val="4F7485C9"/>
    <w:rsid w:val="4F92BE2F"/>
    <w:rsid w:val="4F9F5430"/>
    <w:rsid w:val="4FAE4BED"/>
    <w:rsid w:val="4FC31536"/>
    <w:rsid w:val="4FF38486"/>
    <w:rsid w:val="500C05E3"/>
    <w:rsid w:val="501824A6"/>
    <w:rsid w:val="501859D1"/>
    <w:rsid w:val="501F1B1E"/>
    <w:rsid w:val="504EDB27"/>
    <w:rsid w:val="505F1CA6"/>
    <w:rsid w:val="507012C0"/>
    <w:rsid w:val="507E3689"/>
    <w:rsid w:val="509AC282"/>
    <w:rsid w:val="50E1E59F"/>
    <w:rsid w:val="50EFEB54"/>
    <w:rsid w:val="512D1D79"/>
    <w:rsid w:val="512E6432"/>
    <w:rsid w:val="5155CC26"/>
    <w:rsid w:val="51609436"/>
    <w:rsid w:val="5192C73D"/>
    <w:rsid w:val="51B0D73C"/>
    <w:rsid w:val="51DB719B"/>
    <w:rsid w:val="51E1B8EE"/>
    <w:rsid w:val="51F3952D"/>
    <w:rsid w:val="52061143"/>
    <w:rsid w:val="5206D28B"/>
    <w:rsid w:val="52103952"/>
    <w:rsid w:val="5228B3D5"/>
    <w:rsid w:val="52359777"/>
    <w:rsid w:val="524E9698"/>
    <w:rsid w:val="527CAA82"/>
    <w:rsid w:val="529A05F7"/>
    <w:rsid w:val="52A49075"/>
    <w:rsid w:val="52A53F83"/>
    <w:rsid w:val="52D1F691"/>
    <w:rsid w:val="52E86833"/>
    <w:rsid w:val="52EB032D"/>
    <w:rsid w:val="531334F6"/>
    <w:rsid w:val="531371CF"/>
    <w:rsid w:val="53221FF6"/>
    <w:rsid w:val="53361939"/>
    <w:rsid w:val="533B9FD5"/>
    <w:rsid w:val="535451D7"/>
    <w:rsid w:val="5376FCA3"/>
    <w:rsid w:val="5378C40B"/>
    <w:rsid w:val="53965B23"/>
    <w:rsid w:val="539E47AE"/>
    <w:rsid w:val="53CFDB59"/>
    <w:rsid w:val="53D8EBC8"/>
    <w:rsid w:val="53ECFB88"/>
    <w:rsid w:val="53FF4546"/>
    <w:rsid w:val="54358875"/>
    <w:rsid w:val="545ACA10"/>
    <w:rsid w:val="54636BE1"/>
    <w:rsid w:val="54729298"/>
    <w:rsid w:val="54825E38"/>
    <w:rsid w:val="549D14F7"/>
    <w:rsid w:val="54A092E1"/>
    <w:rsid w:val="54A1E6E4"/>
    <w:rsid w:val="54A824BA"/>
    <w:rsid w:val="54C445E5"/>
    <w:rsid w:val="54C5A2A2"/>
    <w:rsid w:val="5500EED2"/>
    <w:rsid w:val="55068B94"/>
    <w:rsid w:val="553384A2"/>
    <w:rsid w:val="554E608A"/>
    <w:rsid w:val="5555B1CF"/>
    <w:rsid w:val="55629D18"/>
    <w:rsid w:val="557E12DF"/>
    <w:rsid w:val="55B0240B"/>
    <w:rsid w:val="55C304A5"/>
    <w:rsid w:val="55C31D0F"/>
    <w:rsid w:val="55CBB009"/>
    <w:rsid w:val="55D078A8"/>
    <w:rsid w:val="55D0AFF7"/>
    <w:rsid w:val="55D7B190"/>
    <w:rsid w:val="5627A1C3"/>
    <w:rsid w:val="5662A38C"/>
    <w:rsid w:val="5662D47C"/>
    <w:rsid w:val="56785C08"/>
    <w:rsid w:val="56AF75E0"/>
    <w:rsid w:val="56B35B4A"/>
    <w:rsid w:val="56BF90B5"/>
    <w:rsid w:val="56D2907E"/>
    <w:rsid w:val="57037D6A"/>
    <w:rsid w:val="5710B4CE"/>
    <w:rsid w:val="571350BB"/>
    <w:rsid w:val="5735316F"/>
    <w:rsid w:val="573EEAEB"/>
    <w:rsid w:val="574BA675"/>
    <w:rsid w:val="574D4870"/>
    <w:rsid w:val="5780392A"/>
    <w:rsid w:val="57A875AB"/>
    <w:rsid w:val="57AA1B00"/>
    <w:rsid w:val="57AB1D5A"/>
    <w:rsid w:val="5804DFF8"/>
    <w:rsid w:val="58081034"/>
    <w:rsid w:val="582F604A"/>
    <w:rsid w:val="5836D54E"/>
    <w:rsid w:val="5842D658"/>
    <w:rsid w:val="5848E099"/>
    <w:rsid w:val="5851CC07"/>
    <w:rsid w:val="58844B7C"/>
    <w:rsid w:val="58B74807"/>
    <w:rsid w:val="58BAD977"/>
    <w:rsid w:val="58E77157"/>
    <w:rsid w:val="59095621"/>
    <w:rsid w:val="590EDDB7"/>
    <w:rsid w:val="5911E07B"/>
    <w:rsid w:val="59206F8C"/>
    <w:rsid w:val="5975B553"/>
    <w:rsid w:val="5995C5DD"/>
    <w:rsid w:val="59A55169"/>
    <w:rsid w:val="59D2B234"/>
    <w:rsid w:val="59E430D7"/>
    <w:rsid w:val="59E5814F"/>
    <w:rsid w:val="59FDCCA9"/>
    <w:rsid w:val="5A2036D5"/>
    <w:rsid w:val="5A338288"/>
    <w:rsid w:val="5A3B7DCB"/>
    <w:rsid w:val="5A3F2720"/>
    <w:rsid w:val="5A5CED29"/>
    <w:rsid w:val="5A886932"/>
    <w:rsid w:val="5A8D8966"/>
    <w:rsid w:val="5A9A6F3C"/>
    <w:rsid w:val="5AAF0449"/>
    <w:rsid w:val="5AE59795"/>
    <w:rsid w:val="5AE75551"/>
    <w:rsid w:val="5B210A4B"/>
    <w:rsid w:val="5B210AC0"/>
    <w:rsid w:val="5B5B74D1"/>
    <w:rsid w:val="5B70C665"/>
    <w:rsid w:val="5B759E76"/>
    <w:rsid w:val="5B9F4B2B"/>
    <w:rsid w:val="5BB569D8"/>
    <w:rsid w:val="5BF9129E"/>
    <w:rsid w:val="5C707A1B"/>
    <w:rsid w:val="5C7758B6"/>
    <w:rsid w:val="5C84980C"/>
    <w:rsid w:val="5C84D16B"/>
    <w:rsid w:val="5CCD105C"/>
    <w:rsid w:val="5CF9C7ED"/>
    <w:rsid w:val="5D031E84"/>
    <w:rsid w:val="5D351E0D"/>
    <w:rsid w:val="5D48ECB4"/>
    <w:rsid w:val="5D8E177F"/>
    <w:rsid w:val="5DB82B5E"/>
    <w:rsid w:val="5DC07474"/>
    <w:rsid w:val="5DF54E27"/>
    <w:rsid w:val="5DF9AF42"/>
    <w:rsid w:val="5E0FC0E0"/>
    <w:rsid w:val="5E145732"/>
    <w:rsid w:val="5E3A9C34"/>
    <w:rsid w:val="5E710C3D"/>
    <w:rsid w:val="5E7BC92E"/>
    <w:rsid w:val="5E7C2403"/>
    <w:rsid w:val="5E8CEAC3"/>
    <w:rsid w:val="5E906257"/>
    <w:rsid w:val="5E93C246"/>
    <w:rsid w:val="5EBA7FCC"/>
    <w:rsid w:val="5EC2B43A"/>
    <w:rsid w:val="5EC5E2EC"/>
    <w:rsid w:val="5F14FFC1"/>
    <w:rsid w:val="5F326C2D"/>
    <w:rsid w:val="5F382793"/>
    <w:rsid w:val="5F4CCE81"/>
    <w:rsid w:val="5F69CCD8"/>
    <w:rsid w:val="5F6D6A28"/>
    <w:rsid w:val="5FA672AD"/>
    <w:rsid w:val="5FC50589"/>
    <w:rsid w:val="5FC5F5A4"/>
    <w:rsid w:val="5FE9ADA4"/>
    <w:rsid w:val="6001E5E1"/>
    <w:rsid w:val="60059597"/>
    <w:rsid w:val="6017AE35"/>
    <w:rsid w:val="602CD80B"/>
    <w:rsid w:val="6038E7EE"/>
    <w:rsid w:val="6080A9F4"/>
    <w:rsid w:val="6083941A"/>
    <w:rsid w:val="60879EA9"/>
    <w:rsid w:val="608A1E47"/>
    <w:rsid w:val="60A340B7"/>
    <w:rsid w:val="60B25E9A"/>
    <w:rsid w:val="60DA6DF7"/>
    <w:rsid w:val="60E3BC3F"/>
    <w:rsid w:val="60EBE127"/>
    <w:rsid w:val="60EF24C9"/>
    <w:rsid w:val="61232CD4"/>
    <w:rsid w:val="61244FAD"/>
    <w:rsid w:val="615EF700"/>
    <w:rsid w:val="61881C4B"/>
    <w:rsid w:val="6189A5B4"/>
    <w:rsid w:val="61BB1F31"/>
    <w:rsid w:val="61C03022"/>
    <w:rsid w:val="61C7D911"/>
    <w:rsid w:val="61DBD11F"/>
    <w:rsid w:val="61E9361D"/>
    <w:rsid w:val="61F40214"/>
    <w:rsid w:val="61FF7E60"/>
    <w:rsid w:val="62045374"/>
    <w:rsid w:val="620E03F1"/>
    <w:rsid w:val="62247E40"/>
    <w:rsid w:val="623E77D7"/>
    <w:rsid w:val="62686E70"/>
    <w:rsid w:val="6278FD1B"/>
    <w:rsid w:val="627F8334"/>
    <w:rsid w:val="6289C423"/>
    <w:rsid w:val="628AEFB0"/>
    <w:rsid w:val="6291007F"/>
    <w:rsid w:val="6296678A"/>
    <w:rsid w:val="629F3BDB"/>
    <w:rsid w:val="62A08B8E"/>
    <w:rsid w:val="62C2C481"/>
    <w:rsid w:val="62C53FFF"/>
    <w:rsid w:val="62D6965A"/>
    <w:rsid w:val="62DC9E01"/>
    <w:rsid w:val="63154A3E"/>
    <w:rsid w:val="632F0BF8"/>
    <w:rsid w:val="63396902"/>
    <w:rsid w:val="634DAA58"/>
    <w:rsid w:val="634EEDBD"/>
    <w:rsid w:val="6372CD2A"/>
    <w:rsid w:val="63831F2D"/>
    <w:rsid w:val="63A24B9A"/>
    <w:rsid w:val="63C0C5FB"/>
    <w:rsid w:val="6402BB89"/>
    <w:rsid w:val="641C4318"/>
    <w:rsid w:val="642A56CD"/>
    <w:rsid w:val="6462A4B8"/>
    <w:rsid w:val="6464A203"/>
    <w:rsid w:val="646B89A9"/>
    <w:rsid w:val="647CDBFD"/>
    <w:rsid w:val="6495D8F8"/>
    <w:rsid w:val="64A9C771"/>
    <w:rsid w:val="64AD8B40"/>
    <w:rsid w:val="64AF908F"/>
    <w:rsid w:val="64EDFCF8"/>
    <w:rsid w:val="64F081BD"/>
    <w:rsid w:val="64F3147E"/>
    <w:rsid w:val="652FC1B0"/>
    <w:rsid w:val="653E6461"/>
    <w:rsid w:val="6551C75B"/>
    <w:rsid w:val="65A8175D"/>
    <w:rsid w:val="65E97863"/>
    <w:rsid w:val="65FC7665"/>
    <w:rsid w:val="65FF3935"/>
    <w:rsid w:val="66289B55"/>
    <w:rsid w:val="6637D63E"/>
    <w:rsid w:val="6642C319"/>
    <w:rsid w:val="664F7D96"/>
    <w:rsid w:val="665065C4"/>
    <w:rsid w:val="6657DB6C"/>
    <w:rsid w:val="666160E5"/>
    <w:rsid w:val="66746111"/>
    <w:rsid w:val="667ED8F8"/>
    <w:rsid w:val="66803D57"/>
    <w:rsid w:val="668DD5C8"/>
    <w:rsid w:val="66B453BE"/>
    <w:rsid w:val="66FE6686"/>
    <w:rsid w:val="67086134"/>
    <w:rsid w:val="6735748B"/>
    <w:rsid w:val="678E838A"/>
    <w:rsid w:val="67A99CAC"/>
    <w:rsid w:val="67AEE98D"/>
    <w:rsid w:val="67B56040"/>
    <w:rsid w:val="67E37C7E"/>
    <w:rsid w:val="67F4647C"/>
    <w:rsid w:val="680AFB85"/>
    <w:rsid w:val="6811B1F3"/>
    <w:rsid w:val="682097CC"/>
    <w:rsid w:val="682216DC"/>
    <w:rsid w:val="68249DE4"/>
    <w:rsid w:val="6838A234"/>
    <w:rsid w:val="684050CD"/>
    <w:rsid w:val="6848BBFE"/>
    <w:rsid w:val="685F0A9C"/>
    <w:rsid w:val="68A4DF5C"/>
    <w:rsid w:val="68A555CD"/>
    <w:rsid w:val="68A9A67A"/>
    <w:rsid w:val="68C1EC7E"/>
    <w:rsid w:val="68C6DDB5"/>
    <w:rsid w:val="68C73B23"/>
    <w:rsid w:val="68D7E019"/>
    <w:rsid w:val="68EA3547"/>
    <w:rsid w:val="68FBA58F"/>
    <w:rsid w:val="6939F283"/>
    <w:rsid w:val="693A3F73"/>
    <w:rsid w:val="693ACFCB"/>
    <w:rsid w:val="693C1459"/>
    <w:rsid w:val="69413F56"/>
    <w:rsid w:val="6960B97F"/>
    <w:rsid w:val="6967CFD8"/>
    <w:rsid w:val="696FA06C"/>
    <w:rsid w:val="6996B15D"/>
    <w:rsid w:val="69B057C5"/>
    <w:rsid w:val="6A4357B0"/>
    <w:rsid w:val="6A450077"/>
    <w:rsid w:val="6A75CFE8"/>
    <w:rsid w:val="6A81750B"/>
    <w:rsid w:val="6A8B252C"/>
    <w:rsid w:val="6A9D2A4C"/>
    <w:rsid w:val="6AAF5E1C"/>
    <w:rsid w:val="6AB5EDBA"/>
    <w:rsid w:val="6AC9861B"/>
    <w:rsid w:val="6B11A41F"/>
    <w:rsid w:val="6B1A4091"/>
    <w:rsid w:val="6B4229FA"/>
    <w:rsid w:val="6B48773F"/>
    <w:rsid w:val="6B492721"/>
    <w:rsid w:val="6B80B8F8"/>
    <w:rsid w:val="6B8948FE"/>
    <w:rsid w:val="6BB8BE88"/>
    <w:rsid w:val="6C08E6CD"/>
    <w:rsid w:val="6C70BDC3"/>
    <w:rsid w:val="6C736F35"/>
    <w:rsid w:val="6C915CE8"/>
    <w:rsid w:val="6CB55AE5"/>
    <w:rsid w:val="6CB9D22E"/>
    <w:rsid w:val="6CE920B9"/>
    <w:rsid w:val="6CE9BFBF"/>
    <w:rsid w:val="6CFAE26D"/>
    <w:rsid w:val="6D370C7F"/>
    <w:rsid w:val="6D6E3346"/>
    <w:rsid w:val="6D830CDF"/>
    <w:rsid w:val="6D8E9233"/>
    <w:rsid w:val="6DBEB59C"/>
    <w:rsid w:val="6DC2C5EE"/>
    <w:rsid w:val="6DCA19A6"/>
    <w:rsid w:val="6DD14131"/>
    <w:rsid w:val="6DE83ABC"/>
    <w:rsid w:val="6DF2BCF6"/>
    <w:rsid w:val="6DF7488F"/>
    <w:rsid w:val="6E1A33C4"/>
    <w:rsid w:val="6E24E3D4"/>
    <w:rsid w:val="6E4F6C3B"/>
    <w:rsid w:val="6E61E48E"/>
    <w:rsid w:val="6E750F32"/>
    <w:rsid w:val="6E79EA7F"/>
    <w:rsid w:val="6EA6B7FC"/>
    <w:rsid w:val="6EBD0E82"/>
    <w:rsid w:val="6ECD381A"/>
    <w:rsid w:val="6EEF2A8A"/>
    <w:rsid w:val="6F0EB69F"/>
    <w:rsid w:val="6F10EAFF"/>
    <w:rsid w:val="6F1D1C6F"/>
    <w:rsid w:val="6F20DEBB"/>
    <w:rsid w:val="6F454453"/>
    <w:rsid w:val="6F7070B8"/>
    <w:rsid w:val="6F7B39A6"/>
    <w:rsid w:val="6F7F2C72"/>
    <w:rsid w:val="6F8A56CF"/>
    <w:rsid w:val="6F933405"/>
    <w:rsid w:val="6FA3F5DB"/>
    <w:rsid w:val="6FAED44B"/>
    <w:rsid w:val="6FB1CD94"/>
    <w:rsid w:val="6FC5FBE7"/>
    <w:rsid w:val="6FCFF5D0"/>
    <w:rsid w:val="6FD9B95A"/>
    <w:rsid w:val="6FEDB1B4"/>
    <w:rsid w:val="700356A3"/>
    <w:rsid w:val="70172158"/>
    <w:rsid w:val="7025333F"/>
    <w:rsid w:val="70262570"/>
    <w:rsid w:val="70569F7A"/>
    <w:rsid w:val="705BC068"/>
    <w:rsid w:val="70624112"/>
    <w:rsid w:val="7064B589"/>
    <w:rsid w:val="708B2278"/>
    <w:rsid w:val="70975584"/>
    <w:rsid w:val="70A2FE4A"/>
    <w:rsid w:val="70B75ECC"/>
    <w:rsid w:val="70C67FA0"/>
    <w:rsid w:val="70E2FF92"/>
    <w:rsid w:val="70ECC8B6"/>
    <w:rsid w:val="70FE0373"/>
    <w:rsid w:val="70FE202D"/>
    <w:rsid w:val="71148FFC"/>
    <w:rsid w:val="71464882"/>
    <w:rsid w:val="717DC2A5"/>
    <w:rsid w:val="71908760"/>
    <w:rsid w:val="71986CA5"/>
    <w:rsid w:val="71990EEC"/>
    <w:rsid w:val="71B353B5"/>
    <w:rsid w:val="71CE3BDF"/>
    <w:rsid w:val="71F93ADD"/>
    <w:rsid w:val="71FFB9CD"/>
    <w:rsid w:val="721F6F94"/>
    <w:rsid w:val="722E79B8"/>
    <w:rsid w:val="72300058"/>
    <w:rsid w:val="728C1953"/>
    <w:rsid w:val="728F724F"/>
    <w:rsid w:val="72D3B36A"/>
    <w:rsid w:val="72F0EF02"/>
    <w:rsid w:val="72F2D4AF"/>
    <w:rsid w:val="72FA5E54"/>
    <w:rsid w:val="7315A2C1"/>
    <w:rsid w:val="7318301B"/>
    <w:rsid w:val="7347D536"/>
    <w:rsid w:val="7354719F"/>
    <w:rsid w:val="738D5877"/>
    <w:rsid w:val="73CC760C"/>
    <w:rsid w:val="73D74BCB"/>
    <w:rsid w:val="73E47C4D"/>
    <w:rsid w:val="73EABEEF"/>
    <w:rsid w:val="74178C0E"/>
    <w:rsid w:val="7418237C"/>
    <w:rsid w:val="7438F2B5"/>
    <w:rsid w:val="743B44EF"/>
    <w:rsid w:val="743FF52F"/>
    <w:rsid w:val="74637626"/>
    <w:rsid w:val="7477DFAD"/>
    <w:rsid w:val="74A7919F"/>
    <w:rsid w:val="74C8B06A"/>
    <w:rsid w:val="74F99F08"/>
    <w:rsid w:val="752E88CA"/>
    <w:rsid w:val="7551D198"/>
    <w:rsid w:val="75562E5B"/>
    <w:rsid w:val="75598A9A"/>
    <w:rsid w:val="75758B1B"/>
    <w:rsid w:val="7587D4C0"/>
    <w:rsid w:val="758DE363"/>
    <w:rsid w:val="7591B811"/>
    <w:rsid w:val="75B83DC0"/>
    <w:rsid w:val="75DD89BE"/>
    <w:rsid w:val="75F5FE50"/>
    <w:rsid w:val="76011F02"/>
    <w:rsid w:val="7609F2E1"/>
    <w:rsid w:val="7617F850"/>
    <w:rsid w:val="7620B704"/>
    <w:rsid w:val="762B9DB7"/>
    <w:rsid w:val="7647A658"/>
    <w:rsid w:val="765C1012"/>
    <w:rsid w:val="765E834C"/>
    <w:rsid w:val="76B7DD9C"/>
    <w:rsid w:val="76C79AFD"/>
    <w:rsid w:val="771794E2"/>
    <w:rsid w:val="771AEF62"/>
    <w:rsid w:val="7730F73E"/>
    <w:rsid w:val="7746E753"/>
    <w:rsid w:val="7754422D"/>
    <w:rsid w:val="776C5E3D"/>
    <w:rsid w:val="776FC5A0"/>
    <w:rsid w:val="777173C2"/>
    <w:rsid w:val="7778F5EC"/>
    <w:rsid w:val="778C274C"/>
    <w:rsid w:val="778C90A4"/>
    <w:rsid w:val="778F8D40"/>
    <w:rsid w:val="77AF082B"/>
    <w:rsid w:val="77C33527"/>
    <w:rsid w:val="77C51D0F"/>
    <w:rsid w:val="77C6F387"/>
    <w:rsid w:val="77D8AA4D"/>
    <w:rsid w:val="77E02A08"/>
    <w:rsid w:val="77E7E302"/>
    <w:rsid w:val="77F65714"/>
    <w:rsid w:val="77FCEF63"/>
    <w:rsid w:val="77FE06F2"/>
    <w:rsid w:val="781ED5BD"/>
    <w:rsid w:val="7835B70B"/>
    <w:rsid w:val="783C9339"/>
    <w:rsid w:val="784FA6DC"/>
    <w:rsid w:val="78599765"/>
    <w:rsid w:val="787ACB92"/>
    <w:rsid w:val="7888AC67"/>
    <w:rsid w:val="78A7E7E6"/>
    <w:rsid w:val="78C610FB"/>
    <w:rsid w:val="78E20F1C"/>
    <w:rsid w:val="78EE8F6D"/>
    <w:rsid w:val="78F12705"/>
    <w:rsid w:val="78F501E3"/>
    <w:rsid w:val="78F7BB75"/>
    <w:rsid w:val="78FA1561"/>
    <w:rsid w:val="7909ED45"/>
    <w:rsid w:val="790EDBBD"/>
    <w:rsid w:val="7911AB56"/>
    <w:rsid w:val="7916323F"/>
    <w:rsid w:val="791E009A"/>
    <w:rsid w:val="7925915E"/>
    <w:rsid w:val="79674E23"/>
    <w:rsid w:val="798FD9A5"/>
    <w:rsid w:val="79ABBA72"/>
    <w:rsid w:val="79B58554"/>
    <w:rsid w:val="79D6BF04"/>
    <w:rsid w:val="79DC4334"/>
    <w:rsid w:val="7A03680A"/>
    <w:rsid w:val="7A4C72CD"/>
    <w:rsid w:val="7A553DC5"/>
    <w:rsid w:val="7A6974A8"/>
    <w:rsid w:val="7A8A766F"/>
    <w:rsid w:val="7A8CA988"/>
    <w:rsid w:val="7AA30F5E"/>
    <w:rsid w:val="7AA9C14B"/>
    <w:rsid w:val="7AADE928"/>
    <w:rsid w:val="7AC693DE"/>
    <w:rsid w:val="7ADCCEC6"/>
    <w:rsid w:val="7AEBAE68"/>
    <w:rsid w:val="7AF760BA"/>
    <w:rsid w:val="7AF98EA7"/>
    <w:rsid w:val="7B048D1D"/>
    <w:rsid w:val="7B0A7B93"/>
    <w:rsid w:val="7B11B68A"/>
    <w:rsid w:val="7B2E71F3"/>
    <w:rsid w:val="7B36BFDC"/>
    <w:rsid w:val="7B44E234"/>
    <w:rsid w:val="7B46094A"/>
    <w:rsid w:val="7B5610A4"/>
    <w:rsid w:val="7B65D46C"/>
    <w:rsid w:val="7B785C17"/>
    <w:rsid w:val="7B7C0125"/>
    <w:rsid w:val="7B91780B"/>
    <w:rsid w:val="7B9B4FF9"/>
    <w:rsid w:val="7BB27B82"/>
    <w:rsid w:val="7BD1AB82"/>
    <w:rsid w:val="7BDD71D6"/>
    <w:rsid w:val="7BDDE02C"/>
    <w:rsid w:val="7C0041C4"/>
    <w:rsid w:val="7C12222E"/>
    <w:rsid w:val="7C247C52"/>
    <w:rsid w:val="7C3580CC"/>
    <w:rsid w:val="7C4DBC96"/>
    <w:rsid w:val="7C820B1D"/>
    <w:rsid w:val="7C834C56"/>
    <w:rsid w:val="7C8B9C47"/>
    <w:rsid w:val="7C8BC5BF"/>
    <w:rsid w:val="7C9A278E"/>
    <w:rsid w:val="7CA1692B"/>
    <w:rsid w:val="7CCD90FA"/>
    <w:rsid w:val="7D15D610"/>
    <w:rsid w:val="7D1829B3"/>
    <w:rsid w:val="7D4620EF"/>
    <w:rsid w:val="7D5144D2"/>
    <w:rsid w:val="7D675993"/>
    <w:rsid w:val="7D779F6F"/>
    <w:rsid w:val="7D83F258"/>
    <w:rsid w:val="7DA8F039"/>
    <w:rsid w:val="7DE393A6"/>
    <w:rsid w:val="7DEC79F0"/>
    <w:rsid w:val="7E032CA1"/>
    <w:rsid w:val="7E0CD27D"/>
    <w:rsid w:val="7E182FD4"/>
    <w:rsid w:val="7E44EFCB"/>
    <w:rsid w:val="7E553F16"/>
    <w:rsid w:val="7E76569B"/>
    <w:rsid w:val="7E9FFA9D"/>
    <w:rsid w:val="7EB00CA5"/>
    <w:rsid w:val="7EB0147B"/>
    <w:rsid w:val="7EC6316B"/>
    <w:rsid w:val="7EC68076"/>
    <w:rsid w:val="7EE34CED"/>
    <w:rsid w:val="7EF6276D"/>
    <w:rsid w:val="7F0ECEC4"/>
    <w:rsid w:val="7F16D144"/>
    <w:rsid w:val="7F28CD95"/>
    <w:rsid w:val="7F3DA996"/>
    <w:rsid w:val="7F4E6CEC"/>
    <w:rsid w:val="7F545E57"/>
    <w:rsid w:val="7F67E6F6"/>
    <w:rsid w:val="7F75C968"/>
    <w:rsid w:val="7F98015C"/>
    <w:rsid w:val="7FAEC2E2"/>
    <w:rsid w:val="7FB53A7F"/>
    <w:rsid w:val="7FD37372"/>
    <w:rsid w:val="7FD9A562"/>
    <w:rsid w:val="7FDAF6AD"/>
    <w:rsid w:val="7FDB5AD9"/>
    <w:rsid w:val="7FFDC865"/>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33F1A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E0BB5"/>
    <w:rPr>
      <w:rFonts w:ascii="Arial" w:hAnsi="Arial" w:cs="Arial"/>
      <w:bCs/>
      <w:color w:val="323232"/>
      <w:kern w:val="32"/>
      <w:sz w:val="53"/>
      <w:szCs w:val="32"/>
    </w:rPr>
  </w:style>
  <w:style w:type="paragraph" w:customStyle="1" w:styleId="Paragraph">
    <w:name w:val="Paragraph"/>
    <w:basedOn w:val="Normal"/>
    <w:qFormat/>
    <w:rsid w:val="00A824E8"/>
    <w:rPr>
      <w:rFonts w:cs="Arial"/>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BodySubHeader">
    <w:name w:val="BodySubHeader"/>
    <w:basedOn w:val="Normal"/>
    <w:next w:val="Normal"/>
    <w:semiHidden/>
    <w:rsid w:val="00146CE6"/>
    <w:pPr>
      <w:spacing w:before="240" w:after="0"/>
    </w:pPr>
    <w:rPr>
      <w:b/>
      <w:i/>
    </w:rPr>
  </w:style>
  <w:style w:type="paragraph" w:styleId="Header">
    <w:name w:val="header"/>
    <w:basedOn w:val="Normal"/>
    <w:link w:val="HeaderChar"/>
    <w:semiHidden/>
    <w:rsid w:val="0070791C"/>
    <w:pPr>
      <w:tabs>
        <w:tab w:val="center" w:pos="4153"/>
        <w:tab w:val="right" w:pos="8306"/>
      </w:tabs>
      <w:spacing w:line="240" w:lineRule="auto"/>
    </w:pPr>
    <w:rPr>
      <w:sz w:val="16"/>
    </w:rPr>
  </w:style>
  <w:style w:type="character" w:customStyle="1" w:styleId="HeaderChar">
    <w:name w:val="Header Char"/>
    <w:link w:val="Header"/>
    <w:semiHidden/>
    <w:rsid w:val="00971914"/>
    <w:rPr>
      <w:rFonts w:ascii="Arial" w:hAnsi="Arial"/>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styleId="ListBullet">
    <w:name w:val="List Bullet"/>
    <w:aliases w:val="List Bullet 1"/>
    <w:basedOn w:val="Normal"/>
    <w:link w:val="ListBulletChar"/>
    <w:uiPriority w:val="99"/>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99"/>
    <w:qFormat/>
    <w:rsid w:val="007C6E44"/>
    <w:pPr>
      <w:spacing w:after="0"/>
    </w:pPr>
    <w:rPr>
      <w:sz w:val="16"/>
      <w:szCs w:val="16"/>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99"/>
    <w:qFormat/>
    <w:rsid w:val="00BB7E5C"/>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styleId="UnresolvedMention">
    <w:name w:val="Unresolved Mention"/>
    <w:basedOn w:val="DefaultParagraphFont"/>
    <w:uiPriority w:val="99"/>
    <w:unhideWhenUsed/>
    <w:rsid w:val="006B52DE"/>
    <w:rPr>
      <w:color w:val="605E5C"/>
      <w:shd w:val="clear" w:color="auto" w:fill="E1DFDD"/>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BE35CB"/>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ACMALinecover">
    <w:name w:val="ACMA_Line cover"/>
    <w:basedOn w:val="Normal"/>
    <w:qFormat/>
    <w:rsid w:val="00BB7E5C"/>
    <w:pPr>
      <w:pBdr>
        <w:bottom w:val="single" w:sz="4" w:space="1" w:color="auto"/>
      </w:pBdr>
      <w:spacing w:after="600"/>
    </w:pPr>
    <w:rPr>
      <w:rFonts w:ascii="Arial Nova Light" w:hAnsi="Arial Nova Light" w:cs="Arial"/>
    </w:rPr>
  </w:style>
  <w:style w:type="paragraph" w:styleId="Quote">
    <w:name w:val="Quote"/>
    <w:basedOn w:val="Normal"/>
    <w:next w:val="Normal"/>
    <w:link w:val="QuoteChar"/>
    <w:semiHidden/>
    <w:rsid w:val="00BB7E5C"/>
    <w:pPr>
      <w:spacing w:before="120" w:after="160"/>
      <w:ind w:left="862" w:right="862"/>
    </w:pPr>
    <w:rPr>
      <w:rFonts w:ascii="Arial Nova Light" w:hAnsi="Arial Nova Light"/>
      <w:i/>
      <w:iCs/>
      <w:color w:val="365F91" w:themeColor="accent1" w:themeShade="BF"/>
    </w:rPr>
  </w:style>
  <w:style w:type="character" w:customStyle="1" w:styleId="QuoteChar">
    <w:name w:val="Quote Char"/>
    <w:basedOn w:val="DefaultParagraphFont"/>
    <w:link w:val="Quote"/>
    <w:semiHidden/>
    <w:rsid w:val="00BB7E5C"/>
    <w:rPr>
      <w:rFonts w:ascii="Arial Nova Light" w:hAnsi="Arial Nova Light"/>
      <w:i/>
      <w:iCs/>
      <w:color w:val="365F91" w:themeColor="accent1" w:themeShade="BF"/>
      <w:sz w:val="20"/>
    </w:rPr>
  </w:style>
  <w:style w:type="paragraph" w:styleId="Salutation">
    <w:name w:val="Salutation"/>
    <w:basedOn w:val="Normal"/>
    <w:next w:val="Normal"/>
    <w:link w:val="SalutationChar"/>
    <w:unhideWhenUsed/>
    <w:rsid w:val="00BB7E5C"/>
    <w:rPr>
      <w:rFonts w:ascii="Arial Nova Light" w:hAnsi="Arial Nova Light"/>
    </w:rPr>
  </w:style>
  <w:style w:type="character" w:customStyle="1" w:styleId="SalutationChar">
    <w:name w:val="Salutation Char"/>
    <w:basedOn w:val="DefaultParagraphFont"/>
    <w:link w:val="Salutation"/>
    <w:rsid w:val="00BB7E5C"/>
    <w:rPr>
      <w:rFonts w:ascii="Arial Nova Light" w:hAnsi="Arial Nova Light"/>
      <w:sz w:val="20"/>
    </w:rPr>
  </w:style>
  <w:style w:type="table" w:styleId="GridTable4-Accent1">
    <w:name w:val="Grid Table 4 Accent 1"/>
    <w:basedOn w:val="TableNormal"/>
    <w:uiPriority w:val="49"/>
    <w:rsid w:val="00BB7E5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5Dark-Accent1">
    <w:name w:val="Grid Table 5 Dark Accent 1"/>
    <w:basedOn w:val="TableNormal"/>
    <w:uiPriority w:val="50"/>
    <w:rsid w:val="00BB7E5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character" w:styleId="Mention">
    <w:name w:val="Mention"/>
    <w:basedOn w:val="DefaultParagraphFont"/>
    <w:uiPriority w:val="99"/>
    <w:unhideWhenUsed/>
    <w:rsid w:val="00BB7E5C"/>
    <w:rPr>
      <w:color w:val="2B579A"/>
      <w:shd w:val="clear" w:color="auto" w:fill="E1DFDD"/>
    </w:rPr>
  </w:style>
  <w:style w:type="character" w:customStyle="1" w:styleId="ListBulletChar">
    <w:name w:val="List Bullet Char"/>
    <w:aliases w:val="List Bullet 1 Char"/>
    <w:basedOn w:val="DefaultParagraphFont"/>
    <w:link w:val="ListBullet"/>
    <w:uiPriority w:val="99"/>
    <w:rsid w:val="00CB6F86"/>
    <w:rPr>
      <w:rFonts w:ascii="Arial" w:hAnsi="Arial"/>
      <w:sz w:val="20"/>
    </w:rPr>
  </w:style>
  <w:style w:type="paragraph" w:customStyle="1" w:styleId="paragraph11">
    <w:name w:val="paragraph11"/>
    <w:basedOn w:val="Normal"/>
    <w:rsid w:val="00CB6F86"/>
    <w:rPr>
      <w:rFonts w:eastAsiaTheme="minorHAnsi" w:cs="Arial"/>
      <w:szCs w:val="20"/>
    </w:rPr>
  </w:style>
  <w:style w:type="paragraph" w:customStyle="1" w:styleId="ACMAReportTitle">
    <w:name w:val="ACMA_ReportTitle"/>
    <w:basedOn w:val="Normal"/>
    <w:qFormat/>
    <w:rsid w:val="006C4889"/>
    <w:pPr>
      <w:spacing w:after="0" w:line="560" w:lineRule="exact"/>
    </w:pPr>
    <w:rPr>
      <w:b/>
      <w:spacing w:val="-28"/>
      <w:sz w:val="53"/>
    </w:rPr>
  </w:style>
  <w:style w:type="paragraph" w:styleId="ListParagraph">
    <w:name w:val="List Paragraph"/>
    <w:basedOn w:val="Normal"/>
    <w:uiPriority w:val="34"/>
    <w:qFormat/>
    <w:rsid w:val="00216F25"/>
    <w:pPr>
      <w:ind w:left="720"/>
      <w:contextualSpacing/>
    </w:pPr>
  </w:style>
  <w:style w:type="character" w:customStyle="1" w:styleId="normaltextrun">
    <w:name w:val="normaltextrun"/>
    <w:basedOn w:val="DefaultParagraphFont"/>
    <w:rsid w:val="003B4B37"/>
  </w:style>
  <w:style w:type="character" w:customStyle="1" w:styleId="eop">
    <w:name w:val="eop"/>
    <w:basedOn w:val="DefaultParagraphFont"/>
    <w:rsid w:val="003B4B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388216294">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68746499">
      <w:bodyDiv w:val="1"/>
      <w:marLeft w:val="0"/>
      <w:marRight w:val="0"/>
      <w:marTop w:val="0"/>
      <w:marBottom w:val="0"/>
      <w:divBdr>
        <w:top w:val="none" w:sz="0" w:space="0" w:color="auto"/>
        <w:left w:val="none" w:sz="0" w:space="0" w:color="auto"/>
        <w:bottom w:val="none" w:sz="0" w:space="0" w:color="auto"/>
        <w:right w:val="none" w:sz="0" w:space="0" w:color="auto"/>
      </w:divBdr>
    </w:div>
    <w:div w:id="1534615256">
      <w:bodyDiv w:val="1"/>
      <w:marLeft w:val="0"/>
      <w:marRight w:val="0"/>
      <w:marTop w:val="0"/>
      <w:marBottom w:val="0"/>
      <w:divBdr>
        <w:top w:val="none" w:sz="0" w:space="0" w:color="auto"/>
        <w:left w:val="none" w:sz="0" w:space="0" w:color="auto"/>
        <w:bottom w:val="none" w:sz="0" w:space="0" w:color="auto"/>
        <w:right w:val="none" w:sz="0" w:space="0" w:color="auto"/>
      </w:divBdr>
      <w:divsChild>
        <w:div w:id="1811242877">
          <w:marLeft w:val="0"/>
          <w:marRight w:val="0"/>
          <w:marTop w:val="0"/>
          <w:marBottom w:val="0"/>
          <w:divBdr>
            <w:top w:val="none" w:sz="0" w:space="0" w:color="auto"/>
            <w:left w:val="none" w:sz="0" w:space="0" w:color="auto"/>
            <w:bottom w:val="none" w:sz="0" w:space="0" w:color="auto"/>
            <w:right w:val="none" w:sz="0" w:space="0" w:color="auto"/>
          </w:divBdr>
        </w:div>
      </w:divsChild>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16345004">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14604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21" Type="http://schemas.openxmlformats.org/officeDocument/2006/relationships/footer" Target="footer4.xml"/><Relationship Id="rId42" Type="http://schemas.openxmlformats.org/officeDocument/2006/relationships/image" Target="media/image17.png"/><Relationship Id="rId47" Type="http://schemas.openxmlformats.org/officeDocument/2006/relationships/hyperlink" Target="https://www.morganstanley.com/ideas/investing-in-space" TargetMode="External"/><Relationship Id="rId63" Type="http://schemas.openxmlformats.org/officeDocument/2006/relationships/hyperlink" Target="https://www.industry.gov.au/news/australian-space-agency-news?field_news_section_tid=2584" TargetMode="External"/><Relationship Id="rId68" Type="http://schemas.openxmlformats.org/officeDocument/2006/relationships/hyperlink" Target="https://www.legislation.gov.au/Details/C2019C00262" TargetMode="External"/><Relationship Id="rId84" Type="http://schemas.openxmlformats.org/officeDocument/2006/relationships/hyperlink" Target="http://www.orionsat.com.au/" TargetMode="External"/><Relationship Id="rId89" Type="http://schemas.openxmlformats.org/officeDocument/2006/relationships/hyperlink" Target="https://omnispace.com/omnispace-selects-exolaunch-to-deliver-two-next-generation-satellites/" TargetMode="External"/><Relationship Id="rId1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creativecommons.org/licenses/by/4.0/" TargetMode="External"/><Relationship Id="rId29" Type="http://schemas.openxmlformats.org/officeDocument/2006/relationships/hyperlink" Target="https://www.business.gov.au/grants-and-programs/international-space-investment-expand-capability-grants" TargetMode="External"/><Relationship Id="rId107" Type="http://schemas.openxmlformats.org/officeDocument/2006/relationships/header" Target="header8.xml"/><Relationship Id="rId11" Type="http://schemas.openxmlformats.org/officeDocument/2006/relationships/footer" Target="footer1.xml"/><Relationship Id="rId24" Type="http://schemas.openxmlformats.org/officeDocument/2006/relationships/footer" Target="footer5.xml"/><Relationship Id="rId32" Type="http://schemas.openxmlformats.org/officeDocument/2006/relationships/image" Target="media/image7.png"/><Relationship Id="rId37" Type="http://schemas.openxmlformats.org/officeDocument/2006/relationships/image" Target="media/image12.png"/><Relationship Id="rId40" Type="http://schemas.openxmlformats.org/officeDocument/2006/relationships/image" Target="media/image15.png"/><Relationship Id="rId45" Type="http://schemas.openxmlformats.org/officeDocument/2006/relationships/hyperlink" Target="https://brycetech.com/reports/report-documents/SIA_SSIR_2020.pdf" TargetMode="External"/><Relationship Id="rId53" Type="http://schemas.openxmlformats.org/officeDocument/2006/relationships/hyperlink" Target="https://www.asc-csa.gc.ca/eng/satellites/cubesat/what-is-a-cubesat.asp" TargetMode="External"/><Relationship Id="rId58" Type="http://schemas.openxmlformats.org/officeDocument/2006/relationships/hyperlink" Target="https://www.industry.gov.au/funding-and-incentives/moon-to-mars-opportunities-for-australian-businesses" TargetMode="External"/><Relationship Id="rId66" Type="http://schemas.openxmlformats.org/officeDocument/2006/relationships/hyperlink" Target="mailto:satellite.coordination@acma.gov.au" TargetMode="External"/><Relationship Id="rId74" Type="http://schemas.openxmlformats.org/officeDocument/2006/relationships/hyperlink" Target="https://www.acma.gov.au/sites/default/files/2019-10/Embargo%20No%2049.pdf" TargetMode="External"/><Relationship Id="rId79" Type="http://schemas.openxmlformats.org/officeDocument/2006/relationships/hyperlink" Target="https://www.inmarsat.com/en/news/latest-news/government/2021/australian-defence-force-takes-control-with-inmarsat-virtual-sat.html" TargetMode="External"/><Relationship Id="rId87" Type="http://schemas.openxmlformats.org/officeDocument/2006/relationships/hyperlink" Target="http://www.lockheedmartin.com/onestepahead" TargetMode="External"/><Relationship Id="rId102" Type="http://schemas.openxmlformats.org/officeDocument/2006/relationships/hyperlink" Target="https://www.itu.int/pub/R-REP-SA.2312-2014" TargetMode="External"/><Relationship Id="rId110" Type="http://schemas.openxmlformats.org/officeDocument/2006/relationships/footer" Target="footer9.xml"/><Relationship Id="rId5" Type="http://schemas.openxmlformats.org/officeDocument/2006/relationships/webSettings" Target="webSettings.xml"/><Relationship Id="rId61" Type="http://schemas.openxmlformats.org/officeDocument/2006/relationships/hyperlink" Target="https://www.industry.gov.au/australian-space-discovery-centre" TargetMode="External"/><Relationship Id="rId82" Type="http://schemas.openxmlformats.org/officeDocument/2006/relationships/hyperlink" Target="https://www.optus.com.au/about/media-centre/media-releases/2020/07/Optus_satellite_foxtel_partnership_extended_to_2031" TargetMode="External"/><Relationship Id="rId90" Type="http://schemas.openxmlformats.org/officeDocument/2006/relationships/hyperlink" Target="https://www.nbnco.com.au/corporate-information/media-centre/media-statements/coverage-increase-and-reduced-wholesale-prices-to-enhance-bss" TargetMode="External"/><Relationship Id="rId95" Type="http://schemas.openxmlformats.org/officeDocument/2006/relationships/hyperlink" Target="https://space-bd.com/en/" TargetMode="External"/><Relationship Id="rId19" Type="http://schemas.openxmlformats.org/officeDocument/2006/relationships/header" Target="header5.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hyperlink" Target="https://www.industry.gov.au/sites/default/files/2020-12/communications-services-and-technologies-roadmap.pdf" TargetMode="External"/><Relationship Id="rId30" Type="http://schemas.openxmlformats.org/officeDocument/2006/relationships/image" Target="media/image5.png"/><Relationship Id="rId35" Type="http://schemas.openxmlformats.org/officeDocument/2006/relationships/image" Target="media/image10.svg"/><Relationship Id="rId43" Type="http://schemas.openxmlformats.org/officeDocument/2006/relationships/hyperlink" Target="mailto:satellite.coordination@acma.gov.au" TargetMode="External"/><Relationship Id="rId48" Type="http://schemas.openxmlformats.org/officeDocument/2006/relationships/hyperlink" Target="https://southernlaunch.space/faqs" TargetMode="External"/><Relationship Id="rId56" Type="http://schemas.openxmlformats.org/officeDocument/2006/relationships/hyperlink" Target="https://www.industry.gov.au/funding-and-incentives/supporting-space-infrastructure-growth" TargetMode="External"/><Relationship Id="rId64" Type="http://schemas.openxmlformats.org/officeDocument/2006/relationships/hyperlink" Target="https://pursuit.unimelb.edu.au/podcasts/launching-the-spirit-satellite" TargetMode="External"/><Relationship Id="rId69" Type="http://schemas.openxmlformats.org/officeDocument/2006/relationships/hyperlink" Target="https://www.legislation.gov.au/Series/F2014L01584" TargetMode="External"/><Relationship Id="rId77" Type="http://schemas.openxmlformats.org/officeDocument/2006/relationships/image" Target="media/image20.png"/><Relationship Id="rId100" Type="http://schemas.openxmlformats.org/officeDocument/2006/relationships/hyperlink" Target="https://myriota.com/2021/03/23/myriota-launches-commercial-service-in-the-united-states-and-canada-with-second-generation-nanosatellites/" TargetMode="External"/><Relationship Id="rId105" Type="http://schemas.openxmlformats.org/officeDocument/2006/relationships/hyperlink" Target="https://www.itu.int/pub/R-REP-SA.2312-2014" TargetMode="External"/><Relationship Id="rId8" Type="http://schemas.openxmlformats.org/officeDocument/2006/relationships/image" Target="media/image1.png"/><Relationship Id="rId51" Type="http://schemas.openxmlformats.org/officeDocument/2006/relationships/hyperlink" Target="https://virginorbit.com/technology/" TargetMode="External"/><Relationship Id="rId72" Type="http://schemas.openxmlformats.org/officeDocument/2006/relationships/hyperlink" Target="https://www.acma.gov.au/publications/2019-11/form/australian-procedures-coordination-notification-satellite-systems" TargetMode="External"/><Relationship Id="rId80" Type="http://schemas.openxmlformats.org/officeDocument/2006/relationships/hyperlink" Target="https://www.speedcast.com/newsroom/press-releases/2019/speedcast-now-offers-iridium-certus-commercially-to-land-and-maritime-customers/" TargetMode="External"/><Relationship Id="rId85" Type="http://schemas.openxmlformats.org/officeDocument/2006/relationships/hyperlink" Target="https://www.viasat.com/about/newsroom/press-releases/viasat-announces-definitive-agreement-acquire-rignet/" TargetMode="External"/><Relationship Id="rId93" Type="http://schemas.openxmlformats.org/officeDocument/2006/relationships/hyperlink" Target="https://spaceflight.com/" TargetMode="External"/><Relationship Id="rId98" Type="http://schemas.openxmlformats.org/officeDocument/2006/relationships/hyperlink" Target="https://www.industry.gov.au/news-media/australian-space-agency-news/australian-space-agency-signs-with-goonhilly-earth-station"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mailto:info@acma.gov.au" TargetMode="External"/><Relationship Id="rId25" Type="http://schemas.openxmlformats.org/officeDocument/2006/relationships/footer" Target="footer6.xml"/><Relationship Id="rId33" Type="http://schemas.openxmlformats.org/officeDocument/2006/relationships/image" Target="media/image8.svg"/><Relationship Id="rId38" Type="http://schemas.openxmlformats.org/officeDocument/2006/relationships/image" Target="media/image13.png"/><Relationship Id="rId46" Type="http://schemas.openxmlformats.org/officeDocument/2006/relationships/hyperlink" Target="https://www.oecd-ilibrary.org/sites/c5996201-en/1/2/1/index.html?itemId=/content/publication/c5996201-en&amp;_csp_=ffe5a6bbc1382ae4f0ead9dd2da73ff4&amp;itemIGO=oecd&amp;itemContentType=book" TargetMode="External"/><Relationship Id="rId59" Type="http://schemas.openxmlformats.org/officeDocument/2006/relationships/hyperlink" Target="https://www.aph.gov.au/DocumentStore.ashx?id=5d027daf-6041-468f-995a-5cd75b7126f7&amp;subId=700603" TargetMode="External"/><Relationship Id="rId67" Type="http://schemas.openxmlformats.org/officeDocument/2006/relationships/hyperlink" Target="https://www.acma.gov.au/five-year-spectrum-outlook" TargetMode="External"/><Relationship Id="rId103" Type="http://schemas.openxmlformats.org/officeDocument/2006/relationships/hyperlink" Target="https://www.itu.int/pub/R-REP-SA.2312-2014" TargetMode="External"/><Relationship Id="rId108" Type="http://schemas.openxmlformats.org/officeDocument/2006/relationships/header" Target="header9.xml"/><Relationship Id="rId20" Type="http://schemas.openxmlformats.org/officeDocument/2006/relationships/footer" Target="footer3.xml"/><Relationship Id="rId41" Type="http://schemas.openxmlformats.org/officeDocument/2006/relationships/image" Target="media/image16.png"/><Relationship Id="rId54" Type="http://schemas.openxmlformats.org/officeDocument/2006/relationships/image" Target="media/image19.png"/><Relationship Id="rId62" Type="http://schemas.openxmlformats.org/officeDocument/2006/relationships/hyperlink" Target="https://www.industry.gov.au/sites/default/files/2020-12/communications-services-and-technologies-roadmap.pdf" TargetMode="External"/><Relationship Id="rId70" Type="http://schemas.openxmlformats.org/officeDocument/2006/relationships/hyperlink" Target="https://www.legislation.gov.au/Details/F2020C00197" TargetMode="External"/><Relationship Id="rId75" Type="http://schemas.openxmlformats.org/officeDocument/2006/relationships/hyperlink" Target="https://www.acma.gov.au/sites/default/files/2019-09/Embargo%20No%2072%20pdf_0.pdf" TargetMode="External"/><Relationship Id="rId83" Type="http://schemas.openxmlformats.org/officeDocument/2006/relationships/hyperlink" Target="https://www.optus.com.au/about/media-centre/media-releases/2020/07/optus_set_to_launch_game_changing_new_satellite_in_2023" TargetMode="External"/><Relationship Id="rId88" Type="http://schemas.openxmlformats.org/officeDocument/2006/relationships/hyperlink" Target="https://omnispace.com/anywaves-selected-by-thales-alenia-space-for-omnispaces-first-space-and-ground-5g-network/" TargetMode="External"/><Relationship Id="rId91" Type="http://schemas.openxmlformats.org/officeDocument/2006/relationships/hyperlink" Target="http://www.vertical-m2m.com/iot-resources/astrocast-and-vertical-m2m-partner-to-bring-two-way-communications-iot-solutions-to-industries-with-remote-assets" TargetMode="External"/><Relationship Id="rId96" Type="http://schemas.openxmlformats.org/officeDocument/2006/relationships/hyperlink" Target="https://startupnews.com.au/2020/02/21/curtin-satellites-go-for-launch/?utm_campaign=curtin-satellites-go-for-launch&amp;utm_medium=rss&amp;utm_source=rss" TargetMode="External"/><Relationship Id="rId11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header" Target="header7.xml"/><Relationship Id="rId28" Type="http://schemas.openxmlformats.org/officeDocument/2006/relationships/hyperlink" Target="https://www.industry.gov.au/funding-and-incentives/supporting-space-infrastructure-growth" TargetMode="External"/><Relationship Id="rId36" Type="http://schemas.openxmlformats.org/officeDocument/2006/relationships/image" Target="media/image11.png"/><Relationship Id="rId49" Type="http://schemas.openxmlformats.org/officeDocument/2006/relationships/hyperlink" Target="https://ela.space/what/" TargetMode="External"/><Relationship Id="rId57" Type="http://schemas.openxmlformats.org/officeDocument/2006/relationships/hyperlink" Target="https://www.business.gov.au/grants-and-programs/international-space-investment-expand-capability-grants" TargetMode="External"/><Relationship Id="rId106" Type="http://schemas.openxmlformats.org/officeDocument/2006/relationships/hyperlink" Target="https://www.itu.int/pub/R-REP-M.2477-2019" TargetMode="External"/><Relationship Id="rId10" Type="http://schemas.openxmlformats.org/officeDocument/2006/relationships/header" Target="header2.xml"/><Relationship Id="rId31" Type="http://schemas.openxmlformats.org/officeDocument/2006/relationships/image" Target="media/image6.svg"/><Relationship Id="rId44" Type="http://schemas.openxmlformats.org/officeDocument/2006/relationships/image" Target="media/image18.png"/><Relationship Id="rId52" Type="http://schemas.openxmlformats.org/officeDocument/2006/relationships/hyperlink" Target="https://firefly.com/about/" TargetMode="External"/><Relationship Id="rId60" Type="http://schemas.openxmlformats.org/officeDocument/2006/relationships/hyperlink" Target="https://www.industry.gov.au/news/australian-space-discovery-centre-is-go-for-launch" TargetMode="External"/><Relationship Id="rId65" Type="http://schemas.openxmlformats.org/officeDocument/2006/relationships/hyperlink" Target="https://www.cuava.com.au/about/" TargetMode="External"/><Relationship Id="rId73" Type="http://schemas.openxmlformats.org/officeDocument/2006/relationships/chart" Target="charts/chart1.xml"/><Relationship Id="rId78" Type="http://schemas.openxmlformats.org/officeDocument/2006/relationships/hyperlink" Target="https://www.industry.gov.au/data-and-publications/definition-of-the-australian-space-sector/activities-included-in-the-space-sector" TargetMode="External"/><Relationship Id="rId81" Type="http://schemas.openxmlformats.org/officeDocument/2006/relationships/hyperlink" Target="https://www.pivotel.com.au/2019/01/21/iridium-certus-goes-live-3-billion-next-satellite-constellation-launch-complete/" TargetMode="External"/><Relationship Id="rId86" Type="http://schemas.openxmlformats.org/officeDocument/2006/relationships/hyperlink" Target="https://advanced-television.com/2020/10/14/facebook-enters-satellite-business/" TargetMode="External"/><Relationship Id="rId94" Type="http://schemas.openxmlformats.org/officeDocument/2006/relationships/hyperlink" Target="https://www.curtin.edu.au/change-is-here/cubesats-research/" TargetMode="External"/><Relationship Id="rId99" Type="http://schemas.openxmlformats.org/officeDocument/2006/relationships/hyperlink" Target="https://myriota.com/2021/01/20/myriota-joins-ground-breaking-south-australian-space-services-mission/" TargetMode="External"/><Relationship Id="rId101" Type="http://schemas.openxmlformats.org/officeDocument/2006/relationships/hyperlink" Target="https://www.nasa.gov/content/what-are-smallsats-and-cubesats" TargetMode="Externa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eader" Target="header4.xml"/><Relationship Id="rId39" Type="http://schemas.openxmlformats.org/officeDocument/2006/relationships/image" Target="media/image14.svg"/><Relationship Id="rId109" Type="http://schemas.openxmlformats.org/officeDocument/2006/relationships/footer" Target="footer8.xml"/><Relationship Id="rId34" Type="http://schemas.openxmlformats.org/officeDocument/2006/relationships/image" Target="media/image9.png"/><Relationship Id="rId50" Type="http://schemas.openxmlformats.org/officeDocument/2006/relationships/hyperlink" Target="https://www.rocketlabusa.com/rockets/electron/" TargetMode="External"/><Relationship Id="rId55" Type="http://schemas.openxmlformats.org/officeDocument/2006/relationships/hyperlink" Target="https://www.nanosats.eu/" TargetMode="External"/><Relationship Id="rId76" Type="http://schemas.openxmlformats.org/officeDocument/2006/relationships/hyperlink" Target="https://www.acma.gov.au/publications/2019-08/instruction/frequency-coordination-procedures-earth-station-protection-zones" TargetMode="External"/><Relationship Id="rId97" Type="http://schemas.openxmlformats.org/officeDocument/2006/relationships/hyperlink" Target="https://www.gspacetech.com/post/gilmour-space-to-launch-fleet-satellites-in-2023" TargetMode="External"/><Relationship Id="rId104" Type="http://schemas.openxmlformats.org/officeDocument/2006/relationships/hyperlink" Target="https://www.itu.int/pub/R-REP-SA.2312-2014" TargetMode="External"/><Relationship Id="rId7" Type="http://schemas.openxmlformats.org/officeDocument/2006/relationships/endnotes" Target="endnotes.xml"/><Relationship Id="rId71" Type="http://schemas.openxmlformats.org/officeDocument/2006/relationships/hyperlink" Target="https://www.acma.gov.au/consultations/2020-12/update-foreign-space-objects-determination-and-australian-space-objects-determination-consultation-412020" TargetMode="External"/><Relationship Id="rId92" Type="http://schemas.openxmlformats.org/officeDocument/2006/relationships/hyperlink" Target="http://www.vertical-m2m.com/"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3" Type="http://schemas.openxmlformats.org/officeDocument/2006/relationships/hyperlink" Target="https://brycetech.com/reports/report-documents/Orbital_Launches_Year_in_Review_2019.pdf" TargetMode="External"/><Relationship Id="rId18" Type="http://schemas.openxmlformats.org/officeDocument/2006/relationships/hyperlink" Target="https://www.defenceconnect.com.au/key-enablers/6859-air-force-celebrates-first-domestic-space-payload-launch" TargetMode="External"/><Relationship Id="rId26" Type="http://schemas.openxmlformats.org/officeDocument/2006/relationships/hyperlink" Target="https://www.ucsusa.org/resources/satellite-database" TargetMode="External"/><Relationship Id="rId39" Type="http://schemas.openxmlformats.org/officeDocument/2006/relationships/hyperlink" Target="https://www.industry.gov.au/data-and-publications/definition-of-the-australian-space-sector/activities-included-in-the-space-sector" TargetMode="External"/><Relationship Id="rId21" Type="http://schemas.openxmlformats.org/officeDocument/2006/relationships/hyperlink" Target="https://www.sdo.esoc.esa.int/environment_report/Space_Environment_Report_latest.pdf" TargetMode="External"/><Relationship Id="rId34" Type="http://schemas.openxmlformats.org/officeDocument/2006/relationships/hyperlink" Target="https://www.industry.gov.au/sites/default/files/2020-05/state-of-space-report-2018-19.pdf" TargetMode="External"/><Relationship Id="rId42" Type="http://schemas.openxmlformats.org/officeDocument/2006/relationships/hyperlink" Target="https://www.baicommunications.com/about-us/" TargetMode="External"/><Relationship Id="rId47" Type="http://schemas.openxmlformats.org/officeDocument/2006/relationships/hyperlink" Target="https://www.optus.com.au/about/network/satellite" TargetMode="External"/><Relationship Id="rId50" Type="http://schemas.openxmlformats.org/officeDocument/2006/relationships/hyperlink" Target="https://www.speedcast.com/newsroom/press-releases/2021/speedcast-announces-successful-completion-of-restructuring-and-emergence-under-new-ownership-by-centerbridge/" TargetMode="External"/><Relationship Id="rId55" Type="http://schemas.openxmlformats.org/officeDocument/2006/relationships/hyperlink" Target="https://www.capitaliq.com/CIQDotNet/Financial/KeyStats.aspx?companyId=878437&amp;statekey=c453d653f2f34d13919d91e1860c168d" TargetMode="External"/><Relationship Id="rId63" Type="http://schemas.openxmlformats.org/officeDocument/2006/relationships/hyperlink" Target="https://www.kineis.com/en/activites/transport-and-logistics/" TargetMode="External"/><Relationship Id="rId68" Type="http://schemas.openxmlformats.org/officeDocument/2006/relationships/hyperlink" Target="https://omnispace.com/wp-content/uploads/2019/04/Omnispace_Overview_Brochure_SP2.pdf" TargetMode="External"/><Relationship Id="rId76" Type="http://schemas.openxmlformats.org/officeDocument/2006/relationships/hyperlink" Target="https://www.starlink.com/" TargetMode="External"/><Relationship Id="rId84" Type="http://schemas.openxmlformats.org/officeDocument/2006/relationships/hyperlink" Target="https://www.defence.gov.au/AboutUs.asp" TargetMode="External"/><Relationship Id="rId89" Type="http://schemas.openxmlformats.org/officeDocument/2006/relationships/hyperlink" Target="https://www.gspacetech.com/about" TargetMode="External"/><Relationship Id="rId7" Type="http://schemas.openxmlformats.org/officeDocument/2006/relationships/hyperlink" Target="https://brycetech.com/reports/report-documents/Bryce_Start_Up_Space_2020.pdf" TargetMode="External"/><Relationship Id="rId71" Type="http://schemas.openxmlformats.org/officeDocument/2006/relationships/hyperlink" Target="https://news.lockheedmartin.com/2020-11-05-Fourth-Lockheed-Martin-Built-GPS-III-Satellites-On-Board-Engine-Now-Propelling-It-To-Orbit?_ga=2.207159699.1609813678.1611699908-1301094090.1611699908" TargetMode="External"/><Relationship Id="rId92" Type="http://schemas.openxmlformats.org/officeDocument/2006/relationships/hyperlink" Target="https://www.goonhilly.org/about-us/about-ges-ltd" TargetMode="External"/><Relationship Id="rId2" Type="http://schemas.openxmlformats.org/officeDocument/2006/relationships/hyperlink" Target="https://read.oecd-ilibrary.org/view/?ref=135_135514-gg3eitmwa3&amp;title=The-impacts-of-COVID-19-on-the-space-industry" TargetMode="External"/><Relationship Id="rId16" Type="http://schemas.openxmlformats.org/officeDocument/2006/relationships/hyperlink" Target="https://brycetech.com/reports/report-documents/Bryce_Briefing_2020_Q3.pdf" TargetMode="External"/><Relationship Id="rId29" Type="http://schemas.openxmlformats.org/officeDocument/2006/relationships/hyperlink" Target="https://files.vocus.com.au/www/documents/Michael-Ackland_CommsDay.pdf?mtime=20201027094302" TargetMode="External"/><Relationship Id="rId11" Type="http://schemas.openxmlformats.org/officeDocument/2006/relationships/hyperlink" Target="https://brycetech.com/reports/report-documents/Bryce_Start_Up_Space_2020.pdf" TargetMode="External"/><Relationship Id="rId24" Type="http://schemas.openxmlformats.org/officeDocument/2006/relationships/hyperlink" Target="https://brycetech.com/reports/report-documents/Bryce_Briefing_2020_Q4.pdf" TargetMode="External"/><Relationship Id="rId32" Type="http://schemas.openxmlformats.org/officeDocument/2006/relationships/hyperlink" Target="https://brycetech.com/reports/report-documents/Bryce_Briefing_2020_Q4.pdf" TargetMode="External"/><Relationship Id="rId37" Type="http://schemas.openxmlformats.org/officeDocument/2006/relationships/hyperlink" Target="http://www.asta.net.au/" TargetMode="External"/><Relationship Id="rId40" Type="http://schemas.openxmlformats.org/officeDocument/2006/relationships/hyperlink" Target="https://www.industry.gov.au/data-and-publications/definition-of-the-australian-space-sector/activities-included-in-the-space-sector" TargetMode="External"/><Relationship Id="rId45" Type="http://schemas.openxmlformats.org/officeDocument/2006/relationships/hyperlink" Target="https://www.intelsat.com/resources/blog/intelsats-restructuring-will-help-transform-satellite-for-a-new-age-of-connectivity-a-qa-with-ceo-stephen-spengler/" TargetMode="External"/><Relationship Id="rId53" Type="http://schemas.openxmlformats.org/officeDocument/2006/relationships/hyperlink" Target="https://www.telesat.com/leo-satellites/performance-results/" TargetMode="External"/><Relationship Id="rId58" Type="http://schemas.openxmlformats.org/officeDocument/2006/relationships/hyperlink" Target="https://technology.globaldata.com/News/viasats-real-time-earth-ground-station-now-open-in-australia" TargetMode="External"/><Relationship Id="rId66" Type="http://schemas.openxmlformats.org/officeDocument/2006/relationships/hyperlink" Target="https://ast-science.com/" TargetMode="External"/><Relationship Id="rId74" Type="http://schemas.openxmlformats.org/officeDocument/2006/relationships/hyperlink" Target="https://web.acma.gov.au/rrl/access_area_search.map?pAREA_CODE=74" TargetMode="External"/><Relationship Id="rId79" Type="http://schemas.openxmlformats.org/officeDocument/2006/relationships/hyperlink" Target="http://www.bom.gov.au/careers/about.shtml" TargetMode="External"/><Relationship Id="rId87" Type="http://schemas.openxmlformats.org/officeDocument/2006/relationships/hyperlink" Target="https://www.nbnco.com.au/blog/the-nbn-project/nbn-technology-101-what-is-sky-muster" TargetMode="External"/><Relationship Id="rId5" Type="http://schemas.openxmlformats.org/officeDocument/2006/relationships/hyperlink" Target="https://www.morganstanley.com/ideas/investing-in-space" TargetMode="External"/><Relationship Id="rId61" Type="http://schemas.openxmlformats.org/officeDocument/2006/relationships/hyperlink" Target="https://kepler.space/network" TargetMode="External"/><Relationship Id="rId82" Type="http://schemas.openxmlformats.org/officeDocument/2006/relationships/hyperlink" Target="https://www.csiro.au/en/Research/Astronomy" TargetMode="External"/><Relationship Id="rId90" Type="http://schemas.openxmlformats.org/officeDocument/2006/relationships/hyperlink" Target="https://www.gspacetech.com/" TargetMode="External"/><Relationship Id="rId19" Type="http://schemas.openxmlformats.org/officeDocument/2006/relationships/hyperlink" Target="https://www.arianespace.com/mission-update/vv16-launch-success/" TargetMode="External"/><Relationship Id="rId14" Type="http://schemas.openxmlformats.org/officeDocument/2006/relationships/hyperlink" Target="https://brycetech.com/reports/report-documents/FAA_Annual_Compendium_2018.pdf" TargetMode="External"/><Relationship Id="rId22" Type="http://schemas.openxmlformats.org/officeDocument/2006/relationships/hyperlink" Target="https://www.sdo.esoc.esa.int/environment_report/Space_Environment_Report_latest.pdf" TargetMode="External"/><Relationship Id="rId27" Type="http://schemas.openxmlformats.org/officeDocument/2006/relationships/hyperlink" Target="http://www.euroconsult-ec.com/research/SS20_Brochure.pdf" TargetMode="External"/><Relationship Id="rId30" Type="http://schemas.openxmlformats.org/officeDocument/2006/relationships/hyperlink" Target="https://www.nanosats.eu/cubesat" TargetMode="External"/><Relationship Id="rId35" Type="http://schemas.openxmlformats.org/officeDocument/2006/relationships/hyperlink" Target="https://www.industry.gov.au/sites/default/files/2020-12/communications-services-and-technologies-roadmap.pdf" TargetMode="External"/><Relationship Id="rId43" Type="http://schemas.openxmlformats.org/officeDocument/2006/relationships/hyperlink" Target="https://www.globaleagle.com/our-company/news/press-releases/detail/234/global-eagle-receives-court-approval-for-sale" TargetMode="External"/><Relationship Id="rId48" Type="http://schemas.openxmlformats.org/officeDocument/2006/relationships/hyperlink" Target="https://www.pivotel.com.au/company-profile/" TargetMode="External"/><Relationship Id="rId56" Type="http://schemas.openxmlformats.org/officeDocument/2006/relationships/hyperlink" Target="https://skymusterplus.ipstarbroadband.com.au/?utm_source=IPSTAR%20Menu&amp;utm_medium=IPSTAR%20Menu%20Click&amp;utm_campaign=IPSTAR%20Menu" TargetMode="External"/><Relationship Id="rId64" Type="http://schemas.openxmlformats.org/officeDocument/2006/relationships/hyperlink" Target="https://www.satellitetoday.com/5g/2021/02/05/omnispace-ceo-determined-to-defy-convention-with-5g-satellite-constellation/" TargetMode="External"/><Relationship Id="rId69" Type="http://schemas.openxmlformats.org/officeDocument/2006/relationships/hyperlink" Target="https://www.oneweb.world/media-center/oneweb-files-for-chapter-11-restructuring-to-execute-sale-process" TargetMode="External"/><Relationship Id="rId77" Type="http://schemas.openxmlformats.org/officeDocument/2006/relationships/hyperlink" Target="https://www.starlink.com/faq" TargetMode="External"/><Relationship Id="rId8" Type="http://schemas.openxmlformats.org/officeDocument/2006/relationships/hyperlink" Target="https://brycetech.com/reports/report-documents/Bryce_Start_Up_Space_2020.pdf" TargetMode="External"/><Relationship Id="rId51" Type="http://schemas.openxmlformats.org/officeDocument/2006/relationships/hyperlink" Target="https://www.telesat.com/leo-satellites/performance-results/" TargetMode="External"/><Relationship Id="rId72" Type="http://schemas.openxmlformats.org/officeDocument/2006/relationships/hyperlink" Target="https://www.space.com/spacex-starlink-12-internet-satellites-launch" TargetMode="External"/><Relationship Id="rId80" Type="http://schemas.openxmlformats.org/officeDocument/2006/relationships/hyperlink" Target="http://www.bom.gov.au/australia/satellite/about_satellites.shtml" TargetMode="External"/><Relationship Id="rId85" Type="http://schemas.openxmlformats.org/officeDocument/2006/relationships/hyperlink" Target="https://www.defence.gov.au/annualreports/19-20/DAR_2019-20_Complete.pdf" TargetMode="External"/><Relationship Id="rId3" Type="http://schemas.openxmlformats.org/officeDocument/2006/relationships/hyperlink" Target="https://brycetech.com/reports/report-documents/SIA_SSIR_2020.pdf" TargetMode="External"/><Relationship Id="rId12" Type="http://schemas.openxmlformats.org/officeDocument/2006/relationships/hyperlink" Target="https://www.economist.com/graphic-detail/2018/10/18/the-space-race-is-dominated-by-new-contenders" TargetMode="External"/><Relationship Id="rId17" Type="http://schemas.openxmlformats.org/officeDocument/2006/relationships/hyperlink" Target="https://brycetech.com/reports/report-documents/Orbital_Launches_Year_in_Review_2018.pdf" TargetMode="External"/><Relationship Id="rId25" Type="http://schemas.openxmlformats.org/officeDocument/2006/relationships/hyperlink" Target="https://www.oecd-ilibrary.org/sites/c5996201-en/1/2/1/index.html?itemId=/content/publication/c5996201-en&amp;_csp_=ffe5a6bbc1382ae4f0ead9dd2da73ff4&amp;itemIGO=oecd&amp;itemContentType=book" TargetMode="External"/><Relationship Id="rId33" Type="http://schemas.openxmlformats.org/officeDocument/2006/relationships/hyperlink" Target="https://brycetech.com/reports/report-documents/Bryce_Briefing_2020_Q3.pdf" TargetMode="External"/><Relationship Id="rId38" Type="http://schemas.openxmlformats.org/officeDocument/2006/relationships/hyperlink" Target="https://www.industry.gov.au/data-and-publications/definition-of-the-australian-space-sector/defining-the-australian-space-sector" TargetMode="External"/><Relationship Id="rId46" Type="http://schemas.openxmlformats.org/officeDocument/2006/relationships/hyperlink" Target="https://www.singtel.com/about-Us/investor-relations/financial-results" TargetMode="External"/><Relationship Id="rId59" Type="http://schemas.openxmlformats.org/officeDocument/2006/relationships/hyperlink" Target="https://platform.marketintelligence.spglobal.com/web/client?auth=inherit" TargetMode="External"/><Relationship Id="rId67" Type="http://schemas.openxmlformats.org/officeDocument/2006/relationships/hyperlink" Target="https://lynk.world/our-technology" TargetMode="External"/><Relationship Id="rId20" Type="http://schemas.openxmlformats.org/officeDocument/2006/relationships/hyperlink" Target="https://www.arianespace.com/mission-update/vv16-launch-success/" TargetMode="External"/><Relationship Id="rId41" Type="http://schemas.openxmlformats.org/officeDocument/2006/relationships/hyperlink" Target="https://www.asiasat.com/aboutus" TargetMode="External"/><Relationship Id="rId54" Type="http://schemas.openxmlformats.org/officeDocument/2006/relationships/hyperlink" Target="https://www.telstra.com.sg/content/dam/shared-component-assets/tecom/networks/satellite-services/satellite-services/Telstra_Satellite_Services-Wholesale_Datasheet.pdf" TargetMode="External"/><Relationship Id="rId62" Type="http://schemas.openxmlformats.org/officeDocument/2006/relationships/hyperlink" Target="https://platform.marketintelligence.spglobal.com/web/client?auth=inherit" TargetMode="External"/><Relationship Id="rId70" Type="http://schemas.openxmlformats.org/officeDocument/2006/relationships/hyperlink" Target="https://www.oneweb.world/media-center/oneweb-and-arianespace-to-restart-launches-in-december-2020" TargetMode="External"/><Relationship Id="rId75" Type="http://schemas.openxmlformats.org/officeDocument/2006/relationships/hyperlink" Target="https://www.zdnet.com/article/spacex-starlink-picks-up-australian-5g-mmwave-spectrum/" TargetMode="External"/><Relationship Id="rId83" Type="http://schemas.openxmlformats.org/officeDocument/2006/relationships/hyperlink" Target="https://www.csiro.au/en/Research/Astronomy" TargetMode="External"/><Relationship Id="rId88" Type="http://schemas.openxmlformats.org/officeDocument/2006/relationships/hyperlink" Target="https://www.nbnco.com.au/blog/the-nbn-project/100000-reasons-to-love-nbn-sky-muster-satellite-service" TargetMode="External"/><Relationship Id="rId91" Type="http://schemas.openxmlformats.org/officeDocument/2006/relationships/hyperlink" Target="https://www.capricornspace.com.au/company" TargetMode="External"/><Relationship Id="rId1" Type="http://schemas.openxmlformats.org/officeDocument/2006/relationships/hyperlink" Target="https://www.industry.gov.au/data-and-publications/definition-of-the-australian-space-sector/defining-the-australian-space-sector" TargetMode="External"/><Relationship Id="rId6" Type="http://schemas.openxmlformats.org/officeDocument/2006/relationships/hyperlink" Target="https://www.oecd-ilibrary.org/sites/c5996201-en/1/2/1/index.html?itemId=/content/publication/c5996201-en&amp;_csp_=ffe5a6bbc1382ae4f0ead9dd2da73ff4&amp;itemIGO=oecd&amp;itemContentType=book" TargetMode="External"/><Relationship Id="rId15" Type="http://schemas.openxmlformats.org/officeDocument/2006/relationships/hyperlink" Target="https://brycetech.com/reports/report-documents/Bryce_Briefing_2020_Q4.pdf" TargetMode="External"/><Relationship Id="rId23" Type="http://schemas.openxmlformats.org/officeDocument/2006/relationships/hyperlink" Target="https://brycetech.com/reports/report-documents/Bryce_Briefing_2020_Q3.pdf" TargetMode="External"/><Relationship Id="rId28" Type="http://schemas.openxmlformats.org/officeDocument/2006/relationships/hyperlink" Target="http://www.euroconsult-ec.com/research/SS20_Brochure.pdf" TargetMode="External"/><Relationship Id="rId36" Type="http://schemas.openxmlformats.org/officeDocument/2006/relationships/hyperlink" Target="https://www.industry.gov.au/sites/default/files/2020-12/communications-services-and-technologies-roadmap.pdf" TargetMode="External"/><Relationship Id="rId49" Type="http://schemas.openxmlformats.org/officeDocument/2006/relationships/hyperlink" Target="https://omnispace.com/omnispace-continues-to-advance-the-development-of-its-global-5g-hybrid-mobile-network/" TargetMode="External"/><Relationship Id="rId57" Type="http://schemas.openxmlformats.org/officeDocument/2006/relationships/hyperlink" Target="https://spacenews.com/viasat-expanding-into-crowded-ground-as-a-service-business/" TargetMode="External"/><Relationship Id="rId10" Type="http://schemas.openxmlformats.org/officeDocument/2006/relationships/hyperlink" Target="https://www.spglobal.com/marketintelligence/en/news-insights/latest-news-headlines/3-satellite-bankruptcies-in-3-months-what-happened-and-who-could-be-next-58854554" TargetMode="External"/><Relationship Id="rId31" Type="http://schemas.openxmlformats.org/officeDocument/2006/relationships/hyperlink" Target="https://www.nanosats.eu/" TargetMode="External"/><Relationship Id="rId44" Type="http://schemas.openxmlformats.org/officeDocument/2006/relationships/hyperlink" Target="https://www.n2yo.com/satellites/?c=17" TargetMode="External"/><Relationship Id="rId52" Type="http://schemas.openxmlformats.org/officeDocument/2006/relationships/hyperlink" Target="file:///C:/Users/mgrosso/OneDrive%20-%20Australian%20Communications%20and%20Media%20Authority/Downloads/press_release_q2_2020_2%20(1).pdf" TargetMode="External"/><Relationship Id="rId60" Type="http://schemas.openxmlformats.org/officeDocument/2006/relationships/hyperlink" Target="https://www.lightreading.com/iot/facebook-goes-to-space/d/d-id/764542" TargetMode="External"/><Relationship Id="rId65" Type="http://schemas.openxmlformats.org/officeDocument/2006/relationships/hyperlink" Target="https://omnispace.com/lockheed-martin-and-omnispace-explore-space-based-5g-global-network/" TargetMode="External"/><Relationship Id="rId73" Type="http://schemas.openxmlformats.org/officeDocument/2006/relationships/hyperlink" Target="https://www.space.com/spacex-starlink-12-internet-satellites-launch" TargetMode="External"/><Relationship Id="rId78" Type="http://schemas.openxmlformats.org/officeDocument/2006/relationships/hyperlink" Target="http://www.bom.gov.au/inside/eiab/reports/ar19-20/annualReport/Annual_Report_2019-20.pdf" TargetMode="External"/><Relationship Id="rId81" Type="http://schemas.openxmlformats.org/officeDocument/2006/relationships/hyperlink" Target="https://www.csiro.au/en/About" TargetMode="External"/><Relationship Id="rId86" Type="http://schemas.openxmlformats.org/officeDocument/2006/relationships/hyperlink" Target="https://www.nbnco.com.au/corporate-information/about-nbn-co" TargetMode="External"/><Relationship Id="rId4" Type="http://schemas.openxmlformats.org/officeDocument/2006/relationships/hyperlink" Target="https://www.morganstanley.com/ideas/investing-in-space" TargetMode="External"/><Relationship Id="rId9" Type="http://schemas.openxmlformats.org/officeDocument/2006/relationships/hyperlink" Target="https://www.oecd-ilibrary.org/sites/c5996201-en/1/2/1/index.html?itemId=/content/publication/c5996201-en&amp;_csp_=ffe5a6bbc1382ae4f0ead9dd2da73ff4&amp;itemIGO=oecd&amp;itemContentType=boo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oleObject" Target="file:///C:\Users\marka\AppData\Local\Microsoft\Windows\INetCache\Content.Outlook\V4G8D665\Number%20of%20applications%20to%20file%20with%20the%20ITU%20BR.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Sheet1!$E$16</c:f>
              <c:strCache>
                <c:ptCount val="1"/>
                <c:pt idx="0">
                  <c:v>0</c:v>
                </c:pt>
              </c:strCache>
            </c:strRef>
          </c:tx>
          <c:spPr>
            <a:solidFill>
              <a:schemeClr val="accent1"/>
            </a:solidFill>
            <a:ln>
              <a:noFill/>
            </a:ln>
            <a:effectLst/>
          </c:spPr>
          <c:invertIfNegative val="0"/>
          <c:cat>
            <c:numRef>
              <c:f>Sheet1!$D$16:$D$37</c:f>
              <c:numCache>
                <c:formatCode>General</c:formatCod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numCache>
            </c:numRef>
          </c:cat>
          <c:val>
            <c:numRef>
              <c:f>Sheet1!$E$16:$E$37</c:f>
              <c:numCache>
                <c:formatCode>General</c:formatCode>
                <c:ptCount val="22"/>
                <c:pt idx="0">
                  <c:v>0</c:v>
                </c:pt>
                <c:pt idx="1">
                  <c:v>2</c:v>
                </c:pt>
                <c:pt idx="2">
                  <c:v>2</c:v>
                </c:pt>
                <c:pt idx="3">
                  <c:v>0</c:v>
                </c:pt>
                <c:pt idx="4">
                  <c:v>0</c:v>
                </c:pt>
                <c:pt idx="5">
                  <c:v>13</c:v>
                </c:pt>
                <c:pt idx="6">
                  <c:v>2</c:v>
                </c:pt>
                <c:pt idx="7">
                  <c:v>2</c:v>
                </c:pt>
                <c:pt idx="8">
                  <c:v>11</c:v>
                </c:pt>
                <c:pt idx="9">
                  <c:v>5</c:v>
                </c:pt>
                <c:pt idx="10">
                  <c:v>3</c:v>
                </c:pt>
                <c:pt idx="11">
                  <c:v>7</c:v>
                </c:pt>
                <c:pt idx="12">
                  <c:v>0</c:v>
                </c:pt>
                <c:pt idx="13">
                  <c:v>2</c:v>
                </c:pt>
                <c:pt idx="14">
                  <c:v>0</c:v>
                </c:pt>
                <c:pt idx="15">
                  <c:v>9</c:v>
                </c:pt>
                <c:pt idx="16">
                  <c:v>0</c:v>
                </c:pt>
                <c:pt idx="17">
                  <c:v>3</c:v>
                </c:pt>
                <c:pt idx="18">
                  <c:v>2</c:v>
                </c:pt>
                <c:pt idx="19">
                  <c:v>9</c:v>
                </c:pt>
                <c:pt idx="20">
                  <c:v>9</c:v>
                </c:pt>
                <c:pt idx="21">
                  <c:v>4</c:v>
                </c:pt>
              </c:numCache>
            </c:numRef>
          </c:val>
          <c:extLst>
            <c:ext xmlns:c16="http://schemas.microsoft.com/office/drawing/2014/chart" uri="{C3380CC4-5D6E-409C-BE32-E72D297353CC}">
              <c16:uniqueId val="{00000000-B11D-45FD-87F4-243D006B67B2}"/>
            </c:ext>
          </c:extLst>
        </c:ser>
        <c:dLbls>
          <c:showLegendKey val="0"/>
          <c:showVal val="0"/>
          <c:showCatName val="0"/>
          <c:showSerName val="0"/>
          <c:showPercent val="0"/>
          <c:showBubbleSize val="0"/>
        </c:dLbls>
        <c:gapWidth val="100"/>
        <c:axId val="430443240"/>
        <c:axId val="430447176"/>
      </c:barChart>
      <c:catAx>
        <c:axId val="430443240"/>
        <c:scaling>
          <c:orientation val="minMax"/>
        </c:scaling>
        <c:delete val="0"/>
        <c:axPos val="b"/>
        <c:numFmt formatCode="General" sourceLinked="1"/>
        <c:majorTickMark val="in"/>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30447176"/>
        <c:crosses val="autoZero"/>
        <c:auto val="1"/>
        <c:lblAlgn val="ctr"/>
        <c:lblOffset val="100"/>
        <c:noMultiLvlLbl val="0"/>
      </c:catAx>
      <c:valAx>
        <c:axId val="43044717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30443240"/>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47</Pages>
  <Words>12432</Words>
  <Characters>70867</Characters>
  <Application>Microsoft Office Word</Application>
  <DocSecurity>0</DocSecurity>
  <Lines>590</Lines>
  <Paragraphs>166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83133</CharactersWithSpaces>
  <SharedDoc>false</SharedDoc>
  <HyperlinkBase/>
  <HLinks>
    <vt:vector size="1098" baseType="variant">
      <vt:variant>
        <vt:i4>4325462</vt:i4>
      </vt:variant>
      <vt:variant>
        <vt:i4>345</vt:i4>
      </vt:variant>
      <vt:variant>
        <vt:i4>0</vt:i4>
      </vt:variant>
      <vt:variant>
        <vt:i4>5</vt:i4>
      </vt:variant>
      <vt:variant>
        <vt:lpwstr>https://www.itu.int/pub/R-REP-M.2477-2019</vt:lpwstr>
      </vt:variant>
      <vt:variant>
        <vt:lpwstr/>
      </vt:variant>
      <vt:variant>
        <vt:i4>2556028</vt:i4>
      </vt:variant>
      <vt:variant>
        <vt:i4>342</vt:i4>
      </vt:variant>
      <vt:variant>
        <vt:i4>0</vt:i4>
      </vt:variant>
      <vt:variant>
        <vt:i4>5</vt:i4>
      </vt:variant>
      <vt:variant>
        <vt:lpwstr>https://www.itu.int/pub/R-REP-SA.2312-2014</vt:lpwstr>
      </vt:variant>
      <vt:variant>
        <vt:lpwstr/>
      </vt:variant>
      <vt:variant>
        <vt:i4>2556028</vt:i4>
      </vt:variant>
      <vt:variant>
        <vt:i4>339</vt:i4>
      </vt:variant>
      <vt:variant>
        <vt:i4>0</vt:i4>
      </vt:variant>
      <vt:variant>
        <vt:i4>5</vt:i4>
      </vt:variant>
      <vt:variant>
        <vt:lpwstr>https://www.itu.int/pub/R-REP-SA.2312-2014</vt:lpwstr>
      </vt:variant>
      <vt:variant>
        <vt:lpwstr/>
      </vt:variant>
      <vt:variant>
        <vt:i4>2556028</vt:i4>
      </vt:variant>
      <vt:variant>
        <vt:i4>336</vt:i4>
      </vt:variant>
      <vt:variant>
        <vt:i4>0</vt:i4>
      </vt:variant>
      <vt:variant>
        <vt:i4>5</vt:i4>
      </vt:variant>
      <vt:variant>
        <vt:lpwstr>https://www.itu.int/pub/R-REP-SA.2312-2014</vt:lpwstr>
      </vt:variant>
      <vt:variant>
        <vt:lpwstr/>
      </vt:variant>
      <vt:variant>
        <vt:i4>2556028</vt:i4>
      </vt:variant>
      <vt:variant>
        <vt:i4>333</vt:i4>
      </vt:variant>
      <vt:variant>
        <vt:i4>0</vt:i4>
      </vt:variant>
      <vt:variant>
        <vt:i4>5</vt:i4>
      </vt:variant>
      <vt:variant>
        <vt:lpwstr>https://www.itu.int/pub/R-REP-SA.2312-2014</vt:lpwstr>
      </vt:variant>
      <vt:variant>
        <vt:lpwstr/>
      </vt:variant>
      <vt:variant>
        <vt:i4>4915230</vt:i4>
      </vt:variant>
      <vt:variant>
        <vt:i4>330</vt:i4>
      </vt:variant>
      <vt:variant>
        <vt:i4>0</vt:i4>
      </vt:variant>
      <vt:variant>
        <vt:i4>5</vt:i4>
      </vt:variant>
      <vt:variant>
        <vt:lpwstr>https://www.nasa.gov/content/what-are-smallsats-and-cubesats</vt:lpwstr>
      </vt:variant>
      <vt:variant>
        <vt:lpwstr/>
      </vt:variant>
      <vt:variant>
        <vt:i4>393296</vt:i4>
      </vt:variant>
      <vt:variant>
        <vt:i4>327</vt:i4>
      </vt:variant>
      <vt:variant>
        <vt:i4>0</vt:i4>
      </vt:variant>
      <vt:variant>
        <vt:i4>5</vt:i4>
      </vt:variant>
      <vt:variant>
        <vt:lpwstr>https://myriota.com/2021/03/23/myriota-launches-commercial-service-in-the-united-states-and-canada-with-second-generation-nanosatellites/</vt:lpwstr>
      </vt:variant>
      <vt:variant>
        <vt:lpwstr/>
      </vt:variant>
      <vt:variant>
        <vt:i4>524294</vt:i4>
      </vt:variant>
      <vt:variant>
        <vt:i4>324</vt:i4>
      </vt:variant>
      <vt:variant>
        <vt:i4>0</vt:i4>
      </vt:variant>
      <vt:variant>
        <vt:i4>5</vt:i4>
      </vt:variant>
      <vt:variant>
        <vt:lpwstr>https://myriota.com/2021/01/20/myriota-joins-ground-breaking-south-australian-space-services-mission/</vt:lpwstr>
      </vt:variant>
      <vt:variant>
        <vt:lpwstr/>
      </vt:variant>
      <vt:variant>
        <vt:i4>2687028</vt:i4>
      </vt:variant>
      <vt:variant>
        <vt:i4>321</vt:i4>
      </vt:variant>
      <vt:variant>
        <vt:i4>0</vt:i4>
      </vt:variant>
      <vt:variant>
        <vt:i4>5</vt:i4>
      </vt:variant>
      <vt:variant>
        <vt:lpwstr>https://www.industry.gov.au/news-media/australian-space-agency-news/australian-space-agency-signs-with-goonhilly-earth-station</vt:lpwstr>
      </vt:variant>
      <vt:variant>
        <vt:lpwstr/>
      </vt:variant>
      <vt:variant>
        <vt:i4>4587610</vt:i4>
      </vt:variant>
      <vt:variant>
        <vt:i4>318</vt:i4>
      </vt:variant>
      <vt:variant>
        <vt:i4>0</vt:i4>
      </vt:variant>
      <vt:variant>
        <vt:i4>5</vt:i4>
      </vt:variant>
      <vt:variant>
        <vt:lpwstr>https://www.gspacetech.com/post/gilmour-space-to-launch-fleet-satellites-in-2023</vt:lpwstr>
      </vt:variant>
      <vt:variant>
        <vt:lpwstr/>
      </vt:variant>
      <vt:variant>
        <vt:i4>3997697</vt:i4>
      </vt:variant>
      <vt:variant>
        <vt:i4>315</vt:i4>
      </vt:variant>
      <vt:variant>
        <vt:i4>0</vt:i4>
      </vt:variant>
      <vt:variant>
        <vt:i4>5</vt:i4>
      </vt:variant>
      <vt:variant>
        <vt:lpwstr>https://startupnews.com.au/2020/02/21/curtin-satellites-go-for-launch/?utm_campaign=curtin-satellites-go-for-launch&amp;utm_medium=rss&amp;utm_source=rss</vt:lpwstr>
      </vt:variant>
      <vt:variant>
        <vt:lpwstr/>
      </vt:variant>
      <vt:variant>
        <vt:i4>983125</vt:i4>
      </vt:variant>
      <vt:variant>
        <vt:i4>312</vt:i4>
      </vt:variant>
      <vt:variant>
        <vt:i4>0</vt:i4>
      </vt:variant>
      <vt:variant>
        <vt:i4>5</vt:i4>
      </vt:variant>
      <vt:variant>
        <vt:lpwstr>https://space-bd.com/en/</vt:lpwstr>
      </vt:variant>
      <vt:variant>
        <vt:lpwstr/>
      </vt:variant>
      <vt:variant>
        <vt:i4>7274534</vt:i4>
      </vt:variant>
      <vt:variant>
        <vt:i4>309</vt:i4>
      </vt:variant>
      <vt:variant>
        <vt:i4>0</vt:i4>
      </vt:variant>
      <vt:variant>
        <vt:i4>5</vt:i4>
      </vt:variant>
      <vt:variant>
        <vt:lpwstr>https://www.curtin.edu.au/change-is-here/cubesats-research/</vt:lpwstr>
      </vt:variant>
      <vt:variant>
        <vt:lpwstr/>
      </vt:variant>
      <vt:variant>
        <vt:i4>720966</vt:i4>
      </vt:variant>
      <vt:variant>
        <vt:i4>306</vt:i4>
      </vt:variant>
      <vt:variant>
        <vt:i4>0</vt:i4>
      </vt:variant>
      <vt:variant>
        <vt:i4>5</vt:i4>
      </vt:variant>
      <vt:variant>
        <vt:lpwstr>https://spaceflight.com/</vt:lpwstr>
      </vt:variant>
      <vt:variant>
        <vt:lpwstr/>
      </vt:variant>
      <vt:variant>
        <vt:i4>5636160</vt:i4>
      </vt:variant>
      <vt:variant>
        <vt:i4>303</vt:i4>
      </vt:variant>
      <vt:variant>
        <vt:i4>0</vt:i4>
      </vt:variant>
      <vt:variant>
        <vt:i4>5</vt:i4>
      </vt:variant>
      <vt:variant>
        <vt:lpwstr>http://www.vertical-m2m.com/</vt:lpwstr>
      </vt:variant>
      <vt:variant>
        <vt:lpwstr/>
      </vt:variant>
      <vt:variant>
        <vt:i4>2162807</vt:i4>
      </vt:variant>
      <vt:variant>
        <vt:i4>300</vt:i4>
      </vt:variant>
      <vt:variant>
        <vt:i4>0</vt:i4>
      </vt:variant>
      <vt:variant>
        <vt:i4>5</vt:i4>
      </vt:variant>
      <vt:variant>
        <vt:lpwstr>http://www.vertical-m2m.com/iot-resources/astrocast-and-vertical-m2m-partner-to-bring-two-way-communications-iot-solutions-to-industries-with-remote-assets</vt:lpwstr>
      </vt:variant>
      <vt:variant>
        <vt:lpwstr/>
      </vt:variant>
      <vt:variant>
        <vt:i4>2752620</vt:i4>
      </vt:variant>
      <vt:variant>
        <vt:i4>297</vt:i4>
      </vt:variant>
      <vt:variant>
        <vt:i4>0</vt:i4>
      </vt:variant>
      <vt:variant>
        <vt:i4>5</vt:i4>
      </vt:variant>
      <vt:variant>
        <vt:lpwstr>https://www.nbnco.com.au/corporate-information/media-centre/media-statements/coverage-increase-and-reduced-wholesale-prices-to-enhance-bss</vt:lpwstr>
      </vt:variant>
      <vt:variant>
        <vt:lpwstr/>
      </vt:variant>
      <vt:variant>
        <vt:i4>4784216</vt:i4>
      </vt:variant>
      <vt:variant>
        <vt:i4>294</vt:i4>
      </vt:variant>
      <vt:variant>
        <vt:i4>0</vt:i4>
      </vt:variant>
      <vt:variant>
        <vt:i4>5</vt:i4>
      </vt:variant>
      <vt:variant>
        <vt:lpwstr>https://omnispace.com/omnispace-selects-exolaunch-to-deliver-two-next-generation-satellites/</vt:lpwstr>
      </vt:variant>
      <vt:variant>
        <vt:lpwstr/>
      </vt:variant>
      <vt:variant>
        <vt:i4>4259929</vt:i4>
      </vt:variant>
      <vt:variant>
        <vt:i4>291</vt:i4>
      </vt:variant>
      <vt:variant>
        <vt:i4>0</vt:i4>
      </vt:variant>
      <vt:variant>
        <vt:i4>5</vt:i4>
      </vt:variant>
      <vt:variant>
        <vt:lpwstr>https://omnispace.com/anywaves-selected-by-thales-alenia-space-for-omnispaces-first-space-and-ground-5g-network/</vt:lpwstr>
      </vt:variant>
      <vt:variant>
        <vt:lpwstr/>
      </vt:variant>
      <vt:variant>
        <vt:i4>2687015</vt:i4>
      </vt:variant>
      <vt:variant>
        <vt:i4>288</vt:i4>
      </vt:variant>
      <vt:variant>
        <vt:i4>0</vt:i4>
      </vt:variant>
      <vt:variant>
        <vt:i4>5</vt:i4>
      </vt:variant>
      <vt:variant>
        <vt:lpwstr>http://www.lockheedmartin.com/onestepahead</vt:lpwstr>
      </vt:variant>
      <vt:variant>
        <vt:lpwstr/>
      </vt:variant>
      <vt:variant>
        <vt:i4>3932261</vt:i4>
      </vt:variant>
      <vt:variant>
        <vt:i4>285</vt:i4>
      </vt:variant>
      <vt:variant>
        <vt:i4>0</vt:i4>
      </vt:variant>
      <vt:variant>
        <vt:i4>5</vt:i4>
      </vt:variant>
      <vt:variant>
        <vt:lpwstr>https://advanced-television.com/2020/10/14/facebook-enters-satellite-business/</vt:lpwstr>
      </vt:variant>
      <vt:variant>
        <vt:lpwstr/>
      </vt:variant>
      <vt:variant>
        <vt:i4>6553718</vt:i4>
      </vt:variant>
      <vt:variant>
        <vt:i4>282</vt:i4>
      </vt:variant>
      <vt:variant>
        <vt:i4>0</vt:i4>
      </vt:variant>
      <vt:variant>
        <vt:i4>5</vt:i4>
      </vt:variant>
      <vt:variant>
        <vt:lpwstr>https://www.viasat.com/about/newsroom/press-releases/viasat-announces-definitive-agreement-acquire-rignet/</vt:lpwstr>
      </vt:variant>
      <vt:variant>
        <vt:lpwstr/>
      </vt:variant>
      <vt:variant>
        <vt:i4>3670053</vt:i4>
      </vt:variant>
      <vt:variant>
        <vt:i4>279</vt:i4>
      </vt:variant>
      <vt:variant>
        <vt:i4>0</vt:i4>
      </vt:variant>
      <vt:variant>
        <vt:i4>5</vt:i4>
      </vt:variant>
      <vt:variant>
        <vt:lpwstr>http://www.orionsat.com.au/</vt:lpwstr>
      </vt:variant>
      <vt:variant>
        <vt:lpwstr/>
      </vt:variant>
      <vt:variant>
        <vt:i4>1638442</vt:i4>
      </vt:variant>
      <vt:variant>
        <vt:i4>276</vt:i4>
      </vt:variant>
      <vt:variant>
        <vt:i4>0</vt:i4>
      </vt:variant>
      <vt:variant>
        <vt:i4>5</vt:i4>
      </vt:variant>
      <vt:variant>
        <vt:lpwstr>https://www.optus.com.au/about/media-centre/media-releases/2020/07/optus_set_to_launch_game_changing_new_satellite_in_2023</vt:lpwstr>
      </vt:variant>
      <vt:variant>
        <vt:lpwstr/>
      </vt:variant>
      <vt:variant>
        <vt:i4>327684</vt:i4>
      </vt:variant>
      <vt:variant>
        <vt:i4>273</vt:i4>
      </vt:variant>
      <vt:variant>
        <vt:i4>0</vt:i4>
      </vt:variant>
      <vt:variant>
        <vt:i4>5</vt:i4>
      </vt:variant>
      <vt:variant>
        <vt:lpwstr>https://www.optus.com.au/about/media-centre/media-releases/2020/07/Optus_satellite_foxtel_partnership_extended_to_2031</vt:lpwstr>
      </vt:variant>
      <vt:variant>
        <vt:lpwstr/>
      </vt:variant>
      <vt:variant>
        <vt:i4>7536760</vt:i4>
      </vt:variant>
      <vt:variant>
        <vt:i4>270</vt:i4>
      </vt:variant>
      <vt:variant>
        <vt:i4>0</vt:i4>
      </vt:variant>
      <vt:variant>
        <vt:i4>5</vt:i4>
      </vt:variant>
      <vt:variant>
        <vt:lpwstr>https://www.pivotel.com.au/2019/01/21/iridium-certus-goes-live-3-billion-next-satellite-constellation-launch-complete/</vt:lpwstr>
      </vt:variant>
      <vt:variant>
        <vt:lpwstr/>
      </vt:variant>
      <vt:variant>
        <vt:i4>3080245</vt:i4>
      </vt:variant>
      <vt:variant>
        <vt:i4>267</vt:i4>
      </vt:variant>
      <vt:variant>
        <vt:i4>0</vt:i4>
      </vt:variant>
      <vt:variant>
        <vt:i4>5</vt:i4>
      </vt:variant>
      <vt:variant>
        <vt:lpwstr>https://www.speedcast.com/newsroom/press-releases/2019/speedcast-now-offers-iridium-certus-commercially-to-land-and-maritime-customers/</vt:lpwstr>
      </vt:variant>
      <vt:variant>
        <vt:lpwstr/>
      </vt:variant>
      <vt:variant>
        <vt:i4>7208996</vt:i4>
      </vt:variant>
      <vt:variant>
        <vt:i4>264</vt:i4>
      </vt:variant>
      <vt:variant>
        <vt:i4>0</vt:i4>
      </vt:variant>
      <vt:variant>
        <vt:i4>5</vt:i4>
      </vt:variant>
      <vt:variant>
        <vt:lpwstr>https://www.inmarsat.com/en/news/latest-news/government/2021/australian-defence-force-takes-control-with-inmarsat-virtual-sat.html</vt:lpwstr>
      </vt:variant>
      <vt:variant>
        <vt:lpwstr/>
      </vt:variant>
      <vt:variant>
        <vt:i4>2752633</vt:i4>
      </vt:variant>
      <vt:variant>
        <vt:i4>261</vt:i4>
      </vt:variant>
      <vt:variant>
        <vt:i4>0</vt:i4>
      </vt:variant>
      <vt:variant>
        <vt:i4>5</vt:i4>
      </vt:variant>
      <vt:variant>
        <vt:lpwstr>https://www.industry.gov.au/data-and-publications/definition-of-the-australian-space-sector/activities-included-in-the-space-sector</vt:lpwstr>
      </vt:variant>
      <vt:variant>
        <vt:lpwstr/>
      </vt:variant>
      <vt:variant>
        <vt:i4>1310808</vt:i4>
      </vt:variant>
      <vt:variant>
        <vt:i4>258</vt:i4>
      </vt:variant>
      <vt:variant>
        <vt:i4>0</vt:i4>
      </vt:variant>
      <vt:variant>
        <vt:i4>5</vt:i4>
      </vt:variant>
      <vt:variant>
        <vt:lpwstr>https://www.acma.gov.au/publications/2019-08/instruction/frequency-coordination-procedures-earth-station-protection-zones</vt:lpwstr>
      </vt:variant>
      <vt:variant>
        <vt:lpwstr/>
      </vt:variant>
      <vt:variant>
        <vt:i4>393343</vt:i4>
      </vt:variant>
      <vt:variant>
        <vt:i4>255</vt:i4>
      </vt:variant>
      <vt:variant>
        <vt:i4>0</vt:i4>
      </vt:variant>
      <vt:variant>
        <vt:i4>5</vt:i4>
      </vt:variant>
      <vt:variant>
        <vt:lpwstr>https://www.acma.gov.au/sites/default/files/2019-09/Embargo No 72 pdf_0.pdf</vt:lpwstr>
      </vt:variant>
      <vt:variant>
        <vt:lpwstr/>
      </vt:variant>
      <vt:variant>
        <vt:i4>2031707</vt:i4>
      </vt:variant>
      <vt:variant>
        <vt:i4>252</vt:i4>
      </vt:variant>
      <vt:variant>
        <vt:i4>0</vt:i4>
      </vt:variant>
      <vt:variant>
        <vt:i4>5</vt:i4>
      </vt:variant>
      <vt:variant>
        <vt:lpwstr>https://www.acma.gov.au/sites/default/files/2019-10/Embargo No 49.pdf</vt:lpwstr>
      </vt:variant>
      <vt:variant>
        <vt:lpwstr/>
      </vt:variant>
      <vt:variant>
        <vt:i4>6881406</vt:i4>
      </vt:variant>
      <vt:variant>
        <vt:i4>249</vt:i4>
      </vt:variant>
      <vt:variant>
        <vt:i4>0</vt:i4>
      </vt:variant>
      <vt:variant>
        <vt:i4>5</vt:i4>
      </vt:variant>
      <vt:variant>
        <vt:lpwstr>https://www.acma.gov.au/publications/2019-11/form/australian-procedures-coordination-notification-satellite-systems</vt:lpwstr>
      </vt:variant>
      <vt:variant>
        <vt:lpwstr/>
      </vt:variant>
      <vt:variant>
        <vt:i4>6815840</vt:i4>
      </vt:variant>
      <vt:variant>
        <vt:i4>246</vt:i4>
      </vt:variant>
      <vt:variant>
        <vt:i4>0</vt:i4>
      </vt:variant>
      <vt:variant>
        <vt:i4>5</vt:i4>
      </vt:variant>
      <vt:variant>
        <vt:lpwstr>https://www.acma.gov.au/consultations/2020-12/update-foreign-space-objects-determination-and-australian-space-objects-determination-consultation-412020</vt:lpwstr>
      </vt:variant>
      <vt:variant>
        <vt:lpwstr/>
      </vt:variant>
      <vt:variant>
        <vt:i4>7536684</vt:i4>
      </vt:variant>
      <vt:variant>
        <vt:i4>243</vt:i4>
      </vt:variant>
      <vt:variant>
        <vt:i4>0</vt:i4>
      </vt:variant>
      <vt:variant>
        <vt:i4>5</vt:i4>
      </vt:variant>
      <vt:variant>
        <vt:lpwstr>https://www.legislation.gov.au/Details/F2020C00197</vt:lpwstr>
      </vt:variant>
      <vt:variant>
        <vt:lpwstr/>
      </vt:variant>
      <vt:variant>
        <vt:i4>262169</vt:i4>
      </vt:variant>
      <vt:variant>
        <vt:i4>240</vt:i4>
      </vt:variant>
      <vt:variant>
        <vt:i4>0</vt:i4>
      </vt:variant>
      <vt:variant>
        <vt:i4>5</vt:i4>
      </vt:variant>
      <vt:variant>
        <vt:lpwstr>https://www.legislation.gov.au/Series/F2014L01584</vt:lpwstr>
      </vt:variant>
      <vt:variant>
        <vt:lpwstr/>
      </vt:variant>
      <vt:variant>
        <vt:i4>7929888</vt:i4>
      </vt:variant>
      <vt:variant>
        <vt:i4>237</vt:i4>
      </vt:variant>
      <vt:variant>
        <vt:i4>0</vt:i4>
      </vt:variant>
      <vt:variant>
        <vt:i4>5</vt:i4>
      </vt:variant>
      <vt:variant>
        <vt:lpwstr>https://www.legislation.gov.au/Details/C2019C00262</vt:lpwstr>
      </vt:variant>
      <vt:variant>
        <vt:lpwstr/>
      </vt:variant>
      <vt:variant>
        <vt:i4>4128816</vt:i4>
      </vt:variant>
      <vt:variant>
        <vt:i4>234</vt:i4>
      </vt:variant>
      <vt:variant>
        <vt:i4>0</vt:i4>
      </vt:variant>
      <vt:variant>
        <vt:i4>5</vt:i4>
      </vt:variant>
      <vt:variant>
        <vt:lpwstr>https://www.acma.gov.au/five-year-spectrum-outlook</vt:lpwstr>
      </vt:variant>
      <vt:variant>
        <vt:lpwstr/>
      </vt:variant>
      <vt:variant>
        <vt:i4>2752521</vt:i4>
      </vt:variant>
      <vt:variant>
        <vt:i4>231</vt:i4>
      </vt:variant>
      <vt:variant>
        <vt:i4>0</vt:i4>
      </vt:variant>
      <vt:variant>
        <vt:i4>5</vt:i4>
      </vt:variant>
      <vt:variant>
        <vt:lpwstr>mailto:satellite.coordination@acma.gov.au</vt:lpwstr>
      </vt:variant>
      <vt:variant>
        <vt:lpwstr/>
      </vt:variant>
      <vt:variant>
        <vt:i4>2818164</vt:i4>
      </vt:variant>
      <vt:variant>
        <vt:i4>228</vt:i4>
      </vt:variant>
      <vt:variant>
        <vt:i4>0</vt:i4>
      </vt:variant>
      <vt:variant>
        <vt:i4>5</vt:i4>
      </vt:variant>
      <vt:variant>
        <vt:lpwstr>https://www.cuava.com.au/about/</vt:lpwstr>
      </vt:variant>
      <vt:variant>
        <vt:lpwstr/>
      </vt:variant>
      <vt:variant>
        <vt:i4>7340077</vt:i4>
      </vt:variant>
      <vt:variant>
        <vt:i4>225</vt:i4>
      </vt:variant>
      <vt:variant>
        <vt:i4>0</vt:i4>
      </vt:variant>
      <vt:variant>
        <vt:i4>5</vt:i4>
      </vt:variant>
      <vt:variant>
        <vt:lpwstr>https://pursuit.unimelb.edu.au/podcasts/launching-the-spirit-satellite</vt:lpwstr>
      </vt:variant>
      <vt:variant>
        <vt:lpwstr/>
      </vt:variant>
      <vt:variant>
        <vt:i4>8257613</vt:i4>
      </vt:variant>
      <vt:variant>
        <vt:i4>222</vt:i4>
      </vt:variant>
      <vt:variant>
        <vt:i4>0</vt:i4>
      </vt:variant>
      <vt:variant>
        <vt:i4>5</vt:i4>
      </vt:variant>
      <vt:variant>
        <vt:lpwstr>https://www.industry.gov.au/news/australian-space-agency-news?field_news_section_tid=2584</vt:lpwstr>
      </vt:variant>
      <vt:variant>
        <vt:lpwstr/>
      </vt:variant>
      <vt:variant>
        <vt:i4>5439490</vt:i4>
      </vt:variant>
      <vt:variant>
        <vt:i4>219</vt:i4>
      </vt:variant>
      <vt:variant>
        <vt:i4>0</vt:i4>
      </vt:variant>
      <vt:variant>
        <vt:i4>5</vt:i4>
      </vt:variant>
      <vt:variant>
        <vt:lpwstr>https://www.industry.gov.au/sites/default/files/2020-12/communications-services-and-technologies-roadmap.pdf</vt:lpwstr>
      </vt:variant>
      <vt:variant>
        <vt:lpwstr/>
      </vt:variant>
      <vt:variant>
        <vt:i4>655386</vt:i4>
      </vt:variant>
      <vt:variant>
        <vt:i4>216</vt:i4>
      </vt:variant>
      <vt:variant>
        <vt:i4>0</vt:i4>
      </vt:variant>
      <vt:variant>
        <vt:i4>5</vt:i4>
      </vt:variant>
      <vt:variant>
        <vt:lpwstr>https://www.industry.gov.au/australian-space-discovery-centre</vt:lpwstr>
      </vt:variant>
      <vt:variant>
        <vt:lpwstr/>
      </vt:variant>
      <vt:variant>
        <vt:i4>8060978</vt:i4>
      </vt:variant>
      <vt:variant>
        <vt:i4>213</vt:i4>
      </vt:variant>
      <vt:variant>
        <vt:i4>0</vt:i4>
      </vt:variant>
      <vt:variant>
        <vt:i4>5</vt:i4>
      </vt:variant>
      <vt:variant>
        <vt:lpwstr>https://www.industry.gov.au/news/australian-space-discovery-centre-is-go-for-launch</vt:lpwstr>
      </vt:variant>
      <vt:variant>
        <vt:lpwstr/>
      </vt:variant>
      <vt:variant>
        <vt:i4>4063268</vt:i4>
      </vt:variant>
      <vt:variant>
        <vt:i4>210</vt:i4>
      </vt:variant>
      <vt:variant>
        <vt:i4>0</vt:i4>
      </vt:variant>
      <vt:variant>
        <vt:i4>5</vt:i4>
      </vt:variant>
      <vt:variant>
        <vt:lpwstr>https://www.aph.gov.au/DocumentStore.ashx?id=5d027daf-6041-468f-995a-5cd75b7126f7&amp;subId=700603</vt:lpwstr>
      </vt:variant>
      <vt:variant>
        <vt:lpwstr/>
      </vt:variant>
      <vt:variant>
        <vt:i4>7143533</vt:i4>
      </vt:variant>
      <vt:variant>
        <vt:i4>207</vt:i4>
      </vt:variant>
      <vt:variant>
        <vt:i4>0</vt:i4>
      </vt:variant>
      <vt:variant>
        <vt:i4>5</vt:i4>
      </vt:variant>
      <vt:variant>
        <vt:lpwstr>https://www.industry.gov.au/funding-and-incentives/moon-to-mars-opportunities-for-australian-businesses</vt:lpwstr>
      </vt:variant>
      <vt:variant>
        <vt:lpwstr/>
      </vt:variant>
      <vt:variant>
        <vt:i4>6750264</vt:i4>
      </vt:variant>
      <vt:variant>
        <vt:i4>204</vt:i4>
      </vt:variant>
      <vt:variant>
        <vt:i4>0</vt:i4>
      </vt:variant>
      <vt:variant>
        <vt:i4>5</vt:i4>
      </vt:variant>
      <vt:variant>
        <vt:lpwstr>https://www.business.gov.au/grants-and-programs/international-space-investment-expand-capability-grants</vt:lpwstr>
      </vt:variant>
      <vt:variant>
        <vt:lpwstr/>
      </vt:variant>
      <vt:variant>
        <vt:i4>1900637</vt:i4>
      </vt:variant>
      <vt:variant>
        <vt:i4>201</vt:i4>
      </vt:variant>
      <vt:variant>
        <vt:i4>0</vt:i4>
      </vt:variant>
      <vt:variant>
        <vt:i4>5</vt:i4>
      </vt:variant>
      <vt:variant>
        <vt:lpwstr>https://www.industry.gov.au/funding-and-incentives/supporting-space-infrastructure-growth</vt:lpwstr>
      </vt:variant>
      <vt:variant>
        <vt:lpwstr/>
      </vt:variant>
      <vt:variant>
        <vt:i4>1966108</vt:i4>
      </vt:variant>
      <vt:variant>
        <vt:i4>198</vt:i4>
      </vt:variant>
      <vt:variant>
        <vt:i4>0</vt:i4>
      </vt:variant>
      <vt:variant>
        <vt:i4>5</vt:i4>
      </vt:variant>
      <vt:variant>
        <vt:lpwstr>https://www.nanosats.eu/</vt:lpwstr>
      </vt:variant>
      <vt:variant>
        <vt:lpwstr/>
      </vt:variant>
      <vt:variant>
        <vt:i4>7471141</vt:i4>
      </vt:variant>
      <vt:variant>
        <vt:i4>195</vt:i4>
      </vt:variant>
      <vt:variant>
        <vt:i4>0</vt:i4>
      </vt:variant>
      <vt:variant>
        <vt:i4>5</vt:i4>
      </vt:variant>
      <vt:variant>
        <vt:lpwstr>https://www.asc-csa.gc.ca/eng/satellites/cubesat/what-is-a-cubesat.asp</vt:lpwstr>
      </vt:variant>
      <vt:variant>
        <vt:lpwstr/>
      </vt:variant>
      <vt:variant>
        <vt:i4>2555967</vt:i4>
      </vt:variant>
      <vt:variant>
        <vt:i4>192</vt:i4>
      </vt:variant>
      <vt:variant>
        <vt:i4>0</vt:i4>
      </vt:variant>
      <vt:variant>
        <vt:i4>5</vt:i4>
      </vt:variant>
      <vt:variant>
        <vt:lpwstr>https://firefly.com/about/</vt:lpwstr>
      </vt:variant>
      <vt:variant>
        <vt:lpwstr/>
      </vt:variant>
      <vt:variant>
        <vt:i4>7340072</vt:i4>
      </vt:variant>
      <vt:variant>
        <vt:i4>189</vt:i4>
      </vt:variant>
      <vt:variant>
        <vt:i4>0</vt:i4>
      </vt:variant>
      <vt:variant>
        <vt:i4>5</vt:i4>
      </vt:variant>
      <vt:variant>
        <vt:lpwstr>https://virginorbit.com/technology/</vt:lpwstr>
      </vt:variant>
      <vt:variant>
        <vt:lpwstr/>
      </vt:variant>
      <vt:variant>
        <vt:i4>7340139</vt:i4>
      </vt:variant>
      <vt:variant>
        <vt:i4>186</vt:i4>
      </vt:variant>
      <vt:variant>
        <vt:i4>0</vt:i4>
      </vt:variant>
      <vt:variant>
        <vt:i4>5</vt:i4>
      </vt:variant>
      <vt:variant>
        <vt:lpwstr>https://www.rocketlabusa.com/rockets/electron/</vt:lpwstr>
      </vt:variant>
      <vt:variant>
        <vt:lpwstr/>
      </vt:variant>
      <vt:variant>
        <vt:i4>7536677</vt:i4>
      </vt:variant>
      <vt:variant>
        <vt:i4>183</vt:i4>
      </vt:variant>
      <vt:variant>
        <vt:i4>0</vt:i4>
      </vt:variant>
      <vt:variant>
        <vt:i4>5</vt:i4>
      </vt:variant>
      <vt:variant>
        <vt:lpwstr>https://ela.space/what/</vt:lpwstr>
      </vt:variant>
      <vt:variant>
        <vt:lpwstr/>
      </vt:variant>
      <vt:variant>
        <vt:i4>393301</vt:i4>
      </vt:variant>
      <vt:variant>
        <vt:i4>180</vt:i4>
      </vt:variant>
      <vt:variant>
        <vt:i4>0</vt:i4>
      </vt:variant>
      <vt:variant>
        <vt:i4>5</vt:i4>
      </vt:variant>
      <vt:variant>
        <vt:lpwstr>https://southernlaunch.space/faqs</vt:lpwstr>
      </vt:variant>
      <vt:variant>
        <vt:lpwstr/>
      </vt:variant>
      <vt:variant>
        <vt:i4>3145853</vt:i4>
      </vt:variant>
      <vt:variant>
        <vt:i4>177</vt:i4>
      </vt:variant>
      <vt:variant>
        <vt:i4>0</vt:i4>
      </vt:variant>
      <vt:variant>
        <vt:i4>5</vt:i4>
      </vt:variant>
      <vt:variant>
        <vt:lpwstr>https://www.morganstanley.com/ideas/investing-in-space</vt:lpwstr>
      </vt:variant>
      <vt:variant>
        <vt:lpwstr/>
      </vt:variant>
      <vt:variant>
        <vt:i4>1835009</vt:i4>
      </vt:variant>
      <vt:variant>
        <vt:i4>174</vt:i4>
      </vt:variant>
      <vt:variant>
        <vt:i4>0</vt:i4>
      </vt:variant>
      <vt:variant>
        <vt:i4>5</vt:i4>
      </vt:variant>
      <vt:variant>
        <vt:lpwstr>https://www.oecd-ilibrary.org/sites/c5996201-en/1/2/1/index.html?itemId=/content/publication/c5996201-en&amp;_csp_=ffe5a6bbc1382ae4f0ead9dd2da73ff4&amp;itemIGO=oecd&amp;itemContentType=book</vt:lpwstr>
      </vt:variant>
      <vt:variant>
        <vt:lpwstr/>
      </vt:variant>
      <vt:variant>
        <vt:i4>6291514</vt:i4>
      </vt:variant>
      <vt:variant>
        <vt:i4>171</vt:i4>
      </vt:variant>
      <vt:variant>
        <vt:i4>0</vt:i4>
      </vt:variant>
      <vt:variant>
        <vt:i4>5</vt:i4>
      </vt:variant>
      <vt:variant>
        <vt:lpwstr>https://brycetech.com/reports/report-documents/SIA_SSIR_2020.pdf</vt:lpwstr>
      </vt:variant>
      <vt:variant>
        <vt:lpwstr/>
      </vt:variant>
      <vt:variant>
        <vt:i4>2752521</vt:i4>
      </vt:variant>
      <vt:variant>
        <vt:i4>168</vt:i4>
      </vt:variant>
      <vt:variant>
        <vt:i4>0</vt:i4>
      </vt:variant>
      <vt:variant>
        <vt:i4>5</vt:i4>
      </vt:variant>
      <vt:variant>
        <vt:lpwstr>mailto:satellite.coordination@acma.gov.au</vt:lpwstr>
      </vt:variant>
      <vt:variant>
        <vt:lpwstr/>
      </vt:variant>
      <vt:variant>
        <vt:i4>6750264</vt:i4>
      </vt:variant>
      <vt:variant>
        <vt:i4>165</vt:i4>
      </vt:variant>
      <vt:variant>
        <vt:i4>0</vt:i4>
      </vt:variant>
      <vt:variant>
        <vt:i4>5</vt:i4>
      </vt:variant>
      <vt:variant>
        <vt:lpwstr>https://www.business.gov.au/grants-and-programs/international-space-investment-expand-capability-grants</vt:lpwstr>
      </vt:variant>
      <vt:variant>
        <vt:lpwstr/>
      </vt:variant>
      <vt:variant>
        <vt:i4>1900637</vt:i4>
      </vt:variant>
      <vt:variant>
        <vt:i4>162</vt:i4>
      </vt:variant>
      <vt:variant>
        <vt:i4>0</vt:i4>
      </vt:variant>
      <vt:variant>
        <vt:i4>5</vt:i4>
      </vt:variant>
      <vt:variant>
        <vt:lpwstr>https://www.industry.gov.au/funding-and-incentives/supporting-space-infrastructure-growth</vt:lpwstr>
      </vt:variant>
      <vt:variant>
        <vt:lpwstr/>
      </vt:variant>
      <vt:variant>
        <vt:i4>5439490</vt:i4>
      </vt:variant>
      <vt:variant>
        <vt:i4>159</vt:i4>
      </vt:variant>
      <vt:variant>
        <vt:i4>0</vt:i4>
      </vt:variant>
      <vt:variant>
        <vt:i4>5</vt:i4>
      </vt:variant>
      <vt:variant>
        <vt:lpwstr>https://www.industry.gov.au/sites/default/files/2020-12/communications-services-and-technologies-roadmap.pdf</vt:lpwstr>
      </vt:variant>
      <vt:variant>
        <vt:lpwstr/>
      </vt:variant>
      <vt:variant>
        <vt:i4>1114166</vt:i4>
      </vt:variant>
      <vt:variant>
        <vt:i4>152</vt:i4>
      </vt:variant>
      <vt:variant>
        <vt:i4>0</vt:i4>
      </vt:variant>
      <vt:variant>
        <vt:i4>5</vt:i4>
      </vt:variant>
      <vt:variant>
        <vt:lpwstr/>
      </vt:variant>
      <vt:variant>
        <vt:lpwstr>_Toc65851791</vt:lpwstr>
      </vt:variant>
      <vt:variant>
        <vt:i4>1048630</vt:i4>
      </vt:variant>
      <vt:variant>
        <vt:i4>146</vt:i4>
      </vt:variant>
      <vt:variant>
        <vt:i4>0</vt:i4>
      </vt:variant>
      <vt:variant>
        <vt:i4>5</vt:i4>
      </vt:variant>
      <vt:variant>
        <vt:lpwstr/>
      </vt:variant>
      <vt:variant>
        <vt:lpwstr>_Toc65851790</vt:lpwstr>
      </vt:variant>
      <vt:variant>
        <vt:i4>1179703</vt:i4>
      </vt:variant>
      <vt:variant>
        <vt:i4>140</vt:i4>
      </vt:variant>
      <vt:variant>
        <vt:i4>0</vt:i4>
      </vt:variant>
      <vt:variant>
        <vt:i4>5</vt:i4>
      </vt:variant>
      <vt:variant>
        <vt:lpwstr/>
      </vt:variant>
      <vt:variant>
        <vt:lpwstr>_Toc65851782</vt:lpwstr>
      </vt:variant>
      <vt:variant>
        <vt:i4>1572920</vt:i4>
      </vt:variant>
      <vt:variant>
        <vt:i4>134</vt:i4>
      </vt:variant>
      <vt:variant>
        <vt:i4>0</vt:i4>
      </vt:variant>
      <vt:variant>
        <vt:i4>5</vt:i4>
      </vt:variant>
      <vt:variant>
        <vt:lpwstr/>
      </vt:variant>
      <vt:variant>
        <vt:lpwstr>_Toc65851778</vt:lpwstr>
      </vt:variant>
      <vt:variant>
        <vt:i4>1507384</vt:i4>
      </vt:variant>
      <vt:variant>
        <vt:i4>128</vt:i4>
      </vt:variant>
      <vt:variant>
        <vt:i4>0</vt:i4>
      </vt:variant>
      <vt:variant>
        <vt:i4>5</vt:i4>
      </vt:variant>
      <vt:variant>
        <vt:lpwstr/>
      </vt:variant>
      <vt:variant>
        <vt:lpwstr>_Toc65851777</vt:lpwstr>
      </vt:variant>
      <vt:variant>
        <vt:i4>1441848</vt:i4>
      </vt:variant>
      <vt:variant>
        <vt:i4>122</vt:i4>
      </vt:variant>
      <vt:variant>
        <vt:i4>0</vt:i4>
      </vt:variant>
      <vt:variant>
        <vt:i4>5</vt:i4>
      </vt:variant>
      <vt:variant>
        <vt:lpwstr/>
      </vt:variant>
      <vt:variant>
        <vt:lpwstr>_Toc65851776</vt:lpwstr>
      </vt:variant>
      <vt:variant>
        <vt:i4>1376312</vt:i4>
      </vt:variant>
      <vt:variant>
        <vt:i4>116</vt:i4>
      </vt:variant>
      <vt:variant>
        <vt:i4>0</vt:i4>
      </vt:variant>
      <vt:variant>
        <vt:i4>5</vt:i4>
      </vt:variant>
      <vt:variant>
        <vt:lpwstr/>
      </vt:variant>
      <vt:variant>
        <vt:lpwstr>_Toc65851775</vt:lpwstr>
      </vt:variant>
      <vt:variant>
        <vt:i4>1310776</vt:i4>
      </vt:variant>
      <vt:variant>
        <vt:i4>110</vt:i4>
      </vt:variant>
      <vt:variant>
        <vt:i4>0</vt:i4>
      </vt:variant>
      <vt:variant>
        <vt:i4>5</vt:i4>
      </vt:variant>
      <vt:variant>
        <vt:lpwstr/>
      </vt:variant>
      <vt:variant>
        <vt:lpwstr>_Toc65851774</vt:lpwstr>
      </vt:variant>
      <vt:variant>
        <vt:i4>1245240</vt:i4>
      </vt:variant>
      <vt:variant>
        <vt:i4>104</vt:i4>
      </vt:variant>
      <vt:variant>
        <vt:i4>0</vt:i4>
      </vt:variant>
      <vt:variant>
        <vt:i4>5</vt:i4>
      </vt:variant>
      <vt:variant>
        <vt:lpwstr/>
      </vt:variant>
      <vt:variant>
        <vt:lpwstr>_Toc65851773</vt:lpwstr>
      </vt:variant>
      <vt:variant>
        <vt:i4>1179704</vt:i4>
      </vt:variant>
      <vt:variant>
        <vt:i4>98</vt:i4>
      </vt:variant>
      <vt:variant>
        <vt:i4>0</vt:i4>
      </vt:variant>
      <vt:variant>
        <vt:i4>5</vt:i4>
      </vt:variant>
      <vt:variant>
        <vt:lpwstr/>
      </vt:variant>
      <vt:variant>
        <vt:lpwstr>_Toc65851772</vt:lpwstr>
      </vt:variant>
      <vt:variant>
        <vt:i4>1114168</vt:i4>
      </vt:variant>
      <vt:variant>
        <vt:i4>92</vt:i4>
      </vt:variant>
      <vt:variant>
        <vt:i4>0</vt:i4>
      </vt:variant>
      <vt:variant>
        <vt:i4>5</vt:i4>
      </vt:variant>
      <vt:variant>
        <vt:lpwstr/>
      </vt:variant>
      <vt:variant>
        <vt:lpwstr>_Toc65851771</vt:lpwstr>
      </vt:variant>
      <vt:variant>
        <vt:i4>1048632</vt:i4>
      </vt:variant>
      <vt:variant>
        <vt:i4>86</vt:i4>
      </vt:variant>
      <vt:variant>
        <vt:i4>0</vt:i4>
      </vt:variant>
      <vt:variant>
        <vt:i4>5</vt:i4>
      </vt:variant>
      <vt:variant>
        <vt:lpwstr/>
      </vt:variant>
      <vt:variant>
        <vt:lpwstr>_Toc65851770</vt:lpwstr>
      </vt:variant>
      <vt:variant>
        <vt:i4>1638457</vt:i4>
      </vt:variant>
      <vt:variant>
        <vt:i4>80</vt:i4>
      </vt:variant>
      <vt:variant>
        <vt:i4>0</vt:i4>
      </vt:variant>
      <vt:variant>
        <vt:i4>5</vt:i4>
      </vt:variant>
      <vt:variant>
        <vt:lpwstr/>
      </vt:variant>
      <vt:variant>
        <vt:lpwstr>_Toc65851769</vt:lpwstr>
      </vt:variant>
      <vt:variant>
        <vt:i4>1572921</vt:i4>
      </vt:variant>
      <vt:variant>
        <vt:i4>74</vt:i4>
      </vt:variant>
      <vt:variant>
        <vt:i4>0</vt:i4>
      </vt:variant>
      <vt:variant>
        <vt:i4>5</vt:i4>
      </vt:variant>
      <vt:variant>
        <vt:lpwstr/>
      </vt:variant>
      <vt:variant>
        <vt:lpwstr>_Toc65851768</vt:lpwstr>
      </vt:variant>
      <vt:variant>
        <vt:i4>1507385</vt:i4>
      </vt:variant>
      <vt:variant>
        <vt:i4>68</vt:i4>
      </vt:variant>
      <vt:variant>
        <vt:i4>0</vt:i4>
      </vt:variant>
      <vt:variant>
        <vt:i4>5</vt:i4>
      </vt:variant>
      <vt:variant>
        <vt:lpwstr/>
      </vt:variant>
      <vt:variant>
        <vt:lpwstr>_Toc65851767</vt:lpwstr>
      </vt:variant>
      <vt:variant>
        <vt:i4>1441849</vt:i4>
      </vt:variant>
      <vt:variant>
        <vt:i4>62</vt:i4>
      </vt:variant>
      <vt:variant>
        <vt:i4>0</vt:i4>
      </vt:variant>
      <vt:variant>
        <vt:i4>5</vt:i4>
      </vt:variant>
      <vt:variant>
        <vt:lpwstr/>
      </vt:variant>
      <vt:variant>
        <vt:lpwstr>_Toc65851766</vt:lpwstr>
      </vt:variant>
      <vt:variant>
        <vt:i4>1376313</vt:i4>
      </vt:variant>
      <vt:variant>
        <vt:i4>56</vt:i4>
      </vt:variant>
      <vt:variant>
        <vt:i4>0</vt:i4>
      </vt:variant>
      <vt:variant>
        <vt:i4>5</vt:i4>
      </vt:variant>
      <vt:variant>
        <vt:lpwstr/>
      </vt:variant>
      <vt:variant>
        <vt:lpwstr>_Toc65851765</vt:lpwstr>
      </vt:variant>
      <vt:variant>
        <vt:i4>1310777</vt:i4>
      </vt:variant>
      <vt:variant>
        <vt:i4>50</vt:i4>
      </vt:variant>
      <vt:variant>
        <vt:i4>0</vt:i4>
      </vt:variant>
      <vt:variant>
        <vt:i4>5</vt:i4>
      </vt:variant>
      <vt:variant>
        <vt:lpwstr/>
      </vt:variant>
      <vt:variant>
        <vt:lpwstr>_Toc65851764</vt:lpwstr>
      </vt:variant>
      <vt:variant>
        <vt:i4>1245241</vt:i4>
      </vt:variant>
      <vt:variant>
        <vt:i4>44</vt:i4>
      </vt:variant>
      <vt:variant>
        <vt:i4>0</vt:i4>
      </vt:variant>
      <vt:variant>
        <vt:i4>5</vt:i4>
      </vt:variant>
      <vt:variant>
        <vt:lpwstr/>
      </vt:variant>
      <vt:variant>
        <vt:lpwstr>_Toc65851763</vt:lpwstr>
      </vt:variant>
      <vt:variant>
        <vt:i4>1179705</vt:i4>
      </vt:variant>
      <vt:variant>
        <vt:i4>38</vt:i4>
      </vt:variant>
      <vt:variant>
        <vt:i4>0</vt:i4>
      </vt:variant>
      <vt:variant>
        <vt:i4>5</vt:i4>
      </vt:variant>
      <vt:variant>
        <vt:lpwstr/>
      </vt:variant>
      <vt:variant>
        <vt:lpwstr>_Toc65851762</vt:lpwstr>
      </vt:variant>
      <vt:variant>
        <vt:i4>1114169</vt:i4>
      </vt:variant>
      <vt:variant>
        <vt:i4>32</vt:i4>
      </vt:variant>
      <vt:variant>
        <vt:i4>0</vt:i4>
      </vt:variant>
      <vt:variant>
        <vt:i4>5</vt:i4>
      </vt:variant>
      <vt:variant>
        <vt:lpwstr/>
      </vt:variant>
      <vt:variant>
        <vt:lpwstr>_Toc65851761</vt:lpwstr>
      </vt:variant>
      <vt:variant>
        <vt:i4>1048633</vt:i4>
      </vt:variant>
      <vt:variant>
        <vt:i4>26</vt:i4>
      </vt:variant>
      <vt:variant>
        <vt:i4>0</vt:i4>
      </vt:variant>
      <vt:variant>
        <vt:i4>5</vt:i4>
      </vt:variant>
      <vt:variant>
        <vt:lpwstr/>
      </vt:variant>
      <vt:variant>
        <vt:lpwstr>_Toc65851760</vt:lpwstr>
      </vt:variant>
      <vt:variant>
        <vt:i4>1638458</vt:i4>
      </vt:variant>
      <vt:variant>
        <vt:i4>20</vt:i4>
      </vt:variant>
      <vt:variant>
        <vt:i4>0</vt:i4>
      </vt:variant>
      <vt:variant>
        <vt:i4>5</vt:i4>
      </vt:variant>
      <vt:variant>
        <vt:lpwstr/>
      </vt:variant>
      <vt:variant>
        <vt:lpwstr>_Toc65851759</vt:lpwstr>
      </vt:variant>
      <vt:variant>
        <vt:i4>1572922</vt:i4>
      </vt:variant>
      <vt:variant>
        <vt:i4>14</vt:i4>
      </vt:variant>
      <vt:variant>
        <vt:i4>0</vt:i4>
      </vt:variant>
      <vt:variant>
        <vt:i4>5</vt:i4>
      </vt:variant>
      <vt:variant>
        <vt:lpwstr/>
      </vt:variant>
      <vt:variant>
        <vt:lpwstr>_Toc65851758</vt:lpwstr>
      </vt:variant>
      <vt:variant>
        <vt:i4>1507386</vt:i4>
      </vt:variant>
      <vt:variant>
        <vt:i4>8</vt:i4>
      </vt:variant>
      <vt:variant>
        <vt:i4>0</vt:i4>
      </vt:variant>
      <vt:variant>
        <vt:i4>5</vt:i4>
      </vt:variant>
      <vt:variant>
        <vt:lpwstr/>
      </vt:variant>
      <vt:variant>
        <vt:lpwstr>_Toc65851757</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1048603</vt:i4>
      </vt:variant>
      <vt:variant>
        <vt:i4>276</vt:i4>
      </vt:variant>
      <vt:variant>
        <vt:i4>0</vt:i4>
      </vt:variant>
      <vt:variant>
        <vt:i4>5</vt:i4>
      </vt:variant>
      <vt:variant>
        <vt:lpwstr>https://www.goonhilly.org/about-us/about-ges-ltd</vt:lpwstr>
      </vt:variant>
      <vt:variant>
        <vt:lpwstr/>
      </vt:variant>
      <vt:variant>
        <vt:i4>786525</vt:i4>
      </vt:variant>
      <vt:variant>
        <vt:i4>273</vt:i4>
      </vt:variant>
      <vt:variant>
        <vt:i4>0</vt:i4>
      </vt:variant>
      <vt:variant>
        <vt:i4>5</vt:i4>
      </vt:variant>
      <vt:variant>
        <vt:lpwstr>https://www.capricornspace.com.au/company</vt:lpwstr>
      </vt:variant>
      <vt:variant>
        <vt:lpwstr/>
      </vt:variant>
      <vt:variant>
        <vt:i4>3932258</vt:i4>
      </vt:variant>
      <vt:variant>
        <vt:i4>270</vt:i4>
      </vt:variant>
      <vt:variant>
        <vt:i4>0</vt:i4>
      </vt:variant>
      <vt:variant>
        <vt:i4>5</vt:i4>
      </vt:variant>
      <vt:variant>
        <vt:lpwstr>https://www.gspacetech.com/</vt:lpwstr>
      </vt:variant>
      <vt:variant>
        <vt:lpwstr/>
      </vt:variant>
      <vt:variant>
        <vt:i4>4587610</vt:i4>
      </vt:variant>
      <vt:variant>
        <vt:i4>267</vt:i4>
      </vt:variant>
      <vt:variant>
        <vt:i4>0</vt:i4>
      </vt:variant>
      <vt:variant>
        <vt:i4>5</vt:i4>
      </vt:variant>
      <vt:variant>
        <vt:lpwstr>https://www.gspacetech.com/about</vt:lpwstr>
      </vt:variant>
      <vt:variant>
        <vt:lpwstr/>
      </vt:variant>
      <vt:variant>
        <vt:i4>6160415</vt:i4>
      </vt:variant>
      <vt:variant>
        <vt:i4>264</vt:i4>
      </vt:variant>
      <vt:variant>
        <vt:i4>0</vt:i4>
      </vt:variant>
      <vt:variant>
        <vt:i4>5</vt:i4>
      </vt:variant>
      <vt:variant>
        <vt:lpwstr>https://www.nbnco.com.au/blog/the-nbn-project/100000-reasons-to-love-nbn-sky-muster-satellite-service</vt:lpwstr>
      </vt:variant>
      <vt:variant>
        <vt:lpwstr/>
      </vt:variant>
      <vt:variant>
        <vt:i4>2949158</vt:i4>
      </vt:variant>
      <vt:variant>
        <vt:i4>261</vt:i4>
      </vt:variant>
      <vt:variant>
        <vt:i4>0</vt:i4>
      </vt:variant>
      <vt:variant>
        <vt:i4>5</vt:i4>
      </vt:variant>
      <vt:variant>
        <vt:lpwstr>https://www.nbnco.com.au/blog/the-nbn-project/nbn-technology-101-what-is-sky-muster</vt:lpwstr>
      </vt:variant>
      <vt:variant>
        <vt:lpwstr/>
      </vt:variant>
      <vt:variant>
        <vt:i4>2818166</vt:i4>
      </vt:variant>
      <vt:variant>
        <vt:i4>258</vt:i4>
      </vt:variant>
      <vt:variant>
        <vt:i4>0</vt:i4>
      </vt:variant>
      <vt:variant>
        <vt:i4>5</vt:i4>
      </vt:variant>
      <vt:variant>
        <vt:lpwstr>https://www.nbnco.com.au/corporate-information/about-nbn-co</vt:lpwstr>
      </vt:variant>
      <vt:variant>
        <vt:lpwstr/>
      </vt:variant>
      <vt:variant>
        <vt:i4>2359329</vt:i4>
      </vt:variant>
      <vt:variant>
        <vt:i4>255</vt:i4>
      </vt:variant>
      <vt:variant>
        <vt:i4>0</vt:i4>
      </vt:variant>
      <vt:variant>
        <vt:i4>5</vt:i4>
      </vt:variant>
      <vt:variant>
        <vt:lpwstr>https://www.defence.gov.au/annualreports/19-20/DAR_2019-20_Complete.pdf</vt:lpwstr>
      </vt:variant>
      <vt:variant>
        <vt:lpwstr/>
      </vt:variant>
      <vt:variant>
        <vt:i4>2687017</vt:i4>
      </vt:variant>
      <vt:variant>
        <vt:i4>252</vt:i4>
      </vt:variant>
      <vt:variant>
        <vt:i4>0</vt:i4>
      </vt:variant>
      <vt:variant>
        <vt:i4>5</vt:i4>
      </vt:variant>
      <vt:variant>
        <vt:lpwstr>https://www.defence.gov.au/AboutUs.asp</vt:lpwstr>
      </vt:variant>
      <vt:variant>
        <vt:lpwstr/>
      </vt:variant>
      <vt:variant>
        <vt:i4>3014699</vt:i4>
      </vt:variant>
      <vt:variant>
        <vt:i4>249</vt:i4>
      </vt:variant>
      <vt:variant>
        <vt:i4>0</vt:i4>
      </vt:variant>
      <vt:variant>
        <vt:i4>5</vt:i4>
      </vt:variant>
      <vt:variant>
        <vt:lpwstr>https://www.csiro.au/en/Research/Astronomy</vt:lpwstr>
      </vt:variant>
      <vt:variant>
        <vt:lpwstr/>
      </vt:variant>
      <vt:variant>
        <vt:i4>3014699</vt:i4>
      </vt:variant>
      <vt:variant>
        <vt:i4>246</vt:i4>
      </vt:variant>
      <vt:variant>
        <vt:i4>0</vt:i4>
      </vt:variant>
      <vt:variant>
        <vt:i4>5</vt:i4>
      </vt:variant>
      <vt:variant>
        <vt:lpwstr>https://www.csiro.au/en/Research/Astronomy</vt:lpwstr>
      </vt:variant>
      <vt:variant>
        <vt:lpwstr/>
      </vt:variant>
      <vt:variant>
        <vt:i4>5177355</vt:i4>
      </vt:variant>
      <vt:variant>
        <vt:i4>243</vt:i4>
      </vt:variant>
      <vt:variant>
        <vt:i4>0</vt:i4>
      </vt:variant>
      <vt:variant>
        <vt:i4>5</vt:i4>
      </vt:variant>
      <vt:variant>
        <vt:lpwstr>https://www.csiro.au/en/About</vt:lpwstr>
      </vt:variant>
      <vt:variant>
        <vt:lpwstr/>
      </vt:variant>
      <vt:variant>
        <vt:i4>2228249</vt:i4>
      </vt:variant>
      <vt:variant>
        <vt:i4>240</vt:i4>
      </vt:variant>
      <vt:variant>
        <vt:i4>0</vt:i4>
      </vt:variant>
      <vt:variant>
        <vt:i4>5</vt:i4>
      </vt:variant>
      <vt:variant>
        <vt:lpwstr>http://www.bom.gov.au/australia/satellite/about_satellites.shtml</vt:lpwstr>
      </vt:variant>
      <vt:variant>
        <vt:lpwstr/>
      </vt:variant>
      <vt:variant>
        <vt:i4>5439577</vt:i4>
      </vt:variant>
      <vt:variant>
        <vt:i4>237</vt:i4>
      </vt:variant>
      <vt:variant>
        <vt:i4>0</vt:i4>
      </vt:variant>
      <vt:variant>
        <vt:i4>5</vt:i4>
      </vt:variant>
      <vt:variant>
        <vt:lpwstr>http://www.bom.gov.au/careers/about.shtml</vt:lpwstr>
      </vt:variant>
      <vt:variant>
        <vt:lpwstr>:~:text=The%20Bureau%20of%20Meteorology%20is,widely%20used%20services%20of%20government.</vt:lpwstr>
      </vt:variant>
      <vt:variant>
        <vt:i4>8060969</vt:i4>
      </vt:variant>
      <vt:variant>
        <vt:i4>234</vt:i4>
      </vt:variant>
      <vt:variant>
        <vt:i4>0</vt:i4>
      </vt:variant>
      <vt:variant>
        <vt:i4>5</vt:i4>
      </vt:variant>
      <vt:variant>
        <vt:lpwstr>http://www.bom.gov.au/inside/eiab/reports/ar19-20/annualReport/Annual_Report_2019-20.pdf</vt:lpwstr>
      </vt:variant>
      <vt:variant>
        <vt:lpwstr/>
      </vt:variant>
      <vt:variant>
        <vt:i4>5570655</vt:i4>
      </vt:variant>
      <vt:variant>
        <vt:i4>231</vt:i4>
      </vt:variant>
      <vt:variant>
        <vt:i4>0</vt:i4>
      </vt:variant>
      <vt:variant>
        <vt:i4>5</vt:i4>
      </vt:variant>
      <vt:variant>
        <vt:lpwstr>https://www.starlink.com/faq</vt:lpwstr>
      </vt:variant>
      <vt:variant>
        <vt:lpwstr/>
      </vt:variant>
      <vt:variant>
        <vt:i4>4325393</vt:i4>
      </vt:variant>
      <vt:variant>
        <vt:i4>228</vt:i4>
      </vt:variant>
      <vt:variant>
        <vt:i4>0</vt:i4>
      </vt:variant>
      <vt:variant>
        <vt:i4>5</vt:i4>
      </vt:variant>
      <vt:variant>
        <vt:lpwstr>https://www.starlink.com/</vt:lpwstr>
      </vt:variant>
      <vt:variant>
        <vt:lpwstr/>
      </vt:variant>
      <vt:variant>
        <vt:i4>1835098</vt:i4>
      </vt:variant>
      <vt:variant>
        <vt:i4>225</vt:i4>
      </vt:variant>
      <vt:variant>
        <vt:i4>0</vt:i4>
      </vt:variant>
      <vt:variant>
        <vt:i4>5</vt:i4>
      </vt:variant>
      <vt:variant>
        <vt:lpwstr>https://www.zdnet.com/article/spacex-starlink-picks-up-australian-5g-mmwave-spectrum/</vt:lpwstr>
      </vt:variant>
      <vt:variant>
        <vt:lpwstr/>
      </vt:variant>
      <vt:variant>
        <vt:i4>8060935</vt:i4>
      </vt:variant>
      <vt:variant>
        <vt:i4>222</vt:i4>
      </vt:variant>
      <vt:variant>
        <vt:i4>0</vt:i4>
      </vt:variant>
      <vt:variant>
        <vt:i4>5</vt:i4>
      </vt:variant>
      <vt:variant>
        <vt:lpwstr>https://web.acma.gov.au/rrl/access_area_search.map?pAREA_CODE=74</vt:lpwstr>
      </vt:variant>
      <vt:variant>
        <vt:lpwstr/>
      </vt:variant>
      <vt:variant>
        <vt:i4>6488111</vt:i4>
      </vt:variant>
      <vt:variant>
        <vt:i4>219</vt:i4>
      </vt:variant>
      <vt:variant>
        <vt:i4>0</vt:i4>
      </vt:variant>
      <vt:variant>
        <vt:i4>5</vt:i4>
      </vt:variant>
      <vt:variant>
        <vt:lpwstr>https://www.space.com/spacex-starlink-12-internet-satellites-launch</vt:lpwstr>
      </vt:variant>
      <vt:variant>
        <vt:lpwstr/>
      </vt:variant>
      <vt:variant>
        <vt:i4>6488111</vt:i4>
      </vt:variant>
      <vt:variant>
        <vt:i4>216</vt:i4>
      </vt:variant>
      <vt:variant>
        <vt:i4>0</vt:i4>
      </vt:variant>
      <vt:variant>
        <vt:i4>5</vt:i4>
      </vt:variant>
      <vt:variant>
        <vt:lpwstr>https://www.space.com/spacex-starlink-12-internet-satellites-launch</vt:lpwstr>
      </vt:variant>
      <vt:variant>
        <vt:lpwstr/>
      </vt:variant>
      <vt:variant>
        <vt:i4>4849716</vt:i4>
      </vt:variant>
      <vt:variant>
        <vt:i4>213</vt:i4>
      </vt:variant>
      <vt:variant>
        <vt:i4>0</vt:i4>
      </vt:variant>
      <vt:variant>
        <vt:i4>5</vt:i4>
      </vt:variant>
      <vt:variant>
        <vt:lpwstr>https://news.lockheedmartin.com/2020-11-05-Fourth-Lockheed-Martin-Built-GPS-III-Satellites-On-Board-Engine-Now-Propelling-It-To-Orbit?_ga=2.207159699.1609813678.1611699908-1301094090.1611699908</vt:lpwstr>
      </vt:variant>
      <vt:variant>
        <vt:lpwstr/>
      </vt:variant>
      <vt:variant>
        <vt:i4>4522003</vt:i4>
      </vt:variant>
      <vt:variant>
        <vt:i4>210</vt:i4>
      </vt:variant>
      <vt:variant>
        <vt:i4>0</vt:i4>
      </vt:variant>
      <vt:variant>
        <vt:i4>5</vt:i4>
      </vt:variant>
      <vt:variant>
        <vt:lpwstr>https://www.oneweb.world/media-center/oneweb-and-arianespace-to-restart-launches-in-december-2020</vt:lpwstr>
      </vt:variant>
      <vt:variant>
        <vt:lpwstr/>
      </vt:variant>
      <vt:variant>
        <vt:i4>8192033</vt:i4>
      </vt:variant>
      <vt:variant>
        <vt:i4>207</vt:i4>
      </vt:variant>
      <vt:variant>
        <vt:i4>0</vt:i4>
      </vt:variant>
      <vt:variant>
        <vt:i4>5</vt:i4>
      </vt:variant>
      <vt:variant>
        <vt:lpwstr>https://www.oneweb.world/media-center/oneweb-files-for-chapter-11-restructuring-to-execute-sale-process</vt:lpwstr>
      </vt:variant>
      <vt:variant>
        <vt:lpwstr/>
      </vt:variant>
      <vt:variant>
        <vt:i4>7405658</vt:i4>
      </vt:variant>
      <vt:variant>
        <vt:i4>204</vt:i4>
      </vt:variant>
      <vt:variant>
        <vt:i4>0</vt:i4>
      </vt:variant>
      <vt:variant>
        <vt:i4>5</vt:i4>
      </vt:variant>
      <vt:variant>
        <vt:lpwstr>https://omnispace.com/wp-content/uploads/2019/04/Omnispace_Overview_Brochure_SP2.pdf</vt:lpwstr>
      </vt:variant>
      <vt:variant>
        <vt:lpwstr/>
      </vt:variant>
      <vt:variant>
        <vt:i4>851989</vt:i4>
      </vt:variant>
      <vt:variant>
        <vt:i4>201</vt:i4>
      </vt:variant>
      <vt:variant>
        <vt:i4>0</vt:i4>
      </vt:variant>
      <vt:variant>
        <vt:i4>5</vt:i4>
      </vt:variant>
      <vt:variant>
        <vt:lpwstr>https://lynk.world/our-technology</vt:lpwstr>
      </vt:variant>
      <vt:variant>
        <vt:lpwstr/>
      </vt:variant>
      <vt:variant>
        <vt:i4>4456522</vt:i4>
      </vt:variant>
      <vt:variant>
        <vt:i4>198</vt:i4>
      </vt:variant>
      <vt:variant>
        <vt:i4>0</vt:i4>
      </vt:variant>
      <vt:variant>
        <vt:i4>5</vt:i4>
      </vt:variant>
      <vt:variant>
        <vt:lpwstr>https://ast-science.com/</vt:lpwstr>
      </vt:variant>
      <vt:variant>
        <vt:lpwstr/>
      </vt:variant>
      <vt:variant>
        <vt:i4>8323174</vt:i4>
      </vt:variant>
      <vt:variant>
        <vt:i4>195</vt:i4>
      </vt:variant>
      <vt:variant>
        <vt:i4>0</vt:i4>
      </vt:variant>
      <vt:variant>
        <vt:i4>5</vt:i4>
      </vt:variant>
      <vt:variant>
        <vt:lpwstr>https://omnispace.com/lockheed-martin-and-omnispace-explore-space-based-5g-global-network/</vt:lpwstr>
      </vt:variant>
      <vt:variant>
        <vt:lpwstr/>
      </vt:variant>
      <vt:variant>
        <vt:i4>5636106</vt:i4>
      </vt:variant>
      <vt:variant>
        <vt:i4>192</vt:i4>
      </vt:variant>
      <vt:variant>
        <vt:i4>0</vt:i4>
      </vt:variant>
      <vt:variant>
        <vt:i4>5</vt:i4>
      </vt:variant>
      <vt:variant>
        <vt:lpwstr>https://www.satellitetoday.com/5g/2021/02/05/omnispace-ceo-determined-to-defy-convention-with-5g-satellite-constellation/</vt:lpwstr>
      </vt:variant>
      <vt:variant>
        <vt:lpwstr/>
      </vt:variant>
      <vt:variant>
        <vt:i4>1310802</vt:i4>
      </vt:variant>
      <vt:variant>
        <vt:i4>189</vt:i4>
      </vt:variant>
      <vt:variant>
        <vt:i4>0</vt:i4>
      </vt:variant>
      <vt:variant>
        <vt:i4>5</vt:i4>
      </vt:variant>
      <vt:variant>
        <vt:lpwstr>https://www.kineis.com/en/activites/transport-and-logistics/</vt:lpwstr>
      </vt:variant>
      <vt:variant>
        <vt:lpwstr/>
      </vt:variant>
      <vt:variant>
        <vt:i4>7471225</vt:i4>
      </vt:variant>
      <vt:variant>
        <vt:i4>186</vt:i4>
      </vt:variant>
      <vt:variant>
        <vt:i4>0</vt:i4>
      </vt:variant>
      <vt:variant>
        <vt:i4>5</vt:i4>
      </vt:variant>
      <vt:variant>
        <vt:lpwstr>https://platform.marketintelligence.spglobal.com/web/client?auth=inherit</vt:lpwstr>
      </vt:variant>
      <vt:variant>
        <vt:lpwstr>company/profile?id=5328140</vt:lpwstr>
      </vt:variant>
      <vt:variant>
        <vt:i4>196684</vt:i4>
      </vt:variant>
      <vt:variant>
        <vt:i4>183</vt:i4>
      </vt:variant>
      <vt:variant>
        <vt:i4>0</vt:i4>
      </vt:variant>
      <vt:variant>
        <vt:i4>5</vt:i4>
      </vt:variant>
      <vt:variant>
        <vt:lpwstr>https://kepler.space/network</vt:lpwstr>
      </vt:variant>
      <vt:variant>
        <vt:lpwstr/>
      </vt:variant>
      <vt:variant>
        <vt:i4>4849676</vt:i4>
      </vt:variant>
      <vt:variant>
        <vt:i4>180</vt:i4>
      </vt:variant>
      <vt:variant>
        <vt:i4>0</vt:i4>
      </vt:variant>
      <vt:variant>
        <vt:i4>5</vt:i4>
      </vt:variant>
      <vt:variant>
        <vt:lpwstr>https://www.lightreading.com/iot/facebook-goes-to-space/d/d-id/764542</vt:lpwstr>
      </vt:variant>
      <vt:variant>
        <vt:lpwstr/>
      </vt:variant>
      <vt:variant>
        <vt:i4>8126577</vt:i4>
      </vt:variant>
      <vt:variant>
        <vt:i4>177</vt:i4>
      </vt:variant>
      <vt:variant>
        <vt:i4>0</vt:i4>
      </vt:variant>
      <vt:variant>
        <vt:i4>5</vt:i4>
      </vt:variant>
      <vt:variant>
        <vt:lpwstr>https://platform.marketintelligence.spglobal.com/web/client?auth=inherit</vt:lpwstr>
      </vt:variant>
      <vt:variant>
        <vt:lpwstr>company/longBusinessDescription?id=4242781</vt:lpwstr>
      </vt:variant>
      <vt:variant>
        <vt:i4>3407914</vt:i4>
      </vt:variant>
      <vt:variant>
        <vt:i4>174</vt:i4>
      </vt:variant>
      <vt:variant>
        <vt:i4>0</vt:i4>
      </vt:variant>
      <vt:variant>
        <vt:i4>5</vt:i4>
      </vt:variant>
      <vt:variant>
        <vt:lpwstr>https://technology.globaldata.com/News/viasats-real-time-earth-ground-station-now-open-in-australia</vt:lpwstr>
      </vt:variant>
      <vt:variant>
        <vt:lpwstr/>
      </vt:variant>
      <vt:variant>
        <vt:i4>7864371</vt:i4>
      </vt:variant>
      <vt:variant>
        <vt:i4>171</vt:i4>
      </vt:variant>
      <vt:variant>
        <vt:i4>0</vt:i4>
      </vt:variant>
      <vt:variant>
        <vt:i4>5</vt:i4>
      </vt:variant>
      <vt:variant>
        <vt:lpwstr>https://spacenews.com/viasat-expanding-into-crowded-ground-as-a-service-business/</vt:lpwstr>
      </vt:variant>
      <vt:variant>
        <vt:lpwstr>:~:text=Viasat%20is%20building%20out%20a,satellite%20broadband%20and%20hardware%20business.</vt:lpwstr>
      </vt:variant>
      <vt:variant>
        <vt:i4>2752605</vt:i4>
      </vt:variant>
      <vt:variant>
        <vt:i4>168</vt:i4>
      </vt:variant>
      <vt:variant>
        <vt:i4>0</vt:i4>
      </vt:variant>
      <vt:variant>
        <vt:i4>5</vt:i4>
      </vt:variant>
      <vt:variant>
        <vt:lpwstr>https://skymusterplus.ipstarbroadband.com.au/?utm_source=IPSTAR%20Menu&amp;utm_medium=IPSTAR%20Menu%20Click&amp;utm_campaign=IPSTAR%20Menu</vt:lpwstr>
      </vt:variant>
      <vt:variant>
        <vt:lpwstr/>
      </vt:variant>
      <vt:variant>
        <vt:i4>2228269</vt:i4>
      </vt:variant>
      <vt:variant>
        <vt:i4>165</vt:i4>
      </vt:variant>
      <vt:variant>
        <vt:i4>0</vt:i4>
      </vt:variant>
      <vt:variant>
        <vt:i4>5</vt:i4>
      </vt:variant>
      <vt:variant>
        <vt:lpwstr>https://www.capitaliq.com/CIQDotNet/Financial/KeyStats.aspx?companyId=878437&amp;statekey=c453d653f2f34d13919d91e1860c168d</vt:lpwstr>
      </vt:variant>
      <vt:variant>
        <vt:lpwstr/>
      </vt:variant>
      <vt:variant>
        <vt:i4>6684740</vt:i4>
      </vt:variant>
      <vt:variant>
        <vt:i4>162</vt:i4>
      </vt:variant>
      <vt:variant>
        <vt:i4>0</vt:i4>
      </vt:variant>
      <vt:variant>
        <vt:i4>5</vt:i4>
      </vt:variant>
      <vt:variant>
        <vt:lpwstr>https://www.telstra.com.sg/content/dam/shared-component-assets/tecom/networks/satellite-services/satellite-services/Telstra_Satellite_Services-Wholesale_Datasheet.pdf</vt:lpwstr>
      </vt:variant>
      <vt:variant>
        <vt:lpwstr/>
      </vt:variant>
      <vt:variant>
        <vt:i4>7667744</vt:i4>
      </vt:variant>
      <vt:variant>
        <vt:i4>159</vt:i4>
      </vt:variant>
      <vt:variant>
        <vt:i4>0</vt:i4>
      </vt:variant>
      <vt:variant>
        <vt:i4>5</vt:i4>
      </vt:variant>
      <vt:variant>
        <vt:lpwstr>https://www.telesat.com/leo-satellites/performance-results/</vt:lpwstr>
      </vt:variant>
      <vt:variant>
        <vt:lpwstr/>
      </vt:variant>
      <vt:variant>
        <vt:i4>5242943</vt:i4>
      </vt:variant>
      <vt:variant>
        <vt:i4>156</vt:i4>
      </vt:variant>
      <vt:variant>
        <vt:i4>0</vt:i4>
      </vt:variant>
      <vt:variant>
        <vt:i4>5</vt:i4>
      </vt:variant>
      <vt:variant>
        <vt:lpwstr>C:\Users\mgrosso\OneDrive - Australian Communications and Media Authority\Downloads\press_release_q2_2020_2 (1).pdf</vt:lpwstr>
      </vt:variant>
      <vt:variant>
        <vt:lpwstr/>
      </vt:variant>
      <vt:variant>
        <vt:i4>7667744</vt:i4>
      </vt:variant>
      <vt:variant>
        <vt:i4>153</vt:i4>
      </vt:variant>
      <vt:variant>
        <vt:i4>0</vt:i4>
      </vt:variant>
      <vt:variant>
        <vt:i4>5</vt:i4>
      </vt:variant>
      <vt:variant>
        <vt:lpwstr>https://www.telesat.com/leo-satellites/performance-results/</vt:lpwstr>
      </vt:variant>
      <vt:variant>
        <vt:lpwstr/>
      </vt:variant>
      <vt:variant>
        <vt:i4>4587551</vt:i4>
      </vt:variant>
      <vt:variant>
        <vt:i4>150</vt:i4>
      </vt:variant>
      <vt:variant>
        <vt:i4>0</vt:i4>
      </vt:variant>
      <vt:variant>
        <vt:i4>5</vt:i4>
      </vt:variant>
      <vt:variant>
        <vt:lpwstr>https://www.speedcast.com/newsroom/press-releases/2021/speedcast-announces-successful-completion-of-restructuring-and-emergence-under-new-ownership-by-centerbridge/</vt:lpwstr>
      </vt:variant>
      <vt:variant>
        <vt:lpwstr/>
      </vt:variant>
      <vt:variant>
        <vt:i4>1900630</vt:i4>
      </vt:variant>
      <vt:variant>
        <vt:i4>147</vt:i4>
      </vt:variant>
      <vt:variant>
        <vt:i4>0</vt:i4>
      </vt:variant>
      <vt:variant>
        <vt:i4>5</vt:i4>
      </vt:variant>
      <vt:variant>
        <vt:lpwstr>https://omnispace.com/omnispace-continues-to-advance-the-development-of-its-global-5g-hybrid-mobile-network/</vt:lpwstr>
      </vt:variant>
      <vt:variant>
        <vt:lpwstr/>
      </vt:variant>
      <vt:variant>
        <vt:i4>3407930</vt:i4>
      </vt:variant>
      <vt:variant>
        <vt:i4>144</vt:i4>
      </vt:variant>
      <vt:variant>
        <vt:i4>0</vt:i4>
      </vt:variant>
      <vt:variant>
        <vt:i4>5</vt:i4>
      </vt:variant>
      <vt:variant>
        <vt:lpwstr>https://www.pivotel.com.au/company-profile/</vt:lpwstr>
      </vt:variant>
      <vt:variant>
        <vt:lpwstr/>
      </vt:variant>
      <vt:variant>
        <vt:i4>5505027</vt:i4>
      </vt:variant>
      <vt:variant>
        <vt:i4>141</vt:i4>
      </vt:variant>
      <vt:variant>
        <vt:i4>0</vt:i4>
      </vt:variant>
      <vt:variant>
        <vt:i4>5</vt:i4>
      </vt:variant>
      <vt:variant>
        <vt:lpwstr>https://www.optus.com.au/about/network/satellite</vt:lpwstr>
      </vt:variant>
      <vt:variant>
        <vt:lpwstr/>
      </vt:variant>
      <vt:variant>
        <vt:i4>4522014</vt:i4>
      </vt:variant>
      <vt:variant>
        <vt:i4>138</vt:i4>
      </vt:variant>
      <vt:variant>
        <vt:i4>0</vt:i4>
      </vt:variant>
      <vt:variant>
        <vt:i4>5</vt:i4>
      </vt:variant>
      <vt:variant>
        <vt:lpwstr>https://www.singtel.com/about-Us/investor-relations/financial-results</vt:lpwstr>
      </vt:variant>
      <vt:variant>
        <vt:lpwstr/>
      </vt:variant>
      <vt:variant>
        <vt:i4>6946858</vt:i4>
      </vt:variant>
      <vt:variant>
        <vt:i4>135</vt:i4>
      </vt:variant>
      <vt:variant>
        <vt:i4>0</vt:i4>
      </vt:variant>
      <vt:variant>
        <vt:i4>5</vt:i4>
      </vt:variant>
      <vt:variant>
        <vt:lpwstr>https://www.intelsat.com/resources/blog/intelsats-restructuring-will-help-transform-satellite-for-a-new-age-of-connectivity-a-qa-with-ceo-stephen-spengler/</vt:lpwstr>
      </vt:variant>
      <vt:variant>
        <vt:lpwstr/>
      </vt:variant>
      <vt:variant>
        <vt:i4>65620</vt:i4>
      </vt:variant>
      <vt:variant>
        <vt:i4>132</vt:i4>
      </vt:variant>
      <vt:variant>
        <vt:i4>0</vt:i4>
      </vt:variant>
      <vt:variant>
        <vt:i4>5</vt:i4>
      </vt:variant>
      <vt:variant>
        <vt:lpwstr>https://www.n2yo.com/satellites/?c=17</vt:lpwstr>
      </vt:variant>
      <vt:variant>
        <vt:lpwstr/>
      </vt:variant>
      <vt:variant>
        <vt:i4>1245197</vt:i4>
      </vt:variant>
      <vt:variant>
        <vt:i4>129</vt:i4>
      </vt:variant>
      <vt:variant>
        <vt:i4>0</vt:i4>
      </vt:variant>
      <vt:variant>
        <vt:i4>5</vt:i4>
      </vt:variant>
      <vt:variant>
        <vt:lpwstr>https://www.globaleagle.com/our-company/news/press-releases/detail/234/global-eagle-receives-court-approval-for-sale</vt:lpwstr>
      </vt:variant>
      <vt:variant>
        <vt:lpwstr/>
      </vt:variant>
      <vt:variant>
        <vt:i4>7995437</vt:i4>
      </vt:variant>
      <vt:variant>
        <vt:i4>126</vt:i4>
      </vt:variant>
      <vt:variant>
        <vt:i4>0</vt:i4>
      </vt:variant>
      <vt:variant>
        <vt:i4>5</vt:i4>
      </vt:variant>
      <vt:variant>
        <vt:lpwstr>https://www.baicommunications.com/about-us/</vt:lpwstr>
      </vt:variant>
      <vt:variant>
        <vt:lpwstr/>
      </vt:variant>
      <vt:variant>
        <vt:i4>3604539</vt:i4>
      </vt:variant>
      <vt:variant>
        <vt:i4>123</vt:i4>
      </vt:variant>
      <vt:variant>
        <vt:i4>0</vt:i4>
      </vt:variant>
      <vt:variant>
        <vt:i4>5</vt:i4>
      </vt:variant>
      <vt:variant>
        <vt:lpwstr>https://www.asiasat.com/aboutus</vt:lpwstr>
      </vt:variant>
      <vt:variant>
        <vt:lpwstr/>
      </vt:variant>
      <vt:variant>
        <vt:i4>2752633</vt:i4>
      </vt:variant>
      <vt:variant>
        <vt:i4>120</vt:i4>
      </vt:variant>
      <vt:variant>
        <vt:i4>0</vt:i4>
      </vt:variant>
      <vt:variant>
        <vt:i4>5</vt:i4>
      </vt:variant>
      <vt:variant>
        <vt:lpwstr>https://www.industry.gov.au/data-and-publications/definition-of-the-australian-space-sector/activities-included-in-the-space-sector</vt:lpwstr>
      </vt:variant>
      <vt:variant>
        <vt:lpwstr/>
      </vt:variant>
      <vt:variant>
        <vt:i4>2752633</vt:i4>
      </vt:variant>
      <vt:variant>
        <vt:i4>117</vt:i4>
      </vt:variant>
      <vt:variant>
        <vt:i4>0</vt:i4>
      </vt:variant>
      <vt:variant>
        <vt:i4>5</vt:i4>
      </vt:variant>
      <vt:variant>
        <vt:lpwstr>https://www.industry.gov.au/data-and-publications/definition-of-the-australian-space-sector/activities-included-in-the-space-sector</vt:lpwstr>
      </vt:variant>
      <vt:variant>
        <vt:lpwstr/>
      </vt:variant>
      <vt:variant>
        <vt:i4>1900559</vt:i4>
      </vt:variant>
      <vt:variant>
        <vt:i4>114</vt:i4>
      </vt:variant>
      <vt:variant>
        <vt:i4>0</vt:i4>
      </vt:variant>
      <vt:variant>
        <vt:i4>5</vt:i4>
      </vt:variant>
      <vt:variant>
        <vt:lpwstr>https://www.industry.gov.au/data-and-publications/definition-of-the-australian-space-sector/defining-the-australian-space-sector</vt:lpwstr>
      </vt:variant>
      <vt:variant>
        <vt:lpwstr/>
      </vt:variant>
      <vt:variant>
        <vt:i4>3014713</vt:i4>
      </vt:variant>
      <vt:variant>
        <vt:i4>111</vt:i4>
      </vt:variant>
      <vt:variant>
        <vt:i4>0</vt:i4>
      </vt:variant>
      <vt:variant>
        <vt:i4>5</vt:i4>
      </vt:variant>
      <vt:variant>
        <vt:lpwstr>http://www.asta.net.au/</vt:lpwstr>
      </vt:variant>
      <vt:variant>
        <vt:lpwstr/>
      </vt:variant>
      <vt:variant>
        <vt:i4>5439490</vt:i4>
      </vt:variant>
      <vt:variant>
        <vt:i4>108</vt:i4>
      </vt:variant>
      <vt:variant>
        <vt:i4>0</vt:i4>
      </vt:variant>
      <vt:variant>
        <vt:i4>5</vt:i4>
      </vt:variant>
      <vt:variant>
        <vt:lpwstr>https://www.industry.gov.au/sites/default/files/2020-12/communications-services-and-technologies-roadmap.pdf</vt:lpwstr>
      </vt:variant>
      <vt:variant>
        <vt:lpwstr/>
      </vt:variant>
      <vt:variant>
        <vt:i4>5439490</vt:i4>
      </vt:variant>
      <vt:variant>
        <vt:i4>105</vt:i4>
      </vt:variant>
      <vt:variant>
        <vt:i4>0</vt:i4>
      </vt:variant>
      <vt:variant>
        <vt:i4>5</vt:i4>
      </vt:variant>
      <vt:variant>
        <vt:lpwstr>https://www.industry.gov.au/sites/default/files/2020-12/communications-services-and-technologies-roadmap.pdf</vt:lpwstr>
      </vt:variant>
      <vt:variant>
        <vt:lpwstr/>
      </vt:variant>
      <vt:variant>
        <vt:i4>4915282</vt:i4>
      </vt:variant>
      <vt:variant>
        <vt:i4>102</vt:i4>
      </vt:variant>
      <vt:variant>
        <vt:i4>0</vt:i4>
      </vt:variant>
      <vt:variant>
        <vt:i4>5</vt:i4>
      </vt:variant>
      <vt:variant>
        <vt:lpwstr>https://www.industry.gov.au/sites/default/files/2020-05/state-of-space-report-2018-19.pdf</vt:lpwstr>
      </vt:variant>
      <vt:variant>
        <vt:lpwstr/>
      </vt:variant>
      <vt:variant>
        <vt:i4>3670028</vt:i4>
      </vt:variant>
      <vt:variant>
        <vt:i4>99</vt:i4>
      </vt:variant>
      <vt:variant>
        <vt:i4>0</vt:i4>
      </vt:variant>
      <vt:variant>
        <vt:i4>5</vt:i4>
      </vt:variant>
      <vt:variant>
        <vt:lpwstr>https://brycetech.com/reports/report-documents/Bryce_Briefing_2020_Q3.pdf</vt:lpwstr>
      </vt:variant>
      <vt:variant>
        <vt:lpwstr/>
      </vt:variant>
      <vt:variant>
        <vt:i4>3670027</vt:i4>
      </vt:variant>
      <vt:variant>
        <vt:i4>96</vt:i4>
      </vt:variant>
      <vt:variant>
        <vt:i4>0</vt:i4>
      </vt:variant>
      <vt:variant>
        <vt:i4>5</vt:i4>
      </vt:variant>
      <vt:variant>
        <vt:lpwstr>https://brycetech.com/reports/report-documents/Bryce_Briefing_2020_Q4.pdf</vt:lpwstr>
      </vt:variant>
      <vt:variant>
        <vt:lpwstr/>
      </vt:variant>
      <vt:variant>
        <vt:i4>1966108</vt:i4>
      </vt:variant>
      <vt:variant>
        <vt:i4>93</vt:i4>
      </vt:variant>
      <vt:variant>
        <vt:i4>0</vt:i4>
      </vt:variant>
      <vt:variant>
        <vt:i4>5</vt:i4>
      </vt:variant>
      <vt:variant>
        <vt:lpwstr>https://www.nanosats.eu/</vt:lpwstr>
      </vt:variant>
      <vt:variant>
        <vt:lpwstr/>
      </vt:variant>
      <vt:variant>
        <vt:i4>7274606</vt:i4>
      </vt:variant>
      <vt:variant>
        <vt:i4>90</vt:i4>
      </vt:variant>
      <vt:variant>
        <vt:i4>0</vt:i4>
      </vt:variant>
      <vt:variant>
        <vt:i4>5</vt:i4>
      </vt:variant>
      <vt:variant>
        <vt:lpwstr>https://www.nanosats.eu/cubesat</vt:lpwstr>
      </vt:variant>
      <vt:variant>
        <vt:lpwstr/>
      </vt:variant>
      <vt:variant>
        <vt:i4>3801163</vt:i4>
      </vt:variant>
      <vt:variant>
        <vt:i4>87</vt:i4>
      </vt:variant>
      <vt:variant>
        <vt:i4>0</vt:i4>
      </vt:variant>
      <vt:variant>
        <vt:i4>5</vt:i4>
      </vt:variant>
      <vt:variant>
        <vt:lpwstr>https://files.vocus.com.au/www/documents/Michael-Ackland_CommsDay.pdf?mtime=20201027094302</vt:lpwstr>
      </vt:variant>
      <vt:variant>
        <vt:lpwstr/>
      </vt:variant>
      <vt:variant>
        <vt:i4>2621512</vt:i4>
      </vt:variant>
      <vt:variant>
        <vt:i4>84</vt:i4>
      </vt:variant>
      <vt:variant>
        <vt:i4>0</vt:i4>
      </vt:variant>
      <vt:variant>
        <vt:i4>5</vt:i4>
      </vt:variant>
      <vt:variant>
        <vt:lpwstr>http://www.euroconsult-ec.com/research/SS20_Brochure.pdf</vt:lpwstr>
      </vt:variant>
      <vt:variant>
        <vt:lpwstr/>
      </vt:variant>
      <vt:variant>
        <vt:i4>2621512</vt:i4>
      </vt:variant>
      <vt:variant>
        <vt:i4>81</vt:i4>
      </vt:variant>
      <vt:variant>
        <vt:i4>0</vt:i4>
      </vt:variant>
      <vt:variant>
        <vt:i4>5</vt:i4>
      </vt:variant>
      <vt:variant>
        <vt:lpwstr>http://www.euroconsult-ec.com/research/SS20_Brochure.pdf</vt:lpwstr>
      </vt:variant>
      <vt:variant>
        <vt:lpwstr/>
      </vt:variant>
      <vt:variant>
        <vt:i4>3473444</vt:i4>
      </vt:variant>
      <vt:variant>
        <vt:i4>78</vt:i4>
      </vt:variant>
      <vt:variant>
        <vt:i4>0</vt:i4>
      </vt:variant>
      <vt:variant>
        <vt:i4>5</vt:i4>
      </vt:variant>
      <vt:variant>
        <vt:lpwstr>https://www.ucsusa.org/resources/satellite-database</vt:lpwstr>
      </vt:variant>
      <vt:variant>
        <vt:lpwstr/>
      </vt:variant>
      <vt:variant>
        <vt:i4>1835009</vt:i4>
      </vt:variant>
      <vt:variant>
        <vt:i4>75</vt:i4>
      </vt:variant>
      <vt:variant>
        <vt:i4>0</vt:i4>
      </vt:variant>
      <vt:variant>
        <vt:i4>5</vt:i4>
      </vt:variant>
      <vt:variant>
        <vt:lpwstr>https://www.oecd-ilibrary.org/sites/c5996201-en/1/2/1/index.html?itemId=/content/publication/c5996201-en&amp;_csp_=ffe5a6bbc1382ae4f0ead9dd2da73ff4&amp;itemIGO=oecd&amp;itemContentType=book</vt:lpwstr>
      </vt:variant>
      <vt:variant>
        <vt:lpwstr/>
      </vt:variant>
      <vt:variant>
        <vt:i4>3670027</vt:i4>
      </vt:variant>
      <vt:variant>
        <vt:i4>72</vt:i4>
      </vt:variant>
      <vt:variant>
        <vt:i4>0</vt:i4>
      </vt:variant>
      <vt:variant>
        <vt:i4>5</vt:i4>
      </vt:variant>
      <vt:variant>
        <vt:lpwstr>https://brycetech.com/reports/report-documents/Bryce_Briefing_2020_Q4.pdf</vt:lpwstr>
      </vt:variant>
      <vt:variant>
        <vt:lpwstr/>
      </vt:variant>
      <vt:variant>
        <vt:i4>3670028</vt:i4>
      </vt:variant>
      <vt:variant>
        <vt:i4>69</vt:i4>
      </vt:variant>
      <vt:variant>
        <vt:i4>0</vt:i4>
      </vt:variant>
      <vt:variant>
        <vt:i4>5</vt:i4>
      </vt:variant>
      <vt:variant>
        <vt:lpwstr>https://brycetech.com/reports/report-documents/Bryce_Briefing_2020_Q3.pdf</vt:lpwstr>
      </vt:variant>
      <vt:variant>
        <vt:lpwstr/>
      </vt:variant>
      <vt:variant>
        <vt:i4>7143528</vt:i4>
      </vt:variant>
      <vt:variant>
        <vt:i4>66</vt:i4>
      </vt:variant>
      <vt:variant>
        <vt:i4>0</vt:i4>
      </vt:variant>
      <vt:variant>
        <vt:i4>5</vt:i4>
      </vt:variant>
      <vt:variant>
        <vt:lpwstr>https://www.sdo.esoc.esa.int/environment_report/Space_Environment_Report_latest.pdf</vt:lpwstr>
      </vt:variant>
      <vt:variant>
        <vt:lpwstr/>
      </vt:variant>
      <vt:variant>
        <vt:i4>7143528</vt:i4>
      </vt:variant>
      <vt:variant>
        <vt:i4>63</vt:i4>
      </vt:variant>
      <vt:variant>
        <vt:i4>0</vt:i4>
      </vt:variant>
      <vt:variant>
        <vt:i4>5</vt:i4>
      </vt:variant>
      <vt:variant>
        <vt:lpwstr>https://www.sdo.esoc.esa.int/environment_report/Space_Environment_Report_latest.pdf</vt:lpwstr>
      </vt:variant>
      <vt:variant>
        <vt:lpwstr/>
      </vt:variant>
      <vt:variant>
        <vt:i4>6553726</vt:i4>
      </vt:variant>
      <vt:variant>
        <vt:i4>60</vt:i4>
      </vt:variant>
      <vt:variant>
        <vt:i4>0</vt:i4>
      </vt:variant>
      <vt:variant>
        <vt:i4>5</vt:i4>
      </vt:variant>
      <vt:variant>
        <vt:lpwstr>https://www.arianespace.com/mission-update/vv16-launch-success/</vt:lpwstr>
      </vt:variant>
      <vt:variant>
        <vt:lpwstr/>
      </vt:variant>
      <vt:variant>
        <vt:i4>6553726</vt:i4>
      </vt:variant>
      <vt:variant>
        <vt:i4>57</vt:i4>
      </vt:variant>
      <vt:variant>
        <vt:i4>0</vt:i4>
      </vt:variant>
      <vt:variant>
        <vt:i4>5</vt:i4>
      </vt:variant>
      <vt:variant>
        <vt:lpwstr>https://www.arianespace.com/mission-update/vv16-launch-success/</vt:lpwstr>
      </vt:variant>
      <vt:variant>
        <vt:lpwstr/>
      </vt:variant>
      <vt:variant>
        <vt:i4>6094868</vt:i4>
      </vt:variant>
      <vt:variant>
        <vt:i4>54</vt:i4>
      </vt:variant>
      <vt:variant>
        <vt:i4>0</vt:i4>
      </vt:variant>
      <vt:variant>
        <vt:i4>5</vt:i4>
      </vt:variant>
      <vt:variant>
        <vt:lpwstr>https://www.defenceconnect.com.au/key-enablers/6859-air-force-celebrates-first-domestic-space-payload-launch</vt:lpwstr>
      </vt:variant>
      <vt:variant>
        <vt:lpwstr/>
      </vt:variant>
      <vt:variant>
        <vt:i4>6750233</vt:i4>
      </vt:variant>
      <vt:variant>
        <vt:i4>51</vt:i4>
      </vt:variant>
      <vt:variant>
        <vt:i4>0</vt:i4>
      </vt:variant>
      <vt:variant>
        <vt:i4>5</vt:i4>
      </vt:variant>
      <vt:variant>
        <vt:lpwstr>https://brycetech.com/reports/report-documents/Orbital_Launches_Year_in_Review_2018.pdf</vt:lpwstr>
      </vt:variant>
      <vt:variant>
        <vt:lpwstr/>
      </vt:variant>
      <vt:variant>
        <vt:i4>3670028</vt:i4>
      </vt:variant>
      <vt:variant>
        <vt:i4>48</vt:i4>
      </vt:variant>
      <vt:variant>
        <vt:i4>0</vt:i4>
      </vt:variant>
      <vt:variant>
        <vt:i4>5</vt:i4>
      </vt:variant>
      <vt:variant>
        <vt:lpwstr>https://brycetech.com/reports/report-documents/Bryce_Briefing_2020_Q3.pdf</vt:lpwstr>
      </vt:variant>
      <vt:variant>
        <vt:lpwstr/>
      </vt:variant>
      <vt:variant>
        <vt:i4>3670027</vt:i4>
      </vt:variant>
      <vt:variant>
        <vt:i4>45</vt:i4>
      </vt:variant>
      <vt:variant>
        <vt:i4>0</vt:i4>
      </vt:variant>
      <vt:variant>
        <vt:i4>5</vt:i4>
      </vt:variant>
      <vt:variant>
        <vt:lpwstr>https://brycetech.com/reports/report-documents/Bryce_Briefing_2020_Q4.pdf</vt:lpwstr>
      </vt:variant>
      <vt:variant>
        <vt:lpwstr/>
      </vt:variant>
      <vt:variant>
        <vt:i4>2818131</vt:i4>
      </vt:variant>
      <vt:variant>
        <vt:i4>42</vt:i4>
      </vt:variant>
      <vt:variant>
        <vt:i4>0</vt:i4>
      </vt:variant>
      <vt:variant>
        <vt:i4>5</vt:i4>
      </vt:variant>
      <vt:variant>
        <vt:lpwstr>https://brycetech.com/reports/report-documents/FAA_Annual_Compendium_2018.pdf</vt:lpwstr>
      </vt:variant>
      <vt:variant>
        <vt:lpwstr/>
      </vt:variant>
      <vt:variant>
        <vt:i4>6750232</vt:i4>
      </vt:variant>
      <vt:variant>
        <vt:i4>39</vt:i4>
      </vt:variant>
      <vt:variant>
        <vt:i4>0</vt:i4>
      </vt:variant>
      <vt:variant>
        <vt:i4>5</vt:i4>
      </vt:variant>
      <vt:variant>
        <vt:lpwstr>https://brycetech.com/reports/report-documents/Orbital_Launches_Year_in_Review_2019.pdf</vt:lpwstr>
      </vt:variant>
      <vt:variant>
        <vt:lpwstr/>
      </vt:variant>
      <vt:variant>
        <vt:i4>1245194</vt:i4>
      </vt:variant>
      <vt:variant>
        <vt:i4>36</vt:i4>
      </vt:variant>
      <vt:variant>
        <vt:i4>0</vt:i4>
      </vt:variant>
      <vt:variant>
        <vt:i4>5</vt:i4>
      </vt:variant>
      <vt:variant>
        <vt:lpwstr>https://www.economist.com/graphic-detail/2018/10/18/the-space-race-is-dominated-by-new-contenders</vt:lpwstr>
      </vt:variant>
      <vt:variant>
        <vt:lpwstr/>
      </vt:variant>
      <vt:variant>
        <vt:i4>4784157</vt:i4>
      </vt:variant>
      <vt:variant>
        <vt:i4>33</vt:i4>
      </vt:variant>
      <vt:variant>
        <vt:i4>0</vt:i4>
      </vt:variant>
      <vt:variant>
        <vt:i4>5</vt:i4>
      </vt:variant>
      <vt:variant>
        <vt:lpwstr>https://brycetech.com/reports/report-documents/Bryce_Start_Up_Space_2020.pdf</vt:lpwstr>
      </vt:variant>
      <vt:variant>
        <vt:lpwstr/>
      </vt:variant>
      <vt:variant>
        <vt:i4>4718668</vt:i4>
      </vt:variant>
      <vt:variant>
        <vt:i4>30</vt:i4>
      </vt:variant>
      <vt:variant>
        <vt:i4>0</vt:i4>
      </vt:variant>
      <vt:variant>
        <vt:i4>5</vt:i4>
      </vt:variant>
      <vt:variant>
        <vt:lpwstr>https://www.spglobal.com/marketintelligence/en/news-insights/latest-news-headlines/3-satellite-bankruptcies-in-3-months-what-happened-and-who-could-be-next-58854554</vt:lpwstr>
      </vt:variant>
      <vt:variant>
        <vt:lpwstr/>
      </vt:variant>
      <vt:variant>
        <vt:i4>4784157</vt:i4>
      </vt:variant>
      <vt:variant>
        <vt:i4>27</vt:i4>
      </vt:variant>
      <vt:variant>
        <vt:i4>0</vt:i4>
      </vt:variant>
      <vt:variant>
        <vt:i4>5</vt:i4>
      </vt:variant>
      <vt:variant>
        <vt:lpwstr>https://brycetech.com/reports/report-documents/Bryce_Start_Up_Space_2020.pdf</vt:lpwstr>
      </vt:variant>
      <vt:variant>
        <vt:lpwstr/>
      </vt:variant>
      <vt:variant>
        <vt:i4>1835009</vt:i4>
      </vt:variant>
      <vt:variant>
        <vt:i4>24</vt:i4>
      </vt:variant>
      <vt:variant>
        <vt:i4>0</vt:i4>
      </vt:variant>
      <vt:variant>
        <vt:i4>5</vt:i4>
      </vt:variant>
      <vt:variant>
        <vt:lpwstr>https://www.oecd-ilibrary.org/sites/c5996201-en/1/2/1/index.html?itemId=/content/publication/c5996201-en&amp;_csp_=ffe5a6bbc1382ae4f0ead9dd2da73ff4&amp;itemIGO=oecd&amp;itemContentType=book</vt:lpwstr>
      </vt:variant>
      <vt:variant>
        <vt:lpwstr/>
      </vt:variant>
      <vt:variant>
        <vt:i4>4784157</vt:i4>
      </vt:variant>
      <vt:variant>
        <vt:i4>21</vt:i4>
      </vt:variant>
      <vt:variant>
        <vt:i4>0</vt:i4>
      </vt:variant>
      <vt:variant>
        <vt:i4>5</vt:i4>
      </vt:variant>
      <vt:variant>
        <vt:lpwstr>https://brycetech.com/reports/report-documents/Bryce_Start_Up_Space_2020.pdf</vt:lpwstr>
      </vt:variant>
      <vt:variant>
        <vt:lpwstr/>
      </vt:variant>
      <vt:variant>
        <vt:i4>4784157</vt:i4>
      </vt:variant>
      <vt:variant>
        <vt:i4>18</vt:i4>
      </vt:variant>
      <vt:variant>
        <vt:i4>0</vt:i4>
      </vt:variant>
      <vt:variant>
        <vt:i4>5</vt:i4>
      </vt:variant>
      <vt:variant>
        <vt:lpwstr>https://brycetech.com/reports/report-documents/Bryce_Start_Up_Space_2020.pdf</vt:lpwstr>
      </vt:variant>
      <vt:variant>
        <vt:lpwstr/>
      </vt:variant>
      <vt:variant>
        <vt:i4>1835009</vt:i4>
      </vt:variant>
      <vt:variant>
        <vt:i4>15</vt:i4>
      </vt:variant>
      <vt:variant>
        <vt:i4>0</vt:i4>
      </vt:variant>
      <vt:variant>
        <vt:i4>5</vt:i4>
      </vt:variant>
      <vt:variant>
        <vt:lpwstr>https://www.oecd-ilibrary.org/sites/c5996201-en/1/2/1/index.html?itemId=/content/publication/c5996201-en&amp;_csp_=ffe5a6bbc1382ae4f0ead9dd2da73ff4&amp;itemIGO=oecd&amp;itemContentType=book</vt:lpwstr>
      </vt:variant>
      <vt:variant>
        <vt:lpwstr/>
      </vt:variant>
      <vt:variant>
        <vt:i4>3145853</vt:i4>
      </vt:variant>
      <vt:variant>
        <vt:i4>12</vt:i4>
      </vt:variant>
      <vt:variant>
        <vt:i4>0</vt:i4>
      </vt:variant>
      <vt:variant>
        <vt:i4>5</vt:i4>
      </vt:variant>
      <vt:variant>
        <vt:lpwstr>https://www.morganstanley.com/ideas/investing-in-space</vt:lpwstr>
      </vt:variant>
      <vt:variant>
        <vt:lpwstr/>
      </vt:variant>
      <vt:variant>
        <vt:i4>3145853</vt:i4>
      </vt:variant>
      <vt:variant>
        <vt:i4>9</vt:i4>
      </vt:variant>
      <vt:variant>
        <vt:i4>0</vt:i4>
      </vt:variant>
      <vt:variant>
        <vt:i4>5</vt:i4>
      </vt:variant>
      <vt:variant>
        <vt:lpwstr>https://www.morganstanley.com/ideas/investing-in-space</vt:lpwstr>
      </vt:variant>
      <vt:variant>
        <vt:lpwstr/>
      </vt:variant>
      <vt:variant>
        <vt:i4>6291514</vt:i4>
      </vt:variant>
      <vt:variant>
        <vt:i4>6</vt:i4>
      </vt:variant>
      <vt:variant>
        <vt:i4>0</vt:i4>
      </vt:variant>
      <vt:variant>
        <vt:i4>5</vt:i4>
      </vt:variant>
      <vt:variant>
        <vt:lpwstr>https://brycetech.com/reports/report-documents/SIA_SSIR_2020.pdf</vt:lpwstr>
      </vt:variant>
      <vt:variant>
        <vt:lpwstr/>
      </vt:variant>
      <vt:variant>
        <vt:i4>2818072</vt:i4>
      </vt:variant>
      <vt:variant>
        <vt:i4>3</vt:i4>
      </vt:variant>
      <vt:variant>
        <vt:i4>0</vt:i4>
      </vt:variant>
      <vt:variant>
        <vt:i4>5</vt:i4>
      </vt:variant>
      <vt:variant>
        <vt:lpwstr>https://read.oecd-ilibrary.org/view/?ref=135_135514-gg3eitmwa3&amp;title=The-impacts-of-COVID-19-on-the-space-industry</vt:lpwstr>
      </vt:variant>
      <vt:variant>
        <vt:lpwstr/>
      </vt:variant>
      <vt:variant>
        <vt:i4>1900559</vt:i4>
      </vt:variant>
      <vt:variant>
        <vt:i4>0</vt:i4>
      </vt:variant>
      <vt:variant>
        <vt:i4>0</vt:i4>
      </vt:variant>
      <vt:variant>
        <vt:i4>5</vt:i4>
      </vt:variant>
      <vt:variant>
        <vt:lpwstr>https://www.industry.gov.au/data-and-publications/definition-of-the-australian-space-sector/defining-the-australian-space-sector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2021-04-01T01:28:00Z</dcterms:created>
  <dcterms:modified xsi:type="dcterms:W3CDTF">2021-04-01T01:28:00Z</dcterms:modified>
  <cp:category/>
</cp:coreProperties>
</file>