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FC1AE4" w14:textId="2A7CFB74" w:rsidR="00F06E14" w:rsidRPr="00A51D1A" w:rsidRDefault="0035160C" w:rsidP="00A51D1A">
      <w:pPr>
        <w:pStyle w:val="Reporttitle"/>
      </w:pPr>
      <w:r>
        <w:t>Our a</w:t>
      </w:r>
      <w:r w:rsidR="00777CCF">
        <w:t>pproach to radiocommunications licensing and allocation</w:t>
      </w:r>
      <w:r w:rsidR="00E0747F">
        <w:t xml:space="preserve"> </w:t>
      </w:r>
    </w:p>
    <w:p w14:paraId="0DA05E52" w14:textId="136D5190" w:rsidR="00F06E14" w:rsidRDefault="001B4740" w:rsidP="00F06E14">
      <w:pPr>
        <w:pStyle w:val="Reportsubtitle"/>
      </w:pPr>
      <w:r>
        <w:t>Implementing</w:t>
      </w:r>
      <w:r w:rsidR="00777CCF">
        <w:t xml:space="preserve"> the </w:t>
      </w:r>
      <w:r w:rsidR="00777CCF" w:rsidRPr="005B3674">
        <w:rPr>
          <w:i/>
          <w:iCs/>
        </w:rPr>
        <w:t>Radiocommunications Legislation Amendment (Reform and Modernisation) Act 2020</w:t>
      </w:r>
    </w:p>
    <w:p w14:paraId="5C4F19D3" w14:textId="73C84409" w:rsidR="00C97736" w:rsidRPr="000D76E0" w:rsidRDefault="00790368"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MARCH </w:t>
      </w:r>
      <w:r w:rsidR="00777CCF">
        <w:t>2021</w:t>
      </w:r>
    </w:p>
    <w:p w14:paraId="619E89AB" w14:textId="77777777" w:rsidR="0005011A" w:rsidRPr="00F44F3A" w:rsidRDefault="0005011A" w:rsidP="00FC07B9">
      <w:pPr>
        <w:pStyle w:val="ACMACorporateAddressHeader"/>
      </w:pPr>
      <w:r w:rsidRPr="00F44F3A">
        <w:lastRenderedPageBreak/>
        <w:t>Canberra</w:t>
      </w:r>
    </w:p>
    <w:p w14:paraId="1A14530B"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8C29262" w14:textId="77777777" w:rsidR="0005011A" w:rsidRPr="00FC07B9" w:rsidRDefault="0005011A" w:rsidP="00FC07B9">
      <w:pPr>
        <w:pStyle w:val="ACMACorporateAddresses"/>
      </w:pPr>
      <w:r w:rsidRPr="00FC07B9">
        <w:t>PO Box 78</w:t>
      </w:r>
      <w:r w:rsidRPr="00FC07B9">
        <w:br/>
        <w:t>Belconnen ACT 2616</w:t>
      </w:r>
    </w:p>
    <w:p w14:paraId="7B7674B7"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A689CC0" w14:textId="77777777" w:rsidR="0005011A" w:rsidRPr="00F44F3A" w:rsidRDefault="0005011A" w:rsidP="00FC07B9">
      <w:pPr>
        <w:pStyle w:val="ACMACorporateAddressHeader"/>
      </w:pPr>
      <w:r w:rsidRPr="00F44F3A">
        <w:t>Melbourne</w:t>
      </w:r>
    </w:p>
    <w:p w14:paraId="6A52266C"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C98F1AC"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27C37A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270490E" w14:textId="77777777" w:rsidR="0005011A" w:rsidRPr="00F44F3A" w:rsidRDefault="0005011A" w:rsidP="00FC07B9">
      <w:pPr>
        <w:pStyle w:val="ACMACorporateAddressHeader"/>
      </w:pPr>
      <w:r w:rsidRPr="00F44F3A">
        <w:t>Sydney</w:t>
      </w:r>
    </w:p>
    <w:p w14:paraId="18AF5ED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AD59C19"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FD21D9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AC5C74E" w14:textId="77777777" w:rsidR="00140318" w:rsidRPr="006D46E5" w:rsidRDefault="00140318" w:rsidP="00FC07B9">
      <w:pPr>
        <w:pStyle w:val="ACMACopyrightHeader"/>
      </w:pPr>
      <w:r w:rsidRPr="00140318">
        <w:t>Copyright notice</w:t>
      </w:r>
    </w:p>
    <w:p w14:paraId="607BBD92" w14:textId="77777777" w:rsidR="00140318" w:rsidRPr="006D46E5" w:rsidRDefault="5B66455F" w:rsidP="00623FF9">
      <w:pPr>
        <w:pStyle w:val="ACMACClogo"/>
      </w:pPr>
      <w:r>
        <w:rPr>
          <w:noProof/>
        </w:rPr>
        <w:drawing>
          <wp:inline distT="0" distB="0" distL="0" distR="0" wp14:anchorId="4F5764FD" wp14:editId="4D675DD9">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062479C3" w14:textId="77777777" w:rsidR="00AA2DE5" w:rsidRDefault="005B3674" w:rsidP="00AA2DE5">
      <w:pPr>
        <w:pStyle w:val="ACMACorporateAddresses"/>
        <w:rPr>
          <w:rStyle w:val="Hyperlink"/>
        </w:rPr>
      </w:pPr>
      <w:hyperlink r:id="rId13" w:history="1">
        <w:r w:rsidR="00AA2DE5">
          <w:rPr>
            <w:rStyle w:val="Hyperlink"/>
          </w:rPr>
          <w:t>https://creativecommons.org/licenses/by/4.0/</w:t>
        </w:r>
      </w:hyperlink>
    </w:p>
    <w:p w14:paraId="405FDAA6"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3853DD9C" w14:textId="77777777" w:rsidR="00AA2DE5" w:rsidRDefault="00AA2DE5" w:rsidP="00AA2DE5">
      <w:pPr>
        <w:pStyle w:val="ACMACorporateAddresses"/>
      </w:pPr>
      <w:r>
        <w:t>We request attribution as © Commonwealth of Australia (Australian Communications and Media Authority) 20</w:t>
      </w:r>
      <w:r w:rsidR="00C41F21">
        <w:t>2</w:t>
      </w:r>
      <w:r w:rsidR="00023A36">
        <w:t>1</w:t>
      </w:r>
      <w:r>
        <w:t>.</w:t>
      </w:r>
    </w:p>
    <w:p w14:paraId="04697235" w14:textId="77777777" w:rsidR="00AA2DE5" w:rsidRDefault="00AA2DE5" w:rsidP="00AA2DE5">
      <w:pPr>
        <w:pStyle w:val="ACMACorporateAddresses"/>
      </w:pPr>
      <w:r>
        <w:t>All other rights are reserved.</w:t>
      </w:r>
    </w:p>
    <w:p w14:paraId="5C4F0822"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EF7F8FC" w14:textId="77777777" w:rsidR="00AA2DE5" w:rsidRDefault="00AA2DE5" w:rsidP="00AA2DE5">
      <w:pPr>
        <w:pStyle w:val="ACMACorporateAddresses"/>
      </w:pPr>
      <w:r>
        <w:t>Written enquiries may be sent to:</w:t>
      </w:r>
    </w:p>
    <w:p w14:paraId="6A17C651"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2D200B69" w14:textId="77777777" w:rsidR="00D16FE3" w:rsidRDefault="00D16FE3" w:rsidP="00D16FE3">
      <w:pPr>
        <w:pStyle w:val="ACMACorporateAddresses"/>
        <w:rPr>
          <w:rStyle w:val="Hyperlink"/>
        </w:rPr>
      </w:pPr>
    </w:p>
    <w:p w14:paraId="416289E5"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2E82A09E" w14:textId="20A030A8" w:rsidR="00866752" w:rsidRDefault="00866752">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"Exec summary heading,1" </w:instrText>
      </w:r>
      <w:r>
        <w:rPr>
          <w:rFonts w:cs="Arial"/>
        </w:rPr>
        <w:fldChar w:fldCharType="separate"/>
      </w:r>
      <w:hyperlink w:anchor="_Toc65835935" w:history="1">
        <w:r w:rsidRPr="000E1FA3">
          <w:rPr>
            <w:rStyle w:val="Hyperlink"/>
          </w:rPr>
          <w:t>Executive summary</w:t>
        </w:r>
        <w:r>
          <w:rPr>
            <w:webHidden/>
          </w:rPr>
          <w:tab/>
        </w:r>
        <w:r>
          <w:rPr>
            <w:webHidden/>
          </w:rPr>
          <w:fldChar w:fldCharType="begin"/>
        </w:r>
        <w:r>
          <w:rPr>
            <w:webHidden/>
          </w:rPr>
          <w:instrText xml:space="preserve"> PAGEREF _Toc65835935 \h </w:instrText>
        </w:r>
        <w:r>
          <w:rPr>
            <w:webHidden/>
          </w:rPr>
        </w:r>
        <w:r>
          <w:rPr>
            <w:webHidden/>
          </w:rPr>
          <w:fldChar w:fldCharType="separate"/>
        </w:r>
        <w:r w:rsidR="00B916F9">
          <w:rPr>
            <w:webHidden/>
          </w:rPr>
          <w:t>1</w:t>
        </w:r>
        <w:r>
          <w:rPr>
            <w:webHidden/>
          </w:rPr>
          <w:fldChar w:fldCharType="end"/>
        </w:r>
      </w:hyperlink>
    </w:p>
    <w:p w14:paraId="64589DCB" w14:textId="60CEE46D" w:rsidR="00866752" w:rsidRDefault="005B3674">
      <w:pPr>
        <w:pStyle w:val="TOC1"/>
        <w:rPr>
          <w:rFonts w:asciiTheme="minorHAnsi" w:eastAsiaTheme="minorEastAsia" w:hAnsiTheme="minorHAnsi" w:cstheme="minorBidi"/>
          <w:b w:val="0"/>
          <w:spacing w:val="0"/>
          <w:sz w:val="22"/>
          <w:szCs w:val="22"/>
        </w:rPr>
      </w:pPr>
      <w:hyperlink w:anchor="_Toc65835936" w:history="1">
        <w:r w:rsidR="00866752" w:rsidRPr="000E1FA3">
          <w:rPr>
            <w:rStyle w:val="Hyperlink"/>
          </w:rPr>
          <w:t>Approach to decision-making</w:t>
        </w:r>
        <w:r w:rsidR="00866752">
          <w:rPr>
            <w:webHidden/>
          </w:rPr>
          <w:tab/>
        </w:r>
        <w:r w:rsidR="00866752">
          <w:rPr>
            <w:webHidden/>
          </w:rPr>
          <w:fldChar w:fldCharType="begin"/>
        </w:r>
        <w:r w:rsidR="00866752">
          <w:rPr>
            <w:webHidden/>
          </w:rPr>
          <w:instrText xml:space="preserve"> PAGEREF _Toc65835936 \h </w:instrText>
        </w:r>
        <w:r w:rsidR="00866752">
          <w:rPr>
            <w:webHidden/>
          </w:rPr>
        </w:r>
        <w:r w:rsidR="00866752">
          <w:rPr>
            <w:webHidden/>
          </w:rPr>
          <w:fldChar w:fldCharType="separate"/>
        </w:r>
        <w:r w:rsidR="00B916F9">
          <w:rPr>
            <w:webHidden/>
          </w:rPr>
          <w:t>2</w:t>
        </w:r>
        <w:r w:rsidR="00866752">
          <w:rPr>
            <w:webHidden/>
          </w:rPr>
          <w:fldChar w:fldCharType="end"/>
        </w:r>
      </w:hyperlink>
    </w:p>
    <w:p w14:paraId="36AA7121" w14:textId="26B8402F" w:rsidR="00866752" w:rsidRDefault="005B3674">
      <w:pPr>
        <w:pStyle w:val="TOC1"/>
        <w:rPr>
          <w:rFonts w:asciiTheme="minorHAnsi" w:eastAsiaTheme="minorEastAsia" w:hAnsiTheme="minorHAnsi" w:cstheme="minorBidi"/>
          <w:b w:val="0"/>
          <w:spacing w:val="0"/>
          <w:sz w:val="22"/>
          <w:szCs w:val="22"/>
        </w:rPr>
      </w:pPr>
      <w:hyperlink w:anchor="_Toc65835937" w:history="1">
        <w:r w:rsidR="00866752" w:rsidRPr="000E1FA3">
          <w:rPr>
            <w:rStyle w:val="Hyperlink"/>
          </w:rPr>
          <w:t>Licence categories</w:t>
        </w:r>
        <w:r w:rsidR="00866752">
          <w:rPr>
            <w:webHidden/>
          </w:rPr>
          <w:tab/>
        </w:r>
        <w:r w:rsidR="00866752">
          <w:rPr>
            <w:webHidden/>
          </w:rPr>
          <w:fldChar w:fldCharType="begin"/>
        </w:r>
        <w:r w:rsidR="00866752">
          <w:rPr>
            <w:webHidden/>
          </w:rPr>
          <w:instrText xml:space="preserve"> PAGEREF _Toc65835937 \h </w:instrText>
        </w:r>
        <w:r w:rsidR="00866752">
          <w:rPr>
            <w:webHidden/>
          </w:rPr>
        </w:r>
        <w:r w:rsidR="00866752">
          <w:rPr>
            <w:webHidden/>
          </w:rPr>
          <w:fldChar w:fldCharType="separate"/>
        </w:r>
        <w:r w:rsidR="00B916F9">
          <w:rPr>
            <w:webHidden/>
          </w:rPr>
          <w:t>5</w:t>
        </w:r>
        <w:r w:rsidR="00866752">
          <w:rPr>
            <w:webHidden/>
          </w:rPr>
          <w:fldChar w:fldCharType="end"/>
        </w:r>
      </w:hyperlink>
    </w:p>
    <w:p w14:paraId="43C2C68B" w14:textId="28B436DD" w:rsidR="00866752" w:rsidRDefault="005B3674">
      <w:pPr>
        <w:pStyle w:val="TOC2"/>
        <w:rPr>
          <w:rFonts w:asciiTheme="minorHAnsi" w:eastAsiaTheme="minorEastAsia" w:hAnsiTheme="minorHAnsi" w:cstheme="minorBidi"/>
          <w:spacing w:val="0"/>
          <w:sz w:val="22"/>
          <w:szCs w:val="22"/>
        </w:rPr>
      </w:pPr>
      <w:hyperlink w:anchor="_Toc65835938" w:history="1">
        <w:r w:rsidR="00866752" w:rsidRPr="000E1FA3">
          <w:rPr>
            <w:rStyle w:val="Hyperlink"/>
          </w:rPr>
          <w:t>Relevant legislative provisions</w:t>
        </w:r>
        <w:r w:rsidR="00866752">
          <w:rPr>
            <w:webHidden/>
          </w:rPr>
          <w:tab/>
        </w:r>
        <w:r w:rsidR="00866752">
          <w:rPr>
            <w:webHidden/>
          </w:rPr>
          <w:fldChar w:fldCharType="begin"/>
        </w:r>
        <w:r w:rsidR="00866752">
          <w:rPr>
            <w:webHidden/>
          </w:rPr>
          <w:instrText xml:space="preserve"> PAGEREF _Toc65835938 \h </w:instrText>
        </w:r>
        <w:r w:rsidR="00866752">
          <w:rPr>
            <w:webHidden/>
          </w:rPr>
        </w:r>
        <w:r w:rsidR="00866752">
          <w:rPr>
            <w:webHidden/>
          </w:rPr>
          <w:fldChar w:fldCharType="separate"/>
        </w:r>
        <w:r w:rsidR="00B916F9">
          <w:rPr>
            <w:webHidden/>
          </w:rPr>
          <w:t>5</w:t>
        </w:r>
        <w:r w:rsidR="00866752">
          <w:rPr>
            <w:webHidden/>
          </w:rPr>
          <w:fldChar w:fldCharType="end"/>
        </w:r>
      </w:hyperlink>
    </w:p>
    <w:p w14:paraId="2247AE3F" w14:textId="0D375444" w:rsidR="00866752" w:rsidRDefault="005B3674">
      <w:pPr>
        <w:pStyle w:val="TOC2"/>
        <w:rPr>
          <w:rFonts w:asciiTheme="minorHAnsi" w:eastAsiaTheme="minorEastAsia" w:hAnsiTheme="minorHAnsi" w:cstheme="minorBidi"/>
          <w:spacing w:val="0"/>
          <w:sz w:val="22"/>
          <w:szCs w:val="22"/>
        </w:rPr>
      </w:pPr>
      <w:hyperlink w:anchor="_Toc65835939" w:history="1">
        <w:r w:rsidR="00866752" w:rsidRPr="000E1FA3">
          <w:rPr>
            <w:rStyle w:val="Hyperlink"/>
          </w:rPr>
          <w:t>Key decisions</w:t>
        </w:r>
        <w:r w:rsidR="00866752">
          <w:rPr>
            <w:webHidden/>
          </w:rPr>
          <w:tab/>
        </w:r>
        <w:r w:rsidR="00866752">
          <w:rPr>
            <w:webHidden/>
          </w:rPr>
          <w:fldChar w:fldCharType="begin"/>
        </w:r>
        <w:r w:rsidR="00866752">
          <w:rPr>
            <w:webHidden/>
          </w:rPr>
          <w:instrText xml:space="preserve"> PAGEREF _Toc65835939 \h </w:instrText>
        </w:r>
        <w:r w:rsidR="00866752">
          <w:rPr>
            <w:webHidden/>
          </w:rPr>
        </w:r>
        <w:r w:rsidR="00866752">
          <w:rPr>
            <w:webHidden/>
          </w:rPr>
          <w:fldChar w:fldCharType="separate"/>
        </w:r>
        <w:r w:rsidR="00B916F9">
          <w:rPr>
            <w:webHidden/>
          </w:rPr>
          <w:t>5</w:t>
        </w:r>
        <w:r w:rsidR="00866752">
          <w:rPr>
            <w:webHidden/>
          </w:rPr>
          <w:fldChar w:fldCharType="end"/>
        </w:r>
      </w:hyperlink>
    </w:p>
    <w:p w14:paraId="32F46202" w14:textId="536A835A" w:rsidR="00866752" w:rsidRDefault="005B3674">
      <w:pPr>
        <w:pStyle w:val="TOC2"/>
        <w:rPr>
          <w:rFonts w:asciiTheme="minorHAnsi" w:eastAsiaTheme="minorEastAsia" w:hAnsiTheme="minorHAnsi" w:cstheme="minorBidi"/>
          <w:spacing w:val="0"/>
          <w:sz w:val="22"/>
          <w:szCs w:val="22"/>
        </w:rPr>
      </w:pPr>
      <w:hyperlink w:anchor="_Toc65835940" w:history="1">
        <w:r w:rsidR="00866752" w:rsidRPr="000E1FA3">
          <w:rPr>
            <w:rStyle w:val="Hyperlink"/>
          </w:rPr>
          <w:t>How we identify appropriate licensing arrangements</w:t>
        </w:r>
        <w:r w:rsidR="00866752">
          <w:rPr>
            <w:webHidden/>
          </w:rPr>
          <w:tab/>
        </w:r>
        <w:r w:rsidR="00866752">
          <w:rPr>
            <w:webHidden/>
          </w:rPr>
          <w:fldChar w:fldCharType="begin"/>
        </w:r>
        <w:r w:rsidR="00866752">
          <w:rPr>
            <w:webHidden/>
          </w:rPr>
          <w:instrText xml:space="preserve"> PAGEREF _Toc65835940 \h </w:instrText>
        </w:r>
        <w:r w:rsidR="00866752">
          <w:rPr>
            <w:webHidden/>
          </w:rPr>
        </w:r>
        <w:r w:rsidR="00866752">
          <w:rPr>
            <w:webHidden/>
          </w:rPr>
          <w:fldChar w:fldCharType="separate"/>
        </w:r>
        <w:r w:rsidR="00B916F9">
          <w:rPr>
            <w:webHidden/>
          </w:rPr>
          <w:t>5</w:t>
        </w:r>
        <w:r w:rsidR="00866752">
          <w:rPr>
            <w:webHidden/>
          </w:rPr>
          <w:fldChar w:fldCharType="end"/>
        </w:r>
      </w:hyperlink>
    </w:p>
    <w:p w14:paraId="6460A644" w14:textId="27081B30" w:rsidR="00866752" w:rsidRDefault="005B3674">
      <w:pPr>
        <w:pStyle w:val="TOC2"/>
        <w:rPr>
          <w:rFonts w:asciiTheme="minorHAnsi" w:eastAsiaTheme="minorEastAsia" w:hAnsiTheme="minorHAnsi" w:cstheme="minorBidi"/>
          <w:spacing w:val="0"/>
          <w:sz w:val="22"/>
          <w:szCs w:val="22"/>
        </w:rPr>
      </w:pPr>
      <w:hyperlink w:anchor="_Toc65835941" w:history="1">
        <w:r w:rsidR="00866752" w:rsidRPr="000E1FA3">
          <w:rPr>
            <w:rStyle w:val="Hyperlink"/>
          </w:rPr>
          <w:t>When spectrum licensing is appropriate</w:t>
        </w:r>
        <w:r w:rsidR="00866752">
          <w:rPr>
            <w:webHidden/>
          </w:rPr>
          <w:tab/>
        </w:r>
        <w:r w:rsidR="00866752">
          <w:rPr>
            <w:webHidden/>
          </w:rPr>
          <w:fldChar w:fldCharType="begin"/>
        </w:r>
        <w:r w:rsidR="00866752">
          <w:rPr>
            <w:webHidden/>
          </w:rPr>
          <w:instrText xml:space="preserve"> PAGEREF _Toc65835941 \h </w:instrText>
        </w:r>
        <w:r w:rsidR="00866752">
          <w:rPr>
            <w:webHidden/>
          </w:rPr>
        </w:r>
        <w:r w:rsidR="00866752">
          <w:rPr>
            <w:webHidden/>
          </w:rPr>
          <w:fldChar w:fldCharType="separate"/>
        </w:r>
        <w:r w:rsidR="00B916F9">
          <w:rPr>
            <w:webHidden/>
          </w:rPr>
          <w:t>6</w:t>
        </w:r>
        <w:r w:rsidR="00866752">
          <w:rPr>
            <w:webHidden/>
          </w:rPr>
          <w:fldChar w:fldCharType="end"/>
        </w:r>
      </w:hyperlink>
    </w:p>
    <w:p w14:paraId="6AD759BD" w14:textId="054A9066" w:rsidR="00866752" w:rsidRDefault="005B3674">
      <w:pPr>
        <w:pStyle w:val="TOC2"/>
        <w:rPr>
          <w:rFonts w:asciiTheme="minorHAnsi" w:eastAsiaTheme="minorEastAsia" w:hAnsiTheme="minorHAnsi" w:cstheme="minorBidi"/>
          <w:spacing w:val="0"/>
          <w:sz w:val="22"/>
          <w:szCs w:val="22"/>
        </w:rPr>
      </w:pPr>
      <w:hyperlink w:anchor="_Toc65835942" w:history="1">
        <w:r w:rsidR="00866752" w:rsidRPr="000E1FA3">
          <w:rPr>
            <w:rStyle w:val="Hyperlink"/>
          </w:rPr>
          <w:t>When apparatus licensing is appropriate</w:t>
        </w:r>
        <w:r w:rsidR="00866752">
          <w:rPr>
            <w:webHidden/>
          </w:rPr>
          <w:tab/>
        </w:r>
        <w:r w:rsidR="00866752">
          <w:rPr>
            <w:webHidden/>
          </w:rPr>
          <w:fldChar w:fldCharType="begin"/>
        </w:r>
        <w:r w:rsidR="00866752">
          <w:rPr>
            <w:webHidden/>
          </w:rPr>
          <w:instrText xml:space="preserve"> PAGEREF _Toc65835942 \h </w:instrText>
        </w:r>
        <w:r w:rsidR="00866752">
          <w:rPr>
            <w:webHidden/>
          </w:rPr>
        </w:r>
        <w:r w:rsidR="00866752">
          <w:rPr>
            <w:webHidden/>
          </w:rPr>
          <w:fldChar w:fldCharType="separate"/>
        </w:r>
        <w:r w:rsidR="00B916F9">
          <w:rPr>
            <w:webHidden/>
          </w:rPr>
          <w:t>8</w:t>
        </w:r>
        <w:r w:rsidR="00866752">
          <w:rPr>
            <w:webHidden/>
          </w:rPr>
          <w:fldChar w:fldCharType="end"/>
        </w:r>
      </w:hyperlink>
    </w:p>
    <w:p w14:paraId="629A9C19" w14:textId="1F4E3FF7" w:rsidR="00866752" w:rsidRDefault="005B3674">
      <w:pPr>
        <w:pStyle w:val="TOC3"/>
        <w:rPr>
          <w:rFonts w:asciiTheme="minorHAnsi" w:eastAsiaTheme="minorEastAsia" w:hAnsiTheme="minorHAnsi" w:cstheme="minorBidi"/>
        </w:rPr>
      </w:pPr>
      <w:hyperlink w:anchor="_Toc65835943" w:history="1">
        <w:r w:rsidR="00866752" w:rsidRPr="000E1FA3">
          <w:rPr>
            <w:rStyle w:val="Hyperlink"/>
          </w:rPr>
          <w:t>Area-wide licence (AWL)</w:t>
        </w:r>
        <w:r w:rsidR="00866752">
          <w:rPr>
            <w:webHidden/>
          </w:rPr>
          <w:tab/>
        </w:r>
        <w:r w:rsidR="00866752">
          <w:rPr>
            <w:webHidden/>
          </w:rPr>
          <w:fldChar w:fldCharType="begin"/>
        </w:r>
        <w:r w:rsidR="00866752">
          <w:rPr>
            <w:webHidden/>
          </w:rPr>
          <w:instrText xml:space="preserve"> PAGEREF _Toc65835943 \h </w:instrText>
        </w:r>
        <w:r w:rsidR="00866752">
          <w:rPr>
            <w:webHidden/>
          </w:rPr>
        </w:r>
        <w:r w:rsidR="00866752">
          <w:rPr>
            <w:webHidden/>
          </w:rPr>
          <w:fldChar w:fldCharType="separate"/>
        </w:r>
        <w:r w:rsidR="00B916F9">
          <w:rPr>
            <w:webHidden/>
          </w:rPr>
          <w:t>10</w:t>
        </w:r>
        <w:r w:rsidR="00866752">
          <w:rPr>
            <w:webHidden/>
          </w:rPr>
          <w:fldChar w:fldCharType="end"/>
        </w:r>
      </w:hyperlink>
    </w:p>
    <w:p w14:paraId="60634F69" w14:textId="0F5019EE" w:rsidR="00866752" w:rsidRDefault="005B3674">
      <w:pPr>
        <w:pStyle w:val="TOC3"/>
        <w:rPr>
          <w:rFonts w:asciiTheme="minorHAnsi" w:eastAsiaTheme="minorEastAsia" w:hAnsiTheme="minorHAnsi" w:cstheme="minorBidi"/>
        </w:rPr>
      </w:pPr>
      <w:hyperlink w:anchor="_Toc65835944" w:history="1">
        <w:r w:rsidR="00866752" w:rsidRPr="000E1FA3">
          <w:rPr>
            <w:rStyle w:val="Hyperlink"/>
            <w:rFonts w:eastAsia="Arial"/>
          </w:rPr>
          <w:t>Broadcasting transmitter licences</w:t>
        </w:r>
        <w:r w:rsidR="00866752">
          <w:rPr>
            <w:webHidden/>
          </w:rPr>
          <w:tab/>
        </w:r>
        <w:r w:rsidR="00866752">
          <w:rPr>
            <w:webHidden/>
          </w:rPr>
          <w:fldChar w:fldCharType="begin"/>
        </w:r>
        <w:r w:rsidR="00866752">
          <w:rPr>
            <w:webHidden/>
          </w:rPr>
          <w:instrText xml:space="preserve"> PAGEREF _Toc65835944 \h </w:instrText>
        </w:r>
        <w:r w:rsidR="00866752">
          <w:rPr>
            <w:webHidden/>
          </w:rPr>
        </w:r>
        <w:r w:rsidR="00866752">
          <w:rPr>
            <w:webHidden/>
          </w:rPr>
          <w:fldChar w:fldCharType="separate"/>
        </w:r>
        <w:r w:rsidR="00B916F9">
          <w:rPr>
            <w:webHidden/>
          </w:rPr>
          <w:t>10</w:t>
        </w:r>
        <w:r w:rsidR="00866752">
          <w:rPr>
            <w:webHidden/>
          </w:rPr>
          <w:fldChar w:fldCharType="end"/>
        </w:r>
      </w:hyperlink>
    </w:p>
    <w:p w14:paraId="5CEA514D" w14:textId="432E9872" w:rsidR="00866752" w:rsidRDefault="005B3674">
      <w:pPr>
        <w:pStyle w:val="TOC3"/>
        <w:rPr>
          <w:rFonts w:asciiTheme="minorHAnsi" w:eastAsiaTheme="minorEastAsia" w:hAnsiTheme="minorHAnsi" w:cstheme="minorBidi"/>
        </w:rPr>
      </w:pPr>
      <w:hyperlink w:anchor="_Toc65835945" w:history="1">
        <w:r w:rsidR="00866752" w:rsidRPr="000E1FA3">
          <w:rPr>
            <w:rStyle w:val="Hyperlink"/>
          </w:rPr>
          <w:t>Apparatus licences of a non-specified type</w:t>
        </w:r>
        <w:r w:rsidR="00866752">
          <w:rPr>
            <w:webHidden/>
          </w:rPr>
          <w:tab/>
        </w:r>
        <w:r w:rsidR="00866752">
          <w:rPr>
            <w:webHidden/>
          </w:rPr>
          <w:fldChar w:fldCharType="begin"/>
        </w:r>
        <w:r w:rsidR="00866752">
          <w:rPr>
            <w:webHidden/>
          </w:rPr>
          <w:instrText xml:space="preserve"> PAGEREF _Toc65835945 \h </w:instrText>
        </w:r>
        <w:r w:rsidR="00866752">
          <w:rPr>
            <w:webHidden/>
          </w:rPr>
        </w:r>
        <w:r w:rsidR="00866752">
          <w:rPr>
            <w:webHidden/>
          </w:rPr>
          <w:fldChar w:fldCharType="separate"/>
        </w:r>
        <w:r w:rsidR="00B916F9">
          <w:rPr>
            <w:webHidden/>
          </w:rPr>
          <w:t>11</w:t>
        </w:r>
        <w:r w:rsidR="00866752">
          <w:rPr>
            <w:webHidden/>
          </w:rPr>
          <w:fldChar w:fldCharType="end"/>
        </w:r>
      </w:hyperlink>
    </w:p>
    <w:p w14:paraId="243DCEDE" w14:textId="4606B47F" w:rsidR="00866752" w:rsidRDefault="005B3674">
      <w:pPr>
        <w:pStyle w:val="TOC2"/>
        <w:rPr>
          <w:rFonts w:asciiTheme="minorHAnsi" w:eastAsiaTheme="minorEastAsia" w:hAnsiTheme="minorHAnsi" w:cstheme="minorBidi"/>
          <w:spacing w:val="0"/>
          <w:sz w:val="22"/>
          <w:szCs w:val="22"/>
        </w:rPr>
      </w:pPr>
      <w:hyperlink w:anchor="_Toc65835946" w:history="1">
        <w:r w:rsidR="00866752" w:rsidRPr="000E1FA3">
          <w:rPr>
            <w:rStyle w:val="Hyperlink"/>
          </w:rPr>
          <w:t>When class licensing is appropriate</w:t>
        </w:r>
        <w:r w:rsidR="00866752">
          <w:rPr>
            <w:webHidden/>
          </w:rPr>
          <w:tab/>
        </w:r>
        <w:r w:rsidR="00866752">
          <w:rPr>
            <w:webHidden/>
          </w:rPr>
          <w:fldChar w:fldCharType="begin"/>
        </w:r>
        <w:r w:rsidR="00866752">
          <w:rPr>
            <w:webHidden/>
          </w:rPr>
          <w:instrText xml:space="preserve"> PAGEREF _Toc65835946 \h </w:instrText>
        </w:r>
        <w:r w:rsidR="00866752">
          <w:rPr>
            <w:webHidden/>
          </w:rPr>
        </w:r>
        <w:r w:rsidR="00866752">
          <w:rPr>
            <w:webHidden/>
          </w:rPr>
          <w:fldChar w:fldCharType="separate"/>
        </w:r>
        <w:r w:rsidR="00B916F9">
          <w:rPr>
            <w:webHidden/>
          </w:rPr>
          <w:t>12</w:t>
        </w:r>
        <w:r w:rsidR="00866752">
          <w:rPr>
            <w:webHidden/>
          </w:rPr>
          <w:fldChar w:fldCharType="end"/>
        </w:r>
      </w:hyperlink>
    </w:p>
    <w:p w14:paraId="7235D098" w14:textId="494706DA" w:rsidR="00866752" w:rsidRDefault="005B3674">
      <w:pPr>
        <w:pStyle w:val="TOC2"/>
        <w:rPr>
          <w:rFonts w:asciiTheme="minorHAnsi" w:eastAsiaTheme="minorEastAsia" w:hAnsiTheme="minorHAnsi" w:cstheme="minorBidi"/>
          <w:spacing w:val="0"/>
          <w:sz w:val="22"/>
          <w:szCs w:val="22"/>
        </w:rPr>
      </w:pPr>
      <w:hyperlink w:anchor="_Toc65835947" w:history="1">
        <w:r w:rsidR="00866752" w:rsidRPr="000E1FA3">
          <w:rPr>
            <w:rStyle w:val="Hyperlink"/>
          </w:rPr>
          <w:t>Consulting with you about the form of licence category</w:t>
        </w:r>
        <w:r w:rsidR="00866752">
          <w:rPr>
            <w:webHidden/>
          </w:rPr>
          <w:tab/>
        </w:r>
        <w:r w:rsidR="00866752">
          <w:rPr>
            <w:webHidden/>
          </w:rPr>
          <w:fldChar w:fldCharType="begin"/>
        </w:r>
        <w:r w:rsidR="00866752">
          <w:rPr>
            <w:webHidden/>
          </w:rPr>
          <w:instrText xml:space="preserve"> PAGEREF _Toc65835947 \h </w:instrText>
        </w:r>
        <w:r w:rsidR="00866752">
          <w:rPr>
            <w:webHidden/>
          </w:rPr>
        </w:r>
        <w:r w:rsidR="00866752">
          <w:rPr>
            <w:webHidden/>
          </w:rPr>
          <w:fldChar w:fldCharType="separate"/>
        </w:r>
        <w:r w:rsidR="00B916F9">
          <w:rPr>
            <w:webHidden/>
          </w:rPr>
          <w:t>12</w:t>
        </w:r>
        <w:r w:rsidR="00866752">
          <w:rPr>
            <w:webHidden/>
          </w:rPr>
          <w:fldChar w:fldCharType="end"/>
        </w:r>
      </w:hyperlink>
    </w:p>
    <w:p w14:paraId="15904F08" w14:textId="15B8E239" w:rsidR="00866752" w:rsidRDefault="005B3674">
      <w:pPr>
        <w:pStyle w:val="TOC1"/>
        <w:rPr>
          <w:rFonts w:asciiTheme="minorHAnsi" w:eastAsiaTheme="minorEastAsia" w:hAnsiTheme="minorHAnsi" w:cstheme="minorBidi"/>
          <w:b w:val="0"/>
          <w:spacing w:val="0"/>
          <w:sz w:val="22"/>
          <w:szCs w:val="22"/>
        </w:rPr>
      </w:pPr>
      <w:hyperlink w:anchor="_Toc65835948" w:history="1">
        <w:r w:rsidR="00866752" w:rsidRPr="000E1FA3">
          <w:rPr>
            <w:rStyle w:val="Hyperlink"/>
          </w:rPr>
          <w:t>Licence duration</w:t>
        </w:r>
        <w:r w:rsidR="00866752">
          <w:rPr>
            <w:webHidden/>
          </w:rPr>
          <w:tab/>
        </w:r>
        <w:r w:rsidR="00866752">
          <w:rPr>
            <w:webHidden/>
          </w:rPr>
          <w:fldChar w:fldCharType="begin"/>
        </w:r>
        <w:r w:rsidR="00866752">
          <w:rPr>
            <w:webHidden/>
          </w:rPr>
          <w:instrText xml:space="preserve"> PAGEREF _Toc65835948 \h </w:instrText>
        </w:r>
        <w:r w:rsidR="00866752">
          <w:rPr>
            <w:webHidden/>
          </w:rPr>
        </w:r>
        <w:r w:rsidR="00866752">
          <w:rPr>
            <w:webHidden/>
          </w:rPr>
          <w:fldChar w:fldCharType="separate"/>
        </w:r>
        <w:r w:rsidR="00B916F9">
          <w:rPr>
            <w:webHidden/>
          </w:rPr>
          <w:t>13</w:t>
        </w:r>
        <w:r w:rsidR="00866752">
          <w:rPr>
            <w:webHidden/>
          </w:rPr>
          <w:fldChar w:fldCharType="end"/>
        </w:r>
      </w:hyperlink>
    </w:p>
    <w:p w14:paraId="5C34AA77" w14:textId="0E93BF36" w:rsidR="00866752" w:rsidRDefault="005B3674">
      <w:pPr>
        <w:pStyle w:val="TOC2"/>
        <w:rPr>
          <w:rFonts w:asciiTheme="minorHAnsi" w:eastAsiaTheme="minorEastAsia" w:hAnsiTheme="minorHAnsi" w:cstheme="minorBidi"/>
          <w:spacing w:val="0"/>
          <w:sz w:val="22"/>
          <w:szCs w:val="22"/>
        </w:rPr>
      </w:pPr>
      <w:hyperlink w:anchor="_Toc65835949" w:history="1">
        <w:r w:rsidR="00866752" w:rsidRPr="000E1FA3">
          <w:rPr>
            <w:rStyle w:val="Hyperlink"/>
          </w:rPr>
          <w:t>Relevant legislative provisions</w:t>
        </w:r>
        <w:r w:rsidR="00866752">
          <w:rPr>
            <w:webHidden/>
          </w:rPr>
          <w:tab/>
        </w:r>
        <w:r w:rsidR="00866752">
          <w:rPr>
            <w:webHidden/>
          </w:rPr>
          <w:fldChar w:fldCharType="begin"/>
        </w:r>
        <w:r w:rsidR="00866752">
          <w:rPr>
            <w:webHidden/>
          </w:rPr>
          <w:instrText xml:space="preserve"> PAGEREF _Toc65835949 \h </w:instrText>
        </w:r>
        <w:r w:rsidR="00866752">
          <w:rPr>
            <w:webHidden/>
          </w:rPr>
        </w:r>
        <w:r w:rsidR="00866752">
          <w:rPr>
            <w:webHidden/>
          </w:rPr>
          <w:fldChar w:fldCharType="separate"/>
        </w:r>
        <w:r w:rsidR="00B916F9">
          <w:rPr>
            <w:webHidden/>
          </w:rPr>
          <w:t>13</w:t>
        </w:r>
        <w:r w:rsidR="00866752">
          <w:rPr>
            <w:webHidden/>
          </w:rPr>
          <w:fldChar w:fldCharType="end"/>
        </w:r>
      </w:hyperlink>
    </w:p>
    <w:p w14:paraId="6B7C78C9" w14:textId="0B79E44B" w:rsidR="00866752" w:rsidRDefault="005B3674">
      <w:pPr>
        <w:pStyle w:val="TOC2"/>
        <w:rPr>
          <w:rFonts w:asciiTheme="minorHAnsi" w:eastAsiaTheme="minorEastAsia" w:hAnsiTheme="minorHAnsi" w:cstheme="minorBidi"/>
          <w:spacing w:val="0"/>
          <w:sz w:val="22"/>
          <w:szCs w:val="22"/>
        </w:rPr>
      </w:pPr>
      <w:hyperlink w:anchor="_Toc65835950" w:history="1">
        <w:r w:rsidR="00866752" w:rsidRPr="000E1FA3">
          <w:rPr>
            <w:rStyle w:val="Hyperlink"/>
          </w:rPr>
          <w:t>Key decisions</w:t>
        </w:r>
        <w:r w:rsidR="00866752">
          <w:rPr>
            <w:webHidden/>
          </w:rPr>
          <w:tab/>
        </w:r>
        <w:r w:rsidR="00866752">
          <w:rPr>
            <w:webHidden/>
          </w:rPr>
          <w:fldChar w:fldCharType="begin"/>
        </w:r>
        <w:r w:rsidR="00866752">
          <w:rPr>
            <w:webHidden/>
          </w:rPr>
          <w:instrText xml:space="preserve"> PAGEREF _Toc65835950 \h </w:instrText>
        </w:r>
        <w:r w:rsidR="00866752">
          <w:rPr>
            <w:webHidden/>
          </w:rPr>
        </w:r>
        <w:r w:rsidR="00866752">
          <w:rPr>
            <w:webHidden/>
          </w:rPr>
          <w:fldChar w:fldCharType="separate"/>
        </w:r>
        <w:r w:rsidR="00B916F9">
          <w:rPr>
            <w:webHidden/>
          </w:rPr>
          <w:t>13</w:t>
        </w:r>
        <w:r w:rsidR="00866752">
          <w:rPr>
            <w:webHidden/>
          </w:rPr>
          <w:fldChar w:fldCharType="end"/>
        </w:r>
      </w:hyperlink>
    </w:p>
    <w:p w14:paraId="2132A3E4" w14:textId="03BF32FD" w:rsidR="00866752" w:rsidRDefault="005B3674">
      <w:pPr>
        <w:pStyle w:val="TOC2"/>
        <w:rPr>
          <w:rFonts w:asciiTheme="minorHAnsi" w:eastAsiaTheme="minorEastAsia" w:hAnsiTheme="minorHAnsi" w:cstheme="minorBidi"/>
          <w:spacing w:val="0"/>
          <w:sz w:val="22"/>
          <w:szCs w:val="22"/>
        </w:rPr>
      </w:pPr>
      <w:hyperlink w:anchor="_Toc65835951" w:history="1">
        <w:r w:rsidR="00866752" w:rsidRPr="000E1FA3">
          <w:rPr>
            <w:rStyle w:val="Hyperlink"/>
          </w:rPr>
          <w:t>Long-term licence duration (20 years)</w:t>
        </w:r>
        <w:r w:rsidR="00866752">
          <w:rPr>
            <w:webHidden/>
          </w:rPr>
          <w:tab/>
        </w:r>
        <w:r w:rsidR="00866752">
          <w:rPr>
            <w:webHidden/>
          </w:rPr>
          <w:fldChar w:fldCharType="begin"/>
        </w:r>
        <w:r w:rsidR="00866752">
          <w:rPr>
            <w:webHidden/>
          </w:rPr>
          <w:instrText xml:space="preserve"> PAGEREF _Toc65835951 \h </w:instrText>
        </w:r>
        <w:r w:rsidR="00866752">
          <w:rPr>
            <w:webHidden/>
          </w:rPr>
        </w:r>
        <w:r w:rsidR="00866752">
          <w:rPr>
            <w:webHidden/>
          </w:rPr>
          <w:fldChar w:fldCharType="separate"/>
        </w:r>
        <w:r w:rsidR="00B916F9">
          <w:rPr>
            <w:webHidden/>
          </w:rPr>
          <w:t>13</w:t>
        </w:r>
        <w:r w:rsidR="00866752">
          <w:rPr>
            <w:webHidden/>
          </w:rPr>
          <w:fldChar w:fldCharType="end"/>
        </w:r>
      </w:hyperlink>
    </w:p>
    <w:p w14:paraId="2EC638D2" w14:textId="5FA3C6C4" w:rsidR="00866752" w:rsidRDefault="005B3674">
      <w:pPr>
        <w:pStyle w:val="TOC3"/>
        <w:rPr>
          <w:rFonts w:asciiTheme="minorHAnsi" w:eastAsiaTheme="minorEastAsia" w:hAnsiTheme="minorHAnsi" w:cstheme="minorBidi"/>
        </w:rPr>
      </w:pPr>
      <w:hyperlink w:anchor="_Toc65835952" w:history="1">
        <w:r w:rsidR="00866752" w:rsidRPr="000E1FA3">
          <w:rPr>
            <w:rStyle w:val="Hyperlink"/>
          </w:rPr>
          <w:t>Consulting with you about long-term licence duration</w:t>
        </w:r>
        <w:r w:rsidR="00866752">
          <w:rPr>
            <w:webHidden/>
          </w:rPr>
          <w:tab/>
        </w:r>
        <w:r w:rsidR="00866752">
          <w:rPr>
            <w:webHidden/>
          </w:rPr>
          <w:fldChar w:fldCharType="begin"/>
        </w:r>
        <w:r w:rsidR="00866752">
          <w:rPr>
            <w:webHidden/>
          </w:rPr>
          <w:instrText xml:space="preserve"> PAGEREF _Toc65835952 \h </w:instrText>
        </w:r>
        <w:r w:rsidR="00866752">
          <w:rPr>
            <w:webHidden/>
          </w:rPr>
        </w:r>
        <w:r w:rsidR="00866752">
          <w:rPr>
            <w:webHidden/>
          </w:rPr>
          <w:fldChar w:fldCharType="separate"/>
        </w:r>
        <w:r w:rsidR="00B916F9">
          <w:rPr>
            <w:webHidden/>
          </w:rPr>
          <w:t>14</w:t>
        </w:r>
        <w:r w:rsidR="00866752">
          <w:rPr>
            <w:webHidden/>
          </w:rPr>
          <w:fldChar w:fldCharType="end"/>
        </w:r>
      </w:hyperlink>
    </w:p>
    <w:p w14:paraId="057EA5B6" w14:textId="031A7D56" w:rsidR="00866752" w:rsidRDefault="005B3674">
      <w:pPr>
        <w:pStyle w:val="TOC2"/>
        <w:rPr>
          <w:rFonts w:asciiTheme="minorHAnsi" w:eastAsiaTheme="minorEastAsia" w:hAnsiTheme="minorHAnsi" w:cstheme="minorBidi"/>
          <w:spacing w:val="0"/>
          <w:sz w:val="22"/>
          <w:szCs w:val="22"/>
        </w:rPr>
      </w:pPr>
      <w:hyperlink w:anchor="_Toc65835953" w:history="1">
        <w:r w:rsidR="00866752" w:rsidRPr="000E1FA3">
          <w:rPr>
            <w:rStyle w:val="Hyperlink"/>
          </w:rPr>
          <w:t>Medium-term licence duration (one to 10 years)</w:t>
        </w:r>
        <w:r w:rsidR="00866752">
          <w:rPr>
            <w:webHidden/>
          </w:rPr>
          <w:tab/>
        </w:r>
        <w:r w:rsidR="00866752">
          <w:rPr>
            <w:webHidden/>
          </w:rPr>
          <w:fldChar w:fldCharType="begin"/>
        </w:r>
        <w:r w:rsidR="00866752">
          <w:rPr>
            <w:webHidden/>
          </w:rPr>
          <w:instrText xml:space="preserve"> PAGEREF _Toc65835953 \h </w:instrText>
        </w:r>
        <w:r w:rsidR="00866752">
          <w:rPr>
            <w:webHidden/>
          </w:rPr>
        </w:r>
        <w:r w:rsidR="00866752">
          <w:rPr>
            <w:webHidden/>
          </w:rPr>
          <w:fldChar w:fldCharType="separate"/>
        </w:r>
        <w:r w:rsidR="00B916F9">
          <w:rPr>
            <w:webHidden/>
          </w:rPr>
          <w:t>15</w:t>
        </w:r>
        <w:r w:rsidR="00866752">
          <w:rPr>
            <w:webHidden/>
          </w:rPr>
          <w:fldChar w:fldCharType="end"/>
        </w:r>
      </w:hyperlink>
    </w:p>
    <w:p w14:paraId="66A7ED4A" w14:textId="5835D142" w:rsidR="00866752" w:rsidRDefault="005B3674">
      <w:pPr>
        <w:pStyle w:val="TOC3"/>
        <w:rPr>
          <w:rFonts w:asciiTheme="minorHAnsi" w:eastAsiaTheme="minorEastAsia" w:hAnsiTheme="minorHAnsi" w:cstheme="minorBidi"/>
        </w:rPr>
      </w:pPr>
      <w:hyperlink w:anchor="_Toc65835954" w:history="1">
        <w:r w:rsidR="00866752" w:rsidRPr="000E1FA3">
          <w:rPr>
            <w:rStyle w:val="Hyperlink"/>
          </w:rPr>
          <w:t>Consulting with you about medium-term licence duration</w:t>
        </w:r>
        <w:r w:rsidR="00866752">
          <w:rPr>
            <w:webHidden/>
          </w:rPr>
          <w:tab/>
        </w:r>
        <w:r w:rsidR="00866752">
          <w:rPr>
            <w:webHidden/>
          </w:rPr>
          <w:fldChar w:fldCharType="begin"/>
        </w:r>
        <w:r w:rsidR="00866752">
          <w:rPr>
            <w:webHidden/>
          </w:rPr>
          <w:instrText xml:space="preserve"> PAGEREF _Toc65835954 \h </w:instrText>
        </w:r>
        <w:r w:rsidR="00866752">
          <w:rPr>
            <w:webHidden/>
          </w:rPr>
        </w:r>
        <w:r w:rsidR="00866752">
          <w:rPr>
            <w:webHidden/>
          </w:rPr>
          <w:fldChar w:fldCharType="separate"/>
        </w:r>
        <w:r w:rsidR="00B916F9">
          <w:rPr>
            <w:webHidden/>
          </w:rPr>
          <w:t>16</w:t>
        </w:r>
        <w:r w:rsidR="00866752">
          <w:rPr>
            <w:webHidden/>
          </w:rPr>
          <w:fldChar w:fldCharType="end"/>
        </w:r>
      </w:hyperlink>
    </w:p>
    <w:p w14:paraId="5347163C" w14:textId="449943FF" w:rsidR="00866752" w:rsidRDefault="005B3674">
      <w:pPr>
        <w:pStyle w:val="TOC2"/>
        <w:rPr>
          <w:rFonts w:asciiTheme="minorHAnsi" w:eastAsiaTheme="minorEastAsia" w:hAnsiTheme="minorHAnsi" w:cstheme="minorBidi"/>
          <w:spacing w:val="0"/>
          <w:sz w:val="22"/>
          <w:szCs w:val="22"/>
        </w:rPr>
      </w:pPr>
      <w:hyperlink w:anchor="_Toc65835955" w:history="1">
        <w:r w:rsidR="00866752" w:rsidRPr="000E1FA3">
          <w:rPr>
            <w:rStyle w:val="Hyperlink"/>
          </w:rPr>
          <w:t>Short-term licence duration (up to one year)</w:t>
        </w:r>
        <w:r w:rsidR="00866752">
          <w:rPr>
            <w:webHidden/>
          </w:rPr>
          <w:tab/>
        </w:r>
        <w:r w:rsidR="00866752">
          <w:rPr>
            <w:webHidden/>
          </w:rPr>
          <w:fldChar w:fldCharType="begin"/>
        </w:r>
        <w:r w:rsidR="00866752">
          <w:rPr>
            <w:webHidden/>
          </w:rPr>
          <w:instrText xml:space="preserve"> PAGEREF _Toc65835955 \h </w:instrText>
        </w:r>
        <w:r w:rsidR="00866752">
          <w:rPr>
            <w:webHidden/>
          </w:rPr>
        </w:r>
        <w:r w:rsidR="00866752">
          <w:rPr>
            <w:webHidden/>
          </w:rPr>
          <w:fldChar w:fldCharType="separate"/>
        </w:r>
        <w:r w:rsidR="00B916F9">
          <w:rPr>
            <w:webHidden/>
          </w:rPr>
          <w:t>16</w:t>
        </w:r>
        <w:r w:rsidR="00866752">
          <w:rPr>
            <w:webHidden/>
          </w:rPr>
          <w:fldChar w:fldCharType="end"/>
        </w:r>
      </w:hyperlink>
    </w:p>
    <w:p w14:paraId="692CDA47" w14:textId="617EE001" w:rsidR="00866752" w:rsidRDefault="005B3674">
      <w:pPr>
        <w:pStyle w:val="TOC3"/>
        <w:rPr>
          <w:rFonts w:asciiTheme="minorHAnsi" w:eastAsiaTheme="minorEastAsia" w:hAnsiTheme="minorHAnsi" w:cstheme="minorBidi"/>
        </w:rPr>
      </w:pPr>
      <w:hyperlink w:anchor="_Toc65835956" w:history="1">
        <w:r w:rsidR="00866752" w:rsidRPr="000E1FA3">
          <w:rPr>
            <w:rStyle w:val="Hyperlink"/>
          </w:rPr>
          <w:t>Consulting with you about short-term licence duration</w:t>
        </w:r>
        <w:r w:rsidR="00866752">
          <w:rPr>
            <w:webHidden/>
          </w:rPr>
          <w:tab/>
        </w:r>
        <w:r w:rsidR="00866752">
          <w:rPr>
            <w:webHidden/>
          </w:rPr>
          <w:fldChar w:fldCharType="begin"/>
        </w:r>
        <w:r w:rsidR="00866752">
          <w:rPr>
            <w:webHidden/>
          </w:rPr>
          <w:instrText xml:space="preserve"> PAGEREF _Toc65835956 \h </w:instrText>
        </w:r>
        <w:r w:rsidR="00866752">
          <w:rPr>
            <w:webHidden/>
          </w:rPr>
        </w:r>
        <w:r w:rsidR="00866752">
          <w:rPr>
            <w:webHidden/>
          </w:rPr>
          <w:fldChar w:fldCharType="separate"/>
        </w:r>
        <w:r w:rsidR="00B916F9">
          <w:rPr>
            <w:webHidden/>
          </w:rPr>
          <w:t>16</w:t>
        </w:r>
        <w:r w:rsidR="00866752">
          <w:rPr>
            <w:webHidden/>
          </w:rPr>
          <w:fldChar w:fldCharType="end"/>
        </w:r>
      </w:hyperlink>
    </w:p>
    <w:p w14:paraId="78BED7DE" w14:textId="59E43060" w:rsidR="00866752" w:rsidRDefault="005B3674">
      <w:pPr>
        <w:pStyle w:val="TOC1"/>
        <w:rPr>
          <w:rFonts w:asciiTheme="minorHAnsi" w:eastAsiaTheme="minorEastAsia" w:hAnsiTheme="minorHAnsi" w:cstheme="minorBidi"/>
          <w:b w:val="0"/>
          <w:spacing w:val="0"/>
          <w:sz w:val="22"/>
          <w:szCs w:val="22"/>
        </w:rPr>
      </w:pPr>
      <w:hyperlink w:anchor="_Toc65835957" w:history="1">
        <w:r w:rsidR="00866752" w:rsidRPr="000E1FA3">
          <w:rPr>
            <w:rStyle w:val="Hyperlink"/>
          </w:rPr>
          <w:t>Payment arrangements</w:t>
        </w:r>
        <w:r w:rsidR="00866752">
          <w:rPr>
            <w:webHidden/>
          </w:rPr>
          <w:tab/>
        </w:r>
        <w:r w:rsidR="00866752">
          <w:rPr>
            <w:webHidden/>
          </w:rPr>
          <w:fldChar w:fldCharType="begin"/>
        </w:r>
        <w:r w:rsidR="00866752">
          <w:rPr>
            <w:webHidden/>
          </w:rPr>
          <w:instrText xml:space="preserve"> PAGEREF _Toc65835957 \h </w:instrText>
        </w:r>
        <w:r w:rsidR="00866752">
          <w:rPr>
            <w:webHidden/>
          </w:rPr>
        </w:r>
        <w:r w:rsidR="00866752">
          <w:rPr>
            <w:webHidden/>
          </w:rPr>
          <w:fldChar w:fldCharType="separate"/>
        </w:r>
        <w:r w:rsidR="00B916F9">
          <w:rPr>
            <w:webHidden/>
          </w:rPr>
          <w:t>17</w:t>
        </w:r>
        <w:r w:rsidR="00866752">
          <w:rPr>
            <w:webHidden/>
          </w:rPr>
          <w:fldChar w:fldCharType="end"/>
        </w:r>
      </w:hyperlink>
    </w:p>
    <w:p w14:paraId="4C6C4613" w14:textId="3A0AB7E1" w:rsidR="00866752" w:rsidRDefault="005B3674">
      <w:pPr>
        <w:pStyle w:val="TOC2"/>
        <w:rPr>
          <w:rFonts w:asciiTheme="minorHAnsi" w:eastAsiaTheme="minorEastAsia" w:hAnsiTheme="minorHAnsi" w:cstheme="minorBidi"/>
          <w:spacing w:val="0"/>
          <w:sz w:val="22"/>
          <w:szCs w:val="22"/>
        </w:rPr>
      </w:pPr>
      <w:hyperlink w:anchor="_Toc65835958" w:history="1">
        <w:r w:rsidR="00866752" w:rsidRPr="000E1FA3">
          <w:rPr>
            <w:rStyle w:val="Hyperlink"/>
          </w:rPr>
          <w:t>Relevant legislative provisions</w:t>
        </w:r>
        <w:r w:rsidR="00866752">
          <w:rPr>
            <w:webHidden/>
          </w:rPr>
          <w:tab/>
        </w:r>
        <w:r w:rsidR="00866752">
          <w:rPr>
            <w:webHidden/>
          </w:rPr>
          <w:fldChar w:fldCharType="begin"/>
        </w:r>
        <w:r w:rsidR="00866752">
          <w:rPr>
            <w:webHidden/>
          </w:rPr>
          <w:instrText xml:space="preserve"> PAGEREF _Toc65835958 \h </w:instrText>
        </w:r>
        <w:r w:rsidR="00866752">
          <w:rPr>
            <w:webHidden/>
          </w:rPr>
        </w:r>
        <w:r w:rsidR="00866752">
          <w:rPr>
            <w:webHidden/>
          </w:rPr>
          <w:fldChar w:fldCharType="separate"/>
        </w:r>
        <w:r w:rsidR="00B916F9">
          <w:rPr>
            <w:webHidden/>
          </w:rPr>
          <w:t>17</w:t>
        </w:r>
        <w:r w:rsidR="00866752">
          <w:rPr>
            <w:webHidden/>
          </w:rPr>
          <w:fldChar w:fldCharType="end"/>
        </w:r>
      </w:hyperlink>
    </w:p>
    <w:p w14:paraId="70C92C6D" w14:textId="37BB4995" w:rsidR="00866752" w:rsidRDefault="005B3674">
      <w:pPr>
        <w:pStyle w:val="TOC2"/>
        <w:rPr>
          <w:rFonts w:asciiTheme="minorHAnsi" w:eastAsiaTheme="minorEastAsia" w:hAnsiTheme="minorHAnsi" w:cstheme="minorBidi"/>
          <w:spacing w:val="0"/>
          <w:sz w:val="22"/>
          <w:szCs w:val="22"/>
        </w:rPr>
      </w:pPr>
      <w:hyperlink w:anchor="_Toc65835959" w:history="1">
        <w:r w:rsidR="00866752" w:rsidRPr="000E1FA3">
          <w:rPr>
            <w:rStyle w:val="Hyperlink"/>
          </w:rPr>
          <w:t>Key decisions</w:t>
        </w:r>
        <w:r w:rsidR="00866752">
          <w:rPr>
            <w:webHidden/>
          </w:rPr>
          <w:tab/>
        </w:r>
        <w:r w:rsidR="00866752">
          <w:rPr>
            <w:webHidden/>
          </w:rPr>
          <w:fldChar w:fldCharType="begin"/>
        </w:r>
        <w:r w:rsidR="00866752">
          <w:rPr>
            <w:webHidden/>
          </w:rPr>
          <w:instrText xml:space="preserve"> PAGEREF _Toc65835959 \h </w:instrText>
        </w:r>
        <w:r w:rsidR="00866752">
          <w:rPr>
            <w:webHidden/>
          </w:rPr>
        </w:r>
        <w:r w:rsidR="00866752">
          <w:rPr>
            <w:webHidden/>
          </w:rPr>
          <w:fldChar w:fldCharType="separate"/>
        </w:r>
        <w:r w:rsidR="00B916F9">
          <w:rPr>
            <w:webHidden/>
          </w:rPr>
          <w:t>17</w:t>
        </w:r>
        <w:r w:rsidR="00866752">
          <w:rPr>
            <w:webHidden/>
          </w:rPr>
          <w:fldChar w:fldCharType="end"/>
        </w:r>
      </w:hyperlink>
    </w:p>
    <w:p w14:paraId="70BA5685" w14:textId="4C425F1F" w:rsidR="00866752" w:rsidRDefault="005B3674">
      <w:pPr>
        <w:pStyle w:val="TOC2"/>
        <w:rPr>
          <w:rFonts w:asciiTheme="minorHAnsi" w:eastAsiaTheme="minorEastAsia" w:hAnsiTheme="minorHAnsi" w:cstheme="minorBidi"/>
          <w:spacing w:val="0"/>
          <w:sz w:val="22"/>
          <w:szCs w:val="22"/>
        </w:rPr>
      </w:pPr>
      <w:hyperlink w:anchor="_Toc65835960" w:history="1">
        <w:r w:rsidR="00866752" w:rsidRPr="000E1FA3">
          <w:rPr>
            <w:rStyle w:val="Hyperlink"/>
          </w:rPr>
          <w:t>Payment arrangements for apparatus licences</w:t>
        </w:r>
        <w:r w:rsidR="00866752">
          <w:rPr>
            <w:webHidden/>
          </w:rPr>
          <w:tab/>
        </w:r>
        <w:r w:rsidR="00866752">
          <w:rPr>
            <w:webHidden/>
          </w:rPr>
          <w:fldChar w:fldCharType="begin"/>
        </w:r>
        <w:r w:rsidR="00866752">
          <w:rPr>
            <w:webHidden/>
          </w:rPr>
          <w:instrText xml:space="preserve"> PAGEREF _Toc65835960 \h </w:instrText>
        </w:r>
        <w:r w:rsidR="00866752">
          <w:rPr>
            <w:webHidden/>
          </w:rPr>
        </w:r>
        <w:r w:rsidR="00866752">
          <w:rPr>
            <w:webHidden/>
          </w:rPr>
          <w:fldChar w:fldCharType="separate"/>
        </w:r>
        <w:r w:rsidR="00B916F9">
          <w:rPr>
            <w:webHidden/>
          </w:rPr>
          <w:t>17</w:t>
        </w:r>
        <w:r w:rsidR="00866752">
          <w:rPr>
            <w:webHidden/>
          </w:rPr>
          <w:fldChar w:fldCharType="end"/>
        </w:r>
      </w:hyperlink>
    </w:p>
    <w:p w14:paraId="37960F26" w14:textId="1D421BE9" w:rsidR="00866752" w:rsidRDefault="005B3674">
      <w:pPr>
        <w:pStyle w:val="TOC3"/>
        <w:rPr>
          <w:rFonts w:asciiTheme="minorHAnsi" w:eastAsiaTheme="minorEastAsia" w:hAnsiTheme="minorHAnsi" w:cstheme="minorBidi"/>
        </w:rPr>
      </w:pPr>
      <w:hyperlink w:anchor="_Toc65835961" w:history="1">
        <w:r w:rsidR="00866752" w:rsidRPr="000E1FA3">
          <w:rPr>
            <w:rStyle w:val="Hyperlink"/>
          </w:rPr>
          <w:t>Consulting with you about payment arrangements</w:t>
        </w:r>
        <w:r w:rsidR="00866752">
          <w:rPr>
            <w:webHidden/>
          </w:rPr>
          <w:tab/>
        </w:r>
        <w:r w:rsidR="00866752">
          <w:rPr>
            <w:webHidden/>
          </w:rPr>
          <w:fldChar w:fldCharType="begin"/>
        </w:r>
        <w:r w:rsidR="00866752">
          <w:rPr>
            <w:webHidden/>
          </w:rPr>
          <w:instrText xml:space="preserve"> PAGEREF _Toc65835961 \h </w:instrText>
        </w:r>
        <w:r w:rsidR="00866752">
          <w:rPr>
            <w:webHidden/>
          </w:rPr>
        </w:r>
        <w:r w:rsidR="00866752">
          <w:rPr>
            <w:webHidden/>
          </w:rPr>
          <w:fldChar w:fldCharType="separate"/>
        </w:r>
        <w:r w:rsidR="00B916F9">
          <w:rPr>
            <w:webHidden/>
          </w:rPr>
          <w:t>18</w:t>
        </w:r>
        <w:r w:rsidR="00866752">
          <w:rPr>
            <w:webHidden/>
          </w:rPr>
          <w:fldChar w:fldCharType="end"/>
        </w:r>
      </w:hyperlink>
    </w:p>
    <w:p w14:paraId="12CFEEC3" w14:textId="28E2013A" w:rsidR="00866752" w:rsidRDefault="005B3674" w:rsidP="005B3674">
      <w:pPr>
        <w:pStyle w:val="TOC1"/>
        <w:keepNext/>
        <w:keepLines/>
        <w:widowControl w:val="0"/>
        <w:rPr>
          <w:rFonts w:asciiTheme="minorHAnsi" w:eastAsiaTheme="minorEastAsia" w:hAnsiTheme="minorHAnsi" w:cstheme="minorBidi"/>
          <w:b w:val="0"/>
          <w:spacing w:val="0"/>
          <w:sz w:val="22"/>
          <w:szCs w:val="22"/>
        </w:rPr>
      </w:pPr>
      <w:hyperlink w:anchor="_Toc65835962" w:history="1">
        <w:r w:rsidR="00866752" w:rsidRPr="000E1FA3">
          <w:rPr>
            <w:rStyle w:val="Hyperlink"/>
          </w:rPr>
          <w:t>Renewal statements</w:t>
        </w:r>
        <w:r w:rsidR="00866752">
          <w:rPr>
            <w:webHidden/>
          </w:rPr>
          <w:tab/>
        </w:r>
        <w:r w:rsidR="00866752">
          <w:rPr>
            <w:webHidden/>
          </w:rPr>
          <w:fldChar w:fldCharType="begin"/>
        </w:r>
        <w:r w:rsidR="00866752">
          <w:rPr>
            <w:webHidden/>
          </w:rPr>
          <w:instrText xml:space="preserve"> PAGEREF _Toc65835962 \h </w:instrText>
        </w:r>
        <w:r w:rsidR="00866752">
          <w:rPr>
            <w:webHidden/>
          </w:rPr>
        </w:r>
        <w:r w:rsidR="00866752">
          <w:rPr>
            <w:webHidden/>
          </w:rPr>
          <w:fldChar w:fldCharType="separate"/>
        </w:r>
        <w:r w:rsidR="00B916F9">
          <w:rPr>
            <w:webHidden/>
          </w:rPr>
          <w:t>19</w:t>
        </w:r>
        <w:r w:rsidR="00866752">
          <w:rPr>
            <w:webHidden/>
          </w:rPr>
          <w:fldChar w:fldCharType="end"/>
        </w:r>
      </w:hyperlink>
    </w:p>
    <w:p w14:paraId="4E076D08" w14:textId="459010A5"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63" w:history="1">
        <w:r w:rsidR="00866752" w:rsidRPr="000E1FA3">
          <w:rPr>
            <w:rStyle w:val="Hyperlink"/>
          </w:rPr>
          <w:t>Relevant legislative provisions</w:t>
        </w:r>
        <w:r w:rsidR="00866752">
          <w:rPr>
            <w:webHidden/>
          </w:rPr>
          <w:tab/>
        </w:r>
        <w:r w:rsidR="00866752">
          <w:rPr>
            <w:webHidden/>
          </w:rPr>
          <w:fldChar w:fldCharType="begin"/>
        </w:r>
        <w:r w:rsidR="00866752">
          <w:rPr>
            <w:webHidden/>
          </w:rPr>
          <w:instrText xml:space="preserve"> PAGEREF _Toc65835963 \h </w:instrText>
        </w:r>
        <w:r w:rsidR="00866752">
          <w:rPr>
            <w:webHidden/>
          </w:rPr>
        </w:r>
        <w:r w:rsidR="00866752">
          <w:rPr>
            <w:webHidden/>
          </w:rPr>
          <w:fldChar w:fldCharType="separate"/>
        </w:r>
        <w:r w:rsidR="00B916F9">
          <w:rPr>
            <w:webHidden/>
          </w:rPr>
          <w:t>19</w:t>
        </w:r>
        <w:r w:rsidR="00866752">
          <w:rPr>
            <w:webHidden/>
          </w:rPr>
          <w:fldChar w:fldCharType="end"/>
        </w:r>
      </w:hyperlink>
    </w:p>
    <w:p w14:paraId="0DEE9C9B" w14:textId="6DDEE557"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64" w:history="1">
        <w:r w:rsidR="00866752" w:rsidRPr="000E1FA3">
          <w:rPr>
            <w:rStyle w:val="Hyperlink"/>
          </w:rPr>
          <w:t>Key decisions</w:t>
        </w:r>
        <w:r w:rsidR="00866752">
          <w:rPr>
            <w:webHidden/>
          </w:rPr>
          <w:tab/>
        </w:r>
        <w:r w:rsidR="00866752">
          <w:rPr>
            <w:webHidden/>
          </w:rPr>
          <w:fldChar w:fldCharType="begin"/>
        </w:r>
        <w:r w:rsidR="00866752">
          <w:rPr>
            <w:webHidden/>
          </w:rPr>
          <w:instrText xml:space="preserve"> PAGEREF _Toc65835964 \h </w:instrText>
        </w:r>
        <w:r w:rsidR="00866752">
          <w:rPr>
            <w:webHidden/>
          </w:rPr>
        </w:r>
        <w:r w:rsidR="00866752">
          <w:rPr>
            <w:webHidden/>
          </w:rPr>
          <w:fldChar w:fldCharType="separate"/>
        </w:r>
        <w:r w:rsidR="00B916F9">
          <w:rPr>
            <w:webHidden/>
          </w:rPr>
          <w:t>21</w:t>
        </w:r>
        <w:r w:rsidR="00866752">
          <w:rPr>
            <w:webHidden/>
          </w:rPr>
          <w:fldChar w:fldCharType="end"/>
        </w:r>
      </w:hyperlink>
    </w:p>
    <w:p w14:paraId="15FAB1D7" w14:textId="465E734C"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65" w:history="1">
        <w:r w:rsidR="00866752" w:rsidRPr="000E1FA3">
          <w:rPr>
            <w:rStyle w:val="Hyperlink"/>
          </w:rPr>
          <w:t>How the ACMA intends to exercise its powers</w:t>
        </w:r>
        <w:r w:rsidR="00866752">
          <w:rPr>
            <w:webHidden/>
          </w:rPr>
          <w:tab/>
        </w:r>
        <w:r w:rsidR="00866752">
          <w:rPr>
            <w:webHidden/>
          </w:rPr>
          <w:fldChar w:fldCharType="begin"/>
        </w:r>
        <w:r w:rsidR="00866752">
          <w:rPr>
            <w:webHidden/>
          </w:rPr>
          <w:instrText xml:space="preserve"> PAGEREF _Toc65835965 \h </w:instrText>
        </w:r>
        <w:r w:rsidR="00866752">
          <w:rPr>
            <w:webHidden/>
          </w:rPr>
        </w:r>
        <w:r w:rsidR="00866752">
          <w:rPr>
            <w:webHidden/>
          </w:rPr>
          <w:fldChar w:fldCharType="separate"/>
        </w:r>
        <w:r w:rsidR="00B916F9">
          <w:rPr>
            <w:webHidden/>
          </w:rPr>
          <w:t>21</w:t>
        </w:r>
        <w:r w:rsidR="00866752">
          <w:rPr>
            <w:webHidden/>
          </w:rPr>
          <w:fldChar w:fldCharType="end"/>
        </w:r>
      </w:hyperlink>
    </w:p>
    <w:p w14:paraId="4D853C2D" w14:textId="6C50C84A" w:rsidR="00866752" w:rsidRDefault="005B3674" w:rsidP="005B3674">
      <w:pPr>
        <w:pStyle w:val="TOC3"/>
        <w:keepNext/>
        <w:keepLines/>
        <w:widowControl w:val="0"/>
        <w:rPr>
          <w:rFonts w:asciiTheme="minorHAnsi" w:eastAsiaTheme="minorEastAsia" w:hAnsiTheme="minorHAnsi" w:cstheme="minorBidi"/>
        </w:rPr>
      </w:pPr>
      <w:hyperlink w:anchor="_Toc65835966" w:history="1">
        <w:r w:rsidR="00866752" w:rsidRPr="000E1FA3">
          <w:rPr>
            <w:rStyle w:val="Hyperlink"/>
            <w:rFonts w:eastAsia="Arial"/>
          </w:rPr>
          <w:t>Power to issue non-renewable licences</w:t>
        </w:r>
        <w:r w:rsidR="00866752">
          <w:rPr>
            <w:webHidden/>
          </w:rPr>
          <w:tab/>
        </w:r>
        <w:r w:rsidR="00866752">
          <w:rPr>
            <w:webHidden/>
          </w:rPr>
          <w:fldChar w:fldCharType="begin"/>
        </w:r>
        <w:r w:rsidR="00866752">
          <w:rPr>
            <w:webHidden/>
          </w:rPr>
          <w:instrText xml:space="preserve"> PAGEREF _Toc65835966 \h </w:instrText>
        </w:r>
        <w:r w:rsidR="00866752">
          <w:rPr>
            <w:webHidden/>
          </w:rPr>
        </w:r>
        <w:r w:rsidR="00866752">
          <w:rPr>
            <w:webHidden/>
          </w:rPr>
          <w:fldChar w:fldCharType="separate"/>
        </w:r>
        <w:r w:rsidR="00B916F9">
          <w:rPr>
            <w:webHidden/>
          </w:rPr>
          <w:t>21</w:t>
        </w:r>
        <w:r w:rsidR="00866752">
          <w:rPr>
            <w:webHidden/>
          </w:rPr>
          <w:fldChar w:fldCharType="end"/>
        </w:r>
      </w:hyperlink>
    </w:p>
    <w:p w14:paraId="0B627799" w14:textId="3C61E4C9" w:rsidR="00866752" w:rsidRDefault="005B3674" w:rsidP="005B3674">
      <w:pPr>
        <w:pStyle w:val="TOC3"/>
        <w:keepNext/>
        <w:keepLines/>
        <w:widowControl w:val="0"/>
        <w:rPr>
          <w:rFonts w:asciiTheme="minorHAnsi" w:eastAsiaTheme="minorEastAsia" w:hAnsiTheme="minorHAnsi" w:cstheme="minorBidi"/>
        </w:rPr>
      </w:pPr>
      <w:hyperlink w:anchor="_Toc65835967" w:history="1">
        <w:r w:rsidR="00866752" w:rsidRPr="000E1FA3">
          <w:rPr>
            <w:rStyle w:val="Hyperlink"/>
          </w:rPr>
          <w:t>Determining that a licence is non-renewable</w:t>
        </w:r>
        <w:r w:rsidR="00866752">
          <w:rPr>
            <w:webHidden/>
          </w:rPr>
          <w:tab/>
        </w:r>
        <w:r w:rsidR="00866752">
          <w:rPr>
            <w:webHidden/>
          </w:rPr>
          <w:fldChar w:fldCharType="begin"/>
        </w:r>
        <w:r w:rsidR="00866752">
          <w:rPr>
            <w:webHidden/>
          </w:rPr>
          <w:instrText xml:space="preserve"> PAGEREF _Toc65835967 \h </w:instrText>
        </w:r>
        <w:r w:rsidR="00866752">
          <w:rPr>
            <w:webHidden/>
          </w:rPr>
        </w:r>
        <w:r w:rsidR="00866752">
          <w:rPr>
            <w:webHidden/>
          </w:rPr>
          <w:fldChar w:fldCharType="separate"/>
        </w:r>
        <w:r w:rsidR="00B916F9">
          <w:rPr>
            <w:webHidden/>
          </w:rPr>
          <w:t>22</w:t>
        </w:r>
        <w:r w:rsidR="00866752">
          <w:rPr>
            <w:webHidden/>
          </w:rPr>
          <w:fldChar w:fldCharType="end"/>
        </w:r>
      </w:hyperlink>
    </w:p>
    <w:p w14:paraId="5B92D59D" w14:textId="067DA447" w:rsidR="00866752" w:rsidRDefault="005B3674" w:rsidP="005B3674">
      <w:pPr>
        <w:pStyle w:val="TOC3"/>
        <w:keepNext/>
        <w:keepLines/>
        <w:widowControl w:val="0"/>
        <w:rPr>
          <w:rFonts w:asciiTheme="minorHAnsi" w:eastAsiaTheme="minorEastAsia" w:hAnsiTheme="minorHAnsi" w:cstheme="minorBidi"/>
        </w:rPr>
      </w:pPr>
      <w:hyperlink w:anchor="_Toc65835968" w:history="1">
        <w:r w:rsidR="00866752" w:rsidRPr="000E1FA3">
          <w:rPr>
            <w:rStyle w:val="Hyperlink"/>
            <w:rFonts w:eastAsia="Arial"/>
          </w:rPr>
          <w:t>Power to set specified circumstances for renewal decision</w:t>
        </w:r>
        <w:r w:rsidR="00866752">
          <w:rPr>
            <w:webHidden/>
          </w:rPr>
          <w:tab/>
        </w:r>
        <w:r w:rsidR="00866752">
          <w:rPr>
            <w:webHidden/>
          </w:rPr>
          <w:fldChar w:fldCharType="begin"/>
        </w:r>
        <w:r w:rsidR="00866752">
          <w:rPr>
            <w:webHidden/>
          </w:rPr>
          <w:instrText xml:space="preserve"> PAGEREF _Toc65835968 \h </w:instrText>
        </w:r>
        <w:r w:rsidR="00866752">
          <w:rPr>
            <w:webHidden/>
          </w:rPr>
        </w:r>
        <w:r w:rsidR="00866752">
          <w:rPr>
            <w:webHidden/>
          </w:rPr>
          <w:fldChar w:fldCharType="separate"/>
        </w:r>
        <w:r w:rsidR="00B916F9">
          <w:rPr>
            <w:webHidden/>
          </w:rPr>
          <w:t>22</w:t>
        </w:r>
        <w:r w:rsidR="00866752">
          <w:rPr>
            <w:webHidden/>
          </w:rPr>
          <w:fldChar w:fldCharType="end"/>
        </w:r>
      </w:hyperlink>
    </w:p>
    <w:p w14:paraId="2B19C83F" w14:textId="03BDC75D" w:rsidR="00866752" w:rsidRDefault="005B3674" w:rsidP="005B3674">
      <w:pPr>
        <w:pStyle w:val="TOC3"/>
        <w:keepNext/>
        <w:keepLines/>
        <w:widowControl w:val="0"/>
        <w:rPr>
          <w:rFonts w:asciiTheme="minorHAnsi" w:eastAsiaTheme="minorEastAsia" w:hAnsiTheme="minorHAnsi" w:cstheme="minorBidi"/>
        </w:rPr>
      </w:pPr>
      <w:hyperlink w:anchor="_Toc65835969" w:history="1">
        <w:r w:rsidR="00866752" w:rsidRPr="000E1FA3">
          <w:rPr>
            <w:rStyle w:val="Hyperlink"/>
          </w:rPr>
          <w:t>What kind of circumstances we might specify</w:t>
        </w:r>
        <w:r w:rsidR="00866752">
          <w:rPr>
            <w:webHidden/>
          </w:rPr>
          <w:tab/>
        </w:r>
        <w:r w:rsidR="00866752">
          <w:rPr>
            <w:webHidden/>
          </w:rPr>
          <w:fldChar w:fldCharType="begin"/>
        </w:r>
        <w:r w:rsidR="00866752">
          <w:rPr>
            <w:webHidden/>
          </w:rPr>
          <w:instrText xml:space="preserve"> PAGEREF _Toc65835969 \h </w:instrText>
        </w:r>
        <w:r w:rsidR="00866752">
          <w:rPr>
            <w:webHidden/>
          </w:rPr>
        </w:r>
        <w:r w:rsidR="00866752">
          <w:rPr>
            <w:webHidden/>
          </w:rPr>
          <w:fldChar w:fldCharType="separate"/>
        </w:r>
        <w:r w:rsidR="00B916F9">
          <w:rPr>
            <w:webHidden/>
          </w:rPr>
          <w:t>22</w:t>
        </w:r>
        <w:r w:rsidR="00866752">
          <w:rPr>
            <w:webHidden/>
          </w:rPr>
          <w:fldChar w:fldCharType="end"/>
        </w:r>
      </w:hyperlink>
    </w:p>
    <w:p w14:paraId="1723D50F" w14:textId="591D92FE" w:rsidR="00866752" w:rsidRDefault="005B3674" w:rsidP="005B3674">
      <w:pPr>
        <w:pStyle w:val="TOC3"/>
        <w:keepNext/>
        <w:keepLines/>
        <w:widowControl w:val="0"/>
        <w:rPr>
          <w:rFonts w:asciiTheme="minorHAnsi" w:eastAsiaTheme="minorEastAsia" w:hAnsiTheme="minorHAnsi" w:cstheme="minorBidi"/>
        </w:rPr>
      </w:pPr>
      <w:hyperlink w:anchor="_Toc65835970" w:history="1">
        <w:r w:rsidR="00866752" w:rsidRPr="000E1FA3">
          <w:rPr>
            <w:rStyle w:val="Hyperlink"/>
            <w:rFonts w:eastAsia="Arial"/>
          </w:rPr>
          <w:t>The power to include renewal statements in apparatus licences</w:t>
        </w:r>
        <w:r w:rsidR="00866752">
          <w:rPr>
            <w:webHidden/>
          </w:rPr>
          <w:tab/>
        </w:r>
        <w:r w:rsidR="00866752">
          <w:rPr>
            <w:webHidden/>
          </w:rPr>
          <w:fldChar w:fldCharType="begin"/>
        </w:r>
        <w:r w:rsidR="00866752">
          <w:rPr>
            <w:webHidden/>
          </w:rPr>
          <w:instrText xml:space="preserve"> PAGEREF _Toc65835970 \h </w:instrText>
        </w:r>
        <w:r w:rsidR="00866752">
          <w:rPr>
            <w:webHidden/>
          </w:rPr>
        </w:r>
        <w:r w:rsidR="00866752">
          <w:rPr>
            <w:webHidden/>
          </w:rPr>
          <w:fldChar w:fldCharType="separate"/>
        </w:r>
        <w:r w:rsidR="00B916F9">
          <w:rPr>
            <w:webHidden/>
          </w:rPr>
          <w:t>22</w:t>
        </w:r>
        <w:r w:rsidR="00866752">
          <w:rPr>
            <w:webHidden/>
          </w:rPr>
          <w:fldChar w:fldCharType="end"/>
        </w:r>
      </w:hyperlink>
    </w:p>
    <w:p w14:paraId="54B14E74" w14:textId="4D098DF7" w:rsidR="00866752" w:rsidRDefault="005B3674" w:rsidP="005B3674">
      <w:pPr>
        <w:pStyle w:val="TOC3"/>
        <w:keepNext/>
        <w:keepLines/>
        <w:widowControl w:val="0"/>
        <w:rPr>
          <w:rFonts w:asciiTheme="minorHAnsi" w:eastAsiaTheme="minorEastAsia" w:hAnsiTheme="minorHAnsi" w:cstheme="minorBidi"/>
        </w:rPr>
      </w:pPr>
      <w:hyperlink w:anchor="_Toc65835971" w:history="1">
        <w:r w:rsidR="00866752" w:rsidRPr="000E1FA3">
          <w:rPr>
            <w:rStyle w:val="Hyperlink"/>
            <w:rFonts w:eastAsia="Arial"/>
          </w:rPr>
          <w:t>The power to include renewal statements in spectrum licences</w:t>
        </w:r>
        <w:r w:rsidR="00866752">
          <w:rPr>
            <w:webHidden/>
          </w:rPr>
          <w:tab/>
        </w:r>
        <w:r w:rsidR="00866752">
          <w:rPr>
            <w:webHidden/>
          </w:rPr>
          <w:fldChar w:fldCharType="begin"/>
        </w:r>
        <w:r w:rsidR="00866752">
          <w:rPr>
            <w:webHidden/>
          </w:rPr>
          <w:instrText xml:space="preserve"> PAGEREF _Toc65835971 \h </w:instrText>
        </w:r>
        <w:r w:rsidR="00866752">
          <w:rPr>
            <w:webHidden/>
          </w:rPr>
        </w:r>
        <w:r w:rsidR="00866752">
          <w:rPr>
            <w:webHidden/>
          </w:rPr>
          <w:fldChar w:fldCharType="separate"/>
        </w:r>
        <w:r w:rsidR="00B916F9">
          <w:rPr>
            <w:webHidden/>
          </w:rPr>
          <w:t>23</w:t>
        </w:r>
        <w:r w:rsidR="00866752">
          <w:rPr>
            <w:webHidden/>
          </w:rPr>
          <w:fldChar w:fldCharType="end"/>
        </w:r>
      </w:hyperlink>
    </w:p>
    <w:p w14:paraId="311BA636" w14:textId="021D0508" w:rsidR="00866752" w:rsidRDefault="005B3674" w:rsidP="005B3674">
      <w:pPr>
        <w:pStyle w:val="TOC3"/>
        <w:keepNext/>
        <w:keepLines/>
        <w:widowControl w:val="0"/>
        <w:rPr>
          <w:rFonts w:asciiTheme="minorHAnsi" w:eastAsiaTheme="minorEastAsia" w:hAnsiTheme="minorHAnsi" w:cstheme="minorBidi"/>
        </w:rPr>
      </w:pPr>
      <w:hyperlink w:anchor="_Toc65835972" w:history="1">
        <w:r w:rsidR="00866752" w:rsidRPr="000E1FA3">
          <w:rPr>
            <w:rStyle w:val="Hyperlink"/>
            <w:rFonts w:eastAsia="Arial"/>
          </w:rPr>
          <w:t>The power to include public interest statements</w:t>
        </w:r>
        <w:r w:rsidR="00866752">
          <w:rPr>
            <w:webHidden/>
          </w:rPr>
          <w:tab/>
        </w:r>
        <w:r w:rsidR="00866752">
          <w:rPr>
            <w:webHidden/>
          </w:rPr>
          <w:fldChar w:fldCharType="begin"/>
        </w:r>
        <w:r w:rsidR="00866752">
          <w:rPr>
            <w:webHidden/>
          </w:rPr>
          <w:instrText xml:space="preserve"> PAGEREF _Toc65835972 \h </w:instrText>
        </w:r>
        <w:r w:rsidR="00866752">
          <w:rPr>
            <w:webHidden/>
          </w:rPr>
        </w:r>
        <w:r w:rsidR="00866752">
          <w:rPr>
            <w:webHidden/>
          </w:rPr>
          <w:fldChar w:fldCharType="separate"/>
        </w:r>
        <w:r w:rsidR="00B916F9">
          <w:rPr>
            <w:webHidden/>
          </w:rPr>
          <w:t>24</w:t>
        </w:r>
        <w:r w:rsidR="00866752">
          <w:rPr>
            <w:webHidden/>
          </w:rPr>
          <w:fldChar w:fldCharType="end"/>
        </w:r>
      </w:hyperlink>
    </w:p>
    <w:p w14:paraId="0CC438F1" w14:textId="34C9DCC5" w:rsidR="00866752" w:rsidRDefault="005B3674" w:rsidP="005B3674">
      <w:pPr>
        <w:pStyle w:val="TOC3"/>
        <w:keepNext/>
        <w:keepLines/>
        <w:widowControl w:val="0"/>
        <w:rPr>
          <w:rFonts w:asciiTheme="minorHAnsi" w:eastAsiaTheme="minorEastAsia" w:hAnsiTheme="minorHAnsi" w:cstheme="minorBidi"/>
        </w:rPr>
      </w:pPr>
      <w:hyperlink w:anchor="_Toc65835973" w:history="1">
        <w:r w:rsidR="00866752" w:rsidRPr="000E1FA3">
          <w:rPr>
            <w:rStyle w:val="Hyperlink"/>
            <w:rFonts w:eastAsia="Arial"/>
          </w:rPr>
          <w:t>The power to vary a renewal statement</w:t>
        </w:r>
        <w:r w:rsidR="00866752">
          <w:rPr>
            <w:webHidden/>
          </w:rPr>
          <w:tab/>
        </w:r>
        <w:r w:rsidR="00866752">
          <w:rPr>
            <w:webHidden/>
          </w:rPr>
          <w:fldChar w:fldCharType="begin"/>
        </w:r>
        <w:r w:rsidR="00866752">
          <w:rPr>
            <w:webHidden/>
          </w:rPr>
          <w:instrText xml:space="preserve"> PAGEREF _Toc65835973 \h </w:instrText>
        </w:r>
        <w:r w:rsidR="00866752">
          <w:rPr>
            <w:webHidden/>
          </w:rPr>
        </w:r>
        <w:r w:rsidR="00866752">
          <w:rPr>
            <w:webHidden/>
          </w:rPr>
          <w:fldChar w:fldCharType="separate"/>
        </w:r>
        <w:r w:rsidR="00B916F9">
          <w:rPr>
            <w:webHidden/>
          </w:rPr>
          <w:t>26</w:t>
        </w:r>
        <w:r w:rsidR="00866752">
          <w:rPr>
            <w:webHidden/>
          </w:rPr>
          <w:fldChar w:fldCharType="end"/>
        </w:r>
      </w:hyperlink>
    </w:p>
    <w:p w14:paraId="5EC9286D" w14:textId="17855E7C"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74" w:history="1">
        <w:r w:rsidR="00866752" w:rsidRPr="000E1FA3">
          <w:rPr>
            <w:rStyle w:val="Hyperlink"/>
            <w:rFonts w:eastAsia="Arial"/>
          </w:rPr>
          <w:t>Renewal application period</w:t>
        </w:r>
        <w:r w:rsidR="00866752">
          <w:rPr>
            <w:webHidden/>
          </w:rPr>
          <w:tab/>
        </w:r>
        <w:r w:rsidR="00866752">
          <w:rPr>
            <w:webHidden/>
          </w:rPr>
          <w:fldChar w:fldCharType="begin"/>
        </w:r>
        <w:r w:rsidR="00866752">
          <w:rPr>
            <w:webHidden/>
          </w:rPr>
          <w:instrText xml:space="preserve"> PAGEREF _Toc65835974 \h </w:instrText>
        </w:r>
        <w:r w:rsidR="00866752">
          <w:rPr>
            <w:webHidden/>
          </w:rPr>
        </w:r>
        <w:r w:rsidR="00866752">
          <w:rPr>
            <w:webHidden/>
          </w:rPr>
          <w:fldChar w:fldCharType="separate"/>
        </w:r>
        <w:r w:rsidR="00B916F9">
          <w:rPr>
            <w:webHidden/>
          </w:rPr>
          <w:t>26</w:t>
        </w:r>
        <w:r w:rsidR="00866752">
          <w:rPr>
            <w:webHidden/>
          </w:rPr>
          <w:fldChar w:fldCharType="end"/>
        </w:r>
      </w:hyperlink>
    </w:p>
    <w:p w14:paraId="6620C43F" w14:textId="360415D0"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75" w:history="1">
        <w:r w:rsidR="00866752" w:rsidRPr="000E1FA3">
          <w:rPr>
            <w:rStyle w:val="Hyperlink"/>
          </w:rPr>
          <w:t>Consulting about renewal and public interest statements</w:t>
        </w:r>
        <w:r w:rsidR="00866752">
          <w:rPr>
            <w:webHidden/>
          </w:rPr>
          <w:tab/>
        </w:r>
        <w:r w:rsidR="00866752">
          <w:rPr>
            <w:webHidden/>
          </w:rPr>
          <w:fldChar w:fldCharType="begin"/>
        </w:r>
        <w:r w:rsidR="00866752">
          <w:rPr>
            <w:webHidden/>
          </w:rPr>
          <w:instrText xml:space="preserve"> PAGEREF _Toc65835975 \h </w:instrText>
        </w:r>
        <w:r w:rsidR="00866752">
          <w:rPr>
            <w:webHidden/>
          </w:rPr>
        </w:r>
        <w:r w:rsidR="00866752">
          <w:rPr>
            <w:webHidden/>
          </w:rPr>
          <w:fldChar w:fldCharType="separate"/>
        </w:r>
        <w:r w:rsidR="00B916F9">
          <w:rPr>
            <w:webHidden/>
          </w:rPr>
          <w:t>28</w:t>
        </w:r>
        <w:r w:rsidR="00866752">
          <w:rPr>
            <w:webHidden/>
          </w:rPr>
          <w:fldChar w:fldCharType="end"/>
        </w:r>
      </w:hyperlink>
    </w:p>
    <w:p w14:paraId="12159F3F" w14:textId="0ABCB44B" w:rsidR="00866752" w:rsidRDefault="005B3674" w:rsidP="005B3674">
      <w:pPr>
        <w:pStyle w:val="TOC1"/>
        <w:keepNext/>
        <w:keepLines/>
        <w:widowControl w:val="0"/>
        <w:rPr>
          <w:rFonts w:asciiTheme="minorHAnsi" w:eastAsiaTheme="minorEastAsia" w:hAnsiTheme="minorHAnsi" w:cstheme="minorBidi"/>
          <w:b w:val="0"/>
          <w:spacing w:val="0"/>
          <w:sz w:val="22"/>
          <w:szCs w:val="22"/>
        </w:rPr>
      </w:pPr>
      <w:hyperlink w:anchor="_Toc65835976" w:history="1">
        <w:r w:rsidR="00866752" w:rsidRPr="000E1FA3">
          <w:rPr>
            <w:rStyle w:val="Hyperlink"/>
          </w:rPr>
          <w:t>Allocation and re-allocation</w:t>
        </w:r>
        <w:r w:rsidR="00866752">
          <w:rPr>
            <w:webHidden/>
          </w:rPr>
          <w:tab/>
        </w:r>
        <w:r w:rsidR="00866752">
          <w:rPr>
            <w:webHidden/>
          </w:rPr>
          <w:fldChar w:fldCharType="begin"/>
        </w:r>
        <w:r w:rsidR="00866752">
          <w:rPr>
            <w:webHidden/>
          </w:rPr>
          <w:instrText xml:space="preserve"> PAGEREF _Toc65835976 \h </w:instrText>
        </w:r>
        <w:r w:rsidR="00866752">
          <w:rPr>
            <w:webHidden/>
          </w:rPr>
        </w:r>
        <w:r w:rsidR="00866752">
          <w:rPr>
            <w:webHidden/>
          </w:rPr>
          <w:fldChar w:fldCharType="separate"/>
        </w:r>
        <w:r w:rsidR="00B916F9">
          <w:rPr>
            <w:webHidden/>
          </w:rPr>
          <w:t>29</w:t>
        </w:r>
        <w:r w:rsidR="00866752">
          <w:rPr>
            <w:webHidden/>
          </w:rPr>
          <w:fldChar w:fldCharType="end"/>
        </w:r>
      </w:hyperlink>
    </w:p>
    <w:p w14:paraId="628AFF1D" w14:textId="28FC9DD1"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77" w:history="1">
        <w:r w:rsidR="00866752" w:rsidRPr="000E1FA3">
          <w:rPr>
            <w:rStyle w:val="Hyperlink"/>
          </w:rPr>
          <w:t>Relevant legislative provisions</w:t>
        </w:r>
        <w:r w:rsidR="00866752">
          <w:rPr>
            <w:webHidden/>
          </w:rPr>
          <w:tab/>
        </w:r>
        <w:r w:rsidR="00866752">
          <w:rPr>
            <w:webHidden/>
          </w:rPr>
          <w:fldChar w:fldCharType="begin"/>
        </w:r>
        <w:r w:rsidR="00866752">
          <w:rPr>
            <w:webHidden/>
          </w:rPr>
          <w:instrText xml:space="preserve"> PAGEREF _Toc65835977 \h </w:instrText>
        </w:r>
        <w:r w:rsidR="00866752">
          <w:rPr>
            <w:webHidden/>
          </w:rPr>
        </w:r>
        <w:r w:rsidR="00866752">
          <w:rPr>
            <w:webHidden/>
          </w:rPr>
          <w:fldChar w:fldCharType="separate"/>
        </w:r>
        <w:r w:rsidR="00B916F9">
          <w:rPr>
            <w:webHidden/>
          </w:rPr>
          <w:t>29</w:t>
        </w:r>
        <w:r w:rsidR="00866752">
          <w:rPr>
            <w:webHidden/>
          </w:rPr>
          <w:fldChar w:fldCharType="end"/>
        </w:r>
      </w:hyperlink>
    </w:p>
    <w:p w14:paraId="0969E377" w14:textId="65846339"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78" w:history="1">
        <w:r w:rsidR="00866752" w:rsidRPr="000E1FA3">
          <w:rPr>
            <w:rStyle w:val="Hyperlink"/>
          </w:rPr>
          <w:t>Key decisions</w:t>
        </w:r>
        <w:r w:rsidR="00866752">
          <w:rPr>
            <w:webHidden/>
          </w:rPr>
          <w:tab/>
        </w:r>
        <w:r w:rsidR="00866752">
          <w:rPr>
            <w:webHidden/>
          </w:rPr>
          <w:fldChar w:fldCharType="begin"/>
        </w:r>
        <w:r w:rsidR="00866752">
          <w:rPr>
            <w:webHidden/>
          </w:rPr>
          <w:instrText xml:space="preserve"> PAGEREF _Toc65835978 \h </w:instrText>
        </w:r>
        <w:r w:rsidR="00866752">
          <w:rPr>
            <w:webHidden/>
          </w:rPr>
        </w:r>
        <w:r w:rsidR="00866752">
          <w:rPr>
            <w:webHidden/>
          </w:rPr>
          <w:fldChar w:fldCharType="separate"/>
        </w:r>
        <w:r w:rsidR="00B916F9">
          <w:rPr>
            <w:webHidden/>
          </w:rPr>
          <w:t>30</w:t>
        </w:r>
        <w:r w:rsidR="00866752">
          <w:rPr>
            <w:webHidden/>
          </w:rPr>
          <w:fldChar w:fldCharType="end"/>
        </w:r>
      </w:hyperlink>
    </w:p>
    <w:p w14:paraId="3E47FD3C" w14:textId="6F313A8C" w:rsidR="00866752" w:rsidRDefault="005B3674" w:rsidP="005B3674">
      <w:pPr>
        <w:pStyle w:val="TOC2"/>
        <w:keepNext/>
        <w:keepLines/>
        <w:widowControl w:val="0"/>
        <w:rPr>
          <w:rFonts w:asciiTheme="minorHAnsi" w:eastAsiaTheme="minorEastAsia" w:hAnsiTheme="minorHAnsi" w:cstheme="minorBidi"/>
          <w:spacing w:val="0"/>
          <w:sz w:val="22"/>
          <w:szCs w:val="22"/>
        </w:rPr>
      </w:pPr>
      <w:hyperlink w:anchor="_Toc65835979" w:history="1">
        <w:r w:rsidR="00866752" w:rsidRPr="000E1FA3">
          <w:rPr>
            <w:rStyle w:val="Hyperlink"/>
          </w:rPr>
          <w:t>How the ACMA intends to exercise its powers</w:t>
        </w:r>
        <w:r w:rsidR="00866752">
          <w:rPr>
            <w:webHidden/>
          </w:rPr>
          <w:tab/>
        </w:r>
        <w:r w:rsidR="00866752">
          <w:rPr>
            <w:webHidden/>
          </w:rPr>
          <w:fldChar w:fldCharType="begin"/>
        </w:r>
        <w:r w:rsidR="00866752">
          <w:rPr>
            <w:webHidden/>
          </w:rPr>
          <w:instrText xml:space="preserve"> PAGEREF _Toc65835979 \h </w:instrText>
        </w:r>
        <w:r w:rsidR="00866752">
          <w:rPr>
            <w:webHidden/>
          </w:rPr>
        </w:r>
        <w:r w:rsidR="00866752">
          <w:rPr>
            <w:webHidden/>
          </w:rPr>
          <w:fldChar w:fldCharType="separate"/>
        </w:r>
        <w:r w:rsidR="00B916F9">
          <w:rPr>
            <w:webHidden/>
          </w:rPr>
          <w:t>30</w:t>
        </w:r>
        <w:r w:rsidR="00866752">
          <w:rPr>
            <w:webHidden/>
          </w:rPr>
          <w:fldChar w:fldCharType="end"/>
        </w:r>
      </w:hyperlink>
    </w:p>
    <w:p w14:paraId="6ACAB8B1" w14:textId="2D12ACEC" w:rsidR="00866752" w:rsidRDefault="005B3674" w:rsidP="005B3674">
      <w:pPr>
        <w:pStyle w:val="TOC3"/>
        <w:keepNext/>
        <w:keepLines/>
        <w:widowControl w:val="0"/>
        <w:rPr>
          <w:rFonts w:asciiTheme="minorHAnsi" w:eastAsiaTheme="minorEastAsia" w:hAnsiTheme="minorHAnsi" w:cstheme="minorBidi"/>
        </w:rPr>
      </w:pPr>
      <w:hyperlink w:anchor="_Toc65835980" w:history="1">
        <w:r w:rsidR="00866752" w:rsidRPr="000E1FA3">
          <w:rPr>
            <w:rStyle w:val="Hyperlink"/>
            <w:rFonts w:eastAsiaTheme="minorHAnsi"/>
            <w:lang w:eastAsia="en-US"/>
          </w:rPr>
          <w:t>Powers to make unencumbered spectrum available for spectrum licensing</w:t>
        </w:r>
        <w:r w:rsidR="00866752">
          <w:rPr>
            <w:webHidden/>
          </w:rPr>
          <w:tab/>
        </w:r>
        <w:r w:rsidR="00866752">
          <w:rPr>
            <w:webHidden/>
          </w:rPr>
          <w:fldChar w:fldCharType="begin"/>
        </w:r>
        <w:r w:rsidR="00866752">
          <w:rPr>
            <w:webHidden/>
          </w:rPr>
          <w:instrText xml:space="preserve"> PAGEREF _Toc65835980 \h </w:instrText>
        </w:r>
        <w:r w:rsidR="00866752">
          <w:rPr>
            <w:webHidden/>
          </w:rPr>
        </w:r>
        <w:r w:rsidR="00866752">
          <w:rPr>
            <w:webHidden/>
          </w:rPr>
          <w:fldChar w:fldCharType="separate"/>
        </w:r>
        <w:r w:rsidR="00B916F9">
          <w:rPr>
            <w:webHidden/>
          </w:rPr>
          <w:t>30</w:t>
        </w:r>
        <w:r w:rsidR="00866752">
          <w:rPr>
            <w:webHidden/>
          </w:rPr>
          <w:fldChar w:fldCharType="end"/>
        </w:r>
      </w:hyperlink>
    </w:p>
    <w:p w14:paraId="7E1C4C97" w14:textId="78C77661" w:rsidR="00866752" w:rsidRDefault="005B3674" w:rsidP="005B3674">
      <w:pPr>
        <w:pStyle w:val="TOC3"/>
        <w:keepNext/>
        <w:keepLines/>
        <w:widowControl w:val="0"/>
        <w:rPr>
          <w:rFonts w:asciiTheme="minorHAnsi" w:eastAsiaTheme="minorEastAsia" w:hAnsiTheme="minorHAnsi" w:cstheme="minorBidi"/>
        </w:rPr>
      </w:pPr>
      <w:hyperlink w:anchor="_Toc65835981" w:history="1">
        <w:r w:rsidR="00866752" w:rsidRPr="000E1FA3">
          <w:rPr>
            <w:rStyle w:val="Hyperlink"/>
          </w:rPr>
          <w:t>Powers to directly allocate spectrum licences</w:t>
        </w:r>
        <w:r w:rsidR="00866752">
          <w:rPr>
            <w:webHidden/>
          </w:rPr>
          <w:tab/>
        </w:r>
        <w:r w:rsidR="00866752">
          <w:rPr>
            <w:webHidden/>
          </w:rPr>
          <w:fldChar w:fldCharType="begin"/>
        </w:r>
        <w:r w:rsidR="00866752">
          <w:rPr>
            <w:webHidden/>
          </w:rPr>
          <w:instrText xml:space="preserve"> PAGEREF _Toc65835981 \h </w:instrText>
        </w:r>
        <w:r w:rsidR="00866752">
          <w:rPr>
            <w:webHidden/>
          </w:rPr>
        </w:r>
        <w:r w:rsidR="00866752">
          <w:rPr>
            <w:webHidden/>
          </w:rPr>
          <w:fldChar w:fldCharType="separate"/>
        </w:r>
        <w:r w:rsidR="00B916F9">
          <w:rPr>
            <w:webHidden/>
          </w:rPr>
          <w:t>30</w:t>
        </w:r>
        <w:r w:rsidR="00866752">
          <w:rPr>
            <w:webHidden/>
          </w:rPr>
          <w:fldChar w:fldCharType="end"/>
        </w:r>
      </w:hyperlink>
    </w:p>
    <w:p w14:paraId="1EB34B72" w14:textId="0BC290C3" w:rsidR="00866752" w:rsidRDefault="005B3674" w:rsidP="005B3674">
      <w:pPr>
        <w:pStyle w:val="TOC3"/>
        <w:keepNext/>
        <w:keepLines/>
        <w:widowControl w:val="0"/>
        <w:rPr>
          <w:rFonts w:asciiTheme="minorHAnsi" w:eastAsiaTheme="minorEastAsia" w:hAnsiTheme="minorHAnsi" w:cstheme="minorBidi"/>
        </w:rPr>
      </w:pPr>
      <w:hyperlink w:anchor="_Toc65835982" w:history="1">
        <w:r w:rsidR="00866752" w:rsidRPr="000E1FA3">
          <w:rPr>
            <w:rStyle w:val="Hyperlink"/>
            <w:lang w:eastAsia="en-US"/>
          </w:rPr>
          <w:t>Powers to decide that encumbered spectrum is to be re-allocated by issuing spectrum licences, apparatus licences, or both.</w:t>
        </w:r>
        <w:r w:rsidR="00866752">
          <w:rPr>
            <w:webHidden/>
          </w:rPr>
          <w:tab/>
        </w:r>
        <w:r w:rsidR="00866752">
          <w:rPr>
            <w:webHidden/>
          </w:rPr>
          <w:fldChar w:fldCharType="begin"/>
        </w:r>
        <w:r w:rsidR="00866752">
          <w:rPr>
            <w:webHidden/>
          </w:rPr>
          <w:instrText xml:space="preserve"> PAGEREF _Toc65835982 \h </w:instrText>
        </w:r>
        <w:r w:rsidR="00866752">
          <w:rPr>
            <w:webHidden/>
          </w:rPr>
        </w:r>
        <w:r w:rsidR="00866752">
          <w:rPr>
            <w:webHidden/>
          </w:rPr>
          <w:fldChar w:fldCharType="separate"/>
        </w:r>
        <w:r w:rsidR="00B916F9">
          <w:rPr>
            <w:webHidden/>
          </w:rPr>
          <w:t>31</w:t>
        </w:r>
        <w:r w:rsidR="00866752">
          <w:rPr>
            <w:webHidden/>
          </w:rPr>
          <w:fldChar w:fldCharType="end"/>
        </w:r>
      </w:hyperlink>
    </w:p>
    <w:p w14:paraId="5F62215D" w14:textId="5401FD92" w:rsidR="00866752" w:rsidRDefault="005B3674" w:rsidP="005B3674">
      <w:pPr>
        <w:pStyle w:val="TOC3"/>
        <w:keepNext/>
        <w:keepLines/>
        <w:widowControl w:val="0"/>
        <w:rPr>
          <w:rFonts w:asciiTheme="minorHAnsi" w:eastAsiaTheme="minorEastAsia" w:hAnsiTheme="minorHAnsi" w:cstheme="minorBidi"/>
        </w:rPr>
      </w:pPr>
      <w:hyperlink w:anchor="_Toc65835983" w:history="1">
        <w:r w:rsidR="00866752" w:rsidRPr="000E1FA3">
          <w:rPr>
            <w:rStyle w:val="Hyperlink"/>
          </w:rPr>
          <w:t>Streamlining the re-allocation process</w:t>
        </w:r>
        <w:r w:rsidR="00866752">
          <w:rPr>
            <w:webHidden/>
          </w:rPr>
          <w:tab/>
        </w:r>
        <w:r w:rsidR="00866752">
          <w:rPr>
            <w:webHidden/>
          </w:rPr>
          <w:fldChar w:fldCharType="begin"/>
        </w:r>
        <w:r w:rsidR="00866752">
          <w:rPr>
            <w:webHidden/>
          </w:rPr>
          <w:instrText xml:space="preserve"> PAGEREF _Toc65835983 \h </w:instrText>
        </w:r>
        <w:r w:rsidR="00866752">
          <w:rPr>
            <w:webHidden/>
          </w:rPr>
        </w:r>
        <w:r w:rsidR="00866752">
          <w:rPr>
            <w:webHidden/>
          </w:rPr>
          <w:fldChar w:fldCharType="separate"/>
        </w:r>
        <w:r w:rsidR="00B916F9">
          <w:rPr>
            <w:webHidden/>
          </w:rPr>
          <w:t>32</w:t>
        </w:r>
        <w:r w:rsidR="00866752">
          <w:rPr>
            <w:webHidden/>
          </w:rPr>
          <w:fldChar w:fldCharType="end"/>
        </w:r>
      </w:hyperlink>
    </w:p>
    <w:p w14:paraId="52A6DB87" w14:textId="0078D90B" w:rsidR="00866752" w:rsidRDefault="005B3674" w:rsidP="005B3674">
      <w:pPr>
        <w:pStyle w:val="TOC3"/>
        <w:keepNext/>
        <w:keepLines/>
        <w:widowControl w:val="0"/>
        <w:rPr>
          <w:rFonts w:asciiTheme="minorHAnsi" w:eastAsiaTheme="minorEastAsia" w:hAnsiTheme="minorHAnsi" w:cstheme="minorBidi"/>
        </w:rPr>
      </w:pPr>
      <w:hyperlink w:anchor="_Toc65835984" w:history="1">
        <w:r w:rsidR="00866752" w:rsidRPr="000E1FA3">
          <w:rPr>
            <w:rStyle w:val="Hyperlink"/>
            <w:rFonts w:eastAsiaTheme="minorHAnsi"/>
            <w:lang w:eastAsia="en-US"/>
          </w:rPr>
          <w:t>Powers to set allocation limits</w:t>
        </w:r>
        <w:r w:rsidR="00866752">
          <w:rPr>
            <w:webHidden/>
          </w:rPr>
          <w:tab/>
        </w:r>
        <w:r w:rsidR="00866752">
          <w:rPr>
            <w:webHidden/>
          </w:rPr>
          <w:fldChar w:fldCharType="begin"/>
        </w:r>
        <w:r w:rsidR="00866752">
          <w:rPr>
            <w:webHidden/>
          </w:rPr>
          <w:instrText xml:space="preserve"> PAGEREF _Toc65835984 \h </w:instrText>
        </w:r>
        <w:r w:rsidR="00866752">
          <w:rPr>
            <w:webHidden/>
          </w:rPr>
        </w:r>
        <w:r w:rsidR="00866752">
          <w:rPr>
            <w:webHidden/>
          </w:rPr>
          <w:fldChar w:fldCharType="separate"/>
        </w:r>
        <w:r w:rsidR="00B916F9">
          <w:rPr>
            <w:webHidden/>
          </w:rPr>
          <w:t>33</w:t>
        </w:r>
        <w:r w:rsidR="00866752">
          <w:rPr>
            <w:webHidden/>
          </w:rPr>
          <w:fldChar w:fldCharType="end"/>
        </w:r>
      </w:hyperlink>
    </w:p>
    <w:p w14:paraId="6640B5B7" w14:textId="22CDC63D" w:rsidR="00866752" w:rsidRDefault="005B3674" w:rsidP="005B3674">
      <w:pPr>
        <w:pStyle w:val="TOC3"/>
        <w:keepNext/>
        <w:keepLines/>
        <w:widowControl w:val="0"/>
        <w:rPr>
          <w:rFonts w:asciiTheme="minorHAnsi" w:eastAsiaTheme="minorEastAsia" w:hAnsiTheme="minorHAnsi" w:cstheme="minorBidi"/>
        </w:rPr>
      </w:pPr>
      <w:hyperlink w:anchor="_Toc65835985" w:history="1">
        <w:r w:rsidR="00866752" w:rsidRPr="000E1FA3">
          <w:rPr>
            <w:rStyle w:val="Hyperlink"/>
          </w:rPr>
          <w:t>Bidder credits</w:t>
        </w:r>
        <w:r w:rsidR="00866752">
          <w:rPr>
            <w:webHidden/>
          </w:rPr>
          <w:tab/>
        </w:r>
        <w:r w:rsidR="00866752">
          <w:rPr>
            <w:webHidden/>
          </w:rPr>
          <w:fldChar w:fldCharType="begin"/>
        </w:r>
        <w:r w:rsidR="00866752">
          <w:rPr>
            <w:webHidden/>
          </w:rPr>
          <w:instrText xml:space="preserve"> PAGEREF _Toc65835985 \h </w:instrText>
        </w:r>
        <w:r w:rsidR="00866752">
          <w:rPr>
            <w:webHidden/>
          </w:rPr>
        </w:r>
        <w:r w:rsidR="00866752">
          <w:rPr>
            <w:webHidden/>
          </w:rPr>
          <w:fldChar w:fldCharType="separate"/>
        </w:r>
        <w:r w:rsidR="00B916F9">
          <w:rPr>
            <w:webHidden/>
          </w:rPr>
          <w:t>34</w:t>
        </w:r>
        <w:r w:rsidR="00866752">
          <w:rPr>
            <w:webHidden/>
          </w:rPr>
          <w:fldChar w:fldCharType="end"/>
        </w:r>
      </w:hyperlink>
    </w:p>
    <w:p w14:paraId="5B8807FE" w14:textId="69D87CFA" w:rsidR="00866752" w:rsidRDefault="005B3674" w:rsidP="005B3674">
      <w:pPr>
        <w:pStyle w:val="TOC1"/>
        <w:keepNext/>
        <w:keepLines/>
        <w:widowControl w:val="0"/>
        <w:rPr>
          <w:rFonts w:asciiTheme="minorHAnsi" w:eastAsiaTheme="minorEastAsia" w:hAnsiTheme="minorHAnsi" w:cstheme="minorBidi"/>
          <w:b w:val="0"/>
          <w:spacing w:val="0"/>
          <w:sz w:val="22"/>
          <w:szCs w:val="22"/>
        </w:rPr>
      </w:pPr>
      <w:hyperlink w:anchor="_Toc65835986" w:history="1">
        <w:r w:rsidR="00866752" w:rsidRPr="000E1FA3">
          <w:rPr>
            <w:rStyle w:val="Hyperlink"/>
          </w:rPr>
          <w:t>Appendix A: Licence category characteristics</w:t>
        </w:r>
        <w:r w:rsidR="00866752">
          <w:rPr>
            <w:webHidden/>
          </w:rPr>
          <w:tab/>
        </w:r>
        <w:r w:rsidR="00866752">
          <w:rPr>
            <w:webHidden/>
          </w:rPr>
          <w:fldChar w:fldCharType="begin"/>
        </w:r>
        <w:r w:rsidR="00866752">
          <w:rPr>
            <w:webHidden/>
          </w:rPr>
          <w:instrText xml:space="preserve"> PAGEREF _Toc65835986 \h </w:instrText>
        </w:r>
        <w:r w:rsidR="00866752">
          <w:rPr>
            <w:webHidden/>
          </w:rPr>
        </w:r>
        <w:r w:rsidR="00866752">
          <w:rPr>
            <w:webHidden/>
          </w:rPr>
          <w:fldChar w:fldCharType="separate"/>
        </w:r>
        <w:r w:rsidR="00B916F9">
          <w:rPr>
            <w:webHidden/>
          </w:rPr>
          <w:t>36</w:t>
        </w:r>
        <w:r w:rsidR="00866752">
          <w:rPr>
            <w:webHidden/>
          </w:rPr>
          <w:fldChar w:fldCharType="end"/>
        </w:r>
      </w:hyperlink>
    </w:p>
    <w:p w14:paraId="32798A06" w14:textId="0CA7854D" w:rsidR="004D56FF" w:rsidRPr="000D76E0" w:rsidRDefault="00866752">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7BB0CC70" w14:textId="15790106" w:rsidR="009D6C71" w:rsidRPr="009174F3" w:rsidRDefault="009D6C71" w:rsidP="009174F3">
      <w:pPr>
        <w:pStyle w:val="Execsummaryheading"/>
      </w:pPr>
      <w:bookmarkStart w:id="0" w:name="_Toc65835935"/>
      <w:r w:rsidRPr="009174F3">
        <w:lastRenderedPageBreak/>
        <w:t>Executive summary</w:t>
      </w:r>
      <w:bookmarkEnd w:id="0"/>
    </w:p>
    <w:p w14:paraId="03DC3EC7" w14:textId="05DDC8B1" w:rsidR="003253EE" w:rsidRDefault="00777CCF" w:rsidP="003253EE">
      <w:bookmarkStart w:id="1" w:name="_Toc433122125"/>
      <w:r>
        <w:t xml:space="preserve">The </w:t>
      </w:r>
      <w:hyperlink r:id="rId24" w:history="1">
        <w:r w:rsidRPr="008F0EB5">
          <w:rPr>
            <w:rStyle w:val="Hyperlink"/>
            <w:i/>
            <w:iCs/>
          </w:rPr>
          <w:t>Radiocommunications Legislation Amendment (Reform and Modernisation) Act 2020</w:t>
        </w:r>
      </w:hyperlink>
      <w:r>
        <w:rPr>
          <w:i/>
          <w:iCs/>
        </w:rPr>
        <w:t xml:space="preserve"> </w:t>
      </w:r>
      <w:r>
        <w:t xml:space="preserve">(the Modernisation Act) </w:t>
      </w:r>
      <w:r w:rsidR="002413DD">
        <w:t xml:space="preserve">updates </w:t>
      </w:r>
      <w:r>
        <w:t xml:space="preserve">the </w:t>
      </w:r>
      <w:hyperlink r:id="rId25" w:history="1">
        <w:r w:rsidRPr="00A67BDC">
          <w:rPr>
            <w:rStyle w:val="Hyperlink"/>
            <w:i/>
            <w:iCs/>
          </w:rPr>
          <w:t>Radiocommunications Act 1992</w:t>
        </w:r>
      </w:hyperlink>
      <w:r>
        <w:rPr>
          <w:i/>
          <w:iCs/>
        </w:rPr>
        <w:t xml:space="preserve"> </w:t>
      </w:r>
      <w:r>
        <w:t>(the Act) to address priority spectrum management issues and deliver tangible benefits to spectrum users</w:t>
      </w:r>
      <w:r w:rsidR="008355DC">
        <w:t xml:space="preserve"> through </w:t>
      </w:r>
      <w:r w:rsidR="00832EA4">
        <w:t xml:space="preserve">spectrum reform. </w:t>
      </w:r>
    </w:p>
    <w:p w14:paraId="7BB31703" w14:textId="0ED807EB" w:rsidR="00CA47F3" w:rsidRDefault="00330EDB" w:rsidP="003253EE">
      <w:r>
        <w:t xml:space="preserve">Under the Act, both the </w:t>
      </w:r>
      <w:r w:rsidRPr="00330EDB">
        <w:t xml:space="preserve">Australian Communications and Media Authority (ACMA) and the Minister for Communications, Urban Infrastructure, Cities and the Arts (the </w:t>
      </w:r>
      <w:r w:rsidR="00717F08">
        <w:t>m</w:t>
      </w:r>
      <w:r w:rsidRPr="00330EDB">
        <w:t>inister)</w:t>
      </w:r>
      <w:r>
        <w:t xml:space="preserve"> have roles and responsibilities </w:t>
      </w:r>
      <w:r w:rsidR="00320D58">
        <w:t xml:space="preserve">in how the spectrum is allocated and </w:t>
      </w:r>
      <w:r w:rsidR="008355DC">
        <w:t>in maximising the public benefit derived from the use of the spectrum.</w:t>
      </w:r>
    </w:p>
    <w:p w14:paraId="1FDE6BE8" w14:textId="10B46969" w:rsidR="00076988" w:rsidRDefault="00832EA4" w:rsidP="003253EE">
      <w:r>
        <w:t>T</w:t>
      </w:r>
      <w:r w:rsidR="00195D24">
        <w:t xml:space="preserve">he Modernisation Act </w:t>
      </w:r>
      <w:r w:rsidR="002B5958">
        <w:t xml:space="preserve">re-aligns </w:t>
      </w:r>
      <w:r w:rsidR="004C2B51">
        <w:t xml:space="preserve">the respective spectrum management roles of the ACMA and the </w:t>
      </w:r>
      <w:r w:rsidR="00717F08">
        <w:t>m</w:t>
      </w:r>
      <w:r w:rsidR="004C2B51">
        <w:t xml:space="preserve">inister </w:t>
      </w:r>
      <w:r w:rsidR="00433752">
        <w:t>by</w:t>
      </w:r>
      <w:r w:rsidR="00AE6178">
        <w:t xml:space="preserve"> simplify</w:t>
      </w:r>
      <w:r w:rsidR="00433752">
        <w:t>ing</w:t>
      </w:r>
      <w:r w:rsidR="00AE6178">
        <w:t xml:space="preserve"> and streamlin</w:t>
      </w:r>
      <w:r w:rsidR="00433752">
        <w:t xml:space="preserve">ing </w:t>
      </w:r>
      <w:r w:rsidR="00C762B1">
        <w:t>critical allocation and re-allocation process</w:t>
      </w:r>
      <w:r w:rsidR="00433752">
        <w:t>es</w:t>
      </w:r>
      <w:r w:rsidR="00C762B1">
        <w:t>.</w:t>
      </w:r>
      <w:r w:rsidRPr="00832EA4">
        <w:t xml:space="preserve"> In addition, </w:t>
      </w:r>
      <w:r>
        <w:t>t</w:t>
      </w:r>
      <w:r w:rsidRPr="00832EA4">
        <w:t>he Modernisation Act provides the ACMA increased flexibility in licensing and allocating the spectrum, which in turn ensure</w:t>
      </w:r>
      <w:r w:rsidR="00433752">
        <w:t>s</w:t>
      </w:r>
      <w:r w:rsidR="003421F2">
        <w:t xml:space="preserve"> that</w:t>
      </w:r>
      <w:r w:rsidRPr="00832EA4">
        <w:t xml:space="preserve"> spectrum management remains fit</w:t>
      </w:r>
      <w:r w:rsidR="00DD7EC9">
        <w:t xml:space="preserve"> </w:t>
      </w:r>
      <w:r w:rsidRPr="00832EA4">
        <w:t xml:space="preserve">for purpose in a challenging, dynamic environment. </w:t>
      </w:r>
    </w:p>
    <w:p w14:paraId="0362C849" w14:textId="791D7A0E" w:rsidR="00076988" w:rsidRDefault="00962FC0" w:rsidP="00A3748F">
      <w:pPr>
        <w:pStyle w:val="Paragraphbeforelist"/>
      </w:pPr>
      <w:r>
        <w:t>Key</w:t>
      </w:r>
      <w:r w:rsidR="00076988">
        <w:t xml:space="preserve"> amendments </w:t>
      </w:r>
      <w:r>
        <w:t xml:space="preserve">to licensing and allocation arrangements </w:t>
      </w:r>
      <w:r w:rsidR="00076988">
        <w:t xml:space="preserve">introduced by the Modernisation Act include: </w:t>
      </w:r>
    </w:p>
    <w:p w14:paraId="7FAA3ECE" w14:textId="77777777" w:rsidR="00076988" w:rsidRPr="0097440F" w:rsidRDefault="00076988" w:rsidP="00A3748F">
      <w:pPr>
        <w:pStyle w:val="Bulletlevel1"/>
      </w:pPr>
      <w:r>
        <w:t>increasing the maximum licence term of spectrum and apparatus licences to 20 years</w:t>
      </w:r>
    </w:p>
    <w:p w14:paraId="41385E12" w14:textId="77777777" w:rsidR="00076988" w:rsidRDefault="00076988" w:rsidP="00A3748F">
      <w:pPr>
        <w:pStyle w:val="Bulletlevel1"/>
      </w:pPr>
      <w:r>
        <w:t xml:space="preserve">requiring that some licences include renewal and public interest statements, and allowing other licences to include these statements </w:t>
      </w:r>
    </w:p>
    <w:p w14:paraId="329B8BA3" w14:textId="743CACF8" w:rsidR="00076988" w:rsidRDefault="00076988" w:rsidP="00A3748F">
      <w:pPr>
        <w:pStyle w:val="Bulletlevel1"/>
      </w:pPr>
      <w:r>
        <w:t xml:space="preserve">streamlining the spectrum re-allocation process by enhancing the ACMA’s ability to allocate spectrum licences </w:t>
      </w:r>
      <w:r w:rsidR="002B5958">
        <w:t xml:space="preserve">without a prior decision from the </w:t>
      </w:r>
      <w:r w:rsidR="00717F08">
        <w:t>m</w:t>
      </w:r>
      <w:r w:rsidR="002B5958">
        <w:t>inister</w:t>
      </w:r>
    </w:p>
    <w:p w14:paraId="1448B5B9" w14:textId="2D11863C" w:rsidR="00076988" w:rsidRDefault="00076988" w:rsidP="00A3748F">
      <w:pPr>
        <w:pStyle w:val="Bulletlevel1"/>
      </w:pPr>
      <w:r>
        <w:t xml:space="preserve">allowing the ACMA to set allocation limits for </w:t>
      </w:r>
      <w:r w:rsidR="00483381">
        <w:t xml:space="preserve">price-based </w:t>
      </w:r>
      <w:r>
        <w:t>allocation</w:t>
      </w:r>
      <w:r w:rsidR="00483381">
        <w:t>s</w:t>
      </w:r>
      <w:r>
        <w:t xml:space="preserve"> of spectrum and apparatus licences</w:t>
      </w:r>
      <w:r w:rsidR="0059351D">
        <w:t xml:space="preserve">, </w:t>
      </w:r>
      <w:r w:rsidR="00201DE9">
        <w:t xml:space="preserve">having regard to </w:t>
      </w:r>
      <w:r w:rsidR="00442BFF">
        <w:t>advice from the Australian Competition and Consumer Commission</w:t>
      </w:r>
      <w:r w:rsidR="003C3333">
        <w:t xml:space="preserve"> (ACCC)</w:t>
      </w:r>
    </w:p>
    <w:p w14:paraId="447034F3" w14:textId="64BFBE7D" w:rsidR="00076988" w:rsidRDefault="00076988">
      <w:pPr>
        <w:pStyle w:val="Bulletlevel1last"/>
      </w:pPr>
      <w:r>
        <w:t xml:space="preserve">introducing </w:t>
      </w:r>
      <w:r w:rsidRPr="007D6BDF">
        <w:t>bidder</w:t>
      </w:r>
      <w:r>
        <w:t xml:space="preserve"> credits as a potential tool in spectrum a</w:t>
      </w:r>
      <w:r w:rsidR="00442BFF">
        <w:t>llocation</w:t>
      </w:r>
      <w:r>
        <w:t xml:space="preserve"> processes</w:t>
      </w:r>
      <w:r w:rsidR="0067401E">
        <w:t>.</w:t>
      </w:r>
      <w:r>
        <w:t xml:space="preserve"> </w:t>
      </w:r>
    </w:p>
    <w:p w14:paraId="73B8EDFB" w14:textId="08DEB71D" w:rsidR="00AE1631" w:rsidRDefault="00EA1E8B" w:rsidP="004B4ED8">
      <w:pPr>
        <w:pStyle w:val="Paragraph"/>
      </w:pPr>
      <w:r w:rsidRPr="000A544B">
        <w:t>The amendments to the Act will take effect when the relevant provisions of the Modernisation Act commence</w:t>
      </w:r>
      <w:r w:rsidR="002B5958">
        <w:t xml:space="preserve"> on 17 June 2021</w:t>
      </w:r>
      <w:r w:rsidRPr="000A544B">
        <w:t>.</w:t>
      </w:r>
    </w:p>
    <w:p w14:paraId="0BBF8AF3" w14:textId="5B6EF065" w:rsidR="00EC7F75" w:rsidRDefault="00076988" w:rsidP="004B4ED8">
      <w:pPr>
        <w:pStyle w:val="Paragraph"/>
      </w:pPr>
      <w:r>
        <w:t>In this</w:t>
      </w:r>
      <w:r w:rsidDel="00F4178B">
        <w:t xml:space="preserve"> </w:t>
      </w:r>
      <w:r w:rsidR="00F4178B">
        <w:t xml:space="preserve">information </w:t>
      </w:r>
      <w:r>
        <w:t>paper,</w:t>
      </w:r>
      <w:r w:rsidR="0087599E">
        <w:t xml:space="preserve"> </w:t>
      </w:r>
      <w:r w:rsidR="007467B5">
        <w:t>we</w:t>
      </w:r>
      <w:r w:rsidR="000C017A">
        <w:t xml:space="preserve"> </w:t>
      </w:r>
      <w:r>
        <w:t xml:space="preserve">identify the core changes to the Act </w:t>
      </w:r>
      <w:r w:rsidR="007467B5">
        <w:t xml:space="preserve">relevant </w:t>
      </w:r>
      <w:r>
        <w:t>to licensing and allocation</w:t>
      </w:r>
      <w:r w:rsidR="003A3127">
        <w:t xml:space="preserve"> arrangement</w:t>
      </w:r>
      <w:r w:rsidR="0029603A">
        <w:t>s</w:t>
      </w:r>
      <w:r w:rsidR="000C017A">
        <w:t>, specifically around licence duration, renewal</w:t>
      </w:r>
      <w:r w:rsidR="00EA5965">
        <w:t xml:space="preserve"> statements</w:t>
      </w:r>
      <w:r w:rsidR="000C017A">
        <w:t>,</w:t>
      </w:r>
      <w:r w:rsidR="003A58EE">
        <w:t xml:space="preserve"> allocation and re-allocation</w:t>
      </w:r>
      <w:r w:rsidR="007467B5">
        <w:t xml:space="preserve"> processes</w:t>
      </w:r>
      <w:r w:rsidR="00757CE9">
        <w:t xml:space="preserve"> and </w:t>
      </w:r>
      <w:r w:rsidR="00547428">
        <w:t>our intended approach to implementation.</w:t>
      </w:r>
      <w:r w:rsidR="00547428" w:rsidDel="00C75445">
        <w:t xml:space="preserve"> </w:t>
      </w:r>
    </w:p>
    <w:p w14:paraId="036D79AF" w14:textId="63238EA7" w:rsidR="00C74FAD" w:rsidRDefault="00D728E6" w:rsidP="004B4ED8">
      <w:pPr>
        <w:pStyle w:val="Paragraph"/>
      </w:pPr>
      <w:r>
        <w:t xml:space="preserve">We also </w:t>
      </w:r>
      <w:r w:rsidR="00C74FAD">
        <w:t xml:space="preserve">describe </w:t>
      </w:r>
      <w:r w:rsidR="007E05C5">
        <w:t>our</w:t>
      </w:r>
      <w:r w:rsidR="00C74FAD">
        <w:t xml:space="preserve"> </w:t>
      </w:r>
      <w:r w:rsidR="00AE1631">
        <w:t xml:space="preserve">broader </w:t>
      </w:r>
      <w:r w:rsidR="00C74FAD">
        <w:t xml:space="preserve">approach to </w:t>
      </w:r>
      <w:r w:rsidR="00830821">
        <w:t>selecting spectrum, apparatus and class licensing for different use scenarios</w:t>
      </w:r>
      <w:r w:rsidR="00EC7F75">
        <w:t xml:space="preserve">, </w:t>
      </w:r>
      <w:r w:rsidR="00FA030E">
        <w:t>including</w:t>
      </w:r>
      <w:r w:rsidR="00EC7F75">
        <w:t xml:space="preserve"> </w:t>
      </w:r>
      <w:r w:rsidR="00282689">
        <w:t xml:space="preserve">the matters we consider when </w:t>
      </w:r>
      <w:r w:rsidR="00B6711E">
        <w:t xml:space="preserve">assessing </w:t>
      </w:r>
      <w:r w:rsidR="00FA030E">
        <w:t xml:space="preserve">each licensing </w:t>
      </w:r>
      <w:r w:rsidR="004A2B3F">
        <w:t xml:space="preserve">category’s </w:t>
      </w:r>
      <w:r w:rsidR="0056349C">
        <w:t>potential</w:t>
      </w:r>
      <w:r w:rsidR="00FA030E">
        <w:t xml:space="preserve"> </w:t>
      </w:r>
      <w:r w:rsidR="00B6711E">
        <w:t xml:space="preserve">suitability. </w:t>
      </w:r>
      <w:r w:rsidR="006017ED">
        <w:t xml:space="preserve">The paper </w:t>
      </w:r>
      <w:r w:rsidR="00B6711E">
        <w:t>also</w:t>
      </w:r>
      <w:r w:rsidR="00830821">
        <w:t xml:space="preserve"> discuss</w:t>
      </w:r>
      <w:r w:rsidR="00B6711E">
        <w:t>es</w:t>
      </w:r>
      <w:r w:rsidR="00C74FAD">
        <w:t xml:space="preserve"> how the amendments </w:t>
      </w:r>
      <w:r w:rsidR="00457EE2">
        <w:t xml:space="preserve">can </w:t>
      </w:r>
      <w:r w:rsidR="00C74FAD">
        <w:t xml:space="preserve">provide increased flexibility in selecting apparatus </w:t>
      </w:r>
      <w:r w:rsidR="002B5958">
        <w:t xml:space="preserve">or </w:t>
      </w:r>
      <w:r w:rsidR="00C74FAD">
        <w:t>spectrum licensing</w:t>
      </w:r>
      <w:r w:rsidR="00DD485F">
        <w:t xml:space="preserve"> </w:t>
      </w:r>
      <w:r w:rsidR="00B470B8">
        <w:t>for some use cases.</w:t>
      </w:r>
      <w:r w:rsidR="00F3532B">
        <w:t xml:space="preserve"> </w:t>
      </w:r>
    </w:p>
    <w:p w14:paraId="655BEDD0" w14:textId="2A4BC60C" w:rsidR="00013D94" w:rsidRDefault="00013D94" w:rsidP="00013D94">
      <w:pPr>
        <w:pStyle w:val="Heading1"/>
      </w:pPr>
      <w:bookmarkStart w:id="2" w:name="_Toc62643656"/>
      <w:bookmarkStart w:id="3" w:name="_Toc62643748"/>
      <w:bookmarkStart w:id="4" w:name="_Toc65835936"/>
      <w:r>
        <w:lastRenderedPageBreak/>
        <w:t>Approach to decision</w:t>
      </w:r>
      <w:r w:rsidR="00B3004F">
        <w:t>-</w:t>
      </w:r>
      <w:r>
        <w:t>making</w:t>
      </w:r>
      <w:bookmarkEnd w:id="2"/>
      <w:bookmarkEnd w:id="3"/>
      <w:bookmarkEnd w:id="4"/>
    </w:p>
    <w:p w14:paraId="4BB5C7CB" w14:textId="66248292" w:rsidR="00013D94" w:rsidRDefault="00013D94" w:rsidP="00717F08">
      <w:pPr>
        <w:pStyle w:val="Paragraphbeforelist"/>
      </w:pPr>
      <w:r>
        <w:t xml:space="preserve">For the purposes of exercising </w:t>
      </w:r>
      <w:r w:rsidR="00B3432B">
        <w:t>our</w:t>
      </w:r>
      <w:r>
        <w:t xml:space="preserve"> regulatory decision</w:t>
      </w:r>
      <w:r w:rsidR="00B3004F">
        <w:t>-</w:t>
      </w:r>
      <w:r>
        <w:t xml:space="preserve">making powers under the Act, </w:t>
      </w:r>
      <w:r w:rsidR="00985716">
        <w:t>our</w:t>
      </w:r>
      <w:r>
        <w:t xml:space="preserve"> decisions are guided by the object of the Act, as amended. The object of the Act </w:t>
      </w:r>
      <w:r w:rsidR="001C7BCB">
        <w:t>is</w:t>
      </w:r>
      <w:r>
        <w:t xml:space="preserve"> to promote the long-term public interest derived from the use of the spectrum by providing for the management of spectrum in a manner that:</w:t>
      </w:r>
    </w:p>
    <w:p w14:paraId="02F41421" w14:textId="6EDFBFA1" w:rsidR="00F715B3" w:rsidRDefault="00D875C2" w:rsidP="00717F08">
      <w:pPr>
        <w:pStyle w:val="ListNumber"/>
        <w:numPr>
          <w:ilvl w:val="0"/>
          <w:numId w:val="35"/>
        </w:numPr>
        <w:ind w:left="426" w:hanging="426"/>
      </w:pPr>
      <w:r w:rsidRPr="00D875C2">
        <w:t>facilitates the efficient planning allocation and use of the spectrum</w:t>
      </w:r>
    </w:p>
    <w:p w14:paraId="17BE904A" w14:textId="1CCD16E5" w:rsidR="00013D94" w:rsidRDefault="00013D94" w:rsidP="00717F08">
      <w:pPr>
        <w:pStyle w:val="ListNumber"/>
        <w:numPr>
          <w:ilvl w:val="0"/>
          <w:numId w:val="35"/>
        </w:numPr>
        <w:ind w:left="426" w:hanging="426"/>
      </w:pPr>
      <w:r>
        <w:t>facilitates the use of the spectrum for</w:t>
      </w:r>
      <w:r w:rsidR="006207C8">
        <w:t>:</w:t>
      </w:r>
    </w:p>
    <w:p w14:paraId="04B21CAF" w14:textId="1B2CF808" w:rsidR="00013D94" w:rsidRDefault="00013D94" w:rsidP="00717F08">
      <w:pPr>
        <w:pStyle w:val="Numberlistlevel2"/>
        <w:numPr>
          <w:ilvl w:val="0"/>
          <w:numId w:val="36"/>
        </w:numPr>
        <w:ind w:left="851" w:hanging="425"/>
      </w:pPr>
      <w:r>
        <w:t>commercial purposes</w:t>
      </w:r>
    </w:p>
    <w:p w14:paraId="40032916" w14:textId="1367881C" w:rsidR="00013D94" w:rsidRDefault="00013D94" w:rsidP="00717F08">
      <w:pPr>
        <w:pStyle w:val="Numberlistlevel2"/>
        <w:numPr>
          <w:ilvl w:val="0"/>
          <w:numId w:val="36"/>
        </w:numPr>
        <w:ind w:left="851" w:hanging="425"/>
      </w:pPr>
      <w:bookmarkStart w:id="5" w:name="_Hlk62629497"/>
      <w:r>
        <w:t>defence purposes, national security purposes and other non-commercial purposes (including public safety and community purposes)</w:t>
      </w:r>
    </w:p>
    <w:p w14:paraId="544BFDB8" w14:textId="05DD5179" w:rsidR="00013D94" w:rsidRDefault="00197164" w:rsidP="00717F08">
      <w:pPr>
        <w:pStyle w:val="ListNumber"/>
        <w:numPr>
          <w:ilvl w:val="0"/>
          <w:numId w:val="35"/>
        </w:numPr>
        <w:spacing w:after="240"/>
        <w:ind w:left="426" w:hanging="426"/>
      </w:pPr>
      <w:r>
        <w:t xml:space="preserve"> </w:t>
      </w:r>
      <w:r w:rsidR="00013D94">
        <w:t xml:space="preserve">supports the communications policy objectives of the </w:t>
      </w:r>
      <w:r w:rsidR="009E3517">
        <w:t xml:space="preserve">Australian </w:t>
      </w:r>
      <w:r w:rsidR="00013D94">
        <w:t>Government.</w:t>
      </w:r>
    </w:p>
    <w:p w14:paraId="025155B0" w14:textId="4DFDD494" w:rsidR="00013D94" w:rsidRDefault="00013D94" w:rsidP="00C73686">
      <w:pPr>
        <w:pStyle w:val="Paragraphbeforelist"/>
      </w:pPr>
      <w:bookmarkStart w:id="6" w:name="_Hlk65841978"/>
      <w:bookmarkEnd w:id="5"/>
      <w:r>
        <w:t xml:space="preserve">While the Modernisation Act affords </w:t>
      </w:r>
      <w:r w:rsidR="00CD0C09">
        <w:t>us</w:t>
      </w:r>
      <w:r w:rsidDel="0031658D">
        <w:t xml:space="preserve"> </w:t>
      </w:r>
      <w:r>
        <w:t xml:space="preserve">greater flexibility in a number of process-based operational licensing decisions, the scope of </w:t>
      </w:r>
      <w:r w:rsidR="00CD0C09">
        <w:t xml:space="preserve">our </w:t>
      </w:r>
      <w:r>
        <w:t xml:space="preserve">licensing and allocation decisions is </w:t>
      </w:r>
      <w:r w:rsidR="00840C57">
        <w:t xml:space="preserve">guided </w:t>
      </w:r>
      <w:r w:rsidR="005F3C8E">
        <w:t>by</w:t>
      </w:r>
      <w:r>
        <w:t>:</w:t>
      </w:r>
    </w:p>
    <w:p w14:paraId="0550EC40" w14:textId="13358AEB" w:rsidR="00013D94" w:rsidRDefault="000A0561" w:rsidP="00937757">
      <w:pPr>
        <w:pStyle w:val="Bulletlevel1"/>
      </w:pPr>
      <w:r>
        <w:t>t</w:t>
      </w:r>
      <w:r w:rsidR="00013D94">
        <w:t>he relevant matters the ACMA must have regard to under the Act, which include</w:t>
      </w:r>
      <w:r w:rsidR="003F3821">
        <w:t>s</w:t>
      </w:r>
      <w:r w:rsidR="00013D94">
        <w:t xml:space="preserve"> the object of the Act as well as specific provisions of the legislation that guide decisions on particular matters</w:t>
      </w:r>
    </w:p>
    <w:p w14:paraId="0C840648" w14:textId="1AF3FE6F" w:rsidR="00013D94" w:rsidRDefault="000A0561" w:rsidP="00937757">
      <w:pPr>
        <w:pStyle w:val="Bulletlevel1"/>
      </w:pPr>
      <w:r>
        <w:t>c</w:t>
      </w:r>
      <w:r w:rsidR="00013D94">
        <w:t>onsultation obligations u</w:t>
      </w:r>
      <w:r>
        <w:t>n</w:t>
      </w:r>
      <w:r w:rsidR="00013D94">
        <w:t xml:space="preserve">der the </w:t>
      </w:r>
      <w:hyperlink r:id="rId26" w:history="1">
        <w:r w:rsidR="00013D94" w:rsidRPr="00014583">
          <w:rPr>
            <w:rStyle w:val="Hyperlink"/>
            <w:i/>
          </w:rPr>
          <w:t xml:space="preserve">Legislation Act </w:t>
        </w:r>
        <w:r w:rsidR="001B3FE8" w:rsidRPr="00014583">
          <w:rPr>
            <w:rStyle w:val="Hyperlink"/>
            <w:i/>
          </w:rPr>
          <w:t>2003</w:t>
        </w:r>
      </w:hyperlink>
      <w:r w:rsidR="00A92466">
        <w:rPr>
          <w:iCs/>
        </w:rPr>
        <w:t xml:space="preserve"> </w:t>
      </w:r>
      <w:r w:rsidR="00C97851">
        <w:rPr>
          <w:iCs/>
        </w:rPr>
        <w:t xml:space="preserve">(the Legislation Act), </w:t>
      </w:r>
      <w:r w:rsidR="00013D94">
        <w:t>as well as specific consultation provisions under the Act</w:t>
      </w:r>
      <w:r>
        <w:t>,</w:t>
      </w:r>
      <w:r w:rsidR="00013D94">
        <w:t xml:space="preserve"> which inform decision</w:t>
      </w:r>
      <w:r w:rsidR="00A92466">
        <w:t>-</w:t>
      </w:r>
      <w:r w:rsidR="00013D94">
        <w:t>making</w:t>
      </w:r>
    </w:p>
    <w:p w14:paraId="3FF1B703" w14:textId="0E7AE716" w:rsidR="00013D94" w:rsidRDefault="000A0561" w:rsidP="00937757">
      <w:pPr>
        <w:pStyle w:val="Bulletlevel1"/>
      </w:pPr>
      <w:r>
        <w:t>t</w:t>
      </w:r>
      <w:r w:rsidR="00013D94">
        <w:t xml:space="preserve">ransparency and accountability obligations, particularly in relation to the ACMA’s </w:t>
      </w:r>
      <w:hyperlink r:id="rId27" w:history="1">
        <w:r w:rsidR="00D225C3">
          <w:rPr>
            <w:rStyle w:val="Hyperlink"/>
          </w:rPr>
          <w:t>f</w:t>
        </w:r>
        <w:r w:rsidR="00012968" w:rsidRPr="00012968">
          <w:rPr>
            <w:rStyle w:val="Hyperlink"/>
          </w:rPr>
          <w:t>ive</w:t>
        </w:r>
        <w:r w:rsidR="0042760B">
          <w:rPr>
            <w:rStyle w:val="Hyperlink"/>
          </w:rPr>
          <w:t>-</w:t>
        </w:r>
        <w:r w:rsidR="00D225C3">
          <w:rPr>
            <w:rStyle w:val="Hyperlink"/>
          </w:rPr>
          <w:t>y</w:t>
        </w:r>
        <w:r w:rsidR="00012968" w:rsidRPr="00012968">
          <w:rPr>
            <w:rStyle w:val="Hyperlink"/>
          </w:rPr>
          <w:t xml:space="preserve">ear </w:t>
        </w:r>
        <w:r w:rsidR="00D225C3">
          <w:rPr>
            <w:rStyle w:val="Hyperlink"/>
          </w:rPr>
          <w:t>sp</w:t>
        </w:r>
        <w:r w:rsidR="00012968" w:rsidRPr="00012968">
          <w:rPr>
            <w:rStyle w:val="Hyperlink"/>
          </w:rPr>
          <w:t xml:space="preserve">ectrum </w:t>
        </w:r>
        <w:r w:rsidR="00D225C3">
          <w:rPr>
            <w:rStyle w:val="Hyperlink"/>
          </w:rPr>
          <w:t>o</w:t>
        </w:r>
        <w:r w:rsidR="00012968" w:rsidRPr="00012968">
          <w:rPr>
            <w:rStyle w:val="Hyperlink"/>
          </w:rPr>
          <w:t>utlook</w:t>
        </w:r>
      </w:hyperlink>
      <w:r w:rsidR="00012968">
        <w:t xml:space="preserve"> (FYSO) </w:t>
      </w:r>
      <w:r w:rsidR="00013D94">
        <w:t>annual work program</w:t>
      </w:r>
      <w:r w:rsidR="0042760B">
        <w:t>,</w:t>
      </w:r>
      <w:r w:rsidR="00013D94">
        <w:t xml:space="preserve"> which outlines spectrum management work priorities and planned consultations</w:t>
      </w:r>
    </w:p>
    <w:p w14:paraId="2C084FEC" w14:textId="154C09E8" w:rsidR="001177ED" w:rsidRPr="007929E0" w:rsidRDefault="000A0561" w:rsidP="00C97851">
      <w:pPr>
        <w:pStyle w:val="Bulletlevel1"/>
      </w:pPr>
      <w:r>
        <w:t>p</w:t>
      </w:r>
      <w:r w:rsidR="00013D94">
        <w:t>owe</w:t>
      </w:r>
      <w:r w:rsidR="00013D94" w:rsidRPr="007929E0">
        <w:t xml:space="preserve">rs of the </w:t>
      </w:r>
      <w:r w:rsidR="00717F08" w:rsidRPr="007929E0">
        <w:t>m</w:t>
      </w:r>
      <w:r w:rsidR="00013D94" w:rsidRPr="007929E0">
        <w:t>inister to direct the ACMA on the performance of its functions</w:t>
      </w:r>
    </w:p>
    <w:p w14:paraId="3706C7E2" w14:textId="3BF62AED" w:rsidR="00013D94" w:rsidRPr="007929E0" w:rsidRDefault="000A0561" w:rsidP="00AD1C2C">
      <w:pPr>
        <w:pStyle w:val="Bulletlevel1last"/>
      </w:pPr>
      <w:r w:rsidRPr="007929E0">
        <w:t>p</w:t>
      </w:r>
      <w:r w:rsidR="00013D94" w:rsidRPr="007929E0">
        <w:t>rovi</w:t>
      </w:r>
      <w:r w:rsidR="007929E0" w:rsidRPr="007929E0">
        <w:t>sion of</w:t>
      </w:r>
      <w:r w:rsidR="00013D94" w:rsidRPr="007929E0">
        <w:t xml:space="preserve"> additional guidance </w:t>
      </w:r>
      <w:r w:rsidR="00B9571E" w:rsidRPr="007929E0">
        <w:t xml:space="preserve">through </w:t>
      </w:r>
      <w:r w:rsidR="00013D94" w:rsidRPr="007929E0">
        <w:t xml:space="preserve">relevant </w:t>
      </w:r>
      <w:r w:rsidR="00D225C3" w:rsidRPr="007929E0">
        <w:t>m</w:t>
      </w:r>
      <w:r w:rsidR="00013D94" w:rsidRPr="007929E0">
        <w:t xml:space="preserve">inisterial </w:t>
      </w:r>
      <w:r w:rsidR="00D225C3" w:rsidRPr="007929E0">
        <w:t>p</w:t>
      </w:r>
      <w:r w:rsidR="00013D94" w:rsidRPr="007929E0">
        <w:t xml:space="preserve">olicy </w:t>
      </w:r>
      <w:r w:rsidR="00D225C3" w:rsidRPr="007929E0">
        <w:t>s</w:t>
      </w:r>
      <w:r w:rsidR="00013D94" w:rsidRPr="007929E0">
        <w:t xml:space="preserve">tatements </w:t>
      </w:r>
      <w:r w:rsidR="000D088F" w:rsidRPr="007929E0">
        <w:t xml:space="preserve">(MPS) </w:t>
      </w:r>
      <w:r w:rsidR="00013D94" w:rsidRPr="007929E0">
        <w:t>under the Act.</w:t>
      </w:r>
      <w:r w:rsidR="00013D94" w:rsidRPr="007929E0" w:rsidDel="00C75445">
        <w:t xml:space="preserve"> </w:t>
      </w:r>
    </w:p>
    <w:bookmarkEnd w:id="6"/>
    <w:p w14:paraId="6C36C31D" w14:textId="096D7253" w:rsidR="000D088F" w:rsidRDefault="000D088F" w:rsidP="000D088F">
      <w:pPr>
        <w:rPr>
          <w:rFonts w:cstheme="minorBidi"/>
        </w:rPr>
      </w:pPr>
      <w:r w:rsidRPr="264B828B">
        <w:rPr>
          <w:rFonts w:cstheme="minorBidi"/>
        </w:rPr>
        <w:t xml:space="preserve">An MPS is a formal way of communicating the </w:t>
      </w:r>
      <w:r w:rsidR="00D225C3">
        <w:rPr>
          <w:rFonts w:cstheme="minorBidi"/>
        </w:rPr>
        <w:t>g</w:t>
      </w:r>
      <w:r w:rsidRPr="264B828B">
        <w:rPr>
          <w:rFonts w:cstheme="minorBidi"/>
        </w:rPr>
        <w:t xml:space="preserve">overnment’s policy objectives. </w:t>
      </w:r>
      <w:r w:rsidR="00DE72C0" w:rsidRPr="00DE72C0">
        <w:rPr>
          <w:rFonts w:cstheme="minorBidi"/>
        </w:rPr>
        <w:t xml:space="preserve">The power to make an MPS is a new mechanism that is intended to enable the </w:t>
      </w:r>
      <w:r w:rsidR="00717F08">
        <w:rPr>
          <w:rFonts w:cstheme="minorBidi"/>
        </w:rPr>
        <w:t>m</w:t>
      </w:r>
      <w:r w:rsidR="00DE72C0" w:rsidRPr="00DE72C0">
        <w:rPr>
          <w:rFonts w:cstheme="minorBidi"/>
        </w:rPr>
        <w:t xml:space="preserve">inister to provide high-level policy guidance to ACMA about the </w:t>
      </w:r>
      <w:r w:rsidR="00C97851">
        <w:rPr>
          <w:rFonts w:cstheme="minorBidi"/>
        </w:rPr>
        <w:t>g</w:t>
      </w:r>
      <w:r w:rsidR="00DE72C0" w:rsidRPr="00DE72C0">
        <w:rPr>
          <w:rFonts w:cstheme="minorBidi"/>
        </w:rPr>
        <w:t xml:space="preserve">overnment’s policies for spectrum management. This mechanism complements the reduction in the </w:t>
      </w:r>
      <w:r w:rsidR="00717F08">
        <w:rPr>
          <w:rFonts w:cstheme="minorBidi"/>
        </w:rPr>
        <w:t>m</w:t>
      </w:r>
      <w:r w:rsidR="00DE72C0" w:rsidRPr="00DE72C0">
        <w:rPr>
          <w:rFonts w:cstheme="minorBidi"/>
        </w:rPr>
        <w:t>inister’s process-based regulatory decision-making functions, and the overall</w:t>
      </w:r>
      <w:r w:rsidR="00C97851">
        <w:rPr>
          <w:rFonts w:cstheme="minorBidi"/>
        </w:rPr>
        <w:t>,</w:t>
      </w:r>
      <w:r w:rsidR="00DE72C0" w:rsidRPr="00DE72C0">
        <w:rPr>
          <w:rFonts w:cstheme="minorBidi"/>
        </w:rPr>
        <w:t xml:space="preserve"> more strategic role conferred on the </w:t>
      </w:r>
      <w:r w:rsidR="00717F08">
        <w:rPr>
          <w:rFonts w:cstheme="minorBidi"/>
        </w:rPr>
        <w:t>m</w:t>
      </w:r>
      <w:r w:rsidR="00DE72C0" w:rsidRPr="00DE72C0">
        <w:rPr>
          <w:rFonts w:cstheme="minorBidi"/>
        </w:rPr>
        <w:t>inister by the amendments</w:t>
      </w:r>
      <w:r w:rsidR="00DE72C0">
        <w:rPr>
          <w:rFonts w:cstheme="minorBidi"/>
        </w:rPr>
        <w:t>.</w:t>
      </w:r>
    </w:p>
    <w:p w14:paraId="402B0937" w14:textId="46C79100" w:rsidR="000D088F" w:rsidRDefault="000D088F" w:rsidP="000D088F">
      <w:pPr>
        <w:pStyle w:val="Paragraph"/>
      </w:pPr>
      <w:r>
        <w:t>The Modernisation Act provides that we must have regard to a</w:t>
      </w:r>
      <w:r w:rsidR="00B60457">
        <w:t>n</w:t>
      </w:r>
      <w:r>
        <w:t xml:space="preserve"> MPS when exercising our powers, and that we must provide a summary outline of the operation of any MPS</w:t>
      </w:r>
      <w:r w:rsidRPr="00A72808">
        <w:t xml:space="preserve"> </w:t>
      </w:r>
      <w:r>
        <w:t xml:space="preserve">in our </w:t>
      </w:r>
      <w:r w:rsidR="008303D7">
        <w:t>a</w:t>
      </w:r>
      <w:r>
        <w:t xml:space="preserve">nnual </w:t>
      </w:r>
      <w:r w:rsidR="008303D7">
        <w:t>r</w:t>
      </w:r>
      <w:r>
        <w:t xml:space="preserve">eport. Under section 14 of the </w:t>
      </w:r>
      <w:hyperlink r:id="rId28" w:history="1">
        <w:r w:rsidRPr="002F04A9">
          <w:rPr>
            <w:rStyle w:val="Hyperlink"/>
            <w:i/>
            <w:iCs/>
          </w:rPr>
          <w:t>Australian Communications and Media Authority Act 2005</w:t>
        </w:r>
      </w:hyperlink>
      <w:r>
        <w:t xml:space="preserve"> (the ACMA Act), the </w:t>
      </w:r>
      <w:r w:rsidR="00717F08">
        <w:t>m</w:t>
      </w:r>
      <w:r>
        <w:t>inister may also direct us in relation</w:t>
      </w:r>
      <w:r w:rsidRPr="00AC19A4">
        <w:t xml:space="preserve"> to the performance of </w:t>
      </w:r>
      <w:r>
        <w:t>our</w:t>
      </w:r>
      <w:r w:rsidRPr="00AC19A4">
        <w:t xml:space="preserve"> functions and the exercise of </w:t>
      </w:r>
      <w:r>
        <w:t>our</w:t>
      </w:r>
      <w:r w:rsidRPr="00AC19A4">
        <w:t xml:space="preserve"> powers.</w:t>
      </w:r>
      <w:r>
        <w:t xml:space="preserve"> Other specific directions powers are contained in the Act. However, whereas </w:t>
      </w:r>
      <w:r w:rsidR="005E58FB">
        <w:t xml:space="preserve">compliance with </w:t>
      </w:r>
      <w:r>
        <w:t xml:space="preserve">a </w:t>
      </w:r>
      <w:r w:rsidR="00C97851">
        <w:t>m</w:t>
      </w:r>
      <w:r w:rsidR="005E58FB">
        <w:t xml:space="preserve">inisterial </w:t>
      </w:r>
      <w:r>
        <w:t xml:space="preserve">direction is mandatory, </w:t>
      </w:r>
      <w:r w:rsidR="005649A1">
        <w:t xml:space="preserve">the ACMA is only required to have regard to </w:t>
      </w:r>
      <w:r>
        <w:t>a</w:t>
      </w:r>
      <w:r w:rsidR="00C97851">
        <w:t>n</w:t>
      </w:r>
      <w:r>
        <w:t xml:space="preserve"> MPS. </w:t>
      </w:r>
    </w:p>
    <w:p w14:paraId="07BFD413" w14:textId="25011112" w:rsidR="00AC150D" w:rsidRDefault="001359AA" w:rsidP="00717F08">
      <w:pPr>
        <w:pStyle w:val="Paragraph"/>
      </w:pPr>
      <w:r>
        <w:t xml:space="preserve">We </w:t>
      </w:r>
      <w:r w:rsidR="00984FFF">
        <w:t xml:space="preserve">have historically taken </w:t>
      </w:r>
      <w:r w:rsidR="00072FED">
        <w:t xml:space="preserve">into consideration </w:t>
      </w:r>
      <w:r w:rsidR="00984FFF">
        <w:t xml:space="preserve">relevant government policy </w:t>
      </w:r>
      <w:r w:rsidR="00174138">
        <w:t xml:space="preserve">as part of our general approach to planning and licensing decision-making. </w:t>
      </w:r>
      <w:r w:rsidR="0000398F">
        <w:t xml:space="preserve">Noting the purpose of </w:t>
      </w:r>
      <w:r w:rsidR="00DD74C6">
        <w:t>a</w:t>
      </w:r>
      <w:r w:rsidR="0007664C">
        <w:t>n</w:t>
      </w:r>
      <w:r w:rsidR="00DD74C6">
        <w:t xml:space="preserve"> MPS </w:t>
      </w:r>
      <w:r w:rsidR="0000398F">
        <w:t>is</w:t>
      </w:r>
      <w:r w:rsidR="00DD74C6">
        <w:t xml:space="preserve"> to</w:t>
      </w:r>
      <w:r w:rsidR="0000398F">
        <w:t xml:space="preserve"> provide a formal </w:t>
      </w:r>
      <w:r w:rsidR="00C8124A">
        <w:t xml:space="preserve">way </w:t>
      </w:r>
      <w:r w:rsidR="0000398F">
        <w:t xml:space="preserve">of communicating </w:t>
      </w:r>
      <w:r w:rsidR="00517D1B">
        <w:t xml:space="preserve">the </w:t>
      </w:r>
      <w:r w:rsidR="00D225C3">
        <w:t>g</w:t>
      </w:r>
      <w:r w:rsidR="00517D1B">
        <w:t xml:space="preserve">overnment’s policy objectives, </w:t>
      </w:r>
      <w:r w:rsidR="000509A6">
        <w:t>and that we must have regard to a</w:t>
      </w:r>
      <w:r w:rsidR="00C97851">
        <w:t>n</w:t>
      </w:r>
      <w:r w:rsidR="000509A6">
        <w:t xml:space="preserve"> MPS, </w:t>
      </w:r>
      <w:r w:rsidR="00517D1B">
        <w:t xml:space="preserve">we </w:t>
      </w:r>
      <w:r w:rsidR="00431FDF">
        <w:t xml:space="preserve">intend to </w:t>
      </w:r>
      <w:r w:rsidR="001F2D02">
        <w:t>con</w:t>
      </w:r>
      <w:r w:rsidR="000752BD">
        <w:t>sider MPS</w:t>
      </w:r>
      <w:r w:rsidR="0000398F">
        <w:t>s in a similar manner</w:t>
      </w:r>
      <w:r w:rsidR="00366AF2">
        <w:t xml:space="preserve"> </w:t>
      </w:r>
      <w:r w:rsidR="001E7E3F">
        <w:t>as part of our approach to planning and licensing regulatory decision-making, as described in Figure 1.</w:t>
      </w:r>
      <w:r w:rsidR="0000398F">
        <w:t xml:space="preserve"> </w:t>
      </w:r>
    </w:p>
    <w:p w14:paraId="1768968C" w14:textId="77777777" w:rsidR="00013D94" w:rsidRDefault="00013D94" w:rsidP="00717F08">
      <w:pPr>
        <w:keepNext/>
        <w:keepLines/>
        <w:numPr>
          <w:ilvl w:val="0"/>
          <w:numId w:val="19"/>
        </w:numPr>
        <w:spacing w:before="240" w:after="160" w:line="240" w:lineRule="auto"/>
        <w:rPr>
          <w:b/>
          <w:bCs/>
          <w:color w:val="323232"/>
          <w:szCs w:val="20"/>
        </w:rPr>
      </w:pPr>
      <w:r>
        <w:rPr>
          <w:b/>
          <w:bCs/>
          <w:color w:val="323232"/>
          <w:szCs w:val="20"/>
        </w:rPr>
        <w:lastRenderedPageBreak/>
        <w:t>Spectrum planning and licensing decisions framework</w:t>
      </w:r>
    </w:p>
    <w:bookmarkEnd w:id="1"/>
    <w:p w14:paraId="3CAD13BC" w14:textId="30B8D90B" w:rsidR="005A162C" w:rsidRDefault="001D5847" w:rsidP="005B3674">
      <w:pPr>
        <w:keepNext/>
        <w:keepLines/>
        <w:spacing w:before="240" w:after="0" w:line="240" w:lineRule="auto"/>
        <w:rPr>
          <w:b/>
          <w:bCs/>
          <w:color w:val="323232"/>
          <w:szCs w:val="20"/>
        </w:rPr>
      </w:pPr>
      <w:r>
        <w:rPr>
          <w:b/>
          <w:bCs/>
          <w:noProof/>
          <w:color w:val="323232"/>
          <w:szCs w:val="20"/>
        </w:rPr>
        <w:drawing>
          <wp:inline distT="0" distB="0" distL="0" distR="0" wp14:anchorId="3E6B5177" wp14:editId="6775D624">
            <wp:extent cx="6622042" cy="4090086"/>
            <wp:effectExtent l="0" t="0" r="7620" b="5715"/>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Diagram&#10;&#10;Description automatically generated"/>
                    <pic:cNvPicPr/>
                  </pic:nvPicPr>
                  <pic:blipFill>
                    <a:blip r:embed="rId29"/>
                    <a:stretch>
                      <a:fillRect/>
                    </a:stretch>
                  </pic:blipFill>
                  <pic:spPr>
                    <a:xfrm>
                      <a:off x="0" y="0"/>
                      <a:ext cx="6637867" cy="4099860"/>
                    </a:xfrm>
                    <a:prstGeom prst="rect">
                      <a:avLst/>
                    </a:prstGeom>
                  </pic:spPr>
                </pic:pic>
              </a:graphicData>
            </a:graphic>
          </wp:inline>
        </w:drawing>
      </w:r>
    </w:p>
    <w:p w14:paraId="00F40239" w14:textId="437CA32A" w:rsidR="001253B4" w:rsidRDefault="001253B4" w:rsidP="00717F08">
      <w:pPr>
        <w:pStyle w:val="Paragraph"/>
        <w:keepNext/>
        <w:keepLines/>
      </w:pPr>
    </w:p>
    <w:p w14:paraId="7A0E948B" w14:textId="3A86B425" w:rsidR="00EE1854" w:rsidRDefault="00B14DBC" w:rsidP="001253B4">
      <w:pPr>
        <w:pStyle w:val="Paragraph"/>
      </w:pPr>
      <w:r>
        <w:t xml:space="preserve">This paper </w:t>
      </w:r>
      <w:r w:rsidR="00C96DD8">
        <w:t xml:space="preserve">provides guidance on our </w:t>
      </w:r>
      <w:r w:rsidR="00ED5167">
        <w:t xml:space="preserve">intended </w:t>
      </w:r>
      <w:r w:rsidR="005F708D">
        <w:t>use of the</w:t>
      </w:r>
      <w:r w:rsidR="002759AB">
        <w:t xml:space="preserve"> new</w:t>
      </w:r>
      <w:r w:rsidR="0010573D">
        <w:t xml:space="preserve"> and enhanced</w:t>
      </w:r>
      <w:r w:rsidR="002759AB">
        <w:t xml:space="preserve"> discretionary licensing and allocation </w:t>
      </w:r>
      <w:r w:rsidR="00E14F6C">
        <w:t>arrangements</w:t>
      </w:r>
      <w:r w:rsidR="002759AB">
        <w:t xml:space="preserve"> </w:t>
      </w:r>
      <w:r w:rsidR="0010573D">
        <w:t xml:space="preserve">provided by </w:t>
      </w:r>
      <w:r w:rsidR="008763C8">
        <w:t xml:space="preserve">the </w:t>
      </w:r>
      <w:r w:rsidR="001D5106">
        <w:t xml:space="preserve">Modernisation Act. </w:t>
      </w:r>
      <w:r w:rsidR="0065053D">
        <w:t>We expect to consult on specific implementation</w:t>
      </w:r>
      <w:r w:rsidR="00E14F6C">
        <w:t>s</w:t>
      </w:r>
      <w:r w:rsidR="0065053D">
        <w:t xml:space="preserve"> </w:t>
      </w:r>
      <w:r w:rsidR="00EE1854">
        <w:t xml:space="preserve">and use </w:t>
      </w:r>
      <w:r w:rsidR="0065053D">
        <w:t>of the enhanced powers provided by the Modernisation Act</w:t>
      </w:r>
      <w:r w:rsidR="000838A8">
        <w:t xml:space="preserve"> </w:t>
      </w:r>
      <w:r w:rsidR="00EE1854">
        <w:t xml:space="preserve">on a </w:t>
      </w:r>
      <w:r w:rsidR="00E14F6C" w:rsidDel="00906D2D">
        <w:t>case</w:t>
      </w:r>
      <w:r w:rsidR="00906D2D">
        <w:t>-by-case</w:t>
      </w:r>
      <w:r w:rsidR="00E14F6C">
        <w:t xml:space="preserve"> basis</w:t>
      </w:r>
      <w:r w:rsidR="001F1EB5">
        <w:t>, consistent with current consultation practices</w:t>
      </w:r>
      <w:r w:rsidR="00193FCB">
        <w:t>,</w:t>
      </w:r>
      <w:r w:rsidR="00384F47">
        <w:t xml:space="preserve"> at points identified in this paper</w:t>
      </w:r>
      <w:r w:rsidR="00E14F6C" w:rsidDel="00384F47">
        <w:t>.</w:t>
      </w:r>
    </w:p>
    <w:p w14:paraId="46DC5B9E" w14:textId="131F8984" w:rsidR="00AC3FFC" w:rsidRDefault="00EE1854" w:rsidP="001253B4">
      <w:pPr>
        <w:pStyle w:val="Paragraph"/>
      </w:pPr>
      <w:r>
        <w:t>For example,</w:t>
      </w:r>
      <w:r w:rsidR="00811AD9">
        <w:t xml:space="preserve"> when consulting on planning arrangements for a particular band, </w:t>
      </w:r>
      <w:r w:rsidR="000E0A12">
        <w:t xml:space="preserve">we would expect to consult on matters such as </w:t>
      </w:r>
      <w:r w:rsidR="00EF4B7E">
        <w:t>which types of licences to make available (that is, whether to allocate the spectrum through spectrum</w:t>
      </w:r>
      <w:r w:rsidR="00490E5D">
        <w:t xml:space="preserve"> licences</w:t>
      </w:r>
      <w:r w:rsidR="00EF4B7E">
        <w:t>, apparatus</w:t>
      </w:r>
      <w:r w:rsidR="00490E5D">
        <w:t xml:space="preserve"> licences</w:t>
      </w:r>
      <w:r w:rsidR="00EF4B7E">
        <w:t>, class</w:t>
      </w:r>
      <w:r w:rsidR="00490E5D">
        <w:t xml:space="preserve"> licences</w:t>
      </w:r>
      <w:r w:rsidR="00EF4B7E">
        <w:t xml:space="preserve"> or a mixture of licences)</w:t>
      </w:r>
      <w:r>
        <w:t xml:space="preserve"> </w:t>
      </w:r>
      <w:r w:rsidR="00811AD9">
        <w:t xml:space="preserve">or the proposed </w:t>
      </w:r>
      <w:r w:rsidR="009012DC">
        <w:t xml:space="preserve">maximum </w:t>
      </w:r>
      <w:r w:rsidR="00513FC3">
        <w:t>licence term available</w:t>
      </w:r>
      <w:r w:rsidR="00811AD9">
        <w:t xml:space="preserve"> within </w:t>
      </w:r>
      <w:r w:rsidR="00EA1AA0">
        <w:t xml:space="preserve">the relevant band. </w:t>
      </w:r>
      <w:r w:rsidR="00B65F6C">
        <w:t xml:space="preserve">Other common consultation points include </w:t>
      </w:r>
      <w:r w:rsidR="00F12129">
        <w:t>during allocation and re-allocation processes</w:t>
      </w:r>
      <w:r w:rsidR="004E7468">
        <w:t xml:space="preserve">, </w:t>
      </w:r>
      <w:r w:rsidR="00210BCF">
        <w:t xml:space="preserve">as well as </w:t>
      </w:r>
      <w:r w:rsidR="00E51DBC">
        <w:t>updates to existing class licences and licence condition determinations</w:t>
      </w:r>
      <w:r w:rsidR="006E7078">
        <w:t xml:space="preserve">. </w:t>
      </w:r>
    </w:p>
    <w:p w14:paraId="71CF8816" w14:textId="31ECB41C" w:rsidR="0065053D" w:rsidRDefault="004E4FB2" w:rsidP="00866752">
      <w:pPr>
        <w:pStyle w:val="Paragraph"/>
      </w:pPr>
      <w:r>
        <w:t xml:space="preserve">We note that </w:t>
      </w:r>
      <w:r w:rsidR="00B774EC">
        <w:t xml:space="preserve">where the new licensing and allocation arrangements involve the making of a legislative instrument (for example, a re-allocation </w:t>
      </w:r>
      <w:r w:rsidR="00C664D5">
        <w:t>declaration</w:t>
      </w:r>
      <w:r w:rsidR="0016349B">
        <w:t xml:space="preserve"> or applying renewal statements to a class of spectrum or apparatus licence</w:t>
      </w:r>
      <w:r w:rsidR="00C5760D">
        <w:t>s</w:t>
      </w:r>
      <w:r w:rsidR="00C664D5">
        <w:t>)</w:t>
      </w:r>
      <w:r w:rsidR="00AC3FFC">
        <w:t xml:space="preserve">, </w:t>
      </w:r>
      <w:r w:rsidR="008414F1">
        <w:t>it is</w:t>
      </w:r>
      <w:r w:rsidR="00FC6C5F" w:rsidRPr="00FC6C5F">
        <w:t xml:space="preserve"> our disposition and obligation under the </w:t>
      </w:r>
      <w:r w:rsidR="00FC6C5F">
        <w:t>Legislation Act</w:t>
      </w:r>
      <w:r w:rsidR="00FC6C5F" w:rsidRPr="00FC6C5F">
        <w:t xml:space="preserve"> to undertake appropriate consultation on the proposal to </w:t>
      </w:r>
      <w:r w:rsidR="008414F1">
        <w:t xml:space="preserve">make </w:t>
      </w:r>
      <w:r w:rsidR="00644B34">
        <w:t>the</w:t>
      </w:r>
      <w:r w:rsidR="008414F1">
        <w:t xml:space="preserve"> instrument</w:t>
      </w:r>
      <w:r w:rsidR="00FC6C5F" w:rsidRPr="00FC6C5F">
        <w:t xml:space="preserve"> to inform our decision</w:t>
      </w:r>
      <w:r w:rsidR="00A92466">
        <w:t>-</w:t>
      </w:r>
      <w:r w:rsidR="00FC6C5F" w:rsidRPr="00FC6C5F">
        <w:t>making</w:t>
      </w:r>
      <w:r w:rsidR="00F51DE7">
        <w:t>.</w:t>
      </w:r>
      <w:r w:rsidR="00F51DE7">
        <w:rPr>
          <w:rStyle w:val="FootnoteReference"/>
        </w:rPr>
        <w:footnoteReference w:id="2"/>
      </w:r>
    </w:p>
    <w:p w14:paraId="0A372574" w14:textId="20F3F9A6" w:rsidR="009F0345" w:rsidRPr="009F0345" w:rsidRDefault="00EA1AA0" w:rsidP="00866752">
      <w:pPr>
        <w:pStyle w:val="Paragraph"/>
      </w:pPr>
      <w:r>
        <w:lastRenderedPageBreak/>
        <w:t xml:space="preserve">This </w:t>
      </w:r>
      <w:r w:rsidR="006B41BC">
        <w:t xml:space="preserve">approach </w:t>
      </w:r>
      <w:r>
        <w:t xml:space="preserve">will enable us to ensure that </w:t>
      </w:r>
      <w:r w:rsidR="002331B9">
        <w:t xml:space="preserve">the licensing and allocation arrangements for each band are fit for purpose, and to help maximise the overall public benefit </w:t>
      </w:r>
      <w:r w:rsidR="008F39AC">
        <w:t>derived</w:t>
      </w:r>
      <w:r w:rsidR="002331B9">
        <w:t xml:space="preserve"> from the spectrum. </w:t>
      </w:r>
    </w:p>
    <w:p w14:paraId="346AFA15" w14:textId="60C66CDD" w:rsidR="00F35A9A" w:rsidRDefault="00F35A9A" w:rsidP="00AB36F0">
      <w:pPr>
        <w:pStyle w:val="Heading1"/>
      </w:pPr>
      <w:bookmarkStart w:id="7" w:name="_Toc65835937"/>
      <w:r>
        <w:lastRenderedPageBreak/>
        <w:t xml:space="preserve">Licence </w:t>
      </w:r>
      <w:r w:rsidR="00122985">
        <w:t>c</w:t>
      </w:r>
      <w:r>
        <w:t>ategories</w:t>
      </w:r>
      <w:bookmarkEnd w:id="7"/>
    </w:p>
    <w:p w14:paraId="5EC8178E" w14:textId="33147F78" w:rsidR="004662F6" w:rsidRDefault="004662F6" w:rsidP="004662F6">
      <w:pPr>
        <w:pStyle w:val="Paragraph"/>
      </w:pPr>
      <w:r>
        <w:t xml:space="preserve">We develop licensing arrangements to optimise and encourage the efficient allocation and use of the spectrum, maximising the overall public benefit. </w:t>
      </w:r>
    </w:p>
    <w:p w14:paraId="54F40DF7" w14:textId="499FE0AC" w:rsidR="004662F6" w:rsidRDefault="004662F6" w:rsidP="004662F6">
      <w:pPr>
        <w:pStyle w:val="Paragraph"/>
      </w:pPr>
      <w:r w:rsidRPr="007952A3">
        <w:t xml:space="preserve">The Act provides for, and the amendments made by the Modernisation Act maintain, </w:t>
      </w:r>
      <w:r w:rsidR="00083C22">
        <w:t>3</w:t>
      </w:r>
      <w:r w:rsidR="00717F08">
        <w:t> </w:t>
      </w:r>
      <w:r w:rsidRPr="007952A3">
        <w:t>licensing c</w:t>
      </w:r>
      <w:r w:rsidR="00F35A9A">
        <w:t>ategories</w:t>
      </w:r>
      <w:r w:rsidR="00B1136E">
        <w:t xml:space="preserve"> – </w:t>
      </w:r>
      <w:r w:rsidRPr="007952A3">
        <w:t>spectrum licences, apparatus licences and class licences</w:t>
      </w:r>
      <w:r w:rsidR="00AB36F0">
        <w:t>.</w:t>
      </w:r>
      <w:r w:rsidR="00AB36F0" w:rsidDel="00C75445">
        <w:t xml:space="preserve"> </w:t>
      </w:r>
      <w:r w:rsidR="00AB36F0">
        <w:t>Di</w:t>
      </w:r>
      <w:r>
        <w:t>fferent licensing c</w:t>
      </w:r>
      <w:r w:rsidR="00F35A9A">
        <w:t>ategories</w:t>
      </w:r>
      <w:r>
        <w:t xml:space="preserve"> and associated planning, allocation and pricing elements produce core differences that affect their suitability for different scenarios.</w:t>
      </w:r>
    </w:p>
    <w:p w14:paraId="31C8ACF9" w14:textId="133C3565" w:rsidR="004662F6" w:rsidRDefault="006D3AA3" w:rsidP="004662F6">
      <w:pPr>
        <w:pStyle w:val="Paragraph"/>
      </w:pPr>
      <w:r>
        <w:t>C</w:t>
      </w:r>
      <w:r w:rsidR="004662F6">
        <w:t>hanges introduced by the Modernisation Act</w:t>
      </w:r>
      <w:r w:rsidR="00482BCC">
        <w:t xml:space="preserve"> </w:t>
      </w:r>
      <w:r w:rsidR="004662F6">
        <w:t>facilitat</w:t>
      </w:r>
      <w:r w:rsidR="00D8282A">
        <w:t>e</w:t>
      </w:r>
      <w:r w:rsidR="004662F6">
        <w:t xml:space="preserve"> increased flexibility in selecting the appropriate licensing arrangements </w:t>
      </w:r>
      <w:r w:rsidR="00C645DD">
        <w:t>to support different spectrum use cases</w:t>
      </w:r>
      <w:r w:rsidR="004662F6">
        <w:t>. Relevant changes introduced by the Modernisation Act include longer licence duration and the ability</w:t>
      </w:r>
      <w:r w:rsidR="001042D4">
        <w:t xml:space="preserve"> of the ACMA</w:t>
      </w:r>
      <w:r w:rsidR="004662F6">
        <w:t xml:space="preserve"> to</w:t>
      </w:r>
      <w:r w:rsidR="004662F6" w:rsidRPr="00FF5328">
        <w:t xml:space="preserve"> choose whether particular parts of the spectrum should be subject to spectrum licensing</w:t>
      </w:r>
      <w:r w:rsidR="002E23E6">
        <w:t>,</w:t>
      </w:r>
      <w:r w:rsidR="004662F6" w:rsidRPr="00FF5328">
        <w:t xml:space="preserve"> apparatus </w:t>
      </w:r>
      <w:r w:rsidR="004662F6">
        <w:t>licensing</w:t>
      </w:r>
      <w:r w:rsidR="002E23E6">
        <w:t>, or both</w:t>
      </w:r>
      <w:r w:rsidR="004662F6">
        <w:t xml:space="preserve">. </w:t>
      </w:r>
    </w:p>
    <w:p w14:paraId="6973B8F0" w14:textId="38BA0859" w:rsidR="00323982" w:rsidRDefault="00323982" w:rsidP="004662F6">
      <w:pPr>
        <w:pStyle w:val="Paragraph"/>
      </w:pPr>
      <w:r>
        <w:t xml:space="preserve">This section sets out the considerations </w:t>
      </w:r>
      <w:r w:rsidR="00E85496">
        <w:t>we</w:t>
      </w:r>
      <w:r>
        <w:t xml:space="preserve"> may have regard to when identifying whether particular spectrum should be subject to spectrum licensing, apparatus licensing or class licensing.</w:t>
      </w:r>
      <w:r w:rsidRPr="00E638B5">
        <w:t xml:space="preserve"> </w:t>
      </w:r>
    </w:p>
    <w:p w14:paraId="1A6E5676" w14:textId="3BDB17E1" w:rsidR="00E23B71" w:rsidRDefault="00E23B71" w:rsidP="004662F6">
      <w:pPr>
        <w:pStyle w:val="Paragraph"/>
      </w:pPr>
      <w:r>
        <w:t xml:space="preserve">A table comparing the core characteristics of each licensing category </w:t>
      </w:r>
      <w:r w:rsidR="00BF2AA7">
        <w:t>is</w:t>
      </w:r>
      <w:r>
        <w:t xml:space="preserve"> provided at </w:t>
      </w:r>
      <w:hyperlink w:anchor="_Appendix_A:_Licence" w:history="1">
        <w:r w:rsidRPr="00B1136E">
          <w:rPr>
            <w:rStyle w:val="Hyperlink"/>
          </w:rPr>
          <w:t>Appendix A</w:t>
        </w:r>
      </w:hyperlink>
      <w:r>
        <w:t xml:space="preserve">. </w:t>
      </w:r>
    </w:p>
    <w:p w14:paraId="59528667" w14:textId="77777777" w:rsidR="006D121A" w:rsidRPr="00AE383B" w:rsidRDefault="006D121A" w:rsidP="006D121A">
      <w:pPr>
        <w:pStyle w:val="Heading2"/>
      </w:pPr>
      <w:bookmarkStart w:id="8" w:name="_Toc62643658"/>
      <w:bookmarkStart w:id="9" w:name="_Toc62643750"/>
      <w:bookmarkStart w:id="10" w:name="_Toc65835938"/>
      <w:r w:rsidRPr="00AE383B">
        <w:t>Relevant legislative provisions</w:t>
      </w:r>
      <w:bookmarkEnd w:id="8"/>
      <w:bookmarkEnd w:id="9"/>
      <w:bookmarkEnd w:id="10"/>
    </w:p>
    <w:p w14:paraId="60C76DDC" w14:textId="0749BE6C" w:rsidR="00B1136E" w:rsidRDefault="00B1136E" w:rsidP="008F629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br/>
      </w:r>
      <w:r w:rsidRPr="00E12467">
        <w:t xml:space="preserve">Section 62 of the Act enables the ACMA to issue a spectrum licence </w:t>
      </w:r>
      <w:r w:rsidR="00F74E5B">
        <w:t xml:space="preserve">allocated </w:t>
      </w:r>
      <w:r w:rsidRPr="00E12467">
        <w:t>in accordance with procedures determined under section 60 of the Act</w:t>
      </w:r>
      <w:r w:rsidR="002D40C9">
        <w:t xml:space="preserve"> as amended</w:t>
      </w:r>
      <w:r w:rsidRPr="00E12467">
        <w:t>, including via auction, tender, pre-determined or negotiated price, or direct allocation</w:t>
      </w:r>
      <w:r>
        <w:t>.</w:t>
      </w:r>
    </w:p>
    <w:p w14:paraId="26D89D32" w14:textId="320F7F53" w:rsidR="00B1136E" w:rsidRDefault="00B1136E" w:rsidP="008F629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E383B">
        <w:t xml:space="preserve">Section 100 </w:t>
      </w:r>
      <w:r>
        <w:t xml:space="preserve">of the Act enables the ACMA to issue an </w:t>
      </w:r>
      <w:r w:rsidRPr="00AE383B">
        <w:t>apparatus licence</w:t>
      </w:r>
      <w:r>
        <w:t>.</w:t>
      </w:r>
    </w:p>
    <w:p w14:paraId="0D3E68E9" w14:textId="179454DE" w:rsidR="008F6294" w:rsidRPr="00D635F8" w:rsidRDefault="008F6294" w:rsidP="008F629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D635F8">
        <w:t xml:space="preserve">Subsection 98(1) </w:t>
      </w:r>
      <w:r>
        <w:t>of the Act enables the ACMA to,</w:t>
      </w:r>
      <w:r w:rsidRPr="00D635F8">
        <w:t xml:space="preserve"> by legislative instrument, determine the types of transmitter licences and the types of receiver licences </w:t>
      </w:r>
      <w:r w:rsidR="00B962FE">
        <w:t xml:space="preserve">(that is, apparatus licences) </w:t>
      </w:r>
      <w:r w:rsidRPr="00D635F8">
        <w:t>that it may issue</w:t>
      </w:r>
      <w:r w:rsidR="00362FA5">
        <w:t>.</w:t>
      </w:r>
    </w:p>
    <w:p w14:paraId="75F32E26" w14:textId="19EDFEED" w:rsidR="008F6294" w:rsidRPr="00AE383B" w:rsidRDefault="008F6294" w:rsidP="006D121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D635F8">
        <w:t xml:space="preserve">Subsection 98(2) </w:t>
      </w:r>
      <w:r>
        <w:t>of the Act as amended enables</w:t>
      </w:r>
      <w:r w:rsidRPr="00D635F8">
        <w:t xml:space="preserve"> the ACMA </w:t>
      </w:r>
      <w:r w:rsidR="009E2714">
        <w:t>to</w:t>
      </w:r>
      <w:r w:rsidR="009E2714" w:rsidRPr="00D635F8">
        <w:t xml:space="preserve"> </w:t>
      </w:r>
      <w:r w:rsidRPr="00D635F8">
        <w:t>issue an apparatus licence of a non-specified type</w:t>
      </w:r>
      <w:r w:rsidR="00362FA5">
        <w:t>.</w:t>
      </w:r>
    </w:p>
    <w:p w14:paraId="45CA060C" w14:textId="00C67584" w:rsidR="006D121A" w:rsidRPr="00AE383B" w:rsidRDefault="006D121A" w:rsidP="006D121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rPr>
          <w:b/>
        </w:rPr>
      </w:pPr>
      <w:r w:rsidRPr="00AE383B">
        <w:t xml:space="preserve">Section 132 </w:t>
      </w:r>
      <w:r w:rsidR="008F6294">
        <w:t>of the Act enables the ACMA</w:t>
      </w:r>
      <w:r w:rsidR="0012095B">
        <w:t>, by legislative instrument</w:t>
      </w:r>
      <w:r w:rsidR="0067005C">
        <w:t>,</w:t>
      </w:r>
      <w:r w:rsidR="008F6294">
        <w:t xml:space="preserve"> to issue a </w:t>
      </w:r>
      <w:r w:rsidRPr="00AE383B">
        <w:t>class licence</w:t>
      </w:r>
      <w:r w:rsidR="00362FA5">
        <w:t>.</w:t>
      </w:r>
      <w:r w:rsidRPr="00AE383B">
        <w:rPr>
          <w:b/>
        </w:rPr>
        <w:br/>
      </w:r>
    </w:p>
    <w:p w14:paraId="0759C2BD" w14:textId="77777777" w:rsidR="006D121A" w:rsidRPr="00931EFC" w:rsidRDefault="006D121A" w:rsidP="006D121A">
      <w:pPr>
        <w:pStyle w:val="Heading2"/>
      </w:pPr>
      <w:bookmarkStart w:id="11" w:name="_Toc62643659"/>
      <w:bookmarkStart w:id="12" w:name="_Toc62643751"/>
      <w:bookmarkStart w:id="13" w:name="_Toc65835939"/>
      <w:r w:rsidRPr="00931EFC">
        <w:t>Key decisions</w:t>
      </w:r>
      <w:bookmarkEnd w:id="11"/>
      <w:bookmarkEnd w:id="12"/>
      <w:bookmarkEnd w:id="13"/>
      <w:r w:rsidRPr="00931EFC">
        <w:t xml:space="preserve"> </w:t>
      </w:r>
    </w:p>
    <w:p w14:paraId="498B0BBE" w14:textId="5FF16974" w:rsidR="00195E61" w:rsidRDefault="0050207C" w:rsidP="006D121A">
      <w:pPr>
        <w:pStyle w:val="Bulletlevel1"/>
      </w:pPr>
      <w:r>
        <w:rPr>
          <w:b/>
          <w:bCs/>
        </w:rPr>
        <w:t xml:space="preserve">Licence issue </w:t>
      </w:r>
      <w:r w:rsidRPr="00B1136E">
        <w:rPr>
          <w:b/>
          <w:bCs/>
        </w:rPr>
        <w:t>–</w:t>
      </w:r>
      <w:r>
        <w:rPr>
          <w:b/>
          <w:bCs/>
        </w:rPr>
        <w:t xml:space="preserve"> </w:t>
      </w:r>
      <w:r>
        <w:t>we may</w:t>
      </w:r>
      <w:r w:rsidR="00C503A2">
        <w:t xml:space="preserve"> issue</w:t>
      </w:r>
      <w:r w:rsidR="00195E61">
        <w:t xml:space="preserve"> </w:t>
      </w:r>
      <w:r w:rsidR="00AD128D">
        <w:t xml:space="preserve">spectrum, apparatus </w:t>
      </w:r>
      <w:r w:rsidR="00A44909">
        <w:t>and</w:t>
      </w:r>
      <w:r w:rsidR="00AD128D">
        <w:t xml:space="preserve"> class licence</w:t>
      </w:r>
      <w:r w:rsidR="00A44909">
        <w:t>s</w:t>
      </w:r>
      <w:r w:rsidR="00B1136E">
        <w:t>.</w:t>
      </w:r>
    </w:p>
    <w:p w14:paraId="19908323" w14:textId="58622176" w:rsidR="006D121A" w:rsidRPr="00931EFC" w:rsidRDefault="0050207C" w:rsidP="006D121A">
      <w:pPr>
        <w:pStyle w:val="Bulletlevel1"/>
      </w:pPr>
      <w:r>
        <w:rPr>
          <w:b/>
          <w:bCs/>
        </w:rPr>
        <w:t xml:space="preserve">Apparatus licence ‘types’ – </w:t>
      </w:r>
      <w:r>
        <w:t xml:space="preserve">we may determine </w:t>
      </w:r>
      <w:r w:rsidR="00A44909">
        <w:t>types of apparatus licences</w:t>
      </w:r>
      <w:r w:rsidR="00B1136E">
        <w:t>.</w:t>
      </w:r>
    </w:p>
    <w:p w14:paraId="4EA154C0" w14:textId="4B676387" w:rsidR="00512BB3" w:rsidRDefault="0050207C" w:rsidP="00512BB3">
      <w:pPr>
        <w:pStyle w:val="Bulletlevel1last"/>
      </w:pPr>
      <w:r>
        <w:rPr>
          <w:b/>
          <w:bCs/>
        </w:rPr>
        <w:t xml:space="preserve">Apparatus licences of an unspecified type </w:t>
      </w:r>
      <w:r>
        <w:t>– we may issue</w:t>
      </w:r>
      <w:r w:rsidR="006D121A" w:rsidRPr="00931EFC">
        <w:t xml:space="preserve"> an apparatus licence not of a determined type</w:t>
      </w:r>
      <w:r w:rsidR="00B1136E">
        <w:t>.</w:t>
      </w:r>
    </w:p>
    <w:p w14:paraId="7AA0AA0A" w14:textId="0840EFA1" w:rsidR="004662F6" w:rsidRDefault="00B1136E" w:rsidP="00866752">
      <w:pPr>
        <w:pStyle w:val="Heading2"/>
        <w:keepNext w:val="0"/>
      </w:pPr>
      <w:bookmarkStart w:id="14" w:name="_Toc65835940"/>
      <w:r>
        <w:t xml:space="preserve">How </w:t>
      </w:r>
      <w:r w:rsidR="004662F6">
        <w:t>we identify appropriate licensing arrangements</w:t>
      </w:r>
      <w:bookmarkEnd w:id="14"/>
    </w:p>
    <w:p w14:paraId="00A83CD2" w14:textId="565BEFD7" w:rsidR="004662F6" w:rsidRDefault="004662F6" w:rsidP="00866752">
      <w:pPr>
        <w:pStyle w:val="Paragraph"/>
      </w:pPr>
      <w:r>
        <w:t xml:space="preserve">In identifying the most appropriate licensing arrangements for </w:t>
      </w:r>
      <w:r w:rsidR="0073464F">
        <w:t>particular spectrum uses</w:t>
      </w:r>
      <w:r>
        <w:t xml:space="preserve">, we seek to balance providing predictability to users regarding their proposed or </w:t>
      </w:r>
      <w:r>
        <w:lastRenderedPageBreak/>
        <w:t>ongoing use of the spectrum with flexibility to change how spectrum is used over time. We therefore consider that it is important that the choice of licensing arrangements is considered in the context of the contemporary technology uses and spectrum band characteristics.</w:t>
      </w:r>
    </w:p>
    <w:p w14:paraId="5131E914" w14:textId="77777777" w:rsidR="004662F6" w:rsidRDefault="004662F6" w:rsidP="00C15288">
      <w:pPr>
        <w:pStyle w:val="Paragraphbeforelist"/>
      </w:pPr>
      <w:r>
        <w:t>When deciding whether a band or use-case should be spectrum, apparatus or class licensed, we consider several key factors including:</w:t>
      </w:r>
    </w:p>
    <w:p w14:paraId="02C7853A" w14:textId="49CDF7FF" w:rsidR="004662F6" w:rsidRDefault="004662F6" w:rsidP="0041181B">
      <w:pPr>
        <w:pStyle w:val="Bulletlevel1"/>
      </w:pPr>
      <w:r w:rsidRPr="52405BD1">
        <w:rPr>
          <w:b/>
          <w:bCs/>
        </w:rPr>
        <w:t>Nature of user(s)</w:t>
      </w:r>
      <w:r>
        <w:t xml:space="preserve"> </w:t>
      </w:r>
      <w:r w:rsidRPr="00C15288">
        <w:rPr>
          <w:b/>
          <w:bCs/>
        </w:rPr>
        <w:t>–</w:t>
      </w:r>
      <w:r>
        <w:t xml:space="preserve"> type of use expected such as ubiquitous use by ‘unaware’ users (for example, </w:t>
      </w:r>
      <w:r w:rsidR="007108E0">
        <w:t>w</w:t>
      </w:r>
      <w:r>
        <w:t>i-</w:t>
      </w:r>
      <w:r w:rsidR="007108E0">
        <w:t>f</w:t>
      </w:r>
      <w:r>
        <w:t>i) versus ‘aware’ users/licensees</w:t>
      </w:r>
      <w:r w:rsidR="00B1136E">
        <w:t>.</w:t>
      </w:r>
    </w:p>
    <w:p w14:paraId="3B4EC2A9" w14:textId="69A954FF" w:rsidR="004662F6" w:rsidRDefault="004662F6" w:rsidP="0041181B">
      <w:pPr>
        <w:pStyle w:val="Bulletlevel1"/>
      </w:pPr>
      <w:r w:rsidRPr="004A0A5A">
        <w:rPr>
          <w:b/>
          <w:bCs/>
        </w:rPr>
        <w:t>Expected use cases</w:t>
      </w:r>
      <w:r>
        <w:t xml:space="preserve"> </w:t>
      </w:r>
      <w:r w:rsidRPr="00C15288">
        <w:rPr>
          <w:b/>
          <w:bCs/>
        </w:rPr>
        <w:t>–</w:t>
      </w:r>
      <w:r>
        <w:t xml:space="preserve"> scale of expected deployment and associated investment</w:t>
      </w:r>
      <w:r w:rsidR="00B1136E">
        <w:t> </w:t>
      </w:r>
      <w:r>
        <w:t>decisions</w:t>
      </w:r>
      <w:r w:rsidR="00B1136E">
        <w:t xml:space="preserve">. </w:t>
      </w:r>
    </w:p>
    <w:p w14:paraId="578E96E7" w14:textId="202E9EBE" w:rsidR="004662F6" w:rsidRDefault="004662F6" w:rsidP="00C15288">
      <w:pPr>
        <w:pStyle w:val="Bulletlevel1"/>
      </w:pPr>
      <w:r w:rsidRPr="6B1E33C4">
        <w:rPr>
          <w:b/>
          <w:bCs/>
        </w:rPr>
        <w:t>Technical coexistence and interference management</w:t>
      </w:r>
      <w:r>
        <w:t xml:space="preserve"> </w:t>
      </w:r>
      <w:r w:rsidRPr="00C15288">
        <w:rPr>
          <w:b/>
          <w:bCs/>
        </w:rPr>
        <w:t>–</w:t>
      </w:r>
      <w:r>
        <w:t xml:space="preserve"> how technical coexistence is achieved, for example conditions on the characteristics and operation of devices, coordination of devices and services, and licence boundary</w:t>
      </w:r>
      <w:r w:rsidR="00B1136E">
        <w:t> </w:t>
      </w:r>
      <w:r>
        <w:t>conditions</w:t>
      </w:r>
      <w:r w:rsidR="00B1136E">
        <w:t xml:space="preserve">. </w:t>
      </w:r>
    </w:p>
    <w:p w14:paraId="143FEDAB" w14:textId="5896EB45" w:rsidR="004662F6" w:rsidRDefault="004662F6" w:rsidP="004662F6">
      <w:pPr>
        <w:pStyle w:val="ListBullet"/>
      </w:pPr>
      <w:r w:rsidRPr="6B1E33C4">
        <w:rPr>
          <w:b/>
          <w:bCs/>
        </w:rPr>
        <w:t xml:space="preserve">Predictability and exclusivity of access </w:t>
      </w:r>
      <w:r w:rsidRPr="00C15288">
        <w:rPr>
          <w:b/>
          <w:bCs/>
        </w:rPr>
        <w:t>–</w:t>
      </w:r>
      <w:r>
        <w:t xml:space="preserve"> different licensee investment timeframes (influenced by geographic coverage and technological development) that guide the level of exclusivity and type of licensing/regulatory predictability </w:t>
      </w:r>
      <w:r w:rsidR="0053375A">
        <w:t xml:space="preserve">sought </w:t>
      </w:r>
      <w:r>
        <w:t>by licensees</w:t>
      </w:r>
      <w:r w:rsidR="00B1136E">
        <w:t xml:space="preserve">. </w:t>
      </w:r>
    </w:p>
    <w:p w14:paraId="738D731D" w14:textId="5C771528" w:rsidR="004662F6" w:rsidRDefault="004662F6" w:rsidP="004662F6">
      <w:pPr>
        <w:pStyle w:val="ListBullet"/>
      </w:pPr>
      <w:r w:rsidRPr="6B1E33C4">
        <w:rPr>
          <w:b/>
          <w:bCs/>
        </w:rPr>
        <w:t>Allocation</w:t>
      </w:r>
      <w:r>
        <w:t xml:space="preserve"> </w:t>
      </w:r>
      <w:r w:rsidRPr="00C15288">
        <w:rPr>
          <w:b/>
          <w:bCs/>
        </w:rPr>
        <w:t>–</w:t>
      </w:r>
      <w:r>
        <w:t xml:space="preserve"> suitability of different allocation methods, including consideration of price</w:t>
      </w:r>
      <w:r w:rsidR="007E5306">
        <w:t>-</w:t>
      </w:r>
      <w:r>
        <w:t>based and administrative allocation, as well as whether licences should be available on an ongoing basis</w:t>
      </w:r>
      <w:r w:rsidR="00B1136E">
        <w:t>.</w:t>
      </w:r>
      <w:r>
        <w:t xml:space="preserve"> </w:t>
      </w:r>
    </w:p>
    <w:p w14:paraId="7620C290" w14:textId="2AB9DDAF" w:rsidR="004662F6" w:rsidRDefault="004662F6" w:rsidP="004662F6">
      <w:pPr>
        <w:pStyle w:val="ListBullet"/>
      </w:pPr>
      <w:r w:rsidRPr="6B1E33C4">
        <w:rPr>
          <w:b/>
          <w:bCs/>
        </w:rPr>
        <w:t>Flexibility and spectral efficiency</w:t>
      </w:r>
      <w:r>
        <w:t xml:space="preserve"> </w:t>
      </w:r>
      <w:r w:rsidR="005A01D5" w:rsidRPr="00C15288">
        <w:rPr>
          <w:b/>
          <w:bCs/>
        </w:rPr>
        <w:t>–</w:t>
      </w:r>
      <w:r>
        <w:t xml:space="preserve"> consideration of </w:t>
      </w:r>
      <w:r w:rsidR="000802C7">
        <w:t xml:space="preserve">the </w:t>
      </w:r>
      <w:r>
        <w:t>appropriate level of flexibility for users and the overall spectral efficiency desired by industry and the</w:t>
      </w:r>
      <w:r w:rsidR="00B1136E">
        <w:t> </w:t>
      </w:r>
      <w:r>
        <w:t>ACMA</w:t>
      </w:r>
      <w:r w:rsidR="00B1136E">
        <w:t xml:space="preserve">. </w:t>
      </w:r>
    </w:p>
    <w:p w14:paraId="61D50419" w14:textId="264CD1A5" w:rsidR="004662F6" w:rsidRDefault="004662F6" w:rsidP="0041181B">
      <w:pPr>
        <w:pStyle w:val="Bulletlevel1last"/>
      </w:pPr>
      <w:r w:rsidRPr="6B1E33C4">
        <w:rPr>
          <w:b/>
          <w:bCs/>
        </w:rPr>
        <w:t>Government policy objectives</w:t>
      </w:r>
      <w:r>
        <w:t xml:space="preserve"> </w:t>
      </w:r>
      <w:r w:rsidRPr="00C15288">
        <w:rPr>
          <w:b/>
          <w:bCs/>
        </w:rPr>
        <w:t>–</w:t>
      </w:r>
      <w:r>
        <w:t xml:space="preserve"> whether any broader policy objectives, including </w:t>
      </w:r>
      <w:r w:rsidR="0067005C">
        <w:t xml:space="preserve">those in </w:t>
      </w:r>
      <w:r>
        <w:t>MPS</w:t>
      </w:r>
      <w:r w:rsidR="006D751E">
        <w:t>s</w:t>
      </w:r>
      <w:r>
        <w:t xml:space="preserve">, can be facilitated through particular frameworks, allocations, or licensing </w:t>
      </w:r>
      <w:r w:rsidR="007F2EA2">
        <w:t>categories</w:t>
      </w:r>
      <w:r w:rsidR="00B1136E">
        <w:t xml:space="preserve">. </w:t>
      </w:r>
    </w:p>
    <w:p w14:paraId="440B219A" w14:textId="1D5396E8" w:rsidR="004662F6" w:rsidRDefault="004662F6" w:rsidP="004662F6">
      <w:pPr>
        <w:pStyle w:val="Paragraph"/>
      </w:pPr>
      <w:r>
        <w:t xml:space="preserve">We note that in some cases, it may be appropriate to use hybrid licensing approaches, with a mixture of apparatus, class and spectrum licensing to </w:t>
      </w:r>
      <w:r w:rsidR="007B7D81">
        <w:t xml:space="preserve">support multiple uses </w:t>
      </w:r>
      <w:r w:rsidR="00D41D48">
        <w:t>by a range of different</w:t>
      </w:r>
      <w:r>
        <w:t xml:space="preserve"> users and optimise the use of the spectrum across a band and in different geographical regions. </w:t>
      </w:r>
    </w:p>
    <w:p w14:paraId="0F0A17FF" w14:textId="7E064912" w:rsidR="004662F6" w:rsidRPr="00C10027" w:rsidRDefault="00D41D48" w:rsidP="004662F6">
      <w:pPr>
        <w:pStyle w:val="Heading2"/>
        <w:rPr>
          <w:b w:val="0"/>
          <w:bCs w:val="0"/>
          <w:iCs w:val="0"/>
        </w:rPr>
      </w:pPr>
      <w:bookmarkStart w:id="15" w:name="_Toc65835941"/>
      <w:r>
        <w:t>When s</w:t>
      </w:r>
      <w:r w:rsidR="004662F6" w:rsidRPr="00C10027">
        <w:t>pectrum licensing</w:t>
      </w:r>
      <w:r>
        <w:t xml:space="preserve"> </w:t>
      </w:r>
      <w:r w:rsidR="006B4F3B">
        <w:t xml:space="preserve">is </w:t>
      </w:r>
      <w:r>
        <w:t>appropriate</w:t>
      </w:r>
      <w:bookmarkEnd w:id="15"/>
    </w:p>
    <w:p w14:paraId="11475440" w14:textId="377A5DC3" w:rsidR="004662F6" w:rsidRPr="00C10027" w:rsidRDefault="004662F6" w:rsidP="004662F6">
      <w:pPr>
        <w:rPr>
          <w:rFonts w:cs="Arial"/>
        </w:rPr>
      </w:pPr>
      <w:r w:rsidRPr="00C10027">
        <w:rPr>
          <w:rFonts w:cs="Arial"/>
        </w:rPr>
        <w:t xml:space="preserve">Spectrum licences have broadly been used to authorise the use of high value spectrum over large geographic areas to support services such as wireless broadband. </w:t>
      </w:r>
      <w:r>
        <w:rPr>
          <w:rFonts w:cs="Arial"/>
        </w:rPr>
        <w:t>This stems from the</w:t>
      </w:r>
      <w:r w:rsidRPr="00C10027">
        <w:rPr>
          <w:rFonts w:cs="Arial"/>
        </w:rPr>
        <w:t xml:space="preserve"> Act provid</w:t>
      </w:r>
      <w:r>
        <w:rPr>
          <w:rFonts w:cs="Arial"/>
        </w:rPr>
        <w:t>ing</w:t>
      </w:r>
      <w:r w:rsidRPr="00C10027">
        <w:rPr>
          <w:rFonts w:cs="Arial"/>
        </w:rPr>
        <w:t xml:space="preserve"> spectrum licensees with a high degree of exclusivity and certainty, making the licence type suited to supporting scenarios where licensees have long</w:t>
      </w:r>
      <w:r w:rsidR="00071567">
        <w:rPr>
          <w:rFonts w:cs="Arial"/>
        </w:rPr>
        <w:t>-</w:t>
      </w:r>
      <w:r w:rsidRPr="00C10027">
        <w:rPr>
          <w:rFonts w:cs="Arial"/>
        </w:rPr>
        <w:t xml:space="preserve">term investment requirements. </w:t>
      </w:r>
    </w:p>
    <w:p w14:paraId="2A02C78F" w14:textId="6C6BDDD9" w:rsidR="004662F6" w:rsidRDefault="004662F6" w:rsidP="00866752">
      <w:pPr>
        <w:pStyle w:val="Paragraphbeforelist"/>
      </w:pPr>
      <w:r>
        <w:t>Spectrum licences provide long</w:t>
      </w:r>
      <w:r w:rsidR="00071567">
        <w:t>-</w:t>
      </w:r>
      <w:r>
        <w:t xml:space="preserve">term investment certainty to licensees through: </w:t>
      </w:r>
    </w:p>
    <w:p w14:paraId="47AE8633" w14:textId="22877FA5" w:rsidR="004662F6" w:rsidRDefault="004662F6" w:rsidP="00866752">
      <w:pPr>
        <w:pStyle w:val="Bulletlevel1"/>
      </w:pPr>
      <w:r w:rsidRPr="002F0010">
        <w:rPr>
          <w:b/>
          <w:bCs/>
        </w:rPr>
        <w:t>Long</w:t>
      </w:r>
      <w:r w:rsidR="00071567" w:rsidRPr="002F0010">
        <w:rPr>
          <w:b/>
          <w:bCs/>
        </w:rPr>
        <w:t>-</w:t>
      </w:r>
      <w:r w:rsidRPr="002F0010">
        <w:rPr>
          <w:b/>
          <w:bCs/>
        </w:rPr>
        <w:t>term licence duration –</w:t>
      </w:r>
      <w:r>
        <w:t xml:space="preserve"> may be issued for periods of up to 20 years, with compensation or an agreement required to resume a spectrum licence prior to expiration</w:t>
      </w:r>
      <w:r w:rsidR="00071567">
        <w:t>.</w:t>
      </w:r>
      <w:r>
        <w:rPr>
          <w:rStyle w:val="FootnoteReference"/>
        </w:rPr>
        <w:footnoteReference w:id="3"/>
      </w:r>
    </w:p>
    <w:p w14:paraId="0D5F36C9" w14:textId="2EBF3745" w:rsidR="004662F6" w:rsidRDefault="004662F6" w:rsidP="00866752">
      <w:pPr>
        <w:pStyle w:val="Bulletlevel1"/>
      </w:pPr>
      <w:r w:rsidRPr="002F0010">
        <w:rPr>
          <w:b/>
          <w:bCs/>
        </w:rPr>
        <w:t xml:space="preserve">Protection from </w:t>
      </w:r>
      <w:r w:rsidR="0067005C">
        <w:rPr>
          <w:b/>
          <w:bCs/>
        </w:rPr>
        <w:t xml:space="preserve">some </w:t>
      </w:r>
      <w:r w:rsidRPr="002F0010">
        <w:rPr>
          <w:b/>
          <w:bCs/>
        </w:rPr>
        <w:t>licence variation –</w:t>
      </w:r>
      <w:r>
        <w:t xml:space="preserve"> we may only modify a spectrum licence’s core conditions, such as frequencies and geographic areas in which </w:t>
      </w:r>
      <w:r>
        <w:lastRenderedPageBreak/>
        <w:t xml:space="preserve">operation of radiocommunications is authorised, </w:t>
      </w:r>
      <w:r w:rsidR="0067005C">
        <w:t xml:space="preserve">and generally may only modify a spectrum licence’s renewal statement, </w:t>
      </w:r>
      <w:r>
        <w:t>in agreement with the licensee</w:t>
      </w:r>
      <w:r w:rsidR="00071567">
        <w:t>.</w:t>
      </w:r>
    </w:p>
    <w:p w14:paraId="18C571D9" w14:textId="7AC2EF2E" w:rsidR="004662F6" w:rsidRDefault="004662F6" w:rsidP="00866752">
      <w:pPr>
        <w:pStyle w:val="Bulletlevel1"/>
      </w:pPr>
      <w:r w:rsidRPr="002F0010">
        <w:rPr>
          <w:b/>
          <w:bCs/>
        </w:rPr>
        <w:t>Limitations on subsequent licences –</w:t>
      </w:r>
      <w:r>
        <w:t xml:space="preserve"> we are generally restricted from issuing subsequent </w:t>
      </w:r>
      <w:r w:rsidR="0067005C">
        <w:t xml:space="preserve">spectrum, </w:t>
      </w:r>
      <w:r>
        <w:t>apparatus or class licences that would overlap with the frequency or geography authorised by an existing spectrum licence, or where a marketing plan is in force for that part of the spectrum, unless specified circumstances and requirements are met</w:t>
      </w:r>
      <w:r w:rsidR="00071567">
        <w:t>.</w:t>
      </w:r>
      <w:r w:rsidRPr="00C10027">
        <w:rPr>
          <w:vertAlign w:val="superscript"/>
        </w:rPr>
        <w:footnoteReference w:id="4"/>
      </w:r>
    </w:p>
    <w:p w14:paraId="69AD477A" w14:textId="2961E313" w:rsidR="004662F6" w:rsidRDefault="004662F6" w:rsidP="004662F6">
      <w:pPr>
        <w:pStyle w:val="Bulletlevel1"/>
      </w:pPr>
      <w:r w:rsidRPr="002F0010">
        <w:rPr>
          <w:b/>
          <w:bCs/>
        </w:rPr>
        <w:t>Renewal statements –</w:t>
      </w:r>
      <w:r>
        <w:t xml:space="preserve"> spectrum licences must include renewal statements that set out whether, and under what circumstances, we would renew a spectrum licence.</w:t>
      </w:r>
      <w:r w:rsidDel="00C64749">
        <w:t xml:space="preserve"> </w:t>
      </w:r>
      <w:r w:rsidR="00C64749">
        <w:t>R</w:t>
      </w:r>
      <w:r>
        <w:t>enewal statements provide long</w:t>
      </w:r>
      <w:r w:rsidR="00071567">
        <w:t>-</w:t>
      </w:r>
      <w:r>
        <w:t>term transparency and predictability around timeframes and prospect of renewal</w:t>
      </w:r>
      <w:r w:rsidR="00071567">
        <w:t>.</w:t>
      </w:r>
      <w:r w:rsidR="00303F40">
        <w:t xml:space="preserve"> S</w:t>
      </w:r>
      <w:r w:rsidR="00EF37F3">
        <w:t xml:space="preserve">ome spectrum licences (for example, spectrum licence in force prior to commencement) </w:t>
      </w:r>
      <w:r w:rsidR="00F56902">
        <w:t xml:space="preserve">are exempt from including a renewal statement. </w:t>
      </w:r>
    </w:p>
    <w:p w14:paraId="379C159F" w14:textId="432EDBDA" w:rsidR="004662F6" w:rsidRDefault="004662F6" w:rsidP="004662F6">
      <w:pPr>
        <w:pStyle w:val="Bulletlevel1"/>
      </w:pPr>
      <w:r w:rsidRPr="002F0010">
        <w:rPr>
          <w:b/>
          <w:bCs/>
        </w:rPr>
        <w:t>Technology-flexible frameworks –</w:t>
      </w:r>
      <w:r>
        <w:t xml:space="preserve"> spectrum licences are commonly subject to technology-flexible frameworks, enabling multiple generations of technology to be deployed under a single licence, thereby allowing licensees to repurpose spectrum and encourage the maximisation of the public benefit derived from its use</w:t>
      </w:r>
      <w:r w:rsidR="00071567">
        <w:t>.</w:t>
      </w:r>
    </w:p>
    <w:p w14:paraId="79F649BA" w14:textId="7BB6F6B6" w:rsidR="004662F6" w:rsidRPr="00E92F1D" w:rsidRDefault="004662F6" w:rsidP="004662F6">
      <w:pPr>
        <w:pStyle w:val="Bulletlevel1last"/>
      </w:pPr>
      <w:r w:rsidRPr="002F0010">
        <w:rPr>
          <w:b/>
          <w:bCs/>
        </w:rPr>
        <w:t>Secondary trading and leasing –</w:t>
      </w:r>
      <w:r>
        <w:t xml:space="preserve"> as with certain types of apparatus licences, spectrum licences </w:t>
      </w:r>
      <w:r w:rsidR="00D75687">
        <w:t>permit</w:t>
      </w:r>
      <w:r>
        <w:t xml:space="preserve"> secondary trading and </w:t>
      </w:r>
      <w:r w:rsidR="000D57A9">
        <w:t>authoris</w:t>
      </w:r>
      <w:r w:rsidR="000A0561">
        <w:t>e</w:t>
      </w:r>
      <w:r w:rsidR="000D57A9">
        <w:t xml:space="preserve"> third parties to operate devices under the licence</w:t>
      </w:r>
      <w:r w:rsidR="00445758">
        <w:t xml:space="preserve"> (which </w:t>
      </w:r>
      <w:r w:rsidR="0050031E">
        <w:t>can be described as ‘</w:t>
      </w:r>
      <w:r>
        <w:t>leasing</w:t>
      </w:r>
      <w:r w:rsidR="0050031E">
        <w:t>’</w:t>
      </w:r>
      <w:r>
        <w:t>)</w:t>
      </w:r>
      <w:r w:rsidR="000A0561">
        <w:t>,</w:t>
      </w:r>
      <w:r>
        <w:t xml:space="preserve"> which provide a mechanism by which the public benefit of the licensed spectrum can be maximised over the long term</w:t>
      </w:r>
      <w:r w:rsidR="00071567">
        <w:t>.</w:t>
      </w:r>
    </w:p>
    <w:p w14:paraId="78776405" w14:textId="5655BF35" w:rsidR="004662F6" w:rsidRPr="00C10027" w:rsidRDefault="004662F6" w:rsidP="004662F6">
      <w:pPr>
        <w:rPr>
          <w:rFonts w:cs="Arial"/>
        </w:rPr>
      </w:pPr>
      <w:r w:rsidRPr="00C10027">
        <w:rPr>
          <w:rFonts w:cs="Arial"/>
        </w:rPr>
        <w:t>While</w:t>
      </w:r>
      <w:r>
        <w:rPr>
          <w:rFonts w:cs="Arial"/>
        </w:rPr>
        <w:t xml:space="preserve"> some</w:t>
      </w:r>
      <w:r w:rsidRPr="00C10027">
        <w:rPr>
          <w:rFonts w:cs="Arial"/>
        </w:rPr>
        <w:t xml:space="preserve"> </w:t>
      </w:r>
      <w:r w:rsidR="00B90282">
        <w:rPr>
          <w:rFonts w:cs="Arial"/>
        </w:rPr>
        <w:t>of</w:t>
      </w:r>
      <w:r w:rsidRPr="00C10027">
        <w:rPr>
          <w:rFonts w:cs="Arial"/>
        </w:rPr>
        <w:t xml:space="preserve"> these features of spectrum licences provide certainty </w:t>
      </w:r>
      <w:r>
        <w:rPr>
          <w:rFonts w:cs="Arial"/>
        </w:rPr>
        <w:t xml:space="preserve">and flexibility </w:t>
      </w:r>
      <w:r w:rsidRPr="00C10027">
        <w:rPr>
          <w:rFonts w:cs="Arial"/>
        </w:rPr>
        <w:t xml:space="preserve">to licensees, they </w:t>
      </w:r>
      <w:r>
        <w:rPr>
          <w:rFonts w:cs="Arial"/>
        </w:rPr>
        <w:t xml:space="preserve">can </w:t>
      </w:r>
      <w:r w:rsidRPr="00C10027">
        <w:rPr>
          <w:rFonts w:cs="Arial"/>
        </w:rPr>
        <w:t xml:space="preserve">also restrict our flexibility in substantively changing the use of spectrum during the licence’s duration. Consequently, </w:t>
      </w:r>
      <w:r w:rsidR="003D13FA">
        <w:rPr>
          <w:rFonts w:cs="Arial"/>
        </w:rPr>
        <w:t>we</w:t>
      </w:r>
      <w:r>
        <w:rPr>
          <w:rFonts w:cs="Arial"/>
        </w:rPr>
        <w:t xml:space="preserve"> </w:t>
      </w:r>
      <w:r w:rsidRPr="00C10027">
        <w:rPr>
          <w:rFonts w:cs="Arial"/>
        </w:rPr>
        <w:t>must have a high degree of confidence that the use of the spectrum will deliver the maximum public benefit throughout the licence’s duration (</w:t>
      </w:r>
      <w:r>
        <w:rPr>
          <w:rFonts w:cs="Arial"/>
        </w:rPr>
        <w:t>that is</w:t>
      </w:r>
      <w:r w:rsidRPr="00C10027">
        <w:rPr>
          <w:rFonts w:cs="Arial"/>
        </w:rPr>
        <w:t>, in the long term)</w:t>
      </w:r>
      <w:r w:rsidR="007C0089">
        <w:rPr>
          <w:rFonts w:cs="Arial"/>
        </w:rPr>
        <w:t>. We must also have a high degree of confidence</w:t>
      </w:r>
      <w:r>
        <w:rPr>
          <w:rFonts w:cs="Arial"/>
        </w:rPr>
        <w:t xml:space="preserve"> that arrangements to enable the licensee to continually maximise the benefit </w:t>
      </w:r>
      <w:r w:rsidR="0015322F">
        <w:rPr>
          <w:rFonts w:cs="Arial"/>
        </w:rPr>
        <w:t>derived from</w:t>
      </w:r>
      <w:r>
        <w:rPr>
          <w:rFonts w:cs="Arial"/>
        </w:rPr>
        <w:t xml:space="preserve"> relevant </w:t>
      </w:r>
      <w:r w:rsidR="00D516D8">
        <w:rPr>
          <w:rFonts w:cs="Arial"/>
        </w:rPr>
        <w:t>spectrum</w:t>
      </w:r>
      <w:r w:rsidR="00D931CE">
        <w:rPr>
          <w:rFonts w:cs="Arial"/>
        </w:rPr>
        <w:t xml:space="preserve">, such as </w:t>
      </w:r>
      <w:r w:rsidR="007C0089">
        <w:rPr>
          <w:rFonts w:cs="Arial"/>
        </w:rPr>
        <w:t>technology-neutral frameworks and</w:t>
      </w:r>
      <w:r w:rsidR="00D931CE">
        <w:rPr>
          <w:rFonts w:cs="Arial"/>
        </w:rPr>
        <w:t xml:space="preserve"> secondary trading,</w:t>
      </w:r>
      <w:r w:rsidR="00D516D8">
        <w:rPr>
          <w:rFonts w:cs="Arial"/>
        </w:rPr>
        <w:t xml:space="preserve"> </w:t>
      </w:r>
      <w:r>
        <w:rPr>
          <w:rFonts w:cs="Arial"/>
        </w:rPr>
        <w:t xml:space="preserve">will work to do so in the longer term. </w:t>
      </w:r>
    </w:p>
    <w:p w14:paraId="174512F9" w14:textId="71076778" w:rsidR="004662F6" w:rsidRPr="00C10027" w:rsidRDefault="004662F6" w:rsidP="004662F6">
      <w:pPr>
        <w:rPr>
          <w:rFonts w:cs="Arial"/>
        </w:rPr>
      </w:pPr>
      <w:r w:rsidRPr="00C10027">
        <w:rPr>
          <w:rFonts w:cs="Arial"/>
        </w:rPr>
        <w:t>We</w:t>
      </w:r>
      <w:r w:rsidR="00414C8D">
        <w:rPr>
          <w:rFonts w:cs="Arial"/>
        </w:rPr>
        <w:t xml:space="preserve"> generally</w:t>
      </w:r>
      <w:r w:rsidRPr="00C10027">
        <w:rPr>
          <w:rFonts w:cs="Arial"/>
        </w:rPr>
        <w:t xml:space="preserve"> </w:t>
      </w:r>
      <w:r w:rsidR="002474AD">
        <w:rPr>
          <w:rFonts w:cs="Arial"/>
        </w:rPr>
        <w:t>initially</w:t>
      </w:r>
      <w:r w:rsidRPr="00C10027">
        <w:rPr>
          <w:rFonts w:cs="Arial"/>
        </w:rPr>
        <w:t xml:space="preserve"> issue spectrum licences through a price-based allocation process, </w:t>
      </w:r>
      <w:r w:rsidR="00414C8D">
        <w:rPr>
          <w:rFonts w:cs="Arial"/>
        </w:rPr>
        <w:t xml:space="preserve">although some licences have been </w:t>
      </w:r>
      <w:r w:rsidR="002474AD">
        <w:rPr>
          <w:rFonts w:cs="Arial"/>
        </w:rPr>
        <w:t xml:space="preserve">initially </w:t>
      </w:r>
      <w:r w:rsidR="00414C8D">
        <w:rPr>
          <w:rFonts w:cs="Arial"/>
        </w:rPr>
        <w:t>issued via a conversion process</w:t>
      </w:r>
      <w:r w:rsidR="007759BF">
        <w:rPr>
          <w:rFonts w:cs="Arial"/>
        </w:rPr>
        <w:t>,</w:t>
      </w:r>
      <w:r w:rsidR="002C2517">
        <w:rPr>
          <w:rStyle w:val="FootnoteReference"/>
          <w:rFonts w:cs="Arial"/>
        </w:rPr>
        <w:footnoteReference w:id="5"/>
      </w:r>
      <w:r w:rsidRPr="00C10027">
        <w:rPr>
          <w:rFonts w:cs="Arial"/>
        </w:rPr>
        <w:t xml:space="preserve"> generally limiting </w:t>
      </w:r>
      <w:r w:rsidR="006C3A49">
        <w:rPr>
          <w:rFonts w:cs="Arial"/>
        </w:rPr>
        <w:t>initial</w:t>
      </w:r>
      <w:r w:rsidRPr="00C10027">
        <w:rPr>
          <w:rFonts w:cs="Arial"/>
        </w:rPr>
        <w:t xml:space="preserve"> allocation to </w:t>
      </w:r>
      <w:r w:rsidR="007759BF">
        <w:rPr>
          <w:rFonts w:cs="Arial"/>
        </w:rPr>
        <w:t>a</w:t>
      </w:r>
      <w:r w:rsidRPr="00C10027">
        <w:rPr>
          <w:rFonts w:cs="Arial"/>
        </w:rPr>
        <w:t xml:space="preserve"> point-in-time (as opposed to ongoing availability of licences within a band). This stems from spectrum licences generally being </w:t>
      </w:r>
      <w:r>
        <w:rPr>
          <w:rFonts w:cs="Arial"/>
        </w:rPr>
        <w:t>used to allocate high value spectrum,</w:t>
      </w:r>
      <w:r w:rsidRPr="00C10027">
        <w:rPr>
          <w:rFonts w:cs="Arial"/>
        </w:rPr>
        <w:t xml:space="preserve"> and because market-based allocation can enhance the likelihood that </w:t>
      </w:r>
      <w:r>
        <w:rPr>
          <w:rFonts w:cs="Arial"/>
        </w:rPr>
        <w:t xml:space="preserve">spectrum will be allocated to a licensee that will use the </w:t>
      </w:r>
      <w:r w:rsidRPr="00C10027">
        <w:rPr>
          <w:rFonts w:cs="Arial"/>
        </w:rPr>
        <w:t xml:space="preserve">spectrum in a manner that maximises its public benefit. This approach to allocation </w:t>
      </w:r>
      <w:r w:rsidR="00967A9D">
        <w:rPr>
          <w:rFonts w:cs="Arial"/>
        </w:rPr>
        <w:t xml:space="preserve">has the effect of </w:t>
      </w:r>
      <w:r w:rsidR="00967A9D">
        <w:rPr>
          <w:rFonts w:cs="Arial"/>
        </w:rPr>
        <w:lastRenderedPageBreak/>
        <w:t>limiting</w:t>
      </w:r>
      <w:r w:rsidRPr="00C10027">
        <w:rPr>
          <w:rFonts w:cs="Arial"/>
        </w:rPr>
        <w:t xml:space="preserve"> the suitability of spectrum licences for many use cases and users</w:t>
      </w:r>
      <w:r>
        <w:rPr>
          <w:rFonts w:cs="Arial"/>
        </w:rPr>
        <w:t xml:space="preserve"> where ongoing administrative allocation provides greater business planning flexibility. </w:t>
      </w:r>
    </w:p>
    <w:p w14:paraId="4FF59760" w14:textId="3295428D" w:rsidR="004662F6" w:rsidRPr="00C10027" w:rsidRDefault="004662F6" w:rsidP="004662F6">
      <w:pPr>
        <w:rPr>
          <w:rFonts w:cs="Arial"/>
        </w:rPr>
      </w:pPr>
      <w:r>
        <w:rPr>
          <w:rFonts w:cs="Arial"/>
        </w:rPr>
        <w:t>However, the</w:t>
      </w:r>
      <w:r w:rsidRPr="00C10027">
        <w:rPr>
          <w:rFonts w:cs="Arial"/>
        </w:rPr>
        <w:t xml:space="preserve"> Modernisation Act empowers us to</w:t>
      </w:r>
      <w:r>
        <w:rPr>
          <w:rFonts w:cs="Arial"/>
        </w:rPr>
        <w:t xml:space="preserve"> also</w:t>
      </w:r>
      <w:r w:rsidRPr="00C10027">
        <w:rPr>
          <w:rFonts w:cs="Arial"/>
        </w:rPr>
        <w:t xml:space="preserve"> directly allocate spectrum licences (in accordance with a marketing plan</w:t>
      </w:r>
      <w:r>
        <w:rPr>
          <w:rFonts w:cs="Arial"/>
        </w:rPr>
        <w:t xml:space="preserve"> and allocation determination</w:t>
      </w:r>
      <w:r w:rsidRPr="00C10027">
        <w:rPr>
          <w:rFonts w:cs="Arial"/>
        </w:rPr>
        <w:t xml:space="preserve">). While we would generally expect to use </w:t>
      </w:r>
      <w:r>
        <w:rPr>
          <w:rFonts w:cs="Arial"/>
        </w:rPr>
        <w:t xml:space="preserve">our </w:t>
      </w:r>
      <w:r w:rsidRPr="00C10027">
        <w:rPr>
          <w:rFonts w:cs="Arial"/>
        </w:rPr>
        <w:t xml:space="preserve">direct allocation powers in a manner similar to </w:t>
      </w:r>
      <w:r w:rsidR="00AC5072">
        <w:rPr>
          <w:rFonts w:cs="Arial"/>
        </w:rPr>
        <w:t xml:space="preserve">the way in which </w:t>
      </w:r>
      <w:r w:rsidRPr="00C10027">
        <w:rPr>
          <w:rFonts w:cs="Arial"/>
        </w:rPr>
        <w:t>conversion</w:t>
      </w:r>
      <w:r w:rsidR="00AC5072">
        <w:rPr>
          <w:rFonts w:cs="Arial"/>
        </w:rPr>
        <w:t xml:space="preserve"> powers </w:t>
      </w:r>
      <w:r w:rsidR="002478B9">
        <w:rPr>
          <w:rFonts w:cs="Arial"/>
        </w:rPr>
        <w:t>were used in the past</w:t>
      </w:r>
      <w:r w:rsidRPr="00C10027">
        <w:rPr>
          <w:rFonts w:cs="Arial"/>
        </w:rPr>
        <w:t>, there may be scenarios, such as non-commercial operators and public good use-cases, where direct allocation may be preferred to a market-based allocation.</w:t>
      </w:r>
      <w:r>
        <w:rPr>
          <w:rFonts w:cs="Arial"/>
        </w:rPr>
        <w:t xml:space="preserve"> This would likely occur when circumstances of the particular scenario mean that the goal of maximising the public benefit derived from the use of the spectrum can be better achieved through non-market allocation methods. </w:t>
      </w:r>
    </w:p>
    <w:p w14:paraId="1BBD0B34" w14:textId="4AFE1792" w:rsidR="004662F6" w:rsidRPr="00C10027" w:rsidRDefault="007056B5" w:rsidP="004662F6">
      <w:pPr>
        <w:pStyle w:val="Heading2"/>
        <w:rPr>
          <w:b w:val="0"/>
          <w:bCs w:val="0"/>
          <w:iCs w:val="0"/>
        </w:rPr>
      </w:pPr>
      <w:bookmarkStart w:id="16" w:name="_Toc65835942"/>
      <w:r>
        <w:t>When</w:t>
      </w:r>
      <w:r w:rsidDel="006B4F3B">
        <w:t xml:space="preserve"> </w:t>
      </w:r>
      <w:r>
        <w:t>a</w:t>
      </w:r>
      <w:r w:rsidR="004662F6" w:rsidRPr="00676C07">
        <w:t>pparatus licensing</w:t>
      </w:r>
      <w:r>
        <w:t xml:space="preserve"> </w:t>
      </w:r>
      <w:r w:rsidR="006B4F3B">
        <w:t xml:space="preserve">is </w:t>
      </w:r>
      <w:r>
        <w:t>appropriate</w:t>
      </w:r>
      <w:bookmarkEnd w:id="16"/>
    </w:p>
    <w:p w14:paraId="3E638EC0" w14:textId="77777777" w:rsidR="004662F6" w:rsidRDefault="004662F6" w:rsidP="004662F6">
      <w:pPr>
        <w:rPr>
          <w:rFonts w:cs="Arial"/>
        </w:rPr>
      </w:pPr>
      <w:r>
        <w:rPr>
          <w:rFonts w:cs="Arial"/>
        </w:rPr>
        <w:t>Apparatus licensing has broadly been used to create over the counter licensing products for authorising radiocommunications devices used as part of specific kinds of radiocommunications services and use cases, such as land mobile, fixed, satellite and maritime. The linkage between apparatus licences and the provision of particular radiocommunications services stems in part from a restriction under the Act that meant we would only issue an apparatus licence of a type specified in a determination made under subsection 98(1) of the Act.</w:t>
      </w:r>
      <w:r w:rsidRPr="00C10027">
        <w:rPr>
          <w:rFonts w:cs="Arial"/>
          <w:vertAlign w:val="superscript"/>
        </w:rPr>
        <w:footnoteReference w:id="6"/>
      </w:r>
    </w:p>
    <w:p w14:paraId="0C6832D2" w14:textId="7828AB87" w:rsidR="004662F6" w:rsidRDefault="004662F6" w:rsidP="004662F6">
      <w:pPr>
        <w:rPr>
          <w:rFonts w:cs="Arial"/>
        </w:rPr>
      </w:pPr>
      <w:r>
        <w:rPr>
          <w:rFonts w:cs="Arial"/>
        </w:rPr>
        <w:t xml:space="preserve">The Modernisation Act has provided further apparatus licensing flexibility by permitting the issue of apparatus licences not of a specified type (that is, apparatus licences not linked to established radiocommunications services). </w:t>
      </w:r>
    </w:p>
    <w:p w14:paraId="14725851" w14:textId="2326DD16" w:rsidR="004662F6" w:rsidRDefault="004662F6" w:rsidP="004662F6">
      <w:pPr>
        <w:pStyle w:val="Paragraph"/>
      </w:pPr>
      <w:r w:rsidRPr="00F60443">
        <w:t xml:space="preserve">Apparatus licences are generally suitable for situations where moderate to high </w:t>
      </w:r>
      <w:r w:rsidR="00890728">
        <w:t>predictability</w:t>
      </w:r>
      <w:r w:rsidR="00890728" w:rsidRPr="00F60443">
        <w:t xml:space="preserve"> </w:t>
      </w:r>
      <w:r w:rsidRPr="00F60443">
        <w:t>is required by the licensee to support long</w:t>
      </w:r>
      <w:r w:rsidR="00071567">
        <w:t>-</w:t>
      </w:r>
      <w:r w:rsidRPr="00F60443">
        <w:t xml:space="preserve">term investments, but </w:t>
      </w:r>
      <w:r>
        <w:t xml:space="preserve">the licensee also requires </w:t>
      </w:r>
      <w:r w:rsidRPr="00F60443">
        <w:t xml:space="preserve">greater flexibility in terms of licence duration (compared to spectrum licences). </w:t>
      </w:r>
    </w:p>
    <w:p w14:paraId="01B2CD7B" w14:textId="24FC61DF" w:rsidR="004662F6" w:rsidRDefault="004662F6" w:rsidP="00B94EE5">
      <w:pPr>
        <w:pStyle w:val="Paragraphbeforelist"/>
      </w:pPr>
      <w:r>
        <w:t xml:space="preserve">Apparatus licensing balances flexibility and </w:t>
      </w:r>
      <w:r w:rsidR="00890728">
        <w:t xml:space="preserve">predictability </w:t>
      </w:r>
      <w:r>
        <w:t xml:space="preserve">for licensees through: </w:t>
      </w:r>
    </w:p>
    <w:p w14:paraId="4381A80C" w14:textId="12304408" w:rsidR="004662F6" w:rsidRDefault="004662F6" w:rsidP="004662F6">
      <w:pPr>
        <w:pStyle w:val="Bulletlevel1"/>
      </w:pPr>
      <w:r w:rsidRPr="00B94EE5">
        <w:rPr>
          <w:b/>
          <w:bCs/>
        </w:rPr>
        <w:t xml:space="preserve">Flexible durations </w:t>
      </w:r>
      <w:r w:rsidRPr="00086489">
        <w:t>–</w:t>
      </w:r>
      <w:r>
        <w:t xml:space="preserve"> apparatus licences may be issued for up to 20 years where suitable, but can also be made available for shorter durations, reflecting licensee requirements, and current and planned uses of the band. This balances providing licensees with investment </w:t>
      </w:r>
      <w:r w:rsidR="00DA01D4">
        <w:t xml:space="preserve">predictability </w:t>
      </w:r>
      <w:r w:rsidR="0030342A">
        <w:t>matched to their</w:t>
      </w:r>
      <w:r>
        <w:t xml:space="preserve"> business needs </w:t>
      </w:r>
      <w:r w:rsidR="0030342A">
        <w:t xml:space="preserve">and </w:t>
      </w:r>
      <w:r>
        <w:t xml:space="preserve">with appropriate planning flexibility. </w:t>
      </w:r>
    </w:p>
    <w:p w14:paraId="6018AF53" w14:textId="60AE9AAE" w:rsidR="004662F6" w:rsidRPr="00C10027" w:rsidRDefault="004662F6" w:rsidP="004662F6">
      <w:pPr>
        <w:pStyle w:val="ListBullet"/>
      </w:pPr>
      <w:r w:rsidRPr="00B94EE5">
        <w:rPr>
          <w:b/>
          <w:bCs/>
        </w:rPr>
        <w:t xml:space="preserve">Geographic flexibility </w:t>
      </w:r>
      <w:r w:rsidRPr="00086489">
        <w:t>–</w:t>
      </w:r>
      <w:r>
        <w:t xml:space="preserve"> apparatus licences may authorise </w:t>
      </w:r>
      <w:r w:rsidRPr="00C10027">
        <w:t>site-based</w:t>
      </w:r>
      <w:r>
        <w:t xml:space="preserve">, </w:t>
      </w:r>
      <w:r w:rsidRPr="00C10027">
        <w:t xml:space="preserve">area-based </w:t>
      </w:r>
      <w:r>
        <w:t xml:space="preserve">or </w:t>
      </w:r>
      <w:r w:rsidR="00C3214E">
        <w:t xml:space="preserve">mobile </w:t>
      </w:r>
      <w:r w:rsidRPr="00C10027">
        <w:t>access to spectrum</w:t>
      </w:r>
      <w:r>
        <w:t>, depending on the use case</w:t>
      </w:r>
      <w:r w:rsidRPr="00C10027">
        <w:t xml:space="preserve">. Areas are generally determined by licensee choice, coordination requirements and planning models. </w:t>
      </w:r>
    </w:p>
    <w:p w14:paraId="2E0AE144" w14:textId="19EBFC88" w:rsidR="004662F6" w:rsidRDefault="004662F6" w:rsidP="004662F6">
      <w:pPr>
        <w:pStyle w:val="Bulletlevel1"/>
      </w:pPr>
      <w:r w:rsidRPr="00B94EE5">
        <w:rPr>
          <w:b/>
          <w:bCs/>
        </w:rPr>
        <w:t xml:space="preserve">Allocation flexibility </w:t>
      </w:r>
      <w:r w:rsidRPr="00086489">
        <w:t>–</w:t>
      </w:r>
      <w:r>
        <w:t xml:space="preserve"> apparatus licences may be issued by administrative or price-based allocation. G</w:t>
      </w:r>
      <w:r w:rsidRPr="00F60443">
        <w:t xml:space="preserve">enerally, </w:t>
      </w:r>
      <w:r>
        <w:t xml:space="preserve">we have </w:t>
      </w:r>
      <w:r w:rsidRPr="00F60443">
        <w:t>made most apparatus licences available on an ongoing basis, through first in time, administrative allocations</w:t>
      </w:r>
      <w:r>
        <w:t>. P</w:t>
      </w:r>
      <w:r w:rsidRPr="00F60443">
        <w:t>rice-based allocation</w:t>
      </w:r>
      <w:r>
        <w:t>s have</w:t>
      </w:r>
      <w:r w:rsidRPr="00F60443">
        <w:t xml:space="preserve"> been used for certain high-demand licences such as low and </w:t>
      </w:r>
      <w:r w:rsidR="007108E0" w:rsidRPr="00F60443">
        <w:t>high-power</w:t>
      </w:r>
      <w:r w:rsidRPr="00F60443">
        <w:t xml:space="preserve"> open narrowcasting licences. </w:t>
      </w:r>
    </w:p>
    <w:p w14:paraId="66B32A12" w14:textId="6167FB6E" w:rsidR="004662F6" w:rsidRDefault="004662F6" w:rsidP="00E9048C">
      <w:pPr>
        <w:pStyle w:val="Bulletlevel1"/>
      </w:pPr>
      <w:r w:rsidRPr="00B94EE5">
        <w:rPr>
          <w:b/>
          <w:bCs/>
        </w:rPr>
        <w:t>Renewal flexibility</w:t>
      </w:r>
      <w:r w:rsidR="004818E5" w:rsidRPr="00B94EE5">
        <w:rPr>
          <w:b/>
          <w:bCs/>
        </w:rPr>
        <w:t xml:space="preserve"> </w:t>
      </w:r>
      <w:r w:rsidRPr="00086489">
        <w:t>–</w:t>
      </w:r>
      <w:r w:rsidR="00A70035">
        <w:rPr>
          <w:b/>
          <w:bCs/>
        </w:rPr>
        <w:t xml:space="preserve"> </w:t>
      </w:r>
      <w:r>
        <w:t xml:space="preserve">most apparatus licences </w:t>
      </w:r>
      <w:r w:rsidR="00700F7B">
        <w:t xml:space="preserve">are generally </w:t>
      </w:r>
      <w:r>
        <w:t xml:space="preserve">renewed unless an alternative use for the part of the spectrum has been identified. </w:t>
      </w:r>
      <w:r w:rsidR="00A534DB">
        <w:t>M</w:t>
      </w:r>
      <w:r>
        <w:t>ost apparatus licences will not include renewal statements and current renewal practices will continue to apply</w:t>
      </w:r>
      <w:r w:rsidR="00A534DB">
        <w:t>. However</w:t>
      </w:r>
      <w:r>
        <w:t>, the ability to include renewal statements to indicate either that the licence may not be renewed</w:t>
      </w:r>
      <w:r w:rsidR="00A534DB">
        <w:t>,</w:t>
      </w:r>
      <w:r>
        <w:t xml:space="preserve"> or </w:t>
      </w:r>
      <w:r w:rsidR="00A534DB">
        <w:t xml:space="preserve">will be </w:t>
      </w:r>
      <w:r>
        <w:t xml:space="preserve">renewed only if specified </w:t>
      </w:r>
      <w:r>
        <w:lastRenderedPageBreak/>
        <w:t>circumstances exist, will provide licensees with enhanced clarity over the potential renewal of their licence</w:t>
      </w:r>
      <w:r w:rsidR="00A534DB">
        <w:t>.</w:t>
      </w:r>
      <w:r w:rsidR="00964D39">
        <w:t xml:space="preserve"> A decision to renew an apparatus licence for a period of 10 years or longer </w:t>
      </w:r>
      <w:r w:rsidR="00EB20C2">
        <w:t>is</w:t>
      </w:r>
      <w:r w:rsidR="00964D39">
        <w:t xml:space="preserve"> subject to a public interest consideration. </w:t>
      </w:r>
    </w:p>
    <w:p w14:paraId="0261D846" w14:textId="2B4DD54E" w:rsidR="004662F6" w:rsidRDefault="004662F6" w:rsidP="004662F6">
      <w:pPr>
        <w:pStyle w:val="Bulletlevel1"/>
      </w:pPr>
      <w:r w:rsidRPr="00B94EE5">
        <w:rPr>
          <w:b/>
          <w:bCs/>
        </w:rPr>
        <w:t xml:space="preserve">Pricing certainty </w:t>
      </w:r>
      <w:r w:rsidR="00E26C13" w:rsidRPr="00086489">
        <w:t>–</w:t>
      </w:r>
      <w:r>
        <w:t xml:space="preserve"> b</w:t>
      </w:r>
      <w:r w:rsidRPr="00F60443">
        <w:t xml:space="preserve">ecause apparatus licences are </w:t>
      </w:r>
      <w:r>
        <w:t xml:space="preserve">usually </w:t>
      </w:r>
      <w:r w:rsidRPr="00F60443">
        <w:t>allocated via an administrative process, rather than through auctions, prospective licensees have more certainty when calculating the applicable taxes and administrative charges</w:t>
      </w:r>
      <w:r w:rsidR="00E26C13">
        <w:t>.</w:t>
      </w:r>
    </w:p>
    <w:p w14:paraId="7EB29FD6" w14:textId="6D2584DF" w:rsidR="004662F6" w:rsidRDefault="004662F6" w:rsidP="004662F6">
      <w:pPr>
        <w:pStyle w:val="Bulletlevel1"/>
      </w:pPr>
      <w:r w:rsidRPr="00B94EE5">
        <w:rPr>
          <w:b/>
          <w:bCs/>
        </w:rPr>
        <w:t xml:space="preserve">Payment flexibility </w:t>
      </w:r>
      <w:r w:rsidRPr="00086489">
        <w:t>–</w:t>
      </w:r>
      <w:r>
        <w:t xml:space="preserve"> currently, most apparatus licensees may either request to pay </w:t>
      </w:r>
      <w:r w:rsidR="0087724C">
        <w:t>applicable licence</w:t>
      </w:r>
      <w:r w:rsidR="00B45CB9">
        <w:t xml:space="preserve"> tax </w:t>
      </w:r>
      <w:r>
        <w:t xml:space="preserve">either upfront </w:t>
      </w:r>
      <w:r w:rsidR="005F4EC0">
        <w:t xml:space="preserve">for the life of the licence, </w:t>
      </w:r>
      <w:r>
        <w:t xml:space="preserve">or by </w:t>
      </w:r>
      <w:r w:rsidR="005F4EC0">
        <w:t xml:space="preserve">annual </w:t>
      </w:r>
      <w:r>
        <w:t>instalment, providing business planning flexibility to users</w:t>
      </w:r>
      <w:r w:rsidR="00E26C13">
        <w:t>.</w:t>
      </w:r>
      <w:r w:rsidR="0043056E">
        <w:t xml:space="preserve"> We may determine </w:t>
      </w:r>
      <w:r w:rsidR="00E71714">
        <w:t xml:space="preserve">the payment arrangements </w:t>
      </w:r>
      <w:r w:rsidR="000334BC">
        <w:t xml:space="preserve">for certain apparatus licences as </w:t>
      </w:r>
      <w:r w:rsidR="0041671F">
        <w:t>enabled by</w:t>
      </w:r>
      <w:r w:rsidR="000334BC">
        <w:t xml:space="preserve"> the amendments.</w:t>
      </w:r>
    </w:p>
    <w:p w14:paraId="25AACD9B" w14:textId="06FB1FD8" w:rsidR="004662F6" w:rsidRDefault="004662F6" w:rsidP="004662F6">
      <w:pPr>
        <w:pStyle w:val="Bulletlevel1"/>
      </w:pPr>
      <w:r w:rsidRPr="00B94EE5">
        <w:rPr>
          <w:b/>
          <w:bCs/>
        </w:rPr>
        <w:t xml:space="preserve">Planning flexibility </w:t>
      </w:r>
      <w:r w:rsidR="00E26C13" w:rsidRPr="00086489">
        <w:t>–</w:t>
      </w:r>
      <w:r>
        <w:t xml:space="preserve"> a</w:t>
      </w:r>
      <w:r w:rsidRPr="00F60443">
        <w:t>pparatus licences provide us with greater planning flexibility, as the Act enables us to vary or refuse to renew apparatus licence</w:t>
      </w:r>
      <w:r>
        <w:t>s</w:t>
      </w:r>
      <w:r w:rsidR="00CA3BA0">
        <w:t>, and to make a re-allocation declaration for a band, cancelling all the apparatus licences in the band</w:t>
      </w:r>
      <w:r>
        <w:t xml:space="preserve">. Apparatus licences may thus </w:t>
      </w:r>
      <w:r w:rsidRPr="00F60443">
        <w:t>be suitable in scenarios where we expect to change the use of the band within the licence duration (compared to spectrum licences).</w:t>
      </w:r>
      <w:r>
        <w:t xml:space="preserve"> This flexibility</w:t>
      </w:r>
      <w:r w:rsidR="00403E42">
        <w:t>,</w:t>
      </w:r>
      <w:r>
        <w:t xml:space="preserve"> however, is balanced by </w:t>
      </w:r>
      <w:r w:rsidRPr="00F60443">
        <w:t>our broader approach to spectrum management, as well as our disposition towards undertaking public consultation processes</w:t>
      </w:r>
      <w:r>
        <w:t xml:space="preserve"> when substantive changes are proposed</w:t>
      </w:r>
      <w:r w:rsidRPr="00F60443">
        <w:t xml:space="preserve">, </w:t>
      </w:r>
      <w:r>
        <w:t xml:space="preserve">thereby providing </w:t>
      </w:r>
      <w:r w:rsidRPr="00F60443">
        <w:t>licensees with a degree of c</w:t>
      </w:r>
      <w:r>
        <w:t xml:space="preserve">larity regarding their ongoing use of the spectrum. </w:t>
      </w:r>
    </w:p>
    <w:p w14:paraId="249E7D44" w14:textId="53675E04" w:rsidR="004662F6" w:rsidRPr="00BC7D24" w:rsidRDefault="004662F6" w:rsidP="004662F6">
      <w:pPr>
        <w:pStyle w:val="Bulletlevel1last"/>
      </w:pPr>
      <w:r w:rsidRPr="00B94EE5">
        <w:rPr>
          <w:b/>
          <w:bCs/>
        </w:rPr>
        <w:t xml:space="preserve">Interference protection </w:t>
      </w:r>
      <w:r w:rsidRPr="00086489">
        <w:t>–</w:t>
      </w:r>
      <w:r>
        <w:t xml:space="preserve"> apparatus licensing</w:t>
      </w:r>
      <w:r w:rsidRPr="00C10027">
        <w:t xml:space="preserve"> </w:t>
      </w:r>
      <w:r w:rsidR="000C191C">
        <w:t xml:space="preserve">can </w:t>
      </w:r>
      <w:r w:rsidRPr="00C10027">
        <w:t xml:space="preserve">provide a high level of interference protection through </w:t>
      </w:r>
      <w:r w:rsidR="003D13FA">
        <w:t>our</w:t>
      </w:r>
      <w:r w:rsidR="003D13FA" w:rsidRPr="00C10027">
        <w:t xml:space="preserve"> </w:t>
      </w:r>
      <w:r w:rsidRPr="00C10027">
        <w:t xml:space="preserve">policies and planning decisions, and coexistence is achievable through licence conditions and associated planning frameworks. </w:t>
      </w:r>
    </w:p>
    <w:p w14:paraId="6F3857E4" w14:textId="77777777" w:rsidR="004662F6" w:rsidRPr="00FC4ABE" w:rsidRDefault="004662F6" w:rsidP="004662F6">
      <w:pPr>
        <w:keepNext/>
        <w:spacing w:before="60" w:after="60"/>
        <w:outlineLvl w:val="2"/>
        <w:rPr>
          <w:rFonts w:cs="Arial"/>
          <w:szCs w:val="26"/>
        </w:rPr>
      </w:pPr>
      <w:r w:rsidRPr="00C10027">
        <w:rPr>
          <w:rFonts w:cs="Arial"/>
          <w:b/>
          <w:bCs/>
          <w:szCs w:val="26"/>
        </w:rPr>
        <w:t>Service-specific apparatus licences</w:t>
      </w:r>
    </w:p>
    <w:p w14:paraId="5F90BCE3" w14:textId="77777777" w:rsidR="004662F6" w:rsidRDefault="004662F6" w:rsidP="004662F6">
      <w:pPr>
        <w:rPr>
          <w:rFonts w:cs="Arial"/>
        </w:rPr>
      </w:pPr>
      <w:r>
        <w:rPr>
          <w:rFonts w:cs="Arial"/>
        </w:rPr>
        <w:t>S</w:t>
      </w:r>
      <w:r w:rsidRPr="00C10027">
        <w:rPr>
          <w:rFonts w:cs="Arial"/>
        </w:rPr>
        <w:t>ervice-specific apparatus licences</w:t>
      </w:r>
      <w:r>
        <w:rPr>
          <w:rFonts w:cs="Arial"/>
        </w:rPr>
        <w:t xml:space="preserve"> (that is, those linked to a particular radiocommunications service)</w:t>
      </w:r>
      <w:r w:rsidRPr="00C10027">
        <w:rPr>
          <w:rFonts w:cs="Arial"/>
        </w:rPr>
        <w:t xml:space="preserve"> are</w:t>
      </w:r>
      <w:r>
        <w:rPr>
          <w:rFonts w:cs="Arial"/>
        </w:rPr>
        <w:t xml:space="preserve"> generally</w:t>
      </w:r>
      <w:r w:rsidRPr="00C10027">
        <w:rPr>
          <w:rFonts w:cs="Arial"/>
        </w:rPr>
        <w:t xml:space="preserve"> suitable for scenarios where licensees </w:t>
      </w:r>
      <w:r>
        <w:rPr>
          <w:rFonts w:cs="Arial"/>
        </w:rPr>
        <w:t xml:space="preserve">have defined needs </w:t>
      </w:r>
      <w:r w:rsidRPr="00C10027">
        <w:rPr>
          <w:rFonts w:cs="Arial"/>
        </w:rPr>
        <w:t>or where there are other planning or policy objectives that make service restrictions appropriate.</w:t>
      </w:r>
    </w:p>
    <w:p w14:paraId="4EAB426E" w14:textId="6AF28AD3" w:rsidR="004662F6" w:rsidRPr="00C10027" w:rsidRDefault="004662F6" w:rsidP="004662F6">
      <w:pPr>
        <w:rPr>
          <w:rFonts w:cs="Arial"/>
        </w:rPr>
      </w:pPr>
      <w:r w:rsidRPr="00C10027">
        <w:rPr>
          <w:rFonts w:cs="Arial"/>
        </w:rPr>
        <w:t>Services and expected use cases can be estimated, enabling us to promote efficient use of the spectrum by optimising the</w:t>
      </w:r>
      <w:r w:rsidRPr="00C10027" w:rsidDel="00D57B73">
        <w:rPr>
          <w:rFonts w:cs="Arial"/>
        </w:rPr>
        <w:t xml:space="preserve"> </w:t>
      </w:r>
      <w:r w:rsidRPr="00C10027">
        <w:rPr>
          <w:rFonts w:cs="Arial"/>
        </w:rPr>
        <w:t>technical planning and coordination frameworks and licence conditions associated with apparatus licence types. We do this through</w:t>
      </w:r>
      <w:r>
        <w:rPr>
          <w:rFonts w:cs="Arial"/>
        </w:rPr>
        <w:t xml:space="preserve"> policies such as</w:t>
      </w:r>
      <w:r w:rsidRPr="00C10027">
        <w:rPr>
          <w:rFonts w:cs="Arial"/>
        </w:rPr>
        <w:t xml:space="preserve"> </w:t>
      </w:r>
      <w:hyperlink r:id="rId30" w:history="1">
        <w:r w:rsidRPr="00D4517B">
          <w:rPr>
            <w:rStyle w:val="Hyperlink"/>
            <w:rFonts w:cs="Arial"/>
          </w:rPr>
          <w:t>radiocommunication assignment and licensing instructions</w:t>
        </w:r>
      </w:hyperlink>
      <w:r w:rsidRPr="00C10027">
        <w:rPr>
          <w:rFonts w:cs="Arial"/>
        </w:rPr>
        <w:t xml:space="preserve"> (RALIs) or </w:t>
      </w:r>
      <w:r>
        <w:rPr>
          <w:rFonts w:cs="Arial"/>
        </w:rPr>
        <w:t xml:space="preserve">legislative instruments such as </w:t>
      </w:r>
      <w:r w:rsidRPr="00C10027">
        <w:rPr>
          <w:rFonts w:cs="Arial"/>
        </w:rPr>
        <w:t>licence conditions determinations. This</w:t>
      </w:r>
      <w:r w:rsidRPr="00C10027" w:rsidDel="00B25A95">
        <w:rPr>
          <w:rFonts w:cs="Arial"/>
        </w:rPr>
        <w:t xml:space="preserve"> </w:t>
      </w:r>
      <w:r w:rsidRPr="00C10027">
        <w:rPr>
          <w:rFonts w:cs="Arial"/>
        </w:rPr>
        <w:t xml:space="preserve">can limit flexibility of use under the licence type. </w:t>
      </w:r>
    </w:p>
    <w:p w14:paraId="1B205A5E" w14:textId="7E73853E" w:rsidR="004662F6" w:rsidRDefault="004662F6" w:rsidP="004662F6">
      <w:pPr>
        <w:rPr>
          <w:rFonts w:cs="Arial"/>
          <w:i/>
          <w:iCs/>
        </w:rPr>
      </w:pPr>
      <w:r w:rsidRPr="00C10027">
        <w:rPr>
          <w:rFonts w:cs="Arial"/>
        </w:rPr>
        <w:t>We issue both assigned (</w:t>
      </w:r>
      <w:r>
        <w:rPr>
          <w:rFonts w:cs="Arial"/>
        </w:rPr>
        <w:t>that is</w:t>
      </w:r>
      <w:r w:rsidRPr="00C10027">
        <w:rPr>
          <w:rFonts w:cs="Arial"/>
        </w:rPr>
        <w:t xml:space="preserve">, coordinated) and non-assigned (non-coordinated) </w:t>
      </w:r>
      <w:r>
        <w:rPr>
          <w:rFonts w:cs="Arial"/>
        </w:rPr>
        <w:t xml:space="preserve">service-specific </w:t>
      </w:r>
      <w:r w:rsidRPr="00C10027">
        <w:rPr>
          <w:rFonts w:cs="Arial"/>
        </w:rPr>
        <w:t xml:space="preserve">apparatus licences. Assigned licences have an assigned frequency and </w:t>
      </w:r>
      <w:r>
        <w:rPr>
          <w:rFonts w:cs="Arial"/>
        </w:rPr>
        <w:t xml:space="preserve">our practice is to </w:t>
      </w:r>
      <w:r w:rsidRPr="00C10027">
        <w:rPr>
          <w:rFonts w:cs="Arial"/>
        </w:rPr>
        <w:t xml:space="preserve">provide low to moderate exclusivity with spectrum bands shared on a coordinated basis. The band is generally shared with other services of the same type. Some parts of the spectrum may also be available to multiple services on a primary and secondary basis, as identified in the </w:t>
      </w:r>
      <w:hyperlink r:id="rId31" w:history="1">
        <w:r w:rsidRPr="002552E7">
          <w:rPr>
            <w:rStyle w:val="Hyperlink"/>
            <w:rFonts w:cs="Arial"/>
            <w:i/>
            <w:iCs/>
          </w:rPr>
          <w:t>Australian Radiofrequency Spectrum Plan 2017</w:t>
        </w:r>
      </w:hyperlink>
      <w:r w:rsidRPr="00C10027">
        <w:rPr>
          <w:rFonts w:cs="Arial"/>
          <w:i/>
          <w:iCs/>
        </w:rPr>
        <w:t>.</w:t>
      </w:r>
    </w:p>
    <w:p w14:paraId="43378AE9" w14:textId="77777777" w:rsidR="004662F6" w:rsidRPr="00C10027" w:rsidRDefault="004662F6" w:rsidP="004662F6">
      <w:pPr>
        <w:rPr>
          <w:rFonts w:cs="Arial"/>
        </w:rPr>
      </w:pPr>
      <w:r w:rsidRPr="00C10027">
        <w:rPr>
          <w:rFonts w:cs="Arial"/>
        </w:rPr>
        <w:t xml:space="preserve">Non-assigned licences are shared on an uncoordinated basis, with limited </w:t>
      </w:r>
      <w:r>
        <w:rPr>
          <w:rFonts w:cs="Arial"/>
        </w:rPr>
        <w:t>or</w:t>
      </w:r>
      <w:r w:rsidRPr="00C10027">
        <w:rPr>
          <w:rFonts w:cs="Arial"/>
        </w:rPr>
        <w:t xml:space="preserve"> no exclusivity</w:t>
      </w:r>
      <w:r>
        <w:rPr>
          <w:rFonts w:cs="Arial"/>
        </w:rPr>
        <w:t xml:space="preserve">; the frequencies are </w:t>
      </w:r>
      <w:r w:rsidRPr="00C10027">
        <w:rPr>
          <w:rFonts w:cs="Arial"/>
        </w:rPr>
        <w:t xml:space="preserve">generally </w:t>
      </w:r>
      <w:r>
        <w:rPr>
          <w:rFonts w:cs="Arial"/>
        </w:rPr>
        <w:t xml:space="preserve">shared </w:t>
      </w:r>
      <w:r w:rsidRPr="00C10027">
        <w:rPr>
          <w:rFonts w:cs="Arial"/>
        </w:rPr>
        <w:t xml:space="preserve">with other users of the same service, but also potentially other services. </w:t>
      </w:r>
      <w:r w:rsidRPr="00C10027">
        <w:t>Non-assigned licences are suitable for providing roaming use and greater areas of operation while still retaining a record of licensees where it is appropriate to do so, such as with some maritime radio users.</w:t>
      </w:r>
    </w:p>
    <w:p w14:paraId="44D8E06A" w14:textId="20D80765" w:rsidR="004662F6" w:rsidRDefault="004662F6" w:rsidP="004662F6">
      <w:pPr>
        <w:rPr>
          <w:rFonts w:cs="Arial"/>
        </w:rPr>
      </w:pPr>
      <w:r>
        <w:rPr>
          <w:rFonts w:cs="Arial"/>
        </w:rPr>
        <w:t>In selecting service</w:t>
      </w:r>
      <w:r w:rsidR="00575127">
        <w:rPr>
          <w:rFonts w:cs="Arial"/>
        </w:rPr>
        <w:t>-</w:t>
      </w:r>
      <w:r>
        <w:rPr>
          <w:rFonts w:cs="Arial"/>
        </w:rPr>
        <w:t>specific apparatus licensing arrangements, we</w:t>
      </w:r>
      <w:r w:rsidRPr="00C10027">
        <w:rPr>
          <w:rFonts w:cs="Arial"/>
        </w:rPr>
        <w:t xml:space="preserve"> require a moderate level of confidence that the use of the spectrum (specifically the identified service) will</w:t>
      </w:r>
      <w:r>
        <w:rPr>
          <w:rFonts w:cs="Arial"/>
        </w:rPr>
        <w:t xml:space="preserve"> continue to </w:t>
      </w:r>
      <w:r w:rsidRPr="00C10027">
        <w:rPr>
          <w:rFonts w:cs="Arial"/>
        </w:rPr>
        <w:t>maximise the overall public benefit</w:t>
      </w:r>
      <w:r>
        <w:rPr>
          <w:rFonts w:cs="Arial"/>
        </w:rPr>
        <w:t xml:space="preserve"> throughout the term of the</w:t>
      </w:r>
      <w:r w:rsidRPr="00C10027">
        <w:rPr>
          <w:rFonts w:cs="Arial"/>
        </w:rPr>
        <w:t xml:space="preserve"> licence</w:t>
      </w:r>
      <w:r>
        <w:rPr>
          <w:rFonts w:cs="Arial"/>
        </w:rPr>
        <w:t xml:space="preserve">, as </w:t>
      </w:r>
      <w:r>
        <w:rPr>
          <w:rFonts w:cs="Arial"/>
        </w:rPr>
        <w:lastRenderedPageBreak/>
        <w:t>apparatus licensing arrangements do provide some flexibility to substantively change the use of the spectrum during a licence’s term (compared to spectrum licences)</w:t>
      </w:r>
      <w:r w:rsidRPr="00C10027">
        <w:rPr>
          <w:rFonts w:cs="Arial"/>
        </w:rPr>
        <w:t>. While licence trading can change the user, it cannot change the overall use of the spectrum</w:t>
      </w:r>
      <w:r w:rsidR="00940CB3">
        <w:rPr>
          <w:rFonts w:cs="Arial"/>
        </w:rPr>
        <w:t>,</w:t>
      </w:r>
      <w:r w:rsidRPr="00C10027">
        <w:rPr>
          <w:rFonts w:cs="Arial"/>
        </w:rPr>
        <w:t xml:space="preserve"> which is set through the broader licensing framework. </w:t>
      </w:r>
    </w:p>
    <w:p w14:paraId="1F593A62" w14:textId="6C554361" w:rsidR="004662F6" w:rsidRPr="00C10027" w:rsidRDefault="004662F6" w:rsidP="00936657">
      <w:pPr>
        <w:pStyle w:val="Heading3"/>
      </w:pPr>
      <w:bookmarkStart w:id="17" w:name="_Toc65835943"/>
      <w:r w:rsidRPr="00C10027">
        <w:t>A</w:t>
      </w:r>
      <w:r>
        <w:t>rea</w:t>
      </w:r>
      <w:r w:rsidR="00A148FE">
        <w:t>-w</w:t>
      </w:r>
      <w:r>
        <w:t xml:space="preserve">ide </w:t>
      </w:r>
      <w:r w:rsidR="00A148FE">
        <w:t>l</w:t>
      </w:r>
      <w:r>
        <w:t>icence (AWL)</w:t>
      </w:r>
      <w:bookmarkEnd w:id="17"/>
    </w:p>
    <w:p w14:paraId="3D217DD8" w14:textId="3F8E94CC" w:rsidR="004662F6" w:rsidRPr="00C10027" w:rsidRDefault="004662F6" w:rsidP="004662F6">
      <w:pPr>
        <w:rPr>
          <w:rFonts w:cs="Arial"/>
        </w:rPr>
      </w:pPr>
      <w:r w:rsidRPr="00C10027">
        <w:rPr>
          <w:rFonts w:cs="Arial"/>
        </w:rPr>
        <w:t xml:space="preserve">AWLs are a type of apparatus licence introduced in 2020 and first used in the 26 GHz and 28 GHz bands, supporting the deployment of wireless broadband and fixed satellite services. AWLs differ from other apparatus licence types </w:t>
      </w:r>
      <w:r>
        <w:rPr>
          <w:rFonts w:cs="Arial"/>
        </w:rPr>
        <w:t>in that</w:t>
      </w:r>
      <w:r w:rsidRPr="00C10027">
        <w:rPr>
          <w:rFonts w:cs="Arial"/>
        </w:rPr>
        <w:t xml:space="preserve"> they are service</w:t>
      </w:r>
      <w:r w:rsidR="008A7F4B">
        <w:rPr>
          <w:rFonts w:cs="Arial"/>
        </w:rPr>
        <w:t>-</w:t>
      </w:r>
      <w:r w:rsidRPr="00C10027">
        <w:rPr>
          <w:rFonts w:cs="Arial"/>
        </w:rPr>
        <w:t>agnostic and provide an aggregable area-based authorisation to use parts of the spectrum. They are intended to provide considerable deployment flexibility.</w:t>
      </w:r>
      <w:r>
        <w:rPr>
          <w:rFonts w:cs="Arial"/>
        </w:rPr>
        <w:t xml:space="preserve"> </w:t>
      </w:r>
    </w:p>
    <w:p w14:paraId="48E5A2CE" w14:textId="77777777" w:rsidR="004662F6" w:rsidRPr="00C10027" w:rsidRDefault="004662F6" w:rsidP="004662F6">
      <w:pPr>
        <w:rPr>
          <w:rFonts w:cs="Arial"/>
        </w:rPr>
      </w:pPr>
      <w:r w:rsidRPr="00C10027">
        <w:rPr>
          <w:rFonts w:cs="Arial"/>
        </w:rPr>
        <w:t xml:space="preserve">The AWL framework is highly flexible and </w:t>
      </w:r>
      <w:r>
        <w:rPr>
          <w:rFonts w:cs="Arial"/>
        </w:rPr>
        <w:t>is</w:t>
      </w:r>
      <w:r w:rsidRPr="00C10027">
        <w:rPr>
          <w:rFonts w:cs="Arial"/>
        </w:rPr>
        <w:t xml:space="preserve"> developed on a band-by-band basis where we have decided to make AWLs available. This facilitates the optimisation of the licence type’s use in particular bands through different approaches to licence duration, renewal policy, pricing and technical arrangements. </w:t>
      </w:r>
    </w:p>
    <w:p w14:paraId="2CA3A2C9" w14:textId="1E06CA7D" w:rsidR="004662F6" w:rsidRPr="00C10027" w:rsidRDefault="004662F6" w:rsidP="004662F6">
      <w:pPr>
        <w:rPr>
          <w:rFonts w:cs="Arial"/>
        </w:rPr>
      </w:pPr>
      <w:r w:rsidRPr="00C10027">
        <w:rPr>
          <w:rFonts w:cs="Arial"/>
        </w:rPr>
        <w:t>AWLs have the same characteristics</w:t>
      </w:r>
      <w:r>
        <w:rPr>
          <w:rFonts w:cs="Arial"/>
        </w:rPr>
        <w:t xml:space="preserve"> under the Act</w:t>
      </w:r>
      <w:r w:rsidRPr="00C10027">
        <w:rPr>
          <w:rFonts w:cs="Arial"/>
        </w:rPr>
        <w:t xml:space="preserve"> as other apparatus licences</w:t>
      </w:r>
      <w:r>
        <w:rPr>
          <w:rFonts w:cs="Arial"/>
        </w:rPr>
        <w:t xml:space="preserve">, </w:t>
      </w:r>
      <w:r w:rsidRPr="00C10027">
        <w:rPr>
          <w:rFonts w:cs="Arial"/>
        </w:rPr>
        <w:t xml:space="preserve">but their nature may nonetheless support </w:t>
      </w:r>
      <w:r>
        <w:rPr>
          <w:rFonts w:cs="Arial"/>
        </w:rPr>
        <w:t xml:space="preserve">uses that require </w:t>
      </w:r>
      <w:r w:rsidRPr="00C10027">
        <w:rPr>
          <w:rFonts w:cs="Arial"/>
        </w:rPr>
        <w:t>long</w:t>
      </w:r>
      <w:r w:rsidR="00071567">
        <w:rPr>
          <w:rFonts w:cs="Arial"/>
        </w:rPr>
        <w:t>-</w:t>
      </w:r>
      <w:r w:rsidRPr="00C10027">
        <w:rPr>
          <w:rFonts w:cs="Arial"/>
        </w:rPr>
        <w:t>term investment, depending on the licence duration, renewal policy and technical arrangements for the particular band.</w:t>
      </w:r>
      <w:r>
        <w:rPr>
          <w:rFonts w:cs="Arial"/>
        </w:rPr>
        <w:t xml:space="preserve"> </w:t>
      </w:r>
      <w:r w:rsidRPr="00C10027">
        <w:rPr>
          <w:rFonts w:cs="Arial"/>
        </w:rPr>
        <w:t xml:space="preserve">However, as apparatus licences, there are few legislative impediments </w:t>
      </w:r>
      <w:r w:rsidR="00073D7C">
        <w:rPr>
          <w:rFonts w:cs="Arial"/>
        </w:rPr>
        <w:t xml:space="preserve">(compared to spectrum licences) </w:t>
      </w:r>
      <w:r w:rsidRPr="00C10027">
        <w:rPr>
          <w:rFonts w:cs="Arial"/>
        </w:rPr>
        <w:t xml:space="preserve">to </w:t>
      </w:r>
      <w:r>
        <w:rPr>
          <w:rFonts w:cs="Arial"/>
        </w:rPr>
        <w:t>our</w:t>
      </w:r>
      <w:r w:rsidRPr="00C10027">
        <w:rPr>
          <w:rFonts w:cs="Arial"/>
        </w:rPr>
        <w:t xml:space="preserve"> ability to re-allocate the spectrum used by AWLs, to vary AWLs or to issue subsequent licences to other users. </w:t>
      </w:r>
      <w:r>
        <w:rPr>
          <w:rFonts w:cs="Arial"/>
        </w:rPr>
        <w:t xml:space="preserve">This may make AWLs suitable to scenarios where the adaptability of spectrum licences is desired, while still retaining the broader planning flexibility of apparatus licensing arrangements. </w:t>
      </w:r>
    </w:p>
    <w:p w14:paraId="1CA8CCB8" w14:textId="7C9FDF15" w:rsidR="004662F6" w:rsidRPr="00C10027" w:rsidRDefault="004662F6" w:rsidP="004662F6">
      <w:pPr>
        <w:rPr>
          <w:rFonts w:cs="Arial"/>
        </w:rPr>
      </w:pPr>
      <w:r w:rsidRPr="00C10027">
        <w:rPr>
          <w:rFonts w:cs="Arial"/>
        </w:rPr>
        <w:t>AWLs are generally suited to ongoing allocation arrangements (first in time) with possible point in time aspects, depending on the band and value of the spectrum. Due to the potential level of geographic granularity open to be licensed by an AWL in some bands</w:t>
      </w:r>
      <w:r>
        <w:rPr>
          <w:rFonts w:cs="Arial"/>
        </w:rPr>
        <w:t xml:space="preserve"> (for example, singular 500</w:t>
      </w:r>
      <w:r w:rsidR="00A148FE">
        <w:rPr>
          <w:rFonts w:cs="Arial"/>
        </w:rPr>
        <w:t xml:space="preserve"> </w:t>
      </w:r>
      <w:r>
        <w:rPr>
          <w:rFonts w:cs="Arial"/>
        </w:rPr>
        <w:t>m x 500</w:t>
      </w:r>
      <w:r w:rsidR="00A148FE">
        <w:rPr>
          <w:rFonts w:cs="Arial"/>
        </w:rPr>
        <w:t xml:space="preserve"> </w:t>
      </w:r>
      <w:r>
        <w:rPr>
          <w:rFonts w:cs="Arial"/>
        </w:rPr>
        <w:t>m cells)</w:t>
      </w:r>
      <w:r w:rsidRPr="00C10027">
        <w:rPr>
          <w:rFonts w:cs="Arial"/>
        </w:rPr>
        <w:t xml:space="preserve">, AWLs may not necessarily be suited to market allocation in all bands, as </w:t>
      </w:r>
      <w:r>
        <w:rPr>
          <w:rFonts w:cs="Arial"/>
        </w:rPr>
        <w:t>a resulting Australia-wide</w:t>
      </w:r>
      <w:r w:rsidRPr="00C10027">
        <w:rPr>
          <w:rFonts w:cs="Arial"/>
        </w:rPr>
        <w:t xml:space="preserve"> auction would be inherently complex. However, this varies on a band-by-band basis and decisions related to the potential geographic size </w:t>
      </w:r>
      <w:r w:rsidR="00CA1132">
        <w:rPr>
          <w:rFonts w:cs="Arial"/>
        </w:rPr>
        <w:t>and availability of</w:t>
      </w:r>
      <w:r w:rsidRPr="00C10027" w:rsidDel="00CA1132">
        <w:rPr>
          <w:rFonts w:cs="Arial"/>
        </w:rPr>
        <w:t xml:space="preserve"> </w:t>
      </w:r>
      <w:r w:rsidRPr="00C10027">
        <w:rPr>
          <w:rFonts w:cs="Arial"/>
        </w:rPr>
        <w:t>AWL</w:t>
      </w:r>
      <w:r w:rsidR="00CA1132">
        <w:rPr>
          <w:rFonts w:cs="Arial"/>
        </w:rPr>
        <w:t>s</w:t>
      </w:r>
      <w:r w:rsidRPr="00C10027">
        <w:rPr>
          <w:rFonts w:cs="Arial"/>
        </w:rPr>
        <w:t>.</w:t>
      </w:r>
      <w:r>
        <w:rPr>
          <w:rFonts w:cs="Arial"/>
        </w:rPr>
        <w:t xml:space="preserve"> </w:t>
      </w:r>
    </w:p>
    <w:p w14:paraId="12C25E34" w14:textId="35D44398" w:rsidR="004662F6" w:rsidRDefault="004662F6" w:rsidP="004662F6">
      <w:pPr>
        <w:rPr>
          <w:rFonts w:cs="Arial"/>
        </w:rPr>
      </w:pPr>
      <w:r>
        <w:rPr>
          <w:rFonts w:cs="Arial"/>
        </w:rPr>
        <w:t>Similar to service</w:t>
      </w:r>
      <w:r w:rsidR="00575127">
        <w:rPr>
          <w:rFonts w:cs="Arial"/>
        </w:rPr>
        <w:t>-</w:t>
      </w:r>
      <w:r>
        <w:rPr>
          <w:rFonts w:cs="Arial"/>
        </w:rPr>
        <w:t>specific apparatus licensing, in selecting AWL arrangements applicable to any future allocation, we</w:t>
      </w:r>
      <w:r w:rsidRPr="00C10027">
        <w:rPr>
          <w:rFonts w:cs="Arial"/>
        </w:rPr>
        <w:t xml:space="preserve"> require a moderate degree of confidence that the</w:t>
      </w:r>
      <w:r>
        <w:rPr>
          <w:rFonts w:cs="Arial"/>
        </w:rPr>
        <w:t xml:space="preserve"> selected arrangements will continue to </w:t>
      </w:r>
      <w:r w:rsidRPr="00C10027">
        <w:rPr>
          <w:rFonts w:cs="Arial"/>
        </w:rPr>
        <w:t>maximise the overall public benefit</w:t>
      </w:r>
      <w:r>
        <w:rPr>
          <w:rFonts w:cs="Arial"/>
        </w:rPr>
        <w:t xml:space="preserve"> </w:t>
      </w:r>
      <w:r w:rsidRPr="00C10027">
        <w:rPr>
          <w:rFonts w:cs="Arial"/>
        </w:rPr>
        <w:t>throughout the licence</w:t>
      </w:r>
      <w:r>
        <w:rPr>
          <w:rFonts w:cs="Arial"/>
        </w:rPr>
        <w:t>’s term</w:t>
      </w:r>
      <w:r w:rsidRPr="00C10027">
        <w:rPr>
          <w:rFonts w:cs="Arial"/>
        </w:rPr>
        <w:t>. However, unlike service</w:t>
      </w:r>
      <w:r w:rsidR="00575127">
        <w:rPr>
          <w:rFonts w:cs="Arial"/>
        </w:rPr>
        <w:t>-</w:t>
      </w:r>
      <w:r w:rsidRPr="00C10027">
        <w:rPr>
          <w:rFonts w:cs="Arial"/>
        </w:rPr>
        <w:t xml:space="preserve">specific apparatus licences, trading of AWLs can result in changes of both users and </w:t>
      </w:r>
      <w:r>
        <w:rPr>
          <w:rFonts w:cs="Arial"/>
        </w:rPr>
        <w:t xml:space="preserve">thus </w:t>
      </w:r>
      <w:r w:rsidRPr="00C10027">
        <w:rPr>
          <w:rFonts w:cs="Arial"/>
        </w:rPr>
        <w:t>provide</w:t>
      </w:r>
      <w:r>
        <w:rPr>
          <w:rFonts w:cs="Arial"/>
        </w:rPr>
        <w:t>s</w:t>
      </w:r>
      <w:r w:rsidRPr="00C10027">
        <w:rPr>
          <w:rFonts w:cs="Arial"/>
        </w:rPr>
        <w:t xml:space="preserve"> more utility in ensuring spectrum continues to maximise the overall public benefit</w:t>
      </w:r>
      <w:r>
        <w:rPr>
          <w:rFonts w:cs="Arial"/>
        </w:rPr>
        <w:t xml:space="preserve">. </w:t>
      </w:r>
    </w:p>
    <w:p w14:paraId="3B7D2437" w14:textId="77777777" w:rsidR="00B1082E" w:rsidRDefault="00B1082E" w:rsidP="005D04E7">
      <w:pPr>
        <w:pStyle w:val="Heading3"/>
        <w:rPr>
          <w:rFonts w:eastAsia="Arial"/>
        </w:rPr>
      </w:pPr>
      <w:bookmarkStart w:id="18" w:name="_Toc65835944"/>
      <w:r>
        <w:rPr>
          <w:rFonts w:eastAsia="Arial"/>
        </w:rPr>
        <w:t>Broadcasting transmitter licences</w:t>
      </w:r>
      <w:bookmarkEnd w:id="18"/>
    </w:p>
    <w:p w14:paraId="4AE33124" w14:textId="016B7653" w:rsidR="00B1082E" w:rsidRPr="00546F44" w:rsidRDefault="00B1082E" w:rsidP="00B1082E">
      <w:pPr>
        <w:rPr>
          <w:rFonts w:cs="Arial"/>
        </w:rPr>
      </w:pPr>
      <w:r w:rsidRPr="00546F44">
        <w:t xml:space="preserve">The Modernisation Act does not </w:t>
      </w:r>
      <w:r w:rsidRPr="00546F44">
        <w:rPr>
          <w:rFonts w:cs="Arial"/>
        </w:rPr>
        <w:t xml:space="preserve">materially </w:t>
      </w:r>
      <w:r w:rsidRPr="00546F44">
        <w:t xml:space="preserve">alter the licensing and allocation arrangements that apply to broadcast transmitter </w:t>
      </w:r>
      <w:r w:rsidRPr="00546F44">
        <w:rPr>
          <w:rFonts w:cs="Arial"/>
        </w:rPr>
        <w:t>licensees</w:t>
      </w:r>
      <w:r w:rsidR="00873354">
        <w:rPr>
          <w:rFonts w:cs="Arial"/>
        </w:rPr>
        <w:t>,</w:t>
      </w:r>
      <w:r>
        <w:rPr>
          <w:rFonts w:cs="Arial"/>
        </w:rPr>
        <w:t xml:space="preserve"> which are a category of apparatus licences</w:t>
      </w:r>
      <w:r w:rsidRPr="00546F44">
        <w:rPr>
          <w:rFonts w:cs="Arial"/>
        </w:rPr>
        <w:t xml:space="preserve">. </w:t>
      </w:r>
      <w:r>
        <w:rPr>
          <w:rFonts w:cs="Arial"/>
        </w:rPr>
        <w:t>C</w:t>
      </w:r>
      <w:r w:rsidRPr="00546F44">
        <w:rPr>
          <w:rFonts w:cs="Arial"/>
        </w:rPr>
        <w:t>ertain broadcasting licences, including those issued under section 101A (temporary community broadcasting transmitter licences) and section 102 (commercial and long-term community broadcasting transmitter licences) of the Act, as well as digital radio multiplex transmitter licences, are not affected by the Modernisation Act.</w:t>
      </w:r>
    </w:p>
    <w:p w14:paraId="08E0FFC8" w14:textId="12A705E7" w:rsidR="00B1082E" w:rsidRDefault="00B1082E" w:rsidP="00B1082E">
      <w:pPr>
        <w:rPr>
          <w:rFonts w:cs="Arial"/>
        </w:rPr>
      </w:pPr>
      <w:r w:rsidRPr="00546F44">
        <w:rPr>
          <w:rFonts w:cs="Arial"/>
        </w:rPr>
        <w:t>The core changes to broadcasting licences introduced by the Modernisation Act</w:t>
      </w:r>
      <w:r>
        <w:rPr>
          <w:rFonts w:cs="Arial"/>
        </w:rPr>
        <w:t xml:space="preserve"> remove </w:t>
      </w:r>
      <w:r w:rsidRPr="00546F44">
        <w:rPr>
          <w:rFonts w:cs="Arial"/>
        </w:rPr>
        <w:t xml:space="preserve">provisions relating to the datacasting transmitter licence regime. </w:t>
      </w:r>
    </w:p>
    <w:p w14:paraId="3AC15CFF" w14:textId="6F17EDD8" w:rsidR="00B1082E" w:rsidRPr="00546F44" w:rsidRDefault="00B1082E" w:rsidP="00B1082E">
      <w:pPr>
        <w:rPr>
          <w:rFonts w:cs="Arial"/>
        </w:rPr>
      </w:pPr>
      <w:r w:rsidRPr="00546F44">
        <w:rPr>
          <w:rFonts w:cs="Arial"/>
        </w:rPr>
        <w:t>Datacasting (content) licences for commercial television broadcasting licensees</w:t>
      </w:r>
      <w:r>
        <w:rPr>
          <w:rFonts w:cs="Arial"/>
        </w:rPr>
        <w:t>,</w:t>
      </w:r>
      <w:r w:rsidRPr="00546F44">
        <w:rPr>
          <w:rFonts w:cs="Arial"/>
        </w:rPr>
        <w:t xml:space="preserve"> </w:t>
      </w:r>
      <w:r>
        <w:rPr>
          <w:rFonts w:cs="Arial"/>
        </w:rPr>
        <w:t xml:space="preserve">however, </w:t>
      </w:r>
      <w:r w:rsidRPr="00546F44">
        <w:rPr>
          <w:rFonts w:cs="Arial"/>
        </w:rPr>
        <w:t xml:space="preserve">will remain under Schedule 6 of the </w:t>
      </w:r>
      <w:hyperlink r:id="rId32" w:history="1">
        <w:r w:rsidRPr="00D06666">
          <w:rPr>
            <w:rStyle w:val="Hyperlink"/>
            <w:rFonts w:cs="Arial"/>
            <w:i/>
            <w:iCs/>
          </w:rPr>
          <w:t>Broadcasting Services Act 1992</w:t>
        </w:r>
      </w:hyperlink>
      <w:r w:rsidRPr="00546F44">
        <w:rPr>
          <w:rFonts w:cs="Arial"/>
        </w:rPr>
        <w:t xml:space="preserve"> (the BSA).</w:t>
      </w:r>
      <w:r>
        <w:rPr>
          <w:rFonts w:cs="Arial"/>
        </w:rPr>
        <w:t xml:space="preserve"> </w:t>
      </w:r>
      <w:r w:rsidRPr="00546F44">
        <w:rPr>
          <w:rFonts w:cs="Arial"/>
        </w:rPr>
        <w:t xml:space="preserve">Commercial television broadcasters </w:t>
      </w:r>
      <w:r>
        <w:rPr>
          <w:rFonts w:cs="Arial"/>
        </w:rPr>
        <w:t>providing</w:t>
      </w:r>
      <w:r w:rsidRPr="00546F44">
        <w:rPr>
          <w:rFonts w:cs="Arial"/>
        </w:rPr>
        <w:t xml:space="preserve"> datacasting services will be </w:t>
      </w:r>
      <w:r w:rsidRPr="00546F44">
        <w:rPr>
          <w:rFonts w:cs="Arial"/>
        </w:rPr>
        <w:lastRenderedPageBreak/>
        <w:t>unaffected b</w:t>
      </w:r>
      <w:r w:rsidR="001A5CAD">
        <w:rPr>
          <w:rFonts w:cs="Arial"/>
        </w:rPr>
        <w:t>y</w:t>
      </w:r>
      <w:r w:rsidRPr="00546F44">
        <w:rPr>
          <w:rFonts w:cs="Arial"/>
        </w:rPr>
        <w:t xml:space="preserve"> the changes. These transmissions remain authorised by the same section 102 transmitter licences that authorise commercial television broadcasting service transmissions.</w:t>
      </w:r>
    </w:p>
    <w:p w14:paraId="2719651A" w14:textId="2C9A27CB" w:rsidR="00B1082E" w:rsidRPr="00546F44" w:rsidRDefault="00B1082E" w:rsidP="00B1082E">
      <w:pPr>
        <w:rPr>
          <w:rFonts w:cs="Arial"/>
        </w:rPr>
      </w:pPr>
      <w:r>
        <w:rPr>
          <w:rFonts w:cs="Arial"/>
        </w:rPr>
        <w:t>T</w:t>
      </w:r>
      <w:r w:rsidRPr="00546F44">
        <w:rPr>
          <w:rFonts w:cs="Arial"/>
        </w:rPr>
        <w:t>he Modernisation Act also makes some changes affecting the licensing arrangements for licences issued under section 100 of the Act</w:t>
      </w:r>
      <w:r w:rsidR="00A341CD">
        <w:rPr>
          <w:rFonts w:cs="Arial"/>
        </w:rPr>
        <w:t>, including</w:t>
      </w:r>
      <w:r w:rsidRPr="00546F44">
        <w:rPr>
          <w:rFonts w:cs="Arial"/>
        </w:rPr>
        <w:t xml:space="preserve"> narrowcasting and national broadcasting service (NBS) transmitter licences. </w:t>
      </w:r>
    </w:p>
    <w:p w14:paraId="14484E58" w14:textId="0592E6C5" w:rsidR="00B1082E" w:rsidRDefault="00B1082E" w:rsidP="00B1082E">
      <w:pPr>
        <w:rPr>
          <w:rFonts w:cs="Arial"/>
        </w:rPr>
      </w:pPr>
      <w:r w:rsidRPr="00546F44">
        <w:rPr>
          <w:rFonts w:cs="Arial"/>
        </w:rPr>
        <w:t xml:space="preserve">Amendments to the Act allow us to issue NBS transmitter and narrowcasting licences for periods of up to 20 years. </w:t>
      </w:r>
      <w:r>
        <w:rPr>
          <w:rFonts w:cs="Arial"/>
        </w:rPr>
        <w:t>N</w:t>
      </w:r>
      <w:r w:rsidRPr="00546F44">
        <w:rPr>
          <w:rFonts w:cs="Arial"/>
        </w:rPr>
        <w:t>arrowcasting licence terms will continue to be constrained by the period determined under section 34 of the BSA</w:t>
      </w:r>
      <w:r w:rsidRPr="00546F44">
        <w:rPr>
          <w:rFonts w:cs="Arial"/>
          <w:i/>
          <w:iCs/>
        </w:rPr>
        <w:t xml:space="preserve">, </w:t>
      </w:r>
      <w:r w:rsidRPr="00546F44">
        <w:rPr>
          <w:rFonts w:cs="Arial"/>
        </w:rPr>
        <w:t xml:space="preserve">which </w:t>
      </w:r>
      <w:r>
        <w:rPr>
          <w:rFonts w:cs="Arial"/>
        </w:rPr>
        <w:t>is</w:t>
      </w:r>
      <w:r w:rsidRPr="00546F44">
        <w:rPr>
          <w:rFonts w:cs="Arial"/>
        </w:rPr>
        <w:t xml:space="preserve"> generally, but not always, </w:t>
      </w:r>
      <w:r w:rsidR="00083C22">
        <w:rPr>
          <w:rFonts w:cs="Arial"/>
        </w:rPr>
        <w:t>5</w:t>
      </w:r>
      <w:r w:rsidR="00083C22" w:rsidRPr="00546F44">
        <w:rPr>
          <w:rFonts w:cs="Arial"/>
        </w:rPr>
        <w:t xml:space="preserve"> </w:t>
      </w:r>
      <w:r w:rsidRPr="00546F44">
        <w:rPr>
          <w:rFonts w:cs="Arial"/>
        </w:rPr>
        <w:t>years.</w:t>
      </w:r>
      <w:r>
        <w:rPr>
          <w:rStyle w:val="FootnoteReference"/>
          <w:rFonts w:cs="Arial"/>
        </w:rPr>
        <w:footnoteReference w:id="7"/>
      </w:r>
      <w:r w:rsidRPr="00546F44">
        <w:rPr>
          <w:rFonts w:cs="Arial"/>
        </w:rPr>
        <w:t xml:space="preserve"> </w:t>
      </w:r>
    </w:p>
    <w:p w14:paraId="34F24CC7" w14:textId="30F5508E" w:rsidR="00B1082E" w:rsidRPr="00546F44" w:rsidRDefault="00B1082E" w:rsidP="00B1082E">
      <w:pPr>
        <w:rPr>
          <w:rFonts w:cs="Arial"/>
        </w:rPr>
      </w:pPr>
      <w:r w:rsidRPr="00546F44">
        <w:rPr>
          <w:rFonts w:cs="Arial"/>
        </w:rPr>
        <w:t xml:space="preserve">As the intent of the Modernisation Act was not to change the arrangements for licensing of broadcasting services, </w:t>
      </w:r>
      <w:r>
        <w:rPr>
          <w:rFonts w:cs="Arial"/>
        </w:rPr>
        <w:t>we</w:t>
      </w:r>
      <w:r w:rsidRPr="00546F44">
        <w:rPr>
          <w:rFonts w:cs="Arial"/>
        </w:rPr>
        <w:t xml:space="preserve"> intend to continue to issue NBS licences for a duration of up to </w:t>
      </w:r>
      <w:r w:rsidR="007261C9">
        <w:rPr>
          <w:rFonts w:cs="Arial"/>
        </w:rPr>
        <w:t>5</w:t>
      </w:r>
      <w:r w:rsidR="007261C9" w:rsidRPr="00546F44">
        <w:rPr>
          <w:rFonts w:cs="Arial"/>
        </w:rPr>
        <w:t xml:space="preserve"> </w:t>
      </w:r>
      <w:r w:rsidRPr="00546F44">
        <w:rPr>
          <w:rFonts w:cs="Arial"/>
        </w:rPr>
        <w:t>years, and narrowcasting licence</w:t>
      </w:r>
      <w:r w:rsidR="00A341CD">
        <w:rPr>
          <w:rFonts w:cs="Arial"/>
        </w:rPr>
        <w:t>s</w:t>
      </w:r>
      <w:r w:rsidRPr="00546F44">
        <w:rPr>
          <w:rFonts w:cs="Arial"/>
        </w:rPr>
        <w:t xml:space="preserve"> for the periods determined under section 34 of the BSA. This approach preserve</w:t>
      </w:r>
      <w:r>
        <w:rPr>
          <w:rFonts w:cs="Arial"/>
        </w:rPr>
        <w:t>s</w:t>
      </w:r>
      <w:r w:rsidRPr="00546F44">
        <w:rPr>
          <w:rFonts w:cs="Arial"/>
        </w:rPr>
        <w:t xml:space="preserve"> planning flexibility to continue the process of AM-FM conversions and allow</w:t>
      </w:r>
      <w:r w:rsidR="00A341CD">
        <w:rPr>
          <w:rFonts w:cs="Arial"/>
        </w:rPr>
        <w:t>s</w:t>
      </w:r>
      <w:r w:rsidRPr="00546F44">
        <w:rPr>
          <w:rFonts w:cs="Arial"/>
        </w:rPr>
        <w:t xml:space="preserve"> for changes of </w:t>
      </w:r>
      <w:r>
        <w:rPr>
          <w:rFonts w:cs="Arial"/>
        </w:rPr>
        <w:t xml:space="preserve">the </w:t>
      </w:r>
      <w:r w:rsidRPr="00546F44">
        <w:rPr>
          <w:rFonts w:cs="Arial"/>
        </w:rPr>
        <w:t xml:space="preserve">technical specification of licences when necessary due to, for example, changes in transmitter site location or broadcasting site infrastructure affecting a number of co-sited services. </w:t>
      </w:r>
    </w:p>
    <w:p w14:paraId="4E783AB8" w14:textId="35287CFB" w:rsidR="00B1082E" w:rsidRDefault="00B1082E" w:rsidP="00B1082E">
      <w:pPr>
        <w:rPr>
          <w:rFonts w:cs="Arial"/>
        </w:rPr>
      </w:pPr>
      <w:r w:rsidRPr="00546F44">
        <w:rPr>
          <w:rFonts w:cs="Arial"/>
        </w:rPr>
        <w:t xml:space="preserve">The Modernisation Act also allows us to include renewal and public interest statements in NBS transmitter licences and narrowcasting licences. Consistent with other apparatus licences, these renewal statements may either indicate that a licence </w:t>
      </w:r>
      <w:r w:rsidR="00CD21C5">
        <w:rPr>
          <w:rFonts w:cs="Arial"/>
        </w:rPr>
        <w:t>must</w:t>
      </w:r>
      <w:r w:rsidRPr="00546F44">
        <w:rPr>
          <w:rFonts w:cs="Arial"/>
        </w:rPr>
        <w:t xml:space="preserve"> not be renewed</w:t>
      </w:r>
      <w:r w:rsidR="001223B1">
        <w:rPr>
          <w:rFonts w:cs="Arial"/>
        </w:rPr>
        <w:t>,</w:t>
      </w:r>
      <w:r w:rsidRPr="00546F44">
        <w:rPr>
          <w:rFonts w:cs="Arial"/>
        </w:rPr>
        <w:t xml:space="preserve"> or can be renewed at </w:t>
      </w:r>
      <w:r w:rsidR="00BA4BE3">
        <w:rPr>
          <w:rFonts w:cs="Arial"/>
        </w:rPr>
        <w:t>our discretion</w:t>
      </w:r>
      <w:r w:rsidRPr="00546F44">
        <w:rPr>
          <w:rFonts w:cs="Arial"/>
        </w:rPr>
        <w:t xml:space="preserve"> so long as specified circumstances exist. Public interest statements may only be included in </w:t>
      </w:r>
      <w:r>
        <w:rPr>
          <w:rFonts w:cs="Arial"/>
        </w:rPr>
        <w:t xml:space="preserve">apparatus </w:t>
      </w:r>
      <w:r w:rsidRPr="00546F44">
        <w:rPr>
          <w:rFonts w:cs="Arial"/>
        </w:rPr>
        <w:t xml:space="preserve">licences </w:t>
      </w:r>
      <w:r>
        <w:rPr>
          <w:rFonts w:cs="Arial"/>
        </w:rPr>
        <w:t xml:space="preserve">that include </w:t>
      </w:r>
      <w:r w:rsidR="0066468F">
        <w:rPr>
          <w:rFonts w:cs="Arial"/>
        </w:rPr>
        <w:t xml:space="preserve">such </w:t>
      </w:r>
      <w:r>
        <w:rPr>
          <w:rFonts w:cs="Arial"/>
        </w:rPr>
        <w:t>a</w:t>
      </w:r>
      <w:r w:rsidRPr="00546F44">
        <w:rPr>
          <w:rFonts w:cs="Arial"/>
        </w:rPr>
        <w:t xml:space="preserve"> renewal statement</w:t>
      </w:r>
      <w:r>
        <w:rPr>
          <w:rFonts w:cs="Arial"/>
        </w:rPr>
        <w:t xml:space="preserve">. </w:t>
      </w:r>
    </w:p>
    <w:p w14:paraId="5232D8A5" w14:textId="1181AE45" w:rsidR="00D72174" w:rsidRDefault="00B1082E" w:rsidP="00B1082E">
      <w:pPr>
        <w:rPr>
          <w:rFonts w:cs="Arial"/>
        </w:rPr>
      </w:pPr>
      <w:r w:rsidRPr="00546F44">
        <w:t xml:space="preserve">The Modernisation Act also requires </w:t>
      </w:r>
      <w:r w:rsidR="00677659">
        <w:t>us</w:t>
      </w:r>
      <w:r w:rsidRPr="00546F44" w:rsidDel="00677659">
        <w:t xml:space="preserve"> </w:t>
      </w:r>
      <w:r w:rsidRPr="00546F44">
        <w:t xml:space="preserve">to apply a public interest test in considering whether to renew a NBS transmitter licence or narrowcasting licence with a new licence term exceeding 10 years, regardless of whether the licence includes a public interest statement. In applying a public interest test, we would </w:t>
      </w:r>
      <w:r w:rsidR="007108E0">
        <w:t xml:space="preserve">consider </w:t>
      </w:r>
      <w:r w:rsidR="0066468F">
        <w:t xml:space="preserve">the </w:t>
      </w:r>
      <w:r w:rsidRPr="00546F44">
        <w:t xml:space="preserve">matters described in the public interest test section set out </w:t>
      </w:r>
      <w:r w:rsidR="00177A44">
        <w:t>later</w:t>
      </w:r>
      <w:r w:rsidR="00177A44" w:rsidRPr="00546F44">
        <w:t xml:space="preserve"> </w:t>
      </w:r>
      <w:r w:rsidRPr="00546F44">
        <w:t xml:space="preserve">in this paper. </w:t>
      </w:r>
      <w:r w:rsidR="00D72174">
        <w:t xml:space="preserve">Noting that we do not intend to offer </w:t>
      </w:r>
      <w:r w:rsidR="00B939DF">
        <w:t xml:space="preserve">NBS transmitter or narrowcasting licences for periods exceeding </w:t>
      </w:r>
      <w:r w:rsidR="00A87FB2">
        <w:t>5 years, we will</w:t>
      </w:r>
      <w:r w:rsidR="008744BA">
        <w:t xml:space="preserve"> generally</w:t>
      </w:r>
      <w:r w:rsidR="00A87FB2">
        <w:t xml:space="preserve"> not be required to undertake a public interest test in considering whether to renew </w:t>
      </w:r>
      <w:r w:rsidR="002A0BDB">
        <w:t>either licence.</w:t>
      </w:r>
      <w:r w:rsidR="002A0BDB" w:rsidDel="00C75445">
        <w:t xml:space="preserve"> </w:t>
      </w:r>
      <w:r w:rsidR="00106C5A" w:rsidRPr="00106C5A">
        <w:t xml:space="preserve">Consistent with our intent to continue current arrangements for the licensing of broadcasting services, </w:t>
      </w:r>
      <w:r w:rsidR="00B367A6">
        <w:t xml:space="preserve">we do not intend </w:t>
      </w:r>
      <w:r w:rsidR="00106C5A" w:rsidRPr="00106C5A">
        <w:t>to include a renewal statement in NBS transmitter licences or narrowcasting licences.</w:t>
      </w:r>
    </w:p>
    <w:p w14:paraId="22683748" w14:textId="5E213ECB" w:rsidR="00261B28" w:rsidRDefault="007D6279" w:rsidP="005D04E7">
      <w:pPr>
        <w:pStyle w:val="Heading3"/>
      </w:pPr>
      <w:bookmarkStart w:id="19" w:name="_Toc65835945"/>
      <w:r w:rsidRPr="00C10027">
        <w:t xml:space="preserve">Apparatus licences </w:t>
      </w:r>
      <w:r>
        <w:t xml:space="preserve">of a </w:t>
      </w:r>
      <w:r w:rsidR="00254909">
        <w:t>non-</w:t>
      </w:r>
      <w:r>
        <w:t>specified type</w:t>
      </w:r>
      <w:bookmarkEnd w:id="19"/>
    </w:p>
    <w:p w14:paraId="77BAFE6C" w14:textId="1DFDE266" w:rsidR="00261B28" w:rsidRDefault="00261B28" w:rsidP="00AE383B">
      <w:pPr>
        <w:pStyle w:val="Paragraph"/>
        <w:rPr>
          <w:shd w:val="clear" w:color="auto" w:fill="FFFFFF"/>
        </w:rPr>
      </w:pPr>
      <w:r w:rsidRPr="005D04E7">
        <w:rPr>
          <w:szCs w:val="20"/>
        </w:rPr>
        <w:t xml:space="preserve">Subsection 98(1) of the Act provides that </w:t>
      </w:r>
      <w:r w:rsidR="00DF6654">
        <w:rPr>
          <w:szCs w:val="20"/>
        </w:rPr>
        <w:t>we</w:t>
      </w:r>
      <w:r w:rsidRPr="005D04E7">
        <w:rPr>
          <w:szCs w:val="20"/>
        </w:rPr>
        <w:t xml:space="preserve"> may determine, via legislative instrument, the</w:t>
      </w:r>
      <w:r w:rsidRPr="005D04E7">
        <w:rPr>
          <w:szCs w:val="20"/>
          <w:shd w:val="clear" w:color="auto" w:fill="FFFFFF"/>
        </w:rPr>
        <w:t xml:space="preserve"> types of transmitter licences and the types of receiver licences that </w:t>
      </w:r>
      <w:r w:rsidR="00603487">
        <w:rPr>
          <w:szCs w:val="20"/>
          <w:shd w:val="clear" w:color="auto" w:fill="FFFFFF"/>
        </w:rPr>
        <w:t>we</w:t>
      </w:r>
      <w:r w:rsidR="00603487" w:rsidRPr="005D04E7">
        <w:rPr>
          <w:szCs w:val="20"/>
          <w:shd w:val="clear" w:color="auto" w:fill="FFFFFF"/>
        </w:rPr>
        <w:t xml:space="preserve"> </w:t>
      </w:r>
      <w:r w:rsidRPr="005D04E7">
        <w:rPr>
          <w:szCs w:val="20"/>
          <w:shd w:val="clear" w:color="auto" w:fill="FFFFFF"/>
        </w:rPr>
        <w:t xml:space="preserve">may issue. The types of apparatus licences that </w:t>
      </w:r>
      <w:r w:rsidR="00DF6654">
        <w:rPr>
          <w:szCs w:val="20"/>
          <w:shd w:val="clear" w:color="auto" w:fill="FFFFFF"/>
        </w:rPr>
        <w:t>we</w:t>
      </w:r>
      <w:r w:rsidRPr="005D04E7">
        <w:rPr>
          <w:szCs w:val="20"/>
          <w:shd w:val="clear" w:color="auto" w:fill="FFFFFF"/>
        </w:rPr>
        <w:t xml:space="preserve"> may issue are</w:t>
      </w:r>
      <w:r w:rsidRPr="005D04E7" w:rsidDel="00A57421">
        <w:rPr>
          <w:szCs w:val="20"/>
          <w:shd w:val="clear" w:color="auto" w:fill="FFFFFF"/>
        </w:rPr>
        <w:t xml:space="preserve"> </w:t>
      </w:r>
      <w:r w:rsidR="00A57421">
        <w:rPr>
          <w:szCs w:val="20"/>
          <w:shd w:val="clear" w:color="auto" w:fill="FFFFFF"/>
        </w:rPr>
        <w:t>specified</w:t>
      </w:r>
      <w:r w:rsidR="00A57421" w:rsidRPr="005D04E7">
        <w:rPr>
          <w:szCs w:val="20"/>
          <w:shd w:val="clear" w:color="auto" w:fill="FFFFFF"/>
        </w:rPr>
        <w:t xml:space="preserve"> </w:t>
      </w:r>
      <w:r w:rsidRPr="005D04E7">
        <w:rPr>
          <w:szCs w:val="20"/>
          <w:shd w:val="clear" w:color="auto" w:fill="FFFFFF"/>
        </w:rPr>
        <w:t xml:space="preserve">in the </w:t>
      </w:r>
      <w:hyperlink r:id="rId33" w:history="1">
        <w:r w:rsidRPr="00936657">
          <w:rPr>
            <w:rStyle w:val="Hyperlink"/>
            <w:szCs w:val="20"/>
            <w:shd w:val="clear" w:color="auto" w:fill="FFFFFF"/>
          </w:rPr>
          <w:t>Radiocommunications (Specified Radiocommunications Receivers and Types of Transmitter and Receiver Licences) Determination 2014</w:t>
        </w:r>
      </w:hyperlink>
      <w:r w:rsidRPr="005D04E7">
        <w:rPr>
          <w:szCs w:val="20"/>
          <w:shd w:val="clear" w:color="auto" w:fill="FFFFFF"/>
        </w:rPr>
        <w:t xml:space="preserve">. </w:t>
      </w:r>
    </w:p>
    <w:p w14:paraId="59FAE797" w14:textId="39DAD87C" w:rsidR="00261B28" w:rsidRPr="005D04E7" w:rsidRDefault="00261B28" w:rsidP="00086489">
      <w:pPr>
        <w:pStyle w:val="Paragraph"/>
      </w:pPr>
      <w:r w:rsidRPr="005D04E7">
        <w:t xml:space="preserve">Under subsection 98(2), </w:t>
      </w:r>
      <w:r w:rsidR="00DF6654">
        <w:t>we were</w:t>
      </w:r>
      <w:r w:rsidRPr="005D04E7">
        <w:t xml:space="preserve"> </w:t>
      </w:r>
      <w:r w:rsidR="005D04E7" w:rsidRPr="005D04E7">
        <w:t xml:space="preserve">previously </w:t>
      </w:r>
      <w:r w:rsidRPr="005D04E7">
        <w:t xml:space="preserve">prevented from issuing an apparatus licence of a type not </w:t>
      </w:r>
      <w:r w:rsidR="00A57421">
        <w:t>specified</w:t>
      </w:r>
      <w:r w:rsidR="00A57421" w:rsidRPr="005D04E7">
        <w:t xml:space="preserve"> </w:t>
      </w:r>
      <w:r w:rsidRPr="005D04E7">
        <w:t>in that determination. The Modernisation Act amend</w:t>
      </w:r>
      <w:r w:rsidR="00671405">
        <w:t>s</w:t>
      </w:r>
      <w:r w:rsidRPr="005D04E7">
        <w:t xml:space="preserve"> subsection 98(2), which now provides that </w:t>
      </w:r>
      <w:r w:rsidR="00DF6654">
        <w:t xml:space="preserve">we </w:t>
      </w:r>
      <w:r w:rsidRPr="005D04E7">
        <w:t>may issue an apparatus licence that is not of a type specified in the determination.</w:t>
      </w:r>
    </w:p>
    <w:p w14:paraId="26811893" w14:textId="37073C59" w:rsidR="007D6279" w:rsidRPr="005D04E7" w:rsidRDefault="002701AB" w:rsidP="005D04E7">
      <w:pPr>
        <w:pStyle w:val="Paragraph"/>
      </w:pPr>
      <w:r w:rsidRPr="005D04E7">
        <w:lastRenderedPageBreak/>
        <w:t>We expect to continue to rely principally on the existing apparatus licence types as these are useful in creating familiar licensing products for a wide market</w:t>
      </w:r>
      <w:r w:rsidR="007108E0">
        <w:t>,</w:t>
      </w:r>
      <w:r w:rsidRPr="005D04E7">
        <w:t xml:space="preserve"> </w:t>
      </w:r>
      <w:r w:rsidR="006D284E">
        <w:t xml:space="preserve">along with </w:t>
      </w:r>
      <w:r w:rsidRPr="005D04E7">
        <w:t>standardised pricing arrangements. However, t</w:t>
      </w:r>
      <w:r w:rsidR="00645E02" w:rsidRPr="005D04E7">
        <w:t>he</w:t>
      </w:r>
      <w:r w:rsidRPr="005D04E7">
        <w:t xml:space="preserve"> power to issue an apparatus </w:t>
      </w:r>
      <w:r w:rsidR="00346489">
        <w:t xml:space="preserve">licence </w:t>
      </w:r>
      <w:r w:rsidRPr="005D04E7">
        <w:t xml:space="preserve">of a non-specified type </w:t>
      </w:r>
      <w:r w:rsidR="007D6279" w:rsidRPr="005D04E7">
        <w:t xml:space="preserve">provides flexibility </w:t>
      </w:r>
      <w:r w:rsidR="00B05F87">
        <w:t xml:space="preserve">to licence </w:t>
      </w:r>
      <w:r w:rsidR="007D6279" w:rsidRPr="005D04E7">
        <w:t xml:space="preserve">devices that may not otherwise neatly fit into the existing service-specific apparatus licensing frameworks. </w:t>
      </w:r>
    </w:p>
    <w:p w14:paraId="41987487" w14:textId="7847D210" w:rsidR="007D6279" w:rsidRPr="005D04E7" w:rsidRDefault="007D6279" w:rsidP="005D04E7">
      <w:pPr>
        <w:pStyle w:val="Paragraph"/>
      </w:pPr>
      <w:r w:rsidRPr="005D04E7">
        <w:t>We</w:t>
      </w:r>
      <w:r w:rsidRPr="005D04E7" w:rsidDel="00721774">
        <w:t xml:space="preserve"> </w:t>
      </w:r>
      <w:r w:rsidRPr="005D04E7">
        <w:t xml:space="preserve">intend </w:t>
      </w:r>
      <w:r w:rsidR="002611B1" w:rsidRPr="005D04E7">
        <w:t>to</w:t>
      </w:r>
      <w:r w:rsidRPr="005D04E7">
        <w:t xml:space="preserve"> issue apparatus licences of a</w:t>
      </w:r>
      <w:r w:rsidR="00A57421">
        <w:t xml:space="preserve"> non-</w:t>
      </w:r>
      <w:r w:rsidRPr="005D04E7">
        <w:t xml:space="preserve">specified type on a limited basis, such as one-off use cases that cannot be licensed under the existing service types. </w:t>
      </w:r>
    </w:p>
    <w:p w14:paraId="32DDBEC7" w14:textId="66AED4EB" w:rsidR="00B1082E" w:rsidRPr="007D6279" w:rsidRDefault="007D6279" w:rsidP="004662F6">
      <w:r w:rsidRPr="00C10027">
        <w:t xml:space="preserve">While general taxation and charging arrangements are currently available for </w:t>
      </w:r>
      <w:r w:rsidR="00247505">
        <w:t xml:space="preserve">unspecified </w:t>
      </w:r>
      <w:r w:rsidRPr="00C10027">
        <w:t xml:space="preserve">apparatus </w:t>
      </w:r>
      <w:r w:rsidR="00247505" w:rsidRPr="00C10027">
        <w:t>licence</w:t>
      </w:r>
      <w:r w:rsidR="00247505">
        <w:t xml:space="preserve"> types</w:t>
      </w:r>
      <w:r w:rsidRPr="00C10027">
        <w:t xml:space="preserve">, </w:t>
      </w:r>
      <w:r w:rsidR="000805D0">
        <w:t xml:space="preserve">we </w:t>
      </w:r>
      <w:r w:rsidR="00247505">
        <w:t>will</w:t>
      </w:r>
      <w:r w:rsidR="000805D0">
        <w:t xml:space="preserve"> </w:t>
      </w:r>
      <w:r w:rsidR="006A6640" w:rsidRPr="00C10027">
        <w:t>consider</w:t>
      </w:r>
      <w:r w:rsidR="006A6640">
        <w:t xml:space="preserve"> </w:t>
      </w:r>
      <w:r w:rsidR="006A6640" w:rsidRPr="00C10027">
        <w:t xml:space="preserve">the applicable apparatus licence taxes and any administrative charges </w:t>
      </w:r>
      <w:r w:rsidR="00411A45">
        <w:t>reflect</w:t>
      </w:r>
      <w:r w:rsidR="00247505">
        <w:t>ing</w:t>
      </w:r>
      <w:r w:rsidR="00411A45">
        <w:t xml:space="preserve"> the parti</w:t>
      </w:r>
      <w:r w:rsidR="004A1CD7">
        <w:t xml:space="preserve">cular circumstances of the </w:t>
      </w:r>
      <w:r w:rsidR="00027300">
        <w:t xml:space="preserve">requested </w:t>
      </w:r>
      <w:r w:rsidR="004A1CD7">
        <w:t xml:space="preserve">spectrum use, and will </w:t>
      </w:r>
      <w:r w:rsidR="000805D0">
        <w:t>consult with prospective licen</w:t>
      </w:r>
      <w:r w:rsidR="004A1CD7">
        <w:t xml:space="preserve">sees. </w:t>
      </w:r>
    </w:p>
    <w:p w14:paraId="45A49C93" w14:textId="64477CE3" w:rsidR="004662F6" w:rsidRPr="00C10027" w:rsidRDefault="007056B5" w:rsidP="004662F6">
      <w:pPr>
        <w:pStyle w:val="Heading2"/>
        <w:rPr>
          <w:iCs w:val="0"/>
          <w:szCs w:val="26"/>
        </w:rPr>
      </w:pPr>
      <w:bookmarkStart w:id="20" w:name="_Toc65835946"/>
      <w:r>
        <w:t>When</w:t>
      </w:r>
      <w:r w:rsidDel="006B4F3B">
        <w:t xml:space="preserve"> </w:t>
      </w:r>
      <w:r>
        <w:t>c</w:t>
      </w:r>
      <w:r w:rsidR="004662F6" w:rsidRPr="00C10027">
        <w:t>lass licensing</w:t>
      </w:r>
      <w:r w:rsidR="00B1082E">
        <w:t xml:space="preserve"> </w:t>
      </w:r>
      <w:r w:rsidR="006B4F3B">
        <w:t xml:space="preserve">is </w:t>
      </w:r>
      <w:r w:rsidR="00B1082E">
        <w:t>appropriate</w:t>
      </w:r>
      <w:bookmarkEnd w:id="20"/>
    </w:p>
    <w:p w14:paraId="57178945" w14:textId="779FB9EB" w:rsidR="004662F6" w:rsidRPr="00C10027" w:rsidRDefault="004662F6" w:rsidP="004662F6">
      <w:pPr>
        <w:rPr>
          <w:rFonts w:cs="Arial"/>
        </w:rPr>
      </w:pPr>
      <w:r w:rsidRPr="00C10027">
        <w:rPr>
          <w:rFonts w:cs="Arial"/>
        </w:rPr>
        <w:t xml:space="preserve">Class licences provide for shared use of the spectrum, with minimal to no licensing hurdles and no associated regulatory fees for users. </w:t>
      </w:r>
      <w:r w:rsidR="00CE7A98">
        <w:rPr>
          <w:rFonts w:cs="Arial"/>
        </w:rPr>
        <w:t>In other countries t</w:t>
      </w:r>
      <w:r w:rsidRPr="00C10027">
        <w:rPr>
          <w:rFonts w:cs="Arial"/>
        </w:rPr>
        <w:t xml:space="preserve">his kind of licence is sometimes referred to as ‘unlicensed’ use or a general authorisation. </w:t>
      </w:r>
    </w:p>
    <w:p w14:paraId="3CF9FC0D" w14:textId="6FABC05F" w:rsidR="004662F6" w:rsidRPr="00C10027" w:rsidRDefault="004662F6" w:rsidP="004662F6">
      <w:pPr>
        <w:rPr>
          <w:rFonts w:cs="Arial"/>
        </w:rPr>
      </w:pPr>
      <w:r w:rsidRPr="00C10027">
        <w:rPr>
          <w:rFonts w:cs="Arial"/>
        </w:rPr>
        <w:t xml:space="preserve">Class licensing is useful in authorising the use of spectrum by </w:t>
      </w:r>
      <w:r>
        <w:rPr>
          <w:rFonts w:cs="Arial"/>
        </w:rPr>
        <w:t>‘</w:t>
      </w:r>
      <w:r w:rsidRPr="00C10027">
        <w:rPr>
          <w:rFonts w:cs="Arial"/>
        </w:rPr>
        <w:t>unaware</w:t>
      </w:r>
      <w:r>
        <w:rPr>
          <w:rFonts w:cs="Arial"/>
        </w:rPr>
        <w:t>’</w:t>
      </w:r>
      <w:r w:rsidRPr="00C10027">
        <w:rPr>
          <w:rFonts w:cs="Arial"/>
        </w:rPr>
        <w:t xml:space="preserve"> users (end-users who are </w:t>
      </w:r>
      <w:r>
        <w:rPr>
          <w:rFonts w:cs="Arial"/>
        </w:rPr>
        <w:t>not necessarily mindful</w:t>
      </w:r>
      <w:r w:rsidRPr="00C10027">
        <w:rPr>
          <w:rFonts w:cs="Arial"/>
        </w:rPr>
        <w:t xml:space="preserve"> of their use of the spectrum) and ubiquitous devices and technologies (for example, </w:t>
      </w:r>
      <w:r w:rsidR="00A148FE">
        <w:rPr>
          <w:rFonts w:cs="Arial"/>
        </w:rPr>
        <w:t>wi-fi</w:t>
      </w:r>
      <w:r w:rsidRPr="00C10027">
        <w:rPr>
          <w:rFonts w:cs="Arial"/>
        </w:rPr>
        <w:t>)</w:t>
      </w:r>
      <w:r>
        <w:rPr>
          <w:rFonts w:cs="Arial"/>
        </w:rPr>
        <w:t>,</w:t>
      </w:r>
      <w:r w:rsidRPr="00C10027">
        <w:rPr>
          <w:rFonts w:cs="Arial"/>
        </w:rPr>
        <w:t xml:space="preserve"> as the general authorisation provided means that users do not need to acquire individual licen</w:t>
      </w:r>
      <w:r>
        <w:rPr>
          <w:rFonts w:cs="Arial"/>
        </w:rPr>
        <w:t>ces</w:t>
      </w:r>
      <w:r w:rsidRPr="00C10027">
        <w:rPr>
          <w:rFonts w:cs="Arial"/>
        </w:rPr>
        <w:t xml:space="preserve"> to operate a device. </w:t>
      </w:r>
    </w:p>
    <w:p w14:paraId="5D474C59" w14:textId="28A6CCCB" w:rsidR="004662F6" w:rsidRPr="00C10027" w:rsidRDefault="004662F6" w:rsidP="004662F6">
      <w:pPr>
        <w:rPr>
          <w:rFonts w:cs="Arial"/>
        </w:rPr>
      </w:pPr>
      <w:r w:rsidRPr="00C10027">
        <w:rPr>
          <w:rFonts w:cs="Arial"/>
        </w:rPr>
        <w:t xml:space="preserve">Coexistence between devices authorised under a class licence is generally based on the device characteristics and is </w:t>
      </w:r>
      <w:r>
        <w:rPr>
          <w:rFonts w:cs="Arial"/>
        </w:rPr>
        <w:t>managed</w:t>
      </w:r>
      <w:r w:rsidRPr="00C10027">
        <w:rPr>
          <w:rFonts w:cs="Arial"/>
        </w:rPr>
        <w:t xml:space="preserve"> in the class licence conditions</w:t>
      </w:r>
      <w:r>
        <w:rPr>
          <w:rFonts w:cs="Arial"/>
        </w:rPr>
        <w:t>.</w:t>
      </w:r>
      <w:r w:rsidRPr="00C10027">
        <w:rPr>
          <w:rFonts w:cs="Arial"/>
        </w:rPr>
        <w:t xml:space="preserve"> </w:t>
      </w:r>
      <w:r w:rsidRPr="001B37D0">
        <w:rPr>
          <w:rFonts w:cs="Arial"/>
        </w:rPr>
        <w:t xml:space="preserve">Although a device operated under </w:t>
      </w:r>
      <w:r w:rsidR="00667DE3">
        <w:rPr>
          <w:rFonts w:cs="Arial"/>
        </w:rPr>
        <w:t xml:space="preserve">a </w:t>
      </w:r>
      <w:r>
        <w:rPr>
          <w:rFonts w:cs="Arial"/>
        </w:rPr>
        <w:t>class licence</w:t>
      </w:r>
      <w:r w:rsidRPr="001B37D0">
        <w:rPr>
          <w:rFonts w:cs="Arial"/>
        </w:rPr>
        <w:t xml:space="preserve"> </w:t>
      </w:r>
      <w:r>
        <w:rPr>
          <w:rFonts w:cs="Arial"/>
        </w:rPr>
        <w:t xml:space="preserve">is </w:t>
      </w:r>
      <w:r w:rsidRPr="001B37D0">
        <w:rPr>
          <w:rFonts w:cs="Arial"/>
        </w:rPr>
        <w:t xml:space="preserve">generally not expected to suffer interference, </w:t>
      </w:r>
      <w:r w:rsidR="002D0B3D">
        <w:rPr>
          <w:rFonts w:cs="Arial"/>
        </w:rPr>
        <w:t xml:space="preserve">we </w:t>
      </w:r>
      <w:r w:rsidR="00674509">
        <w:rPr>
          <w:rFonts w:cs="Arial"/>
        </w:rPr>
        <w:t xml:space="preserve">generally </w:t>
      </w:r>
      <w:r w:rsidR="002D0B3D">
        <w:rPr>
          <w:rFonts w:cs="Arial"/>
        </w:rPr>
        <w:t>have</w:t>
      </w:r>
      <w:r w:rsidRPr="001B37D0">
        <w:rPr>
          <w:rFonts w:cs="Arial"/>
        </w:rPr>
        <w:t xml:space="preserve"> a ‘no protection’ policy regarding </w:t>
      </w:r>
      <w:r>
        <w:rPr>
          <w:rFonts w:cs="Arial"/>
        </w:rPr>
        <w:t xml:space="preserve">class licensing. </w:t>
      </w:r>
    </w:p>
    <w:p w14:paraId="1348D311" w14:textId="4324358D" w:rsidR="004662F6" w:rsidRPr="00C10027" w:rsidRDefault="004662F6" w:rsidP="004662F6">
      <w:pPr>
        <w:rPr>
          <w:rFonts w:cs="Arial"/>
        </w:rPr>
      </w:pPr>
      <w:r>
        <w:rPr>
          <w:rFonts w:cs="Arial"/>
        </w:rPr>
        <w:t>It is uncommon</w:t>
      </w:r>
      <w:r w:rsidRPr="00C10027">
        <w:rPr>
          <w:rFonts w:cs="Arial"/>
        </w:rPr>
        <w:t xml:space="preserve"> for us to clear established users from class</w:t>
      </w:r>
      <w:r w:rsidR="00247505">
        <w:rPr>
          <w:rFonts w:cs="Arial"/>
        </w:rPr>
        <w:t>-</w:t>
      </w:r>
      <w:r w:rsidRPr="00C10027">
        <w:rPr>
          <w:rFonts w:cs="Arial"/>
        </w:rPr>
        <w:t>licensed spectrum</w:t>
      </w:r>
      <w:r>
        <w:rPr>
          <w:rFonts w:cs="Arial"/>
        </w:rPr>
        <w:t>.</w:t>
      </w:r>
      <w:r w:rsidRPr="00C10027">
        <w:rPr>
          <w:rFonts w:cs="Arial"/>
        </w:rPr>
        <w:t xml:space="preserve"> However, </w:t>
      </w:r>
      <w:r>
        <w:rPr>
          <w:rFonts w:cs="Arial"/>
        </w:rPr>
        <w:t xml:space="preserve">we have previously varied class licences </w:t>
      </w:r>
      <w:r w:rsidRPr="00C10027">
        <w:rPr>
          <w:rFonts w:cs="Arial"/>
        </w:rPr>
        <w:t xml:space="preserve">to reflect changes in the environment or developments in technology </w:t>
      </w:r>
      <w:r>
        <w:rPr>
          <w:rFonts w:cs="Arial"/>
        </w:rPr>
        <w:t>by</w:t>
      </w:r>
      <w:r w:rsidRPr="00C10027">
        <w:rPr>
          <w:rFonts w:cs="Arial"/>
        </w:rPr>
        <w:t xml:space="preserve"> providing additional uses or varied operating conditions. </w:t>
      </w:r>
    </w:p>
    <w:p w14:paraId="69B2F7A4" w14:textId="37612351" w:rsidR="00003206" w:rsidRDefault="000B112F" w:rsidP="00A36E66">
      <w:pPr>
        <w:pStyle w:val="Heading2"/>
      </w:pPr>
      <w:bookmarkStart w:id="21" w:name="_Toc65835947"/>
      <w:r>
        <w:t>C</w:t>
      </w:r>
      <w:r w:rsidR="004D2595">
        <w:t>onsult</w:t>
      </w:r>
      <w:r>
        <w:t>ing</w:t>
      </w:r>
      <w:r w:rsidR="004D2595">
        <w:t xml:space="preserve"> with you</w:t>
      </w:r>
      <w:r w:rsidR="00A36E66">
        <w:t xml:space="preserve"> about the </w:t>
      </w:r>
      <w:r w:rsidR="00054C9C">
        <w:t xml:space="preserve">form </w:t>
      </w:r>
      <w:r w:rsidR="00A36E66">
        <w:t>of licence category</w:t>
      </w:r>
      <w:bookmarkEnd w:id="21"/>
    </w:p>
    <w:p w14:paraId="22516597" w14:textId="2BA2ED69" w:rsidR="00A36E66" w:rsidRDefault="00C4412B" w:rsidP="00A36E66">
      <w:pPr>
        <w:pStyle w:val="Paragraph"/>
      </w:pPr>
      <w:r>
        <w:t>We intend</w:t>
      </w:r>
      <w:r w:rsidR="00A36E66">
        <w:t xml:space="preserve"> to continue</w:t>
      </w:r>
      <w:r w:rsidR="00A36E66" w:rsidDel="00D62E5C">
        <w:t xml:space="preserve"> </w:t>
      </w:r>
      <w:r w:rsidR="00D62E5C">
        <w:t xml:space="preserve">our </w:t>
      </w:r>
      <w:r w:rsidR="00A36E66">
        <w:t>practice of extensive consultation to inform the design of planning, licensing and allocation arrangements that will support the deployment of new communications technologies and to meet the needs of spectrum users.</w:t>
      </w:r>
      <w:r w:rsidR="005A3897" w:rsidDel="00C75445">
        <w:t xml:space="preserve"> </w:t>
      </w:r>
      <w:r w:rsidR="008F0E5A">
        <w:t xml:space="preserve">Our </w:t>
      </w:r>
      <w:r w:rsidR="005A3897">
        <w:t xml:space="preserve">annual work program </w:t>
      </w:r>
      <w:r w:rsidR="00894454">
        <w:t>will identify the relevant planning and licensing consultation opportunities.</w:t>
      </w:r>
    </w:p>
    <w:p w14:paraId="545D8202" w14:textId="0A099E80" w:rsidR="00A36E66" w:rsidRPr="00A36E66" w:rsidRDefault="00894454" w:rsidP="00A36E66">
      <w:pPr>
        <w:pStyle w:val="Paragraph"/>
      </w:pPr>
      <w:r>
        <w:t xml:space="preserve">In addition, we will respond to requests from prospective licensees </w:t>
      </w:r>
      <w:r w:rsidR="00852363">
        <w:t>to identify relevant licensing options that meet their spectrum requirements.</w:t>
      </w:r>
    </w:p>
    <w:p w14:paraId="6ADFF1BA" w14:textId="7FF560F9" w:rsidR="000B4664" w:rsidRDefault="00797A8A" w:rsidP="000B4664">
      <w:pPr>
        <w:pStyle w:val="Heading1"/>
      </w:pPr>
      <w:bookmarkStart w:id="22" w:name="_Toc65835948"/>
      <w:r w:rsidRPr="00DE4B87">
        <w:rPr>
          <w:rStyle w:val="Heading1Char"/>
        </w:rPr>
        <w:lastRenderedPageBreak/>
        <w:t xml:space="preserve">Licence </w:t>
      </w:r>
      <w:r w:rsidR="000115EA" w:rsidRPr="00DE4B87">
        <w:rPr>
          <w:rStyle w:val="Heading1Char"/>
        </w:rPr>
        <w:t>duration</w:t>
      </w:r>
      <w:bookmarkEnd w:id="22"/>
    </w:p>
    <w:p w14:paraId="65E85CF8" w14:textId="3B71BA39" w:rsidR="00223819" w:rsidRDefault="00D6189E" w:rsidP="00D72CD9">
      <w:pPr>
        <w:pStyle w:val="Paragraph"/>
      </w:pPr>
      <w:bookmarkStart w:id="23" w:name="_Toc61593404"/>
      <w:r>
        <w:t xml:space="preserve">Licence </w:t>
      </w:r>
      <w:r w:rsidR="00420BDD">
        <w:t xml:space="preserve">duration, along with </w:t>
      </w:r>
      <w:r>
        <w:t>renewal</w:t>
      </w:r>
      <w:r w:rsidR="00420BDD">
        <w:t>, is a</w:t>
      </w:r>
      <w:r>
        <w:t xml:space="preserve"> key tool in our ability to balance providing </w:t>
      </w:r>
      <w:r w:rsidR="0024225C">
        <w:t xml:space="preserve">investment and service </w:t>
      </w:r>
      <w:r w:rsidR="007D3C54">
        <w:t>predictability</w:t>
      </w:r>
      <w:r w:rsidR="0024225C">
        <w:t xml:space="preserve"> </w:t>
      </w:r>
      <w:r w:rsidR="00F9779D">
        <w:t>to licensees, with our</w:t>
      </w:r>
      <w:r w:rsidR="0024225C">
        <w:t xml:space="preserve"> </w:t>
      </w:r>
      <w:r w:rsidR="00F9779D">
        <w:t xml:space="preserve">ability to </w:t>
      </w:r>
      <w:r w:rsidR="002241A9">
        <w:t xml:space="preserve">efficiently manage </w:t>
      </w:r>
      <w:r w:rsidR="005D24CD">
        <w:t xml:space="preserve">the spectrum resource through </w:t>
      </w:r>
      <w:r w:rsidR="00F9779D">
        <w:t>replan</w:t>
      </w:r>
      <w:r w:rsidR="005D24CD">
        <w:t xml:space="preserve">ning and allocation </w:t>
      </w:r>
      <w:r w:rsidR="00742855">
        <w:t>and re-allocation</w:t>
      </w:r>
      <w:r w:rsidR="005D24CD">
        <w:t xml:space="preserve"> </w:t>
      </w:r>
      <w:r w:rsidR="00F9779D">
        <w:t xml:space="preserve">to maximise the public benefit. </w:t>
      </w:r>
      <w:r w:rsidR="008C32BB">
        <w:t>L</w:t>
      </w:r>
      <w:r w:rsidR="001F2D32" w:rsidRPr="001F2D32">
        <w:t>icence duration and renewal statements are key licence conditions, informed by planning arrangements and given effect through allocation and re</w:t>
      </w:r>
      <w:r w:rsidR="00585073">
        <w:t>-</w:t>
      </w:r>
      <w:r w:rsidR="001F2D32" w:rsidRPr="001F2D32">
        <w:t>allocation processes</w:t>
      </w:r>
      <w:r w:rsidR="008C32BB">
        <w:t>. We encourage</w:t>
      </w:r>
      <w:r w:rsidR="001F2D32" w:rsidRPr="001F2D32">
        <w:t xml:space="preserve"> stakeholders </w:t>
      </w:r>
      <w:r w:rsidR="00896C69">
        <w:t>t</w:t>
      </w:r>
      <w:r w:rsidR="001F2D32" w:rsidRPr="001F2D32">
        <w:t>o consider the operation of licence conditions and regulatory processes together.</w:t>
      </w:r>
    </w:p>
    <w:p w14:paraId="684A48BC" w14:textId="657FB043" w:rsidR="00044A64" w:rsidRDefault="007D5338" w:rsidP="00D72CD9">
      <w:pPr>
        <w:pStyle w:val="Paragraph"/>
      </w:pPr>
      <w:r>
        <w:t>As a general consideration</w:t>
      </w:r>
      <w:r w:rsidR="00941960">
        <w:t xml:space="preserve">, in making decisions on licence duration and renewal arrangements, </w:t>
      </w:r>
      <w:r w:rsidR="001A6C1F">
        <w:t>we are</w:t>
      </w:r>
      <w:r w:rsidR="00941960">
        <w:t xml:space="preserve"> seeking to balance </w:t>
      </w:r>
      <w:r w:rsidR="00071567">
        <w:t xml:space="preserve">2 </w:t>
      </w:r>
      <w:r w:rsidR="00223819">
        <w:t xml:space="preserve">competing priorities to support changes in spectrum use and spectrum users over time, both through replanning of spectrum for new uses and </w:t>
      </w:r>
      <w:r w:rsidR="000D0F1B">
        <w:t xml:space="preserve">enabling </w:t>
      </w:r>
      <w:r w:rsidR="00223819">
        <w:t>changes in licence h</w:t>
      </w:r>
      <w:r w:rsidR="000D0F1B">
        <w:t>oldings</w:t>
      </w:r>
      <w:r w:rsidR="00223819">
        <w:t>, with predictab</w:t>
      </w:r>
      <w:r w:rsidR="000D0F1B">
        <w:t>ility</w:t>
      </w:r>
      <w:r w:rsidR="00223819">
        <w:t xml:space="preserve"> of regulatory decision</w:t>
      </w:r>
      <w:r w:rsidR="00A92466">
        <w:t>-</w:t>
      </w:r>
      <w:r w:rsidR="00223819">
        <w:t xml:space="preserve">making to support confidence </w:t>
      </w:r>
      <w:r w:rsidR="0037189D">
        <w:t xml:space="preserve">in </w:t>
      </w:r>
      <w:r w:rsidR="00223819">
        <w:t>investment by spectrum user</w:t>
      </w:r>
      <w:r w:rsidR="00395C3B">
        <w:t>s</w:t>
      </w:r>
      <w:r w:rsidR="00133E50">
        <w:t>.</w:t>
      </w:r>
    </w:p>
    <w:bookmarkEnd w:id="23"/>
    <w:p w14:paraId="6B5B5B31" w14:textId="4B38B32C" w:rsidR="00EB7CD5" w:rsidRDefault="00EB7CD5" w:rsidP="00EB7CD5">
      <w:pPr>
        <w:pStyle w:val="Paragraph"/>
      </w:pPr>
      <w:r>
        <w:t>Prior to the Modernisation Act, we were able to issue apparatus and spectrum licences with maximum terms of 5 and 15 years</w:t>
      </w:r>
      <w:r w:rsidR="004B630C">
        <w:t>,</w:t>
      </w:r>
      <w:r>
        <w:t xml:space="preserve"> respectively. The Modernisation Act extends the maximum </w:t>
      </w:r>
      <w:r w:rsidR="00887DC0">
        <w:t xml:space="preserve">term </w:t>
      </w:r>
      <w:r>
        <w:t>of both apparatus and spectrum licences to 20 years</w:t>
      </w:r>
      <w:r w:rsidR="00EC03D0">
        <w:t>.</w:t>
      </w:r>
      <w:r w:rsidR="00CD44CC" w:rsidRPr="00CD44CC">
        <w:rPr>
          <w:rStyle w:val="FootnoteReference"/>
        </w:rPr>
        <w:t xml:space="preserve"> </w:t>
      </w:r>
    </w:p>
    <w:p w14:paraId="26DFA76E" w14:textId="1501F3DA" w:rsidR="00386CDE" w:rsidRDefault="003654E7" w:rsidP="00EB7CD5">
      <w:pPr>
        <w:pStyle w:val="Paragraph"/>
      </w:pPr>
      <w:r>
        <w:t xml:space="preserve">This change provides </w:t>
      </w:r>
      <w:r w:rsidR="00C90DF5">
        <w:t>us</w:t>
      </w:r>
      <w:r w:rsidDel="00C75445">
        <w:t xml:space="preserve"> </w:t>
      </w:r>
      <w:r>
        <w:t>with increased flexibility</w:t>
      </w:r>
      <w:r w:rsidR="00386CDE">
        <w:t xml:space="preserve"> to issue licences with longer terms</w:t>
      </w:r>
      <w:r w:rsidR="001835EE">
        <w:t xml:space="preserve">, </w:t>
      </w:r>
      <w:r w:rsidR="00386CDE">
        <w:t>balanc</w:t>
      </w:r>
      <w:r w:rsidR="001835EE">
        <w:t>ing</w:t>
      </w:r>
      <w:r w:rsidR="00386CDE">
        <w:t xml:space="preserve"> the benefits that longer licence</w:t>
      </w:r>
      <w:r w:rsidR="00CC5977">
        <w:t xml:space="preserve"> durations</w:t>
      </w:r>
      <w:r w:rsidR="00386CDE">
        <w:t xml:space="preserve"> can </w:t>
      </w:r>
      <w:r w:rsidR="00A817C6">
        <w:t>provide</w:t>
      </w:r>
      <w:r w:rsidR="00386CDE">
        <w:t xml:space="preserve"> in some cases (such as greater investment c</w:t>
      </w:r>
      <w:r w:rsidR="00BB2A22">
        <w:t>onfidence</w:t>
      </w:r>
      <w:r w:rsidR="00386CDE">
        <w:t>) with the need to retain</w:t>
      </w:r>
      <w:r w:rsidR="00801DA4">
        <w:t xml:space="preserve"> the</w:t>
      </w:r>
      <w:r w:rsidR="00386CDE">
        <w:t xml:space="preserve"> flexibility in spectrum management and planning processes that is more readily provided by shorter licence durations</w:t>
      </w:r>
      <w:r w:rsidR="00D81272">
        <w:t xml:space="preserve">. </w:t>
      </w:r>
    </w:p>
    <w:p w14:paraId="27231B4F" w14:textId="2E1251CB" w:rsidR="00576EFB" w:rsidRDefault="00C90DF5" w:rsidP="00936657">
      <w:pPr>
        <w:pStyle w:val="Paragraphbeforelist"/>
      </w:pPr>
      <w:r>
        <w:t>We are</w:t>
      </w:r>
      <w:r w:rsidR="00BC2984">
        <w:t xml:space="preserve"> </w:t>
      </w:r>
      <w:r w:rsidR="00352C33">
        <w:t>looking to support a range</w:t>
      </w:r>
      <w:r w:rsidR="00CD3AC9">
        <w:t xml:space="preserve"> </w:t>
      </w:r>
      <w:r w:rsidR="00352C33">
        <w:t xml:space="preserve">of different licence terms suitable for different spectrum uses. The ability to set various licence terms provides </w:t>
      </w:r>
      <w:r w:rsidR="002D1598">
        <w:t>us</w:t>
      </w:r>
      <w:r w:rsidR="00352C33">
        <w:t xml:space="preserve"> with capacity to tailor licensing arrangem</w:t>
      </w:r>
      <w:r w:rsidR="00EF0096">
        <w:t>ents</w:t>
      </w:r>
      <w:r w:rsidR="00352C33">
        <w:t xml:space="preserve"> to </w:t>
      </w:r>
      <w:r w:rsidR="00EF0096">
        <w:t>meet the investment security requirements of licen</w:t>
      </w:r>
      <w:r w:rsidR="000515FD">
        <w:t>s</w:t>
      </w:r>
      <w:r w:rsidR="00EF0096">
        <w:t>e</w:t>
      </w:r>
      <w:r w:rsidR="000515FD">
        <w:t>e</w:t>
      </w:r>
      <w:r w:rsidR="00EF0096">
        <w:t>s and take account of current and planned use/s of spectrum.</w:t>
      </w:r>
      <w:r w:rsidR="00CD3AC9" w:rsidDel="00C75445">
        <w:t xml:space="preserve"> </w:t>
      </w:r>
      <w:r w:rsidR="00CD3AC9">
        <w:t>Broadly</w:t>
      </w:r>
      <w:r w:rsidR="00392F8A">
        <w:t xml:space="preserve">, </w:t>
      </w:r>
      <w:r w:rsidR="00CD3AC9">
        <w:t xml:space="preserve">we see </w:t>
      </w:r>
      <w:r w:rsidR="00B4089C">
        <w:t xml:space="preserve">use cases </w:t>
      </w:r>
      <w:r w:rsidR="00FE4265">
        <w:t xml:space="preserve">informing </w:t>
      </w:r>
      <w:r w:rsidR="00083C22">
        <w:t xml:space="preserve">3 </w:t>
      </w:r>
      <w:r w:rsidR="00907C67">
        <w:t xml:space="preserve">default </w:t>
      </w:r>
      <w:r w:rsidR="00392F8A">
        <w:t xml:space="preserve">licence term </w:t>
      </w:r>
      <w:r w:rsidR="00576EFB">
        <w:t>arrangements to be made available:</w:t>
      </w:r>
    </w:p>
    <w:p w14:paraId="22433478" w14:textId="51FA49A8" w:rsidR="00576EFB" w:rsidRDefault="00F75FA7" w:rsidP="00576EFB">
      <w:pPr>
        <w:pStyle w:val="Bulletlevel1"/>
      </w:pPr>
      <w:r>
        <w:t>short term (</w:t>
      </w:r>
      <w:r w:rsidR="00AC7DB5">
        <w:t>up</w:t>
      </w:r>
      <w:r>
        <w:t xml:space="preserve"> </w:t>
      </w:r>
      <w:r w:rsidR="00760A5F">
        <w:t>to</w:t>
      </w:r>
      <w:r>
        <w:t xml:space="preserve"> </w:t>
      </w:r>
      <w:r w:rsidR="004B119F">
        <w:t xml:space="preserve">one </w:t>
      </w:r>
      <w:r>
        <w:t xml:space="preserve">year) </w:t>
      </w:r>
    </w:p>
    <w:p w14:paraId="22B032BA" w14:textId="4643BE97" w:rsidR="00576EFB" w:rsidRDefault="008A75B3" w:rsidP="00576EFB">
      <w:pPr>
        <w:pStyle w:val="Bulletlevel1"/>
      </w:pPr>
      <w:r>
        <w:t xml:space="preserve">medium term (up to </w:t>
      </w:r>
      <w:r w:rsidR="001D46CE">
        <w:t xml:space="preserve">10 years) </w:t>
      </w:r>
    </w:p>
    <w:p w14:paraId="23050109" w14:textId="003E4737" w:rsidR="00A85E17" w:rsidRDefault="001D46CE" w:rsidP="00DE4B87">
      <w:pPr>
        <w:pStyle w:val="Bulletlevel1last"/>
      </w:pPr>
      <w:r>
        <w:t>long term (20 years)</w:t>
      </w:r>
      <w:r w:rsidR="00FB6B56">
        <w:t>.</w:t>
      </w:r>
    </w:p>
    <w:p w14:paraId="7FDD1B4F" w14:textId="77777777" w:rsidR="00193674" w:rsidRDefault="00193674" w:rsidP="00193674">
      <w:pPr>
        <w:pStyle w:val="Heading2"/>
      </w:pPr>
      <w:bookmarkStart w:id="24" w:name="_Toc62643665"/>
      <w:bookmarkStart w:id="25" w:name="_Toc62643758"/>
      <w:bookmarkStart w:id="26" w:name="_Toc65835949"/>
      <w:r>
        <w:t>Relevant legislative provisions</w:t>
      </w:r>
      <w:bookmarkEnd w:id="24"/>
      <w:bookmarkEnd w:id="25"/>
      <w:bookmarkEnd w:id="26"/>
    </w:p>
    <w:p w14:paraId="606DA5D3" w14:textId="099BF388" w:rsidR="00193674" w:rsidRPr="00AE383B" w:rsidRDefault="00193674" w:rsidP="0019367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E383B">
        <w:t>Subsection 65(3) of the Act as amended enables the ACMA to issue spectrum licences with a licence term of up to 20 years</w:t>
      </w:r>
      <w:r w:rsidR="00362FA5">
        <w:t>.</w:t>
      </w:r>
    </w:p>
    <w:p w14:paraId="5F7F0078" w14:textId="3EDA62A0" w:rsidR="000E60D5" w:rsidRDefault="00193674" w:rsidP="00AE383B">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E383B">
        <w:t>Subsection 103(3) of the Act as amended enables the ACMA to issue most apparatus licences with a licence term of up to 20 years</w:t>
      </w:r>
      <w:r w:rsidR="00362FA5">
        <w:t>.</w:t>
      </w:r>
    </w:p>
    <w:p w14:paraId="487CDB67" w14:textId="77777777" w:rsidR="000E60D5" w:rsidRDefault="000E60D5" w:rsidP="000E60D5">
      <w:pPr>
        <w:pStyle w:val="Heading2"/>
      </w:pPr>
      <w:bookmarkStart w:id="27" w:name="_Toc62643666"/>
      <w:bookmarkStart w:id="28" w:name="_Toc62643759"/>
      <w:bookmarkStart w:id="29" w:name="_Toc65835950"/>
      <w:r>
        <w:t>Key decisions</w:t>
      </w:r>
      <w:bookmarkEnd w:id="27"/>
      <w:bookmarkEnd w:id="28"/>
      <w:bookmarkEnd w:id="29"/>
      <w:r>
        <w:t xml:space="preserve"> </w:t>
      </w:r>
    </w:p>
    <w:p w14:paraId="6FD138CC" w14:textId="1B6E5EB4" w:rsidR="000E60D5" w:rsidRDefault="00167567" w:rsidP="00B81560">
      <w:pPr>
        <w:pStyle w:val="Bulletlevel1last"/>
      </w:pPr>
      <w:r>
        <w:rPr>
          <w:b/>
          <w:bCs/>
        </w:rPr>
        <w:t xml:space="preserve">Licence duration </w:t>
      </w:r>
      <w:r w:rsidR="001C10B1">
        <w:rPr>
          <w:b/>
          <w:bCs/>
        </w:rPr>
        <w:t>–</w:t>
      </w:r>
      <w:r>
        <w:rPr>
          <w:b/>
          <w:bCs/>
        </w:rPr>
        <w:t xml:space="preserve"> </w:t>
      </w:r>
      <w:r w:rsidR="001C10B1">
        <w:t>we may issue apparatus and spectrum licences for periods of up to 20 years</w:t>
      </w:r>
      <w:r w:rsidR="008F0749">
        <w:t>.</w:t>
      </w:r>
    </w:p>
    <w:p w14:paraId="5ED424FB" w14:textId="56244423" w:rsidR="00396B2A" w:rsidRDefault="00396B2A" w:rsidP="00B81560">
      <w:pPr>
        <w:pStyle w:val="Heading2"/>
      </w:pPr>
      <w:bookmarkStart w:id="30" w:name="_Toc65835951"/>
      <w:r>
        <w:t>Long</w:t>
      </w:r>
      <w:r w:rsidR="00071567">
        <w:t>-</w:t>
      </w:r>
      <w:r>
        <w:t>term</w:t>
      </w:r>
      <w:r w:rsidR="00640C55">
        <w:t xml:space="preserve"> licence duration</w:t>
      </w:r>
      <w:r>
        <w:t xml:space="preserve"> (20 years)</w:t>
      </w:r>
      <w:bookmarkEnd w:id="30"/>
    </w:p>
    <w:p w14:paraId="7102CCBB" w14:textId="4856E236" w:rsidR="00091AA1" w:rsidRDefault="00396B2A" w:rsidP="005F00B9">
      <w:pPr>
        <w:pStyle w:val="Paragraph"/>
        <w:rPr>
          <w:rStyle w:val="CommentReference"/>
          <w:rFonts w:cs="Times New Roman"/>
          <w:sz w:val="20"/>
          <w:szCs w:val="20"/>
        </w:rPr>
      </w:pPr>
      <w:r w:rsidRPr="6B1E33C4">
        <w:rPr>
          <w:szCs w:val="20"/>
        </w:rPr>
        <w:t>Long</w:t>
      </w:r>
      <w:r w:rsidR="00071567">
        <w:rPr>
          <w:szCs w:val="20"/>
        </w:rPr>
        <w:t>-</w:t>
      </w:r>
      <w:r w:rsidRPr="6B1E33C4">
        <w:rPr>
          <w:szCs w:val="20"/>
        </w:rPr>
        <w:t xml:space="preserve">term licensing provides significant investment security to licensees and the ability to amortise </w:t>
      </w:r>
      <w:r w:rsidR="00E22C24">
        <w:rPr>
          <w:szCs w:val="20"/>
        </w:rPr>
        <w:t>major</w:t>
      </w:r>
      <w:r w:rsidR="00E22C24" w:rsidRPr="6B1E33C4">
        <w:rPr>
          <w:szCs w:val="20"/>
        </w:rPr>
        <w:t xml:space="preserve"> </w:t>
      </w:r>
      <w:r w:rsidRPr="6B1E33C4">
        <w:rPr>
          <w:szCs w:val="20"/>
        </w:rPr>
        <w:t xml:space="preserve">investments in spectrum and infrastructure. </w:t>
      </w:r>
    </w:p>
    <w:p w14:paraId="6A832258" w14:textId="4830FE45" w:rsidR="003A5E90" w:rsidRDefault="003A5E90" w:rsidP="00247505">
      <w:pPr>
        <w:pStyle w:val="Paragraphbeforelist"/>
        <w:keepNext/>
        <w:keepLines/>
      </w:pPr>
      <w:r>
        <w:lastRenderedPageBreak/>
        <w:t>Circumstances where long</w:t>
      </w:r>
      <w:r w:rsidR="00071567">
        <w:t>-</w:t>
      </w:r>
      <w:r>
        <w:t>term licensing is appropriate include</w:t>
      </w:r>
      <w:r w:rsidR="00282C1F">
        <w:t>:</w:t>
      </w:r>
    </w:p>
    <w:p w14:paraId="24849A25" w14:textId="63646C31" w:rsidR="003A5E90" w:rsidRDefault="00247505" w:rsidP="00247505">
      <w:pPr>
        <w:pStyle w:val="Bulletlevel1"/>
        <w:keepNext/>
        <w:keepLines/>
      </w:pPr>
      <w:r>
        <w:t>w</w:t>
      </w:r>
      <w:r w:rsidR="00E60505">
        <w:t>here the maximum licence term supports security for a return on investment for a licen</w:t>
      </w:r>
      <w:r w:rsidR="00562231">
        <w:t>s</w:t>
      </w:r>
      <w:r w:rsidR="00E60505">
        <w:t>ee</w:t>
      </w:r>
    </w:p>
    <w:p w14:paraId="683E8C17" w14:textId="68C4DD23" w:rsidR="00E60505" w:rsidRDefault="00247505" w:rsidP="00247505">
      <w:pPr>
        <w:pStyle w:val="Bulletlevel1"/>
        <w:keepNext/>
        <w:keepLines/>
      </w:pPr>
      <w:r>
        <w:t>i</w:t>
      </w:r>
      <w:r w:rsidR="00E60505">
        <w:t xml:space="preserve">n </w:t>
      </w:r>
      <w:r w:rsidR="0033461D">
        <w:t xml:space="preserve">parts of the </w:t>
      </w:r>
      <w:r w:rsidR="00E60505">
        <w:t>spectrum where there</w:t>
      </w:r>
      <w:r w:rsidR="00386655">
        <w:t>:</w:t>
      </w:r>
      <w:r w:rsidR="00E60505">
        <w:t xml:space="preserve"> </w:t>
      </w:r>
    </w:p>
    <w:p w14:paraId="5C11B092" w14:textId="390DB933" w:rsidR="00E60505" w:rsidRDefault="0006160C" w:rsidP="00247505">
      <w:pPr>
        <w:pStyle w:val="Bulletlevel2"/>
        <w:keepNext/>
        <w:keepLines/>
      </w:pPr>
      <w:r>
        <w:t xml:space="preserve">are </w:t>
      </w:r>
      <w:r w:rsidR="00386655">
        <w:t>a</w:t>
      </w:r>
      <w:r w:rsidR="00E60505">
        <w:t xml:space="preserve"> smaller number of users and use cases</w:t>
      </w:r>
    </w:p>
    <w:p w14:paraId="0B1C9234" w14:textId="6F657CC9" w:rsidR="00272295" w:rsidRDefault="0006160C" w:rsidP="00247505">
      <w:pPr>
        <w:pStyle w:val="Bulletlevel2"/>
        <w:keepNext/>
        <w:keepLines/>
      </w:pPr>
      <w:r>
        <w:t xml:space="preserve">is </w:t>
      </w:r>
      <w:r w:rsidR="00386655">
        <w:t>a</w:t>
      </w:r>
      <w:r w:rsidR="00E60505">
        <w:t xml:space="preserve"> high degree of international harmonisation</w:t>
      </w:r>
    </w:p>
    <w:p w14:paraId="67A42C8A" w14:textId="09E8A1C1" w:rsidR="00272295" w:rsidRDefault="001E208A" w:rsidP="00247505">
      <w:pPr>
        <w:pStyle w:val="Bulletlevel2last"/>
        <w:keepNext/>
        <w:keepLines/>
      </w:pPr>
      <w:r>
        <w:t xml:space="preserve">is </w:t>
      </w:r>
      <w:r w:rsidR="00386655">
        <w:t>a</w:t>
      </w:r>
      <w:r w:rsidR="00AD6FE7">
        <w:t xml:space="preserve"> very</w:t>
      </w:r>
      <w:r w:rsidR="00272295">
        <w:t xml:space="preserve"> low likelihood of </w:t>
      </w:r>
      <w:r w:rsidR="00A35D1A">
        <w:t xml:space="preserve">a need to replan </w:t>
      </w:r>
      <w:r w:rsidR="00AD6FE7">
        <w:t xml:space="preserve">the </w:t>
      </w:r>
      <w:r w:rsidR="00272295">
        <w:t xml:space="preserve">spectrum </w:t>
      </w:r>
      <w:r w:rsidR="00AD6FE7">
        <w:t>for</w:t>
      </w:r>
      <w:r w:rsidR="00272295">
        <w:t xml:space="preserve"> an alternative use.</w:t>
      </w:r>
    </w:p>
    <w:p w14:paraId="015B58FD" w14:textId="75213214" w:rsidR="00353DFE" w:rsidRPr="001428A9" w:rsidRDefault="00606060" w:rsidP="005F00B9">
      <w:pPr>
        <w:pStyle w:val="Paragraph"/>
        <w:rPr>
          <w:rStyle w:val="CommentReference"/>
          <w:sz w:val="20"/>
          <w:szCs w:val="20"/>
        </w:rPr>
      </w:pPr>
      <w:r>
        <w:rPr>
          <w:szCs w:val="20"/>
        </w:rPr>
        <w:t xml:space="preserve">These circumstances contribute towards a higher </w:t>
      </w:r>
      <w:r w:rsidR="00D616EB">
        <w:rPr>
          <w:szCs w:val="20"/>
        </w:rPr>
        <w:t xml:space="preserve">degree of confidence that the </w:t>
      </w:r>
      <w:r w:rsidR="00FC3086">
        <w:rPr>
          <w:szCs w:val="20"/>
        </w:rPr>
        <w:t xml:space="preserve">use of the band </w:t>
      </w:r>
      <w:r w:rsidR="007A2F08">
        <w:rPr>
          <w:szCs w:val="20"/>
        </w:rPr>
        <w:t>will maximise the pu</w:t>
      </w:r>
      <w:r w:rsidR="00E835B5">
        <w:rPr>
          <w:szCs w:val="20"/>
        </w:rPr>
        <w:t xml:space="preserve">blic benefit derived from the </w:t>
      </w:r>
      <w:r w:rsidR="009C3947">
        <w:rPr>
          <w:szCs w:val="20"/>
        </w:rPr>
        <w:t>spectrum</w:t>
      </w:r>
      <w:r w:rsidR="00E835B5">
        <w:rPr>
          <w:szCs w:val="20"/>
        </w:rPr>
        <w:t xml:space="preserve"> and </w:t>
      </w:r>
      <w:r w:rsidR="00FC3086">
        <w:rPr>
          <w:szCs w:val="20"/>
        </w:rPr>
        <w:t xml:space="preserve">will not substantively change during </w:t>
      </w:r>
      <w:r w:rsidR="008D4731">
        <w:rPr>
          <w:szCs w:val="20"/>
        </w:rPr>
        <w:t>the term of the licence</w:t>
      </w:r>
      <w:r w:rsidR="00E835B5">
        <w:rPr>
          <w:szCs w:val="20"/>
        </w:rPr>
        <w:t xml:space="preserve">. </w:t>
      </w:r>
      <w:r w:rsidR="00DF5DF3">
        <w:rPr>
          <w:szCs w:val="20"/>
        </w:rPr>
        <w:t xml:space="preserve">This </w:t>
      </w:r>
      <w:r w:rsidR="003B7063">
        <w:rPr>
          <w:szCs w:val="20"/>
        </w:rPr>
        <w:t>is</w:t>
      </w:r>
      <w:r w:rsidR="00DF5DF3">
        <w:rPr>
          <w:szCs w:val="20"/>
        </w:rPr>
        <w:t xml:space="preserve"> </w:t>
      </w:r>
      <w:r w:rsidR="00756AC5">
        <w:rPr>
          <w:szCs w:val="20"/>
        </w:rPr>
        <w:t xml:space="preserve">further facilitated </w:t>
      </w:r>
      <w:r w:rsidR="000F782F">
        <w:rPr>
          <w:szCs w:val="20"/>
        </w:rPr>
        <w:t xml:space="preserve">by </w:t>
      </w:r>
      <w:r w:rsidR="004F651D">
        <w:rPr>
          <w:szCs w:val="20"/>
        </w:rPr>
        <w:t>some licensing</w:t>
      </w:r>
      <w:r w:rsidR="00196237">
        <w:rPr>
          <w:szCs w:val="20"/>
        </w:rPr>
        <w:t xml:space="preserve"> </w:t>
      </w:r>
      <w:r w:rsidR="004F651D">
        <w:rPr>
          <w:szCs w:val="20"/>
        </w:rPr>
        <w:t>frameworks</w:t>
      </w:r>
      <w:r w:rsidR="00196237">
        <w:rPr>
          <w:szCs w:val="20"/>
        </w:rPr>
        <w:t>, such as the technology-neutral frameworks of spectrum licences</w:t>
      </w:r>
      <w:r w:rsidR="004F651D">
        <w:rPr>
          <w:szCs w:val="20"/>
        </w:rPr>
        <w:t xml:space="preserve"> and secondary trading, </w:t>
      </w:r>
      <w:r w:rsidR="00B630C1">
        <w:rPr>
          <w:szCs w:val="20"/>
        </w:rPr>
        <w:t xml:space="preserve">that can </w:t>
      </w:r>
      <w:r w:rsidR="00F775E6">
        <w:rPr>
          <w:szCs w:val="20"/>
        </w:rPr>
        <w:t xml:space="preserve">enable </w:t>
      </w:r>
      <w:r w:rsidR="00ED109C">
        <w:rPr>
          <w:szCs w:val="20"/>
        </w:rPr>
        <w:t xml:space="preserve">substantive </w:t>
      </w:r>
      <w:r w:rsidR="006F53E5">
        <w:rPr>
          <w:szCs w:val="20"/>
        </w:rPr>
        <w:t>changes in the use of the spectrum during a</w:t>
      </w:r>
      <w:r w:rsidR="00BE4F8D">
        <w:rPr>
          <w:szCs w:val="20"/>
        </w:rPr>
        <w:t xml:space="preserve"> licence’s term.</w:t>
      </w:r>
      <w:r w:rsidR="00B701DD">
        <w:rPr>
          <w:szCs w:val="20"/>
        </w:rPr>
        <w:t xml:space="preserve"> </w:t>
      </w:r>
    </w:p>
    <w:p w14:paraId="6B206A92" w14:textId="23711B7D" w:rsidR="005F00B9" w:rsidRDefault="00353DFE" w:rsidP="005F00B9">
      <w:pPr>
        <w:pStyle w:val="Paragraph"/>
        <w:rPr>
          <w:szCs w:val="20"/>
        </w:rPr>
      </w:pPr>
      <w:r>
        <w:rPr>
          <w:szCs w:val="20"/>
        </w:rPr>
        <w:t>S</w:t>
      </w:r>
      <w:r w:rsidR="005F00B9" w:rsidRPr="6B1E33C4">
        <w:rPr>
          <w:szCs w:val="20"/>
        </w:rPr>
        <w:t xml:space="preserve">ome non-commercial and commercial uses </w:t>
      </w:r>
      <w:r>
        <w:rPr>
          <w:szCs w:val="20"/>
        </w:rPr>
        <w:t>may</w:t>
      </w:r>
      <w:r w:rsidR="004B691E">
        <w:rPr>
          <w:szCs w:val="20"/>
        </w:rPr>
        <w:t xml:space="preserve"> thus</w:t>
      </w:r>
      <w:r>
        <w:rPr>
          <w:szCs w:val="20"/>
        </w:rPr>
        <w:t xml:space="preserve"> also be suited to long</w:t>
      </w:r>
      <w:r w:rsidR="00071567">
        <w:rPr>
          <w:szCs w:val="20"/>
        </w:rPr>
        <w:t>-</w:t>
      </w:r>
      <w:r>
        <w:rPr>
          <w:szCs w:val="20"/>
        </w:rPr>
        <w:t xml:space="preserve">term licensing arrangements, especially </w:t>
      </w:r>
      <w:r w:rsidR="005F00B9" w:rsidRPr="6B1E33C4">
        <w:rPr>
          <w:szCs w:val="20"/>
        </w:rPr>
        <w:t xml:space="preserve">where use of the band is specialised and highly stable, carrying a low risk of substantive replanning activities, and where there is a limited number of users within the band. </w:t>
      </w:r>
    </w:p>
    <w:p w14:paraId="40B4A43F" w14:textId="1D5F9476" w:rsidR="00396B2A" w:rsidRDefault="00EB58CD" w:rsidP="00396B2A">
      <w:pPr>
        <w:pStyle w:val="Paragraph"/>
        <w:rPr>
          <w:szCs w:val="20"/>
        </w:rPr>
      </w:pPr>
      <w:r>
        <w:rPr>
          <w:szCs w:val="20"/>
        </w:rPr>
        <w:t xml:space="preserve">Noting the intent of the legislative reforms to offer longer licence terms to support </w:t>
      </w:r>
      <w:r w:rsidR="00342351">
        <w:rPr>
          <w:szCs w:val="20"/>
        </w:rPr>
        <w:t>predictable investment, o</w:t>
      </w:r>
      <w:r w:rsidR="00F14B70">
        <w:rPr>
          <w:szCs w:val="20"/>
        </w:rPr>
        <w:t>ur default</w:t>
      </w:r>
      <w:r w:rsidR="0057528F">
        <w:rPr>
          <w:szCs w:val="20"/>
        </w:rPr>
        <w:t xml:space="preserve"> position </w:t>
      </w:r>
      <w:r w:rsidR="00976EF2">
        <w:rPr>
          <w:szCs w:val="20"/>
        </w:rPr>
        <w:t xml:space="preserve">will be </w:t>
      </w:r>
      <w:r w:rsidR="0057528F">
        <w:rPr>
          <w:szCs w:val="20"/>
        </w:rPr>
        <w:t>to</w:t>
      </w:r>
      <w:r w:rsidR="00396B2A" w:rsidRPr="6B1E33C4">
        <w:rPr>
          <w:szCs w:val="20"/>
        </w:rPr>
        <w:t xml:space="preserve"> offer</w:t>
      </w:r>
      <w:r w:rsidR="0057528F">
        <w:rPr>
          <w:szCs w:val="20"/>
        </w:rPr>
        <w:t xml:space="preserve"> </w:t>
      </w:r>
      <w:r w:rsidR="00396B2A">
        <w:rPr>
          <w:szCs w:val="20"/>
        </w:rPr>
        <w:t>spectrum licences</w:t>
      </w:r>
      <w:r w:rsidR="00396B2A" w:rsidRPr="6B1E33C4">
        <w:rPr>
          <w:szCs w:val="20"/>
        </w:rPr>
        <w:t xml:space="preserve"> </w:t>
      </w:r>
      <w:r w:rsidR="00396B2A">
        <w:rPr>
          <w:szCs w:val="20"/>
        </w:rPr>
        <w:t>for</w:t>
      </w:r>
      <w:r w:rsidR="00396B2A" w:rsidRPr="6B1E33C4">
        <w:rPr>
          <w:szCs w:val="20"/>
        </w:rPr>
        <w:t xml:space="preserve"> the full 20</w:t>
      </w:r>
      <w:r w:rsidR="00071567">
        <w:rPr>
          <w:szCs w:val="20"/>
        </w:rPr>
        <w:t>-</w:t>
      </w:r>
      <w:r w:rsidR="00396B2A" w:rsidRPr="6B1E33C4">
        <w:rPr>
          <w:szCs w:val="20"/>
        </w:rPr>
        <w:t xml:space="preserve">year period </w:t>
      </w:r>
      <w:r w:rsidR="00396B2A">
        <w:rPr>
          <w:szCs w:val="20"/>
        </w:rPr>
        <w:t>where long</w:t>
      </w:r>
      <w:r w:rsidR="00071567">
        <w:rPr>
          <w:szCs w:val="20"/>
        </w:rPr>
        <w:t>-</w:t>
      </w:r>
      <w:r w:rsidR="00396B2A">
        <w:rPr>
          <w:szCs w:val="20"/>
        </w:rPr>
        <w:t>term licensing is appropriate</w:t>
      </w:r>
      <w:r w:rsidR="00D97B31">
        <w:rPr>
          <w:szCs w:val="20"/>
        </w:rPr>
        <w:t xml:space="preserve">. </w:t>
      </w:r>
      <w:r w:rsidR="005433E1">
        <w:rPr>
          <w:szCs w:val="20"/>
        </w:rPr>
        <w:t xml:space="preserve">However, </w:t>
      </w:r>
      <w:r w:rsidR="00AB10D4">
        <w:rPr>
          <w:szCs w:val="20"/>
        </w:rPr>
        <w:t>c</w:t>
      </w:r>
      <w:r w:rsidR="00F83F43">
        <w:rPr>
          <w:szCs w:val="20"/>
        </w:rPr>
        <w:t>onsistent with current practice, we may offer</w:t>
      </w:r>
      <w:r w:rsidR="00396B2A" w:rsidRPr="6B1E33C4">
        <w:rPr>
          <w:szCs w:val="20"/>
        </w:rPr>
        <w:t xml:space="preserve"> licences </w:t>
      </w:r>
      <w:r w:rsidR="00402C41">
        <w:rPr>
          <w:szCs w:val="20"/>
        </w:rPr>
        <w:t>with truncated terms</w:t>
      </w:r>
      <w:r w:rsidR="001757F2">
        <w:rPr>
          <w:szCs w:val="20"/>
        </w:rPr>
        <w:t xml:space="preserve"> </w:t>
      </w:r>
      <w:r w:rsidR="0077260D">
        <w:rPr>
          <w:szCs w:val="20"/>
        </w:rPr>
        <w:t>where</w:t>
      </w:r>
      <w:r w:rsidR="005A7DD2">
        <w:rPr>
          <w:szCs w:val="20"/>
        </w:rPr>
        <w:t xml:space="preserve"> shorter </w:t>
      </w:r>
      <w:r w:rsidR="00433548">
        <w:rPr>
          <w:szCs w:val="20"/>
        </w:rPr>
        <w:t>durations</w:t>
      </w:r>
      <w:r w:rsidR="0077260D">
        <w:rPr>
          <w:szCs w:val="20"/>
        </w:rPr>
        <w:t xml:space="preserve"> </w:t>
      </w:r>
      <w:r w:rsidR="00D52AC2">
        <w:rPr>
          <w:szCs w:val="20"/>
        </w:rPr>
        <w:t>provide planning and policy utility</w:t>
      </w:r>
      <w:r w:rsidR="00F83F43">
        <w:rPr>
          <w:szCs w:val="20"/>
        </w:rPr>
        <w:t xml:space="preserve"> through aligning </w:t>
      </w:r>
      <w:r w:rsidR="00185A0F">
        <w:rPr>
          <w:szCs w:val="20"/>
        </w:rPr>
        <w:t>expiry dates</w:t>
      </w:r>
      <w:r w:rsidR="00EC72FA">
        <w:rPr>
          <w:szCs w:val="20"/>
        </w:rPr>
        <w:t xml:space="preserve"> of multiple licences </w:t>
      </w:r>
      <w:r w:rsidR="00D93F0F">
        <w:rPr>
          <w:szCs w:val="20"/>
        </w:rPr>
        <w:t xml:space="preserve">across </w:t>
      </w:r>
      <w:r w:rsidR="00EC72FA">
        <w:rPr>
          <w:szCs w:val="20"/>
        </w:rPr>
        <w:t xml:space="preserve">a band </w:t>
      </w:r>
      <w:r w:rsidR="00D93F0F">
        <w:rPr>
          <w:szCs w:val="20"/>
        </w:rPr>
        <w:t xml:space="preserve">or adjacent bands, </w:t>
      </w:r>
      <w:r w:rsidR="00EC72FA">
        <w:rPr>
          <w:szCs w:val="20"/>
        </w:rPr>
        <w:t xml:space="preserve">or otherwise </w:t>
      </w:r>
      <w:r w:rsidR="00982937">
        <w:rPr>
          <w:szCs w:val="20"/>
        </w:rPr>
        <w:t xml:space="preserve">facilitating </w:t>
      </w:r>
      <w:r w:rsidR="0012508C">
        <w:rPr>
          <w:szCs w:val="20"/>
        </w:rPr>
        <w:t xml:space="preserve">processes such as </w:t>
      </w:r>
      <w:r w:rsidR="00822A9F">
        <w:rPr>
          <w:szCs w:val="20"/>
        </w:rPr>
        <w:t>re-allocation</w:t>
      </w:r>
      <w:r w:rsidR="0012508C">
        <w:rPr>
          <w:szCs w:val="20"/>
        </w:rPr>
        <w:t xml:space="preserve"> or restacking. </w:t>
      </w:r>
    </w:p>
    <w:p w14:paraId="242F58AE" w14:textId="4E381E3B" w:rsidR="00E64E96" w:rsidRDefault="00AD4FBB" w:rsidP="003D236D">
      <w:pPr>
        <w:spacing w:line="257" w:lineRule="auto"/>
        <w:rPr>
          <w:szCs w:val="20"/>
        </w:rPr>
      </w:pPr>
      <w:r>
        <w:rPr>
          <w:szCs w:val="20"/>
        </w:rPr>
        <w:t>We note that, in the Australian context, long</w:t>
      </w:r>
      <w:r w:rsidR="00071567">
        <w:rPr>
          <w:szCs w:val="20"/>
        </w:rPr>
        <w:t>-</w:t>
      </w:r>
      <w:r>
        <w:rPr>
          <w:szCs w:val="20"/>
        </w:rPr>
        <w:t xml:space="preserve">term </w:t>
      </w:r>
      <w:r w:rsidR="00200589">
        <w:rPr>
          <w:szCs w:val="20"/>
        </w:rPr>
        <w:t xml:space="preserve">apparatus licensing is a novel concept, </w:t>
      </w:r>
      <w:r w:rsidR="0041248A">
        <w:rPr>
          <w:szCs w:val="20"/>
        </w:rPr>
        <w:t>and that for many existing apparatus licensees</w:t>
      </w:r>
      <w:r w:rsidR="00784C95">
        <w:rPr>
          <w:szCs w:val="20"/>
        </w:rPr>
        <w:t>,</w:t>
      </w:r>
      <w:r w:rsidR="0041248A">
        <w:rPr>
          <w:szCs w:val="20"/>
        </w:rPr>
        <w:t xml:space="preserve"> </w:t>
      </w:r>
      <w:r w:rsidR="002D08E4">
        <w:rPr>
          <w:szCs w:val="20"/>
        </w:rPr>
        <w:t xml:space="preserve">such licences </w:t>
      </w:r>
      <w:r w:rsidR="00311899">
        <w:rPr>
          <w:szCs w:val="20"/>
        </w:rPr>
        <w:t xml:space="preserve">may not </w:t>
      </w:r>
      <w:r w:rsidR="00D735DE">
        <w:rPr>
          <w:szCs w:val="20"/>
        </w:rPr>
        <w:t>suit their</w:t>
      </w:r>
      <w:r w:rsidR="00311899">
        <w:rPr>
          <w:szCs w:val="20"/>
        </w:rPr>
        <w:t xml:space="preserve"> business needs</w:t>
      </w:r>
      <w:r w:rsidR="00784C95">
        <w:rPr>
          <w:szCs w:val="20"/>
        </w:rPr>
        <w:t xml:space="preserve">. However, </w:t>
      </w:r>
      <w:r w:rsidR="00A006D0">
        <w:rPr>
          <w:szCs w:val="20"/>
        </w:rPr>
        <w:t xml:space="preserve">subject to the circumstances outlined, </w:t>
      </w:r>
      <w:r w:rsidR="0060365E">
        <w:rPr>
          <w:szCs w:val="20"/>
        </w:rPr>
        <w:t xml:space="preserve">we </w:t>
      </w:r>
      <w:r w:rsidR="002E2290">
        <w:rPr>
          <w:szCs w:val="20"/>
        </w:rPr>
        <w:t xml:space="preserve">are </w:t>
      </w:r>
      <w:r w:rsidR="0060365E">
        <w:rPr>
          <w:szCs w:val="20"/>
        </w:rPr>
        <w:t xml:space="preserve">open to considering </w:t>
      </w:r>
      <w:r w:rsidR="00E64E96">
        <w:rPr>
          <w:szCs w:val="20"/>
        </w:rPr>
        <w:t>the suitability of long</w:t>
      </w:r>
      <w:r w:rsidR="00071567">
        <w:rPr>
          <w:szCs w:val="20"/>
        </w:rPr>
        <w:t>-</w:t>
      </w:r>
      <w:r w:rsidR="00E64E96">
        <w:rPr>
          <w:szCs w:val="20"/>
        </w:rPr>
        <w:t>term licence duration for apparatus licences.</w:t>
      </w:r>
    </w:p>
    <w:p w14:paraId="7F474A36" w14:textId="4701F306" w:rsidR="00914DBB" w:rsidRDefault="008E48A9" w:rsidP="00C47125">
      <w:pPr>
        <w:pStyle w:val="Heading3"/>
      </w:pPr>
      <w:bookmarkStart w:id="31" w:name="_Toc65835952"/>
      <w:r>
        <w:t>C</w:t>
      </w:r>
      <w:r w:rsidR="00914DBB">
        <w:t>onsult</w:t>
      </w:r>
      <w:r>
        <w:t>ing</w:t>
      </w:r>
      <w:r w:rsidR="00914DBB">
        <w:t xml:space="preserve"> with you about </w:t>
      </w:r>
      <w:r w:rsidR="008A4CD1">
        <w:t>long</w:t>
      </w:r>
      <w:r w:rsidR="00071567">
        <w:t>-</w:t>
      </w:r>
      <w:r w:rsidR="00241B22">
        <w:t>term</w:t>
      </w:r>
      <w:r w:rsidR="00914DBB">
        <w:t xml:space="preserve"> licence </w:t>
      </w:r>
      <w:r w:rsidR="008A4CD1">
        <w:t>duration</w:t>
      </w:r>
      <w:bookmarkEnd w:id="31"/>
    </w:p>
    <w:p w14:paraId="21CE7820" w14:textId="77777777" w:rsidR="00D35FA9" w:rsidRPr="00D35FA9" w:rsidRDefault="00D35FA9" w:rsidP="00D35FA9">
      <w:pPr>
        <w:spacing w:line="257" w:lineRule="auto"/>
        <w:rPr>
          <w:rFonts w:eastAsia="Arial" w:cs="Arial"/>
        </w:rPr>
      </w:pPr>
      <w:r w:rsidRPr="00D35FA9">
        <w:rPr>
          <w:rFonts w:eastAsia="Arial" w:cs="Arial"/>
        </w:rPr>
        <w:t>We expect to consult with stakeholders around whether long-term licensing will be made available in a particular band for new licences as part of consultations around spectrum planning activities that may affect the conditions of licensees within the band, or the proposed allocation of new licences within a band. Consistent with current practices, spectrum planning activities that may affect the conditions of significant numbers of licensees in a band, as well as proposed allocation processes, will be identified in the annual work program, noting the relevant planning and licensing activity.</w:t>
      </w:r>
    </w:p>
    <w:p w14:paraId="0E586B53" w14:textId="52DFFB03" w:rsidR="00D35FA9" w:rsidRPr="00D35FA9" w:rsidRDefault="00D35FA9" w:rsidP="00D35FA9">
      <w:pPr>
        <w:spacing w:line="257" w:lineRule="auto"/>
        <w:rPr>
          <w:rFonts w:eastAsia="Arial" w:cs="Arial"/>
        </w:rPr>
      </w:pPr>
      <w:r w:rsidRPr="00D35FA9">
        <w:rPr>
          <w:rFonts w:eastAsia="Arial" w:cs="Arial"/>
        </w:rPr>
        <w:t xml:space="preserve">Licence renewal will also provide an opportunity for existing licensees to request a long-term licence. For existing spectrum licences, we </w:t>
      </w:r>
      <w:r w:rsidR="0006218F">
        <w:rPr>
          <w:rFonts w:eastAsia="Arial" w:cs="Arial"/>
        </w:rPr>
        <w:t xml:space="preserve">currently </w:t>
      </w:r>
      <w:r w:rsidRPr="00D35FA9">
        <w:rPr>
          <w:rFonts w:eastAsia="Arial" w:cs="Arial"/>
        </w:rPr>
        <w:t xml:space="preserve">write to licensees </w:t>
      </w:r>
      <w:r w:rsidR="00EE57E3">
        <w:rPr>
          <w:rFonts w:eastAsia="Arial" w:cs="Arial"/>
        </w:rPr>
        <w:t>2</w:t>
      </w:r>
      <w:r w:rsidR="00784C95">
        <w:rPr>
          <w:rFonts w:eastAsia="Arial" w:cs="Arial"/>
        </w:rPr>
        <w:t> </w:t>
      </w:r>
      <w:r w:rsidRPr="00D35FA9">
        <w:rPr>
          <w:rFonts w:eastAsia="Arial" w:cs="Arial"/>
        </w:rPr>
        <w:t>years before the licence will expire, asking if the licensee wishes to renew it</w:t>
      </w:r>
      <w:r w:rsidR="00784C95">
        <w:rPr>
          <w:rFonts w:eastAsia="Arial" w:cs="Arial"/>
        </w:rPr>
        <w:t>. Ho</w:t>
      </w:r>
      <w:r w:rsidR="00622DC5">
        <w:rPr>
          <w:rFonts w:eastAsia="Arial" w:cs="Arial"/>
        </w:rPr>
        <w:t>wever</w:t>
      </w:r>
      <w:r w:rsidR="00784C95">
        <w:rPr>
          <w:rFonts w:eastAsia="Arial" w:cs="Arial"/>
        </w:rPr>
        <w:t>,</w:t>
      </w:r>
      <w:r w:rsidR="00622DC5">
        <w:rPr>
          <w:rFonts w:eastAsia="Arial" w:cs="Arial"/>
        </w:rPr>
        <w:t xml:space="preserve"> </w:t>
      </w:r>
      <w:r w:rsidR="00E973EF">
        <w:rPr>
          <w:rFonts w:eastAsia="Arial" w:cs="Arial"/>
        </w:rPr>
        <w:t>this will</w:t>
      </w:r>
      <w:r w:rsidR="00825C9A">
        <w:rPr>
          <w:rFonts w:eastAsia="Arial" w:cs="Arial"/>
        </w:rPr>
        <w:t xml:space="preserve"> generally</w:t>
      </w:r>
      <w:r w:rsidR="00E973EF">
        <w:rPr>
          <w:rFonts w:eastAsia="Arial" w:cs="Arial"/>
        </w:rPr>
        <w:t xml:space="preserve"> be extended to 5</w:t>
      </w:r>
      <w:r w:rsidR="008E48A9">
        <w:rPr>
          <w:rFonts w:eastAsia="Arial" w:cs="Arial"/>
        </w:rPr>
        <w:t> </w:t>
      </w:r>
      <w:r w:rsidR="00E973EF">
        <w:rPr>
          <w:rFonts w:eastAsia="Arial" w:cs="Arial"/>
        </w:rPr>
        <w:t>years</w:t>
      </w:r>
      <w:r w:rsidRPr="00D35FA9">
        <w:rPr>
          <w:rFonts w:eastAsia="Arial" w:cs="Arial"/>
        </w:rPr>
        <w:t xml:space="preserve">. </w:t>
      </w:r>
    </w:p>
    <w:p w14:paraId="264A4C5B" w14:textId="0C2C850D" w:rsidR="00546DFE" w:rsidRDefault="00D35FA9" w:rsidP="00D35FA9">
      <w:pPr>
        <w:spacing w:line="257" w:lineRule="auto"/>
        <w:rPr>
          <w:rFonts w:eastAsia="Arial" w:cs="Arial"/>
        </w:rPr>
      </w:pPr>
      <w:r w:rsidRPr="00D35FA9">
        <w:rPr>
          <w:rFonts w:eastAsia="Arial" w:cs="Arial"/>
        </w:rPr>
        <w:t xml:space="preserve">For existing apparatus licences, approximately </w:t>
      </w:r>
      <w:r w:rsidR="00EE57E3">
        <w:rPr>
          <w:rFonts w:eastAsia="Arial" w:cs="Arial"/>
        </w:rPr>
        <w:t>4</w:t>
      </w:r>
      <w:r w:rsidR="00EE57E3" w:rsidRPr="00D35FA9">
        <w:rPr>
          <w:rFonts w:eastAsia="Arial" w:cs="Arial"/>
        </w:rPr>
        <w:t xml:space="preserve"> </w:t>
      </w:r>
      <w:r w:rsidRPr="00D35FA9">
        <w:rPr>
          <w:rFonts w:eastAsia="Arial" w:cs="Arial"/>
        </w:rPr>
        <w:t>months prior to licence expiry, we send a validation notice to licensees to ensure licensee and licence details are correct. In both instances, it would be open to licensees to request a new licence with a long</w:t>
      </w:r>
      <w:r w:rsidR="00071567">
        <w:rPr>
          <w:rFonts w:eastAsia="Arial" w:cs="Arial"/>
        </w:rPr>
        <w:t>-</w:t>
      </w:r>
      <w:r w:rsidRPr="00D35FA9">
        <w:rPr>
          <w:rFonts w:eastAsia="Arial" w:cs="Arial"/>
        </w:rPr>
        <w:t>term duration as part of this process. However,</w:t>
      </w:r>
      <w:r w:rsidR="003E3CA0" w:rsidDel="00247FAC">
        <w:rPr>
          <w:rFonts w:eastAsia="Arial" w:cs="Arial"/>
        </w:rPr>
        <w:t xml:space="preserve"> </w:t>
      </w:r>
      <w:r w:rsidR="00774F80">
        <w:rPr>
          <w:rFonts w:eastAsia="Arial" w:cs="Arial"/>
        </w:rPr>
        <w:t xml:space="preserve">noting the range of considerations involved in </w:t>
      </w:r>
      <w:r w:rsidR="001220A1">
        <w:rPr>
          <w:rFonts w:eastAsia="Arial" w:cs="Arial"/>
        </w:rPr>
        <w:t>a decision</w:t>
      </w:r>
      <w:r w:rsidRPr="00D35FA9">
        <w:rPr>
          <w:rFonts w:eastAsia="Arial" w:cs="Arial"/>
        </w:rPr>
        <w:t xml:space="preserve"> to issue a long-term apparatus licence, it is our preference that </w:t>
      </w:r>
      <w:r w:rsidRPr="00D35FA9">
        <w:rPr>
          <w:rFonts w:eastAsia="Arial" w:cs="Arial"/>
        </w:rPr>
        <w:lastRenderedPageBreak/>
        <w:t xml:space="preserve">licensees write to us requesting a long-term licence at least </w:t>
      </w:r>
      <w:r w:rsidR="00083C22">
        <w:rPr>
          <w:rFonts w:eastAsia="Arial" w:cs="Arial"/>
        </w:rPr>
        <w:t>6</w:t>
      </w:r>
      <w:r w:rsidR="00083C22" w:rsidRPr="00D35FA9">
        <w:rPr>
          <w:rFonts w:eastAsia="Arial" w:cs="Arial"/>
        </w:rPr>
        <w:t xml:space="preserve"> </w:t>
      </w:r>
      <w:r w:rsidRPr="00D35FA9">
        <w:rPr>
          <w:rFonts w:eastAsia="Arial" w:cs="Arial"/>
        </w:rPr>
        <w:t xml:space="preserve">months prior to expiration of the relevant licence. </w:t>
      </w:r>
    </w:p>
    <w:p w14:paraId="7119F97C" w14:textId="42616605" w:rsidR="00D35FA9" w:rsidRPr="00D35FA9" w:rsidRDefault="00CB51AF" w:rsidP="00D35FA9">
      <w:pPr>
        <w:spacing w:line="257" w:lineRule="auto"/>
        <w:rPr>
          <w:rFonts w:eastAsia="Arial" w:cs="Arial"/>
        </w:rPr>
      </w:pPr>
      <w:r>
        <w:rPr>
          <w:rFonts w:eastAsia="Arial" w:cs="Arial"/>
        </w:rPr>
        <w:t>There may be cases where the spectrum management implications of long duration licen</w:t>
      </w:r>
      <w:r w:rsidR="005C3E5C">
        <w:rPr>
          <w:rFonts w:eastAsia="Arial" w:cs="Arial"/>
        </w:rPr>
        <w:t>c</w:t>
      </w:r>
      <w:r>
        <w:rPr>
          <w:rFonts w:eastAsia="Arial" w:cs="Arial"/>
        </w:rPr>
        <w:t xml:space="preserve">es are </w:t>
      </w:r>
      <w:r w:rsidR="00A02D6C">
        <w:rPr>
          <w:rFonts w:eastAsia="Arial" w:cs="Arial"/>
        </w:rPr>
        <w:t xml:space="preserve">such that </w:t>
      </w:r>
      <w:r w:rsidR="005A6D83">
        <w:rPr>
          <w:rFonts w:eastAsia="Arial" w:cs="Arial"/>
        </w:rPr>
        <w:t xml:space="preserve">the </w:t>
      </w:r>
      <w:r w:rsidR="00A02D6C">
        <w:rPr>
          <w:rFonts w:eastAsia="Arial" w:cs="Arial"/>
        </w:rPr>
        <w:t>timeline</w:t>
      </w:r>
      <w:r w:rsidR="00546DFE">
        <w:rPr>
          <w:rFonts w:eastAsia="Arial" w:cs="Arial"/>
        </w:rPr>
        <w:t xml:space="preserve"> may not be achievable. </w:t>
      </w:r>
      <w:r w:rsidR="002D171E">
        <w:rPr>
          <w:rFonts w:eastAsia="Arial" w:cs="Arial"/>
        </w:rPr>
        <w:t xml:space="preserve">For example, we might need to undertake a work program to understand </w:t>
      </w:r>
      <w:r w:rsidR="00AA21F9">
        <w:rPr>
          <w:rFonts w:eastAsia="Arial" w:cs="Arial"/>
        </w:rPr>
        <w:t>the extent to which long duration licensing is suitable in the context</w:t>
      </w:r>
      <w:r w:rsidR="008A20AC">
        <w:rPr>
          <w:rFonts w:eastAsia="Arial" w:cs="Arial"/>
        </w:rPr>
        <w:t xml:space="preserve"> of band planning arrangements</w:t>
      </w:r>
      <w:r w:rsidR="00AA21F9">
        <w:rPr>
          <w:rFonts w:eastAsia="Arial" w:cs="Arial"/>
        </w:rPr>
        <w:t xml:space="preserve">. </w:t>
      </w:r>
      <w:r w:rsidR="00546DFE">
        <w:rPr>
          <w:rFonts w:eastAsia="Arial" w:cs="Arial"/>
        </w:rPr>
        <w:t xml:space="preserve">In these events, we will consult publicly, enabling the views of all relevant stakeholders </w:t>
      </w:r>
      <w:r w:rsidR="008E29E8">
        <w:rPr>
          <w:rFonts w:eastAsia="Arial" w:cs="Arial"/>
        </w:rPr>
        <w:t>to inform our approach.</w:t>
      </w:r>
    </w:p>
    <w:p w14:paraId="706C2152" w14:textId="643359CD" w:rsidR="00914DBB" w:rsidRDefault="00D35FA9" w:rsidP="00D35FA9">
      <w:pPr>
        <w:spacing w:line="257" w:lineRule="auto"/>
        <w:rPr>
          <w:rFonts w:eastAsia="Arial" w:cs="Arial"/>
        </w:rPr>
      </w:pPr>
      <w:r w:rsidRPr="00D35FA9">
        <w:rPr>
          <w:rFonts w:eastAsia="Arial" w:cs="Arial"/>
        </w:rPr>
        <w:t xml:space="preserve">We note that renewal of any existing licence resulting in a new licence with a licence term </w:t>
      </w:r>
      <w:r w:rsidR="00FA7AF9">
        <w:rPr>
          <w:rFonts w:eastAsia="Arial" w:cs="Arial"/>
        </w:rPr>
        <w:t>of</w:t>
      </w:r>
      <w:r w:rsidRPr="00D35FA9">
        <w:rPr>
          <w:rFonts w:eastAsia="Arial" w:cs="Arial"/>
        </w:rPr>
        <w:t xml:space="preserve"> 10 years </w:t>
      </w:r>
      <w:r w:rsidR="00FA7AF9">
        <w:rPr>
          <w:rFonts w:eastAsia="Arial" w:cs="Arial"/>
        </w:rPr>
        <w:t>or longer</w:t>
      </w:r>
      <w:r w:rsidRPr="00D35FA9">
        <w:rPr>
          <w:rFonts w:eastAsia="Arial" w:cs="Arial"/>
        </w:rPr>
        <w:t xml:space="preserve"> would be subject to a public interest test process.</w:t>
      </w:r>
    </w:p>
    <w:p w14:paraId="433560C6" w14:textId="7F722586" w:rsidR="003A5096" w:rsidRDefault="003A5096" w:rsidP="00866C9A">
      <w:pPr>
        <w:pStyle w:val="Heading2"/>
      </w:pPr>
      <w:bookmarkStart w:id="32" w:name="_Toc65835953"/>
      <w:r>
        <w:t>Medium</w:t>
      </w:r>
      <w:r w:rsidR="008E48A9">
        <w:t>-</w:t>
      </w:r>
      <w:r>
        <w:t xml:space="preserve">term </w:t>
      </w:r>
      <w:r w:rsidR="00640C55">
        <w:t xml:space="preserve">licence duration </w:t>
      </w:r>
      <w:r>
        <w:t>(</w:t>
      </w:r>
      <w:r w:rsidR="00784C95">
        <w:t xml:space="preserve">one </w:t>
      </w:r>
      <w:r w:rsidR="008A75B3">
        <w:t>to 10</w:t>
      </w:r>
      <w:r>
        <w:t xml:space="preserve"> years)</w:t>
      </w:r>
      <w:bookmarkEnd w:id="32"/>
    </w:p>
    <w:p w14:paraId="0B97BD32" w14:textId="5D2E8498" w:rsidR="0064394B" w:rsidRDefault="00037CD9" w:rsidP="003A5096">
      <w:pPr>
        <w:pStyle w:val="Paragraph"/>
      </w:pPr>
      <w:r>
        <w:t>It is our view that m</w:t>
      </w:r>
      <w:r w:rsidR="003A5096">
        <w:t>edium</w:t>
      </w:r>
      <w:r w:rsidR="008E48A9">
        <w:t>-</w:t>
      </w:r>
      <w:r w:rsidR="003A5096">
        <w:t xml:space="preserve">term licensing </w:t>
      </w:r>
      <w:r>
        <w:t>is</w:t>
      </w:r>
      <w:r w:rsidR="003A5096">
        <w:t xml:space="preserve"> suitable for a wide range of spectrum use cases, investment cycles and budget conditions. Medium</w:t>
      </w:r>
      <w:r w:rsidR="008E48A9">
        <w:t>-</w:t>
      </w:r>
      <w:r w:rsidR="003A5096">
        <w:t>term licensing</w:t>
      </w:r>
      <w:r w:rsidRPr="00037CD9">
        <w:t xml:space="preserve"> </w:t>
      </w:r>
      <w:r>
        <w:t xml:space="preserve">provides </w:t>
      </w:r>
      <w:r w:rsidR="00BF4F5D">
        <w:t xml:space="preserve">licensees with </w:t>
      </w:r>
      <w:r>
        <w:t xml:space="preserve">greater </w:t>
      </w:r>
      <w:r w:rsidR="00BF4F5D">
        <w:t>investment certainty</w:t>
      </w:r>
      <w:r w:rsidR="00AD0CFE">
        <w:t xml:space="preserve">, </w:t>
      </w:r>
      <w:r w:rsidR="003A5096">
        <w:t xml:space="preserve">compared </w:t>
      </w:r>
      <w:r w:rsidR="00503D6A">
        <w:t>with</w:t>
      </w:r>
      <w:r w:rsidR="003A5096">
        <w:t xml:space="preserve"> current </w:t>
      </w:r>
      <w:r w:rsidR="00487A72">
        <w:t>short-term</w:t>
      </w:r>
      <w:r w:rsidR="003A5096">
        <w:t xml:space="preserve"> arrangements for licences</w:t>
      </w:r>
      <w:r w:rsidR="00AD0CFE">
        <w:t xml:space="preserve">. </w:t>
      </w:r>
    </w:p>
    <w:p w14:paraId="6A75130F" w14:textId="3FA79796" w:rsidR="004D340D" w:rsidRDefault="004D340D" w:rsidP="004D340D">
      <w:pPr>
        <w:pStyle w:val="Paragraph"/>
      </w:pPr>
      <w:r>
        <w:t>We are aware that many apparatus licensees benefit from the flexibility provided by annual licensing.</w:t>
      </w:r>
      <w:r w:rsidRPr="00736AC1">
        <w:t xml:space="preserve"> </w:t>
      </w:r>
      <w:r>
        <w:t xml:space="preserve">The majority of apparatus licensees seek only one-year licences, even though they are currently able to obtain a licence of up to 5 years duration. Under the new arrangements, </w:t>
      </w:r>
      <w:r w:rsidR="00B20A4E">
        <w:t xml:space="preserve">our approach will be to </w:t>
      </w:r>
      <w:r w:rsidR="0085619D">
        <w:t>continue to make available annual licensing arrangements, but also</w:t>
      </w:r>
      <w:r w:rsidR="009D6FDA">
        <w:t xml:space="preserve"> to make available </w:t>
      </w:r>
      <w:r w:rsidR="00DD1BD8">
        <w:t>licences for periods of up to 10 years.</w:t>
      </w:r>
    </w:p>
    <w:p w14:paraId="1363CDE3" w14:textId="119D8AF7" w:rsidR="00DA25B2" w:rsidRDefault="007E4F74" w:rsidP="00DA25B2">
      <w:pPr>
        <w:pStyle w:val="Paragraph"/>
      </w:pPr>
      <w:r>
        <w:t>Noting these benefits, i</w:t>
      </w:r>
      <w:r w:rsidR="00DA25B2">
        <w:t xml:space="preserve">n offering medium term licences, we will need a certain level of confidence that the </w:t>
      </w:r>
      <w:r>
        <w:t xml:space="preserve">licensed </w:t>
      </w:r>
      <w:r w:rsidR="00DA25B2">
        <w:t xml:space="preserve">use of the spectrum will continue to maximise the overall public benefit and value derived from the spectrum. This is because of the impact </w:t>
      </w:r>
      <w:r w:rsidR="008C1F46">
        <w:t>medium</w:t>
      </w:r>
      <w:r w:rsidR="008E48A9">
        <w:t>-</w:t>
      </w:r>
      <w:r w:rsidR="00DA25B2">
        <w:t xml:space="preserve">term licensing can have </w:t>
      </w:r>
      <w:r w:rsidR="00C474E6">
        <w:t>in</w:t>
      </w:r>
      <w:r w:rsidR="00067835">
        <w:t xml:space="preserve"> placing time constraints on</w:t>
      </w:r>
      <w:r w:rsidR="00DA25B2">
        <w:t xml:space="preserve"> some spectrum management activities such as band planning and re-allocation</w:t>
      </w:r>
      <w:r w:rsidR="008C1F46">
        <w:t xml:space="preserve"> (compared to short term licensing)</w:t>
      </w:r>
      <w:r w:rsidR="00DA25B2">
        <w:t xml:space="preserve">. </w:t>
      </w:r>
      <w:r w:rsidR="003F4458">
        <w:t>Additionally,</w:t>
      </w:r>
      <w:r w:rsidR="00F53CFB">
        <w:t xml:space="preserve"> </w:t>
      </w:r>
      <w:r w:rsidR="00DA25B2">
        <w:t xml:space="preserve">practices such as </w:t>
      </w:r>
      <w:r w:rsidR="00D82011">
        <w:t xml:space="preserve">spectrum </w:t>
      </w:r>
      <w:r w:rsidR="00DA25B2">
        <w:t>hoarding</w:t>
      </w:r>
      <w:r w:rsidR="00E37459">
        <w:t>,</w:t>
      </w:r>
      <w:r w:rsidR="00DA25B2">
        <w:t xml:space="preserve"> </w:t>
      </w:r>
      <w:r w:rsidR="00D54AB7">
        <w:t xml:space="preserve">which could lead to </w:t>
      </w:r>
      <w:r w:rsidR="00720E2D">
        <w:t xml:space="preserve">spectrum </w:t>
      </w:r>
      <w:r w:rsidR="00957412">
        <w:t>being unused</w:t>
      </w:r>
      <w:r w:rsidR="00582A90">
        <w:t xml:space="preserve"> and </w:t>
      </w:r>
      <w:r w:rsidR="00932D95">
        <w:t>denial of service</w:t>
      </w:r>
      <w:r w:rsidR="002A13E0">
        <w:t xml:space="preserve">, </w:t>
      </w:r>
      <w:r w:rsidR="009A6031">
        <w:t>m</w:t>
      </w:r>
      <w:r w:rsidR="00DA25B2">
        <w:t>ust be actively discouraged</w:t>
      </w:r>
      <w:r w:rsidR="00587985">
        <w:t>, especially</w:t>
      </w:r>
      <w:r w:rsidR="00555003">
        <w:t xml:space="preserve"> under </w:t>
      </w:r>
      <w:r w:rsidR="00587985">
        <w:t>longer</w:t>
      </w:r>
      <w:r w:rsidR="008E48A9">
        <w:t>-</w:t>
      </w:r>
      <w:r w:rsidR="00555003">
        <w:t>term licensing arrangements</w:t>
      </w:r>
      <w:r w:rsidR="005A084E">
        <w:t xml:space="preserve"> </w:t>
      </w:r>
      <w:r w:rsidR="00236494">
        <w:t xml:space="preserve">where </w:t>
      </w:r>
      <w:r w:rsidR="000675D9">
        <w:t>spectrum could become ‘locked up’ for longer periods</w:t>
      </w:r>
      <w:r w:rsidR="00B217AA">
        <w:t>.</w:t>
      </w:r>
      <w:r w:rsidR="00B217AA" w:rsidDel="00C75445">
        <w:t xml:space="preserve"> </w:t>
      </w:r>
    </w:p>
    <w:p w14:paraId="76DE3B0E" w14:textId="6C3AA0B9" w:rsidR="00DA25B2" w:rsidRDefault="00AA2CED" w:rsidP="00936657">
      <w:pPr>
        <w:pStyle w:val="Paragraphbeforelist"/>
      </w:pPr>
      <w:r>
        <w:t>W</w:t>
      </w:r>
      <w:r w:rsidR="00DA25B2">
        <w:t xml:space="preserve">e </w:t>
      </w:r>
      <w:r w:rsidR="008A2886">
        <w:t xml:space="preserve">intend </w:t>
      </w:r>
      <w:r w:rsidR="00DA25B2">
        <w:t>to make medium</w:t>
      </w:r>
      <w:r w:rsidR="008E48A9">
        <w:t>-</w:t>
      </w:r>
      <w:r w:rsidR="00DA25B2">
        <w:t xml:space="preserve">term licensing available </w:t>
      </w:r>
      <w:r w:rsidR="00736AC1">
        <w:t xml:space="preserve">as a default </w:t>
      </w:r>
      <w:r w:rsidR="00DA25B2">
        <w:t xml:space="preserve">in bands where there is: </w:t>
      </w:r>
    </w:p>
    <w:p w14:paraId="468C6DC3" w14:textId="723CEEEA" w:rsidR="00DA25B2" w:rsidRDefault="00086489" w:rsidP="00DA25B2">
      <w:pPr>
        <w:pStyle w:val="Bulletlevel1"/>
      </w:pPr>
      <w:r>
        <w:t>a</w:t>
      </w:r>
      <w:r w:rsidR="00DA25B2">
        <w:t xml:space="preserve"> high number of users (and mixed uses)</w:t>
      </w:r>
      <w:r w:rsidR="007B10B8">
        <w:t>,</w:t>
      </w:r>
      <w:r w:rsidR="00DF7CB3">
        <w:t xml:space="preserve"> with an overall inten</w:t>
      </w:r>
      <w:r w:rsidR="00284F1D">
        <w:t>si</w:t>
      </w:r>
      <w:r w:rsidR="00DF7CB3">
        <w:t xml:space="preserve">ve </w:t>
      </w:r>
      <w:r w:rsidR="00284F1D">
        <w:t>level of use,</w:t>
      </w:r>
      <w:r w:rsidR="00DA25B2">
        <w:t xml:space="preserve"> </w:t>
      </w:r>
      <w:r w:rsidR="00023981">
        <w:t>indicating that</w:t>
      </w:r>
      <w:r w:rsidR="00DA25B2">
        <w:t xml:space="preserve"> the band </w:t>
      </w:r>
      <w:r w:rsidR="00BD3885">
        <w:t xml:space="preserve">is </w:t>
      </w:r>
      <w:r w:rsidR="005D1C0E">
        <w:t>efficient</w:t>
      </w:r>
      <w:r w:rsidR="00023981">
        <w:t>l</w:t>
      </w:r>
      <w:r w:rsidR="005D1C0E">
        <w:t>y allocated</w:t>
      </w:r>
    </w:p>
    <w:p w14:paraId="0C35DEC5" w14:textId="0209C040" w:rsidR="00DA25B2" w:rsidRDefault="00086489" w:rsidP="00866C9A">
      <w:pPr>
        <w:pStyle w:val="Bulletlevel1"/>
      </w:pPr>
      <w:r>
        <w:t>a</w:t>
      </w:r>
      <w:r w:rsidR="00DA25B2">
        <w:t xml:space="preserve"> smaller number of users and use cases, but high degree of international harmonisation and lower likelihood of spectrum moving to an alternative use</w:t>
      </w:r>
    </w:p>
    <w:p w14:paraId="7EA0422F" w14:textId="4D381829" w:rsidR="00792994" w:rsidRDefault="00086489" w:rsidP="00F62250">
      <w:pPr>
        <w:pStyle w:val="Bulletlevel1last"/>
      </w:pPr>
      <w:r>
        <w:t>a</w:t>
      </w:r>
      <w:r w:rsidR="00D628E7">
        <w:t xml:space="preserve"> new </w:t>
      </w:r>
      <w:r w:rsidR="00F8557E">
        <w:t xml:space="preserve">allocation of </w:t>
      </w:r>
      <w:r w:rsidR="00922D67">
        <w:t>licences</w:t>
      </w:r>
      <w:r w:rsidR="00D70BCC">
        <w:t xml:space="preserve"> </w:t>
      </w:r>
      <w:r w:rsidR="00EB3EE1">
        <w:t xml:space="preserve">where licensees would be seeking an appropriate </w:t>
      </w:r>
      <w:r w:rsidR="00E05874">
        <w:t xml:space="preserve">licence duration to </w:t>
      </w:r>
      <w:r w:rsidR="00F9412E">
        <w:t xml:space="preserve">maximise investment confidence, but </w:t>
      </w:r>
      <w:r w:rsidR="00187E0E">
        <w:t xml:space="preserve">where </w:t>
      </w:r>
      <w:r w:rsidR="00994CD2">
        <w:t>concerns about licence under-use</w:t>
      </w:r>
      <w:r w:rsidR="00BC16DB">
        <w:t xml:space="preserve"> (or hoarding) might restrict our willingness to offer long duration licences.</w:t>
      </w:r>
    </w:p>
    <w:p w14:paraId="1ACE121A" w14:textId="1D003747" w:rsidR="00AA2CED" w:rsidRDefault="00AA2CED" w:rsidP="00866C9A">
      <w:pPr>
        <w:pStyle w:val="Paragraph"/>
      </w:pPr>
      <w:r>
        <w:t xml:space="preserve">Additionally, we may also use medium-term licensing arrangements </w:t>
      </w:r>
      <w:r w:rsidR="00E4547B">
        <w:t xml:space="preserve">to facilitate planning outcomes, such as aligning common end dates for licences across a particular band. </w:t>
      </w:r>
    </w:p>
    <w:p w14:paraId="15820F7C" w14:textId="304F6ED2" w:rsidR="003A5096" w:rsidRDefault="003A5096" w:rsidP="003A5096">
      <w:pPr>
        <w:pStyle w:val="Paragraph"/>
      </w:pPr>
      <w:r>
        <w:t>We</w:t>
      </w:r>
      <w:r w:rsidR="00690037" w:rsidDel="00CA465E">
        <w:t xml:space="preserve"> </w:t>
      </w:r>
      <w:r w:rsidR="00CA465E">
        <w:t xml:space="preserve">plan </w:t>
      </w:r>
      <w:r w:rsidR="00690037">
        <w:t>to</w:t>
      </w:r>
      <w:r>
        <w:t xml:space="preserve"> limit medium term licensing arrangements to a period of </w:t>
      </w:r>
      <w:r w:rsidR="007E3FBB">
        <w:t xml:space="preserve">up to, but not including </w:t>
      </w:r>
      <w:r>
        <w:t>10 years</w:t>
      </w:r>
      <w:r w:rsidR="00912DD7">
        <w:t>,</w:t>
      </w:r>
      <w:r>
        <w:t xml:space="preserve"> as the Modernisation Act recognises that there needs to be a formal public interest consideration for both spectrum and apparatus licences for any </w:t>
      </w:r>
      <w:r>
        <w:lastRenderedPageBreak/>
        <w:t xml:space="preserve">renewal </w:t>
      </w:r>
      <w:r w:rsidR="007E3FBB">
        <w:t>for 10</w:t>
      </w:r>
      <w:r>
        <w:t xml:space="preserve"> years</w:t>
      </w:r>
      <w:r w:rsidR="007E3FBB">
        <w:t xml:space="preserve"> or longer</w:t>
      </w:r>
      <w:r>
        <w:t>.</w:t>
      </w:r>
      <w:r w:rsidR="00D3393F">
        <w:rPr>
          <w:rStyle w:val="FootnoteReference"/>
        </w:rPr>
        <w:footnoteReference w:id="8"/>
      </w:r>
      <w:r>
        <w:t xml:space="preserve"> Whil</w:t>
      </w:r>
      <w:r w:rsidR="00F130B6">
        <w:t>e</w:t>
      </w:r>
      <w:r>
        <w:t xml:space="preserve"> it would be open for us to issue an initial licence for a period </w:t>
      </w:r>
      <w:r w:rsidR="007D7D30">
        <w:t>of 10 years or longer</w:t>
      </w:r>
      <w:r>
        <w:t xml:space="preserve"> without considering a public interest test, we consider that licence terms for both the initial and renewed licence should </w:t>
      </w:r>
      <w:r w:rsidR="00545FD5">
        <w:t xml:space="preserve">generally </w:t>
      </w:r>
      <w:r>
        <w:t xml:space="preserve">be limited to </w:t>
      </w:r>
      <w:r w:rsidR="00274B1A">
        <w:t xml:space="preserve">a term of </w:t>
      </w:r>
      <w:r w:rsidR="007E3FBB">
        <w:t xml:space="preserve">up to </w:t>
      </w:r>
      <w:r>
        <w:t xml:space="preserve">10 years. </w:t>
      </w:r>
    </w:p>
    <w:p w14:paraId="157853A8" w14:textId="6C8600C1" w:rsidR="008F561A" w:rsidRDefault="0012090E" w:rsidP="003A5096">
      <w:pPr>
        <w:pStyle w:val="Paragraph"/>
      </w:pPr>
      <w:r>
        <w:t>Similar to long</w:t>
      </w:r>
      <w:r w:rsidR="00071567">
        <w:t>-</w:t>
      </w:r>
      <w:r>
        <w:t xml:space="preserve">term licensing arrangements, we </w:t>
      </w:r>
      <w:r w:rsidR="00EA65C2">
        <w:t>may in certain circumstances</w:t>
      </w:r>
      <w:r>
        <w:t xml:space="preserve"> exercise discretion to manage the duration of licences in the band to ensure licence</w:t>
      </w:r>
      <w:r w:rsidR="004B0587">
        <w:t>s</w:t>
      </w:r>
      <w:r>
        <w:t xml:space="preserve"> terminate a</w:t>
      </w:r>
      <w:r w:rsidR="004B0587">
        <w:t>t</w:t>
      </w:r>
      <w:r>
        <w:t xml:space="preserve"> </w:t>
      </w:r>
      <w:r w:rsidR="00835B62">
        <w:t xml:space="preserve">a </w:t>
      </w:r>
      <w:r>
        <w:t>common point in certain circumstances</w:t>
      </w:r>
      <w:r w:rsidR="00835B62">
        <w:t>,</w:t>
      </w:r>
      <w:r>
        <w:t xml:space="preserve"> </w:t>
      </w:r>
      <w:r w:rsidR="004B0587">
        <w:t xml:space="preserve">in order to </w:t>
      </w:r>
      <w:r w:rsidR="00CB2859">
        <w:t>facilitate planning decisions, such as re-allocation</w:t>
      </w:r>
      <w:r>
        <w:t>.</w:t>
      </w:r>
      <w:r w:rsidR="00EC7AFA">
        <w:t xml:space="preserve"> </w:t>
      </w:r>
    </w:p>
    <w:p w14:paraId="44A7DE4B" w14:textId="07A78AA7" w:rsidR="00602E50" w:rsidRDefault="00CE0085" w:rsidP="00D71A17">
      <w:pPr>
        <w:pStyle w:val="Heading3"/>
      </w:pPr>
      <w:bookmarkStart w:id="33" w:name="_Toc65835954"/>
      <w:r>
        <w:t>C</w:t>
      </w:r>
      <w:r w:rsidR="00602E50">
        <w:t>onsult</w:t>
      </w:r>
      <w:r>
        <w:t>ing</w:t>
      </w:r>
      <w:r w:rsidR="00602E50">
        <w:t xml:space="preserve"> with you about </w:t>
      </w:r>
      <w:r w:rsidR="008A4CD1">
        <w:t>medium</w:t>
      </w:r>
      <w:r>
        <w:t>-</w:t>
      </w:r>
      <w:r w:rsidR="00241B22">
        <w:t>term</w:t>
      </w:r>
      <w:r w:rsidR="00602E50">
        <w:t xml:space="preserve"> licence duration</w:t>
      </w:r>
      <w:bookmarkEnd w:id="33"/>
    </w:p>
    <w:p w14:paraId="15A85B4B" w14:textId="558631B0" w:rsidR="00566AD5" w:rsidRPr="00566AD5" w:rsidRDefault="00566AD5" w:rsidP="00D71A17">
      <w:pPr>
        <w:pStyle w:val="Paragraph"/>
      </w:pPr>
      <w:r w:rsidRPr="00566AD5">
        <w:t>We expect to consult with stakeholders around whether medium-term licensing will be made available in a particular band as part of consultations around spectrum planning activities that may affect the conditions of licensees within the band, or the proposed allocation of new licences within a band. Consistent with current practices, spectrum planning activities that may affect significant numbers of licensees in a band, as well as proposed allocation processes, will be identified in the annual work program, noting the relevant planning and licensing activity.</w:t>
      </w:r>
    </w:p>
    <w:p w14:paraId="543619F0" w14:textId="417ED061" w:rsidR="0012090E" w:rsidRPr="00306C9B" w:rsidRDefault="00566AD5">
      <w:pPr>
        <w:pStyle w:val="Paragraph"/>
        <w:rPr>
          <w:szCs w:val="20"/>
        </w:rPr>
      </w:pPr>
      <w:r w:rsidRPr="00566AD5">
        <w:t xml:space="preserve">Licence renewal will also provide an opportunity for existing licensees to request a medium-term licence, or for us to make an offer of a medium-term licence. For existing apparatus licences, approximately </w:t>
      </w:r>
      <w:r w:rsidR="005B1C47">
        <w:t>4</w:t>
      </w:r>
      <w:r w:rsidR="005B1C47" w:rsidRPr="00566AD5">
        <w:t xml:space="preserve"> </w:t>
      </w:r>
      <w:r w:rsidRPr="00566AD5">
        <w:t>months prior to licence expiry, we send a validation notice to licensees to ensure licensee and licence details are correct. It would be open to licensees to request a new licence with a medium</w:t>
      </w:r>
      <w:r w:rsidR="00CE0085">
        <w:t>-</w:t>
      </w:r>
      <w:r w:rsidRPr="00566AD5">
        <w:t xml:space="preserve">term duration as part of this process. </w:t>
      </w:r>
    </w:p>
    <w:p w14:paraId="1ED9DA1E" w14:textId="4C15310C" w:rsidR="00A953A4" w:rsidRDefault="00A953A4" w:rsidP="00866C9A">
      <w:pPr>
        <w:pStyle w:val="Heading2"/>
      </w:pPr>
      <w:bookmarkStart w:id="34" w:name="_Toc65835955"/>
      <w:r>
        <w:t>Short</w:t>
      </w:r>
      <w:r w:rsidR="00CE0085">
        <w:t>-</w:t>
      </w:r>
      <w:r>
        <w:t>term</w:t>
      </w:r>
      <w:r w:rsidR="00640C55">
        <w:t xml:space="preserve"> licence duration</w:t>
      </w:r>
      <w:r>
        <w:t xml:space="preserve"> (</w:t>
      </w:r>
      <w:r w:rsidR="00D46E34">
        <w:t xml:space="preserve">up to </w:t>
      </w:r>
      <w:r w:rsidR="0019272E" w:rsidDel="00047FC8">
        <w:t>one</w:t>
      </w:r>
      <w:r w:rsidDel="00047FC8">
        <w:t xml:space="preserve"> </w:t>
      </w:r>
      <w:r>
        <w:t>year)</w:t>
      </w:r>
      <w:bookmarkEnd w:id="34"/>
    </w:p>
    <w:p w14:paraId="04DA9FD4" w14:textId="08FA17A9" w:rsidR="00CB2762" w:rsidRDefault="00797247" w:rsidP="00A953A4">
      <w:pPr>
        <w:pStyle w:val="Paragraph"/>
      </w:pPr>
      <w:r>
        <w:t xml:space="preserve">Consistent with established practices for licences authorising </w:t>
      </w:r>
      <w:r w:rsidR="00EC674B">
        <w:t>use cases that are temporary or short term in nature (for example, special events and trials)</w:t>
      </w:r>
      <w:r>
        <w:t xml:space="preserve">, we will </w:t>
      </w:r>
      <w:r w:rsidR="00FF6BEC">
        <w:t xml:space="preserve">also </w:t>
      </w:r>
      <w:r>
        <w:t xml:space="preserve">continue to limit certain </w:t>
      </w:r>
      <w:r w:rsidR="00D6429D">
        <w:t>spectrum uses</w:t>
      </w:r>
      <w:r>
        <w:t xml:space="preserve"> to shor</w:t>
      </w:r>
      <w:r w:rsidR="00CB2762">
        <w:t xml:space="preserve">t term </w:t>
      </w:r>
      <w:r w:rsidR="00D6429D">
        <w:t xml:space="preserve">licensing </w:t>
      </w:r>
      <w:r w:rsidR="00CB2762">
        <w:t xml:space="preserve">arrangements. </w:t>
      </w:r>
    </w:p>
    <w:p w14:paraId="113179CD" w14:textId="21F4D6FA" w:rsidR="00602E50" w:rsidRDefault="00CE0085" w:rsidP="00001FF4">
      <w:pPr>
        <w:pStyle w:val="Heading3"/>
      </w:pPr>
      <w:bookmarkStart w:id="35" w:name="_Toc65835956"/>
      <w:r>
        <w:t>C</w:t>
      </w:r>
      <w:r w:rsidR="00602E50">
        <w:t>onsult</w:t>
      </w:r>
      <w:r>
        <w:t>ing</w:t>
      </w:r>
      <w:r w:rsidR="00602E50">
        <w:t xml:space="preserve"> with you about </w:t>
      </w:r>
      <w:r w:rsidR="008A4CD1">
        <w:t>short</w:t>
      </w:r>
      <w:r>
        <w:t>-</w:t>
      </w:r>
      <w:r w:rsidR="00241B22">
        <w:t xml:space="preserve">term </w:t>
      </w:r>
      <w:r w:rsidR="00602E50">
        <w:t>licence duration</w:t>
      </w:r>
      <w:bookmarkEnd w:id="35"/>
    </w:p>
    <w:p w14:paraId="5863C38E" w14:textId="40D6508F" w:rsidR="00E9048C" w:rsidRDefault="00080AF3" w:rsidP="00A953A4">
      <w:pPr>
        <w:pStyle w:val="Paragraph"/>
      </w:pPr>
      <w:r w:rsidRPr="00080AF3">
        <w:t>We intend to continue to offer short</w:t>
      </w:r>
      <w:r w:rsidR="00334058">
        <w:t xml:space="preserve"> </w:t>
      </w:r>
      <w:r w:rsidRPr="00080AF3">
        <w:t xml:space="preserve">term apparatus licences on request to maintain this flexibility for licensees. Consistent with current practices, we will continue to send a validation notice 90 days before we send a renewal notice to ensure all details are correct, and then send a renewal notice at least 4 weeks prior </w:t>
      </w:r>
      <w:r w:rsidR="00334058">
        <w:t xml:space="preserve">to when </w:t>
      </w:r>
      <w:r w:rsidRPr="00080AF3">
        <w:t xml:space="preserve">the relevant licence is due to expire. </w:t>
      </w:r>
    </w:p>
    <w:p w14:paraId="4568B15A" w14:textId="10B7F5D0" w:rsidR="009366A8" w:rsidRDefault="009366A8" w:rsidP="00541907">
      <w:pPr>
        <w:pStyle w:val="Heading1"/>
      </w:pPr>
      <w:bookmarkStart w:id="36" w:name="_Toc65835957"/>
      <w:r>
        <w:lastRenderedPageBreak/>
        <w:t>Payment arrangements</w:t>
      </w:r>
      <w:bookmarkEnd w:id="36"/>
    </w:p>
    <w:p w14:paraId="6FC1E166" w14:textId="04840332" w:rsidR="006A4F5C" w:rsidRDefault="00C909CF" w:rsidP="00C909CF">
      <w:r>
        <w:t xml:space="preserve">As part of its radiocommunications reform package, the </w:t>
      </w:r>
      <w:r w:rsidR="005A01D5">
        <w:t>g</w:t>
      </w:r>
      <w:r>
        <w:t xml:space="preserve">overnment also passed the </w:t>
      </w:r>
      <w:hyperlink r:id="rId34" w:history="1">
        <w:r w:rsidRPr="00B73F11">
          <w:rPr>
            <w:rStyle w:val="Hyperlink"/>
            <w:i/>
            <w:iCs/>
          </w:rPr>
          <w:t xml:space="preserve">Radiocommunications (Transmitter Licence Tax) </w:t>
        </w:r>
        <w:r w:rsidR="001775A5">
          <w:rPr>
            <w:rStyle w:val="Hyperlink"/>
            <w:i/>
            <w:iCs/>
          </w:rPr>
          <w:t xml:space="preserve">Amendment </w:t>
        </w:r>
        <w:r w:rsidRPr="00B73F11">
          <w:rPr>
            <w:rStyle w:val="Hyperlink"/>
            <w:i/>
            <w:iCs/>
          </w:rPr>
          <w:t>Act 2020</w:t>
        </w:r>
      </w:hyperlink>
      <w:r>
        <w:t xml:space="preserve"> and the </w:t>
      </w:r>
      <w:hyperlink r:id="rId35" w:history="1">
        <w:r w:rsidRPr="002B62F3">
          <w:rPr>
            <w:rStyle w:val="Hyperlink"/>
            <w:i/>
            <w:iCs/>
          </w:rPr>
          <w:t xml:space="preserve">Radiocommunications (Receiver Licence Tax) </w:t>
        </w:r>
        <w:r w:rsidR="001775A5">
          <w:rPr>
            <w:rStyle w:val="Hyperlink"/>
            <w:i/>
            <w:iCs/>
          </w:rPr>
          <w:t xml:space="preserve">Amendment </w:t>
        </w:r>
        <w:r w:rsidRPr="002B62F3">
          <w:rPr>
            <w:rStyle w:val="Hyperlink"/>
            <w:i/>
            <w:iCs/>
          </w:rPr>
          <w:t>Act 2020</w:t>
        </w:r>
      </w:hyperlink>
      <w:r>
        <w:t xml:space="preserve"> (</w:t>
      </w:r>
      <w:r w:rsidR="001775A5">
        <w:t xml:space="preserve">together, </w:t>
      </w:r>
      <w:r>
        <w:t xml:space="preserve">the </w:t>
      </w:r>
      <w:r w:rsidR="00F9501D">
        <w:t>t</w:t>
      </w:r>
      <w:r>
        <w:t xml:space="preserve">ax </w:t>
      </w:r>
      <w:r w:rsidR="00F9501D">
        <w:t>a</w:t>
      </w:r>
      <w:r>
        <w:t xml:space="preserve">mendment </w:t>
      </w:r>
      <w:r w:rsidR="00F9501D">
        <w:t>a</w:t>
      </w:r>
      <w:r>
        <w:t xml:space="preserve">cts). These amend the </w:t>
      </w:r>
      <w:hyperlink r:id="rId36" w:history="1">
        <w:r w:rsidRPr="00185784">
          <w:rPr>
            <w:rStyle w:val="Hyperlink"/>
            <w:i/>
            <w:iCs/>
          </w:rPr>
          <w:t>Radiocommunications (Transmitter Licence Tax) Act 1983</w:t>
        </w:r>
      </w:hyperlink>
      <w:r>
        <w:t xml:space="preserve"> </w:t>
      </w:r>
      <w:r w:rsidR="00B418E8">
        <w:t xml:space="preserve">(Transmitter Licence Tax Act) </w:t>
      </w:r>
      <w:r>
        <w:t xml:space="preserve">and the </w:t>
      </w:r>
      <w:hyperlink r:id="rId37" w:history="1">
        <w:r w:rsidR="00F325DA" w:rsidRPr="00784C95">
          <w:rPr>
            <w:rStyle w:val="Hyperlink"/>
            <w:i/>
            <w:iCs/>
          </w:rPr>
          <w:t>Radiocommunications (Receiver Licence Tax) Act 1983</w:t>
        </w:r>
      </w:hyperlink>
      <w:r w:rsidR="00F325DA">
        <w:t xml:space="preserve"> </w:t>
      </w:r>
      <w:r w:rsidR="00C735AE" w:rsidRPr="00784C95">
        <w:rPr>
          <w:rStyle w:val="Hyperlink"/>
          <w:color w:val="auto"/>
          <w:u w:val="none"/>
        </w:rPr>
        <w:t>(Receive</w:t>
      </w:r>
      <w:r w:rsidR="00DF3A62" w:rsidRPr="00784C95">
        <w:rPr>
          <w:rStyle w:val="Hyperlink"/>
          <w:color w:val="auto"/>
          <w:u w:val="none"/>
        </w:rPr>
        <w:t>r</w:t>
      </w:r>
      <w:r w:rsidR="00C735AE" w:rsidRPr="00784C95">
        <w:rPr>
          <w:rStyle w:val="Hyperlink"/>
          <w:color w:val="auto"/>
          <w:u w:val="none"/>
        </w:rPr>
        <w:t xml:space="preserve"> Licence Tax Act),</w:t>
      </w:r>
      <w:r w:rsidRPr="00D118A3">
        <w:t xml:space="preserve"> </w:t>
      </w:r>
      <w:r>
        <w:t>(</w:t>
      </w:r>
      <w:r w:rsidR="00024B26">
        <w:t xml:space="preserve">together, </w:t>
      </w:r>
      <w:r>
        <w:t xml:space="preserve">the </w:t>
      </w:r>
      <w:r w:rsidR="00F9501D">
        <w:t>t</w:t>
      </w:r>
      <w:r>
        <w:t xml:space="preserve">ax </w:t>
      </w:r>
      <w:r w:rsidR="00F9501D">
        <w:t>a</w:t>
      </w:r>
      <w:r>
        <w:t xml:space="preserve">cts). </w:t>
      </w:r>
    </w:p>
    <w:p w14:paraId="4C771333" w14:textId="197B4396" w:rsidR="00C909CF" w:rsidRDefault="006A4F5C" w:rsidP="00541907">
      <w:r>
        <w:t xml:space="preserve">The Modernisation </w:t>
      </w:r>
      <w:r w:rsidR="0041082F">
        <w:t>Act</w:t>
      </w:r>
      <w:r>
        <w:t xml:space="preserve"> and the </w:t>
      </w:r>
      <w:r w:rsidR="00F9501D">
        <w:t>t</w:t>
      </w:r>
      <w:r>
        <w:t xml:space="preserve">ax </w:t>
      </w:r>
      <w:r w:rsidR="00F9501D">
        <w:t>a</w:t>
      </w:r>
      <w:r>
        <w:t xml:space="preserve">mendment </w:t>
      </w:r>
      <w:r w:rsidR="00F9501D">
        <w:t>a</w:t>
      </w:r>
      <w:r>
        <w:t xml:space="preserve">cts do not change the structure of the payment arrangements relating to apparatus and spectrum licences. For spectrum licences, we can continue to determine spectrum access charges and spectrum licence taxes. For apparatus licences, we can continue to determine apparatus licence taxes. We can also determine </w:t>
      </w:r>
      <w:r w:rsidR="00F325DA">
        <w:t>cost recovery</w:t>
      </w:r>
      <w:r>
        <w:t xml:space="preserve"> charges, such as for the issue, renewal, variation or transfer of a licence and frequency assignment work.</w:t>
      </w:r>
      <w:r>
        <w:rPr>
          <w:rStyle w:val="FootnoteReference"/>
        </w:rPr>
        <w:footnoteReference w:id="9"/>
      </w:r>
    </w:p>
    <w:p w14:paraId="613425B5" w14:textId="1B7E0449" w:rsidR="00594578" w:rsidRDefault="00594578" w:rsidP="00594578">
      <w:pPr>
        <w:pStyle w:val="Heading2"/>
      </w:pPr>
      <w:bookmarkStart w:id="37" w:name="_Toc65835958"/>
      <w:r>
        <w:t>Relevant legislative provisions</w:t>
      </w:r>
      <w:bookmarkEnd w:id="37"/>
    </w:p>
    <w:p w14:paraId="3FAF7824" w14:textId="4B55B88C" w:rsidR="00525242" w:rsidRPr="00AE383B" w:rsidRDefault="007D6BDF" w:rsidP="00540DF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br/>
      </w:r>
      <w:r w:rsidR="00D072B3">
        <w:t>New s</w:t>
      </w:r>
      <w:r w:rsidR="00525242" w:rsidRPr="00AE383B">
        <w:t xml:space="preserve">ubsection 6(1C) of the Transmitter Licence Tax Act </w:t>
      </w:r>
      <w:r w:rsidR="001E2D0E" w:rsidRPr="00AE383B">
        <w:t xml:space="preserve">and </w:t>
      </w:r>
      <w:r w:rsidR="00D072B3">
        <w:t xml:space="preserve">new </w:t>
      </w:r>
      <w:r w:rsidR="001E2D0E" w:rsidRPr="00AE383B">
        <w:t xml:space="preserve">subsection 6(1B) of the Receiver Licence Tax Act </w:t>
      </w:r>
      <w:r w:rsidR="00D072B3">
        <w:t xml:space="preserve">will </w:t>
      </w:r>
      <w:r w:rsidR="00525242" w:rsidRPr="00AE383B">
        <w:t xml:space="preserve">enable the ACMA to determine one or more </w:t>
      </w:r>
      <w:r w:rsidR="00D072B3">
        <w:t>classes</w:t>
      </w:r>
      <w:r w:rsidR="00525242" w:rsidRPr="00AE383B">
        <w:t xml:space="preserve"> of transmitter </w:t>
      </w:r>
      <w:r w:rsidR="00593C4B" w:rsidRPr="00AE383B">
        <w:t xml:space="preserve">or receiver </w:t>
      </w:r>
      <w:r w:rsidR="00525242" w:rsidRPr="00AE383B">
        <w:t xml:space="preserve">licence for the purposes of </w:t>
      </w:r>
      <w:r w:rsidR="00411D84" w:rsidRPr="00AE383B">
        <w:t>imposing tax</w:t>
      </w:r>
      <w:r w:rsidR="001857C1" w:rsidRPr="00AE383B">
        <w:t xml:space="preserve"> at licence issue for the duration of the licence’s term</w:t>
      </w:r>
      <w:r w:rsidR="00882638" w:rsidRPr="00AE383B">
        <w:t xml:space="preserve"> (that is, payment upfront)</w:t>
      </w:r>
      <w:r w:rsidR="001E2D0E" w:rsidRPr="00AE383B">
        <w:t xml:space="preserve"> via a legislative </w:t>
      </w:r>
      <w:r w:rsidR="00F70221" w:rsidRPr="00AE383B">
        <w:t>instrument</w:t>
      </w:r>
      <w:r w:rsidR="00F70221" w:rsidRPr="00AE383B" w:rsidDel="000C2205">
        <w:t>.</w:t>
      </w:r>
    </w:p>
    <w:p w14:paraId="5A220300" w14:textId="4D005807" w:rsidR="00D16A1A" w:rsidRPr="00AE383B" w:rsidRDefault="00663875" w:rsidP="00540DF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D16A1A" w:rsidRPr="00AE383B">
        <w:t xml:space="preserve">ubsection </w:t>
      </w:r>
      <w:r w:rsidR="001E4693" w:rsidRPr="00AE383B">
        <w:t>6</w:t>
      </w:r>
      <w:r w:rsidR="00C35E6D" w:rsidRPr="00AE383B">
        <w:t>(1E) of the Transmitter Licence Tax Act</w:t>
      </w:r>
      <w:r w:rsidR="001E2D0E" w:rsidRPr="00AE383B">
        <w:t xml:space="preserve"> and subsection 6(1D) of the Receiver Licence Tax Act </w:t>
      </w:r>
      <w:r>
        <w:t>will</w:t>
      </w:r>
      <w:r w:rsidR="001E2D0E" w:rsidRPr="00AE383B">
        <w:t xml:space="preserve"> </w:t>
      </w:r>
      <w:r w:rsidR="004F5308" w:rsidRPr="00AE383B">
        <w:t xml:space="preserve">enable the ACMA to determine one or more </w:t>
      </w:r>
      <w:r w:rsidR="00E1575B">
        <w:t xml:space="preserve">classes </w:t>
      </w:r>
      <w:r w:rsidR="004F5308" w:rsidRPr="00AE383B">
        <w:t xml:space="preserve">of transmitter </w:t>
      </w:r>
      <w:r w:rsidR="00A32B05" w:rsidRPr="00AE383B">
        <w:t>or receiver licence</w:t>
      </w:r>
      <w:r w:rsidR="00593C4B" w:rsidRPr="00AE383B">
        <w:t xml:space="preserve"> </w:t>
      </w:r>
      <w:r w:rsidR="004F5308" w:rsidRPr="00AE383B">
        <w:t>for the purposes</w:t>
      </w:r>
      <w:r w:rsidR="00FE27EB" w:rsidRPr="00AE383B">
        <w:t xml:space="preserve"> of </w:t>
      </w:r>
      <w:r w:rsidR="000F388A" w:rsidRPr="00AE383B">
        <w:t xml:space="preserve">imposing tax </w:t>
      </w:r>
      <w:r w:rsidR="001E0641" w:rsidRPr="00AE383B">
        <w:t>on the anniversary of the day the licence came into force for the duration o</w:t>
      </w:r>
      <w:r w:rsidR="00882638" w:rsidRPr="00AE383B">
        <w:t xml:space="preserve">f the licence’s term (that is, payment by </w:t>
      </w:r>
      <w:r w:rsidR="00006F30">
        <w:t xml:space="preserve">annual </w:t>
      </w:r>
      <w:r w:rsidR="00882638" w:rsidRPr="00AE383B">
        <w:t>instalment)</w:t>
      </w:r>
      <w:r w:rsidR="001E2D0E" w:rsidRPr="00AE383B">
        <w:t xml:space="preserve"> via a legislative </w:t>
      </w:r>
      <w:r w:rsidR="00F70221" w:rsidRPr="00AE383B">
        <w:t>instrument</w:t>
      </w:r>
      <w:r w:rsidR="00F70221" w:rsidRPr="00AE383B" w:rsidDel="000C2205">
        <w:t>.</w:t>
      </w:r>
    </w:p>
    <w:p w14:paraId="355234BD" w14:textId="2CAF16BB" w:rsidR="00E77D1D" w:rsidRPr="00AE383B" w:rsidRDefault="00E77D1D" w:rsidP="00540DFF">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AE383B">
        <w:t xml:space="preserve">Subsection 6(4) of the Transmitter Licence Tax Act and </w:t>
      </w:r>
      <w:r w:rsidR="00187F7C" w:rsidRPr="00AE383B">
        <w:t xml:space="preserve">subsection 6(4) of the Receiver Licence Tax Act as amended, enable </w:t>
      </w:r>
      <w:r w:rsidR="00A32B05" w:rsidRPr="00AE383B">
        <w:t xml:space="preserve">apparatus </w:t>
      </w:r>
      <w:r w:rsidR="00187F7C" w:rsidRPr="00AE383B">
        <w:t xml:space="preserve">licensees to nominate whether to pay </w:t>
      </w:r>
      <w:r w:rsidR="00006F30">
        <w:t xml:space="preserve">tax </w:t>
      </w:r>
      <w:r w:rsidR="00187F7C" w:rsidRPr="00AE383B">
        <w:t xml:space="preserve">by instalment or upfront if </w:t>
      </w:r>
      <w:r w:rsidR="00F70221" w:rsidRPr="00AE383B">
        <w:t>the relevant transmitter or receiver licence type is not covered by such a determination</w:t>
      </w:r>
      <w:r w:rsidR="00F70221" w:rsidRPr="00AE383B" w:rsidDel="000C2205">
        <w:t>.</w:t>
      </w:r>
      <w:r w:rsidR="007D6BDF">
        <w:br/>
      </w:r>
    </w:p>
    <w:p w14:paraId="462DD40B" w14:textId="77777777" w:rsidR="001E2D0E" w:rsidRDefault="001E2D0E" w:rsidP="001E2D0E">
      <w:pPr>
        <w:pStyle w:val="Heading2"/>
      </w:pPr>
      <w:bookmarkStart w:id="38" w:name="_Toc65835959"/>
      <w:r>
        <w:t>Key decisions</w:t>
      </w:r>
      <w:bookmarkEnd w:id="38"/>
      <w:r>
        <w:t xml:space="preserve"> </w:t>
      </w:r>
    </w:p>
    <w:p w14:paraId="0A1C2CB0" w14:textId="55DB754C" w:rsidR="006A608F" w:rsidRDefault="00DD318B" w:rsidP="00107BCA">
      <w:pPr>
        <w:pStyle w:val="Bulletlevel1last"/>
      </w:pPr>
      <w:r>
        <w:rPr>
          <w:b/>
          <w:bCs/>
        </w:rPr>
        <w:t xml:space="preserve">Apparatus payment arrangements </w:t>
      </w:r>
      <w:r>
        <w:t>– we may determine whether</w:t>
      </w:r>
      <w:r w:rsidR="00D4661E">
        <w:t xml:space="preserve"> an apparatus licensee </w:t>
      </w:r>
      <w:r w:rsidR="00CD156D">
        <w:t>must</w:t>
      </w:r>
      <w:r w:rsidR="00D4661E">
        <w:t xml:space="preserve"> pay by instalment, upfront or </w:t>
      </w:r>
      <w:r w:rsidR="00CD156D">
        <w:t xml:space="preserve">can </w:t>
      </w:r>
      <w:r w:rsidR="00D4661E">
        <w:t xml:space="preserve">elect to </w:t>
      </w:r>
      <w:r w:rsidR="00CD156D">
        <w:t>pay by either arrangement</w:t>
      </w:r>
      <w:r w:rsidR="008C7C14">
        <w:t>.</w:t>
      </w:r>
      <w:r w:rsidR="00CD156D">
        <w:t xml:space="preserve"> </w:t>
      </w:r>
    </w:p>
    <w:p w14:paraId="40814C42" w14:textId="2A9A5FC0" w:rsidR="00A24B86" w:rsidRDefault="006D27B1" w:rsidP="00541907">
      <w:pPr>
        <w:pStyle w:val="Heading2"/>
      </w:pPr>
      <w:bookmarkStart w:id="39" w:name="_Toc65835960"/>
      <w:r>
        <w:t>Payment arrangements for apparatus licences</w:t>
      </w:r>
      <w:bookmarkEnd w:id="39"/>
    </w:p>
    <w:p w14:paraId="3FD3AD32" w14:textId="7745E591" w:rsidR="009C3951" w:rsidRDefault="00D876FD" w:rsidP="009366A8">
      <w:r>
        <w:t xml:space="preserve">Apparatus licensees have typically been able to elect to pay apparatus licence taxes for multi-year licences either upfront or by instalments, while spectrum licensees have been required to pay </w:t>
      </w:r>
      <w:r w:rsidR="00D118A3">
        <w:t xml:space="preserve">their spectrum access charge </w:t>
      </w:r>
      <w:r>
        <w:t>upfront</w:t>
      </w:r>
      <w:r w:rsidR="00D118A3">
        <w:t xml:space="preserve">, and their spectrum </w:t>
      </w:r>
      <w:r w:rsidR="00421969">
        <w:t xml:space="preserve">licence </w:t>
      </w:r>
      <w:r w:rsidR="00D118A3">
        <w:t>tax annually</w:t>
      </w:r>
      <w:r>
        <w:t xml:space="preserve">. </w:t>
      </w:r>
    </w:p>
    <w:p w14:paraId="6E090C14" w14:textId="586F0419" w:rsidR="009366A8" w:rsidRDefault="009366A8" w:rsidP="009366A8">
      <w:r w:rsidRPr="00150C4F">
        <w:t xml:space="preserve">With the alignment of the maximum duration of spectrum licences and </w:t>
      </w:r>
      <w:r>
        <w:t>apparatus</w:t>
      </w:r>
      <w:r w:rsidRPr="00150C4F">
        <w:t xml:space="preserve"> licences, different timing for the applicable charges and taxes has the potential to </w:t>
      </w:r>
      <w:r w:rsidRPr="00150C4F">
        <w:lastRenderedPageBreak/>
        <w:t xml:space="preserve">introduce inefficiencies in the spectrum management framework by distorting demand between </w:t>
      </w:r>
      <w:r>
        <w:t>apparatus licence</w:t>
      </w:r>
      <w:r w:rsidR="007B6FE3">
        <w:t>s</w:t>
      </w:r>
      <w:r>
        <w:t xml:space="preserve"> and spectrum licences. </w:t>
      </w:r>
    </w:p>
    <w:p w14:paraId="55772B15" w14:textId="29A79181" w:rsidR="009366A8" w:rsidRDefault="009366A8" w:rsidP="009366A8">
      <w:r>
        <w:t>T</w:t>
      </w:r>
      <w:r w:rsidRPr="00443D51">
        <w:t xml:space="preserve">he </w:t>
      </w:r>
      <w:r>
        <w:t xml:space="preserve">amendments to the </w:t>
      </w:r>
      <w:r w:rsidR="00243FF9">
        <w:t>t</w:t>
      </w:r>
      <w:r>
        <w:t xml:space="preserve">ax </w:t>
      </w:r>
      <w:r w:rsidR="00243FF9">
        <w:t>a</w:t>
      </w:r>
      <w:r>
        <w:t xml:space="preserve">cts </w:t>
      </w:r>
      <w:r w:rsidRPr="00443D51">
        <w:t xml:space="preserve">enable </w:t>
      </w:r>
      <w:r>
        <w:t>us</w:t>
      </w:r>
      <w:r w:rsidRPr="00443D51">
        <w:t xml:space="preserve"> to </w:t>
      </w:r>
      <w:r w:rsidRPr="0017521F">
        <w:t xml:space="preserve">determine </w:t>
      </w:r>
      <w:r w:rsidR="0003176B">
        <w:t xml:space="preserve">types </w:t>
      </w:r>
      <w:r w:rsidRPr="0017521F">
        <w:t>of transmitter or receive</w:t>
      </w:r>
      <w:r>
        <w:t>r</w:t>
      </w:r>
      <w:r w:rsidRPr="0017521F">
        <w:t xml:space="preserve"> licences </w:t>
      </w:r>
      <w:r w:rsidR="00767DAE">
        <w:t>(that is, apparatus licences)</w:t>
      </w:r>
      <w:r w:rsidRPr="0017521F">
        <w:t xml:space="preserve"> </w:t>
      </w:r>
      <w:r w:rsidR="006124EF">
        <w:t>for which the relevant taxes</w:t>
      </w:r>
      <w:r w:rsidRPr="0017521F">
        <w:t xml:space="preserve"> are required to </w:t>
      </w:r>
      <w:r>
        <w:t xml:space="preserve">be paid </w:t>
      </w:r>
      <w:r w:rsidRPr="0017521F">
        <w:t>upfront or by instalments for multi-year apparatus licences</w:t>
      </w:r>
      <w:r w:rsidRPr="00443D51">
        <w:t>.</w:t>
      </w:r>
      <w:r>
        <w:t xml:space="preserve"> In the absence of such determinations being made, licensees will continue to have the option to elect to pay apparatus licence taxes upfront or by instalments.</w:t>
      </w:r>
    </w:p>
    <w:p w14:paraId="29585F1B" w14:textId="7EEB0035" w:rsidR="00890F1B" w:rsidRPr="00540DFF" w:rsidRDefault="009366A8" w:rsidP="00540DFF">
      <w:r w:rsidRPr="0017521F">
        <w:t xml:space="preserve">The provisions will allow </w:t>
      </w:r>
      <w:r>
        <w:t>us</w:t>
      </w:r>
      <w:r w:rsidRPr="0017521F">
        <w:t xml:space="preserve"> </w:t>
      </w:r>
      <w:r>
        <w:t xml:space="preserve">to </w:t>
      </w:r>
      <w:r w:rsidRPr="0017521F">
        <w:t>manage payment arrangements for apparatus licences.</w:t>
      </w:r>
      <w:r w:rsidR="00B701DD">
        <w:t xml:space="preserve"> </w:t>
      </w:r>
      <w:r w:rsidRPr="0017521F">
        <w:t xml:space="preserve">This can assist in </w:t>
      </w:r>
      <w:r w:rsidR="005B11DA">
        <w:t xml:space="preserve">indirect </w:t>
      </w:r>
      <w:r w:rsidRPr="0017521F">
        <w:t>cost recovery initiatives and provide some parity in the administration of the pricing between apparatus and spectrum licences.</w:t>
      </w:r>
      <w:r>
        <w:t xml:space="preserve"> </w:t>
      </w:r>
      <w:r w:rsidR="00705A10">
        <w:t>The ACMA is inclined to consider applying upfront payment arrangements for longer</w:t>
      </w:r>
      <w:r w:rsidR="00843AE9">
        <w:t>-</w:t>
      </w:r>
      <w:r w:rsidR="00705A10">
        <w:t xml:space="preserve">duration apparatus licences. </w:t>
      </w:r>
      <w:r w:rsidR="00AD0D4B">
        <w:t xml:space="preserve">It is anticipated that </w:t>
      </w:r>
      <w:r w:rsidR="002D0B3D">
        <w:t>we</w:t>
      </w:r>
      <w:r w:rsidR="00AD0D4B">
        <w:t xml:space="preserve"> will consider specifying types of transmitter or receiver licences that must be paid either upfront or by instalment </w:t>
      </w:r>
      <w:r w:rsidR="00E51975">
        <w:t>as part of our broader</w:t>
      </w:r>
      <w:r w:rsidR="009B40C3">
        <w:t xml:space="preserve"> planning decisions affecting a band</w:t>
      </w:r>
      <w:r w:rsidR="00843AE9">
        <w:t xml:space="preserve"> –</w:t>
      </w:r>
      <w:r w:rsidR="009B40C3">
        <w:t xml:space="preserve"> such as to facilitate a new major allocation within a band</w:t>
      </w:r>
      <w:r w:rsidR="00843AE9">
        <w:t xml:space="preserve"> –</w:t>
      </w:r>
      <w:r w:rsidR="009B40C3">
        <w:t xml:space="preserve"> </w:t>
      </w:r>
      <w:r w:rsidR="00C36D55">
        <w:t>or in</w:t>
      </w:r>
      <w:r w:rsidR="00AD0D4B">
        <w:t xml:space="preserve"> implementing new cost recovery initiatives.</w:t>
      </w:r>
      <w:r w:rsidR="00AD0D4B" w:rsidDel="00C75445">
        <w:t xml:space="preserve"> </w:t>
      </w:r>
      <w:r w:rsidR="00AD0D4B">
        <w:t>Examples of these events include the introduction of a new licence type like AWLs and the implementation of the portfolio’s charging review.</w:t>
      </w:r>
      <w:r w:rsidR="00881BF1">
        <w:t xml:space="preserve"> </w:t>
      </w:r>
      <w:r>
        <w:t>As part of the process for making these determinations, we will consult with affected stakeholders.</w:t>
      </w:r>
    </w:p>
    <w:p w14:paraId="01EB92BB" w14:textId="19FD5E22" w:rsidR="009366A8" w:rsidRDefault="00D3537E" w:rsidP="00540DFF">
      <w:pPr>
        <w:pStyle w:val="Heading3"/>
      </w:pPr>
      <w:bookmarkStart w:id="40" w:name="_Toc65835961"/>
      <w:r>
        <w:t>C</w:t>
      </w:r>
      <w:r w:rsidR="00E9048C">
        <w:t>onsult</w:t>
      </w:r>
      <w:r>
        <w:t>ing</w:t>
      </w:r>
      <w:r w:rsidR="00E9048C">
        <w:t xml:space="preserve"> with you about payment arrangements</w:t>
      </w:r>
      <w:bookmarkEnd w:id="40"/>
    </w:p>
    <w:p w14:paraId="4A365CF6" w14:textId="1873F67B" w:rsidR="00423D02" w:rsidRPr="00540DFF" w:rsidRDefault="005232CD" w:rsidP="00541907">
      <w:r>
        <w:t>The making of a</w:t>
      </w:r>
      <w:r w:rsidR="00B30518">
        <w:t xml:space="preserve"> </w:t>
      </w:r>
      <w:r w:rsidR="0085436E">
        <w:t xml:space="preserve">determination </w:t>
      </w:r>
      <w:r w:rsidR="0003176B">
        <w:t xml:space="preserve">specifying types of </w:t>
      </w:r>
      <w:r w:rsidR="00AA68EF">
        <w:t>transmitter</w:t>
      </w:r>
      <w:r w:rsidR="0003176B">
        <w:t xml:space="preserve"> or receiver licences </w:t>
      </w:r>
      <w:r w:rsidR="006124EF">
        <w:t xml:space="preserve">for which the relevant taxes </w:t>
      </w:r>
      <w:r w:rsidR="00D503B8">
        <w:t xml:space="preserve">must be paid either upfront or by instalment </w:t>
      </w:r>
      <w:r>
        <w:t xml:space="preserve">would be subject to </w:t>
      </w:r>
      <w:r w:rsidR="00B00FB8">
        <w:t>our normal consultation processes and identified in the</w:t>
      </w:r>
      <w:r w:rsidR="00B00FB8" w:rsidDel="00C75445">
        <w:t xml:space="preserve"> </w:t>
      </w:r>
      <w:r w:rsidR="00AF0DEA" w:rsidRPr="00AF0DEA">
        <w:t>annual work program</w:t>
      </w:r>
      <w:r w:rsidR="00315AA4">
        <w:t>.</w:t>
      </w:r>
      <w:r w:rsidR="00AF0DEA" w:rsidRPr="00AF0DEA">
        <w:t xml:space="preserve"> </w:t>
      </w:r>
    </w:p>
    <w:p w14:paraId="554A4289" w14:textId="7A528B7D" w:rsidR="002335EF" w:rsidRPr="002335EF" w:rsidRDefault="00286B5D" w:rsidP="002335EF">
      <w:pPr>
        <w:pStyle w:val="Heading1"/>
      </w:pPr>
      <w:bookmarkStart w:id="41" w:name="_Toc65835962"/>
      <w:bookmarkStart w:id="42" w:name="_Toc61593405"/>
      <w:r w:rsidRPr="00BF2DCB">
        <w:lastRenderedPageBreak/>
        <w:t>Renewal statements</w:t>
      </w:r>
      <w:bookmarkEnd w:id="41"/>
      <w:r w:rsidR="00332DE4">
        <w:t xml:space="preserve"> </w:t>
      </w:r>
    </w:p>
    <w:bookmarkEnd w:id="42"/>
    <w:p w14:paraId="3B244F0A" w14:textId="52CE5B22" w:rsidR="002335EF" w:rsidRDefault="002335EF" w:rsidP="00152DC8">
      <w:pPr>
        <w:spacing w:line="257" w:lineRule="auto"/>
        <w:rPr>
          <w:rFonts w:eastAsia="Arial" w:cs="Arial"/>
        </w:rPr>
      </w:pPr>
      <w:r w:rsidRPr="6B1E33C4">
        <w:rPr>
          <w:rFonts w:eastAsia="Arial" w:cs="Arial"/>
        </w:rPr>
        <w:t xml:space="preserve">Under the </w:t>
      </w:r>
      <w:r>
        <w:rPr>
          <w:rFonts w:eastAsia="Arial" w:cs="Arial"/>
        </w:rPr>
        <w:t>Act as amended</w:t>
      </w:r>
      <w:r w:rsidRPr="6B1E33C4">
        <w:rPr>
          <w:rFonts w:eastAsia="Arial" w:cs="Arial"/>
        </w:rPr>
        <w:t>, every spectrum licence, and apparatus licence</w:t>
      </w:r>
      <w:r w:rsidR="007B63CB">
        <w:rPr>
          <w:rFonts w:eastAsia="Arial" w:cs="Arial"/>
        </w:rPr>
        <w:t>s</w:t>
      </w:r>
      <w:r w:rsidR="00722120">
        <w:rPr>
          <w:rFonts w:eastAsia="Arial" w:cs="Arial"/>
        </w:rPr>
        <w:t xml:space="preserve"> selected by the ACMA</w:t>
      </w:r>
      <w:r w:rsidRPr="6B1E33C4">
        <w:rPr>
          <w:rFonts w:eastAsia="Arial" w:cs="Arial"/>
        </w:rPr>
        <w:t xml:space="preserve">, will </w:t>
      </w:r>
      <w:r>
        <w:rPr>
          <w:rFonts w:eastAsia="Arial" w:cs="Arial"/>
        </w:rPr>
        <w:t>include</w:t>
      </w:r>
      <w:r w:rsidRPr="6B1E33C4">
        <w:rPr>
          <w:rFonts w:eastAsia="Arial" w:cs="Arial"/>
        </w:rPr>
        <w:t xml:space="preserve"> a renewal statement that sets out whether, and under what circumstances, a licence can be renewed.</w:t>
      </w:r>
    </w:p>
    <w:p w14:paraId="459A89AE" w14:textId="74E2C81F" w:rsidR="004B56B7" w:rsidRDefault="00CD4644" w:rsidP="00152DC8">
      <w:pPr>
        <w:spacing w:line="257" w:lineRule="auto"/>
        <w:rPr>
          <w:rFonts w:eastAsia="Arial" w:cs="Arial"/>
        </w:rPr>
      </w:pPr>
      <w:r>
        <w:rPr>
          <w:rFonts w:eastAsia="Arial" w:cs="Arial"/>
        </w:rPr>
        <w:t>R</w:t>
      </w:r>
      <w:r w:rsidR="004A4D94" w:rsidRPr="6B1E33C4">
        <w:rPr>
          <w:rFonts w:eastAsia="Arial" w:cs="Arial"/>
        </w:rPr>
        <w:t>enewal statements</w:t>
      </w:r>
      <w:r>
        <w:rPr>
          <w:rFonts w:eastAsia="Arial" w:cs="Arial"/>
        </w:rPr>
        <w:t xml:space="preserve"> are intended</w:t>
      </w:r>
      <w:r w:rsidR="00170910">
        <w:rPr>
          <w:rFonts w:eastAsia="Arial" w:cs="Arial"/>
        </w:rPr>
        <w:t xml:space="preserve"> </w:t>
      </w:r>
      <w:r w:rsidR="004A4D94" w:rsidRPr="6B1E33C4">
        <w:rPr>
          <w:rFonts w:eastAsia="Arial" w:cs="Arial"/>
        </w:rPr>
        <w:t xml:space="preserve">to </w:t>
      </w:r>
      <w:r w:rsidR="00152DC8" w:rsidRPr="6B1E33C4">
        <w:rPr>
          <w:rFonts w:eastAsia="Arial" w:cs="Arial"/>
        </w:rPr>
        <w:t xml:space="preserve">provide greater transparency and predictability for </w:t>
      </w:r>
      <w:r w:rsidR="002C441D">
        <w:rPr>
          <w:rFonts w:eastAsia="Arial" w:cs="Arial"/>
        </w:rPr>
        <w:t>licensees</w:t>
      </w:r>
      <w:r w:rsidR="00152DC8" w:rsidRPr="6B1E33C4">
        <w:rPr>
          <w:rFonts w:eastAsia="Arial" w:cs="Arial"/>
        </w:rPr>
        <w:t xml:space="preserve"> around timeframes and the prospect of renewal</w:t>
      </w:r>
      <w:r w:rsidR="00493C96">
        <w:rPr>
          <w:rFonts w:eastAsia="Arial" w:cs="Arial"/>
        </w:rPr>
        <w:t xml:space="preserve"> of their licence</w:t>
      </w:r>
      <w:r w:rsidR="00392062">
        <w:rPr>
          <w:rFonts w:eastAsia="Arial" w:cs="Arial"/>
        </w:rPr>
        <w:t xml:space="preserve"> from the outset</w:t>
      </w:r>
      <w:r w:rsidR="00152DC8" w:rsidRPr="6B1E33C4">
        <w:rPr>
          <w:rFonts w:eastAsia="Arial" w:cs="Arial"/>
        </w:rPr>
        <w:t xml:space="preserve">. </w:t>
      </w:r>
      <w:r w:rsidR="00493C96">
        <w:rPr>
          <w:rFonts w:eastAsia="Arial" w:cs="Arial"/>
        </w:rPr>
        <w:t xml:space="preserve">Renewal </w:t>
      </w:r>
      <w:r w:rsidR="00152DC8" w:rsidRPr="6B1E33C4">
        <w:rPr>
          <w:rFonts w:eastAsia="Arial" w:cs="Arial"/>
        </w:rPr>
        <w:t xml:space="preserve">statements will also help </w:t>
      </w:r>
      <w:r w:rsidR="00152DC8">
        <w:rPr>
          <w:rFonts w:eastAsia="Arial" w:cs="Arial"/>
        </w:rPr>
        <w:t>us</w:t>
      </w:r>
      <w:r w:rsidR="00152DC8" w:rsidRPr="6B1E33C4">
        <w:rPr>
          <w:rFonts w:eastAsia="Arial" w:cs="Arial"/>
        </w:rPr>
        <w:t xml:space="preserve"> communicate our expectations or requirements for the renewal of </w:t>
      </w:r>
      <w:r w:rsidR="00152DC8">
        <w:rPr>
          <w:rFonts w:eastAsia="Arial" w:cs="Arial"/>
        </w:rPr>
        <w:t>licences</w:t>
      </w:r>
      <w:r w:rsidR="00152DC8" w:rsidRPr="6B1E33C4">
        <w:rPr>
          <w:rFonts w:eastAsia="Arial" w:cs="Arial"/>
        </w:rPr>
        <w:t xml:space="preserve">. </w:t>
      </w:r>
    </w:p>
    <w:p w14:paraId="1517373E" w14:textId="24B2EE44" w:rsidR="00152DC8" w:rsidRDefault="003E1DA6" w:rsidP="00083F7C">
      <w:pPr>
        <w:pStyle w:val="Paragraphbeforelist"/>
      </w:pPr>
      <w:r>
        <w:rPr>
          <w:rFonts w:eastAsia="Arial"/>
        </w:rPr>
        <w:t xml:space="preserve">A </w:t>
      </w:r>
      <w:r w:rsidR="00152DC8" w:rsidRPr="6B1E33C4">
        <w:rPr>
          <w:rFonts w:eastAsia="Arial"/>
        </w:rPr>
        <w:t xml:space="preserve">renewal </w:t>
      </w:r>
      <w:r w:rsidR="00152DC8" w:rsidRPr="00083F7C">
        <w:rPr>
          <w:rFonts w:eastAsia="Arial"/>
        </w:rPr>
        <w:t>statement</w:t>
      </w:r>
      <w:r w:rsidR="00152DC8" w:rsidRPr="6B1E33C4">
        <w:rPr>
          <w:rFonts w:eastAsia="Arial"/>
        </w:rPr>
        <w:t xml:space="preserve"> will provide certainty to the licensee that</w:t>
      </w:r>
      <w:r w:rsidR="001D7902">
        <w:rPr>
          <w:rFonts w:eastAsia="Arial"/>
        </w:rPr>
        <w:t>:</w:t>
      </w:r>
    </w:p>
    <w:p w14:paraId="36AF0F7B" w14:textId="7F4FE7E6" w:rsidR="00152DC8" w:rsidRDefault="00AD30C5" w:rsidP="00152DC8">
      <w:pPr>
        <w:pStyle w:val="ListBullet"/>
      </w:pPr>
      <w:r>
        <w:t xml:space="preserve">the licence </w:t>
      </w:r>
      <w:r w:rsidR="00296048">
        <w:t>cannot be renewed</w:t>
      </w:r>
    </w:p>
    <w:p w14:paraId="74F19FDF" w14:textId="3037D0CF" w:rsidR="00152DC8" w:rsidRDefault="0036754C" w:rsidP="00152DC8">
      <w:pPr>
        <w:pStyle w:val="ListBullet"/>
      </w:pPr>
      <w:r>
        <w:t xml:space="preserve">for spectrum licences only, </w:t>
      </w:r>
      <w:r w:rsidR="00296048">
        <w:t>the licence can be renewed</w:t>
      </w:r>
      <w:r w:rsidR="00152DC8">
        <w:t xml:space="preserve"> at the discretion of the ACMA</w:t>
      </w:r>
      <w:r w:rsidR="00156054">
        <w:rPr>
          <w:rStyle w:val="FootnoteReference"/>
        </w:rPr>
        <w:footnoteReference w:id="10"/>
      </w:r>
      <w:r w:rsidR="00152DC8">
        <w:t xml:space="preserve"> </w:t>
      </w:r>
    </w:p>
    <w:p w14:paraId="57F5D0D2" w14:textId="5FA23510" w:rsidR="00364E06" w:rsidRPr="00364E06" w:rsidRDefault="00296048" w:rsidP="00364E06">
      <w:pPr>
        <w:pStyle w:val="ListBulletLast"/>
      </w:pPr>
      <w:r>
        <w:t>the licence can be renewed</w:t>
      </w:r>
      <w:r w:rsidR="00152DC8">
        <w:t xml:space="preserve"> at the discretion of the ACMA so long as specified circumstances exist.</w:t>
      </w:r>
    </w:p>
    <w:p w14:paraId="1E3CE33B" w14:textId="77777777" w:rsidR="00CF2B9F" w:rsidRDefault="00CF2B9F" w:rsidP="00CF2B9F">
      <w:pPr>
        <w:pStyle w:val="Heading2"/>
      </w:pPr>
      <w:bookmarkStart w:id="43" w:name="_Toc65835963"/>
      <w:r>
        <w:t>Relevant legislative provisions</w:t>
      </w:r>
      <w:bookmarkEnd w:id="43"/>
    </w:p>
    <w:p w14:paraId="1C7F3934" w14:textId="5C3ECEAD" w:rsidR="000169EC" w:rsidRPr="00CC0393" w:rsidRDefault="00F307AC" w:rsidP="00DF5C49">
      <w:pPr>
        <w:pStyle w:val="Heading4"/>
        <w:pBdr>
          <w:top w:val="single" w:sz="4" w:space="1" w:color="auto"/>
          <w:left w:val="single" w:sz="4" w:space="4" w:color="auto"/>
          <w:bottom w:val="single" w:sz="4" w:space="1" w:color="auto"/>
          <w:right w:val="single" w:sz="4" w:space="4" w:color="auto"/>
        </w:pBdr>
        <w:shd w:val="clear" w:color="auto" w:fill="F2F2F2" w:themeFill="background1" w:themeFillShade="F2"/>
      </w:pPr>
      <w:r>
        <w:br/>
      </w:r>
      <w:r w:rsidR="00CC0393">
        <w:t>Spectrum licences</w:t>
      </w:r>
    </w:p>
    <w:p w14:paraId="090EFB6F" w14:textId="34835330" w:rsidR="00D6533E" w:rsidRDefault="0036754C" w:rsidP="00DF5C49">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CB3806" w:rsidRPr="00C43FF7">
        <w:t>ubsections</w:t>
      </w:r>
      <w:r w:rsidR="00513698" w:rsidRPr="00C43FF7">
        <w:t xml:space="preserve"> </w:t>
      </w:r>
      <w:r w:rsidR="00CB3806" w:rsidRPr="00C43FF7">
        <w:t xml:space="preserve">65A(1) </w:t>
      </w:r>
      <w:r w:rsidR="00CB3806" w:rsidRPr="00F4752C">
        <w:rPr>
          <w:bCs/>
        </w:rPr>
        <w:t>and</w:t>
      </w:r>
      <w:r w:rsidR="00CB3806" w:rsidRPr="00C43FF7">
        <w:t xml:space="preserve"> (2)</w:t>
      </w:r>
      <w:r w:rsidR="00CB3806" w:rsidRPr="00CB3806">
        <w:t xml:space="preserve"> of the Act provide that spectrum licences issued after the Modernisation Act commences must include a renewal statement to the effect that</w:t>
      </w:r>
      <w:r w:rsidR="00403F9B">
        <w:t>:</w:t>
      </w:r>
    </w:p>
    <w:p w14:paraId="0AAB28C0" w14:textId="3E58FFF2" w:rsidR="00F8168A" w:rsidRDefault="00F8168A" w:rsidP="00DF5C49">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the licence cannot be renewed</w:t>
      </w:r>
    </w:p>
    <w:p w14:paraId="55E18388" w14:textId="2F0B0271" w:rsidR="00F8168A" w:rsidRDefault="00F8168A" w:rsidP="00DF5C49">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the licence can be renewed at the discretion of the ACMA</w:t>
      </w:r>
    </w:p>
    <w:p w14:paraId="110F78AE" w14:textId="54697D7E" w:rsidR="00B75516" w:rsidRDefault="00F8168A" w:rsidP="00DF5C49">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licence can be renewed at the discretion of the ACMA so long as specified </w:t>
      </w:r>
      <w:r w:rsidR="00B75516">
        <w:t>circumstances exist.</w:t>
      </w:r>
    </w:p>
    <w:p w14:paraId="49320A67" w14:textId="0EF45B88" w:rsidR="00C84F7D" w:rsidRDefault="009A7F48" w:rsidP="00DF5C49">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8F53EE" w:rsidRPr="00C43FF7">
        <w:t>ubsection</w:t>
      </w:r>
      <w:r>
        <w:t>s</w:t>
      </w:r>
      <w:r w:rsidR="008F53EE" w:rsidRPr="00C43FF7">
        <w:t xml:space="preserve"> 65A(5) </w:t>
      </w:r>
      <w:r>
        <w:t xml:space="preserve">and (6) </w:t>
      </w:r>
      <w:r w:rsidR="008F53EE" w:rsidRPr="00F4752C">
        <w:t>of the</w:t>
      </w:r>
      <w:r w:rsidR="008F53EE" w:rsidRPr="008F53EE">
        <w:t xml:space="preserve"> Act </w:t>
      </w:r>
      <w:r w:rsidR="008F53EE" w:rsidRPr="00AE383B">
        <w:t>allows the ACMA to make a legislative instrument to determine</w:t>
      </w:r>
      <w:r w:rsidR="008F53EE" w:rsidRPr="008F53EE">
        <w:t xml:space="preserve"> that </w:t>
      </w:r>
      <w:r w:rsidR="008F53EE" w:rsidRPr="00AE383B">
        <w:t xml:space="preserve">a specified class of </w:t>
      </w:r>
      <w:r w:rsidR="008F53EE" w:rsidRPr="008F53EE">
        <w:t xml:space="preserve">spectrum licences </w:t>
      </w:r>
      <w:r w:rsidR="00391DAE">
        <w:t xml:space="preserve">is </w:t>
      </w:r>
      <w:r w:rsidR="00B4063F">
        <w:t xml:space="preserve">taken to </w:t>
      </w:r>
      <w:r w:rsidR="008F53EE" w:rsidRPr="008F53EE">
        <w:t>include a renewal statement to the effect that:</w:t>
      </w:r>
      <w:r w:rsidR="008F53EE">
        <w:rPr>
          <w:b/>
          <w:bCs/>
        </w:rPr>
        <w:t xml:space="preserve"> </w:t>
      </w:r>
    </w:p>
    <w:p w14:paraId="1FC5E27E" w14:textId="3A645598" w:rsidR="00C84F7D" w:rsidRDefault="00C84F7D" w:rsidP="00DF5C49">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the licence cannot be renewed </w:t>
      </w:r>
    </w:p>
    <w:p w14:paraId="058EC3C9" w14:textId="5BF6AFB5" w:rsidR="00C84F7D" w:rsidRDefault="00C84F7D" w:rsidP="00DF5C49">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the licence can be renewed at the discretion of the ACMA</w:t>
      </w:r>
    </w:p>
    <w:p w14:paraId="2A8E56E8" w14:textId="21BFAB3E" w:rsidR="004975F3" w:rsidRDefault="00C84F7D" w:rsidP="00DF5C49">
      <w:pPr>
        <w:pStyle w:val="Bulletlevel1last"/>
        <w:pBdr>
          <w:top w:val="single" w:sz="4" w:space="1" w:color="auto"/>
          <w:left w:val="single" w:sz="4" w:space="4" w:color="auto"/>
          <w:bottom w:val="single" w:sz="4" w:space="1" w:color="auto"/>
          <w:right w:val="single" w:sz="4" w:space="4" w:color="auto"/>
        </w:pBdr>
        <w:shd w:val="clear" w:color="auto" w:fill="F2F2F2" w:themeFill="background1" w:themeFillShade="F2"/>
      </w:pPr>
      <w:r>
        <w:t>the licence can be renewed at the discretion of the ACMA so long as specified circumstances exist.</w:t>
      </w:r>
    </w:p>
    <w:p w14:paraId="234F39C8" w14:textId="3B85F08B" w:rsidR="004975F3" w:rsidRDefault="00BD7953" w:rsidP="00DF5C4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B2546C" w:rsidRPr="00C43FF7">
        <w:t xml:space="preserve">ubsections 65A(10) </w:t>
      </w:r>
      <w:r w:rsidR="00B2546C" w:rsidRPr="00F4752C">
        <w:t>and</w:t>
      </w:r>
      <w:r w:rsidR="00B2546C" w:rsidRPr="00C43FF7">
        <w:t xml:space="preserve"> (11)</w:t>
      </w:r>
      <w:r w:rsidR="00B2546C">
        <w:rPr>
          <w:b/>
          <w:bCs/>
        </w:rPr>
        <w:t xml:space="preserve"> </w:t>
      </w:r>
      <w:r w:rsidR="00B2546C">
        <w:t xml:space="preserve">of the Act provide that if a renewal statement allows a spectrum licence </w:t>
      </w:r>
      <w:r w:rsidR="00863521">
        <w:t xml:space="preserve">to be </w:t>
      </w:r>
      <w:r w:rsidR="0026763A">
        <w:t>renewed</w:t>
      </w:r>
      <w:r w:rsidR="00863521">
        <w:t xml:space="preserve">, the licence must also include a statement </w:t>
      </w:r>
      <w:r w:rsidR="000A0561">
        <w:t>that</w:t>
      </w:r>
      <w:r w:rsidR="00863521">
        <w:t xml:space="preserve"> specifies when an application </w:t>
      </w:r>
      <w:r w:rsidR="0051749A">
        <w:t>to renew the</w:t>
      </w:r>
      <w:r w:rsidR="00863521">
        <w:t xml:space="preserve"> licence must be submitted. This statement is to be known as a renewal application period statement.</w:t>
      </w:r>
    </w:p>
    <w:p w14:paraId="27C8C607" w14:textId="6C5AE136" w:rsidR="00863521" w:rsidRDefault="00797A76"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863521" w:rsidRPr="00C43FF7">
        <w:t>ubsection</w:t>
      </w:r>
      <w:r w:rsidR="00141F83" w:rsidRPr="00C43FF7">
        <w:t xml:space="preserve"> </w:t>
      </w:r>
      <w:r w:rsidR="00EF2532" w:rsidRPr="00C43FF7">
        <w:t xml:space="preserve">65A(12) </w:t>
      </w:r>
      <w:r w:rsidR="00EF2532" w:rsidRPr="00F4752C">
        <w:t>of</w:t>
      </w:r>
      <w:r w:rsidR="00EF2532">
        <w:t xml:space="preserve"> the Act allows the ACMA to make </w:t>
      </w:r>
      <w:r w:rsidR="00E77F2E">
        <w:t xml:space="preserve">a legislative instrument to determine that </w:t>
      </w:r>
      <w:r>
        <w:t xml:space="preserve">a </w:t>
      </w:r>
      <w:r w:rsidR="00E77F2E">
        <w:t xml:space="preserve">specified </w:t>
      </w:r>
      <w:r w:rsidR="00141F83">
        <w:t>renewal application period</w:t>
      </w:r>
      <w:r w:rsidR="00E77F2E">
        <w:t xml:space="preserve"> applies to every licence belonging to </w:t>
      </w:r>
      <w:r w:rsidR="00C801E4">
        <w:t xml:space="preserve">a </w:t>
      </w:r>
      <w:r w:rsidR="00E77F2E">
        <w:t xml:space="preserve">specified </w:t>
      </w:r>
      <w:r w:rsidR="00141F83">
        <w:t>class of spectrum licences.</w:t>
      </w:r>
    </w:p>
    <w:p w14:paraId="34859909" w14:textId="1E470792" w:rsidR="00141F83" w:rsidRPr="00C43FF7" w:rsidRDefault="00797A76"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lastRenderedPageBreak/>
        <w:t>New s</w:t>
      </w:r>
      <w:r w:rsidR="00141F83" w:rsidRPr="00C43FF7">
        <w:t xml:space="preserve">ubsection </w:t>
      </w:r>
      <w:r w:rsidR="00F9492F" w:rsidRPr="00C43FF7">
        <w:t xml:space="preserve">65A(17) </w:t>
      </w:r>
      <w:r w:rsidR="00F9492F" w:rsidRPr="00F4752C">
        <w:t>of the Act provides that the ACMA may include</w:t>
      </w:r>
      <w:r w:rsidR="00624672" w:rsidRPr="00F4752C">
        <w:t xml:space="preserve"> a statement in a spectrum licence stating that </w:t>
      </w:r>
      <w:r w:rsidR="00FD4316" w:rsidRPr="00C43FF7">
        <w:t xml:space="preserve">it </w:t>
      </w:r>
      <w:r w:rsidR="00624672" w:rsidRPr="00C43FF7">
        <w:t xml:space="preserve">will not </w:t>
      </w:r>
      <w:r w:rsidR="009D6176" w:rsidRPr="00C43FF7">
        <w:t xml:space="preserve">renew </w:t>
      </w:r>
      <w:r w:rsidR="00624672" w:rsidRPr="00C43FF7">
        <w:t xml:space="preserve">a licence unless </w:t>
      </w:r>
      <w:r w:rsidR="00FD4316" w:rsidRPr="00C43FF7">
        <w:t xml:space="preserve">it is </w:t>
      </w:r>
      <w:r w:rsidR="00624672" w:rsidRPr="00C43FF7">
        <w:t>satisfied that it is in the public interest to do so. This statement is known as a public interest statement.</w:t>
      </w:r>
    </w:p>
    <w:p w14:paraId="487B6C2C" w14:textId="744F12C0" w:rsidR="00624672" w:rsidRPr="00C43FF7" w:rsidRDefault="00797A76"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624672" w:rsidRPr="00C43FF7">
        <w:t>ubsections 65</w:t>
      </w:r>
      <w:r w:rsidR="005B48D3" w:rsidRPr="00C43FF7">
        <w:t xml:space="preserve">A(19) </w:t>
      </w:r>
      <w:r w:rsidR="005B48D3" w:rsidRPr="00F4752C">
        <w:t>and</w:t>
      </w:r>
      <w:r w:rsidR="005B48D3" w:rsidRPr="00C43FF7">
        <w:t xml:space="preserve"> (20) </w:t>
      </w:r>
      <w:r w:rsidR="005B48D3" w:rsidRPr="00F4752C">
        <w:t xml:space="preserve">of the Act allows the ACMA to make a legislative instrument to determine that </w:t>
      </w:r>
      <w:r w:rsidR="0081195D" w:rsidRPr="00C43FF7">
        <w:t xml:space="preserve">a </w:t>
      </w:r>
      <w:r w:rsidR="005B48D3" w:rsidRPr="00C43FF7">
        <w:t xml:space="preserve">public interest statement </w:t>
      </w:r>
      <w:r w:rsidR="005430E3">
        <w:t>is taken to be included in</w:t>
      </w:r>
      <w:r w:rsidR="005B48D3" w:rsidRPr="00C43FF7">
        <w:t xml:space="preserve"> every licence belonging to a specified class of spectrum licence</w:t>
      </w:r>
      <w:r w:rsidR="00DC41A1" w:rsidRPr="00C43FF7">
        <w:t>s</w:t>
      </w:r>
      <w:r w:rsidR="00BF23DF" w:rsidRPr="00C43FF7">
        <w:t>.</w:t>
      </w:r>
    </w:p>
    <w:p w14:paraId="1814BDA1" w14:textId="358C3E17" w:rsidR="00B22E16" w:rsidRPr="00C43FF7" w:rsidRDefault="000B176E" w:rsidP="002F1DE7">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A747C2" w:rsidRPr="00C43FF7">
        <w:t xml:space="preserve">ubsection 72(3) </w:t>
      </w:r>
      <w:r w:rsidR="00A747C2" w:rsidRPr="00F4752C">
        <w:t>of the Act provides that the ACMA may, with the writt</w:t>
      </w:r>
      <w:r w:rsidR="00A747C2" w:rsidRPr="00C43FF7">
        <w:t>en agreement of the spectrum licensee</w:t>
      </w:r>
      <w:r w:rsidR="00A17582" w:rsidRPr="00C43FF7">
        <w:t xml:space="preserve"> vary the licence by</w:t>
      </w:r>
      <w:r w:rsidR="00A747C2" w:rsidRPr="00C43FF7">
        <w:t>:</w:t>
      </w:r>
    </w:p>
    <w:p w14:paraId="160E5012" w14:textId="00B45A6E" w:rsidR="00A747C2" w:rsidRPr="00C43FF7" w:rsidRDefault="00A17582"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varying the renewal statement included in the licence</w:t>
      </w:r>
      <w:r w:rsidR="00492456" w:rsidRPr="00C43FF7">
        <w:t>;</w:t>
      </w:r>
      <w:r w:rsidRPr="00C43FF7">
        <w:t xml:space="preserve"> o</w:t>
      </w:r>
      <w:r w:rsidRPr="00C43FF7" w:rsidDel="00492456">
        <w:t>r</w:t>
      </w:r>
    </w:p>
    <w:p w14:paraId="7ED5BF6A" w14:textId="798730A8" w:rsidR="00A17582" w:rsidRPr="00611F27" w:rsidRDefault="004C17B8"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 xml:space="preserve">omitting the renewal statement and </w:t>
      </w:r>
      <w:r w:rsidR="008F53EE" w:rsidRPr="00C43FF7">
        <w:t>substituting</w:t>
      </w:r>
      <w:r w:rsidRPr="00C43FF7">
        <w:t xml:space="preserve"> it with another renewal statement;</w:t>
      </w:r>
      <w:r w:rsidR="00492456" w:rsidRPr="00C43FF7">
        <w:t xml:space="preserve"> or</w:t>
      </w:r>
    </w:p>
    <w:p w14:paraId="7BBD75BC" w14:textId="735B8834" w:rsidR="004C17B8" w:rsidRPr="00611F27" w:rsidRDefault="002A209D"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611F27">
        <w:t xml:space="preserve">varying the </w:t>
      </w:r>
      <w:r w:rsidR="002E0E58" w:rsidRPr="00611F27">
        <w:t>renewal application period statement included in the licence</w:t>
      </w:r>
    </w:p>
    <w:p w14:paraId="1CEA1DA4" w14:textId="270A15BA" w:rsidR="002E0E58" w:rsidRPr="00611F27" w:rsidRDefault="002E0E58"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611F27">
        <w:t>omitting the public interest statement included in the licence</w:t>
      </w:r>
    </w:p>
    <w:p w14:paraId="7EECB63C" w14:textId="44178A5D" w:rsidR="002E0E58" w:rsidRPr="00611F27" w:rsidRDefault="002E0E58"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611F27">
        <w:t>omitting the renewal decision-making period statement included in the licence</w:t>
      </w:r>
    </w:p>
    <w:p w14:paraId="7183A53E" w14:textId="3CF8F4F1" w:rsidR="002E0E58" w:rsidRPr="00611F27" w:rsidRDefault="002E0E58" w:rsidP="002F1DE7">
      <w:pPr>
        <w:pStyle w:val="Bulletlevel1last"/>
        <w:pBdr>
          <w:top w:val="single" w:sz="4" w:space="1" w:color="auto"/>
          <w:left w:val="single" w:sz="4" w:space="4" w:color="auto"/>
          <w:bottom w:val="single" w:sz="4" w:space="1" w:color="auto"/>
          <w:right w:val="single" w:sz="4" w:space="4" w:color="auto"/>
        </w:pBdr>
        <w:shd w:val="clear" w:color="auto" w:fill="F2F2F2" w:themeFill="background1" w:themeFillShade="F2"/>
      </w:pPr>
      <w:r w:rsidRPr="00611F27">
        <w:t>varying the renewal decision</w:t>
      </w:r>
      <w:r w:rsidR="00A92466">
        <w:t>-</w:t>
      </w:r>
      <w:r w:rsidRPr="00611F27">
        <w:t xml:space="preserve">making period statement </w:t>
      </w:r>
      <w:r w:rsidR="00A64988" w:rsidRPr="00611F27">
        <w:t>included in the licence.</w:t>
      </w:r>
    </w:p>
    <w:p w14:paraId="3BF103A4" w14:textId="77777777" w:rsidR="001E688A" w:rsidRDefault="001E688A"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spacing w:after="80"/>
      </w:pPr>
      <w:r>
        <w:t>New subsection 73(3) of the Act provides that if a spectrum licence includes a renewal statement that the licence may be renewed at the discretion of the ACMA so long as specified circumstances exist, the ACMA may, without the licensee’s agreement, vary the licence by:</w:t>
      </w:r>
    </w:p>
    <w:p w14:paraId="716D917D" w14:textId="66231E02" w:rsidR="00FE6E62" w:rsidRDefault="008642E7"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t>v</w:t>
      </w:r>
      <w:r w:rsidR="00FE6E62">
        <w:t>arying those circumstances, or</w:t>
      </w:r>
    </w:p>
    <w:p w14:paraId="25F6E156" w14:textId="672B5B78" w:rsidR="00FE6E62" w:rsidRDefault="008642E7"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spacing w:after="240"/>
      </w:pPr>
      <w:r>
        <w:t>o</w:t>
      </w:r>
      <w:r w:rsidR="002F3596">
        <w:t xml:space="preserve">mitting the renewal statement and substituting another statement that the licence may be renewed at the discretion of the ACMA so long as specified circumstances exist. </w:t>
      </w:r>
    </w:p>
    <w:p w14:paraId="53D53A0B" w14:textId="77777777" w:rsidR="007C6403" w:rsidRDefault="00F213F9">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However, new subsection </w:t>
      </w:r>
      <w:r w:rsidR="007C6403">
        <w:t>73(4) provides the ACMA may only do so if it is satisfied that exceptional circumstances exist that warrant the variation.</w:t>
      </w:r>
    </w:p>
    <w:p w14:paraId="7116B041" w14:textId="7736C7FD" w:rsidR="00A64988" w:rsidRPr="00C43FF7" w:rsidRDefault="00EC1AD7"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D2189A" w:rsidRPr="00C43FF7">
        <w:t>ubsection 77C(10</w:t>
      </w:r>
      <w:r w:rsidR="00092CCF" w:rsidRPr="00C43FF7">
        <w:t xml:space="preserve">) </w:t>
      </w:r>
      <w:r w:rsidR="000169EC" w:rsidRPr="00F4752C">
        <w:t>of the Act provides that the licence conditions of a renewed spectrum licence need not be the same as</w:t>
      </w:r>
      <w:r w:rsidR="0026763A">
        <w:t xml:space="preserve"> those of</w:t>
      </w:r>
      <w:r w:rsidR="000169EC" w:rsidRPr="00F4752C">
        <w:t xml:space="preserve"> the licence it is replacing.</w:t>
      </w:r>
    </w:p>
    <w:p w14:paraId="6EB3EB13" w14:textId="103DF66E" w:rsidR="009D0BDD" w:rsidRPr="00C43FF7" w:rsidRDefault="00CC0393" w:rsidP="002F1DE7">
      <w:pPr>
        <w:pStyle w:val="Heading4"/>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Apparatus licences</w:t>
      </w:r>
    </w:p>
    <w:p w14:paraId="7657B777" w14:textId="0FE8C352" w:rsidR="00CC0393" w:rsidRPr="00C43FF7" w:rsidRDefault="00EC1AD7" w:rsidP="002F1DE7">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CC0393" w:rsidRPr="00C43FF7">
        <w:t>ubsections</w:t>
      </w:r>
      <w:r w:rsidR="00CC0393" w:rsidRPr="00C43FF7" w:rsidDel="00C75445">
        <w:t xml:space="preserve"> </w:t>
      </w:r>
      <w:r w:rsidR="00CC0393" w:rsidRPr="00C43FF7">
        <w:t xml:space="preserve">103A(1) </w:t>
      </w:r>
      <w:r w:rsidR="00CC0393" w:rsidRPr="00F4752C">
        <w:t>and</w:t>
      </w:r>
      <w:r w:rsidR="00CC0393" w:rsidRPr="00C43FF7">
        <w:t xml:space="preserve"> (2)</w:t>
      </w:r>
      <w:r w:rsidR="00CC0393" w:rsidRPr="00F4752C">
        <w:t xml:space="preserve"> of the Act provide</w:t>
      </w:r>
      <w:r w:rsidR="00CC0393" w:rsidRPr="008641D1">
        <w:t xml:space="preserve"> that </w:t>
      </w:r>
      <w:r w:rsidR="00CC0393" w:rsidRPr="00B66424">
        <w:t>apparatus</w:t>
      </w:r>
      <w:r w:rsidR="00CC0393" w:rsidRPr="00E41078">
        <w:t xml:space="preserve"> licences issued after the Modernisation Act commences </w:t>
      </w:r>
      <w:r w:rsidR="00CC0393" w:rsidRPr="00C43FF7">
        <w:t>may include a renewal statement to the effect that:</w:t>
      </w:r>
    </w:p>
    <w:p w14:paraId="1E265694" w14:textId="4964A7F5" w:rsidR="00CC0393" w:rsidRPr="00C43FF7" w:rsidRDefault="00CC0393"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 xml:space="preserve">the licence cannot be renewed </w:t>
      </w:r>
    </w:p>
    <w:p w14:paraId="75611F45" w14:textId="33866A30" w:rsidR="00CC0393" w:rsidRPr="00C43FF7" w:rsidRDefault="00CC0393" w:rsidP="002F1DE7">
      <w:pPr>
        <w:pStyle w:val="Bulletlevel1last"/>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 xml:space="preserve">the licence </w:t>
      </w:r>
      <w:r w:rsidR="000D7EA2">
        <w:t>may</w:t>
      </w:r>
      <w:r w:rsidR="000D7EA2" w:rsidRPr="00C43FF7">
        <w:t xml:space="preserve"> </w:t>
      </w:r>
      <w:r w:rsidRPr="00C43FF7">
        <w:t>be renewed at the discretion of the ACMA so long as specified circumstances exist.</w:t>
      </w:r>
    </w:p>
    <w:p w14:paraId="37B51E48" w14:textId="7ACAE4F8" w:rsidR="00F17FFC" w:rsidRPr="00F4752C" w:rsidRDefault="000D7EA2" w:rsidP="002F1DE7">
      <w:pPr>
        <w:pStyle w:val="Paragraphbeforelist"/>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15414D" w:rsidRPr="00C43FF7">
        <w:t xml:space="preserve">ubsection 103A(5) </w:t>
      </w:r>
      <w:r>
        <w:t xml:space="preserve">and (6) </w:t>
      </w:r>
      <w:r w:rsidR="0015414D" w:rsidRPr="00F4752C">
        <w:t>of the Act</w:t>
      </w:r>
      <w:r w:rsidR="0015414D" w:rsidRPr="00C43FF7">
        <w:t xml:space="preserve"> </w:t>
      </w:r>
      <w:r w:rsidR="0015414D" w:rsidRPr="00F4752C">
        <w:t xml:space="preserve">allows the ACMA to make a legislative instrument to determine that a specified class of apparatus licences </w:t>
      </w:r>
      <w:r>
        <w:t xml:space="preserve">is taken to </w:t>
      </w:r>
      <w:r w:rsidR="0015414D" w:rsidRPr="00F4752C">
        <w:t>include a renewal statement to the effec</w:t>
      </w:r>
      <w:r w:rsidR="0015414D" w:rsidRPr="008641D1">
        <w:t>t</w:t>
      </w:r>
      <w:r w:rsidR="0015414D" w:rsidRPr="00B66424">
        <w:t xml:space="preserve"> </w:t>
      </w:r>
      <w:r w:rsidR="00F17FFC" w:rsidRPr="00E41078">
        <w:t>that:</w:t>
      </w:r>
      <w:r w:rsidR="00F17FFC" w:rsidRPr="00C43FF7">
        <w:t xml:space="preserve"> </w:t>
      </w:r>
    </w:p>
    <w:p w14:paraId="49506496" w14:textId="3EB87526" w:rsidR="00F17FFC" w:rsidRPr="00C43FF7" w:rsidRDefault="00F17FFC" w:rsidP="002F1DE7">
      <w:pPr>
        <w:pStyle w:val="Bulletlevel1"/>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 xml:space="preserve">the licence cannot be renewed </w:t>
      </w:r>
    </w:p>
    <w:p w14:paraId="2C2FB4C5" w14:textId="45730D2B" w:rsidR="00F17FFC" w:rsidRPr="00C43FF7" w:rsidRDefault="00F17FFC" w:rsidP="002F1DE7">
      <w:pPr>
        <w:pStyle w:val="Bulletlevel1last"/>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the licence can be renewed at the discretion of the ACMA so long as specified circumstances exist.</w:t>
      </w:r>
    </w:p>
    <w:p w14:paraId="6CC4D146" w14:textId="36A7F31C" w:rsidR="008F53EE" w:rsidRPr="00C43FF7" w:rsidRDefault="000D7EA2"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822DEF" w:rsidRPr="00C43FF7">
        <w:t xml:space="preserve">ubsections 103A(10) </w:t>
      </w:r>
      <w:r w:rsidR="00822DEF" w:rsidRPr="00F4752C">
        <w:t>and</w:t>
      </w:r>
      <w:r w:rsidR="00822DEF" w:rsidRPr="00C43FF7">
        <w:t xml:space="preserve"> (11)</w:t>
      </w:r>
      <w:r w:rsidR="00822DEF" w:rsidRPr="00F4752C">
        <w:t xml:space="preserve"> of the Act provide</w:t>
      </w:r>
      <w:r w:rsidR="00822DEF" w:rsidRPr="008641D1">
        <w:t xml:space="preserve"> that if a renewal statement allows an apparatus licence to be </w:t>
      </w:r>
      <w:r w:rsidR="0026763A">
        <w:t>renewed</w:t>
      </w:r>
      <w:r w:rsidR="00822DEF" w:rsidRPr="008641D1">
        <w:t xml:space="preserve">, the licence must also include </w:t>
      </w:r>
      <w:r w:rsidR="00D61C95" w:rsidRPr="00E41078">
        <w:t xml:space="preserve">a </w:t>
      </w:r>
      <w:r w:rsidR="00822DEF" w:rsidRPr="00C43FF7">
        <w:t xml:space="preserve">statement which specifies when an application </w:t>
      </w:r>
      <w:r w:rsidR="00106A4A" w:rsidRPr="00C43FF7">
        <w:t xml:space="preserve">to renew the </w:t>
      </w:r>
      <w:r w:rsidR="00822DEF" w:rsidRPr="00C43FF7">
        <w:t>licence must be submitted. This statement is to be known as a renewal application period statement.</w:t>
      </w:r>
    </w:p>
    <w:p w14:paraId="46AB38F9" w14:textId="6E0D5379" w:rsidR="003537A8" w:rsidRPr="00C43FF7" w:rsidRDefault="000D7EA2"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lastRenderedPageBreak/>
        <w:t>New s</w:t>
      </w:r>
      <w:r w:rsidR="00B22CBF" w:rsidRPr="00C43FF7">
        <w:t>ubsection 103A(12)</w:t>
      </w:r>
      <w:r w:rsidR="00B22CBF" w:rsidRPr="00F4752C">
        <w:t xml:space="preserve"> of the Act allows the ACMA to make a legislative instrument to determine that a </w:t>
      </w:r>
      <w:r w:rsidR="00B22CBF" w:rsidRPr="00C43FF7">
        <w:t xml:space="preserve">renewal application period </w:t>
      </w:r>
      <w:r w:rsidR="007C75F4">
        <w:t>is taken to be included in</w:t>
      </w:r>
      <w:r w:rsidR="00B22CBF" w:rsidRPr="00C43FF7">
        <w:t xml:space="preserve"> every licence belonging</w:t>
      </w:r>
      <w:r w:rsidR="00B22CBF" w:rsidRPr="00C43FF7" w:rsidDel="00C75445">
        <w:t xml:space="preserve"> </w:t>
      </w:r>
      <w:r w:rsidR="00B22CBF" w:rsidRPr="00C43FF7">
        <w:t>to a specified class of apparatus licences.</w:t>
      </w:r>
    </w:p>
    <w:p w14:paraId="3ED7A809" w14:textId="401A3C6B" w:rsidR="00CC0393" w:rsidRPr="00C43FF7" w:rsidRDefault="0078168C"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6E5A7C" w:rsidRPr="00C43FF7">
        <w:t xml:space="preserve">ubsections 103A(15) </w:t>
      </w:r>
      <w:r w:rsidR="006E5A7C" w:rsidRPr="00F4752C">
        <w:t>and</w:t>
      </w:r>
      <w:r w:rsidR="006E5A7C" w:rsidRPr="00C43FF7">
        <w:t xml:space="preserve"> (16)</w:t>
      </w:r>
      <w:r w:rsidR="006E5A7C" w:rsidRPr="00F4752C">
        <w:t xml:space="preserve"> of the Act </w:t>
      </w:r>
      <w:r w:rsidR="006E5A7C" w:rsidRPr="008641D1">
        <w:t>provide</w:t>
      </w:r>
      <w:r w:rsidR="006E5A7C" w:rsidRPr="00B66424">
        <w:t xml:space="preserve"> that the ACMA may include </w:t>
      </w:r>
      <w:r w:rsidR="0026763A">
        <w:t xml:space="preserve">a </w:t>
      </w:r>
      <w:r w:rsidR="006E5A7C" w:rsidRPr="00B66424">
        <w:t xml:space="preserve">statement in an apparatus licence stating that </w:t>
      </w:r>
      <w:r w:rsidR="00382874" w:rsidRPr="00E41078">
        <w:t>it</w:t>
      </w:r>
      <w:r w:rsidR="00382874" w:rsidRPr="00EE1D20">
        <w:t xml:space="preserve"> </w:t>
      </w:r>
      <w:r w:rsidR="006E5A7C" w:rsidRPr="00AE3543">
        <w:t xml:space="preserve">will not </w:t>
      </w:r>
      <w:r w:rsidR="00382874" w:rsidRPr="00AE3543">
        <w:t>renew</w:t>
      </w:r>
      <w:r w:rsidR="00382874" w:rsidRPr="008A4CD1">
        <w:t xml:space="preserve"> </w:t>
      </w:r>
      <w:r w:rsidR="006E5A7C" w:rsidRPr="008A4CD1">
        <w:t xml:space="preserve">a licence unless </w:t>
      </w:r>
      <w:r w:rsidR="00382874" w:rsidRPr="00C43FF7">
        <w:t>it is</w:t>
      </w:r>
      <w:r w:rsidR="006E5A7C" w:rsidRPr="00C43FF7">
        <w:t xml:space="preserve"> satisfied that it is in the public interest to do so. This statement is known as a public interest statement.</w:t>
      </w:r>
    </w:p>
    <w:p w14:paraId="4F3F391F" w14:textId="7D1B11E3" w:rsidR="006E5A7C" w:rsidRPr="00C43FF7" w:rsidRDefault="004977F1"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84460A" w:rsidRPr="00C43FF7">
        <w:t>ubsection</w:t>
      </w:r>
      <w:r>
        <w:t>s</w:t>
      </w:r>
      <w:r w:rsidR="0084460A" w:rsidRPr="00C43FF7">
        <w:t xml:space="preserve"> 103A(17)</w:t>
      </w:r>
      <w:r>
        <w:t xml:space="preserve"> and (18)</w:t>
      </w:r>
      <w:r w:rsidR="0084460A" w:rsidRPr="00F4752C">
        <w:t xml:space="preserve"> of the Ac</w:t>
      </w:r>
      <w:r w:rsidR="0084460A" w:rsidRPr="008641D1">
        <w:t xml:space="preserve">t allows the ACMA to make a legislative instrument to determine that a </w:t>
      </w:r>
      <w:r w:rsidR="0084460A" w:rsidRPr="00E41078">
        <w:t xml:space="preserve">public interest statement </w:t>
      </w:r>
      <w:r w:rsidR="005A5FFE">
        <w:t xml:space="preserve">is taken to be included in </w:t>
      </w:r>
      <w:r w:rsidR="0084460A" w:rsidRPr="00E41078">
        <w:t>every licence belonging</w:t>
      </w:r>
      <w:r w:rsidR="0084460A" w:rsidRPr="00C43FF7" w:rsidDel="00C75445">
        <w:t xml:space="preserve"> </w:t>
      </w:r>
      <w:r w:rsidR="0084460A" w:rsidRPr="00C43FF7">
        <w:t>to a specified class of apparatus licences.</w:t>
      </w:r>
    </w:p>
    <w:p w14:paraId="7119ABD1" w14:textId="759426ED" w:rsidR="0084460A" w:rsidRPr="00EE1D20" w:rsidRDefault="007E3F32"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C64B92" w:rsidRPr="00C43FF7">
        <w:t>ubsection 103A(19)</w:t>
      </w:r>
      <w:r w:rsidR="00C64B92" w:rsidRPr="00F4752C">
        <w:t xml:space="preserve"> of the Act provides that th</w:t>
      </w:r>
      <w:r w:rsidR="00C64B92" w:rsidRPr="008641D1">
        <w:t>is section does not apply to a transmitter licence issued under section 101A or 102 of the Act or a digital multiplex transmitter licence.</w:t>
      </w:r>
      <w:r w:rsidR="00C64B92" w:rsidRPr="00E41078" w:rsidDel="00C75445">
        <w:t xml:space="preserve"> </w:t>
      </w:r>
    </w:p>
    <w:p w14:paraId="34239D8C" w14:textId="3053ECA8" w:rsidR="00CC0393" w:rsidRPr="00C43FF7" w:rsidRDefault="007E3F32"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New s</w:t>
      </w:r>
      <w:r w:rsidR="006D61D9" w:rsidRPr="00C43FF7">
        <w:t>ubsection 103A(</w:t>
      </w:r>
      <w:r>
        <w:t>20</w:t>
      </w:r>
      <w:r w:rsidR="006D61D9" w:rsidRPr="00C43FF7">
        <w:t xml:space="preserve">) </w:t>
      </w:r>
      <w:r w:rsidR="006D61D9" w:rsidRPr="00F4752C">
        <w:t>of the Act provides that subsection 103A(5) and (17) do not app</w:t>
      </w:r>
      <w:r w:rsidR="006D61D9" w:rsidRPr="00C43FF7">
        <w:t>ly to apparatus licences issued before the commencement of this section.</w:t>
      </w:r>
    </w:p>
    <w:p w14:paraId="1DA36523" w14:textId="06E364CE" w:rsidR="009D0BDD" w:rsidRPr="0001317E" w:rsidRDefault="0004500B" w:rsidP="002F1DE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C43FF7">
        <w:t>Subs</w:t>
      </w:r>
      <w:r w:rsidR="000F61D9" w:rsidRPr="00C43FF7">
        <w:t>ection</w:t>
      </w:r>
      <w:r w:rsidRPr="00C43FF7">
        <w:t>s</w:t>
      </w:r>
      <w:r w:rsidR="000F61D9" w:rsidRPr="00C43FF7">
        <w:t xml:space="preserve"> 129(1)</w:t>
      </w:r>
      <w:r w:rsidR="000F61D9" w:rsidRPr="00F4752C">
        <w:t>,</w:t>
      </w:r>
      <w:r w:rsidR="000F61D9" w:rsidRPr="00C43FF7">
        <w:t xml:space="preserve"> (2)</w:t>
      </w:r>
      <w:r w:rsidR="000F61D9" w:rsidRPr="00F4752C">
        <w:t xml:space="preserve"> and</w:t>
      </w:r>
      <w:r w:rsidR="000F61D9" w:rsidRPr="00C43FF7">
        <w:t xml:space="preserve"> (3)</w:t>
      </w:r>
      <w:r w:rsidR="000F61D9" w:rsidRPr="000F61D9">
        <w:rPr>
          <w:b/>
          <w:bCs/>
        </w:rPr>
        <w:t xml:space="preserve"> </w:t>
      </w:r>
      <w:r w:rsidR="000F61D9" w:rsidRPr="000F61D9">
        <w:t>of the Act as amended allow an apparatus licensee to apply to have their licence renewed within the specified renewal application period. If there is no renewal application period specified in the licence</w:t>
      </w:r>
      <w:r w:rsidR="002F1DE7">
        <w:t>,</w:t>
      </w:r>
      <w:r w:rsidR="000F61D9" w:rsidRPr="000F61D9">
        <w:t xml:space="preserve"> then the application must be made in the period beginning 6 months before the licence is due to expire and ending 60 days after the licence expires.</w:t>
      </w:r>
      <w:r w:rsidR="001835CE">
        <w:br/>
      </w:r>
    </w:p>
    <w:p w14:paraId="624EF75D" w14:textId="1E5BFB9A" w:rsidR="00CF2B9F" w:rsidRDefault="00CF2B9F" w:rsidP="00CF2B9F">
      <w:pPr>
        <w:pStyle w:val="Heading2"/>
      </w:pPr>
      <w:bookmarkStart w:id="44" w:name="_Toc65835964"/>
      <w:r>
        <w:t>Key decisions</w:t>
      </w:r>
      <w:bookmarkEnd w:id="44"/>
      <w:r>
        <w:t xml:space="preserve"> </w:t>
      </w:r>
    </w:p>
    <w:p w14:paraId="47590EEF" w14:textId="587BCA22" w:rsidR="00086241" w:rsidRPr="00086241" w:rsidRDefault="00086241" w:rsidP="00086241">
      <w:pPr>
        <w:pStyle w:val="Bulletlevel1"/>
        <w:rPr>
          <w:b/>
          <w:bCs/>
        </w:rPr>
      </w:pPr>
      <w:r w:rsidRPr="00086241">
        <w:rPr>
          <w:b/>
          <w:bCs/>
        </w:rPr>
        <w:t xml:space="preserve">Issuing apparatus licences with renewal statements </w:t>
      </w:r>
      <w:r w:rsidRPr="00086241">
        <w:t>– we may determine that an apparatus licence, or certain class of apparatus licence</w:t>
      </w:r>
      <w:r w:rsidR="00C5760D">
        <w:t>s</w:t>
      </w:r>
      <w:r w:rsidRPr="00086241">
        <w:t>, cannot be renewed or can only be renewed at our discretion if specified circumstances exist.</w:t>
      </w:r>
    </w:p>
    <w:p w14:paraId="3E9EC862" w14:textId="20064CA0" w:rsidR="00086241" w:rsidRPr="00086241" w:rsidRDefault="00086241" w:rsidP="00086241">
      <w:pPr>
        <w:pStyle w:val="Bulletlevel1"/>
        <w:rPr>
          <w:b/>
          <w:bCs/>
        </w:rPr>
      </w:pPr>
      <w:r w:rsidRPr="00086241">
        <w:rPr>
          <w:b/>
          <w:bCs/>
        </w:rPr>
        <w:t xml:space="preserve">Issuing spectrum licences with renewal statements </w:t>
      </w:r>
      <w:r w:rsidRPr="00086241">
        <w:t>– we may determine that a spectrum licence, or certain class of spectrum licence</w:t>
      </w:r>
      <w:r w:rsidR="00C5760D">
        <w:t>s</w:t>
      </w:r>
      <w:r w:rsidRPr="00086241">
        <w:t>, cannot be renewed, can be renewed at our discretion, or can only be renewed at our discretion if specified circumstances exist.</w:t>
      </w:r>
    </w:p>
    <w:p w14:paraId="6C7A1E1B" w14:textId="5620140E" w:rsidR="00086241" w:rsidRPr="00AE383B" w:rsidRDefault="00086241" w:rsidP="00086241">
      <w:pPr>
        <w:pStyle w:val="Bulletlevel1"/>
        <w:rPr>
          <w:b/>
        </w:rPr>
      </w:pPr>
      <w:r w:rsidRPr="00086241">
        <w:rPr>
          <w:b/>
          <w:bCs/>
        </w:rPr>
        <w:t xml:space="preserve">Issuing public interest statements </w:t>
      </w:r>
      <w:r w:rsidR="008642E7">
        <w:rPr>
          <w:b/>
          <w:bCs/>
        </w:rPr>
        <w:t>–</w:t>
      </w:r>
      <w:r w:rsidRPr="00086241">
        <w:rPr>
          <w:b/>
          <w:bCs/>
        </w:rPr>
        <w:t xml:space="preserve"> </w:t>
      </w:r>
      <w:r w:rsidRPr="00086241">
        <w:t>we may include a public interest statement in an apparatus or spectrum licence, indicating that we will not renew the licence unless it is in the public interest to do so.</w:t>
      </w:r>
    </w:p>
    <w:p w14:paraId="77493492" w14:textId="40F074DE" w:rsidR="00D5183C" w:rsidRDefault="00937172" w:rsidP="00D5183C">
      <w:pPr>
        <w:pStyle w:val="ListBullet"/>
        <w:rPr>
          <w:rFonts w:asciiTheme="minorHAnsi" w:hAnsiTheme="minorHAnsi"/>
          <w:b/>
          <w:bCs/>
        </w:rPr>
      </w:pPr>
      <w:r>
        <w:rPr>
          <w:b/>
          <w:bCs/>
        </w:rPr>
        <w:t>V</w:t>
      </w:r>
      <w:r w:rsidR="00D5183C">
        <w:rPr>
          <w:b/>
          <w:bCs/>
        </w:rPr>
        <w:t xml:space="preserve">arying a renewal statement on an apparatus licence – </w:t>
      </w:r>
      <w:r w:rsidR="00D5183C">
        <w:t>we may add, remove (without necessarily replacing), or vary a renewal statement during the licence term with or without the consent of the licensee.</w:t>
      </w:r>
    </w:p>
    <w:p w14:paraId="76254FBC" w14:textId="63C031C7" w:rsidR="00D5183C" w:rsidRPr="00AE383B" w:rsidRDefault="00937172" w:rsidP="00AE383B">
      <w:pPr>
        <w:pStyle w:val="ListBullet"/>
        <w:rPr>
          <w:b/>
        </w:rPr>
      </w:pPr>
      <w:r>
        <w:rPr>
          <w:b/>
          <w:bCs/>
        </w:rPr>
        <w:t>V</w:t>
      </w:r>
      <w:r w:rsidR="00D5183C">
        <w:rPr>
          <w:b/>
          <w:bCs/>
        </w:rPr>
        <w:t xml:space="preserve">arying a renewal statement on a spectrum licence – </w:t>
      </w:r>
      <w:r w:rsidR="00D5183C">
        <w:t>unless exceptional circumstances justify the unilateral variation of a licence, we must obtain a spectrum licensee’s agreement before we vary a renewal statement during the licence term.</w:t>
      </w:r>
    </w:p>
    <w:p w14:paraId="4627E868" w14:textId="1E5BFB9A" w:rsidR="00086241" w:rsidRDefault="00086241" w:rsidP="00086241">
      <w:pPr>
        <w:pStyle w:val="Heading2"/>
        <w:rPr>
          <w:rFonts w:eastAsiaTheme="minorEastAsia"/>
          <w:lang w:eastAsia="en-US"/>
        </w:rPr>
      </w:pPr>
      <w:bookmarkStart w:id="45" w:name="_Toc65835965"/>
      <w:r>
        <w:t>How the ACMA intends to exercise its powers</w:t>
      </w:r>
      <w:bookmarkEnd w:id="45"/>
      <w:r>
        <w:t xml:space="preserve"> </w:t>
      </w:r>
    </w:p>
    <w:p w14:paraId="2EA744FA" w14:textId="1D7BACE5" w:rsidR="00923CAC" w:rsidRDefault="00043830" w:rsidP="00923CAC">
      <w:pPr>
        <w:pStyle w:val="Heading3"/>
        <w:rPr>
          <w:rFonts w:eastAsia="Arial"/>
        </w:rPr>
      </w:pPr>
      <w:bookmarkStart w:id="46" w:name="_Toc65835966"/>
      <w:r>
        <w:rPr>
          <w:rFonts w:eastAsia="Arial"/>
        </w:rPr>
        <w:t>Power to issue non-renewable licences</w:t>
      </w:r>
      <w:bookmarkEnd w:id="46"/>
    </w:p>
    <w:p w14:paraId="36282760" w14:textId="00C01CE6" w:rsidR="00392962" w:rsidRDefault="00392962" w:rsidP="00392962">
      <w:pPr>
        <w:rPr>
          <w:rFonts w:cstheme="minorHAnsi"/>
        </w:rPr>
      </w:pPr>
      <w:r w:rsidRPr="007777A8">
        <w:rPr>
          <w:rFonts w:cstheme="minorHAnsi"/>
        </w:rPr>
        <w:t xml:space="preserve">Under the Act as amended, </w:t>
      </w:r>
      <w:r w:rsidR="00B65076">
        <w:rPr>
          <w:rFonts w:cstheme="minorHAnsi"/>
        </w:rPr>
        <w:t>we have</w:t>
      </w:r>
      <w:r w:rsidRPr="007777A8">
        <w:rPr>
          <w:rFonts w:cstheme="minorHAnsi"/>
        </w:rPr>
        <w:t xml:space="preserve"> the power to issue an apparatus or spectrum licence with a renewal statement to the effect that the licence cannot be renewed. </w:t>
      </w:r>
      <w:r w:rsidR="00B65076">
        <w:rPr>
          <w:rFonts w:cstheme="minorHAnsi"/>
        </w:rPr>
        <w:t>We</w:t>
      </w:r>
      <w:r w:rsidRPr="007777A8">
        <w:rPr>
          <w:rFonts w:cstheme="minorHAnsi"/>
        </w:rPr>
        <w:t xml:space="preserve"> also </w:t>
      </w:r>
      <w:r w:rsidR="00B65076">
        <w:rPr>
          <w:rFonts w:cstheme="minorHAnsi"/>
        </w:rPr>
        <w:t>have</w:t>
      </w:r>
      <w:r w:rsidRPr="007777A8">
        <w:rPr>
          <w:rFonts w:cstheme="minorHAnsi"/>
        </w:rPr>
        <w:t xml:space="preserve"> the power to make a legislative instrument to determine that a specified class of spectrum or apparatus licence</w:t>
      </w:r>
      <w:r w:rsidR="00C5760D">
        <w:rPr>
          <w:rFonts w:cstheme="minorHAnsi"/>
        </w:rPr>
        <w:t>s</w:t>
      </w:r>
      <w:r w:rsidRPr="007777A8">
        <w:rPr>
          <w:rFonts w:cstheme="minorHAnsi"/>
        </w:rPr>
        <w:t xml:space="preserve"> must be issued with a renewal statement that precludes the licence from being renewed.</w:t>
      </w:r>
    </w:p>
    <w:p w14:paraId="1FE54F59" w14:textId="6DA9A70E" w:rsidR="009951D5" w:rsidRPr="007777A8" w:rsidRDefault="001835CE" w:rsidP="00AE116D">
      <w:pPr>
        <w:pStyle w:val="Heading3"/>
      </w:pPr>
      <w:bookmarkStart w:id="47" w:name="_Toc65835967"/>
      <w:r>
        <w:lastRenderedPageBreak/>
        <w:t>D</w:t>
      </w:r>
      <w:r w:rsidR="009951D5" w:rsidRPr="007777A8">
        <w:t>etermin</w:t>
      </w:r>
      <w:r>
        <w:t>ing</w:t>
      </w:r>
      <w:r w:rsidR="009951D5" w:rsidRPr="007777A8">
        <w:t xml:space="preserve"> that a licence is non-renewable</w:t>
      </w:r>
      <w:bookmarkEnd w:id="47"/>
    </w:p>
    <w:p w14:paraId="2E60EF6A" w14:textId="70F3F809" w:rsidR="000A2B9F" w:rsidRPr="007777A8" w:rsidRDefault="000A2B9F" w:rsidP="000A2B9F">
      <w:pPr>
        <w:rPr>
          <w:rFonts w:eastAsia="Arial" w:cstheme="minorHAnsi"/>
        </w:rPr>
      </w:pPr>
      <w:r w:rsidRPr="007777A8">
        <w:rPr>
          <w:rFonts w:eastAsia="Arial" w:cstheme="minorHAnsi"/>
        </w:rPr>
        <w:t>Circumstances in which a licence is deemed non-renewable from the outset will generally arise when an alternative future use for the relevant spectrum has already been established by our spectrum planning process. Non-renewable licences may also be issued for a specified short-term purpose such as a special event, or for a technology trial facilitated by a scientific licence.</w:t>
      </w:r>
    </w:p>
    <w:p w14:paraId="57AD8E0E" w14:textId="4C32BB46" w:rsidR="00503705" w:rsidRPr="00AE383B" w:rsidRDefault="00503705">
      <w:pPr>
        <w:pStyle w:val="Heading3"/>
        <w:rPr>
          <w:rFonts w:eastAsia="Arial"/>
        </w:rPr>
      </w:pPr>
      <w:bookmarkStart w:id="48" w:name="_Toc65835968"/>
      <w:r w:rsidRPr="007777A8">
        <w:rPr>
          <w:rFonts w:eastAsia="Arial"/>
        </w:rPr>
        <w:t>Power to set specified circumstances for renewal</w:t>
      </w:r>
      <w:r w:rsidR="00843CFD">
        <w:rPr>
          <w:rFonts w:eastAsia="Arial"/>
        </w:rPr>
        <w:t xml:space="preserve"> decision</w:t>
      </w:r>
      <w:bookmarkEnd w:id="48"/>
    </w:p>
    <w:p w14:paraId="7F6835FE" w14:textId="4FA63D2B" w:rsidR="003E3252" w:rsidRDefault="003E3252" w:rsidP="003E3252">
      <w:pPr>
        <w:rPr>
          <w:rFonts w:cstheme="minorHAnsi"/>
        </w:rPr>
      </w:pPr>
      <w:r w:rsidRPr="007777A8">
        <w:rPr>
          <w:rFonts w:eastAsia="Arial" w:cstheme="minorHAnsi"/>
        </w:rPr>
        <w:t xml:space="preserve">Under the Act as amended, </w:t>
      </w:r>
      <w:r w:rsidR="003175AF">
        <w:rPr>
          <w:rFonts w:eastAsia="Arial" w:cstheme="minorHAnsi"/>
        </w:rPr>
        <w:t>we have</w:t>
      </w:r>
      <w:r w:rsidRPr="007777A8">
        <w:rPr>
          <w:rFonts w:eastAsia="Arial" w:cstheme="minorHAnsi"/>
        </w:rPr>
        <w:t xml:space="preserve"> the power to issue an apparatus or spectrum licence with a renewal statement to the effect that the licence can</w:t>
      </w:r>
      <w:r w:rsidR="00116D05">
        <w:rPr>
          <w:rFonts w:eastAsia="Arial" w:cstheme="minorHAnsi"/>
        </w:rPr>
        <w:t xml:space="preserve"> only</w:t>
      </w:r>
      <w:r w:rsidRPr="007777A8">
        <w:rPr>
          <w:rFonts w:eastAsia="Arial" w:cstheme="minorHAnsi"/>
        </w:rPr>
        <w:t xml:space="preserve"> be renewed at </w:t>
      </w:r>
      <w:r w:rsidR="003175AF">
        <w:rPr>
          <w:rFonts w:eastAsia="Arial" w:cstheme="minorHAnsi"/>
        </w:rPr>
        <w:t>our discretion</w:t>
      </w:r>
      <w:r w:rsidRPr="007777A8">
        <w:rPr>
          <w:rFonts w:eastAsia="Arial" w:cstheme="minorHAnsi"/>
        </w:rPr>
        <w:t xml:space="preserve"> so long as specified circumstances exist.</w:t>
      </w:r>
      <w:r w:rsidRPr="007777A8" w:rsidDel="00C75445">
        <w:rPr>
          <w:rFonts w:eastAsia="Arial" w:cstheme="minorHAnsi"/>
        </w:rPr>
        <w:t xml:space="preserve"> </w:t>
      </w:r>
      <w:r w:rsidR="003175AF">
        <w:rPr>
          <w:rFonts w:cstheme="minorHAnsi"/>
        </w:rPr>
        <w:t>We also have</w:t>
      </w:r>
      <w:r w:rsidRPr="007777A8">
        <w:rPr>
          <w:rFonts w:cstheme="minorHAnsi"/>
        </w:rPr>
        <w:t xml:space="preserve"> the power to make a legislative instrument to determine that a specified class of spectrum or apparatus licence</w:t>
      </w:r>
      <w:r w:rsidR="00C5760D">
        <w:rPr>
          <w:rFonts w:cstheme="minorHAnsi"/>
        </w:rPr>
        <w:t>s</w:t>
      </w:r>
      <w:r w:rsidRPr="007777A8">
        <w:rPr>
          <w:rFonts w:cstheme="minorHAnsi"/>
        </w:rPr>
        <w:t xml:space="preserve"> must be issued with a renewal statement that sets out specified circumstances that must exist before we can exercise our discretion to </w:t>
      </w:r>
      <w:r w:rsidR="008F4FBC">
        <w:rPr>
          <w:rFonts w:cstheme="minorHAnsi"/>
        </w:rPr>
        <w:t>renew the</w:t>
      </w:r>
      <w:r w:rsidRPr="007777A8">
        <w:rPr>
          <w:rFonts w:cstheme="minorHAnsi"/>
        </w:rPr>
        <w:t xml:space="preserve"> licence. </w:t>
      </w:r>
    </w:p>
    <w:p w14:paraId="3806B178" w14:textId="5D13362E" w:rsidR="00305E61" w:rsidRPr="007777A8" w:rsidRDefault="00992C9E" w:rsidP="003E3252">
      <w:pPr>
        <w:rPr>
          <w:rFonts w:cstheme="minorHAnsi"/>
        </w:rPr>
      </w:pPr>
      <w:r>
        <w:rPr>
          <w:rFonts w:cstheme="minorHAnsi"/>
        </w:rPr>
        <w:t>I</w:t>
      </w:r>
      <w:r w:rsidR="00305E61" w:rsidRPr="007777A8">
        <w:rPr>
          <w:rFonts w:cstheme="minorHAnsi"/>
        </w:rPr>
        <w:t>f the specified circumstances exist at the time of renewal</w:t>
      </w:r>
      <w:r w:rsidR="00902608">
        <w:rPr>
          <w:rFonts w:cstheme="minorHAnsi"/>
        </w:rPr>
        <w:t xml:space="preserve">, renewal of the licence is at our discretion (that is, </w:t>
      </w:r>
      <w:r w:rsidR="00E56B25">
        <w:rPr>
          <w:rFonts w:cstheme="minorHAnsi"/>
        </w:rPr>
        <w:t>meeting the specified circumstances for renewal does not guarantee renewal)</w:t>
      </w:r>
      <w:r w:rsidR="00305E61" w:rsidRPr="007777A8">
        <w:rPr>
          <w:rFonts w:cstheme="minorHAnsi"/>
        </w:rPr>
        <w:t>.</w:t>
      </w:r>
      <w:r>
        <w:rPr>
          <w:rFonts w:cstheme="minorHAnsi"/>
        </w:rPr>
        <w:t xml:space="preserve"> </w:t>
      </w:r>
      <w:r w:rsidR="00EF4714">
        <w:rPr>
          <w:rFonts w:cstheme="minorHAnsi"/>
        </w:rPr>
        <w:t>In this sense</w:t>
      </w:r>
      <w:r w:rsidR="00305E61" w:rsidRPr="007777A8">
        <w:rPr>
          <w:rFonts w:cstheme="minorHAnsi"/>
        </w:rPr>
        <w:t>,</w:t>
      </w:r>
      <w:r w:rsidR="00305E61">
        <w:rPr>
          <w:rFonts w:cstheme="minorHAnsi"/>
        </w:rPr>
        <w:t xml:space="preserve"> the</w:t>
      </w:r>
      <w:r w:rsidR="00305E61" w:rsidRPr="007777A8">
        <w:rPr>
          <w:rFonts w:cstheme="minorHAnsi"/>
        </w:rPr>
        <w:t xml:space="preserve"> circumstances specified on a renewal statement will </w:t>
      </w:r>
      <w:r w:rsidR="00305E61">
        <w:rPr>
          <w:rFonts w:cstheme="minorHAnsi"/>
        </w:rPr>
        <w:t>serve</w:t>
      </w:r>
      <w:r w:rsidR="00305E61" w:rsidRPr="007777A8">
        <w:rPr>
          <w:rFonts w:cstheme="minorHAnsi"/>
        </w:rPr>
        <w:t xml:space="preserve"> as qualifying conditions that must be fulfilled before we can consider whether to </w:t>
      </w:r>
      <w:r w:rsidR="00F31CF8">
        <w:rPr>
          <w:rFonts w:cstheme="minorHAnsi"/>
        </w:rPr>
        <w:t>renew a</w:t>
      </w:r>
      <w:r w:rsidR="00305E61" w:rsidRPr="007777A8">
        <w:rPr>
          <w:rFonts w:cstheme="minorHAnsi"/>
        </w:rPr>
        <w:t xml:space="preserve"> licence</w:t>
      </w:r>
      <w:r w:rsidR="00305E61">
        <w:rPr>
          <w:rFonts w:cstheme="minorHAnsi"/>
        </w:rPr>
        <w:t>.</w:t>
      </w:r>
    </w:p>
    <w:p w14:paraId="699856DD" w14:textId="6236C112" w:rsidR="003E3252" w:rsidRDefault="003E3252" w:rsidP="00582199">
      <w:pPr>
        <w:spacing w:line="257" w:lineRule="auto"/>
        <w:rPr>
          <w:rFonts w:cstheme="minorHAnsi"/>
        </w:rPr>
      </w:pPr>
      <w:r w:rsidRPr="007777A8">
        <w:rPr>
          <w:rFonts w:eastAsia="Arial" w:cstheme="minorHAnsi"/>
        </w:rPr>
        <w:t>By</w:t>
      </w:r>
      <w:r w:rsidRPr="007777A8" w:rsidDel="006301DF">
        <w:rPr>
          <w:rFonts w:eastAsia="Arial" w:cstheme="minorHAnsi"/>
        </w:rPr>
        <w:t xml:space="preserve"> </w:t>
      </w:r>
      <w:r w:rsidRPr="007777A8">
        <w:rPr>
          <w:rFonts w:eastAsia="Arial" w:cstheme="minorHAnsi"/>
        </w:rPr>
        <w:t xml:space="preserve">communicating these specific conditions from the outset, the renewal statement will offer licensees more transparency and better predictability about the </w:t>
      </w:r>
      <w:r w:rsidR="00FD3E2D" w:rsidRPr="007777A8">
        <w:rPr>
          <w:rFonts w:eastAsia="Arial" w:cstheme="minorHAnsi"/>
        </w:rPr>
        <w:t>long-term</w:t>
      </w:r>
      <w:r w:rsidRPr="007777A8">
        <w:rPr>
          <w:rFonts w:eastAsia="Arial" w:cstheme="minorHAnsi"/>
        </w:rPr>
        <w:t xml:space="preserve"> prospects of their spectrum assets. Our annual work program will identify our overall spectrum planning and management priorities.</w:t>
      </w:r>
    </w:p>
    <w:p w14:paraId="1F7A8BB6" w14:textId="1F05D103" w:rsidR="009007F3" w:rsidRPr="007777A8" w:rsidRDefault="009007F3" w:rsidP="00AE116D">
      <w:pPr>
        <w:pStyle w:val="Heading3"/>
      </w:pPr>
      <w:bookmarkStart w:id="49" w:name="_Toc65835969"/>
      <w:r w:rsidRPr="007777A8">
        <w:t xml:space="preserve">What kind of circumstances </w:t>
      </w:r>
      <w:r w:rsidR="001835CE">
        <w:t xml:space="preserve">we </w:t>
      </w:r>
      <w:r w:rsidRPr="007777A8">
        <w:t>might specify</w:t>
      </w:r>
      <w:bookmarkEnd w:id="49"/>
    </w:p>
    <w:p w14:paraId="4809BB3B" w14:textId="6999B18B" w:rsidR="001F7C1A" w:rsidRDefault="00CF238B">
      <w:pPr>
        <w:pStyle w:val="Paragraph"/>
        <w:rPr>
          <w:rFonts w:eastAsia="Arial"/>
        </w:rPr>
      </w:pPr>
      <w:r w:rsidRPr="007777A8">
        <w:rPr>
          <w:rFonts w:eastAsia="Arial"/>
        </w:rPr>
        <w:t>Specified circumstances require an objective set of circumstances to be outlined at the time a licence is issued.</w:t>
      </w:r>
      <w:r w:rsidR="004776F6">
        <w:rPr>
          <w:rFonts w:eastAsia="Arial"/>
        </w:rPr>
        <w:t xml:space="preserve"> </w:t>
      </w:r>
      <w:r w:rsidR="00CD0B5A">
        <w:rPr>
          <w:rFonts w:eastAsia="Arial"/>
        </w:rPr>
        <w:t xml:space="preserve">If a licence includes a renewal statement setting out that renewal is at our discretion, subject to </w:t>
      </w:r>
      <w:r w:rsidR="00CB7386">
        <w:rPr>
          <w:rFonts w:eastAsia="Arial"/>
        </w:rPr>
        <w:t>specified circumstances existing, we</w:t>
      </w:r>
      <w:r w:rsidR="00DF0EA2">
        <w:rPr>
          <w:rFonts w:eastAsia="Arial"/>
        </w:rPr>
        <w:t xml:space="preserve"> must be satisfied that the</w:t>
      </w:r>
      <w:r w:rsidR="001F7C1A">
        <w:rPr>
          <w:rFonts w:eastAsia="Arial"/>
        </w:rPr>
        <w:t xml:space="preserve"> specified circumstances have been met </w:t>
      </w:r>
      <w:r w:rsidR="00BF6143">
        <w:rPr>
          <w:rFonts w:eastAsia="Arial"/>
        </w:rPr>
        <w:t>before</w:t>
      </w:r>
      <w:r w:rsidR="001F7C1A">
        <w:rPr>
          <w:rFonts w:eastAsia="Arial"/>
        </w:rPr>
        <w:t xml:space="preserve"> renew</w:t>
      </w:r>
      <w:r w:rsidR="00BF6143">
        <w:rPr>
          <w:rFonts w:eastAsia="Arial"/>
        </w:rPr>
        <w:t>ing</w:t>
      </w:r>
      <w:r w:rsidR="001F7C1A">
        <w:rPr>
          <w:rFonts w:eastAsia="Arial"/>
        </w:rPr>
        <w:t xml:space="preserve"> the relevant licence.</w:t>
      </w:r>
    </w:p>
    <w:p w14:paraId="1E3C2A7A" w14:textId="7109511B" w:rsidR="00CF238B" w:rsidRPr="007777A8" w:rsidRDefault="0094391C">
      <w:pPr>
        <w:pStyle w:val="Paragraph"/>
        <w:rPr>
          <w:rFonts w:eastAsia="Arial"/>
        </w:rPr>
      </w:pPr>
      <w:r>
        <w:rPr>
          <w:rFonts w:eastAsia="Arial"/>
        </w:rPr>
        <w:t>T</w:t>
      </w:r>
      <w:r w:rsidR="00CF238B" w:rsidRPr="007777A8">
        <w:rPr>
          <w:rFonts w:eastAsia="Arial"/>
        </w:rPr>
        <w:t xml:space="preserve">he relevant circumstances </w:t>
      </w:r>
      <w:r>
        <w:rPr>
          <w:rFonts w:eastAsia="Arial"/>
        </w:rPr>
        <w:t>are</w:t>
      </w:r>
      <w:r w:rsidR="00CF238B" w:rsidRPr="007777A8">
        <w:rPr>
          <w:rFonts w:eastAsia="Arial"/>
        </w:rPr>
        <w:t xml:space="preserve"> likely to be both spectrum band use and licence specific, and will be informed by relevant policy objectives, including </w:t>
      </w:r>
      <w:r w:rsidR="007E779C">
        <w:rPr>
          <w:rFonts w:eastAsia="Arial"/>
        </w:rPr>
        <w:t>MPSs</w:t>
      </w:r>
      <w:r w:rsidR="00CF238B" w:rsidRPr="007777A8">
        <w:rPr>
          <w:rFonts w:eastAsia="Arial"/>
        </w:rPr>
        <w:t xml:space="preserve"> that are applicable to the initial licence issue. </w:t>
      </w:r>
      <w:r w:rsidR="00A00700" w:rsidRPr="00A00700">
        <w:rPr>
          <w:rFonts w:eastAsia="Arial"/>
        </w:rPr>
        <w:t xml:space="preserve">Because such circumstances are </w:t>
      </w:r>
      <w:r w:rsidR="00FB1C09">
        <w:rPr>
          <w:rFonts w:eastAsia="Arial"/>
        </w:rPr>
        <w:t xml:space="preserve">of a </w:t>
      </w:r>
      <w:r w:rsidR="00A00700" w:rsidRPr="00A00700">
        <w:rPr>
          <w:rFonts w:eastAsia="Arial"/>
        </w:rPr>
        <w:t>highly specific nature, we expect that specified circumstances on a renewal statement will be rarely used.</w:t>
      </w:r>
    </w:p>
    <w:p w14:paraId="50E0F135" w14:textId="1C69CA08" w:rsidR="003E3252" w:rsidRDefault="00CF238B" w:rsidP="00CF238B">
      <w:pPr>
        <w:pStyle w:val="Paragraph"/>
        <w:rPr>
          <w:rFonts w:eastAsia="Arial"/>
        </w:rPr>
      </w:pPr>
      <w:r w:rsidRPr="007777A8">
        <w:rPr>
          <w:rFonts w:eastAsia="Arial"/>
        </w:rPr>
        <w:t xml:space="preserve">Additionally, </w:t>
      </w:r>
      <w:r w:rsidR="00722FF5">
        <w:rPr>
          <w:rFonts w:eastAsia="Arial"/>
        </w:rPr>
        <w:t xml:space="preserve">new </w:t>
      </w:r>
      <w:r w:rsidRPr="007777A8">
        <w:rPr>
          <w:rFonts w:eastAsia="Arial"/>
        </w:rPr>
        <w:t xml:space="preserve">section 77C of the Act sets out matters that we </w:t>
      </w:r>
      <w:r w:rsidR="006A3291">
        <w:rPr>
          <w:rFonts w:eastAsia="Arial"/>
        </w:rPr>
        <w:t xml:space="preserve">may have regard to as well as matters we </w:t>
      </w:r>
      <w:r w:rsidR="00722FF5">
        <w:rPr>
          <w:rFonts w:eastAsia="Arial"/>
        </w:rPr>
        <w:t>must</w:t>
      </w:r>
      <w:r w:rsidRPr="007777A8">
        <w:rPr>
          <w:rFonts w:eastAsia="Arial"/>
        </w:rPr>
        <w:t xml:space="preserve"> </w:t>
      </w:r>
      <w:r w:rsidR="002F1DE7">
        <w:rPr>
          <w:rFonts w:eastAsia="Arial"/>
        </w:rPr>
        <w:t>consider</w:t>
      </w:r>
      <w:r w:rsidRPr="007777A8">
        <w:rPr>
          <w:rFonts w:eastAsia="Arial"/>
        </w:rPr>
        <w:t xml:space="preserve"> when considering whether to renew a spectrum licence. Renewal in specified circumstances will also need to be considered in the context of any public interest test assessment</w:t>
      </w:r>
      <w:r w:rsidR="000A0561">
        <w:rPr>
          <w:rFonts w:eastAsia="Arial"/>
        </w:rPr>
        <w:t>,</w:t>
      </w:r>
      <w:r w:rsidRPr="007777A8">
        <w:rPr>
          <w:rFonts w:eastAsia="Arial"/>
        </w:rPr>
        <w:t xml:space="preserve"> which applies to licences where the renewal period contemplated is 10 years or longer.</w:t>
      </w:r>
    </w:p>
    <w:p w14:paraId="107C851B" w14:textId="57CEB627" w:rsidR="006A2015" w:rsidRPr="007777A8" w:rsidRDefault="006A2015" w:rsidP="00AE383B">
      <w:pPr>
        <w:pStyle w:val="Heading3"/>
        <w:rPr>
          <w:rFonts w:eastAsia="Arial"/>
        </w:rPr>
      </w:pPr>
      <w:bookmarkStart w:id="50" w:name="_Toc65835970"/>
      <w:r w:rsidRPr="007777A8">
        <w:rPr>
          <w:rFonts w:eastAsia="Arial"/>
        </w:rPr>
        <w:t xml:space="preserve">The power to </w:t>
      </w:r>
      <w:r w:rsidR="00722FF5">
        <w:rPr>
          <w:rFonts w:eastAsia="Arial"/>
        </w:rPr>
        <w:t>include</w:t>
      </w:r>
      <w:r w:rsidR="00722FF5" w:rsidRPr="007777A8">
        <w:rPr>
          <w:rFonts w:eastAsia="Arial"/>
        </w:rPr>
        <w:t xml:space="preserve"> </w:t>
      </w:r>
      <w:r w:rsidRPr="007777A8">
        <w:rPr>
          <w:rFonts w:eastAsia="Arial"/>
        </w:rPr>
        <w:t xml:space="preserve">renewal statements </w:t>
      </w:r>
      <w:r w:rsidR="00722FF5">
        <w:rPr>
          <w:rFonts w:eastAsia="Arial"/>
        </w:rPr>
        <w:t>in</w:t>
      </w:r>
      <w:r w:rsidRPr="007777A8">
        <w:rPr>
          <w:rFonts w:eastAsia="Arial"/>
        </w:rPr>
        <w:t xml:space="preserve"> apparatus licences</w:t>
      </w:r>
      <w:bookmarkEnd w:id="50"/>
    </w:p>
    <w:p w14:paraId="312CB388" w14:textId="302EDC99" w:rsidR="00942A42" w:rsidRPr="00AE383B" w:rsidRDefault="00942A42" w:rsidP="00AE383B">
      <w:pPr>
        <w:pStyle w:val="Paragraph"/>
        <w:rPr>
          <w:rFonts w:eastAsia="Arial"/>
        </w:rPr>
      </w:pPr>
      <w:r w:rsidRPr="00AE383B">
        <w:rPr>
          <w:rFonts w:eastAsia="Arial"/>
        </w:rPr>
        <w:t xml:space="preserve">Under </w:t>
      </w:r>
      <w:r w:rsidR="00722FF5">
        <w:rPr>
          <w:rFonts w:eastAsia="Arial"/>
        </w:rPr>
        <w:t xml:space="preserve">new </w:t>
      </w:r>
      <w:r w:rsidRPr="00AE383B">
        <w:rPr>
          <w:rFonts w:eastAsia="Arial"/>
        </w:rPr>
        <w:t xml:space="preserve">section 103A of the Act, </w:t>
      </w:r>
      <w:r w:rsidR="00ED62DC">
        <w:rPr>
          <w:rFonts w:eastAsia="Arial"/>
        </w:rPr>
        <w:t>we have</w:t>
      </w:r>
      <w:r w:rsidRPr="00AE383B">
        <w:rPr>
          <w:rFonts w:eastAsia="Arial"/>
        </w:rPr>
        <w:t xml:space="preserve"> the power to issue apparatus licences with a renewal statement to the effect that the licence cannot be renewed or that it can be renewed at </w:t>
      </w:r>
      <w:r w:rsidR="00ED62DC">
        <w:rPr>
          <w:rFonts w:eastAsia="Arial"/>
        </w:rPr>
        <w:t>our</w:t>
      </w:r>
      <w:r w:rsidRPr="00AE383B">
        <w:rPr>
          <w:rFonts w:eastAsia="Arial"/>
        </w:rPr>
        <w:t xml:space="preserve"> discretion under specified circumstances. </w:t>
      </w:r>
      <w:r w:rsidR="00ED62DC">
        <w:rPr>
          <w:rFonts w:eastAsia="Arial"/>
        </w:rPr>
        <w:t>We</w:t>
      </w:r>
      <w:r w:rsidRPr="00AE383B">
        <w:rPr>
          <w:rFonts w:eastAsia="Arial"/>
        </w:rPr>
        <w:t xml:space="preserve"> also ha</w:t>
      </w:r>
      <w:r w:rsidR="00ED62DC">
        <w:rPr>
          <w:rFonts w:eastAsia="Arial"/>
        </w:rPr>
        <w:t>ve</w:t>
      </w:r>
      <w:r w:rsidRPr="00AE383B">
        <w:rPr>
          <w:rFonts w:eastAsia="Arial"/>
        </w:rPr>
        <w:t xml:space="preserve"> the power to make a legislative instrument to determine that a specified class of apparatus licences must be issued with a certain renewal statement. However, if an individual apparatus licence has been issued with its own bespoke renewal statement, that statement will override any other renewal statements that might have applied under a legislative instrument made for that class of apparatus licences.</w:t>
      </w:r>
    </w:p>
    <w:p w14:paraId="0EA8B6DF" w14:textId="0D537DB5" w:rsidR="00942A42" w:rsidRPr="000E12BA" w:rsidRDefault="00722FF5" w:rsidP="00AE116D">
      <w:pPr>
        <w:pStyle w:val="Paragraphbeforelist"/>
        <w:rPr>
          <w:rFonts w:eastAsia="Arial"/>
        </w:rPr>
      </w:pPr>
      <w:r>
        <w:rPr>
          <w:rFonts w:eastAsia="Arial"/>
        </w:rPr>
        <w:lastRenderedPageBreak/>
        <w:t>New s</w:t>
      </w:r>
      <w:r w:rsidR="00942A42" w:rsidRPr="00D5183C">
        <w:rPr>
          <w:rFonts w:eastAsia="Arial"/>
        </w:rPr>
        <w:t xml:space="preserve">ubsection </w:t>
      </w:r>
      <w:r w:rsidR="00942A42" w:rsidRPr="009D0BDD">
        <w:rPr>
          <w:rFonts w:eastAsia="Arial"/>
        </w:rPr>
        <w:t xml:space="preserve">103A(1) of the Act, as well </w:t>
      </w:r>
      <w:r w:rsidR="00C25C5E">
        <w:rPr>
          <w:rFonts w:eastAsia="Arial"/>
        </w:rPr>
        <w:t xml:space="preserve">as </w:t>
      </w:r>
      <w:r w:rsidR="00942A42" w:rsidRPr="009D0BDD">
        <w:rPr>
          <w:rFonts w:eastAsia="Arial"/>
        </w:rPr>
        <w:t xml:space="preserve">transitional arrangements under </w:t>
      </w:r>
      <w:r>
        <w:rPr>
          <w:rFonts w:eastAsia="Arial"/>
        </w:rPr>
        <w:t xml:space="preserve">new </w:t>
      </w:r>
      <w:r w:rsidR="00942A42" w:rsidRPr="009D0BDD">
        <w:rPr>
          <w:rFonts w:eastAsia="Arial"/>
        </w:rPr>
        <w:t xml:space="preserve">subsections </w:t>
      </w:r>
      <w:r w:rsidR="00E407D9">
        <w:rPr>
          <w:rFonts w:eastAsia="Arial"/>
        </w:rPr>
        <w:t>103</w:t>
      </w:r>
      <w:r w:rsidR="00942A42" w:rsidRPr="000E12BA">
        <w:rPr>
          <w:rFonts w:eastAsia="Arial"/>
        </w:rPr>
        <w:t>A(19</w:t>
      </w:r>
      <w:r w:rsidR="00942A42" w:rsidRPr="00D5183C">
        <w:rPr>
          <w:rFonts w:eastAsia="Arial"/>
        </w:rPr>
        <w:t xml:space="preserve">) and (20) of the Act, provide that </w:t>
      </w:r>
      <w:r w:rsidR="00324EFC">
        <w:rPr>
          <w:rFonts w:eastAsia="Arial"/>
        </w:rPr>
        <w:t>we</w:t>
      </w:r>
      <w:r w:rsidR="00E407D9">
        <w:rPr>
          <w:rFonts w:eastAsia="Arial"/>
        </w:rPr>
        <w:t xml:space="preserve"> cannot issue renewal statements for</w:t>
      </w:r>
      <w:r w:rsidR="00942A42" w:rsidRPr="000E12BA">
        <w:rPr>
          <w:rFonts w:eastAsia="Arial"/>
        </w:rPr>
        <w:t>:</w:t>
      </w:r>
    </w:p>
    <w:p w14:paraId="797C4686" w14:textId="3D301BE2" w:rsidR="00942A42" w:rsidRPr="00AE383B" w:rsidRDefault="00E407D9" w:rsidP="00107BCA">
      <w:pPr>
        <w:pStyle w:val="Bulletlevel1"/>
        <w:rPr>
          <w:rFonts w:eastAsia="Arial"/>
        </w:rPr>
      </w:pPr>
      <w:r w:rsidRPr="00953591">
        <w:rPr>
          <w:rFonts w:eastAsia="Arial"/>
        </w:rPr>
        <w:t>apparatus licences</w:t>
      </w:r>
      <w:r w:rsidRPr="000E12BA">
        <w:rPr>
          <w:rFonts w:eastAsia="Arial"/>
        </w:rPr>
        <w:t xml:space="preserve"> </w:t>
      </w:r>
      <w:r w:rsidR="00942A42" w:rsidRPr="00AE383B">
        <w:rPr>
          <w:rFonts w:eastAsia="Arial"/>
        </w:rPr>
        <w:t>issued prior to commencement of the relevant sections of the Modernisation Act</w:t>
      </w:r>
    </w:p>
    <w:p w14:paraId="2FAA87C1" w14:textId="79AA84FD" w:rsidR="00942A42" w:rsidRPr="000E12BA" w:rsidRDefault="00942A42" w:rsidP="00107BCA">
      <w:pPr>
        <w:pStyle w:val="Bulletlevel1"/>
        <w:rPr>
          <w:rFonts w:eastAsia="Arial"/>
        </w:rPr>
      </w:pPr>
      <w:r w:rsidRPr="000E12BA">
        <w:rPr>
          <w:rFonts w:eastAsia="Arial"/>
        </w:rPr>
        <w:t>transmitter licences issued under section 101A or 102</w:t>
      </w:r>
    </w:p>
    <w:p w14:paraId="3C26C15E" w14:textId="51A6949A" w:rsidR="00942A42" w:rsidRPr="000E12BA" w:rsidRDefault="00942A42" w:rsidP="00107BCA">
      <w:pPr>
        <w:pStyle w:val="Bulletlevel1last"/>
        <w:rPr>
          <w:rFonts w:eastAsia="Arial"/>
        </w:rPr>
      </w:pPr>
      <w:r w:rsidRPr="00D5183C">
        <w:rPr>
          <w:rFonts w:eastAsia="Arial"/>
        </w:rPr>
        <w:t>digital radio multiplex transmitter licences</w:t>
      </w:r>
      <w:r w:rsidR="00E407D9">
        <w:rPr>
          <w:rFonts w:eastAsia="Arial"/>
        </w:rPr>
        <w:t>.</w:t>
      </w:r>
      <w:r w:rsidR="00E407D9">
        <w:rPr>
          <w:rStyle w:val="FootnoteReference"/>
          <w:rFonts w:eastAsia="Arial"/>
        </w:rPr>
        <w:footnoteReference w:id="11"/>
      </w:r>
    </w:p>
    <w:p w14:paraId="79FAE97A" w14:textId="570A4452" w:rsidR="00227F8C" w:rsidRDefault="00E407D9" w:rsidP="00AE383B">
      <w:pPr>
        <w:pStyle w:val="Paragraph"/>
        <w:rPr>
          <w:rFonts w:eastAsia="Arial"/>
        </w:rPr>
      </w:pPr>
      <w:r>
        <w:rPr>
          <w:rFonts w:eastAsia="Arial"/>
        </w:rPr>
        <w:t>However</w:t>
      </w:r>
      <w:r w:rsidR="00942A42" w:rsidRPr="00AE383B">
        <w:rPr>
          <w:rFonts w:eastAsia="Arial"/>
        </w:rPr>
        <w:t xml:space="preserve">, we are </w:t>
      </w:r>
      <w:r w:rsidR="005B0F7A">
        <w:rPr>
          <w:rFonts w:eastAsia="Arial"/>
        </w:rPr>
        <w:t>able</w:t>
      </w:r>
      <w:r w:rsidR="00942A42" w:rsidRPr="00AE383B">
        <w:rPr>
          <w:rFonts w:eastAsia="Arial"/>
        </w:rPr>
        <w:t xml:space="preserve"> to include renewal statements in apparatus licence</w:t>
      </w:r>
      <w:r w:rsidR="006F1AC2">
        <w:rPr>
          <w:rFonts w:eastAsia="Arial"/>
        </w:rPr>
        <w:t>s</w:t>
      </w:r>
      <w:r w:rsidR="00942A42" w:rsidRPr="00AE383B">
        <w:rPr>
          <w:rFonts w:eastAsia="Arial"/>
        </w:rPr>
        <w:t xml:space="preserve"> that </w:t>
      </w:r>
      <w:r w:rsidR="006F1AC2">
        <w:rPr>
          <w:rFonts w:eastAsia="Arial"/>
        </w:rPr>
        <w:t>are</w:t>
      </w:r>
      <w:r w:rsidR="00942A42" w:rsidRPr="00AE383B">
        <w:rPr>
          <w:rFonts w:eastAsia="Arial"/>
        </w:rPr>
        <w:t xml:space="preserve"> renewed after the commencement of the relevant sections of the Modernisation Act.</w:t>
      </w:r>
    </w:p>
    <w:p w14:paraId="04BCA307" w14:textId="7200ABF0" w:rsidR="00227F8C" w:rsidRDefault="00227F8C" w:rsidP="00227F8C">
      <w:pPr>
        <w:pStyle w:val="Heading4"/>
        <w:rPr>
          <w:rFonts w:eastAsia="Arial"/>
        </w:rPr>
      </w:pPr>
      <w:r w:rsidRPr="007777A8">
        <w:rPr>
          <w:rFonts w:eastAsia="Arial"/>
        </w:rPr>
        <w:t xml:space="preserve">How </w:t>
      </w:r>
      <w:r w:rsidR="003F0CA3">
        <w:rPr>
          <w:rFonts w:eastAsia="Arial"/>
        </w:rPr>
        <w:t xml:space="preserve">we </w:t>
      </w:r>
      <w:r w:rsidRPr="007777A8">
        <w:rPr>
          <w:rFonts w:eastAsia="Arial"/>
        </w:rPr>
        <w:t xml:space="preserve">will </w:t>
      </w:r>
      <w:r w:rsidR="003F0CA3">
        <w:rPr>
          <w:rFonts w:eastAsia="Arial"/>
        </w:rPr>
        <w:t>u</w:t>
      </w:r>
      <w:r w:rsidRPr="007777A8">
        <w:rPr>
          <w:rFonts w:eastAsia="Arial"/>
        </w:rPr>
        <w:t>se renewal statements for apparatus licences</w:t>
      </w:r>
    </w:p>
    <w:p w14:paraId="23BC3FF4" w14:textId="197232E2" w:rsidR="00A205E8" w:rsidRPr="0080198C" w:rsidRDefault="005B74E2" w:rsidP="003D548C">
      <w:pPr>
        <w:pStyle w:val="Paragraph"/>
        <w:rPr>
          <w:rFonts w:eastAsia="Arial"/>
        </w:rPr>
      </w:pPr>
      <w:r w:rsidRPr="003D548C">
        <w:rPr>
          <w:rFonts w:eastAsia="Arial"/>
        </w:rPr>
        <w:t xml:space="preserve">We do not anticipate including </w:t>
      </w:r>
      <w:r w:rsidR="00E16AA9" w:rsidRPr="00E90420">
        <w:rPr>
          <w:rFonts w:eastAsia="Arial"/>
        </w:rPr>
        <w:t xml:space="preserve">renewal statements in most </w:t>
      </w:r>
      <w:r w:rsidR="00E16AA9" w:rsidRPr="0007620A">
        <w:rPr>
          <w:rFonts w:eastAsia="Arial"/>
        </w:rPr>
        <w:t xml:space="preserve">apparatus </w:t>
      </w:r>
      <w:r w:rsidR="00E16AA9" w:rsidRPr="000A5C03">
        <w:rPr>
          <w:rFonts w:eastAsia="Arial"/>
        </w:rPr>
        <w:t>licen</w:t>
      </w:r>
      <w:r w:rsidR="00E16AA9" w:rsidRPr="004818A8">
        <w:rPr>
          <w:rFonts w:eastAsia="Arial"/>
        </w:rPr>
        <w:t xml:space="preserve">ces, </w:t>
      </w:r>
      <w:r w:rsidR="003A4F81" w:rsidRPr="004818A8">
        <w:rPr>
          <w:rFonts w:eastAsia="Arial"/>
        </w:rPr>
        <w:t xml:space="preserve">and our </w:t>
      </w:r>
      <w:r w:rsidR="003A4F81" w:rsidRPr="00AE7516">
        <w:rPr>
          <w:rFonts w:eastAsia="Arial"/>
        </w:rPr>
        <w:t>practice will remain to generally</w:t>
      </w:r>
      <w:r w:rsidR="003A4F81" w:rsidRPr="00390871">
        <w:rPr>
          <w:rFonts w:eastAsia="Arial"/>
        </w:rPr>
        <w:t xml:space="preserve"> renew licences unless there </w:t>
      </w:r>
      <w:r w:rsidR="00D06349" w:rsidRPr="00390871">
        <w:rPr>
          <w:rFonts w:eastAsia="Arial"/>
        </w:rPr>
        <w:t>are</w:t>
      </w:r>
      <w:r w:rsidR="003A4F81" w:rsidRPr="00390871">
        <w:rPr>
          <w:rFonts w:eastAsia="Arial"/>
        </w:rPr>
        <w:t xml:space="preserve"> particular </w:t>
      </w:r>
      <w:r w:rsidR="003A4F81" w:rsidRPr="00D06349">
        <w:rPr>
          <w:rFonts w:eastAsia="Arial"/>
        </w:rPr>
        <w:t>circumstance</w:t>
      </w:r>
      <w:r w:rsidR="00D06349" w:rsidRPr="00D06349">
        <w:rPr>
          <w:rFonts w:eastAsia="Arial"/>
        </w:rPr>
        <w:t>s</w:t>
      </w:r>
      <w:r w:rsidR="003A4F81" w:rsidRPr="00D06349">
        <w:rPr>
          <w:rFonts w:eastAsia="Arial"/>
        </w:rPr>
        <w:t xml:space="preserve"> that makes renewal inappropriate, such as replanning activities.</w:t>
      </w:r>
      <w:r w:rsidR="000706AB">
        <w:rPr>
          <w:rFonts w:eastAsia="Arial"/>
        </w:rPr>
        <w:t xml:space="preserve"> </w:t>
      </w:r>
    </w:p>
    <w:p w14:paraId="66EB0FBA" w14:textId="79313BC2" w:rsidR="00C10BCA" w:rsidRDefault="00576C1A" w:rsidP="00D06349">
      <w:pPr>
        <w:pStyle w:val="Paragraph"/>
        <w:rPr>
          <w:rFonts w:eastAsia="Arial"/>
        </w:rPr>
      </w:pPr>
      <w:r>
        <w:rPr>
          <w:rFonts w:eastAsia="Arial"/>
        </w:rPr>
        <w:t xml:space="preserve">We may include renewal statements </w:t>
      </w:r>
      <w:r w:rsidR="00FD48BE">
        <w:rPr>
          <w:rFonts w:eastAsia="Arial"/>
        </w:rPr>
        <w:t xml:space="preserve">in some licences </w:t>
      </w:r>
      <w:r w:rsidR="00504FD2">
        <w:rPr>
          <w:rFonts w:eastAsia="Arial"/>
        </w:rPr>
        <w:t xml:space="preserve">indicating </w:t>
      </w:r>
      <w:r>
        <w:rPr>
          <w:rFonts w:eastAsia="Arial"/>
        </w:rPr>
        <w:t xml:space="preserve">that </w:t>
      </w:r>
      <w:r w:rsidR="00FD48BE">
        <w:rPr>
          <w:rFonts w:eastAsia="Arial"/>
        </w:rPr>
        <w:t>the</w:t>
      </w:r>
      <w:r>
        <w:rPr>
          <w:rFonts w:eastAsia="Arial"/>
        </w:rPr>
        <w:t xml:space="preserve"> licence may not be renewed</w:t>
      </w:r>
      <w:r w:rsidR="004D340F">
        <w:rPr>
          <w:rFonts w:eastAsia="Arial"/>
        </w:rPr>
        <w:t xml:space="preserve"> </w:t>
      </w:r>
      <w:r w:rsidR="00972FD8">
        <w:rPr>
          <w:rFonts w:eastAsia="Arial"/>
        </w:rPr>
        <w:t xml:space="preserve">so as </w:t>
      </w:r>
      <w:r w:rsidR="004D340F">
        <w:rPr>
          <w:rFonts w:eastAsia="Arial"/>
        </w:rPr>
        <w:t>to facilitate spectrum planning processes, or for licences</w:t>
      </w:r>
      <w:r w:rsidR="000706AB">
        <w:rPr>
          <w:rFonts w:eastAsia="Arial"/>
        </w:rPr>
        <w:t xml:space="preserve"> for specified short-term purposes where renewal is inappropriate. </w:t>
      </w:r>
    </w:p>
    <w:p w14:paraId="3036289C" w14:textId="37858A31" w:rsidR="0031172B" w:rsidRDefault="0031172B" w:rsidP="00D06349">
      <w:pPr>
        <w:pStyle w:val="Paragraph"/>
        <w:rPr>
          <w:rFonts w:eastAsia="Arial"/>
        </w:rPr>
      </w:pPr>
      <w:r w:rsidRPr="0031172B">
        <w:rPr>
          <w:rFonts w:eastAsia="Arial"/>
        </w:rPr>
        <w:t xml:space="preserve">In some </w:t>
      </w:r>
      <w:r w:rsidR="00A00700">
        <w:rPr>
          <w:rFonts w:eastAsia="Arial"/>
        </w:rPr>
        <w:t>rare</w:t>
      </w:r>
      <w:r w:rsidRPr="0031172B">
        <w:rPr>
          <w:rFonts w:eastAsia="Arial"/>
        </w:rPr>
        <w:t xml:space="preserve"> instances, it may be appropriate to specify circumstances that must be met for renewal to be considered. </w:t>
      </w:r>
      <w:r w:rsidR="008F080A">
        <w:rPr>
          <w:rFonts w:eastAsia="Arial"/>
        </w:rPr>
        <w:t xml:space="preserve">We expect this to </w:t>
      </w:r>
      <w:r w:rsidR="005B3F14">
        <w:rPr>
          <w:rFonts w:eastAsia="Arial"/>
        </w:rPr>
        <w:t>be limited to certain</w:t>
      </w:r>
      <w:r w:rsidR="008F080A">
        <w:rPr>
          <w:rFonts w:eastAsia="Arial"/>
        </w:rPr>
        <w:t xml:space="preserve"> long-term apparatus licences.</w:t>
      </w:r>
      <w:r w:rsidRPr="0031172B">
        <w:rPr>
          <w:rFonts w:eastAsia="Arial"/>
        </w:rPr>
        <w:t xml:space="preserve"> For example, we may only consider whether to renew a licence if the licensee has met a specified obligation during the licence tenure. By communicating the conditions that must be met for renewal to be considered, we can provide additional transparency around our decision-making process, and give licensees the </w:t>
      </w:r>
      <w:r w:rsidR="002D44D4">
        <w:rPr>
          <w:rFonts w:eastAsia="Arial"/>
        </w:rPr>
        <w:t xml:space="preserve">information </w:t>
      </w:r>
      <w:r w:rsidRPr="0031172B">
        <w:rPr>
          <w:rFonts w:eastAsia="Arial"/>
        </w:rPr>
        <w:t>to assess the likelihood of a future renewal.</w:t>
      </w:r>
    </w:p>
    <w:p w14:paraId="556D50C5" w14:textId="4A8DE561" w:rsidR="0078317A" w:rsidRPr="007777A8" w:rsidRDefault="0078317A" w:rsidP="00AE383B">
      <w:pPr>
        <w:pStyle w:val="Heading3"/>
        <w:rPr>
          <w:rFonts w:eastAsia="Arial"/>
        </w:rPr>
      </w:pPr>
      <w:bookmarkStart w:id="51" w:name="_Toc65835971"/>
      <w:r w:rsidRPr="007777A8">
        <w:rPr>
          <w:rFonts w:eastAsia="Arial"/>
        </w:rPr>
        <w:t xml:space="preserve">The power to </w:t>
      </w:r>
      <w:r w:rsidR="007944B1">
        <w:rPr>
          <w:rFonts w:eastAsia="Arial"/>
        </w:rPr>
        <w:t>include</w:t>
      </w:r>
      <w:r w:rsidR="007944B1" w:rsidRPr="007777A8">
        <w:rPr>
          <w:rFonts w:eastAsia="Arial"/>
        </w:rPr>
        <w:t xml:space="preserve"> </w:t>
      </w:r>
      <w:r w:rsidRPr="007777A8">
        <w:rPr>
          <w:rFonts w:eastAsia="Arial"/>
        </w:rPr>
        <w:t xml:space="preserve">renewal statements </w:t>
      </w:r>
      <w:r w:rsidR="007944B1">
        <w:rPr>
          <w:rFonts w:eastAsia="Arial"/>
        </w:rPr>
        <w:t>in</w:t>
      </w:r>
      <w:r w:rsidR="007944B1" w:rsidRPr="007777A8">
        <w:rPr>
          <w:rFonts w:eastAsia="Arial"/>
        </w:rPr>
        <w:t xml:space="preserve"> </w:t>
      </w:r>
      <w:r w:rsidRPr="007777A8">
        <w:rPr>
          <w:rFonts w:eastAsia="Arial"/>
        </w:rPr>
        <w:t>spectrum licences</w:t>
      </w:r>
      <w:bookmarkEnd w:id="51"/>
    </w:p>
    <w:p w14:paraId="60CCBC25" w14:textId="0BC73A73" w:rsidR="004964DB" w:rsidRPr="00AE383B" w:rsidRDefault="004964DB" w:rsidP="00AE383B">
      <w:pPr>
        <w:pStyle w:val="Paragraph"/>
        <w:rPr>
          <w:rFonts w:eastAsia="Arial"/>
        </w:rPr>
      </w:pPr>
      <w:r w:rsidRPr="00AE383B">
        <w:rPr>
          <w:rFonts w:eastAsia="Arial"/>
        </w:rPr>
        <w:t xml:space="preserve">Under </w:t>
      </w:r>
      <w:r w:rsidR="007944B1">
        <w:rPr>
          <w:rFonts w:eastAsia="Arial"/>
        </w:rPr>
        <w:t xml:space="preserve">new </w:t>
      </w:r>
      <w:r w:rsidRPr="00AE383B">
        <w:rPr>
          <w:rFonts w:eastAsia="Arial"/>
        </w:rPr>
        <w:t xml:space="preserve">section 65A of the Act, every spectrum licence must be issued with a renewal statement to the effect that the licence cannot be renewed, can be renewed at </w:t>
      </w:r>
      <w:r w:rsidR="00324EFC">
        <w:rPr>
          <w:rFonts w:eastAsia="Arial"/>
        </w:rPr>
        <w:t>our</w:t>
      </w:r>
      <w:r w:rsidRPr="00AE383B">
        <w:rPr>
          <w:rFonts w:eastAsia="Arial"/>
        </w:rPr>
        <w:t xml:space="preserve"> discretion, or can be renewed at </w:t>
      </w:r>
      <w:r w:rsidR="00324EFC">
        <w:rPr>
          <w:rFonts w:eastAsia="Arial"/>
        </w:rPr>
        <w:t xml:space="preserve">our discretion </w:t>
      </w:r>
      <w:r w:rsidRPr="00AE383B">
        <w:rPr>
          <w:rFonts w:eastAsia="Arial"/>
        </w:rPr>
        <w:t xml:space="preserve">so long as specified circumstances exist. As with apparatus licences, </w:t>
      </w:r>
      <w:r w:rsidR="00324EFC">
        <w:rPr>
          <w:rFonts w:eastAsia="Arial"/>
        </w:rPr>
        <w:t>we have</w:t>
      </w:r>
      <w:r w:rsidRPr="00AE383B">
        <w:rPr>
          <w:rFonts w:eastAsia="Arial"/>
        </w:rPr>
        <w:t xml:space="preserve"> the power to make a legislative instrument to determine that a specified class of spectrum licences </w:t>
      </w:r>
      <w:r w:rsidR="007944B1">
        <w:rPr>
          <w:rFonts w:eastAsia="Arial"/>
        </w:rPr>
        <w:t xml:space="preserve">are taken to include </w:t>
      </w:r>
      <w:r w:rsidRPr="00AE383B">
        <w:rPr>
          <w:rFonts w:eastAsia="Arial"/>
        </w:rPr>
        <w:t>a common renewal statement. If a spectrum licence has been issued with its own individual renewal statement, that statement will override any other statement that would apply under a legislative instrument made for that class of spectrum licences.</w:t>
      </w:r>
    </w:p>
    <w:p w14:paraId="295ABE65" w14:textId="3358D9A4" w:rsidR="004964DB" w:rsidRPr="009D0BDD" w:rsidRDefault="004964DB" w:rsidP="00AE383B">
      <w:pPr>
        <w:pStyle w:val="Paragraph"/>
        <w:rPr>
          <w:rFonts w:eastAsia="Arial"/>
        </w:rPr>
      </w:pPr>
      <w:r w:rsidRPr="000E12BA">
        <w:rPr>
          <w:rFonts w:eastAsia="Arial"/>
        </w:rPr>
        <w:t xml:space="preserve">Consistent with our established practices and our obligations under the </w:t>
      </w:r>
      <w:r w:rsidRPr="00AE383B">
        <w:rPr>
          <w:rFonts w:eastAsia="Arial"/>
        </w:rPr>
        <w:t>Legislation Act</w:t>
      </w:r>
      <w:r w:rsidRPr="000E12BA">
        <w:rPr>
          <w:rFonts w:eastAsia="Arial"/>
        </w:rPr>
        <w:t xml:space="preserve">, we will undertake both targeted and public consultation prior to making a legislative instrument to determine that a </w:t>
      </w:r>
      <w:r w:rsidRPr="00D5183C">
        <w:rPr>
          <w:rFonts w:eastAsia="Arial"/>
        </w:rPr>
        <w:t xml:space="preserve">common renewal statement applies to a specified class of spectrum licences. </w:t>
      </w:r>
    </w:p>
    <w:p w14:paraId="1946F233" w14:textId="0377F7BA" w:rsidR="004964DB" w:rsidRPr="009D0BDD" w:rsidRDefault="0085682A" w:rsidP="000A0561">
      <w:pPr>
        <w:pStyle w:val="Paragraphbeforelist"/>
        <w:keepNext/>
        <w:keepLines/>
        <w:rPr>
          <w:rFonts w:eastAsia="Arial"/>
        </w:rPr>
      </w:pPr>
      <w:r>
        <w:rPr>
          <w:rFonts w:eastAsia="Arial"/>
        </w:rPr>
        <w:lastRenderedPageBreak/>
        <w:t>New s</w:t>
      </w:r>
      <w:r w:rsidR="004964DB" w:rsidRPr="009D0BDD">
        <w:rPr>
          <w:rFonts w:eastAsia="Arial"/>
        </w:rPr>
        <w:t>ubsection</w:t>
      </w:r>
      <w:r w:rsidR="00200B18">
        <w:rPr>
          <w:rFonts w:eastAsia="Arial"/>
        </w:rPr>
        <w:t>s</w:t>
      </w:r>
      <w:r w:rsidR="004964DB" w:rsidRPr="009D0BDD">
        <w:rPr>
          <w:rFonts w:eastAsia="Arial"/>
        </w:rPr>
        <w:t xml:space="preserve"> 65A(1) of the Act as amended, as well </w:t>
      </w:r>
      <w:r w:rsidR="00DD2D99">
        <w:rPr>
          <w:rFonts w:eastAsia="Arial"/>
        </w:rPr>
        <w:t xml:space="preserve">as </w:t>
      </w:r>
      <w:r w:rsidR="004964DB" w:rsidRPr="009D0BDD">
        <w:rPr>
          <w:rFonts w:eastAsia="Arial"/>
        </w:rPr>
        <w:t>transitional arrangements under</w:t>
      </w:r>
      <w:r w:rsidR="00E779DF">
        <w:rPr>
          <w:rFonts w:eastAsia="Arial"/>
        </w:rPr>
        <w:t xml:space="preserve"> new</w:t>
      </w:r>
      <w:r w:rsidR="004964DB" w:rsidRPr="009D0BDD">
        <w:rPr>
          <w:rFonts w:eastAsia="Arial"/>
        </w:rPr>
        <w:t xml:space="preserve"> subsection 65A(21) of the Act, provide that spectrum licences</w:t>
      </w:r>
      <w:r w:rsidR="00DD2D99">
        <w:rPr>
          <w:rFonts w:eastAsia="Arial"/>
        </w:rPr>
        <w:t xml:space="preserve"> are not required to </w:t>
      </w:r>
      <w:r w:rsidR="00DD2D99" w:rsidRPr="00AE383B">
        <w:rPr>
          <w:rFonts w:eastAsia="Arial"/>
        </w:rPr>
        <w:t>include a renewal statement</w:t>
      </w:r>
      <w:r w:rsidR="00DD2D99">
        <w:rPr>
          <w:rStyle w:val="FootnoteReference"/>
          <w:rFonts w:eastAsia="Arial"/>
        </w:rPr>
        <w:footnoteReference w:id="12"/>
      </w:r>
      <w:r w:rsidR="00DD2D99">
        <w:rPr>
          <w:rFonts w:eastAsia="Arial"/>
        </w:rPr>
        <w:t xml:space="preserve"> if</w:t>
      </w:r>
      <w:r w:rsidR="004964DB" w:rsidRPr="009D0BDD">
        <w:rPr>
          <w:rFonts w:eastAsia="Arial"/>
        </w:rPr>
        <w:t>:</w:t>
      </w:r>
    </w:p>
    <w:p w14:paraId="51C64945" w14:textId="44E98B8F" w:rsidR="004964DB" w:rsidRPr="00AE383B" w:rsidRDefault="00DD2D99" w:rsidP="000A0561">
      <w:pPr>
        <w:pStyle w:val="Bulletlevel1"/>
        <w:keepNext/>
        <w:keepLines/>
        <w:rPr>
          <w:rFonts w:eastAsia="Arial"/>
        </w:rPr>
      </w:pPr>
      <w:r>
        <w:rPr>
          <w:rFonts w:eastAsia="Arial"/>
        </w:rPr>
        <w:t xml:space="preserve">they are </w:t>
      </w:r>
      <w:r w:rsidR="004964DB" w:rsidRPr="00AE383B">
        <w:rPr>
          <w:rFonts w:eastAsia="Arial"/>
        </w:rPr>
        <w:t>issued prior to commencement of the relevant sections of the Modernisation Act</w:t>
      </w:r>
    </w:p>
    <w:p w14:paraId="3EF5C57E" w14:textId="2C674A9A" w:rsidR="004964DB" w:rsidRPr="00AE383B" w:rsidRDefault="00F22945" w:rsidP="000A0561">
      <w:pPr>
        <w:pStyle w:val="Bulletlevel1"/>
        <w:keepNext/>
        <w:keepLines/>
        <w:rPr>
          <w:rFonts w:eastAsia="Arial"/>
        </w:rPr>
      </w:pPr>
      <w:r>
        <w:rPr>
          <w:rFonts w:eastAsia="Arial"/>
        </w:rPr>
        <w:t xml:space="preserve">they are issued in line with </w:t>
      </w:r>
      <w:r w:rsidR="00DD2D99">
        <w:rPr>
          <w:rFonts w:eastAsia="Arial"/>
        </w:rPr>
        <w:t>a m</w:t>
      </w:r>
      <w:r w:rsidR="004964DB" w:rsidRPr="00AE383B">
        <w:rPr>
          <w:rFonts w:eastAsia="Arial"/>
        </w:rPr>
        <w:t>arketing plan made prior to the commencement of the relevant section</w:t>
      </w:r>
      <w:r w:rsidR="004F0E11">
        <w:rPr>
          <w:rFonts w:eastAsia="Arial"/>
        </w:rPr>
        <w:t>s</w:t>
      </w:r>
      <w:r w:rsidR="004964DB" w:rsidRPr="00AE383B">
        <w:rPr>
          <w:rFonts w:eastAsia="Arial"/>
        </w:rPr>
        <w:t xml:space="preserve"> of the Modernisation Act </w:t>
      </w:r>
    </w:p>
    <w:p w14:paraId="2C3FF8C4" w14:textId="19133F0A" w:rsidR="00CD420D" w:rsidRDefault="00DD2D99" w:rsidP="00C43FF7">
      <w:pPr>
        <w:pStyle w:val="Bulletlevel1last"/>
        <w:rPr>
          <w:rFonts w:eastAsia="Arial"/>
        </w:rPr>
      </w:pPr>
      <w:r>
        <w:rPr>
          <w:rFonts w:eastAsia="Arial"/>
        </w:rPr>
        <w:t xml:space="preserve">they are </w:t>
      </w:r>
      <w:r w:rsidR="004964DB" w:rsidRPr="00AE383B">
        <w:rPr>
          <w:rFonts w:eastAsia="Arial"/>
        </w:rPr>
        <w:t>issued as the result of an offer made under the repealed section 56 of the Act (that is, conversion of apparatus licences into a spectrum licence)</w:t>
      </w:r>
      <w:r>
        <w:rPr>
          <w:rFonts w:eastAsia="Arial"/>
        </w:rPr>
        <w:t xml:space="preserve">. </w:t>
      </w:r>
    </w:p>
    <w:p w14:paraId="055AB14B" w14:textId="6BA4BE3C" w:rsidR="004964DB" w:rsidRDefault="004964DB" w:rsidP="00A47BEC">
      <w:pPr>
        <w:pStyle w:val="Paragraph"/>
        <w:rPr>
          <w:rFonts w:eastAsia="Arial"/>
        </w:rPr>
      </w:pPr>
      <w:r w:rsidRPr="00AE383B">
        <w:rPr>
          <w:rFonts w:eastAsia="Arial"/>
        </w:rPr>
        <w:t>However, we are required to include renewal statements in any spectrum licence that is renewed after the commencement of the relevant sections of the Modernisation Act.</w:t>
      </w:r>
    </w:p>
    <w:p w14:paraId="7BDC9806" w14:textId="56B86429" w:rsidR="001835E9" w:rsidRPr="007777A8" w:rsidRDefault="001835E9" w:rsidP="00AE383B">
      <w:pPr>
        <w:pStyle w:val="Heading4"/>
        <w:rPr>
          <w:rFonts w:eastAsia="Arial"/>
        </w:rPr>
      </w:pPr>
      <w:r w:rsidRPr="007777A8">
        <w:rPr>
          <w:rFonts w:eastAsia="Arial"/>
        </w:rPr>
        <w:t xml:space="preserve">How </w:t>
      </w:r>
      <w:r w:rsidR="00DD2D99">
        <w:rPr>
          <w:rFonts w:eastAsia="Arial"/>
        </w:rPr>
        <w:t xml:space="preserve">we </w:t>
      </w:r>
      <w:r w:rsidRPr="007777A8">
        <w:rPr>
          <w:rFonts w:eastAsia="Arial"/>
        </w:rPr>
        <w:t>will use renewal statements for spectrum licences</w:t>
      </w:r>
    </w:p>
    <w:p w14:paraId="51E0A926" w14:textId="6FD4E04F" w:rsidR="00164DF3" w:rsidRPr="007777A8" w:rsidRDefault="00B93D97" w:rsidP="00AE383B">
      <w:pPr>
        <w:pStyle w:val="Paragraph"/>
        <w:rPr>
          <w:rFonts w:eastAsia="Arial"/>
        </w:rPr>
      </w:pPr>
      <w:r>
        <w:rPr>
          <w:rFonts w:eastAsia="Arial"/>
        </w:rPr>
        <w:t>W</w:t>
      </w:r>
      <w:r w:rsidR="00164DF3" w:rsidRPr="007777A8">
        <w:rPr>
          <w:rFonts w:eastAsia="Arial"/>
        </w:rPr>
        <w:t>e generally intend to</w:t>
      </w:r>
      <w:r w:rsidR="00164DF3" w:rsidRPr="007777A8" w:rsidDel="00515675">
        <w:rPr>
          <w:rFonts w:eastAsia="Arial"/>
        </w:rPr>
        <w:t xml:space="preserve"> </w:t>
      </w:r>
      <w:r w:rsidR="00164DF3" w:rsidRPr="007777A8">
        <w:rPr>
          <w:rFonts w:eastAsia="Arial"/>
        </w:rPr>
        <w:t xml:space="preserve">adopt the default position </w:t>
      </w:r>
      <w:r w:rsidR="00C04DAE">
        <w:rPr>
          <w:rFonts w:eastAsia="Arial"/>
        </w:rPr>
        <w:t>to include renewal statements in</w:t>
      </w:r>
      <w:r w:rsidR="00164DF3" w:rsidRPr="007777A8">
        <w:rPr>
          <w:rFonts w:eastAsia="Arial"/>
        </w:rPr>
        <w:t xml:space="preserve"> spectrum licences </w:t>
      </w:r>
      <w:r w:rsidR="00BA093D">
        <w:rPr>
          <w:rFonts w:eastAsia="Arial"/>
        </w:rPr>
        <w:t xml:space="preserve">that they </w:t>
      </w:r>
      <w:r w:rsidR="00164DF3" w:rsidRPr="007777A8">
        <w:rPr>
          <w:rFonts w:eastAsia="Arial"/>
        </w:rPr>
        <w:t>will be renewable</w:t>
      </w:r>
      <w:r w:rsidR="00164DF3" w:rsidRPr="007777A8" w:rsidDel="00642C8B">
        <w:rPr>
          <w:rFonts w:eastAsia="Arial"/>
        </w:rPr>
        <w:t xml:space="preserve"> </w:t>
      </w:r>
      <w:r w:rsidR="00164DF3" w:rsidRPr="007777A8">
        <w:rPr>
          <w:rFonts w:eastAsia="Arial"/>
        </w:rPr>
        <w:t>at our discretion. This arrangement takes into account</w:t>
      </w:r>
      <w:r w:rsidR="00164DF3" w:rsidRPr="007777A8" w:rsidDel="00F135B2">
        <w:rPr>
          <w:rFonts w:eastAsia="Arial"/>
        </w:rPr>
        <w:t xml:space="preserve"> </w:t>
      </w:r>
      <w:r w:rsidR="00164DF3" w:rsidRPr="007777A8">
        <w:rPr>
          <w:rFonts w:eastAsia="Arial"/>
        </w:rPr>
        <w:t>the</w:t>
      </w:r>
      <w:r w:rsidR="00970609">
        <w:rPr>
          <w:rFonts w:eastAsia="Arial"/>
        </w:rPr>
        <w:t xml:space="preserve"> anticipated</w:t>
      </w:r>
      <w:r w:rsidR="00164DF3" w:rsidRPr="007777A8">
        <w:rPr>
          <w:rFonts w:eastAsia="Arial"/>
        </w:rPr>
        <w:t xml:space="preserve"> long tenures of spectrum licences and the prospect that technological advancements and market evolutions may influence changes in spectrum demand and efficiency, and consequently, the value of the spectrum across the licence tenure. </w:t>
      </w:r>
    </w:p>
    <w:p w14:paraId="2537A278" w14:textId="77777777" w:rsidR="0093293B" w:rsidRDefault="00164DF3" w:rsidP="00AE383B">
      <w:pPr>
        <w:pStyle w:val="Paragraph"/>
        <w:rPr>
          <w:rFonts w:eastAsia="Arial"/>
        </w:rPr>
      </w:pPr>
      <w:r w:rsidRPr="007777A8">
        <w:rPr>
          <w:rFonts w:eastAsia="Arial"/>
        </w:rPr>
        <w:t xml:space="preserve">Discretion to renew spectrum licences grants us the flexibility to, near the end of a licence term, assess the maximum public benefit use of the spectrum to determine whether it is most beneficial to renew the licence, return the spectrum to the market or reserve the spectrum for future use (or to manage interference issues). For example, we may decide not to renew a spectrum licence in order to reconfigure or restack a band, or to test the market to ensure that use of the spectrum continues to maximise the public benefit and value derived from the spectrum. </w:t>
      </w:r>
    </w:p>
    <w:p w14:paraId="49C940EF" w14:textId="352AF2BB" w:rsidR="00A47BEC" w:rsidRPr="00AE383B" w:rsidRDefault="0093293B" w:rsidP="00AE383B">
      <w:pPr>
        <w:pStyle w:val="Paragraph"/>
        <w:rPr>
          <w:rFonts w:eastAsia="Arial"/>
        </w:rPr>
      </w:pPr>
      <w:r>
        <w:rPr>
          <w:rFonts w:eastAsia="Arial"/>
        </w:rPr>
        <w:t xml:space="preserve">In some </w:t>
      </w:r>
      <w:r w:rsidR="00A0230C">
        <w:rPr>
          <w:rFonts w:eastAsia="Arial"/>
        </w:rPr>
        <w:t>rare</w:t>
      </w:r>
      <w:r>
        <w:rPr>
          <w:rFonts w:eastAsia="Arial"/>
        </w:rPr>
        <w:t xml:space="preserve"> instances, it may be appropriate to </w:t>
      </w:r>
      <w:r w:rsidR="00732552">
        <w:rPr>
          <w:rFonts w:eastAsia="Arial"/>
        </w:rPr>
        <w:t xml:space="preserve">specify circumstances that must be met for renewal to be considered. For example, </w:t>
      </w:r>
      <w:r w:rsidR="00B5070D">
        <w:rPr>
          <w:rFonts w:eastAsia="Arial"/>
        </w:rPr>
        <w:t>we may only consider renew</w:t>
      </w:r>
      <w:r w:rsidR="002F1DE7">
        <w:rPr>
          <w:rFonts w:eastAsia="Arial"/>
        </w:rPr>
        <w:t>ing</w:t>
      </w:r>
      <w:r w:rsidR="00B5070D">
        <w:rPr>
          <w:rFonts w:eastAsia="Arial"/>
        </w:rPr>
        <w:t xml:space="preserve"> a licence if the licensee has met a specified</w:t>
      </w:r>
      <w:r w:rsidR="002440EF">
        <w:rPr>
          <w:rFonts w:eastAsia="Arial"/>
        </w:rPr>
        <w:t xml:space="preserve"> obligation </w:t>
      </w:r>
      <w:r w:rsidR="00B5070D">
        <w:rPr>
          <w:rFonts w:eastAsia="Arial"/>
        </w:rPr>
        <w:t>during the licence tenure.</w:t>
      </w:r>
      <w:r w:rsidR="00732552">
        <w:rPr>
          <w:rFonts w:eastAsia="Arial"/>
        </w:rPr>
        <w:t xml:space="preserve"> </w:t>
      </w:r>
      <w:r w:rsidR="00164DF3" w:rsidRPr="007777A8">
        <w:rPr>
          <w:rFonts w:eastAsia="Arial"/>
        </w:rPr>
        <w:t>By communicating the conditions that must be met for renewal to be considered, we can provide additional transparency around our decision-making process, and give licensees the tools to assess the likelihood of a future renewal.</w:t>
      </w:r>
      <w:r w:rsidR="00F46B93">
        <w:rPr>
          <w:rFonts w:eastAsia="Arial"/>
        </w:rPr>
        <w:t xml:space="preserve"> </w:t>
      </w:r>
    </w:p>
    <w:p w14:paraId="5B871D9D" w14:textId="06C84A11" w:rsidR="004A6336" w:rsidRPr="007777A8" w:rsidRDefault="004A6336" w:rsidP="00AE383B">
      <w:pPr>
        <w:pStyle w:val="Heading3"/>
        <w:rPr>
          <w:rFonts w:eastAsia="Arial"/>
        </w:rPr>
      </w:pPr>
      <w:bookmarkStart w:id="52" w:name="_Toc65835972"/>
      <w:r w:rsidRPr="007777A8">
        <w:rPr>
          <w:rFonts w:eastAsia="Arial"/>
        </w:rPr>
        <w:t xml:space="preserve">The power to </w:t>
      </w:r>
      <w:r w:rsidR="00C90FD4">
        <w:rPr>
          <w:rFonts w:eastAsia="Arial"/>
        </w:rPr>
        <w:t>include</w:t>
      </w:r>
      <w:r w:rsidR="00C90FD4" w:rsidRPr="007777A8">
        <w:rPr>
          <w:rFonts w:eastAsia="Arial"/>
        </w:rPr>
        <w:t xml:space="preserve"> </w:t>
      </w:r>
      <w:r w:rsidRPr="007777A8">
        <w:rPr>
          <w:rFonts w:eastAsia="Arial"/>
        </w:rPr>
        <w:t>public interest statements</w:t>
      </w:r>
      <w:bookmarkEnd w:id="52"/>
    </w:p>
    <w:p w14:paraId="0844B39C" w14:textId="4ABC00F0" w:rsidR="009A337D" w:rsidRDefault="009725FC" w:rsidP="002F1DE7">
      <w:pPr>
        <w:pStyle w:val="Paragraphbeforelist"/>
        <w:rPr>
          <w:rFonts w:eastAsia="Arial"/>
        </w:rPr>
      </w:pPr>
      <w:r w:rsidRPr="00AE383B">
        <w:rPr>
          <w:rFonts w:eastAsia="Arial"/>
        </w:rPr>
        <w:t>To promote the public benefits of spectrum in line with the object of the Act</w:t>
      </w:r>
      <w:r w:rsidR="00226BB1">
        <w:rPr>
          <w:rStyle w:val="FootnoteReference"/>
          <w:rFonts w:eastAsia="Arial"/>
        </w:rPr>
        <w:footnoteReference w:id="13"/>
      </w:r>
      <w:r w:rsidRPr="00AE383B">
        <w:rPr>
          <w:rFonts w:eastAsia="Arial"/>
        </w:rPr>
        <w:t xml:space="preserve">, </w:t>
      </w:r>
      <w:r w:rsidR="003B1385">
        <w:rPr>
          <w:rFonts w:eastAsia="Arial"/>
        </w:rPr>
        <w:t>t</w:t>
      </w:r>
      <w:r w:rsidR="00E92B3A">
        <w:rPr>
          <w:rFonts w:eastAsia="Arial"/>
        </w:rPr>
        <w:t xml:space="preserve">he Modernisation Act requires us </w:t>
      </w:r>
      <w:r w:rsidR="00151B9B">
        <w:rPr>
          <w:rFonts w:eastAsia="Arial"/>
        </w:rPr>
        <w:t xml:space="preserve">to be </w:t>
      </w:r>
      <w:r w:rsidR="00151B9B" w:rsidRPr="00AE383B">
        <w:rPr>
          <w:rFonts w:eastAsia="Arial"/>
        </w:rPr>
        <w:t>satisfied that it is in the public interest</w:t>
      </w:r>
      <w:r w:rsidR="009A337D">
        <w:rPr>
          <w:rFonts w:eastAsia="Arial"/>
        </w:rPr>
        <w:t xml:space="preserve"> to renew certain licences, including:</w:t>
      </w:r>
    </w:p>
    <w:p w14:paraId="0F804332" w14:textId="38E40E77" w:rsidR="009A337D" w:rsidRDefault="00151B9B" w:rsidP="00AE383B">
      <w:pPr>
        <w:pStyle w:val="Bulletlevel1"/>
        <w:rPr>
          <w:rFonts w:eastAsia="Arial"/>
        </w:rPr>
      </w:pPr>
      <w:r w:rsidRPr="009A337D">
        <w:rPr>
          <w:rFonts w:eastAsia="Arial"/>
        </w:rPr>
        <w:t xml:space="preserve">if the licence term for the renewed apparatus or spectrum licence </w:t>
      </w:r>
      <w:r w:rsidR="00D131F0">
        <w:rPr>
          <w:rFonts w:eastAsia="Arial"/>
        </w:rPr>
        <w:t xml:space="preserve">is </w:t>
      </w:r>
      <w:r w:rsidRPr="009A337D">
        <w:rPr>
          <w:rFonts w:eastAsia="Arial"/>
        </w:rPr>
        <w:t>to be 10 years or longer</w:t>
      </w:r>
      <w:r w:rsidR="009A337D">
        <w:rPr>
          <w:rFonts w:eastAsia="Arial"/>
        </w:rPr>
        <w:t>, or</w:t>
      </w:r>
    </w:p>
    <w:p w14:paraId="6F416DA8" w14:textId="457AEFFD" w:rsidR="00953BEA" w:rsidRPr="00374B66" w:rsidRDefault="001C5A74" w:rsidP="002F1DE7">
      <w:pPr>
        <w:pStyle w:val="Bulletlevel1last"/>
        <w:rPr>
          <w:rFonts w:eastAsia="Arial"/>
        </w:rPr>
      </w:pPr>
      <w:r w:rsidRPr="009A337D">
        <w:rPr>
          <w:rFonts w:eastAsia="Arial"/>
        </w:rPr>
        <w:t>if the relevant licence includes a public interest statement</w:t>
      </w:r>
      <w:r w:rsidR="00151B9B" w:rsidRPr="009A337D">
        <w:rPr>
          <w:rFonts w:eastAsia="Arial"/>
        </w:rPr>
        <w:t>.</w:t>
      </w:r>
      <w:r w:rsidR="00151B9B">
        <w:rPr>
          <w:rStyle w:val="FootnoteReference"/>
          <w:rFonts w:eastAsia="Arial"/>
        </w:rPr>
        <w:footnoteReference w:id="14"/>
      </w:r>
      <w:r w:rsidR="00151B9B" w:rsidRPr="009A337D">
        <w:rPr>
          <w:rFonts w:eastAsia="Arial"/>
        </w:rPr>
        <w:t xml:space="preserve"> </w:t>
      </w:r>
    </w:p>
    <w:p w14:paraId="47A493D3" w14:textId="49808BE1" w:rsidR="00F53CB4" w:rsidRDefault="00151B9B" w:rsidP="00AE383B">
      <w:pPr>
        <w:pStyle w:val="Paragraph"/>
        <w:rPr>
          <w:rFonts w:eastAsia="Arial"/>
        </w:rPr>
      </w:pPr>
      <w:r w:rsidRPr="00AE383B">
        <w:rPr>
          <w:rFonts w:eastAsia="Arial"/>
        </w:rPr>
        <w:t xml:space="preserve">For example, if a licensee applies for renewal of a spectrum licence that does not include a public interest statement (for example, spectrum or apparatus licences </w:t>
      </w:r>
      <w:r w:rsidRPr="00AE383B">
        <w:rPr>
          <w:rFonts w:eastAsia="Arial"/>
        </w:rPr>
        <w:lastRenderedPageBreak/>
        <w:t xml:space="preserve">issued prior to the relevant parts of the Modernisation Act coming into effect) for a period of 10 years or longer, we </w:t>
      </w:r>
      <w:r w:rsidRPr="009725FC">
        <w:rPr>
          <w:rFonts w:eastAsia="Arial"/>
        </w:rPr>
        <w:t>will</w:t>
      </w:r>
      <w:r w:rsidRPr="00AE383B">
        <w:rPr>
          <w:rFonts w:eastAsia="Arial"/>
        </w:rPr>
        <w:t xml:space="preserve"> have to determine whether renewal of that licence </w:t>
      </w:r>
      <w:r>
        <w:rPr>
          <w:rFonts w:eastAsia="Arial"/>
        </w:rPr>
        <w:t xml:space="preserve">for that period </w:t>
      </w:r>
      <w:r w:rsidRPr="00AE383B">
        <w:rPr>
          <w:rFonts w:eastAsia="Arial"/>
        </w:rPr>
        <w:t>is in the public interest.</w:t>
      </w:r>
      <w:r w:rsidR="002F1DE7">
        <w:rPr>
          <w:rFonts w:eastAsia="Arial"/>
        </w:rPr>
        <w:t xml:space="preserve"> </w:t>
      </w:r>
      <w:r w:rsidR="00141B84">
        <w:rPr>
          <w:rFonts w:eastAsia="Arial"/>
        </w:rPr>
        <w:t xml:space="preserve">Alternatively, if a licence includes a renewal statement and </w:t>
      </w:r>
      <w:r w:rsidR="0050053A">
        <w:rPr>
          <w:rFonts w:eastAsia="Arial"/>
        </w:rPr>
        <w:t xml:space="preserve">is to be renewed for a period of less than 10 years, </w:t>
      </w:r>
      <w:r w:rsidR="00E81CC3">
        <w:rPr>
          <w:rFonts w:eastAsia="Arial"/>
        </w:rPr>
        <w:t>we will also have to determine whether renewal of that licence is in the public interest.</w:t>
      </w:r>
    </w:p>
    <w:p w14:paraId="49C45CEF" w14:textId="33D7C99E" w:rsidR="009725FC" w:rsidRPr="00AE383B" w:rsidRDefault="009725FC" w:rsidP="00AE383B">
      <w:pPr>
        <w:pStyle w:val="Paragraph"/>
        <w:rPr>
          <w:rFonts w:eastAsia="Arial"/>
        </w:rPr>
      </w:pPr>
      <w:r w:rsidRPr="000E12BA">
        <w:rPr>
          <w:rFonts w:eastAsia="Arial"/>
        </w:rPr>
        <w:t>The public interest test is designed to ensure that spectrum is used efficiently</w:t>
      </w:r>
      <w:r w:rsidRPr="00D5183C">
        <w:rPr>
          <w:rFonts w:eastAsia="Arial"/>
        </w:rPr>
        <w:t xml:space="preserve">, by preventing it from being locked up in uses that no longer offer the highest value or the maximum </w:t>
      </w:r>
      <w:r w:rsidRPr="009D0BDD">
        <w:rPr>
          <w:rFonts w:eastAsia="Arial"/>
        </w:rPr>
        <w:t xml:space="preserve">public benefit. It is a tool for us to analyse the potential benefits that renewal of a licence may offer to the </w:t>
      </w:r>
      <w:r w:rsidR="00226BB1" w:rsidRPr="009D0BDD">
        <w:rPr>
          <w:rFonts w:eastAsia="Arial"/>
        </w:rPr>
        <w:t>long-term</w:t>
      </w:r>
      <w:r w:rsidRPr="00CB3806">
        <w:rPr>
          <w:rFonts w:eastAsia="Arial"/>
        </w:rPr>
        <w:t xml:space="preserve"> public interest, consistent with the object of the Act.</w:t>
      </w:r>
    </w:p>
    <w:p w14:paraId="0D2E1612" w14:textId="2A4FF7E3" w:rsidR="009725FC" w:rsidRDefault="009725FC" w:rsidP="00AE383B">
      <w:pPr>
        <w:pStyle w:val="Paragraph"/>
        <w:rPr>
          <w:rFonts w:eastAsia="Arial"/>
        </w:rPr>
      </w:pPr>
      <w:r w:rsidRPr="00AE383B">
        <w:rPr>
          <w:rFonts w:eastAsia="Arial"/>
        </w:rPr>
        <w:t>For apparatus licences, we may only include a public interest statement for licences with a renewal statement that we may renew at our discretion as long as specified circumstances exist.</w:t>
      </w:r>
      <w:r w:rsidR="00226BB1">
        <w:rPr>
          <w:rStyle w:val="FootnoteReference"/>
          <w:rFonts w:eastAsia="Arial"/>
        </w:rPr>
        <w:footnoteReference w:id="15"/>
      </w:r>
      <w:r w:rsidR="0047705F">
        <w:rPr>
          <w:rFonts w:eastAsia="Arial"/>
        </w:rPr>
        <w:t xml:space="preserve"> </w:t>
      </w:r>
    </w:p>
    <w:p w14:paraId="0413EA63" w14:textId="785E7408" w:rsidR="00F45773" w:rsidRDefault="00F45773" w:rsidP="00F45773">
      <w:pPr>
        <w:pStyle w:val="Paragraph"/>
        <w:rPr>
          <w:rFonts w:eastAsia="Arial"/>
        </w:rPr>
      </w:pPr>
      <w:r>
        <w:rPr>
          <w:rFonts w:eastAsia="Arial"/>
        </w:rPr>
        <w:t xml:space="preserve">We note that the Act provides us with broad discretion to renew licences, </w:t>
      </w:r>
      <w:r w:rsidR="00C25216">
        <w:rPr>
          <w:rFonts w:eastAsia="Arial"/>
        </w:rPr>
        <w:t xml:space="preserve">and </w:t>
      </w:r>
      <w:r w:rsidR="00846AC5">
        <w:rPr>
          <w:rFonts w:eastAsia="Arial"/>
        </w:rPr>
        <w:t>that in some circumstances</w:t>
      </w:r>
      <w:r w:rsidR="002F1DE7">
        <w:rPr>
          <w:rFonts w:eastAsia="Arial"/>
        </w:rPr>
        <w:t>,</w:t>
      </w:r>
      <w:r w:rsidR="00BA1F37">
        <w:rPr>
          <w:rFonts w:eastAsia="Arial"/>
        </w:rPr>
        <w:t xml:space="preserve"> </w:t>
      </w:r>
      <w:r w:rsidR="002A64CE">
        <w:rPr>
          <w:rFonts w:eastAsia="Arial"/>
        </w:rPr>
        <w:t>even where no public interest statement applies to the licence</w:t>
      </w:r>
      <w:r w:rsidR="00846AC5">
        <w:rPr>
          <w:rFonts w:eastAsia="Arial"/>
        </w:rPr>
        <w:t xml:space="preserve">, it may be appropriate to seek the views of parties other than </w:t>
      </w:r>
      <w:r w:rsidR="00755784">
        <w:rPr>
          <w:rFonts w:eastAsia="Arial"/>
        </w:rPr>
        <w:t xml:space="preserve">the </w:t>
      </w:r>
      <w:r w:rsidR="00846AC5">
        <w:rPr>
          <w:rFonts w:eastAsia="Arial"/>
        </w:rPr>
        <w:t xml:space="preserve">licensee to assist in determining whether renewal of a licence is appropriate and in the public interest. </w:t>
      </w:r>
    </w:p>
    <w:p w14:paraId="3C1155EE" w14:textId="55388C27" w:rsidR="009725FC" w:rsidRPr="000E12BA" w:rsidRDefault="009725FC" w:rsidP="00AE383B">
      <w:pPr>
        <w:pStyle w:val="Paragraph"/>
        <w:rPr>
          <w:rFonts w:eastAsia="Arial"/>
        </w:rPr>
      </w:pPr>
      <w:r w:rsidRPr="00D5183C">
        <w:rPr>
          <w:rFonts w:eastAsia="Arial"/>
        </w:rPr>
        <w:t xml:space="preserve">For spectrum licences, we may include a public interest statement in instances where a licence has been issued with a renewal </w:t>
      </w:r>
      <w:r w:rsidRPr="009D0BDD">
        <w:rPr>
          <w:rFonts w:eastAsia="Arial"/>
        </w:rPr>
        <w:t>statement that the licence may be renewed either at our discretion or at our discretion when specified circumstances exist.</w:t>
      </w:r>
      <w:r w:rsidR="00226BB1">
        <w:rPr>
          <w:rStyle w:val="FootnoteReference"/>
          <w:rFonts w:eastAsia="Arial"/>
        </w:rPr>
        <w:footnoteReference w:id="16"/>
      </w:r>
    </w:p>
    <w:p w14:paraId="6F147E15" w14:textId="33334FC3" w:rsidR="00E47B85" w:rsidRPr="00E47B85" w:rsidRDefault="009725FC">
      <w:pPr>
        <w:pStyle w:val="Paragraph"/>
        <w:rPr>
          <w:rFonts w:eastAsia="Arial"/>
        </w:rPr>
      </w:pPr>
      <w:r w:rsidRPr="000E12BA">
        <w:rPr>
          <w:rFonts w:eastAsia="Arial"/>
        </w:rPr>
        <w:t xml:space="preserve">It is essential that we have </w:t>
      </w:r>
      <w:r w:rsidRPr="00D5183C">
        <w:rPr>
          <w:rFonts w:eastAsia="Arial"/>
        </w:rPr>
        <w:t>access to the right information to inform our decision</w:t>
      </w:r>
      <w:r w:rsidR="00A92466">
        <w:rPr>
          <w:rFonts w:eastAsia="Arial"/>
        </w:rPr>
        <w:t>-</w:t>
      </w:r>
      <w:r w:rsidRPr="00D5183C">
        <w:rPr>
          <w:rFonts w:eastAsia="Arial"/>
        </w:rPr>
        <w:t>making</w:t>
      </w:r>
      <w:r w:rsidRPr="009D0BDD">
        <w:rPr>
          <w:rFonts w:eastAsia="Arial"/>
        </w:rPr>
        <w:t>. To that end, we will have the discretion to use our information gathering powers under</w:t>
      </w:r>
      <w:r w:rsidR="00AA4284">
        <w:rPr>
          <w:rFonts w:eastAsia="Arial"/>
        </w:rPr>
        <w:t xml:space="preserve"> section 77B, section 129A and new</w:t>
      </w:r>
      <w:r w:rsidRPr="009D0BDD">
        <w:rPr>
          <w:rFonts w:eastAsia="Arial"/>
        </w:rPr>
        <w:t xml:space="preserve"> Part 5.5A of the Act </w:t>
      </w:r>
      <w:r w:rsidRPr="00CB3806">
        <w:rPr>
          <w:rFonts w:eastAsia="Arial"/>
        </w:rPr>
        <w:t>to solicit relevant information from licensees about their current and planned future uses of the spectrum</w:t>
      </w:r>
      <w:r w:rsidR="00226BB1">
        <w:rPr>
          <w:rStyle w:val="FootnoteReference"/>
          <w:rFonts w:eastAsia="Arial"/>
        </w:rPr>
        <w:footnoteReference w:id="17"/>
      </w:r>
      <w:r w:rsidR="00880EDF">
        <w:rPr>
          <w:rFonts w:eastAsia="Arial"/>
        </w:rPr>
        <w:t>,</w:t>
      </w:r>
      <w:r w:rsidRPr="000E12BA">
        <w:rPr>
          <w:rFonts w:eastAsia="Arial"/>
        </w:rPr>
        <w:t xml:space="preserve"> and to gather information needed as part of the licence renewal process through application forms.</w:t>
      </w:r>
    </w:p>
    <w:p w14:paraId="7254ED5B" w14:textId="099CE253" w:rsidR="007B2009" w:rsidRDefault="00270E52" w:rsidP="00AE383B">
      <w:pPr>
        <w:pStyle w:val="Heading4"/>
      </w:pPr>
      <w:r>
        <w:rPr>
          <w:rFonts w:eastAsia="Arial"/>
        </w:rPr>
        <w:t xml:space="preserve">The </w:t>
      </w:r>
      <w:r w:rsidR="00970C40">
        <w:rPr>
          <w:rFonts w:eastAsia="Arial"/>
        </w:rPr>
        <w:t xml:space="preserve">matters we </w:t>
      </w:r>
      <w:r>
        <w:rPr>
          <w:rFonts w:eastAsia="Arial"/>
        </w:rPr>
        <w:t xml:space="preserve">might </w:t>
      </w:r>
      <w:r w:rsidR="00970C40">
        <w:rPr>
          <w:rFonts w:eastAsia="Arial"/>
        </w:rPr>
        <w:t>consider when assessing public interest</w:t>
      </w:r>
    </w:p>
    <w:p w14:paraId="74D0897D" w14:textId="293A6973" w:rsidR="007621B2" w:rsidRDefault="00D35D47" w:rsidP="00C56B83">
      <w:pPr>
        <w:pStyle w:val="Paragraph"/>
      </w:pPr>
      <w:r>
        <w:t>Where public interest tests are required</w:t>
      </w:r>
      <w:r w:rsidR="00521E27">
        <w:t xml:space="preserve"> (that is, licences </w:t>
      </w:r>
      <w:r w:rsidR="00E6459B">
        <w:t>that include public interest statements</w:t>
      </w:r>
      <w:r w:rsidR="00521E27">
        <w:t xml:space="preserve"> and licences to be renewed for 10 years or longer)</w:t>
      </w:r>
      <w:r>
        <w:t xml:space="preserve">, we expect to undertake a public consultation process inviting stakeholders to make submissions on matters we should consider in evaluating whether the renewal of the relevant licences is in the public interest. </w:t>
      </w:r>
    </w:p>
    <w:p w14:paraId="0DAB3B66" w14:textId="12660FD1" w:rsidR="00980923" w:rsidRDefault="009A18D2" w:rsidP="00C56B83">
      <w:pPr>
        <w:pStyle w:val="Paragraph"/>
      </w:pPr>
      <w:r>
        <w:t>It is our intent that t</w:t>
      </w:r>
      <w:r w:rsidR="00671570">
        <w:t>h</w:t>
      </w:r>
      <w:r w:rsidR="004714DB">
        <w:t>e public interest</w:t>
      </w:r>
      <w:r w:rsidR="00671570">
        <w:t xml:space="preserve"> process would </w:t>
      </w:r>
      <w:r w:rsidR="00566DDD">
        <w:t xml:space="preserve">generally </w:t>
      </w:r>
      <w:r w:rsidR="00671570">
        <w:t>begin 5 years prior to licence expiry</w:t>
      </w:r>
      <w:r w:rsidR="008A174E">
        <w:t xml:space="preserve"> for long</w:t>
      </w:r>
      <w:r w:rsidR="002F1DE7">
        <w:t>-</w:t>
      </w:r>
      <w:r w:rsidR="008A174E">
        <w:t>term licences, and 2 years for medium</w:t>
      </w:r>
      <w:r w:rsidR="002F1DE7">
        <w:t>-</w:t>
      </w:r>
      <w:r w:rsidR="008A174E">
        <w:t>term licences</w:t>
      </w:r>
      <w:r w:rsidR="00852214">
        <w:t xml:space="preserve">. </w:t>
      </w:r>
    </w:p>
    <w:p w14:paraId="05CD5C3A" w14:textId="7DD024CA" w:rsidR="00303DFF" w:rsidRPr="00600BDF" w:rsidRDefault="00303DFF" w:rsidP="000A0561">
      <w:pPr>
        <w:pStyle w:val="Paragraphbeforelist"/>
      </w:pPr>
      <w:r>
        <w:rPr>
          <w:rFonts w:eastAsia="Arial"/>
        </w:rPr>
        <w:t xml:space="preserve">Examples of matters we may consider when </w:t>
      </w:r>
      <w:r w:rsidRPr="00995BCC">
        <w:rPr>
          <w:rFonts w:eastAsia="Arial"/>
        </w:rPr>
        <w:t xml:space="preserve">making a decision about the public interest </w:t>
      </w:r>
      <w:r>
        <w:rPr>
          <w:rFonts w:eastAsia="Arial"/>
        </w:rPr>
        <w:t>in</w:t>
      </w:r>
      <w:r w:rsidRPr="002B2B4C">
        <w:rPr>
          <w:rFonts w:eastAsia="Arial"/>
        </w:rPr>
        <w:t xml:space="preserve"> renewing a licence</w:t>
      </w:r>
      <w:r>
        <w:rPr>
          <w:rFonts w:eastAsia="Arial"/>
        </w:rPr>
        <w:t xml:space="preserve"> include</w:t>
      </w:r>
      <w:r w:rsidRPr="002C1AEB">
        <w:rPr>
          <w:rFonts w:eastAsia="Arial"/>
        </w:rPr>
        <w:t>:</w:t>
      </w:r>
    </w:p>
    <w:p w14:paraId="3257DEEF" w14:textId="77777777" w:rsidR="00303DFF" w:rsidRDefault="00303DFF" w:rsidP="000A0561">
      <w:pPr>
        <w:pStyle w:val="ListBullet"/>
      </w:pPr>
      <w:r>
        <w:t>The licence conditions of the current licence, and whether the licensee is proposing changes to the renewed licence (for example, a different location, or conducting new or additional activities).</w:t>
      </w:r>
    </w:p>
    <w:p w14:paraId="701043B3" w14:textId="77777777" w:rsidR="00303DFF" w:rsidRDefault="00303DFF" w:rsidP="000A0561">
      <w:pPr>
        <w:pStyle w:val="ListBullet"/>
      </w:pPr>
      <w:r>
        <w:t xml:space="preserve">Whether the incumbent licensee can demonstrate substantial investment and a history of </w:t>
      </w:r>
      <w:r w:rsidDel="008758FC">
        <w:t>long</w:t>
      </w:r>
      <w:r>
        <w:t>-term use of the relevant spectrum.</w:t>
      </w:r>
    </w:p>
    <w:p w14:paraId="3B0211CE" w14:textId="6B79296A" w:rsidR="00303DFF" w:rsidRDefault="00303DFF" w:rsidP="00303DFF">
      <w:pPr>
        <w:pStyle w:val="ListBullet"/>
      </w:pPr>
      <w:r>
        <w:lastRenderedPageBreak/>
        <w:t>E</w:t>
      </w:r>
      <w:r w:rsidRPr="0002598D">
        <w:t xml:space="preserve">vidence </w:t>
      </w:r>
      <w:r>
        <w:t>from replanning processes, that a greater public benefit will be derived from a change in use of the spectrum.</w:t>
      </w:r>
    </w:p>
    <w:p w14:paraId="5971D557" w14:textId="77777777" w:rsidR="00303DFF" w:rsidRDefault="00303DFF" w:rsidP="00303DFF">
      <w:pPr>
        <w:pStyle w:val="ListBullet"/>
      </w:pPr>
      <w:r>
        <w:t xml:space="preserve">Whether the incumbent licensees’ operations would be significantly compromised if the licence were not renewed, and potential flow on effects for relevant markets or sectors of the economy, balanced against evidence of competing demand for the spectrum from other potential users. </w:t>
      </w:r>
    </w:p>
    <w:p w14:paraId="7F124BB6" w14:textId="77777777" w:rsidR="00303DFF" w:rsidRDefault="00303DFF" w:rsidP="00303DFF">
      <w:pPr>
        <w:pStyle w:val="ListBullet"/>
      </w:pPr>
      <w:r>
        <w:t xml:space="preserve">Technological developments and changes to international arrangements (for example, International Telecommunication Union decisions about frequencies for mobile broadband devices). </w:t>
      </w:r>
    </w:p>
    <w:p w14:paraId="56D38335" w14:textId="5B1A1F35" w:rsidR="00303DFF" w:rsidRDefault="00303DFF" w:rsidP="002F1DE7">
      <w:pPr>
        <w:pStyle w:val="ListBulletLast"/>
      </w:pPr>
      <w:r>
        <w:t>Any overarching government policy consideration such as the cultural value of the licensed service or its importance as a national security or public safety asset.</w:t>
      </w:r>
    </w:p>
    <w:p w14:paraId="3A5F64CD" w14:textId="0217D60C" w:rsidR="00C56B83" w:rsidRPr="002F1DE7" w:rsidRDefault="00800D30" w:rsidP="002F1DE7">
      <w:pPr>
        <w:pStyle w:val="Paragraph"/>
      </w:pPr>
      <w:r>
        <w:t xml:space="preserve">We anticipate this process would occur </w:t>
      </w:r>
      <w:r w:rsidR="00357B4A">
        <w:t xml:space="preserve">in the period </w:t>
      </w:r>
      <w:r w:rsidR="002F1DE7">
        <w:t xml:space="preserve">5 </w:t>
      </w:r>
      <w:r w:rsidR="00CD1119">
        <w:t>year</w:t>
      </w:r>
      <w:r w:rsidR="007473E0">
        <w:t>s</w:t>
      </w:r>
      <w:r w:rsidR="00CD1119">
        <w:t xml:space="preserve"> </w:t>
      </w:r>
      <w:r w:rsidR="007473E0">
        <w:t>prior to expiry</w:t>
      </w:r>
      <w:r w:rsidR="0006382C">
        <w:t xml:space="preserve">, although </w:t>
      </w:r>
      <w:r w:rsidR="00F6789E">
        <w:t xml:space="preserve">it </w:t>
      </w:r>
      <w:r w:rsidR="0006382C">
        <w:t xml:space="preserve">may occur earlier for some licences </w:t>
      </w:r>
      <w:r w:rsidR="00E36EE9">
        <w:t>where</w:t>
      </w:r>
      <w:r w:rsidR="0006382C">
        <w:t xml:space="preserve"> </w:t>
      </w:r>
      <w:r w:rsidR="00554AD4">
        <w:t>a joint consultation process</w:t>
      </w:r>
      <w:r w:rsidR="00D663C6">
        <w:t xml:space="preserve"> </w:t>
      </w:r>
      <w:r w:rsidR="00E36EE9">
        <w:t>across one or more bands is appropriate</w:t>
      </w:r>
      <w:r w:rsidR="00E072ED">
        <w:t>. In such cases our proposed approach will</w:t>
      </w:r>
      <w:r w:rsidR="00D663C6">
        <w:t xml:space="preserve"> be </w:t>
      </w:r>
      <w:r w:rsidR="00A11347">
        <w:t>highlighted in our annual work program</w:t>
      </w:r>
      <w:r w:rsidR="007473E0">
        <w:t>.</w:t>
      </w:r>
      <w:r w:rsidR="00CD1119">
        <w:t xml:space="preserve"> </w:t>
      </w:r>
    </w:p>
    <w:p w14:paraId="39CB5BE0" w14:textId="77777777" w:rsidR="005A7B38" w:rsidRDefault="005A7B38" w:rsidP="00AE383B">
      <w:pPr>
        <w:pStyle w:val="Heading3"/>
        <w:rPr>
          <w:rFonts w:eastAsia="Arial"/>
        </w:rPr>
      </w:pPr>
      <w:bookmarkStart w:id="53" w:name="_Toc65835973"/>
      <w:r>
        <w:rPr>
          <w:rFonts w:eastAsia="Arial"/>
        </w:rPr>
        <w:t>The power to vary a renewal statement</w:t>
      </w:r>
      <w:bookmarkEnd w:id="53"/>
    </w:p>
    <w:p w14:paraId="20DF1E94" w14:textId="73326D0E" w:rsidR="003C3DB6" w:rsidRDefault="003C3DB6" w:rsidP="003C3DB6">
      <w:pPr>
        <w:pStyle w:val="Paragraph"/>
        <w:rPr>
          <w:rFonts w:eastAsia="Arial"/>
        </w:rPr>
      </w:pPr>
      <w:r>
        <w:rPr>
          <w:rFonts w:eastAsia="Arial" w:cstheme="minorHAnsi"/>
        </w:rPr>
        <w:t xml:space="preserve">The Act as amended allows </w:t>
      </w:r>
      <w:r w:rsidR="00781147">
        <w:rPr>
          <w:rFonts w:eastAsia="Arial" w:cstheme="minorHAnsi"/>
        </w:rPr>
        <w:t>for t</w:t>
      </w:r>
      <w:r w:rsidR="00324EFC">
        <w:rPr>
          <w:rFonts w:eastAsia="Arial" w:cstheme="minorHAnsi"/>
        </w:rPr>
        <w:t>he variation</w:t>
      </w:r>
      <w:r w:rsidR="001A4FA4">
        <w:rPr>
          <w:rFonts w:eastAsia="Arial" w:cstheme="minorHAnsi"/>
        </w:rPr>
        <w:t xml:space="preserve"> of</w:t>
      </w:r>
      <w:r>
        <w:rPr>
          <w:rFonts w:eastAsia="Arial" w:cstheme="minorHAnsi"/>
        </w:rPr>
        <w:t xml:space="preserve"> a renewal statement.</w:t>
      </w:r>
      <w:r>
        <w:rPr>
          <w:rStyle w:val="FootnoteReference"/>
          <w:rFonts w:eastAsia="Arial"/>
        </w:rPr>
        <w:footnoteReference w:id="18"/>
      </w:r>
      <w:r w:rsidDel="00C75445">
        <w:rPr>
          <w:rFonts w:eastAsia="Arial" w:cstheme="minorHAnsi"/>
        </w:rPr>
        <w:t xml:space="preserve"> </w:t>
      </w:r>
      <w:r>
        <w:rPr>
          <w:rFonts w:eastAsia="Arial" w:cstheme="minorHAnsi"/>
        </w:rPr>
        <w:t xml:space="preserve">For spectrum licences, we must </w:t>
      </w:r>
      <w:r w:rsidR="00A56F32">
        <w:rPr>
          <w:rFonts w:eastAsia="Arial" w:cstheme="minorHAnsi"/>
        </w:rPr>
        <w:t xml:space="preserve">generally </w:t>
      </w:r>
      <w:r>
        <w:rPr>
          <w:rFonts w:eastAsia="Arial" w:cstheme="minorHAnsi"/>
        </w:rPr>
        <w:t>obtain the licensee’s agreement before varying a renewal statement</w:t>
      </w:r>
      <w:r w:rsidRPr="00E81E95">
        <w:rPr>
          <w:rFonts w:eastAsia="Arial"/>
        </w:rPr>
        <w:t>.</w:t>
      </w:r>
      <w:r>
        <w:rPr>
          <w:rStyle w:val="FootnoteReference"/>
          <w:rFonts w:eastAsia="Arial"/>
        </w:rPr>
        <w:footnoteReference w:id="19"/>
      </w:r>
      <w:r w:rsidRPr="00E81E95">
        <w:rPr>
          <w:rFonts w:eastAsia="Arial"/>
        </w:rPr>
        <w:t xml:space="preserve"> </w:t>
      </w:r>
      <w:r>
        <w:rPr>
          <w:rFonts w:eastAsia="Arial"/>
        </w:rPr>
        <w:t>For apparatus licences, we may add, remove (without necessarily replacing), or vary a renewal statement included in a licence with or without the consent of the licensee.</w:t>
      </w:r>
      <w:r>
        <w:rPr>
          <w:rStyle w:val="FootnoteReference"/>
          <w:rFonts w:eastAsia="Arial"/>
        </w:rPr>
        <w:footnoteReference w:id="20"/>
      </w:r>
    </w:p>
    <w:p w14:paraId="2AA4E1C5" w14:textId="2CD79F0E" w:rsidR="003C3DB6" w:rsidRDefault="003C3DB6" w:rsidP="003C3DB6">
      <w:pPr>
        <w:pStyle w:val="Paragraph"/>
        <w:rPr>
          <w:rFonts w:eastAsia="Arial"/>
        </w:rPr>
      </w:pPr>
      <w:r w:rsidRPr="00E81E95">
        <w:rPr>
          <w:rFonts w:eastAsia="Arial"/>
        </w:rPr>
        <w:t xml:space="preserve">A decision to vary a renewal statement </w:t>
      </w:r>
      <w:r w:rsidR="006366A3">
        <w:rPr>
          <w:rFonts w:eastAsia="Arial"/>
        </w:rPr>
        <w:t xml:space="preserve">in an apparatus licence </w:t>
      </w:r>
      <w:r w:rsidRPr="00E81E95">
        <w:rPr>
          <w:rFonts w:eastAsia="Arial"/>
        </w:rPr>
        <w:t>without the agreement of the licensee is a reviewable decision</w:t>
      </w:r>
      <w:r>
        <w:rPr>
          <w:rFonts w:eastAsia="Arial"/>
        </w:rPr>
        <w:t xml:space="preserve"> under the Act.</w:t>
      </w:r>
      <w:r>
        <w:rPr>
          <w:rStyle w:val="FootnoteReference"/>
          <w:rFonts w:eastAsia="Arial"/>
        </w:rPr>
        <w:footnoteReference w:id="21"/>
      </w:r>
    </w:p>
    <w:p w14:paraId="04798284" w14:textId="586622F3" w:rsidR="00BB3ADB" w:rsidRDefault="00270E52" w:rsidP="00AE383B">
      <w:pPr>
        <w:pStyle w:val="Heading4"/>
        <w:rPr>
          <w:rFonts w:eastAsia="Arial"/>
        </w:rPr>
      </w:pPr>
      <w:r>
        <w:rPr>
          <w:rFonts w:eastAsia="Arial"/>
        </w:rPr>
        <w:t>C</w:t>
      </w:r>
      <w:r w:rsidR="00BB3ADB">
        <w:rPr>
          <w:rFonts w:eastAsia="Arial"/>
        </w:rPr>
        <w:t xml:space="preserve">ircumstances </w:t>
      </w:r>
      <w:r>
        <w:rPr>
          <w:rFonts w:eastAsia="Arial"/>
        </w:rPr>
        <w:t xml:space="preserve">under which we </w:t>
      </w:r>
      <w:r w:rsidR="00BB3ADB">
        <w:rPr>
          <w:rFonts w:eastAsia="Arial"/>
        </w:rPr>
        <w:t>would vary a renewal statement</w:t>
      </w:r>
    </w:p>
    <w:p w14:paraId="1ADAA78C" w14:textId="6F080745" w:rsidR="00E62FF9" w:rsidRDefault="00E528FC" w:rsidP="00DC7645">
      <w:pPr>
        <w:pStyle w:val="Paragraph"/>
        <w:rPr>
          <w:rFonts w:eastAsia="Arial"/>
        </w:rPr>
      </w:pPr>
      <w:r>
        <w:rPr>
          <w:rFonts w:eastAsia="Arial"/>
        </w:rPr>
        <w:t>Generally,</w:t>
      </w:r>
      <w:r w:rsidR="006F4125">
        <w:rPr>
          <w:rFonts w:eastAsia="Arial"/>
        </w:rPr>
        <w:t xml:space="preserve"> </w:t>
      </w:r>
      <w:r w:rsidR="00847961">
        <w:rPr>
          <w:rFonts w:eastAsia="Arial"/>
        </w:rPr>
        <w:t>variations to apparatus licence</w:t>
      </w:r>
      <w:r w:rsidR="00E05F29">
        <w:rPr>
          <w:rFonts w:eastAsia="Arial"/>
        </w:rPr>
        <w:t xml:space="preserve"> renewal statements </w:t>
      </w:r>
      <w:r>
        <w:rPr>
          <w:rFonts w:eastAsia="Arial"/>
        </w:rPr>
        <w:t>would occur as part of a broader update to the planning and technical arrangements for</w:t>
      </w:r>
      <w:r w:rsidR="00A430D7">
        <w:rPr>
          <w:rFonts w:eastAsia="Arial"/>
        </w:rPr>
        <w:t xml:space="preserve"> a part of the spectrum</w:t>
      </w:r>
      <w:r w:rsidR="007144DE">
        <w:rPr>
          <w:rFonts w:eastAsia="Arial"/>
        </w:rPr>
        <w:t xml:space="preserve">, as set out in a RALI. </w:t>
      </w:r>
      <w:r w:rsidR="00D82BF9">
        <w:rPr>
          <w:rFonts w:eastAsia="Arial"/>
        </w:rPr>
        <w:t xml:space="preserve">Consistent with our established practices, changes to RALIs are the subject of consultation, thus providing apparatus licences greater transparency in the reasons for the change, as well as an opportunity for affected licensees to </w:t>
      </w:r>
      <w:r w:rsidR="00653A76">
        <w:rPr>
          <w:rFonts w:eastAsia="Arial"/>
        </w:rPr>
        <w:t xml:space="preserve">inform the consideration of any change. </w:t>
      </w:r>
    </w:p>
    <w:p w14:paraId="1B86C887" w14:textId="7D09FF40" w:rsidR="00D96D72" w:rsidRPr="00D96D72" w:rsidRDefault="00D96D72" w:rsidP="004B4ED8">
      <w:pPr>
        <w:pStyle w:val="Heading2"/>
        <w:rPr>
          <w:rFonts w:cs="Times New Roman"/>
        </w:rPr>
      </w:pPr>
      <w:bookmarkStart w:id="54" w:name="_Toc65835974"/>
      <w:r w:rsidRPr="59DEF376">
        <w:rPr>
          <w:rFonts w:eastAsia="Arial"/>
        </w:rPr>
        <w:t>Renewal application p</w:t>
      </w:r>
      <w:r w:rsidR="00861161">
        <w:rPr>
          <w:rFonts w:eastAsia="Arial"/>
        </w:rPr>
        <w:t>eriod</w:t>
      </w:r>
      <w:bookmarkEnd w:id="54"/>
    </w:p>
    <w:p w14:paraId="3B8469D9" w14:textId="77777777" w:rsidR="00CD244D" w:rsidRDefault="00CD244D" w:rsidP="005F24DC">
      <w:pPr>
        <w:pStyle w:val="Paragraph"/>
        <w:rPr>
          <w:rFonts w:eastAsia="Arial"/>
        </w:rPr>
      </w:pPr>
      <w:r w:rsidRPr="00CD244D">
        <w:rPr>
          <w:rFonts w:eastAsia="Arial"/>
        </w:rPr>
        <w:t xml:space="preserve">Renewal application periods must be set for every licence with a renewal statement that indicates a licence may be renewed. </w:t>
      </w:r>
    </w:p>
    <w:p w14:paraId="13573E88" w14:textId="27669F53" w:rsidR="00CD244D" w:rsidRDefault="00CD244D" w:rsidP="005F24DC">
      <w:pPr>
        <w:pStyle w:val="Paragraph"/>
        <w:rPr>
          <w:rFonts w:eastAsia="Arial"/>
        </w:rPr>
      </w:pPr>
      <w:r w:rsidRPr="00CD244D">
        <w:rPr>
          <w:rFonts w:eastAsia="Arial"/>
        </w:rPr>
        <w:t xml:space="preserve">The Act as amended sets out a default renewal application period of 2 years for spectrum licences without a renewal application period </w:t>
      </w:r>
      <w:r w:rsidR="00126EAB">
        <w:rPr>
          <w:rFonts w:eastAsia="Arial"/>
        </w:rPr>
        <w:t xml:space="preserve">statement </w:t>
      </w:r>
      <w:r w:rsidRPr="00CD244D">
        <w:rPr>
          <w:rFonts w:eastAsia="Arial"/>
        </w:rPr>
        <w:t xml:space="preserve">(for example, for </w:t>
      </w:r>
      <w:r w:rsidR="000E0086">
        <w:rPr>
          <w:rFonts w:eastAsia="Arial"/>
        </w:rPr>
        <w:t>spectrum licences issued prior to commencement</w:t>
      </w:r>
      <w:r w:rsidRPr="00CD244D">
        <w:rPr>
          <w:rFonts w:eastAsia="Arial"/>
        </w:rPr>
        <w:t>). If an apparatus licence does not have a renewal application period</w:t>
      </w:r>
      <w:r w:rsidR="000E0086">
        <w:rPr>
          <w:rFonts w:eastAsia="Arial"/>
        </w:rPr>
        <w:t xml:space="preserve">, </w:t>
      </w:r>
      <w:r w:rsidRPr="00CD244D">
        <w:rPr>
          <w:rFonts w:eastAsia="Arial"/>
        </w:rPr>
        <w:t xml:space="preserve">the application for renewal must be made in the period beginning 6 months before expiry and ending 60 days after the licence expires. </w:t>
      </w:r>
    </w:p>
    <w:p w14:paraId="1F57F3E4" w14:textId="7C99D8C8" w:rsidR="00570565" w:rsidRDefault="00570565" w:rsidP="00570565">
      <w:pPr>
        <w:spacing w:line="257" w:lineRule="auto"/>
        <w:rPr>
          <w:rFonts w:eastAsia="Arial" w:cs="Arial"/>
        </w:rPr>
      </w:pPr>
      <w:r>
        <w:rPr>
          <w:rFonts w:eastAsia="Arial" w:cs="Arial"/>
        </w:rPr>
        <w:t>Additionally, f</w:t>
      </w:r>
      <w:r w:rsidRPr="5D1D4D5C">
        <w:rPr>
          <w:rFonts w:eastAsia="Arial" w:cs="Arial"/>
        </w:rPr>
        <w:t xml:space="preserve">or spectrum licences </w:t>
      </w:r>
      <w:r>
        <w:rPr>
          <w:rFonts w:eastAsia="Arial" w:cs="Arial"/>
        </w:rPr>
        <w:t>we</w:t>
      </w:r>
      <w:r w:rsidRPr="5D1D4D5C">
        <w:rPr>
          <w:rFonts w:eastAsia="Arial" w:cs="Arial"/>
        </w:rPr>
        <w:t xml:space="preserve"> </w:t>
      </w:r>
      <w:r>
        <w:rPr>
          <w:rFonts w:eastAsia="Arial" w:cs="Arial"/>
        </w:rPr>
        <w:t>may also</w:t>
      </w:r>
      <w:r w:rsidRPr="5D1D4D5C">
        <w:rPr>
          <w:rFonts w:eastAsia="Arial" w:cs="Arial"/>
        </w:rPr>
        <w:t xml:space="preserve"> </w:t>
      </w:r>
      <w:r>
        <w:rPr>
          <w:rFonts w:eastAsia="Arial" w:cs="Arial"/>
        </w:rPr>
        <w:t>specify a period of time in which</w:t>
      </w:r>
      <w:r w:rsidRPr="5D1D4D5C">
        <w:rPr>
          <w:rFonts w:eastAsia="Arial" w:cs="Arial"/>
        </w:rPr>
        <w:t xml:space="preserve"> to decide whether to </w:t>
      </w:r>
      <w:r>
        <w:rPr>
          <w:rFonts w:eastAsia="Arial" w:cs="Arial"/>
        </w:rPr>
        <w:t>renew</w:t>
      </w:r>
      <w:r w:rsidRPr="5D1D4D5C">
        <w:rPr>
          <w:rFonts w:eastAsia="Arial" w:cs="Arial"/>
        </w:rPr>
        <w:t xml:space="preserve"> </w:t>
      </w:r>
      <w:r>
        <w:rPr>
          <w:rFonts w:eastAsia="Arial" w:cs="Arial"/>
        </w:rPr>
        <w:t>the</w:t>
      </w:r>
      <w:r w:rsidRPr="5D1D4D5C">
        <w:rPr>
          <w:rFonts w:eastAsia="Arial" w:cs="Arial"/>
        </w:rPr>
        <w:t xml:space="preserve"> licence</w:t>
      </w:r>
      <w:r>
        <w:rPr>
          <w:rFonts w:eastAsia="Arial" w:cs="Arial"/>
        </w:rPr>
        <w:t>, called the renewal decision-making period</w:t>
      </w:r>
      <w:r w:rsidRPr="5D1D4D5C">
        <w:rPr>
          <w:rFonts w:eastAsia="Arial" w:cs="Arial"/>
        </w:rPr>
        <w:t>.</w:t>
      </w:r>
      <w:r>
        <w:rPr>
          <w:rStyle w:val="FootnoteReference"/>
          <w:rFonts w:eastAsia="Arial" w:cs="Arial"/>
        </w:rPr>
        <w:footnoteReference w:id="22"/>
      </w:r>
      <w:r w:rsidRPr="5D1D4D5C">
        <w:rPr>
          <w:rFonts w:eastAsia="Arial" w:cs="Arial"/>
        </w:rPr>
        <w:t xml:space="preserve"> If </w:t>
      </w:r>
      <w:r w:rsidRPr="5D1D4D5C">
        <w:rPr>
          <w:rFonts w:eastAsia="Arial" w:cs="Arial"/>
        </w:rPr>
        <w:lastRenderedPageBreak/>
        <w:t>there is no renewal decision-making period state</w:t>
      </w:r>
      <w:r>
        <w:rPr>
          <w:rFonts w:eastAsia="Arial" w:cs="Arial"/>
        </w:rPr>
        <w:t>d</w:t>
      </w:r>
      <w:r w:rsidRPr="5D1D4D5C">
        <w:rPr>
          <w:rFonts w:eastAsia="Arial" w:cs="Arial"/>
        </w:rPr>
        <w:t xml:space="preserve"> for a spectrum licence, the default period will be </w:t>
      </w:r>
      <w:r>
        <w:rPr>
          <w:rFonts w:eastAsia="Arial" w:cs="Arial"/>
        </w:rPr>
        <w:t>6</w:t>
      </w:r>
      <w:r w:rsidRPr="5D1D4D5C">
        <w:rPr>
          <w:rFonts w:eastAsia="Arial" w:cs="Arial"/>
        </w:rPr>
        <w:t xml:space="preserve"> months from receiving an application</w:t>
      </w:r>
      <w:r>
        <w:rPr>
          <w:rFonts w:eastAsia="Arial" w:cs="Arial"/>
        </w:rPr>
        <w:t xml:space="preserve"> </w:t>
      </w:r>
      <w:r w:rsidRPr="5D1D4D5C">
        <w:rPr>
          <w:rFonts w:eastAsia="Arial" w:cs="Arial"/>
        </w:rPr>
        <w:t>with the required information.</w:t>
      </w:r>
      <w:r>
        <w:rPr>
          <w:rStyle w:val="FootnoteReference"/>
          <w:rFonts w:eastAsia="Arial" w:cs="Arial"/>
        </w:rPr>
        <w:footnoteReference w:id="23"/>
      </w:r>
      <w:r>
        <w:rPr>
          <w:rFonts w:eastAsia="Arial" w:cs="Arial"/>
        </w:rPr>
        <w:t xml:space="preserve"> If</w:t>
      </w:r>
      <w:r w:rsidR="002F1DE7">
        <w:rPr>
          <w:rFonts w:eastAsia="Arial" w:cs="Arial"/>
        </w:rPr>
        <w:t> </w:t>
      </w:r>
      <w:r>
        <w:rPr>
          <w:rFonts w:eastAsia="Arial" w:cs="Arial"/>
        </w:rPr>
        <w:t xml:space="preserve">a decision is not made within the timeframes specified in the legislation, we will be taken to have made a decision to refuse the application, which is a reviewable decision. </w:t>
      </w:r>
    </w:p>
    <w:p w14:paraId="26FAEE6C" w14:textId="680E8B5D" w:rsidR="00570565" w:rsidRPr="00570565" w:rsidRDefault="00570565" w:rsidP="002F1DE7">
      <w:pPr>
        <w:spacing w:line="257" w:lineRule="auto"/>
        <w:rPr>
          <w:rFonts w:eastAsia="Arial"/>
        </w:rPr>
      </w:pPr>
      <w:r w:rsidRPr="5D1D4D5C">
        <w:rPr>
          <w:rFonts w:eastAsia="Arial" w:cs="Arial"/>
        </w:rPr>
        <w:t xml:space="preserve">For apparatus licences, we </w:t>
      </w:r>
      <w:r>
        <w:rPr>
          <w:rFonts w:eastAsia="Arial" w:cs="Arial"/>
        </w:rPr>
        <w:t>must</w:t>
      </w:r>
      <w:r w:rsidRPr="5D1D4D5C">
        <w:rPr>
          <w:rFonts w:eastAsia="Arial" w:cs="Arial"/>
        </w:rPr>
        <w:t xml:space="preserve"> decide whether to renew a licence within 90 days of receiving a</w:t>
      </w:r>
      <w:r>
        <w:rPr>
          <w:rFonts w:eastAsia="Arial" w:cs="Arial"/>
        </w:rPr>
        <w:t xml:space="preserve"> complete</w:t>
      </w:r>
      <w:r w:rsidRPr="5D1D4D5C">
        <w:rPr>
          <w:rFonts w:eastAsia="Arial" w:cs="Arial"/>
        </w:rPr>
        <w:t xml:space="preserve"> application.</w:t>
      </w:r>
      <w:r>
        <w:rPr>
          <w:rFonts w:eastAsia="Arial" w:cs="Arial"/>
        </w:rPr>
        <w:t xml:space="preserve"> If an application is incomplete and we seek additional information from the licensee within the initial 90</w:t>
      </w:r>
      <w:r w:rsidR="002F1DE7">
        <w:rPr>
          <w:rFonts w:eastAsia="Arial" w:cs="Arial"/>
        </w:rPr>
        <w:t>-</w:t>
      </w:r>
      <w:r>
        <w:rPr>
          <w:rFonts w:eastAsia="Arial" w:cs="Arial"/>
        </w:rPr>
        <w:t xml:space="preserve">day period, we must </w:t>
      </w:r>
      <w:r w:rsidR="008642E7">
        <w:rPr>
          <w:rFonts w:eastAsia="Arial" w:cs="Arial"/>
        </w:rPr>
        <w:t>decide</w:t>
      </w:r>
      <w:r>
        <w:rPr>
          <w:rFonts w:eastAsia="Arial" w:cs="Arial"/>
        </w:rPr>
        <w:t xml:space="preserve"> on renewal within 90 days of receiving the additional information.</w:t>
      </w:r>
      <w:r>
        <w:rPr>
          <w:rStyle w:val="FootnoteReference"/>
          <w:rFonts w:eastAsia="Arial" w:cs="Arial"/>
        </w:rPr>
        <w:footnoteReference w:id="24"/>
      </w:r>
      <w:r>
        <w:rPr>
          <w:rFonts w:eastAsia="Arial" w:cs="Arial"/>
        </w:rPr>
        <w:t xml:space="preserve"> I</w:t>
      </w:r>
      <w:r w:rsidRPr="5D1D4D5C">
        <w:rPr>
          <w:rFonts w:eastAsia="Arial" w:cs="Arial"/>
        </w:rPr>
        <w:t xml:space="preserve">f a decision is not made within the timeframes specified in the legislation, </w:t>
      </w:r>
      <w:r>
        <w:rPr>
          <w:rFonts w:eastAsia="Arial" w:cs="Arial"/>
        </w:rPr>
        <w:t>we</w:t>
      </w:r>
      <w:r w:rsidRPr="5D1D4D5C">
        <w:rPr>
          <w:rFonts w:eastAsia="Arial" w:cs="Arial"/>
        </w:rPr>
        <w:t xml:space="preserve"> will be taken to have </w:t>
      </w:r>
      <w:r w:rsidR="00866752" w:rsidRPr="5D1D4D5C">
        <w:rPr>
          <w:rFonts w:eastAsia="Arial" w:cs="Arial"/>
        </w:rPr>
        <w:t>decided</w:t>
      </w:r>
      <w:r w:rsidRPr="5D1D4D5C">
        <w:rPr>
          <w:rFonts w:eastAsia="Arial" w:cs="Arial"/>
        </w:rPr>
        <w:t xml:space="preserve"> to refuse the application, which is a reviewable decision.</w:t>
      </w:r>
      <w:r>
        <w:rPr>
          <w:rFonts w:eastAsia="Arial" w:cs="Arial"/>
        </w:rPr>
        <w:t xml:space="preserve"> </w:t>
      </w:r>
    </w:p>
    <w:p w14:paraId="6FB95A80" w14:textId="5F545B0B" w:rsidR="007E5F31" w:rsidRDefault="00CD244D" w:rsidP="005F24DC">
      <w:pPr>
        <w:pStyle w:val="Paragraph"/>
        <w:rPr>
          <w:rFonts w:eastAsia="Arial"/>
        </w:rPr>
      </w:pPr>
      <w:r w:rsidRPr="00CD244D">
        <w:rPr>
          <w:rFonts w:eastAsia="Arial"/>
        </w:rPr>
        <w:t xml:space="preserve">While these periods are the default, </w:t>
      </w:r>
      <w:r w:rsidR="00DB45F9" w:rsidRPr="00DB45F9">
        <w:rPr>
          <w:rFonts w:eastAsia="Arial"/>
        </w:rPr>
        <w:t>we consider that the work program associated with consideration of licence renewal will occur well in advance of this period, particularly for long-term licences</w:t>
      </w:r>
      <w:r w:rsidR="005A739F">
        <w:rPr>
          <w:rFonts w:eastAsia="Arial"/>
        </w:rPr>
        <w:t>.</w:t>
      </w:r>
      <w:r w:rsidR="00DB45F9" w:rsidRPr="00DB45F9" w:rsidDel="00CD244D">
        <w:rPr>
          <w:rFonts w:eastAsia="Arial"/>
        </w:rPr>
        <w:t xml:space="preserve"> </w:t>
      </w:r>
    </w:p>
    <w:p w14:paraId="52405BA0" w14:textId="1C0E9568" w:rsidR="004C5C24" w:rsidRDefault="002101F8" w:rsidP="002101F8">
      <w:pPr>
        <w:pStyle w:val="Paragraph"/>
        <w:rPr>
          <w:rFonts w:eastAsia="Arial"/>
        </w:rPr>
      </w:pPr>
      <w:r>
        <w:rPr>
          <w:rFonts w:eastAsia="Arial"/>
        </w:rPr>
        <w:t>In the case of long-term licence</w:t>
      </w:r>
      <w:r w:rsidR="00502FDD">
        <w:rPr>
          <w:rFonts w:eastAsia="Arial"/>
        </w:rPr>
        <w:t>s</w:t>
      </w:r>
      <w:r>
        <w:rPr>
          <w:rFonts w:eastAsia="Arial"/>
        </w:rPr>
        <w:t xml:space="preserve">, we expect that 5 years before the licence expires, we </w:t>
      </w:r>
      <w:r w:rsidR="00882B63">
        <w:rPr>
          <w:rFonts w:eastAsia="Arial"/>
        </w:rPr>
        <w:t>wo</w:t>
      </w:r>
      <w:r w:rsidR="00423616">
        <w:rPr>
          <w:rFonts w:eastAsia="Arial"/>
        </w:rPr>
        <w:t xml:space="preserve">uld begin </w:t>
      </w:r>
      <w:r w:rsidR="004F759F">
        <w:rPr>
          <w:rFonts w:eastAsia="Arial"/>
        </w:rPr>
        <w:t xml:space="preserve">public and direct consultation </w:t>
      </w:r>
      <w:r w:rsidR="00423616">
        <w:rPr>
          <w:rFonts w:eastAsia="Arial"/>
        </w:rPr>
        <w:t xml:space="preserve">processes relating to </w:t>
      </w:r>
      <w:r w:rsidR="00AE37E9">
        <w:rPr>
          <w:rFonts w:eastAsia="Arial"/>
        </w:rPr>
        <w:t>renewal</w:t>
      </w:r>
      <w:r>
        <w:rPr>
          <w:rFonts w:eastAsia="Arial"/>
        </w:rPr>
        <w:t xml:space="preserve">. </w:t>
      </w:r>
      <w:r w:rsidR="002C7279">
        <w:rPr>
          <w:rFonts w:eastAsia="Arial"/>
        </w:rPr>
        <w:t>Broadly, t</w:t>
      </w:r>
      <w:r w:rsidR="00625F28">
        <w:rPr>
          <w:rFonts w:eastAsia="Arial"/>
        </w:rPr>
        <w:t xml:space="preserve">hese processes include determining </w:t>
      </w:r>
      <w:r w:rsidR="003118B4">
        <w:rPr>
          <w:rFonts w:eastAsia="Arial"/>
        </w:rPr>
        <w:t>the</w:t>
      </w:r>
      <w:r w:rsidR="00625F28">
        <w:rPr>
          <w:rFonts w:eastAsia="Arial"/>
        </w:rPr>
        <w:t xml:space="preserve"> </w:t>
      </w:r>
      <w:r w:rsidR="009A79F9">
        <w:rPr>
          <w:rFonts w:eastAsia="Arial"/>
        </w:rPr>
        <w:t xml:space="preserve">matters we would </w:t>
      </w:r>
      <w:r w:rsidR="002C7279">
        <w:rPr>
          <w:rFonts w:eastAsia="Arial"/>
        </w:rPr>
        <w:t>conside</w:t>
      </w:r>
      <w:r w:rsidR="00CC40F9">
        <w:rPr>
          <w:rFonts w:eastAsia="Arial"/>
        </w:rPr>
        <w:t>r</w:t>
      </w:r>
      <w:r w:rsidR="009A79F9">
        <w:rPr>
          <w:rFonts w:eastAsia="Arial"/>
        </w:rPr>
        <w:t xml:space="preserve"> </w:t>
      </w:r>
      <w:r w:rsidR="00CC40F9">
        <w:rPr>
          <w:rFonts w:eastAsia="Arial"/>
        </w:rPr>
        <w:t>in assessing</w:t>
      </w:r>
      <w:r w:rsidR="009A79F9">
        <w:rPr>
          <w:rFonts w:eastAsia="Arial"/>
        </w:rPr>
        <w:t xml:space="preserve"> </w:t>
      </w:r>
      <w:r w:rsidR="002C7279">
        <w:rPr>
          <w:rFonts w:eastAsia="Arial"/>
        </w:rPr>
        <w:t xml:space="preserve">whether </w:t>
      </w:r>
      <w:r w:rsidR="00625F28">
        <w:rPr>
          <w:rFonts w:eastAsia="Arial"/>
        </w:rPr>
        <w:t xml:space="preserve">renewal is in the public interest, determining the terms and conditions of the renewed licence, as well as the taxes and charges payable. </w:t>
      </w:r>
      <w:r w:rsidR="004C5C24">
        <w:rPr>
          <w:rFonts w:eastAsia="Arial"/>
        </w:rPr>
        <w:t xml:space="preserve">There may also be instances where, due to licences expiring in </w:t>
      </w:r>
      <w:r w:rsidR="00C9195D">
        <w:rPr>
          <w:rFonts w:eastAsia="Arial"/>
        </w:rPr>
        <w:t xml:space="preserve">immediately subsequent </w:t>
      </w:r>
      <w:r w:rsidR="004C5C24">
        <w:rPr>
          <w:rFonts w:eastAsia="Arial"/>
        </w:rPr>
        <w:t>years, we may undertake joint consideration processes that would begin 5 years from the earliest expiry date</w:t>
      </w:r>
      <w:r w:rsidR="00611F4F">
        <w:rPr>
          <w:rFonts w:eastAsia="Arial"/>
        </w:rPr>
        <w:t xml:space="preserve"> of the licences considered</w:t>
      </w:r>
      <w:r w:rsidR="004C5C24">
        <w:rPr>
          <w:rFonts w:eastAsia="Arial"/>
        </w:rPr>
        <w:t xml:space="preserve">. </w:t>
      </w:r>
      <w:r w:rsidR="00502FDD">
        <w:rPr>
          <w:rFonts w:eastAsia="Arial"/>
        </w:rPr>
        <w:t xml:space="preserve">These processes would be identified in our annual work program. </w:t>
      </w:r>
    </w:p>
    <w:p w14:paraId="2D0A88A0" w14:textId="677B3930" w:rsidR="002101F8" w:rsidRDefault="002101F8" w:rsidP="002101F8">
      <w:pPr>
        <w:pStyle w:val="Paragraph"/>
        <w:rPr>
          <w:rFonts w:eastAsia="Arial"/>
        </w:rPr>
      </w:pPr>
      <w:r>
        <w:rPr>
          <w:rFonts w:eastAsia="Arial"/>
        </w:rPr>
        <w:t xml:space="preserve">For spectrum licences where there is no renewal statement included in the licence (that is, spectrum licences issued prior to commencement of the Modernisation Act), licensees </w:t>
      </w:r>
      <w:r w:rsidR="00C644A9">
        <w:rPr>
          <w:rFonts w:eastAsia="Arial"/>
        </w:rPr>
        <w:t>are able to</w:t>
      </w:r>
      <w:r>
        <w:rPr>
          <w:rFonts w:eastAsia="Arial"/>
        </w:rPr>
        <w:t xml:space="preserve"> formally apply for renewal in accordance with section 77A of the Act as amended, </w:t>
      </w:r>
      <w:r w:rsidR="002F1DE7">
        <w:rPr>
          <w:rFonts w:eastAsia="Arial"/>
        </w:rPr>
        <w:t>2</w:t>
      </w:r>
      <w:r>
        <w:rPr>
          <w:rFonts w:eastAsia="Arial"/>
        </w:rPr>
        <w:t xml:space="preserve"> years from expiry.</w:t>
      </w:r>
      <w:r w:rsidR="001929A3">
        <w:rPr>
          <w:rFonts w:eastAsia="Arial"/>
        </w:rPr>
        <w:t xml:space="preserve"> Thus, </w:t>
      </w:r>
      <w:r w:rsidR="00246B80">
        <w:rPr>
          <w:rFonts w:eastAsia="Arial"/>
        </w:rPr>
        <w:t xml:space="preserve">to engage licensees early and </w:t>
      </w:r>
      <w:r w:rsidR="008C4ACA">
        <w:rPr>
          <w:rFonts w:eastAsia="Arial"/>
        </w:rPr>
        <w:t>enable full consideration of relevant matters</w:t>
      </w:r>
      <w:r w:rsidR="00710C68">
        <w:rPr>
          <w:rFonts w:eastAsia="Arial"/>
        </w:rPr>
        <w:t xml:space="preserve">, </w:t>
      </w:r>
      <w:r w:rsidR="001929A3">
        <w:rPr>
          <w:rFonts w:eastAsia="Arial"/>
        </w:rPr>
        <w:t>we expect to undertake work in re</w:t>
      </w:r>
      <w:r w:rsidR="00671A25">
        <w:rPr>
          <w:rFonts w:eastAsia="Arial"/>
        </w:rPr>
        <w:t xml:space="preserve">lation to the renewal process, </w:t>
      </w:r>
      <w:r w:rsidR="0019771E">
        <w:rPr>
          <w:rFonts w:eastAsia="Arial"/>
        </w:rPr>
        <w:t>prio</w:t>
      </w:r>
      <w:r w:rsidR="00C644A9">
        <w:rPr>
          <w:rFonts w:eastAsia="Arial"/>
        </w:rPr>
        <w:t>r to the renewal application period.</w:t>
      </w:r>
      <w:r w:rsidR="00671A25">
        <w:rPr>
          <w:rFonts w:eastAsia="Arial"/>
        </w:rPr>
        <w:t xml:space="preserve"> </w:t>
      </w:r>
      <w:r>
        <w:rPr>
          <w:rFonts w:eastAsia="Arial"/>
        </w:rPr>
        <w:t>Upon receiving an application</w:t>
      </w:r>
      <w:r w:rsidR="0019771E">
        <w:rPr>
          <w:rFonts w:eastAsia="Arial"/>
        </w:rPr>
        <w:t xml:space="preserve"> for renewal</w:t>
      </w:r>
      <w:r>
        <w:rPr>
          <w:rFonts w:eastAsia="Arial"/>
        </w:rPr>
        <w:t xml:space="preserve">, we would then have up to </w:t>
      </w:r>
      <w:r w:rsidR="008642E7">
        <w:rPr>
          <w:rFonts w:eastAsia="Arial"/>
        </w:rPr>
        <w:t>6</w:t>
      </w:r>
      <w:r>
        <w:rPr>
          <w:rFonts w:eastAsia="Arial"/>
        </w:rPr>
        <w:t xml:space="preserve"> months to decide whether to renew the licence, with extension possible if we request further information from licensees. </w:t>
      </w:r>
    </w:p>
    <w:p w14:paraId="2D9F7998" w14:textId="77777777" w:rsidR="004C6A2C" w:rsidRDefault="002101F8" w:rsidP="002101F8">
      <w:pPr>
        <w:pStyle w:val="Paragraph"/>
        <w:rPr>
          <w:rFonts w:eastAsia="Arial"/>
        </w:rPr>
      </w:pPr>
      <w:r>
        <w:rPr>
          <w:rFonts w:eastAsia="Arial"/>
        </w:rPr>
        <w:t xml:space="preserve">For future spectrum licences that will include renewal statements, </w:t>
      </w:r>
      <w:r w:rsidR="00946EF4">
        <w:rPr>
          <w:rFonts w:eastAsia="Arial"/>
        </w:rPr>
        <w:t>we w</w:t>
      </w:r>
      <w:r w:rsidR="002368B1">
        <w:rPr>
          <w:rFonts w:eastAsia="Arial"/>
        </w:rPr>
        <w:t>ill</w:t>
      </w:r>
      <w:r>
        <w:rPr>
          <w:rFonts w:eastAsia="Arial"/>
        </w:rPr>
        <w:t xml:space="preserve"> consult on </w:t>
      </w:r>
      <w:r w:rsidR="00946EF4">
        <w:rPr>
          <w:rFonts w:eastAsia="Arial"/>
        </w:rPr>
        <w:t xml:space="preserve">the proposed details of the renewal statement, </w:t>
      </w:r>
      <w:r w:rsidR="00357C99">
        <w:rPr>
          <w:rFonts w:eastAsia="Arial"/>
        </w:rPr>
        <w:t>which include</w:t>
      </w:r>
      <w:r>
        <w:rPr>
          <w:rFonts w:eastAsia="Arial"/>
        </w:rPr>
        <w:t xml:space="preserve"> the renewal application period and</w:t>
      </w:r>
      <w:r w:rsidR="004878C3">
        <w:rPr>
          <w:rFonts w:eastAsia="Arial"/>
        </w:rPr>
        <w:t xml:space="preserve"> renewal</w:t>
      </w:r>
      <w:r>
        <w:rPr>
          <w:rFonts w:eastAsia="Arial"/>
        </w:rPr>
        <w:t xml:space="preserve"> decision-making period</w:t>
      </w:r>
      <w:r w:rsidR="00461668">
        <w:rPr>
          <w:rFonts w:eastAsia="Arial"/>
        </w:rPr>
        <w:t xml:space="preserve">, </w:t>
      </w:r>
      <w:r w:rsidR="00685B24">
        <w:rPr>
          <w:rFonts w:eastAsia="Arial"/>
        </w:rPr>
        <w:t>on a case-by-case basis</w:t>
      </w:r>
      <w:r w:rsidR="002368B1">
        <w:rPr>
          <w:rFonts w:eastAsia="Arial"/>
        </w:rPr>
        <w:t xml:space="preserve">. </w:t>
      </w:r>
    </w:p>
    <w:p w14:paraId="45382E8A" w14:textId="4B07AE65" w:rsidR="00BC4F7F" w:rsidRDefault="002368B1" w:rsidP="002101F8">
      <w:pPr>
        <w:pStyle w:val="Paragraph"/>
        <w:rPr>
          <w:rFonts w:eastAsia="Arial"/>
        </w:rPr>
      </w:pPr>
      <w:r>
        <w:rPr>
          <w:rFonts w:eastAsia="Arial"/>
        </w:rPr>
        <w:t xml:space="preserve">In designing </w:t>
      </w:r>
      <w:r w:rsidR="004C6A2C">
        <w:rPr>
          <w:rFonts w:eastAsia="Arial"/>
        </w:rPr>
        <w:t>r</w:t>
      </w:r>
      <w:r>
        <w:rPr>
          <w:rFonts w:eastAsia="Arial"/>
        </w:rPr>
        <w:t>enewal statement</w:t>
      </w:r>
      <w:r w:rsidR="004C6A2C">
        <w:rPr>
          <w:rFonts w:eastAsia="Arial"/>
        </w:rPr>
        <w:t>s</w:t>
      </w:r>
      <w:r>
        <w:rPr>
          <w:rFonts w:eastAsia="Arial"/>
        </w:rPr>
        <w:t xml:space="preserve">, we would </w:t>
      </w:r>
      <w:r w:rsidR="00E8586C">
        <w:rPr>
          <w:rFonts w:eastAsia="Arial"/>
        </w:rPr>
        <w:t>tak</w:t>
      </w:r>
      <w:r>
        <w:rPr>
          <w:rFonts w:eastAsia="Arial"/>
        </w:rPr>
        <w:t>e</w:t>
      </w:r>
      <w:r w:rsidR="00E8586C">
        <w:rPr>
          <w:rFonts w:eastAsia="Arial"/>
        </w:rPr>
        <w:t xml:space="preserve"> into consideration </w:t>
      </w:r>
      <w:r w:rsidR="00016033">
        <w:rPr>
          <w:rFonts w:eastAsia="Arial"/>
        </w:rPr>
        <w:t xml:space="preserve">the appropriate amount of time </w:t>
      </w:r>
      <w:r w:rsidR="00C02727">
        <w:rPr>
          <w:rFonts w:eastAsia="Arial"/>
        </w:rPr>
        <w:t xml:space="preserve">for </w:t>
      </w:r>
      <w:r w:rsidR="00F0367B">
        <w:rPr>
          <w:rFonts w:eastAsia="Arial"/>
        </w:rPr>
        <w:t xml:space="preserve">the </w:t>
      </w:r>
      <w:r w:rsidR="004C6A2C">
        <w:rPr>
          <w:rFonts w:eastAsia="Arial"/>
        </w:rPr>
        <w:t xml:space="preserve">overall </w:t>
      </w:r>
      <w:r w:rsidR="00F0367B">
        <w:rPr>
          <w:rFonts w:eastAsia="Arial"/>
        </w:rPr>
        <w:t>renewal process to be completed (</w:t>
      </w:r>
      <w:r w:rsidR="00C72A4C">
        <w:rPr>
          <w:rFonts w:eastAsia="Arial"/>
        </w:rPr>
        <w:t>for example</w:t>
      </w:r>
      <w:r w:rsidR="00F0367B">
        <w:rPr>
          <w:rFonts w:eastAsia="Arial"/>
        </w:rPr>
        <w:t xml:space="preserve">, </w:t>
      </w:r>
      <w:r w:rsidR="00A64071">
        <w:rPr>
          <w:rFonts w:eastAsia="Arial"/>
        </w:rPr>
        <w:t>public and direct consultation</w:t>
      </w:r>
      <w:r w:rsidR="00C72A4C">
        <w:rPr>
          <w:rFonts w:eastAsia="Arial"/>
        </w:rPr>
        <w:t>)</w:t>
      </w:r>
      <w:r w:rsidR="00A64071">
        <w:rPr>
          <w:rFonts w:eastAsia="Arial"/>
        </w:rPr>
        <w:t xml:space="preserve"> and to facilitate </w:t>
      </w:r>
      <w:r w:rsidR="00836982">
        <w:rPr>
          <w:rFonts w:eastAsia="Arial"/>
        </w:rPr>
        <w:t xml:space="preserve">options should licences not be renewed, but </w:t>
      </w:r>
      <w:r w:rsidR="002853F5">
        <w:rPr>
          <w:rFonts w:eastAsia="Arial"/>
        </w:rPr>
        <w:t>also balance</w:t>
      </w:r>
      <w:r>
        <w:rPr>
          <w:rFonts w:eastAsia="Arial"/>
        </w:rPr>
        <w:t xml:space="preserve"> against providing clarity on renewal well ahead of licence expiry. </w:t>
      </w:r>
    </w:p>
    <w:p w14:paraId="2DC25988" w14:textId="7D4DD46E" w:rsidR="00490475" w:rsidRDefault="0006283A" w:rsidP="002101F8">
      <w:pPr>
        <w:pStyle w:val="Paragraph"/>
        <w:rPr>
          <w:rFonts w:eastAsia="Arial"/>
        </w:rPr>
      </w:pPr>
      <w:r>
        <w:rPr>
          <w:rFonts w:eastAsia="Arial"/>
        </w:rPr>
        <w:t xml:space="preserve">For example, </w:t>
      </w:r>
      <w:r w:rsidR="00BC4F7F">
        <w:rPr>
          <w:rFonts w:eastAsia="Arial"/>
        </w:rPr>
        <w:t xml:space="preserve">the renewal application period statement could specify that </w:t>
      </w:r>
      <w:r w:rsidR="004A33F1">
        <w:rPr>
          <w:rFonts w:eastAsia="Arial"/>
        </w:rPr>
        <w:t>the period begins 5 years from expiry</w:t>
      </w:r>
      <w:r w:rsidR="00F176B7">
        <w:rPr>
          <w:rFonts w:eastAsia="Arial"/>
        </w:rPr>
        <w:t xml:space="preserve"> </w:t>
      </w:r>
      <w:r w:rsidR="00653BE7">
        <w:rPr>
          <w:rFonts w:eastAsia="Arial"/>
        </w:rPr>
        <w:t>and run f</w:t>
      </w:r>
      <w:r w:rsidR="00351743">
        <w:rPr>
          <w:rFonts w:eastAsia="Arial"/>
        </w:rPr>
        <w:t>or a shorter period</w:t>
      </w:r>
      <w:r w:rsidR="00020A5D">
        <w:rPr>
          <w:rFonts w:eastAsia="Arial"/>
        </w:rPr>
        <w:t>, while the renewal decision-making statement could specify a longer</w:t>
      </w:r>
      <w:r w:rsidR="00351743">
        <w:rPr>
          <w:rFonts w:eastAsia="Arial"/>
        </w:rPr>
        <w:t xml:space="preserve"> period</w:t>
      </w:r>
      <w:r w:rsidR="00DB1295">
        <w:rPr>
          <w:rFonts w:eastAsia="Arial"/>
        </w:rPr>
        <w:t>. In this approach,</w:t>
      </w:r>
      <w:r w:rsidR="000336F6">
        <w:rPr>
          <w:rFonts w:eastAsia="Arial"/>
        </w:rPr>
        <w:t xml:space="preserve"> licensees could apply for renewal </w:t>
      </w:r>
      <w:r w:rsidR="00EA0622">
        <w:rPr>
          <w:rFonts w:eastAsia="Arial"/>
        </w:rPr>
        <w:t xml:space="preserve">at </w:t>
      </w:r>
      <w:r w:rsidR="000336F6">
        <w:rPr>
          <w:rFonts w:eastAsia="Arial"/>
        </w:rPr>
        <w:t>the beginning of the application period</w:t>
      </w:r>
      <w:r w:rsidR="00A71373">
        <w:rPr>
          <w:rFonts w:eastAsia="Arial"/>
        </w:rPr>
        <w:t xml:space="preserve"> and</w:t>
      </w:r>
      <w:r w:rsidR="00DB1295">
        <w:rPr>
          <w:rFonts w:eastAsia="Arial"/>
        </w:rPr>
        <w:t xml:space="preserve"> we</w:t>
      </w:r>
      <w:r w:rsidR="006A70B1">
        <w:rPr>
          <w:rFonts w:eastAsia="Arial"/>
        </w:rPr>
        <w:t xml:space="preserve"> would </w:t>
      </w:r>
      <w:r w:rsidR="00A71373">
        <w:rPr>
          <w:rFonts w:eastAsia="Arial"/>
        </w:rPr>
        <w:t xml:space="preserve">then </w:t>
      </w:r>
      <w:r w:rsidR="006A70B1">
        <w:rPr>
          <w:rFonts w:eastAsia="Arial"/>
        </w:rPr>
        <w:t>undertake</w:t>
      </w:r>
      <w:r w:rsidR="003B2E8F">
        <w:rPr>
          <w:rFonts w:eastAsia="Arial"/>
        </w:rPr>
        <w:t xml:space="preserve"> consultation </w:t>
      </w:r>
      <w:r w:rsidR="00BE0D0A">
        <w:rPr>
          <w:rFonts w:eastAsia="Arial"/>
        </w:rPr>
        <w:t xml:space="preserve">processes around considering </w:t>
      </w:r>
      <w:r w:rsidR="00682D76">
        <w:rPr>
          <w:rFonts w:eastAsia="Arial"/>
        </w:rPr>
        <w:t>whether renewal is in the public interest, the terms and conditions of the licence, and applicable taxes and charges</w:t>
      </w:r>
      <w:r w:rsidR="003B2E8F">
        <w:rPr>
          <w:rFonts w:eastAsia="Arial"/>
        </w:rPr>
        <w:t xml:space="preserve">, </w:t>
      </w:r>
      <w:r w:rsidR="00890E38">
        <w:rPr>
          <w:rFonts w:eastAsia="Arial"/>
        </w:rPr>
        <w:t>d</w:t>
      </w:r>
      <w:r w:rsidR="00BD51A1">
        <w:rPr>
          <w:rFonts w:eastAsia="Arial"/>
        </w:rPr>
        <w:t>uring the renewal decision-making period</w:t>
      </w:r>
      <w:r w:rsidR="00D3103F">
        <w:rPr>
          <w:rFonts w:eastAsia="Arial"/>
        </w:rPr>
        <w:t>.</w:t>
      </w:r>
      <w:r w:rsidR="00E05989">
        <w:rPr>
          <w:rFonts w:eastAsia="Arial"/>
        </w:rPr>
        <w:t xml:space="preserve"> </w:t>
      </w:r>
    </w:p>
    <w:p w14:paraId="3F99BD41" w14:textId="1105651A" w:rsidR="00394E6E" w:rsidRDefault="00394E6E" w:rsidP="002101F8">
      <w:pPr>
        <w:pStyle w:val="Paragraph"/>
        <w:rPr>
          <w:rFonts w:eastAsia="Arial"/>
        </w:rPr>
      </w:pPr>
      <w:r>
        <w:rPr>
          <w:rFonts w:eastAsia="Arial"/>
        </w:rPr>
        <w:lastRenderedPageBreak/>
        <w:t>In all cases, we would expect that holders of long</w:t>
      </w:r>
      <w:r w:rsidR="008642E7">
        <w:rPr>
          <w:rFonts w:eastAsia="Arial"/>
        </w:rPr>
        <w:t>-</w:t>
      </w:r>
      <w:r>
        <w:rPr>
          <w:rFonts w:eastAsia="Arial"/>
        </w:rPr>
        <w:t xml:space="preserve"> and medium</w:t>
      </w:r>
      <w:r w:rsidR="008642E7">
        <w:rPr>
          <w:rFonts w:eastAsia="Arial"/>
        </w:rPr>
        <w:t>-</w:t>
      </w:r>
      <w:r>
        <w:rPr>
          <w:rFonts w:eastAsia="Arial"/>
        </w:rPr>
        <w:t xml:space="preserve">term licences would apply for renewal at the beginning of the renewal application period. This would enable us to </w:t>
      </w:r>
      <w:r w:rsidR="00335106">
        <w:rPr>
          <w:rFonts w:eastAsia="Arial"/>
        </w:rPr>
        <w:t>decide</w:t>
      </w:r>
      <w:r>
        <w:rPr>
          <w:rFonts w:eastAsia="Arial"/>
        </w:rPr>
        <w:t xml:space="preserve"> on renewal well ahead of expiry, providing clarity to licensees over their future arrangements. </w:t>
      </w:r>
    </w:p>
    <w:p w14:paraId="0728716C" w14:textId="7E6F65FD" w:rsidR="00B62842" w:rsidRDefault="00CE2872" w:rsidP="002101F8">
      <w:pPr>
        <w:pStyle w:val="Paragraph"/>
        <w:rPr>
          <w:rFonts w:eastAsia="Arial"/>
        </w:rPr>
      </w:pPr>
      <w:r>
        <w:rPr>
          <w:rFonts w:eastAsia="Arial"/>
        </w:rPr>
        <w:t xml:space="preserve">For </w:t>
      </w:r>
      <w:r w:rsidR="00255DFB">
        <w:rPr>
          <w:rFonts w:eastAsia="Arial"/>
        </w:rPr>
        <w:t>long</w:t>
      </w:r>
      <w:r w:rsidR="008642E7">
        <w:rPr>
          <w:rFonts w:eastAsia="Arial"/>
        </w:rPr>
        <w:t>-</w:t>
      </w:r>
      <w:r w:rsidR="0011049F">
        <w:rPr>
          <w:rFonts w:eastAsia="Arial"/>
        </w:rPr>
        <w:t xml:space="preserve">term </w:t>
      </w:r>
      <w:r>
        <w:rPr>
          <w:rFonts w:eastAsia="Arial"/>
        </w:rPr>
        <w:t xml:space="preserve">apparatus licences, </w:t>
      </w:r>
      <w:r w:rsidR="003D6C81">
        <w:rPr>
          <w:rFonts w:eastAsia="Arial"/>
        </w:rPr>
        <w:t xml:space="preserve">as most apparatus licences will not include renewal statements, </w:t>
      </w:r>
      <w:r w:rsidR="00091B38">
        <w:rPr>
          <w:rFonts w:eastAsia="Arial"/>
        </w:rPr>
        <w:t xml:space="preserve">the default renewal application period as specified in the Act will apply. However, </w:t>
      </w:r>
      <w:r w:rsidR="009B1EE9">
        <w:rPr>
          <w:rFonts w:eastAsia="Arial"/>
        </w:rPr>
        <w:t xml:space="preserve">we would still seek to begin </w:t>
      </w:r>
      <w:r w:rsidR="00957D83">
        <w:rPr>
          <w:rFonts w:eastAsia="Arial"/>
        </w:rPr>
        <w:t xml:space="preserve">the renewal process </w:t>
      </w:r>
      <w:r w:rsidR="00754DBC">
        <w:rPr>
          <w:rFonts w:eastAsia="Arial"/>
        </w:rPr>
        <w:t xml:space="preserve">well ahead of expiry, </w:t>
      </w:r>
      <w:r w:rsidR="003F1318">
        <w:rPr>
          <w:rFonts w:eastAsia="Arial"/>
        </w:rPr>
        <w:t xml:space="preserve">conducting a similar process to </w:t>
      </w:r>
      <w:r w:rsidR="00B62842">
        <w:rPr>
          <w:rFonts w:eastAsia="Arial"/>
        </w:rPr>
        <w:t>the one described for spectrum licences</w:t>
      </w:r>
      <w:r w:rsidR="00D74B54">
        <w:rPr>
          <w:rFonts w:eastAsia="Arial"/>
        </w:rPr>
        <w:t xml:space="preserve"> that do not include renewal statements. </w:t>
      </w:r>
      <w:r w:rsidR="0011049F">
        <w:rPr>
          <w:rFonts w:eastAsia="Arial"/>
        </w:rPr>
        <w:t>W</w:t>
      </w:r>
      <w:r w:rsidR="00B62842">
        <w:rPr>
          <w:rFonts w:eastAsia="Arial"/>
        </w:rPr>
        <w:t xml:space="preserve">e expect that </w:t>
      </w:r>
      <w:r w:rsidR="000225EF">
        <w:rPr>
          <w:rFonts w:eastAsia="Arial"/>
        </w:rPr>
        <w:t xml:space="preserve">we would </w:t>
      </w:r>
      <w:r w:rsidR="00FC064F">
        <w:rPr>
          <w:rFonts w:eastAsia="Arial"/>
        </w:rPr>
        <w:t xml:space="preserve">also </w:t>
      </w:r>
      <w:r w:rsidR="000225EF">
        <w:rPr>
          <w:rFonts w:eastAsia="Arial"/>
        </w:rPr>
        <w:t xml:space="preserve">begin this process 5 years from expiry. </w:t>
      </w:r>
    </w:p>
    <w:p w14:paraId="11896374" w14:textId="3C87AB8E" w:rsidR="009A209E" w:rsidRDefault="00AB5EDC" w:rsidP="00A25E07">
      <w:pPr>
        <w:spacing w:line="257" w:lineRule="auto"/>
        <w:rPr>
          <w:rFonts w:eastAsia="Arial" w:cs="Arial"/>
        </w:rPr>
      </w:pPr>
      <w:r>
        <w:rPr>
          <w:rFonts w:eastAsia="Arial" w:cs="Arial"/>
        </w:rPr>
        <w:t xml:space="preserve">For </w:t>
      </w:r>
      <w:r w:rsidR="00FC064F">
        <w:rPr>
          <w:rFonts w:eastAsia="Arial" w:cs="Arial"/>
        </w:rPr>
        <w:t xml:space="preserve">apparatus </w:t>
      </w:r>
      <w:r>
        <w:rPr>
          <w:rFonts w:eastAsia="Arial" w:cs="Arial"/>
        </w:rPr>
        <w:t xml:space="preserve">licences up to </w:t>
      </w:r>
      <w:r w:rsidR="00FC064F">
        <w:rPr>
          <w:rFonts w:eastAsia="Arial" w:cs="Arial"/>
        </w:rPr>
        <w:t>10</w:t>
      </w:r>
      <w:r>
        <w:rPr>
          <w:rFonts w:eastAsia="Arial" w:cs="Arial"/>
        </w:rPr>
        <w:t xml:space="preserve"> years, </w:t>
      </w:r>
      <w:r w:rsidR="00C65EDE">
        <w:rPr>
          <w:rFonts w:eastAsia="Arial" w:cs="Arial"/>
        </w:rPr>
        <w:t>including shorter duration licences of up to one year</w:t>
      </w:r>
      <w:r w:rsidR="000416AE">
        <w:rPr>
          <w:rFonts w:eastAsia="Arial" w:cs="Arial"/>
        </w:rPr>
        <w:t xml:space="preserve"> and annual licences</w:t>
      </w:r>
      <w:r w:rsidR="00C65EDE">
        <w:rPr>
          <w:rFonts w:eastAsia="Arial" w:cs="Arial"/>
        </w:rPr>
        <w:t xml:space="preserve">, </w:t>
      </w:r>
      <w:r>
        <w:rPr>
          <w:rFonts w:eastAsia="Arial" w:cs="Arial"/>
        </w:rPr>
        <w:t>the default renewal period will apply.</w:t>
      </w:r>
    </w:p>
    <w:p w14:paraId="6022F96D" w14:textId="6DBA2AE9" w:rsidR="00CB5A65" w:rsidRDefault="00F66D99" w:rsidP="00FD17DF">
      <w:pPr>
        <w:pStyle w:val="Heading2"/>
      </w:pPr>
      <w:bookmarkStart w:id="55" w:name="_Toc65835975"/>
      <w:r>
        <w:t>C</w:t>
      </w:r>
      <w:r w:rsidR="00CB5A65">
        <w:t>onsult</w:t>
      </w:r>
      <w:r>
        <w:t xml:space="preserve">ing </w:t>
      </w:r>
      <w:r w:rsidR="00CB5A65">
        <w:t>about renewal</w:t>
      </w:r>
      <w:r w:rsidR="006C664F">
        <w:t xml:space="preserve"> and public interest</w:t>
      </w:r>
      <w:r w:rsidR="00CB5A65">
        <w:t xml:space="preserve"> statements</w:t>
      </w:r>
      <w:bookmarkEnd w:id="55"/>
    </w:p>
    <w:p w14:paraId="0EFA45C8" w14:textId="2E753CC4" w:rsidR="009C59E2" w:rsidRDefault="00675697" w:rsidP="00675697">
      <w:pPr>
        <w:pStyle w:val="Paragraph"/>
      </w:pPr>
      <w:r w:rsidRPr="00566AD5">
        <w:t xml:space="preserve">We expect </w:t>
      </w:r>
      <w:r w:rsidR="0066461E">
        <w:t xml:space="preserve">to consult </w:t>
      </w:r>
      <w:r w:rsidRPr="00566AD5">
        <w:t xml:space="preserve">with stakeholders </w:t>
      </w:r>
      <w:r>
        <w:t xml:space="preserve">concerning </w:t>
      </w:r>
      <w:r w:rsidR="004A77C6">
        <w:t>the</w:t>
      </w:r>
      <w:r w:rsidR="000727D9">
        <w:t xml:space="preserve"> collective</w:t>
      </w:r>
      <w:r w:rsidR="004A77C6">
        <w:t xml:space="preserve"> inclusion and content </w:t>
      </w:r>
      <w:r w:rsidR="00336FFA">
        <w:t xml:space="preserve">of </w:t>
      </w:r>
      <w:r>
        <w:t>renewal statements</w:t>
      </w:r>
      <w:r w:rsidR="002E6D62">
        <w:t xml:space="preserve">, renewal application period statements, and </w:t>
      </w:r>
      <w:r w:rsidR="00A27DFC">
        <w:t xml:space="preserve">public interest statements </w:t>
      </w:r>
      <w:r w:rsidR="001F01E9">
        <w:t xml:space="preserve">at </w:t>
      </w:r>
      <w:r w:rsidR="00F663DE">
        <w:t xml:space="preserve">different </w:t>
      </w:r>
      <w:r w:rsidR="000727D9">
        <w:t>times</w:t>
      </w:r>
      <w:r w:rsidR="00F663DE">
        <w:t xml:space="preserve">, depending on the relevant scenario. </w:t>
      </w:r>
    </w:p>
    <w:p w14:paraId="0C373896" w14:textId="778B98CD" w:rsidR="004B545D" w:rsidRDefault="00DC6DD5" w:rsidP="00CF238B">
      <w:pPr>
        <w:pStyle w:val="Paragraph"/>
      </w:pPr>
      <w:r>
        <w:t xml:space="preserve">For </w:t>
      </w:r>
      <w:r w:rsidR="00E610C5">
        <w:t xml:space="preserve">parts of the spectrum where we intend </w:t>
      </w:r>
      <w:r w:rsidR="006A3081">
        <w:t xml:space="preserve">a </w:t>
      </w:r>
      <w:r w:rsidR="007B1328">
        <w:t>large</w:t>
      </w:r>
      <w:r w:rsidR="006A3081">
        <w:t xml:space="preserve"> group of licences</w:t>
      </w:r>
      <w:r w:rsidR="0035331D">
        <w:t xml:space="preserve"> to have </w:t>
      </w:r>
      <w:r w:rsidR="00092E79">
        <w:t>common statements</w:t>
      </w:r>
      <w:r w:rsidR="00A7506C">
        <w:t>,</w:t>
      </w:r>
      <w:r w:rsidR="00092E79">
        <w:t xml:space="preserve"> </w:t>
      </w:r>
      <w:r w:rsidR="005A72F3">
        <w:t xml:space="preserve">such as a statement setting out that a licence may not be renewed to facilitate </w:t>
      </w:r>
      <w:r w:rsidR="00322FC3">
        <w:t>a planning activity</w:t>
      </w:r>
      <w:r w:rsidR="00CE630E">
        <w:t xml:space="preserve"> or to otherwise ensure consistent conditions across licensees</w:t>
      </w:r>
      <w:r w:rsidR="00322FC3">
        <w:t xml:space="preserve">, </w:t>
      </w:r>
      <w:r w:rsidR="00A8539A">
        <w:t xml:space="preserve">we </w:t>
      </w:r>
      <w:r w:rsidR="006F6749">
        <w:t>would consider making</w:t>
      </w:r>
      <w:r w:rsidR="00A8539A">
        <w:t xml:space="preserve"> </w:t>
      </w:r>
      <w:r w:rsidR="003456CD">
        <w:t xml:space="preserve">a legislative instrument requiring </w:t>
      </w:r>
      <w:r w:rsidR="00C4553B">
        <w:t xml:space="preserve">specified licences to include </w:t>
      </w:r>
      <w:r w:rsidR="006A619D">
        <w:t xml:space="preserve">that </w:t>
      </w:r>
      <w:r w:rsidR="00337D9B">
        <w:t>statement</w:t>
      </w:r>
      <w:r w:rsidR="006278AE">
        <w:t>.</w:t>
      </w:r>
      <w:r w:rsidR="00337D9B">
        <w:rPr>
          <w:rStyle w:val="FootnoteReference"/>
        </w:rPr>
        <w:footnoteReference w:id="25"/>
      </w:r>
      <w:r w:rsidR="006278AE">
        <w:t xml:space="preserve"> </w:t>
      </w:r>
      <w:r w:rsidR="008E34C8">
        <w:t>Consistent with our current practices and obligations, making such an instrument would require public consultation with stakeholders</w:t>
      </w:r>
      <w:r w:rsidR="00C31B12">
        <w:t>, and would likely occur in connection with a consultation regarding</w:t>
      </w:r>
      <w:r w:rsidR="00BC1B32">
        <w:t xml:space="preserve"> the planning arrangements for a band.</w:t>
      </w:r>
    </w:p>
    <w:p w14:paraId="3E3C1516" w14:textId="4E5CEEDF" w:rsidR="002101F8" w:rsidRDefault="002101F8" w:rsidP="00675697">
      <w:pPr>
        <w:pStyle w:val="Paragraph"/>
      </w:pPr>
      <w:r>
        <w:t>For new spectrum licence allocations, we will consult with stakeholders about the details of renewal statements when we consult on allocation instruments (that is, the marketing plan, which includes a draft spectrum licence for the relevant band)</w:t>
      </w:r>
      <w:r w:rsidR="00B0125A">
        <w:t xml:space="preserve">. This will first occur </w:t>
      </w:r>
      <w:r w:rsidR="00B4206D">
        <w:t xml:space="preserve">with the </w:t>
      </w:r>
      <w:r w:rsidR="00CC1379">
        <w:t xml:space="preserve">850/900 MHz spectrum licence process. </w:t>
      </w:r>
    </w:p>
    <w:p w14:paraId="2A3C1B7B" w14:textId="36824273" w:rsidR="00306751" w:rsidRDefault="009E76E9" w:rsidP="00675697">
      <w:pPr>
        <w:pStyle w:val="Paragraph"/>
      </w:pPr>
      <w:r>
        <w:t>For existing spectrum licences</w:t>
      </w:r>
      <w:r w:rsidR="008B0E9C">
        <w:t xml:space="preserve">, consultation concerning </w:t>
      </w:r>
      <w:r w:rsidR="00107F66">
        <w:t xml:space="preserve">the inclusion of </w:t>
      </w:r>
      <w:r w:rsidR="00152FC0">
        <w:t xml:space="preserve">the </w:t>
      </w:r>
      <w:r w:rsidR="008B0E9C">
        <w:t xml:space="preserve">statements will be undertaken as part of the renewal process. </w:t>
      </w:r>
    </w:p>
    <w:p w14:paraId="5FB18FB8" w14:textId="45199C21" w:rsidR="001642F9" w:rsidRDefault="00966EB2" w:rsidP="00B30DD7">
      <w:pPr>
        <w:pStyle w:val="Paragraph"/>
      </w:pPr>
      <w:r>
        <w:t>For existing apparatus licences</w:t>
      </w:r>
      <w:r w:rsidR="00336FFA">
        <w:t xml:space="preserve"> where inclusion of </w:t>
      </w:r>
      <w:r w:rsidR="00152FC0">
        <w:t>the statements</w:t>
      </w:r>
      <w:r w:rsidR="00336FFA">
        <w:t xml:space="preserve"> is appropriate</w:t>
      </w:r>
      <w:r w:rsidR="005B649A">
        <w:t xml:space="preserve">, consultation concerning renewal statements may also be undertaken </w:t>
      </w:r>
      <w:r w:rsidR="00BE2F8C">
        <w:t>at renewal</w:t>
      </w:r>
      <w:r w:rsidR="00336FFA">
        <w:t xml:space="preserve">. </w:t>
      </w:r>
    </w:p>
    <w:p w14:paraId="6F9C4BF0" w14:textId="3D59EE73" w:rsidR="00251226" w:rsidRDefault="001642F9" w:rsidP="00AE383B">
      <w:pPr>
        <w:pStyle w:val="Paragraph"/>
        <w:rPr>
          <w:rFonts w:eastAsia="Arial"/>
        </w:rPr>
      </w:pPr>
      <w:r>
        <w:t xml:space="preserve">We may also consult directly with licensees on an ad hoc basis as required. </w:t>
      </w:r>
    </w:p>
    <w:p w14:paraId="3D04385B" w14:textId="4D7A6886" w:rsidR="00540AB4" w:rsidRDefault="000C23F0" w:rsidP="00540AB4">
      <w:pPr>
        <w:pStyle w:val="Heading1"/>
      </w:pPr>
      <w:bookmarkStart w:id="56" w:name="_Toc65835976"/>
      <w:r>
        <w:lastRenderedPageBreak/>
        <w:t>Al</w:t>
      </w:r>
      <w:r w:rsidR="004129A3">
        <w:t>location</w:t>
      </w:r>
      <w:r w:rsidR="00AE0526">
        <w:t xml:space="preserve"> and re-allocation</w:t>
      </w:r>
      <w:bookmarkEnd w:id="56"/>
    </w:p>
    <w:p w14:paraId="7E3499E8" w14:textId="33C37EA9" w:rsidR="00540AB4" w:rsidRDefault="00EE547F" w:rsidP="00540AB4">
      <w:r>
        <w:t>Many of t</w:t>
      </w:r>
      <w:r w:rsidR="00B3638C">
        <w:t>he</w:t>
      </w:r>
      <w:r w:rsidR="00540AB4">
        <w:t xml:space="preserve"> new decision-making powers and other provisions </w:t>
      </w:r>
      <w:r>
        <w:t xml:space="preserve">in the Modernisation Act </w:t>
      </w:r>
      <w:r w:rsidR="00540AB4">
        <w:t xml:space="preserve">are intended to streamline allocation and re-allocation processes. </w:t>
      </w:r>
    </w:p>
    <w:p w14:paraId="706B25AF" w14:textId="13D8C48F" w:rsidR="00CB522A" w:rsidRPr="00854FF7" w:rsidRDefault="00CB522A" w:rsidP="00611F27">
      <w:pPr>
        <w:pStyle w:val="Heading2"/>
      </w:pPr>
      <w:bookmarkStart w:id="57" w:name="_Toc62643670"/>
      <w:bookmarkStart w:id="58" w:name="_Toc62643765"/>
      <w:bookmarkStart w:id="59" w:name="_Toc65835977"/>
      <w:r w:rsidRPr="00854FF7">
        <w:t>Relevant legislative provisions</w:t>
      </w:r>
      <w:bookmarkEnd w:id="57"/>
      <w:bookmarkEnd w:id="58"/>
      <w:bookmarkEnd w:id="59"/>
    </w:p>
    <w:p w14:paraId="599191C0" w14:textId="43479E67" w:rsidR="00CB522A" w:rsidRPr="00854FF7" w:rsidRDefault="002451BF"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Pr>
          <w:rFonts w:cs="Arial"/>
        </w:rPr>
        <w:br/>
      </w:r>
      <w:r w:rsidR="00CB522A" w:rsidRPr="00854FF7">
        <w:rPr>
          <w:rFonts w:cs="Arial"/>
        </w:rPr>
        <w:t>Subsection 39(1) of the Act as amended enables the ACMA to decide to make unencumbered spectrum available for spectrum licensing by preparing a marketing plan</w:t>
      </w:r>
      <w:r w:rsidR="00A143D9">
        <w:rPr>
          <w:rFonts w:cs="Arial"/>
        </w:rPr>
        <w:t xml:space="preserve"> for issuing spectrum licences</w:t>
      </w:r>
      <w:r w:rsidR="003501A0">
        <w:rPr>
          <w:rFonts w:cs="Arial"/>
        </w:rPr>
        <w:t>.</w:t>
      </w:r>
    </w:p>
    <w:p w14:paraId="4091513C" w14:textId="6DB1004F"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 xml:space="preserve">Subsection 39(2) of the Act as amended provides that the ACMA must not make a marketing plan for spectrum where an apparatus licence is in effect, unless the marketing plan provides that one or more spectrum licences is to be directly allocated to the holder of that apparatus licence. </w:t>
      </w:r>
    </w:p>
    <w:p w14:paraId="21E64683" w14:textId="77777777"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Subsection 60(1) of the Act as amended provides</w:t>
      </w:r>
      <w:r w:rsidRPr="002C057A">
        <w:rPr>
          <w:rFonts w:cs="Arial"/>
        </w:rPr>
        <w:t xml:space="preserve"> </w:t>
      </w:r>
      <w:r w:rsidRPr="00854FF7">
        <w:rPr>
          <w:rFonts w:cs="Arial"/>
        </w:rPr>
        <w:t>that the ACMA may directly allocate spectrum.</w:t>
      </w:r>
    </w:p>
    <w:p w14:paraId="1A2BCFA8" w14:textId="1E092C41"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Subsection 153</w:t>
      </w:r>
      <w:r w:rsidR="00697B82">
        <w:rPr>
          <w:rFonts w:cs="Arial"/>
        </w:rPr>
        <w:t>B</w:t>
      </w:r>
      <w:r w:rsidRPr="00854FF7">
        <w:rPr>
          <w:rFonts w:cs="Arial"/>
        </w:rPr>
        <w:t>(</w:t>
      </w:r>
      <w:r w:rsidR="00697B82">
        <w:rPr>
          <w:rFonts w:cs="Arial"/>
        </w:rPr>
        <w:t>1</w:t>
      </w:r>
      <w:r w:rsidRPr="00854FF7">
        <w:rPr>
          <w:rFonts w:cs="Arial"/>
        </w:rPr>
        <w:t xml:space="preserve">) of the Act as amended provides the ACMA with power to make a spectrum re-allocation declaration. </w:t>
      </w:r>
    </w:p>
    <w:p w14:paraId="6E18BFDA" w14:textId="1A0D1F4A"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 xml:space="preserve">Subsection 153B(4) of the Act as amended revises the time period related to the re-allocation for spectrum licences, reducing the minimum re-allocation period from </w:t>
      </w:r>
      <w:r w:rsidR="00083C22">
        <w:rPr>
          <w:rFonts w:cs="Arial"/>
        </w:rPr>
        <w:t>2</w:t>
      </w:r>
      <w:r w:rsidR="00083C22" w:rsidRPr="00854FF7">
        <w:rPr>
          <w:rFonts w:cs="Arial"/>
        </w:rPr>
        <w:t xml:space="preserve"> </w:t>
      </w:r>
      <w:r w:rsidRPr="00854FF7">
        <w:rPr>
          <w:rFonts w:cs="Arial"/>
        </w:rPr>
        <w:t>years to one year.</w:t>
      </w:r>
    </w:p>
    <w:p w14:paraId="59CED8AD" w14:textId="44CCAF0D" w:rsidR="00F06FC2" w:rsidRPr="00854FF7" w:rsidRDefault="00F06FC2" w:rsidP="00F06FC2">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Subsection 153</w:t>
      </w:r>
      <w:r>
        <w:rPr>
          <w:rFonts w:cs="Arial"/>
        </w:rPr>
        <w:t>B</w:t>
      </w:r>
      <w:r w:rsidRPr="00854FF7">
        <w:rPr>
          <w:rFonts w:cs="Arial"/>
        </w:rPr>
        <w:t>(</w:t>
      </w:r>
      <w:r>
        <w:rPr>
          <w:rFonts w:cs="Arial"/>
        </w:rPr>
        <w:t>6</w:t>
      </w:r>
      <w:r w:rsidRPr="00854FF7">
        <w:rPr>
          <w:rFonts w:cs="Arial"/>
        </w:rPr>
        <w:t>) of the Act as amended allows the ACMA to decide that encumbered spectrum is to be re-allocated by issuing spectrum licences, apparatus licences</w:t>
      </w:r>
      <w:r w:rsidR="00843AE9">
        <w:rPr>
          <w:rFonts w:cs="Arial"/>
        </w:rPr>
        <w:t>,</w:t>
      </w:r>
      <w:r w:rsidRPr="00854FF7">
        <w:rPr>
          <w:rFonts w:cs="Arial"/>
        </w:rPr>
        <w:t xml:space="preserve"> or both.</w:t>
      </w:r>
    </w:p>
    <w:p w14:paraId="4684F4FF" w14:textId="1A817BBB" w:rsidR="00CB522A" w:rsidRPr="00854FF7" w:rsidRDefault="00EE547F"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Pr>
          <w:rFonts w:cs="Arial"/>
        </w:rPr>
        <w:t>Paragraphs</w:t>
      </w:r>
      <w:r w:rsidRPr="00854FF7">
        <w:rPr>
          <w:rFonts w:cs="Arial"/>
        </w:rPr>
        <w:t xml:space="preserve"> </w:t>
      </w:r>
      <w:r w:rsidR="00CB522A" w:rsidRPr="00854FF7">
        <w:rPr>
          <w:rFonts w:cs="Arial"/>
        </w:rPr>
        <w:t xml:space="preserve">60(5)(a) and (b) of the Act as amended provide the ACMA with powers to impose allocation limits when allocating spectrum licences. The repeal of subsection 60(9) of the Act allows the ACMA to do this without first requiring a direction from the </w:t>
      </w:r>
      <w:r w:rsidR="00717F08">
        <w:rPr>
          <w:rFonts w:cs="Arial"/>
        </w:rPr>
        <w:t>m</w:t>
      </w:r>
      <w:r w:rsidR="00CB522A" w:rsidRPr="00854FF7">
        <w:rPr>
          <w:rFonts w:cs="Arial"/>
        </w:rPr>
        <w:t xml:space="preserve">inister. </w:t>
      </w:r>
    </w:p>
    <w:p w14:paraId="75B7BC91" w14:textId="5732A2B6"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Subsection</w:t>
      </w:r>
      <w:r w:rsidR="00EE547F">
        <w:rPr>
          <w:rFonts w:cs="Arial"/>
        </w:rPr>
        <w:t>s</w:t>
      </w:r>
      <w:r w:rsidRPr="00854FF7">
        <w:rPr>
          <w:rFonts w:cs="Arial"/>
        </w:rPr>
        <w:t xml:space="preserve"> 106(3) and (4) of the Act as amended allow the ACMA to impose allocation limits in price-based allocations of </w:t>
      </w:r>
      <w:r w:rsidR="00F06FC2">
        <w:rPr>
          <w:rFonts w:cs="Arial"/>
        </w:rPr>
        <w:t>transmitter</w:t>
      </w:r>
      <w:r w:rsidR="00F06FC2" w:rsidRPr="00854FF7">
        <w:rPr>
          <w:rFonts w:cs="Arial"/>
        </w:rPr>
        <w:t xml:space="preserve"> </w:t>
      </w:r>
      <w:r w:rsidRPr="00854FF7">
        <w:rPr>
          <w:rFonts w:cs="Arial"/>
        </w:rPr>
        <w:t xml:space="preserve">licences. The repeal of subsection 106(8) of the Act allows the ACMA to do this without first requiring a specific </w:t>
      </w:r>
      <w:r w:rsidR="00C97851">
        <w:rPr>
          <w:rFonts w:cs="Arial"/>
        </w:rPr>
        <w:t>m</w:t>
      </w:r>
      <w:r w:rsidRPr="00854FF7">
        <w:rPr>
          <w:rFonts w:cs="Arial"/>
        </w:rPr>
        <w:t xml:space="preserve">inisterial direction. </w:t>
      </w:r>
    </w:p>
    <w:p w14:paraId="24C9F007" w14:textId="5277DF0D" w:rsidR="00CB522A" w:rsidRPr="00854FF7" w:rsidRDefault="00F06FC2"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Pr>
          <w:rFonts w:cs="Arial"/>
        </w:rPr>
        <w:t>New s</w:t>
      </w:r>
      <w:r w:rsidR="00CB522A" w:rsidRPr="00854FF7">
        <w:rPr>
          <w:rFonts w:cs="Arial"/>
        </w:rPr>
        <w:t>ubsections 60(13</w:t>
      </w:r>
      <w:r>
        <w:rPr>
          <w:rFonts w:cs="Arial"/>
        </w:rPr>
        <w:t>A</w:t>
      </w:r>
      <w:r w:rsidR="00CB522A" w:rsidRPr="00854FF7">
        <w:rPr>
          <w:rFonts w:cs="Arial"/>
        </w:rPr>
        <w:t xml:space="preserve">) and </w:t>
      </w:r>
      <w:r w:rsidR="00BA5C0F">
        <w:rPr>
          <w:rFonts w:cs="Arial"/>
        </w:rPr>
        <w:t xml:space="preserve">new </w:t>
      </w:r>
      <w:r w:rsidR="00CB522A" w:rsidRPr="00854FF7">
        <w:rPr>
          <w:rFonts w:cs="Arial"/>
        </w:rPr>
        <w:t xml:space="preserve">subsection 102G(6) of the Act require the ACMA to consult with the ACCC before determining allocation limits when allocating spectrum licences and transmitter </w:t>
      </w:r>
      <w:r w:rsidR="00866752" w:rsidRPr="00854FF7">
        <w:rPr>
          <w:rFonts w:cs="Arial"/>
        </w:rPr>
        <w:t>licences,</w:t>
      </w:r>
      <w:r w:rsidR="00CB522A" w:rsidRPr="00854FF7">
        <w:rPr>
          <w:rFonts w:cs="Arial"/>
        </w:rPr>
        <w:t xml:space="preserve"> respectively.</w:t>
      </w:r>
    </w:p>
    <w:p w14:paraId="7209FF00" w14:textId="3382705B" w:rsidR="00CB522A" w:rsidRPr="00854FF7" w:rsidRDefault="00CB522A"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rPr>
      </w:pPr>
      <w:r w:rsidRPr="00854FF7">
        <w:rPr>
          <w:rFonts w:cs="Arial"/>
        </w:rPr>
        <w:t xml:space="preserve">Subsections 60(2), 60(3) and 60(4) of the Act as amended provide that the ACMA may determine credits for prospective bidders, tenderers or licensees when allocating spectrum licences. </w:t>
      </w:r>
    </w:p>
    <w:p w14:paraId="09936C16" w14:textId="2C3FB40B" w:rsidR="00CB522A" w:rsidRPr="00CB522A" w:rsidRDefault="00B169C5" w:rsidP="00CB522A">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highlight w:val="yellow"/>
        </w:rPr>
      </w:pPr>
      <w:r>
        <w:rPr>
          <w:rFonts w:cs="Arial"/>
        </w:rPr>
        <w:t>New p</w:t>
      </w:r>
      <w:r w:rsidR="005850DE">
        <w:rPr>
          <w:rFonts w:cs="Arial"/>
        </w:rPr>
        <w:t>aragraph</w:t>
      </w:r>
      <w:r>
        <w:rPr>
          <w:rFonts w:cs="Arial"/>
        </w:rPr>
        <w:t>s</w:t>
      </w:r>
      <w:r w:rsidR="005850DE">
        <w:rPr>
          <w:rFonts w:cs="Arial"/>
        </w:rPr>
        <w:t xml:space="preserve"> </w:t>
      </w:r>
      <w:r w:rsidR="00CB522A" w:rsidRPr="00854FF7">
        <w:rPr>
          <w:rFonts w:cs="Arial"/>
        </w:rPr>
        <w:t>106(2)(b</w:t>
      </w:r>
      <w:r>
        <w:rPr>
          <w:rFonts w:cs="Arial"/>
        </w:rPr>
        <w:t>a</w:t>
      </w:r>
      <w:r w:rsidR="00CB522A" w:rsidRPr="00854FF7">
        <w:rPr>
          <w:rFonts w:cs="Arial"/>
        </w:rPr>
        <w:t>)</w:t>
      </w:r>
      <w:r>
        <w:rPr>
          <w:rFonts w:cs="Arial"/>
        </w:rPr>
        <w:t xml:space="preserve"> and (bb)</w:t>
      </w:r>
      <w:r w:rsidR="00CB522A" w:rsidRPr="00854FF7">
        <w:rPr>
          <w:rFonts w:cs="Arial"/>
        </w:rPr>
        <w:t xml:space="preserve"> of the Act as amended provide that the ACMA may determine credits for prospective licensees when allocating and / or issuing certain </w:t>
      </w:r>
      <w:r w:rsidR="000B7D18">
        <w:rPr>
          <w:rFonts w:cs="Arial"/>
        </w:rPr>
        <w:t>transmitter</w:t>
      </w:r>
      <w:r w:rsidR="000B7D18" w:rsidRPr="00854FF7">
        <w:rPr>
          <w:rFonts w:cs="Arial"/>
        </w:rPr>
        <w:t xml:space="preserve"> </w:t>
      </w:r>
      <w:r w:rsidR="00CB522A" w:rsidRPr="00854FF7">
        <w:rPr>
          <w:rFonts w:cs="Arial"/>
        </w:rPr>
        <w:t xml:space="preserve">licences. </w:t>
      </w:r>
      <w:r w:rsidR="002451BF">
        <w:rPr>
          <w:rFonts w:cs="Arial"/>
          <w:highlight w:val="yellow"/>
        </w:rPr>
        <w:br/>
      </w:r>
    </w:p>
    <w:p w14:paraId="77A63BFD" w14:textId="77777777" w:rsidR="00CB522A" w:rsidRPr="00CB522A" w:rsidRDefault="00CB522A" w:rsidP="00CB522A">
      <w:pPr>
        <w:rPr>
          <w:rFonts w:cs="Arial"/>
          <w:highlight w:val="yellow"/>
        </w:rPr>
      </w:pPr>
    </w:p>
    <w:p w14:paraId="0C582863" w14:textId="77777777" w:rsidR="002C057A" w:rsidRPr="006762EC" w:rsidRDefault="002C057A" w:rsidP="006762EC">
      <w:pPr>
        <w:pStyle w:val="Heading2"/>
      </w:pPr>
      <w:bookmarkStart w:id="60" w:name="_Toc62643671"/>
      <w:bookmarkStart w:id="61" w:name="_Toc62643766"/>
      <w:bookmarkStart w:id="62" w:name="_Toc65835978"/>
      <w:bookmarkStart w:id="63" w:name="_Toc62643672"/>
      <w:bookmarkStart w:id="64" w:name="_Toc62643767"/>
      <w:r w:rsidRPr="006762EC">
        <w:lastRenderedPageBreak/>
        <w:t>Key decisions</w:t>
      </w:r>
      <w:bookmarkEnd w:id="60"/>
      <w:bookmarkEnd w:id="61"/>
      <w:bookmarkEnd w:id="62"/>
      <w:r w:rsidRPr="006762EC">
        <w:t xml:space="preserve"> </w:t>
      </w:r>
    </w:p>
    <w:p w14:paraId="65600017" w14:textId="19361DEE" w:rsidR="00536488" w:rsidRPr="00536488" w:rsidRDefault="00536488" w:rsidP="00517703">
      <w:pPr>
        <w:pStyle w:val="Paragraphbeforelist"/>
      </w:pPr>
      <w:r>
        <w:t xml:space="preserve">The key decisions </w:t>
      </w:r>
      <w:r w:rsidR="004C6CF7">
        <w:t xml:space="preserve">that we will make </w:t>
      </w:r>
      <w:r w:rsidR="001356C6">
        <w:t>regarding</w:t>
      </w:r>
      <w:r w:rsidR="004C6CF7">
        <w:t xml:space="preserve"> allocations </w:t>
      </w:r>
      <w:r w:rsidR="001356C6">
        <w:t xml:space="preserve">and re-allocations </w:t>
      </w:r>
      <w:r w:rsidR="004C6CF7">
        <w:t xml:space="preserve">are: </w:t>
      </w:r>
    </w:p>
    <w:p w14:paraId="2224C15D" w14:textId="38779174" w:rsidR="0058132F" w:rsidRPr="002C057A" w:rsidRDefault="00B227E4" w:rsidP="0058132F">
      <w:pPr>
        <w:pStyle w:val="Bulletlevel1"/>
      </w:pPr>
      <w:r w:rsidRPr="00AE383B">
        <w:rPr>
          <w:b/>
        </w:rPr>
        <w:t>Unencumbered spectrum</w:t>
      </w:r>
      <w:r>
        <w:t xml:space="preserve"> – we </w:t>
      </w:r>
      <w:r w:rsidR="007125A0">
        <w:t>may</w:t>
      </w:r>
      <w:r>
        <w:t xml:space="preserve"> make </w:t>
      </w:r>
      <w:r w:rsidR="007125A0">
        <w:t xml:space="preserve">unencumbered spectrum </w:t>
      </w:r>
      <w:r w:rsidR="0058132F" w:rsidRPr="002C057A">
        <w:t>available for spectrum licensing</w:t>
      </w:r>
      <w:r w:rsidR="002451BF">
        <w:t>.</w:t>
      </w:r>
      <w:r w:rsidR="007125A0">
        <w:t xml:space="preserve"> </w:t>
      </w:r>
    </w:p>
    <w:p w14:paraId="010578E9" w14:textId="5E13DF8A" w:rsidR="00E1537C" w:rsidRPr="002C057A" w:rsidRDefault="00E1537C" w:rsidP="00E1537C">
      <w:pPr>
        <w:pStyle w:val="Bulletlevel1"/>
      </w:pPr>
      <w:r w:rsidRPr="00BC470F">
        <w:rPr>
          <w:b/>
          <w:bCs/>
        </w:rPr>
        <w:t>Direct allocation</w:t>
      </w:r>
      <w:r>
        <w:t xml:space="preserve"> – </w:t>
      </w:r>
      <w:r w:rsidR="00C81C22">
        <w:t>we may directly</w:t>
      </w:r>
      <w:r w:rsidRPr="002C057A">
        <w:t xml:space="preserve"> allocat</w:t>
      </w:r>
      <w:r>
        <w:t xml:space="preserve">e </w:t>
      </w:r>
      <w:r w:rsidRPr="002C057A">
        <w:t>a spectrum licence</w:t>
      </w:r>
      <w:r w:rsidR="002451BF">
        <w:t>.</w:t>
      </w:r>
    </w:p>
    <w:p w14:paraId="74823C08" w14:textId="3B738727" w:rsidR="002C057A" w:rsidRPr="002C057A" w:rsidRDefault="00B227E4" w:rsidP="00AE383B">
      <w:pPr>
        <w:pStyle w:val="Bulletlevel1"/>
      </w:pPr>
      <w:r w:rsidRPr="00AE383B">
        <w:rPr>
          <w:b/>
        </w:rPr>
        <w:t>Re-allocating encumbered spectrum</w:t>
      </w:r>
      <w:r>
        <w:t xml:space="preserve"> – we </w:t>
      </w:r>
      <w:r w:rsidR="00C81C22">
        <w:t>may</w:t>
      </w:r>
      <w:r w:rsidR="002C057A" w:rsidRPr="002C057A">
        <w:t xml:space="preserve"> re</w:t>
      </w:r>
      <w:r w:rsidR="00736EE6">
        <w:t>-</w:t>
      </w:r>
      <w:r w:rsidR="00C81C22">
        <w:t xml:space="preserve">allocate parts of the spectrum </w:t>
      </w:r>
      <w:r w:rsidR="008F0102">
        <w:t>through the issue of</w:t>
      </w:r>
      <w:r w:rsidR="002C057A" w:rsidRPr="002C057A">
        <w:t xml:space="preserve"> spectrum</w:t>
      </w:r>
      <w:r w:rsidR="00AD3217">
        <w:t xml:space="preserve"> or</w:t>
      </w:r>
      <w:r w:rsidR="002C057A" w:rsidRPr="002C057A">
        <w:t xml:space="preserve"> apparatus licences </w:t>
      </w:r>
      <w:r w:rsidR="00AD3217">
        <w:t>(</w:t>
      </w:r>
      <w:r w:rsidR="002C057A" w:rsidRPr="002C057A">
        <w:t>or both</w:t>
      </w:r>
      <w:r w:rsidR="00AD3217">
        <w:t>)</w:t>
      </w:r>
      <w:r w:rsidR="00736EE6">
        <w:t>, o</w:t>
      </w:r>
      <w:r>
        <w:t xml:space="preserve">r by </w:t>
      </w:r>
      <w:r w:rsidR="002C057A" w:rsidRPr="002C057A">
        <w:t>us</w:t>
      </w:r>
      <w:r w:rsidR="00547732">
        <w:t>ing</w:t>
      </w:r>
      <w:r w:rsidR="002C057A" w:rsidRPr="002C057A">
        <w:t xml:space="preserve"> renewal statements and licence terms to manage change</w:t>
      </w:r>
      <w:r w:rsidR="000E3AD0">
        <w:t>s</w:t>
      </w:r>
      <w:r w:rsidR="002C057A" w:rsidRPr="002C057A">
        <w:t xml:space="preserve"> in band use or licensees</w:t>
      </w:r>
      <w:r w:rsidR="002451BF">
        <w:t>.</w:t>
      </w:r>
    </w:p>
    <w:p w14:paraId="761B7F30" w14:textId="5A14AAB9" w:rsidR="00255443" w:rsidRDefault="00F03335" w:rsidP="00945ECB">
      <w:pPr>
        <w:pStyle w:val="Bulletlevel1"/>
      </w:pPr>
      <w:r w:rsidRPr="00AE383B">
        <w:rPr>
          <w:b/>
        </w:rPr>
        <w:t>Allocation limits</w:t>
      </w:r>
      <w:r>
        <w:t xml:space="preserve"> – </w:t>
      </w:r>
      <w:r w:rsidR="008F0102">
        <w:t xml:space="preserve">we may determine </w:t>
      </w:r>
      <w:r w:rsidR="00EB658C">
        <w:t>aggregate</w:t>
      </w:r>
      <w:r w:rsidR="008F0102">
        <w:t xml:space="preserve"> limits on</w:t>
      </w:r>
      <w:r w:rsidR="00945ECB" w:rsidRPr="00945ECB">
        <w:t xml:space="preserve"> parts of the spectrum that may be used by a person (or group of persons) as a result of an allocation process</w:t>
      </w:r>
      <w:r w:rsidR="002451BF">
        <w:t>.</w:t>
      </w:r>
    </w:p>
    <w:p w14:paraId="6B7053EC" w14:textId="3CB3D255" w:rsidR="002C057A" w:rsidRPr="002C057A" w:rsidRDefault="00255443" w:rsidP="00945ECB">
      <w:pPr>
        <w:pStyle w:val="Bulletlevel1"/>
      </w:pPr>
      <w:r w:rsidRPr="00AE383B">
        <w:rPr>
          <w:b/>
        </w:rPr>
        <w:t>Bidder credits</w:t>
      </w:r>
      <w:r>
        <w:t xml:space="preserve"> – as part of d</w:t>
      </w:r>
      <w:r w:rsidR="00C5009E">
        <w:t xml:space="preserve">etermining </w:t>
      </w:r>
      <w:r w:rsidR="00942C11">
        <w:t>the</w:t>
      </w:r>
      <w:r w:rsidR="002C057A" w:rsidRPr="002C057A">
        <w:t xml:space="preserve"> procedures for </w:t>
      </w:r>
      <w:r w:rsidR="00B0002E">
        <w:t xml:space="preserve">price-based </w:t>
      </w:r>
      <w:r w:rsidR="002C057A" w:rsidRPr="002C057A">
        <w:t>allocati</w:t>
      </w:r>
      <w:r w:rsidR="00B0002E">
        <w:t>ons</w:t>
      </w:r>
      <w:r w:rsidR="002C057A" w:rsidRPr="002C057A">
        <w:t xml:space="preserve">, </w:t>
      </w:r>
      <w:r w:rsidR="008F0102">
        <w:t xml:space="preserve">we may determine </w:t>
      </w:r>
      <w:r>
        <w:t xml:space="preserve">whether </w:t>
      </w:r>
      <w:r w:rsidR="002C057A" w:rsidRPr="002C057A">
        <w:t>credits</w:t>
      </w:r>
      <w:r>
        <w:t xml:space="preserve"> may be used </w:t>
      </w:r>
      <w:r w:rsidR="008B5BA6">
        <w:t>to promote the bids of certain interested parties.</w:t>
      </w:r>
      <w:r w:rsidR="00D66894">
        <w:t xml:space="preserve"> </w:t>
      </w:r>
    </w:p>
    <w:p w14:paraId="4F05732D" w14:textId="2D5B37A6" w:rsidR="00B94B72" w:rsidRDefault="00B94B72" w:rsidP="008D0731">
      <w:pPr>
        <w:pStyle w:val="Heading2"/>
        <w:rPr>
          <w:rFonts w:eastAsiaTheme="minorHAnsi"/>
          <w:lang w:eastAsia="en-US"/>
        </w:rPr>
      </w:pPr>
      <w:bookmarkStart w:id="65" w:name="_Toc65835979"/>
      <w:r>
        <w:t>How the ACMA intends to exercise its powers</w:t>
      </w:r>
      <w:bookmarkEnd w:id="63"/>
      <w:bookmarkEnd w:id="64"/>
      <w:bookmarkEnd w:id="65"/>
      <w:r>
        <w:t xml:space="preserve"> </w:t>
      </w:r>
    </w:p>
    <w:p w14:paraId="501283E5" w14:textId="68A19579" w:rsidR="00C6028D" w:rsidRDefault="00540AB4" w:rsidP="004B4ED8">
      <w:pPr>
        <w:pStyle w:val="Heading3"/>
      </w:pPr>
      <w:bookmarkStart w:id="66" w:name="_Toc65835980"/>
      <w:r w:rsidRPr="00C8728F">
        <w:rPr>
          <w:rFonts w:eastAsiaTheme="minorHAnsi"/>
          <w:lang w:eastAsia="en-US"/>
        </w:rPr>
        <w:t>Powers to make unencumbered spectrum available for spectrum licensing</w:t>
      </w:r>
      <w:bookmarkEnd w:id="66"/>
    </w:p>
    <w:p w14:paraId="73CDEED1" w14:textId="74746509" w:rsidR="003814F1" w:rsidRDefault="00540AB4" w:rsidP="00540AB4">
      <w:pPr>
        <w:pStyle w:val="Paragraph"/>
      </w:pPr>
      <w:r>
        <w:t xml:space="preserve">Under the </w:t>
      </w:r>
      <w:r w:rsidR="00944450">
        <w:t>Act as amended</w:t>
      </w:r>
      <w:r>
        <w:t xml:space="preserve">, the </w:t>
      </w:r>
      <w:r w:rsidR="00717F08">
        <w:t>m</w:t>
      </w:r>
      <w:r>
        <w:t>inister will no longer</w:t>
      </w:r>
      <w:r w:rsidR="00CE3EAF">
        <w:t xml:space="preserve"> be responsible for</w:t>
      </w:r>
      <w:r>
        <w:t xml:space="preserve"> designat</w:t>
      </w:r>
      <w:r w:rsidR="00BF0650">
        <w:t>ing</w:t>
      </w:r>
      <w:r>
        <w:t xml:space="preserve"> </w:t>
      </w:r>
      <w:r w:rsidR="00AC0C48">
        <w:t xml:space="preserve">parts of the spectrum </w:t>
      </w:r>
      <w:r>
        <w:t>for spectrum licensing.</w:t>
      </w:r>
      <w:r w:rsidR="00BF0830">
        <w:rPr>
          <w:rStyle w:val="FootnoteReference"/>
        </w:rPr>
        <w:footnoteReference w:id="26"/>
      </w:r>
      <w:r>
        <w:t xml:space="preserve"> Instead, we will be able to prepare a marketing plan for any part of the spectrum where an apparatus licence is not in effect (or where an apparatus licence is in effect and the marketing plan provides for direct allocation of a spectrum licence to the apparatus licensee), and issue spectrum licences</w:t>
      </w:r>
      <w:r w:rsidR="002D545D">
        <w:t xml:space="preserve">, via various </w:t>
      </w:r>
      <w:r w:rsidR="00FD7F5D">
        <w:t>allocation methods.</w:t>
      </w:r>
      <w:r w:rsidR="00B701DD">
        <w:t xml:space="preserve"> </w:t>
      </w:r>
    </w:p>
    <w:p w14:paraId="3BDFE209" w14:textId="77777777" w:rsidR="00794932" w:rsidRDefault="00D73DDE" w:rsidP="00794932">
      <w:pPr>
        <w:pStyle w:val="Heading4"/>
        <w:rPr>
          <w:szCs w:val="26"/>
        </w:rPr>
      </w:pPr>
      <w:r w:rsidRPr="008D0731">
        <w:rPr>
          <w:szCs w:val="26"/>
        </w:rPr>
        <w:t>When we will consult with you on making unencumbered spectrum available</w:t>
      </w:r>
    </w:p>
    <w:p w14:paraId="3CFC8ED5" w14:textId="30520A65" w:rsidR="009E14C2" w:rsidRPr="00105365" w:rsidRDefault="00E24455" w:rsidP="00794932">
      <w:pPr>
        <w:pStyle w:val="Paragraph"/>
      </w:pPr>
      <w:r>
        <w:t>The</w:t>
      </w:r>
      <w:r w:rsidR="009E14C2">
        <w:t xml:space="preserve"> annual work program will provide advance notice to interested parties on those bands that have been identified for allocation by spectrum licensing and provide information about the process and timing for the issue of spectrum licences</w:t>
      </w:r>
      <w:r w:rsidR="00794932">
        <w:t>.</w:t>
      </w:r>
      <w:r w:rsidR="009E14C2">
        <w:t xml:space="preserve"> This process follows the extensive consultation on band planning </w:t>
      </w:r>
      <w:r w:rsidR="00120B45">
        <w:t xml:space="preserve">that occurs </w:t>
      </w:r>
      <w:r w:rsidR="009E14C2">
        <w:t>to identify the relevant band</w:t>
      </w:r>
      <w:r w:rsidR="005850DE">
        <w:t>s</w:t>
      </w:r>
      <w:r w:rsidR="009E14C2">
        <w:t xml:space="preserve"> and frequencies proposed for spectrum licensing.</w:t>
      </w:r>
    </w:p>
    <w:p w14:paraId="31CE809D" w14:textId="3063CDBA" w:rsidR="00E1537C" w:rsidRPr="00E1537C" w:rsidRDefault="00E1537C" w:rsidP="00AF1408">
      <w:pPr>
        <w:pStyle w:val="Heading3"/>
      </w:pPr>
      <w:bookmarkStart w:id="67" w:name="_Toc65835981"/>
      <w:r w:rsidRPr="00E1537C">
        <w:t>Powers to directly allocate spectrum licences</w:t>
      </w:r>
      <w:bookmarkEnd w:id="67"/>
    </w:p>
    <w:p w14:paraId="5A28C3BA" w14:textId="5987444F" w:rsidR="00E1537C" w:rsidRPr="00E1537C" w:rsidRDefault="00E1537C" w:rsidP="00E1537C">
      <w:pPr>
        <w:pStyle w:val="Paragraph"/>
      </w:pPr>
      <w:r w:rsidRPr="00E1537C">
        <w:t>Direct allocation of spectrum licences is another mechanism supporting the re</w:t>
      </w:r>
      <w:r w:rsidR="00682B00">
        <w:t>-</w:t>
      </w:r>
      <w:r w:rsidRPr="00E1537C">
        <w:t xml:space="preserve">allocation of spectrum to another higher value use or to enable use in particular </w:t>
      </w:r>
      <w:r w:rsidR="00866752" w:rsidRPr="00E1537C">
        <w:t>circumstances and</w:t>
      </w:r>
      <w:r w:rsidR="009D364C">
        <w:t xml:space="preserve"> may be used</w:t>
      </w:r>
      <w:r w:rsidRPr="00E1537C">
        <w:t xml:space="preserve"> often to support defence or national interest policy purposes.</w:t>
      </w:r>
    </w:p>
    <w:p w14:paraId="68E9955A" w14:textId="3054FBA3" w:rsidR="00E1537C" w:rsidRPr="00E1537C" w:rsidRDefault="00E1537C" w:rsidP="00E1537C">
      <w:pPr>
        <w:pStyle w:val="Paragraph"/>
      </w:pPr>
      <w:r w:rsidRPr="00E1537C">
        <w:t xml:space="preserve">The Act as amended provides us the discretion to determine when direct allocation of spectrum licences may be appropriate, and we will be able to do so without first having to receive a notice from the </w:t>
      </w:r>
      <w:r w:rsidR="00717F08">
        <w:t>m</w:t>
      </w:r>
      <w:r w:rsidRPr="00E1537C">
        <w:t xml:space="preserve">inister designating that part of the spectrum for spectrum licences. </w:t>
      </w:r>
      <w:r w:rsidR="008901E0" w:rsidRPr="00E1537C">
        <w:rPr>
          <w:rFonts w:cs="Times New Roman"/>
        </w:rPr>
        <w:t>Direct allocation (in accordance with a marketing plan) allow</w:t>
      </w:r>
      <w:r w:rsidR="005010C1">
        <w:rPr>
          <w:rFonts w:cs="Times New Roman"/>
        </w:rPr>
        <w:t>s</w:t>
      </w:r>
      <w:r w:rsidR="008901E0" w:rsidRPr="00E1537C">
        <w:rPr>
          <w:rFonts w:cs="Times New Roman"/>
        </w:rPr>
        <w:t xml:space="preserve"> for a more straightforward process than currently available to allocate spectrum licences in circumstances where market mechanisms such as auctions are not considered appropriate</w:t>
      </w:r>
      <w:r w:rsidR="00D25057">
        <w:rPr>
          <w:rFonts w:cs="Times New Roman"/>
        </w:rPr>
        <w:t>.</w:t>
      </w:r>
      <w:r w:rsidR="008901E0" w:rsidRPr="00E1537C">
        <w:rPr>
          <w:rFonts w:cs="Times New Roman"/>
        </w:rPr>
        <w:t xml:space="preserve"> </w:t>
      </w:r>
      <w:r w:rsidR="00D25057">
        <w:rPr>
          <w:rFonts w:cs="Times New Roman"/>
        </w:rPr>
        <w:t>F</w:t>
      </w:r>
      <w:r w:rsidR="008901E0" w:rsidRPr="00E1537C">
        <w:rPr>
          <w:rFonts w:cs="Times New Roman"/>
        </w:rPr>
        <w:t xml:space="preserve">or example, </w:t>
      </w:r>
      <w:r w:rsidR="00297D72">
        <w:rPr>
          <w:rFonts w:cs="Times New Roman"/>
        </w:rPr>
        <w:t>direct allocation may be suitable</w:t>
      </w:r>
      <w:r w:rsidR="008901E0" w:rsidRPr="00E1537C">
        <w:rPr>
          <w:rFonts w:cs="Times New Roman"/>
        </w:rPr>
        <w:t xml:space="preserve"> where there are no competing uses or users of the spectrum, or where required to support the communications policy objectives of the </w:t>
      </w:r>
      <w:r w:rsidR="005A01D5">
        <w:rPr>
          <w:rFonts w:cs="Times New Roman"/>
        </w:rPr>
        <w:t>Australian</w:t>
      </w:r>
      <w:r w:rsidR="005A01D5" w:rsidRPr="00E1537C">
        <w:rPr>
          <w:rFonts w:cs="Times New Roman"/>
        </w:rPr>
        <w:t xml:space="preserve"> </w:t>
      </w:r>
      <w:r w:rsidR="008901E0" w:rsidRPr="00E1537C">
        <w:rPr>
          <w:rFonts w:cs="Times New Roman"/>
        </w:rPr>
        <w:t>government or for defence or national security purposes</w:t>
      </w:r>
      <w:r w:rsidR="008901E0" w:rsidRPr="00E1537C" w:rsidDel="00305586">
        <w:rPr>
          <w:rFonts w:cs="Times New Roman"/>
        </w:rPr>
        <w:t>.</w:t>
      </w:r>
    </w:p>
    <w:p w14:paraId="64139547" w14:textId="77777777" w:rsidR="00C22EF2" w:rsidRPr="00C22EF2" w:rsidRDefault="00E1537C" w:rsidP="00C22EF2">
      <w:pPr>
        <w:pStyle w:val="Paragraph"/>
      </w:pPr>
      <w:r w:rsidRPr="00E1537C">
        <w:t xml:space="preserve">We do not expect direct allocation of spectrum licences (instead of a price-based allocation process) to be a common occurrence outside of its role in replacing the </w:t>
      </w:r>
      <w:r w:rsidRPr="00E1537C">
        <w:lastRenderedPageBreak/>
        <w:t>conversion process. However, we may take the view that direct allocation of a spectrum licence is preferable to a price-based allocation, for example to facilitate spectrum access for a non-commercial operator, or for a public good use-case.</w:t>
      </w:r>
    </w:p>
    <w:p w14:paraId="176BA14B" w14:textId="35192A38" w:rsidR="00F03026" w:rsidRPr="00E1537C" w:rsidRDefault="00F03026" w:rsidP="00E1537C">
      <w:pPr>
        <w:pStyle w:val="Paragraph"/>
      </w:pPr>
      <w:r>
        <w:t xml:space="preserve">Direct allocation partially replaces the conversion process previously provided for under </w:t>
      </w:r>
      <w:r w:rsidR="00514A24">
        <w:t xml:space="preserve">repealed </w:t>
      </w:r>
      <w:r>
        <w:t>section 38 of the Act.</w:t>
      </w:r>
      <w:r w:rsidR="002F179F" w:rsidRPr="002F179F">
        <w:rPr>
          <w:rFonts w:cs="Times New Roman"/>
          <w:vertAlign w:val="superscript"/>
        </w:rPr>
        <w:t xml:space="preserve"> </w:t>
      </w:r>
      <w:r w:rsidR="002F179F" w:rsidRPr="00E1537C">
        <w:rPr>
          <w:rFonts w:cs="Times New Roman"/>
          <w:vertAlign w:val="superscript"/>
        </w:rPr>
        <w:footnoteReference w:id="27"/>
      </w:r>
    </w:p>
    <w:p w14:paraId="6CFEAE95" w14:textId="0E92B5F7" w:rsidR="006D2BDF" w:rsidRPr="00E1537C" w:rsidRDefault="002451BF" w:rsidP="006D2BDF">
      <w:r>
        <w:rPr>
          <w:b/>
          <w:bCs/>
          <w:i/>
          <w:iCs/>
        </w:rPr>
        <w:t>C</w:t>
      </w:r>
      <w:r w:rsidR="005B3AF1" w:rsidRPr="00DA58E6">
        <w:rPr>
          <w:b/>
          <w:bCs/>
          <w:i/>
          <w:iCs/>
        </w:rPr>
        <w:t>onsult</w:t>
      </w:r>
      <w:r>
        <w:rPr>
          <w:b/>
          <w:bCs/>
          <w:i/>
          <w:iCs/>
        </w:rPr>
        <w:t>ing</w:t>
      </w:r>
      <w:r w:rsidR="005B3AF1" w:rsidRPr="00DA58E6">
        <w:rPr>
          <w:b/>
          <w:bCs/>
          <w:i/>
          <w:iCs/>
        </w:rPr>
        <w:t xml:space="preserve"> with you on a decision to directly allocate spectrum licences</w:t>
      </w:r>
      <w:r w:rsidR="005B3AF1" w:rsidRPr="00DA58E6">
        <w:rPr>
          <w:b/>
          <w:bCs/>
          <w:i/>
          <w:iCs/>
        </w:rPr>
        <w:br/>
      </w:r>
      <w:r w:rsidR="002F179F">
        <w:t xml:space="preserve">Under the Act as amended, a marketing plan is required prior to the direct allocation of a spectrum licence. </w:t>
      </w:r>
      <w:r w:rsidR="001442FB">
        <w:t>Consistent with our established practices we will undertake both targeted and public consultation prior to making a marketing plan.</w:t>
      </w:r>
    </w:p>
    <w:p w14:paraId="44E87951" w14:textId="77777777" w:rsidR="0094022D" w:rsidRPr="00C8728F" w:rsidRDefault="0094022D" w:rsidP="0094022D">
      <w:pPr>
        <w:pStyle w:val="Heading3"/>
        <w:rPr>
          <w:rFonts w:eastAsiaTheme="minorHAnsi"/>
          <w:lang w:eastAsia="en-US"/>
        </w:rPr>
      </w:pPr>
      <w:bookmarkStart w:id="68" w:name="_Toc65835982"/>
      <w:r w:rsidRPr="6B1E33C4">
        <w:rPr>
          <w:rFonts w:eastAsiaTheme="minorEastAsia"/>
          <w:lang w:eastAsia="en-US"/>
        </w:rPr>
        <w:t>Powers to decide that encumbered spectrum is to be re-allocated by issuing spectrum licences, apparatus licences, or both.</w:t>
      </w:r>
      <w:bookmarkEnd w:id="68"/>
    </w:p>
    <w:p w14:paraId="22AE1EE8" w14:textId="6F540C97" w:rsidR="00FF4B36" w:rsidRDefault="00FF4B36" w:rsidP="00A97794">
      <w:pPr>
        <w:pStyle w:val="Paragraphbeforelist"/>
      </w:pPr>
      <w:r>
        <w:t xml:space="preserve">The Modernisation Act sets out </w:t>
      </w:r>
      <w:r w:rsidR="00083C22">
        <w:t xml:space="preserve">2 </w:t>
      </w:r>
      <w:r>
        <w:t>paths for dealing with the re</w:t>
      </w:r>
      <w:r w:rsidR="00F0113F">
        <w:t>-</w:t>
      </w:r>
      <w:r>
        <w:t>allocation of encumbered spectrum</w:t>
      </w:r>
      <w:r w:rsidR="00E32FE0">
        <w:t>,</w:t>
      </w:r>
      <w:r>
        <w:t xml:space="preserve"> </w:t>
      </w:r>
      <w:r w:rsidR="00F0113F">
        <w:t xml:space="preserve">by </w:t>
      </w:r>
      <w:r>
        <w:t>using</w:t>
      </w:r>
      <w:r w:rsidR="009324A9">
        <w:t xml:space="preserve"> </w:t>
      </w:r>
      <w:r w:rsidR="001969E0">
        <w:t>either</w:t>
      </w:r>
      <w:r w:rsidR="001A61D0">
        <w:t>:</w:t>
      </w:r>
    </w:p>
    <w:p w14:paraId="0CE46C39" w14:textId="26B248F6" w:rsidR="00FF4B36" w:rsidRDefault="005836A9" w:rsidP="00FF4B36">
      <w:pPr>
        <w:pStyle w:val="Bulletlevel1"/>
      </w:pPr>
      <w:r>
        <w:t>r</w:t>
      </w:r>
      <w:r w:rsidR="00FF4B36">
        <w:t>enewal statements and licence terms to manag</w:t>
      </w:r>
      <w:r w:rsidR="001A61D0">
        <w:t>e</w:t>
      </w:r>
      <w:r w:rsidR="00FF4B36">
        <w:t xml:space="preserve"> changing use of spectrum by licensees (these mechanisms were outlined earlier)</w:t>
      </w:r>
    </w:p>
    <w:p w14:paraId="32187431" w14:textId="0C43B7AE" w:rsidR="00FF4B36" w:rsidRDefault="005836A9" w:rsidP="00FF4B36">
      <w:pPr>
        <w:pStyle w:val="Bulletlevel1last"/>
      </w:pPr>
      <w:r>
        <w:t>r</w:t>
      </w:r>
      <w:r w:rsidR="00FF4B36">
        <w:t>e</w:t>
      </w:r>
      <w:r w:rsidR="001969E0">
        <w:t>-</w:t>
      </w:r>
      <w:r w:rsidR="00FF4B36">
        <w:t>allocation mechanisms (discussed further here)</w:t>
      </w:r>
      <w:r w:rsidR="001969E0">
        <w:t>.</w:t>
      </w:r>
    </w:p>
    <w:p w14:paraId="298AFE0E" w14:textId="25EF174C" w:rsidR="001948EE" w:rsidRDefault="00FF4B36" w:rsidP="00A10BE8">
      <w:r>
        <w:t xml:space="preserve">Under changes made by the </w:t>
      </w:r>
      <w:r w:rsidRPr="0076648B">
        <w:t>Modernisation Act</w:t>
      </w:r>
      <w:r>
        <w:t>,</w:t>
      </w:r>
      <w:r w:rsidRPr="0076648B">
        <w:t xml:space="preserve"> </w:t>
      </w:r>
      <w:r w:rsidR="001948EE">
        <w:t>a</w:t>
      </w:r>
      <w:r w:rsidR="001948EE" w:rsidRPr="00A10BE8">
        <w:t xml:space="preserve"> re-allocation declaration can provide for the re-allocation of </w:t>
      </w:r>
      <w:r w:rsidR="0046107C">
        <w:t xml:space="preserve">a </w:t>
      </w:r>
      <w:r w:rsidR="001948EE" w:rsidRPr="00A10BE8">
        <w:t xml:space="preserve">band </w:t>
      </w:r>
      <w:r w:rsidR="0046107C">
        <w:t xml:space="preserve">for </w:t>
      </w:r>
      <w:r w:rsidR="001948EE" w:rsidRPr="00A10BE8">
        <w:t>both spectrum and apparatus licences.</w:t>
      </w:r>
      <w:r w:rsidR="00E12471">
        <w:t xml:space="preserve"> This change introduces some valuable flexibility into our planning, licensing and allocation processes. </w:t>
      </w:r>
      <w:r w:rsidR="00E14DC6">
        <w:t xml:space="preserve">For example, </w:t>
      </w:r>
      <w:r w:rsidR="00AD7744">
        <w:t xml:space="preserve">if we have reason to believe that the efficiency of the use of a band </w:t>
      </w:r>
      <w:r w:rsidR="00741303">
        <w:t xml:space="preserve">could be enhanced through a change in use, we would then have the ability </w:t>
      </w:r>
      <w:r w:rsidR="00E11A06">
        <w:t xml:space="preserve">to offer both wide-area spectrum licences, and highly granular </w:t>
      </w:r>
      <w:r w:rsidR="005D7666">
        <w:t>apparatus licences.</w:t>
      </w:r>
    </w:p>
    <w:p w14:paraId="42A7191C" w14:textId="1118DE9D" w:rsidR="00800AFF" w:rsidRDefault="00800AFF" w:rsidP="00A10BE8">
      <w:r>
        <w:t xml:space="preserve">This </w:t>
      </w:r>
      <w:r w:rsidR="00E25EF7">
        <w:t xml:space="preserve">added flexibility </w:t>
      </w:r>
      <w:r w:rsidR="00BE6FB6">
        <w:t xml:space="preserve">enables us to </w:t>
      </w:r>
      <w:r w:rsidR="0056077C">
        <w:t>re</w:t>
      </w:r>
      <w:r w:rsidR="00585073">
        <w:t>-</w:t>
      </w:r>
      <w:r w:rsidR="0056077C">
        <w:t>allocate spectrum, and then to tailor t</w:t>
      </w:r>
      <w:r w:rsidR="00190517">
        <w:t xml:space="preserve">he offering to specific market segments. Granular licences, including those recently offered </w:t>
      </w:r>
      <w:r w:rsidR="00D95FCD">
        <w:t>in the 26 GHz and 28 GHz bands, could be used to appeal to small</w:t>
      </w:r>
      <w:r w:rsidR="00B83EAE">
        <w:t xml:space="preserve"> market players or new entrants, and wide area licences could be used to appeal to </w:t>
      </w:r>
      <w:r w:rsidR="00A10D1C">
        <w:t>those parties seeking to deploy large scale, or nationwide, services.</w:t>
      </w:r>
    </w:p>
    <w:p w14:paraId="12988A6C" w14:textId="26BA4DF5" w:rsidR="00FF4B36" w:rsidRPr="00C42839" w:rsidRDefault="00A10BE8" w:rsidP="00FF4B36">
      <w:pPr>
        <w:rPr>
          <w:i/>
          <w:iCs/>
        </w:rPr>
      </w:pPr>
      <w:r w:rsidRPr="00A10BE8">
        <w:t xml:space="preserve">A re-allocation declaration can provide for the re-allocation of the band by </w:t>
      </w:r>
      <w:r w:rsidR="00A17EE8">
        <w:t xml:space="preserve">issuing </w:t>
      </w:r>
      <w:r w:rsidRPr="00A10BE8">
        <w:t>spectrum</w:t>
      </w:r>
      <w:r w:rsidR="00A17EE8">
        <w:t xml:space="preserve"> licences, </w:t>
      </w:r>
      <w:r w:rsidRPr="00A10BE8">
        <w:t>apparatus licences</w:t>
      </w:r>
      <w:r w:rsidR="00A17EE8">
        <w:t>, or a combination of both</w:t>
      </w:r>
      <w:r w:rsidRPr="00A10BE8">
        <w:t xml:space="preserve">. But a marketing plan under section 39 (in vacant spectrum, or in </w:t>
      </w:r>
      <w:r w:rsidR="00785016">
        <w:t>apparatus</w:t>
      </w:r>
      <w:r w:rsidR="00843AE9">
        <w:t>-</w:t>
      </w:r>
      <w:r w:rsidR="00785016">
        <w:t xml:space="preserve">licenced </w:t>
      </w:r>
      <w:r w:rsidRPr="00A10BE8">
        <w:t xml:space="preserve">spectrum </w:t>
      </w:r>
      <w:r w:rsidR="00785016">
        <w:t>where the marketing plan provides for</w:t>
      </w:r>
      <w:r w:rsidRPr="00A10BE8">
        <w:t xml:space="preserve"> direct allocation to the incumbent) can only provide for allocation of spectrum licences. </w:t>
      </w:r>
      <w:r w:rsidR="00785016">
        <w:t>Additionally</w:t>
      </w:r>
      <w:r w:rsidRPr="00A10BE8">
        <w:t>, no apparatus licences can be issued in the same spectrum as a spectrum licence</w:t>
      </w:r>
      <w:r w:rsidR="0019179A">
        <w:t xml:space="preserve"> or</w:t>
      </w:r>
      <w:r w:rsidRPr="00A10BE8">
        <w:t xml:space="preserve"> </w:t>
      </w:r>
      <w:r w:rsidR="002C5417">
        <w:t xml:space="preserve">in spectrum </w:t>
      </w:r>
      <w:r w:rsidRPr="00A10BE8">
        <w:t xml:space="preserve">identified for spectrum licensing in a marketing plan or re-allocation declaration, unless the exceptions in section 105 or 153P </w:t>
      </w:r>
      <w:r w:rsidR="005B3C22">
        <w:t xml:space="preserve">of the Act as amended </w:t>
      </w:r>
      <w:r w:rsidRPr="00A10BE8">
        <w:t>apply.</w:t>
      </w:r>
    </w:p>
    <w:p w14:paraId="2582DF16" w14:textId="670059B4" w:rsidR="0094022D" w:rsidRDefault="00E917C1" w:rsidP="0094022D">
      <w:r w:rsidRPr="00AE383B">
        <w:rPr>
          <w:rStyle w:val="Heading4Char"/>
        </w:rPr>
        <w:t>When we will consult with you about re-allocating spectrum</w:t>
      </w:r>
      <w:r w:rsidRPr="00AE383B">
        <w:rPr>
          <w:rStyle w:val="Heading4Char"/>
        </w:rPr>
        <w:br/>
      </w:r>
      <w:r w:rsidR="0094022D">
        <w:t xml:space="preserve">Previously, we were responsible for recommending that the </w:t>
      </w:r>
      <w:r w:rsidR="00717F08">
        <w:t>m</w:t>
      </w:r>
      <w:r w:rsidR="0094022D">
        <w:t>inister re-allocate spectrum, first undertaking a public consultation process on a draft recommendation. The Act also placed</w:t>
      </w:r>
      <w:r w:rsidR="00684D8D">
        <w:t xml:space="preserve"> on us </w:t>
      </w:r>
      <w:r w:rsidR="0094022D">
        <w:t xml:space="preserve">a requirement under section 153G to directly consult with potentially affected apparatus licensees, and to have regard to their comments on the </w:t>
      </w:r>
      <w:r w:rsidR="00EF75D9">
        <w:lastRenderedPageBreak/>
        <w:t>proposed recommendation</w:t>
      </w:r>
      <w:r w:rsidR="0094022D">
        <w:t xml:space="preserve"> before providing the recommendation to the </w:t>
      </w:r>
      <w:r w:rsidR="00717F08">
        <w:t>m</w:t>
      </w:r>
      <w:r w:rsidR="0094022D">
        <w:t>inister.</w:t>
      </w:r>
      <w:r w:rsidR="006A094E">
        <w:rPr>
          <w:rStyle w:val="FootnoteReference"/>
        </w:rPr>
        <w:footnoteReference w:id="28"/>
      </w:r>
      <w:r w:rsidR="00B534A2">
        <w:t xml:space="preserve"> The </w:t>
      </w:r>
      <w:r w:rsidR="00717F08">
        <w:t>m</w:t>
      </w:r>
      <w:r w:rsidR="00B534A2">
        <w:t xml:space="preserve">inister would then </w:t>
      </w:r>
      <w:r w:rsidR="00AA3AB5">
        <w:t>be able to decide whether to make a re-allocation declaration.</w:t>
      </w:r>
    </w:p>
    <w:p w14:paraId="2477D865" w14:textId="55C3FF5C" w:rsidR="00B50054" w:rsidRDefault="0094022D" w:rsidP="00A10BE8">
      <w:r>
        <w:t>Under the Modernisation Act,</w:t>
      </w:r>
      <w:r w:rsidR="003411A1" w:rsidRPr="003411A1">
        <w:t xml:space="preserve"> </w:t>
      </w:r>
      <w:r w:rsidR="009C6918">
        <w:t>we</w:t>
      </w:r>
      <w:r w:rsidR="003411A1">
        <w:t xml:space="preserve"> may make </w:t>
      </w:r>
      <w:r w:rsidR="002C7F03">
        <w:t>re-allocation declaration</w:t>
      </w:r>
      <w:r w:rsidR="00684D8D">
        <w:t>s</w:t>
      </w:r>
      <w:r w:rsidR="002C7F03">
        <w:t xml:space="preserve"> and </w:t>
      </w:r>
      <w:r>
        <w:t xml:space="preserve">we will </w:t>
      </w:r>
      <w:r w:rsidR="0020016B">
        <w:t>have</w:t>
      </w:r>
      <w:r w:rsidR="00BD1298">
        <w:t xml:space="preserve"> </w:t>
      </w:r>
      <w:r>
        <w:t>the power to make</w:t>
      </w:r>
      <w:r w:rsidR="007D13FB">
        <w:t xml:space="preserve"> </w:t>
      </w:r>
      <w:r>
        <w:t xml:space="preserve">re-allocation declarations and re-allocate parts of the spectrum currently allocated to apparatus licences. </w:t>
      </w:r>
    </w:p>
    <w:p w14:paraId="0C0C4002" w14:textId="3A86397B" w:rsidR="009110C1" w:rsidRDefault="005D5491" w:rsidP="00A10BE8">
      <w:r>
        <w:t xml:space="preserve">Prior to </w:t>
      </w:r>
      <w:r w:rsidR="00D6100B">
        <w:t xml:space="preserve">any </w:t>
      </w:r>
      <w:r>
        <w:t>re</w:t>
      </w:r>
      <w:r w:rsidR="00D6100B">
        <w:t>-</w:t>
      </w:r>
      <w:r>
        <w:t xml:space="preserve">allocation declaration process, </w:t>
      </w:r>
      <w:r w:rsidR="009C6918">
        <w:t>we</w:t>
      </w:r>
      <w:r>
        <w:t xml:space="preserve"> </w:t>
      </w:r>
      <w:r w:rsidR="00D6100B">
        <w:t xml:space="preserve">will </w:t>
      </w:r>
      <w:r>
        <w:t xml:space="preserve">undertake an assessment of whether </w:t>
      </w:r>
      <w:r w:rsidR="00784C22">
        <w:t xml:space="preserve">a </w:t>
      </w:r>
      <w:r w:rsidRPr="005D5491">
        <w:t xml:space="preserve">new spectrum use/s contributes to maximising the overall public benefit derived from use of the spectrum, </w:t>
      </w:r>
      <w:r w:rsidR="00C602D5">
        <w:t xml:space="preserve">as well as </w:t>
      </w:r>
      <w:r w:rsidRPr="005D5491">
        <w:t xml:space="preserve">assessments on </w:t>
      </w:r>
      <w:r w:rsidR="00C602D5">
        <w:t>whether coexistence is possible</w:t>
      </w:r>
      <w:r w:rsidRPr="005D5491">
        <w:t>.</w:t>
      </w:r>
      <w:r w:rsidR="00C602D5">
        <w:t xml:space="preserve"> </w:t>
      </w:r>
      <w:r w:rsidR="00762953">
        <w:t xml:space="preserve">During </w:t>
      </w:r>
      <w:r w:rsidR="00C602D5">
        <w:t>this process, we engage stakeholders in order to obtain evidence to inform the relative costs and benefits of r</w:t>
      </w:r>
      <w:r w:rsidR="00762953">
        <w:t>e</w:t>
      </w:r>
      <w:r w:rsidR="00585073">
        <w:t>-</w:t>
      </w:r>
      <w:r w:rsidR="00762953">
        <w:t>allocation.</w:t>
      </w:r>
      <w:r w:rsidR="009110C1">
        <w:t xml:space="preserve"> </w:t>
      </w:r>
    </w:p>
    <w:p w14:paraId="54BB99EC" w14:textId="4A580431" w:rsidR="0094022D" w:rsidRDefault="009110C1" w:rsidP="004B4ED8">
      <w:r>
        <w:t xml:space="preserve">Under the </w:t>
      </w:r>
      <w:r w:rsidR="00E54A78">
        <w:t xml:space="preserve">amended </w:t>
      </w:r>
      <w:r>
        <w:t xml:space="preserve">Act, the possibility of </w:t>
      </w:r>
      <w:r w:rsidR="00DC5C18">
        <w:t>re</w:t>
      </w:r>
      <w:r w:rsidR="005131E4">
        <w:t>-</w:t>
      </w:r>
      <w:r w:rsidR="00DC5C18">
        <w:t xml:space="preserve">allocation </w:t>
      </w:r>
      <w:r w:rsidR="007E7867">
        <w:t xml:space="preserve">of spectrum </w:t>
      </w:r>
      <w:r w:rsidR="00DC5C18">
        <w:t xml:space="preserve">for both spectrum and apparatus licences will mean that we will need to ensure </w:t>
      </w:r>
      <w:r w:rsidR="00182BA4">
        <w:t xml:space="preserve">we obtain </w:t>
      </w:r>
      <w:r w:rsidR="00DC5C18">
        <w:t xml:space="preserve">representations from all </w:t>
      </w:r>
      <w:r w:rsidR="00182BA4">
        <w:t>relevant stakeholder groups, to inform whether the re</w:t>
      </w:r>
      <w:r w:rsidR="00585073">
        <w:t>-</w:t>
      </w:r>
      <w:r w:rsidR="00182BA4">
        <w:t>allocation is likely to increase the public benefit derived from the spectrum.</w:t>
      </w:r>
    </w:p>
    <w:p w14:paraId="28EAFDAE" w14:textId="1254BF01" w:rsidR="00911AA1" w:rsidRPr="007B10B8" w:rsidRDefault="00540AB4" w:rsidP="008B638E">
      <w:pPr>
        <w:pStyle w:val="Heading3"/>
      </w:pPr>
      <w:bookmarkStart w:id="69" w:name="_Toc65835983"/>
      <w:r w:rsidRPr="006233E8">
        <w:t>Streamlining the re-allocation process</w:t>
      </w:r>
      <w:bookmarkEnd w:id="69"/>
    </w:p>
    <w:p w14:paraId="745F9650" w14:textId="468B595B" w:rsidR="00540AB4" w:rsidRDefault="00540AB4" w:rsidP="006233E8">
      <w:pPr>
        <w:pStyle w:val="Paragraph"/>
      </w:pPr>
      <w:r>
        <w:t xml:space="preserve">The Modernisation Act further streamlines the re-allocation process by enabling </w:t>
      </w:r>
      <w:r w:rsidR="005E3BB7">
        <w:t>us</w:t>
      </w:r>
      <w:r w:rsidR="0095082B">
        <w:t xml:space="preserve"> to </w:t>
      </w:r>
      <w:r w:rsidR="005131E4">
        <w:t>re-</w:t>
      </w:r>
      <w:r w:rsidR="0095082B">
        <w:t>allocate</w:t>
      </w:r>
      <w:r>
        <w:t xml:space="preserve"> spectrum </w:t>
      </w:r>
      <w:r w:rsidR="00E15998">
        <w:t xml:space="preserve">in shorter timeframes, where appropriate, </w:t>
      </w:r>
      <w:r>
        <w:t xml:space="preserve">facilitating more reactive spectrum planning and management. </w:t>
      </w:r>
    </w:p>
    <w:p w14:paraId="12166B88" w14:textId="367030BF" w:rsidR="00540AB4" w:rsidRDefault="00540AB4" w:rsidP="006233E8">
      <w:pPr>
        <w:pStyle w:val="Paragraph"/>
      </w:pPr>
      <w:r>
        <w:t xml:space="preserve">The Act previously specified a minimum re-allocation period of </w:t>
      </w:r>
      <w:r w:rsidR="00083C22">
        <w:t xml:space="preserve">2 </w:t>
      </w:r>
      <w:r>
        <w:t xml:space="preserve">years, during which incumbent licensees </w:t>
      </w:r>
      <w:r w:rsidR="00003488">
        <w:t xml:space="preserve">were </w:t>
      </w:r>
      <w:r>
        <w:t xml:space="preserve">cleared from the band. The Act also required the subsequent allocation of </w:t>
      </w:r>
      <w:r w:rsidR="001B0D59">
        <w:t xml:space="preserve">licences </w:t>
      </w:r>
      <w:r>
        <w:t xml:space="preserve">to </w:t>
      </w:r>
      <w:r w:rsidR="008E231B">
        <w:t>have commenced by</w:t>
      </w:r>
      <w:r>
        <w:t xml:space="preserve"> a specified time, known as the re-allocation deadline, which </w:t>
      </w:r>
      <w:r w:rsidR="00EA7CD5">
        <w:t xml:space="preserve">could be </w:t>
      </w:r>
      <w:r w:rsidR="00C62AB9">
        <w:t>no later</w:t>
      </w:r>
      <w:r>
        <w:t xml:space="preserve"> than </w:t>
      </w:r>
      <w:r w:rsidR="00D136E6">
        <w:t>one</w:t>
      </w:r>
      <w:r>
        <w:t xml:space="preserve"> year before the end of the re-allocation period. The Modernisation Act still requires that </w:t>
      </w:r>
      <w:r w:rsidR="002A77E7">
        <w:t xml:space="preserve">a </w:t>
      </w:r>
      <w:r>
        <w:t>re-allocation deadline be specified</w:t>
      </w:r>
      <w:r w:rsidR="00876954">
        <w:t xml:space="preserve"> but</w:t>
      </w:r>
      <w:r>
        <w:t xml:space="preserve"> reduces the minimum re-allocation period to </w:t>
      </w:r>
      <w:r w:rsidR="00D136E6">
        <w:t>one</w:t>
      </w:r>
      <w:r>
        <w:t xml:space="preserve"> year</w:t>
      </w:r>
      <w:r w:rsidR="00813A96">
        <w:t xml:space="preserve"> and does not prescribe a timeframe for the re-allocation deadline</w:t>
      </w:r>
      <w:r w:rsidR="0095082B">
        <w:t>.</w:t>
      </w:r>
    </w:p>
    <w:p w14:paraId="01280C9D" w14:textId="444CE3B3" w:rsidR="00540AB4" w:rsidRDefault="00540AB4" w:rsidP="006233E8">
      <w:pPr>
        <w:pStyle w:val="Paragraph"/>
      </w:pPr>
      <w:r>
        <w:t>While this change provides additional flexibility to hasten re</w:t>
      </w:r>
      <w:r w:rsidR="00813A96">
        <w:t>-</w:t>
      </w:r>
      <w:r>
        <w:t xml:space="preserve">allocation processes where appropriate, </w:t>
      </w:r>
      <w:r w:rsidR="00825528">
        <w:t xml:space="preserve">we </w:t>
      </w:r>
      <w:r>
        <w:t>will continue to have regard to the nature of incumbency when determining the length of the re-allocation period. For example, where there are incumbent licensees with extensively deployed infrastructure, or if there are few alternatives to the spectrum in question, a short re</w:t>
      </w:r>
      <w:r w:rsidR="00813A96">
        <w:t>-</w:t>
      </w:r>
      <w:r>
        <w:t xml:space="preserve">allocation period may not be appropriate. </w:t>
      </w:r>
    </w:p>
    <w:p w14:paraId="11655FEB" w14:textId="29B961AF" w:rsidR="000D748C" w:rsidRPr="000D748C" w:rsidRDefault="000D748C" w:rsidP="00611F27">
      <w:pPr>
        <w:pStyle w:val="Paragraphbeforelist"/>
      </w:pPr>
      <w:r w:rsidRPr="000D748C">
        <w:t xml:space="preserve">A </w:t>
      </w:r>
      <w:r w:rsidR="004022B1">
        <w:t>spectrum</w:t>
      </w:r>
      <w:r w:rsidRPr="000D748C">
        <w:t xml:space="preserve"> re</w:t>
      </w:r>
      <w:r w:rsidRPr="000D748C">
        <w:noBreakHyphen/>
        <w:t xml:space="preserve">allocation declaration must set out: </w:t>
      </w:r>
    </w:p>
    <w:p w14:paraId="791D7D34" w14:textId="3A6A9425" w:rsidR="000D748C" w:rsidRPr="000D748C" w:rsidRDefault="00C13ADE" w:rsidP="006233E8">
      <w:pPr>
        <w:pStyle w:val="Bulletlevel1"/>
      </w:pPr>
      <w:r>
        <w:t>t</w:t>
      </w:r>
      <w:r w:rsidR="000D748C">
        <w:t xml:space="preserve">he </w:t>
      </w:r>
      <w:r w:rsidR="000D748C" w:rsidRPr="000D748C">
        <w:t>re</w:t>
      </w:r>
      <w:r w:rsidR="000D748C" w:rsidRPr="000D748C">
        <w:noBreakHyphen/>
        <w:t>allocation period</w:t>
      </w:r>
    </w:p>
    <w:p w14:paraId="7B5934FD" w14:textId="25C222D7" w:rsidR="000D748C" w:rsidRPr="000D748C" w:rsidRDefault="00C13ADE" w:rsidP="006233E8">
      <w:pPr>
        <w:pStyle w:val="Bulletlevel1"/>
      </w:pPr>
      <w:r>
        <w:t>t</w:t>
      </w:r>
      <w:r w:rsidR="000D748C">
        <w:t xml:space="preserve">he </w:t>
      </w:r>
      <w:r w:rsidR="000D748C" w:rsidRPr="000D748C">
        <w:t>re</w:t>
      </w:r>
      <w:r w:rsidR="000D748C" w:rsidRPr="000D748C">
        <w:noBreakHyphen/>
        <w:t>allocation deadline</w:t>
      </w:r>
    </w:p>
    <w:p w14:paraId="2852CCEA" w14:textId="246C3BC8" w:rsidR="000D748C" w:rsidRPr="000D748C" w:rsidRDefault="00C13ADE" w:rsidP="006233E8">
      <w:pPr>
        <w:pStyle w:val="Bulletlevel1"/>
      </w:pPr>
      <w:r>
        <w:t>t</w:t>
      </w:r>
      <w:r w:rsidR="000D748C">
        <w:t xml:space="preserve">he </w:t>
      </w:r>
      <w:r w:rsidR="000D748C" w:rsidRPr="000D748C">
        <w:t>spectrum to be re-allocated</w:t>
      </w:r>
      <w:r w:rsidR="005B656A">
        <w:t xml:space="preserve"> and the areas in which it is to be re-allocated</w:t>
      </w:r>
    </w:p>
    <w:p w14:paraId="0B8C025B" w14:textId="61086FF6" w:rsidR="000D748C" w:rsidRPr="000D748C" w:rsidRDefault="00C13ADE" w:rsidP="006233E8">
      <w:pPr>
        <w:pStyle w:val="Bulletlevel1last"/>
      </w:pPr>
      <w:r>
        <w:t>w</w:t>
      </w:r>
      <w:r w:rsidR="000D748C" w:rsidRPr="000D748C">
        <w:t xml:space="preserve">hether the spectrum will be re-allocated by the issue of spectrum </w:t>
      </w:r>
      <w:r w:rsidR="002A51A0">
        <w:t>licences,</w:t>
      </w:r>
      <w:r w:rsidR="003628B3">
        <w:t xml:space="preserve"> </w:t>
      </w:r>
      <w:r w:rsidR="000D748C" w:rsidRPr="000D748C">
        <w:t>apparatus licences</w:t>
      </w:r>
      <w:r w:rsidR="001113A7">
        <w:t>, or both</w:t>
      </w:r>
      <w:r w:rsidR="000D748C" w:rsidRPr="000D748C">
        <w:t xml:space="preserve">. </w:t>
      </w:r>
    </w:p>
    <w:p w14:paraId="1E257597" w14:textId="1BBC1466" w:rsidR="00F85619" w:rsidRDefault="00F85619" w:rsidP="00F85619">
      <w:r>
        <w:t xml:space="preserve">Although section 153G has been repealed, under the new arrangements it is still our disposition and obligation under the </w:t>
      </w:r>
      <w:r w:rsidRPr="00611F27">
        <w:t>Legislation Act</w:t>
      </w:r>
      <w:r>
        <w:rPr>
          <w:rStyle w:val="CommentReference"/>
        </w:rPr>
        <w:t xml:space="preserve"> </w:t>
      </w:r>
      <w:r>
        <w:t xml:space="preserve">to undertake appropriate consultation on </w:t>
      </w:r>
      <w:r w:rsidR="003D548C">
        <w:t xml:space="preserve">any </w:t>
      </w:r>
      <w:r>
        <w:t>proposal to make a</w:t>
      </w:r>
      <w:r w:rsidDel="00E409E5">
        <w:t xml:space="preserve"> </w:t>
      </w:r>
      <w:r>
        <w:t xml:space="preserve">re-allocation declaration, to inform our </w:t>
      </w:r>
      <w:r>
        <w:lastRenderedPageBreak/>
        <w:t>decision</w:t>
      </w:r>
      <w:r w:rsidR="00A92466">
        <w:t>-</w:t>
      </w:r>
      <w:r>
        <w:t xml:space="preserve">making prior to making the instrument. Given the specific impacts that re-allocation has on incumbent licensees, consistent with practices established to fulfil requirements under </w:t>
      </w:r>
      <w:r w:rsidR="003D548C">
        <w:t xml:space="preserve">repealed </w:t>
      </w:r>
      <w:r>
        <w:t>section 153G, we expect to continue to consult directly with ‘affected licensees’ in the event of a re-allocation.</w:t>
      </w:r>
    </w:p>
    <w:p w14:paraId="1E1CE990" w14:textId="0D9DA657" w:rsidR="00F85619" w:rsidRDefault="00F85619" w:rsidP="00F85619">
      <w:r>
        <w:t>We also expect</w:t>
      </w:r>
      <w:r w:rsidR="00D136E6">
        <w:t>,</w:t>
      </w:r>
      <w:r>
        <w:t xml:space="preserve"> where possible, </w:t>
      </w:r>
      <w:r w:rsidR="003D548C">
        <w:t xml:space="preserve">to </w:t>
      </w:r>
      <w:r>
        <w:t xml:space="preserve">work with stakeholders </w:t>
      </w:r>
      <w:r w:rsidR="003D548C">
        <w:t xml:space="preserve">whose apparatus licences will be cancelled at the end of a re-allocation period </w:t>
      </w:r>
      <w:r>
        <w:t>to identify alternative spectrum arrangements. Noting the increased potential duration of apparatus licences, licensees whose licences are cancelled prior to their expiration date may be entitled to a pro-rata refund of the tax paid on the licence.</w:t>
      </w:r>
      <w:r w:rsidR="00C527AF">
        <w:rPr>
          <w:rStyle w:val="FootnoteReference"/>
        </w:rPr>
        <w:footnoteReference w:id="29"/>
      </w:r>
      <w:r>
        <w:t xml:space="preserve"> </w:t>
      </w:r>
    </w:p>
    <w:p w14:paraId="43A3633D" w14:textId="77777777" w:rsidR="00540AB4" w:rsidRPr="00C8728F" w:rsidRDefault="00540AB4" w:rsidP="00540AB4">
      <w:pPr>
        <w:pStyle w:val="Heading3"/>
        <w:rPr>
          <w:rFonts w:eastAsiaTheme="minorHAnsi"/>
          <w:lang w:eastAsia="en-US"/>
        </w:rPr>
      </w:pPr>
      <w:bookmarkStart w:id="70" w:name="_Toc65835984"/>
      <w:r w:rsidRPr="00C8728F">
        <w:rPr>
          <w:rFonts w:eastAsiaTheme="minorHAnsi"/>
          <w:lang w:eastAsia="en-US"/>
        </w:rPr>
        <w:t>Powers to set allocation limits</w:t>
      </w:r>
      <w:bookmarkEnd w:id="70"/>
      <w:r w:rsidRPr="00C8728F">
        <w:rPr>
          <w:rFonts w:eastAsiaTheme="minorHAnsi"/>
          <w:lang w:eastAsia="en-US"/>
        </w:rPr>
        <w:t xml:space="preserve"> </w:t>
      </w:r>
    </w:p>
    <w:p w14:paraId="2D5F50FF" w14:textId="170442A8" w:rsidR="00524873" w:rsidRPr="001C5FF0" w:rsidRDefault="00540AB4" w:rsidP="00524873">
      <w:pPr>
        <w:rPr>
          <w:rFonts w:cstheme="minorBidi"/>
        </w:rPr>
      </w:pPr>
      <w:r w:rsidRPr="26B80911">
        <w:rPr>
          <w:rFonts w:cstheme="minorBidi"/>
        </w:rPr>
        <w:t xml:space="preserve">Under the Modernisation Act, </w:t>
      </w:r>
      <w:r>
        <w:rPr>
          <w:rFonts w:cstheme="minorBidi"/>
        </w:rPr>
        <w:t>we</w:t>
      </w:r>
      <w:r w:rsidRPr="26B80911">
        <w:rPr>
          <w:rFonts w:cstheme="minorBidi"/>
        </w:rPr>
        <w:t xml:space="preserve"> will be able to determine allocation limits without </w:t>
      </w:r>
      <w:r w:rsidR="003628B3">
        <w:rPr>
          <w:rFonts w:cstheme="minorBidi"/>
        </w:rPr>
        <w:t xml:space="preserve">necessarily </w:t>
      </w:r>
      <w:r w:rsidRPr="26B80911">
        <w:rPr>
          <w:rFonts w:cstheme="minorBidi"/>
        </w:rPr>
        <w:t xml:space="preserve">being directed by the </w:t>
      </w:r>
      <w:r w:rsidR="00717F08">
        <w:rPr>
          <w:rFonts w:cstheme="minorBidi"/>
        </w:rPr>
        <w:t>m</w:t>
      </w:r>
      <w:r w:rsidRPr="26B80911">
        <w:rPr>
          <w:rFonts w:cstheme="minorBidi"/>
        </w:rPr>
        <w:t>inister</w:t>
      </w:r>
      <w:r w:rsidR="00D01BA5">
        <w:rPr>
          <w:rFonts w:cstheme="minorBidi"/>
        </w:rPr>
        <w:t>.</w:t>
      </w:r>
      <w:r>
        <w:rPr>
          <w:rStyle w:val="FootnoteReference"/>
          <w:rFonts w:cstheme="minorBidi"/>
        </w:rPr>
        <w:footnoteReference w:id="30"/>
      </w:r>
      <w:r w:rsidRPr="26B80911">
        <w:rPr>
          <w:rFonts w:cstheme="minorBidi"/>
        </w:rPr>
        <w:t xml:space="preserve"> However, </w:t>
      </w:r>
      <w:r>
        <w:rPr>
          <w:rFonts w:cstheme="minorBidi"/>
        </w:rPr>
        <w:t>we</w:t>
      </w:r>
      <w:r w:rsidRPr="26B80911">
        <w:rPr>
          <w:rFonts w:cstheme="minorBidi"/>
        </w:rPr>
        <w:t xml:space="preserve"> must consult with the ACCC and will be required to have regard to any </w:t>
      </w:r>
      <w:r w:rsidR="004D35F7">
        <w:rPr>
          <w:rFonts w:cstheme="minorBidi"/>
        </w:rPr>
        <w:t>relevant</w:t>
      </w:r>
      <w:r w:rsidRPr="26B80911">
        <w:rPr>
          <w:rFonts w:cstheme="minorBidi"/>
        </w:rPr>
        <w:t xml:space="preserve"> MPS before setting allocation limits.</w:t>
      </w:r>
      <w:r w:rsidR="00627E0B">
        <w:rPr>
          <w:rFonts w:cstheme="minorBidi"/>
        </w:rPr>
        <w:t xml:space="preserve"> </w:t>
      </w:r>
      <w:r w:rsidR="00524873" w:rsidRPr="0069107B">
        <w:rPr>
          <w:rFonts w:cstheme="minorHAnsi"/>
        </w:rPr>
        <w:t xml:space="preserve">In developing allocation limits, </w:t>
      </w:r>
      <w:r w:rsidR="00524873">
        <w:rPr>
          <w:rFonts w:cstheme="minorHAnsi"/>
        </w:rPr>
        <w:t xml:space="preserve">we </w:t>
      </w:r>
      <w:r w:rsidR="00524873" w:rsidRPr="0069107B">
        <w:rPr>
          <w:rFonts w:cstheme="minorHAnsi"/>
        </w:rPr>
        <w:t xml:space="preserve">would </w:t>
      </w:r>
      <w:r w:rsidR="00866752" w:rsidRPr="0069107B">
        <w:rPr>
          <w:rFonts w:cstheme="minorHAnsi"/>
        </w:rPr>
        <w:t>consider</w:t>
      </w:r>
      <w:r w:rsidR="00524873" w:rsidRPr="0069107B">
        <w:rPr>
          <w:rFonts w:cstheme="minorHAnsi"/>
        </w:rPr>
        <w:t xml:space="preserve"> matters such as relevant market conditions and the technical properties of the frequency bands under consideration.</w:t>
      </w:r>
    </w:p>
    <w:p w14:paraId="0483116A" w14:textId="74030C34" w:rsidR="00540AB4" w:rsidRPr="0069107B" w:rsidRDefault="00540AB4" w:rsidP="00540AB4">
      <w:pPr>
        <w:rPr>
          <w:rFonts w:cstheme="minorHAnsi"/>
        </w:rPr>
      </w:pPr>
      <w:r>
        <w:rPr>
          <w:rFonts w:cstheme="minorBidi"/>
        </w:rPr>
        <w:t>We</w:t>
      </w:r>
      <w:r w:rsidRPr="26B80911">
        <w:rPr>
          <w:rFonts w:cstheme="minorBidi"/>
        </w:rPr>
        <w:t xml:space="preserve"> may set allocation limits on a part or the aggregate of parts of the spectrum that may be used by a person (or group of persons) as a result of an allocation process, taking into account the whole of a potential licensee’s spectrum holdings</w:t>
      </w:r>
      <w:r w:rsidR="00352B58">
        <w:rPr>
          <w:rFonts w:cstheme="minorBidi"/>
        </w:rPr>
        <w:t xml:space="preserve"> </w:t>
      </w:r>
      <w:r w:rsidR="00C33791">
        <w:rPr>
          <w:rFonts w:cstheme="minorBidi"/>
        </w:rPr>
        <w:t xml:space="preserve">across </w:t>
      </w:r>
      <w:r w:rsidR="004E7F86">
        <w:rPr>
          <w:rFonts w:cstheme="minorBidi"/>
        </w:rPr>
        <w:t>spectrum licence</w:t>
      </w:r>
      <w:r w:rsidR="00E8255B">
        <w:rPr>
          <w:rFonts w:cstheme="minorBidi"/>
        </w:rPr>
        <w:t>s</w:t>
      </w:r>
      <w:r w:rsidR="004E7F86">
        <w:rPr>
          <w:rFonts w:cstheme="minorBidi"/>
        </w:rPr>
        <w:t xml:space="preserve"> </w:t>
      </w:r>
      <w:r w:rsidR="00E8255B">
        <w:rPr>
          <w:rFonts w:cstheme="minorBidi"/>
        </w:rPr>
        <w:t>and/</w:t>
      </w:r>
      <w:r w:rsidR="004E7F86">
        <w:rPr>
          <w:rFonts w:cstheme="minorBidi"/>
        </w:rPr>
        <w:t>or apparatus licence</w:t>
      </w:r>
      <w:r w:rsidR="00E8255B">
        <w:rPr>
          <w:rFonts w:cstheme="minorBidi"/>
        </w:rPr>
        <w:t>s</w:t>
      </w:r>
      <w:r w:rsidRPr="26B80911">
        <w:rPr>
          <w:rFonts w:cstheme="minorBidi"/>
        </w:rPr>
        <w:t>.</w:t>
      </w:r>
      <w:r w:rsidR="00A80CE4">
        <w:rPr>
          <w:rStyle w:val="FootnoteReference"/>
          <w:rFonts w:cstheme="minorBidi"/>
        </w:rPr>
        <w:footnoteReference w:id="31"/>
      </w:r>
      <w:r w:rsidR="000D6871">
        <w:rPr>
          <w:rFonts w:cstheme="minorBidi"/>
        </w:rPr>
        <w:t xml:space="preserve"> </w:t>
      </w:r>
      <w:r w:rsidR="000D6871" w:rsidRPr="26B80911">
        <w:rPr>
          <w:rFonts w:cstheme="minorBidi"/>
        </w:rPr>
        <w:t>This applies for price-based allocation of spectrum licences</w:t>
      </w:r>
      <w:r w:rsidR="000D6871" w:rsidRPr="26B80911">
        <w:rPr>
          <w:rFonts w:cstheme="minorBidi"/>
          <w:vertAlign w:val="superscript"/>
        </w:rPr>
        <w:footnoteReference w:id="32"/>
      </w:r>
      <w:r w:rsidR="000D6871" w:rsidRPr="26B80911">
        <w:rPr>
          <w:rFonts w:cstheme="minorBidi"/>
        </w:rPr>
        <w:t>, price-based allocation of apparatus licences</w:t>
      </w:r>
      <w:r w:rsidR="000D6871" w:rsidRPr="26B80911">
        <w:rPr>
          <w:rFonts w:cstheme="minorBidi"/>
          <w:vertAlign w:val="superscript"/>
        </w:rPr>
        <w:footnoteReference w:id="33"/>
      </w:r>
      <w:r w:rsidR="000D6871" w:rsidRPr="26B80911">
        <w:rPr>
          <w:rFonts w:cstheme="minorBidi"/>
        </w:rPr>
        <w:t xml:space="preserve">, and, importantly, </w:t>
      </w:r>
      <w:r w:rsidR="000D6871">
        <w:rPr>
          <w:rFonts w:cstheme="minorBidi"/>
        </w:rPr>
        <w:t>we</w:t>
      </w:r>
      <w:r w:rsidR="000D6871" w:rsidRPr="26B80911">
        <w:rPr>
          <w:rFonts w:cstheme="minorBidi"/>
        </w:rPr>
        <w:t xml:space="preserve"> can now set enduring allocation limits for administrative (</w:t>
      </w:r>
      <w:r w:rsidR="00845420">
        <w:rPr>
          <w:rFonts w:cstheme="minorBidi"/>
        </w:rPr>
        <w:t>that is</w:t>
      </w:r>
      <w:r w:rsidR="000D6871">
        <w:rPr>
          <w:rFonts w:cstheme="minorBidi"/>
        </w:rPr>
        <w:t>,</w:t>
      </w:r>
      <w:r w:rsidR="000D6871" w:rsidRPr="26B80911">
        <w:rPr>
          <w:rFonts w:cstheme="minorBidi"/>
        </w:rPr>
        <w:t xml:space="preserve"> ‘over the counter’) allocation of apparatus licences</w:t>
      </w:r>
      <w:r w:rsidR="000D6871" w:rsidRPr="26B80911">
        <w:rPr>
          <w:rFonts w:cstheme="minorBidi"/>
          <w:vertAlign w:val="superscript"/>
        </w:rPr>
        <w:footnoteReference w:id="34"/>
      </w:r>
      <w:r w:rsidR="000D6871" w:rsidRPr="26B80911">
        <w:rPr>
          <w:rFonts w:cstheme="minorBidi"/>
        </w:rPr>
        <w:t>.</w:t>
      </w:r>
      <w:r w:rsidR="003628B3">
        <w:rPr>
          <w:rFonts w:cstheme="minorBidi"/>
        </w:rPr>
        <w:t xml:space="preserve"> </w:t>
      </w:r>
      <w:r>
        <w:rPr>
          <w:rFonts w:cstheme="minorHAnsi"/>
        </w:rPr>
        <w:t>We</w:t>
      </w:r>
      <w:r w:rsidRPr="0069107B">
        <w:rPr>
          <w:rFonts w:cstheme="minorHAnsi"/>
        </w:rPr>
        <w:t xml:space="preserve"> may also have regard to aggregate spectrum holdings when deciding whether or not to issue or renew an apparatus licence outside of allocation processes under </w:t>
      </w:r>
      <w:r w:rsidR="003D548C">
        <w:rPr>
          <w:rFonts w:cstheme="minorHAnsi"/>
        </w:rPr>
        <w:t xml:space="preserve">new </w:t>
      </w:r>
      <w:r>
        <w:rPr>
          <w:rFonts w:cstheme="minorHAnsi"/>
        </w:rPr>
        <w:t>subsection 100(4C)</w:t>
      </w:r>
      <w:r w:rsidR="0034424D">
        <w:rPr>
          <w:rFonts w:cstheme="minorHAnsi"/>
        </w:rPr>
        <w:t xml:space="preserve"> and</w:t>
      </w:r>
      <w:r>
        <w:rPr>
          <w:rFonts w:cstheme="minorHAnsi"/>
        </w:rPr>
        <w:t xml:space="preserve"> </w:t>
      </w:r>
      <w:r w:rsidR="00E90420">
        <w:rPr>
          <w:rFonts w:cstheme="minorHAnsi"/>
        </w:rPr>
        <w:t xml:space="preserve">subsection </w:t>
      </w:r>
      <w:r>
        <w:rPr>
          <w:rFonts w:cstheme="minorHAnsi"/>
        </w:rPr>
        <w:t>130(3)</w:t>
      </w:r>
      <w:r w:rsidR="0034424D">
        <w:rPr>
          <w:rFonts w:cstheme="minorHAnsi"/>
        </w:rPr>
        <w:t xml:space="preserve"> of the Act as amended</w:t>
      </w:r>
      <w:r>
        <w:rPr>
          <w:rFonts w:cstheme="minorHAnsi"/>
        </w:rPr>
        <w:t>.</w:t>
      </w:r>
    </w:p>
    <w:p w14:paraId="6183357F" w14:textId="21785DF7" w:rsidR="005E2DC0" w:rsidRDefault="005E2DC0" w:rsidP="005E2DC0">
      <w:pPr>
        <w:rPr>
          <w:rFonts w:cstheme="minorHAnsi"/>
        </w:rPr>
      </w:pPr>
      <w:r>
        <w:rPr>
          <w:rFonts w:cstheme="minorHAnsi"/>
        </w:rPr>
        <w:t>The object of the Act</w:t>
      </w:r>
      <w:r w:rsidR="00942A74">
        <w:rPr>
          <w:rFonts w:cstheme="minorHAnsi"/>
        </w:rPr>
        <w:t>,</w:t>
      </w:r>
      <w:r>
        <w:rPr>
          <w:rFonts w:cstheme="minorHAnsi"/>
        </w:rPr>
        <w:t xml:space="preserve"> which </w:t>
      </w:r>
      <w:r w:rsidR="00F4752C">
        <w:rPr>
          <w:rFonts w:cstheme="minorHAnsi"/>
        </w:rPr>
        <w:t>is</w:t>
      </w:r>
      <w:r>
        <w:rPr>
          <w:rFonts w:cstheme="minorHAnsi"/>
        </w:rPr>
        <w:t xml:space="preserve"> to </w:t>
      </w:r>
      <w:r>
        <w:t>promote the long-term public interest derived from the use of the spectrum</w:t>
      </w:r>
      <w:r w:rsidR="00382006">
        <w:t>,</w:t>
      </w:r>
      <w:r>
        <w:t xml:space="preserve"> </w:t>
      </w:r>
      <w:r>
        <w:rPr>
          <w:rFonts w:cstheme="minorHAnsi"/>
        </w:rPr>
        <w:t xml:space="preserve">enables </w:t>
      </w:r>
      <w:r w:rsidR="00CC0BE4">
        <w:rPr>
          <w:rFonts w:cstheme="minorHAnsi"/>
        </w:rPr>
        <w:t>us</w:t>
      </w:r>
      <w:r>
        <w:rPr>
          <w:rFonts w:cstheme="minorHAnsi"/>
        </w:rPr>
        <w:t xml:space="preserve"> to consider the role of competition in downstream markets, as well as incentives for efficient investment in spectrum using services and infrastructure. We note that there is a significant alignment between the long</w:t>
      </w:r>
      <w:r w:rsidR="00071567">
        <w:rPr>
          <w:rFonts w:cstheme="minorHAnsi"/>
        </w:rPr>
        <w:t>-</w:t>
      </w:r>
      <w:r>
        <w:rPr>
          <w:rFonts w:cstheme="minorHAnsi"/>
        </w:rPr>
        <w:t>term interests of end users</w:t>
      </w:r>
      <w:r w:rsidR="000A0561">
        <w:rPr>
          <w:rFonts w:cstheme="minorHAnsi"/>
        </w:rPr>
        <w:t>,</w:t>
      </w:r>
      <w:r>
        <w:rPr>
          <w:rFonts w:cstheme="minorHAnsi"/>
        </w:rPr>
        <w:t xml:space="preserve"> which guides the ACCC</w:t>
      </w:r>
      <w:r w:rsidR="002F1527">
        <w:rPr>
          <w:rFonts w:cstheme="minorHAnsi"/>
        </w:rPr>
        <w:t>’s</w:t>
      </w:r>
      <w:r>
        <w:rPr>
          <w:rFonts w:cstheme="minorHAnsi"/>
        </w:rPr>
        <w:t xml:space="preserve"> decision</w:t>
      </w:r>
      <w:r w:rsidR="00A92466">
        <w:rPr>
          <w:rFonts w:cstheme="minorHAnsi"/>
        </w:rPr>
        <w:t>-</w:t>
      </w:r>
      <w:r>
        <w:rPr>
          <w:rFonts w:cstheme="minorHAnsi"/>
        </w:rPr>
        <w:t xml:space="preserve">making under the </w:t>
      </w:r>
      <w:hyperlink r:id="rId38" w:history="1">
        <w:r w:rsidRPr="00611F27">
          <w:rPr>
            <w:rStyle w:val="Hyperlink"/>
            <w:rFonts w:cstheme="minorHAnsi"/>
            <w:i/>
          </w:rPr>
          <w:t>Competition and Consumer Ac</w:t>
        </w:r>
        <w:r w:rsidRPr="00AE3543">
          <w:rPr>
            <w:rStyle w:val="Hyperlink"/>
            <w:rFonts w:cstheme="minorHAnsi"/>
            <w:i/>
          </w:rPr>
          <w:t>t</w:t>
        </w:r>
        <w:r w:rsidR="00574F3E" w:rsidRPr="00AE3543">
          <w:rPr>
            <w:rStyle w:val="Hyperlink"/>
            <w:rFonts w:cstheme="minorHAnsi"/>
            <w:i/>
            <w:iCs/>
          </w:rPr>
          <w:t xml:space="preserve"> 2010</w:t>
        </w:r>
      </w:hyperlink>
      <w:r>
        <w:rPr>
          <w:rFonts w:cstheme="minorHAnsi"/>
        </w:rPr>
        <w:t>, and the object of the Act.</w:t>
      </w:r>
    </w:p>
    <w:p w14:paraId="01A82FDE" w14:textId="4F31F5CC" w:rsidR="005E2DC0" w:rsidRDefault="005E2DC0" w:rsidP="005B3674">
      <w:pPr>
        <w:rPr>
          <w:rFonts w:cstheme="minorHAnsi"/>
        </w:rPr>
      </w:pPr>
      <w:r w:rsidRPr="0069107B">
        <w:rPr>
          <w:rFonts w:cstheme="minorHAnsi"/>
        </w:rPr>
        <w:t xml:space="preserve">In </w:t>
      </w:r>
      <w:r w:rsidR="00C57097">
        <w:rPr>
          <w:rFonts w:cstheme="minorHAnsi"/>
        </w:rPr>
        <w:t>our</w:t>
      </w:r>
      <w:r>
        <w:rPr>
          <w:rFonts w:cstheme="minorHAnsi"/>
        </w:rPr>
        <w:t xml:space="preserve"> decision-making</w:t>
      </w:r>
      <w:r w:rsidR="00CC0BE4">
        <w:rPr>
          <w:rFonts w:cstheme="minorHAnsi"/>
        </w:rPr>
        <w:t>, we</w:t>
      </w:r>
      <w:r w:rsidR="00CC0BE4" w:rsidDel="00C75445">
        <w:rPr>
          <w:rFonts w:cstheme="minorHAnsi"/>
        </w:rPr>
        <w:t xml:space="preserve"> </w:t>
      </w:r>
      <w:r>
        <w:rPr>
          <w:rFonts w:cstheme="minorHAnsi"/>
        </w:rPr>
        <w:t xml:space="preserve">will be guided by the object of the Act, any relevant </w:t>
      </w:r>
      <w:r w:rsidR="00326A85">
        <w:rPr>
          <w:rFonts w:cstheme="minorHAnsi"/>
        </w:rPr>
        <w:t>MPS</w:t>
      </w:r>
      <w:r w:rsidR="000A5C03">
        <w:rPr>
          <w:rFonts w:cstheme="minorHAnsi"/>
        </w:rPr>
        <w:t>s</w:t>
      </w:r>
      <w:r>
        <w:rPr>
          <w:rFonts w:cstheme="minorHAnsi"/>
        </w:rPr>
        <w:t xml:space="preserve"> and the advice of the ACCC, as well as evidence presented by interested parties in consultation processes.</w:t>
      </w:r>
      <w:r w:rsidDel="00C75445">
        <w:rPr>
          <w:rFonts w:cstheme="minorHAnsi"/>
        </w:rPr>
        <w:t xml:space="preserve"> </w:t>
      </w:r>
      <w:r>
        <w:rPr>
          <w:rFonts w:cstheme="minorHAnsi"/>
        </w:rPr>
        <w:t xml:space="preserve">Noting that </w:t>
      </w:r>
      <w:r w:rsidR="00326A85">
        <w:rPr>
          <w:rFonts w:cstheme="minorHAnsi"/>
        </w:rPr>
        <w:t>MPS</w:t>
      </w:r>
      <w:r w:rsidR="000A5C03">
        <w:rPr>
          <w:rFonts w:cstheme="minorHAnsi"/>
        </w:rPr>
        <w:t>s</w:t>
      </w:r>
      <w:r>
        <w:rPr>
          <w:rFonts w:cstheme="minorHAnsi"/>
        </w:rPr>
        <w:t xml:space="preserve">, ACCC advice and contemporary evidence may be specific to the circumstances of each band planning and allocation process, </w:t>
      </w:r>
      <w:r w:rsidR="00CC0BE4">
        <w:rPr>
          <w:rFonts w:cstheme="minorHAnsi"/>
        </w:rPr>
        <w:t>we propose</w:t>
      </w:r>
      <w:r>
        <w:rPr>
          <w:rFonts w:cstheme="minorHAnsi"/>
        </w:rPr>
        <w:t xml:space="preserve"> to establish at the start of each allocation process, a method for determining the relevant type of allocation limit that should apply to each allocation process.</w:t>
      </w:r>
    </w:p>
    <w:p w14:paraId="1394A7F4" w14:textId="77DFDFB7" w:rsidR="00540AB4" w:rsidRPr="0069107B" w:rsidRDefault="00540AB4" w:rsidP="00540AB4">
      <w:pPr>
        <w:rPr>
          <w:rFonts w:cstheme="minorBidi"/>
        </w:rPr>
      </w:pPr>
      <w:r>
        <w:rPr>
          <w:rFonts w:cstheme="minorBidi"/>
        </w:rPr>
        <w:lastRenderedPageBreak/>
        <w:t>We will aim</w:t>
      </w:r>
      <w:r w:rsidRPr="26990415">
        <w:rPr>
          <w:rFonts w:cstheme="minorBidi"/>
        </w:rPr>
        <w:t xml:space="preserve"> to ensure a consistent application of policy intent across a range of relevant inputs like allocation limits, lot configuration and reserve prices</w:t>
      </w:r>
      <w:r w:rsidR="0063206B">
        <w:rPr>
          <w:rFonts w:cstheme="minorBidi"/>
        </w:rPr>
        <w:t xml:space="preserve"> to provide optimal allocation outcome</w:t>
      </w:r>
      <w:r w:rsidR="00A14C16">
        <w:rPr>
          <w:rFonts w:cstheme="minorBidi"/>
        </w:rPr>
        <w:t>s</w:t>
      </w:r>
      <w:r w:rsidRPr="26990415">
        <w:rPr>
          <w:rFonts w:cstheme="minorBidi"/>
        </w:rPr>
        <w:t>.</w:t>
      </w:r>
    </w:p>
    <w:p w14:paraId="6C8A86DA" w14:textId="3E4E7990" w:rsidR="00540AB4" w:rsidRPr="0069107B" w:rsidRDefault="00707C0E" w:rsidP="006233E8">
      <w:pPr>
        <w:pStyle w:val="Paragraph"/>
        <w:rPr>
          <w:rFonts w:cstheme="minorHAnsi"/>
        </w:rPr>
      </w:pPr>
      <w:r w:rsidRPr="001112DC">
        <w:rPr>
          <w:b/>
          <w:bCs/>
          <w:i/>
          <w:iCs/>
        </w:rPr>
        <w:t xml:space="preserve">When we </w:t>
      </w:r>
      <w:r w:rsidR="00B61945" w:rsidRPr="001112DC">
        <w:rPr>
          <w:b/>
          <w:bCs/>
          <w:i/>
          <w:iCs/>
        </w:rPr>
        <w:t xml:space="preserve">will </w:t>
      </w:r>
      <w:r w:rsidRPr="001112DC">
        <w:rPr>
          <w:b/>
          <w:bCs/>
          <w:i/>
          <w:iCs/>
        </w:rPr>
        <w:t xml:space="preserve">consult </w:t>
      </w:r>
      <w:r w:rsidR="00B61945" w:rsidRPr="001112DC">
        <w:rPr>
          <w:b/>
          <w:bCs/>
          <w:i/>
          <w:iCs/>
        </w:rPr>
        <w:t xml:space="preserve">with you </w:t>
      </w:r>
      <w:r w:rsidRPr="001112DC">
        <w:rPr>
          <w:b/>
          <w:bCs/>
          <w:i/>
          <w:iCs/>
        </w:rPr>
        <w:t xml:space="preserve">on </w:t>
      </w:r>
      <w:r w:rsidR="00B61945" w:rsidRPr="001112DC">
        <w:rPr>
          <w:b/>
          <w:bCs/>
          <w:i/>
          <w:iCs/>
        </w:rPr>
        <w:t>allocation limits</w:t>
      </w:r>
      <w:r w:rsidR="00BC25C9" w:rsidRPr="001112DC">
        <w:rPr>
          <w:b/>
          <w:bCs/>
          <w:i/>
          <w:iCs/>
        </w:rPr>
        <w:br/>
      </w:r>
      <w:r w:rsidR="00540AB4" w:rsidRPr="0069107B">
        <w:rPr>
          <w:rFonts w:cstheme="minorHAnsi"/>
        </w:rPr>
        <w:t>At the start of each allocation process</w:t>
      </w:r>
      <w:r w:rsidR="00540AB4">
        <w:rPr>
          <w:rFonts w:cstheme="minorHAnsi"/>
        </w:rPr>
        <w:t xml:space="preserve">, we </w:t>
      </w:r>
      <w:r w:rsidR="00540AB4" w:rsidRPr="0069107B">
        <w:rPr>
          <w:rFonts w:cstheme="minorHAnsi"/>
        </w:rPr>
        <w:t xml:space="preserve">expect to publish </w:t>
      </w:r>
      <w:r w:rsidR="00AD5AD3">
        <w:rPr>
          <w:rFonts w:cstheme="minorHAnsi"/>
        </w:rPr>
        <w:t>our</w:t>
      </w:r>
      <w:r w:rsidR="00AD5AD3" w:rsidRPr="0069107B">
        <w:rPr>
          <w:rFonts w:cstheme="minorHAnsi"/>
        </w:rPr>
        <w:t xml:space="preserve"> </w:t>
      </w:r>
      <w:r w:rsidR="00540AB4" w:rsidRPr="0069107B">
        <w:rPr>
          <w:rFonts w:cstheme="minorHAnsi"/>
        </w:rPr>
        <w:t>approach to determining allocation limits.</w:t>
      </w:r>
      <w:r w:rsidR="00B701DD">
        <w:rPr>
          <w:rFonts w:cstheme="minorHAnsi"/>
        </w:rPr>
        <w:t xml:space="preserve"> </w:t>
      </w:r>
      <w:r w:rsidR="00540AB4" w:rsidRPr="0069107B">
        <w:rPr>
          <w:rFonts w:cstheme="minorHAnsi"/>
        </w:rPr>
        <w:t xml:space="preserve">For example, </w:t>
      </w:r>
      <w:r w:rsidR="00AD5AD3">
        <w:rPr>
          <w:rFonts w:cstheme="minorHAnsi"/>
        </w:rPr>
        <w:t>we</w:t>
      </w:r>
      <w:r w:rsidR="00AD5AD3" w:rsidRPr="0069107B">
        <w:rPr>
          <w:rFonts w:cstheme="minorHAnsi"/>
        </w:rPr>
        <w:t xml:space="preserve"> </w:t>
      </w:r>
      <w:r w:rsidR="00540AB4" w:rsidRPr="0069107B">
        <w:rPr>
          <w:rFonts w:cstheme="minorHAnsi"/>
        </w:rPr>
        <w:t>may publish the approach as part of the consultation on considering re</w:t>
      </w:r>
      <w:r w:rsidR="009B1B97">
        <w:rPr>
          <w:rFonts w:cstheme="minorHAnsi"/>
        </w:rPr>
        <w:t>-</w:t>
      </w:r>
      <w:r w:rsidR="00540AB4" w:rsidRPr="0069107B">
        <w:rPr>
          <w:rFonts w:cstheme="minorHAnsi"/>
        </w:rPr>
        <w:t xml:space="preserve">allocating spectrum for spectrum licensing. </w:t>
      </w:r>
    </w:p>
    <w:p w14:paraId="7DF7A35D" w14:textId="5A3DACA7" w:rsidR="001E3FEF" w:rsidRDefault="001E3FEF" w:rsidP="00A97794">
      <w:pPr>
        <w:pStyle w:val="Paragraphbeforelist"/>
      </w:pPr>
      <w:r w:rsidRPr="0069107B">
        <w:t>Th</w:t>
      </w:r>
      <w:r>
        <w:t>e</w:t>
      </w:r>
      <w:r w:rsidRPr="0069107B">
        <w:t xml:space="preserve"> approach will largely detail the procedural steps th</w:t>
      </w:r>
      <w:r>
        <w:t>at</w:t>
      </w:r>
      <w:r w:rsidRPr="0069107B">
        <w:t xml:space="preserve"> </w:t>
      </w:r>
      <w:r>
        <w:t>we</w:t>
      </w:r>
      <w:r w:rsidRPr="0069107B">
        <w:t xml:space="preserve"> will undertake in considering and determining the limits</w:t>
      </w:r>
      <w:r>
        <w:t xml:space="preserve"> and type of allocation limit that could be considered</w:t>
      </w:r>
      <w:r w:rsidRPr="0069107B">
        <w:t>.</w:t>
      </w:r>
      <w:r w:rsidRPr="0069107B" w:rsidDel="00C75445">
        <w:t xml:space="preserve"> </w:t>
      </w:r>
      <w:r>
        <w:t>Different types of limits can be used to address different competition concerns that may be relevant to the particular allocation.</w:t>
      </w:r>
      <w:r w:rsidDel="00C75445">
        <w:t xml:space="preserve"> </w:t>
      </w:r>
      <w:r>
        <w:t>For example:</w:t>
      </w:r>
    </w:p>
    <w:p w14:paraId="20432C16" w14:textId="1CCAC3AC" w:rsidR="001E3FEF" w:rsidRDefault="00B27686" w:rsidP="001E3FEF">
      <w:pPr>
        <w:pStyle w:val="Bulletlevel1"/>
      </w:pPr>
      <w:r>
        <w:t>I</w:t>
      </w:r>
      <w:r w:rsidR="001E3FEF">
        <w:t>n</w:t>
      </w:r>
      <w:r w:rsidR="00B6099C">
        <w:t>-</w:t>
      </w:r>
      <w:r w:rsidR="001E3FEF">
        <w:t>band limits may be useful to prevent monopolisation in a band, particularly for greenfields spectrum where there are limited available substitutes</w:t>
      </w:r>
      <w:r>
        <w:t>.</w:t>
      </w:r>
    </w:p>
    <w:p w14:paraId="4BFF00DD" w14:textId="5306BFF8" w:rsidR="001E3FEF" w:rsidRDefault="00B27686" w:rsidP="001E3FEF">
      <w:pPr>
        <w:pStyle w:val="Bulletlevel1"/>
      </w:pPr>
      <w:r>
        <w:t>C</w:t>
      </w:r>
      <w:r w:rsidR="001E3FEF">
        <w:t>ross</w:t>
      </w:r>
      <w:r>
        <w:t>-</w:t>
      </w:r>
      <w:r w:rsidR="001E3FEF">
        <w:t xml:space="preserve">band limits may be useful to limit aggregate holdings across a range of substitutable </w:t>
      </w:r>
      <w:r w:rsidR="00866752">
        <w:t>bands.</w:t>
      </w:r>
    </w:p>
    <w:p w14:paraId="10D0F2F5" w14:textId="01739193" w:rsidR="001E3FEF" w:rsidRDefault="00B27686" w:rsidP="001E3FEF">
      <w:pPr>
        <w:pStyle w:val="Bulletlevel1last"/>
      </w:pPr>
      <w:r>
        <w:t>S</w:t>
      </w:r>
      <w:r w:rsidR="001E3FEF">
        <w:t xml:space="preserve">pectrum caps </w:t>
      </w:r>
      <w:r w:rsidR="004818A8">
        <w:t xml:space="preserve">may </w:t>
      </w:r>
      <w:r w:rsidR="001E3FEF">
        <w:t>be applied to single or multiple operators to restrict the overall amount of spectrum any one operator can hold.</w:t>
      </w:r>
    </w:p>
    <w:p w14:paraId="3FB5860E" w14:textId="574A3CE9" w:rsidR="00CF7FD6" w:rsidRPr="00953190" w:rsidRDefault="00CF7FD6" w:rsidP="006233E8">
      <w:pPr>
        <w:rPr>
          <w:rFonts w:cstheme="minorHAnsi"/>
        </w:rPr>
      </w:pPr>
      <w:r w:rsidRPr="00953190">
        <w:rPr>
          <w:rFonts w:cstheme="minorHAnsi"/>
        </w:rPr>
        <w:t xml:space="preserve">Given the variety </w:t>
      </w:r>
      <w:r w:rsidRPr="00953190" w:rsidDel="000A1581">
        <w:rPr>
          <w:rFonts w:cstheme="minorHAnsi"/>
        </w:rPr>
        <w:t>and complexit</w:t>
      </w:r>
      <w:r w:rsidR="00326A85">
        <w:rPr>
          <w:rFonts w:cstheme="minorHAnsi"/>
        </w:rPr>
        <w:t>y</w:t>
      </w:r>
      <w:r w:rsidRPr="00953190" w:rsidDel="000A1581">
        <w:rPr>
          <w:rFonts w:cstheme="minorHAnsi"/>
        </w:rPr>
        <w:t xml:space="preserve"> </w:t>
      </w:r>
      <w:r w:rsidRPr="00953190">
        <w:rPr>
          <w:rFonts w:cstheme="minorHAnsi"/>
        </w:rPr>
        <w:t xml:space="preserve">of issues </w:t>
      </w:r>
      <w:r w:rsidR="000A1581" w:rsidRPr="00953190">
        <w:rPr>
          <w:rFonts w:cstheme="minorHAnsi"/>
        </w:rPr>
        <w:t xml:space="preserve">relevant to </w:t>
      </w:r>
      <w:r w:rsidR="008B43F9">
        <w:rPr>
          <w:rFonts w:cstheme="minorHAnsi"/>
        </w:rPr>
        <w:t>the</w:t>
      </w:r>
      <w:r w:rsidR="000A1581" w:rsidRPr="00953190">
        <w:rPr>
          <w:rFonts w:cstheme="minorHAnsi"/>
        </w:rPr>
        <w:t xml:space="preserve"> specific </w:t>
      </w:r>
      <w:r w:rsidR="008B43F9">
        <w:rPr>
          <w:rFonts w:cstheme="minorHAnsi"/>
        </w:rPr>
        <w:t xml:space="preserve">circumstances </w:t>
      </w:r>
      <w:r w:rsidRPr="00953190" w:rsidDel="000A1581">
        <w:rPr>
          <w:rFonts w:cstheme="minorHAnsi"/>
        </w:rPr>
        <w:t xml:space="preserve">associated with any </w:t>
      </w:r>
      <w:r w:rsidR="004B1A7E" w:rsidRPr="00953190">
        <w:rPr>
          <w:rFonts w:cstheme="minorHAnsi"/>
        </w:rPr>
        <w:t>alloc</w:t>
      </w:r>
      <w:r w:rsidRPr="00953190">
        <w:rPr>
          <w:rFonts w:cstheme="minorHAnsi"/>
        </w:rPr>
        <w:t xml:space="preserve">ation process, we do not expect to publish any </w:t>
      </w:r>
      <w:r w:rsidR="007A1465">
        <w:rPr>
          <w:rFonts w:cstheme="minorHAnsi"/>
        </w:rPr>
        <w:t xml:space="preserve">general guidance on </w:t>
      </w:r>
      <w:r w:rsidRPr="00953190">
        <w:rPr>
          <w:rFonts w:cstheme="minorHAnsi"/>
        </w:rPr>
        <w:t xml:space="preserve">the setting of allocation limits. However, through consultation we will outline any existing allocation limits that may apply and any relevant MPS that we will need to consider in either setting or changing allocation limits for </w:t>
      </w:r>
      <w:r w:rsidR="007A1465">
        <w:rPr>
          <w:rFonts w:cstheme="minorHAnsi"/>
        </w:rPr>
        <w:t>a given</w:t>
      </w:r>
      <w:r w:rsidR="007A1465" w:rsidRPr="00953190">
        <w:rPr>
          <w:rFonts w:cstheme="minorHAnsi"/>
        </w:rPr>
        <w:t xml:space="preserve"> </w:t>
      </w:r>
      <w:r w:rsidRPr="00953190">
        <w:rPr>
          <w:rFonts w:cstheme="minorHAnsi"/>
        </w:rPr>
        <w:t xml:space="preserve">allocation. </w:t>
      </w:r>
    </w:p>
    <w:p w14:paraId="196447A4" w14:textId="560F9727" w:rsidR="00540AB4" w:rsidRPr="0069107B" w:rsidRDefault="00540AB4" w:rsidP="00540AB4">
      <w:pPr>
        <w:rPr>
          <w:rFonts w:cstheme="minorHAnsi"/>
        </w:rPr>
      </w:pPr>
      <w:r w:rsidRPr="0069107B">
        <w:rPr>
          <w:rFonts w:cstheme="minorHAnsi"/>
        </w:rPr>
        <w:t xml:space="preserve">Alternatively, it may be appropriate to publish the approach as part of an announcement </w:t>
      </w:r>
      <w:r w:rsidR="0074533B">
        <w:rPr>
          <w:rFonts w:cstheme="minorHAnsi"/>
        </w:rPr>
        <w:t xml:space="preserve">of </w:t>
      </w:r>
      <w:r w:rsidRPr="0069107B">
        <w:rPr>
          <w:rFonts w:cstheme="minorHAnsi"/>
        </w:rPr>
        <w:t>a potential price-based allocation process of apparatus licences. Th</w:t>
      </w:r>
      <w:r>
        <w:rPr>
          <w:rFonts w:cstheme="minorHAnsi"/>
        </w:rPr>
        <w:t>e</w:t>
      </w:r>
      <w:r w:rsidRPr="0069107B">
        <w:rPr>
          <w:rFonts w:cstheme="minorHAnsi"/>
        </w:rPr>
        <w:t xml:space="preserve"> approach will largely detail the procedural steps th</w:t>
      </w:r>
      <w:r>
        <w:rPr>
          <w:rFonts w:cstheme="minorHAnsi"/>
        </w:rPr>
        <w:t>at</w:t>
      </w:r>
      <w:r w:rsidRPr="0069107B">
        <w:rPr>
          <w:rFonts w:cstheme="minorHAnsi"/>
        </w:rPr>
        <w:t xml:space="preserve"> </w:t>
      </w:r>
      <w:r>
        <w:rPr>
          <w:rFonts w:cstheme="minorHAnsi"/>
        </w:rPr>
        <w:t>we</w:t>
      </w:r>
      <w:r w:rsidRPr="0069107B">
        <w:rPr>
          <w:rFonts w:cstheme="minorHAnsi"/>
        </w:rPr>
        <w:t xml:space="preserve"> will undertake in considering and determining the limits. </w:t>
      </w:r>
    </w:p>
    <w:p w14:paraId="371D2E87" w14:textId="2E49CA4D" w:rsidR="00540AB4" w:rsidRPr="0069107B" w:rsidRDefault="00C1660C" w:rsidP="00540AB4">
      <w:pPr>
        <w:rPr>
          <w:rFonts w:cstheme="minorHAnsi"/>
        </w:rPr>
      </w:pPr>
      <w:r>
        <w:rPr>
          <w:rFonts w:cstheme="minorHAnsi"/>
        </w:rPr>
        <w:t>T</w:t>
      </w:r>
      <w:r w:rsidR="00540AB4" w:rsidRPr="0069107B">
        <w:rPr>
          <w:rFonts w:cstheme="minorHAnsi"/>
        </w:rPr>
        <w:t xml:space="preserve">he procedural steps will also outline when </w:t>
      </w:r>
      <w:r w:rsidR="00540AB4">
        <w:rPr>
          <w:rFonts w:cstheme="minorHAnsi"/>
        </w:rPr>
        <w:t>we</w:t>
      </w:r>
      <w:r w:rsidR="00540AB4" w:rsidRPr="0069107B">
        <w:rPr>
          <w:rFonts w:cstheme="minorHAnsi"/>
        </w:rPr>
        <w:t xml:space="preserve"> expect to formally consult </w:t>
      </w:r>
      <w:r w:rsidR="00540AB4">
        <w:rPr>
          <w:rFonts w:cstheme="minorHAnsi"/>
        </w:rPr>
        <w:t xml:space="preserve">with </w:t>
      </w:r>
      <w:r w:rsidR="00540AB4" w:rsidRPr="0069107B">
        <w:rPr>
          <w:rFonts w:cstheme="minorHAnsi"/>
        </w:rPr>
        <w:t xml:space="preserve">the ACCC on allocation limits. </w:t>
      </w:r>
      <w:r>
        <w:rPr>
          <w:rFonts w:cstheme="minorHAnsi"/>
        </w:rPr>
        <w:t xml:space="preserve">Additionally, through working closely with the ACCC as a matter of course, </w:t>
      </w:r>
      <w:r w:rsidR="00515437">
        <w:rPr>
          <w:rFonts w:cstheme="minorHAnsi"/>
        </w:rPr>
        <w:t>there</w:t>
      </w:r>
      <w:r w:rsidR="00540AB4" w:rsidRPr="0069107B">
        <w:rPr>
          <w:rFonts w:cstheme="minorHAnsi"/>
        </w:rPr>
        <w:t xml:space="preserve"> will be opportunit</w:t>
      </w:r>
      <w:r w:rsidR="00515437">
        <w:rPr>
          <w:rFonts w:cstheme="minorHAnsi"/>
        </w:rPr>
        <w:t>ies</w:t>
      </w:r>
      <w:r w:rsidR="00540AB4" w:rsidRPr="0069107B">
        <w:rPr>
          <w:rFonts w:cstheme="minorHAnsi"/>
        </w:rPr>
        <w:t xml:space="preserve"> to seek views about the information the ACCC may require to assist it in responding to </w:t>
      </w:r>
      <w:r w:rsidR="00540AB4">
        <w:rPr>
          <w:rFonts w:cstheme="minorHAnsi"/>
        </w:rPr>
        <w:t>us</w:t>
      </w:r>
      <w:r w:rsidR="00540AB4" w:rsidRPr="0069107B">
        <w:rPr>
          <w:rFonts w:cstheme="minorHAnsi"/>
        </w:rPr>
        <w:t xml:space="preserve"> about allocation limits. This might further streamline the allocation process by consolidating some of the consultation that both </w:t>
      </w:r>
      <w:r w:rsidR="00540AB4">
        <w:rPr>
          <w:rFonts w:cstheme="minorHAnsi"/>
        </w:rPr>
        <w:t>we</w:t>
      </w:r>
      <w:r w:rsidR="00540AB4" w:rsidRPr="0069107B">
        <w:rPr>
          <w:rFonts w:cstheme="minorHAnsi"/>
        </w:rPr>
        <w:t xml:space="preserve"> and </w:t>
      </w:r>
      <w:r w:rsidR="004818A8">
        <w:rPr>
          <w:rFonts w:cstheme="minorHAnsi"/>
        </w:rPr>
        <w:t xml:space="preserve">the </w:t>
      </w:r>
      <w:r w:rsidR="00540AB4" w:rsidRPr="0069107B">
        <w:rPr>
          <w:rFonts w:cstheme="minorHAnsi"/>
        </w:rPr>
        <w:t xml:space="preserve">ACCC could undertake. </w:t>
      </w:r>
    </w:p>
    <w:p w14:paraId="758EC39C" w14:textId="74B75A80" w:rsidR="00540AB4" w:rsidRPr="0069107B" w:rsidRDefault="00540AB4" w:rsidP="00540AB4">
      <w:pPr>
        <w:rPr>
          <w:rFonts w:cstheme="minorBidi"/>
        </w:rPr>
      </w:pPr>
      <w:r w:rsidRPr="6ABC92E0">
        <w:rPr>
          <w:rFonts w:cstheme="minorBidi"/>
        </w:rPr>
        <w:t xml:space="preserve">For spectrum licences, </w:t>
      </w:r>
      <w:r w:rsidR="003B4E12">
        <w:rPr>
          <w:rFonts w:cstheme="minorBidi"/>
        </w:rPr>
        <w:t xml:space="preserve">consistent with established practice, </w:t>
      </w:r>
      <w:r>
        <w:rPr>
          <w:rFonts w:cstheme="minorBidi"/>
        </w:rPr>
        <w:t>we</w:t>
      </w:r>
      <w:r w:rsidRPr="6ABC92E0">
        <w:rPr>
          <w:rFonts w:cstheme="minorBidi"/>
        </w:rPr>
        <w:t xml:space="preserve"> expect to set allocation limits at the same time as the </w:t>
      </w:r>
      <w:r w:rsidR="00626FB0">
        <w:rPr>
          <w:rFonts w:cstheme="minorBidi"/>
        </w:rPr>
        <w:t>procedu</w:t>
      </w:r>
      <w:r w:rsidR="00FD28C7">
        <w:rPr>
          <w:rFonts w:cstheme="minorBidi"/>
        </w:rPr>
        <w:t>res for allocating spectrum licences</w:t>
      </w:r>
      <w:r w:rsidR="00672E3F">
        <w:rPr>
          <w:rFonts w:cstheme="minorBidi"/>
        </w:rPr>
        <w:t>.</w:t>
      </w:r>
      <w:r w:rsidRPr="6ABC92E0">
        <w:rPr>
          <w:rFonts w:cstheme="minorBidi"/>
        </w:rPr>
        <w:t> For price-based allocat</w:t>
      </w:r>
      <w:r w:rsidR="0074533B">
        <w:rPr>
          <w:rFonts w:cstheme="minorBidi"/>
        </w:rPr>
        <w:t>ions of</w:t>
      </w:r>
      <w:r w:rsidRPr="6ABC92E0">
        <w:rPr>
          <w:rFonts w:cstheme="minorBidi"/>
        </w:rPr>
        <w:t xml:space="preserve"> apparatus licences, we expect to set the allocation limits when we </w:t>
      </w:r>
      <w:r w:rsidR="0074533B">
        <w:rPr>
          <w:rFonts w:cstheme="minorBidi"/>
        </w:rPr>
        <w:t>settle</w:t>
      </w:r>
      <w:r w:rsidR="0074533B" w:rsidRPr="6ABC92E0">
        <w:rPr>
          <w:rFonts w:cstheme="minorBidi"/>
        </w:rPr>
        <w:t xml:space="preserve"> </w:t>
      </w:r>
      <w:r w:rsidR="00A23D97">
        <w:rPr>
          <w:rFonts w:cstheme="minorBidi"/>
        </w:rPr>
        <w:t xml:space="preserve">other elements of the apparatus licence allocation process. </w:t>
      </w:r>
    </w:p>
    <w:p w14:paraId="00F33E52" w14:textId="1C0E53DC" w:rsidR="00540AB4" w:rsidRPr="0069107B" w:rsidRDefault="00CA57B7" w:rsidP="00540AB4">
      <w:pPr>
        <w:pStyle w:val="Heading3"/>
      </w:pPr>
      <w:bookmarkStart w:id="71" w:name="_Toc65835985"/>
      <w:r>
        <w:t>B</w:t>
      </w:r>
      <w:r w:rsidR="00540AB4">
        <w:t>idder credits</w:t>
      </w:r>
      <w:bookmarkEnd w:id="71"/>
    </w:p>
    <w:p w14:paraId="2203341F" w14:textId="3917D012" w:rsidR="00882868" w:rsidRDefault="00540AB4" w:rsidP="00540AB4">
      <w:pPr>
        <w:rPr>
          <w:rFonts w:cstheme="minorBidi"/>
        </w:rPr>
      </w:pPr>
      <w:r w:rsidRPr="26B80911">
        <w:rPr>
          <w:rFonts w:cstheme="minorBidi"/>
        </w:rPr>
        <w:t xml:space="preserve">The Modernisation Act </w:t>
      </w:r>
      <w:r>
        <w:rPr>
          <w:rFonts w:cstheme="minorBidi"/>
        </w:rPr>
        <w:t xml:space="preserve">provides </w:t>
      </w:r>
      <w:r w:rsidR="00B03999">
        <w:rPr>
          <w:rFonts w:cstheme="minorBidi"/>
        </w:rPr>
        <w:t xml:space="preserve">for </w:t>
      </w:r>
      <w:r w:rsidR="008C60D4">
        <w:rPr>
          <w:rFonts w:cstheme="minorBidi"/>
        </w:rPr>
        <w:t xml:space="preserve">bidder credits as </w:t>
      </w:r>
      <w:r>
        <w:rPr>
          <w:rFonts w:cstheme="minorBidi"/>
        </w:rPr>
        <w:t xml:space="preserve">an additional tool that may be used in an </w:t>
      </w:r>
      <w:r w:rsidRPr="26B80911">
        <w:rPr>
          <w:rFonts w:cstheme="minorBidi"/>
        </w:rPr>
        <w:t>allocati</w:t>
      </w:r>
      <w:r>
        <w:rPr>
          <w:rFonts w:cstheme="minorBidi"/>
        </w:rPr>
        <w:t>on of</w:t>
      </w:r>
      <w:r w:rsidRPr="26B80911">
        <w:rPr>
          <w:rFonts w:cstheme="minorBidi"/>
        </w:rPr>
        <w:t xml:space="preserve"> spectrum by auctio</w:t>
      </w:r>
      <w:r w:rsidR="008C60D4">
        <w:rPr>
          <w:rFonts w:cstheme="minorBidi"/>
        </w:rPr>
        <w:t>n</w:t>
      </w:r>
      <w:r w:rsidRPr="26B80911">
        <w:rPr>
          <w:rFonts w:cstheme="minorBidi"/>
        </w:rPr>
        <w:t xml:space="preserve">. </w:t>
      </w:r>
    </w:p>
    <w:p w14:paraId="7420571A" w14:textId="619607D9" w:rsidR="00C86EDA" w:rsidRDefault="00540AB4" w:rsidP="00540AB4">
      <w:pPr>
        <w:rPr>
          <w:rFonts w:cstheme="minorBidi"/>
        </w:rPr>
      </w:pPr>
      <w:r w:rsidRPr="26B80911">
        <w:rPr>
          <w:rFonts w:cstheme="minorBidi"/>
        </w:rPr>
        <w:t>In the context of spectrum licensing</w:t>
      </w:r>
      <w:r w:rsidR="00BC30C0">
        <w:rPr>
          <w:rFonts w:cstheme="minorBidi"/>
        </w:rPr>
        <w:t xml:space="preserve"> and as noted in the </w:t>
      </w:r>
      <w:r w:rsidR="00F35F19">
        <w:rPr>
          <w:rFonts w:cstheme="minorBidi"/>
        </w:rPr>
        <w:t>EM to the Modernisation Act</w:t>
      </w:r>
      <w:r w:rsidRPr="26B80911">
        <w:rPr>
          <w:rFonts w:cstheme="minorBidi"/>
        </w:rPr>
        <w:t xml:space="preserve">, </w:t>
      </w:r>
      <w:r w:rsidR="008D650D">
        <w:rPr>
          <w:rFonts w:cstheme="minorBidi"/>
        </w:rPr>
        <w:t>bidder credits</w:t>
      </w:r>
      <w:r w:rsidRPr="26B80911">
        <w:rPr>
          <w:rFonts w:cstheme="minorBidi"/>
        </w:rPr>
        <w:t xml:space="preserve"> </w:t>
      </w:r>
      <w:r w:rsidR="00464B38">
        <w:rPr>
          <w:rFonts w:cstheme="minorBidi"/>
        </w:rPr>
        <w:t xml:space="preserve">are intended to provide bidders or </w:t>
      </w:r>
      <w:r w:rsidR="00193B06">
        <w:rPr>
          <w:rFonts w:cstheme="minorBidi"/>
        </w:rPr>
        <w:t xml:space="preserve">specified </w:t>
      </w:r>
      <w:r w:rsidR="00464B38">
        <w:rPr>
          <w:rFonts w:cstheme="minorBidi"/>
        </w:rPr>
        <w:t xml:space="preserve">classes of bidder </w:t>
      </w:r>
      <w:r w:rsidR="00745F0C">
        <w:rPr>
          <w:rFonts w:cstheme="minorBidi"/>
        </w:rPr>
        <w:t xml:space="preserve">(if any) </w:t>
      </w:r>
      <w:r w:rsidR="0074533B">
        <w:rPr>
          <w:rFonts w:cstheme="minorBidi"/>
        </w:rPr>
        <w:t xml:space="preserve">in an auction process </w:t>
      </w:r>
      <w:r w:rsidR="00464B38">
        <w:rPr>
          <w:rFonts w:cstheme="minorBidi"/>
        </w:rPr>
        <w:t xml:space="preserve">with an advantage that is consistent with the </w:t>
      </w:r>
      <w:r w:rsidR="00EC49F8">
        <w:rPr>
          <w:rFonts w:cstheme="minorBidi"/>
        </w:rPr>
        <w:t>o</w:t>
      </w:r>
      <w:r w:rsidR="00464B38">
        <w:rPr>
          <w:rFonts w:cstheme="minorBidi"/>
        </w:rPr>
        <w:t>bject of the Act</w:t>
      </w:r>
      <w:r w:rsidR="00193B06">
        <w:rPr>
          <w:rFonts w:cstheme="minorBidi"/>
        </w:rPr>
        <w:t>, by deeming their bids to be increased by a specified amount.</w:t>
      </w:r>
      <w:r w:rsidR="00745F0C">
        <w:rPr>
          <w:rFonts w:cstheme="minorBidi"/>
        </w:rPr>
        <w:t xml:space="preserve"> This could enable </w:t>
      </w:r>
      <w:r w:rsidR="00D05BB2">
        <w:rPr>
          <w:rFonts w:cstheme="minorBidi"/>
        </w:rPr>
        <w:t>users to become more competitive in auction settings.</w:t>
      </w:r>
      <w:r w:rsidR="00F3532B">
        <w:rPr>
          <w:rFonts w:cstheme="minorBidi"/>
        </w:rPr>
        <w:t xml:space="preserve"> </w:t>
      </w:r>
    </w:p>
    <w:p w14:paraId="40D63E38" w14:textId="5E42C7C0" w:rsidR="00540AB4" w:rsidRPr="0069107B" w:rsidRDefault="00B9596A" w:rsidP="00A97794">
      <w:pPr>
        <w:keepNext/>
        <w:keepLines/>
        <w:rPr>
          <w:rFonts w:cstheme="minorBidi"/>
        </w:rPr>
      </w:pPr>
      <w:r>
        <w:rPr>
          <w:rFonts w:cstheme="minorBidi"/>
        </w:rPr>
        <w:lastRenderedPageBreak/>
        <w:t>Bidder credits, including the relevant bidders to which the credits would apply, and the</w:t>
      </w:r>
      <w:r w:rsidR="00665FA9">
        <w:rPr>
          <w:rFonts w:cstheme="minorBidi"/>
        </w:rPr>
        <w:t xml:space="preserve"> applicable amount, would be determined in a legislative instrument made under section 60 of the Act as</w:t>
      </w:r>
      <w:r w:rsidR="00F3532B">
        <w:rPr>
          <w:rFonts w:cstheme="minorBidi"/>
        </w:rPr>
        <w:t xml:space="preserve"> </w:t>
      </w:r>
      <w:r w:rsidR="00665FA9">
        <w:rPr>
          <w:rFonts w:cstheme="minorBidi"/>
        </w:rPr>
        <w:t>amended (</w:t>
      </w:r>
      <w:r w:rsidR="00E52E1D">
        <w:rPr>
          <w:rFonts w:cstheme="minorBidi"/>
        </w:rPr>
        <w:t>that is</w:t>
      </w:r>
      <w:r w:rsidR="00665FA9">
        <w:rPr>
          <w:rFonts w:cstheme="minorBidi"/>
        </w:rPr>
        <w:t xml:space="preserve">, </w:t>
      </w:r>
      <w:r w:rsidR="008E39A6">
        <w:rPr>
          <w:rFonts w:cstheme="minorBidi"/>
        </w:rPr>
        <w:t xml:space="preserve">an allocation process determination). This thereby provides </w:t>
      </w:r>
      <w:r w:rsidR="00540AB4" w:rsidRPr="26B80911">
        <w:rPr>
          <w:rFonts w:cstheme="minorBidi"/>
        </w:rPr>
        <w:t xml:space="preserve">prospective bidders </w:t>
      </w:r>
      <w:r w:rsidR="008E39A6">
        <w:rPr>
          <w:rFonts w:cstheme="minorBidi"/>
        </w:rPr>
        <w:t xml:space="preserve">with </w:t>
      </w:r>
      <w:r w:rsidR="00540AB4" w:rsidRPr="26B80911">
        <w:rPr>
          <w:rFonts w:cstheme="minorBidi"/>
        </w:rPr>
        <w:t>transparency in terms of the operation of the auction process, including any credits that other bidders may have been afforded.</w:t>
      </w:r>
    </w:p>
    <w:p w14:paraId="6886114B" w14:textId="35546E78" w:rsidR="00802942" w:rsidRPr="00802942" w:rsidRDefault="00540AB4" w:rsidP="00866752">
      <w:pPr>
        <w:pStyle w:val="Paragraph"/>
      </w:pPr>
      <w:r w:rsidRPr="004311FC">
        <w:t>We exp</w:t>
      </w:r>
      <w:r w:rsidRPr="00765FBA">
        <w:t>ect</w:t>
      </w:r>
      <w:r w:rsidRPr="008A6920">
        <w:t xml:space="preserve"> the use of bidder credits </w:t>
      </w:r>
      <w:r w:rsidR="00E5600A">
        <w:t>will depend on</w:t>
      </w:r>
      <w:r w:rsidRPr="008A6920">
        <w:t xml:space="preserve"> the market circumstances of an allocation process, rather than a </w:t>
      </w:r>
      <w:r w:rsidR="00EB7848" w:rsidRPr="008A6920">
        <w:t xml:space="preserve">common </w:t>
      </w:r>
      <w:r w:rsidRPr="005646CC">
        <w:t>tool used frequently in auctions. Bidd</w:t>
      </w:r>
      <w:r w:rsidRPr="009C591A">
        <w:t>er credits may be useful in promoting bid</w:t>
      </w:r>
      <w:r w:rsidR="008F0A9D" w:rsidRPr="0013518C">
        <w:t>s</w:t>
      </w:r>
      <w:r w:rsidR="0083633D" w:rsidRPr="00F42B58">
        <w:t>, such as those</w:t>
      </w:r>
      <w:r w:rsidR="008F0A9D" w:rsidRPr="00D05963">
        <w:t xml:space="preserve"> made by users</w:t>
      </w:r>
      <w:r w:rsidR="0083633D" w:rsidRPr="004B68AD">
        <w:t xml:space="preserve"> </w:t>
      </w:r>
      <w:r w:rsidRPr="00B70A75">
        <w:t>wi</w:t>
      </w:r>
      <w:r w:rsidRPr="008901E0">
        <w:t>th non-commercial interests</w:t>
      </w:r>
      <w:r w:rsidR="0083633D" w:rsidRPr="008901E0">
        <w:t xml:space="preserve">, </w:t>
      </w:r>
      <w:r w:rsidR="008F0A9D" w:rsidRPr="008901E0">
        <w:t>to become more competitive</w:t>
      </w:r>
      <w:r w:rsidRPr="008901E0">
        <w:t>. We would also establish our approach to dealing with the gaming risk of offering bi</w:t>
      </w:r>
      <w:r w:rsidRPr="0050658B">
        <w:t>dder credits</w:t>
      </w:r>
      <w:r w:rsidRPr="00635041">
        <w:t>. We note that</w:t>
      </w:r>
      <w:r w:rsidRPr="0066290C">
        <w:t xml:space="preserve"> under the Act, </w:t>
      </w:r>
      <w:r w:rsidRPr="00384A90">
        <w:t xml:space="preserve">there are various </w:t>
      </w:r>
      <w:r w:rsidR="00436E54" w:rsidRPr="00384A90">
        <w:t>options</w:t>
      </w:r>
      <w:r w:rsidR="00436E54" w:rsidRPr="00971C44">
        <w:t xml:space="preserve"> </w:t>
      </w:r>
      <w:r w:rsidRPr="006207D2">
        <w:t xml:space="preserve">to promote the use of spectrum by different parties and </w:t>
      </w:r>
      <w:r w:rsidR="00954109" w:rsidRPr="00BC5591">
        <w:t>we</w:t>
      </w:r>
      <w:r w:rsidRPr="003B7C17">
        <w:t xml:space="preserve"> expect also </w:t>
      </w:r>
      <w:r w:rsidR="00436E54" w:rsidRPr="00DB5951">
        <w:t xml:space="preserve">to </w:t>
      </w:r>
      <w:r w:rsidRPr="000D748C">
        <w:t>analyse those options and the use of bidder credits to consider the most appropriate approach. We, being mindful o</w:t>
      </w:r>
      <w:r w:rsidRPr="007A0A1C">
        <w:t>f any MPS,</w:t>
      </w:r>
      <w:r w:rsidRPr="00C12604">
        <w:t xml:space="preserve"> would explore those options as part of </w:t>
      </w:r>
      <w:r w:rsidR="00573F9B" w:rsidRPr="00783CB1">
        <w:t>our</w:t>
      </w:r>
      <w:r w:rsidR="00573F9B" w:rsidRPr="0020362F">
        <w:t xml:space="preserve"> </w:t>
      </w:r>
      <w:r w:rsidRPr="00AF18E2">
        <w:t>consultation about the potential allocation process</w:t>
      </w:r>
      <w:r w:rsidRPr="00651681">
        <w:t>.</w:t>
      </w:r>
    </w:p>
    <w:p w14:paraId="64955128" w14:textId="7FA7439E" w:rsidR="00FF3C69" w:rsidRDefault="00050A8B" w:rsidP="00050A8B">
      <w:pPr>
        <w:pStyle w:val="Heading1"/>
      </w:pPr>
      <w:bookmarkStart w:id="72" w:name="_Appendix_A:_Licence"/>
      <w:bookmarkStart w:id="73" w:name="_Toc65835986"/>
      <w:bookmarkEnd w:id="72"/>
      <w:r>
        <w:lastRenderedPageBreak/>
        <w:t>Appendix</w:t>
      </w:r>
      <w:r w:rsidR="004B11D5">
        <w:t xml:space="preserve"> A: </w:t>
      </w:r>
      <w:r w:rsidR="006D623C">
        <w:t xml:space="preserve">Licence </w:t>
      </w:r>
      <w:r w:rsidR="00E23B71">
        <w:t xml:space="preserve">category </w:t>
      </w:r>
      <w:r w:rsidR="006D623C">
        <w:t>characteristics</w:t>
      </w:r>
      <w:bookmarkEnd w:id="73"/>
    </w:p>
    <w:p w14:paraId="0B9C3C03" w14:textId="0B1577B6" w:rsidR="00050A8B" w:rsidRPr="00C10027" w:rsidRDefault="00050A8B" w:rsidP="00050A8B">
      <w:pPr>
        <w:rPr>
          <w:rFonts w:cs="Arial"/>
        </w:rPr>
      </w:pPr>
      <w:r w:rsidRPr="00C10027">
        <w:rPr>
          <w:rFonts w:cs="Arial"/>
        </w:rPr>
        <w:t xml:space="preserve">Table 1 below summarises and compares the characteristics of different licensing </w:t>
      </w:r>
      <w:r w:rsidR="001F4FB6">
        <w:rPr>
          <w:rFonts w:cs="Arial"/>
        </w:rPr>
        <w:t xml:space="preserve">categories </w:t>
      </w:r>
      <w:r w:rsidRPr="00C10027">
        <w:rPr>
          <w:rFonts w:cs="Arial"/>
        </w:rPr>
        <w:t xml:space="preserve">provided for under the </w:t>
      </w:r>
      <w:r>
        <w:rPr>
          <w:rFonts w:cs="Arial"/>
        </w:rPr>
        <w:t>Act as amended.</w:t>
      </w:r>
      <w:r w:rsidDel="00C75445">
        <w:rPr>
          <w:rFonts w:cs="Arial"/>
        </w:rPr>
        <w:t xml:space="preserve"> </w:t>
      </w:r>
    </w:p>
    <w:p w14:paraId="03B6EAA1" w14:textId="5D53E805" w:rsidR="00050A8B" w:rsidRPr="00C10027" w:rsidRDefault="00050A8B" w:rsidP="00050A8B">
      <w:pPr>
        <w:keepNext/>
        <w:numPr>
          <w:ilvl w:val="0"/>
          <w:numId w:val="7"/>
        </w:numPr>
        <w:spacing w:after="160"/>
        <w:rPr>
          <w:b/>
          <w:bCs/>
          <w:color w:val="323232"/>
          <w:szCs w:val="20"/>
        </w:rPr>
      </w:pPr>
      <w:r w:rsidRPr="00C10027">
        <w:rPr>
          <w:b/>
          <w:bCs/>
          <w:color w:val="323232"/>
          <w:szCs w:val="20"/>
        </w:rPr>
        <w:t xml:space="preserve">Comparison of characteristics of different licensing </w:t>
      </w:r>
      <w:r w:rsidR="001F4FB6" w:rsidRPr="00C10027">
        <w:rPr>
          <w:b/>
          <w:bCs/>
          <w:color w:val="323232"/>
          <w:szCs w:val="20"/>
        </w:rPr>
        <w:t>c</w:t>
      </w:r>
      <w:r w:rsidR="001F4FB6">
        <w:rPr>
          <w:b/>
          <w:bCs/>
          <w:color w:val="323232"/>
          <w:szCs w:val="20"/>
        </w:rPr>
        <w:t>ategories</w:t>
      </w:r>
    </w:p>
    <w:tbl>
      <w:tblPr>
        <w:tblStyle w:val="ACMAtablestyle1"/>
        <w:tblW w:w="9695" w:type="dxa"/>
        <w:tblCellMar>
          <w:top w:w="57" w:type="dxa"/>
          <w:bottom w:w="57" w:type="dxa"/>
        </w:tblCellMar>
        <w:tblLook w:val="04A0" w:firstRow="1" w:lastRow="0" w:firstColumn="1" w:lastColumn="0" w:noHBand="0" w:noVBand="1"/>
      </w:tblPr>
      <w:tblGrid>
        <w:gridCol w:w="1787"/>
        <w:gridCol w:w="2636"/>
        <w:gridCol w:w="2636"/>
        <w:gridCol w:w="2636"/>
      </w:tblGrid>
      <w:tr w:rsidR="00050A8B" w:rsidRPr="00C10027" w14:paraId="5D190CE6" w14:textId="77777777" w:rsidTr="002305BB">
        <w:trPr>
          <w:cnfStyle w:val="100000000000" w:firstRow="1" w:lastRow="0" w:firstColumn="0" w:lastColumn="0" w:oddVBand="0" w:evenVBand="0" w:oddHBand="0" w:evenHBand="0" w:firstRowFirstColumn="0" w:firstRowLastColumn="0" w:lastRowFirstColumn="0" w:lastRowLastColumn="0"/>
        </w:trPr>
        <w:tc>
          <w:tcPr>
            <w:tcW w:w="0" w:type="dxa"/>
            <w:vAlign w:val="center"/>
          </w:tcPr>
          <w:p w14:paraId="1B53C40F" w14:textId="77777777" w:rsidR="00050A8B" w:rsidRPr="00C10027" w:rsidRDefault="00050A8B" w:rsidP="002326F2">
            <w:pPr>
              <w:rPr>
                <w:rFonts w:cs="Arial"/>
              </w:rPr>
            </w:pPr>
          </w:p>
        </w:tc>
        <w:tc>
          <w:tcPr>
            <w:tcW w:w="0" w:type="dxa"/>
            <w:vAlign w:val="center"/>
          </w:tcPr>
          <w:p w14:paraId="7795354F" w14:textId="77777777" w:rsidR="00050A8B" w:rsidRPr="00C10027" w:rsidRDefault="00050A8B" w:rsidP="002326F2">
            <w:pPr>
              <w:spacing w:after="0"/>
              <w:rPr>
                <w:b/>
              </w:rPr>
            </w:pPr>
            <w:r w:rsidRPr="00C10027">
              <w:rPr>
                <w:b/>
              </w:rPr>
              <w:t>Class licence</w:t>
            </w:r>
          </w:p>
        </w:tc>
        <w:tc>
          <w:tcPr>
            <w:tcW w:w="0" w:type="dxa"/>
            <w:vAlign w:val="center"/>
          </w:tcPr>
          <w:p w14:paraId="322B0AF1" w14:textId="77777777" w:rsidR="00050A8B" w:rsidRPr="00C10027" w:rsidRDefault="00050A8B" w:rsidP="002326F2">
            <w:pPr>
              <w:spacing w:after="0"/>
              <w:rPr>
                <w:b/>
              </w:rPr>
            </w:pPr>
            <w:r w:rsidRPr="00C10027">
              <w:rPr>
                <w:b/>
              </w:rPr>
              <w:t>Apparatus licence</w:t>
            </w:r>
          </w:p>
        </w:tc>
        <w:tc>
          <w:tcPr>
            <w:tcW w:w="0" w:type="dxa"/>
            <w:vAlign w:val="center"/>
          </w:tcPr>
          <w:p w14:paraId="384F811D" w14:textId="77777777" w:rsidR="00050A8B" w:rsidRPr="00C10027" w:rsidRDefault="00050A8B" w:rsidP="002326F2">
            <w:pPr>
              <w:spacing w:after="0"/>
              <w:rPr>
                <w:b/>
              </w:rPr>
            </w:pPr>
            <w:r w:rsidRPr="00C10027">
              <w:rPr>
                <w:b/>
              </w:rPr>
              <w:t>Spectrum licence</w:t>
            </w:r>
          </w:p>
        </w:tc>
      </w:tr>
      <w:tr w:rsidR="00050A8B" w:rsidRPr="00C10027" w14:paraId="72EB111D" w14:textId="77777777" w:rsidTr="00A97794">
        <w:trPr>
          <w:cnfStyle w:val="000000100000" w:firstRow="0" w:lastRow="0" w:firstColumn="0" w:lastColumn="0" w:oddVBand="0" w:evenVBand="0" w:oddHBand="1" w:evenHBand="0" w:firstRowFirstColumn="0" w:firstRowLastColumn="0" w:lastRowFirstColumn="0" w:lastRowLastColumn="0"/>
        </w:trPr>
        <w:tc>
          <w:tcPr>
            <w:tcW w:w="0" w:type="dxa"/>
          </w:tcPr>
          <w:p w14:paraId="2510CBD1" w14:textId="77777777" w:rsidR="00050A8B" w:rsidRPr="00C10027" w:rsidRDefault="00050A8B" w:rsidP="002326F2">
            <w:pPr>
              <w:spacing w:after="0"/>
              <w:rPr>
                <w:b/>
              </w:rPr>
            </w:pPr>
            <w:r w:rsidRPr="00C10027">
              <w:rPr>
                <w:b/>
              </w:rPr>
              <w:t>What is authorised</w:t>
            </w:r>
          </w:p>
        </w:tc>
        <w:tc>
          <w:tcPr>
            <w:tcW w:w="0" w:type="dxa"/>
          </w:tcPr>
          <w:p w14:paraId="1067D8DC" w14:textId="24A0778E" w:rsidR="00050A8B" w:rsidRPr="00C10027" w:rsidRDefault="00050A8B" w:rsidP="002326F2">
            <w:pPr>
              <w:rPr>
                <w:rFonts w:cs="Arial"/>
              </w:rPr>
            </w:pPr>
            <w:r w:rsidRPr="00C10027">
              <w:rPr>
                <w:rFonts w:cs="Arial"/>
              </w:rPr>
              <w:t>Any person, or class of person, to operate a radiocommunications device of a specified kind or for a specified purpose</w:t>
            </w:r>
            <w:r w:rsidR="00271ECC">
              <w:rPr>
                <w:rFonts w:cs="Arial"/>
              </w:rPr>
              <w:t>.</w:t>
            </w:r>
          </w:p>
        </w:tc>
        <w:tc>
          <w:tcPr>
            <w:tcW w:w="0" w:type="dxa"/>
          </w:tcPr>
          <w:p w14:paraId="7AF731C8" w14:textId="454F9AA9" w:rsidR="00050A8B" w:rsidRPr="00C10027" w:rsidRDefault="00050A8B" w:rsidP="00866752">
            <w:pPr>
              <w:spacing w:after="0"/>
              <w:rPr>
                <w:rFonts w:cs="Arial"/>
              </w:rPr>
            </w:pPr>
            <w:r w:rsidRPr="00C10027">
              <w:rPr>
                <w:rFonts w:cs="Arial"/>
              </w:rPr>
              <w:t xml:space="preserve">The licensee to operate </w:t>
            </w:r>
            <w:r w:rsidR="00271ECC">
              <w:rPr>
                <w:rFonts w:cs="Arial"/>
              </w:rPr>
              <w:br/>
            </w:r>
            <w:r w:rsidRPr="00C10027">
              <w:rPr>
                <w:rFonts w:cs="Arial"/>
              </w:rPr>
              <w:t xml:space="preserve">a </w:t>
            </w:r>
            <w:r>
              <w:rPr>
                <w:rFonts w:cs="Arial"/>
              </w:rPr>
              <w:t xml:space="preserve">specified </w:t>
            </w:r>
            <w:r w:rsidRPr="00C10027">
              <w:rPr>
                <w:rFonts w:cs="Arial"/>
              </w:rPr>
              <w:t>radiocommunications transmitter or receiver</w:t>
            </w:r>
            <w:r>
              <w:rPr>
                <w:rFonts w:cs="Arial"/>
              </w:rPr>
              <w:t>, or a specified class of radiocommunications transmitters or receivers at a specified location or area(s)</w:t>
            </w:r>
            <w:r w:rsidR="00271ECC">
              <w:rPr>
                <w:rFonts w:cs="Arial"/>
              </w:rPr>
              <w:t>.</w:t>
            </w:r>
          </w:p>
        </w:tc>
        <w:tc>
          <w:tcPr>
            <w:tcW w:w="0" w:type="dxa"/>
          </w:tcPr>
          <w:p w14:paraId="783DB8E5" w14:textId="19ED180B" w:rsidR="00050A8B" w:rsidRPr="00C10027" w:rsidRDefault="00050A8B" w:rsidP="002326F2">
            <w:pPr>
              <w:rPr>
                <w:rFonts w:cs="Arial"/>
              </w:rPr>
            </w:pPr>
            <w:r w:rsidRPr="00C10027">
              <w:rPr>
                <w:rFonts w:cs="Arial"/>
              </w:rPr>
              <w:t>The licensee to use any radiocommunications transmitter or receiver in specified parts of the spectrum, in specified areas</w:t>
            </w:r>
            <w:r w:rsidR="00271ECC">
              <w:rPr>
                <w:rFonts w:cs="Arial"/>
              </w:rPr>
              <w:t>.</w:t>
            </w:r>
          </w:p>
        </w:tc>
      </w:tr>
      <w:tr w:rsidR="00050A8B" w:rsidRPr="00C10027" w14:paraId="5935DF45" w14:textId="77777777" w:rsidTr="00A97794">
        <w:trPr>
          <w:cnfStyle w:val="000000010000" w:firstRow="0" w:lastRow="0" w:firstColumn="0" w:lastColumn="0" w:oddVBand="0" w:evenVBand="0" w:oddHBand="0" w:evenHBand="1" w:firstRowFirstColumn="0" w:firstRowLastColumn="0" w:lastRowFirstColumn="0" w:lastRowLastColumn="0"/>
        </w:trPr>
        <w:tc>
          <w:tcPr>
            <w:tcW w:w="0" w:type="dxa"/>
          </w:tcPr>
          <w:p w14:paraId="3EFC8357" w14:textId="77777777" w:rsidR="00050A8B" w:rsidRPr="00C10027" w:rsidRDefault="00050A8B" w:rsidP="002326F2">
            <w:pPr>
              <w:spacing w:after="0"/>
              <w:rPr>
                <w:b/>
              </w:rPr>
            </w:pPr>
            <w:r w:rsidRPr="00C10027">
              <w:rPr>
                <w:b/>
              </w:rPr>
              <w:t>Frequency</w:t>
            </w:r>
          </w:p>
        </w:tc>
        <w:tc>
          <w:tcPr>
            <w:tcW w:w="0" w:type="dxa"/>
          </w:tcPr>
          <w:p w14:paraId="7847798B" w14:textId="37C01EE3" w:rsidR="00050A8B" w:rsidRPr="00C10027" w:rsidRDefault="00050A8B" w:rsidP="002326F2">
            <w:pPr>
              <w:rPr>
                <w:rFonts w:cs="Arial"/>
              </w:rPr>
            </w:pPr>
            <w:r w:rsidRPr="00C10027">
              <w:rPr>
                <w:rFonts w:cs="Arial"/>
              </w:rPr>
              <w:t>Shared frequencies specified in the class licence</w:t>
            </w:r>
            <w:r w:rsidR="00271ECC">
              <w:rPr>
                <w:rFonts w:cs="Arial"/>
              </w:rPr>
              <w:t>.</w:t>
            </w:r>
          </w:p>
        </w:tc>
        <w:tc>
          <w:tcPr>
            <w:tcW w:w="0" w:type="dxa"/>
          </w:tcPr>
          <w:p w14:paraId="690EBAA3" w14:textId="51A61BFE" w:rsidR="00050A8B" w:rsidRPr="00C10027" w:rsidRDefault="00050A8B" w:rsidP="00866752">
            <w:pPr>
              <w:spacing w:after="120"/>
              <w:rPr>
                <w:rFonts w:cs="Arial"/>
              </w:rPr>
            </w:pPr>
            <w:r w:rsidRPr="00C10027">
              <w:rPr>
                <w:rFonts w:cs="Arial"/>
              </w:rPr>
              <w:t xml:space="preserve">Assigned: </w:t>
            </w:r>
            <w:r w:rsidR="00F8167D">
              <w:rPr>
                <w:rFonts w:cs="Arial"/>
              </w:rPr>
              <w:t>On a frequency or i</w:t>
            </w:r>
            <w:r w:rsidRPr="00C10027">
              <w:rPr>
                <w:rFonts w:cs="Arial"/>
              </w:rPr>
              <w:t>n a frequency range specified in the licence</w:t>
            </w:r>
            <w:r w:rsidR="00271ECC">
              <w:rPr>
                <w:rFonts w:cs="Arial"/>
              </w:rPr>
              <w:t>.</w:t>
            </w:r>
          </w:p>
          <w:p w14:paraId="751AE3D7" w14:textId="6C8CB9EF" w:rsidR="00050A8B" w:rsidRPr="00C10027" w:rsidRDefault="00050A8B" w:rsidP="00866752">
            <w:pPr>
              <w:spacing w:after="0"/>
              <w:rPr>
                <w:rFonts w:cs="Arial"/>
              </w:rPr>
            </w:pPr>
            <w:r w:rsidRPr="00C10027">
              <w:rPr>
                <w:rFonts w:cs="Arial"/>
              </w:rPr>
              <w:t>Non-assigned: Shared frequencies specified in a licence condition determination</w:t>
            </w:r>
            <w:r w:rsidR="00271ECC">
              <w:rPr>
                <w:rFonts w:cs="Arial"/>
              </w:rPr>
              <w:t>.</w:t>
            </w:r>
          </w:p>
        </w:tc>
        <w:tc>
          <w:tcPr>
            <w:tcW w:w="0" w:type="dxa"/>
          </w:tcPr>
          <w:p w14:paraId="23A3AD23" w14:textId="5140D888" w:rsidR="00050A8B" w:rsidRPr="00C10027" w:rsidRDefault="00050A8B" w:rsidP="002326F2">
            <w:pPr>
              <w:rPr>
                <w:rFonts w:cs="Arial"/>
              </w:rPr>
            </w:pPr>
            <w:r w:rsidRPr="00C10027">
              <w:rPr>
                <w:rFonts w:cs="Arial"/>
              </w:rPr>
              <w:t xml:space="preserve">In a frequency range specified </w:t>
            </w:r>
            <w:r w:rsidR="00271ECC">
              <w:rPr>
                <w:rFonts w:cs="Arial"/>
              </w:rPr>
              <w:br/>
            </w:r>
            <w:r w:rsidRPr="00C10027">
              <w:rPr>
                <w:rFonts w:cs="Arial"/>
              </w:rPr>
              <w:t>in licence</w:t>
            </w:r>
            <w:r w:rsidR="00271ECC">
              <w:rPr>
                <w:rFonts w:cs="Arial"/>
              </w:rPr>
              <w:t>.</w:t>
            </w:r>
          </w:p>
        </w:tc>
      </w:tr>
      <w:tr w:rsidR="00050A8B" w:rsidRPr="00C10027" w14:paraId="4BCAD5DC" w14:textId="77777777" w:rsidTr="00A97794">
        <w:trPr>
          <w:cnfStyle w:val="000000100000" w:firstRow="0" w:lastRow="0" w:firstColumn="0" w:lastColumn="0" w:oddVBand="0" w:evenVBand="0" w:oddHBand="1" w:evenHBand="0" w:firstRowFirstColumn="0" w:firstRowLastColumn="0" w:lastRowFirstColumn="0" w:lastRowLastColumn="0"/>
        </w:trPr>
        <w:tc>
          <w:tcPr>
            <w:tcW w:w="0" w:type="dxa"/>
          </w:tcPr>
          <w:p w14:paraId="02C345D1" w14:textId="77777777" w:rsidR="00050A8B" w:rsidRPr="00C10027" w:rsidRDefault="00050A8B" w:rsidP="002326F2">
            <w:pPr>
              <w:spacing w:after="0"/>
              <w:rPr>
                <w:b/>
              </w:rPr>
            </w:pPr>
            <w:r w:rsidRPr="00C10027">
              <w:rPr>
                <w:b/>
              </w:rPr>
              <w:t>Geography</w:t>
            </w:r>
          </w:p>
        </w:tc>
        <w:tc>
          <w:tcPr>
            <w:tcW w:w="0" w:type="dxa"/>
          </w:tcPr>
          <w:p w14:paraId="185A1E0C" w14:textId="4B8BDC91" w:rsidR="00050A8B" w:rsidRPr="00C10027" w:rsidRDefault="00050A8B" w:rsidP="002326F2">
            <w:pPr>
              <w:rPr>
                <w:rFonts w:cs="Arial"/>
              </w:rPr>
            </w:pPr>
            <w:r w:rsidRPr="00C10027">
              <w:rPr>
                <w:rFonts w:cs="Arial"/>
              </w:rPr>
              <w:t>As set out in the class licence, but in many cases Australia-wide</w:t>
            </w:r>
            <w:r w:rsidR="00271ECC">
              <w:rPr>
                <w:rFonts w:cs="Arial"/>
              </w:rPr>
              <w:t>.</w:t>
            </w:r>
          </w:p>
        </w:tc>
        <w:tc>
          <w:tcPr>
            <w:tcW w:w="0" w:type="dxa"/>
          </w:tcPr>
          <w:p w14:paraId="543F71E6" w14:textId="4F998755" w:rsidR="00050A8B" w:rsidRPr="00C10027" w:rsidRDefault="00050A8B" w:rsidP="00866752">
            <w:pPr>
              <w:spacing w:after="120"/>
              <w:rPr>
                <w:rFonts w:cs="Arial"/>
              </w:rPr>
            </w:pPr>
            <w:r w:rsidRPr="00C10027">
              <w:rPr>
                <w:rFonts w:cs="Arial"/>
              </w:rPr>
              <w:t>Assigned: At a location or within a defined area specified in the licence</w:t>
            </w:r>
            <w:r w:rsidR="00271ECC">
              <w:rPr>
                <w:rFonts w:cs="Arial"/>
              </w:rPr>
              <w:t>.</w:t>
            </w:r>
          </w:p>
          <w:p w14:paraId="21017699" w14:textId="6DC5FDC8" w:rsidR="00050A8B" w:rsidRPr="00C10027" w:rsidRDefault="00050A8B" w:rsidP="00866752">
            <w:pPr>
              <w:spacing w:after="0"/>
              <w:rPr>
                <w:rFonts w:cs="Arial"/>
              </w:rPr>
            </w:pPr>
            <w:r w:rsidRPr="00C10027">
              <w:rPr>
                <w:rFonts w:cs="Arial"/>
              </w:rPr>
              <w:t>Non-assigned: As set out in the relevant licence condition determination</w:t>
            </w:r>
            <w:r w:rsidR="00271ECC">
              <w:rPr>
                <w:rFonts w:cs="Arial"/>
              </w:rPr>
              <w:t>.</w:t>
            </w:r>
          </w:p>
        </w:tc>
        <w:tc>
          <w:tcPr>
            <w:tcW w:w="0" w:type="dxa"/>
          </w:tcPr>
          <w:p w14:paraId="502F9097" w14:textId="031EB2A3" w:rsidR="00050A8B" w:rsidRPr="00C10027" w:rsidRDefault="00050A8B" w:rsidP="002326F2">
            <w:pPr>
              <w:rPr>
                <w:rFonts w:cs="Arial"/>
              </w:rPr>
            </w:pPr>
            <w:r w:rsidRPr="00C10027">
              <w:rPr>
                <w:rFonts w:cs="Arial"/>
              </w:rPr>
              <w:t>Within a defined area specified in the licence</w:t>
            </w:r>
            <w:r w:rsidR="00271ECC">
              <w:rPr>
                <w:rFonts w:cs="Arial"/>
              </w:rPr>
              <w:t>.</w:t>
            </w:r>
          </w:p>
        </w:tc>
      </w:tr>
      <w:tr w:rsidR="00050A8B" w:rsidRPr="00C10027" w14:paraId="0F7824BA" w14:textId="77777777" w:rsidTr="00A97794">
        <w:trPr>
          <w:cnfStyle w:val="000000010000" w:firstRow="0" w:lastRow="0" w:firstColumn="0" w:lastColumn="0" w:oddVBand="0" w:evenVBand="0" w:oddHBand="0" w:evenHBand="1" w:firstRowFirstColumn="0" w:firstRowLastColumn="0" w:lastRowFirstColumn="0" w:lastRowLastColumn="0"/>
        </w:trPr>
        <w:tc>
          <w:tcPr>
            <w:tcW w:w="0" w:type="dxa"/>
          </w:tcPr>
          <w:p w14:paraId="3F7B2D11" w14:textId="77777777" w:rsidR="00050A8B" w:rsidRPr="00C10027" w:rsidRDefault="00050A8B" w:rsidP="002326F2">
            <w:pPr>
              <w:spacing w:after="0"/>
              <w:rPr>
                <w:b/>
              </w:rPr>
            </w:pPr>
            <w:r w:rsidRPr="00C10027">
              <w:rPr>
                <w:b/>
              </w:rPr>
              <w:t>Licence duration</w:t>
            </w:r>
          </w:p>
        </w:tc>
        <w:tc>
          <w:tcPr>
            <w:tcW w:w="0" w:type="dxa"/>
          </w:tcPr>
          <w:p w14:paraId="737CBE56" w14:textId="198060A2" w:rsidR="00050A8B" w:rsidRPr="00C10027" w:rsidRDefault="00050A8B" w:rsidP="00866752">
            <w:pPr>
              <w:spacing w:after="0"/>
              <w:rPr>
                <w:rFonts w:cs="Arial"/>
              </w:rPr>
            </w:pPr>
            <w:r w:rsidRPr="00C10027">
              <w:rPr>
                <w:rFonts w:cs="Arial"/>
              </w:rPr>
              <w:t>Standing authorisation unless class licence sunsets, is revoked or otherwise varied to change what the licence authorises</w:t>
            </w:r>
            <w:r w:rsidR="00271ECC">
              <w:rPr>
                <w:rFonts w:cs="Arial"/>
              </w:rPr>
              <w:t xml:space="preserve">. </w:t>
            </w:r>
          </w:p>
        </w:tc>
        <w:tc>
          <w:tcPr>
            <w:tcW w:w="0" w:type="dxa"/>
          </w:tcPr>
          <w:p w14:paraId="139EEF4B" w14:textId="62EAA7B1" w:rsidR="00050A8B" w:rsidRPr="00C10027" w:rsidRDefault="00050A8B" w:rsidP="002326F2">
            <w:pPr>
              <w:rPr>
                <w:rFonts w:cs="Arial"/>
              </w:rPr>
            </w:pPr>
            <w:r w:rsidRPr="00C10027">
              <w:rPr>
                <w:rFonts w:cs="Arial"/>
              </w:rPr>
              <w:t>Up to 20 years</w:t>
            </w:r>
            <w:r w:rsidR="00271ECC">
              <w:rPr>
                <w:rFonts w:cs="Arial"/>
              </w:rPr>
              <w:t xml:space="preserve">. </w:t>
            </w:r>
          </w:p>
        </w:tc>
        <w:tc>
          <w:tcPr>
            <w:tcW w:w="0" w:type="dxa"/>
          </w:tcPr>
          <w:p w14:paraId="534EC213" w14:textId="54C5CC1B" w:rsidR="00050A8B" w:rsidRPr="00C10027" w:rsidRDefault="00050A8B" w:rsidP="002326F2">
            <w:pPr>
              <w:rPr>
                <w:rFonts w:cs="Arial"/>
              </w:rPr>
            </w:pPr>
            <w:r w:rsidRPr="00C10027">
              <w:rPr>
                <w:rFonts w:cs="Arial"/>
              </w:rPr>
              <w:t>Up to 20 years</w:t>
            </w:r>
            <w:r w:rsidR="00271ECC">
              <w:rPr>
                <w:rFonts w:cs="Arial"/>
              </w:rPr>
              <w:t xml:space="preserve">. </w:t>
            </w:r>
          </w:p>
        </w:tc>
      </w:tr>
      <w:tr w:rsidR="00050A8B" w:rsidRPr="00C10027" w14:paraId="53BB3983" w14:textId="77777777" w:rsidTr="00A97794">
        <w:trPr>
          <w:cnfStyle w:val="000000100000" w:firstRow="0" w:lastRow="0" w:firstColumn="0" w:lastColumn="0" w:oddVBand="0" w:evenVBand="0" w:oddHBand="1" w:evenHBand="0" w:firstRowFirstColumn="0" w:firstRowLastColumn="0" w:lastRowFirstColumn="0" w:lastRowLastColumn="0"/>
        </w:trPr>
        <w:tc>
          <w:tcPr>
            <w:tcW w:w="0" w:type="dxa"/>
          </w:tcPr>
          <w:p w14:paraId="0F25B489" w14:textId="77777777" w:rsidR="00050A8B" w:rsidRPr="00C10027" w:rsidRDefault="00050A8B" w:rsidP="002326F2">
            <w:pPr>
              <w:spacing w:after="0"/>
              <w:rPr>
                <w:b/>
              </w:rPr>
            </w:pPr>
            <w:r w:rsidRPr="00C10027">
              <w:rPr>
                <w:b/>
              </w:rPr>
              <w:t>Conditions of use (exclusivity and technical coexistence)</w:t>
            </w:r>
          </w:p>
        </w:tc>
        <w:tc>
          <w:tcPr>
            <w:tcW w:w="0" w:type="dxa"/>
          </w:tcPr>
          <w:p w14:paraId="348BB1C1" w14:textId="433410EF" w:rsidR="00050A8B" w:rsidRPr="00C10027" w:rsidRDefault="00050A8B" w:rsidP="00866752">
            <w:pPr>
              <w:spacing w:after="120"/>
              <w:rPr>
                <w:rFonts w:cs="Arial"/>
              </w:rPr>
            </w:pPr>
            <w:r w:rsidRPr="00C10027">
              <w:rPr>
                <w:rFonts w:cs="Arial"/>
              </w:rPr>
              <w:t>Shared use of the frequency</w:t>
            </w:r>
            <w:r w:rsidR="00271ECC">
              <w:rPr>
                <w:rFonts w:cs="Arial"/>
              </w:rPr>
              <w:t>.</w:t>
            </w:r>
          </w:p>
          <w:p w14:paraId="6E2F059D" w14:textId="5FA5DA84" w:rsidR="00050A8B" w:rsidRPr="00C10027" w:rsidRDefault="00AA2100" w:rsidP="002326F2">
            <w:pPr>
              <w:rPr>
                <w:rFonts w:cs="Arial"/>
              </w:rPr>
            </w:pPr>
            <w:r>
              <w:rPr>
                <w:rFonts w:cs="Arial"/>
              </w:rPr>
              <w:t>Generally n</w:t>
            </w:r>
            <w:r w:rsidR="00050A8B" w:rsidRPr="00C10027">
              <w:rPr>
                <w:rFonts w:cs="Arial"/>
              </w:rPr>
              <w:t>o interference protection, in accordance with ACMA policies</w:t>
            </w:r>
            <w:r w:rsidR="00271ECC">
              <w:rPr>
                <w:rFonts w:cs="Arial"/>
              </w:rPr>
              <w:t>.</w:t>
            </w:r>
          </w:p>
        </w:tc>
        <w:tc>
          <w:tcPr>
            <w:tcW w:w="0" w:type="dxa"/>
          </w:tcPr>
          <w:p w14:paraId="1CF74356" w14:textId="57D7C7E7" w:rsidR="00050A8B" w:rsidRPr="00C10027" w:rsidRDefault="00050A8B" w:rsidP="00866752">
            <w:pPr>
              <w:spacing w:after="120"/>
              <w:rPr>
                <w:rFonts w:cs="Arial"/>
              </w:rPr>
            </w:pPr>
            <w:r w:rsidRPr="00C10027">
              <w:rPr>
                <w:rFonts w:cs="Arial"/>
              </w:rPr>
              <w:t>Policies for coordinating devices</w:t>
            </w:r>
            <w:r w:rsidR="00271ECC">
              <w:rPr>
                <w:rFonts w:cs="Arial"/>
              </w:rPr>
              <w:t>.</w:t>
            </w:r>
          </w:p>
          <w:p w14:paraId="54DEF1EA" w14:textId="0C1CDD36" w:rsidR="00050A8B" w:rsidRPr="00C10027" w:rsidRDefault="00050A8B" w:rsidP="002326F2">
            <w:pPr>
              <w:rPr>
                <w:rFonts w:cs="Arial"/>
              </w:rPr>
            </w:pPr>
            <w:r w:rsidRPr="00C10027">
              <w:rPr>
                <w:rFonts w:cs="Arial"/>
              </w:rPr>
              <w:t>Licence condition determinations and special licence conditions</w:t>
            </w:r>
            <w:r w:rsidR="00271ECC">
              <w:rPr>
                <w:rFonts w:cs="Arial"/>
              </w:rPr>
              <w:t>.</w:t>
            </w:r>
          </w:p>
          <w:p w14:paraId="07F37647" w14:textId="78BCD357" w:rsidR="00050A8B" w:rsidRPr="00C10027" w:rsidRDefault="00050A8B" w:rsidP="00866752">
            <w:pPr>
              <w:spacing w:after="120"/>
              <w:rPr>
                <w:rFonts w:cs="Arial"/>
              </w:rPr>
            </w:pPr>
            <w:r w:rsidRPr="00C10027">
              <w:rPr>
                <w:rFonts w:cs="Arial"/>
              </w:rPr>
              <w:t>Primary or secondary use</w:t>
            </w:r>
            <w:r w:rsidR="003B1F21">
              <w:rPr>
                <w:rFonts w:cs="Arial"/>
              </w:rPr>
              <w:t>.</w:t>
            </w:r>
            <w:r w:rsidR="003B1F21">
              <w:rPr>
                <w:rStyle w:val="FootnoteReference"/>
                <w:rFonts w:cs="Arial"/>
              </w:rPr>
              <w:footnoteReference w:id="35"/>
            </w:r>
          </w:p>
          <w:p w14:paraId="220D3439" w14:textId="350530F7" w:rsidR="00050A8B" w:rsidRPr="00C10027" w:rsidRDefault="00050A8B" w:rsidP="00866752">
            <w:pPr>
              <w:spacing w:after="120"/>
              <w:rPr>
                <w:rFonts w:cs="Arial"/>
              </w:rPr>
            </w:pPr>
            <w:r w:rsidRPr="00C10027">
              <w:rPr>
                <w:rFonts w:cs="Arial"/>
              </w:rPr>
              <w:lastRenderedPageBreak/>
              <w:t>Class licences may co-exist</w:t>
            </w:r>
            <w:r w:rsidR="00271ECC">
              <w:rPr>
                <w:rFonts w:cs="Arial"/>
              </w:rPr>
              <w:t>.</w:t>
            </w:r>
          </w:p>
          <w:p w14:paraId="6F992B8C" w14:textId="23345657" w:rsidR="00050A8B" w:rsidRPr="00C10027" w:rsidRDefault="00050A8B" w:rsidP="00866752">
            <w:pPr>
              <w:spacing w:after="120"/>
              <w:rPr>
                <w:rFonts w:cs="Arial"/>
              </w:rPr>
            </w:pPr>
            <w:r w:rsidRPr="00C10027">
              <w:rPr>
                <w:rFonts w:cs="Arial"/>
              </w:rPr>
              <w:t>Interference protection in accordance with ACMA policies</w:t>
            </w:r>
            <w:r w:rsidR="00271ECC">
              <w:rPr>
                <w:rFonts w:cs="Arial"/>
              </w:rPr>
              <w:t>.</w:t>
            </w:r>
          </w:p>
          <w:p w14:paraId="62288694" w14:textId="552C5DBB" w:rsidR="00050A8B" w:rsidRPr="00C10027" w:rsidRDefault="00050A8B" w:rsidP="00866752">
            <w:pPr>
              <w:spacing w:after="0"/>
              <w:rPr>
                <w:rFonts w:cs="Arial"/>
              </w:rPr>
            </w:pPr>
            <w:r w:rsidRPr="00C10027">
              <w:rPr>
                <w:rFonts w:cs="Arial"/>
              </w:rPr>
              <w:t>May authorise third</w:t>
            </w:r>
            <w:r w:rsidR="00271ECC">
              <w:rPr>
                <w:rFonts w:cs="Arial"/>
              </w:rPr>
              <w:t>-</w:t>
            </w:r>
            <w:r w:rsidRPr="00C10027">
              <w:rPr>
                <w:rFonts w:cs="Arial"/>
              </w:rPr>
              <w:t>party device use</w:t>
            </w:r>
            <w:r w:rsidR="00271ECC">
              <w:rPr>
                <w:rFonts w:cs="Arial"/>
              </w:rPr>
              <w:t>.</w:t>
            </w:r>
          </w:p>
        </w:tc>
        <w:tc>
          <w:tcPr>
            <w:tcW w:w="0" w:type="dxa"/>
          </w:tcPr>
          <w:p w14:paraId="47BFCB2F" w14:textId="4A5F107F" w:rsidR="00050A8B" w:rsidRPr="00C10027" w:rsidRDefault="00050A8B" w:rsidP="00866752">
            <w:pPr>
              <w:spacing w:after="120"/>
              <w:rPr>
                <w:rFonts w:cs="Arial"/>
              </w:rPr>
            </w:pPr>
            <w:r w:rsidRPr="00C10027">
              <w:rPr>
                <w:rFonts w:cs="Arial"/>
              </w:rPr>
              <w:lastRenderedPageBreak/>
              <w:t>Core conditions (for example, parts of the spectrum authorised) cannot be change</w:t>
            </w:r>
            <w:r>
              <w:rPr>
                <w:rFonts w:cs="Arial"/>
              </w:rPr>
              <w:t>d</w:t>
            </w:r>
            <w:r w:rsidRPr="00C10027">
              <w:rPr>
                <w:rFonts w:cs="Arial"/>
              </w:rPr>
              <w:t xml:space="preserve"> without licensee’s consent</w:t>
            </w:r>
            <w:r w:rsidR="00271ECC">
              <w:rPr>
                <w:rFonts w:cs="Arial"/>
              </w:rPr>
              <w:t>.</w:t>
            </w:r>
          </w:p>
          <w:p w14:paraId="23E2A7BD" w14:textId="3746A3B7" w:rsidR="00050A8B" w:rsidRPr="00C10027" w:rsidRDefault="00050A8B" w:rsidP="00866752">
            <w:pPr>
              <w:spacing w:after="120"/>
              <w:rPr>
                <w:rFonts w:cs="Arial"/>
              </w:rPr>
            </w:pPr>
            <w:r w:rsidRPr="00C10027">
              <w:rPr>
                <w:rFonts w:cs="Arial"/>
              </w:rPr>
              <w:t xml:space="preserve">Exclusive use within defined area and frequency range, however </w:t>
            </w:r>
            <w:r w:rsidRPr="00C10027">
              <w:rPr>
                <w:rFonts w:cs="Arial"/>
              </w:rPr>
              <w:lastRenderedPageBreak/>
              <w:t>class and apparatus licences may be authorised to co-exist under specified circumstances</w:t>
            </w:r>
            <w:r w:rsidR="00271ECC">
              <w:rPr>
                <w:rFonts w:cs="Arial"/>
              </w:rPr>
              <w:t>.</w:t>
            </w:r>
          </w:p>
          <w:p w14:paraId="2B681A07" w14:textId="4BB7BDCD" w:rsidR="00050A8B" w:rsidRPr="00C10027" w:rsidRDefault="00050A8B" w:rsidP="00866752">
            <w:pPr>
              <w:spacing w:after="0"/>
              <w:rPr>
                <w:rFonts w:cs="Arial"/>
              </w:rPr>
            </w:pPr>
            <w:r w:rsidRPr="00C10027">
              <w:rPr>
                <w:rFonts w:cs="Arial"/>
              </w:rPr>
              <w:t>Interference protection in accordance with ACMA policies</w:t>
            </w:r>
            <w:r w:rsidR="00271ECC">
              <w:rPr>
                <w:rFonts w:cs="Arial"/>
              </w:rPr>
              <w:t>.</w:t>
            </w:r>
          </w:p>
        </w:tc>
      </w:tr>
      <w:tr w:rsidR="00050A8B" w:rsidRPr="00C10027" w14:paraId="66BD125A" w14:textId="77777777" w:rsidTr="00A97794">
        <w:trPr>
          <w:cnfStyle w:val="000000010000" w:firstRow="0" w:lastRow="0" w:firstColumn="0" w:lastColumn="0" w:oddVBand="0" w:evenVBand="0" w:oddHBand="0" w:evenHBand="1" w:firstRowFirstColumn="0" w:firstRowLastColumn="0" w:lastRowFirstColumn="0" w:lastRowLastColumn="0"/>
        </w:trPr>
        <w:tc>
          <w:tcPr>
            <w:tcW w:w="0" w:type="dxa"/>
          </w:tcPr>
          <w:p w14:paraId="509A2E8E" w14:textId="77777777" w:rsidR="00050A8B" w:rsidRPr="00C10027" w:rsidRDefault="00050A8B" w:rsidP="002326F2">
            <w:pPr>
              <w:spacing w:after="0"/>
              <w:rPr>
                <w:b/>
              </w:rPr>
            </w:pPr>
            <w:r w:rsidRPr="00C10027">
              <w:rPr>
                <w:b/>
              </w:rPr>
              <w:lastRenderedPageBreak/>
              <w:t xml:space="preserve">Change of </w:t>
            </w:r>
            <w:r>
              <w:rPr>
                <w:b/>
              </w:rPr>
              <w:t>licensee</w:t>
            </w:r>
          </w:p>
        </w:tc>
        <w:tc>
          <w:tcPr>
            <w:tcW w:w="0" w:type="dxa"/>
          </w:tcPr>
          <w:p w14:paraId="45F8E0DE" w14:textId="1BFFCF11" w:rsidR="00050A8B" w:rsidRPr="00C10027" w:rsidRDefault="00050A8B" w:rsidP="002326F2">
            <w:pPr>
              <w:rPr>
                <w:rFonts w:cs="Arial"/>
              </w:rPr>
            </w:pPr>
            <w:r w:rsidRPr="00C10027">
              <w:rPr>
                <w:rFonts w:cs="Arial"/>
              </w:rPr>
              <w:t>Not applicable</w:t>
            </w:r>
            <w:r w:rsidR="00271ECC">
              <w:rPr>
                <w:rFonts w:cs="Arial"/>
              </w:rPr>
              <w:t>.</w:t>
            </w:r>
          </w:p>
        </w:tc>
        <w:tc>
          <w:tcPr>
            <w:tcW w:w="0" w:type="dxa"/>
          </w:tcPr>
          <w:p w14:paraId="77D771F9" w14:textId="3FB79139" w:rsidR="00050A8B" w:rsidRPr="00C10027" w:rsidRDefault="00050A8B" w:rsidP="002326F2">
            <w:pPr>
              <w:rPr>
                <w:rFonts w:cs="Arial"/>
              </w:rPr>
            </w:pPr>
            <w:r w:rsidRPr="00C10027">
              <w:rPr>
                <w:rFonts w:cs="Arial"/>
              </w:rPr>
              <w:t>May be transferred in full</w:t>
            </w:r>
            <w:r w:rsidR="00271ECC">
              <w:rPr>
                <w:rFonts w:cs="Arial"/>
              </w:rPr>
              <w:t>.</w:t>
            </w:r>
          </w:p>
        </w:tc>
        <w:tc>
          <w:tcPr>
            <w:tcW w:w="0" w:type="dxa"/>
          </w:tcPr>
          <w:p w14:paraId="1F3C48AF" w14:textId="004B0D94" w:rsidR="00050A8B" w:rsidRPr="00C10027" w:rsidRDefault="00050A8B" w:rsidP="002326F2">
            <w:pPr>
              <w:rPr>
                <w:rFonts w:cs="Arial"/>
              </w:rPr>
            </w:pPr>
            <w:r w:rsidRPr="00C10027">
              <w:rPr>
                <w:rFonts w:cs="Arial"/>
              </w:rPr>
              <w:t>May be traded in part or in full</w:t>
            </w:r>
            <w:r w:rsidR="00271ECC">
              <w:rPr>
                <w:rFonts w:cs="Arial"/>
              </w:rPr>
              <w:t>.</w:t>
            </w:r>
          </w:p>
        </w:tc>
      </w:tr>
      <w:tr w:rsidR="00050A8B" w:rsidRPr="00C10027" w14:paraId="34DE709C" w14:textId="77777777" w:rsidTr="00A97794">
        <w:trPr>
          <w:cnfStyle w:val="000000100000" w:firstRow="0" w:lastRow="0" w:firstColumn="0" w:lastColumn="0" w:oddVBand="0" w:evenVBand="0" w:oddHBand="1" w:evenHBand="0" w:firstRowFirstColumn="0" w:firstRowLastColumn="0" w:lastRowFirstColumn="0" w:lastRowLastColumn="0"/>
        </w:trPr>
        <w:tc>
          <w:tcPr>
            <w:tcW w:w="0" w:type="dxa"/>
          </w:tcPr>
          <w:p w14:paraId="7E75EA0C" w14:textId="2214C027" w:rsidR="00050A8B" w:rsidRPr="00C10027" w:rsidRDefault="00050A8B" w:rsidP="002326F2">
            <w:pPr>
              <w:spacing w:after="0"/>
              <w:rPr>
                <w:b/>
              </w:rPr>
            </w:pPr>
            <w:r w:rsidRPr="00C10027">
              <w:rPr>
                <w:b/>
              </w:rPr>
              <w:t>Third</w:t>
            </w:r>
            <w:r w:rsidR="00271ECC">
              <w:rPr>
                <w:b/>
              </w:rPr>
              <w:t>-</w:t>
            </w:r>
            <w:r w:rsidRPr="00C10027">
              <w:rPr>
                <w:b/>
              </w:rPr>
              <w:t>party use</w:t>
            </w:r>
          </w:p>
        </w:tc>
        <w:tc>
          <w:tcPr>
            <w:tcW w:w="0" w:type="dxa"/>
          </w:tcPr>
          <w:p w14:paraId="0CA0C905" w14:textId="5A54A062" w:rsidR="00050A8B" w:rsidRPr="00C10027" w:rsidRDefault="00050A8B" w:rsidP="002326F2">
            <w:pPr>
              <w:rPr>
                <w:rFonts w:cs="Arial"/>
              </w:rPr>
            </w:pPr>
            <w:r w:rsidRPr="00C10027">
              <w:rPr>
                <w:rFonts w:cs="Arial"/>
              </w:rPr>
              <w:t>Not applicable</w:t>
            </w:r>
            <w:r w:rsidR="00271ECC">
              <w:rPr>
                <w:rFonts w:cs="Arial"/>
              </w:rPr>
              <w:t>.</w:t>
            </w:r>
          </w:p>
        </w:tc>
        <w:tc>
          <w:tcPr>
            <w:tcW w:w="0" w:type="dxa"/>
          </w:tcPr>
          <w:p w14:paraId="0F4C85A2" w14:textId="111C6BA4" w:rsidR="00050A8B" w:rsidRPr="00C10027" w:rsidRDefault="00050A8B" w:rsidP="00866752">
            <w:pPr>
              <w:spacing w:after="120"/>
              <w:rPr>
                <w:rFonts w:cs="Arial"/>
              </w:rPr>
            </w:pPr>
            <w:r w:rsidRPr="00C10027">
              <w:rPr>
                <w:rFonts w:cs="Arial"/>
              </w:rPr>
              <w:t>May authorise third</w:t>
            </w:r>
            <w:r w:rsidR="00271ECC">
              <w:rPr>
                <w:rFonts w:cs="Arial"/>
              </w:rPr>
              <w:t>-</w:t>
            </w:r>
            <w:r w:rsidRPr="00C10027">
              <w:rPr>
                <w:rFonts w:cs="Arial"/>
              </w:rPr>
              <w:t>party users (subject to some restrictions)</w:t>
            </w:r>
            <w:r w:rsidR="00271ECC">
              <w:rPr>
                <w:rFonts w:cs="Arial"/>
              </w:rPr>
              <w:t>.</w:t>
            </w:r>
            <w:r w:rsidRPr="00C10027">
              <w:rPr>
                <w:rFonts w:cs="Arial"/>
              </w:rPr>
              <w:t xml:space="preserve"> </w:t>
            </w:r>
          </w:p>
          <w:p w14:paraId="05AF4FE7" w14:textId="519E29F4" w:rsidR="00050A8B" w:rsidRPr="00C10027" w:rsidRDefault="00050A8B" w:rsidP="00866752">
            <w:pPr>
              <w:spacing w:after="0"/>
              <w:rPr>
                <w:rFonts w:cs="Arial"/>
              </w:rPr>
            </w:pPr>
            <w:r w:rsidRPr="00C10027">
              <w:rPr>
                <w:rFonts w:cs="Arial"/>
              </w:rPr>
              <w:t>Third</w:t>
            </w:r>
            <w:r w:rsidR="00271ECC">
              <w:rPr>
                <w:rFonts w:cs="Arial"/>
              </w:rPr>
              <w:t>-</w:t>
            </w:r>
            <w:r w:rsidRPr="00C10027">
              <w:rPr>
                <w:rFonts w:cs="Arial"/>
              </w:rPr>
              <w:t>party use cannot change service</w:t>
            </w:r>
            <w:r w:rsidR="00271ECC">
              <w:rPr>
                <w:rFonts w:cs="Arial"/>
              </w:rPr>
              <w:t xml:space="preserve">. </w:t>
            </w:r>
          </w:p>
        </w:tc>
        <w:tc>
          <w:tcPr>
            <w:tcW w:w="0" w:type="dxa"/>
          </w:tcPr>
          <w:p w14:paraId="5586F128" w14:textId="62F95038" w:rsidR="00050A8B" w:rsidRPr="00C10027" w:rsidRDefault="00050A8B" w:rsidP="002326F2">
            <w:pPr>
              <w:rPr>
                <w:rFonts w:cs="Arial"/>
              </w:rPr>
            </w:pPr>
            <w:r w:rsidRPr="00C10027">
              <w:rPr>
                <w:rFonts w:cs="Arial"/>
              </w:rPr>
              <w:t>May authorise third</w:t>
            </w:r>
            <w:r w:rsidR="00271ECC">
              <w:rPr>
                <w:rFonts w:cs="Arial"/>
              </w:rPr>
              <w:t>-</w:t>
            </w:r>
            <w:r w:rsidRPr="00C10027">
              <w:rPr>
                <w:rFonts w:cs="Arial"/>
              </w:rPr>
              <w:t>party device use</w:t>
            </w:r>
            <w:r w:rsidR="00271ECC">
              <w:rPr>
                <w:rFonts w:cs="Arial"/>
              </w:rPr>
              <w:t>.</w:t>
            </w:r>
          </w:p>
        </w:tc>
      </w:tr>
      <w:tr w:rsidR="00050A8B" w:rsidRPr="00C10027" w14:paraId="332621AA" w14:textId="77777777" w:rsidTr="00A97794">
        <w:trPr>
          <w:cnfStyle w:val="000000010000" w:firstRow="0" w:lastRow="0" w:firstColumn="0" w:lastColumn="0" w:oddVBand="0" w:evenVBand="0" w:oddHBand="0" w:evenHBand="1" w:firstRowFirstColumn="0" w:firstRowLastColumn="0" w:lastRowFirstColumn="0" w:lastRowLastColumn="0"/>
        </w:trPr>
        <w:tc>
          <w:tcPr>
            <w:tcW w:w="0" w:type="dxa"/>
          </w:tcPr>
          <w:p w14:paraId="5492EBC9" w14:textId="77777777" w:rsidR="00050A8B" w:rsidRPr="00C10027" w:rsidRDefault="00050A8B" w:rsidP="002326F2">
            <w:pPr>
              <w:spacing w:after="0"/>
              <w:rPr>
                <w:b/>
              </w:rPr>
            </w:pPr>
            <w:r w:rsidRPr="00C10027">
              <w:rPr>
                <w:b/>
              </w:rPr>
              <w:t>Allocation mechanism</w:t>
            </w:r>
          </w:p>
        </w:tc>
        <w:tc>
          <w:tcPr>
            <w:tcW w:w="0" w:type="dxa"/>
          </w:tcPr>
          <w:p w14:paraId="236C5311" w14:textId="70AEE849" w:rsidR="00050A8B" w:rsidRPr="00C10027" w:rsidRDefault="00050A8B" w:rsidP="002326F2">
            <w:pPr>
              <w:rPr>
                <w:rFonts w:cs="Arial"/>
              </w:rPr>
            </w:pPr>
            <w:r w:rsidRPr="00C10027">
              <w:rPr>
                <w:rFonts w:cs="Arial"/>
              </w:rPr>
              <w:t>Not applicable</w:t>
            </w:r>
            <w:r w:rsidR="00271ECC">
              <w:rPr>
                <w:rFonts w:cs="Arial"/>
              </w:rPr>
              <w:t xml:space="preserve">. </w:t>
            </w:r>
          </w:p>
        </w:tc>
        <w:tc>
          <w:tcPr>
            <w:tcW w:w="0" w:type="dxa"/>
          </w:tcPr>
          <w:p w14:paraId="0DBB6CE0" w14:textId="32D4C5DB" w:rsidR="00050A8B" w:rsidRPr="00C10027" w:rsidRDefault="00050A8B" w:rsidP="00866752">
            <w:pPr>
              <w:spacing w:after="120"/>
              <w:rPr>
                <w:rFonts w:cs="Arial"/>
              </w:rPr>
            </w:pPr>
            <w:r w:rsidRPr="00C10027">
              <w:rPr>
                <w:rFonts w:cs="Arial"/>
              </w:rPr>
              <w:t>Generally administrative and first in time, but price-based allocation is permitted</w:t>
            </w:r>
            <w:r w:rsidR="00271ECC">
              <w:rPr>
                <w:rFonts w:cs="Arial"/>
              </w:rPr>
              <w:t xml:space="preserve">. </w:t>
            </w:r>
          </w:p>
          <w:p w14:paraId="6A4C7B9A" w14:textId="77777777" w:rsidR="00050A8B" w:rsidRPr="00C10027" w:rsidRDefault="00050A8B" w:rsidP="00866752">
            <w:pPr>
              <w:spacing w:after="0"/>
              <w:rPr>
                <w:rFonts w:cs="Arial"/>
              </w:rPr>
            </w:pPr>
            <w:r w:rsidRPr="00C10027">
              <w:rPr>
                <w:rFonts w:cs="Arial"/>
              </w:rPr>
              <w:t>ACMA may impose limits on aggregate spectrum holdings (spectrum and apparatus licence</w:t>
            </w:r>
            <w:r>
              <w:rPr>
                <w:rFonts w:cs="Arial"/>
              </w:rPr>
              <w:t>s</w:t>
            </w:r>
            <w:r w:rsidRPr="00C10027">
              <w:rPr>
                <w:rFonts w:cs="Arial"/>
              </w:rPr>
              <w:t>) – for both administrative and price</w:t>
            </w:r>
            <w:r>
              <w:rPr>
                <w:rFonts w:cs="Arial"/>
              </w:rPr>
              <w:t>-</w:t>
            </w:r>
            <w:r w:rsidRPr="00C10027">
              <w:rPr>
                <w:rFonts w:cs="Arial"/>
              </w:rPr>
              <w:t>based allocations.</w:t>
            </w:r>
          </w:p>
        </w:tc>
        <w:tc>
          <w:tcPr>
            <w:tcW w:w="0" w:type="dxa"/>
          </w:tcPr>
          <w:p w14:paraId="132EC5EC" w14:textId="70423AEA" w:rsidR="00050A8B" w:rsidRPr="00C10027" w:rsidRDefault="00050A8B" w:rsidP="00866752">
            <w:pPr>
              <w:spacing w:after="120"/>
              <w:rPr>
                <w:rFonts w:cs="Arial"/>
              </w:rPr>
            </w:pPr>
            <w:r w:rsidRPr="00C10027">
              <w:rPr>
                <w:rFonts w:cs="Arial"/>
              </w:rPr>
              <w:t>Generally price-based but direct allocation is permitted</w:t>
            </w:r>
            <w:r w:rsidR="00271ECC">
              <w:rPr>
                <w:rFonts w:cs="Arial"/>
              </w:rPr>
              <w:t xml:space="preserve">. </w:t>
            </w:r>
          </w:p>
          <w:p w14:paraId="046BB5B2" w14:textId="3BBC4F41" w:rsidR="00050A8B" w:rsidRPr="00C10027" w:rsidRDefault="00050A8B" w:rsidP="002326F2">
            <w:pPr>
              <w:rPr>
                <w:rFonts w:cs="Arial"/>
              </w:rPr>
            </w:pPr>
            <w:r w:rsidRPr="00C10027">
              <w:rPr>
                <w:rFonts w:cs="Arial"/>
              </w:rPr>
              <w:t>ACMA may impose limits on aggregate spectrum holdings (spectrum and apparatus licences)</w:t>
            </w:r>
            <w:r w:rsidR="00271ECC">
              <w:rPr>
                <w:rFonts w:cs="Arial"/>
              </w:rPr>
              <w:t>.</w:t>
            </w:r>
            <w:r w:rsidRPr="00C10027">
              <w:rPr>
                <w:rFonts w:cs="Arial"/>
              </w:rPr>
              <w:t xml:space="preserve"> </w:t>
            </w:r>
          </w:p>
        </w:tc>
      </w:tr>
      <w:tr w:rsidR="00050A8B" w:rsidRPr="00C10027" w14:paraId="33BB9BB1" w14:textId="77777777" w:rsidTr="00A97794">
        <w:trPr>
          <w:cnfStyle w:val="000000100000" w:firstRow="0" w:lastRow="0" w:firstColumn="0" w:lastColumn="0" w:oddVBand="0" w:evenVBand="0" w:oddHBand="1" w:evenHBand="0" w:firstRowFirstColumn="0" w:firstRowLastColumn="0" w:lastRowFirstColumn="0" w:lastRowLastColumn="0"/>
        </w:trPr>
        <w:tc>
          <w:tcPr>
            <w:tcW w:w="0" w:type="dxa"/>
          </w:tcPr>
          <w:p w14:paraId="58E652D8" w14:textId="77777777" w:rsidR="00050A8B" w:rsidRPr="00C10027" w:rsidRDefault="00050A8B" w:rsidP="002326F2">
            <w:pPr>
              <w:spacing w:after="0"/>
              <w:rPr>
                <w:b/>
              </w:rPr>
            </w:pPr>
            <w:r w:rsidRPr="00C10027">
              <w:rPr>
                <w:b/>
              </w:rPr>
              <w:t>Renewal</w:t>
            </w:r>
          </w:p>
        </w:tc>
        <w:tc>
          <w:tcPr>
            <w:tcW w:w="0" w:type="dxa"/>
          </w:tcPr>
          <w:p w14:paraId="17050B60" w14:textId="245B0522" w:rsidR="00050A8B" w:rsidRPr="00C10027" w:rsidRDefault="00050A8B" w:rsidP="002326F2">
            <w:pPr>
              <w:rPr>
                <w:rFonts w:cs="Arial"/>
              </w:rPr>
            </w:pPr>
            <w:r w:rsidRPr="00C10027">
              <w:rPr>
                <w:rFonts w:cs="Arial"/>
              </w:rPr>
              <w:t>Not applicable</w:t>
            </w:r>
            <w:r w:rsidR="00271ECC">
              <w:rPr>
                <w:rFonts w:cs="Arial"/>
              </w:rPr>
              <w:t>.</w:t>
            </w:r>
          </w:p>
        </w:tc>
        <w:tc>
          <w:tcPr>
            <w:tcW w:w="0" w:type="dxa"/>
          </w:tcPr>
          <w:p w14:paraId="379232B9" w14:textId="41976487" w:rsidR="00050A8B" w:rsidRPr="00C10027" w:rsidRDefault="00050A8B" w:rsidP="00866752">
            <w:pPr>
              <w:spacing w:after="120"/>
              <w:rPr>
                <w:rFonts w:cs="Arial"/>
              </w:rPr>
            </w:pPr>
            <w:r w:rsidRPr="00C10027">
              <w:rPr>
                <w:rFonts w:cs="Arial"/>
              </w:rPr>
              <w:t>Discretion to include renewal statement</w:t>
            </w:r>
            <w:r w:rsidR="00271ECC">
              <w:rPr>
                <w:rFonts w:cs="Arial"/>
              </w:rPr>
              <w:t>.</w:t>
            </w:r>
          </w:p>
          <w:p w14:paraId="7EB0BCAB" w14:textId="67F86821" w:rsidR="00050A8B" w:rsidRPr="00C10027" w:rsidRDefault="00050A8B" w:rsidP="002326F2">
            <w:pPr>
              <w:rPr>
                <w:rFonts w:cs="Arial"/>
              </w:rPr>
            </w:pPr>
            <w:r w:rsidRPr="00C10027">
              <w:rPr>
                <w:rFonts w:cs="Arial"/>
              </w:rPr>
              <w:t>Public interest test if licence is to be renewed for 10+ years</w:t>
            </w:r>
            <w:r w:rsidR="00271ECC">
              <w:rPr>
                <w:rFonts w:cs="Arial"/>
              </w:rPr>
              <w:t>.</w:t>
            </w:r>
          </w:p>
        </w:tc>
        <w:tc>
          <w:tcPr>
            <w:tcW w:w="0" w:type="dxa"/>
          </w:tcPr>
          <w:p w14:paraId="5D42E7AD" w14:textId="3FBFB911" w:rsidR="00050A8B" w:rsidRPr="00C10027" w:rsidRDefault="00050A8B" w:rsidP="00866752">
            <w:pPr>
              <w:spacing w:after="120"/>
              <w:rPr>
                <w:rFonts w:cs="Arial"/>
              </w:rPr>
            </w:pPr>
            <w:r w:rsidRPr="00C10027">
              <w:rPr>
                <w:rFonts w:cs="Arial"/>
              </w:rPr>
              <w:t xml:space="preserve">Mandatory renewal statements </w:t>
            </w:r>
            <w:r>
              <w:rPr>
                <w:rFonts w:cs="Arial"/>
              </w:rPr>
              <w:t>on new licences</w:t>
            </w:r>
            <w:r w:rsidR="00271ECC">
              <w:rPr>
                <w:rFonts w:cs="Arial"/>
              </w:rPr>
              <w:t>.</w:t>
            </w:r>
          </w:p>
          <w:p w14:paraId="6ABEC5EA" w14:textId="392B9D6A" w:rsidR="00050A8B" w:rsidRPr="00C10027" w:rsidRDefault="00050A8B" w:rsidP="00866752">
            <w:pPr>
              <w:spacing w:after="0"/>
              <w:rPr>
                <w:rFonts w:cs="Arial"/>
              </w:rPr>
            </w:pPr>
            <w:r w:rsidRPr="00C10027">
              <w:rPr>
                <w:rFonts w:cs="Arial"/>
              </w:rPr>
              <w:t>Public interest test if licence is to be renewed for 10+ years</w:t>
            </w:r>
            <w:r w:rsidR="00271ECC">
              <w:rPr>
                <w:rFonts w:cs="Arial"/>
              </w:rPr>
              <w:t>.</w:t>
            </w:r>
          </w:p>
        </w:tc>
      </w:tr>
    </w:tbl>
    <w:p w14:paraId="2340E4F4" w14:textId="77777777" w:rsidR="00FF3C69" w:rsidRDefault="00FF3C69" w:rsidP="00182BA4"/>
    <w:sectPr w:rsidR="00FF3C69" w:rsidSect="00C77380">
      <w:headerReference w:type="even" r:id="rId39"/>
      <w:headerReference w:type="default" r:id="rId40"/>
      <w:footerReference w:type="even" r:id="rId41"/>
      <w:footerReference w:type="default" r:id="rId4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6B7BC4" w14:textId="77777777" w:rsidR="005B3674" w:rsidRDefault="005B3674">
      <w:r>
        <w:separator/>
      </w:r>
    </w:p>
  </w:endnote>
  <w:endnote w:type="continuationSeparator" w:id="0">
    <w:p w14:paraId="172235C9" w14:textId="77777777" w:rsidR="005B3674" w:rsidRDefault="005B3674">
      <w:r>
        <w:continuationSeparator/>
      </w:r>
    </w:p>
  </w:endnote>
  <w:endnote w:type="continuationNotice" w:id="1">
    <w:p w14:paraId="4CE4C924" w14:textId="77777777" w:rsidR="005B3674" w:rsidRDefault="005B367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4FF85E" w14:textId="77777777" w:rsidR="005B3674" w:rsidRDefault="005B3674" w:rsidP="005E250B">
    <w:pPr>
      <w:pStyle w:val="Footer"/>
      <w:jc w:val="right"/>
    </w:pPr>
    <w:r>
      <w:rPr>
        <w:noProof/>
      </w:rPr>
      <w:drawing>
        <wp:inline distT="0" distB="0" distL="0" distR="0" wp14:anchorId="5518B2BF" wp14:editId="0BE0F2FC">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97EC8C" w14:textId="77777777" w:rsidR="005B3674" w:rsidRDefault="005B367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95B05B" w14:textId="77777777" w:rsidR="005B3674" w:rsidRDefault="005B367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3D8F8D" w14:textId="77777777" w:rsidR="005B3674" w:rsidRPr="00622A3B" w:rsidRDefault="005B367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7AB90450" w14:textId="77777777" w:rsidR="005B3674" w:rsidRPr="00A5474E" w:rsidRDefault="005B3674"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6A210B" w14:textId="77777777" w:rsidR="005B3674" w:rsidRPr="00622A3B" w:rsidRDefault="005B367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0824E02" w14:textId="77777777" w:rsidR="005B3674" w:rsidRPr="00A5474E" w:rsidRDefault="005B3674"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34093C" w14:textId="77777777" w:rsidR="005B3674" w:rsidRPr="00622A3B" w:rsidRDefault="005B3674"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953188E" w14:textId="77777777" w:rsidR="005B3674" w:rsidRPr="00A5474E" w:rsidRDefault="005B3674"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EBD40E" w14:textId="77777777" w:rsidR="005B3674" w:rsidRPr="00622A3B" w:rsidRDefault="005B3674"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F32C686" w14:textId="77777777" w:rsidR="005B3674" w:rsidRPr="00A5474E" w:rsidRDefault="005B3674"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493097" w14:textId="77777777" w:rsidR="005B3674" w:rsidRPr="00622A3B" w:rsidRDefault="005B3674"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11D9D352" w14:textId="77777777" w:rsidR="005B3674" w:rsidRPr="00A5474E" w:rsidRDefault="005B3674"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E998ED" w14:textId="77777777" w:rsidR="005B3674" w:rsidRDefault="005B3674" w:rsidP="00EA0969">
      <w:pPr>
        <w:spacing w:after="0"/>
      </w:pPr>
      <w:r>
        <w:separator/>
      </w:r>
    </w:p>
  </w:footnote>
  <w:footnote w:type="continuationSeparator" w:id="0">
    <w:p w14:paraId="68EC1879" w14:textId="77777777" w:rsidR="005B3674" w:rsidRDefault="005B3674">
      <w:r>
        <w:continuationSeparator/>
      </w:r>
    </w:p>
  </w:footnote>
  <w:footnote w:type="continuationNotice" w:id="1">
    <w:p w14:paraId="26804260" w14:textId="77777777" w:rsidR="005B3674" w:rsidRDefault="005B3674">
      <w:pPr>
        <w:spacing w:after="0" w:line="240" w:lineRule="auto"/>
      </w:pPr>
    </w:p>
  </w:footnote>
  <w:footnote w:id="2">
    <w:p w14:paraId="11D24A9C" w14:textId="45BEF2A6" w:rsidR="005B3674" w:rsidRDefault="005B3674">
      <w:pPr>
        <w:pStyle w:val="FootnoteText"/>
      </w:pPr>
      <w:r>
        <w:rPr>
          <w:rStyle w:val="FootnoteReference"/>
        </w:rPr>
        <w:footnoteRef/>
      </w:r>
      <w:r>
        <w:t xml:space="preserve"> </w:t>
      </w:r>
      <w:r w:rsidRPr="00F51DE7">
        <w:t>Section 17 of the Legislation Act provides that before a legislative instrument is made, the rule-maker must be satisfied that there has been undertaken any consultation that is: (a) considered by the rule-maker to be appropriate; and (b) reasonably practicable to undertake.</w:t>
      </w:r>
    </w:p>
  </w:footnote>
  <w:footnote w:id="3">
    <w:p w14:paraId="4BC74DFE" w14:textId="44FF7A0A" w:rsidR="005B3674" w:rsidRDefault="005B3674" w:rsidP="004662F6">
      <w:pPr>
        <w:pStyle w:val="FootnoteText"/>
      </w:pPr>
      <w:r>
        <w:rPr>
          <w:rStyle w:val="FootnoteReference"/>
        </w:rPr>
        <w:footnoteRef/>
      </w:r>
      <w:r>
        <w:t xml:space="preserve"> Pursuant to section 89 of the Act, the ACMA may resume (that is, effectively reclaim) a spectrum licence or part of a spectrum licence under an agreement entered into with the licensee. Pursuant to section 91 of the Act, the ACMA may resume a spectrum licence, or part of a spectrum licence, by compulsory process, subject to written approval from the minister and in accordance with the resumption procedures set out in Part 1 of the Schedule to the Act. </w:t>
      </w:r>
    </w:p>
  </w:footnote>
  <w:footnote w:id="4">
    <w:p w14:paraId="3807E895" w14:textId="3566217D" w:rsidR="005B3674" w:rsidRDefault="005B3674" w:rsidP="004662F6">
      <w:pPr>
        <w:pStyle w:val="FootnoteText"/>
      </w:pPr>
      <w:r>
        <w:rPr>
          <w:rStyle w:val="FootnoteReference"/>
        </w:rPr>
        <w:footnoteRef/>
      </w:r>
      <w:r>
        <w:t xml:space="preserve"> Pursuant to new section 60B, the ACMA must not allocate a spectrum licence that authorises the operation of radiocommunications devices on frequencies and within areas that are already the subject of an existing spectrum licence. Pursuant</w:t>
      </w:r>
      <w:r w:rsidRPr="00A86E65">
        <w:t xml:space="preserve"> to section 105 of the Act as amended, the ACMA may only issue an apparatus licence that overlaps with a spectrum licence</w:t>
      </w:r>
      <w:r>
        <w:t xml:space="preserve">, </w:t>
      </w:r>
      <w:r w:rsidRPr="00A86E65">
        <w:t>or where a marketing plan is in force</w:t>
      </w:r>
      <w:r>
        <w:t>,</w:t>
      </w:r>
      <w:r w:rsidRPr="00A86E65">
        <w:t xml:space="preserve"> to specified law enforcement and investigative bodies or persons</w:t>
      </w:r>
      <w:r>
        <w:t xml:space="preserve"> for the purposes of the operations conducted by those bodies</w:t>
      </w:r>
      <w:r w:rsidRPr="00A86E65">
        <w:t xml:space="preserve">, or if the ACMA is satisfied that the special circumstances of the particular case justify the issuing of the licence. </w:t>
      </w:r>
      <w:r>
        <w:t>Pursuant</w:t>
      </w:r>
      <w:r w:rsidRPr="00A86E65">
        <w:t xml:space="preserve"> to section 138 of the Act as amended, the ACMA may only issue a class licence that overlaps with a spectrum licence (or where a marketing plan is in force) if the ACMA is satisfied that issuing the class licence would not result in unacceptable levels of interference to devices operated or likely to be operated under the spectrum licence, issuing the class licence would be in the public interest, and appropriate consultation with affected</w:t>
      </w:r>
      <w:r>
        <w:t xml:space="preserve"> spectrum</w:t>
      </w:r>
      <w:r w:rsidRPr="00A86E65">
        <w:t xml:space="preserve"> licensees is undertaken.</w:t>
      </w:r>
    </w:p>
  </w:footnote>
  <w:footnote w:id="5">
    <w:p w14:paraId="661E21F5" w14:textId="4C36D8C0" w:rsidR="005B3674" w:rsidRDefault="005B3674">
      <w:pPr>
        <w:pStyle w:val="FootnoteText"/>
      </w:pPr>
      <w:r>
        <w:rPr>
          <w:rStyle w:val="FootnoteReference"/>
        </w:rPr>
        <w:footnoteRef/>
      </w:r>
      <w:r>
        <w:t xml:space="preserve"> Conversion was a process in which existing apparatus licences could be converted into a spectrum licence following designation of the spectrum under section 36 of the Act and preparation of a conversion plan. The Modernisation Act repeals the conversion provisions.</w:t>
      </w:r>
    </w:p>
  </w:footnote>
  <w:footnote w:id="6">
    <w:p w14:paraId="1C6979AA" w14:textId="078770F9" w:rsidR="005B3674" w:rsidRDefault="005B3674" w:rsidP="007108E0">
      <w:pPr>
        <w:pStyle w:val="Tableorfigurenote"/>
      </w:pPr>
      <w:r w:rsidRPr="00EF7DD9">
        <w:rPr>
          <w:rStyle w:val="FootnoteReference"/>
          <w:i w:val="0"/>
        </w:rPr>
        <w:footnoteRef/>
      </w:r>
      <w:r w:rsidRPr="00EF7DD9">
        <w:rPr>
          <w:i w:val="0"/>
        </w:rPr>
        <w:t xml:space="preserve"> For the purposes of subsection 98(1) of the Act, the ACMA has made the </w:t>
      </w:r>
      <w:r w:rsidRPr="00B94EE5">
        <w:rPr>
          <w:i w:val="0"/>
          <w:iCs/>
        </w:rPr>
        <w:t>Radiocommunications (Specified Radiocommunications Receivers and Types of Transmitter Licences and Receiver Licences) Determination 2014</w:t>
      </w:r>
      <w:r w:rsidR="000A0561">
        <w:rPr>
          <w:i w:val="0"/>
          <w:iCs/>
        </w:rPr>
        <w:t>,</w:t>
      </w:r>
      <w:r>
        <w:t xml:space="preserve"> </w:t>
      </w:r>
      <w:r w:rsidRPr="00EF7DD9">
        <w:rPr>
          <w:i w:val="0"/>
        </w:rPr>
        <w:t>which specifies 1</w:t>
      </w:r>
      <w:r>
        <w:rPr>
          <w:i w:val="0"/>
        </w:rPr>
        <w:t>7</w:t>
      </w:r>
      <w:r w:rsidRPr="00EF7DD9">
        <w:rPr>
          <w:i w:val="0"/>
        </w:rPr>
        <w:t xml:space="preserve"> types of transmitter and </w:t>
      </w:r>
      <w:r>
        <w:rPr>
          <w:i w:val="0"/>
        </w:rPr>
        <w:t>6</w:t>
      </w:r>
      <w:r w:rsidRPr="00EF7DD9">
        <w:rPr>
          <w:i w:val="0"/>
        </w:rPr>
        <w:t xml:space="preserve"> types of receiver licence the ACMA may issue. </w:t>
      </w:r>
    </w:p>
  </w:footnote>
  <w:footnote w:id="7">
    <w:p w14:paraId="7C5C5BB2" w14:textId="7D4A04AE" w:rsidR="005B3674" w:rsidRDefault="005B3674" w:rsidP="00B1082E">
      <w:pPr>
        <w:pStyle w:val="FootnoteText"/>
      </w:pPr>
      <w:r>
        <w:rPr>
          <w:rStyle w:val="FootnoteReference"/>
        </w:rPr>
        <w:footnoteRef/>
      </w:r>
      <w:r>
        <w:t xml:space="preserve"> Additionally, the </w:t>
      </w:r>
      <w:hyperlink r:id="rId1" w:history="1">
        <w:r w:rsidRPr="00A70B72">
          <w:rPr>
            <w:rStyle w:val="Hyperlink"/>
          </w:rPr>
          <w:t>Australian Communications Authority (HPON Transmitter Licences) Direction No. 1 of 2001</w:t>
        </w:r>
      </w:hyperlink>
      <w:r>
        <w:t xml:space="preserve"> requires that where the ACMA decides to renew a HPON licence, it must specify a licence term </w:t>
      </w:r>
      <w:r w:rsidRPr="00E0690B">
        <w:t>that ends at the same time as the period specified under the relevant section 34 determination, or the relevant part of that determination.</w:t>
      </w:r>
      <w:r>
        <w:t xml:space="preserve"> This direction also </w:t>
      </w:r>
      <w:r w:rsidRPr="008745F9">
        <w:t xml:space="preserve">requires that </w:t>
      </w:r>
      <w:r>
        <w:t>the ACMA is</w:t>
      </w:r>
      <w:r w:rsidRPr="008745F9">
        <w:t xml:space="preserve"> not to refuse to renew the licence merely because of a policy to</w:t>
      </w:r>
      <w:r>
        <w:t xml:space="preserve"> allocate HPONs via a price-based allocation process. </w:t>
      </w:r>
    </w:p>
  </w:footnote>
  <w:footnote w:id="8">
    <w:p w14:paraId="56505F14" w14:textId="285F3D57" w:rsidR="005B3674" w:rsidRDefault="005B3674">
      <w:pPr>
        <w:pStyle w:val="FootnoteText"/>
      </w:pPr>
      <w:r>
        <w:rPr>
          <w:rStyle w:val="FootnoteReference"/>
        </w:rPr>
        <w:footnoteRef/>
      </w:r>
      <w:r>
        <w:t xml:space="preserve"> See new subsections 77</w:t>
      </w:r>
      <w:proofErr w:type="gramStart"/>
      <w:r>
        <w:t>C(</w:t>
      </w:r>
      <w:proofErr w:type="gramEnd"/>
      <w:r>
        <w:t xml:space="preserve">5) and 130(2E) of the Act. </w:t>
      </w:r>
    </w:p>
  </w:footnote>
  <w:footnote w:id="9">
    <w:p w14:paraId="29434450" w14:textId="06820C7C" w:rsidR="005B3674" w:rsidRDefault="005B3674" w:rsidP="006A4F5C">
      <w:pPr>
        <w:pStyle w:val="FootnoteText"/>
      </w:pPr>
      <w:r>
        <w:rPr>
          <w:rStyle w:val="FootnoteReference"/>
        </w:rPr>
        <w:footnoteRef/>
      </w:r>
      <w:r>
        <w:t xml:space="preserve"> See </w:t>
      </w:r>
      <w:r w:rsidRPr="000D2DE9">
        <w:t xml:space="preserve">the </w:t>
      </w:r>
      <w:hyperlink r:id="rId2" w:history="1">
        <w:r w:rsidRPr="006C45E0">
          <w:rPr>
            <w:rStyle w:val="Hyperlink"/>
          </w:rPr>
          <w:t>Radiocommunications (Charges) Determination 2017</w:t>
        </w:r>
      </w:hyperlink>
      <w:r w:rsidRPr="004B4ED8">
        <w:t xml:space="preserve">, made under </w:t>
      </w:r>
      <w:r w:rsidRPr="000D2DE9">
        <w:t>subsection</w:t>
      </w:r>
      <w:r>
        <w:t xml:space="preserve"> 60(1) of the </w:t>
      </w:r>
      <w:r>
        <w:br/>
      </w:r>
      <w:r>
        <w:rPr>
          <w:iCs/>
        </w:rPr>
        <w:t xml:space="preserve">ACMA Act. </w:t>
      </w:r>
    </w:p>
  </w:footnote>
  <w:footnote w:id="10">
    <w:p w14:paraId="73D602DC" w14:textId="68E24256" w:rsidR="005B3674" w:rsidRDefault="005B3674" w:rsidP="00156054">
      <w:pPr>
        <w:pStyle w:val="FootnoteText"/>
      </w:pPr>
      <w:r>
        <w:rPr>
          <w:rStyle w:val="FootnoteReference"/>
        </w:rPr>
        <w:footnoteRef/>
      </w:r>
      <w:r>
        <w:t xml:space="preserve"> Per the new section 103A of the Act, where a renewal statement is included in an apparatus licence that states that renewal is at the ACMA’s discretion, we must specify the circumstances that must exist for renewal to be considered. If no renewal statement is included in an apparatus licence, renewal is at the ACMA’s discretion.</w:t>
      </w:r>
    </w:p>
  </w:footnote>
  <w:footnote w:id="11">
    <w:p w14:paraId="4CE03D90" w14:textId="77777777" w:rsidR="005B3674" w:rsidRDefault="005B3674" w:rsidP="00E407D9">
      <w:pPr>
        <w:pStyle w:val="FootnoteText"/>
      </w:pPr>
      <w:r>
        <w:rPr>
          <w:rStyle w:val="FootnoteReference"/>
        </w:rPr>
        <w:footnoteRef/>
      </w:r>
      <w:r>
        <w:t xml:space="preserve"> These arrangements also mean that we cannot apply a renewal or public interest statement through a legislative instrument (that is, a legislative instrument made under subsections 103</w:t>
      </w:r>
      <w:proofErr w:type="gramStart"/>
      <w:r>
        <w:t>A(</w:t>
      </w:r>
      <w:proofErr w:type="gramEnd"/>
      <w:r>
        <w:t>5) or subsections 103A(16) of the Act as amended in relation to a specified class of spectrum licences) to which these transitional arrangements apply.</w:t>
      </w:r>
    </w:p>
  </w:footnote>
  <w:footnote w:id="12">
    <w:p w14:paraId="3FA260F0" w14:textId="297CC57D" w:rsidR="005B3674" w:rsidRDefault="005B3674" w:rsidP="00DD2D99">
      <w:pPr>
        <w:pStyle w:val="FootnoteText"/>
      </w:pPr>
      <w:r>
        <w:rPr>
          <w:rStyle w:val="FootnoteReference"/>
        </w:rPr>
        <w:footnoteRef/>
      </w:r>
      <w:r>
        <w:t xml:space="preserve"> These arrangements also mean that we cannot apply a renewal or public interest statement through a legislative instrument (that is, a legislative instrument made under new subsections 65</w:t>
      </w:r>
      <w:proofErr w:type="gramStart"/>
      <w:r>
        <w:t>A(</w:t>
      </w:r>
      <w:proofErr w:type="gramEnd"/>
      <w:r>
        <w:t>5) or subsections 65A(19) of the Act in relation to a specified class of spectrum licences) to which these transitional arrangements apply. We also cannot apply a renewal or public interest statement to spectrum licences that were re-issued in the public interest under the repealed section 82 of the Act.</w:t>
      </w:r>
    </w:p>
  </w:footnote>
  <w:footnote w:id="13">
    <w:p w14:paraId="411CBFA1" w14:textId="57997ED6" w:rsidR="005B3674" w:rsidRDefault="005B3674">
      <w:pPr>
        <w:pStyle w:val="FootnoteText"/>
      </w:pPr>
      <w:r>
        <w:rPr>
          <w:rStyle w:val="FootnoteReference"/>
        </w:rPr>
        <w:footnoteRef/>
      </w:r>
      <w:r>
        <w:t xml:space="preserve"> See section 3 of the Act as amended.</w:t>
      </w:r>
    </w:p>
  </w:footnote>
  <w:footnote w:id="14">
    <w:p w14:paraId="5F25983D" w14:textId="4299412A" w:rsidR="005B3674" w:rsidRDefault="005B3674" w:rsidP="00151B9B">
      <w:pPr>
        <w:pStyle w:val="FootnoteText"/>
      </w:pPr>
      <w:r>
        <w:rPr>
          <w:rStyle w:val="FootnoteReference"/>
        </w:rPr>
        <w:footnoteRef/>
      </w:r>
      <w:r>
        <w:t xml:space="preserve"> See new subsection 77</w:t>
      </w:r>
      <w:proofErr w:type="gramStart"/>
      <w:r>
        <w:t>C(</w:t>
      </w:r>
      <w:proofErr w:type="gramEnd"/>
      <w:r>
        <w:t>5) of the Act in relation to spectrum licences and new subsection 130(2E) of the Act in relation to apparatus licences.</w:t>
      </w:r>
    </w:p>
  </w:footnote>
  <w:footnote w:id="15">
    <w:p w14:paraId="4FE78D5A" w14:textId="0C65B3CA" w:rsidR="005B3674" w:rsidRDefault="005B3674">
      <w:pPr>
        <w:pStyle w:val="FootnoteText"/>
      </w:pPr>
      <w:r>
        <w:rPr>
          <w:rStyle w:val="FootnoteReference"/>
        </w:rPr>
        <w:footnoteRef/>
      </w:r>
      <w:r>
        <w:t xml:space="preserve"> See new section 103A of the Act.</w:t>
      </w:r>
    </w:p>
  </w:footnote>
  <w:footnote w:id="16">
    <w:p w14:paraId="7565A2E9" w14:textId="34AF0375" w:rsidR="005B3674" w:rsidRDefault="005B3674">
      <w:pPr>
        <w:pStyle w:val="FootnoteText"/>
      </w:pPr>
      <w:r>
        <w:rPr>
          <w:rStyle w:val="FootnoteReference"/>
        </w:rPr>
        <w:footnoteRef/>
      </w:r>
      <w:r>
        <w:t xml:space="preserve"> See new section 65A of the Act.</w:t>
      </w:r>
    </w:p>
  </w:footnote>
  <w:footnote w:id="17">
    <w:p w14:paraId="2E9AE206" w14:textId="4478B75C" w:rsidR="005B3674" w:rsidRDefault="005B3674">
      <w:pPr>
        <w:pStyle w:val="FootnoteText"/>
      </w:pPr>
      <w:r>
        <w:rPr>
          <w:rStyle w:val="FootnoteReference"/>
        </w:rPr>
        <w:footnoteRef/>
      </w:r>
      <w:r>
        <w:t xml:space="preserve"> The Modernisation Act enables the ACMA to make instruments specifying such information (if any) that must accompany an application to renew an apparatus or spectrum licence (for example, see new section 77A and amended section 129 of the Act). </w:t>
      </w:r>
    </w:p>
  </w:footnote>
  <w:footnote w:id="18">
    <w:p w14:paraId="52EE2FD9" w14:textId="708EAA4E" w:rsidR="005B3674" w:rsidRDefault="005B3674" w:rsidP="003C3DB6">
      <w:pPr>
        <w:pStyle w:val="FootnoteText"/>
      </w:pPr>
      <w:r>
        <w:rPr>
          <w:rStyle w:val="FootnoteReference"/>
        </w:rPr>
        <w:footnoteRef/>
      </w:r>
      <w:r>
        <w:t xml:space="preserve"> See sections 72 and 73 of the Act as amended in relation to varying renewal statements included in spectrum licences, and new sections 103B and 103C of the Act in relation to varying renewal statements included in apparatus licences.</w:t>
      </w:r>
    </w:p>
  </w:footnote>
  <w:footnote w:id="19">
    <w:p w14:paraId="16AE7798" w14:textId="77777777" w:rsidR="005B3674" w:rsidRDefault="005B3674" w:rsidP="003C3DB6">
      <w:pPr>
        <w:pStyle w:val="FootnoteText"/>
      </w:pPr>
      <w:r>
        <w:rPr>
          <w:rStyle w:val="FootnoteReference"/>
        </w:rPr>
        <w:footnoteRef/>
      </w:r>
      <w:r>
        <w:t xml:space="preserve"> See subsection 73(2) of the Act as amended. </w:t>
      </w:r>
    </w:p>
  </w:footnote>
  <w:footnote w:id="20">
    <w:p w14:paraId="3E2EBAF1" w14:textId="423953BE" w:rsidR="005B3674" w:rsidRDefault="005B3674" w:rsidP="003C3DB6">
      <w:pPr>
        <w:pStyle w:val="FootnoteText"/>
      </w:pPr>
      <w:r>
        <w:rPr>
          <w:rStyle w:val="FootnoteReference"/>
        </w:rPr>
        <w:footnoteRef/>
      </w:r>
      <w:r>
        <w:t xml:space="preserve"> See new subsections 103</w:t>
      </w:r>
      <w:proofErr w:type="gramStart"/>
      <w:r>
        <w:t>B(</w:t>
      </w:r>
      <w:proofErr w:type="gramEnd"/>
      <w:r>
        <w:t>1) and 103C(1) of the Act.</w:t>
      </w:r>
      <w:r w:rsidDel="00C75445">
        <w:t xml:space="preserve"> </w:t>
      </w:r>
    </w:p>
  </w:footnote>
  <w:footnote w:id="21">
    <w:p w14:paraId="21C67649" w14:textId="5E08872B" w:rsidR="005B3674" w:rsidRDefault="005B3674" w:rsidP="003C3DB6">
      <w:pPr>
        <w:pStyle w:val="FootnoteText"/>
      </w:pPr>
      <w:r>
        <w:rPr>
          <w:rStyle w:val="FootnoteReference"/>
        </w:rPr>
        <w:footnoteRef/>
      </w:r>
      <w:r>
        <w:t xml:space="preserve"> See new paragraph 285(ec) of the Act. </w:t>
      </w:r>
    </w:p>
  </w:footnote>
  <w:footnote w:id="22">
    <w:p w14:paraId="47B8D0CF" w14:textId="77777777" w:rsidR="005B3674" w:rsidRDefault="005B3674" w:rsidP="00570565">
      <w:pPr>
        <w:pStyle w:val="FootnoteText"/>
      </w:pPr>
      <w:r>
        <w:rPr>
          <w:rStyle w:val="FootnoteReference"/>
        </w:rPr>
        <w:footnoteRef/>
      </w:r>
      <w:r>
        <w:t xml:space="preserve"> See new section 65A of the Act. </w:t>
      </w:r>
    </w:p>
  </w:footnote>
  <w:footnote w:id="23">
    <w:p w14:paraId="182F7543" w14:textId="77777777" w:rsidR="005B3674" w:rsidRDefault="005B3674" w:rsidP="00570565">
      <w:pPr>
        <w:pStyle w:val="FootnoteText"/>
      </w:pPr>
      <w:r>
        <w:rPr>
          <w:rStyle w:val="FootnoteReference"/>
        </w:rPr>
        <w:footnoteRef/>
      </w:r>
      <w:r>
        <w:t xml:space="preserve"> See subsection 286(6) of the Act as amended.</w:t>
      </w:r>
    </w:p>
  </w:footnote>
  <w:footnote w:id="24">
    <w:p w14:paraId="6FB23991" w14:textId="77777777" w:rsidR="005B3674" w:rsidRDefault="005B3674" w:rsidP="00570565">
      <w:pPr>
        <w:pStyle w:val="FootnoteText"/>
      </w:pPr>
      <w:r>
        <w:rPr>
          <w:rStyle w:val="FootnoteReference"/>
        </w:rPr>
        <w:footnoteRef/>
      </w:r>
      <w:r>
        <w:t xml:space="preserve"> See paragraph 286(</w:t>
      </w:r>
      <w:proofErr w:type="gramStart"/>
      <w:r>
        <w:t>1)(</w:t>
      </w:r>
      <w:proofErr w:type="gramEnd"/>
      <w:r>
        <w:t xml:space="preserve">aa) of the Act as amended. </w:t>
      </w:r>
    </w:p>
  </w:footnote>
  <w:footnote w:id="25">
    <w:p w14:paraId="12C6BCB0" w14:textId="7754175F" w:rsidR="005B3674" w:rsidRDefault="005B3674">
      <w:pPr>
        <w:pStyle w:val="FootnoteText"/>
      </w:pPr>
      <w:r>
        <w:rPr>
          <w:rStyle w:val="FootnoteReference"/>
        </w:rPr>
        <w:footnoteRef/>
      </w:r>
      <w:r>
        <w:t xml:space="preserve"> New subsections 65</w:t>
      </w:r>
      <w:proofErr w:type="gramStart"/>
      <w:r>
        <w:t>A(</w:t>
      </w:r>
      <w:proofErr w:type="gramEnd"/>
      <w:r>
        <w:t>5), 65A(12) and 65A(19) enable the ACMA to make an instrument that determines that each spectrum licence included in a specified class of spectrum licences is taken to have a specified renewal statement, renewal application period, and public interest statement, respectively. New subsections 103</w:t>
      </w:r>
      <w:proofErr w:type="gramStart"/>
      <w:r>
        <w:t>A(</w:t>
      </w:r>
      <w:proofErr w:type="gramEnd"/>
      <w:r>
        <w:t>5), 103A(12) and 103A(17)</w:t>
      </w:r>
      <w:r w:rsidDel="00C75445">
        <w:t xml:space="preserve"> </w:t>
      </w:r>
      <w:r>
        <w:t xml:space="preserve">enable the ACMA to make such an instrument with respect to apparatus licences. </w:t>
      </w:r>
    </w:p>
  </w:footnote>
  <w:footnote w:id="26">
    <w:p w14:paraId="281D9D7E" w14:textId="17F9AF85" w:rsidR="005B3674" w:rsidRDefault="005B3674">
      <w:pPr>
        <w:pStyle w:val="FootnoteText"/>
      </w:pPr>
      <w:r>
        <w:rPr>
          <w:rStyle w:val="FootnoteReference"/>
        </w:rPr>
        <w:footnoteRef/>
      </w:r>
      <w:r>
        <w:t xml:space="preserve"> Prior to the Modernisation Act, only the minister could, after consultation with the ACMA, designate parts of the spectrum for spectrum licensing under section 36 of the Act. </w:t>
      </w:r>
    </w:p>
  </w:footnote>
  <w:footnote w:id="27">
    <w:p w14:paraId="354FDE98" w14:textId="60CF4BA5" w:rsidR="005B3674" w:rsidRPr="00C61B0C" w:rsidRDefault="005B3674" w:rsidP="002F179F">
      <w:pPr>
        <w:pStyle w:val="FootnoteText"/>
        <w:rPr>
          <w:rStyle w:val="FootnoteReference"/>
          <w:rFonts w:cs="Arial"/>
          <w:vertAlign w:val="baseline"/>
        </w:rPr>
      </w:pPr>
      <w:r>
        <w:rPr>
          <w:rStyle w:val="FootnoteReference"/>
        </w:rPr>
        <w:footnoteRef/>
      </w:r>
      <w:r w:rsidRPr="00C61B0C">
        <w:rPr>
          <w:rStyle w:val="FootnoteReference"/>
        </w:rPr>
        <w:t xml:space="preserve"> </w:t>
      </w:r>
      <w:r w:rsidRPr="00C61B0C">
        <w:rPr>
          <w:rStyle w:val="FootnoteReference"/>
          <w:rFonts w:cs="Arial"/>
          <w:vertAlign w:val="baseline"/>
        </w:rPr>
        <w:t xml:space="preserve">Pursuant to section 38 of the Act, </w:t>
      </w:r>
      <w:r>
        <w:rPr>
          <w:rFonts w:cs="Arial"/>
        </w:rPr>
        <w:t xml:space="preserve">to be repealed by the Modernisation Act, </w:t>
      </w:r>
      <w:r w:rsidRPr="00C61B0C">
        <w:rPr>
          <w:rStyle w:val="FootnoteReference"/>
          <w:rFonts w:cs="Arial"/>
          <w:vertAlign w:val="baseline"/>
        </w:rPr>
        <w:t xml:space="preserve">for any apparatus licences incumbent to a part of the spectrum at the time at which the </w:t>
      </w:r>
      <w:r>
        <w:rPr>
          <w:rFonts w:cs="Arial"/>
        </w:rPr>
        <w:t>m</w:t>
      </w:r>
      <w:r w:rsidRPr="00C61B0C">
        <w:rPr>
          <w:rStyle w:val="FootnoteReference"/>
          <w:rFonts w:cs="Arial"/>
          <w:vertAlign w:val="baseline"/>
        </w:rPr>
        <w:t>inister designates that spectrum for spectrum licensing under section 36 of the Act</w:t>
      </w:r>
      <w:r>
        <w:rPr>
          <w:rFonts w:cs="Arial"/>
        </w:rPr>
        <w:t>, to be amended by the Modernisation Act</w:t>
      </w:r>
      <w:r w:rsidRPr="00C61B0C">
        <w:rPr>
          <w:rStyle w:val="FootnoteReference"/>
          <w:rFonts w:cs="Arial"/>
          <w:vertAlign w:val="baseline"/>
        </w:rPr>
        <w:t xml:space="preserve">, we </w:t>
      </w:r>
      <w:r>
        <w:rPr>
          <w:rStyle w:val="FootnoteReference"/>
          <w:rFonts w:cs="Arial"/>
          <w:vertAlign w:val="baseline"/>
        </w:rPr>
        <w:t>w</w:t>
      </w:r>
      <w:r>
        <w:rPr>
          <w:rFonts w:cs="Arial"/>
        </w:rPr>
        <w:t>ere required to</w:t>
      </w:r>
      <w:r w:rsidRPr="00C61B0C">
        <w:rPr>
          <w:rStyle w:val="FootnoteReference"/>
          <w:rFonts w:cs="Arial"/>
          <w:vertAlign w:val="baseline"/>
        </w:rPr>
        <w:t xml:space="preserve"> make a conversion plan that sets out the procedures and timetable for issuing spectrum licences to replace existing apparatus licences that authorise</w:t>
      </w:r>
      <w:r>
        <w:rPr>
          <w:rFonts w:cs="Arial"/>
        </w:rPr>
        <w:t>d the</w:t>
      </w:r>
      <w:r w:rsidRPr="00C61B0C">
        <w:rPr>
          <w:rStyle w:val="FootnoteReference"/>
          <w:rFonts w:cs="Arial"/>
          <w:vertAlign w:val="baseline"/>
        </w:rPr>
        <w:t xml:space="preserve"> operation of radiocommunications devices.</w:t>
      </w:r>
    </w:p>
  </w:footnote>
  <w:footnote w:id="28">
    <w:p w14:paraId="10C18A87" w14:textId="5BB4D5B4" w:rsidR="005B3674" w:rsidRDefault="005B3674" w:rsidP="006A094E">
      <w:pPr>
        <w:pStyle w:val="FootnoteText"/>
      </w:pPr>
      <w:r>
        <w:rPr>
          <w:rStyle w:val="FootnoteReference"/>
        </w:rPr>
        <w:footnoteRef/>
      </w:r>
      <w:r>
        <w:t xml:space="preserve"> For the purposes of the Act, an affected apparatus licensee is the licensee of an affected apparatus licence that authorises the operation of radiocommunications devices (a) at frequencies that are wholly or partly within the part or parts of the spectrum specified in the re-allocation declaration and (b) within the area or areas specified in the re-allocation declaration with respect to that part or those parts. A potentially affected apparatus licensee is an incumbent licensee who would be an affected licensee if the minister made a re-allocation declaration in the terms recommended by the ACMA. </w:t>
      </w:r>
    </w:p>
  </w:footnote>
  <w:footnote w:id="29">
    <w:p w14:paraId="1BB8ECF9" w14:textId="6F030F21" w:rsidR="005B3674" w:rsidRPr="00A60D19" w:rsidRDefault="005B3674">
      <w:pPr>
        <w:pStyle w:val="FootnoteText"/>
        <w:rPr>
          <w:i/>
          <w:iCs/>
        </w:rPr>
      </w:pPr>
      <w:r>
        <w:rPr>
          <w:rStyle w:val="FootnoteReference"/>
        </w:rPr>
        <w:footnoteRef/>
      </w:r>
      <w:r>
        <w:t xml:space="preserve"> Pursuant to regulation 4A of the Radiocommunications Taxes Collection Regulations 1985, if the amount to be refunded on cancellation of a licence for reason other than breaching licence conditions is less than $30, the amount is not payable. </w:t>
      </w:r>
    </w:p>
  </w:footnote>
  <w:footnote w:id="30">
    <w:p w14:paraId="1621B938" w14:textId="0B95D9FA" w:rsidR="005B3674" w:rsidRDefault="005B3674" w:rsidP="00540AB4">
      <w:pPr>
        <w:pStyle w:val="FootnoteText"/>
      </w:pPr>
      <w:r>
        <w:rPr>
          <w:rStyle w:val="FootnoteReference"/>
        </w:rPr>
        <w:footnoteRef/>
      </w:r>
      <w:r w:rsidRPr="00C61B0C">
        <w:rPr>
          <w:rStyle w:val="FootnoteReference"/>
        </w:rPr>
        <w:t xml:space="preserve"> </w:t>
      </w:r>
      <w:r w:rsidRPr="00C61B0C">
        <w:rPr>
          <w:rStyle w:val="FootnoteReference"/>
          <w:rFonts w:cs="Arial"/>
          <w:vertAlign w:val="baseline"/>
        </w:rPr>
        <w:t xml:space="preserve">As previously noted, under section 14 of the ACMA Act, the </w:t>
      </w:r>
      <w:r>
        <w:rPr>
          <w:rFonts w:cs="Arial"/>
        </w:rPr>
        <w:t>m</w:t>
      </w:r>
      <w:r w:rsidRPr="00C61B0C">
        <w:rPr>
          <w:rStyle w:val="FootnoteReference"/>
          <w:rFonts w:cs="Arial"/>
          <w:vertAlign w:val="baseline"/>
        </w:rPr>
        <w:t>inister may also direct the ACMA in relation to the performance of its functions and the exercise of its powers.</w:t>
      </w:r>
    </w:p>
  </w:footnote>
  <w:footnote w:id="31">
    <w:p w14:paraId="3C591A36" w14:textId="680E4A6A" w:rsidR="005B3674" w:rsidRDefault="005B3674">
      <w:pPr>
        <w:pStyle w:val="FootnoteText"/>
      </w:pPr>
      <w:r>
        <w:rPr>
          <w:rStyle w:val="FootnoteReference"/>
        </w:rPr>
        <w:footnoteRef/>
      </w:r>
      <w:r>
        <w:t xml:space="preserve"> See paragraphs 60(5)(a) and (b), and new section 102G and subsection 106(3) of the Act. </w:t>
      </w:r>
    </w:p>
  </w:footnote>
  <w:footnote w:id="32">
    <w:p w14:paraId="0E6439B8" w14:textId="41625BE5" w:rsidR="005B3674" w:rsidRDefault="005B3674" w:rsidP="000D6871">
      <w:pPr>
        <w:pStyle w:val="FootnoteText"/>
      </w:pPr>
      <w:r>
        <w:rPr>
          <w:rStyle w:val="FootnoteReference"/>
        </w:rPr>
        <w:footnoteRef/>
      </w:r>
      <w:r>
        <w:t xml:space="preserve"> Under section 60 of the Act as amended.</w:t>
      </w:r>
    </w:p>
  </w:footnote>
  <w:footnote w:id="33">
    <w:p w14:paraId="36070EA7" w14:textId="0C3A85C4" w:rsidR="005B3674" w:rsidRDefault="005B3674" w:rsidP="000D6871">
      <w:pPr>
        <w:pStyle w:val="FootnoteText"/>
      </w:pPr>
      <w:r>
        <w:rPr>
          <w:rStyle w:val="FootnoteReference"/>
        </w:rPr>
        <w:footnoteRef/>
      </w:r>
      <w:r>
        <w:t xml:space="preserve"> Under section 106 of the Act as amended.</w:t>
      </w:r>
    </w:p>
  </w:footnote>
  <w:footnote w:id="34">
    <w:p w14:paraId="47C9E918" w14:textId="750E0877" w:rsidR="005B3674" w:rsidRDefault="005B3674" w:rsidP="000D6871">
      <w:pPr>
        <w:pStyle w:val="FootnoteText"/>
      </w:pPr>
      <w:r>
        <w:rPr>
          <w:rStyle w:val="FootnoteReference"/>
        </w:rPr>
        <w:footnoteRef/>
      </w:r>
      <w:r>
        <w:t xml:space="preserve"> Under section 100 of the Act as amended.</w:t>
      </w:r>
    </w:p>
  </w:footnote>
  <w:footnote w:id="35">
    <w:p w14:paraId="5CAAB760" w14:textId="2C4E85C7" w:rsidR="005B3674" w:rsidRDefault="005B3674">
      <w:pPr>
        <w:pStyle w:val="FootnoteText"/>
      </w:pPr>
      <w:r>
        <w:rPr>
          <w:rStyle w:val="FootnoteReference"/>
        </w:rPr>
        <w:footnoteRef/>
      </w:r>
      <w:r>
        <w:t xml:space="preserve"> </w:t>
      </w:r>
      <w:r>
        <w:rPr>
          <w:rFonts w:cs="Arial"/>
        </w:rPr>
        <w:t xml:space="preserve">Primary services in a band are generally afforded interference protection from secondary services, while secondary services generally cannot claim harmful interference from a primary service.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A565D" w14:textId="77777777" w:rsidR="005B3674" w:rsidRPr="00A5474E" w:rsidRDefault="005B3674" w:rsidP="00A5474E">
    <w:pPr>
      <w:pStyle w:val="Header"/>
    </w:pPr>
    <w:r>
      <w:rPr>
        <w:noProof/>
      </w:rPr>
      <w:drawing>
        <wp:inline distT="0" distB="0" distL="0" distR="0" wp14:anchorId="327E21E4" wp14:editId="5B1EA049">
          <wp:extent cx="6210298"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2F8AED" w14:textId="77777777" w:rsidR="005B3674" w:rsidRPr="00A5474E" w:rsidRDefault="005B3674"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060290" w14:textId="77777777" w:rsidR="005B3674" w:rsidRDefault="005B367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8FB5AB" w14:textId="77777777" w:rsidR="005B3674" w:rsidRDefault="005B367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5B3674" w14:paraId="39E8DC86" w14:textId="77777777" w:rsidTr="00267DEE">
      <w:trPr>
        <w:trHeight w:hRule="exact" w:val="988"/>
      </w:trPr>
      <w:tc>
        <w:tcPr>
          <w:tcW w:w="7678" w:type="dxa"/>
          <w:shd w:val="clear" w:color="auto" w:fill="auto"/>
        </w:tcPr>
        <w:p w14:paraId="344AF013" w14:textId="77777777" w:rsidR="005B3674" w:rsidRDefault="005B3674" w:rsidP="00971914">
          <w:pPr>
            <w:pStyle w:val="Header"/>
          </w:pPr>
        </w:p>
      </w:tc>
    </w:tr>
    <w:tr w:rsidR="005B3674" w14:paraId="5E028521" w14:textId="77777777" w:rsidTr="00267DEE">
      <w:tc>
        <w:tcPr>
          <w:tcW w:w="7678" w:type="dxa"/>
          <w:shd w:val="clear" w:color="auto" w:fill="auto"/>
        </w:tcPr>
        <w:p w14:paraId="3560CF6E" w14:textId="77777777" w:rsidR="005B3674" w:rsidRDefault="005B3674" w:rsidP="00971914">
          <w:pPr>
            <w:pStyle w:val="GridTable31"/>
          </w:pPr>
          <w:r>
            <w:t xml:space="preserve">Contents </w:t>
          </w:r>
          <w:r w:rsidRPr="00915B1C">
            <w:rPr>
              <w:b w:val="0"/>
              <w:spacing w:val="0"/>
              <w:sz w:val="28"/>
              <w:szCs w:val="28"/>
            </w:rPr>
            <w:t>(Continued)</w:t>
          </w:r>
        </w:p>
      </w:tc>
    </w:tr>
    <w:tr w:rsidR="005B3674" w14:paraId="7B4A0A2F" w14:textId="77777777" w:rsidTr="00267DEE">
      <w:trPr>
        <w:trHeight w:val="1220"/>
      </w:trPr>
      <w:tc>
        <w:tcPr>
          <w:tcW w:w="7678" w:type="dxa"/>
          <w:shd w:val="clear" w:color="auto" w:fill="auto"/>
        </w:tcPr>
        <w:p w14:paraId="21BA187C" w14:textId="77777777" w:rsidR="005B3674" w:rsidRDefault="005B3674" w:rsidP="00971914"/>
      </w:tc>
    </w:tr>
  </w:tbl>
  <w:p w14:paraId="6275B5AB" w14:textId="77777777" w:rsidR="005B3674" w:rsidRDefault="005B367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5B3674" w14:paraId="37079697" w14:textId="77777777" w:rsidTr="00267DEE">
      <w:trPr>
        <w:trHeight w:hRule="exact" w:val="988"/>
      </w:trPr>
      <w:tc>
        <w:tcPr>
          <w:tcW w:w="7678" w:type="dxa"/>
          <w:shd w:val="clear" w:color="auto" w:fill="auto"/>
        </w:tcPr>
        <w:p w14:paraId="6EF1383E" w14:textId="77777777" w:rsidR="005B3674" w:rsidRDefault="005B3674" w:rsidP="00971914">
          <w:pPr>
            <w:pStyle w:val="Header"/>
          </w:pPr>
        </w:p>
      </w:tc>
    </w:tr>
    <w:tr w:rsidR="005B3674" w14:paraId="7030807E" w14:textId="77777777" w:rsidTr="00267DEE">
      <w:tc>
        <w:tcPr>
          <w:tcW w:w="7678" w:type="dxa"/>
          <w:shd w:val="clear" w:color="auto" w:fill="auto"/>
        </w:tcPr>
        <w:p w14:paraId="3928E045" w14:textId="77777777" w:rsidR="005B3674" w:rsidRDefault="005B3674" w:rsidP="00971914">
          <w:pPr>
            <w:pStyle w:val="GridTable31"/>
          </w:pPr>
          <w:r>
            <w:t xml:space="preserve">Contents </w:t>
          </w:r>
          <w:r w:rsidRPr="00915B1C">
            <w:rPr>
              <w:b w:val="0"/>
              <w:spacing w:val="0"/>
              <w:sz w:val="28"/>
              <w:szCs w:val="28"/>
            </w:rPr>
            <w:t>(Continued)</w:t>
          </w:r>
        </w:p>
      </w:tc>
    </w:tr>
    <w:tr w:rsidR="005B3674" w14:paraId="15CD050D" w14:textId="77777777" w:rsidTr="00267DEE">
      <w:trPr>
        <w:trHeight w:val="1220"/>
      </w:trPr>
      <w:tc>
        <w:tcPr>
          <w:tcW w:w="7678" w:type="dxa"/>
          <w:shd w:val="clear" w:color="auto" w:fill="auto"/>
        </w:tcPr>
        <w:p w14:paraId="0FBE6247" w14:textId="77777777" w:rsidR="005B3674" w:rsidRDefault="005B3674" w:rsidP="00971914"/>
      </w:tc>
    </w:tr>
  </w:tbl>
  <w:p w14:paraId="75479398" w14:textId="77777777" w:rsidR="005B3674" w:rsidRPr="00A5474E" w:rsidRDefault="005B3674"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6D9D4D0" w14:textId="77777777" w:rsidR="005B3674" w:rsidRDefault="005B367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5ABAF9" w14:textId="77777777" w:rsidR="005B3674" w:rsidRDefault="005B367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0C090017"/>
    <w:lvl w:ilvl="0">
      <w:start w:val="1"/>
      <w:numFmt w:val="lowerLett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3824EC4"/>
    <w:multiLevelType w:val="hybridMultilevel"/>
    <w:tmpl w:val="FFFFFFFF"/>
    <w:lvl w:ilvl="0" w:tplc="07F0E4A6">
      <w:start w:val="1"/>
      <w:numFmt w:val="bullet"/>
      <w:lvlText w:val="&gt;"/>
      <w:lvlJc w:val="left"/>
      <w:pPr>
        <w:ind w:left="720" w:hanging="360"/>
      </w:pPr>
      <w:rPr>
        <w:rFonts w:ascii="HelveticaNeueLT Std Lt" w:hAnsi="HelveticaNeueLT Std Lt" w:hint="default"/>
      </w:rPr>
    </w:lvl>
    <w:lvl w:ilvl="1" w:tplc="3A08AA96">
      <w:start w:val="1"/>
      <w:numFmt w:val="bullet"/>
      <w:lvlText w:val="o"/>
      <w:lvlJc w:val="left"/>
      <w:pPr>
        <w:ind w:left="1440" w:hanging="360"/>
      </w:pPr>
      <w:rPr>
        <w:rFonts w:ascii="Courier New" w:hAnsi="Courier New" w:hint="default"/>
      </w:rPr>
    </w:lvl>
    <w:lvl w:ilvl="2" w:tplc="B1CA3254">
      <w:start w:val="1"/>
      <w:numFmt w:val="bullet"/>
      <w:lvlText w:val=""/>
      <w:lvlJc w:val="left"/>
      <w:pPr>
        <w:ind w:left="2160" w:hanging="360"/>
      </w:pPr>
      <w:rPr>
        <w:rFonts w:ascii="Wingdings" w:hAnsi="Wingdings" w:hint="default"/>
      </w:rPr>
    </w:lvl>
    <w:lvl w:ilvl="3" w:tplc="32821368">
      <w:start w:val="1"/>
      <w:numFmt w:val="bullet"/>
      <w:lvlText w:val=""/>
      <w:lvlJc w:val="left"/>
      <w:pPr>
        <w:ind w:left="2880" w:hanging="360"/>
      </w:pPr>
      <w:rPr>
        <w:rFonts w:ascii="Symbol" w:hAnsi="Symbol" w:hint="default"/>
      </w:rPr>
    </w:lvl>
    <w:lvl w:ilvl="4" w:tplc="EC201478">
      <w:start w:val="1"/>
      <w:numFmt w:val="bullet"/>
      <w:lvlText w:val="o"/>
      <w:lvlJc w:val="left"/>
      <w:pPr>
        <w:ind w:left="3600" w:hanging="360"/>
      </w:pPr>
      <w:rPr>
        <w:rFonts w:ascii="Courier New" w:hAnsi="Courier New" w:hint="default"/>
      </w:rPr>
    </w:lvl>
    <w:lvl w:ilvl="5" w:tplc="BC2EB77A">
      <w:start w:val="1"/>
      <w:numFmt w:val="bullet"/>
      <w:lvlText w:val=""/>
      <w:lvlJc w:val="left"/>
      <w:pPr>
        <w:ind w:left="4320" w:hanging="360"/>
      </w:pPr>
      <w:rPr>
        <w:rFonts w:ascii="Wingdings" w:hAnsi="Wingdings" w:hint="default"/>
      </w:rPr>
    </w:lvl>
    <w:lvl w:ilvl="6" w:tplc="4F3ACC7E">
      <w:start w:val="1"/>
      <w:numFmt w:val="bullet"/>
      <w:lvlText w:val=""/>
      <w:lvlJc w:val="left"/>
      <w:pPr>
        <w:ind w:left="5040" w:hanging="360"/>
      </w:pPr>
      <w:rPr>
        <w:rFonts w:ascii="Symbol" w:hAnsi="Symbol" w:hint="default"/>
      </w:rPr>
    </w:lvl>
    <w:lvl w:ilvl="7" w:tplc="76F28586">
      <w:start w:val="1"/>
      <w:numFmt w:val="bullet"/>
      <w:lvlText w:val="o"/>
      <w:lvlJc w:val="left"/>
      <w:pPr>
        <w:ind w:left="5760" w:hanging="360"/>
      </w:pPr>
      <w:rPr>
        <w:rFonts w:ascii="Courier New" w:hAnsi="Courier New" w:hint="default"/>
      </w:rPr>
    </w:lvl>
    <w:lvl w:ilvl="8" w:tplc="CF207A8A">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ADA6D02"/>
    <w:multiLevelType w:val="hybridMultilevel"/>
    <w:tmpl w:val="6B703700"/>
    <w:lvl w:ilvl="0" w:tplc="E3609136">
      <w:numFmt w:val="bullet"/>
      <w:lvlText w:val="-"/>
      <w:lvlJc w:val="left"/>
      <w:pPr>
        <w:ind w:left="645" w:hanging="360"/>
      </w:pPr>
      <w:rPr>
        <w:rFonts w:ascii="Arial" w:eastAsia="Times New Roman" w:hAnsi="Arial" w:cs="Arial" w:hint="default"/>
      </w:rPr>
    </w:lvl>
    <w:lvl w:ilvl="1" w:tplc="0C090003" w:tentative="1">
      <w:start w:val="1"/>
      <w:numFmt w:val="bullet"/>
      <w:lvlText w:val="o"/>
      <w:lvlJc w:val="left"/>
      <w:pPr>
        <w:ind w:left="1365" w:hanging="360"/>
      </w:pPr>
      <w:rPr>
        <w:rFonts w:ascii="Courier New" w:hAnsi="Courier New" w:cs="Courier New" w:hint="default"/>
      </w:rPr>
    </w:lvl>
    <w:lvl w:ilvl="2" w:tplc="0C090005" w:tentative="1">
      <w:start w:val="1"/>
      <w:numFmt w:val="bullet"/>
      <w:lvlText w:val=""/>
      <w:lvlJc w:val="left"/>
      <w:pPr>
        <w:ind w:left="2085" w:hanging="360"/>
      </w:pPr>
      <w:rPr>
        <w:rFonts w:ascii="Wingdings" w:hAnsi="Wingdings" w:hint="default"/>
      </w:rPr>
    </w:lvl>
    <w:lvl w:ilvl="3" w:tplc="0C090001" w:tentative="1">
      <w:start w:val="1"/>
      <w:numFmt w:val="bullet"/>
      <w:lvlText w:val=""/>
      <w:lvlJc w:val="left"/>
      <w:pPr>
        <w:ind w:left="2805" w:hanging="360"/>
      </w:pPr>
      <w:rPr>
        <w:rFonts w:ascii="Symbol" w:hAnsi="Symbol" w:hint="default"/>
      </w:rPr>
    </w:lvl>
    <w:lvl w:ilvl="4" w:tplc="0C090003" w:tentative="1">
      <w:start w:val="1"/>
      <w:numFmt w:val="bullet"/>
      <w:lvlText w:val="o"/>
      <w:lvlJc w:val="left"/>
      <w:pPr>
        <w:ind w:left="3525" w:hanging="360"/>
      </w:pPr>
      <w:rPr>
        <w:rFonts w:ascii="Courier New" w:hAnsi="Courier New" w:cs="Courier New" w:hint="default"/>
      </w:rPr>
    </w:lvl>
    <w:lvl w:ilvl="5" w:tplc="0C090005" w:tentative="1">
      <w:start w:val="1"/>
      <w:numFmt w:val="bullet"/>
      <w:lvlText w:val=""/>
      <w:lvlJc w:val="left"/>
      <w:pPr>
        <w:ind w:left="4245" w:hanging="360"/>
      </w:pPr>
      <w:rPr>
        <w:rFonts w:ascii="Wingdings" w:hAnsi="Wingdings" w:hint="default"/>
      </w:rPr>
    </w:lvl>
    <w:lvl w:ilvl="6" w:tplc="0C090001" w:tentative="1">
      <w:start w:val="1"/>
      <w:numFmt w:val="bullet"/>
      <w:lvlText w:val=""/>
      <w:lvlJc w:val="left"/>
      <w:pPr>
        <w:ind w:left="4965" w:hanging="360"/>
      </w:pPr>
      <w:rPr>
        <w:rFonts w:ascii="Symbol" w:hAnsi="Symbol" w:hint="default"/>
      </w:rPr>
    </w:lvl>
    <w:lvl w:ilvl="7" w:tplc="0C090003" w:tentative="1">
      <w:start w:val="1"/>
      <w:numFmt w:val="bullet"/>
      <w:lvlText w:val="o"/>
      <w:lvlJc w:val="left"/>
      <w:pPr>
        <w:ind w:left="5685" w:hanging="360"/>
      </w:pPr>
      <w:rPr>
        <w:rFonts w:ascii="Courier New" w:hAnsi="Courier New" w:cs="Courier New" w:hint="default"/>
      </w:rPr>
    </w:lvl>
    <w:lvl w:ilvl="8" w:tplc="0C090005" w:tentative="1">
      <w:start w:val="1"/>
      <w:numFmt w:val="bullet"/>
      <w:lvlText w:val=""/>
      <w:lvlJc w:val="left"/>
      <w:pPr>
        <w:ind w:left="6405" w:hanging="360"/>
      </w:pPr>
      <w:rPr>
        <w:rFonts w:ascii="Wingdings" w:hAnsi="Wingdings" w:hint="default"/>
      </w:rPr>
    </w:lvl>
  </w:abstractNum>
  <w:abstractNum w:abstractNumId="8" w15:restartNumberingAfterBreak="0">
    <w:nsid w:val="0BC64C4B"/>
    <w:multiLevelType w:val="hybridMultilevel"/>
    <w:tmpl w:val="06B0D7D4"/>
    <w:lvl w:ilvl="0" w:tplc="77601CF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5F21593"/>
    <w:multiLevelType w:val="hybridMultilevel"/>
    <w:tmpl w:val="6CE8740A"/>
    <w:lvl w:ilvl="0" w:tplc="2478637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9E77680"/>
    <w:multiLevelType w:val="hybridMultilevel"/>
    <w:tmpl w:val="AEFEE806"/>
    <w:lvl w:ilvl="0" w:tplc="2478637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BB1058F"/>
    <w:multiLevelType w:val="hybridMultilevel"/>
    <w:tmpl w:val="D0F26C72"/>
    <w:lvl w:ilvl="0" w:tplc="24786376">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B867A13"/>
    <w:multiLevelType w:val="hybridMultilevel"/>
    <w:tmpl w:val="E7483152"/>
    <w:lvl w:ilvl="0" w:tplc="24786376">
      <w:start w:val="1"/>
      <w:numFmt w:val="bullet"/>
      <w:lvlText w:val=""/>
      <w:lvlJc w:val="left"/>
      <w:pPr>
        <w:ind w:left="644" w:hanging="360"/>
      </w:pPr>
      <w:rPr>
        <w:rFonts w:ascii="Symbol" w:hAnsi="Symbol" w:cs="Symbo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3"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4"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34747A3E"/>
    <w:multiLevelType w:val="hybridMultilevel"/>
    <w:tmpl w:val="FAF2C1C6"/>
    <w:lvl w:ilvl="0" w:tplc="9AAE7838">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3D6A5D46"/>
    <w:multiLevelType w:val="hybridMultilevel"/>
    <w:tmpl w:val="20B411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BB52EBE"/>
    <w:multiLevelType w:val="hybridMultilevel"/>
    <w:tmpl w:val="E966AA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4C5F2F41"/>
    <w:multiLevelType w:val="hybridMultilevel"/>
    <w:tmpl w:val="27228D42"/>
    <w:lvl w:ilvl="0" w:tplc="0804E31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6AF479C"/>
    <w:multiLevelType w:val="hybridMultilevel"/>
    <w:tmpl w:val="C5AC0BC4"/>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578B2F00"/>
    <w:multiLevelType w:val="hybridMultilevel"/>
    <w:tmpl w:val="7E0E5738"/>
    <w:lvl w:ilvl="0" w:tplc="E444AD82">
      <w:start w:val="1"/>
      <w:numFmt w:val="lowerRoman"/>
      <w:lvlText w:val="(%1)"/>
      <w:lvlJc w:val="left"/>
      <w:pPr>
        <w:ind w:left="1288" w:hanging="360"/>
      </w:pPr>
    </w:lvl>
    <w:lvl w:ilvl="1" w:tplc="0C090019">
      <w:start w:val="1"/>
      <w:numFmt w:val="lowerLetter"/>
      <w:lvlText w:val="%2."/>
      <w:lvlJc w:val="left"/>
      <w:pPr>
        <w:ind w:left="2008" w:hanging="360"/>
      </w:pPr>
    </w:lvl>
    <w:lvl w:ilvl="2" w:tplc="0C09001B">
      <w:start w:val="1"/>
      <w:numFmt w:val="lowerRoman"/>
      <w:lvlText w:val="%3."/>
      <w:lvlJc w:val="right"/>
      <w:pPr>
        <w:ind w:left="2728" w:hanging="180"/>
      </w:pPr>
    </w:lvl>
    <w:lvl w:ilvl="3" w:tplc="0C09000F">
      <w:start w:val="1"/>
      <w:numFmt w:val="decimal"/>
      <w:lvlText w:val="%4."/>
      <w:lvlJc w:val="left"/>
      <w:pPr>
        <w:ind w:left="3448" w:hanging="360"/>
      </w:pPr>
    </w:lvl>
    <w:lvl w:ilvl="4" w:tplc="0C090019">
      <w:start w:val="1"/>
      <w:numFmt w:val="lowerLetter"/>
      <w:lvlText w:val="%5."/>
      <w:lvlJc w:val="left"/>
      <w:pPr>
        <w:ind w:left="4168" w:hanging="360"/>
      </w:pPr>
    </w:lvl>
    <w:lvl w:ilvl="5" w:tplc="0C09001B">
      <w:start w:val="1"/>
      <w:numFmt w:val="lowerRoman"/>
      <w:lvlText w:val="%6."/>
      <w:lvlJc w:val="right"/>
      <w:pPr>
        <w:ind w:left="4888" w:hanging="180"/>
      </w:pPr>
    </w:lvl>
    <w:lvl w:ilvl="6" w:tplc="0C09000F">
      <w:start w:val="1"/>
      <w:numFmt w:val="decimal"/>
      <w:lvlText w:val="%7."/>
      <w:lvlJc w:val="left"/>
      <w:pPr>
        <w:ind w:left="5608" w:hanging="360"/>
      </w:pPr>
    </w:lvl>
    <w:lvl w:ilvl="7" w:tplc="0C090019">
      <w:start w:val="1"/>
      <w:numFmt w:val="lowerLetter"/>
      <w:lvlText w:val="%8."/>
      <w:lvlJc w:val="left"/>
      <w:pPr>
        <w:ind w:left="6328" w:hanging="360"/>
      </w:pPr>
    </w:lvl>
    <w:lvl w:ilvl="8" w:tplc="0C09001B">
      <w:start w:val="1"/>
      <w:numFmt w:val="lowerRoman"/>
      <w:lvlText w:val="%9."/>
      <w:lvlJc w:val="right"/>
      <w:pPr>
        <w:ind w:left="7048" w:hanging="180"/>
      </w:pPr>
    </w:lvl>
  </w:abstractNum>
  <w:abstractNum w:abstractNumId="2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13"/>
  </w:num>
  <w:num w:numId="6">
    <w:abstractNumId w:val="23"/>
  </w:num>
  <w:num w:numId="7">
    <w:abstractNumId w:val="19"/>
  </w:num>
  <w:num w:numId="8">
    <w:abstractNumId w:val="22"/>
  </w:num>
  <w:num w:numId="9">
    <w:abstractNumId w:val="24"/>
  </w:num>
  <w:num w:numId="10">
    <w:abstractNumId w:val="6"/>
  </w:num>
  <w:num w:numId="11">
    <w:abstractNumId w:val="4"/>
  </w:num>
  <w:num w:numId="12">
    <w:abstractNumId w:val="3"/>
  </w:num>
  <w:num w:numId="13">
    <w:abstractNumId w:val="2"/>
  </w:num>
  <w:num w:numId="14">
    <w:abstractNumId w:val="2"/>
    <w:lvlOverride w:ilvl="0">
      <w:startOverride w:val="1"/>
    </w:lvlOverride>
  </w:num>
  <w:num w:numId="15">
    <w:abstractNumId w:val="2"/>
    <w:lvlOverride w:ilvl="0">
      <w:startOverride w:val="1"/>
    </w:lvlOverride>
  </w:num>
  <w:num w:numId="16">
    <w:abstractNumId w:val="14"/>
  </w:num>
  <w:num w:numId="17">
    <w:abstractNumId w:val="2"/>
    <w:lvlOverride w:ilvl="0">
      <w:startOverride w:val="1"/>
    </w:lvlOverride>
  </w:num>
  <w:num w:numId="18">
    <w:abstractNumId w:val="5"/>
  </w:num>
  <w:num w:numId="1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2"/>
    <w:lvlOverride w:ilvl="0">
      <w:startOverride w:val="1"/>
    </w:lvlOverride>
  </w:num>
  <w:num w:numId="24">
    <w:abstractNumId w:val="3"/>
  </w:num>
  <w:num w:numId="25">
    <w:abstractNumId w:val="3"/>
  </w:num>
  <w:num w:numId="26">
    <w:abstractNumId w:val="18"/>
  </w:num>
  <w:num w:numId="27">
    <w:abstractNumId w:val="17"/>
  </w:num>
  <w:num w:numId="28">
    <w:abstractNumId w:val="17"/>
  </w:num>
  <w:num w:numId="29">
    <w:abstractNumId w:val="16"/>
  </w:num>
  <w:num w:numId="30">
    <w:abstractNumId w:val="10"/>
  </w:num>
  <w:num w:numId="31">
    <w:abstractNumId w:val="9"/>
  </w:num>
  <w:num w:numId="32">
    <w:abstractNumId w:val="11"/>
  </w:num>
  <w:num w:numId="33">
    <w:abstractNumId w:val="12"/>
  </w:num>
  <w:num w:numId="34">
    <w:abstractNumId w:val="7"/>
  </w:num>
  <w:num w:numId="35">
    <w:abstractNumId w:val="8"/>
  </w:num>
  <w:num w:numId="36">
    <w:abstractNumId w:val="15"/>
  </w:num>
  <w:num w:numId="37">
    <w:abstractNumId w:val="2"/>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8"/>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CCF"/>
    <w:rsid w:val="00000342"/>
    <w:rsid w:val="00000913"/>
    <w:rsid w:val="0000099A"/>
    <w:rsid w:val="000012D5"/>
    <w:rsid w:val="00001828"/>
    <w:rsid w:val="000018C7"/>
    <w:rsid w:val="00001E7C"/>
    <w:rsid w:val="00001FF4"/>
    <w:rsid w:val="00002984"/>
    <w:rsid w:val="00002DAC"/>
    <w:rsid w:val="00003206"/>
    <w:rsid w:val="00003488"/>
    <w:rsid w:val="00003840"/>
    <w:rsid w:val="0000398F"/>
    <w:rsid w:val="00003DCD"/>
    <w:rsid w:val="00004846"/>
    <w:rsid w:val="00004B7A"/>
    <w:rsid w:val="00004BB8"/>
    <w:rsid w:val="00004BC0"/>
    <w:rsid w:val="00004C13"/>
    <w:rsid w:val="00005B69"/>
    <w:rsid w:val="00005E36"/>
    <w:rsid w:val="00006094"/>
    <w:rsid w:val="00006164"/>
    <w:rsid w:val="00006699"/>
    <w:rsid w:val="00006F30"/>
    <w:rsid w:val="00007713"/>
    <w:rsid w:val="00007C72"/>
    <w:rsid w:val="0001013C"/>
    <w:rsid w:val="00010667"/>
    <w:rsid w:val="00010AB1"/>
    <w:rsid w:val="00010DD4"/>
    <w:rsid w:val="00010DD7"/>
    <w:rsid w:val="000110D2"/>
    <w:rsid w:val="000110E8"/>
    <w:rsid w:val="00011399"/>
    <w:rsid w:val="000114C8"/>
    <w:rsid w:val="000115EA"/>
    <w:rsid w:val="00011938"/>
    <w:rsid w:val="00011A42"/>
    <w:rsid w:val="000126B2"/>
    <w:rsid w:val="00012968"/>
    <w:rsid w:val="000129D5"/>
    <w:rsid w:val="00012AF0"/>
    <w:rsid w:val="00012B78"/>
    <w:rsid w:val="00013D94"/>
    <w:rsid w:val="00013DCD"/>
    <w:rsid w:val="00013E7D"/>
    <w:rsid w:val="00014039"/>
    <w:rsid w:val="00014583"/>
    <w:rsid w:val="0001472D"/>
    <w:rsid w:val="000155E5"/>
    <w:rsid w:val="000155EF"/>
    <w:rsid w:val="00015AE7"/>
    <w:rsid w:val="00015E8A"/>
    <w:rsid w:val="00016033"/>
    <w:rsid w:val="0001661C"/>
    <w:rsid w:val="000169EC"/>
    <w:rsid w:val="00016E21"/>
    <w:rsid w:val="0001719C"/>
    <w:rsid w:val="00017251"/>
    <w:rsid w:val="00017BCA"/>
    <w:rsid w:val="00017C42"/>
    <w:rsid w:val="00017FE0"/>
    <w:rsid w:val="000209F0"/>
    <w:rsid w:val="00020A5D"/>
    <w:rsid w:val="000214F2"/>
    <w:rsid w:val="00021B2C"/>
    <w:rsid w:val="000220B0"/>
    <w:rsid w:val="000221F6"/>
    <w:rsid w:val="0002224E"/>
    <w:rsid w:val="0002247C"/>
    <w:rsid w:val="000225EF"/>
    <w:rsid w:val="00023981"/>
    <w:rsid w:val="00023A36"/>
    <w:rsid w:val="00023E22"/>
    <w:rsid w:val="00023EBC"/>
    <w:rsid w:val="000241CB"/>
    <w:rsid w:val="00024290"/>
    <w:rsid w:val="000242CB"/>
    <w:rsid w:val="00024373"/>
    <w:rsid w:val="000243D8"/>
    <w:rsid w:val="000245E5"/>
    <w:rsid w:val="000247F4"/>
    <w:rsid w:val="00024B26"/>
    <w:rsid w:val="00024BD7"/>
    <w:rsid w:val="0002598D"/>
    <w:rsid w:val="000259E0"/>
    <w:rsid w:val="00025CF1"/>
    <w:rsid w:val="00025DDF"/>
    <w:rsid w:val="00025F73"/>
    <w:rsid w:val="000266F4"/>
    <w:rsid w:val="00026BD7"/>
    <w:rsid w:val="00026D47"/>
    <w:rsid w:val="00026E39"/>
    <w:rsid w:val="00026F91"/>
    <w:rsid w:val="0002721E"/>
    <w:rsid w:val="0002724F"/>
    <w:rsid w:val="000272EB"/>
    <w:rsid w:val="00027300"/>
    <w:rsid w:val="00030170"/>
    <w:rsid w:val="000305B1"/>
    <w:rsid w:val="00030967"/>
    <w:rsid w:val="00030F2F"/>
    <w:rsid w:val="000310B1"/>
    <w:rsid w:val="00031363"/>
    <w:rsid w:val="00031591"/>
    <w:rsid w:val="0003176B"/>
    <w:rsid w:val="00031914"/>
    <w:rsid w:val="00032621"/>
    <w:rsid w:val="00032D23"/>
    <w:rsid w:val="000334BC"/>
    <w:rsid w:val="000336F6"/>
    <w:rsid w:val="00033CF1"/>
    <w:rsid w:val="00033D37"/>
    <w:rsid w:val="00033D66"/>
    <w:rsid w:val="00035228"/>
    <w:rsid w:val="00035945"/>
    <w:rsid w:val="00035B19"/>
    <w:rsid w:val="00035EAF"/>
    <w:rsid w:val="00035F9D"/>
    <w:rsid w:val="00036D3D"/>
    <w:rsid w:val="00036ECA"/>
    <w:rsid w:val="00036EF7"/>
    <w:rsid w:val="00036F4C"/>
    <w:rsid w:val="00036F78"/>
    <w:rsid w:val="0003738D"/>
    <w:rsid w:val="00037673"/>
    <w:rsid w:val="00037A50"/>
    <w:rsid w:val="00037CD9"/>
    <w:rsid w:val="00037DFC"/>
    <w:rsid w:val="00037EF8"/>
    <w:rsid w:val="00040118"/>
    <w:rsid w:val="000402CA"/>
    <w:rsid w:val="000416AE"/>
    <w:rsid w:val="00041C56"/>
    <w:rsid w:val="00041F3E"/>
    <w:rsid w:val="000423A8"/>
    <w:rsid w:val="00042CE8"/>
    <w:rsid w:val="000430CA"/>
    <w:rsid w:val="000430FC"/>
    <w:rsid w:val="0004347E"/>
    <w:rsid w:val="00043830"/>
    <w:rsid w:val="000438ED"/>
    <w:rsid w:val="00043C11"/>
    <w:rsid w:val="00043DC4"/>
    <w:rsid w:val="00044A64"/>
    <w:rsid w:val="0004500B"/>
    <w:rsid w:val="0004521E"/>
    <w:rsid w:val="0004591A"/>
    <w:rsid w:val="0004652A"/>
    <w:rsid w:val="00046B23"/>
    <w:rsid w:val="00047139"/>
    <w:rsid w:val="0004764C"/>
    <w:rsid w:val="00047FC8"/>
    <w:rsid w:val="0005011A"/>
    <w:rsid w:val="000502C9"/>
    <w:rsid w:val="0005045A"/>
    <w:rsid w:val="0005063C"/>
    <w:rsid w:val="000509A6"/>
    <w:rsid w:val="00050A2B"/>
    <w:rsid w:val="00050A8B"/>
    <w:rsid w:val="00051230"/>
    <w:rsid w:val="000514FA"/>
    <w:rsid w:val="00051546"/>
    <w:rsid w:val="000515FD"/>
    <w:rsid w:val="00051C1E"/>
    <w:rsid w:val="000523CF"/>
    <w:rsid w:val="00052479"/>
    <w:rsid w:val="000529ED"/>
    <w:rsid w:val="00052C1C"/>
    <w:rsid w:val="00052E49"/>
    <w:rsid w:val="000532C5"/>
    <w:rsid w:val="000539F9"/>
    <w:rsid w:val="00053AC4"/>
    <w:rsid w:val="00053AE8"/>
    <w:rsid w:val="00053B6D"/>
    <w:rsid w:val="00054263"/>
    <w:rsid w:val="0005434D"/>
    <w:rsid w:val="00054473"/>
    <w:rsid w:val="00054650"/>
    <w:rsid w:val="0005466F"/>
    <w:rsid w:val="00054C27"/>
    <w:rsid w:val="00054C9C"/>
    <w:rsid w:val="00054CB0"/>
    <w:rsid w:val="00054F7C"/>
    <w:rsid w:val="00055509"/>
    <w:rsid w:val="00055EC3"/>
    <w:rsid w:val="000563CE"/>
    <w:rsid w:val="00056B07"/>
    <w:rsid w:val="00056CBF"/>
    <w:rsid w:val="00056F2B"/>
    <w:rsid w:val="000570B5"/>
    <w:rsid w:val="000573C7"/>
    <w:rsid w:val="0006027A"/>
    <w:rsid w:val="000607A8"/>
    <w:rsid w:val="00060A61"/>
    <w:rsid w:val="0006160C"/>
    <w:rsid w:val="00061B9A"/>
    <w:rsid w:val="0006218F"/>
    <w:rsid w:val="000627B8"/>
    <w:rsid w:val="0006283A"/>
    <w:rsid w:val="00062874"/>
    <w:rsid w:val="00062B17"/>
    <w:rsid w:val="0006382C"/>
    <w:rsid w:val="000639F9"/>
    <w:rsid w:val="0006471E"/>
    <w:rsid w:val="000648F4"/>
    <w:rsid w:val="00064D43"/>
    <w:rsid w:val="00065587"/>
    <w:rsid w:val="0006579A"/>
    <w:rsid w:val="000659B6"/>
    <w:rsid w:val="000665BC"/>
    <w:rsid w:val="0006686F"/>
    <w:rsid w:val="00066895"/>
    <w:rsid w:val="00066A92"/>
    <w:rsid w:val="0006722A"/>
    <w:rsid w:val="000675D9"/>
    <w:rsid w:val="00067624"/>
    <w:rsid w:val="00067835"/>
    <w:rsid w:val="00067A32"/>
    <w:rsid w:val="00067ED8"/>
    <w:rsid w:val="000704A6"/>
    <w:rsid w:val="000706AB"/>
    <w:rsid w:val="00070CEE"/>
    <w:rsid w:val="00071567"/>
    <w:rsid w:val="00071DB2"/>
    <w:rsid w:val="00072277"/>
    <w:rsid w:val="000727D9"/>
    <w:rsid w:val="00072FED"/>
    <w:rsid w:val="00073020"/>
    <w:rsid w:val="000730D0"/>
    <w:rsid w:val="000732CF"/>
    <w:rsid w:val="00073394"/>
    <w:rsid w:val="00073D6F"/>
    <w:rsid w:val="00073D7C"/>
    <w:rsid w:val="00073E51"/>
    <w:rsid w:val="000745DA"/>
    <w:rsid w:val="00074F50"/>
    <w:rsid w:val="000752BD"/>
    <w:rsid w:val="00075834"/>
    <w:rsid w:val="00075B96"/>
    <w:rsid w:val="00075F78"/>
    <w:rsid w:val="000761B6"/>
    <w:rsid w:val="0007620A"/>
    <w:rsid w:val="0007664C"/>
    <w:rsid w:val="00076988"/>
    <w:rsid w:val="00077894"/>
    <w:rsid w:val="00077965"/>
    <w:rsid w:val="00077D48"/>
    <w:rsid w:val="00077F44"/>
    <w:rsid w:val="000801EA"/>
    <w:rsid w:val="000802C7"/>
    <w:rsid w:val="000805D0"/>
    <w:rsid w:val="00080AF3"/>
    <w:rsid w:val="00080C1F"/>
    <w:rsid w:val="000816B8"/>
    <w:rsid w:val="000817A9"/>
    <w:rsid w:val="0008196A"/>
    <w:rsid w:val="00081E07"/>
    <w:rsid w:val="000822BB"/>
    <w:rsid w:val="0008264C"/>
    <w:rsid w:val="00082845"/>
    <w:rsid w:val="00082AE8"/>
    <w:rsid w:val="000838A8"/>
    <w:rsid w:val="00083C22"/>
    <w:rsid w:val="00083D68"/>
    <w:rsid w:val="00083F7C"/>
    <w:rsid w:val="0008446F"/>
    <w:rsid w:val="000846AF"/>
    <w:rsid w:val="000846DB"/>
    <w:rsid w:val="000847D6"/>
    <w:rsid w:val="000848BA"/>
    <w:rsid w:val="000848FB"/>
    <w:rsid w:val="00085170"/>
    <w:rsid w:val="00085305"/>
    <w:rsid w:val="0008537C"/>
    <w:rsid w:val="0008560F"/>
    <w:rsid w:val="00085945"/>
    <w:rsid w:val="00086241"/>
    <w:rsid w:val="00086425"/>
    <w:rsid w:val="00086489"/>
    <w:rsid w:val="0008674F"/>
    <w:rsid w:val="00086D1E"/>
    <w:rsid w:val="00086D46"/>
    <w:rsid w:val="000871B8"/>
    <w:rsid w:val="0008735F"/>
    <w:rsid w:val="0008758D"/>
    <w:rsid w:val="000876F3"/>
    <w:rsid w:val="00087862"/>
    <w:rsid w:val="00090DDC"/>
    <w:rsid w:val="0009126C"/>
    <w:rsid w:val="000915A7"/>
    <w:rsid w:val="000915ED"/>
    <w:rsid w:val="00091AA1"/>
    <w:rsid w:val="00091B38"/>
    <w:rsid w:val="0009209D"/>
    <w:rsid w:val="00092143"/>
    <w:rsid w:val="00092999"/>
    <w:rsid w:val="00092CCF"/>
    <w:rsid w:val="00092E79"/>
    <w:rsid w:val="000930F0"/>
    <w:rsid w:val="000936B9"/>
    <w:rsid w:val="0009386E"/>
    <w:rsid w:val="00093947"/>
    <w:rsid w:val="0009402B"/>
    <w:rsid w:val="00094380"/>
    <w:rsid w:val="0009463C"/>
    <w:rsid w:val="0009467C"/>
    <w:rsid w:val="000947F6"/>
    <w:rsid w:val="00094B6C"/>
    <w:rsid w:val="00095A52"/>
    <w:rsid w:val="00095A68"/>
    <w:rsid w:val="00095C4B"/>
    <w:rsid w:val="00095D88"/>
    <w:rsid w:val="00095D97"/>
    <w:rsid w:val="00095FF6"/>
    <w:rsid w:val="000962E7"/>
    <w:rsid w:val="0009643A"/>
    <w:rsid w:val="000969BD"/>
    <w:rsid w:val="000969BF"/>
    <w:rsid w:val="00096D98"/>
    <w:rsid w:val="000970D3"/>
    <w:rsid w:val="0009741E"/>
    <w:rsid w:val="0009798D"/>
    <w:rsid w:val="00097C9A"/>
    <w:rsid w:val="00097E0A"/>
    <w:rsid w:val="00097EB2"/>
    <w:rsid w:val="000A0561"/>
    <w:rsid w:val="000A0C22"/>
    <w:rsid w:val="000A10C9"/>
    <w:rsid w:val="000A135A"/>
    <w:rsid w:val="000A1400"/>
    <w:rsid w:val="000A141A"/>
    <w:rsid w:val="000A1581"/>
    <w:rsid w:val="000A18F8"/>
    <w:rsid w:val="000A1F1A"/>
    <w:rsid w:val="000A2203"/>
    <w:rsid w:val="000A2869"/>
    <w:rsid w:val="000A2A2A"/>
    <w:rsid w:val="000A2B9F"/>
    <w:rsid w:val="000A36E0"/>
    <w:rsid w:val="000A3774"/>
    <w:rsid w:val="000A3C43"/>
    <w:rsid w:val="000A3F64"/>
    <w:rsid w:val="000A45F4"/>
    <w:rsid w:val="000A47D7"/>
    <w:rsid w:val="000A489C"/>
    <w:rsid w:val="000A4A51"/>
    <w:rsid w:val="000A4D57"/>
    <w:rsid w:val="000A544B"/>
    <w:rsid w:val="000A56D4"/>
    <w:rsid w:val="000A58F5"/>
    <w:rsid w:val="000A5ACF"/>
    <w:rsid w:val="000A5C03"/>
    <w:rsid w:val="000A5D2B"/>
    <w:rsid w:val="000A600C"/>
    <w:rsid w:val="000A6074"/>
    <w:rsid w:val="000A60B5"/>
    <w:rsid w:val="000A66F3"/>
    <w:rsid w:val="000A68D4"/>
    <w:rsid w:val="000A70CE"/>
    <w:rsid w:val="000A7291"/>
    <w:rsid w:val="000A7403"/>
    <w:rsid w:val="000A74B1"/>
    <w:rsid w:val="000B0488"/>
    <w:rsid w:val="000B0782"/>
    <w:rsid w:val="000B0C03"/>
    <w:rsid w:val="000B112F"/>
    <w:rsid w:val="000B176E"/>
    <w:rsid w:val="000B1799"/>
    <w:rsid w:val="000B1B4C"/>
    <w:rsid w:val="000B1DD8"/>
    <w:rsid w:val="000B2355"/>
    <w:rsid w:val="000B360C"/>
    <w:rsid w:val="000B3979"/>
    <w:rsid w:val="000B3FB9"/>
    <w:rsid w:val="000B3FF3"/>
    <w:rsid w:val="000B41B8"/>
    <w:rsid w:val="000B437B"/>
    <w:rsid w:val="000B4664"/>
    <w:rsid w:val="000B474D"/>
    <w:rsid w:val="000B49C8"/>
    <w:rsid w:val="000B4EDA"/>
    <w:rsid w:val="000B5A06"/>
    <w:rsid w:val="000B5D88"/>
    <w:rsid w:val="000B5DE3"/>
    <w:rsid w:val="000B62C4"/>
    <w:rsid w:val="000B6732"/>
    <w:rsid w:val="000B6839"/>
    <w:rsid w:val="000B6865"/>
    <w:rsid w:val="000B7110"/>
    <w:rsid w:val="000B75B5"/>
    <w:rsid w:val="000B76A6"/>
    <w:rsid w:val="000B7D18"/>
    <w:rsid w:val="000C017A"/>
    <w:rsid w:val="000C03CF"/>
    <w:rsid w:val="000C0A57"/>
    <w:rsid w:val="000C0AD2"/>
    <w:rsid w:val="000C0D99"/>
    <w:rsid w:val="000C0F1F"/>
    <w:rsid w:val="000C111F"/>
    <w:rsid w:val="000C12A1"/>
    <w:rsid w:val="000C1548"/>
    <w:rsid w:val="000C191C"/>
    <w:rsid w:val="000C2205"/>
    <w:rsid w:val="000C230C"/>
    <w:rsid w:val="000C23F0"/>
    <w:rsid w:val="000C2522"/>
    <w:rsid w:val="000C260F"/>
    <w:rsid w:val="000C2BE5"/>
    <w:rsid w:val="000C3075"/>
    <w:rsid w:val="000C4065"/>
    <w:rsid w:val="000C4E10"/>
    <w:rsid w:val="000C4FF3"/>
    <w:rsid w:val="000C51DB"/>
    <w:rsid w:val="000C54EF"/>
    <w:rsid w:val="000C5709"/>
    <w:rsid w:val="000C5E18"/>
    <w:rsid w:val="000C5F58"/>
    <w:rsid w:val="000C63D9"/>
    <w:rsid w:val="000C647C"/>
    <w:rsid w:val="000C6AB4"/>
    <w:rsid w:val="000C6BB8"/>
    <w:rsid w:val="000C6FFE"/>
    <w:rsid w:val="000C7C43"/>
    <w:rsid w:val="000D0538"/>
    <w:rsid w:val="000D0630"/>
    <w:rsid w:val="000D088F"/>
    <w:rsid w:val="000D0D7F"/>
    <w:rsid w:val="000D0F1B"/>
    <w:rsid w:val="000D106A"/>
    <w:rsid w:val="000D11D0"/>
    <w:rsid w:val="000D124A"/>
    <w:rsid w:val="000D12B9"/>
    <w:rsid w:val="000D1BA7"/>
    <w:rsid w:val="000D1DE2"/>
    <w:rsid w:val="000D2813"/>
    <w:rsid w:val="000D294D"/>
    <w:rsid w:val="000D2A26"/>
    <w:rsid w:val="000D2DE9"/>
    <w:rsid w:val="000D2E0C"/>
    <w:rsid w:val="000D309C"/>
    <w:rsid w:val="000D3815"/>
    <w:rsid w:val="000D3C32"/>
    <w:rsid w:val="000D41E9"/>
    <w:rsid w:val="000D46BC"/>
    <w:rsid w:val="000D4ADD"/>
    <w:rsid w:val="000D5539"/>
    <w:rsid w:val="000D57A9"/>
    <w:rsid w:val="000D59A2"/>
    <w:rsid w:val="000D5AEB"/>
    <w:rsid w:val="000D5EB4"/>
    <w:rsid w:val="000D6011"/>
    <w:rsid w:val="000D629E"/>
    <w:rsid w:val="000D645F"/>
    <w:rsid w:val="000D6871"/>
    <w:rsid w:val="000D6E42"/>
    <w:rsid w:val="000D7014"/>
    <w:rsid w:val="000D71D9"/>
    <w:rsid w:val="000D748C"/>
    <w:rsid w:val="000D76E0"/>
    <w:rsid w:val="000D781C"/>
    <w:rsid w:val="000D7BD5"/>
    <w:rsid w:val="000D7E8B"/>
    <w:rsid w:val="000D7EA2"/>
    <w:rsid w:val="000E0086"/>
    <w:rsid w:val="000E00A1"/>
    <w:rsid w:val="000E015D"/>
    <w:rsid w:val="000E07EF"/>
    <w:rsid w:val="000E0945"/>
    <w:rsid w:val="000E0A12"/>
    <w:rsid w:val="000E0BFE"/>
    <w:rsid w:val="000E12BA"/>
    <w:rsid w:val="000E2057"/>
    <w:rsid w:val="000E2B65"/>
    <w:rsid w:val="000E30A0"/>
    <w:rsid w:val="000E30FB"/>
    <w:rsid w:val="000E3AD0"/>
    <w:rsid w:val="000E3AFB"/>
    <w:rsid w:val="000E3BE3"/>
    <w:rsid w:val="000E3F27"/>
    <w:rsid w:val="000E4449"/>
    <w:rsid w:val="000E44D3"/>
    <w:rsid w:val="000E569A"/>
    <w:rsid w:val="000E5E3E"/>
    <w:rsid w:val="000E5EBF"/>
    <w:rsid w:val="000E6097"/>
    <w:rsid w:val="000E60D5"/>
    <w:rsid w:val="000E687D"/>
    <w:rsid w:val="000E7900"/>
    <w:rsid w:val="000F03A9"/>
    <w:rsid w:val="000F07A6"/>
    <w:rsid w:val="000F1477"/>
    <w:rsid w:val="000F1A24"/>
    <w:rsid w:val="000F1BB7"/>
    <w:rsid w:val="000F1D3B"/>
    <w:rsid w:val="000F1E6E"/>
    <w:rsid w:val="000F221A"/>
    <w:rsid w:val="000F23EC"/>
    <w:rsid w:val="000F2560"/>
    <w:rsid w:val="000F3066"/>
    <w:rsid w:val="000F388A"/>
    <w:rsid w:val="000F42CA"/>
    <w:rsid w:val="000F42D4"/>
    <w:rsid w:val="000F50A6"/>
    <w:rsid w:val="000F5213"/>
    <w:rsid w:val="000F5C7D"/>
    <w:rsid w:val="000F61D9"/>
    <w:rsid w:val="000F628E"/>
    <w:rsid w:val="000F6436"/>
    <w:rsid w:val="000F6828"/>
    <w:rsid w:val="000F6B60"/>
    <w:rsid w:val="000F6DFB"/>
    <w:rsid w:val="000F73D8"/>
    <w:rsid w:val="000F782F"/>
    <w:rsid w:val="000F79B6"/>
    <w:rsid w:val="000F7D9B"/>
    <w:rsid w:val="001000FC"/>
    <w:rsid w:val="00100229"/>
    <w:rsid w:val="001006EB"/>
    <w:rsid w:val="001007F2"/>
    <w:rsid w:val="001017E1"/>
    <w:rsid w:val="00101F95"/>
    <w:rsid w:val="0010219E"/>
    <w:rsid w:val="00102900"/>
    <w:rsid w:val="00102B49"/>
    <w:rsid w:val="0010318B"/>
    <w:rsid w:val="00103357"/>
    <w:rsid w:val="00103599"/>
    <w:rsid w:val="001036E2"/>
    <w:rsid w:val="00103829"/>
    <w:rsid w:val="00103BE1"/>
    <w:rsid w:val="00103FB9"/>
    <w:rsid w:val="001042D4"/>
    <w:rsid w:val="00104348"/>
    <w:rsid w:val="00104767"/>
    <w:rsid w:val="00104903"/>
    <w:rsid w:val="00104983"/>
    <w:rsid w:val="00104AF5"/>
    <w:rsid w:val="00104B6F"/>
    <w:rsid w:val="0010526B"/>
    <w:rsid w:val="0010573D"/>
    <w:rsid w:val="00105CE8"/>
    <w:rsid w:val="0010670C"/>
    <w:rsid w:val="00106753"/>
    <w:rsid w:val="00106A4A"/>
    <w:rsid w:val="00106B77"/>
    <w:rsid w:val="00106C5A"/>
    <w:rsid w:val="001071F5"/>
    <w:rsid w:val="001074F0"/>
    <w:rsid w:val="001079FD"/>
    <w:rsid w:val="00107BCA"/>
    <w:rsid w:val="00107DF2"/>
    <w:rsid w:val="00107F66"/>
    <w:rsid w:val="00110150"/>
    <w:rsid w:val="0011049F"/>
    <w:rsid w:val="00110708"/>
    <w:rsid w:val="0011084F"/>
    <w:rsid w:val="00110DBE"/>
    <w:rsid w:val="00110E85"/>
    <w:rsid w:val="00110FC3"/>
    <w:rsid w:val="001112DC"/>
    <w:rsid w:val="001113A7"/>
    <w:rsid w:val="00111478"/>
    <w:rsid w:val="001114A2"/>
    <w:rsid w:val="00111FCE"/>
    <w:rsid w:val="00112060"/>
    <w:rsid w:val="001126EB"/>
    <w:rsid w:val="00112D35"/>
    <w:rsid w:val="00112F2A"/>
    <w:rsid w:val="00113142"/>
    <w:rsid w:val="00113277"/>
    <w:rsid w:val="00113649"/>
    <w:rsid w:val="00113FA7"/>
    <w:rsid w:val="00113FD1"/>
    <w:rsid w:val="00114A64"/>
    <w:rsid w:val="00115976"/>
    <w:rsid w:val="00115D5E"/>
    <w:rsid w:val="00115D77"/>
    <w:rsid w:val="00115F60"/>
    <w:rsid w:val="00116137"/>
    <w:rsid w:val="00116179"/>
    <w:rsid w:val="00116D05"/>
    <w:rsid w:val="00116DF8"/>
    <w:rsid w:val="00116F7B"/>
    <w:rsid w:val="001175A1"/>
    <w:rsid w:val="001177ED"/>
    <w:rsid w:val="00117C65"/>
    <w:rsid w:val="00120184"/>
    <w:rsid w:val="00120563"/>
    <w:rsid w:val="00120663"/>
    <w:rsid w:val="0012090E"/>
    <w:rsid w:val="0012095B"/>
    <w:rsid w:val="00120B45"/>
    <w:rsid w:val="00120DC5"/>
    <w:rsid w:val="0012140D"/>
    <w:rsid w:val="001218F6"/>
    <w:rsid w:val="00121B18"/>
    <w:rsid w:val="00121B97"/>
    <w:rsid w:val="00121C17"/>
    <w:rsid w:val="00121C50"/>
    <w:rsid w:val="00121CAF"/>
    <w:rsid w:val="001220A1"/>
    <w:rsid w:val="001223B1"/>
    <w:rsid w:val="001223E9"/>
    <w:rsid w:val="0012283A"/>
    <w:rsid w:val="00122850"/>
    <w:rsid w:val="00122985"/>
    <w:rsid w:val="001229A5"/>
    <w:rsid w:val="00122DA9"/>
    <w:rsid w:val="0012333D"/>
    <w:rsid w:val="0012361B"/>
    <w:rsid w:val="0012489B"/>
    <w:rsid w:val="00124FA6"/>
    <w:rsid w:val="0012508C"/>
    <w:rsid w:val="001253AC"/>
    <w:rsid w:val="001253B4"/>
    <w:rsid w:val="00125614"/>
    <w:rsid w:val="00125B4A"/>
    <w:rsid w:val="001261FD"/>
    <w:rsid w:val="0012653C"/>
    <w:rsid w:val="00126D1E"/>
    <w:rsid w:val="00126D32"/>
    <w:rsid w:val="00126EAB"/>
    <w:rsid w:val="00127377"/>
    <w:rsid w:val="00127D18"/>
    <w:rsid w:val="00130017"/>
    <w:rsid w:val="00130401"/>
    <w:rsid w:val="00130B39"/>
    <w:rsid w:val="00130E8F"/>
    <w:rsid w:val="00130F91"/>
    <w:rsid w:val="00131463"/>
    <w:rsid w:val="00131509"/>
    <w:rsid w:val="00131DEE"/>
    <w:rsid w:val="00131E7B"/>
    <w:rsid w:val="00132529"/>
    <w:rsid w:val="001326BD"/>
    <w:rsid w:val="00132749"/>
    <w:rsid w:val="001327C6"/>
    <w:rsid w:val="00133A96"/>
    <w:rsid w:val="00133E50"/>
    <w:rsid w:val="00134626"/>
    <w:rsid w:val="00134676"/>
    <w:rsid w:val="00134787"/>
    <w:rsid w:val="001349ED"/>
    <w:rsid w:val="00134CE8"/>
    <w:rsid w:val="00135156"/>
    <w:rsid w:val="0013518C"/>
    <w:rsid w:val="001356C6"/>
    <w:rsid w:val="001359AA"/>
    <w:rsid w:val="00135BD9"/>
    <w:rsid w:val="0013650A"/>
    <w:rsid w:val="001366ED"/>
    <w:rsid w:val="00136AB3"/>
    <w:rsid w:val="00136BA1"/>
    <w:rsid w:val="0013718D"/>
    <w:rsid w:val="00137424"/>
    <w:rsid w:val="00137521"/>
    <w:rsid w:val="00137715"/>
    <w:rsid w:val="00137987"/>
    <w:rsid w:val="00137C4B"/>
    <w:rsid w:val="00137DE1"/>
    <w:rsid w:val="00137F88"/>
    <w:rsid w:val="00140318"/>
    <w:rsid w:val="00140F5E"/>
    <w:rsid w:val="00140FFB"/>
    <w:rsid w:val="00141961"/>
    <w:rsid w:val="00141AD9"/>
    <w:rsid w:val="00141B84"/>
    <w:rsid w:val="00141E6C"/>
    <w:rsid w:val="00141EAD"/>
    <w:rsid w:val="00141F83"/>
    <w:rsid w:val="0014217E"/>
    <w:rsid w:val="001424EB"/>
    <w:rsid w:val="00142860"/>
    <w:rsid w:val="001428A9"/>
    <w:rsid w:val="00142D11"/>
    <w:rsid w:val="00143479"/>
    <w:rsid w:val="001435B4"/>
    <w:rsid w:val="00143D33"/>
    <w:rsid w:val="00143D5D"/>
    <w:rsid w:val="001441FD"/>
    <w:rsid w:val="001442FB"/>
    <w:rsid w:val="0014458C"/>
    <w:rsid w:val="00144616"/>
    <w:rsid w:val="00144CF8"/>
    <w:rsid w:val="00144F09"/>
    <w:rsid w:val="00145941"/>
    <w:rsid w:val="00145E95"/>
    <w:rsid w:val="00145E98"/>
    <w:rsid w:val="0014610F"/>
    <w:rsid w:val="001464A3"/>
    <w:rsid w:val="00146CE6"/>
    <w:rsid w:val="00146DE3"/>
    <w:rsid w:val="001470A9"/>
    <w:rsid w:val="0014753C"/>
    <w:rsid w:val="001475E8"/>
    <w:rsid w:val="00147EA3"/>
    <w:rsid w:val="00150C75"/>
    <w:rsid w:val="00151B9B"/>
    <w:rsid w:val="001520A9"/>
    <w:rsid w:val="001522D4"/>
    <w:rsid w:val="00152903"/>
    <w:rsid w:val="0015297F"/>
    <w:rsid w:val="00152D2C"/>
    <w:rsid w:val="00152DC8"/>
    <w:rsid w:val="00152E77"/>
    <w:rsid w:val="00152FC0"/>
    <w:rsid w:val="0015322F"/>
    <w:rsid w:val="00153760"/>
    <w:rsid w:val="00153FD5"/>
    <w:rsid w:val="0015414D"/>
    <w:rsid w:val="0015499E"/>
    <w:rsid w:val="00155046"/>
    <w:rsid w:val="00155428"/>
    <w:rsid w:val="00155979"/>
    <w:rsid w:val="00155FB3"/>
    <w:rsid w:val="00156054"/>
    <w:rsid w:val="0015614F"/>
    <w:rsid w:val="001561F6"/>
    <w:rsid w:val="001568DD"/>
    <w:rsid w:val="001568E3"/>
    <w:rsid w:val="00156B14"/>
    <w:rsid w:val="0015767A"/>
    <w:rsid w:val="001577C2"/>
    <w:rsid w:val="00160196"/>
    <w:rsid w:val="001603DC"/>
    <w:rsid w:val="001604BE"/>
    <w:rsid w:val="001605D6"/>
    <w:rsid w:val="00160AC1"/>
    <w:rsid w:val="00160EFA"/>
    <w:rsid w:val="00162A34"/>
    <w:rsid w:val="00163213"/>
    <w:rsid w:val="001633C4"/>
    <w:rsid w:val="0016349B"/>
    <w:rsid w:val="00163B7C"/>
    <w:rsid w:val="00164016"/>
    <w:rsid w:val="001642F9"/>
    <w:rsid w:val="001645E0"/>
    <w:rsid w:val="0016477F"/>
    <w:rsid w:val="001649F7"/>
    <w:rsid w:val="00164A8F"/>
    <w:rsid w:val="00164C78"/>
    <w:rsid w:val="00164DF3"/>
    <w:rsid w:val="00165417"/>
    <w:rsid w:val="00165645"/>
    <w:rsid w:val="00165CC2"/>
    <w:rsid w:val="00165EB0"/>
    <w:rsid w:val="001664E6"/>
    <w:rsid w:val="00166707"/>
    <w:rsid w:val="00166B05"/>
    <w:rsid w:val="00166E1B"/>
    <w:rsid w:val="00167187"/>
    <w:rsid w:val="00167567"/>
    <w:rsid w:val="001675CB"/>
    <w:rsid w:val="00167A4C"/>
    <w:rsid w:val="00170162"/>
    <w:rsid w:val="001704D5"/>
    <w:rsid w:val="00170910"/>
    <w:rsid w:val="00170C4C"/>
    <w:rsid w:val="00171496"/>
    <w:rsid w:val="00171591"/>
    <w:rsid w:val="00171A92"/>
    <w:rsid w:val="00171ECE"/>
    <w:rsid w:val="00172951"/>
    <w:rsid w:val="00172999"/>
    <w:rsid w:val="00172A95"/>
    <w:rsid w:val="00172F88"/>
    <w:rsid w:val="00172FB5"/>
    <w:rsid w:val="001732E6"/>
    <w:rsid w:val="00173981"/>
    <w:rsid w:val="00174138"/>
    <w:rsid w:val="001741E1"/>
    <w:rsid w:val="001743A5"/>
    <w:rsid w:val="00174579"/>
    <w:rsid w:val="001747BB"/>
    <w:rsid w:val="00174E0B"/>
    <w:rsid w:val="001757F2"/>
    <w:rsid w:val="001759C3"/>
    <w:rsid w:val="00175B56"/>
    <w:rsid w:val="00175D9B"/>
    <w:rsid w:val="00175FC7"/>
    <w:rsid w:val="001765BE"/>
    <w:rsid w:val="0017671C"/>
    <w:rsid w:val="00176BAE"/>
    <w:rsid w:val="0017719D"/>
    <w:rsid w:val="001774F1"/>
    <w:rsid w:val="001775A5"/>
    <w:rsid w:val="00177A44"/>
    <w:rsid w:val="00177C56"/>
    <w:rsid w:val="00180166"/>
    <w:rsid w:val="00180322"/>
    <w:rsid w:val="0018131C"/>
    <w:rsid w:val="0018156B"/>
    <w:rsid w:val="00181933"/>
    <w:rsid w:val="00181E49"/>
    <w:rsid w:val="0018273A"/>
    <w:rsid w:val="00182907"/>
    <w:rsid w:val="00182A06"/>
    <w:rsid w:val="00182BA4"/>
    <w:rsid w:val="00182C53"/>
    <w:rsid w:val="001835CE"/>
    <w:rsid w:val="001835E9"/>
    <w:rsid w:val="001835EE"/>
    <w:rsid w:val="00183FD7"/>
    <w:rsid w:val="0018446B"/>
    <w:rsid w:val="001847EC"/>
    <w:rsid w:val="00184A89"/>
    <w:rsid w:val="00185234"/>
    <w:rsid w:val="00185586"/>
    <w:rsid w:val="00185784"/>
    <w:rsid w:val="001857C1"/>
    <w:rsid w:val="00185A0F"/>
    <w:rsid w:val="00185BB5"/>
    <w:rsid w:val="00185CAB"/>
    <w:rsid w:val="00185E92"/>
    <w:rsid w:val="00186734"/>
    <w:rsid w:val="001874B2"/>
    <w:rsid w:val="001875B7"/>
    <w:rsid w:val="001878EA"/>
    <w:rsid w:val="00187CB3"/>
    <w:rsid w:val="00187E0E"/>
    <w:rsid w:val="00187F7C"/>
    <w:rsid w:val="00190313"/>
    <w:rsid w:val="0019050A"/>
    <w:rsid w:val="00190517"/>
    <w:rsid w:val="00190909"/>
    <w:rsid w:val="001910D4"/>
    <w:rsid w:val="0019179A"/>
    <w:rsid w:val="001926D5"/>
    <w:rsid w:val="0019272E"/>
    <w:rsid w:val="001927D7"/>
    <w:rsid w:val="001929A3"/>
    <w:rsid w:val="00192F5D"/>
    <w:rsid w:val="001930C0"/>
    <w:rsid w:val="00193611"/>
    <w:rsid w:val="00193674"/>
    <w:rsid w:val="00193B06"/>
    <w:rsid w:val="00193CA1"/>
    <w:rsid w:val="00193EF7"/>
    <w:rsid w:val="00193FCB"/>
    <w:rsid w:val="001942B0"/>
    <w:rsid w:val="00194861"/>
    <w:rsid w:val="001948EE"/>
    <w:rsid w:val="00195083"/>
    <w:rsid w:val="00195805"/>
    <w:rsid w:val="00195D24"/>
    <w:rsid w:val="00195E61"/>
    <w:rsid w:val="001960DA"/>
    <w:rsid w:val="00196237"/>
    <w:rsid w:val="0019695B"/>
    <w:rsid w:val="001969E0"/>
    <w:rsid w:val="00196F7A"/>
    <w:rsid w:val="00197002"/>
    <w:rsid w:val="00197164"/>
    <w:rsid w:val="001973F9"/>
    <w:rsid w:val="001976E3"/>
    <w:rsid w:val="0019771E"/>
    <w:rsid w:val="00197D1E"/>
    <w:rsid w:val="001A014F"/>
    <w:rsid w:val="001A0262"/>
    <w:rsid w:val="001A117A"/>
    <w:rsid w:val="001A1324"/>
    <w:rsid w:val="001A2075"/>
    <w:rsid w:val="001A2A42"/>
    <w:rsid w:val="001A2E97"/>
    <w:rsid w:val="001A3718"/>
    <w:rsid w:val="001A3722"/>
    <w:rsid w:val="001A3A61"/>
    <w:rsid w:val="001A42F9"/>
    <w:rsid w:val="001A44EC"/>
    <w:rsid w:val="001A44F6"/>
    <w:rsid w:val="001A4964"/>
    <w:rsid w:val="001A4CFA"/>
    <w:rsid w:val="001A4FA4"/>
    <w:rsid w:val="001A569F"/>
    <w:rsid w:val="001A57C8"/>
    <w:rsid w:val="001A5A7F"/>
    <w:rsid w:val="001A5A98"/>
    <w:rsid w:val="001A5CAD"/>
    <w:rsid w:val="001A61D0"/>
    <w:rsid w:val="001A63B3"/>
    <w:rsid w:val="001A6402"/>
    <w:rsid w:val="001A68A7"/>
    <w:rsid w:val="001A6C1F"/>
    <w:rsid w:val="001A6CB9"/>
    <w:rsid w:val="001A6DF7"/>
    <w:rsid w:val="001A7171"/>
    <w:rsid w:val="001A770E"/>
    <w:rsid w:val="001A771C"/>
    <w:rsid w:val="001A77B9"/>
    <w:rsid w:val="001A7C9F"/>
    <w:rsid w:val="001B000E"/>
    <w:rsid w:val="001B043E"/>
    <w:rsid w:val="001B0B0B"/>
    <w:rsid w:val="001B0D59"/>
    <w:rsid w:val="001B0D81"/>
    <w:rsid w:val="001B154F"/>
    <w:rsid w:val="001B1987"/>
    <w:rsid w:val="001B2048"/>
    <w:rsid w:val="001B237D"/>
    <w:rsid w:val="001B28AC"/>
    <w:rsid w:val="001B34A0"/>
    <w:rsid w:val="001B3531"/>
    <w:rsid w:val="001B37D0"/>
    <w:rsid w:val="001B3ABC"/>
    <w:rsid w:val="001B3FE8"/>
    <w:rsid w:val="001B412C"/>
    <w:rsid w:val="001B41A2"/>
    <w:rsid w:val="001B4740"/>
    <w:rsid w:val="001B484B"/>
    <w:rsid w:val="001B4AFF"/>
    <w:rsid w:val="001B4DE3"/>
    <w:rsid w:val="001B58AA"/>
    <w:rsid w:val="001B5A6E"/>
    <w:rsid w:val="001B5EF0"/>
    <w:rsid w:val="001B6176"/>
    <w:rsid w:val="001B6192"/>
    <w:rsid w:val="001B6712"/>
    <w:rsid w:val="001B6A58"/>
    <w:rsid w:val="001B6DCA"/>
    <w:rsid w:val="001B6E5F"/>
    <w:rsid w:val="001B6F5A"/>
    <w:rsid w:val="001B7393"/>
    <w:rsid w:val="001B7BA1"/>
    <w:rsid w:val="001B7E48"/>
    <w:rsid w:val="001B7F64"/>
    <w:rsid w:val="001C06BD"/>
    <w:rsid w:val="001C0976"/>
    <w:rsid w:val="001C09EA"/>
    <w:rsid w:val="001C0ADE"/>
    <w:rsid w:val="001C0DD6"/>
    <w:rsid w:val="001C10B1"/>
    <w:rsid w:val="001C11D7"/>
    <w:rsid w:val="001C1518"/>
    <w:rsid w:val="001C17CE"/>
    <w:rsid w:val="001C1AB3"/>
    <w:rsid w:val="001C1FC2"/>
    <w:rsid w:val="001C20F6"/>
    <w:rsid w:val="001C23D4"/>
    <w:rsid w:val="001C23FB"/>
    <w:rsid w:val="001C2F6F"/>
    <w:rsid w:val="001C2F9A"/>
    <w:rsid w:val="001C341A"/>
    <w:rsid w:val="001C350C"/>
    <w:rsid w:val="001C36CA"/>
    <w:rsid w:val="001C3741"/>
    <w:rsid w:val="001C44D1"/>
    <w:rsid w:val="001C46A6"/>
    <w:rsid w:val="001C490F"/>
    <w:rsid w:val="001C4F79"/>
    <w:rsid w:val="001C52D5"/>
    <w:rsid w:val="001C586B"/>
    <w:rsid w:val="001C5A39"/>
    <w:rsid w:val="001C5A74"/>
    <w:rsid w:val="001C5FF0"/>
    <w:rsid w:val="001C6030"/>
    <w:rsid w:val="001C618F"/>
    <w:rsid w:val="001C63FC"/>
    <w:rsid w:val="001C6764"/>
    <w:rsid w:val="001C6AEE"/>
    <w:rsid w:val="001C71F1"/>
    <w:rsid w:val="001C7630"/>
    <w:rsid w:val="001C7BCB"/>
    <w:rsid w:val="001D01A5"/>
    <w:rsid w:val="001D0384"/>
    <w:rsid w:val="001D0526"/>
    <w:rsid w:val="001D0BB0"/>
    <w:rsid w:val="001D19B7"/>
    <w:rsid w:val="001D1B5D"/>
    <w:rsid w:val="001D1CAF"/>
    <w:rsid w:val="001D21CC"/>
    <w:rsid w:val="001D2B27"/>
    <w:rsid w:val="001D2B99"/>
    <w:rsid w:val="001D2C05"/>
    <w:rsid w:val="001D3097"/>
    <w:rsid w:val="001D32F7"/>
    <w:rsid w:val="001D3422"/>
    <w:rsid w:val="001D38CD"/>
    <w:rsid w:val="001D3C6F"/>
    <w:rsid w:val="001D3FA4"/>
    <w:rsid w:val="001D44B6"/>
    <w:rsid w:val="001D46CE"/>
    <w:rsid w:val="001D4760"/>
    <w:rsid w:val="001D48CD"/>
    <w:rsid w:val="001D5106"/>
    <w:rsid w:val="001D52FA"/>
    <w:rsid w:val="001D5847"/>
    <w:rsid w:val="001D6084"/>
    <w:rsid w:val="001D6D15"/>
    <w:rsid w:val="001D713A"/>
    <w:rsid w:val="001D765D"/>
    <w:rsid w:val="001D7902"/>
    <w:rsid w:val="001E0079"/>
    <w:rsid w:val="001E012A"/>
    <w:rsid w:val="001E035D"/>
    <w:rsid w:val="001E0499"/>
    <w:rsid w:val="001E0641"/>
    <w:rsid w:val="001E0C4F"/>
    <w:rsid w:val="001E1E0C"/>
    <w:rsid w:val="001E208A"/>
    <w:rsid w:val="001E21F0"/>
    <w:rsid w:val="001E2504"/>
    <w:rsid w:val="001E2CF0"/>
    <w:rsid w:val="001E2D0E"/>
    <w:rsid w:val="001E2EBC"/>
    <w:rsid w:val="001E32FA"/>
    <w:rsid w:val="001E3FEF"/>
    <w:rsid w:val="001E4210"/>
    <w:rsid w:val="001E426A"/>
    <w:rsid w:val="001E4693"/>
    <w:rsid w:val="001E4839"/>
    <w:rsid w:val="001E4883"/>
    <w:rsid w:val="001E4E69"/>
    <w:rsid w:val="001E4E73"/>
    <w:rsid w:val="001E53F7"/>
    <w:rsid w:val="001E55F8"/>
    <w:rsid w:val="001E6578"/>
    <w:rsid w:val="001E688A"/>
    <w:rsid w:val="001E6C01"/>
    <w:rsid w:val="001E7075"/>
    <w:rsid w:val="001E7CD4"/>
    <w:rsid w:val="001E7E3F"/>
    <w:rsid w:val="001F01E9"/>
    <w:rsid w:val="001F0362"/>
    <w:rsid w:val="001F0AFD"/>
    <w:rsid w:val="001F10FB"/>
    <w:rsid w:val="001F117C"/>
    <w:rsid w:val="001F142B"/>
    <w:rsid w:val="001F1526"/>
    <w:rsid w:val="001F15FE"/>
    <w:rsid w:val="001F16F8"/>
    <w:rsid w:val="001F1973"/>
    <w:rsid w:val="001F1BB3"/>
    <w:rsid w:val="001F1EB5"/>
    <w:rsid w:val="001F22FA"/>
    <w:rsid w:val="001F2597"/>
    <w:rsid w:val="001F2936"/>
    <w:rsid w:val="001F2BBA"/>
    <w:rsid w:val="001F2D02"/>
    <w:rsid w:val="001F2D32"/>
    <w:rsid w:val="001F37CE"/>
    <w:rsid w:val="001F3B87"/>
    <w:rsid w:val="001F3CCA"/>
    <w:rsid w:val="001F4018"/>
    <w:rsid w:val="001F40D7"/>
    <w:rsid w:val="001F458B"/>
    <w:rsid w:val="001F46E1"/>
    <w:rsid w:val="001F46F2"/>
    <w:rsid w:val="001F4F87"/>
    <w:rsid w:val="001F4FB6"/>
    <w:rsid w:val="001F5085"/>
    <w:rsid w:val="001F50F7"/>
    <w:rsid w:val="001F518C"/>
    <w:rsid w:val="001F51D6"/>
    <w:rsid w:val="001F54DD"/>
    <w:rsid w:val="001F5700"/>
    <w:rsid w:val="001F5BAA"/>
    <w:rsid w:val="001F6369"/>
    <w:rsid w:val="001F640E"/>
    <w:rsid w:val="001F649D"/>
    <w:rsid w:val="001F65C7"/>
    <w:rsid w:val="001F6B3D"/>
    <w:rsid w:val="001F6F71"/>
    <w:rsid w:val="001F708E"/>
    <w:rsid w:val="001F7395"/>
    <w:rsid w:val="001F751A"/>
    <w:rsid w:val="001F7558"/>
    <w:rsid w:val="001F7C1A"/>
    <w:rsid w:val="001F7F6E"/>
    <w:rsid w:val="0020016B"/>
    <w:rsid w:val="0020028C"/>
    <w:rsid w:val="00200589"/>
    <w:rsid w:val="00200B18"/>
    <w:rsid w:val="00201211"/>
    <w:rsid w:val="00201823"/>
    <w:rsid w:val="00201DE9"/>
    <w:rsid w:val="00201EE2"/>
    <w:rsid w:val="002027F6"/>
    <w:rsid w:val="00202A2F"/>
    <w:rsid w:val="00202E43"/>
    <w:rsid w:val="00203312"/>
    <w:rsid w:val="0020362F"/>
    <w:rsid w:val="00203669"/>
    <w:rsid w:val="00203793"/>
    <w:rsid w:val="00203E9C"/>
    <w:rsid w:val="00204C47"/>
    <w:rsid w:val="00204D28"/>
    <w:rsid w:val="00204F99"/>
    <w:rsid w:val="002052CB"/>
    <w:rsid w:val="0020536A"/>
    <w:rsid w:val="002054AE"/>
    <w:rsid w:val="00205626"/>
    <w:rsid w:val="002059B8"/>
    <w:rsid w:val="00205B57"/>
    <w:rsid w:val="00205BF2"/>
    <w:rsid w:val="0020632D"/>
    <w:rsid w:val="002064A6"/>
    <w:rsid w:val="00206580"/>
    <w:rsid w:val="00206E5C"/>
    <w:rsid w:val="00207003"/>
    <w:rsid w:val="00207530"/>
    <w:rsid w:val="0020768F"/>
    <w:rsid w:val="00207D5B"/>
    <w:rsid w:val="00210188"/>
    <w:rsid w:val="002101F8"/>
    <w:rsid w:val="002105C5"/>
    <w:rsid w:val="002106F3"/>
    <w:rsid w:val="00210714"/>
    <w:rsid w:val="00210B45"/>
    <w:rsid w:val="00210BCF"/>
    <w:rsid w:val="0021129B"/>
    <w:rsid w:val="002119B5"/>
    <w:rsid w:val="00211D15"/>
    <w:rsid w:val="00211D53"/>
    <w:rsid w:val="00211FB4"/>
    <w:rsid w:val="00212055"/>
    <w:rsid w:val="0021223E"/>
    <w:rsid w:val="0021239A"/>
    <w:rsid w:val="002124D1"/>
    <w:rsid w:val="002124E5"/>
    <w:rsid w:val="00212759"/>
    <w:rsid w:val="00212F7A"/>
    <w:rsid w:val="00213FEA"/>
    <w:rsid w:val="0021426C"/>
    <w:rsid w:val="00214873"/>
    <w:rsid w:val="002150B5"/>
    <w:rsid w:val="002152EA"/>
    <w:rsid w:val="0021552D"/>
    <w:rsid w:val="002157E0"/>
    <w:rsid w:val="00216A57"/>
    <w:rsid w:val="002170A2"/>
    <w:rsid w:val="00217448"/>
    <w:rsid w:val="00220B00"/>
    <w:rsid w:val="002212A2"/>
    <w:rsid w:val="002214F1"/>
    <w:rsid w:val="00221641"/>
    <w:rsid w:val="002223DE"/>
    <w:rsid w:val="00222ECC"/>
    <w:rsid w:val="00223342"/>
    <w:rsid w:val="0022334F"/>
    <w:rsid w:val="002234F8"/>
    <w:rsid w:val="002237F1"/>
    <w:rsid w:val="00223819"/>
    <w:rsid w:val="00223D14"/>
    <w:rsid w:val="00223D59"/>
    <w:rsid w:val="00223E25"/>
    <w:rsid w:val="002241A9"/>
    <w:rsid w:val="00225079"/>
    <w:rsid w:val="00225217"/>
    <w:rsid w:val="00225DAB"/>
    <w:rsid w:val="00225EC3"/>
    <w:rsid w:val="00226819"/>
    <w:rsid w:val="00226BB1"/>
    <w:rsid w:val="00226C1E"/>
    <w:rsid w:val="00226F13"/>
    <w:rsid w:val="00227D97"/>
    <w:rsid w:val="00227F8C"/>
    <w:rsid w:val="002300DF"/>
    <w:rsid w:val="0023035D"/>
    <w:rsid w:val="002305BB"/>
    <w:rsid w:val="00230C8E"/>
    <w:rsid w:val="00231A5B"/>
    <w:rsid w:val="002326F2"/>
    <w:rsid w:val="0023279A"/>
    <w:rsid w:val="00232D74"/>
    <w:rsid w:val="00233101"/>
    <w:rsid w:val="002331B9"/>
    <w:rsid w:val="002332C5"/>
    <w:rsid w:val="0023330D"/>
    <w:rsid w:val="002335EF"/>
    <w:rsid w:val="00233655"/>
    <w:rsid w:val="00233817"/>
    <w:rsid w:val="002339DE"/>
    <w:rsid w:val="002344D0"/>
    <w:rsid w:val="00234667"/>
    <w:rsid w:val="002346F6"/>
    <w:rsid w:val="0023492B"/>
    <w:rsid w:val="002351E9"/>
    <w:rsid w:val="0023563D"/>
    <w:rsid w:val="00235C71"/>
    <w:rsid w:val="00235D13"/>
    <w:rsid w:val="00236445"/>
    <w:rsid w:val="00236494"/>
    <w:rsid w:val="0023675A"/>
    <w:rsid w:val="00236763"/>
    <w:rsid w:val="002367FF"/>
    <w:rsid w:val="002368B1"/>
    <w:rsid w:val="002369D8"/>
    <w:rsid w:val="00236F59"/>
    <w:rsid w:val="002375E5"/>
    <w:rsid w:val="002403E3"/>
    <w:rsid w:val="0024066A"/>
    <w:rsid w:val="00240CE9"/>
    <w:rsid w:val="00240F94"/>
    <w:rsid w:val="002413DD"/>
    <w:rsid w:val="00241B22"/>
    <w:rsid w:val="0024203B"/>
    <w:rsid w:val="0024225C"/>
    <w:rsid w:val="002434BA"/>
    <w:rsid w:val="00243916"/>
    <w:rsid w:val="00243BF8"/>
    <w:rsid w:val="00243FF9"/>
    <w:rsid w:val="002440EF"/>
    <w:rsid w:val="002441C4"/>
    <w:rsid w:val="00244844"/>
    <w:rsid w:val="0024486F"/>
    <w:rsid w:val="00244CB6"/>
    <w:rsid w:val="002451BF"/>
    <w:rsid w:val="0024523E"/>
    <w:rsid w:val="00245357"/>
    <w:rsid w:val="00245522"/>
    <w:rsid w:val="002459F5"/>
    <w:rsid w:val="00245C04"/>
    <w:rsid w:val="00246089"/>
    <w:rsid w:val="00246093"/>
    <w:rsid w:val="00246238"/>
    <w:rsid w:val="00246479"/>
    <w:rsid w:val="00246583"/>
    <w:rsid w:val="00246702"/>
    <w:rsid w:val="00246B80"/>
    <w:rsid w:val="0024708C"/>
    <w:rsid w:val="002470D5"/>
    <w:rsid w:val="002474AD"/>
    <w:rsid w:val="00247505"/>
    <w:rsid w:val="002478B9"/>
    <w:rsid w:val="0024797F"/>
    <w:rsid w:val="00247C55"/>
    <w:rsid w:val="00247C59"/>
    <w:rsid w:val="00247F2E"/>
    <w:rsid w:val="00247FAC"/>
    <w:rsid w:val="00250111"/>
    <w:rsid w:val="00250146"/>
    <w:rsid w:val="0025027E"/>
    <w:rsid w:val="002503BC"/>
    <w:rsid w:val="0025049D"/>
    <w:rsid w:val="00250861"/>
    <w:rsid w:val="00250ADC"/>
    <w:rsid w:val="00250B07"/>
    <w:rsid w:val="00250BCC"/>
    <w:rsid w:val="0025101B"/>
    <w:rsid w:val="0025105E"/>
    <w:rsid w:val="00251226"/>
    <w:rsid w:val="002513FB"/>
    <w:rsid w:val="00251F0D"/>
    <w:rsid w:val="00252C03"/>
    <w:rsid w:val="00252EC5"/>
    <w:rsid w:val="00252F27"/>
    <w:rsid w:val="002539C1"/>
    <w:rsid w:val="00253E9E"/>
    <w:rsid w:val="00253FB8"/>
    <w:rsid w:val="00254333"/>
    <w:rsid w:val="002544D5"/>
    <w:rsid w:val="00254909"/>
    <w:rsid w:val="00255078"/>
    <w:rsid w:val="002552E7"/>
    <w:rsid w:val="00255425"/>
    <w:rsid w:val="00255443"/>
    <w:rsid w:val="00255978"/>
    <w:rsid w:val="00255B72"/>
    <w:rsid w:val="00255B8F"/>
    <w:rsid w:val="00255DFB"/>
    <w:rsid w:val="002561CE"/>
    <w:rsid w:val="00256324"/>
    <w:rsid w:val="00257553"/>
    <w:rsid w:val="00257BC2"/>
    <w:rsid w:val="00260DA5"/>
    <w:rsid w:val="00260FB2"/>
    <w:rsid w:val="002611B1"/>
    <w:rsid w:val="002617B9"/>
    <w:rsid w:val="002618BA"/>
    <w:rsid w:val="002618D7"/>
    <w:rsid w:val="00261B28"/>
    <w:rsid w:val="00261E6D"/>
    <w:rsid w:val="00262128"/>
    <w:rsid w:val="002626F2"/>
    <w:rsid w:val="002628D6"/>
    <w:rsid w:val="00262C05"/>
    <w:rsid w:val="002631DB"/>
    <w:rsid w:val="00263307"/>
    <w:rsid w:val="00263513"/>
    <w:rsid w:val="0026387D"/>
    <w:rsid w:val="00263ACD"/>
    <w:rsid w:val="0026454A"/>
    <w:rsid w:val="002651B6"/>
    <w:rsid w:val="002652DB"/>
    <w:rsid w:val="0026612D"/>
    <w:rsid w:val="00266340"/>
    <w:rsid w:val="00266787"/>
    <w:rsid w:val="00266AD9"/>
    <w:rsid w:val="00266CCD"/>
    <w:rsid w:val="0026715D"/>
    <w:rsid w:val="0026763A"/>
    <w:rsid w:val="00267DEE"/>
    <w:rsid w:val="002701AB"/>
    <w:rsid w:val="002701E8"/>
    <w:rsid w:val="00270E52"/>
    <w:rsid w:val="00270E8C"/>
    <w:rsid w:val="00271239"/>
    <w:rsid w:val="0027165D"/>
    <w:rsid w:val="002717B4"/>
    <w:rsid w:val="00271922"/>
    <w:rsid w:val="00271ECC"/>
    <w:rsid w:val="002720AA"/>
    <w:rsid w:val="00272255"/>
    <w:rsid w:val="00272295"/>
    <w:rsid w:val="0027248A"/>
    <w:rsid w:val="00272FFB"/>
    <w:rsid w:val="00273549"/>
    <w:rsid w:val="00273A1D"/>
    <w:rsid w:val="00273CEB"/>
    <w:rsid w:val="00274688"/>
    <w:rsid w:val="00274B1A"/>
    <w:rsid w:val="002759AB"/>
    <w:rsid w:val="00275AF6"/>
    <w:rsid w:val="0027613C"/>
    <w:rsid w:val="002766DD"/>
    <w:rsid w:val="00276C54"/>
    <w:rsid w:val="00280136"/>
    <w:rsid w:val="00280589"/>
    <w:rsid w:val="002808AC"/>
    <w:rsid w:val="00280B8F"/>
    <w:rsid w:val="00280E80"/>
    <w:rsid w:val="00280FD6"/>
    <w:rsid w:val="00281A8E"/>
    <w:rsid w:val="00281C89"/>
    <w:rsid w:val="00282440"/>
    <w:rsid w:val="00282689"/>
    <w:rsid w:val="0028282F"/>
    <w:rsid w:val="00282A0C"/>
    <w:rsid w:val="00282C1F"/>
    <w:rsid w:val="00282D46"/>
    <w:rsid w:val="00282DDE"/>
    <w:rsid w:val="00282E72"/>
    <w:rsid w:val="00283458"/>
    <w:rsid w:val="00283600"/>
    <w:rsid w:val="002837D8"/>
    <w:rsid w:val="00283862"/>
    <w:rsid w:val="00283CAD"/>
    <w:rsid w:val="00283E86"/>
    <w:rsid w:val="002842C0"/>
    <w:rsid w:val="00284E7C"/>
    <w:rsid w:val="00284E91"/>
    <w:rsid w:val="00284F1D"/>
    <w:rsid w:val="002850DD"/>
    <w:rsid w:val="00285393"/>
    <w:rsid w:val="002853F5"/>
    <w:rsid w:val="00285792"/>
    <w:rsid w:val="00285AEC"/>
    <w:rsid w:val="00285C87"/>
    <w:rsid w:val="00286068"/>
    <w:rsid w:val="0028607D"/>
    <w:rsid w:val="002868DF"/>
    <w:rsid w:val="00286B5D"/>
    <w:rsid w:val="00286BB1"/>
    <w:rsid w:val="002871F0"/>
    <w:rsid w:val="002873F9"/>
    <w:rsid w:val="00287601"/>
    <w:rsid w:val="00287B8F"/>
    <w:rsid w:val="00290096"/>
    <w:rsid w:val="002907CB"/>
    <w:rsid w:val="00290C6F"/>
    <w:rsid w:val="00290FD9"/>
    <w:rsid w:val="002910CB"/>
    <w:rsid w:val="00291982"/>
    <w:rsid w:val="00291AB0"/>
    <w:rsid w:val="00291F09"/>
    <w:rsid w:val="00293134"/>
    <w:rsid w:val="00293785"/>
    <w:rsid w:val="00293F88"/>
    <w:rsid w:val="00294051"/>
    <w:rsid w:val="00294852"/>
    <w:rsid w:val="00294CDC"/>
    <w:rsid w:val="00294D02"/>
    <w:rsid w:val="00294FB6"/>
    <w:rsid w:val="0029593B"/>
    <w:rsid w:val="0029603A"/>
    <w:rsid w:val="00296048"/>
    <w:rsid w:val="00296D5A"/>
    <w:rsid w:val="002970A9"/>
    <w:rsid w:val="002972AA"/>
    <w:rsid w:val="00297511"/>
    <w:rsid w:val="00297BCD"/>
    <w:rsid w:val="00297D2F"/>
    <w:rsid w:val="00297D72"/>
    <w:rsid w:val="00297F62"/>
    <w:rsid w:val="00297FC5"/>
    <w:rsid w:val="002A0048"/>
    <w:rsid w:val="002A0177"/>
    <w:rsid w:val="002A0417"/>
    <w:rsid w:val="002A0BDB"/>
    <w:rsid w:val="002A13E0"/>
    <w:rsid w:val="002A1410"/>
    <w:rsid w:val="002A16D8"/>
    <w:rsid w:val="002A1BC8"/>
    <w:rsid w:val="002A2017"/>
    <w:rsid w:val="002A209D"/>
    <w:rsid w:val="002A21F8"/>
    <w:rsid w:val="002A2C42"/>
    <w:rsid w:val="002A347F"/>
    <w:rsid w:val="002A351C"/>
    <w:rsid w:val="002A37ED"/>
    <w:rsid w:val="002A3C70"/>
    <w:rsid w:val="002A3EF2"/>
    <w:rsid w:val="002A426F"/>
    <w:rsid w:val="002A452E"/>
    <w:rsid w:val="002A472F"/>
    <w:rsid w:val="002A4BFA"/>
    <w:rsid w:val="002A5086"/>
    <w:rsid w:val="002A51A0"/>
    <w:rsid w:val="002A5335"/>
    <w:rsid w:val="002A5338"/>
    <w:rsid w:val="002A55E1"/>
    <w:rsid w:val="002A5D82"/>
    <w:rsid w:val="002A6090"/>
    <w:rsid w:val="002A64CE"/>
    <w:rsid w:val="002A657F"/>
    <w:rsid w:val="002A6898"/>
    <w:rsid w:val="002A6CFB"/>
    <w:rsid w:val="002A7669"/>
    <w:rsid w:val="002A77E7"/>
    <w:rsid w:val="002A7E1B"/>
    <w:rsid w:val="002B000D"/>
    <w:rsid w:val="002B0DB3"/>
    <w:rsid w:val="002B0DED"/>
    <w:rsid w:val="002B0FE3"/>
    <w:rsid w:val="002B1048"/>
    <w:rsid w:val="002B160F"/>
    <w:rsid w:val="002B19A2"/>
    <w:rsid w:val="002B1DD6"/>
    <w:rsid w:val="002B1F7B"/>
    <w:rsid w:val="002B295B"/>
    <w:rsid w:val="002B2B4C"/>
    <w:rsid w:val="002B2ED7"/>
    <w:rsid w:val="002B381A"/>
    <w:rsid w:val="002B3CD9"/>
    <w:rsid w:val="002B3D79"/>
    <w:rsid w:val="002B4439"/>
    <w:rsid w:val="002B477C"/>
    <w:rsid w:val="002B4FCC"/>
    <w:rsid w:val="002B4FF3"/>
    <w:rsid w:val="002B5718"/>
    <w:rsid w:val="002B5958"/>
    <w:rsid w:val="002B62F3"/>
    <w:rsid w:val="002B68E5"/>
    <w:rsid w:val="002B6A95"/>
    <w:rsid w:val="002B71AC"/>
    <w:rsid w:val="002B737C"/>
    <w:rsid w:val="002B7408"/>
    <w:rsid w:val="002B7893"/>
    <w:rsid w:val="002B7CFD"/>
    <w:rsid w:val="002B7DA2"/>
    <w:rsid w:val="002C0517"/>
    <w:rsid w:val="002C0530"/>
    <w:rsid w:val="002C057A"/>
    <w:rsid w:val="002C0A7A"/>
    <w:rsid w:val="002C0B31"/>
    <w:rsid w:val="002C1058"/>
    <w:rsid w:val="002C10A2"/>
    <w:rsid w:val="002C1689"/>
    <w:rsid w:val="002C1749"/>
    <w:rsid w:val="002C186C"/>
    <w:rsid w:val="002C1AEB"/>
    <w:rsid w:val="002C210F"/>
    <w:rsid w:val="002C212F"/>
    <w:rsid w:val="002C21A5"/>
    <w:rsid w:val="002C2310"/>
    <w:rsid w:val="002C2517"/>
    <w:rsid w:val="002C281B"/>
    <w:rsid w:val="002C3198"/>
    <w:rsid w:val="002C31A4"/>
    <w:rsid w:val="002C3447"/>
    <w:rsid w:val="002C3655"/>
    <w:rsid w:val="002C441D"/>
    <w:rsid w:val="002C4718"/>
    <w:rsid w:val="002C4B3C"/>
    <w:rsid w:val="002C5417"/>
    <w:rsid w:val="002C5516"/>
    <w:rsid w:val="002C56D9"/>
    <w:rsid w:val="002C580A"/>
    <w:rsid w:val="002C5AF8"/>
    <w:rsid w:val="002C5CEB"/>
    <w:rsid w:val="002C5F0F"/>
    <w:rsid w:val="002C628B"/>
    <w:rsid w:val="002C695D"/>
    <w:rsid w:val="002C6F93"/>
    <w:rsid w:val="002C70F6"/>
    <w:rsid w:val="002C7279"/>
    <w:rsid w:val="002C79EC"/>
    <w:rsid w:val="002C7BBD"/>
    <w:rsid w:val="002C7DF2"/>
    <w:rsid w:val="002C7F03"/>
    <w:rsid w:val="002D031F"/>
    <w:rsid w:val="002D03C2"/>
    <w:rsid w:val="002D08E4"/>
    <w:rsid w:val="002D0B3D"/>
    <w:rsid w:val="002D0CDA"/>
    <w:rsid w:val="002D0F92"/>
    <w:rsid w:val="002D1598"/>
    <w:rsid w:val="002D171E"/>
    <w:rsid w:val="002D17B0"/>
    <w:rsid w:val="002D1BB7"/>
    <w:rsid w:val="002D1FF2"/>
    <w:rsid w:val="002D227C"/>
    <w:rsid w:val="002D29CA"/>
    <w:rsid w:val="002D2FBC"/>
    <w:rsid w:val="002D3082"/>
    <w:rsid w:val="002D32B0"/>
    <w:rsid w:val="002D3600"/>
    <w:rsid w:val="002D3C7F"/>
    <w:rsid w:val="002D4094"/>
    <w:rsid w:val="002D40C9"/>
    <w:rsid w:val="002D4344"/>
    <w:rsid w:val="002D4466"/>
    <w:rsid w:val="002D44D4"/>
    <w:rsid w:val="002D4621"/>
    <w:rsid w:val="002D4897"/>
    <w:rsid w:val="002D4A32"/>
    <w:rsid w:val="002D4DFF"/>
    <w:rsid w:val="002D545D"/>
    <w:rsid w:val="002D594B"/>
    <w:rsid w:val="002D5D61"/>
    <w:rsid w:val="002D5FAA"/>
    <w:rsid w:val="002D6319"/>
    <w:rsid w:val="002D6326"/>
    <w:rsid w:val="002D66A0"/>
    <w:rsid w:val="002D6CB6"/>
    <w:rsid w:val="002D785C"/>
    <w:rsid w:val="002D7893"/>
    <w:rsid w:val="002E0663"/>
    <w:rsid w:val="002E0892"/>
    <w:rsid w:val="002E0E58"/>
    <w:rsid w:val="002E147F"/>
    <w:rsid w:val="002E2290"/>
    <w:rsid w:val="002E22BD"/>
    <w:rsid w:val="002E23E6"/>
    <w:rsid w:val="002E2698"/>
    <w:rsid w:val="002E27CD"/>
    <w:rsid w:val="002E2DE4"/>
    <w:rsid w:val="002E2EC0"/>
    <w:rsid w:val="002E387F"/>
    <w:rsid w:val="002E3997"/>
    <w:rsid w:val="002E3E59"/>
    <w:rsid w:val="002E40FB"/>
    <w:rsid w:val="002E42D9"/>
    <w:rsid w:val="002E4C22"/>
    <w:rsid w:val="002E4DDC"/>
    <w:rsid w:val="002E4E74"/>
    <w:rsid w:val="002E5674"/>
    <w:rsid w:val="002E5828"/>
    <w:rsid w:val="002E62DD"/>
    <w:rsid w:val="002E6354"/>
    <w:rsid w:val="002E645A"/>
    <w:rsid w:val="002E6602"/>
    <w:rsid w:val="002E669E"/>
    <w:rsid w:val="002E6B84"/>
    <w:rsid w:val="002E6D62"/>
    <w:rsid w:val="002E7283"/>
    <w:rsid w:val="002F0010"/>
    <w:rsid w:val="002F006E"/>
    <w:rsid w:val="002F00A6"/>
    <w:rsid w:val="002F0383"/>
    <w:rsid w:val="002F0442"/>
    <w:rsid w:val="002F04A9"/>
    <w:rsid w:val="002F0664"/>
    <w:rsid w:val="002F0E98"/>
    <w:rsid w:val="002F1527"/>
    <w:rsid w:val="002F179F"/>
    <w:rsid w:val="002F1832"/>
    <w:rsid w:val="002F1CCC"/>
    <w:rsid w:val="002F1DE7"/>
    <w:rsid w:val="002F1EEE"/>
    <w:rsid w:val="002F2490"/>
    <w:rsid w:val="002F28F2"/>
    <w:rsid w:val="002F2C7F"/>
    <w:rsid w:val="002F2F0D"/>
    <w:rsid w:val="002F2F2C"/>
    <w:rsid w:val="002F2FBF"/>
    <w:rsid w:val="002F3197"/>
    <w:rsid w:val="002F3448"/>
    <w:rsid w:val="002F3596"/>
    <w:rsid w:val="002F36DE"/>
    <w:rsid w:val="002F3B92"/>
    <w:rsid w:val="002F3CE1"/>
    <w:rsid w:val="002F41D1"/>
    <w:rsid w:val="002F42B1"/>
    <w:rsid w:val="002F4E18"/>
    <w:rsid w:val="002F56D1"/>
    <w:rsid w:val="002F5799"/>
    <w:rsid w:val="002F5A98"/>
    <w:rsid w:val="002F5C35"/>
    <w:rsid w:val="002F68BB"/>
    <w:rsid w:val="002F69FB"/>
    <w:rsid w:val="002F6BBE"/>
    <w:rsid w:val="002F6FB9"/>
    <w:rsid w:val="002F71FF"/>
    <w:rsid w:val="002F72C9"/>
    <w:rsid w:val="002F7496"/>
    <w:rsid w:val="002F74A2"/>
    <w:rsid w:val="002F7521"/>
    <w:rsid w:val="002F767C"/>
    <w:rsid w:val="002F7945"/>
    <w:rsid w:val="00300391"/>
    <w:rsid w:val="00300762"/>
    <w:rsid w:val="00300AB7"/>
    <w:rsid w:val="00300BBC"/>
    <w:rsid w:val="00301212"/>
    <w:rsid w:val="00302480"/>
    <w:rsid w:val="00302758"/>
    <w:rsid w:val="003029CD"/>
    <w:rsid w:val="00302FED"/>
    <w:rsid w:val="0030342A"/>
    <w:rsid w:val="00303A30"/>
    <w:rsid w:val="00303DFF"/>
    <w:rsid w:val="00303F40"/>
    <w:rsid w:val="00304349"/>
    <w:rsid w:val="00304516"/>
    <w:rsid w:val="00304963"/>
    <w:rsid w:val="00304BB3"/>
    <w:rsid w:val="00304D13"/>
    <w:rsid w:val="00304D87"/>
    <w:rsid w:val="00304DC0"/>
    <w:rsid w:val="003052B1"/>
    <w:rsid w:val="003052B4"/>
    <w:rsid w:val="003053DB"/>
    <w:rsid w:val="00305586"/>
    <w:rsid w:val="003055DC"/>
    <w:rsid w:val="00305E61"/>
    <w:rsid w:val="00305F2B"/>
    <w:rsid w:val="00306751"/>
    <w:rsid w:val="00306C64"/>
    <w:rsid w:val="00306C9B"/>
    <w:rsid w:val="00306E56"/>
    <w:rsid w:val="003077C0"/>
    <w:rsid w:val="00307A33"/>
    <w:rsid w:val="00307F95"/>
    <w:rsid w:val="00310A0D"/>
    <w:rsid w:val="00310A25"/>
    <w:rsid w:val="00310BC8"/>
    <w:rsid w:val="00310C7C"/>
    <w:rsid w:val="00311287"/>
    <w:rsid w:val="0031172B"/>
    <w:rsid w:val="00311899"/>
    <w:rsid w:val="003118B4"/>
    <w:rsid w:val="00311DE0"/>
    <w:rsid w:val="003122C4"/>
    <w:rsid w:val="003122C8"/>
    <w:rsid w:val="00312462"/>
    <w:rsid w:val="00312952"/>
    <w:rsid w:val="00312B85"/>
    <w:rsid w:val="00312E2C"/>
    <w:rsid w:val="00312F6B"/>
    <w:rsid w:val="00313070"/>
    <w:rsid w:val="00313461"/>
    <w:rsid w:val="00314872"/>
    <w:rsid w:val="00314D94"/>
    <w:rsid w:val="00315AA4"/>
    <w:rsid w:val="00315B04"/>
    <w:rsid w:val="0031658D"/>
    <w:rsid w:val="003165E6"/>
    <w:rsid w:val="00316B29"/>
    <w:rsid w:val="00316C9E"/>
    <w:rsid w:val="00316E10"/>
    <w:rsid w:val="003173A0"/>
    <w:rsid w:val="003175AF"/>
    <w:rsid w:val="00317F6D"/>
    <w:rsid w:val="00320A2F"/>
    <w:rsid w:val="00320D58"/>
    <w:rsid w:val="00320EE6"/>
    <w:rsid w:val="003215B5"/>
    <w:rsid w:val="0032164F"/>
    <w:rsid w:val="00321729"/>
    <w:rsid w:val="00321AD0"/>
    <w:rsid w:val="00321B1E"/>
    <w:rsid w:val="00321F17"/>
    <w:rsid w:val="003221CF"/>
    <w:rsid w:val="00322DA2"/>
    <w:rsid w:val="00322DF8"/>
    <w:rsid w:val="00322E18"/>
    <w:rsid w:val="00322FC3"/>
    <w:rsid w:val="00323115"/>
    <w:rsid w:val="003233EB"/>
    <w:rsid w:val="003233ED"/>
    <w:rsid w:val="003236BE"/>
    <w:rsid w:val="00323861"/>
    <w:rsid w:val="0032388A"/>
    <w:rsid w:val="00323982"/>
    <w:rsid w:val="00323B91"/>
    <w:rsid w:val="00323E60"/>
    <w:rsid w:val="003242C2"/>
    <w:rsid w:val="003242F3"/>
    <w:rsid w:val="00324BBD"/>
    <w:rsid w:val="00324D9F"/>
    <w:rsid w:val="00324EFC"/>
    <w:rsid w:val="003253EE"/>
    <w:rsid w:val="003255FB"/>
    <w:rsid w:val="00325989"/>
    <w:rsid w:val="00325CC6"/>
    <w:rsid w:val="003260B2"/>
    <w:rsid w:val="00326A85"/>
    <w:rsid w:val="00326C1E"/>
    <w:rsid w:val="00327238"/>
    <w:rsid w:val="003274BD"/>
    <w:rsid w:val="00327948"/>
    <w:rsid w:val="0033000F"/>
    <w:rsid w:val="00330B56"/>
    <w:rsid w:val="00330EDB"/>
    <w:rsid w:val="0033101B"/>
    <w:rsid w:val="003310F5"/>
    <w:rsid w:val="0033128F"/>
    <w:rsid w:val="00332011"/>
    <w:rsid w:val="00332249"/>
    <w:rsid w:val="003323BB"/>
    <w:rsid w:val="00332518"/>
    <w:rsid w:val="003326EF"/>
    <w:rsid w:val="00332925"/>
    <w:rsid w:val="00332A7B"/>
    <w:rsid w:val="00332D00"/>
    <w:rsid w:val="00332DE4"/>
    <w:rsid w:val="00332E3F"/>
    <w:rsid w:val="00333130"/>
    <w:rsid w:val="003332ED"/>
    <w:rsid w:val="0033369C"/>
    <w:rsid w:val="00334058"/>
    <w:rsid w:val="0033461D"/>
    <w:rsid w:val="00334AD4"/>
    <w:rsid w:val="00335106"/>
    <w:rsid w:val="00335216"/>
    <w:rsid w:val="00335CD5"/>
    <w:rsid w:val="00336305"/>
    <w:rsid w:val="00336496"/>
    <w:rsid w:val="003368AD"/>
    <w:rsid w:val="003368DC"/>
    <w:rsid w:val="00336D2D"/>
    <w:rsid w:val="00336FFA"/>
    <w:rsid w:val="00337221"/>
    <w:rsid w:val="00337D9B"/>
    <w:rsid w:val="00337F31"/>
    <w:rsid w:val="00340653"/>
    <w:rsid w:val="003406A2"/>
    <w:rsid w:val="003411A1"/>
    <w:rsid w:val="00341F89"/>
    <w:rsid w:val="003421F2"/>
    <w:rsid w:val="00342351"/>
    <w:rsid w:val="003428DC"/>
    <w:rsid w:val="00342BE9"/>
    <w:rsid w:val="00342F11"/>
    <w:rsid w:val="00343537"/>
    <w:rsid w:val="0034358A"/>
    <w:rsid w:val="003437AC"/>
    <w:rsid w:val="00343803"/>
    <w:rsid w:val="00343ACC"/>
    <w:rsid w:val="0034424D"/>
    <w:rsid w:val="00344855"/>
    <w:rsid w:val="0034490B"/>
    <w:rsid w:val="0034506A"/>
    <w:rsid w:val="003453D9"/>
    <w:rsid w:val="003456CC"/>
    <w:rsid w:val="003456CD"/>
    <w:rsid w:val="00345927"/>
    <w:rsid w:val="00346489"/>
    <w:rsid w:val="0034655B"/>
    <w:rsid w:val="003469DB"/>
    <w:rsid w:val="003474B4"/>
    <w:rsid w:val="003476C7"/>
    <w:rsid w:val="003478A6"/>
    <w:rsid w:val="003478BA"/>
    <w:rsid w:val="00347A63"/>
    <w:rsid w:val="00347B2A"/>
    <w:rsid w:val="00347D48"/>
    <w:rsid w:val="00347EA3"/>
    <w:rsid w:val="003501A0"/>
    <w:rsid w:val="00350502"/>
    <w:rsid w:val="00350584"/>
    <w:rsid w:val="003513E5"/>
    <w:rsid w:val="0035160C"/>
    <w:rsid w:val="00351743"/>
    <w:rsid w:val="00351857"/>
    <w:rsid w:val="00351D4C"/>
    <w:rsid w:val="00351EB8"/>
    <w:rsid w:val="00351FDC"/>
    <w:rsid w:val="003522BE"/>
    <w:rsid w:val="00352327"/>
    <w:rsid w:val="003524E8"/>
    <w:rsid w:val="0035265F"/>
    <w:rsid w:val="00352848"/>
    <w:rsid w:val="003528CD"/>
    <w:rsid w:val="00352B58"/>
    <w:rsid w:val="00352C33"/>
    <w:rsid w:val="00352E14"/>
    <w:rsid w:val="00352F19"/>
    <w:rsid w:val="0035331D"/>
    <w:rsid w:val="00353462"/>
    <w:rsid w:val="003537A8"/>
    <w:rsid w:val="00353A4D"/>
    <w:rsid w:val="00353B9A"/>
    <w:rsid w:val="00353DFE"/>
    <w:rsid w:val="003545E8"/>
    <w:rsid w:val="00354753"/>
    <w:rsid w:val="0035491D"/>
    <w:rsid w:val="00354A7A"/>
    <w:rsid w:val="00354FE4"/>
    <w:rsid w:val="00355486"/>
    <w:rsid w:val="003555F1"/>
    <w:rsid w:val="00355762"/>
    <w:rsid w:val="003564AE"/>
    <w:rsid w:val="00356617"/>
    <w:rsid w:val="003566B1"/>
    <w:rsid w:val="00356D2F"/>
    <w:rsid w:val="00357670"/>
    <w:rsid w:val="00357764"/>
    <w:rsid w:val="003579D2"/>
    <w:rsid w:val="00357B4A"/>
    <w:rsid w:val="00357C99"/>
    <w:rsid w:val="00357DF4"/>
    <w:rsid w:val="0036024A"/>
    <w:rsid w:val="003605E0"/>
    <w:rsid w:val="003606A2"/>
    <w:rsid w:val="003606DC"/>
    <w:rsid w:val="00360D64"/>
    <w:rsid w:val="00360D98"/>
    <w:rsid w:val="003610E1"/>
    <w:rsid w:val="003613D0"/>
    <w:rsid w:val="003614C2"/>
    <w:rsid w:val="00361ABF"/>
    <w:rsid w:val="00361AD5"/>
    <w:rsid w:val="00361B2B"/>
    <w:rsid w:val="00361E90"/>
    <w:rsid w:val="0036236F"/>
    <w:rsid w:val="003628B3"/>
    <w:rsid w:val="00362FA5"/>
    <w:rsid w:val="003630DA"/>
    <w:rsid w:val="00363328"/>
    <w:rsid w:val="003639CF"/>
    <w:rsid w:val="00363BE2"/>
    <w:rsid w:val="00363BFD"/>
    <w:rsid w:val="003647C0"/>
    <w:rsid w:val="0036498F"/>
    <w:rsid w:val="00364E06"/>
    <w:rsid w:val="00364FF2"/>
    <w:rsid w:val="003654E7"/>
    <w:rsid w:val="00365745"/>
    <w:rsid w:val="00365B39"/>
    <w:rsid w:val="00366678"/>
    <w:rsid w:val="00366A1C"/>
    <w:rsid w:val="00366AF2"/>
    <w:rsid w:val="00366B7A"/>
    <w:rsid w:val="00366D06"/>
    <w:rsid w:val="003671BE"/>
    <w:rsid w:val="0036754C"/>
    <w:rsid w:val="003700C8"/>
    <w:rsid w:val="00370820"/>
    <w:rsid w:val="0037189D"/>
    <w:rsid w:val="00371D6F"/>
    <w:rsid w:val="00371DB9"/>
    <w:rsid w:val="00372485"/>
    <w:rsid w:val="003726A2"/>
    <w:rsid w:val="003727A6"/>
    <w:rsid w:val="003730DE"/>
    <w:rsid w:val="00373200"/>
    <w:rsid w:val="00373519"/>
    <w:rsid w:val="00373821"/>
    <w:rsid w:val="00373A2B"/>
    <w:rsid w:val="00373C31"/>
    <w:rsid w:val="003740C4"/>
    <w:rsid w:val="0037462B"/>
    <w:rsid w:val="00374823"/>
    <w:rsid w:val="003748E4"/>
    <w:rsid w:val="00374B66"/>
    <w:rsid w:val="00374D8A"/>
    <w:rsid w:val="003750C3"/>
    <w:rsid w:val="00375273"/>
    <w:rsid w:val="00375638"/>
    <w:rsid w:val="00375841"/>
    <w:rsid w:val="003759C3"/>
    <w:rsid w:val="00375EF5"/>
    <w:rsid w:val="00375F6F"/>
    <w:rsid w:val="00376438"/>
    <w:rsid w:val="00376578"/>
    <w:rsid w:val="0037673A"/>
    <w:rsid w:val="003767A5"/>
    <w:rsid w:val="00376ECE"/>
    <w:rsid w:val="003773F1"/>
    <w:rsid w:val="00377B66"/>
    <w:rsid w:val="00380525"/>
    <w:rsid w:val="0038057A"/>
    <w:rsid w:val="00380D58"/>
    <w:rsid w:val="003814F1"/>
    <w:rsid w:val="00381D15"/>
    <w:rsid w:val="00382006"/>
    <w:rsid w:val="00382874"/>
    <w:rsid w:val="00382AAB"/>
    <w:rsid w:val="00382C5C"/>
    <w:rsid w:val="00382F63"/>
    <w:rsid w:val="003830FA"/>
    <w:rsid w:val="00383175"/>
    <w:rsid w:val="00383D99"/>
    <w:rsid w:val="00384579"/>
    <w:rsid w:val="003845C8"/>
    <w:rsid w:val="0038467B"/>
    <w:rsid w:val="00384A90"/>
    <w:rsid w:val="00384AB8"/>
    <w:rsid w:val="00384F47"/>
    <w:rsid w:val="00385254"/>
    <w:rsid w:val="003853C8"/>
    <w:rsid w:val="00385628"/>
    <w:rsid w:val="00386086"/>
    <w:rsid w:val="00386655"/>
    <w:rsid w:val="00386A8B"/>
    <w:rsid w:val="00386B5D"/>
    <w:rsid w:val="00386C79"/>
    <w:rsid w:val="00386CDE"/>
    <w:rsid w:val="0038707C"/>
    <w:rsid w:val="00387327"/>
    <w:rsid w:val="0038764F"/>
    <w:rsid w:val="0038777E"/>
    <w:rsid w:val="00387CDD"/>
    <w:rsid w:val="003907F5"/>
    <w:rsid w:val="00390871"/>
    <w:rsid w:val="00390D91"/>
    <w:rsid w:val="00390D93"/>
    <w:rsid w:val="00390EE4"/>
    <w:rsid w:val="00391404"/>
    <w:rsid w:val="0039164B"/>
    <w:rsid w:val="00391DAE"/>
    <w:rsid w:val="00392062"/>
    <w:rsid w:val="00392905"/>
    <w:rsid w:val="00392954"/>
    <w:rsid w:val="00392962"/>
    <w:rsid w:val="00392B51"/>
    <w:rsid w:val="00392F8A"/>
    <w:rsid w:val="003933E8"/>
    <w:rsid w:val="00393A89"/>
    <w:rsid w:val="00393E4B"/>
    <w:rsid w:val="00394031"/>
    <w:rsid w:val="00394225"/>
    <w:rsid w:val="003945B5"/>
    <w:rsid w:val="00394804"/>
    <w:rsid w:val="00394A15"/>
    <w:rsid w:val="00394E6E"/>
    <w:rsid w:val="003950EE"/>
    <w:rsid w:val="00395590"/>
    <w:rsid w:val="003957A6"/>
    <w:rsid w:val="00395C3B"/>
    <w:rsid w:val="00395D63"/>
    <w:rsid w:val="00396B2A"/>
    <w:rsid w:val="00396D33"/>
    <w:rsid w:val="00396DC2"/>
    <w:rsid w:val="003973B9"/>
    <w:rsid w:val="003975F4"/>
    <w:rsid w:val="00397B58"/>
    <w:rsid w:val="00397F7C"/>
    <w:rsid w:val="003A04DB"/>
    <w:rsid w:val="003A08D1"/>
    <w:rsid w:val="003A0909"/>
    <w:rsid w:val="003A0DA4"/>
    <w:rsid w:val="003A16D1"/>
    <w:rsid w:val="003A18CD"/>
    <w:rsid w:val="003A1DDB"/>
    <w:rsid w:val="003A20A7"/>
    <w:rsid w:val="003A2172"/>
    <w:rsid w:val="003A2658"/>
    <w:rsid w:val="003A29D4"/>
    <w:rsid w:val="003A2A51"/>
    <w:rsid w:val="003A2BFF"/>
    <w:rsid w:val="003A2FF1"/>
    <w:rsid w:val="003A3127"/>
    <w:rsid w:val="003A3CA9"/>
    <w:rsid w:val="003A403E"/>
    <w:rsid w:val="003A42A7"/>
    <w:rsid w:val="003A42FE"/>
    <w:rsid w:val="003A434F"/>
    <w:rsid w:val="003A4F81"/>
    <w:rsid w:val="003A5096"/>
    <w:rsid w:val="003A58EE"/>
    <w:rsid w:val="003A5AEE"/>
    <w:rsid w:val="003A5E90"/>
    <w:rsid w:val="003A5F5B"/>
    <w:rsid w:val="003A64B0"/>
    <w:rsid w:val="003A6775"/>
    <w:rsid w:val="003A67BA"/>
    <w:rsid w:val="003A6A1B"/>
    <w:rsid w:val="003A6DFB"/>
    <w:rsid w:val="003A74E6"/>
    <w:rsid w:val="003A789A"/>
    <w:rsid w:val="003A7E3A"/>
    <w:rsid w:val="003B1187"/>
    <w:rsid w:val="003B12EC"/>
    <w:rsid w:val="003B1385"/>
    <w:rsid w:val="003B1AF7"/>
    <w:rsid w:val="003B1F21"/>
    <w:rsid w:val="003B2435"/>
    <w:rsid w:val="003B2526"/>
    <w:rsid w:val="003B2AF5"/>
    <w:rsid w:val="003B2E1D"/>
    <w:rsid w:val="003B2E8F"/>
    <w:rsid w:val="003B31C4"/>
    <w:rsid w:val="003B3C4B"/>
    <w:rsid w:val="003B3CDF"/>
    <w:rsid w:val="003B404E"/>
    <w:rsid w:val="003B431E"/>
    <w:rsid w:val="003B4571"/>
    <w:rsid w:val="003B4E12"/>
    <w:rsid w:val="003B4FB9"/>
    <w:rsid w:val="003B549F"/>
    <w:rsid w:val="003B5971"/>
    <w:rsid w:val="003B5C00"/>
    <w:rsid w:val="003B5D80"/>
    <w:rsid w:val="003B6105"/>
    <w:rsid w:val="003B67F7"/>
    <w:rsid w:val="003B6CD8"/>
    <w:rsid w:val="003B7063"/>
    <w:rsid w:val="003B7853"/>
    <w:rsid w:val="003B7B93"/>
    <w:rsid w:val="003B7C17"/>
    <w:rsid w:val="003B7F06"/>
    <w:rsid w:val="003C025A"/>
    <w:rsid w:val="003C03B8"/>
    <w:rsid w:val="003C04A1"/>
    <w:rsid w:val="003C05AA"/>
    <w:rsid w:val="003C0FA0"/>
    <w:rsid w:val="003C15D8"/>
    <w:rsid w:val="003C1756"/>
    <w:rsid w:val="003C1767"/>
    <w:rsid w:val="003C177C"/>
    <w:rsid w:val="003C1B0D"/>
    <w:rsid w:val="003C1E13"/>
    <w:rsid w:val="003C291B"/>
    <w:rsid w:val="003C3067"/>
    <w:rsid w:val="003C314A"/>
    <w:rsid w:val="003C3333"/>
    <w:rsid w:val="003C36CE"/>
    <w:rsid w:val="003C3768"/>
    <w:rsid w:val="003C3C99"/>
    <w:rsid w:val="003C3DB6"/>
    <w:rsid w:val="003C4D8F"/>
    <w:rsid w:val="003C589E"/>
    <w:rsid w:val="003C5C6E"/>
    <w:rsid w:val="003C5CC6"/>
    <w:rsid w:val="003C67BF"/>
    <w:rsid w:val="003C7013"/>
    <w:rsid w:val="003C77E0"/>
    <w:rsid w:val="003C7838"/>
    <w:rsid w:val="003C7910"/>
    <w:rsid w:val="003C7F45"/>
    <w:rsid w:val="003D02A4"/>
    <w:rsid w:val="003D11AE"/>
    <w:rsid w:val="003D13FA"/>
    <w:rsid w:val="003D1735"/>
    <w:rsid w:val="003D17D7"/>
    <w:rsid w:val="003D1C02"/>
    <w:rsid w:val="003D1F4A"/>
    <w:rsid w:val="003D20F0"/>
    <w:rsid w:val="003D236D"/>
    <w:rsid w:val="003D25C8"/>
    <w:rsid w:val="003D2678"/>
    <w:rsid w:val="003D30B5"/>
    <w:rsid w:val="003D326F"/>
    <w:rsid w:val="003D35CF"/>
    <w:rsid w:val="003D386D"/>
    <w:rsid w:val="003D3A2C"/>
    <w:rsid w:val="003D40B6"/>
    <w:rsid w:val="003D4298"/>
    <w:rsid w:val="003D4B35"/>
    <w:rsid w:val="003D4DCC"/>
    <w:rsid w:val="003D5276"/>
    <w:rsid w:val="003D53F0"/>
    <w:rsid w:val="003D548C"/>
    <w:rsid w:val="003D59D0"/>
    <w:rsid w:val="003D6C81"/>
    <w:rsid w:val="003D71A3"/>
    <w:rsid w:val="003D72F7"/>
    <w:rsid w:val="003D7E9D"/>
    <w:rsid w:val="003E03DA"/>
    <w:rsid w:val="003E06D8"/>
    <w:rsid w:val="003E06EC"/>
    <w:rsid w:val="003E096D"/>
    <w:rsid w:val="003E0A6A"/>
    <w:rsid w:val="003E0B82"/>
    <w:rsid w:val="003E0ED4"/>
    <w:rsid w:val="003E1B4E"/>
    <w:rsid w:val="003E1C6E"/>
    <w:rsid w:val="003E1DA6"/>
    <w:rsid w:val="003E20D9"/>
    <w:rsid w:val="003E225C"/>
    <w:rsid w:val="003E24EA"/>
    <w:rsid w:val="003E2B8A"/>
    <w:rsid w:val="003E31D3"/>
    <w:rsid w:val="003E3252"/>
    <w:rsid w:val="003E33CC"/>
    <w:rsid w:val="003E3730"/>
    <w:rsid w:val="003E37DD"/>
    <w:rsid w:val="003E38B5"/>
    <w:rsid w:val="003E3CA0"/>
    <w:rsid w:val="003E3DD3"/>
    <w:rsid w:val="003E3E81"/>
    <w:rsid w:val="003E44A5"/>
    <w:rsid w:val="003E454C"/>
    <w:rsid w:val="003E48F7"/>
    <w:rsid w:val="003E515D"/>
    <w:rsid w:val="003E5401"/>
    <w:rsid w:val="003E5E7A"/>
    <w:rsid w:val="003E5E91"/>
    <w:rsid w:val="003E671C"/>
    <w:rsid w:val="003E6E31"/>
    <w:rsid w:val="003E7498"/>
    <w:rsid w:val="003E7921"/>
    <w:rsid w:val="003E7D61"/>
    <w:rsid w:val="003E7EBB"/>
    <w:rsid w:val="003F0196"/>
    <w:rsid w:val="003F03B8"/>
    <w:rsid w:val="003F0459"/>
    <w:rsid w:val="003F0C21"/>
    <w:rsid w:val="003F0CA3"/>
    <w:rsid w:val="003F10EE"/>
    <w:rsid w:val="003F1318"/>
    <w:rsid w:val="003F15A9"/>
    <w:rsid w:val="003F16C3"/>
    <w:rsid w:val="003F16F6"/>
    <w:rsid w:val="003F1791"/>
    <w:rsid w:val="003F19CA"/>
    <w:rsid w:val="003F1AC2"/>
    <w:rsid w:val="003F1E8D"/>
    <w:rsid w:val="003F2020"/>
    <w:rsid w:val="003F232A"/>
    <w:rsid w:val="003F272A"/>
    <w:rsid w:val="003F2B52"/>
    <w:rsid w:val="003F2CDA"/>
    <w:rsid w:val="003F3512"/>
    <w:rsid w:val="003F36A8"/>
    <w:rsid w:val="003F3821"/>
    <w:rsid w:val="003F4440"/>
    <w:rsid w:val="003F4458"/>
    <w:rsid w:val="003F4BAA"/>
    <w:rsid w:val="003F4DC7"/>
    <w:rsid w:val="003F515F"/>
    <w:rsid w:val="003F5235"/>
    <w:rsid w:val="003F560E"/>
    <w:rsid w:val="003F5A04"/>
    <w:rsid w:val="003F64DA"/>
    <w:rsid w:val="003F6769"/>
    <w:rsid w:val="003F6A28"/>
    <w:rsid w:val="003F6ABC"/>
    <w:rsid w:val="003F74B8"/>
    <w:rsid w:val="003F76A2"/>
    <w:rsid w:val="003F79D6"/>
    <w:rsid w:val="004002EE"/>
    <w:rsid w:val="00400FB4"/>
    <w:rsid w:val="0040113F"/>
    <w:rsid w:val="004013FB"/>
    <w:rsid w:val="00401D01"/>
    <w:rsid w:val="00401F31"/>
    <w:rsid w:val="00402186"/>
    <w:rsid w:val="004022B1"/>
    <w:rsid w:val="004023C2"/>
    <w:rsid w:val="0040274D"/>
    <w:rsid w:val="004027E4"/>
    <w:rsid w:val="004029BE"/>
    <w:rsid w:val="00402C41"/>
    <w:rsid w:val="004033C9"/>
    <w:rsid w:val="00403AE3"/>
    <w:rsid w:val="00403D87"/>
    <w:rsid w:val="00403E0C"/>
    <w:rsid w:val="00403E42"/>
    <w:rsid w:val="00403F9B"/>
    <w:rsid w:val="0040445B"/>
    <w:rsid w:val="004047C8"/>
    <w:rsid w:val="00404C52"/>
    <w:rsid w:val="00404EFA"/>
    <w:rsid w:val="00405181"/>
    <w:rsid w:val="004051CB"/>
    <w:rsid w:val="0040563B"/>
    <w:rsid w:val="00405660"/>
    <w:rsid w:val="00406379"/>
    <w:rsid w:val="00406715"/>
    <w:rsid w:val="00406983"/>
    <w:rsid w:val="00406C59"/>
    <w:rsid w:val="004074B6"/>
    <w:rsid w:val="00407710"/>
    <w:rsid w:val="00407AEC"/>
    <w:rsid w:val="00407B77"/>
    <w:rsid w:val="00407BDD"/>
    <w:rsid w:val="00410433"/>
    <w:rsid w:val="00410502"/>
    <w:rsid w:val="00410569"/>
    <w:rsid w:val="0041071D"/>
    <w:rsid w:val="00410757"/>
    <w:rsid w:val="004107A1"/>
    <w:rsid w:val="0041082F"/>
    <w:rsid w:val="00410B92"/>
    <w:rsid w:val="00410C66"/>
    <w:rsid w:val="00410CFF"/>
    <w:rsid w:val="00411391"/>
    <w:rsid w:val="0041181B"/>
    <w:rsid w:val="004119DA"/>
    <w:rsid w:val="00411A45"/>
    <w:rsid w:val="00411AD9"/>
    <w:rsid w:val="00411C8C"/>
    <w:rsid w:val="00411CDB"/>
    <w:rsid w:val="00411D4D"/>
    <w:rsid w:val="00411D84"/>
    <w:rsid w:val="00412002"/>
    <w:rsid w:val="00412371"/>
    <w:rsid w:val="0041248A"/>
    <w:rsid w:val="0041248E"/>
    <w:rsid w:val="004127F0"/>
    <w:rsid w:val="004129A3"/>
    <w:rsid w:val="00412BE2"/>
    <w:rsid w:val="00412E82"/>
    <w:rsid w:val="00412EA9"/>
    <w:rsid w:val="00412EF2"/>
    <w:rsid w:val="004135F2"/>
    <w:rsid w:val="0041394C"/>
    <w:rsid w:val="004146B3"/>
    <w:rsid w:val="004147E5"/>
    <w:rsid w:val="00414AFC"/>
    <w:rsid w:val="00414C8D"/>
    <w:rsid w:val="00414CD2"/>
    <w:rsid w:val="004151A7"/>
    <w:rsid w:val="00415310"/>
    <w:rsid w:val="00415412"/>
    <w:rsid w:val="00415A73"/>
    <w:rsid w:val="00415BFA"/>
    <w:rsid w:val="004162A7"/>
    <w:rsid w:val="0041640A"/>
    <w:rsid w:val="00416597"/>
    <w:rsid w:val="004166A2"/>
    <w:rsid w:val="0041671F"/>
    <w:rsid w:val="00416C00"/>
    <w:rsid w:val="00416E29"/>
    <w:rsid w:val="004172C4"/>
    <w:rsid w:val="0041746C"/>
    <w:rsid w:val="0041758F"/>
    <w:rsid w:val="004177A6"/>
    <w:rsid w:val="004179BB"/>
    <w:rsid w:val="004179E6"/>
    <w:rsid w:val="00417DEF"/>
    <w:rsid w:val="00420293"/>
    <w:rsid w:val="00420517"/>
    <w:rsid w:val="004205F9"/>
    <w:rsid w:val="00420665"/>
    <w:rsid w:val="00420A0E"/>
    <w:rsid w:val="00420A44"/>
    <w:rsid w:val="00420BDD"/>
    <w:rsid w:val="004210CE"/>
    <w:rsid w:val="004214EE"/>
    <w:rsid w:val="00421701"/>
    <w:rsid w:val="00421709"/>
    <w:rsid w:val="0042170C"/>
    <w:rsid w:val="00421969"/>
    <w:rsid w:val="00421B51"/>
    <w:rsid w:val="00422011"/>
    <w:rsid w:val="004220C4"/>
    <w:rsid w:val="00422135"/>
    <w:rsid w:val="004221E4"/>
    <w:rsid w:val="004221FD"/>
    <w:rsid w:val="0042225F"/>
    <w:rsid w:val="00422288"/>
    <w:rsid w:val="004226B8"/>
    <w:rsid w:val="004228A4"/>
    <w:rsid w:val="004229A4"/>
    <w:rsid w:val="00422E48"/>
    <w:rsid w:val="00422F3D"/>
    <w:rsid w:val="00423616"/>
    <w:rsid w:val="00423763"/>
    <w:rsid w:val="00423B67"/>
    <w:rsid w:val="00423D02"/>
    <w:rsid w:val="0042422B"/>
    <w:rsid w:val="00424607"/>
    <w:rsid w:val="00424AA0"/>
    <w:rsid w:val="00425081"/>
    <w:rsid w:val="00425119"/>
    <w:rsid w:val="004255CC"/>
    <w:rsid w:val="00425AC2"/>
    <w:rsid w:val="00425D7C"/>
    <w:rsid w:val="00425D84"/>
    <w:rsid w:val="00425E4B"/>
    <w:rsid w:val="00425E6A"/>
    <w:rsid w:val="0042619D"/>
    <w:rsid w:val="004262C8"/>
    <w:rsid w:val="00426665"/>
    <w:rsid w:val="00426E8F"/>
    <w:rsid w:val="00426FB7"/>
    <w:rsid w:val="00427502"/>
    <w:rsid w:val="0042760B"/>
    <w:rsid w:val="0042762F"/>
    <w:rsid w:val="004277D2"/>
    <w:rsid w:val="00427C22"/>
    <w:rsid w:val="00427DC7"/>
    <w:rsid w:val="0043056E"/>
    <w:rsid w:val="00430FC0"/>
    <w:rsid w:val="004310EA"/>
    <w:rsid w:val="004311FC"/>
    <w:rsid w:val="00431319"/>
    <w:rsid w:val="0043138A"/>
    <w:rsid w:val="004313C1"/>
    <w:rsid w:val="004314DE"/>
    <w:rsid w:val="00431613"/>
    <w:rsid w:val="00431792"/>
    <w:rsid w:val="00431FDF"/>
    <w:rsid w:val="0043202A"/>
    <w:rsid w:val="0043240E"/>
    <w:rsid w:val="0043297A"/>
    <w:rsid w:val="00432EB2"/>
    <w:rsid w:val="00433548"/>
    <w:rsid w:val="00433752"/>
    <w:rsid w:val="004339DD"/>
    <w:rsid w:val="00434316"/>
    <w:rsid w:val="00434EC7"/>
    <w:rsid w:val="004355A6"/>
    <w:rsid w:val="0043570E"/>
    <w:rsid w:val="00435D38"/>
    <w:rsid w:val="00436035"/>
    <w:rsid w:val="004360DE"/>
    <w:rsid w:val="00436341"/>
    <w:rsid w:val="0043661C"/>
    <w:rsid w:val="004368E8"/>
    <w:rsid w:val="00436E54"/>
    <w:rsid w:val="0043714F"/>
    <w:rsid w:val="004371C4"/>
    <w:rsid w:val="00437CFD"/>
    <w:rsid w:val="00437E27"/>
    <w:rsid w:val="00437FD0"/>
    <w:rsid w:val="004401F4"/>
    <w:rsid w:val="004402AC"/>
    <w:rsid w:val="004402C0"/>
    <w:rsid w:val="00440792"/>
    <w:rsid w:val="004411E7"/>
    <w:rsid w:val="00441209"/>
    <w:rsid w:val="004413F0"/>
    <w:rsid w:val="00441771"/>
    <w:rsid w:val="00441A31"/>
    <w:rsid w:val="00441C4D"/>
    <w:rsid w:val="00441CC5"/>
    <w:rsid w:val="00441D51"/>
    <w:rsid w:val="00442020"/>
    <w:rsid w:val="00442457"/>
    <w:rsid w:val="00442924"/>
    <w:rsid w:val="004429A9"/>
    <w:rsid w:val="00442BFF"/>
    <w:rsid w:val="00443548"/>
    <w:rsid w:val="004438B5"/>
    <w:rsid w:val="00443C07"/>
    <w:rsid w:val="00443E91"/>
    <w:rsid w:val="004440A4"/>
    <w:rsid w:val="004444C2"/>
    <w:rsid w:val="00444814"/>
    <w:rsid w:val="0044483D"/>
    <w:rsid w:val="00444E28"/>
    <w:rsid w:val="004450AD"/>
    <w:rsid w:val="00445195"/>
    <w:rsid w:val="00445758"/>
    <w:rsid w:val="004460DE"/>
    <w:rsid w:val="0044624F"/>
    <w:rsid w:val="00446A06"/>
    <w:rsid w:val="00446F24"/>
    <w:rsid w:val="00447037"/>
    <w:rsid w:val="00447150"/>
    <w:rsid w:val="00447AA5"/>
    <w:rsid w:val="0045006E"/>
    <w:rsid w:val="0045085F"/>
    <w:rsid w:val="0045097F"/>
    <w:rsid w:val="00450F5A"/>
    <w:rsid w:val="0045124D"/>
    <w:rsid w:val="0045144D"/>
    <w:rsid w:val="0045227E"/>
    <w:rsid w:val="004529E1"/>
    <w:rsid w:val="00452B91"/>
    <w:rsid w:val="00452DA7"/>
    <w:rsid w:val="00453B4D"/>
    <w:rsid w:val="00454291"/>
    <w:rsid w:val="00454409"/>
    <w:rsid w:val="00454425"/>
    <w:rsid w:val="00454596"/>
    <w:rsid w:val="0045479F"/>
    <w:rsid w:val="0045605D"/>
    <w:rsid w:val="004565ED"/>
    <w:rsid w:val="00456A4C"/>
    <w:rsid w:val="00456C89"/>
    <w:rsid w:val="00456D1D"/>
    <w:rsid w:val="00457BC4"/>
    <w:rsid w:val="00457EE2"/>
    <w:rsid w:val="0046033C"/>
    <w:rsid w:val="00460356"/>
    <w:rsid w:val="00460513"/>
    <w:rsid w:val="00460986"/>
    <w:rsid w:val="00460D59"/>
    <w:rsid w:val="00461063"/>
    <w:rsid w:val="0046107C"/>
    <w:rsid w:val="0046135B"/>
    <w:rsid w:val="004613FC"/>
    <w:rsid w:val="00461668"/>
    <w:rsid w:val="00461D47"/>
    <w:rsid w:val="004625AC"/>
    <w:rsid w:val="004626F2"/>
    <w:rsid w:val="00462974"/>
    <w:rsid w:val="00463241"/>
    <w:rsid w:val="0046355C"/>
    <w:rsid w:val="00463698"/>
    <w:rsid w:val="00463D5E"/>
    <w:rsid w:val="0046405E"/>
    <w:rsid w:val="00464338"/>
    <w:rsid w:val="004643E6"/>
    <w:rsid w:val="00464478"/>
    <w:rsid w:val="00464523"/>
    <w:rsid w:val="00464775"/>
    <w:rsid w:val="0046480D"/>
    <w:rsid w:val="00464B38"/>
    <w:rsid w:val="00465251"/>
    <w:rsid w:val="00465774"/>
    <w:rsid w:val="00465823"/>
    <w:rsid w:val="004658FA"/>
    <w:rsid w:val="00466146"/>
    <w:rsid w:val="004662F6"/>
    <w:rsid w:val="004664A4"/>
    <w:rsid w:val="00466593"/>
    <w:rsid w:val="004671CC"/>
    <w:rsid w:val="00467475"/>
    <w:rsid w:val="00467ADF"/>
    <w:rsid w:val="00470136"/>
    <w:rsid w:val="0047056B"/>
    <w:rsid w:val="004705C6"/>
    <w:rsid w:val="0047092F"/>
    <w:rsid w:val="00470981"/>
    <w:rsid w:val="00471245"/>
    <w:rsid w:val="004714DB"/>
    <w:rsid w:val="004718CC"/>
    <w:rsid w:val="00472728"/>
    <w:rsid w:val="004728D7"/>
    <w:rsid w:val="00472993"/>
    <w:rsid w:val="0047299B"/>
    <w:rsid w:val="00472BCC"/>
    <w:rsid w:val="00473AFF"/>
    <w:rsid w:val="00474134"/>
    <w:rsid w:val="00474929"/>
    <w:rsid w:val="00474D1B"/>
    <w:rsid w:val="00474D1D"/>
    <w:rsid w:val="0047572C"/>
    <w:rsid w:val="0047575A"/>
    <w:rsid w:val="004766B3"/>
    <w:rsid w:val="00476AEE"/>
    <w:rsid w:val="00476C63"/>
    <w:rsid w:val="0047705F"/>
    <w:rsid w:val="0047760E"/>
    <w:rsid w:val="004776F6"/>
    <w:rsid w:val="00477DA7"/>
    <w:rsid w:val="00481444"/>
    <w:rsid w:val="00481695"/>
    <w:rsid w:val="00481726"/>
    <w:rsid w:val="004818A8"/>
    <w:rsid w:val="004818E5"/>
    <w:rsid w:val="004819F4"/>
    <w:rsid w:val="00481A7F"/>
    <w:rsid w:val="00482BCC"/>
    <w:rsid w:val="004831AE"/>
    <w:rsid w:val="004832E5"/>
    <w:rsid w:val="00483381"/>
    <w:rsid w:val="00483681"/>
    <w:rsid w:val="004837D9"/>
    <w:rsid w:val="00484094"/>
    <w:rsid w:val="004846E1"/>
    <w:rsid w:val="00484704"/>
    <w:rsid w:val="0048487D"/>
    <w:rsid w:val="00484897"/>
    <w:rsid w:val="00484B38"/>
    <w:rsid w:val="00484D4F"/>
    <w:rsid w:val="00484D6C"/>
    <w:rsid w:val="00485866"/>
    <w:rsid w:val="004862CE"/>
    <w:rsid w:val="00486593"/>
    <w:rsid w:val="00486754"/>
    <w:rsid w:val="00486792"/>
    <w:rsid w:val="00487203"/>
    <w:rsid w:val="004878C3"/>
    <w:rsid w:val="00487A72"/>
    <w:rsid w:val="00490410"/>
    <w:rsid w:val="00490475"/>
    <w:rsid w:val="0049088E"/>
    <w:rsid w:val="004908B2"/>
    <w:rsid w:val="00490E5D"/>
    <w:rsid w:val="00491C34"/>
    <w:rsid w:val="00492051"/>
    <w:rsid w:val="0049215F"/>
    <w:rsid w:val="00492456"/>
    <w:rsid w:val="00492B4F"/>
    <w:rsid w:val="004930AB"/>
    <w:rsid w:val="004936C5"/>
    <w:rsid w:val="004939C9"/>
    <w:rsid w:val="00493C96"/>
    <w:rsid w:val="0049431E"/>
    <w:rsid w:val="00494570"/>
    <w:rsid w:val="00494CAB"/>
    <w:rsid w:val="00495588"/>
    <w:rsid w:val="0049578E"/>
    <w:rsid w:val="00495981"/>
    <w:rsid w:val="00495A96"/>
    <w:rsid w:val="00495BB3"/>
    <w:rsid w:val="004964DB"/>
    <w:rsid w:val="0049650D"/>
    <w:rsid w:val="00496524"/>
    <w:rsid w:val="00496728"/>
    <w:rsid w:val="0049697D"/>
    <w:rsid w:val="00496C1E"/>
    <w:rsid w:val="00497338"/>
    <w:rsid w:val="00497431"/>
    <w:rsid w:val="004975F3"/>
    <w:rsid w:val="004977F1"/>
    <w:rsid w:val="004A02F6"/>
    <w:rsid w:val="004A08CC"/>
    <w:rsid w:val="004A0A5A"/>
    <w:rsid w:val="004A0D8D"/>
    <w:rsid w:val="004A1171"/>
    <w:rsid w:val="004A1B0B"/>
    <w:rsid w:val="004A1C0F"/>
    <w:rsid w:val="004A1CD7"/>
    <w:rsid w:val="004A1F4C"/>
    <w:rsid w:val="004A205D"/>
    <w:rsid w:val="004A20C8"/>
    <w:rsid w:val="004A2115"/>
    <w:rsid w:val="004A2167"/>
    <w:rsid w:val="004A21C0"/>
    <w:rsid w:val="004A2826"/>
    <w:rsid w:val="004A2B3F"/>
    <w:rsid w:val="004A2E71"/>
    <w:rsid w:val="004A33F1"/>
    <w:rsid w:val="004A3BA9"/>
    <w:rsid w:val="004A400B"/>
    <w:rsid w:val="004A408F"/>
    <w:rsid w:val="004A4B44"/>
    <w:rsid w:val="004A4C09"/>
    <w:rsid w:val="004A4D94"/>
    <w:rsid w:val="004A56BB"/>
    <w:rsid w:val="004A58EA"/>
    <w:rsid w:val="004A5999"/>
    <w:rsid w:val="004A5D8C"/>
    <w:rsid w:val="004A6336"/>
    <w:rsid w:val="004A64FD"/>
    <w:rsid w:val="004A69B6"/>
    <w:rsid w:val="004A6C32"/>
    <w:rsid w:val="004A70D6"/>
    <w:rsid w:val="004A711C"/>
    <w:rsid w:val="004A7639"/>
    <w:rsid w:val="004A77C6"/>
    <w:rsid w:val="004B018B"/>
    <w:rsid w:val="004B02B0"/>
    <w:rsid w:val="004B0587"/>
    <w:rsid w:val="004B0908"/>
    <w:rsid w:val="004B119E"/>
    <w:rsid w:val="004B119F"/>
    <w:rsid w:val="004B11D5"/>
    <w:rsid w:val="004B1542"/>
    <w:rsid w:val="004B1751"/>
    <w:rsid w:val="004B1A7E"/>
    <w:rsid w:val="004B1DFC"/>
    <w:rsid w:val="004B29C1"/>
    <w:rsid w:val="004B317D"/>
    <w:rsid w:val="004B36CD"/>
    <w:rsid w:val="004B3781"/>
    <w:rsid w:val="004B3935"/>
    <w:rsid w:val="004B3A38"/>
    <w:rsid w:val="004B4076"/>
    <w:rsid w:val="004B40E1"/>
    <w:rsid w:val="004B42D8"/>
    <w:rsid w:val="004B4590"/>
    <w:rsid w:val="004B4993"/>
    <w:rsid w:val="004B4BEC"/>
    <w:rsid w:val="004B4ED8"/>
    <w:rsid w:val="004B545D"/>
    <w:rsid w:val="004B56B7"/>
    <w:rsid w:val="004B5787"/>
    <w:rsid w:val="004B630C"/>
    <w:rsid w:val="004B671F"/>
    <w:rsid w:val="004B6847"/>
    <w:rsid w:val="004B68AD"/>
    <w:rsid w:val="004B68B9"/>
    <w:rsid w:val="004B691E"/>
    <w:rsid w:val="004B6A06"/>
    <w:rsid w:val="004B6FA8"/>
    <w:rsid w:val="004B7104"/>
    <w:rsid w:val="004B72AF"/>
    <w:rsid w:val="004B77F7"/>
    <w:rsid w:val="004B795D"/>
    <w:rsid w:val="004B7A54"/>
    <w:rsid w:val="004C0253"/>
    <w:rsid w:val="004C17B8"/>
    <w:rsid w:val="004C1A88"/>
    <w:rsid w:val="004C22EE"/>
    <w:rsid w:val="004C25A2"/>
    <w:rsid w:val="004C2B51"/>
    <w:rsid w:val="004C3032"/>
    <w:rsid w:val="004C3677"/>
    <w:rsid w:val="004C3DD9"/>
    <w:rsid w:val="004C441E"/>
    <w:rsid w:val="004C4EE7"/>
    <w:rsid w:val="004C4F08"/>
    <w:rsid w:val="004C52D2"/>
    <w:rsid w:val="004C53D7"/>
    <w:rsid w:val="004C5C24"/>
    <w:rsid w:val="004C609B"/>
    <w:rsid w:val="004C628D"/>
    <w:rsid w:val="004C66AE"/>
    <w:rsid w:val="004C6A2C"/>
    <w:rsid w:val="004C6CF7"/>
    <w:rsid w:val="004C6E31"/>
    <w:rsid w:val="004C738C"/>
    <w:rsid w:val="004C7CAB"/>
    <w:rsid w:val="004C7DC0"/>
    <w:rsid w:val="004D0193"/>
    <w:rsid w:val="004D02EC"/>
    <w:rsid w:val="004D07DD"/>
    <w:rsid w:val="004D089F"/>
    <w:rsid w:val="004D0BA5"/>
    <w:rsid w:val="004D1514"/>
    <w:rsid w:val="004D166B"/>
    <w:rsid w:val="004D193E"/>
    <w:rsid w:val="004D1B93"/>
    <w:rsid w:val="004D1E50"/>
    <w:rsid w:val="004D2595"/>
    <w:rsid w:val="004D2AC7"/>
    <w:rsid w:val="004D2DDB"/>
    <w:rsid w:val="004D30FC"/>
    <w:rsid w:val="004D32FD"/>
    <w:rsid w:val="004D340D"/>
    <w:rsid w:val="004D340F"/>
    <w:rsid w:val="004D35F7"/>
    <w:rsid w:val="004D3B7F"/>
    <w:rsid w:val="004D3FF8"/>
    <w:rsid w:val="004D40F3"/>
    <w:rsid w:val="004D4800"/>
    <w:rsid w:val="004D4B08"/>
    <w:rsid w:val="004D4C2B"/>
    <w:rsid w:val="004D4CA7"/>
    <w:rsid w:val="004D4E01"/>
    <w:rsid w:val="004D4FBB"/>
    <w:rsid w:val="004D5494"/>
    <w:rsid w:val="004D56FF"/>
    <w:rsid w:val="004D58D4"/>
    <w:rsid w:val="004D5C7F"/>
    <w:rsid w:val="004D5E1C"/>
    <w:rsid w:val="004D7222"/>
    <w:rsid w:val="004D7ADC"/>
    <w:rsid w:val="004D7FB2"/>
    <w:rsid w:val="004E0037"/>
    <w:rsid w:val="004E080A"/>
    <w:rsid w:val="004E0D59"/>
    <w:rsid w:val="004E1232"/>
    <w:rsid w:val="004E15D0"/>
    <w:rsid w:val="004E16E1"/>
    <w:rsid w:val="004E17C3"/>
    <w:rsid w:val="004E18DA"/>
    <w:rsid w:val="004E2256"/>
    <w:rsid w:val="004E2511"/>
    <w:rsid w:val="004E2539"/>
    <w:rsid w:val="004E2619"/>
    <w:rsid w:val="004E2806"/>
    <w:rsid w:val="004E297B"/>
    <w:rsid w:val="004E3423"/>
    <w:rsid w:val="004E355B"/>
    <w:rsid w:val="004E3612"/>
    <w:rsid w:val="004E39D3"/>
    <w:rsid w:val="004E45BF"/>
    <w:rsid w:val="004E4A51"/>
    <w:rsid w:val="004E4DA8"/>
    <w:rsid w:val="004E4EAB"/>
    <w:rsid w:val="004E4FB2"/>
    <w:rsid w:val="004E4FD1"/>
    <w:rsid w:val="004E508A"/>
    <w:rsid w:val="004E530E"/>
    <w:rsid w:val="004E55E6"/>
    <w:rsid w:val="004E5AD3"/>
    <w:rsid w:val="004E5B9D"/>
    <w:rsid w:val="004E5E66"/>
    <w:rsid w:val="004E616D"/>
    <w:rsid w:val="004E6607"/>
    <w:rsid w:val="004E6916"/>
    <w:rsid w:val="004E6A70"/>
    <w:rsid w:val="004E6B53"/>
    <w:rsid w:val="004E6FCF"/>
    <w:rsid w:val="004E7424"/>
    <w:rsid w:val="004E7465"/>
    <w:rsid w:val="004E7468"/>
    <w:rsid w:val="004E74A0"/>
    <w:rsid w:val="004E75E2"/>
    <w:rsid w:val="004E76DC"/>
    <w:rsid w:val="004E7B25"/>
    <w:rsid w:val="004E7F86"/>
    <w:rsid w:val="004F09A2"/>
    <w:rsid w:val="004F0DBA"/>
    <w:rsid w:val="004F0E11"/>
    <w:rsid w:val="004F11D9"/>
    <w:rsid w:val="004F168A"/>
    <w:rsid w:val="004F1BDE"/>
    <w:rsid w:val="004F259B"/>
    <w:rsid w:val="004F28C8"/>
    <w:rsid w:val="004F2CEE"/>
    <w:rsid w:val="004F363C"/>
    <w:rsid w:val="004F4ACF"/>
    <w:rsid w:val="004F4AD4"/>
    <w:rsid w:val="004F5308"/>
    <w:rsid w:val="004F5568"/>
    <w:rsid w:val="004F556E"/>
    <w:rsid w:val="004F58FA"/>
    <w:rsid w:val="004F591C"/>
    <w:rsid w:val="004F651D"/>
    <w:rsid w:val="004F68F3"/>
    <w:rsid w:val="004F69F0"/>
    <w:rsid w:val="004F6C99"/>
    <w:rsid w:val="004F6FD7"/>
    <w:rsid w:val="004F71FE"/>
    <w:rsid w:val="004F750D"/>
    <w:rsid w:val="004F759F"/>
    <w:rsid w:val="004F76A2"/>
    <w:rsid w:val="004F7759"/>
    <w:rsid w:val="004F7832"/>
    <w:rsid w:val="004F79B2"/>
    <w:rsid w:val="004F7F44"/>
    <w:rsid w:val="0050031E"/>
    <w:rsid w:val="0050053A"/>
    <w:rsid w:val="00500AEA"/>
    <w:rsid w:val="00500B2B"/>
    <w:rsid w:val="00500FC1"/>
    <w:rsid w:val="005010C1"/>
    <w:rsid w:val="00501FBA"/>
    <w:rsid w:val="0050207C"/>
    <w:rsid w:val="005025AB"/>
    <w:rsid w:val="00502632"/>
    <w:rsid w:val="005026BF"/>
    <w:rsid w:val="00502A4A"/>
    <w:rsid w:val="00502AC9"/>
    <w:rsid w:val="00502FDD"/>
    <w:rsid w:val="00503705"/>
    <w:rsid w:val="00503761"/>
    <w:rsid w:val="005037B4"/>
    <w:rsid w:val="00503D6A"/>
    <w:rsid w:val="00504FD2"/>
    <w:rsid w:val="005050B3"/>
    <w:rsid w:val="00505957"/>
    <w:rsid w:val="00505A7E"/>
    <w:rsid w:val="005062DD"/>
    <w:rsid w:val="0050658B"/>
    <w:rsid w:val="00506AE6"/>
    <w:rsid w:val="00506F1B"/>
    <w:rsid w:val="00507280"/>
    <w:rsid w:val="005079BF"/>
    <w:rsid w:val="00507F1D"/>
    <w:rsid w:val="00510452"/>
    <w:rsid w:val="00510573"/>
    <w:rsid w:val="005106C9"/>
    <w:rsid w:val="005109B3"/>
    <w:rsid w:val="00510E63"/>
    <w:rsid w:val="00510FB9"/>
    <w:rsid w:val="005114AA"/>
    <w:rsid w:val="005117D9"/>
    <w:rsid w:val="00511D42"/>
    <w:rsid w:val="0051207D"/>
    <w:rsid w:val="00512182"/>
    <w:rsid w:val="00512438"/>
    <w:rsid w:val="0051269A"/>
    <w:rsid w:val="005128E1"/>
    <w:rsid w:val="0051294A"/>
    <w:rsid w:val="00512A22"/>
    <w:rsid w:val="00512BB3"/>
    <w:rsid w:val="00512E62"/>
    <w:rsid w:val="005131E4"/>
    <w:rsid w:val="00513698"/>
    <w:rsid w:val="00513F31"/>
    <w:rsid w:val="00513FC3"/>
    <w:rsid w:val="00514142"/>
    <w:rsid w:val="00514A24"/>
    <w:rsid w:val="00514C9D"/>
    <w:rsid w:val="00515040"/>
    <w:rsid w:val="005153CA"/>
    <w:rsid w:val="00515437"/>
    <w:rsid w:val="0051544F"/>
    <w:rsid w:val="0051547A"/>
    <w:rsid w:val="0051558B"/>
    <w:rsid w:val="00515675"/>
    <w:rsid w:val="0051651E"/>
    <w:rsid w:val="00516C26"/>
    <w:rsid w:val="00516FC1"/>
    <w:rsid w:val="0051749A"/>
    <w:rsid w:val="005174D2"/>
    <w:rsid w:val="005175CF"/>
    <w:rsid w:val="00517703"/>
    <w:rsid w:val="00517725"/>
    <w:rsid w:val="00517744"/>
    <w:rsid w:val="00517A86"/>
    <w:rsid w:val="00517D1B"/>
    <w:rsid w:val="005206C5"/>
    <w:rsid w:val="0052097D"/>
    <w:rsid w:val="00520EB4"/>
    <w:rsid w:val="00521064"/>
    <w:rsid w:val="0052126C"/>
    <w:rsid w:val="005216E3"/>
    <w:rsid w:val="005219E7"/>
    <w:rsid w:val="00521DCC"/>
    <w:rsid w:val="00521E27"/>
    <w:rsid w:val="00522525"/>
    <w:rsid w:val="00522553"/>
    <w:rsid w:val="00522CA4"/>
    <w:rsid w:val="005232CD"/>
    <w:rsid w:val="0052451E"/>
    <w:rsid w:val="00524873"/>
    <w:rsid w:val="00524BF7"/>
    <w:rsid w:val="00524C46"/>
    <w:rsid w:val="00525242"/>
    <w:rsid w:val="00525E14"/>
    <w:rsid w:val="005261FE"/>
    <w:rsid w:val="00526985"/>
    <w:rsid w:val="00526CF9"/>
    <w:rsid w:val="0052747E"/>
    <w:rsid w:val="00527786"/>
    <w:rsid w:val="0053007D"/>
    <w:rsid w:val="00530400"/>
    <w:rsid w:val="0053062F"/>
    <w:rsid w:val="00530BA8"/>
    <w:rsid w:val="00530D43"/>
    <w:rsid w:val="00531785"/>
    <w:rsid w:val="00531A7F"/>
    <w:rsid w:val="00531B86"/>
    <w:rsid w:val="00531B9A"/>
    <w:rsid w:val="00531D15"/>
    <w:rsid w:val="00531ED4"/>
    <w:rsid w:val="00532110"/>
    <w:rsid w:val="005334A7"/>
    <w:rsid w:val="00533509"/>
    <w:rsid w:val="0053375A"/>
    <w:rsid w:val="00533E46"/>
    <w:rsid w:val="00533F3D"/>
    <w:rsid w:val="00534593"/>
    <w:rsid w:val="00535473"/>
    <w:rsid w:val="00535600"/>
    <w:rsid w:val="00535B15"/>
    <w:rsid w:val="005360A7"/>
    <w:rsid w:val="00536488"/>
    <w:rsid w:val="0053655F"/>
    <w:rsid w:val="00536DE7"/>
    <w:rsid w:val="00537604"/>
    <w:rsid w:val="0053787B"/>
    <w:rsid w:val="00537F3A"/>
    <w:rsid w:val="005401D8"/>
    <w:rsid w:val="00540261"/>
    <w:rsid w:val="005402B5"/>
    <w:rsid w:val="00540409"/>
    <w:rsid w:val="005407FC"/>
    <w:rsid w:val="00540AB4"/>
    <w:rsid w:val="00540DFF"/>
    <w:rsid w:val="00540E5F"/>
    <w:rsid w:val="00541516"/>
    <w:rsid w:val="00541893"/>
    <w:rsid w:val="00541907"/>
    <w:rsid w:val="00541A95"/>
    <w:rsid w:val="00542377"/>
    <w:rsid w:val="0054263E"/>
    <w:rsid w:val="00542951"/>
    <w:rsid w:val="00542D94"/>
    <w:rsid w:val="00542DD8"/>
    <w:rsid w:val="005430E3"/>
    <w:rsid w:val="005433E1"/>
    <w:rsid w:val="00543A01"/>
    <w:rsid w:val="0054428D"/>
    <w:rsid w:val="0054534F"/>
    <w:rsid w:val="0054545D"/>
    <w:rsid w:val="00545FD5"/>
    <w:rsid w:val="00546233"/>
    <w:rsid w:val="00546AB6"/>
    <w:rsid w:val="00546DFE"/>
    <w:rsid w:val="00546F44"/>
    <w:rsid w:val="00546FD8"/>
    <w:rsid w:val="00547059"/>
    <w:rsid w:val="00547428"/>
    <w:rsid w:val="005476EB"/>
    <w:rsid w:val="00547732"/>
    <w:rsid w:val="00547B3B"/>
    <w:rsid w:val="00550B0A"/>
    <w:rsid w:val="00551130"/>
    <w:rsid w:val="00551201"/>
    <w:rsid w:val="00551250"/>
    <w:rsid w:val="00551782"/>
    <w:rsid w:val="00551924"/>
    <w:rsid w:val="0055193D"/>
    <w:rsid w:val="00551998"/>
    <w:rsid w:val="0055199E"/>
    <w:rsid w:val="00551A19"/>
    <w:rsid w:val="00551B8E"/>
    <w:rsid w:val="00551C45"/>
    <w:rsid w:val="0055205F"/>
    <w:rsid w:val="005526AD"/>
    <w:rsid w:val="00552BF8"/>
    <w:rsid w:val="00552D03"/>
    <w:rsid w:val="005537B4"/>
    <w:rsid w:val="005545B7"/>
    <w:rsid w:val="00554725"/>
    <w:rsid w:val="00554AD4"/>
    <w:rsid w:val="00554C8F"/>
    <w:rsid w:val="00555003"/>
    <w:rsid w:val="0055538A"/>
    <w:rsid w:val="0055539F"/>
    <w:rsid w:val="005558CD"/>
    <w:rsid w:val="00555BD7"/>
    <w:rsid w:val="00555FAF"/>
    <w:rsid w:val="00556560"/>
    <w:rsid w:val="00556687"/>
    <w:rsid w:val="00556B33"/>
    <w:rsid w:val="0055711D"/>
    <w:rsid w:val="00557217"/>
    <w:rsid w:val="0055784D"/>
    <w:rsid w:val="0056044B"/>
    <w:rsid w:val="00560702"/>
    <w:rsid w:val="0056077C"/>
    <w:rsid w:val="005608F6"/>
    <w:rsid w:val="0056098C"/>
    <w:rsid w:val="005609DA"/>
    <w:rsid w:val="00560C39"/>
    <w:rsid w:val="0056113E"/>
    <w:rsid w:val="005612C1"/>
    <w:rsid w:val="0056197E"/>
    <w:rsid w:val="00561AC0"/>
    <w:rsid w:val="00561AF4"/>
    <w:rsid w:val="00561B0A"/>
    <w:rsid w:val="00562231"/>
    <w:rsid w:val="005626E2"/>
    <w:rsid w:val="00562D2A"/>
    <w:rsid w:val="00562EA2"/>
    <w:rsid w:val="00562F49"/>
    <w:rsid w:val="00562FEA"/>
    <w:rsid w:val="005630FE"/>
    <w:rsid w:val="005633D2"/>
    <w:rsid w:val="0056349C"/>
    <w:rsid w:val="0056385E"/>
    <w:rsid w:val="00563873"/>
    <w:rsid w:val="00563EF1"/>
    <w:rsid w:val="005646CC"/>
    <w:rsid w:val="005649A1"/>
    <w:rsid w:val="005656FA"/>
    <w:rsid w:val="005657E7"/>
    <w:rsid w:val="00565B7D"/>
    <w:rsid w:val="00566214"/>
    <w:rsid w:val="0056681F"/>
    <w:rsid w:val="00566AB4"/>
    <w:rsid w:val="00566AD5"/>
    <w:rsid w:val="00566C3A"/>
    <w:rsid w:val="00566C50"/>
    <w:rsid w:val="00566DDD"/>
    <w:rsid w:val="005670C7"/>
    <w:rsid w:val="00567412"/>
    <w:rsid w:val="0056749B"/>
    <w:rsid w:val="00567BE2"/>
    <w:rsid w:val="00570528"/>
    <w:rsid w:val="00570565"/>
    <w:rsid w:val="00570592"/>
    <w:rsid w:val="00570AC4"/>
    <w:rsid w:val="0057121B"/>
    <w:rsid w:val="0057134F"/>
    <w:rsid w:val="005714A3"/>
    <w:rsid w:val="0057158C"/>
    <w:rsid w:val="00571700"/>
    <w:rsid w:val="00571EBB"/>
    <w:rsid w:val="005722D5"/>
    <w:rsid w:val="0057254D"/>
    <w:rsid w:val="005727ED"/>
    <w:rsid w:val="00572813"/>
    <w:rsid w:val="0057289E"/>
    <w:rsid w:val="00572AC6"/>
    <w:rsid w:val="00573344"/>
    <w:rsid w:val="00573812"/>
    <w:rsid w:val="00573F3D"/>
    <w:rsid w:val="00573F9B"/>
    <w:rsid w:val="005742A9"/>
    <w:rsid w:val="00574303"/>
    <w:rsid w:val="00574AF8"/>
    <w:rsid w:val="00574F3E"/>
    <w:rsid w:val="00575127"/>
    <w:rsid w:val="0057528F"/>
    <w:rsid w:val="00575A97"/>
    <w:rsid w:val="00575AC5"/>
    <w:rsid w:val="00575E55"/>
    <w:rsid w:val="0057605D"/>
    <w:rsid w:val="005762B2"/>
    <w:rsid w:val="005766A7"/>
    <w:rsid w:val="00576738"/>
    <w:rsid w:val="00576C1A"/>
    <w:rsid w:val="00576EFB"/>
    <w:rsid w:val="005777FC"/>
    <w:rsid w:val="005778A9"/>
    <w:rsid w:val="00577D52"/>
    <w:rsid w:val="0058122C"/>
    <w:rsid w:val="0058132F"/>
    <w:rsid w:val="00581347"/>
    <w:rsid w:val="00581AC9"/>
    <w:rsid w:val="00582199"/>
    <w:rsid w:val="00582A90"/>
    <w:rsid w:val="00582B08"/>
    <w:rsid w:val="00583060"/>
    <w:rsid w:val="00583065"/>
    <w:rsid w:val="005836A9"/>
    <w:rsid w:val="00583894"/>
    <w:rsid w:val="005838F8"/>
    <w:rsid w:val="00583F3F"/>
    <w:rsid w:val="00583F8D"/>
    <w:rsid w:val="00584059"/>
    <w:rsid w:val="0058439E"/>
    <w:rsid w:val="005849F8"/>
    <w:rsid w:val="00585073"/>
    <w:rsid w:val="005850DE"/>
    <w:rsid w:val="00586054"/>
    <w:rsid w:val="00586109"/>
    <w:rsid w:val="0058688A"/>
    <w:rsid w:val="00586D03"/>
    <w:rsid w:val="00587985"/>
    <w:rsid w:val="0059022D"/>
    <w:rsid w:val="00590C03"/>
    <w:rsid w:val="00590F82"/>
    <w:rsid w:val="00590FDC"/>
    <w:rsid w:val="00591111"/>
    <w:rsid w:val="005924B1"/>
    <w:rsid w:val="00592F6D"/>
    <w:rsid w:val="00593087"/>
    <w:rsid w:val="005931BD"/>
    <w:rsid w:val="0059327B"/>
    <w:rsid w:val="005932F0"/>
    <w:rsid w:val="0059351D"/>
    <w:rsid w:val="00593635"/>
    <w:rsid w:val="005938DF"/>
    <w:rsid w:val="00593C4B"/>
    <w:rsid w:val="00593E2B"/>
    <w:rsid w:val="00593E47"/>
    <w:rsid w:val="00594578"/>
    <w:rsid w:val="005945B7"/>
    <w:rsid w:val="00594E9C"/>
    <w:rsid w:val="00595598"/>
    <w:rsid w:val="0059566B"/>
    <w:rsid w:val="005957E4"/>
    <w:rsid w:val="00595B39"/>
    <w:rsid w:val="00595D78"/>
    <w:rsid w:val="005960A0"/>
    <w:rsid w:val="005A01D5"/>
    <w:rsid w:val="005A02B6"/>
    <w:rsid w:val="005A084E"/>
    <w:rsid w:val="005A099B"/>
    <w:rsid w:val="005A0D13"/>
    <w:rsid w:val="005A0E36"/>
    <w:rsid w:val="005A162C"/>
    <w:rsid w:val="005A1A56"/>
    <w:rsid w:val="005A2D9C"/>
    <w:rsid w:val="005A315B"/>
    <w:rsid w:val="005A3570"/>
    <w:rsid w:val="005A3897"/>
    <w:rsid w:val="005A3B9F"/>
    <w:rsid w:val="005A3D85"/>
    <w:rsid w:val="005A5116"/>
    <w:rsid w:val="005A515A"/>
    <w:rsid w:val="005A52C7"/>
    <w:rsid w:val="005A55FE"/>
    <w:rsid w:val="005A588E"/>
    <w:rsid w:val="005A59FC"/>
    <w:rsid w:val="005A5FFE"/>
    <w:rsid w:val="005A600E"/>
    <w:rsid w:val="005A6A07"/>
    <w:rsid w:val="005A6A11"/>
    <w:rsid w:val="005A6D50"/>
    <w:rsid w:val="005A6D83"/>
    <w:rsid w:val="005A72F3"/>
    <w:rsid w:val="005A739F"/>
    <w:rsid w:val="005A7749"/>
    <w:rsid w:val="005A77A0"/>
    <w:rsid w:val="005A7B38"/>
    <w:rsid w:val="005A7CF5"/>
    <w:rsid w:val="005A7DD2"/>
    <w:rsid w:val="005B0399"/>
    <w:rsid w:val="005B0778"/>
    <w:rsid w:val="005B0F7A"/>
    <w:rsid w:val="005B11DA"/>
    <w:rsid w:val="005B1C47"/>
    <w:rsid w:val="005B2122"/>
    <w:rsid w:val="005B246A"/>
    <w:rsid w:val="005B2F0D"/>
    <w:rsid w:val="005B3141"/>
    <w:rsid w:val="005B331A"/>
    <w:rsid w:val="005B3555"/>
    <w:rsid w:val="005B3674"/>
    <w:rsid w:val="005B3A5E"/>
    <w:rsid w:val="005B3AF1"/>
    <w:rsid w:val="005B3C22"/>
    <w:rsid w:val="005B3CB9"/>
    <w:rsid w:val="005B3F14"/>
    <w:rsid w:val="005B42EE"/>
    <w:rsid w:val="005B45B2"/>
    <w:rsid w:val="005B48D3"/>
    <w:rsid w:val="005B4AED"/>
    <w:rsid w:val="005B4E21"/>
    <w:rsid w:val="005B649A"/>
    <w:rsid w:val="005B656A"/>
    <w:rsid w:val="005B6969"/>
    <w:rsid w:val="005B6A2A"/>
    <w:rsid w:val="005B6B5A"/>
    <w:rsid w:val="005B7225"/>
    <w:rsid w:val="005B74E2"/>
    <w:rsid w:val="005B766E"/>
    <w:rsid w:val="005B7A9C"/>
    <w:rsid w:val="005C06F1"/>
    <w:rsid w:val="005C0A10"/>
    <w:rsid w:val="005C0A42"/>
    <w:rsid w:val="005C0BA8"/>
    <w:rsid w:val="005C0C2C"/>
    <w:rsid w:val="005C1596"/>
    <w:rsid w:val="005C17B2"/>
    <w:rsid w:val="005C1EDC"/>
    <w:rsid w:val="005C31E5"/>
    <w:rsid w:val="005C34EF"/>
    <w:rsid w:val="005C3533"/>
    <w:rsid w:val="005C37EE"/>
    <w:rsid w:val="005C3E5C"/>
    <w:rsid w:val="005C402B"/>
    <w:rsid w:val="005C449E"/>
    <w:rsid w:val="005C4CCC"/>
    <w:rsid w:val="005C4DBE"/>
    <w:rsid w:val="005C55CA"/>
    <w:rsid w:val="005C5688"/>
    <w:rsid w:val="005C737C"/>
    <w:rsid w:val="005C73BF"/>
    <w:rsid w:val="005C7F46"/>
    <w:rsid w:val="005D04E7"/>
    <w:rsid w:val="005D0A87"/>
    <w:rsid w:val="005D0B1B"/>
    <w:rsid w:val="005D1C0E"/>
    <w:rsid w:val="005D24CD"/>
    <w:rsid w:val="005D2502"/>
    <w:rsid w:val="005D282B"/>
    <w:rsid w:val="005D2CE0"/>
    <w:rsid w:val="005D2EE5"/>
    <w:rsid w:val="005D32EC"/>
    <w:rsid w:val="005D40BB"/>
    <w:rsid w:val="005D40E9"/>
    <w:rsid w:val="005D47F3"/>
    <w:rsid w:val="005D49BF"/>
    <w:rsid w:val="005D4AA5"/>
    <w:rsid w:val="005D4E03"/>
    <w:rsid w:val="005D4E77"/>
    <w:rsid w:val="005D4F77"/>
    <w:rsid w:val="005D4FA3"/>
    <w:rsid w:val="005D5491"/>
    <w:rsid w:val="005D5813"/>
    <w:rsid w:val="005D6007"/>
    <w:rsid w:val="005D64C3"/>
    <w:rsid w:val="005D6AAC"/>
    <w:rsid w:val="005D6F4E"/>
    <w:rsid w:val="005D7666"/>
    <w:rsid w:val="005D7779"/>
    <w:rsid w:val="005D7C73"/>
    <w:rsid w:val="005E010C"/>
    <w:rsid w:val="005E032D"/>
    <w:rsid w:val="005E096E"/>
    <w:rsid w:val="005E0F1A"/>
    <w:rsid w:val="005E133D"/>
    <w:rsid w:val="005E18BE"/>
    <w:rsid w:val="005E1BDC"/>
    <w:rsid w:val="005E1E12"/>
    <w:rsid w:val="005E1E7F"/>
    <w:rsid w:val="005E2286"/>
    <w:rsid w:val="005E229F"/>
    <w:rsid w:val="005E2504"/>
    <w:rsid w:val="005E250B"/>
    <w:rsid w:val="005E2C0D"/>
    <w:rsid w:val="005E2CAD"/>
    <w:rsid w:val="005E2DC0"/>
    <w:rsid w:val="005E31D5"/>
    <w:rsid w:val="005E3ACD"/>
    <w:rsid w:val="005E3BB7"/>
    <w:rsid w:val="005E4700"/>
    <w:rsid w:val="005E49C8"/>
    <w:rsid w:val="005E501B"/>
    <w:rsid w:val="005E546A"/>
    <w:rsid w:val="005E55C3"/>
    <w:rsid w:val="005E58FB"/>
    <w:rsid w:val="005E594C"/>
    <w:rsid w:val="005E6169"/>
    <w:rsid w:val="005E62AB"/>
    <w:rsid w:val="005E661B"/>
    <w:rsid w:val="005E69C8"/>
    <w:rsid w:val="005E6D38"/>
    <w:rsid w:val="005E6FFF"/>
    <w:rsid w:val="005E7056"/>
    <w:rsid w:val="005E71C9"/>
    <w:rsid w:val="005E7226"/>
    <w:rsid w:val="005E730E"/>
    <w:rsid w:val="005E7781"/>
    <w:rsid w:val="005E7A57"/>
    <w:rsid w:val="005F00B9"/>
    <w:rsid w:val="005F0519"/>
    <w:rsid w:val="005F05F6"/>
    <w:rsid w:val="005F154E"/>
    <w:rsid w:val="005F1D55"/>
    <w:rsid w:val="005F1D86"/>
    <w:rsid w:val="005F2218"/>
    <w:rsid w:val="005F24B0"/>
    <w:rsid w:val="005F24DC"/>
    <w:rsid w:val="005F24E1"/>
    <w:rsid w:val="005F3C8E"/>
    <w:rsid w:val="005F3D2D"/>
    <w:rsid w:val="005F4453"/>
    <w:rsid w:val="005F44AF"/>
    <w:rsid w:val="005F4740"/>
    <w:rsid w:val="005F4EC0"/>
    <w:rsid w:val="005F52A3"/>
    <w:rsid w:val="005F5A98"/>
    <w:rsid w:val="005F5B23"/>
    <w:rsid w:val="005F5F30"/>
    <w:rsid w:val="005F6165"/>
    <w:rsid w:val="005F6C4A"/>
    <w:rsid w:val="005F6D4A"/>
    <w:rsid w:val="005F708D"/>
    <w:rsid w:val="005F7A47"/>
    <w:rsid w:val="005F7AC4"/>
    <w:rsid w:val="006000A8"/>
    <w:rsid w:val="006000F1"/>
    <w:rsid w:val="0060035E"/>
    <w:rsid w:val="00600799"/>
    <w:rsid w:val="00600BDF"/>
    <w:rsid w:val="006015F1"/>
    <w:rsid w:val="006017ED"/>
    <w:rsid w:val="00601E50"/>
    <w:rsid w:val="00601E61"/>
    <w:rsid w:val="00602326"/>
    <w:rsid w:val="00602716"/>
    <w:rsid w:val="006028A0"/>
    <w:rsid w:val="00602E50"/>
    <w:rsid w:val="006033D8"/>
    <w:rsid w:val="00603487"/>
    <w:rsid w:val="0060353F"/>
    <w:rsid w:val="006035F8"/>
    <w:rsid w:val="0060365E"/>
    <w:rsid w:val="00603CC9"/>
    <w:rsid w:val="00604315"/>
    <w:rsid w:val="006046CD"/>
    <w:rsid w:val="00604887"/>
    <w:rsid w:val="00604BB6"/>
    <w:rsid w:val="00604DCF"/>
    <w:rsid w:val="00604E26"/>
    <w:rsid w:val="0060523F"/>
    <w:rsid w:val="006052CF"/>
    <w:rsid w:val="006054B0"/>
    <w:rsid w:val="006054EA"/>
    <w:rsid w:val="00606060"/>
    <w:rsid w:val="006063F3"/>
    <w:rsid w:val="00606455"/>
    <w:rsid w:val="0060683F"/>
    <w:rsid w:val="00606A5B"/>
    <w:rsid w:val="00607765"/>
    <w:rsid w:val="006077A5"/>
    <w:rsid w:val="00607B8D"/>
    <w:rsid w:val="00607EF1"/>
    <w:rsid w:val="006101D5"/>
    <w:rsid w:val="0061033A"/>
    <w:rsid w:val="00610759"/>
    <w:rsid w:val="00610B2A"/>
    <w:rsid w:val="00610D0C"/>
    <w:rsid w:val="0061116C"/>
    <w:rsid w:val="0061157A"/>
    <w:rsid w:val="006116B1"/>
    <w:rsid w:val="00611AEF"/>
    <w:rsid w:val="00611D88"/>
    <w:rsid w:val="00611DCD"/>
    <w:rsid w:val="00611E09"/>
    <w:rsid w:val="00611F27"/>
    <w:rsid w:val="00611F4F"/>
    <w:rsid w:val="00611F5C"/>
    <w:rsid w:val="00612100"/>
    <w:rsid w:val="006124A0"/>
    <w:rsid w:val="006124EF"/>
    <w:rsid w:val="0061262E"/>
    <w:rsid w:val="006129BF"/>
    <w:rsid w:val="00612ECE"/>
    <w:rsid w:val="006136D6"/>
    <w:rsid w:val="0061431C"/>
    <w:rsid w:val="006143D8"/>
    <w:rsid w:val="00614A62"/>
    <w:rsid w:val="00614CD8"/>
    <w:rsid w:val="00615FFC"/>
    <w:rsid w:val="006164D7"/>
    <w:rsid w:val="00616E09"/>
    <w:rsid w:val="00616EAF"/>
    <w:rsid w:val="00616F9B"/>
    <w:rsid w:val="00617257"/>
    <w:rsid w:val="00617AC1"/>
    <w:rsid w:val="00620273"/>
    <w:rsid w:val="0062040B"/>
    <w:rsid w:val="006207C8"/>
    <w:rsid w:val="006207D2"/>
    <w:rsid w:val="00620D3A"/>
    <w:rsid w:val="00620E44"/>
    <w:rsid w:val="00620F88"/>
    <w:rsid w:val="0062169F"/>
    <w:rsid w:val="00621831"/>
    <w:rsid w:val="0062189D"/>
    <w:rsid w:val="00621979"/>
    <w:rsid w:val="006224BB"/>
    <w:rsid w:val="006225DB"/>
    <w:rsid w:val="006227DB"/>
    <w:rsid w:val="0062292E"/>
    <w:rsid w:val="00622A3B"/>
    <w:rsid w:val="00622CA8"/>
    <w:rsid w:val="00622D5A"/>
    <w:rsid w:val="00622DC5"/>
    <w:rsid w:val="00622EEA"/>
    <w:rsid w:val="00623311"/>
    <w:rsid w:val="006233E8"/>
    <w:rsid w:val="0062396C"/>
    <w:rsid w:val="00623DB8"/>
    <w:rsid w:val="00623F73"/>
    <w:rsid w:val="00623FF9"/>
    <w:rsid w:val="0062406B"/>
    <w:rsid w:val="0062407E"/>
    <w:rsid w:val="0062437D"/>
    <w:rsid w:val="00624672"/>
    <w:rsid w:val="00624D01"/>
    <w:rsid w:val="00624EF7"/>
    <w:rsid w:val="006251A3"/>
    <w:rsid w:val="006252C9"/>
    <w:rsid w:val="00625F28"/>
    <w:rsid w:val="00626124"/>
    <w:rsid w:val="00626172"/>
    <w:rsid w:val="006261C8"/>
    <w:rsid w:val="00626281"/>
    <w:rsid w:val="006269A8"/>
    <w:rsid w:val="00626BEC"/>
    <w:rsid w:val="00626FB0"/>
    <w:rsid w:val="00627312"/>
    <w:rsid w:val="00627887"/>
    <w:rsid w:val="006278AE"/>
    <w:rsid w:val="00627D4E"/>
    <w:rsid w:val="00627E0B"/>
    <w:rsid w:val="006301DA"/>
    <w:rsid w:val="006306AD"/>
    <w:rsid w:val="00630C57"/>
    <w:rsid w:val="00631139"/>
    <w:rsid w:val="0063206B"/>
    <w:rsid w:val="006324F5"/>
    <w:rsid w:val="006325E5"/>
    <w:rsid w:val="00632B89"/>
    <w:rsid w:val="00632F4C"/>
    <w:rsid w:val="0063346D"/>
    <w:rsid w:val="0063364C"/>
    <w:rsid w:val="00633E3A"/>
    <w:rsid w:val="00634478"/>
    <w:rsid w:val="00634A81"/>
    <w:rsid w:val="00634C04"/>
    <w:rsid w:val="00634CF3"/>
    <w:rsid w:val="00634F8A"/>
    <w:rsid w:val="00635041"/>
    <w:rsid w:val="00635258"/>
    <w:rsid w:val="0063549C"/>
    <w:rsid w:val="00635CB4"/>
    <w:rsid w:val="00635E49"/>
    <w:rsid w:val="00635E91"/>
    <w:rsid w:val="0063605F"/>
    <w:rsid w:val="006366A3"/>
    <w:rsid w:val="006366F7"/>
    <w:rsid w:val="006367DB"/>
    <w:rsid w:val="006377BA"/>
    <w:rsid w:val="006377E0"/>
    <w:rsid w:val="00637D4D"/>
    <w:rsid w:val="00637EBD"/>
    <w:rsid w:val="0064081C"/>
    <w:rsid w:val="00640C55"/>
    <w:rsid w:val="00641BF9"/>
    <w:rsid w:val="00641E3F"/>
    <w:rsid w:val="00641EC1"/>
    <w:rsid w:val="00641EDF"/>
    <w:rsid w:val="00641F08"/>
    <w:rsid w:val="00642C8B"/>
    <w:rsid w:val="00642DD4"/>
    <w:rsid w:val="00643635"/>
    <w:rsid w:val="0064394B"/>
    <w:rsid w:val="006439E0"/>
    <w:rsid w:val="00644373"/>
    <w:rsid w:val="00644479"/>
    <w:rsid w:val="0064457C"/>
    <w:rsid w:val="00644B34"/>
    <w:rsid w:val="00644BC6"/>
    <w:rsid w:val="006454EC"/>
    <w:rsid w:val="0064550C"/>
    <w:rsid w:val="00645915"/>
    <w:rsid w:val="00645D18"/>
    <w:rsid w:val="00645E02"/>
    <w:rsid w:val="00646550"/>
    <w:rsid w:val="0064682B"/>
    <w:rsid w:val="00646CC4"/>
    <w:rsid w:val="00647067"/>
    <w:rsid w:val="0064709C"/>
    <w:rsid w:val="006474C6"/>
    <w:rsid w:val="006475A4"/>
    <w:rsid w:val="00647CAF"/>
    <w:rsid w:val="00647D49"/>
    <w:rsid w:val="00647F1E"/>
    <w:rsid w:val="0065053D"/>
    <w:rsid w:val="00650570"/>
    <w:rsid w:val="006505BB"/>
    <w:rsid w:val="00651415"/>
    <w:rsid w:val="00651681"/>
    <w:rsid w:val="006519C3"/>
    <w:rsid w:val="006520B2"/>
    <w:rsid w:val="00652B30"/>
    <w:rsid w:val="00652FF8"/>
    <w:rsid w:val="00653232"/>
    <w:rsid w:val="00653516"/>
    <w:rsid w:val="006535D9"/>
    <w:rsid w:val="00653993"/>
    <w:rsid w:val="00653A76"/>
    <w:rsid w:val="00653BE7"/>
    <w:rsid w:val="00653D0E"/>
    <w:rsid w:val="006543B5"/>
    <w:rsid w:val="00654503"/>
    <w:rsid w:val="006546DD"/>
    <w:rsid w:val="00654864"/>
    <w:rsid w:val="00654FD5"/>
    <w:rsid w:val="00655180"/>
    <w:rsid w:val="00655A17"/>
    <w:rsid w:val="00655B08"/>
    <w:rsid w:val="00655C61"/>
    <w:rsid w:val="00656345"/>
    <w:rsid w:val="006566B2"/>
    <w:rsid w:val="0065692B"/>
    <w:rsid w:val="00656ABE"/>
    <w:rsid w:val="00656DC6"/>
    <w:rsid w:val="0065719A"/>
    <w:rsid w:val="0065743A"/>
    <w:rsid w:val="006577B5"/>
    <w:rsid w:val="00657C4A"/>
    <w:rsid w:val="00657ECF"/>
    <w:rsid w:val="00660698"/>
    <w:rsid w:val="00660C4E"/>
    <w:rsid w:val="00660EC6"/>
    <w:rsid w:val="00661881"/>
    <w:rsid w:val="00661A0B"/>
    <w:rsid w:val="00661D7F"/>
    <w:rsid w:val="006622F8"/>
    <w:rsid w:val="006623B7"/>
    <w:rsid w:val="006626C6"/>
    <w:rsid w:val="0066290C"/>
    <w:rsid w:val="00662C2E"/>
    <w:rsid w:val="00662EB0"/>
    <w:rsid w:val="00663271"/>
    <w:rsid w:val="00663875"/>
    <w:rsid w:val="00664110"/>
    <w:rsid w:val="0066430C"/>
    <w:rsid w:val="0066461E"/>
    <w:rsid w:val="0066468F"/>
    <w:rsid w:val="00664B0B"/>
    <w:rsid w:val="00664D17"/>
    <w:rsid w:val="00665517"/>
    <w:rsid w:val="00665FA9"/>
    <w:rsid w:val="00666520"/>
    <w:rsid w:val="00666B2F"/>
    <w:rsid w:val="00666FAE"/>
    <w:rsid w:val="00667123"/>
    <w:rsid w:val="006675A6"/>
    <w:rsid w:val="006675A9"/>
    <w:rsid w:val="00667AD5"/>
    <w:rsid w:val="00667C5B"/>
    <w:rsid w:val="00667C6F"/>
    <w:rsid w:val="00667DE3"/>
    <w:rsid w:val="00670047"/>
    <w:rsid w:val="0067005C"/>
    <w:rsid w:val="0067069E"/>
    <w:rsid w:val="00670B1D"/>
    <w:rsid w:val="00670D70"/>
    <w:rsid w:val="00671045"/>
    <w:rsid w:val="0067113E"/>
    <w:rsid w:val="00671405"/>
    <w:rsid w:val="00671515"/>
    <w:rsid w:val="00671570"/>
    <w:rsid w:val="00671A25"/>
    <w:rsid w:val="00671F45"/>
    <w:rsid w:val="00672981"/>
    <w:rsid w:val="00672E3F"/>
    <w:rsid w:val="00674000"/>
    <w:rsid w:val="0067401E"/>
    <w:rsid w:val="00674509"/>
    <w:rsid w:val="00674908"/>
    <w:rsid w:val="00674A6D"/>
    <w:rsid w:val="00674EA2"/>
    <w:rsid w:val="00674FB6"/>
    <w:rsid w:val="00675697"/>
    <w:rsid w:val="00675758"/>
    <w:rsid w:val="00675D56"/>
    <w:rsid w:val="00675ED2"/>
    <w:rsid w:val="006762EC"/>
    <w:rsid w:val="00676637"/>
    <w:rsid w:val="0067695C"/>
    <w:rsid w:val="00676C07"/>
    <w:rsid w:val="00677312"/>
    <w:rsid w:val="00677659"/>
    <w:rsid w:val="00677B73"/>
    <w:rsid w:val="00677D16"/>
    <w:rsid w:val="00680015"/>
    <w:rsid w:val="006800A6"/>
    <w:rsid w:val="00680894"/>
    <w:rsid w:val="00680A35"/>
    <w:rsid w:val="006815EF"/>
    <w:rsid w:val="006817BD"/>
    <w:rsid w:val="00681C2C"/>
    <w:rsid w:val="00681D2A"/>
    <w:rsid w:val="00682139"/>
    <w:rsid w:val="00682391"/>
    <w:rsid w:val="0068284F"/>
    <w:rsid w:val="00682B00"/>
    <w:rsid w:val="00682C5D"/>
    <w:rsid w:val="00682D76"/>
    <w:rsid w:val="006832C4"/>
    <w:rsid w:val="006834DF"/>
    <w:rsid w:val="00683920"/>
    <w:rsid w:val="00684275"/>
    <w:rsid w:val="006842D9"/>
    <w:rsid w:val="00684BAC"/>
    <w:rsid w:val="00684D8D"/>
    <w:rsid w:val="006854B7"/>
    <w:rsid w:val="00685586"/>
    <w:rsid w:val="006859A5"/>
    <w:rsid w:val="006859D6"/>
    <w:rsid w:val="00685B24"/>
    <w:rsid w:val="00685B36"/>
    <w:rsid w:val="00685C20"/>
    <w:rsid w:val="00686210"/>
    <w:rsid w:val="00686220"/>
    <w:rsid w:val="00686461"/>
    <w:rsid w:val="00686727"/>
    <w:rsid w:val="006867F7"/>
    <w:rsid w:val="006870B2"/>
    <w:rsid w:val="006874D5"/>
    <w:rsid w:val="00687A85"/>
    <w:rsid w:val="00687C44"/>
    <w:rsid w:val="00690037"/>
    <w:rsid w:val="00690429"/>
    <w:rsid w:val="00690515"/>
    <w:rsid w:val="006906BB"/>
    <w:rsid w:val="0069085D"/>
    <w:rsid w:val="00690B39"/>
    <w:rsid w:val="00690B9B"/>
    <w:rsid w:val="00691164"/>
    <w:rsid w:val="006914D9"/>
    <w:rsid w:val="006918CE"/>
    <w:rsid w:val="00691EB8"/>
    <w:rsid w:val="006929DD"/>
    <w:rsid w:val="00692CDE"/>
    <w:rsid w:val="00693073"/>
    <w:rsid w:val="00693BBA"/>
    <w:rsid w:val="00693C2C"/>
    <w:rsid w:val="006941D7"/>
    <w:rsid w:val="00694329"/>
    <w:rsid w:val="00694519"/>
    <w:rsid w:val="00694970"/>
    <w:rsid w:val="006949AD"/>
    <w:rsid w:val="0069500F"/>
    <w:rsid w:val="00695165"/>
    <w:rsid w:val="006953BF"/>
    <w:rsid w:val="0069579A"/>
    <w:rsid w:val="00695D24"/>
    <w:rsid w:val="0069629F"/>
    <w:rsid w:val="00696715"/>
    <w:rsid w:val="006967BA"/>
    <w:rsid w:val="00696BC9"/>
    <w:rsid w:val="0069721E"/>
    <w:rsid w:val="006972A8"/>
    <w:rsid w:val="00697584"/>
    <w:rsid w:val="0069775C"/>
    <w:rsid w:val="006977FF"/>
    <w:rsid w:val="00697B82"/>
    <w:rsid w:val="006A01FA"/>
    <w:rsid w:val="006A094E"/>
    <w:rsid w:val="006A0A0E"/>
    <w:rsid w:val="006A0E9E"/>
    <w:rsid w:val="006A122A"/>
    <w:rsid w:val="006A1375"/>
    <w:rsid w:val="006A1758"/>
    <w:rsid w:val="006A17B7"/>
    <w:rsid w:val="006A1B0D"/>
    <w:rsid w:val="006A2015"/>
    <w:rsid w:val="006A244D"/>
    <w:rsid w:val="006A244E"/>
    <w:rsid w:val="006A25C7"/>
    <w:rsid w:val="006A2A3D"/>
    <w:rsid w:val="006A2B40"/>
    <w:rsid w:val="006A2B97"/>
    <w:rsid w:val="006A2E32"/>
    <w:rsid w:val="006A3026"/>
    <w:rsid w:val="006A3081"/>
    <w:rsid w:val="006A3291"/>
    <w:rsid w:val="006A3690"/>
    <w:rsid w:val="006A3B0F"/>
    <w:rsid w:val="006A3ECF"/>
    <w:rsid w:val="006A3ED9"/>
    <w:rsid w:val="006A419D"/>
    <w:rsid w:val="006A4AAD"/>
    <w:rsid w:val="006A4CCA"/>
    <w:rsid w:val="006A4DFE"/>
    <w:rsid w:val="006A4F5C"/>
    <w:rsid w:val="006A51D8"/>
    <w:rsid w:val="006A55D2"/>
    <w:rsid w:val="006A5691"/>
    <w:rsid w:val="006A595E"/>
    <w:rsid w:val="006A59EE"/>
    <w:rsid w:val="006A5B4C"/>
    <w:rsid w:val="006A5B7F"/>
    <w:rsid w:val="006A5DE6"/>
    <w:rsid w:val="006A608F"/>
    <w:rsid w:val="006A619D"/>
    <w:rsid w:val="006A6640"/>
    <w:rsid w:val="006A6AC0"/>
    <w:rsid w:val="006A6CF3"/>
    <w:rsid w:val="006A6DA2"/>
    <w:rsid w:val="006A70B1"/>
    <w:rsid w:val="006A765A"/>
    <w:rsid w:val="006A785A"/>
    <w:rsid w:val="006A7A09"/>
    <w:rsid w:val="006A7AB2"/>
    <w:rsid w:val="006A7D17"/>
    <w:rsid w:val="006A7E9B"/>
    <w:rsid w:val="006B00A6"/>
    <w:rsid w:val="006B0188"/>
    <w:rsid w:val="006B04BD"/>
    <w:rsid w:val="006B0763"/>
    <w:rsid w:val="006B0765"/>
    <w:rsid w:val="006B0FF7"/>
    <w:rsid w:val="006B1404"/>
    <w:rsid w:val="006B17CE"/>
    <w:rsid w:val="006B1B90"/>
    <w:rsid w:val="006B2168"/>
    <w:rsid w:val="006B2CEC"/>
    <w:rsid w:val="006B2FBE"/>
    <w:rsid w:val="006B32C5"/>
    <w:rsid w:val="006B32F8"/>
    <w:rsid w:val="006B342D"/>
    <w:rsid w:val="006B353A"/>
    <w:rsid w:val="006B3610"/>
    <w:rsid w:val="006B37E8"/>
    <w:rsid w:val="006B3CFE"/>
    <w:rsid w:val="006B3F45"/>
    <w:rsid w:val="006B41BC"/>
    <w:rsid w:val="006B427E"/>
    <w:rsid w:val="006B42AC"/>
    <w:rsid w:val="006B45D3"/>
    <w:rsid w:val="006B4B65"/>
    <w:rsid w:val="006B4D6F"/>
    <w:rsid w:val="006B4F3B"/>
    <w:rsid w:val="006B500A"/>
    <w:rsid w:val="006B517E"/>
    <w:rsid w:val="006B52DE"/>
    <w:rsid w:val="006B5717"/>
    <w:rsid w:val="006B582F"/>
    <w:rsid w:val="006B5E62"/>
    <w:rsid w:val="006B5EB2"/>
    <w:rsid w:val="006B6B9F"/>
    <w:rsid w:val="006B6F91"/>
    <w:rsid w:val="006B7B13"/>
    <w:rsid w:val="006B7DFE"/>
    <w:rsid w:val="006C0CA0"/>
    <w:rsid w:val="006C0CEB"/>
    <w:rsid w:val="006C0D2F"/>
    <w:rsid w:val="006C0F0A"/>
    <w:rsid w:val="006C1243"/>
    <w:rsid w:val="006C1631"/>
    <w:rsid w:val="006C163F"/>
    <w:rsid w:val="006C1B21"/>
    <w:rsid w:val="006C1E51"/>
    <w:rsid w:val="006C2841"/>
    <w:rsid w:val="006C2980"/>
    <w:rsid w:val="006C2D19"/>
    <w:rsid w:val="006C2E31"/>
    <w:rsid w:val="006C2EC9"/>
    <w:rsid w:val="006C31C1"/>
    <w:rsid w:val="006C35B1"/>
    <w:rsid w:val="006C37DC"/>
    <w:rsid w:val="006C3892"/>
    <w:rsid w:val="006C3A49"/>
    <w:rsid w:val="006C3B1E"/>
    <w:rsid w:val="006C3FE1"/>
    <w:rsid w:val="006C45E0"/>
    <w:rsid w:val="006C47F9"/>
    <w:rsid w:val="006C47FD"/>
    <w:rsid w:val="006C4888"/>
    <w:rsid w:val="006C50AB"/>
    <w:rsid w:val="006C560E"/>
    <w:rsid w:val="006C5818"/>
    <w:rsid w:val="006C589B"/>
    <w:rsid w:val="006C5C19"/>
    <w:rsid w:val="006C5ED2"/>
    <w:rsid w:val="006C5FD4"/>
    <w:rsid w:val="006C664F"/>
    <w:rsid w:val="006C6FC0"/>
    <w:rsid w:val="006C70A0"/>
    <w:rsid w:val="006C745E"/>
    <w:rsid w:val="006D0407"/>
    <w:rsid w:val="006D0853"/>
    <w:rsid w:val="006D0C7C"/>
    <w:rsid w:val="006D0D65"/>
    <w:rsid w:val="006D1001"/>
    <w:rsid w:val="006D121A"/>
    <w:rsid w:val="006D147E"/>
    <w:rsid w:val="006D1AE5"/>
    <w:rsid w:val="006D1B3B"/>
    <w:rsid w:val="006D1BFD"/>
    <w:rsid w:val="006D242F"/>
    <w:rsid w:val="006D27B1"/>
    <w:rsid w:val="006D27CB"/>
    <w:rsid w:val="006D284E"/>
    <w:rsid w:val="006D28B7"/>
    <w:rsid w:val="006D2958"/>
    <w:rsid w:val="006D2BDF"/>
    <w:rsid w:val="006D2F08"/>
    <w:rsid w:val="006D32B0"/>
    <w:rsid w:val="006D3321"/>
    <w:rsid w:val="006D3AA3"/>
    <w:rsid w:val="006D40E8"/>
    <w:rsid w:val="006D4992"/>
    <w:rsid w:val="006D4A91"/>
    <w:rsid w:val="006D576C"/>
    <w:rsid w:val="006D5865"/>
    <w:rsid w:val="006D5CAB"/>
    <w:rsid w:val="006D61D9"/>
    <w:rsid w:val="006D623C"/>
    <w:rsid w:val="006D6478"/>
    <w:rsid w:val="006D6981"/>
    <w:rsid w:val="006D6BDA"/>
    <w:rsid w:val="006D6CD9"/>
    <w:rsid w:val="006D6D0C"/>
    <w:rsid w:val="006D7308"/>
    <w:rsid w:val="006D751E"/>
    <w:rsid w:val="006D7F63"/>
    <w:rsid w:val="006E0571"/>
    <w:rsid w:val="006E05C1"/>
    <w:rsid w:val="006E09DC"/>
    <w:rsid w:val="006E0AFD"/>
    <w:rsid w:val="006E14B8"/>
    <w:rsid w:val="006E23AA"/>
    <w:rsid w:val="006E2814"/>
    <w:rsid w:val="006E3197"/>
    <w:rsid w:val="006E3A8D"/>
    <w:rsid w:val="006E3B94"/>
    <w:rsid w:val="006E3EAD"/>
    <w:rsid w:val="006E3F2E"/>
    <w:rsid w:val="006E4603"/>
    <w:rsid w:val="006E48AC"/>
    <w:rsid w:val="006E48D8"/>
    <w:rsid w:val="006E4AE7"/>
    <w:rsid w:val="006E4B1B"/>
    <w:rsid w:val="006E4D49"/>
    <w:rsid w:val="006E5445"/>
    <w:rsid w:val="006E55EE"/>
    <w:rsid w:val="006E5662"/>
    <w:rsid w:val="006E58C2"/>
    <w:rsid w:val="006E59A0"/>
    <w:rsid w:val="006E5A7C"/>
    <w:rsid w:val="006E5F63"/>
    <w:rsid w:val="006E68C6"/>
    <w:rsid w:val="006E6D0C"/>
    <w:rsid w:val="006E700E"/>
    <w:rsid w:val="006E7078"/>
    <w:rsid w:val="006E7308"/>
    <w:rsid w:val="006E7429"/>
    <w:rsid w:val="006E757C"/>
    <w:rsid w:val="006E75A1"/>
    <w:rsid w:val="006E7796"/>
    <w:rsid w:val="006E7D93"/>
    <w:rsid w:val="006F0B40"/>
    <w:rsid w:val="006F0DB8"/>
    <w:rsid w:val="006F11BD"/>
    <w:rsid w:val="006F14CA"/>
    <w:rsid w:val="006F183B"/>
    <w:rsid w:val="006F1AC2"/>
    <w:rsid w:val="006F2C00"/>
    <w:rsid w:val="006F3011"/>
    <w:rsid w:val="006F362F"/>
    <w:rsid w:val="006F3759"/>
    <w:rsid w:val="006F3917"/>
    <w:rsid w:val="006F3F9E"/>
    <w:rsid w:val="006F40FF"/>
    <w:rsid w:val="006F4125"/>
    <w:rsid w:val="006F4900"/>
    <w:rsid w:val="006F4E39"/>
    <w:rsid w:val="006F537E"/>
    <w:rsid w:val="006F53E5"/>
    <w:rsid w:val="006F60FC"/>
    <w:rsid w:val="006F6514"/>
    <w:rsid w:val="006F6749"/>
    <w:rsid w:val="006F6977"/>
    <w:rsid w:val="006F6CB3"/>
    <w:rsid w:val="006F72E2"/>
    <w:rsid w:val="006F7E5C"/>
    <w:rsid w:val="007000F5"/>
    <w:rsid w:val="007001C4"/>
    <w:rsid w:val="007009FD"/>
    <w:rsid w:val="00700DB4"/>
    <w:rsid w:val="00700F7B"/>
    <w:rsid w:val="0070133D"/>
    <w:rsid w:val="00701622"/>
    <w:rsid w:val="00701920"/>
    <w:rsid w:val="007020E4"/>
    <w:rsid w:val="00702156"/>
    <w:rsid w:val="007029A3"/>
    <w:rsid w:val="00703545"/>
    <w:rsid w:val="00703715"/>
    <w:rsid w:val="007038FB"/>
    <w:rsid w:val="00703915"/>
    <w:rsid w:val="007039C6"/>
    <w:rsid w:val="00703AFA"/>
    <w:rsid w:val="00703E4D"/>
    <w:rsid w:val="007040EC"/>
    <w:rsid w:val="007056B5"/>
    <w:rsid w:val="00705887"/>
    <w:rsid w:val="00705A10"/>
    <w:rsid w:val="00705B4C"/>
    <w:rsid w:val="007069CD"/>
    <w:rsid w:val="00706DFB"/>
    <w:rsid w:val="00706E4E"/>
    <w:rsid w:val="007071B5"/>
    <w:rsid w:val="0070791C"/>
    <w:rsid w:val="00707AA4"/>
    <w:rsid w:val="00707C0E"/>
    <w:rsid w:val="00707C94"/>
    <w:rsid w:val="00707DA3"/>
    <w:rsid w:val="00707E54"/>
    <w:rsid w:val="00707F42"/>
    <w:rsid w:val="007100B0"/>
    <w:rsid w:val="007108E0"/>
    <w:rsid w:val="007109E7"/>
    <w:rsid w:val="00710C68"/>
    <w:rsid w:val="00710CE3"/>
    <w:rsid w:val="007125A0"/>
    <w:rsid w:val="00712A90"/>
    <w:rsid w:val="00712AB5"/>
    <w:rsid w:val="00712C1F"/>
    <w:rsid w:val="0071383C"/>
    <w:rsid w:val="00713DE9"/>
    <w:rsid w:val="0071415C"/>
    <w:rsid w:val="007141A7"/>
    <w:rsid w:val="0071443A"/>
    <w:rsid w:val="007144DE"/>
    <w:rsid w:val="0071540B"/>
    <w:rsid w:val="00715433"/>
    <w:rsid w:val="0071546F"/>
    <w:rsid w:val="00715722"/>
    <w:rsid w:val="00715BAF"/>
    <w:rsid w:val="00715DF5"/>
    <w:rsid w:val="007160AA"/>
    <w:rsid w:val="007164F8"/>
    <w:rsid w:val="0071660B"/>
    <w:rsid w:val="00716BC0"/>
    <w:rsid w:val="00716BE8"/>
    <w:rsid w:val="00716E23"/>
    <w:rsid w:val="0071706C"/>
    <w:rsid w:val="007174BB"/>
    <w:rsid w:val="00717E3C"/>
    <w:rsid w:val="00717F08"/>
    <w:rsid w:val="00717F59"/>
    <w:rsid w:val="00720108"/>
    <w:rsid w:val="0072086B"/>
    <w:rsid w:val="00720C0E"/>
    <w:rsid w:val="00720E2D"/>
    <w:rsid w:val="00721032"/>
    <w:rsid w:val="00721158"/>
    <w:rsid w:val="007212C0"/>
    <w:rsid w:val="007212FC"/>
    <w:rsid w:val="00721774"/>
    <w:rsid w:val="00721AE4"/>
    <w:rsid w:val="00721B55"/>
    <w:rsid w:val="007220F7"/>
    <w:rsid w:val="00722120"/>
    <w:rsid w:val="007225EA"/>
    <w:rsid w:val="00722F2A"/>
    <w:rsid w:val="00722FF5"/>
    <w:rsid w:val="0072304C"/>
    <w:rsid w:val="007232AE"/>
    <w:rsid w:val="0072365C"/>
    <w:rsid w:val="007236B9"/>
    <w:rsid w:val="0072374C"/>
    <w:rsid w:val="007238EB"/>
    <w:rsid w:val="00723DC1"/>
    <w:rsid w:val="0072422A"/>
    <w:rsid w:val="0072429A"/>
    <w:rsid w:val="007243B0"/>
    <w:rsid w:val="0072470C"/>
    <w:rsid w:val="00724B8C"/>
    <w:rsid w:val="007258B5"/>
    <w:rsid w:val="00725AF3"/>
    <w:rsid w:val="00725C32"/>
    <w:rsid w:val="0072618A"/>
    <w:rsid w:val="007261C9"/>
    <w:rsid w:val="0072627B"/>
    <w:rsid w:val="00726581"/>
    <w:rsid w:val="007266D6"/>
    <w:rsid w:val="007267EF"/>
    <w:rsid w:val="0072692D"/>
    <w:rsid w:val="00726CE4"/>
    <w:rsid w:val="00726DE0"/>
    <w:rsid w:val="007270B4"/>
    <w:rsid w:val="007270F6"/>
    <w:rsid w:val="00727D26"/>
    <w:rsid w:val="00727F80"/>
    <w:rsid w:val="00730A21"/>
    <w:rsid w:val="00730F0A"/>
    <w:rsid w:val="0073103E"/>
    <w:rsid w:val="0073109F"/>
    <w:rsid w:val="00732026"/>
    <w:rsid w:val="00732552"/>
    <w:rsid w:val="00732776"/>
    <w:rsid w:val="00732FE9"/>
    <w:rsid w:val="007335C3"/>
    <w:rsid w:val="00733C8F"/>
    <w:rsid w:val="00734124"/>
    <w:rsid w:val="00734143"/>
    <w:rsid w:val="0073415C"/>
    <w:rsid w:val="0073464F"/>
    <w:rsid w:val="00734D47"/>
    <w:rsid w:val="00734DC8"/>
    <w:rsid w:val="00734F25"/>
    <w:rsid w:val="00735627"/>
    <w:rsid w:val="0073571E"/>
    <w:rsid w:val="00736AC1"/>
    <w:rsid w:val="00736D77"/>
    <w:rsid w:val="00736EE6"/>
    <w:rsid w:val="00736EEC"/>
    <w:rsid w:val="00737628"/>
    <w:rsid w:val="00737E47"/>
    <w:rsid w:val="007400C9"/>
    <w:rsid w:val="007401F7"/>
    <w:rsid w:val="00740CBA"/>
    <w:rsid w:val="00740EAC"/>
    <w:rsid w:val="00741303"/>
    <w:rsid w:val="00741929"/>
    <w:rsid w:val="00741ED8"/>
    <w:rsid w:val="00742088"/>
    <w:rsid w:val="00742117"/>
    <w:rsid w:val="00742855"/>
    <w:rsid w:val="0074300E"/>
    <w:rsid w:val="007435FB"/>
    <w:rsid w:val="00743B62"/>
    <w:rsid w:val="00744786"/>
    <w:rsid w:val="00744956"/>
    <w:rsid w:val="00744BC6"/>
    <w:rsid w:val="00744BFF"/>
    <w:rsid w:val="00744C19"/>
    <w:rsid w:val="00744FE0"/>
    <w:rsid w:val="0074533B"/>
    <w:rsid w:val="00745395"/>
    <w:rsid w:val="007457E9"/>
    <w:rsid w:val="00745A5C"/>
    <w:rsid w:val="00745E1F"/>
    <w:rsid w:val="00745ED7"/>
    <w:rsid w:val="00745F0C"/>
    <w:rsid w:val="0074605F"/>
    <w:rsid w:val="0074610B"/>
    <w:rsid w:val="007462DD"/>
    <w:rsid w:val="007467B5"/>
    <w:rsid w:val="007468FC"/>
    <w:rsid w:val="007473A6"/>
    <w:rsid w:val="007473E0"/>
    <w:rsid w:val="007473EE"/>
    <w:rsid w:val="00747E94"/>
    <w:rsid w:val="00750F77"/>
    <w:rsid w:val="007510A8"/>
    <w:rsid w:val="00751159"/>
    <w:rsid w:val="00751409"/>
    <w:rsid w:val="00751617"/>
    <w:rsid w:val="00751692"/>
    <w:rsid w:val="007516E0"/>
    <w:rsid w:val="0075181D"/>
    <w:rsid w:val="00751A4B"/>
    <w:rsid w:val="00751C35"/>
    <w:rsid w:val="00752007"/>
    <w:rsid w:val="00753901"/>
    <w:rsid w:val="007539C6"/>
    <w:rsid w:val="00753B5D"/>
    <w:rsid w:val="007549A4"/>
    <w:rsid w:val="00754B4A"/>
    <w:rsid w:val="00754C83"/>
    <w:rsid w:val="00754DBC"/>
    <w:rsid w:val="00755240"/>
    <w:rsid w:val="00755784"/>
    <w:rsid w:val="00755A0A"/>
    <w:rsid w:val="00756679"/>
    <w:rsid w:val="00756954"/>
    <w:rsid w:val="0075696B"/>
    <w:rsid w:val="00756A06"/>
    <w:rsid w:val="00756AC5"/>
    <w:rsid w:val="007576E9"/>
    <w:rsid w:val="00757AC8"/>
    <w:rsid w:val="00757CE9"/>
    <w:rsid w:val="00760936"/>
    <w:rsid w:val="00760A44"/>
    <w:rsid w:val="00760A5F"/>
    <w:rsid w:val="007613CB"/>
    <w:rsid w:val="007619B6"/>
    <w:rsid w:val="00761CB8"/>
    <w:rsid w:val="00761E5C"/>
    <w:rsid w:val="00762004"/>
    <w:rsid w:val="007621B2"/>
    <w:rsid w:val="00762389"/>
    <w:rsid w:val="00762953"/>
    <w:rsid w:val="00762A1A"/>
    <w:rsid w:val="00762D8F"/>
    <w:rsid w:val="00763006"/>
    <w:rsid w:val="007631B6"/>
    <w:rsid w:val="00763B40"/>
    <w:rsid w:val="00763ED1"/>
    <w:rsid w:val="0076483C"/>
    <w:rsid w:val="00764DCA"/>
    <w:rsid w:val="007651E5"/>
    <w:rsid w:val="00765353"/>
    <w:rsid w:val="007657E5"/>
    <w:rsid w:val="007657E8"/>
    <w:rsid w:val="007659BA"/>
    <w:rsid w:val="00765B5F"/>
    <w:rsid w:val="00765DF8"/>
    <w:rsid w:val="00765FBA"/>
    <w:rsid w:val="00766749"/>
    <w:rsid w:val="00766D4A"/>
    <w:rsid w:val="00766DD4"/>
    <w:rsid w:val="0076778D"/>
    <w:rsid w:val="00767C1B"/>
    <w:rsid w:val="00767DAE"/>
    <w:rsid w:val="00770158"/>
    <w:rsid w:val="00770243"/>
    <w:rsid w:val="00770836"/>
    <w:rsid w:val="00770B3F"/>
    <w:rsid w:val="00771331"/>
    <w:rsid w:val="007714A9"/>
    <w:rsid w:val="00771B7E"/>
    <w:rsid w:val="00771F3A"/>
    <w:rsid w:val="0077216C"/>
    <w:rsid w:val="0077260D"/>
    <w:rsid w:val="0077270C"/>
    <w:rsid w:val="00772C71"/>
    <w:rsid w:val="00772E48"/>
    <w:rsid w:val="00772F7D"/>
    <w:rsid w:val="00773727"/>
    <w:rsid w:val="0077398D"/>
    <w:rsid w:val="007741B2"/>
    <w:rsid w:val="007743E3"/>
    <w:rsid w:val="007744FB"/>
    <w:rsid w:val="00774E02"/>
    <w:rsid w:val="00774EE4"/>
    <w:rsid w:val="00774F80"/>
    <w:rsid w:val="00774F88"/>
    <w:rsid w:val="00774FDB"/>
    <w:rsid w:val="0077507F"/>
    <w:rsid w:val="00775559"/>
    <w:rsid w:val="007759BF"/>
    <w:rsid w:val="007768B7"/>
    <w:rsid w:val="007768E6"/>
    <w:rsid w:val="00776BFB"/>
    <w:rsid w:val="007770A0"/>
    <w:rsid w:val="00777100"/>
    <w:rsid w:val="00777122"/>
    <w:rsid w:val="0077749D"/>
    <w:rsid w:val="00777BA2"/>
    <w:rsid w:val="00777CCF"/>
    <w:rsid w:val="007801F8"/>
    <w:rsid w:val="00780685"/>
    <w:rsid w:val="007808FE"/>
    <w:rsid w:val="00780B3C"/>
    <w:rsid w:val="00780CDB"/>
    <w:rsid w:val="00781130"/>
    <w:rsid w:val="00781147"/>
    <w:rsid w:val="00781408"/>
    <w:rsid w:val="00781512"/>
    <w:rsid w:val="007815FC"/>
    <w:rsid w:val="0078168C"/>
    <w:rsid w:val="0078173A"/>
    <w:rsid w:val="007819A3"/>
    <w:rsid w:val="00781B74"/>
    <w:rsid w:val="007820AE"/>
    <w:rsid w:val="007827A0"/>
    <w:rsid w:val="0078317A"/>
    <w:rsid w:val="0078327C"/>
    <w:rsid w:val="00783592"/>
    <w:rsid w:val="00783CB1"/>
    <w:rsid w:val="007845F0"/>
    <w:rsid w:val="00784875"/>
    <w:rsid w:val="007849A5"/>
    <w:rsid w:val="00784C22"/>
    <w:rsid w:val="00784C95"/>
    <w:rsid w:val="00784F7E"/>
    <w:rsid w:val="00784F7F"/>
    <w:rsid w:val="00785016"/>
    <w:rsid w:val="007850F3"/>
    <w:rsid w:val="0078557F"/>
    <w:rsid w:val="00785F63"/>
    <w:rsid w:val="00786674"/>
    <w:rsid w:val="0078684B"/>
    <w:rsid w:val="00786930"/>
    <w:rsid w:val="00786AAC"/>
    <w:rsid w:val="007870A9"/>
    <w:rsid w:val="00787780"/>
    <w:rsid w:val="007878BD"/>
    <w:rsid w:val="00790368"/>
    <w:rsid w:val="007905E7"/>
    <w:rsid w:val="00790965"/>
    <w:rsid w:val="00790E25"/>
    <w:rsid w:val="007917A2"/>
    <w:rsid w:val="00792422"/>
    <w:rsid w:val="007924E3"/>
    <w:rsid w:val="00792642"/>
    <w:rsid w:val="00792959"/>
    <w:rsid w:val="00792994"/>
    <w:rsid w:val="007929E0"/>
    <w:rsid w:val="007935EE"/>
    <w:rsid w:val="00793ADB"/>
    <w:rsid w:val="00793B42"/>
    <w:rsid w:val="00793DB8"/>
    <w:rsid w:val="00793EB9"/>
    <w:rsid w:val="0079402D"/>
    <w:rsid w:val="007942D6"/>
    <w:rsid w:val="00794496"/>
    <w:rsid w:val="007944B1"/>
    <w:rsid w:val="007947E5"/>
    <w:rsid w:val="007948CC"/>
    <w:rsid w:val="00794932"/>
    <w:rsid w:val="00794A38"/>
    <w:rsid w:val="00794DA4"/>
    <w:rsid w:val="0079522C"/>
    <w:rsid w:val="007952A3"/>
    <w:rsid w:val="007953D1"/>
    <w:rsid w:val="0079558B"/>
    <w:rsid w:val="007955D0"/>
    <w:rsid w:val="007957F9"/>
    <w:rsid w:val="00795883"/>
    <w:rsid w:val="0079597B"/>
    <w:rsid w:val="00795A4D"/>
    <w:rsid w:val="00795CA4"/>
    <w:rsid w:val="00795F82"/>
    <w:rsid w:val="00796DA3"/>
    <w:rsid w:val="00796F25"/>
    <w:rsid w:val="00797247"/>
    <w:rsid w:val="007973CB"/>
    <w:rsid w:val="00797510"/>
    <w:rsid w:val="00797829"/>
    <w:rsid w:val="00797920"/>
    <w:rsid w:val="007979ED"/>
    <w:rsid w:val="00797A76"/>
    <w:rsid w:val="00797A8A"/>
    <w:rsid w:val="007A006A"/>
    <w:rsid w:val="007A0369"/>
    <w:rsid w:val="007A065F"/>
    <w:rsid w:val="007A071C"/>
    <w:rsid w:val="007A0935"/>
    <w:rsid w:val="007A0A1C"/>
    <w:rsid w:val="007A0B60"/>
    <w:rsid w:val="007A1158"/>
    <w:rsid w:val="007A1465"/>
    <w:rsid w:val="007A187B"/>
    <w:rsid w:val="007A1CC0"/>
    <w:rsid w:val="007A1F6E"/>
    <w:rsid w:val="007A2349"/>
    <w:rsid w:val="007A25D5"/>
    <w:rsid w:val="007A2784"/>
    <w:rsid w:val="007A2D83"/>
    <w:rsid w:val="007A2E98"/>
    <w:rsid w:val="007A2F08"/>
    <w:rsid w:val="007A32B0"/>
    <w:rsid w:val="007A36D1"/>
    <w:rsid w:val="007A3779"/>
    <w:rsid w:val="007A3A74"/>
    <w:rsid w:val="007A3BA3"/>
    <w:rsid w:val="007A3F97"/>
    <w:rsid w:val="007A4A64"/>
    <w:rsid w:val="007A4B5D"/>
    <w:rsid w:val="007A50B7"/>
    <w:rsid w:val="007A6538"/>
    <w:rsid w:val="007A6AD8"/>
    <w:rsid w:val="007A6CC0"/>
    <w:rsid w:val="007A6CFF"/>
    <w:rsid w:val="007A773A"/>
    <w:rsid w:val="007A7A71"/>
    <w:rsid w:val="007A7FEC"/>
    <w:rsid w:val="007B027E"/>
    <w:rsid w:val="007B04E9"/>
    <w:rsid w:val="007B0CB1"/>
    <w:rsid w:val="007B1099"/>
    <w:rsid w:val="007B10B8"/>
    <w:rsid w:val="007B1288"/>
    <w:rsid w:val="007B1328"/>
    <w:rsid w:val="007B1499"/>
    <w:rsid w:val="007B15DC"/>
    <w:rsid w:val="007B1BBF"/>
    <w:rsid w:val="007B2009"/>
    <w:rsid w:val="007B2960"/>
    <w:rsid w:val="007B2A72"/>
    <w:rsid w:val="007B2BB2"/>
    <w:rsid w:val="007B314E"/>
    <w:rsid w:val="007B3186"/>
    <w:rsid w:val="007B3290"/>
    <w:rsid w:val="007B355D"/>
    <w:rsid w:val="007B35FB"/>
    <w:rsid w:val="007B4398"/>
    <w:rsid w:val="007B4634"/>
    <w:rsid w:val="007B55CF"/>
    <w:rsid w:val="007B5D98"/>
    <w:rsid w:val="007B5E6C"/>
    <w:rsid w:val="007B63CB"/>
    <w:rsid w:val="007B681A"/>
    <w:rsid w:val="007B6C96"/>
    <w:rsid w:val="007B6CD9"/>
    <w:rsid w:val="007B6FE3"/>
    <w:rsid w:val="007B73CF"/>
    <w:rsid w:val="007B7980"/>
    <w:rsid w:val="007B7D81"/>
    <w:rsid w:val="007B7E57"/>
    <w:rsid w:val="007C0088"/>
    <w:rsid w:val="007C0089"/>
    <w:rsid w:val="007C033A"/>
    <w:rsid w:val="007C07D6"/>
    <w:rsid w:val="007C0DEF"/>
    <w:rsid w:val="007C1358"/>
    <w:rsid w:val="007C1F76"/>
    <w:rsid w:val="007C21C5"/>
    <w:rsid w:val="007C2284"/>
    <w:rsid w:val="007C3093"/>
    <w:rsid w:val="007C30DC"/>
    <w:rsid w:val="007C3256"/>
    <w:rsid w:val="007C3C3D"/>
    <w:rsid w:val="007C433F"/>
    <w:rsid w:val="007C4D92"/>
    <w:rsid w:val="007C5BEA"/>
    <w:rsid w:val="007C5D5A"/>
    <w:rsid w:val="007C607F"/>
    <w:rsid w:val="007C61FD"/>
    <w:rsid w:val="007C6403"/>
    <w:rsid w:val="007C66E7"/>
    <w:rsid w:val="007C6DDE"/>
    <w:rsid w:val="007C754F"/>
    <w:rsid w:val="007C75F4"/>
    <w:rsid w:val="007C78F9"/>
    <w:rsid w:val="007C79DD"/>
    <w:rsid w:val="007C7F3B"/>
    <w:rsid w:val="007D08F4"/>
    <w:rsid w:val="007D0BC8"/>
    <w:rsid w:val="007D1197"/>
    <w:rsid w:val="007D13FB"/>
    <w:rsid w:val="007D1988"/>
    <w:rsid w:val="007D1A97"/>
    <w:rsid w:val="007D1EA1"/>
    <w:rsid w:val="007D23C6"/>
    <w:rsid w:val="007D2643"/>
    <w:rsid w:val="007D2CD6"/>
    <w:rsid w:val="007D2DCF"/>
    <w:rsid w:val="007D2E7E"/>
    <w:rsid w:val="007D3063"/>
    <w:rsid w:val="007D34B9"/>
    <w:rsid w:val="007D38DE"/>
    <w:rsid w:val="007D3C54"/>
    <w:rsid w:val="007D3CEB"/>
    <w:rsid w:val="007D4F64"/>
    <w:rsid w:val="007D4FAA"/>
    <w:rsid w:val="007D5338"/>
    <w:rsid w:val="007D53DD"/>
    <w:rsid w:val="007D5BA7"/>
    <w:rsid w:val="007D5C0B"/>
    <w:rsid w:val="007D6279"/>
    <w:rsid w:val="007D64B0"/>
    <w:rsid w:val="007D6509"/>
    <w:rsid w:val="007D67BB"/>
    <w:rsid w:val="007D6A3B"/>
    <w:rsid w:val="007D6A62"/>
    <w:rsid w:val="007D6B30"/>
    <w:rsid w:val="007D6BDF"/>
    <w:rsid w:val="007D6F55"/>
    <w:rsid w:val="007D725A"/>
    <w:rsid w:val="007D72A0"/>
    <w:rsid w:val="007D758B"/>
    <w:rsid w:val="007D7CC2"/>
    <w:rsid w:val="007D7D30"/>
    <w:rsid w:val="007D7F00"/>
    <w:rsid w:val="007E01E3"/>
    <w:rsid w:val="007E05C5"/>
    <w:rsid w:val="007E07E3"/>
    <w:rsid w:val="007E0905"/>
    <w:rsid w:val="007E0BCB"/>
    <w:rsid w:val="007E0E38"/>
    <w:rsid w:val="007E11BB"/>
    <w:rsid w:val="007E15CA"/>
    <w:rsid w:val="007E189F"/>
    <w:rsid w:val="007E18AE"/>
    <w:rsid w:val="007E19CF"/>
    <w:rsid w:val="007E2163"/>
    <w:rsid w:val="007E30A9"/>
    <w:rsid w:val="007E39C7"/>
    <w:rsid w:val="007E3EC1"/>
    <w:rsid w:val="007E3F32"/>
    <w:rsid w:val="007E3FBB"/>
    <w:rsid w:val="007E4864"/>
    <w:rsid w:val="007E4F74"/>
    <w:rsid w:val="007E5306"/>
    <w:rsid w:val="007E558D"/>
    <w:rsid w:val="007E5F31"/>
    <w:rsid w:val="007E6C42"/>
    <w:rsid w:val="007E6D16"/>
    <w:rsid w:val="007E7094"/>
    <w:rsid w:val="007E7120"/>
    <w:rsid w:val="007E719B"/>
    <w:rsid w:val="007E7683"/>
    <w:rsid w:val="007E779C"/>
    <w:rsid w:val="007E7867"/>
    <w:rsid w:val="007F0058"/>
    <w:rsid w:val="007F0111"/>
    <w:rsid w:val="007F03AA"/>
    <w:rsid w:val="007F0599"/>
    <w:rsid w:val="007F0CF8"/>
    <w:rsid w:val="007F10DD"/>
    <w:rsid w:val="007F1502"/>
    <w:rsid w:val="007F1CA3"/>
    <w:rsid w:val="007F20C7"/>
    <w:rsid w:val="007F226F"/>
    <w:rsid w:val="007F22DB"/>
    <w:rsid w:val="007F2A34"/>
    <w:rsid w:val="007F2B24"/>
    <w:rsid w:val="007F2CEB"/>
    <w:rsid w:val="007F2EA2"/>
    <w:rsid w:val="007F3586"/>
    <w:rsid w:val="007F378A"/>
    <w:rsid w:val="007F39E3"/>
    <w:rsid w:val="007F3A2F"/>
    <w:rsid w:val="007F3BFF"/>
    <w:rsid w:val="007F3F36"/>
    <w:rsid w:val="007F3FA3"/>
    <w:rsid w:val="007F40A7"/>
    <w:rsid w:val="007F4345"/>
    <w:rsid w:val="007F4845"/>
    <w:rsid w:val="007F49FA"/>
    <w:rsid w:val="007F4EBC"/>
    <w:rsid w:val="007F53E7"/>
    <w:rsid w:val="007F54C4"/>
    <w:rsid w:val="007F551F"/>
    <w:rsid w:val="007F6128"/>
    <w:rsid w:val="007F6232"/>
    <w:rsid w:val="007F6E9A"/>
    <w:rsid w:val="007F7116"/>
    <w:rsid w:val="007F726C"/>
    <w:rsid w:val="007F7377"/>
    <w:rsid w:val="0080024B"/>
    <w:rsid w:val="00800538"/>
    <w:rsid w:val="0080084D"/>
    <w:rsid w:val="00800AFF"/>
    <w:rsid w:val="00800C52"/>
    <w:rsid w:val="00800CCD"/>
    <w:rsid w:val="00800D30"/>
    <w:rsid w:val="008016E9"/>
    <w:rsid w:val="00801866"/>
    <w:rsid w:val="008018D6"/>
    <w:rsid w:val="00801914"/>
    <w:rsid w:val="0080198C"/>
    <w:rsid w:val="00801DA4"/>
    <w:rsid w:val="00801FEB"/>
    <w:rsid w:val="008024C6"/>
    <w:rsid w:val="0080265D"/>
    <w:rsid w:val="0080272C"/>
    <w:rsid w:val="00802942"/>
    <w:rsid w:val="0080354D"/>
    <w:rsid w:val="00804447"/>
    <w:rsid w:val="008044D4"/>
    <w:rsid w:val="00804796"/>
    <w:rsid w:val="00804C07"/>
    <w:rsid w:val="00804E2E"/>
    <w:rsid w:val="00805E03"/>
    <w:rsid w:val="0080647C"/>
    <w:rsid w:val="00806737"/>
    <w:rsid w:val="008067C7"/>
    <w:rsid w:val="00806F88"/>
    <w:rsid w:val="00807D13"/>
    <w:rsid w:val="00807EBE"/>
    <w:rsid w:val="00807EF3"/>
    <w:rsid w:val="00807F5A"/>
    <w:rsid w:val="00810213"/>
    <w:rsid w:val="0081083B"/>
    <w:rsid w:val="00810AB4"/>
    <w:rsid w:val="0081129C"/>
    <w:rsid w:val="00811534"/>
    <w:rsid w:val="0081167D"/>
    <w:rsid w:val="0081195D"/>
    <w:rsid w:val="00811AD9"/>
    <w:rsid w:val="00811B6D"/>
    <w:rsid w:val="00811B81"/>
    <w:rsid w:val="00811BA1"/>
    <w:rsid w:val="00811F73"/>
    <w:rsid w:val="00811F9C"/>
    <w:rsid w:val="00812531"/>
    <w:rsid w:val="0081271B"/>
    <w:rsid w:val="00812934"/>
    <w:rsid w:val="00812981"/>
    <w:rsid w:val="00812B92"/>
    <w:rsid w:val="00812CD9"/>
    <w:rsid w:val="00812E9B"/>
    <w:rsid w:val="0081350D"/>
    <w:rsid w:val="008139FA"/>
    <w:rsid w:val="00813A96"/>
    <w:rsid w:val="0081410C"/>
    <w:rsid w:val="00814A0A"/>
    <w:rsid w:val="00815C2B"/>
    <w:rsid w:val="00815D04"/>
    <w:rsid w:val="00815EF0"/>
    <w:rsid w:val="00816494"/>
    <w:rsid w:val="008165C9"/>
    <w:rsid w:val="008167CB"/>
    <w:rsid w:val="00816814"/>
    <w:rsid w:val="0081717B"/>
    <w:rsid w:val="00817A87"/>
    <w:rsid w:val="00817B56"/>
    <w:rsid w:val="008205C1"/>
    <w:rsid w:val="008211BC"/>
    <w:rsid w:val="008219A0"/>
    <w:rsid w:val="00821A88"/>
    <w:rsid w:val="00821D05"/>
    <w:rsid w:val="008223C8"/>
    <w:rsid w:val="00822A82"/>
    <w:rsid w:val="00822A9F"/>
    <w:rsid w:val="00822AA9"/>
    <w:rsid w:val="00822C36"/>
    <w:rsid w:val="00822CFB"/>
    <w:rsid w:val="00822DEF"/>
    <w:rsid w:val="00822E52"/>
    <w:rsid w:val="0082317B"/>
    <w:rsid w:val="0082322E"/>
    <w:rsid w:val="00823835"/>
    <w:rsid w:val="008245B7"/>
    <w:rsid w:val="0082476C"/>
    <w:rsid w:val="00824848"/>
    <w:rsid w:val="00824878"/>
    <w:rsid w:val="0082495D"/>
    <w:rsid w:val="00824FB5"/>
    <w:rsid w:val="00825528"/>
    <w:rsid w:val="008255CB"/>
    <w:rsid w:val="00825671"/>
    <w:rsid w:val="008257E7"/>
    <w:rsid w:val="00825B79"/>
    <w:rsid w:val="00825B84"/>
    <w:rsid w:val="00825C69"/>
    <w:rsid w:val="00825C9A"/>
    <w:rsid w:val="00825EAF"/>
    <w:rsid w:val="008264C4"/>
    <w:rsid w:val="00826D7A"/>
    <w:rsid w:val="00826E34"/>
    <w:rsid w:val="0082731B"/>
    <w:rsid w:val="00827560"/>
    <w:rsid w:val="008303D7"/>
    <w:rsid w:val="0083050C"/>
    <w:rsid w:val="00830821"/>
    <w:rsid w:val="00830A9C"/>
    <w:rsid w:val="00830BFF"/>
    <w:rsid w:val="00830E44"/>
    <w:rsid w:val="00831128"/>
    <w:rsid w:val="00831AC3"/>
    <w:rsid w:val="00831BF6"/>
    <w:rsid w:val="00832288"/>
    <w:rsid w:val="008325F0"/>
    <w:rsid w:val="00832C77"/>
    <w:rsid w:val="00832D8C"/>
    <w:rsid w:val="00832EA4"/>
    <w:rsid w:val="00833125"/>
    <w:rsid w:val="00833810"/>
    <w:rsid w:val="008349FA"/>
    <w:rsid w:val="00834C86"/>
    <w:rsid w:val="00834C92"/>
    <w:rsid w:val="00834D89"/>
    <w:rsid w:val="008350FE"/>
    <w:rsid w:val="0083559D"/>
    <w:rsid w:val="008355DC"/>
    <w:rsid w:val="00835874"/>
    <w:rsid w:val="00835885"/>
    <w:rsid w:val="00835B62"/>
    <w:rsid w:val="0083633D"/>
    <w:rsid w:val="00836982"/>
    <w:rsid w:val="00836F75"/>
    <w:rsid w:val="00836FCE"/>
    <w:rsid w:val="00837188"/>
    <w:rsid w:val="00837343"/>
    <w:rsid w:val="008377FD"/>
    <w:rsid w:val="00837969"/>
    <w:rsid w:val="00837FD0"/>
    <w:rsid w:val="008400F5"/>
    <w:rsid w:val="00840621"/>
    <w:rsid w:val="008408FF"/>
    <w:rsid w:val="00840C57"/>
    <w:rsid w:val="00841220"/>
    <w:rsid w:val="0084129A"/>
    <w:rsid w:val="00841392"/>
    <w:rsid w:val="008414F1"/>
    <w:rsid w:val="00842375"/>
    <w:rsid w:val="00842777"/>
    <w:rsid w:val="00843053"/>
    <w:rsid w:val="0084368E"/>
    <w:rsid w:val="00843AE9"/>
    <w:rsid w:val="00843CFD"/>
    <w:rsid w:val="00843E28"/>
    <w:rsid w:val="0084460A"/>
    <w:rsid w:val="00844794"/>
    <w:rsid w:val="00844826"/>
    <w:rsid w:val="008449D1"/>
    <w:rsid w:val="00844AF8"/>
    <w:rsid w:val="00844E55"/>
    <w:rsid w:val="00845420"/>
    <w:rsid w:val="00845857"/>
    <w:rsid w:val="0084691C"/>
    <w:rsid w:val="00846AC5"/>
    <w:rsid w:val="00847043"/>
    <w:rsid w:val="008472D7"/>
    <w:rsid w:val="00847313"/>
    <w:rsid w:val="008475B3"/>
    <w:rsid w:val="00847865"/>
    <w:rsid w:val="008478BE"/>
    <w:rsid w:val="00847961"/>
    <w:rsid w:val="00847F85"/>
    <w:rsid w:val="00850486"/>
    <w:rsid w:val="00850776"/>
    <w:rsid w:val="008514E8"/>
    <w:rsid w:val="0085154A"/>
    <w:rsid w:val="00851CC2"/>
    <w:rsid w:val="00851F3F"/>
    <w:rsid w:val="008521FF"/>
    <w:rsid w:val="00852214"/>
    <w:rsid w:val="00852363"/>
    <w:rsid w:val="00852BD9"/>
    <w:rsid w:val="00852CBC"/>
    <w:rsid w:val="00853235"/>
    <w:rsid w:val="00853302"/>
    <w:rsid w:val="008536EB"/>
    <w:rsid w:val="0085436E"/>
    <w:rsid w:val="0085489B"/>
    <w:rsid w:val="00854FF7"/>
    <w:rsid w:val="008554B8"/>
    <w:rsid w:val="008559A7"/>
    <w:rsid w:val="0085619D"/>
    <w:rsid w:val="008562E0"/>
    <w:rsid w:val="008564B9"/>
    <w:rsid w:val="008567F6"/>
    <w:rsid w:val="0085682A"/>
    <w:rsid w:val="00856903"/>
    <w:rsid w:val="00856B82"/>
    <w:rsid w:val="00856ECD"/>
    <w:rsid w:val="00856EDC"/>
    <w:rsid w:val="008574BD"/>
    <w:rsid w:val="0085775A"/>
    <w:rsid w:val="008577C5"/>
    <w:rsid w:val="00860016"/>
    <w:rsid w:val="008603F1"/>
    <w:rsid w:val="00860853"/>
    <w:rsid w:val="008608F5"/>
    <w:rsid w:val="00860C4E"/>
    <w:rsid w:val="00860FBC"/>
    <w:rsid w:val="0086109D"/>
    <w:rsid w:val="00861161"/>
    <w:rsid w:val="008615B4"/>
    <w:rsid w:val="00861EC1"/>
    <w:rsid w:val="008623B5"/>
    <w:rsid w:val="0086304B"/>
    <w:rsid w:val="00863151"/>
    <w:rsid w:val="0086330F"/>
    <w:rsid w:val="0086345F"/>
    <w:rsid w:val="00863521"/>
    <w:rsid w:val="00863579"/>
    <w:rsid w:val="00863896"/>
    <w:rsid w:val="008641D1"/>
    <w:rsid w:val="008642E7"/>
    <w:rsid w:val="008651CA"/>
    <w:rsid w:val="00865203"/>
    <w:rsid w:val="008657AC"/>
    <w:rsid w:val="00865F4E"/>
    <w:rsid w:val="0086610A"/>
    <w:rsid w:val="00866752"/>
    <w:rsid w:val="00866977"/>
    <w:rsid w:val="00866C9A"/>
    <w:rsid w:val="00866D59"/>
    <w:rsid w:val="00866E9B"/>
    <w:rsid w:val="0086724C"/>
    <w:rsid w:val="008678B5"/>
    <w:rsid w:val="00867C21"/>
    <w:rsid w:val="00867E67"/>
    <w:rsid w:val="0087050A"/>
    <w:rsid w:val="00870ABA"/>
    <w:rsid w:val="00870DBE"/>
    <w:rsid w:val="008710E1"/>
    <w:rsid w:val="008716E5"/>
    <w:rsid w:val="0087193F"/>
    <w:rsid w:val="00871DB0"/>
    <w:rsid w:val="00871FC7"/>
    <w:rsid w:val="00872611"/>
    <w:rsid w:val="0087273B"/>
    <w:rsid w:val="0087298E"/>
    <w:rsid w:val="00872A27"/>
    <w:rsid w:val="00873354"/>
    <w:rsid w:val="00873AAE"/>
    <w:rsid w:val="00873C67"/>
    <w:rsid w:val="00873D9A"/>
    <w:rsid w:val="00873EAF"/>
    <w:rsid w:val="008743D9"/>
    <w:rsid w:val="008744BA"/>
    <w:rsid w:val="008744C5"/>
    <w:rsid w:val="008745C4"/>
    <w:rsid w:val="008745F9"/>
    <w:rsid w:val="008747AB"/>
    <w:rsid w:val="00874DBE"/>
    <w:rsid w:val="0087506C"/>
    <w:rsid w:val="008758FC"/>
    <w:rsid w:val="0087599E"/>
    <w:rsid w:val="008763C8"/>
    <w:rsid w:val="00876954"/>
    <w:rsid w:val="00876AA8"/>
    <w:rsid w:val="00876C0A"/>
    <w:rsid w:val="00876CFC"/>
    <w:rsid w:val="00876D4C"/>
    <w:rsid w:val="00877206"/>
    <w:rsid w:val="0087724C"/>
    <w:rsid w:val="00877CEF"/>
    <w:rsid w:val="00880888"/>
    <w:rsid w:val="00880EDF"/>
    <w:rsid w:val="0088142B"/>
    <w:rsid w:val="00881B01"/>
    <w:rsid w:val="00881BF1"/>
    <w:rsid w:val="00881C36"/>
    <w:rsid w:val="00881CA9"/>
    <w:rsid w:val="00882135"/>
    <w:rsid w:val="00882638"/>
    <w:rsid w:val="00882868"/>
    <w:rsid w:val="00882A41"/>
    <w:rsid w:val="00882B5D"/>
    <w:rsid w:val="00882B63"/>
    <w:rsid w:val="00882EF2"/>
    <w:rsid w:val="00883628"/>
    <w:rsid w:val="008838B0"/>
    <w:rsid w:val="00883F68"/>
    <w:rsid w:val="00884347"/>
    <w:rsid w:val="00884557"/>
    <w:rsid w:val="00884F7F"/>
    <w:rsid w:val="00885256"/>
    <w:rsid w:val="00885544"/>
    <w:rsid w:val="008856CC"/>
    <w:rsid w:val="00886243"/>
    <w:rsid w:val="0088634E"/>
    <w:rsid w:val="00886442"/>
    <w:rsid w:val="00886A7A"/>
    <w:rsid w:val="00886D06"/>
    <w:rsid w:val="00887762"/>
    <w:rsid w:val="00887DC0"/>
    <w:rsid w:val="008901E0"/>
    <w:rsid w:val="0089029D"/>
    <w:rsid w:val="00890344"/>
    <w:rsid w:val="00890371"/>
    <w:rsid w:val="00890728"/>
    <w:rsid w:val="00890E38"/>
    <w:rsid w:val="00890F1B"/>
    <w:rsid w:val="0089282C"/>
    <w:rsid w:val="00893246"/>
    <w:rsid w:val="008934D2"/>
    <w:rsid w:val="00893519"/>
    <w:rsid w:val="00893593"/>
    <w:rsid w:val="00893AB8"/>
    <w:rsid w:val="00893C21"/>
    <w:rsid w:val="0089401B"/>
    <w:rsid w:val="00894082"/>
    <w:rsid w:val="00894408"/>
    <w:rsid w:val="0089444C"/>
    <w:rsid w:val="00894454"/>
    <w:rsid w:val="00894532"/>
    <w:rsid w:val="0089480C"/>
    <w:rsid w:val="00894FD4"/>
    <w:rsid w:val="008953E8"/>
    <w:rsid w:val="0089551E"/>
    <w:rsid w:val="008956D5"/>
    <w:rsid w:val="0089607B"/>
    <w:rsid w:val="00896C69"/>
    <w:rsid w:val="00896C95"/>
    <w:rsid w:val="008970BC"/>
    <w:rsid w:val="0089733A"/>
    <w:rsid w:val="008A04C8"/>
    <w:rsid w:val="008A1382"/>
    <w:rsid w:val="008A174E"/>
    <w:rsid w:val="008A1D77"/>
    <w:rsid w:val="008A1DC6"/>
    <w:rsid w:val="008A20AC"/>
    <w:rsid w:val="008A247A"/>
    <w:rsid w:val="008A2886"/>
    <w:rsid w:val="008A28D5"/>
    <w:rsid w:val="008A2A2F"/>
    <w:rsid w:val="008A30A4"/>
    <w:rsid w:val="008A33FF"/>
    <w:rsid w:val="008A350C"/>
    <w:rsid w:val="008A3B40"/>
    <w:rsid w:val="008A3B7E"/>
    <w:rsid w:val="008A4066"/>
    <w:rsid w:val="008A42A8"/>
    <w:rsid w:val="008A4884"/>
    <w:rsid w:val="008A4B07"/>
    <w:rsid w:val="008A4CD1"/>
    <w:rsid w:val="008A4EEA"/>
    <w:rsid w:val="008A5DC9"/>
    <w:rsid w:val="008A5EA5"/>
    <w:rsid w:val="008A62EF"/>
    <w:rsid w:val="008A6913"/>
    <w:rsid w:val="008A6920"/>
    <w:rsid w:val="008A7502"/>
    <w:rsid w:val="008A75B3"/>
    <w:rsid w:val="008A76D5"/>
    <w:rsid w:val="008A7776"/>
    <w:rsid w:val="008A7B7F"/>
    <w:rsid w:val="008A7D09"/>
    <w:rsid w:val="008A7F4B"/>
    <w:rsid w:val="008B0378"/>
    <w:rsid w:val="008B072B"/>
    <w:rsid w:val="008B074C"/>
    <w:rsid w:val="008B0D5B"/>
    <w:rsid w:val="008B0E9C"/>
    <w:rsid w:val="008B0EE0"/>
    <w:rsid w:val="008B1286"/>
    <w:rsid w:val="008B140D"/>
    <w:rsid w:val="008B25BC"/>
    <w:rsid w:val="008B2F89"/>
    <w:rsid w:val="008B3289"/>
    <w:rsid w:val="008B3C40"/>
    <w:rsid w:val="008B3DA4"/>
    <w:rsid w:val="008B4021"/>
    <w:rsid w:val="008B43EC"/>
    <w:rsid w:val="008B43F9"/>
    <w:rsid w:val="008B4641"/>
    <w:rsid w:val="008B4CF3"/>
    <w:rsid w:val="008B511A"/>
    <w:rsid w:val="008B56AE"/>
    <w:rsid w:val="008B5902"/>
    <w:rsid w:val="008B593B"/>
    <w:rsid w:val="008B5B09"/>
    <w:rsid w:val="008B5B13"/>
    <w:rsid w:val="008B5BA6"/>
    <w:rsid w:val="008B638E"/>
    <w:rsid w:val="008B65B8"/>
    <w:rsid w:val="008B65D0"/>
    <w:rsid w:val="008B668F"/>
    <w:rsid w:val="008B694C"/>
    <w:rsid w:val="008B6BD5"/>
    <w:rsid w:val="008B6CEF"/>
    <w:rsid w:val="008B6DB0"/>
    <w:rsid w:val="008B70F3"/>
    <w:rsid w:val="008B70F7"/>
    <w:rsid w:val="008B71C4"/>
    <w:rsid w:val="008B75D4"/>
    <w:rsid w:val="008B76D5"/>
    <w:rsid w:val="008B76DF"/>
    <w:rsid w:val="008B76EB"/>
    <w:rsid w:val="008B799C"/>
    <w:rsid w:val="008B7C7C"/>
    <w:rsid w:val="008B7D5F"/>
    <w:rsid w:val="008B7FF8"/>
    <w:rsid w:val="008C0831"/>
    <w:rsid w:val="008C1075"/>
    <w:rsid w:val="008C10F4"/>
    <w:rsid w:val="008C1C44"/>
    <w:rsid w:val="008C1C61"/>
    <w:rsid w:val="008C1DB0"/>
    <w:rsid w:val="008C1E49"/>
    <w:rsid w:val="008C1F46"/>
    <w:rsid w:val="008C24E6"/>
    <w:rsid w:val="008C2CEC"/>
    <w:rsid w:val="008C2DA2"/>
    <w:rsid w:val="008C32BB"/>
    <w:rsid w:val="008C34AD"/>
    <w:rsid w:val="008C37EB"/>
    <w:rsid w:val="008C42FB"/>
    <w:rsid w:val="008C4763"/>
    <w:rsid w:val="008C4ACA"/>
    <w:rsid w:val="008C5155"/>
    <w:rsid w:val="008C51A2"/>
    <w:rsid w:val="008C51CF"/>
    <w:rsid w:val="008C535F"/>
    <w:rsid w:val="008C5433"/>
    <w:rsid w:val="008C54FF"/>
    <w:rsid w:val="008C5730"/>
    <w:rsid w:val="008C60D4"/>
    <w:rsid w:val="008C638F"/>
    <w:rsid w:val="008C6413"/>
    <w:rsid w:val="008C65F7"/>
    <w:rsid w:val="008C6932"/>
    <w:rsid w:val="008C6CC4"/>
    <w:rsid w:val="008C6CD8"/>
    <w:rsid w:val="008C70C0"/>
    <w:rsid w:val="008C7229"/>
    <w:rsid w:val="008C75FC"/>
    <w:rsid w:val="008C7C14"/>
    <w:rsid w:val="008D0647"/>
    <w:rsid w:val="008D0731"/>
    <w:rsid w:val="008D15B8"/>
    <w:rsid w:val="008D1F5E"/>
    <w:rsid w:val="008D20E1"/>
    <w:rsid w:val="008D25EF"/>
    <w:rsid w:val="008D264B"/>
    <w:rsid w:val="008D26DF"/>
    <w:rsid w:val="008D27DB"/>
    <w:rsid w:val="008D31F9"/>
    <w:rsid w:val="008D34A1"/>
    <w:rsid w:val="008D3A67"/>
    <w:rsid w:val="008D3EFA"/>
    <w:rsid w:val="008D4117"/>
    <w:rsid w:val="008D42BE"/>
    <w:rsid w:val="008D45B6"/>
    <w:rsid w:val="008D45BB"/>
    <w:rsid w:val="008D4731"/>
    <w:rsid w:val="008D486E"/>
    <w:rsid w:val="008D5042"/>
    <w:rsid w:val="008D5187"/>
    <w:rsid w:val="008D5464"/>
    <w:rsid w:val="008D57D7"/>
    <w:rsid w:val="008D5939"/>
    <w:rsid w:val="008D5952"/>
    <w:rsid w:val="008D5B5C"/>
    <w:rsid w:val="008D5CF5"/>
    <w:rsid w:val="008D62BC"/>
    <w:rsid w:val="008D650D"/>
    <w:rsid w:val="008D6676"/>
    <w:rsid w:val="008D6744"/>
    <w:rsid w:val="008D67B6"/>
    <w:rsid w:val="008D73B9"/>
    <w:rsid w:val="008D7449"/>
    <w:rsid w:val="008D79AD"/>
    <w:rsid w:val="008D7B69"/>
    <w:rsid w:val="008E01B0"/>
    <w:rsid w:val="008E0428"/>
    <w:rsid w:val="008E05CB"/>
    <w:rsid w:val="008E06C1"/>
    <w:rsid w:val="008E07B7"/>
    <w:rsid w:val="008E07F5"/>
    <w:rsid w:val="008E0879"/>
    <w:rsid w:val="008E0CD6"/>
    <w:rsid w:val="008E0F6F"/>
    <w:rsid w:val="008E1172"/>
    <w:rsid w:val="008E11C4"/>
    <w:rsid w:val="008E1902"/>
    <w:rsid w:val="008E231B"/>
    <w:rsid w:val="008E2579"/>
    <w:rsid w:val="008E27DC"/>
    <w:rsid w:val="008E29E8"/>
    <w:rsid w:val="008E3123"/>
    <w:rsid w:val="008E34C8"/>
    <w:rsid w:val="008E380C"/>
    <w:rsid w:val="008E39A6"/>
    <w:rsid w:val="008E4015"/>
    <w:rsid w:val="008E41E0"/>
    <w:rsid w:val="008E4767"/>
    <w:rsid w:val="008E48A9"/>
    <w:rsid w:val="008E4B43"/>
    <w:rsid w:val="008E4B6B"/>
    <w:rsid w:val="008E5160"/>
    <w:rsid w:val="008E5649"/>
    <w:rsid w:val="008E5A25"/>
    <w:rsid w:val="008E5B60"/>
    <w:rsid w:val="008E5D12"/>
    <w:rsid w:val="008E6193"/>
    <w:rsid w:val="008E6573"/>
    <w:rsid w:val="008E6745"/>
    <w:rsid w:val="008E6781"/>
    <w:rsid w:val="008E68A1"/>
    <w:rsid w:val="008E738D"/>
    <w:rsid w:val="008E73D5"/>
    <w:rsid w:val="008E7558"/>
    <w:rsid w:val="008E76F2"/>
    <w:rsid w:val="008E79DA"/>
    <w:rsid w:val="008E79FB"/>
    <w:rsid w:val="008E7A8C"/>
    <w:rsid w:val="008F0102"/>
    <w:rsid w:val="008F0749"/>
    <w:rsid w:val="008F080A"/>
    <w:rsid w:val="008F0A9D"/>
    <w:rsid w:val="008F0C93"/>
    <w:rsid w:val="008F0E5A"/>
    <w:rsid w:val="008F0EB5"/>
    <w:rsid w:val="008F38B8"/>
    <w:rsid w:val="008F39AC"/>
    <w:rsid w:val="008F3A3A"/>
    <w:rsid w:val="008F3D0F"/>
    <w:rsid w:val="008F4044"/>
    <w:rsid w:val="008F4F1D"/>
    <w:rsid w:val="008F4FB0"/>
    <w:rsid w:val="008F4FBC"/>
    <w:rsid w:val="008F50EA"/>
    <w:rsid w:val="008F53EE"/>
    <w:rsid w:val="008F561A"/>
    <w:rsid w:val="008F5B78"/>
    <w:rsid w:val="008F6294"/>
    <w:rsid w:val="008F63D8"/>
    <w:rsid w:val="008F6835"/>
    <w:rsid w:val="008F6B06"/>
    <w:rsid w:val="008F6DB6"/>
    <w:rsid w:val="008F6E1E"/>
    <w:rsid w:val="008F71E1"/>
    <w:rsid w:val="008F72D0"/>
    <w:rsid w:val="008F7869"/>
    <w:rsid w:val="0090011F"/>
    <w:rsid w:val="009007F3"/>
    <w:rsid w:val="00900B25"/>
    <w:rsid w:val="00900CD1"/>
    <w:rsid w:val="00900FF9"/>
    <w:rsid w:val="009012DC"/>
    <w:rsid w:val="00901398"/>
    <w:rsid w:val="00901497"/>
    <w:rsid w:val="0090203B"/>
    <w:rsid w:val="00902284"/>
    <w:rsid w:val="00902450"/>
    <w:rsid w:val="00902454"/>
    <w:rsid w:val="00902608"/>
    <w:rsid w:val="00902C56"/>
    <w:rsid w:val="00903285"/>
    <w:rsid w:val="00903423"/>
    <w:rsid w:val="00903483"/>
    <w:rsid w:val="009038F8"/>
    <w:rsid w:val="00903F83"/>
    <w:rsid w:val="00904307"/>
    <w:rsid w:val="00904C0D"/>
    <w:rsid w:val="00905B4A"/>
    <w:rsid w:val="00905D47"/>
    <w:rsid w:val="00906AEA"/>
    <w:rsid w:val="00906D2D"/>
    <w:rsid w:val="00906F40"/>
    <w:rsid w:val="00907172"/>
    <w:rsid w:val="0090731E"/>
    <w:rsid w:val="0090755A"/>
    <w:rsid w:val="00907C67"/>
    <w:rsid w:val="009103D6"/>
    <w:rsid w:val="00910C64"/>
    <w:rsid w:val="00911062"/>
    <w:rsid w:val="009110C1"/>
    <w:rsid w:val="009116DB"/>
    <w:rsid w:val="00911718"/>
    <w:rsid w:val="0091196B"/>
    <w:rsid w:val="00911AA1"/>
    <w:rsid w:val="00911D62"/>
    <w:rsid w:val="00911FEE"/>
    <w:rsid w:val="00912588"/>
    <w:rsid w:val="00912755"/>
    <w:rsid w:val="00912964"/>
    <w:rsid w:val="009129B1"/>
    <w:rsid w:val="00912DD7"/>
    <w:rsid w:val="0091337A"/>
    <w:rsid w:val="00913557"/>
    <w:rsid w:val="0091374D"/>
    <w:rsid w:val="009139D6"/>
    <w:rsid w:val="00913E1D"/>
    <w:rsid w:val="00914DBB"/>
    <w:rsid w:val="00915042"/>
    <w:rsid w:val="00915897"/>
    <w:rsid w:val="00915977"/>
    <w:rsid w:val="00915A28"/>
    <w:rsid w:val="00915B1C"/>
    <w:rsid w:val="00916025"/>
    <w:rsid w:val="0091632F"/>
    <w:rsid w:val="00916381"/>
    <w:rsid w:val="00916392"/>
    <w:rsid w:val="009164A5"/>
    <w:rsid w:val="0091669E"/>
    <w:rsid w:val="0091686B"/>
    <w:rsid w:val="00916882"/>
    <w:rsid w:val="009168E8"/>
    <w:rsid w:val="00917153"/>
    <w:rsid w:val="009174F3"/>
    <w:rsid w:val="0091797D"/>
    <w:rsid w:val="009207C1"/>
    <w:rsid w:val="00920F0C"/>
    <w:rsid w:val="009211DF"/>
    <w:rsid w:val="00921861"/>
    <w:rsid w:val="00921B64"/>
    <w:rsid w:val="0092201C"/>
    <w:rsid w:val="00922326"/>
    <w:rsid w:val="009225F4"/>
    <w:rsid w:val="00922C84"/>
    <w:rsid w:val="00922D67"/>
    <w:rsid w:val="00922E17"/>
    <w:rsid w:val="00923531"/>
    <w:rsid w:val="00923CAC"/>
    <w:rsid w:val="00923CBA"/>
    <w:rsid w:val="0092475E"/>
    <w:rsid w:val="00924B85"/>
    <w:rsid w:val="00924FE9"/>
    <w:rsid w:val="00925B92"/>
    <w:rsid w:val="00926087"/>
    <w:rsid w:val="00926703"/>
    <w:rsid w:val="00926757"/>
    <w:rsid w:val="00926759"/>
    <w:rsid w:val="00926B74"/>
    <w:rsid w:val="00926CE8"/>
    <w:rsid w:val="00926D22"/>
    <w:rsid w:val="009270DE"/>
    <w:rsid w:val="00927494"/>
    <w:rsid w:val="00927691"/>
    <w:rsid w:val="009279E1"/>
    <w:rsid w:val="00927A5F"/>
    <w:rsid w:val="00927CE0"/>
    <w:rsid w:val="00930510"/>
    <w:rsid w:val="009307AA"/>
    <w:rsid w:val="009317FD"/>
    <w:rsid w:val="00931A48"/>
    <w:rsid w:val="00931B5B"/>
    <w:rsid w:val="00931E1E"/>
    <w:rsid w:val="00931EBB"/>
    <w:rsid w:val="00931EFC"/>
    <w:rsid w:val="009324A9"/>
    <w:rsid w:val="00932681"/>
    <w:rsid w:val="009328D1"/>
    <w:rsid w:val="0093293B"/>
    <w:rsid w:val="00932AD1"/>
    <w:rsid w:val="00932D95"/>
    <w:rsid w:val="0093344F"/>
    <w:rsid w:val="00933521"/>
    <w:rsid w:val="009336DB"/>
    <w:rsid w:val="00933B01"/>
    <w:rsid w:val="0093463C"/>
    <w:rsid w:val="00935260"/>
    <w:rsid w:val="009355A0"/>
    <w:rsid w:val="00935848"/>
    <w:rsid w:val="00935872"/>
    <w:rsid w:val="00935B63"/>
    <w:rsid w:val="00935E34"/>
    <w:rsid w:val="009360D9"/>
    <w:rsid w:val="00936657"/>
    <w:rsid w:val="009366A8"/>
    <w:rsid w:val="00936E0F"/>
    <w:rsid w:val="00936E95"/>
    <w:rsid w:val="00937172"/>
    <w:rsid w:val="00937757"/>
    <w:rsid w:val="00937A2D"/>
    <w:rsid w:val="0094022D"/>
    <w:rsid w:val="00940312"/>
    <w:rsid w:val="009403D3"/>
    <w:rsid w:val="0094072B"/>
    <w:rsid w:val="00940758"/>
    <w:rsid w:val="0094078F"/>
    <w:rsid w:val="00940CB3"/>
    <w:rsid w:val="00940FA3"/>
    <w:rsid w:val="00941960"/>
    <w:rsid w:val="009419FE"/>
    <w:rsid w:val="00941FB0"/>
    <w:rsid w:val="009423D3"/>
    <w:rsid w:val="00942551"/>
    <w:rsid w:val="009426D4"/>
    <w:rsid w:val="0094281B"/>
    <w:rsid w:val="00942A42"/>
    <w:rsid w:val="00942A74"/>
    <w:rsid w:val="00942C11"/>
    <w:rsid w:val="00942F0D"/>
    <w:rsid w:val="009432D8"/>
    <w:rsid w:val="00943806"/>
    <w:rsid w:val="0094391C"/>
    <w:rsid w:val="00943A43"/>
    <w:rsid w:val="00944450"/>
    <w:rsid w:val="00944560"/>
    <w:rsid w:val="0094469B"/>
    <w:rsid w:val="0094497B"/>
    <w:rsid w:val="009449FC"/>
    <w:rsid w:val="00944B93"/>
    <w:rsid w:val="00944D42"/>
    <w:rsid w:val="009452A6"/>
    <w:rsid w:val="0094594B"/>
    <w:rsid w:val="00945DA7"/>
    <w:rsid w:val="00945ECB"/>
    <w:rsid w:val="00946190"/>
    <w:rsid w:val="009464C1"/>
    <w:rsid w:val="009464CF"/>
    <w:rsid w:val="009467AA"/>
    <w:rsid w:val="0094689A"/>
    <w:rsid w:val="00946A1C"/>
    <w:rsid w:val="00946EF4"/>
    <w:rsid w:val="0094733F"/>
    <w:rsid w:val="009473DD"/>
    <w:rsid w:val="0094742F"/>
    <w:rsid w:val="0094753B"/>
    <w:rsid w:val="00947D2E"/>
    <w:rsid w:val="00947F25"/>
    <w:rsid w:val="00950159"/>
    <w:rsid w:val="00950198"/>
    <w:rsid w:val="0095024A"/>
    <w:rsid w:val="0095082B"/>
    <w:rsid w:val="0095097D"/>
    <w:rsid w:val="00950CF2"/>
    <w:rsid w:val="009515F1"/>
    <w:rsid w:val="009525B7"/>
    <w:rsid w:val="009528A4"/>
    <w:rsid w:val="009530E7"/>
    <w:rsid w:val="00953190"/>
    <w:rsid w:val="009534DA"/>
    <w:rsid w:val="00953AFA"/>
    <w:rsid w:val="00953BEA"/>
    <w:rsid w:val="00953F06"/>
    <w:rsid w:val="00954109"/>
    <w:rsid w:val="0095490B"/>
    <w:rsid w:val="00954E50"/>
    <w:rsid w:val="00954F14"/>
    <w:rsid w:val="00955004"/>
    <w:rsid w:val="0095527B"/>
    <w:rsid w:val="0095542B"/>
    <w:rsid w:val="00955528"/>
    <w:rsid w:val="009556AF"/>
    <w:rsid w:val="0095573E"/>
    <w:rsid w:val="00955A80"/>
    <w:rsid w:val="00955C36"/>
    <w:rsid w:val="00955DE1"/>
    <w:rsid w:val="009563D7"/>
    <w:rsid w:val="00957412"/>
    <w:rsid w:val="00957D83"/>
    <w:rsid w:val="00960A33"/>
    <w:rsid w:val="00960CBF"/>
    <w:rsid w:val="009614DE"/>
    <w:rsid w:val="009625CF"/>
    <w:rsid w:val="00962D25"/>
    <w:rsid w:val="00962DDF"/>
    <w:rsid w:val="00962FC0"/>
    <w:rsid w:val="00963197"/>
    <w:rsid w:val="0096319E"/>
    <w:rsid w:val="009634E1"/>
    <w:rsid w:val="00964250"/>
    <w:rsid w:val="0096483E"/>
    <w:rsid w:val="00964D39"/>
    <w:rsid w:val="00964D3F"/>
    <w:rsid w:val="00964DEB"/>
    <w:rsid w:val="00964EE8"/>
    <w:rsid w:val="009651A4"/>
    <w:rsid w:val="0096525F"/>
    <w:rsid w:val="00965437"/>
    <w:rsid w:val="0096559F"/>
    <w:rsid w:val="0096582F"/>
    <w:rsid w:val="00966044"/>
    <w:rsid w:val="00966271"/>
    <w:rsid w:val="0096676B"/>
    <w:rsid w:val="00966EB2"/>
    <w:rsid w:val="00967087"/>
    <w:rsid w:val="00967A9D"/>
    <w:rsid w:val="00967F53"/>
    <w:rsid w:val="00967FA3"/>
    <w:rsid w:val="00970609"/>
    <w:rsid w:val="00970C40"/>
    <w:rsid w:val="00971260"/>
    <w:rsid w:val="0097167C"/>
    <w:rsid w:val="00971914"/>
    <w:rsid w:val="0097192C"/>
    <w:rsid w:val="00971A5C"/>
    <w:rsid w:val="00971C44"/>
    <w:rsid w:val="00972375"/>
    <w:rsid w:val="009725FC"/>
    <w:rsid w:val="00972FD8"/>
    <w:rsid w:val="009732DF"/>
    <w:rsid w:val="0097351C"/>
    <w:rsid w:val="00973582"/>
    <w:rsid w:val="009738C2"/>
    <w:rsid w:val="00973F99"/>
    <w:rsid w:val="00974025"/>
    <w:rsid w:val="00974363"/>
    <w:rsid w:val="00974690"/>
    <w:rsid w:val="00975433"/>
    <w:rsid w:val="00975589"/>
    <w:rsid w:val="00975F2F"/>
    <w:rsid w:val="00976283"/>
    <w:rsid w:val="00976369"/>
    <w:rsid w:val="00976942"/>
    <w:rsid w:val="00976C0A"/>
    <w:rsid w:val="00976E19"/>
    <w:rsid w:val="00976EF2"/>
    <w:rsid w:val="009777B1"/>
    <w:rsid w:val="00977919"/>
    <w:rsid w:val="00980923"/>
    <w:rsid w:val="00980BE8"/>
    <w:rsid w:val="00980F18"/>
    <w:rsid w:val="00981221"/>
    <w:rsid w:val="009812E8"/>
    <w:rsid w:val="00981794"/>
    <w:rsid w:val="00981898"/>
    <w:rsid w:val="00981FC7"/>
    <w:rsid w:val="00982937"/>
    <w:rsid w:val="00982A01"/>
    <w:rsid w:val="00982DAC"/>
    <w:rsid w:val="0098314D"/>
    <w:rsid w:val="00983AFE"/>
    <w:rsid w:val="00983C12"/>
    <w:rsid w:val="0098416F"/>
    <w:rsid w:val="0098467D"/>
    <w:rsid w:val="00984FFF"/>
    <w:rsid w:val="0098537C"/>
    <w:rsid w:val="00985716"/>
    <w:rsid w:val="00985B75"/>
    <w:rsid w:val="00986357"/>
    <w:rsid w:val="0098659B"/>
    <w:rsid w:val="00986D1F"/>
    <w:rsid w:val="00986D9D"/>
    <w:rsid w:val="009876E2"/>
    <w:rsid w:val="00990180"/>
    <w:rsid w:val="00990AD1"/>
    <w:rsid w:val="0099128D"/>
    <w:rsid w:val="009913E1"/>
    <w:rsid w:val="009917AF"/>
    <w:rsid w:val="009918AA"/>
    <w:rsid w:val="009918B9"/>
    <w:rsid w:val="00991A9C"/>
    <w:rsid w:val="0099200D"/>
    <w:rsid w:val="00992277"/>
    <w:rsid w:val="00992386"/>
    <w:rsid w:val="00992640"/>
    <w:rsid w:val="00992C4F"/>
    <w:rsid w:val="00992C50"/>
    <w:rsid w:val="00992C9E"/>
    <w:rsid w:val="00992F34"/>
    <w:rsid w:val="00993959"/>
    <w:rsid w:val="009944A4"/>
    <w:rsid w:val="00994CD2"/>
    <w:rsid w:val="009951D5"/>
    <w:rsid w:val="00995346"/>
    <w:rsid w:val="0099577C"/>
    <w:rsid w:val="009959C2"/>
    <w:rsid w:val="00995BCC"/>
    <w:rsid w:val="00995DDE"/>
    <w:rsid w:val="00995E73"/>
    <w:rsid w:val="0099629F"/>
    <w:rsid w:val="009965CE"/>
    <w:rsid w:val="009969B3"/>
    <w:rsid w:val="00996B48"/>
    <w:rsid w:val="00996D0A"/>
    <w:rsid w:val="009970A0"/>
    <w:rsid w:val="009973FE"/>
    <w:rsid w:val="00997F8B"/>
    <w:rsid w:val="009A021C"/>
    <w:rsid w:val="009A05CB"/>
    <w:rsid w:val="009A14FC"/>
    <w:rsid w:val="009A16F8"/>
    <w:rsid w:val="009A17E0"/>
    <w:rsid w:val="009A18D2"/>
    <w:rsid w:val="009A209E"/>
    <w:rsid w:val="009A21D5"/>
    <w:rsid w:val="009A2408"/>
    <w:rsid w:val="009A2448"/>
    <w:rsid w:val="009A25CC"/>
    <w:rsid w:val="009A2BB6"/>
    <w:rsid w:val="009A2FA9"/>
    <w:rsid w:val="009A31F6"/>
    <w:rsid w:val="009A337D"/>
    <w:rsid w:val="009A391C"/>
    <w:rsid w:val="009A3D14"/>
    <w:rsid w:val="009A42E7"/>
    <w:rsid w:val="009A43E9"/>
    <w:rsid w:val="009A47DF"/>
    <w:rsid w:val="009A5048"/>
    <w:rsid w:val="009A51BF"/>
    <w:rsid w:val="009A556E"/>
    <w:rsid w:val="009A5CDB"/>
    <w:rsid w:val="009A6031"/>
    <w:rsid w:val="009A611C"/>
    <w:rsid w:val="009A641E"/>
    <w:rsid w:val="009A6BBF"/>
    <w:rsid w:val="009A6CDB"/>
    <w:rsid w:val="009A6EB0"/>
    <w:rsid w:val="009A711A"/>
    <w:rsid w:val="009A75DD"/>
    <w:rsid w:val="009A79F9"/>
    <w:rsid w:val="009A7C16"/>
    <w:rsid w:val="009A7C22"/>
    <w:rsid w:val="009A7F48"/>
    <w:rsid w:val="009B01B0"/>
    <w:rsid w:val="009B03B3"/>
    <w:rsid w:val="009B0AD5"/>
    <w:rsid w:val="009B140E"/>
    <w:rsid w:val="009B1B97"/>
    <w:rsid w:val="009B1EE9"/>
    <w:rsid w:val="009B2018"/>
    <w:rsid w:val="009B24A5"/>
    <w:rsid w:val="009B25BA"/>
    <w:rsid w:val="009B2601"/>
    <w:rsid w:val="009B2A9B"/>
    <w:rsid w:val="009B2B14"/>
    <w:rsid w:val="009B2C5D"/>
    <w:rsid w:val="009B326E"/>
    <w:rsid w:val="009B345A"/>
    <w:rsid w:val="009B356F"/>
    <w:rsid w:val="009B40C3"/>
    <w:rsid w:val="009B41FB"/>
    <w:rsid w:val="009B4989"/>
    <w:rsid w:val="009B4BC9"/>
    <w:rsid w:val="009B4E9E"/>
    <w:rsid w:val="009B5512"/>
    <w:rsid w:val="009B55CB"/>
    <w:rsid w:val="009B5A31"/>
    <w:rsid w:val="009B5A7F"/>
    <w:rsid w:val="009B6158"/>
    <w:rsid w:val="009B61EB"/>
    <w:rsid w:val="009B6D2B"/>
    <w:rsid w:val="009B6F90"/>
    <w:rsid w:val="009B78A1"/>
    <w:rsid w:val="009B7C6C"/>
    <w:rsid w:val="009C016B"/>
    <w:rsid w:val="009C049B"/>
    <w:rsid w:val="009C0FD2"/>
    <w:rsid w:val="009C11A1"/>
    <w:rsid w:val="009C1341"/>
    <w:rsid w:val="009C13E4"/>
    <w:rsid w:val="009C1690"/>
    <w:rsid w:val="009C17E8"/>
    <w:rsid w:val="009C1A95"/>
    <w:rsid w:val="009C1B39"/>
    <w:rsid w:val="009C1D34"/>
    <w:rsid w:val="009C1DC6"/>
    <w:rsid w:val="009C20BC"/>
    <w:rsid w:val="009C24A3"/>
    <w:rsid w:val="009C2996"/>
    <w:rsid w:val="009C3348"/>
    <w:rsid w:val="009C338D"/>
    <w:rsid w:val="009C3947"/>
    <w:rsid w:val="009C3951"/>
    <w:rsid w:val="009C3BB5"/>
    <w:rsid w:val="009C4246"/>
    <w:rsid w:val="009C4455"/>
    <w:rsid w:val="009C4609"/>
    <w:rsid w:val="009C4DCD"/>
    <w:rsid w:val="009C4E18"/>
    <w:rsid w:val="009C5452"/>
    <w:rsid w:val="009C572A"/>
    <w:rsid w:val="009C5844"/>
    <w:rsid w:val="009C58D4"/>
    <w:rsid w:val="009C591A"/>
    <w:rsid w:val="009C59E2"/>
    <w:rsid w:val="009C5A53"/>
    <w:rsid w:val="009C639A"/>
    <w:rsid w:val="009C64D0"/>
    <w:rsid w:val="009C65F7"/>
    <w:rsid w:val="009C6881"/>
    <w:rsid w:val="009C6918"/>
    <w:rsid w:val="009C6A57"/>
    <w:rsid w:val="009C7151"/>
    <w:rsid w:val="009C729F"/>
    <w:rsid w:val="009C7447"/>
    <w:rsid w:val="009C771A"/>
    <w:rsid w:val="009C7759"/>
    <w:rsid w:val="009C7986"/>
    <w:rsid w:val="009C7D1B"/>
    <w:rsid w:val="009D043D"/>
    <w:rsid w:val="009D0595"/>
    <w:rsid w:val="009D0698"/>
    <w:rsid w:val="009D07C8"/>
    <w:rsid w:val="009D0BDD"/>
    <w:rsid w:val="009D0D52"/>
    <w:rsid w:val="009D0F45"/>
    <w:rsid w:val="009D1105"/>
    <w:rsid w:val="009D14B1"/>
    <w:rsid w:val="009D1563"/>
    <w:rsid w:val="009D16E1"/>
    <w:rsid w:val="009D1B1B"/>
    <w:rsid w:val="009D1D8A"/>
    <w:rsid w:val="009D1DAA"/>
    <w:rsid w:val="009D214F"/>
    <w:rsid w:val="009D2902"/>
    <w:rsid w:val="009D2BE5"/>
    <w:rsid w:val="009D3133"/>
    <w:rsid w:val="009D364C"/>
    <w:rsid w:val="009D3DED"/>
    <w:rsid w:val="009D3DF0"/>
    <w:rsid w:val="009D3F59"/>
    <w:rsid w:val="009D4033"/>
    <w:rsid w:val="009D4158"/>
    <w:rsid w:val="009D45B2"/>
    <w:rsid w:val="009D4C85"/>
    <w:rsid w:val="009D4F90"/>
    <w:rsid w:val="009D534A"/>
    <w:rsid w:val="009D550F"/>
    <w:rsid w:val="009D5EA2"/>
    <w:rsid w:val="009D6176"/>
    <w:rsid w:val="009D6798"/>
    <w:rsid w:val="009D68A0"/>
    <w:rsid w:val="009D6C71"/>
    <w:rsid w:val="009D6FA2"/>
    <w:rsid w:val="009D6FDA"/>
    <w:rsid w:val="009D70BB"/>
    <w:rsid w:val="009D71C4"/>
    <w:rsid w:val="009D765E"/>
    <w:rsid w:val="009D7B7B"/>
    <w:rsid w:val="009D7CAE"/>
    <w:rsid w:val="009E03F4"/>
    <w:rsid w:val="009E041D"/>
    <w:rsid w:val="009E0631"/>
    <w:rsid w:val="009E09B1"/>
    <w:rsid w:val="009E0B48"/>
    <w:rsid w:val="009E0F4C"/>
    <w:rsid w:val="009E14C2"/>
    <w:rsid w:val="009E16D0"/>
    <w:rsid w:val="009E2051"/>
    <w:rsid w:val="009E226A"/>
    <w:rsid w:val="009E2332"/>
    <w:rsid w:val="009E2536"/>
    <w:rsid w:val="009E2714"/>
    <w:rsid w:val="009E2819"/>
    <w:rsid w:val="009E339D"/>
    <w:rsid w:val="009E3517"/>
    <w:rsid w:val="009E36CC"/>
    <w:rsid w:val="009E38FD"/>
    <w:rsid w:val="009E3964"/>
    <w:rsid w:val="009E3ABF"/>
    <w:rsid w:val="009E3D2C"/>
    <w:rsid w:val="009E3F69"/>
    <w:rsid w:val="009E40CA"/>
    <w:rsid w:val="009E4387"/>
    <w:rsid w:val="009E4610"/>
    <w:rsid w:val="009E516E"/>
    <w:rsid w:val="009E51B4"/>
    <w:rsid w:val="009E5251"/>
    <w:rsid w:val="009E5303"/>
    <w:rsid w:val="009E5371"/>
    <w:rsid w:val="009E54B9"/>
    <w:rsid w:val="009E5F87"/>
    <w:rsid w:val="009E60B8"/>
    <w:rsid w:val="009E7175"/>
    <w:rsid w:val="009E75CF"/>
    <w:rsid w:val="009E76E9"/>
    <w:rsid w:val="009E780D"/>
    <w:rsid w:val="009E7FBF"/>
    <w:rsid w:val="009F0345"/>
    <w:rsid w:val="009F0629"/>
    <w:rsid w:val="009F0B9B"/>
    <w:rsid w:val="009F0D8A"/>
    <w:rsid w:val="009F0ECA"/>
    <w:rsid w:val="009F13D6"/>
    <w:rsid w:val="009F1519"/>
    <w:rsid w:val="009F1780"/>
    <w:rsid w:val="009F1A52"/>
    <w:rsid w:val="009F227E"/>
    <w:rsid w:val="009F23CD"/>
    <w:rsid w:val="009F27BF"/>
    <w:rsid w:val="009F31D5"/>
    <w:rsid w:val="009F3D44"/>
    <w:rsid w:val="009F4307"/>
    <w:rsid w:val="009F441A"/>
    <w:rsid w:val="009F4C6B"/>
    <w:rsid w:val="009F5273"/>
    <w:rsid w:val="009F5A01"/>
    <w:rsid w:val="009F5CAD"/>
    <w:rsid w:val="009F7177"/>
    <w:rsid w:val="009F7550"/>
    <w:rsid w:val="009F7760"/>
    <w:rsid w:val="009F78A8"/>
    <w:rsid w:val="00A006D0"/>
    <w:rsid w:val="00A00700"/>
    <w:rsid w:val="00A00849"/>
    <w:rsid w:val="00A00C10"/>
    <w:rsid w:val="00A0107F"/>
    <w:rsid w:val="00A014AE"/>
    <w:rsid w:val="00A017E0"/>
    <w:rsid w:val="00A01810"/>
    <w:rsid w:val="00A02118"/>
    <w:rsid w:val="00A0230C"/>
    <w:rsid w:val="00A02AD6"/>
    <w:rsid w:val="00A02D6C"/>
    <w:rsid w:val="00A02F97"/>
    <w:rsid w:val="00A03614"/>
    <w:rsid w:val="00A036A1"/>
    <w:rsid w:val="00A03A72"/>
    <w:rsid w:val="00A03BB1"/>
    <w:rsid w:val="00A03F5C"/>
    <w:rsid w:val="00A04D08"/>
    <w:rsid w:val="00A04E5F"/>
    <w:rsid w:val="00A053D9"/>
    <w:rsid w:val="00A05B30"/>
    <w:rsid w:val="00A06AD4"/>
    <w:rsid w:val="00A07096"/>
    <w:rsid w:val="00A0712B"/>
    <w:rsid w:val="00A07318"/>
    <w:rsid w:val="00A07647"/>
    <w:rsid w:val="00A1019A"/>
    <w:rsid w:val="00A10263"/>
    <w:rsid w:val="00A10487"/>
    <w:rsid w:val="00A108AD"/>
    <w:rsid w:val="00A10A6C"/>
    <w:rsid w:val="00A10BE8"/>
    <w:rsid w:val="00A10D1C"/>
    <w:rsid w:val="00A11038"/>
    <w:rsid w:val="00A11347"/>
    <w:rsid w:val="00A11370"/>
    <w:rsid w:val="00A1227B"/>
    <w:rsid w:val="00A12B76"/>
    <w:rsid w:val="00A12F50"/>
    <w:rsid w:val="00A13233"/>
    <w:rsid w:val="00A13369"/>
    <w:rsid w:val="00A13448"/>
    <w:rsid w:val="00A135DA"/>
    <w:rsid w:val="00A14200"/>
    <w:rsid w:val="00A143D9"/>
    <w:rsid w:val="00A143DA"/>
    <w:rsid w:val="00A148FE"/>
    <w:rsid w:val="00A149BC"/>
    <w:rsid w:val="00A14AAB"/>
    <w:rsid w:val="00A14B38"/>
    <w:rsid w:val="00A14C16"/>
    <w:rsid w:val="00A15072"/>
    <w:rsid w:val="00A16CDD"/>
    <w:rsid w:val="00A17582"/>
    <w:rsid w:val="00A175C2"/>
    <w:rsid w:val="00A17B92"/>
    <w:rsid w:val="00A17BC8"/>
    <w:rsid w:val="00A17EE8"/>
    <w:rsid w:val="00A17F33"/>
    <w:rsid w:val="00A2023A"/>
    <w:rsid w:val="00A202CC"/>
    <w:rsid w:val="00A205E8"/>
    <w:rsid w:val="00A20C4B"/>
    <w:rsid w:val="00A2134F"/>
    <w:rsid w:val="00A21F59"/>
    <w:rsid w:val="00A224CE"/>
    <w:rsid w:val="00A22522"/>
    <w:rsid w:val="00A22527"/>
    <w:rsid w:val="00A226A6"/>
    <w:rsid w:val="00A2273C"/>
    <w:rsid w:val="00A23652"/>
    <w:rsid w:val="00A23755"/>
    <w:rsid w:val="00A23B29"/>
    <w:rsid w:val="00A23D97"/>
    <w:rsid w:val="00A2405D"/>
    <w:rsid w:val="00A24083"/>
    <w:rsid w:val="00A24258"/>
    <w:rsid w:val="00A24301"/>
    <w:rsid w:val="00A24523"/>
    <w:rsid w:val="00A24595"/>
    <w:rsid w:val="00A24608"/>
    <w:rsid w:val="00A24736"/>
    <w:rsid w:val="00A247B6"/>
    <w:rsid w:val="00A24813"/>
    <w:rsid w:val="00A24AFD"/>
    <w:rsid w:val="00A24B1F"/>
    <w:rsid w:val="00A24B86"/>
    <w:rsid w:val="00A24F5C"/>
    <w:rsid w:val="00A25079"/>
    <w:rsid w:val="00A25308"/>
    <w:rsid w:val="00A25B89"/>
    <w:rsid w:val="00A25E07"/>
    <w:rsid w:val="00A26345"/>
    <w:rsid w:val="00A2656D"/>
    <w:rsid w:val="00A26A50"/>
    <w:rsid w:val="00A270ED"/>
    <w:rsid w:val="00A274C8"/>
    <w:rsid w:val="00A27DFC"/>
    <w:rsid w:val="00A27FB5"/>
    <w:rsid w:val="00A304F8"/>
    <w:rsid w:val="00A3052B"/>
    <w:rsid w:val="00A305EF"/>
    <w:rsid w:val="00A30B5A"/>
    <w:rsid w:val="00A311C2"/>
    <w:rsid w:val="00A31594"/>
    <w:rsid w:val="00A317CD"/>
    <w:rsid w:val="00A31B27"/>
    <w:rsid w:val="00A31E38"/>
    <w:rsid w:val="00A32363"/>
    <w:rsid w:val="00A32775"/>
    <w:rsid w:val="00A329CE"/>
    <w:rsid w:val="00A32B05"/>
    <w:rsid w:val="00A32F21"/>
    <w:rsid w:val="00A32F96"/>
    <w:rsid w:val="00A3319F"/>
    <w:rsid w:val="00A33A68"/>
    <w:rsid w:val="00A33ABE"/>
    <w:rsid w:val="00A33D53"/>
    <w:rsid w:val="00A33E69"/>
    <w:rsid w:val="00A33FCA"/>
    <w:rsid w:val="00A341CD"/>
    <w:rsid w:val="00A34369"/>
    <w:rsid w:val="00A34AA0"/>
    <w:rsid w:val="00A34DE3"/>
    <w:rsid w:val="00A3513F"/>
    <w:rsid w:val="00A3552F"/>
    <w:rsid w:val="00A355CB"/>
    <w:rsid w:val="00A35A4E"/>
    <w:rsid w:val="00A35AC4"/>
    <w:rsid w:val="00A35C89"/>
    <w:rsid w:val="00A35D0B"/>
    <w:rsid w:val="00A35D1A"/>
    <w:rsid w:val="00A363F1"/>
    <w:rsid w:val="00A36D5B"/>
    <w:rsid w:val="00A36DB3"/>
    <w:rsid w:val="00A36E66"/>
    <w:rsid w:val="00A36F4D"/>
    <w:rsid w:val="00A370EE"/>
    <w:rsid w:val="00A371A4"/>
    <w:rsid w:val="00A3748F"/>
    <w:rsid w:val="00A40404"/>
    <w:rsid w:val="00A40871"/>
    <w:rsid w:val="00A40BBD"/>
    <w:rsid w:val="00A40CBE"/>
    <w:rsid w:val="00A41002"/>
    <w:rsid w:val="00A41010"/>
    <w:rsid w:val="00A411EB"/>
    <w:rsid w:val="00A412AB"/>
    <w:rsid w:val="00A4193E"/>
    <w:rsid w:val="00A41AA5"/>
    <w:rsid w:val="00A41AF7"/>
    <w:rsid w:val="00A4217D"/>
    <w:rsid w:val="00A422E2"/>
    <w:rsid w:val="00A4242F"/>
    <w:rsid w:val="00A42890"/>
    <w:rsid w:val="00A42B65"/>
    <w:rsid w:val="00A430D7"/>
    <w:rsid w:val="00A4321F"/>
    <w:rsid w:val="00A4335E"/>
    <w:rsid w:val="00A43615"/>
    <w:rsid w:val="00A440E0"/>
    <w:rsid w:val="00A442EF"/>
    <w:rsid w:val="00A44576"/>
    <w:rsid w:val="00A448F2"/>
    <w:rsid w:val="00A44909"/>
    <w:rsid w:val="00A4517B"/>
    <w:rsid w:val="00A45FAB"/>
    <w:rsid w:val="00A467DB"/>
    <w:rsid w:val="00A472D5"/>
    <w:rsid w:val="00A4766B"/>
    <w:rsid w:val="00A47A55"/>
    <w:rsid w:val="00A47BEC"/>
    <w:rsid w:val="00A47D7E"/>
    <w:rsid w:val="00A50287"/>
    <w:rsid w:val="00A503D9"/>
    <w:rsid w:val="00A50775"/>
    <w:rsid w:val="00A50A4F"/>
    <w:rsid w:val="00A50CAA"/>
    <w:rsid w:val="00A50D03"/>
    <w:rsid w:val="00A5104A"/>
    <w:rsid w:val="00A51D1A"/>
    <w:rsid w:val="00A5227E"/>
    <w:rsid w:val="00A525F8"/>
    <w:rsid w:val="00A52E42"/>
    <w:rsid w:val="00A531AB"/>
    <w:rsid w:val="00A534DB"/>
    <w:rsid w:val="00A53892"/>
    <w:rsid w:val="00A5418D"/>
    <w:rsid w:val="00A54486"/>
    <w:rsid w:val="00A5474E"/>
    <w:rsid w:val="00A54B25"/>
    <w:rsid w:val="00A54F53"/>
    <w:rsid w:val="00A5648B"/>
    <w:rsid w:val="00A56B23"/>
    <w:rsid w:val="00A56BE2"/>
    <w:rsid w:val="00A56C0A"/>
    <w:rsid w:val="00A56D4C"/>
    <w:rsid w:val="00A56DD3"/>
    <w:rsid w:val="00A56E52"/>
    <w:rsid w:val="00A56F32"/>
    <w:rsid w:val="00A57014"/>
    <w:rsid w:val="00A5729D"/>
    <w:rsid w:val="00A572B8"/>
    <w:rsid w:val="00A57421"/>
    <w:rsid w:val="00A577B0"/>
    <w:rsid w:val="00A57B68"/>
    <w:rsid w:val="00A605FF"/>
    <w:rsid w:val="00A60D19"/>
    <w:rsid w:val="00A613F4"/>
    <w:rsid w:val="00A61491"/>
    <w:rsid w:val="00A617FD"/>
    <w:rsid w:val="00A62030"/>
    <w:rsid w:val="00A6295C"/>
    <w:rsid w:val="00A62B97"/>
    <w:rsid w:val="00A63058"/>
    <w:rsid w:val="00A63075"/>
    <w:rsid w:val="00A630C7"/>
    <w:rsid w:val="00A63166"/>
    <w:rsid w:val="00A632A7"/>
    <w:rsid w:val="00A63393"/>
    <w:rsid w:val="00A63B68"/>
    <w:rsid w:val="00A64071"/>
    <w:rsid w:val="00A64234"/>
    <w:rsid w:val="00A6486E"/>
    <w:rsid w:val="00A64988"/>
    <w:rsid w:val="00A64B25"/>
    <w:rsid w:val="00A64C3E"/>
    <w:rsid w:val="00A65004"/>
    <w:rsid w:val="00A650F4"/>
    <w:rsid w:val="00A6535B"/>
    <w:rsid w:val="00A6549A"/>
    <w:rsid w:val="00A65B53"/>
    <w:rsid w:val="00A65E24"/>
    <w:rsid w:val="00A66B86"/>
    <w:rsid w:val="00A673B6"/>
    <w:rsid w:val="00A67467"/>
    <w:rsid w:val="00A67808"/>
    <w:rsid w:val="00A67981"/>
    <w:rsid w:val="00A67BDC"/>
    <w:rsid w:val="00A67E59"/>
    <w:rsid w:val="00A7001C"/>
    <w:rsid w:val="00A70035"/>
    <w:rsid w:val="00A70303"/>
    <w:rsid w:val="00A705FD"/>
    <w:rsid w:val="00A7075E"/>
    <w:rsid w:val="00A708DC"/>
    <w:rsid w:val="00A70ADF"/>
    <w:rsid w:val="00A70B72"/>
    <w:rsid w:val="00A70E98"/>
    <w:rsid w:val="00A711F1"/>
    <w:rsid w:val="00A71373"/>
    <w:rsid w:val="00A7141B"/>
    <w:rsid w:val="00A71466"/>
    <w:rsid w:val="00A71DF7"/>
    <w:rsid w:val="00A71F91"/>
    <w:rsid w:val="00A7204A"/>
    <w:rsid w:val="00A72227"/>
    <w:rsid w:val="00A723C0"/>
    <w:rsid w:val="00A723D3"/>
    <w:rsid w:val="00A72666"/>
    <w:rsid w:val="00A72D0C"/>
    <w:rsid w:val="00A73698"/>
    <w:rsid w:val="00A73926"/>
    <w:rsid w:val="00A73B15"/>
    <w:rsid w:val="00A73D52"/>
    <w:rsid w:val="00A73E9C"/>
    <w:rsid w:val="00A73EAD"/>
    <w:rsid w:val="00A74176"/>
    <w:rsid w:val="00A74220"/>
    <w:rsid w:val="00A747C2"/>
    <w:rsid w:val="00A74B5E"/>
    <w:rsid w:val="00A74BDC"/>
    <w:rsid w:val="00A7506C"/>
    <w:rsid w:val="00A75127"/>
    <w:rsid w:val="00A7573C"/>
    <w:rsid w:val="00A76473"/>
    <w:rsid w:val="00A766F2"/>
    <w:rsid w:val="00A76BA5"/>
    <w:rsid w:val="00A76CC8"/>
    <w:rsid w:val="00A76DF4"/>
    <w:rsid w:val="00A77B83"/>
    <w:rsid w:val="00A77CBB"/>
    <w:rsid w:val="00A800BE"/>
    <w:rsid w:val="00A806DE"/>
    <w:rsid w:val="00A80737"/>
    <w:rsid w:val="00A80CE4"/>
    <w:rsid w:val="00A80E91"/>
    <w:rsid w:val="00A81093"/>
    <w:rsid w:val="00A8177B"/>
    <w:rsid w:val="00A817C6"/>
    <w:rsid w:val="00A81BED"/>
    <w:rsid w:val="00A81CBA"/>
    <w:rsid w:val="00A81EC4"/>
    <w:rsid w:val="00A81EE3"/>
    <w:rsid w:val="00A824E8"/>
    <w:rsid w:val="00A82661"/>
    <w:rsid w:val="00A82EA4"/>
    <w:rsid w:val="00A83402"/>
    <w:rsid w:val="00A83612"/>
    <w:rsid w:val="00A83AF5"/>
    <w:rsid w:val="00A83E59"/>
    <w:rsid w:val="00A842F4"/>
    <w:rsid w:val="00A8451A"/>
    <w:rsid w:val="00A846D9"/>
    <w:rsid w:val="00A850BC"/>
    <w:rsid w:val="00A8515D"/>
    <w:rsid w:val="00A8539A"/>
    <w:rsid w:val="00A8547D"/>
    <w:rsid w:val="00A8586C"/>
    <w:rsid w:val="00A85C6C"/>
    <w:rsid w:val="00A85E17"/>
    <w:rsid w:val="00A860F6"/>
    <w:rsid w:val="00A861A8"/>
    <w:rsid w:val="00A864F9"/>
    <w:rsid w:val="00A865DF"/>
    <w:rsid w:val="00A86875"/>
    <w:rsid w:val="00A869DB"/>
    <w:rsid w:val="00A86A3D"/>
    <w:rsid w:val="00A86E9D"/>
    <w:rsid w:val="00A86FA8"/>
    <w:rsid w:val="00A87598"/>
    <w:rsid w:val="00A87FB2"/>
    <w:rsid w:val="00A87FBB"/>
    <w:rsid w:val="00A911C3"/>
    <w:rsid w:val="00A914C2"/>
    <w:rsid w:val="00A91621"/>
    <w:rsid w:val="00A9168F"/>
    <w:rsid w:val="00A92244"/>
    <w:rsid w:val="00A92314"/>
    <w:rsid w:val="00A92466"/>
    <w:rsid w:val="00A925AC"/>
    <w:rsid w:val="00A932F7"/>
    <w:rsid w:val="00A93647"/>
    <w:rsid w:val="00A938BB"/>
    <w:rsid w:val="00A93B9D"/>
    <w:rsid w:val="00A93DA3"/>
    <w:rsid w:val="00A94108"/>
    <w:rsid w:val="00A94377"/>
    <w:rsid w:val="00A94427"/>
    <w:rsid w:val="00A9474C"/>
    <w:rsid w:val="00A94C0B"/>
    <w:rsid w:val="00A94F53"/>
    <w:rsid w:val="00A94F6F"/>
    <w:rsid w:val="00A950E2"/>
    <w:rsid w:val="00A953A4"/>
    <w:rsid w:val="00A953E9"/>
    <w:rsid w:val="00A957AD"/>
    <w:rsid w:val="00A95825"/>
    <w:rsid w:val="00A95F4E"/>
    <w:rsid w:val="00A965EE"/>
    <w:rsid w:val="00A967FD"/>
    <w:rsid w:val="00A968E7"/>
    <w:rsid w:val="00A97594"/>
    <w:rsid w:val="00A97719"/>
    <w:rsid w:val="00A97777"/>
    <w:rsid w:val="00A97794"/>
    <w:rsid w:val="00A97A36"/>
    <w:rsid w:val="00AA0350"/>
    <w:rsid w:val="00AA03C9"/>
    <w:rsid w:val="00AA0876"/>
    <w:rsid w:val="00AA0A9F"/>
    <w:rsid w:val="00AA0C49"/>
    <w:rsid w:val="00AA0E37"/>
    <w:rsid w:val="00AA1387"/>
    <w:rsid w:val="00AA2100"/>
    <w:rsid w:val="00AA21F9"/>
    <w:rsid w:val="00AA221D"/>
    <w:rsid w:val="00AA23FD"/>
    <w:rsid w:val="00AA25CA"/>
    <w:rsid w:val="00AA27D9"/>
    <w:rsid w:val="00AA2AD9"/>
    <w:rsid w:val="00AA2B0F"/>
    <w:rsid w:val="00AA2CED"/>
    <w:rsid w:val="00AA2DE5"/>
    <w:rsid w:val="00AA3362"/>
    <w:rsid w:val="00AA3568"/>
    <w:rsid w:val="00AA389A"/>
    <w:rsid w:val="00AA38C7"/>
    <w:rsid w:val="00AA3A90"/>
    <w:rsid w:val="00AA3AB5"/>
    <w:rsid w:val="00AA3FE7"/>
    <w:rsid w:val="00AA4284"/>
    <w:rsid w:val="00AA4F6E"/>
    <w:rsid w:val="00AA55DA"/>
    <w:rsid w:val="00AA5AAC"/>
    <w:rsid w:val="00AA60D8"/>
    <w:rsid w:val="00AA68EF"/>
    <w:rsid w:val="00AA7AB7"/>
    <w:rsid w:val="00AB010C"/>
    <w:rsid w:val="00AB0396"/>
    <w:rsid w:val="00AB08A8"/>
    <w:rsid w:val="00AB10D4"/>
    <w:rsid w:val="00AB156C"/>
    <w:rsid w:val="00AB17E9"/>
    <w:rsid w:val="00AB18C8"/>
    <w:rsid w:val="00AB1B69"/>
    <w:rsid w:val="00AB1BA0"/>
    <w:rsid w:val="00AB23F0"/>
    <w:rsid w:val="00AB2664"/>
    <w:rsid w:val="00AB2D3E"/>
    <w:rsid w:val="00AB330A"/>
    <w:rsid w:val="00AB36F0"/>
    <w:rsid w:val="00AB3C0C"/>
    <w:rsid w:val="00AB3C7E"/>
    <w:rsid w:val="00AB4495"/>
    <w:rsid w:val="00AB45FA"/>
    <w:rsid w:val="00AB46A0"/>
    <w:rsid w:val="00AB46E6"/>
    <w:rsid w:val="00AB4870"/>
    <w:rsid w:val="00AB4BC4"/>
    <w:rsid w:val="00AB541A"/>
    <w:rsid w:val="00AB57C9"/>
    <w:rsid w:val="00AB58FA"/>
    <w:rsid w:val="00AB5AC7"/>
    <w:rsid w:val="00AB5D66"/>
    <w:rsid w:val="00AB5EDC"/>
    <w:rsid w:val="00AB5FB2"/>
    <w:rsid w:val="00AB6162"/>
    <w:rsid w:val="00AB65D5"/>
    <w:rsid w:val="00AB6814"/>
    <w:rsid w:val="00AB68A1"/>
    <w:rsid w:val="00AB6B15"/>
    <w:rsid w:val="00AB6CEF"/>
    <w:rsid w:val="00AB77AB"/>
    <w:rsid w:val="00AB7AAC"/>
    <w:rsid w:val="00AB7E71"/>
    <w:rsid w:val="00AC04BA"/>
    <w:rsid w:val="00AC0C48"/>
    <w:rsid w:val="00AC0E39"/>
    <w:rsid w:val="00AC0F91"/>
    <w:rsid w:val="00AC1473"/>
    <w:rsid w:val="00AC150D"/>
    <w:rsid w:val="00AC1756"/>
    <w:rsid w:val="00AC28E8"/>
    <w:rsid w:val="00AC2BF9"/>
    <w:rsid w:val="00AC2BFB"/>
    <w:rsid w:val="00AC393B"/>
    <w:rsid w:val="00AC3F69"/>
    <w:rsid w:val="00AC3FFC"/>
    <w:rsid w:val="00AC42B0"/>
    <w:rsid w:val="00AC43D5"/>
    <w:rsid w:val="00AC44FA"/>
    <w:rsid w:val="00AC463B"/>
    <w:rsid w:val="00AC4725"/>
    <w:rsid w:val="00AC4A1D"/>
    <w:rsid w:val="00AC4E53"/>
    <w:rsid w:val="00AC5072"/>
    <w:rsid w:val="00AC52F6"/>
    <w:rsid w:val="00AC5379"/>
    <w:rsid w:val="00AC5588"/>
    <w:rsid w:val="00AC5FF3"/>
    <w:rsid w:val="00AC6120"/>
    <w:rsid w:val="00AC695B"/>
    <w:rsid w:val="00AC6963"/>
    <w:rsid w:val="00AC6D1D"/>
    <w:rsid w:val="00AC7041"/>
    <w:rsid w:val="00AC7DB5"/>
    <w:rsid w:val="00AC7EAF"/>
    <w:rsid w:val="00AD0208"/>
    <w:rsid w:val="00AD0655"/>
    <w:rsid w:val="00AD06E6"/>
    <w:rsid w:val="00AD0CFE"/>
    <w:rsid w:val="00AD0D4B"/>
    <w:rsid w:val="00AD1007"/>
    <w:rsid w:val="00AD128D"/>
    <w:rsid w:val="00AD16BD"/>
    <w:rsid w:val="00AD17EC"/>
    <w:rsid w:val="00AD1B2D"/>
    <w:rsid w:val="00AD1C2C"/>
    <w:rsid w:val="00AD1C7E"/>
    <w:rsid w:val="00AD2045"/>
    <w:rsid w:val="00AD2406"/>
    <w:rsid w:val="00AD2697"/>
    <w:rsid w:val="00AD2B06"/>
    <w:rsid w:val="00AD2B39"/>
    <w:rsid w:val="00AD2CA1"/>
    <w:rsid w:val="00AD3082"/>
    <w:rsid w:val="00AD30C5"/>
    <w:rsid w:val="00AD3217"/>
    <w:rsid w:val="00AD32B4"/>
    <w:rsid w:val="00AD3720"/>
    <w:rsid w:val="00AD3756"/>
    <w:rsid w:val="00AD379B"/>
    <w:rsid w:val="00AD3AF8"/>
    <w:rsid w:val="00AD3DA2"/>
    <w:rsid w:val="00AD41F9"/>
    <w:rsid w:val="00AD44F4"/>
    <w:rsid w:val="00AD4693"/>
    <w:rsid w:val="00AD47E8"/>
    <w:rsid w:val="00AD4AD0"/>
    <w:rsid w:val="00AD4F01"/>
    <w:rsid w:val="00AD4FBB"/>
    <w:rsid w:val="00AD500B"/>
    <w:rsid w:val="00AD5034"/>
    <w:rsid w:val="00AD5436"/>
    <w:rsid w:val="00AD54E0"/>
    <w:rsid w:val="00AD5691"/>
    <w:rsid w:val="00AD5AD3"/>
    <w:rsid w:val="00AD60CD"/>
    <w:rsid w:val="00AD6229"/>
    <w:rsid w:val="00AD6C8C"/>
    <w:rsid w:val="00AD6FE7"/>
    <w:rsid w:val="00AD73D6"/>
    <w:rsid w:val="00AD7744"/>
    <w:rsid w:val="00AD775D"/>
    <w:rsid w:val="00AD7B38"/>
    <w:rsid w:val="00AE0526"/>
    <w:rsid w:val="00AE0699"/>
    <w:rsid w:val="00AE091D"/>
    <w:rsid w:val="00AE116D"/>
    <w:rsid w:val="00AE12E4"/>
    <w:rsid w:val="00AE1345"/>
    <w:rsid w:val="00AE14DF"/>
    <w:rsid w:val="00AE1631"/>
    <w:rsid w:val="00AE1BA9"/>
    <w:rsid w:val="00AE1C77"/>
    <w:rsid w:val="00AE2145"/>
    <w:rsid w:val="00AE2269"/>
    <w:rsid w:val="00AE279A"/>
    <w:rsid w:val="00AE2FEA"/>
    <w:rsid w:val="00AE30CB"/>
    <w:rsid w:val="00AE337F"/>
    <w:rsid w:val="00AE34BE"/>
    <w:rsid w:val="00AE3543"/>
    <w:rsid w:val="00AE36EE"/>
    <w:rsid w:val="00AE37E9"/>
    <w:rsid w:val="00AE383B"/>
    <w:rsid w:val="00AE3AFB"/>
    <w:rsid w:val="00AE3B60"/>
    <w:rsid w:val="00AE3CBA"/>
    <w:rsid w:val="00AE3F2A"/>
    <w:rsid w:val="00AE4806"/>
    <w:rsid w:val="00AE4A3F"/>
    <w:rsid w:val="00AE4AB8"/>
    <w:rsid w:val="00AE4AD3"/>
    <w:rsid w:val="00AE50F7"/>
    <w:rsid w:val="00AE53A1"/>
    <w:rsid w:val="00AE571E"/>
    <w:rsid w:val="00AE572E"/>
    <w:rsid w:val="00AE5AC3"/>
    <w:rsid w:val="00AE5E5C"/>
    <w:rsid w:val="00AE601B"/>
    <w:rsid w:val="00AE6178"/>
    <w:rsid w:val="00AE7516"/>
    <w:rsid w:val="00AE758F"/>
    <w:rsid w:val="00AE767E"/>
    <w:rsid w:val="00AE7967"/>
    <w:rsid w:val="00AF0607"/>
    <w:rsid w:val="00AF070A"/>
    <w:rsid w:val="00AF0DEA"/>
    <w:rsid w:val="00AF0F34"/>
    <w:rsid w:val="00AF1408"/>
    <w:rsid w:val="00AF15E3"/>
    <w:rsid w:val="00AF1720"/>
    <w:rsid w:val="00AF1852"/>
    <w:rsid w:val="00AF18E2"/>
    <w:rsid w:val="00AF1FC2"/>
    <w:rsid w:val="00AF21E0"/>
    <w:rsid w:val="00AF2324"/>
    <w:rsid w:val="00AF2484"/>
    <w:rsid w:val="00AF2805"/>
    <w:rsid w:val="00AF2E3C"/>
    <w:rsid w:val="00AF33C4"/>
    <w:rsid w:val="00AF33D9"/>
    <w:rsid w:val="00AF3868"/>
    <w:rsid w:val="00AF487E"/>
    <w:rsid w:val="00AF5A01"/>
    <w:rsid w:val="00AF5B31"/>
    <w:rsid w:val="00AF5C59"/>
    <w:rsid w:val="00AF5CDE"/>
    <w:rsid w:val="00AF5D16"/>
    <w:rsid w:val="00AF5E1A"/>
    <w:rsid w:val="00AF5F07"/>
    <w:rsid w:val="00AF616A"/>
    <w:rsid w:val="00AF63E7"/>
    <w:rsid w:val="00AF6E17"/>
    <w:rsid w:val="00AF77B5"/>
    <w:rsid w:val="00AF79EB"/>
    <w:rsid w:val="00AF7D18"/>
    <w:rsid w:val="00B0002E"/>
    <w:rsid w:val="00B001D7"/>
    <w:rsid w:val="00B00653"/>
    <w:rsid w:val="00B007DE"/>
    <w:rsid w:val="00B00FB8"/>
    <w:rsid w:val="00B011B4"/>
    <w:rsid w:val="00B0120D"/>
    <w:rsid w:val="00B0125A"/>
    <w:rsid w:val="00B013F7"/>
    <w:rsid w:val="00B0165D"/>
    <w:rsid w:val="00B01805"/>
    <w:rsid w:val="00B01B60"/>
    <w:rsid w:val="00B01D90"/>
    <w:rsid w:val="00B0221A"/>
    <w:rsid w:val="00B022F6"/>
    <w:rsid w:val="00B02598"/>
    <w:rsid w:val="00B025CE"/>
    <w:rsid w:val="00B0278C"/>
    <w:rsid w:val="00B031F3"/>
    <w:rsid w:val="00B03357"/>
    <w:rsid w:val="00B03999"/>
    <w:rsid w:val="00B03B92"/>
    <w:rsid w:val="00B040E9"/>
    <w:rsid w:val="00B046FE"/>
    <w:rsid w:val="00B052A4"/>
    <w:rsid w:val="00B055DD"/>
    <w:rsid w:val="00B05AAA"/>
    <w:rsid w:val="00B05E39"/>
    <w:rsid w:val="00B05F3B"/>
    <w:rsid w:val="00B05F87"/>
    <w:rsid w:val="00B060DF"/>
    <w:rsid w:val="00B0639A"/>
    <w:rsid w:val="00B07959"/>
    <w:rsid w:val="00B07D3B"/>
    <w:rsid w:val="00B103C4"/>
    <w:rsid w:val="00B1061C"/>
    <w:rsid w:val="00B1082E"/>
    <w:rsid w:val="00B1124E"/>
    <w:rsid w:val="00B11281"/>
    <w:rsid w:val="00B112F3"/>
    <w:rsid w:val="00B1136E"/>
    <w:rsid w:val="00B114B7"/>
    <w:rsid w:val="00B11574"/>
    <w:rsid w:val="00B11949"/>
    <w:rsid w:val="00B12047"/>
    <w:rsid w:val="00B12152"/>
    <w:rsid w:val="00B125DE"/>
    <w:rsid w:val="00B126A7"/>
    <w:rsid w:val="00B12A73"/>
    <w:rsid w:val="00B12B2F"/>
    <w:rsid w:val="00B12FD4"/>
    <w:rsid w:val="00B13A31"/>
    <w:rsid w:val="00B13ABF"/>
    <w:rsid w:val="00B13B2F"/>
    <w:rsid w:val="00B13B73"/>
    <w:rsid w:val="00B13C73"/>
    <w:rsid w:val="00B13FDD"/>
    <w:rsid w:val="00B141C1"/>
    <w:rsid w:val="00B14344"/>
    <w:rsid w:val="00B14686"/>
    <w:rsid w:val="00B14922"/>
    <w:rsid w:val="00B149A7"/>
    <w:rsid w:val="00B14D1C"/>
    <w:rsid w:val="00B14DBC"/>
    <w:rsid w:val="00B14ED2"/>
    <w:rsid w:val="00B151AA"/>
    <w:rsid w:val="00B1523E"/>
    <w:rsid w:val="00B1552F"/>
    <w:rsid w:val="00B15D16"/>
    <w:rsid w:val="00B162CD"/>
    <w:rsid w:val="00B1630F"/>
    <w:rsid w:val="00B1698E"/>
    <w:rsid w:val="00B169C5"/>
    <w:rsid w:val="00B16D39"/>
    <w:rsid w:val="00B16E47"/>
    <w:rsid w:val="00B17483"/>
    <w:rsid w:val="00B17CAA"/>
    <w:rsid w:val="00B200FC"/>
    <w:rsid w:val="00B207F3"/>
    <w:rsid w:val="00B20A4E"/>
    <w:rsid w:val="00B20A59"/>
    <w:rsid w:val="00B20FE7"/>
    <w:rsid w:val="00B217AA"/>
    <w:rsid w:val="00B219BD"/>
    <w:rsid w:val="00B2237B"/>
    <w:rsid w:val="00B224C8"/>
    <w:rsid w:val="00B227E4"/>
    <w:rsid w:val="00B22CBF"/>
    <w:rsid w:val="00B22E16"/>
    <w:rsid w:val="00B22EB2"/>
    <w:rsid w:val="00B23055"/>
    <w:rsid w:val="00B23A55"/>
    <w:rsid w:val="00B23AF8"/>
    <w:rsid w:val="00B23E46"/>
    <w:rsid w:val="00B24336"/>
    <w:rsid w:val="00B24763"/>
    <w:rsid w:val="00B24CCE"/>
    <w:rsid w:val="00B25448"/>
    <w:rsid w:val="00B2546C"/>
    <w:rsid w:val="00B2546D"/>
    <w:rsid w:val="00B2553B"/>
    <w:rsid w:val="00B25AFD"/>
    <w:rsid w:val="00B25FD0"/>
    <w:rsid w:val="00B2609D"/>
    <w:rsid w:val="00B2667B"/>
    <w:rsid w:val="00B26B3C"/>
    <w:rsid w:val="00B26CD1"/>
    <w:rsid w:val="00B26D80"/>
    <w:rsid w:val="00B26DB3"/>
    <w:rsid w:val="00B27442"/>
    <w:rsid w:val="00B27686"/>
    <w:rsid w:val="00B27743"/>
    <w:rsid w:val="00B2785B"/>
    <w:rsid w:val="00B27942"/>
    <w:rsid w:val="00B279F1"/>
    <w:rsid w:val="00B3004F"/>
    <w:rsid w:val="00B30390"/>
    <w:rsid w:val="00B304A3"/>
    <w:rsid w:val="00B30518"/>
    <w:rsid w:val="00B30672"/>
    <w:rsid w:val="00B3087B"/>
    <w:rsid w:val="00B308B6"/>
    <w:rsid w:val="00B30B89"/>
    <w:rsid w:val="00B30D67"/>
    <w:rsid w:val="00B30DD7"/>
    <w:rsid w:val="00B30EEB"/>
    <w:rsid w:val="00B30FC9"/>
    <w:rsid w:val="00B31167"/>
    <w:rsid w:val="00B315A8"/>
    <w:rsid w:val="00B325CC"/>
    <w:rsid w:val="00B3281E"/>
    <w:rsid w:val="00B329D8"/>
    <w:rsid w:val="00B32A40"/>
    <w:rsid w:val="00B32B49"/>
    <w:rsid w:val="00B32BB9"/>
    <w:rsid w:val="00B32BCC"/>
    <w:rsid w:val="00B3344E"/>
    <w:rsid w:val="00B33ADF"/>
    <w:rsid w:val="00B33AE1"/>
    <w:rsid w:val="00B33CB6"/>
    <w:rsid w:val="00B342E9"/>
    <w:rsid w:val="00B3432B"/>
    <w:rsid w:val="00B351AB"/>
    <w:rsid w:val="00B35286"/>
    <w:rsid w:val="00B35DF1"/>
    <w:rsid w:val="00B3638C"/>
    <w:rsid w:val="00B367A6"/>
    <w:rsid w:val="00B36DF6"/>
    <w:rsid w:val="00B370B8"/>
    <w:rsid w:val="00B370E9"/>
    <w:rsid w:val="00B37378"/>
    <w:rsid w:val="00B377ED"/>
    <w:rsid w:val="00B37804"/>
    <w:rsid w:val="00B37C38"/>
    <w:rsid w:val="00B400A9"/>
    <w:rsid w:val="00B4063F"/>
    <w:rsid w:val="00B4076B"/>
    <w:rsid w:val="00B4089C"/>
    <w:rsid w:val="00B41115"/>
    <w:rsid w:val="00B416B3"/>
    <w:rsid w:val="00B418E8"/>
    <w:rsid w:val="00B41FFE"/>
    <w:rsid w:val="00B4206D"/>
    <w:rsid w:val="00B420D0"/>
    <w:rsid w:val="00B421C6"/>
    <w:rsid w:val="00B4237A"/>
    <w:rsid w:val="00B4288C"/>
    <w:rsid w:val="00B43262"/>
    <w:rsid w:val="00B435D1"/>
    <w:rsid w:val="00B43677"/>
    <w:rsid w:val="00B43CFB"/>
    <w:rsid w:val="00B43F32"/>
    <w:rsid w:val="00B43F6B"/>
    <w:rsid w:val="00B43FCD"/>
    <w:rsid w:val="00B4400A"/>
    <w:rsid w:val="00B44100"/>
    <w:rsid w:val="00B445DC"/>
    <w:rsid w:val="00B44AEC"/>
    <w:rsid w:val="00B44BBE"/>
    <w:rsid w:val="00B44EB9"/>
    <w:rsid w:val="00B44EF2"/>
    <w:rsid w:val="00B44F25"/>
    <w:rsid w:val="00B459B1"/>
    <w:rsid w:val="00B45CB9"/>
    <w:rsid w:val="00B45EE6"/>
    <w:rsid w:val="00B45F9B"/>
    <w:rsid w:val="00B46CBA"/>
    <w:rsid w:val="00B46CCF"/>
    <w:rsid w:val="00B46CD1"/>
    <w:rsid w:val="00B46F06"/>
    <w:rsid w:val="00B46F94"/>
    <w:rsid w:val="00B470B6"/>
    <w:rsid w:val="00B470B8"/>
    <w:rsid w:val="00B50048"/>
    <w:rsid w:val="00B50054"/>
    <w:rsid w:val="00B50213"/>
    <w:rsid w:val="00B5070D"/>
    <w:rsid w:val="00B51245"/>
    <w:rsid w:val="00B51281"/>
    <w:rsid w:val="00B5182A"/>
    <w:rsid w:val="00B52226"/>
    <w:rsid w:val="00B522D1"/>
    <w:rsid w:val="00B5265A"/>
    <w:rsid w:val="00B52924"/>
    <w:rsid w:val="00B52970"/>
    <w:rsid w:val="00B52C73"/>
    <w:rsid w:val="00B52D2A"/>
    <w:rsid w:val="00B52D3F"/>
    <w:rsid w:val="00B534A2"/>
    <w:rsid w:val="00B542E5"/>
    <w:rsid w:val="00B5461E"/>
    <w:rsid w:val="00B54C7E"/>
    <w:rsid w:val="00B550E6"/>
    <w:rsid w:val="00B55490"/>
    <w:rsid w:val="00B558A6"/>
    <w:rsid w:val="00B5595B"/>
    <w:rsid w:val="00B55963"/>
    <w:rsid w:val="00B55B10"/>
    <w:rsid w:val="00B562E7"/>
    <w:rsid w:val="00B562EB"/>
    <w:rsid w:val="00B563D5"/>
    <w:rsid w:val="00B56586"/>
    <w:rsid w:val="00B566CF"/>
    <w:rsid w:val="00B56D79"/>
    <w:rsid w:val="00B57F38"/>
    <w:rsid w:val="00B6003C"/>
    <w:rsid w:val="00B603E8"/>
    <w:rsid w:val="00B60457"/>
    <w:rsid w:val="00B60475"/>
    <w:rsid w:val="00B6099C"/>
    <w:rsid w:val="00B60BC9"/>
    <w:rsid w:val="00B6131C"/>
    <w:rsid w:val="00B61456"/>
    <w:rsid w:val="00B614A6"/>
    <w:rsid w:val="00B61852"/>
    <w:rsid w:val="00B61945"/>
    <w:rsid w:val="00B61CFB"/>
    <w:rsid w:val="00B61F03"/>
    <w:rsid w:val="00B61F97"/>
    <w:rsid w:val="00B621F4"/>
    <w:rsid w:val="00B62512"/>
    <w:rsid w:val="00B626E4"/>
    <w:rsid w:val="00B6282A"/>
    <w:rsid w:val="00B62842"/>
    <w:rsid w:val="00B6293C"/>
    <w:rsid w:val="00B62A73"/>
    <w:rsid w:val="00B62B17"/>
    <w:rsid w:val="00B62D8D"/>
    <w:rsid w:val="00B630C1"/>
    <w:rsid w:val="00B64687"/>
    <w:rsid w:val="00B6471C"/>
    <w:rsid w:val="00B648EA"/>
    <w:rsid w:val="00B64976"/>
    <w:rsid w:val="00B65076"/>
    <w:rsid w:val="00B650B8"/>
    <w:rsid w:val="00B6586E"/>
    <w:rsid w:val="00B659AA"/>
    <w:rsid w:val="00B65E68"/>
    <w:rsid w:val="00B65F6C"/>
    <w:rsid w:val="00B6620C"/>
    <w:rsid w:val="00B66424"/>
    <w:rsid w:val="00B66BFF"/>
    <w:rsid w:val="00B66D44"/>
    <w:rsid w:val="00B6711E"/>
    <w:rsid w:val="00B671D5"/>
    <w:rsid w:val="00B67776"/>
    <w:rsid w:val="00B67785"/>
    <w:rsid w:val="00B6778C"/>
    <w:rsid w:val="00B67DF2"/>
    <w:rsid w:val="00B7016C"/>
    <w:rsid w:val="00B701DD"/>
    <w:rsid w:val="00B70220"/>
    <w:rsid w:val="00B70A75"/>
    <w:rsid w:val="00B70DDA"/>
    <w:rsid w:val="00B7117F"/>
    <w:rsid w:val="00B713E9"/>
    <w:rsid w:val="00B71714"/>
    <w:rsid w:val="00B71796"/>
    <w:rsid w:val="00B7191E"/>
    <w:rsid w:val="00B71C25"/>
    <w:rsid w:val="00B72415"/>
    <w:rsid w:val="00B72463"/>
    <w:rsid w:val="00B726C9"/>
    <w:rsid w:val="00B726EB"/>
    <w:rsid w:val="00B7277D"/>
    <w:rsid w:val="00B72F4A"/>
    <w:rsid w:val="00B7393C"/>
    <w:rsid w:val="00B739D1"/>
    <w:rsid w:val="00B73DBB"/>
    <w:rsid w:val="00B73F11"/>
    <w:rsid w:val="00B74245"/>
    <w:rsid w:val="00B74AA4"/>
    <w:rsid w:val="00B750B0"/>
    <w:rsid w:val="00B75516"/>
    <w:rsid w:val="00B75827"/>
    <w:rsid w:val="00B75DD8"/>
    <w:rsid w:val="00B76BAF"/>
    <w:rsid w:val="00B76D53"/>
    <w:rsid w:val="00B76FAC"/>
    <w:rsid w:val="00B77329"/>
    <w:rsid w:val="00B774EC"/>
    <w:rsid w:val="00B776BB"/>
    <w:rsid w:val="00B77BED"/>
    <w:rsid w:val="00B8008C"/>
    <w:rsid w:val="00B802D3"/>
    <w:rsid w:val="00B80F40"/>
    <w:rsid w:val="00B812D2"/>
    <w:rsid w:val="00B81560"/>
    <w:rsid w:val="00B81581"/>
    <w:rsid w:val="00B81CFB"/>
    <w:rsid w:val="00B82868"/>
    <w:rsid w:val="00B83029"/>
    <w:rsid w:val="00B83299"/>
    <w:rsid w:val="00B83503"/>
    <w:rsid w:val="00B8372F"/>
    <w:rsid w:val="00B83C27"/>
    <w:rsid w:val="00B83EAE"/>
    <w:rsid w:val="00B83F68"/>
    <w:rsid w:val="00B84047"/>
    <w:rsid w:val="00B840FE"/>
    <w:rsid w:val="00B8455E"/>
    <w:rsid w:val="00B84AE0"/>
    <w:rsid w:val="00B84BC3"/>
    <w:rsid w:val="00B84BDD"/>
    <w:rsid w:val="00B84CFD"/>
    <w:rsid w:val="00B84DD7"/>
    <w:rsid w:val="00B85256"/>
    <w:rsid w:val="00B85BF7"/>
    <w:rsid w:val="00B85D0F"/>
    <w:rsid w:val="00B86165"/>
    <w:rsid w:val="00B863AC"/>
    <w:rsid w:val="00B86678"/>
    <w:rsid w:val="00B86E1F"/>
    <w:rsid w:val="00B87464"/>
    <w:rsid w:val="00B87811"/>
    <w:rsid w:val="00B87BEB"/>
    <w:rsid w:val="00B87C53"/>
    <w:rsid w:val="00B87CD4"/>
    <w:rsid w:val="00B90282"/>
    <w:rsid w:val="00B90A7F"/>
    <w:rsid w:val="00B910AC"/>
    <w:rsid w:val="00B9115D"/>
    <w:rsid w:val="00B911BD"/>
    <w:rsid w:val="00B916F9"/>
    <w:rsid w:val="00B917B2"/>
    <w:rsid w:val="00B918A0"/>
    <w:rsid w:val="00B91D99"/>
    <w:rsid w:val="00B91DB4"/>
    <w:rsid w:val="00B92812"/>
    <w:rsid w:val="00B928F0"/>
    <w:rsid w:val="00B9333D"/>
    <w:rsid w:val="00B933C5"/>
    <w:rsid w:val="00B939DF"/>
    <w:rsid w:val="00B93D97"/>
    <w:rsid w:val="00B941D5"/>
    <w:rsid w:val="00B9455C"/>
    <w:rsid w:val="00B94B2E"/>
    <w:rsid w:val="00B94B72"/>
    <w:rsid w:val="00B94C9A"/>
    <w:rsid w:val="00B94EE5"/>
    <w:rsid w:val="00B94F91"/>
    <w:rsid w:val="00B9571E"/>
    <w:rsid w:val="00B95800"/>
    <w:rsid w:val="00B9596A"/>
    <w:rsid w:val="00B960C5"/>
    <w:rsid w:val="00B96244"/>
    <w:rsid w:val="00B962FE"/>
    <w:rsid w:val="00B96331"/>
    <w:rsid w:val="00B963BF"/>
    <w:rsid w:val="00B963EF"/>
    <w:rsid w:val="00B96C63"/>
    <w:rsid w:val="00B96D2E"/>
    <w:rsid w:val="00B96D87"/>
    <w:rsid w:val="00B971AA"/>
    <w:rsid w:val="00B979EA"/>
    <w:rsid w:val="00B97CCE"/>
    <w:rsid w:val="00BA00B4"/>
    <w:rsid w:val="00BA04D5"/>
    <w:rsid w:val="00BA056D"/>
    <w:rsid w:val="00BA093D"/>
    <w:rsid w:val="00BA0D32"/>
    <w:rsid w:val="00BA0E66"/>
    <w:rsid w:val="00BA154D"/>
    <w:rsid w:val="00BA1CD3"/>
    <w:rsid w:val="00BA1D4B"/>
    <w:rsid w:val="00BA1F37"/>
    <w:rsid w:val="00BA1F48"/>
    <w:rsid w:val="00BA1FAF"/>
    <w:rsid w:val="00BA2A85"/>
    <w:rsid w:val="00BA317D"/>
    <w:rsid w:val="00BA3F45"/>
    <w:rsid w:val="00BA4050"/>
    <w:rsid w:val="00BA4198"/>
    <w:rsid w:val="00BA4BE3"/>
    <w:rsid w:val="00BA4C35"/>
    <w:rsid w:val="00BA523B"/>
    <w:rsid w:val="00BA534E"/>
    <w:rsid w:val="00BA5C0F"/>
    <w:rsid w:val="00BA60AF"/>
    <w:rsid w:val="00BA6196"/>
    <w:rsid w:val="00BA65E4"/>
    <w:rsid w:val="00BA66F5"/>
    <w:rsid w:val="00BA67B0"/>
    <w:rsid w:val="00BA6A0F"/>
    <w:rsid w:val="00BA6CB3"/>
    <w:rsid w:val="00BA7E39"/>
    <w:rsid w:val="00BB064E"/>
    <w:rsid w:val="00BB0A04"/>
    <w:rsid w:val="00BB0E89"/>
    <w:rsid w:val="00BB1747"/>
    <w:rsid w:val="00BB1BDD"/>
    <w:rsid w:val="00BB273A"/>
    <w:rsid w:val="00BB285F"/>
    <w:rsid w:val="00BB29FE"/>
    <w:rsid w:val="00BB2A22"/>
    <w:rsid w:val="00BB2A63"/>
    <w:rsid w:val="00BB2A68"/>
    <w:rsid w:val="00BB2FB0"/>
    <w:rsid w:val="00BB34D5"/>
    <w:rsid w:val="00BB3ADB"/>
    <w:rsid w:val="00BB45A1"/>
    <w:rsid w:val="00BB49F3"/>
    <w:rsid w:val="00BB4B30"/>
    <w:rsid w:val="00BB4D15"/>
    <w:rsid w:val="00BB55E5"/>
    <w:rsid w:val="00BB585E"/>
    <w:rsid w:val="00BB59F1"/>
    <w:rsid w:val="00BB6335"/>
    <w:rsid w:val="00BB669B"/>
    <w:rsid w:val="00BB721F"/>
    <w:rsid w:val="00BB7686"/>
    <w:rsid w:val="00BB7802"/>
    <w:rsid w:val="00BB78E6"/>
    <w:rsid w:val="00BC0101"/>
    <w:rsid w:val="00BC01AC"/>
    <w:rsid w:val="00BC05D9"/>
    <w:rsid w:val="00BC08AF"/>
    <w:rsid w:val="00BC115C"/>
    <w:rsid w:val="00BC1198"/>
    <w:rsid w:val="00BC14A1"/>
    <w:rsid w:val="00BC1622"/>
    <w:rsid w:val="00BC16DB"/>
    <w:rsid w:val="00BC17D3"/>
    <w:rsid w:val="00BC1B32"/>
    <w:rsid w:val="00BC222F"/>
    <w:rsid w:val="00BC23E6"/>
    <w:rsid w:val="00BC23F9"/>
    <w:rsid w:val="00BC2565"/>
    <w:rsid w:val="00BC25C9"/>
    <w:rsid w:val="00BC2618"/>
    <w:rsid w:val="00BC26DC"/>
    <w:rsid w:val="00BC2984"/>
    <w:rsid w:val="00BC2DB4"/>
    <w:rsid w:val="00BC30C0"/>
    <w:rsid w:val="00BC3421"/>
    <w:rsid w:val="00BC3EED"/>
    <w:rsid w:val="00BC40C3"/>
    <w:rsid w:val="00BC45EC"/>
    <w:rsid w:val="00BC4644"/>
    <w:rsid w:val="00BC4774"/>
    <w:rsid w:val="00BC4F7F"/>
    <w:rsid w:val="00BC5152"/>
    <w:rsid w:val="00BC5156"/>
    <w:rsid w:val="00BC5591"/>
    <w:rsid w:val="00BC5599"/>
    <w:rsid w:val="00BC5687"/>
    <w:rsid w:val="00BC5A3E"/>
    <w:rsid w:val="00BC5E22"/>
    <w:rsid w:val="00BC6250"/>
    <w:rsid w:val="00BC6BC7"/>
    <w:rsid w:val="00BC6C2C"/>
    <w:rsid w:val="00BC6DDF"/>
    <w:rsid w:val="00BC7098"/>
    <w:rsid w:val="00BC72A4"/>
    <w:rsid w:val="00BC732C"/>
    <w:rsid w:val="00BC7784"/>
    <w:rsid w:val="00BC7D24"/>
    <w:rsid w:val="00BD0092"/>
    <w:rsid w:val="00BD00A8"/>
    <w:rsid w:val="00BD04AC"/>
    <w:rsid w:val="00BD07E4"/>
    <w:rsid w:val="00BD085B"/>
    <w:rsid w:val="00BD1298"/>
    <w:rsid w:val="00BD1405"/>
    <w:rsid w:val="00BD16E4"/>
    <w:rsid w:val="00BD19D5"/>
    <w:rsid w:val="00BD278A"/>
    <w:rsid w:val="00BD287B"/>
    <w:rsid w:val="00BD3885"/>
    <w:rsid w:val="00BD38DC"/>
    <w:rsid w:val="00BD3BCD"/>
    <w:rsid w:val="00BD42B7"/>
    <w:rsid w:val="00BD4421"/>
    <w:rsid w:val="00BD45E1"/>
    <w:rsid w:val="00BD46B1"/>
    <w:rsid w:val="00BD47E4"/>
    <w:rsid w:val="00BD495D"/>
    <w:rsid w:val="00BD4E9A"/>
    <w:rsid w:val="00BD51A1"/>
    <w:rsid w:val="00BD51FD"/>
    <w:rsid w:val="00BD543A"/>
    <w:rsid w:val="00BD544D"/>
    <w:rsid w:val="00BD58B2"/>
    <w:rsid w:val="00BD5A89"/>
    <w:rsid w:val="00BD6170"/>
    <w:rsid w:val="00BD6956"/>
    <w:rsid w:val="00BD6D35"/>
    <w:rsid w:val="00BD6D7B"/>
    <w:rsid w:val="00BD6F10"/>
    <w:rsid w:val="00BD702F"/>
    <w:rsid w:val="00BD7953"/>
    <w:rsid w:val="00BD7F41"/>
    <w:rsid w:val="00BE045D"/>
    <w:rsid w:val="00BE0D0A"/>
    <w:rsid w:val="00BE121B"/>
    <w:rsid w:val="00BE1246"/>
    <w:rsid w:val="00BE174C"/>
    <w:rsid w:val="00BE1873"/>
    <w:rsid w:val="00BE2073"/>
    <w:rsid w:val="00BE2131"/>
    <w:rsid w:val="00BE2299"/>
    <w:rsid w:val="00BE2580"/>
    <w:rsid w:val="00BE266D"/>
    <w:rsid w:val="00BE2B14"/>
    <w:rsid w:val="00BE2D0A"/>
    <w:rsid w:val="00BE2F0F"/>
    <w:rsid w:val="00BE2F8C"/>
    <w:rsid w:val="00BE3010"/>
    <w:rsid w:val="00BE3938"/>
    <w:rsid w:val="00BE3C98"/>
    <w:rsid w:val="00BE3CA5"/>
    <w:rsid w:val="00BE469C"/>
    <w:rsid w:val="00BE48B1"/>
    <w:rsid w:val="00BE4C11"/>
    <w:rsid w:val="00BE4F8D"/>
    <w:rsid w:val="00BE566B"/>
    <w:rsid w:val="00BE5EE8"/>
    <w:rsid w:val="00BE6216"/>
    <w:rsid w:val="00BE63E5"/>
    <w:rsid w:val="00BE6D46"/>
    <w:rsid w:val="00BE6FB6"/>
    <w:rsid w:val="00BE71C0"/>
    <w:rsid w:val="00BE7F71"/>
    <w:rsid w:val="00BE7FF4"/>
    <w:rsid w:val="00BF04EA"/>
    <w:rsid w:val="00BF0650"/>
    <w:rsid w:val="00BF0830"/>
    <w:rsid w:val="00BF0981"/>
    <w:rsid w:val="00BF12B8"/>
    <w:rsid w:val="00BF16DB"/>
    <w:rsid w:val="00BF228A"/>
    <w:rsid w:val="00BF23DF"/>
    <w:rsid w:val="00BF24BD"/>
    <w:rsid w:val="00BF29B5"/>
    <w:rsid w:val="00BF2AA5"/>
    <w:rsid w:val="00BF2AA7"/>
    <w:rsid w:val="00BF2BD3"/>
    <w:rsid w:val="00BF2CD2"/>
    <w:rsid w:val="00BF3050"/>
    <w:rsid w:val="00BF32EE"/>
    <w:rsid w:val="00BF3A67"/>
    <w:rsid w:val="00BF41BE"/>
    <w:rsid w:val="00BF44B1"/>
    <w:rsid w:val="00BF44EE"/>
    <w:rsid w:val="00BF4B5B"/>
    <w:rsid w:val="00BF4F5D"/>
    <w:rsid w:val="00BF54EF"/>
    <w:rsid w:val="00BF5637"/>
    <w:rsid w:val="00BF56C7"/>
    <w:rsid w:val="00BF5AC0"/>
    <w:rsid w:val="00BF610C"/>
    <w:rsid w:val="00BF6143"/>
    <w:rsid w:val="00BF62F0"/>
    <w:rsid w:val="00BF6682"/>
    <w:rsid w:val="00BF70E7"/>
    <w:rsid w:val="00BF73CE"/>
    <w:rsid w:val="00C00044"/>
    <w:rsid w:val="00C00071"/>
    <w:rsid w:val="00C0060B"/>
    <w:rsid w:val="00C015D4"/>
    <w:rsid w:val="00C01A6C"/>
    <w:rsid w:val="00C01DD9"/>
    <w:rsid w:val="00C02376"/>
    <w:rsid w:val="00C02727"/>
    <w:rsid w:val="00C0277D"/>
    <w:rsid w:val="00C02CA3"/>
    <w:rsid w:val="00C02E0B"/>
    <w:rsid w:val="00C02F26"/>
    <w:rsid w:val="00C0303E"/>
    <w:rsid w:val="00C0334B"/>
    <w:rsid w:val="00C03597"/>
    <w:rsid w:val="00C03754"/>
    <w:rsid w:val="00C042FC"/>
    <w:rsid w:val="00C04428"/>
    <w:rsid w:val="00C04499"/>
    <w:rsid w:val="00C0490E"/>
    <w:rsid w:val="00C04A54"/>
    <w:rsid w:val="00C04DAE"/>
    <w:rsid w:val="00C04DEE"/>
    <w:rsid w:val="00C053A1"/>
    <w:rsid w:val="00C054E8"/>
    <w:rsid w:val="00C05629"/>
    <w:rsid w:val="00C05BB6"/>
    <w:rsid w:val="00C05FAF"/>
    <w:rsid w:val="00C06DFC"/>
    <w:rsid w:val="00C06FBF"/>
    <w:rsid w:val="00C075EC"/>
    <w:rsid w:val="00C07E10"/>
    <w:rsid w:val="00C07E9B"/>
    <w:rsid w:val="00C10027"/>
    <w:rsid w:val="00C10514"/>
    <w:rsid w:val="00C10686"/>
    <w:rsid w:val="00C10688"/>
    <w:rsid w:val="00C10BCA"/>
    <w:rsid w:val="00C111AD"/>
    <w:rsid w:val="00C11487"/>
    <w:rsid w:val="00C11606"/>
    <w:rsid w:val="00C11A5C"/>
    <w:rsid w:val="00C11D51"/>
    <w:rsid w:val="00C12188"/>
    <w:rsid w:val="00C12604"/>
    <w:rsid w:val="00C12A60"/>
    <w:rsid w:val="00C12FFE"/>
    <w:rsid w:val="00C13405"/>
    <w:rsid w:val="00C13ADE"/>
    <w:rsid w:val="00C13C13"/>
    <w:rsid w:val="00C15288"/>
    <w:rsid w:val="00C1579C"/>
    <w:rsid w:val="00C159CF"/>
    <w:rsid w:val="00C16012"/>
    <w:rsid w:val="00C16198"/>
    <w:rsid w:val="00C165C2"/>
    <w:rsid w:val="00C1660C"/>
    <w:rsid w:val="00C16732"/>
    <w:rsid w:val="00C16A33"/>
    <w:rsid w:val="00C16D8D"/>
    <w:rsid w:val="00C16E4F"/>
    <w:rsid w:val="00C16F84"/>
    <w:rsid w:val="00C175C7"/>
    <w:rsid w:val="00C176AC"/>
    <w:rsid w:val="00C1784C"/>
    <w:rsid w:val="00C202B7"/>
    <w:rsid w:val="00C2068B"/>
    <w:rsid w:val="00C20708"/>
    <w:rsid w:val="00C2083D"/>
    <w:rsid w:val="00C20CFA"/>
    <w:rsid w:val="00C21753"/>
    <w:rsid w:val="00C227E1"/>
    <w:rsid w:val="00C22932"/>
    <w:rsid w:val="00C22ABA"/>
    <w:rsid w:val="00C22C98"/>
    <w:rsid w:val="00C22EF2"/>
    <w:rsid w:val="00C23BA9"/>
    <w:rsid w:val="00C23D4A"/>
    <w:rsid w:val="00C23F24"/>
    <w:rsid w:val="00C245AD"/>
    <w:rsid w:val="00C246D1"/>
    <w:rsid w:val="00C24724"/>
    <w:rsid w:val="00C248F9"/>
    <w:rsid w:val="00C24A53"/>
    <w:rsid w:val="00C24CBA"/>
    <w:rsid w:val="00C25216"/>
    <w:rsid w:val="00C25302"/>
    <w:rsid w:val="00C25B7E"/>
    <w:rsid w:val="00C25C5E"/>
    <w:rsid w:val="00C25D9E"/>
    <w:rsid w:val="00C25FF0"/>
    <w:rsid w:val="00C261D7"/>
    <w:rsid w:val="00C264FA"/>
    <w:rsid w:val="00C2742D"/>
    <w:rsid w:val="00C276E5"/>
    <w:rsid w:val="00C279F8"/>
    <w:rsid w:val="00C27E8B"/>
    <w:rsid w:val="00C27F59"/>
    <w:rsid w:val="00C27FCF"/>
    <w:rsid w:val="00C30077"/>
    <w:rsid w:val="00C3059D"/>
    <w:rsid w:val="00C30B09"/>
    <w:rsid w:val="00C30DB4"/>
    <w:rsid w:val="00C31400"/>
    <w:rsid w:val="00C315FA"/>
    <w:rsid w:val="00C31761"/>
    <w:rsid w:val="00C3182E"/>
    <w:rsid w:val="00C31B12"/>
    <w:rsid w:val="00C31F41"/>
    <w:rsid w:val="00C3214E"/>
    <w:rsid w:val="00C3257A"/>
    <w:rsid w:val="00C32E32"/>
    <w:rsid w:val="00C3300C"/>
    <w:rsid w:val="00C33791"/>
    <w:rsid w:val="00C33BFB"/>
    <w:rsid w:val="00C34464"/>
    <w:rsid w:val="00C349EF"/>
    <w:rsid w:val="00C34A05"/>
    <w:rsid w:val="00C34CC2"/>
    <w:rsid w:val="00C3520F"/>
    <w:rsid w:val="00C3558B"/>
    <w:rsid w:val="00C3592A"/>
    <w:rsid w:val="00C35CCE"/>
    <w:rsid w:val="00C35E6D"/>
    <w:rsid w:val="00C3630C"/>
    <w:rsid w:val="00C36C8A"/>
    <w:rsid w:val="00C36D55"/>
    <w:rsid w:val="00C37260"/>
    <w:rsid w:val="00C376D5"/>
    <w:rsid w:val="00C4032F"/>
    <w:rsid w:val="00C40503"/>
    <w:rsid w:val="00C40F9D"/>
    <w:rsid w:val="00C41F21"/>
    <w:rsid w:val="00C42896"/>
    <w:rsid w:val="00C42AC2"/>
    <w:rsid w:val="00C4379F"/>
    <w:rsid w:val="00C43ACE"/>
    <w:rsid w:val="00C43BF1"/>
    <w:rsid w:val="00C43C08"/>
    <w:rsid w:val="00C43EAB"/>
    <w:rsid w:val="00C43FF7"/>
    <w:rsid w:val="00C44047"/>
    <w:rsid w:val="00C4412B"/>
    <w:rsid w:val="00C44AA5"/>
    <w:rsid w:val="00C4500D"/>
    <w:rsid w:val="00C45155"/>
    <w:rsid w:val="00C4553B"/>
    <w:rsid w:val="00C455E7"/>
    <w:rsid w:val="00C45B10"/>
    <w:rsid w:val="00C45CBE"/>
    <w:rsid w:val="00C45FB4"/>
    <w:rsid w:val="00C4606F"/>
    <w:rsid w:val="00C468AC"/>
    <w:rsid w:val="00C468DC"/>
    <w:rsid w:val="00C47125"/>
    <w:rsid w:val="00C4733E"/>
    <w:rsid w:val="00C47423"/>
    <w:rsid w:val="00C474E6"/>
    <w:rsid w:val="00C47736"/>
    <w:rsid w:val="00C47769"/>
    <w:rsid w:val="00C5009E"/>
    <w:rsid w:val="00C503A2"/>
    <w:rsid w:val="00C503CE"/>
    <w:rsid w:val="00C5059D"/>
    <w:rsid w:val="00C506A8"/>
    <w:rsid w:val="00C506BC"/>
    <w:rsid w:val="00C50DD0"/>
    <w:rsid w:val="00C50FEF"/>
    <w:rsid w:val="00C5144D"/>
    <w:rsid w:val="00C51559"/>
    <w:rsid w:val="00C51710"/>
    <w:rsid w:val="00C51971"/>
    <w:rsid w:val="00C52353"/>
    <w:rsid w:val="00C527AF"/>
    <w:rsid w:val="00C52CAD"/>
    <w:rsid w:val="00C53328"/>
    <w:rsid w:val="00C53ABE"/>
    <w:rsid w:val="00C53CB4"/>
    <w:rsid w:val="00C53D68"/>
    <w:rsid w:val="00C53D99"/>
    <w:rsid w:val="00C5483E"/>
    <w:rsid w:val="00C5498F"/>
    <w:rsid w:val="00C54A3F"/>
    <w:rsid w:val="00C54DA2"/>
    <w:rsid w:val="00C54DD9"/>
    <w:rsid w:val="00C54F55"/>
    <w:rsid w:val="00C5503B"/>
    <w:rsid w:val="00C55235"/>
    <w:rsid w:val="00C55882"/>
    <w:rsid w:val="00C55A81"/>
    <w:rsid w:val="00C566CB"/>
    <w:rsid w:val="00C56787"/>
    <w:rsid w:val="00C56B83"/>
    <w:rsid w:val="00C57097"/>
    <w:rsid w:val="00C570A3"/>
    <w:rsid w:val="00C57582"/>
    <w:rsid w:val="00C5760D"/>
    <w:rsid w:val="00C57C84"/>
    <w:rsid w:val="00C57F16"/>
    <w:rsid w:val="00C57FF8"/>
    <w:rsid w:val="00C601F8"/>
    <w:rsid w:val="00C6028D"/>
    <w:rsid w:val="00C602D5"/>
    <w:rsid w:val="00C606A6"/>
    <w:rsid w:val="00C60955"/>
    <w:rsid w:val="00C60A6C"/>
    <w:rsid w:val="00C60DDB"/>
    <w:rsid w:val="00C611C4"/>
    <w:rsid w:val="00C615FE"/>
    <w:rsid w:val="00C618AB"/>
    <w:rsid w:val="00C61B0C"/>
    <w:rsid w:val="00C62AB9"/>
    <w:rsid w:val="00C62B3C"/>
    <w:rsid w:val="00C63051"/>
    <w:rsid w:val="00C63067"/>
    <w:rsid w:val="00C6353D"/>
    <w:rsid w:val="00C63C64"/>
    <w:rsid w:val="00C640F2"/>
    <w:rsid w:val="00C64330"/>
    <w:rsid w:val="00C644A9"/>
    <w:rsid w:val="00C645DD"/>
    <w:rsid w:val="00C645FA"/>
    <w:rsid w:val="00C64619"/>
    <w:rsid w:val="00C6472A"/>
    <w:rsid w:val="00C64749"/>
    <w:rsid w:val="00C648E4"/>
    <w:rsid w:val="00C64A10"/>
    <w:rsid w:val="00C64B35"/>
    <w:rsid w:val="00C64B92"/>
    <w:rsid w:val="00C64CD0"/>
    <w:rsid w:val="00C650B0"/>
    <w:rsid w:val="00C656EE"/>
    <w:rsid w:val="00C65A10"/>
    <w:rsid w:val="00C65EDE"/>
    <w:rsid w:val="00C65F61"/>
    <w:rsid w:val="00C662FA"/>
    <w:rsid w:val="00C664D5"/>
    <w:rsid w:val="00C6663F"/>
    <w:rsid w:val="00C66701"/>
    <w:rsid w:val="00C6684F"/>
    <w:rsid w:val="00C67C47"/>
    <w:rsid w:val="00C709B4"/>
    <w:rsid w:val="00C70E70"/>
    <w:rsid w:val="00C71ACE"/>
    <w:rsid w:val="00C71EC5"/>
    <w:rsid w:val="00C72515"/>
    <w:rsid w:val="00C72A4C"/>
    <w:rsid w:val="00C7344D"/>
    <w:rsid w:val="00C734C9"/>
    <w:rsid w:val="00C735AE"/>
    <w:rsid w:val="00C73686"/>
    <w:rsid w:val="00C73B6D"/>
    <w:rsid w:val="00C73BFA"/>
    <w:rsid w:val="00C744C9"/>
    <w:rsid w:val="00C747C7"/>
    <w:rsid w:val="00C748E6"/>
    <w:rsid w:val="00C74FAD"/>
    <w:rsid w:val="00C75445"/>
    <w:rsid w:val="00C75663"/>
    <w:rsid w:val="00C75AB1"/>
    <w:rsid w:val="00C75F4A"/>
    <w:rsid w:val="00C75F8D"/>
    <w:rsid w:val="00C76203"/>
    <w:rsid w:val="00C762B1"/>
    <w:rsid w:val="00C7663A"/>
    <w:rsid w:val="00C767D2"/>
    <w:rsid w:val="00C76D5E"/>
    <w:rsid w:val="00C77380"/>
    <w:rsid w:val="00C77AF3"/>
    <w:rsid w:val="00C77C66"/>
    <w:rsid w:val="00C8005E"/>
    <w:rsid w:val="00C801E4"/>
    <w:rsid w:val="00C80677"/>
    <w:rsid w:val="00C807A2"/>
    <w:rsid w:val="00C80914"/>
    <w:rsid w:val="00C80B24"/>
    <w:rsid w:val="00C80D65"/>
    <w:rsid w:val="00C80E0F"/>
    <w:rsid w:val="00C8124A"/>
    <w:rsid w:val="00C814D8"/>
    <w:rsid w:val="00C81C22"/>
    <w:rsid w:val="00C825D8"/>
    <w:rsid w:val="00C83191"/>
    <w:rsid w:val="00C83453"/>
    <w:rsid w:val="00C8350E"/>
    <w:rsid w:val="00C837A4"/>
    <w:rsid w:val="00C83BF9"/>
    <w:rsid w:val="00C841CF"/>
    <w:rsid w:val="00C84271"/>
    <w:rsid w:val="00C84288"/>
    <w:rsid w:val="00C844F8"/>
    <w:rsid w:val="00C84F7D"/>
    <w:rsid w:val="00C85627"/>
    <w:rsid w:val="00C86658"/>
    <w:rsid w:val="00C86892"/>
    <w:rsid w:val="00C868DE"/>
    <w:rsid w:val="00C8691D"/>
    <w:rsid w:val="00C86973"/>
    <w:rsid w:val="00C86A0A"/>
    <w:rsid w:val="00C86EDA"/>
    <w:rsid w:val="00C87350"/>
    <w:rsid w:val="00C873A1"/>
    <w:rsid w:val="00C8756C"/>
    <w:rsid w:val="00C87654"/>
    <w:rsid w:val="00C877D8"/>
    <w:rsid w:val="00C87E8A"/>
    <w:rsid w:val="00C90303"/>
    <w:rsid w:val="00C909CF"/>
    <w:rsid w:val="00C90DF5"/>
    <w:rsid w:val="00C90F00"/>
    <w:rsid w:val="00C90FD4"/>
    <w:rsid w:val="00C912BC"/>
    <w:rsid w:val="00C913D6"/>
    <w:rsid w:val="00C91532"/>
    <w:rsid w:val="00C9166F"/>
    <w:rsid w:val="00C91849"/>
    <w:rsid w:val="00C9195D"/>
    <w:rsid w:val="00C921A0"/>
    <w:rsid w:val="00C92253"/>
    <w:rsid w:val="00C92425"/>
    <w:rsid w:val="00C92698"/>
    <w:rsid w:val="00C92C19"/>
    <w:rsid w:val="00C92E18"/>
    <w:rsid w:val="00C930B2"/>
    <w:rsid w:val="00C939C9"/>
    <w:rsid w:val="00C939E8"/>
    <w:rsid w:val="00C93B46"/>
    <w:rsid w:val="00C93BD2"/>
    <w:rsid w:val="00C945BC"/>
    <w:rsid w:val="00C945CD"/>
    <w:rsid w:val="00C948F5"/>
    <w:rsid w:val="00C94AE4"/>
    <w:rsid w:val="00C94B54"/>
    <w:rsid w:val="00C94ED8"/>
    <w:rsid w:val="00C96152"/>
    <w:rsid w:val="00C967A8"/>
    <w:rsid w:val="00C9694C"/>
    <w:rsid w:val="00C96BE6"/>
    <w:rsid w:val="00C96DD8"/>
    <w:rsid w:val="00C97736"/>
    <w:rsid w:val="00C97851"/>
    <w:rsid w:val="00C978A9"/>
    <w:rsid w:val="00C97982"/>
    <w:rsid w:val="00C97C5C"/>
    <w:rsid w:val="00C97E21"/>
    <w:rsid w:val="00CA042F"/>
    <w:rsid w:val="00CA07A8"/>
    <w:rsid w:val="00CA0B3F"/>
    <w:rsid w:val="00CA1132"/>
    <w:rsid w:val="00CA1191"/>
    <w:rsid w:val="00CA124A"/>
    <w:rsid w:val="00CA1AC7"/>
    <w:rsid w:val="00CA20CF"/>
    <w:rsid w:val="00CA2546"/>
    <w:rsid w:val="00CA278D"/>
    <w:rsid w:val="00CA2A21"/>
    <w:rsid w:val="00CA2D57"/>
    <w:rsid w:val="00CA345A"/>
    <w:rsid w:val="00CA34CE"/>
    <w:rsid w:val="00CA359F"/>
    <w:rsid w:val="00CA36BF"/>
    <w:rsid w:val="00CA3BA0"/>
    <w:rsid w:val="00CA42C3"/>
    <w:rsid w:val="00CA439B"/>
    <w:rsid w:val="00CA465E"/>
    <w:rsid w:val="00CA47D1"/>
    <w:rsid w:val="00CA47F3"/>
    <w:rsid w:val="00CA5283"/>
    <w:rsid w:val="00CA573F"/>
    <w:rsid w:val="00CA57B7"/>
    <w:rsid w:val="00CA648F"/>
    <w:rsid w:val="00CA6540"/>
    <w:rsid w:val="00CA7499"/>
    <w:rsid w:val="00CA7529"/>
    <w:rsid w:val="00CA78C6"/>
    <w:rsid w:val="00CA7B28"/>
    <w:rsid w:val="00CA7DE1"/>
    <w:rsid w:val="00CB0792"/>
    <w:rsid w:val="00CB0CCE"/>
    <w:rsid w:val="00CB0E58"/>
    <w:rsid w:val="00CB143A"/>
    <w:rsid w:val="00CB153E"/>
    <w:rsid w:val="00CB1560"/>
    <w:rsid w:val="00CB1CCC"/>
    <w:rsid w:val="00CB1DD0"/>
    <w:rsid w:val="00CB1E82"/>
    <w:rsid w:val="00CB1ED4"/>
    <w:rsid w:val="00CB2073"/>
    <w:rsid w:val="00CB2762"/>
    <w:rsid w:val="00CB2859"/>
    <w:rsid w:val="00CB3340"/>
    <w:rsid w:val="00CB3806"/>
    <w:rsid w:val="00CB4BA8"/>
    <w:rsid w:val="00CB50E1"/>
    <w:rsid w:val="00CB51AF"/>
    <w:rsid w:val="00CB522A"/>
    <w:rsid w:val="00CB52D7"/>
    <w:rsid w:val="00CB540C"/>
    <w:rsid w:val="00CB5649"/>
    <w:rsid w:val="00CB5913"/>
    <w:rsid w:val="00CB5929"/>
    <w:rsid w:val="00CB5A65"/>
    <w:rsid w:val="00CB648A"/>
    <w:rsid w:val="00CB655C"/>
    <w:rsid w:val="00CB6FDA"/>
    <w:rsid w:val="00CB6FE3"/>
    <w:rsid w:val="00CB7386"/>
    <w:rsid w:val="00CB763B"/>
    <w:rsid w:val="00CB7D38"/>
    <w:rsid w:val="00CC0302"/>
    <w:rsid w:val="00CC0393"/>
    <w:rsid w:val="00CC0B99"/>
    <w:rsid w:val="00CC0BE4"/>
    <w:rsid w:val="00CC0EF1"/>
    <w:rsid w:val="00CC1379"/>
    <w:rsid w:val="00CC1439"/>
    <w:rsid w:val="00CC14D2"/>
    <w:rsid w:val="00CC1EC4"/>
    <w:rsid w:val="00CC30FA"/>
    <w:rsid w:val="00CC3B4A"/>
    <w:rsid w:val="00CC4049"/>
    <w:rsid w:val="00CC40F9"/>
    <w:rsid w:val="00CC4714"/>
    <w:rsid w:val="00CC48B6"/>
    <w:rsid w:val="00CC4912"/>
    <w:rsid w:val="00CC4B90"/>
    <w:rsid w:val="00CC5977"/>
    <w:rsid w:val="00CC5A9C"/>
    <w:rsid w:val="00CC648E"/>
    <w:rsid w:val="00CC66E2"/>
    <w:rsid w:val="00CC6732"/>
    <w:rsid w:val="00CC6CDA"/>
    <w:rsid w:val="00CC6CF5"/>
    <w:rsid w:val="00CC6E51"/>
    <w:rsid w:val="00CC73AD"/>
    <w:rsid w:val="00CC79D6"/>
    <w:rsid w:val="00CC7B71"/>
    <w:rsid w:val="00CC7D45"/>
    <w:rsid w:val="00CD0164"/>
    <w:rsid w:val="00CD02F1"/>
    <w:rsid w:val="00CD0575"/>
    <w:rsid w:val="00CD0675"/>
    <w:rsid w:val="00CD0B5A"/>
    <w:rsid w:val="00CD0BAF"/>
    <w:rsid w:val="00CD0C09"/>
    <w:rsid w:val="00CD0C26"/>
    <w:rsid w:val="00CD1119"/>
    <w:rsid w:val="00CD156D"/>
    <w:rsid w:val="00CD15F8"/>
    <w:rsid w:val="00CD1619"/>
    <w:rsid w:val="00CD1743"/>
    <w:rsid w:val="00CD1D9E"/>
    <w:rsid w:val="00CD1E81"/>
    <w:rsid w:val="00CD21C5"/>
    <w:rsid w:val="00CD244D"/>
    <w:rsid w:val="00CD2B2B"/>
    <w:rsid w:val="00CD36DD"/>
    <w:rsid w:val="00CD3858"/>
    <w:rsid w:val="00CD39C1"/>
    <w:rsid w:val="00CD3AC9"/>
    <w:rsid w:val="00CD3C08"/>
    <w:rsid w:val="00CD3C13"/>
    <w:rsid w:val="00CD3CC6"/>
    <w:rsid w:val="00CD420D"/>
    <w:rsid w:val="00CD44CC"/>
    <w:rsid w:val="00CD4644"/>
    <w:rsid w:val="00CD4924"/>
    <w:rsid w:val="00CD4A8B"/>
    <w:rsid w:val="00CD4F21"/>
    <w:rsid w:val="00CD58CF"/>
    <w:rsid w:val="00CD5C2E"/>
    <w:rsid w:val="00CD5FAF"/>
    <w:rsid w:val="00CD6323"/>
    <w:rsid w:val="00CD6377"/>
    <w:rsid w:val="00CD6ACF"/>
    <w:rsid w:val="00CD6E6F"/>
    <w:rsid w:val="00CD6EBA"/>
    <w:rsid w:val="00CD76FC"/>
    <w:rsid w:val="00CD77F1"/>
    <w:rsid w:val="00CD7BB1"/>
    <w:rsid w:val="00CD7C3E"/>
    <w:rsid w:val="00CD7F3B"/>
    <w:rsid w:val="00CE0085"/>
    <w:rsid w:val="00CE0911"/>
    <w:rsid w:val="00CE12BA"/>
    <w:rsid w:val="00CE150C"/>
    <w:rsid w:val="00CE179B"/>
    <w:rsid w:val="00CE21F8"/>
    <w:rsid w:val="00CE26BC"/>
    <w:rsid w:val="00CE2816"/>
    <w:rsid w:val="00CE2872"/>
    <w:rsid w:val="00CE31A6"/>
    <w:rsid w:val="00CE31A9"/>
    <w:rsid w:val="00CE3C96"/>
    <w:rsid w:val="00CE3EAF"/>
    <w:rsid w:val="00CE4022"/>
    <w:rsid w:val="00CE42CF"/>
    <w:rsid w:val="00CE4568"/>
    <w:rsid w:val="00CE4B18"/>
    <w:rsid w:val="00CE4CAF"/>
    <w:rsid w:val="00CE51A8"/>
    <w:rsid w:val="00CE552A"/>
    <w:rsid w:val="00CE5794"/>
    <w:rsid w:val="00CE630E"/>
    <w:rsid w:val="00CE6C8A"/>
    <w:rsid w:val="00CE6D69"/>
    <w:rsid w:val="00CE7072"/>
    <w:rsid w:val="00CE7181"/>
    <w:rsid w:val="00CE7A6A"/>
    <w:rsid w:val="00CE7A98"/>
    <w:rsid w:val="00CE7B01"/>
    <w:rsid w:val="00CF0345"/>
    <w:rsid w:val="00CF03C9"/>
    <w:rsid w:val="00CF0978"/>
    <w:rsid w:val="00CF097F"/>
    <w:rsid w:val="00CF0AC3"/>
    <w:rsid w:val="00CF0BFE"/>
    <w:rsid w:val="00CF1748"/>
    <w:rsid w:val="00CF17B6"/>
    <w:rsid w:val="00CF238B"/>
    <w:rsid w:val="00CF2468"/>
    <w:rsid w:val="00CF2598"/>
    <w:rsid w:val="00CF2820"/>
    <w:rsid w:val="00CF2B9F"/>
    <w:rsid w:val="00CF2D22"/>
    <w:rsid w:val="00CF2E3D"/>
    <w:rsid w:val="00CF2F8A"/>
    <w:rsid w:val="00CF2FE7"/>
    <w:rsid w:val="00CF369B"/>
    <w:rsid w:val="00CF3FAC"/>
    <w:rsid w:val="00CF4285"/>
    <w:rsid w:val="00CF47C6"/>
    <w:rsid w:val="00CF4D18"/>
    <w:rsid w:val="00CF55B6"/>
    <w:rsid w:val="00CF5675"/>
    <w:rsid w:val="00CF5965"/>
    <w:rsid w:val="00CF5C97"/>
    <w:rsid w:val="00CF5F97"/>
    <w:rsid w:val="00CF648E"/>
    <w:rsid w:val="00CF67D9"/>
    <w:rsid w:val="00CF6A1E"/>
    <w:rsid w:val="00CF6E8C"/>
    <w:rsid w:val="00CF785B"/>
    <w:rsid w:val="00CF7E8A"/>
    <w:rsid w:val="00CF7F8D"/>
    <w:rsid w:val="00CF7FD6"/>
    <w:rsid w:val="00D00BD1"/>
    <w:rsid w:val="00D00E28"/>
    <w:rsid w:val="00D0154D"/>
    <w:rsid w:val="00D017B7"/>
    <w:rsid w:val="00D018DD"/>
    <w:rsid w:val="00D01A4C"/>
    <w:rsid w:val="00D01BA5"/>
    <w:rsid w:val="00D0269E"/>
    <w:rsid w:val="00D02774"/>
    <w:rsid w:val="00D027E2"/>
    <w:rsid w:val="00D02C66"/>
    <w:rsid w:val="00D03142"/>
    <w:rsid w:val="00D032CB"/>
    <w:rsid w:val="00D036A6"/>
    <w:rsid w:val="00D036EC"/>
    <w:rsid w:val="00D03777"/>
    <w:rsid w:val="00D03FF1"/>
    <w:rsid w:val="00D04103"/>
    <w:rsid w:val="00D04A49"/>
    <w:rsid w:val="00D050BE"/>
    <w:rsid w:val="00D05963"/>
    <w:rsid w:val="00D059D4"/>
    <w:rsid w:val="00D05BB2"/>
    <w:rsid w:val="00D05D6C"/>
    <w:rsid w:val="00D05E7F"/>
    <w:rsid w:val="00D06349"/>
    <w:rsid w:val="00D06666"/>
    <w:rsid w:val="00D067DB"/>
    <w:rsid w:val="00D06AC9"/>
    <w:rsid w:val="00D07157"/>
    <w:rsid w:val="00D07170"/>
    <w:rsid w:val="00D072B3"/>
    <w:rsid w:val="00D07D86"/>
    <w:rsid w:val="00D07F03"/>
    <w:rsid w:val="00D10277"/>
    <w:rsid w:val="00D10706"/>
    <w:rsid w:val="00D10BB1"/>
    <w:rsid w:val="00D10D00"/>
    <w:rsid w:val="00D10EE8"/>
    <w:rsid w:val="00D1150B"/>
    <w:rsid w:val="00D118A3"/>
    <w:rsid w:val="00D119CA"/>
    <w:rsid w:val="00D119CB"/>
    <w:rsid w:val="00D11FA5"/>
    <w:rsid w:val="00D12005"/>
    <w:rsid w:val="00D126E3"/>
    <w:rsid w:val="00D12A01"/>
    <w:rsid w:val="00D12D84"/>
    <w:rsid w:val="00D12FFA"/>
    <w:rsid w:val="00D131F0"/>
    <w:rsid w:val="00D13506"/>
    <w:rsid w:val="00D136E6"/>
    <w:rsid w:val="00D14173"/>
    <w:rsid w:val="00D1431D"/>
    <w:rsid w:val="00D154ED"/>
    <w:rsid w:val="00D157F9"/>
    <w:rsid w:val="00D15810"/>
    <w:rsid w:val="00D15B3D"/>
    <w:rsid w:val="00D15E7D"/>
    <w:rsid w:val="00D164A9"/>
    <w:rsid w:val="00D1699C"/>
    <w:rsid w:val="00D16A1A"/>
    <w:rsid w:val="00D16D4E"/>
    <w:rsid w:val="00D16FE3"/>
    <w:rsid w:val="00D1777D"/>
    <w:rsid w:val="00D17E36"/>
    <w:rsid w:val="00D20229"/>
    <w:rsid w:val="00D20BA1"/>
    <w:rsid w:val="00D20CFE"/>
    <w:rsid w:val="00D21166"/>
    <w:rsid w:val="00D21892"/>
    <w:rsid w:val="00D2189A"/>
    <w:rsid w:val="00D21A1F"/>
    <w:rsid w:val="00D21BFA"/>
    <w:rsid w:val="00D21E07"/>
    <w:rsid w:val="00D21E79"/>
    <w:rsid w:val="00D22081"/>
    <w:rsid w:val="00D225C3"/>
    <w:rsid w:val="00D2266B"/>
    <w:rsid w:val="00D22774"/>
    <w:rsid w:val="00D229AE"/>
    <w:rsid w:val="00D22A0D"/>
    <w:rsid w:val="00D22EAB"/>
    <w:rsid w:val="00D23B92"/>
    <w:rsid w:val="00D23DC0"/>
    <w:rsid w:val="00D2447B"/>
    <w:rsid w:val="00D2450B"/>
    <w:rsid w:val="00D25057"/>
    <w:rsid w:val="00D250FD"/>
    <w:rsid w:val="00D2511E"/>
    <w:rsid w:val="00D2553E"/>
    <w:rsid w:val="00D26025"/>
    <w:rsid w:val="00D272DD"/>
    <w:rsid w:val="00D27A61"/>
    <w:rsid w:val="00D27AD4"/>
    <w:rsid w:val="00D27F41"/>
    <w:rsid w:val="00D30DB7"/>
    <w:rsid w:val="00D30E92"/>
    <w:rsid w:val="00D3103F"/>
    <w:rsid w:val="00D315FA"/>
    <w:rsid w:val="00D317DE"/>
    <w:rsid w:val="00D31D4E"/>
    <w:rsid w:val="00D31D56"/>
    <w:rsid w:val="00D31E80"/>
    <w:rsid w:val="00D31E98"/>
    <w:rsid w:val="00D32356"/>
    <w:rsid w:val="00D32893"/>
    <w:rsid w:val="00D32AE1"/>
    <w:rsid w:val="00D32CAE"/>
    <w:rsid w:val="00D3393F"/>
    <w:rsid w:val="00D34A4A"/>
    <w:rsid w:val="00D34F46"/>
    <w:rsid w:val="00D3537E"/>
    <w:rsid w:val="00D35C48"/>
    <w:rsid w:val="00D35D47"/>
    <w:rsid w:val="00D35DE1"/>
    <w:rsid w:val="00D35FA9"/>
    <w:rsid w:val="00D3641C"/>
    <w:rsid w:val="00D36441"/>
    <w:rsid w:val="00D36E7D"/>
    <w:rsid w:val="00D37190"/>
    <w:rsid w:val="00D3743C"/>
    <w:rsid w:val="00D3745C"/>
    <w:rsid w:val="00D37758"/>
    <w:rsid w:val="00D377F0"/>
    <w:rsid w:val="00D37A46"/>
    <w:rsid w:val="00D4064E"/>
    <w:rsid w:val="00D40BEC"/>
    <w:rsid w:val="00D40E40"/>
    <w:rsid w:val="00D40E8A"/>
    <w:rsid w:val="00D41922"/>
    <w:rsid w:val="00D41962"/>
    <w:rsid w:val="00D41BEF"/>
    <w:rsid w:val="00D41D47"/>
    <w:rsid w:val="00D41D48"/>
    <w:rsid w:val="00D428FF"/>
    <w:rsid w:val="00D42A13"/>
    <w:rsid w:val="00D42B95"/>
    <w:rsid w:val="00D43015"/>
    <w:rsid w:val="00D4324D"/>
    <w:rsid w:val="00D434A7"/>
    <w:rsid w:val="00D43B47"/>
    <w:rsid w:val="00D441FF"/>
    <w:rsid w:val="00D44AA4"/>
    <w:rsid w:val="00D44D02"/>
    <w:rsid w:val="00D44E9B"/>
    <w:rsid w:val="00D4500C"/>
    <w:rsid w:val="00D4517B"/>
    <w:rsid w:val="00D45250"/>
    <w:rsid w:val="00D45695"/>
    <w:rsid w:val="00D458D6"/>
    <w:rsid w:val="00D459CE"/>
    <w:rsid w:val="00D46095"/>
    <w:rsid w:val="00D462CC"/>
    <w:rsid w:val="00D4661E"/>
    <w:rsid w:val="00D4685C"/>
    <w:rsid w:val="00D46BE6"/>
    <w:rsid w:val="00D46BF1"/>
    <w:rsid w:val="00D46BFC"/>
    <w:rsid w:val="00D46E34"/>
    <w:rsid w:val="00D474C4"/>
    <w:rsid w:val="00D47AEB"/>
    <w:rsid w:val="00D47E61"/>
    <w:rsid w:val="00D503B8"/>
    <w:rsid w:val="00D50DB9"/>
    <w:rsid w:val="00D51076"/>
    <w:rsid w:val="00D512DA"/>
    <w:rsid w:val="00D51302"/>
    <w:rsid w:val="00D516D8"/>
    <w:rsid w:val="00D5183C"/>
    <w:rsid w:val="00D51900"/>
    <w:rsid w:val="00D520BE"/>
    <w:rsid w:val="00D52AC2"/>
    <w:rsid w:val="00D52C1D"/>
    <w:rsid w:val="00D52C43"/>
    <w:rsid w:val="00D52D23"/>
    <w:rsid w:val="00D52DBA"/>
    <w:rsid w:val="00D52F10"/>
    <w:rsid w:val="00D530AB"/>
    <w:rsid w:val="00D541B4"/>
    <w:rsid w:val="00D5426A"/>
    <w:rsid w:val="00D544FB"/>
    <w:rsid w:val="00D54AB7"/>
    <w:rsid w:val="00D54EE7"/>
    <w:rsid w:val="00D55433"/>
    <w:rsid w:val="00D5641D"/>
    <w:rsid w:val="00D565A6"/>
    <w:rsid w:val="00D577CD"/>
    <w:rsid w:val="00D608F9"/>
    <w:rsid w:val="00D60900"/>
    <w:rsid w:val="00D6100B"/>
    <w:rsid w:val="00D61179"/>
    <w:rsid w:val="00D611B7"/>
    <w:rsid w:val="00D61243"/>
    <w:rsid w:val="00D614D7"/>
    <w:rsid w:val="00D616EB"/>
    <w:rsid w:val="00D616F8"/>
    <w:rsid w:val="00D6189E"/>
    <w:rsid w:val="00D61C95"/>
    <w:rsid w:val="00D6246A"/>
    <w:rsid w:val="00D628E7"/>
    <w:rsid w:val="00D62E5C"/>
    <w:rsid w:val="00D631D3"/>
    <w:rsid w:val="00D63497"/>
    <w:rsid w:val="00D63617"/>
    <w:rsid w:val="00D63B9E"/>
    <w:rsid w:val="00D63C27"/>
    <w:rsid w:val="00D640F6"/>
    <w:rsid w:val="00D6429D"/>
    <w:rsid w:val="00D64CB2"/>
    <w:rsid w:val="00D6507F"/>
    <w:rsid w:val="00D6533E"/>
    <w:rsid w:val="00D65C14"/>
    <w:rsid w:val="00D660C2"/>
    <w:rsid w:val="00D663C6"/>
    <w:rsid w:val="00D66894"/>
    <w:rsid w:val="00D66D39"/>
    <w:rsid w:val="00D67834"/>
    <w:rsid w:val="00D67A50"/>
    <w:rsid w:val="00D67CDF"/>
    <w:rsid w:val="00D70BCC"/>
    <w:rsid w:val="00D7113E"/>
    <w:rsid w:val="00D711A3"/>
    <w:rsid w:val="00D719CA"/>
    <w:rsid w:val="00D71A17"/>
    <w:rsid w:val="00D72174"/>
    <w:rsid w:val="00D728E6"/>
    <w:rsid w:val="00D72BD9"/>
    <w:rsid w:val="00D72CD9"/>
    <w:rsid w:val="00D72E1A"/>
    <w:rsid w:val="00D730BC"/>
    <w:rsid w:val="00D7331C"/>
    <w:rsid w:val="00D735BB"/>
    <w:rsid w:val="00D735DE"/>
    <w:rsid w:val="00D73912"/>
    <w:rsid w:val="00D73DDE"/>
    <w:rsid w:val="00D74122"/>
    <w:rsid w:val="00D74A9E"/>
    <w:rsid w:val="00D74B54"/>
    <w:rsid w:val="00D74DC8"/>
    <w:rsid w:val="00D7527D"/>
    <w:rsid w:val="00D7553D"/>
    <w:rsid w:val="00D75687"/>
    <w:rsid w:val="00D75AE1"/>
    <w:rsid w:val="00D75AF2"/>
    <w:rsid w:val="00D75F0F"/>
    <w:rsid w:val="00D760C8"/>
    <w:rsid w:val="00D762B8"/>
    <w:rsid w:val="00D7643F"/>
    <w:rsid w:val="00D764D5"/>
    <w:rsid w:val="00D769AA"/>
    <w:rsid w:val="00D77877"/>
    <w:rsid w:val="00D77984"/>
    <w:rsid w:val="00D77B06"/>
    <w:rsid w:val="00D77F32"/>
    <w:rsid w:val="00D801F7"/>
    <w:rsid w:val="00D80272"/>
    <w:rsid w:val="00D8062B"/>
    <w:rsid w:val="00D806F5"/>
    <w:rsid w:val="00D807AE"/>
    <w:rsid w:val="00D80C08"/>
    <w:rsid w:val="00D80C43"/>
    <w:rsid w:val="00D810FF"/>
    <w:rsid w:val="00D81272"/>
    <w:rsid w:val="00D8139A"/>
    <w:rsid w:val="00D81BF0"/>
    <w:rsid w:val="00D82011"/>
    <w:rsid w:val="00D8282A"/>
    <w:rsid w:val="00D82BF9"/>
    <w:rsid w:val="00D8339F"/>
    <w:rsid w:val="00D837E9"/>
    <w:rsid w:val="00D83B31"/>
    <w:rsid w:val="00D83F0C"/>
    <w:rsid w:val="00D84310"/>
    <w:rsid w:val="00D843D5"/>
    <w:rsid w:val="00D84914"/>
    <w:rsid w:val="00D849C8"/>
    <w:rsid w:val="00D84BC8"/>
    <w:rsid w:val="00D84BEA"/>
    <w:rsid w:val="00D85226"/>
    <w:rsid w:val="00D85394"/>
    <w:rsid w:val="00D854C0"/>
    <w:rsid w:val="00D8553C"/>
    <w:rsid w:val="00D85FE9"/>
    <w:rsid w:val="00D8624D"/>
    <w:rsid w:val="00D86E51"/>
    <w:rsid w:val="00D875B5"/>
    <w:rsid w:val="00D875C2"/>
    <w:rsid w:val="00D876FD"/>
    <w:rsid w:val="00D87B94"/>
    <w:rsid w:val="00D87D72"/>
    <w:rsid w:val="00D90C34"/>
    <w:rsid w:val="00D914F6"/>
    <w:rsid w:val="00D914FD"/>
    <w:rsid w:val="00D918B8"/>
    <w:rsid w:val="00D919AC"/>
    <w:rsid w:val="00D91B01"/>
    <w:rsid w:val="00D91D99"/>
    <w:rsid w:val="00D9218D"/>
    <w:rsid w:val="00D9268D"/>
    <w:rsid w:val="00D92D49"/>
    <w:rsid w:val="00D92EC1"/>
    <w:rsid w:val="00D931CE"/>
    <w:rsid w:val="00D93B72"/>
    <w:rsid w:val="00D93C12"/>
    <w:rsid w:val="00D93E7E"/>
    <w:rsid w:val="00D93F0F"/>
    <w:rsid w:val="00D94444"/>
    <w:rsid w:val="00D945A3"/>
    <w:rsid w:val="00D94959"/>
    <w:rsid w:val="00D94D91"/>
    <w:rsid w:val="00D94E2A"/>
    <w:rsid w:val="00D95248"/>
    <w:rsid w:val="00D95515"/>
    <w:rsid w:val="00D95FCD"/>
    <w:rsid w:val="00D962F2"/>
    <w:rsid w:val="00D96499"/>
    <w:rsid w:val="00D96D72"/>
    <w:rsid w:val="00D96DEA"/>
    <w:rsid w:val="00D97060"/>
    <w:rsid w:val="00D974CE"/>
    <w:rsid w:val="00D97B31"/>
    <w:rsid w:val="00D97D08"/>
    <w:rsid w:val="00DA0124"/>
    <w:rsid w:val="00DA01D4"/>
    <w:rsid w:val="00DA023F"/>
    <w:rsid w:val="00DA0336"/>
    <w:rsid w:val="00DA153E"/>
    <w:rsid w:val="00DA17D4"/>
    <w:rsid w:val="00DA1BC6"/>
    <w:rsid w:val="00DA1F35"/>
    <w:rsid w:val="00DA2033"/>
    <w:rsid w:val="00DA20FA"/>
    <w:rsid w:val="00DA2126"/>
    <w:rsid w:val="00DA2302"/>
    <w:rsid w:val="00DA234D"/>
    <w:rsid w:val="00DA25B2"/>
    <w:rsid w:val="00DA25B6"/>
    <w:rsid w:val="00DA26A3"/>
    <w:rsid w:val="00DA2B94"/>
    <w:rsid w:val="00DA2EB3"/>
    <w:rsid w:val="00DA32F1"/>
    <w:rsid w:val="00DA43DF"/>
    <w:rsid w:val="00DA483D"/>
    <w:rsid w:val="00DA4872"/>
    <w:rsid w:val="00DA4906"/>
    <w:rsid w:val="00DA49B6"/>
    <w:rsid w:val="00DA4E41"/>
    <w:rsid w:val="00DA58E6"/>
    <w:rsid w:val="00DA5997"/>
    <w:rsid w:val="00DA59B5"/>
    <w:rsid w:val="00DA623A"/>
    <w:rsid w:val="00DA663B"/>
    <w:rsid w:val="00DA7310"/>
    <w:rsid w:val="00DA7623"/>
    <w:rsid w:val="00DA77CA"/>
    <w:rsid w:val="00DA7F12"/>
    <w:rsid w:val="00DA7FB7"/>
    <w:rsid w:val="00DB0651"/>
    <w:rsid w:val="00DB08DB"/>
    <w:rsid w:val="00DB09AC"/>
    <w:rsid w:val="00DB1046"/>
    <w:rsid w:val="00DB117A"/>
    <w:rsid w:val="00DB1295"/>
    <w:rsid w:val="00DB15DC"/>
    <w:rsid w:val="00DB1B2A"/>
    <w:rsid w:val="00DB1E1E"/>
    <w:rsid w:val="00DB24F5"/>
    <w:rsid w:val="00DB25DF"/>
    <w:rsid w:val="00DB2867"/>
    <w:rsid w:val="00DB2893"/>
    <w:rsid w:val="00DB2B58"/>
    <w:rsid w:val="00DB313B"/>
    <w:rsid w:val="00DB39CA"/>
    <w:rsid w:val="00DB45F9"/>
    <w:rsid w:val="00DB4C06"/>
    <w:rsid w:val="00DB4CE0"/>
    <w:rsid w:val="00DB4D13"/>
    <w:rsid w:val="00DB4FD6"/>
    <w:rsid w:val="00DB5173"/>
    <w:rsid w:val="00DB5951"/>
    <w:rsid w:val="00DB6302"/>
    <w:rsid w:val="00DB671A"/>
    <w:rsid w:val="00DB679A"/>
    <w:rsid w:val="00DB6AF7"/>
    <w:rsid w:val="00DB6C70"/>
    <w:rsid w:val="00DB7126"/>
    <w:rsid w:val="00DB7145"/>
    <w:rsid w:val="00DB71D4"/>
    <w:rsid w:val="00DB74F6"/>
    <w:rsid w:val="00DB7873"/>
    <w:rsid w:val="00DB7884"/>
    <w:rsid w:val="00DB793B"/>
    <w:rsid w:val="00DC014A"/>
    <w:rsid w:val="00DC0843"/>
    <w:rsid w:val="00DC084F"/>
    <w:rsid w:val="00DC0D75"/>
    <w:rsid w:val="00DC13AF"/>
    <w:rsid w:val="00DC187B"/>
    <w:rsid w:val="00DC19CF"/>
    <w:rsid w:val="00DC232B"/>
    <w:rsid w:val="00DC2D9E"/>
    <w:rsid w:val="00DC31CF"/>
    <w:rsid w:val="00DC3ADF"/>
    <w:rsid w:val="00DC41A1"/>
    <w:rsid w:val="00DC4235"/>
    <w:rsid w:val="00DC4289"/>
    <w:rsid w:val="00DC477E"/>
    <w:rsid w:val="00DC4AD8"/>
    <w:rsid w:val="00DC504C"/>
    <w:rsid w:val="00DC51A3"/>
    <w:rsid w:val="00DC51CC"/>
    <w:rsid w:val="00DC589A"/>
    <w:rsid w:val="00DC5AD8"/>
    <w:rsid w:val="00DC5B34"/>
    <w:rsid w:val="00DC5C18"/>
    <w:rsid w:val="00DC68B4"/>
    <w:rsid w:val="00DC6C6D"/>
    <w:rsid w:val="00DC6DD5"/>
    <w:rsid w:val="00DC6FCC"/>
    <w:rsid w:val="00DC70E3"/>
    <w:rsid w:val="00DC713D"/>
    <w:rsid w:val="00DC7633"/>
    <w:rsid w:val="00DC7645"/>
    <w:rsid w:val="00DC7B6D"/>
    <w:rsid w:val="00DC7D18"/>
    <w:rsid w:val="00DC7D31"/>
    <w:rsid w:val="00DD02E1"/>
    <w:rsid w:val="00DD0EF0"/>
    <w:rsid w:val="00DD1A43"/>
    <w:rsid w:val="00DD1ADC"/>
    <w:rsid w:val="00DD1BD8"/>
    <w:rsid w:val="00DD1D64"/>
    <w:rsid w:val="00DD280B"/>
    <w:rsid w:val="00DD2D99"/>
    <w:rsid w:val="00DD318B"/>
    <w:rsid w:val="00DD3471"/>
    <w:rsid w:val="00DD364D"/>
    <w:rsid w:val="00DD370B"/>
    <w:rsid w:val="00DD3B83"/>
    <w:rsid w:val="00DD3DFD"/>
    <w:rsid w:val="00DD41B1"/>
    <w:rsid w:val="00DD4475"/>
    <w:rsid w:val="00DD476E"/>
    <w:rsid w:val="00DD485F"/>
    <w:rsid w:val="00DD49AB"/>
    <w:rsid w:val="00DD4CBC"/>
    <w:rsid w:val="00DD6254"/>
    <w:rsid w:val="00DD6A77"/>
    <w:rsid w:val="00DD6F9F"/>
    <w:rsid w:val="00DD73C2"/>
    <w:rsid w:val="00DD74C6"/>
    <w:rsid w:val="00DD765B"/>
    <w:rsid w:val="00DD79AB"/>
    <w:rsid w:val="00DD7E9D"/>
    <w:rsid w:val="00DD7EC9"/>
    <w:rsid w:val="00DE06FB"/>
    <w:rsid w:val="00DE1CC3"/>
    <w:rsid w:val="00DE22F4"/>
    <w:rsid w:val="00DE28F5"/>
    <w:rsid w:val="00DE2975"/>
    <w:rsid w:val="00DE2B93"/>
    <w:rsid w:val="00DE2C90"/>
    <w:rsid w:val="00DE2D1B"/>
    <w:rsid w:val="00DE2E05"/>
    <w:rsid w:val="00DE30D2"/>
    <w:rsid w:val="00DE319B"/>
    <w:rsid w:val="00DE35E1"/>
    <w:rsid w:val="00DE36F6"/>
    <w:rsid w:val="00DE39FF"/>
    <w:rsid w:val="00DE3D3D"/>
    <w:rsid w:val="00DE4014"/>
    <w:rsid w:val="00DE4B87"/>
    <w:rsid w:val="00DE4BE7"/>
    <w:rsid w:val="00DE4D26"/>
    <w:rsid w:val="00DE4EC1"/>
    <w:rsid w:val="00DE536A"/>
    <w:rsid w:val="00DE5431"/>
    <w:rsid w:val="00DE5714"/>
    <w:rsid w:val="00DE627F"/>
    <w:rsid w:val="00DE68E4"/>
    <w:rsid w:val="00DE6DB0"/>
    <w:rsid w:val="00DE6FA4"/>
    <w:rsid w:val="00DE72C0"/>
    <w:rsid w:val="00DE7A82"/>
    <w:rsid w:val="00DE7D52"/>
    <w:rsid w:val="00DF0060"/>
    <w:rsid w:val="00DF0475"/>
    <w:rsid w:val="00DF05D9"/>
    <w:rsid w:val="00DF0B5C"/>
    <w:rsid w:val="00DF0EA2"/>
    <w:rsid w:val="00DF18AD"/>
    <w:rsid w:val="00DF1EB6"/>
    <w:rsid w:val="00DF1ED5"/>
    <w:rsid w:val="00DF1FBF"/>
    <w:rsid w:val="00DF2334"/>
    <w:rsid w:val="00DF2DED"/>
    <w:rsid w:val="00DF3479"/>
    <w:rsid w:val="00DF34FE"/>
    <w:rsid w:val="00DF3A62"/>
    <w:rsid w:val="00DF3B03"/>
    <w:rsid w:val="00DF3C6A"/>
    <w:rsid w:val="00DF43F0"/>
    <w:rsid w:val="00DF47A7"/>
    <w:rsid w:val="00DF50E7"/>
    <w:rsid w:val="00DF524D"/>
    <w:rsid w:val="00DF56AA"/>
    <w:rsid w:val="00DF56AF"/>
    <w:rsid w:val="00DF5C2A"/>
    <w:rsid w:val="00DF5C49"/>
    <w:rsid w:val="00DF5DF3"/>
    <w:rsid w:val="00DF6296"/>
    <w:rsid w:val="00DF63C1"/>
    <w:rsid w:val="00DF64CC"/>
    <w:rsid w:val="00DF6654"/>
    <w:rsid w:val="00DF6918"/>
    <w:rsid w:val="00DF6F06"/>
    <w:rsid w:val="00DF7370"/>
    <w:rsid w:val="00DF7652"/>
    <w:rsid w:val="00DF78E7"/>
    <w:rsid w:val="00DF7A35"/>
    <w:rsid w:val="00DF7CB3"/>
    <w:rsid w:val="00DF7F04"/>
    <w:rsid w:val="00DF7FB5"/>
    <w:rsid w:val="00E00BA8"/>
    <w:rsid w:val="00E010E9"/>
    <w:rsid w:val="00E01154"/>
    <w:rsid w:val="00E0159A"/>
    <w:rsid w:val="00E01E93"/>
    <w:rsid w:val="00E023BD"/>
    <w:rsid w:val="00E0244C"/>
    <w:rsid w:val="00E02A93"/>
    <w:rsid w:val="00E02AB0"/>
    <w:rsid w:val="00E02E34"/>
    <w:rsid w:val="00E032C5"/>
    <w:rsid w:val="00E0335E"/>
    <w:rsid w:val="00E03568"/>
    <w:rsid w:val="00E038E1"/>
    <w:rsid w:val="00E03D0E"/>
    <w:rsid w:val="00E04104"/>
    <w:rsid w:val="00E04776"/>
    <w:rsid w:val="00E04E45"/>
    <w:rsid w:val="00E05874"/>
    <w:rsid w:val="00E05989"/>
    <w:rsid w:val="00E059BF"/>
    <w:rsid w:val="00E05F29"/>
    <w:rsid w:val="00E060C7"/>
    <w:rsid w:val="00E0619A"/>
    <w:rsid w:val="00E061F6"/>
    <w:rsid w:val="00E068F6"/>
    <w:rsid w:val="00E0690B"/>
    <w:rsid w:val="00E06D4D"/>
    <w:rsid w:val="00E071A3"/>
    <w:rsid w:val="00E072ED"/>
    <w:rsid w:val="00E073FF"/>
    <w:rsid w:val="00E0747F"/>
    <w:rsid w:val="00E102A9"/>
    <w:rsid w:val="00E10381"/>
    <w:rsid w:val="00E1078D"/>
    <w:rsid w:val="00E110E0"/>
    <w:rsid w:val="00E11184"/>
    <w:rsid w:val="00E11A06"/>
    <w:rsid w:val="00E11C10"/>
    <w:rsid w:val="00E11D32"/>
    <w:rsid w:val="00E12467"/>
    <w:rsid w:val="00E12471"/>
    <w:rsid w:val="00E12644"/>
    <w:rsid w:val="00E13168"/>
    <w:rsid w:val="00E13778"/>
    <w:rsid w:val="00E13A82"/>
    <w:rsid w:val="00E13AF5"/>
    <w:rsid w:val="00E13EE4"/>
    <w:rsid w:val="00E1469D"/>
    <w:rsid w:val="00E1488C"/>
    <w:rsid w:val="00E148E9"/>
    <w:rsid w:val="00E14AEE"/>
    <w:rsid w:val="00E14DC6"/>
    <w:rsid w:val="00E14F6C"/>
    <w:rsid w:val="00E15141"/>
    <w:rsid w:val="00E152A8"/>
    <w:rsid w:val="00E15371"/>
    <w:rsid w:val="00E1537C"/>
    <w:rsid w:val="00E1575B"/>
    <w:rsid w:val="00E15998"/>
    <w:rsid w:val="00E165AB"/>
    <w:rsid w:val="00E16AA9"/>
    <w:rsid w:val="00E17693"/>
    <w:rsid w:val="00E202CA"/>
    <w:rsid w:val="00E21032"/>
    <w:rsid w:val="00E21056"/>
    <w:rsid w:val="00E216ED"/>
    <w:rsid w:val="00E219C8"/>
    <w:rsid w:val="00E222CE"/>
    <w:rsid w:val="00E223E1"/>
    <w:rsid w:val="00E22C24"/>
    <w:rsid w:val="00E22EDA"/>
    <w:rsid w:val="00E23705"/>
    <w:rsid w:val="00E238B3"/>
    <w:rsid w:val="00E23960"/>
    <w:rsid w:val="00E2399D"/>
    <w:rsid w:val="00E23A53"/>
    <w:rsid w:val="00E23B71"/>
    <w:rsid w:val="00E23D5F"/>
    <w:rsid w:val="00E24104"/>
    <w:rsid w:val="00E24455"/>
    <w:rsid w:val="00E244B1"/>
    <w:rsid w:val="00E2452D"/>
    <w:rsid w:val="00E2526F"/>
    <w:rsid w:val="00E25310"/>
    <w:rsid w:val="00E257C0"/>
    <w:rsid w:val="00E25D29"/>
    <w:rsid w:val="00E25EF7"/>
    <w:rsid w:val="00E26A8E"/>
    <w:rsid w:val="00E26C13"/>
    <w:rsid w:val="00E26D7E"/>
    <w:rsid w:val="00E2705F"/>
    <w:rsid w:val="00E27608"/>
    <w:rsid w:val="00E27E30"/>
    <w:rsid w:val="00E27EE2"/>
    <w:rsid w:val="00E30270"/>
    <w:rsid w:val="00E302D0"/>
    <w:rsid w:val="00E30CC7"/>
    <w:rsid w:val="00E30DB4"/>
    <w:rsid w:val="00E30F29"/>
    <w:rsid w:val="00E312FC"/>
    <w:rsid w:val="00E319AE"/>
    <w:rsid w:val="00E31D98"/>
    <w:rsid w:val="00E31E59"/>
    <w:rsid w:val="00E3209F"/>
    <w:rsid w:val="00E3233E"/>
    <w:rsid w:val="00E323E1"/>
    <w:rsid w:val="00E325B2"/>
    <w:rsid w:val="00E32B60"/>
    <w:rsid w:val="00E32F70"/>
    <w:rsid w:val="00E32FE0"/>
    <w:rsid w:val="00E330CA"/>
    <w:rsid w:val="00E33251"/>
    <w:rsid w:val="00E336CF"/>
    <w:rsid w:val="00E341E3"/>
    <w:rsid w:val="00E34583"/>
    <w:rsid w:val="00E3523C"/>
    <w:rsid w:val="00E353C4"/>
    <w:rsid w:val="00E35707"/>
    <w:rsid w:val="00E3592E"/>
    <w:rsid w:val="00E35DC6"/>
    <w:rsid w:val="00E35E19"/>
    <w:rsid w:val="00E35E95"/>
    <w:rsid w:val="00E36AA1"/>
    <w:rsid w:val="00E36B34"/>
    <w:rsid w:val="00E36C7E"/>
    <w:rsid w:val="00E36EE9"/>
    <w:rsid w:val="00E3705E"/>
    <w:rsid w:val="00E37407"/>
    <w:rsid w:val="00E37459"/>
    <w:rsid w:val="00E374D5"/>
    <w:rsid w:val="00E40280"/>
    <w:rsid w:val="00E40441"/>
    <w:rsid w:val="00E407D9"/>
    <w:rsid w:val="00E409E5"/>
    <w:rsid w:val="00E40F4F"/>
    <w:rsid w:val="00E41078"/>
    <w:rsid w:val="00E41418"/>
    <w:rsid w:val="00E416D1"/>
    <w:rsid w:val="00E41954"/>
    <w:rsid w:val="00E41B4E"/>
    <w:rsid w:val="00E41C44"/>
    <w:rsid w:val="00E41ECB"/>
    <w:rsid w:val="00E41FD3"/>
    <w:rsid w:val="00E42038"/>
    <w:rsid w:val="00E420E5"/>
    <w:rsid w:val="00E42676"/>
    <w:rsid w:val="00E42972"/>
    <w:rsid w:val="00E42AB1"/>
    <w:rsid w:val="00E43491"/>
    <w:rsid w:val="00E43FB2"/>
    <w:rsid w:val="00E4408C"/>
    <w:rsid w:val="00E44359"/>
    <w:rsid w:val="00E446D5"/>
    <w:rsid w:val="00E44C88"/>
    <w:rsid w:val="00E44E75"/>
    <w:rsid w:val="00E4547B"/>
    <w:rsid w:val="00E45922"/>
    <w:rsid w:val="00E45CF0"/>
    <w:rsid w:val="00E461AD"/>
    <w:rsid w:val="00E46743"/>
    <w:rsid w:val="00E47346"/>
    <w:rsid w:val="00E47916"/>
    <w:rsid w:val="00E47B78"/>
    <w:rsid w:val="00E47B85"/>
    <w:rsid w:val="00E50D38"/>
    <w:rsid w:val="00E50DA9"/>
    <w:rsid w:val="00E51170"/>
    <w:rsid w:val="00E512A6"/>
    <w:rsid w:val="00E51411"/>
    <w:rsid w:val="00E51975"/>
    <w:rsid w:val="00E51DBC"/>
    <w:rsid w:val="00E51E78"/>
    <w:rsid w:val="00E5265E"/>
    <w:rsid w:val="00E526C3"/>
    <w:rsid w:val="00E528FC"/>
    <w:rsid w:val="00E529BC"/>
    <w:rsid w:val="00E52E1D"/>
    <w:rsid w:val="00E5322E"/>
    <w:rsid w:val="00E53258"/>
    <w:rsid w:val="00E53E1C"/>
    <w:rsid w:val="00E5442C"/>
    <w:rsid w:val="00E54A78"/>
    <w:rsid w:val="00E54C63"/>
    <w:rsid w:val="00E54D98"/>
    <w:rsid w:val="00E54FDB"/>
    <w:rsid w:val="00E557FD"/>
    <w:rsid w:val="00E55802"/>
    <w:rsid w:val="00E5600A"/>
    <w:rsid w:val="00E5617D"/>
    <w:rsid w:val="00E5633E"/>
    <w:rsid w:val="00E563D7"/>
    <w:rsid w:val="00E56B25"/>
    <w:rsid w:val="00E56F94"/>
    <w:rsid w:val="00E5710F"/>
    <w:rsid w:val="00E574AA"/>
    <w:rsid w:val="00E57566"/>
    <w:rsid w:val="00E5773A"/>
    <w:rsid w:val="00E57AA0"/>
    <w:rsid w:val="00E57CE3"/>
    <w:rsid w:val="00E6026D"/>
    <w:rsid w:val="00E60505"/>
    <w:rsid w:val="00E61025"/>
    <w:rsid w:val="00E610C5"/>
    <w:rsid w:val="00E612C8"/>
    <w:rsid w:val="00E616B5"/>
    <w:rsid w:val="00E616E0"/>
    <w:rsid w:val="00E618E2"/>
    <w:rsid w:val="00E6213F"/>
    <w:rsid w:val="00E624DD"/>
    <w:rsid w:val="00E628B5"/>
    <w:rsid w:val="00E62ED2"/>
    <w:rsid w:val="00E62FF9"/>
    <w:rsid w:val="00E636DC"/>
    <w:rsid w:val="00E63831"/>
    <w:rsid w:val="00E63969"/>
    <w:rsid w:val="00E63BD4"/>
    <w:rsid w:val="00E63C3D"/>
    <w:rsid w:val="00E640B9"/>
    <w:rsid w:val="00E6459B"/>
    <w:rsid w:val="00E64A12"/>
    <w:rsid w:val="00E64B11"/>
    <w:rsid w:val="00E64E96"/>
    <w:rsid w:val="00E6578C"/>
    <w:rsid w:val="00E65E0F"/>
    <w:rsid w:val="00E663F4"/>
    <w:rsid w:val="00E666B8"/>
    <w:rsid w:val="00E666F2"/>
    <w:rsid w:val="00E66794"/>
    <w:rsid w:val="00E66DD4"/>
    <w:rsid w:val="00E67007"/>
    <w:rsid w:val="00E67127"/>
    <w:rsid w:val="00E6768B"/>
    <w:rsid w:val="00E67800"/>
    <w:rsid w:val="00E67A9C"/>
    <w:rsid w:val="00E67D87"/>
    <w:rsid w:val="00E67F33"/>
    <w:rsid w:val="00E713E0"/>
    <w:rsid w:val="00E71714"/>
    <w:rsid w:val="00E71872"/>
    <w:rsid w:val="00E71878"/>
    <w:rsid w:val="00E7256D"/>
    <w:rsid w:val="00E7347A"/>
    <w:rsid w:val="00E7381A"/>
    <w:rsid w:val="00E73FB7"/>
    <w:rsid w:val="00E7488B"/>
    <w:rsid w:val="00E748CC"/>
    <w:rsid w:val="00E74AA9"/>
    <w:rsid w:val="00E74AFE"/>
    <w:rsid w:val="00E74F15"/>
    <w:rsid w:val="00E75415"/>
    <w:rsid w:val="00E754BE"/>
    <w:rsid w:val="00E754DF"/>
    <w:rsid w:val="00E755A7"/>
    <w:rsid w:val="00E75890"/>
    <w:rsid w:val="00E7591B"/>
    <w:rsid w:val="00E765A9"/>
    <w:rsid w:val="00E76A63"/>
    <w:rsid w:val="00E76A9F"/>
    <w:rsid w:val="00E76D13"/>
    <w:rsid w:val="00E76D72"/>
    <w:rsid w:val="00E7726D"/>
    <w:rsid w:val="00E77496"/>
    <w:rsid w:val="00E775B1"/>
    <w:rsid w:val="00E77895"/>
    <w:rsid w:val="00E77909"/>
    <w:rsid w:val="00E779DF"/>
    <w:rsid w:val="00E77AA3"/>
    <w:rsid w:val="00E77D1D"/>
    <w:rsid w:val="00E77F2E"/>
    <w:rsid w:val="00E77F44"/>
    <w:rsid w:val="00E80059"/>
    <w:rsid w:val="00E80142"/>
    <w:rsid w:val="00E8037C"/>
    <w:rsid w:val="00E80A1D"/>
    <w:rsid w:val="00E80C7D"/>
    <w:rsid w:val="00E80F0F"/>
    <w:rsid w:val="00E810A7"/>
    <w:rsid w:val="00E81107"/>
    <w:rsid w:val="00E814F2"/>
    <w:rsid w:val="00E8152A"/>
    <w:rsid w:val="00E819DD"/>
    <w:rsid w:val="00E81CC3"/>
    <w:rsid w:val="00E81E95"/>
    <w:rsid w:val="00E81ED1"/>
    <w:rsid w:val="00E8226E"/>
    <w:rsid w:val="00E8255B"/>
    <w:rsid w:val="00E83399"/>
    <w:rsid w:val="00E835B5"/>
    <w:rsid w:val="00E836BF"/>
    <w:rsid w:val="00E839A3"/>
    <w:rsid w:val="00E83C26"/>
    <w:rsid w:val="00E84289"/>
    <w:rsid w:val="00E84649"/>
    <w:rsid w:val="00E846A9"/>
    <w:rsid w:val="00E84A5E"/>
    <w:rsid w:val="00E84CC5"/>
    <w:rsid w:val="00E85496"/>
    <w:rsid w:val="00E8586C"/>
    <w:rsid w:val="00E860FB"/>
    <w:rsid w:val="00E86121"/>
    <w:rsid w:val="00E86CBC"/>
    <w:rsid w:val="00E86DEF"/>
    <w:rsid w:val="00E90420"/>
    <w:rsid w:val="00E9048C"/>
    <w:rsid w:val="00E90557"/>
    <w:rsid w:val="00E90A66"/>
    <w:rsid w:val="00E90F11"/>
    <w:rsid w:val="00E90FE3"/>
    <w:rsid w:val="00E915AC"/>
    <w:rsid w:val="00E917C1"/>
    <w:rsid w:val="00E92B3A"/>
    <w:rsid w:val="00E92BAA"/>
    <w:rsid w:val="00E92F1D"/>
    <w:rsid w:val="00E9352A"/>
    <w:rsid w:val="00E93629"/>
    <w:rsid w:val="00E93721"/>
    <w:rsid w:val="00E93A89"/>
    <w:rsid w:val="00E93B5C"/>
    <w:rsid w:val="00E9417C"/>
    <w:rsid w:val="00E94377"/>
    <w:rsid w:val="00E945A2"/>
    <w:rsid w:val="00E94626"/>
    <w:rsid w:val="00E94CEC"/>
    <w:rsid w:val="00E951B6"/>
    <w:rsid w:val="00E954C7"/>
    <w:rsid w:val="00E955B3"/>
    <w:rsid w:val="00E9612E"/>
    <w:rsid w:val="00E9647F"/>
    <w:rsid w:val="00E96898"/>
    <w:rsid w:val="00E96E7B"/>
    <w:rsid w:val="00E97085"/>
    <w:rsid w:val="00E971A7"/>
    <w:rsid w:val="00E973EF"/>
    <w:rsid w:val="00E97D54"/>
    <w:rsid w:val="00E97D72"/>
    <w:rsid w:val="00EA04EF"/>
    <w:rsid w:val="00EA0622"/>
    <w:rsid w:val="00EA0969"/>
    <w:rsid w:val="00EA0E6F"/>
    <w:rsid w:val="00EA1083"/>
    <w:rsid w:val="00EA10DE"/>
    <w:rsid w:val="00EA115C"/>
    <w:rsid w:val="00EA135F"/>
    <w:rsid w:val="00EA1364"/>
    <w:rsid w:val="00EA1AA0"/>
    <w:rsid w:val="00EA1B12"/>
    <w:rsid w:val="00EA1BCD"/>
    <w:rsid w:val="00EA1CBD"/>
    <w:rsid w:val="00EA1E8B"/>
    <w:rsid w:val="00EA21A2"/>
    <w:rsid w:val="00EA2273"/>
    <w:rsid w:val="00EA2A09"/>
    <w:rsid w:val="00EA2E9C"/>
    <w:rsid w:val="00EA31C7"/>
    <w:rsid w:val="00EA32EC"/>
    <w:rsid w:val="00EA3B1D"/>
    <w:rsid w:val="00EA3B30"/>
    <w:rsid w:val="00EA42ED"/>
    <w:rsid w:val="00EA4BFA"/>
    <w:rsid w:val="00EA5024"/>
    <w:rsid w:val="00EA50D7"/>
    <w:rsid w:val="00EA561E"/>
    <w:rsid w:val="00EA5623"/>
    <w:rsid w:val="00EA58B2"/>
    <w:rsid w:val="00EA5965"/>
    <w:rsid w:val="00EA5B4D"/>
    <w:rsid w:val="00EA65C2"/>
    <w:rsid w:val="00EA6C79"/>
    <w:rsid w:val="00EA6F19"/>
    <w:rsid w:val="00EA74D1"/>
    <w:rsid w:val="00EA7994"/>
    <w:rsid w:val="00EA7BE2"/>
    <w:rsid w:val="00EA7CD5"/>
    <w:rsid w:val="00EB127E"/>
    <w:rsid w:val="00EB15F4"/>
    <w:rsid w:val="00EB1A16"/>
    <w:rsid w:val="00EB1A1B"/>
    <w:rsid w:val="00EB205E"/>
    <w:rsid w:val="00EB2072"/>
    <w:rsid w:val="00EB20C2"/>
    <w:rsid w:val="00EB3183"/>
    <w:rsid w:val="00EB3222"/>
    <w:rsid w:val="00EB334D"/>
    <w:rsid w:val="00EB3EE1"/>
    <w:rsid w:val="00EB3F1C"/>
    <w:rsid w:val="00EB429C"/>
    <w:rsid w:val="00EB4412"/>
    <w:rsid w:val="00EB46D4"/>
    <w:rsid w:val="00EB4B58"/>
    <w:rsid w:val="00EB4D7A"/>
    <w:rsid w:val="00EB4F55"/>
    <w:rsid w:val="00EB5403"/>
    <w:rsid w:val="00EB56C6"/>
    <w:rsid w:val="00EB58CD"/>
    <w:rsid w:val="00EB6205"/>
    <w:rsid w:val="00EB6228"/>
    <w:rsid w:val="00EB658C"/>
    <w:rsid w:val="00EB672D"/>
    <w:rsid w:val="00EB6911"/>
    <w:rsid w:val="00EB7090"/>
    <w:rsid w:val="00EB7848"/>
    <w:rsid w:val="00EB7CD5"/>
    <w:rsid w:val="00EB7EE9"/>
    <w:rsid w:val="00EB7F28"/>
    <w:rsid w:val="00EC02F7"/>
    <w:rsid w:val="00EC03D0"/>
    <w:rsid w:val="00EC03DD"/>
    <w:rsid w:val="00EC1AD7"/>
    <w:rsid w:val="00EC1BBE"/>
    <w:rsid w:val="00EC227B"/>
    <w:rsid w:val="00EC2971"/>
    <w:rsid w:val="00EC2B68"/>
    <w:rsid w:val="00EC2FB7"/>
    <w:rsid w:val="00EC3814"/>
    <w:rsid w:val="00EC3AEF"/>
    <w:rsid w:val="00EC3B7B"/>
    <w:rsid w:val="00EC3E46"/>
    <w:rsid w:val="00EC450C"/>
    <w:rsid w:val="00EC4605"/>
    <w:rsid w:val="00EC49F8"/>
    <w:rsid w:val="00EC4D5F"/>
    <w:rsid w:val="00EC5674"/>
    <w:rsid w:val="00EC56C4"/>
    <w:rsid w:val="00EC5A25"/>
    <w:rsid w:val="00EC5CD7"/>
    <w:rsid w:val="00EC5E0A"/>
    <w:rsid w:val="00EC5E79"/>
    <w:rsid w:val="00EC674B"/>
    <w:rsid w:val="00EC6F29"/>
    <w:rsid w:val="00EC714E"/>
    <w:rsid w:val="00EC72FA"/>
    <w:rsid w:val="00EC77EF"/>
    <w:rsid w:val="00EC78CE"/>
    <w:rsid w:val="00EC78E4"/>
    <w:rsid w:val="00EC7AFA"/>
    <w:rsid w:val="00EC7CF4"/>
    <w:rsid w:val="00EC7F75"/>
    <w:rsid w:val="00ED06E4"/>
    <w:rsid w:val="00ED0851"/>
    <w:rsid w:val="00ED1073"/>
    <w:rsid w:val="00ED109C"/>
    <w:rsid w:val="00ED1F30"/>
    <w:rsid w:val="00ED200E"/>
    <w:rsid w:val="00ED23D7"/>
    <w:rsid w:val="00ED28E4"/>
    <w:rsid w:val="00ED2E71"/>
    <w:rsid w:val="00ED3719"/>
    <w:rsid w:val="00ED371C"/>
    <w:rsid w:val="00ED40ED"/>
    <w:rsid w:val="00ED43E2"/>
    <w:rsid w:val="00ED49EC"/>
    <w:rsid w:val="00ED4B3C"/>
    <w:rsid w:val="00ED4ED1"/>
    <w:rsid w:val="00ED50F8"/>
    <w:rsid w:val="00ED5167"/>
    <w:rsid w:val="00ED553F"/>
    <w:rsid w:val="00ED5805"/>
    <w:rsid w:val="00ED5DD2"/>
    <w:rsid w:val="00ED62DC"/>
    <w:rsid w:val="00ED638C"/>
    <w:rsid w:val="00ED70AA"/>
    <w:rsid w:val="00ED79CD"/>
    <w:rsid w:val="00ED7BD6"/>
    <w:rsid w:val="00EE0310"/>
    <w:rsid w:val="00EE05F0"/>
    <w:rsid w:val="00EE062E"/>
    <w:rsid w:val="00EE077A"/>
    <w:rsid w:val="00EE07DB"/>
    <w:rsid w:val="00EE0C7C"/>
    <w:rsid w:val="00EE0E16"/>
    <w:rsid w:val="00EE1209"/>
    <w:rsid w:val="00EE1854"/>
    <w:rsid w:val="00EE1C63"/>
    <w:rsid w:val="00EE1D20"/>
    <w:rsid w:val="00EE1E23"/>
    <w:rsid w:val="00EE1F5D"/>
    <w:rsid w:val="00EE249C"/>
    <w:rsid w:val="00EE2753"/>
    <w:rsid w:val="00EE2757"/>
    <w:rsid w:val="00EE2772"/>
    <w:rsid w:val="00EE374D"/>
    <w:rsid w:val="00EE43E7"/>
    <w:rsid w:val="00EE4726"/>
    <w:rsid w:val="00EE4D62"/>
    <w:rsid w:val="00EE536B"/>
    <w:rsid w:val="00EE537D"/>
    <w:rsid w:val="00EE547F"/>
    <w:rsid w:val="00EE56B9"/>
    <w:rsid w:val="00EE57E3"/>
    <w:rsid w:val="00EE59E7"/>
    <w:rsid w:val="00EE5BF9"/>
    <w:rsid w:val="00EE5D10"/>
    <w:rsid w:val="00EE5FB3"/>
    <w:rsid w:val="00EE5FE3"/>
    <w:rsid w:val="00EE6047"/>
    <w:rsid w:val="00EE616B"/>
    <w:rsid w:val="00EE6461"/>
    <w:rsid w:val="00EE667B"/>
    <w:rsid w:val="00EE6700"/>
    <w:rsid w:val="00EE7111"/>
    <w:rsid w:val="00EE735B"/>
    <w:rsid w:val="00EE7BA0"/>
    <w:rsid w:val="00EE7F79"/>
    <w:rsid w:val="00EF0096"/>
    <w:rsid w:val="00EF0187"/>
    <w:rsid w:val="00EF026C"/>
    <w:rsid w:val="00EF045B"/>
    <w:rsid w:val="00EF08C7"/>
    <w:rsid w:val="00EF1485"/>
    <w:rsid w:val="00EF187D"/>
    <w:rsid w:val="00EF210C"/>
    <w:rsid w:val="00EF227D"/>
    <w:rsid w:val="00EF2532"/>
    <w:rsid w:val="00EF2692"/>
    <w:rsid w:val="00EF269A"/>
    <w:rsid w:val="00EF31B2"/>
    <w:rsid w:val="00EF370C"/>
    <w:rsid w:val="00EF375B"/>
    <w:rsid w:val="00EF37F3"/>
    <w:rsid w:val="00EF395F"/>
    <w:rsid w:val="00EF3D00"/>
    <w:rsid w:val="00EF3EAD"/>
    <w:rsid w:val="00EF3F73"/>
    <w:rsid w:val="00EF4064"/>
    <w:rsid w:val="00EF4536"/>
    <w:rsid w:val="00EF4680"/>
    <w:rsid w:val="00EF4714"/>
    <w:rsid w:val="00EF4B7E"/>
    <w:rsid w:val="00EF4C9C"/>
    <w:rsid w:val="00EF4CA6"/>
    <w:rsid w:val="00EF4F61"/>
    <w:rsid w:val="00EF5512"/>
    <w:rsid w:val="00EF5D4D"/>
    <w:rsid w:val="00EF5DA5"/>
    <w:rsid w:val="00EF63D1"/>
    <w:rsid w:val="00EF715A"/>
    <w:rsid w:val="00EF7502"/>
    <w:rsid w:val="00EF75D9"/>
    <w:rsid w:val="00EF7BD1"/>
    <w:rsid w:val="00EF7BD9"/>
    <w:rsid w:val="00F00110"/>
    <w:rsid w:val="00F001E9"/>
    <w:rsid w:val="00F003A0"/>
    <w:rsid w:val="00F003B9"/>
    <w:rsid w:val="00F00A6C"/>
    <w:rsid w:val="00F00C29"/>
    <w:rsid w:val="00F00CED"/>
    <w:rsid w:val="00F00FCE"/>
    <w:rsid w:val="00F0113F"/>
    <w:rsid w:val="00F020C2"/>
    <w:rsid w:val="00F0254E"/>
    <w:rsid w:val="00F025E8"/>
    <w:rsid w:val="00F02644"/>
    <w:rsid w:val="00F026D7"/>
    <w:rsid w:val="00F02947"/>
    <w:rsid w:val="00F03026"/>
    <w:rsid w:val="00F03335"/>
    <w:rsid w:val="00F03532"/>
    <w:rsid w:val="00F035A7"/>
    <w:rsid w:val="00F0367B"/>
    <w:rsid w:val="00F03CDE"/>
    <w:rsid w:val="00F04267"/>
    <w:rsid w:val="00F0428C"/>
    <w:rsid w:val="00F04AEF"/>
    <w:rsid w:val="00F04D88"/>
    <w:rsid w:val="00F05013"/>
    <w:rsid w:val="00F06CDA"/>
    <w:rsid w:val="00F06DEB"/>
    <w:rsid w:val="00F06E14"/>
    <w:rsid w:val="00F06E50"/>
    <w:rsid w:val="00F06FC2"/>
    <w:rsid w:val="00F0762B"/>
    <w:rsid w:val="00F0774A"/>
    <w:rsid w:val="00F07B9C"/>
    <w:rsid w:val="00F106E8"/>
    <w:rsid w:val="00F10BEB"/>
    <w:rsid w:val="00F10C70"/>
    <w:rsid w:val="00F118A3"/>
    <w:rsid w:val="00F119C4"/>
    <w:rsid w:val="00F11D84"/>
    <w:rsid w:val="00F11FED"/>
    <w:rsid w:val="00F12129"/>
    <w:rsid w:val="00F12318"/>
    <w:rsid w:val="00F12C67"/>
    <w:rsid w:val="00F130B6"/>
    <w:rsid w:val="00F13469"/>
    <w:rsid w:val="00F135B2"/>
    <w:rsid w:val="00F13A74"/>
    <w:rsid w:val="00F13AFD"/>
    <w:rsid w:val="00F13C50"/>
    <w:rsid w:val="00F1456F"/>
    <w:rsid w:val="00F14B70"/>
    <w:rsid w:val="00F14C98"/>
    <w:rsid w:val="00F1541F"/>
    <w:rsid w:val="00F155B0"/>
    <w:rsid w:val="00F162AC"/>
    <w:rsid w:val="00F166D9"/>
    <w:rsid w:val="00F16D49"/>
    <w:rsid w:val="00F16F67"/>
    <w:rsid w:val="00F16FC1"/>
    <w:rsid w:val="00F17279"/>
    <w:rsid w:val="00F1751E"/>
    <w:rsid w:val="00F1769E"/>
    <w:rsid w:val="00F176B7"/>
    <w:rsid w:val="00F17742"/>
    <w:rsid w:val="00F179B5"/>
    <w:rsid w:val="00F179D4"/>
    <w:rsid w:val="00F17C61"/>
    <w:rsid w:val="00F17E29"/>
    <w:rsid w:val="00F17F21"/>
    <w:rsid w:val="00F17FFC"/>
    <w:rsid w:val="00F207CE"/>
    <w:rsid w:val="00F213F9"/>
    <w:rsid w:val="00F2184C"/>
    <w:rsid w:val="00F22029"/>
    <w:rsid w:val="00F22589"/>
    <w:rsid w:val="00F2286A"/>
    <w:rsid w:val="00F22945"/>
    <w:rsid w:val="00F22A23"/>
    <w:rsid w:val="00F22B0D"/>
    <w:rsid w:val="00F22B6B"/>
    <w:rsid w:val="00F22C6F"/>
    <w:rsid w:val="00F233DA"/>
    <w:rsid w:val="00F244B1"/>
    <w:rsid w:val="00F24DAD"/>
    <w:rsid w:val="00F24E05"/>
    <w:rsid w:val="00F24E68"/>
    <w:rsid w:val="00F257D5"/>
    <w:rsid w:val="00F25A96"/>
    <w:rsid w:val="00F25D22"/>
    <w:rsid w:val="00F25F31"/>
    <w:rsid w:val="00F25F61"/>
    <w:rsid w:val="00F26560"/>
    <w:rsid w:val="00F26CDD"/>
    <w:rsid w:val="00F26CE1"/>
    <w:rsid w:val="00F26EB2"/>
    <w:rsid w:val="00F272F9"/>
    <w:rsid w:val="00F2765C"/>
    <w:rsid w:val="00F30134"/>
    <w:rsid w:val="00F30318"/>
    <w:rsid w:val="00F307AC"/>
    <w:rsid w:val="00F30812"/>
    <w:rsid w:val="00F30C3D"/>
    <w:rsid w:val="00F31425"/>
    <w:rsid w:val="00F31A7A"/>
    <w:rsid w:val="00F31CF8"/>
    <w:rsid w:val="00F321F5"/>
    <w:rsid w:val="00F325DA"/>
    <w:rsid w:val="00F3298C"/>
    <w:rsid w:val="00F32BFF"/>
    <w:rsid w:val="00F32F58"/>
    <w:rsid w:val="00F3335A"/>
    <w:rsid w:val="00F33C56"/>
    <w:rsid w:val="00F34004"/>
    <w:rsid w:val="00F341DE"/>
    <w:rsid w:val="00F34273"/>
    <w:rsid w:val="00F347C7"/>
    <w:rsid w:val="00F34848"/>
    <w:rsid w:val="00F3532B"/>
    <w:rsid w:val="00F35388"/>
    <w:rsid w:val="00F35738"/>
    <w:rsid w:val="00F35A74"/>
    <w:rsid w:val="00F35A9A"/>
    <w:rsid w:val="00F35F19"/>
    <w:rsid w:val="00F361D7"/>
    <w:rsid w:val="00F3666C"/>
    <w:rsid w:val="00F36B71"/>
    <w:rsid w:val="00F371A2"/>
    <w:rsid w:val="00F373FE"/>
    <w:rsid w:val="00F37601"/>
    <w:rsid w:val="00F3770B"/>
    <w:rsid w:val="00F37E88"/>
    <w:rsid w:val="00F400A2"/>
    <w:rsid w:val="00F4042C"/>
    <w:rsid w:val="00F40536"/>
    <w:rsid w:val="00F40590"/>
    <w:rsid w:val="00F40635"/>
    <w:rsid w:val="00F40979"/>
    <w:rsid w:val="00F40A51"/>
    <w:rsid w:val="00F40CBE"/>
    <w:rsid w:val="00F40F5E"/>
    <w:rsid w:val="00F4124E"/>
    <w:rsid w:val="00F4178B"/>
    <w:rsid w:val="00F4182B"/>
    <w:rsid w:val="00F41B69"/>
    <w:rsid w:val="00F41CE3"/>
    <w:rsid w:val="00F42576"/>
    <w:rsid w:val="00F42B58"/>
    <w:rsid w:val="00F42D46"/>
    <w:rsid w:val="00F42F15"/>
    <w:rsid w:val="00F42F88"/>
    <w:rsid w:val="00F43194"/>
    <w:rsid w:val="00F43975"/>
    <w:rsid w:val="00F440C8"/>
    <w:rsid w:val="00F441B1"/>
    <w:rsid w:val="00F44319"/>
    <w:rsid w:val="00F4434B"/>
    <w:rsid w:val="00F445FD"/>
    <w:rsid w:val="00F4496C"/>
    <w:rsid w:val="00F44EE0"/>
    <w:rsid w:val="00F44F3A"/>
    <w:rsid w:val="00F451D3"/>
    <w:rsid w:val="00F454D2"/>
    <w:rsid w:val="00F45710"/>
    <w:rsid w:val="00F45773"/>
    <w:rsid w:val="00F45938"/>
    <w:rsid w:val="00F4597C"/>
    <w:rsid w:val="00F45A95"/>
    <w:rsid w:val="00F45B63"/>
    <w:rsid w:val="00F45BCF"/>
    <w:rsid w:val="00F461B5"/>
    <w:rsid w:val="00F46AD0"/>
    <w:rsid w:val="00F46B93"/>
    <w:rsid w:val="00F4752C"/>
    <w:rsid w:val="00F4777E"/>
    <w:rsid w:val="00F50555"/>
    <w:rsid w:val="00F509FB"/>
    <w:rsid w:val="00F50A42"/>
    <w:rsid w:val="00F51411"/>
    <w:rsid w:val="00F51DE7"/>
    <w:rsid w:val="00F51DFB"/>
    <w:rsid w:val="00F51E31"/>
    <w:rsid w:val="00F51F10"/>
    <w:rsid w:val="00F51FFA"/>
    <w:rsid w:val="00F522F7"/>
    <w:rsid w:val="00F529A5"/>
    <w:rsid w:val="00F52BE6"/>
    <w:rsid w:val="00F52C4E"/>
    <w:rsid w:val="00F52EB3"/>
    <w:rsid w:val="00F530E0"/>
    <w:rsid w:val="00F5310D"/>
    <w:rsid w:val="00F5337F"/>
    <w:rsid w:val="00F534D4"/>
    <w:rsid w:val="00F534DA"/>
    <w:rsid w:val="00F53CB4"/>
    <w:rsid w:val="00F53CFB"/>
    <w:rsid w:val="00F549B7"/>
    <w:rsid w:val="00F54BE2"/>
    <w:rsid w:val="00F54E28"/>
    <w:rsid w:val="00F5582D"/>
    <w:rsid w:val="00F55B1A"/>
    <w:rsid w:val="00F55FF8"/>
    <w:rsid w:val="00F5628F"/>
    <w:rsid w:val="00F5681E"/>
    <w:rsid w:val="00F56902"/>
    <w:rsid w:val="00F56B21"/>
    <w:rsid w:val="00F57290"/>
    <w:rsid w:val="00F57B81"/>
    <w:rsid w:val="00F60443"/>
    <w:rsid w:val="00F6081D"/>
    <w:rsid w:val="00F60B2A"/>
    <w:rsid w:val="00F60F00"/>
    <w:rsid w:val="00F60FFB"/>
    <w:rsid w:val="00F614C0"/>
    <w:rsid w:val="00F61D53"/>
    <w:rsid w:val="00F61E5A"/>
    <w:rsid w:val="00F62108"/>
    <w:rsid w:val="00F62250"/>
    <w:rsid w:val="00F6275D"/>
    <w:rsid w:val="00F62A19"/>
    <w:rsid w:val="00F62A2F"/>
    <w:rsid w:val="00F62E62"/>
    <w:rsid w:val="00F63108"/>
    <w:rsid w:val="00F63466"/>
    <w:rsid w:val="00F63F2A"/>
    <w:rsid w:val="00F652E7"/>
    <w:rsid w:val="00F655E9"/>
    <w:rsid w:val="00F6572A"/>
    <w:rsid w:val="00F65AC2"/>
    <w:rsid w:val="00F65B63"/>
    <w:rsid w:val="00F65D50"/>
    <w:rsid w:val="00F65E89"/>
    <w:rsid w:val="00F663DE"/>
    <w:rsid w:val="00F664D9"/>
    <w:rsid w:val="00F6658B"/>
    <w:rsid w:val="00F66D99"/>
    <w:rsid w:val="00F67676"/>
    <w:rsid w:val="00F6789E"/>
    <w:rsid w:val="00F67A0E"/>
    <w:rsid w:val="00F67B33"/>
    <w:rsid w:val="00F67C76"/>
    <w:rsid w:val="00F67CA4"/>
    <w:rsid w:val="00F67D99"/>
    <w:rsid w:val="00F67EEC"/>
    <w:rsid w:val="00F67F73"/>
    <w:rsid w:val="00F70221"/>
    <w:rsid w:val="00F702EE"/>
    <w:rsid w:val="00F70EF4"/>
    <w:rsid w:val="00F715B3"/>
    <w:rsid w:val="00F71821"/>
    <w:rsid w:val="00F72341"/>
    <w:rsid w:val="00F73D12"/>
    <w:rsid w:val="00F74053"/>
    <w:rsid w:val="00F740FD"/>
    <w:rsid w:val="00F74173"/>
    <w:rsid w:val="00F7493D"/>
    <w:rsid w:val="00F74B25"/>
    <w:rsid w:val="00F74E5B"/>
    <w:rsid w:val="00F74F13"/>
    <w:rsid w:val="00F75127"/>
    <w:rsid w:val="00F75A1D"/>
    <w:rsid w:val="00F75B5B"/>
    <w:rsid w:val="00F75FA7"/>
    <w:rsid w:val="00F76119"/>
    <w:rsid w:val="00F762B2"/>
    <w:rsid w:val="00F76323"/>
    <w:rsid w:val="00F7696F"/>
    <w:rsid w:val="00F76BCB"/>
    <w:rsid w:val="00F770A8"/>
    <w:rsid w:val="00F7740F"/>
    <w:rsid w:val="00F775E6"/>
    <w:rsid w:val="00F77606"/>
    <w:rsid w:val="00F77823"/>
    <w:rsid w:val="00F77827"/>
    <w:rsid w:val="00F77D80"/>
    <w:rsid w:val="00F80082"/>
    <w:rsid w:val="00F804F2"/>
    <w:rsid w:val="00F80517"/>
    <w:rsid w:val="00F80CC2"/>
    <w:rsid w:val="00F81507"/>
    <w:rsid w:val="00F8167D"/>
    <w:rsid w:val="00F8168A"/>
    <w:rsid w:val="00F81B02"/>
    <w:rsid w:val="00F81EF1"/>
    <w:rsid w:val="00F82EB7"/>
    <w:rsid w:val="00F82F68"/>
    <w:rsid w:val="00F831EC"/>
    <w:rsid w:val="00F83848"/>
    <w:rsid w:val="00F83F43"/>
    <w:rsid w:val="00F84351"/>
    <w:rsid w:val="00F84EEE"/>
    <w:rsid w:val="00F84F7A"/>
    <w:rsid w:val="00F8557E"/>
    <w:rsid w:val="00F85619"/>
    <w:rsid w:val="00F85D06"/>
    <w:rsid w:val="00F85E32"/>
    <w:rsid w:val="00F869DA"/>
    <w:rsid w:val="00F8736F"/>
    <w:rsid w:val="00F8743A"/>
    <w:rsid w:val="00F87546"/>
    <w:rsid w:val="00F8774C"/>
    <w:rsid w:val="00F87795"/>
    <w:rsid w:val="00F87E2E"/>
    <w:rsid w:val="00F87EA7"/>
    <w:rsid w:val="00F919D6"/>
    <w:rsid w:val="00F91B3C"/>
    <w:rsid w:val="00F91B68"/>
    <w:rsid w:val="00F91D95"/>
    <w:rsid w:val="00F92297"/>
    <w:rsid w:val="00F9247C"/>
    <w:rsid w:val="00F92547"/>
    <w:rsid w:val="00F927C4"/>
    <w:rsid w:val="00F92871"/>
    <w:rsid w:val="00F930E4"/>
    <w:rsid w:val="00F9376E"/>
    <w:rsid w:val="00F9378C"/>
    <w:rsid w:val="00F937A4"/>
    <w:rsid w:val="00F9412E"/>
    <w:rsid w:val="00F9484E"/>
    <w:rsid w:val="00F9492F"/>
    <w:rsid w:val="00F9501D"/>
    <w:rsid w:val="00F954C8"/>
    <w:rsid w:val="00F95A7A"/>
    <w:rsid w:val="00F961E0"/>
    <w:rsid w:val="00F961E7"/>
    <w:rsid w:val="00F9670F"/>
    <w:rsid w:val="00F96813"/>
    <w:rsid w:val="00F96C5A"/>
    <w:rsid w:val="00F96FD9"/>
    <w:rsid w:val="00F97107"/>
    <w:rsid w:val="00F975E9"/>
    <w:rsid w:val="00F9779D"/>
    <w:rsid w:val="00F977B4"/>
    <w:rsid w:val="00F97EC7"/>
    <w:rsid w:val="00FA030E"/>
    <w:rsid w:val="00FA182A"/>
    <w:rsid w:val="00FA1942"/>
    <w:rsid w:val="00FA1975"/>
    <w:rsid w:val="00FA1B5A"/>
    <w:rsid w:val="00FA1B7D"/>
    <w:rsid w:val="00FA1D0E"/>
    <w:rsid w:val="00FA1F80"/>
    <w:rsid w:val="00FA26A3"/>
    <w:rsid w:val="00FA27A2"/>
    <w:rsid w:val="00FA2878"/>
    <w:rsid w:val="00FA2B8D"/>
    <w:rsid w:val="00FA32C9"/>
    <w:rsid w:val="00FA391F"/>
    <w:rsid w:val="00FA3E85"/>
    <w:rsid w:val="00FA4AC1"/>
    <w:rsid w:val="00FA4FD3"/>
    <w:rsid w:val="00FA5073"/>
    <w:rsid w:val="00FA51D0"/>
    <w:rsid w:val="00FA523D"/>
    <w:rsid w:val="00FA59DE"/>
    <w:rsid w:val="00FA5A9F"/>
    <w:rsid w:val="00FA5B41"/>
    <w:rsid w:val="00FA6675"/>
    <w:rsid w:val="00FA7AF9"/>
    <w:rsid w:val="00FA7D2D"/>
    <w:rsid w:val="00FA7E6E"/>
    <w:rsid w:val="00FB00A4"/>
    <w:rsid w:val="00FB00BC"/>
    <w:rsid w:val="00FB0690"/>
    <w:rsid w:val="00FB0C7B"/>
    <w:rsid w:val="00FB0F17"/>
    <w:rsid w:val="00FB1945"/>
    <w:rsid w:val="00FB1963"/>
    <w:rsid w:val="00FB1C09"/>
    <w:rsid w:val="00FB1E9B"/>
    <w:rsid w:val="00FB2B26"/>
    <w:rsid w:val="00FB2B43"/>
    <w:rsid w:val="00FB2C69"/>
    <w:rsid w:val="00FB2F2E"/>
    <w:rsid w:val="00FB314C"/>
    <w:rsid w:val="00FB33BB"/>
    <w:rsid w:val="00FB3597"/>
    <w:rsid w:val="00FB3D1C"/>
    <w:rsid w:val="00FB3F06"/>
    <w:rsid w:val="00FB40BE"/>
    <w:rsid w:val="00FB4A9D"/>
    <w:rsid w:val="00FB4DB3"/>
    <w:rsid w:val="00FB54FC"/>
    <w:rsid w:val="00FB557E"/>
    <w:rsid w:val="00FB6457"/>
    <w:rsid w:val="00FB657C"/>
    <w:rsid w:val="00FB6B33"/>
    <w:rsid w:val="00FB6B56"/>
    <w:rsid w:val="00FB6EF6"/>
    <w:rsid w:val="00FB74B2"/>
    <w:rsid w:val="00FB75DC"/>
    <w:rsid w:val="00FB7A14"/>
    <w:rsid w:val="00FB7F70"/>
    <w:rsid w:val="00FB7F99"/>
    <w:rsid w:val="00FC0251"/>
    <w:rsid w:val="00FC064F"/>
    <w:rsid w:val="00FC06D5"/>
    <w:rsid w:val="00FC06E2"/>
    <w:rsid w:val="00FC07B9"/>
    <w:rsid w:val="00FC0A50"/>
    <w:rsid w:val="00FC0E9B"/>
    <w:rsid w:val="00FC0FE5"/>
    <w:rsid w:val="00FC1035"/>
    <w:rsid w:val="00FC1625"/>
    <w:rsid w:val="00FC1B16"/>
    <w:rsid w:val="00FC1DC5"/>
    <w:rsid w:val="00FC1E79"/>
    <w:rsid w:val="00FC2246"/>
    <w:rsid w:val="00FC25DC"/>
    <w:rsid w:val="00FC2E04"/>
    <w:rsid w:val="00FC3086"/>
    <w:rsid w:val="00FC371F"/>
    <w:rsid w:val="00FC37A9"/>
    <w:rsid w:val="00FC3B4E"/>
    <w:rsid w:val="00FC3D26"/>
    <w:rsid w:val="00FC4463"/>
    <w:rsid w:val="00FC44EC"/>
    <w:rsid w:val="00FC46EF"/>
    <w:rsid w:val="00FC4ABE"/>
    <w:rsid w:val="00FC4ACB"/>
    <w:rsid w:val="00FC4C5E"/>
    <w:rsid w:val="00FC4E21"/>
    <w:rsid w:val="00FC525E"/>
    <w:rsid w:val="00FC54D6"/>
    <w:rsid w:val="00FC5707"/>
    <w:rsid w:val="00FC598F"/>
    <w:rsid w:val="00FC5F6D"/>
    <w:rsid w:val="00FC5FFC"/>
    <w:rsid w:val="00FC6574"/>
    <w:rsid w:val="00FC66A3"/>
    <w:rsid w:val="00FC697E"/>
    <w:rsid w:val="00FC69C6"/>
    <w:rsid w:val="00FC6B33"/>
    <w:rsid w:val="00FC6C5F"/>
    <w:rsid w:val="00FC6EE3"/>
    <w:rsid w:val="00FC722F"/>
    <w:rsid w:val="00FC7245"/>
    <w:rsid w:val="00FC74AA"/>
    <w:rsid w:val="00FC7824"/>
    <w:rsid w:val="00FC7E3B"/>
    <w:rsid w:val="00FC7EEB"/>
    <w:rsid w:val="00FD0107"/>
    <w:rsid w:val="00FD01B8"/>
    <w:rsid w:val="00FD08ED"/>
    <w:rsid w:val="00FD0936"/>
    <w:rsid w:val="00FD0B4F"/>
    <w:rsid w:val="00FD0D1C"/>
    <w:rsid w:val="00FD1046"/>
    <w:rsid w:val="00FD144F"/>
    <w:rsid w:val="00FD1453"/>
    <w:rsid w:val="00FD1776"/>
    <w:rsid w:val="00FD17DF"/>
    <w:rsid w:val="00FD1DDB"/>
    <w:rsid w:val="00FD1E7A"/>
    <w:rsid w:val="00FD25EA"/>
    <w:rsid w:val="00FD28BA"/>
    <w:rsid w:val="00FD28C7"/>
    <w:rsid w:val="00FD2945"/>
    <w:rsid w:val="00FD29CE"/>
    <w:rsid w:val="00FD2C2F"/>
    <w:rsid w:val="00FD34D5"/>
    <w:rsid w:val="00FD3B31"/>
    <w:rsid w:val="00FD3B4D"/>
    <w:rsid w:val="00FD3E2D"/>
    <w:rsid w:val="00FD400A"/>
    <w:rsid w:val="00FD41B1"/>
    <w:rsid w:val="00FD42C3"/>
    <w:rsid w:val="00FD4316"/>
    <w:rsid w:val="00FD478E"/>
    <w:rsid w:val="00FD4844"/>
    <w:rsid w:val="00FD48BE"/>
    <w:rsid w:val="00FD50EF"/>
    <w:rsid w:val="00FD549D"/>
    <w:rsid w:val="00FD5666"/>
    <w:rsid w:val="00FD5B2D"/>
    <w:rsid w:val="00FD5C15"/>
    <w:rsid w:val="00FD6123"/>
    <w:rsid w:val="00FD691D"/>
    <w:rsid w:val="00FD6CF9"/>
    <w:rsid w:val="00FD7B70"/>
    <w:rsid w:val="00FD7F5D"/>
    <w:rsid w:val="00FE01C9"/>
    <w:rsid w:val="00FE0271"/>
    <w:rsid w:val="00FE0393"/>
    <w:rsid w:val="00FE0456"/>
    <w:rsid w:val="00FE0A16"/>
    <w:rsid w:val="00FE0B10"/>
    <w:rsid w:val="00FE1476"/>
    <w:rsid w:val="00FE1676"/>
    <w:rsid w:val="00FE1823"/>
    <w:rsid w:val="00FE18A3"/>
    <w:rsid w:val="00FE18B2"/>
    <w:rsid w:val="00FE1B50"/>
    <w:rsid w:val="00FE1D31"/>
    <w:rsid w:val="00FE2500"/>
    <w:rsid w:val="00FE27EB"/>
    <w:rsid w:val="00FE2A74"/>
    <w:rsid w:val="00FE2F1B"/>
    <w:rsid w:val="00FE3589"/>
    <w:rsid w:val="00FE362E"/>
    <w:rsid w:val="00FE3BAF"/>
    <w:rsid w:val="00FE3FF8"/>
    <w:rsid w:val="00FE4265"/>
    <w:rsid w:val="00FE43BD"/>
    <w:rsid w:val="00FE46D0"/>
    <w:rsid w:val="00FE487A"/>
    <w:rsid w:val="00FE4B91"/>
    <w:rsid w:val="00FE4DDE"/>
    <w:rsid w:val="00FE4E0E"/>
    <w:rsid w:val="00FE5250"/>
    <w:rsid w:val="00FE52C2"/>
    <w:rsid w:val="00FE5979"/>
    <w:rsid w:val="00FE600C"/>
    <w:rsid w:val="00FE6818"/>
    <w:rsid w:val="00FE6E62"/>
    <w:rsid w:val="00FE7801"/>
    <w:rsid w:val="00FE792C"/>
    <w:rsid w:val="00FE79BF"/>
    <w:rsid w:val="00FE7A58"/>
    <w:rsid w:val="00FE7BB5"/>
    <w:rsid w:val="00FE7D06"/>
    <w:rsid w:val="00FE7F3E"/>
    <w:rsid w:val="00FF0523"/>
    <w:rsid w:val="00FF0569"/>
    <w:rsid w:val="00FF07C2"/>
    <w:rsid w:val="00FF0839"/>
    <w:rsid w:val="00FF0A57"/>
    <w:rsid w:val="00FF0A5E"/>
    <w:rsid w:val="00FF10E8"/>
    <w:rsid w:val="00FF1B27"/>
    <w:rsid w:val="00FF1BFB"/>
    <w:rsid w:val="00FF1D5C"/>
    <w:rsid w:val="00FF1F6B"/>
    <w:rsid w:val="00FF206E"/>
    <w:rsid w:val="00FF331B"/>
    <w:rsid w:val="00FF3535"/>
    <w:rsid w:val="00FF3B50"/>
    <w:rsid w:val="00FF3C69"/>
    <w:rsid w:val="00FF3F49"/>
    <w:rsid w:val="00FF443F"/>
    <w:rsid w:val="00FF4747"/>
    <w:rsid w:val="00FF49EE"/>
    <w:rsid w:val="00FF4B36"/>
    <w:rsid w:val="00FF5328"/>
    <w:rsid w:val="00FF54D8"/>
    <w:rsid w:val="00FF5575"/>
    <w:rsid w:val="00FF5872"/>
    <w:rsid w:val="00FF5F4B"/>
    <w:rsid w:val="00FF604E"/>
    <w:rsid w:val="00FF67B4"/>
    <w:rsid w:val="00FF6BEC"/>
    <w:rsid w:val="00FF6CBA"/>
    <w:rsid w:val="00FF6E0A"/>
    <w:rsid w:val="00FF6E79"/>
    <w:rsid w:val="00FF6EE7"/>
    <w:rsid w:val="00FF7486"/>
    <w:rsid w:val="00FF78B2"/>
    <w:rsid w:val="00FF7FF5"/>
    <w:rsid w:val="04411BBF"/>
    <w:rsid w:val="0632BC02"/>
    <w:rsid w:val="07E40D1E"/>
    <w:rsid w:val="0D4867DC"/>
    <w:rsid w:val="13E995F1"/>
    <w:rsid w:val="1A8B7B05"/>
    <w:rsid w:val="1AB5E223"/>
    <w:rsid w:val="25DDE47D"/>
    <w:rsid w:val="291C8E89"/>
    <w:rsid w:val="2BD5A793"/>
    <w:rsid w:val="308F688D"/>
    <w:rsid w:val="43214B28"/>
    <w:rsid w:val="4DD25F40"/>
    <w:rsid w:val="4FF5A8F1"/>
    <w:rsid w:val="565ACEEA"/>
    <w:rsid w:val="569CD77F"/>
    <w:rsid w:val="572F16BC"/>
    <w:rsid w:val="5B66455F"/>
    <w:rsid w:val="701022BC"/>
    <w:rsid w:val="7446D713"/>
    <w:rsid w:val="7872E597"/>
    <w:rsid w:val="7AE35475"/>
    <w:rsid w:val="7F4A9E36"/>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200E5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uiPriority="2"/>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rsid w:val="00390D91"/>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F361D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rsid w:val="004A4D94"/>
    <w:rPr>
      <w:rFonts w:ascii="Arial" w:hAnsi="Arial"/>
      <w:sz w:val="16"/>
      <w:szCs w:val="16"/>
    </w:rPr>
  </w:style>
  <w:style w:type="character" w:customStyle="1" w:styleId="Heading4Char">
    <w:name w:val="Heading 4 Char"/>
    <w:basedOn w:val="DefaultParagraphFont"/>
    <w:link w:val="Heading4"/>
    <w:uiPriority w:val="2"/>
    <w:rsid w:val="00540AB4"/>
    <w:rPr>
      <w:rFonts w:ascii="Arial" w:hAnsi="Arial" w:cs="Arial"/>
      <w:b/>
      <w:i/>
      <w:sz w:val="20"/>
    </w:rPr>
  </w:style>
  <w:style w:type="table" w:customStyle="1" w:styleId="ACMAtablestyle1">
    <w:name w:val="ACMA table style1"/>
    <w:basedOn w:val="TableNormal"/>
    <w:uiPriority w:val="99"/>
    <w:rsid w:val="00C10027"/>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acthead5">
    <w:name w:val="acthead5"/>
    <w:basedOn w:val="Normal"/>
    <w:rsid w:val="000E569A"/>
    <w:pPr>
      <w:spacing w:before="100" w:beforeAutospacing="1" w:after="100" w:afterAutospacing="1" w:line="240" w:lineRule="auto"/>
    </w:pPr>
    <w:rPr>
      <w:rFonts w:ascii="Times New Roman" w:hAnsi="Times New Roman"/>
      <w:sz w:val="24"/>
    </w:rPr>
  </w:style>
  <w:style w:type="character" w:customStyle="1" w:styleId="charsectno">
    <w:name w:val="charsectno"/>
    <w:basedOn w:val="DefaultParagraphFont"/>
    <w:rsid w:val="000E569A"/>
  </w:style>
  <w:style w:type="paragraph" w:customStyle="1" w:styleId="subsection">
    <w:name w:val="subsection"/>
    <w:basedOn w:val="Normal"/>
    <w:rsid w:val="000E569A"/>
    <w:pPr>
      <w:spacing w:before="100" w:beforeAutospacing="1" w:after="100" w:afterAutospacing="1" w:line="240" w:lineRule="auto"/>
    </w:pPr>
    <w:rPr>
      <w:rFonts w:ascii="Times New Roman" w:hAnsi="Times New Roman"/>
      <w:sz w:val="24"/>
    </w:rPr>
  </w:style>
  <w:style w:type="paragraph" w:customStyle="1" w:styleId="paragraph0">
    <w:name w:val="paragraph"/>
    <w:basedOn w:val="Normal"/>
    <w:rsid w:val="000E569A"/>
    <w:pPr>
      <w:spacing w:before="100" w:beforeAutospacing="1" w:after="100" w:afterAutospacing="1" w:line="240" w:lineRule="auto"/>
    </w:pPr>
    <w:rPr>
      <w:rFonts w:ascii="Times New Roman" w:hAnsi="Times New Roman"/>
      <w:sz w:val="24"/>
    </w:rPr>
  </w:style>
  <w:style w:type="paragraph" w:customStyle="1" w:styleId="notetext">
    <w:name w:val="notetext"/>
    <w:basedOn w:val="Normal"/>
    <w:rsid w:val="000E569A"/>
    <w:pPr>
      <w:spacing w:before="100" w:beforeAutospacing="1" w:after="100" w:afterAutospacing="1" w:line="240" w:lineRule="auto"/>
    </w:pPr>
    <w:rPr>
      <w:rFonts w:ascii="Times New Roman" w:hAnsi="Times New Roman"/>
      <w:sz w:val="24"/>
    </w:rPr>
  </w:style>
  <w:style w:type="paragraph" w:customStyle="1" w:styleId="Default">
    <w:name w:val="Default"/>
    <w:rsid w:val="006E58C2"/>
    <w:pPr>
      <w:autoSpaceDE w:val="0"/>
      <w:autoSpaceDN w:val="0"/>
      <w:adjustRightInd w:val="0"/>
    </w:pPr>
    <w:rPr>
      <w:color w:val="000000"/>
    </w:rPr>
  </w:style>
  <w:style w:type="paragraph" w:styleId="ListParagraph">
    <w:name w:val="List Paragraph"/>
    <w:basedOn w:val="Normal"/>
    <w:uiPriority w:val="34"/>
    <w:qFormat/>
    <w:rsid w:val="00086241"/>
    <w:pPr>
      <w:ind w:left="720"/>
      <w:contextualSpacing/>
    </w:pPr>
  </w:style>
  <w:style w:type="character" w:styleId="Mention">
    <w:name w:val="Mention"/>
    <w:basedOn w:val="DefaultParagraphFont"/>
    <w:uiPriority w:val="99"/>
    <w:unhideWhenUsed/>
    <w:rsid w:val="00125614"/>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338451">
      <w:bodyDiv w:val="1"/>
      <w:marLeft w:val="0"/>
      <w:marRight w:val="0"/>
      <w:marTop w:val="0"/>
      <w:marBottom w:val="0"/>
      <w:divBdr>
        <w:top w:val="none" w:sz="0" w:space="0" w:color="auto"/>
        <w:left w:val="none" w:sz="0" w:space="0" w:color="auto"/>
        <w:bottom w:val="none" w:sz="0" w:space="0" w:color="auto"/>
        <w:right w:val="none" w:sz="0" w:space="0" w:color="auto"/>
      </w:divBdr>
    </w:div>
    <w:div w:id="78260406">
      <w:bodyDiv w:val="1"/>
      <w:marLeft w:val="0"/>
      <w:marRight w:val="0"/>
      <w:marTop w:val="0"/>
      <w:marBottom w:val="0"/>
      <w:divBdr>
        <w:top w:val="none" w:sz="0" w:space="0" w:color="auto"/>
        <w:left w:val="none" w:sz="0" w:space="0" w:color="auto"/>
        <w:bottom w:val="none" w:sz="0" w:space="0" w:color="auto"/>
        <w:right w:val="none" w:sz="0" w:space="0" w:color="auto"/>
      </w:divBdr>
    </w:div>
    <w:div w:id="227695527">
      <w:bodyDiv w:val="1"/>
      <w:marLeft w:val="0"/>
      <w:marRight w:val="0"/>
      <w:marTop w:val="0"/>
      <w:marBottom w:val="0"/>
      <w:divBdr>
        <w:top w:val="none" w:sz="0" w:space="0" w:color="auto"/>
        <w:left w:val="none" w:sz="0" w:space="0" w:color="auto"/>
        <w:bottom w:val="none" w:sz="0" w:space="0" w:color="auto"/>
        <w:right w:val="none" w:sz="0" w:space="0" w:color="auto"/>
      </w:divBdr>
    </w:div>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346753497">
      <w:bodyDiv w:val="1"/>
      <w:marLeft w:val="0"/>
      <w:marRight w:val="0"/>
      <w:marTop w:val="0"/>
      <w:marBottom w:val="0"/>
      <w:divBdr>
        <w:top w:val="none" w:sz="0" w:space="0" w:color="auto"/>
        <w:left w:val="none" w:sz="0" w:space="0" w:color="auto"/>
        <w:bottom w:val="none" w:sz="0" w:space="0" w:color="auto"/>
        <w:right w:val="none" w:sz="0" w:space="0" w:color="auto"/>
      </w:divBdr>
    </w:div>
    <w:div w:id="351419321">
      <w:bodyDiv w:val="1"/>
      <w:marLeft w:val="0"/>
      <w:marRight w:val="0"/>
      <w:marTop w:val="0"/>
      <w:marBottom w:val="0"/>
      <w:divBdr>
        <w:top w:val="none" w:sz="0" w:space="0" w:color="auto"/>
        <w:left w:val="none" w:sz="0" w:space="0" w:color="auto"/>
        <w:bottom w:val="none" w:sz="0" w:space="0" w:color="auto"/>
        <w:right w:val="none" w:sz="0" w:space="0" w:color="auto"/>
      </w:divBdr>
    </w:div>
    <w:div w:id="510531404">
      <w:bodyDiv w:val="1"/>
      <w:marLeft w:val="0"/>
      <w:marRight w:val="0"/>
      <w:marTop w:val="0"/>
      <w:marBottom w:val="0"/>
      <w:divBdr>
        <w:top w:val="none" w:sz="0" w:space="0" w:color="auto"/>
        <w:left w:val="none" w:sz="0" w:space="0" w:color="auto"/>
        <w:bottom w:val="none" w:sz="0" w:space="0" w:color="auto"/>
        <w:right w:val="none" w:sz="0" w:space="0" w:color="auto"/>
      </w:divBdr>
    </w:div>
    <w:div w:id="53164876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597909753">
      <w:bodyDiv w:val="1"/>
      <w:marLeft w:val="0"/>
      <w:marRight w:val="0"/>
      <w:marTop w:val="0"/>
      <w:marBottom w:val="0"/>
      <w:divBdr>
        <w:top w:val="none" w:sz="0" w:space="0" w:color="auto"/>
        <w:left w:val="none" w:sz="0" w:space="0" w:color="auto"/>
        <w:bottom w:val="none" w:sz="0" w:space="0" w:color="auto"/>
        <w:right w:val="none" w:sz="0" w:space="0" w:color="auto"/>
      </w:divBdr>
    </w:div>
    <w:div w:id="692537474">
      <w:bodyDiv w:val="1"/>
      <w:marLeft w:val="0"/>
      <w:marRight w:val="0"/>
      <w:marTop w:val="0"/>
      <w:marBottom w:val="0"/>
      <w:divBdr>
        <w:top w:val="none" w:sz="0" w:space="0" w:color="auto"/>
        <w:left w:val="none" w:sz="0" w:space="0" w:color="auto"/>
        <w:bottom w:val="none" w:sz="0" w:space="0" w:color="auto"/>
        <w:right w:val="none" w:sz="0" w:space="0" w:color="auto"/>
      </w:divBdr>
    </w:div>
    <w:div w:id="743377336">
      <w:bodyDiv w:val="1"/>
      <w:marLeft w:val="0"/>
      <w:marRight w:val="0"/>
      <w:marTop w:val="0"/>
      <w:marBottom w:val="0"/>
      <w:divBdr>
        <w:top w:val="none" w:sz="0" w:space="0" w:color="auto"/>
        <w:left w:val="none" w:sz="0" w:space="0" w:color="auto"/>
        <w:bottom w:val="none" w:sz="0" w:space="0" w:color="auto"/>
        <w:right w:val="none" w:sz="0" w:space="0" w:color="auto"/>
      </w:divBdr>
    </w:div>
    <w:div w:id="747069566">
      <w:bodyDiv w:val="1"/>
      <w:marLeft w:val="0"/>
      <w:marRight w:val="0"/>
      <w:marTop w:val="0"/>
      <w:marBottom w:val="0"/>
      <w:divBdr>
        <w:top w:val="none" w:sz="0" w:space="0" w:color="auto"/>
        <w:left w:val="none" w:sz="0" w:space="0" w:color="auto"/>
        <w:bottom w:val="none" w:sz="0" w:space="0" w:color="auto"/>
        <w:right w:val="none" w:sz="0" w:space="0" w:color="auto"/>
      </w:divBdr>
    </w:div>
    <w:div w:id="890001780">
      <w:bodyDiv w:val="1"/>
      <w:marLeft w:val="0"/>
      <w:marRight w:val="0"/>
      <w:marTop w:val="0"/>
      <w:marBottom w:val="0"/>
      <w:divBdr>
        <w:top w:val="none" w:sz="0" w:space="0" w:color="auto"/>
        <w:left w:val="none" w:sz="0" w:space="0" w:color="auto"/>
        <w:bottom w:val="none" w:sz="0" w:space="0" w:color="auto"/>
        <w:right w:val="none" w:sz="0" w:space="0" w:color="auto"/>
      </w:divBdr>
    </w:div>
    <w:div w:id="895582008">
      <w:bodyDiv w:val="1"/>
      <w:marLeft w:val="0"/>
      <w:marRight w:val="0"/>
      <w:marTop w:val="0"/>
      <w:marBottom w:val="0"/>
      <w:divBdr>
        <w:top w:val="none" w:sz="0" w:space="0" w:color="auto"/>
        <w:left w:val="none" w:sz="0" w:space="0" w:color="auto"/>
        <w:bottom w:val="none" w:sz="0" w:space="0" w:color="auto"/>
        <w:right w:val="none" w:sz="0" w:space="0" w:color="auto"/>
      </w:divBdr>
    </w:div>
    <w:div w:id="928077705">
      <w:bodyDiv w:val="1"/>
      <w:marLeft w:val="0"/>
      <w:marRight w:val="0"/>
      <w:marTop w:val="0"/>
      <w:marBottom w:val="0"/>
      <w:divBdr>
        <w:top w:val="none" w:sz="0" w:space="0" w:color="auto"/>
        <w:left w:val="none" w:sz="0" w:space="0" w:color="auto"/>
        <w:bottom w:val="none" w:sz="0" w:space="0" w:color="auto"/>
        <w:right w:val="none" w:sz="0" w:space="0" w:color="auto"/>
      </w:divBdr>
    </w:div>
    <w:div w:id="988679074">
      <w:bodyDiv w:val="1"/>
      <w:marLeft w:val="0"/>
      <w:marRight w:val="0"/>
      <w:marTop w:val="0"/>
      <w:marBottom w:val="0"/>
      <w:divBdr>
        <w:top w:val="none" w:sz="0" w:space="0" w:color="auto"/>
        <w:left w:val="none" w:sz="0" w:space="0" w:color="auto"/>
        <w:bottom w:val="none" w:sz="0" w:space="0" w:color="auto"/>
        <w:right w:val="none" w:sz="0" w:space="0" w:color="auto"/>
      </w:divBdr>
    </w:div>
    <w:div w:id="1013385491">
      <w:bodyDiv w:val="1"/>
      <w:marLeft w:val="0"/>
      <w:marRight w:val="0"/>
      <w:marTop w:val="0"/>
      <w:marBottom w:val="0"/>
      <w:divBdr>
        <w:top w:val="none" w:sz="0" w:space="0" w:color="auto"/>
        <w:left w:val="none" w:sz="0" w:space="0" w:color="auto"/>
        <w:bottom w:val="none" w:sz="0" w:space="0" w:color="auto"/>
        <w:right w:val="none" w:sz="0" w:space="0" w:color="auto"/>
      </w:divBdr>
    </w:div>
    <w:div w:id="1057511291">
      <w:bodyDiv w:val="1"/>
      <w:marLeft w:val="0"/>
      <w:marRight w:val="0"/>
      <w:marTop w:val="0"/>
      <w:marBottom w:val="0"/>
      <w:divBdr>
        <w:top w:val="none" w:sz="0" w:space="0" w:color="auto"/>
        <w:left w:val="none" w:sz="0" w:space="0" w:color="auto"/>
        <w:bottom w:val="none" w:sz="0" w:space="0" w:color="auto"/>
        <w:right w:val="none" w:sz="0" w:space="0" w:color="auto"/>
      </w:divBdr>
    </w:div>
    <w:div w:id="1276326935">
      <w:bodyDiv w:val="1"/>
      <w:marLeft w:val="0"/>
      <w:marRight w:val="0"/>
      <w:marTop w:val="0"/>
      <w:marBottom w:val="0"/>
      <w:divBdr>
        <w:top w:val="none" w:sz="0" w:space="0" w:color="auto"/>
        <w:left w:val="none" w:sz="0" w:space="0" w:color="auto"/>
        <w:bottom w:val="none" w:sz="0" w:space="0" w:color="auto"/>
        <w:right w:val="none" w:sz="0" w:space="0" w:color="auto"/>
      </w:divBdr>
    </w:div>
    <w:div w:id="1355694824">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582981152">
      <w:bodyDiv w:val="1"/>
      <w:marLeft w:val="0"/>
      <w:marRight w:val="0"/>
      <w:marTop w:val="0"/>
      <w:marBottom w:val="0"/>
      <w:divBdr>
        <w:top w:val="none" w:sz="0" w:space="0" w:color="auto"/>
        <w:left w:val="none" w:sz="0" w:space="0" w:color="auto"/>
        <w:bottom w:val="none" w:sz="0" w:space="0" w:color="auto"/>
        <w:right w:val="none" w:sz="0" w:space="0" w:color="auto"/>
      </w:divBdr>
    </w:div>
    <w:div w:id="1766145944">
      <w:bodyDiv w:val="1"/>
      <w:marLeft w:val="0"/>
      <w:marRight w:val="0"/>
      <w:marTop w:val="0"/>
      <w:marBottom w:val="0"/>
      <w:divBdr>
        <w:top w:val="none" w:sz="0" w:space="0" w:color="auto"/>
        <w:left w:val="none" w:sz="0" w:space="0" w:color="auto"/>
        <w:bottom w:val="none" w:sz="0" w:space="0" w:color="auto"/>
        <w:right w:val="none" w:sz="0" w:space="0" w:color="auto"/>
      </w:divBdr>
    </w:div>
    <w:div w:id="1779720761">
      <w:bodyDiv w:val="1"/>
      <w:marLeft w:val="0"/>
      <w:marRight w:val="0"/>
      <w:marTop w:val="0"/>
      <w:marBottom w:val="0"/>
      <w:divBdr>
        <w:top w:val="none" w:sz="0" w:space="0" w:color="auto"/>
        <w:left w:val="none" w:sz="0" w:space="0" w:color="auto"/>
        <w:bottom w:val="none" w:sz="0" w:space="0" w:color="auto"/>
        <w:right w:val="none" w:sz="0" w:space="0" w:color="auto"/>
      </w:divBdr>
    </w:div>
    <w:div w:id="1781602012">
      <w:bodyDiv w:val="1"/>
      <w:marLeft w:val="0"/>
      <w:marRight w:val="0"/>
      <w:marTop w:val="0"/>
      <w:marBottom w:val="0"/>
      <w:divBdr>
        <w:top w:val="none" w:sz="0" w:space="0" w:color="auto"/>
        <w:left w:val="none" w:sz="0" w:space="0" w:color="auto"/>
        <w:bottom w:val="none" w:sz="0" w:space="0" w:color="auto"/>
        <w:right w:val="none" w:sz="0" w:space="0" w:color="auto"/>
      </w:divBdr>
    </w:div>
    <w:div w:id="1824541865">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1940289584">
      <w:bodyDiv w:val="1"/>
      <w:marLeft w:val="0"/>
      <w:marRight w:val="0"/>
      <w:marTop w:val="0"/>
      <w:marBottom w:val="0"/>
      <w:divBdr>
        <w:top w:val="none" w:sz="0" w:space="0" w:color="auto"/>
        <w:left w:val="none" w:sz="0" w:space="0" w:color="auto"/>
        <w:bottom w:val="none" w:sz="0" w:space="0" w:color="auto"/>
        <w:right w:val="none" w:sz="0" w:space="0" w:color="auto"/>
      </w:divBdr>
    </w:div>
    <w:div w:id="1941911488">
      <w:bodyDiv w:val="1"/>
      <w:marLeft w:val="0"/>
      <w:marRight w:val="0"/>
      <w:marTop w:val="0"/>
      <w:marBottom w:val="0"/>
      <w:divBdr>
        <w:top w:val="none" w:sz="0" w:space="0" w:color="auto"/>
        <w:left w:val="none" w:sz="0" w:space="0" w:color="auto"/>
        <w:bottom w:val="none" w:sz="0" w:space="0" w:color="auto"/>
        <w:right w:val="none" w:sz="0" w:space="0" w:color="auto"/>
      </w:divBdr>
    </w:div>
    <w:div w:id="1963490585">
      <w:bodyDiv w:val="1"/>
      <w:marLeft w:val="0"/>
      <w:marRight w:val="0"/>
      <w:marTop w:val="0"/>
      <w:marBottom w:val="0"/>
      <w:divBdr>
        <w:top w:val="none" w:sz="0" w:space="0" w:color="auto"/>
        <w:left w:val="none" w:sz="0" w:space="0" w:color="auto"/>
        <w:bottom w:val="none" w:sz="0" w:space="0" w:color="auto"/>
        <w:right w:val="none" w:sz="0" w:space="0" w:color="auto"/>
      </w:divBdr>
    </w:div>
    <w:div w:id="2089305206">
      <w:bodyDiv w:val="1"/>
      <w:marLeft w:val="0"/>
      <w:marRight w:val="0"/>
      <w:marTop w:val="0"/>
      <w:marBottom w:val="0"/>
      <w:divBdr>
        <w:top w:val="none" w:sz="0" w:space="0" w:color="auto"/>
        <w:left w:val="none" w:sz="0" w:space="0" w:color="auto"/>
        <w:bottom w:val="none" w:sz="0" w:space="0" w:color="auto"/>
        <w:right w:val="none" w:sz="0" w:space="0" w:color="auto"/>
      </w:divBdr>
    </w:div>
    <w:div w:id="2110275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Series/C2004A01224" TargetMode="External"/><Relationship Id="rId39" Type="http://schemas.openxmlformats.org/officeDocument/2006/relationships/header" Target="header7.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legislation.gov.au/Details/C2020A00153" TargetMode="External"/><Relationship Id="rId42"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legislation.gov.au/Series/C2004A04465" TargetMode="External"/><Relationship Id="rId33" Type="http://schemas.openxmlformats.org/officeDocument/2006/relationships/hyperlink" Target="https://www.legislation.gov.au/Series/F2014L01790" TargetMode="External"/><Relationship Id="rId38" Type="http://schemas.openxmlformats.org/officeDocument/2006/relationships/hyperlink" Target="https://www.legislation.gov.au/Series/C2004A00109"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image" Target="media/image4.png"/><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Details/C2020A00151" TargetMode="External"/><Relationship Id="rId32" Type="http://schemas.openxmlformats.org/officeDocument/2006/relationships/hyperlink" Target="https://www.legislation.gov.au/Series/C2004A04401" TargetMode="External"/><Relationship Id="rId37" Type="http://schemas.openxmlformats.org/officeDocument/2006/relationships/hyperlink" Target="https://www.legislation.gov.au/Series/C2004A02849" TargetMode="External"/><Relationship Id="rId40"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Series/C2005A00044" TargetMode="External"/><Relationship Id="rId36" Type="http://schemas.openxmlformats.org/officeDocument/2006/relationships/hyperlink" Target="https://www.legislation.gov.au/Series/C2004A02854"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Series/F2016L02001"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five-year-spectrum-outlook" TargetMode="External"/><Relationship Id="rId30" Type="http://schemas.openxmlformats.org/officeDocument/2006/relationships/hyperlink" Target="https://www.acma.gov.au/ralis-frequency-coordination" TargetMode="External"/><Relationship Id="rId35" Type="http://schemas.openxmlformats.org/officeDocument/2006/relationships/hyperlink" Target="https://www.legislation.gov.au/Details/C2020A00152" TargetMode="External"/><Relationship Id="rId43"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Series/F2017L00328" TargetMode="External"/><Relationship Id="rId1" Type="http://schemas.openxmlformats.org/officeDocument/2006/relationships/hyperlink" Target="https://www.legislation.gov.au/Series/F2005B0248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15918</Words>
  <Characters>90734</Characters>
  <Application>Microsoft Office Word</Application>
  <DocSecurity>0</DocSecurity>
  <Lines>756</Lines>
  <Paragraphs>212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106440</CharactersWithSpaces>
  <SharedDoc>false</SharedDoc>
  <HyperlinkBase/>
  <HLinks>
    <vt:vector size="300" baseType="variant">
      <vt:variant>
        <vt:i4>65560</vt:i4>
      </vt:variant>
      <vt:variant>
        <vt:i4>237</vt:i4>
      </vt:variant>
      <vt:variant>
        <vt:i4>0</vt:i4>
      </vt:variant>
      <vt:variant>
        <vt:i4>5</vt:i4>
      </vt:variant>
      <vt:variant>
        <vt:lpwstr>https://www.legislation.gov.au/Series/C2004A00109</vt:lpwstr>
      </vt:variant>
      <vt:variant>
        <vt:lpwstr/>
      </vt:variant>
      <vt:variant>
        <vt:i4>458769</vt:i4>
      </vt:variant>
      <vt:variant>
        <vt:i4>234</vt:i4>
      </vt:variant>
      <vt:variant>
        <vt:i4>0</vt:i4>
      </vt:variant>
      <vt:variant>
        <vt:i4>5</vt:i4>
      </vt:variant>
      <vt:variant>
        <vt:lpwstr>https://www.legislation.gov.au/Series/C2004A02849</vt:lpwstr>
      </vt:variant>
      <vt:variant>
        <vt:lpwstr/>
      </vt:variant>
      <vt:variant>
        <vt:i4>393233</vt:i4>
      </vt:variant>
      <vt:variant>
        <vt:i4>231</vt:i4>
      </vt:variant>
      <vt:variant>
        <vt:i4>0</vt:i4>
      </vt:variant>
      <vt:variant>
        <vt:i4>5</vt:i4>
      </vt:variant>
      <vt:variant>
        <vt:lpwstr>https://www.legislation.gov.au/Series/C2004A02854</vt:lpwstr>
      </vt:variant>
      <vt:variant>
        <vt:lpwstr/>
      </vt:variant>
      <vt:variant>
        <vt:i4>7536674</vt:i4>
      </vt:variant>
      <vt:variant>
        <vt:i4>228</vt:i4>
      </vt:variant>
      <vt:variant>
        <vt:i4>0</vt:i4>
      </vt:variant>
      <vt:variant>
        <vt:i4>5</vt:i4>
      </vt:variant>
      <vt:variant>
        <vt:lpwstr>https://www.legislation.gov.au/Details/C2020A00152</vt:lpwstr>
      </vt:variant>
      <vt:variant>
        <vt:lpwstr/>
      </vt:variant>
      <vt:variant>
        <vt:i4>7471138</vt:i4>
      </vt:variant>
      <vt:variant>
        <vt:i4>225</vt:i4>
      </vt:variant>
      <vt:variant>
        <vt:i4>0</vt:i4>
      </vt:variant>
      <vt:variant>
        <vt:i4>5</vt:i4>
      </vt:variant>
      <vt:variant>
        <vt:lpwstr>https://www.legislation.gov.au/Details/C2020A00153</vt:lpwstr>
      </vt:variant>
      <vt:variant>
        <vt:lpwstr/>
      </vt:variant>
      <vt:variant>
        <vt:i4>327707</vt:i4>
      </vt:variant>
      <vt:variant>
        <vt:i4>222</vt:i4>
      </vt:variant>
      <vt:variant>
        <vt:i4>0</vt:i4>
      </vt:variant>
      <vt:variant>
        <vt:i4>5</vt:i4>
      </vt:variant>
      <vt:variant>
        <vt:lpwstr>https://www.legislation.gov.au/Series/F2014L01790</vt:lpwstr>
      </vt:variant>
      <vt:variant>
        <vt:lpwstr/>
      </vt:variant>
      <vt:variant>
        <vt:i4>327709</vt:i4>
      </vt:variant>
      <vt:variant>
        <vt:i4>219</vt:i4>
      </vt:variant>
      <vt:variant>
        <vt:i4>0</vt:i4>
      </vt:variant>
      <vt:variant>
        <vt:i4>5</vt:i4>
      </vt:variant>
      <vt:variant>
        <vt:lpwstr>https://www.legislation.gov.au/Series/C2004A04401</vt:lpwstr>
      </vt:variant>
      <vt:variant>
        <vt:lpwstr/>
      </vt:variant>
      <vt:variant>
        <vt:i4>983070</vt:i4>
      </vt:variant>
      <vt:variant>
        <vt:i4>216</vt:i4>
      </vt:variant>
      <vt:variant>
        <vt:i4>0</vt:i4>
      </vt:variant>
      <vt:variant>
        <vt:i4>5</vt:i4>
      </vt:variant>
      <vt:variant>
        <vt:lpwstr>https://www.legislation.gov.au/Series/F2016L02001</vt:lpwstr>
      </vt:variant>
      <vt:variant>
        <vt:lpwstr/>
      </vt:variant>
      <vt:variant>
        <vt:i4>655431</vt:i4>
      </vt:variant>
      <vt:variant>
        <vt:i4>213</vt:i4>
      </vt:variant>
      <vt:variant>
        <vt:i4>0</vt:i4>
      </vt:variant>
      <vt:variant>
        <vt:i4>5</vt:i4>
      </vt:variant>
      <vt:variant>
        <vt:lpwstr>https://www.acma.gov.au/ralis-frequency-coordination</vt:lpwstr>
      </vt:variant>
      <vt:variant>
        <vt:lpwstr/>
      </vt:variant>
      <vt:variant>
        <vt:i4>7798791</vt:i4>
      </vt:variant>
      <vt:variant>
        <vt:i4>210</vt:i4>
      </vt:variant>
      <vt:variant>
        <vt:i4>0</vt:i4>
      </vt:variant>
      <vt:variant>
        <vt:i4>5</vt:i4>
      </vt:variant>
      <vt:variant>
        <vt:lpwstr/>
      </vt:variant>
      <vt:variant>
        <vt:lpwstr>_Appendix_A:_Licence</vt:lpwstr>
      </vt:variant>
      <vt:variant>
        <vt:i4>327704</vt:i4>
      </vt:variant>
      <vt:variant>
        <vt:i4>207</vt:i4>
      </vt:variant>
      <vt:variant>
        <vt:i4>0</vt:i4>
      </vt:variant>
      <vt:variant>
        <vt:i4>5</vt:i4>
      </vt:variant>
      <vt:variant>
        <vt:lpwstr>https://www.legislation.gov.au/Series/C2005A00044</vt:lpwstr>
      </vt:variant>
      <vt:variant>
        <vt:lpwstr/>
      </vt:variant>
      <vt:variant>
        <vt:i4>4128816</vt:i4>
      </vt:variant>
      <vt:variant>
        <vt:i4>204</vt:i4>
      </vt:variant>
      <vt:variant>
        <vt:i4>0</vt:i4>
      </vt:variant>
      <vt:variant>
        <vt:i4>5</vt:i4>
      </vt:variant>
      <vt:variant>
        <vt:lpwstr>https://www.acma.gov.au/five-year-spectrum-outlook</vt:lpwstr>
      </vt:variant>
      <vt:variant>
        <vt:lpwstr/>
      </vt:variant>
      <vt:variant>
        <vt:i4>131099</vt:i4>
      </vt:variant>
      <vt:variant>
        <vt:i4>201</vt:i4>
      </vt:variant>
      <vt:variant>
        <vt:i4>0</vt:i4>
      </vt:variant>
      <vt:variant>
        <vt:i4>5</vt:i4>
      </vt:variant>
      <vt:variant>
        <vt:lpwstr>https://www.legislation.gov.au/Series/C2004A01224</vt:lpwstr>
      </vt:variant>
      <vt:variant>
        <vt:lpwstr/>
      </vt:variant>
      <vt:variant>
        <vt:i4>196637</vt:i4>
      </vt:variant>
      <vt:variant>
        <vt:i4>198</vt:i4>
      </vt:variant>
      <vt:variant>
        <vt:i4>0</vt:i4>
      </vt:variant>
      <vt:variant>
        <vt:i4>5</vt:i4>
      </vt:variant>
      <vt:variant>
        <vt:lpwstr>https://www.legislation.gov.au/Series/C2004A04465</vt:lpwstr>
      </vt:variant>
      <vt:variant>
        <vt:lpwstr/>
      </vt:variant>
      <vt:variant>
        <vt:i4>7340066</vt:i4>
      </vt:variant>
      <vt:variant>
        <vt:i4>195</vt:i4>
      </vt:variant>
      <vt:variant>
        <vt:i4>0</vt:i4>
      </vt:variant>
      <vt:variant>
        <vt:i4>5</vt:i4>
      </vt:variant>
      <vt:variant>
        <vt:lpwstr>https://www.legislation.gov.au/Details/C2020A00151</vt:lpwstr>
      </vt:variant>
      <vt:variant>
        <vt:lpwstr/>
      </vt:variant>
      <vt:variant>
        <vt:i4>1703988</vt:i4>
      </vt:variant>
      <vt:variant>
        <vt:i4>188</vt:i4>
      </vt:variant>
      <vt:variant>
        <vt:i4>0</vt:i4>
      </vt:variant>
      <vt:variant>
        <vt:i4>5</vt:i4>
      </vt:variant>
      <vt:variant>
        <vt:lpwstr/>
      </vt:variant>
      <vt:variant>
        <vt:lpwstr>_Toc64465738</vt:lpwstr>
      </vt:variant>
      <vt:variant>
        <vt:i4>1376308</vt:i4>
      </vt:variant>
      <vt:variant>
        <vt:i4>182</vt:i4>
      </vt:variant>
      <vt:variant>
        <vt:i4>0</vt:i4>
      </vt:variant>
      <vt:variant>
        <vt:i4>5</vt:i4>
      </vt:variant>
      <vt:variant>
        <vt:lpwstr/>
      </vt:variant>
      <vt:variant>
        <vt:lpwstr>_Toc64465737</vt:lpwstr>
      </vt:variant>
      <vt:variant>
        <vt:i4>1310772</vt:i4>
      </vt:variant>
      <vt:variant>
        <vt:i4>176</vt:i4>
      </vt:variant>
      <vt:variant>
        <vt:i4>0</vt:i4>
      </vt:variant>
      <vt:variant>
        <vt:i4>5</vt:i4>
      </vt:variant>
      <vt:variant>
        <vt:lpwstr/>
      </vt:variant>
      <vt:variant>
        <vt:lpwstr>_Toc64465736</vt:lpwstr>
      </vt:variant>
      <vt:variant>
        <vt:i4>1507380</vt:i4>
      </vt:variant>
      <vt:variant>
        <vt:i4>170</vt:i4>
      </vt:variant>
      <vt:variant>
        <vt:i4>0</vt:i4>
      </vt:variant>
      <vt:variant>
        <vt:i4>5</vt:i4>
      </vt:variant>
      <vt:variant>
        <vt:lpwstr/>
      </vt:variant>
      <vt:variant>
        <vt:lpwstr>_Toc64465735</vt:lpwstr>
      </vt:variant>
      <vt:variant>
        <vt:i4>1441844</vt:i4>
      </vt:variant>
      <vt:variant>
        <vt:i4>164</vt:i4>
      </vt:variant>
      <vt:variant>
        <vt:i4>0</vt:i4>
      </vt:variant>
      <vt:variant>
        <vt:i4>5</vt:i4>
      </vt:variant>
      <vt:variant>
        <vt:lpwstr/>
      </vt:variant>
      <vt:variant>
        <vt:lpwstr>_Toc64465734</vt:lpwstr>
      </vt:variant>
      <vt:variant>
        <vt:i4>1114164</vt:i4>
      </vt:variant>
      <vt:variant>
        <vt:i4>158</vt:i4>
      </vt:variant>
      <vt:variant>
        <vt:i4>0</vt:i4>
      </vt:variant>
      <vt:variant>
        <vt:i4>5</vt:i4>
      </vt:variant>
      <vt:variant>
        <vt:lpwstr/>
      </vt:variant>
      <vt:variant>
        <vt:lpwstr>_Toc64465733</vt:lpwstr>
      </vt:variant>
      <vt:variant>
        <vt:i4>1048628</vt:i4>
      </vt:variant>
      <vt:variant>
        <vt:i4>152</vt:i4>
      </vt:variant>
      <vt:variant>
        <vt:i4>0</vt:i4>
      </vt:variant>
      <vt:variant>
        <vt:i4>5</vt:i4>
      </vt:variant>
      <vt:variant>
        <vt:lpwstr/>
      </vt:variant>
      <vt:variant>
        <vt:lpwstr>_Toc64465732</vt:lpwstr>
      </vt:variant>
      <vt:variant>
        <vt:i4>1245236</vt:i4>
      </vt:variant>
      <vt:variant>
        <vt:i4>146</vt:i4>
      </vt:variant>
      <vt:variant>
        <vt:i4>0</vt:i4>
      </vt:variant>
      <vt:variant>
        <vt:i4>5</vt:i4>
      </vt:variant>
      <vt:variant>
        <vt:lpwstr/>
      </vt:variant>
      <vt:variant>
        <vt:lpwstr>_Toc64465731</vt:lpwstr>
      </vt:variant>
      <vt:variant>
        <vt:i4>1179700</vt:i4>
      </vt:variant>
      <vt:variant>
        <vt:i4>140</vt:i4>
      </vt:variant>
      <vt:variant>
        <vt:i4>0</vt:i4>
      </vt:variant>
      <vt:variant>
        <vt:i4>5</vt:i4>
      </vt:variant>
      <vt:variant>
        <vt:lpwstr/>
      </vt:variant>
      <vt:variant>
        <vt:lpwstr>_Toc64465730</vt:lpwstr>
      </vt:variant>
      <vt:variant>
        <vt:i4>1769525</vt:i4>
      </vt:variant>
      <vt:variant>
        <vt:i4>134</vt:i4>
      </vt:variant>
      <vt:variant>
        <vt:i4>0</vt:i4>
      </vt:variant>
      <vt:variant>
        <vt:i4>5</vt:i4>
      </vt:variant>
      <vt:variant>
        <vt:lpwstr/>
      </vt:variant>
      <vt:variant>
        <vt:lpwstr>_Toc64465729</vt:lpwstr>
      </vt:variant>
      <vt:variant>
        <vt:i4>1703989</vt:i4>
      </vt:variant>
      <vt:variant>
        <vt:i4>128</vt:i4>
      </vt:variant>
      <vt:variant>
        <vt:i4>0</vt:i4>
      </vt:variant>
      <vt:variant>
        <vt:i4>5</vt:i4>
      </vt:variant>
      <vt:variant>
        <vt:lpwstr/>
      </vt:variant>
      <vt:variant>
        <vt:lpwstr>_Toc64465728</vt:lpwstr>
      </vt:variant>
      <vt:variant>
        <vt:i4>1376309</vt:i4>
      </vt:variant>
      <vt:variant>
        <vt:i4>122</vt:i4>
      </vt:variant>
      <vt:variant>
        <vt:i4>0</vt:i4>
      </vt:variant>
      <vt:variant>
        <vt:i4>5</vt:i4>
      </vt:variant>
      <vt:variant>
        <vt:lpwstr/>
      </vt:variant>
      <vt:variant>
        <vt:lpwstr>_Toc64465727</vt:lpwstr>
      </vt:variant>
      <vt:variant>
        <vt:i4>1310773</vt:i4>
      </vt:variant>
      <vt:variant>
        <vt:i4>116</vt:i4>
      </vt:variant>
      <vt:variant>
        <vt:i4>0</vt:i4>
      </vt:variant>
      <vt:variant>
        <vt:i4>5</vt:i4>
      </vt:variant>
      <vt:variant>
        <vt:lpwstr/>
      </vt:variant>
      <vt:variant>
        <vt:lpwstr>_Toc64465726</vt:lpwstr>
      </vt:variant>
      <vt:variant>
        <vt:i4>1507381</vt:i4>
      </vt:variant>
      <vt:variant>
        <vt:i4>110</vt:i4>
      </vt:variant>
      <vt:variant>
        <vt:i4>0</vt:i4>
      </vt:variant>
      <vt:variant>
        <vt:i4>5</vt:i4>
      </vt:variant>
      <vt:variant>
        <vt:lpwstr/>
      </vt:variant>
      <vt:variant>
        <vt:lpwstr>_Toc64465725</vt:lpwstr>
      </vt:variant>
      <vt:variant>
        <vt:i4>1441845</vt:i4>
      </vt:variant>
      <vt:variant>
        <vt:i4>104</vt:i4>
      </vt:variant>
      <vt:variant>
        <vt:i4>0</vt:i4>
      </vt:variant>
      <vt:variant>
        <vt:i4>5</vt:i4>
      </vt:variant>
      <vt:variant>
        <vt:lpwstr/>
      </vt:variant>
      <vt:variant>
        <vt:lpwstr>_Toc64465724</vt:lpwstr>
      </vt:variant>
      <vt:variant>
        <vt:i4>1114165</vt:i4>
      </vt:variant>
      <vt:variant>
        <vt:i4>98</vt:i4>
      </vt:variant>
      <vt:variant>
        <vt:i4>0</vt:i4>
      </vt:variant>
      <vt:variant>
        <vt:i4>5</vt:i4>
      </vt:variant>
      <vt:variant>
        <vt:lpwstr/>
      </vt:variant>
      <vt:variant>
        <vt:lpwstr>_Toc64465723</vt:lpwstr>
      </vt:variant>
      <vt:variant>
        <vt:i4>1048629</vt:i4>
      </vt:variant>
      <vt:variant>
        <vt:i4>92</vt:i4>
      </vt:variant>
      <vt:variant>
        <vt:i4>0</vt:i4>
      </vt:variant>
      <vt:variant>
        <vt:i4>5</vt:i4>
      </vt:variant>
      <vt:variant>
        <vt:lpwstr/>
      </vt:variant>
      <vt:variant>
        <vt:lpwstr>_Toc64465722</vt:lpwstr>
      </vt:variant>
      <vt:variant>
        <vt:i4>1245237</vt:i4>
      </vt:variant>
      <vt:variant>
        <vt:i4>86</vt:i4>
      </vt:variant>
      <vt:variant>
        <vt:i4>0</vt:i4>
      </vt:variant>
      <vt:variant>
        <vt:i4>5</vt:i4>
      </vt:variant>
      <vt:variant>
        <vt:lpwstr/>
      </vt:variant>
      <vt:variant>
        <vt:lpwstr>_Toc64465721</vt:lpwstr>
      </vt:variant>
      <vt:variant>
        <vt:i4>1179701</vt:i4>
      </vt:variant>
      <vt:variant>
        <vt:i4>80</vt:i4>
      </vt:variant>
      <vt:variant>
        <vt:i4>0</vt:i4>
      </vt:variant>
      <vt:variant>
        <vt:i4>5</vt:i4>
      </vt:variant>
      <vt:variant>
        <vt:lpwstr/>
      </vt:variant>
      <vt:variant>
        <vt:lpwstr>_Toc64465720</vt:lpwstr>
      </vt:variant>
      <vt:variant>
        <vt:i4>1769526</vt:i4>
      </vt:variant>
      <vt:variant>
        <vt:i4>74</vt:i4>
      </vt:variant>
      <vt:variant>
        <vt:i4>0</vt:i4>
      </vt:variant>
      <vt:variant>
        <vt:i4>5</vt:i4>
      </vt:variant>
      <vt:variant>
        <vt:lpwstr/>
      </vt:variant>
      <vt:variant>
        <vt:lpwstr>_Toc64465719</vt:lpwstr>
      </vt:variant>
      <vt:variant>
        <vt:i4>1703990</vt:i4>
      </vt:variant>
      <vt:variant>
        <vt:i4>68</vt:i4>
      </vt:variant>
      <vt:variant>
        <vt:i4>0</vt:i4>
      </vt:variant>
      <vt:variant>
        <vt:i4>5</vt:i4>
      </vt:variant>
      <vt:variant>
        <vt:lpwstr/>
      </vt:variant>
      <vt:variant>
        <vt:lpwstr>_Toc64465718</vt:lpwstr>
      </vt:variant>
      <vt:variant>
        <vt:i4>1376310</vt:i4>
      </vt:variant>
      <vt:variant>
        <vt:i4>62</vt:i4>
      </vt:variant>
      <vt:variant>
        <vt:i4>0</vt:i4>
      </vt:variant>
      <vt:variant>
        <vt:i4>5</vt:i4>
      </vt:variant>
      <vt:variant>
        <vt:lpwstr/>
      </vt:variant>
      <vt:variant>
        <vt:lpwstr>_Toc64465717</vt:lpwstr>
      </vt:variant>
      <vt:variant>
        <vt:i4>1310774</vt:i4>
      </vt:variant>
      <vt:variant>
        <vt:i4>56</vt:i4>
      </vt:variant>
      <vt:variant>
        <vt:i4>0</vt:i4>
      </vt:variant>
      <vt:variant>
        <vt:i4>5</vt:i4>
      </vt:variant>
      <vt:variant>
        <vt:lpwstr/>
      </vt:variant>
      <vt:variant>
        <vt:lpwstr>_Toc64465716</vt:lpwstr>
      </vt:variant>
      <vt:variant>
        <vt:i4>1507382</vt:i4>
      </vt:variant>
      <vt:variant>
        <vt:i4>50</vt:i4>
      </vt:variant>
      <vt:variant>
        <vt:i4>0</vt:i4>
      </vt:variant>
      <vt:variant>
        <vt:i4>5</vt:i4>
      </vt:variant>
      <vt:variant>
        <vt:lpwstr/>
      </vt:variant>
      <vt:variant>
        <vt:lpwstr>_Toc64465715</vt:lpwstr>
      </vt:variant>
      <vt:variant>
        <vt:i4>1441846</vt:i4>
      </vt:variant>
      <vt:variant>
        <vt:i4>44</vt:i4>
      </vt:variant>
      <vt:variant>
        <vt:i4>0</vt:i4>
      </vt:variant>
      <vt:variant>
        <vt:i4>5</vt:i4>
      </vt:variant>
      <vt:variant>
        <vt:lpwstr/>
      </vt:variant>
      <vt:variant>
        <vt:lpwstr>_Toc64465714</vt:lpwstr>
      </vt:variant>
      <vt:variant>
        <vt:i4>1114166</vt:i4>
      </vt:variant>
      <vt:variant>
        <vt:i4>38</vt:i4>
      </vt:variant>
      <vt:variant>
        <vt:i4>0</vt:i4>
      </vt:variant>
      <vt:variant>
        <vt:i4>5</vt:i4>
      </vt:variant>
      <vt:variant>
        <vt:lpwstr/>
      </vt:variant>
      <vt:variant>
        <vt:lpwstr>_Toc64465713</vt:lpwstr>
      </vt:variant>
      <vt:variant>
        <vt:i4>1048630</vt:i4>
      </vt:variant>
      <vt:variant>
        <vt:i4>32</vt:i4>
      </vt:variant>
      <vt:variant>
        <vt:i4>0</vt:i4>
      </vt:variant>
      <vt:variant>
        <vt:i4>5</vt:i4>
      </vt:variant>
      <vt:variant>
        <vt:lpwstr/>
      </vt:variant>
      <vt:variant>
        <vt:lpwstr>_Toc64465712</vt:lpwstr>
      </vt:variant>
      <vt:variant>
        <vt:i4>1245238</vt:i4>
      </vt:variant>
      <vt:variant>
        <vt:i4>26</vt:i4>
      </vt:variant>
      <vt:variant>
        <vt:i4>0</vt:i4>
      </vt:variant>
      <vt:variant>
        <vt:i4>5</vt:i4>
      </vt:variant>
      <vt:variant>
        <vt:lpwstr/>
      </vt:variant>
      <vt:variant>
        <vt:lpwstr>_Toc64465711</vt:lpwstr>
      </vt:variant>
      <vt:variant>
        <vt:i4>1179702</vt:i4>
      </vt:variant>
      <vt:variant>
        <vt:i4>20</vt:i4>
      </vt:variant>
      <vt:variant>
        <vt:i4>0</vt:i4>
      </vt:variant>
      <vt:variant>
        <vt:i4>5</vt:i4>
      </vt:variant>
      <vt:variant>
        <vt:lpwstr/>
      </vt:variant>
      <vt:variant>
        <vt:lpwstr>_Toc64465710</vt:lpwstr>
      </vt:variant>
      <vt:variant>
        <vt:i4>1769527</vt:i4>
      </vt:variant>
      <vt:variant>
        <vt:i4>14</vt:i4>
      </vt:variant>
      <vt:variant>
        <vt:i4>0</vt:i4>
      </vt:variant>
      <vt:variant>
        <vt:i4>5</vt:i4>
      </vt:variant>
      <vt:variant>
        <vt:lpwstr/>
      </vt:variant>
      <vt:variant>
        <vt:lpwstr>_Toc64465709</vt:lpwstr>
      </vt:variant>
      <vt:variant>
        <vt:i4>1703991</vt:i4>
      </vt:variant>
      <vt:variant>
        <vt:i4>8</vt:i4>
      </vt:variant>
      <vt:variant>
        <vt:i4>0</vt:i4>
      </vt:variant>
      <vt:variant>
        <vt:i4>5</vt:i4>
      </vt:variant>
      <vt:variant>
        <vt:lpwstr/>
      </vt:variant>
      <vt:variant>
        <vt:lpwstr>_Toc64465708</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983068</vt:i4>
      </vt:variant>
      <vt:variant>
        <vt:i4>3</vt:i4>
      </vt:variant>
      <vt:variant>
        <vt:i4>0</vt:i4>
      </vt:variant>
      <vt:variant>
        <vt:i4>5</vt:i4>
      </vt:variant>
      <vt:variant>
        <vt:lpwstr>https://www.legislation.gov.au/Series/F2017L00328</vt:lpwstr>
      </vt:variant>
      <vt:variant>
        <vt:lpwstr/>
      </vt:variant>
      <vt:variant>
        <vt:i4>524313</vt:i4>
      </vt:variant>
      <vt:variant>
        <vt:i4>0</vt:i4>
      </vt:variant>
      <vt:variant>
        <vt:i4>0</vt:i4>
      </vt:variant>
      <vt:variant>
        <vt:i4>5</vt:i4>
      </vt:variant>
      <vt:variant>
        <vt:lpwstr>https://www.legislation.gov.au/Series/F2005B02486</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2021-03-05T02:18:00Z</dcterms:created>
  <dcterms:modified xsi:type="dcterms:W3CDTF">2021-03-05T02:18:00Z</dcterms:modified>
  <cp:category/>
</cp:coreProperties>
</file>