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36337A6" w14:textId="77777777" w:rsidR="00784722" w:rsidRDefault="00784722" w:rsidP="00F44B0E">
      <w:pPr>
        <w:pBdr>
          <w:bottom w:val="single" w:sz="4" w:space="1" w:color="BFBFBF" w:themeColor="background1" w:themeShade="BF"/>
        </w:pBdr>
      </w:pPr>
      <w:r>
        <w:rPr>
          <w:noProof/>
        </w:rPr>
        <w:drawing>
          <wp:inline distT="0" distB="0" distL="0" distR="0" wp14:anchorId="2352D302" wp14:editId="3B75B5BD">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svg="http://schemas.microsoft.com/office/drawing/2016/SVG/main" xmlns:dgm="http://schemas.openxmlformats.org/drawingml/2006/diagram" xmlns:ask="http://schemas.microsoft.com/office/drawing/2018/sketchyshapes"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solidFill>
                            <a:srgbClr val="FFFFFF"/>
                          </a:solidFill>
                        </a14:hiddenFill>
                      </a:ext>
                    </a:extLst>
                  </pic:spPr>
                </pic:pic>
              </a:graphicData>
            </a:graphic>
          </wp:inline>
        </w:drawing>
      </w:r>
    </w:p>
    <w:p w14:paraId="405AC9C0" w14:textId="634D81AA" w:rsidR="00F06E14" w:rsidRPr="00A51D1A" w:rsidRDefault="00326696" w:rsidP="00A51D1A">
      <w:pPr>
        <w:pStyle w:val="Reporttitle"/>
      </w:pPr>
      <w:r>
        <w:t>Emerging technologies: Internet of Things and digital twins</w:t>
      </w:r>
    </w:p>
    <w:p w14:paraId="219BC653" w14:textId="7190EC15" w:rsidR="0030687B" w:rsidRDefault="00326696" w:rsidP="00EA135F">
      <w:pPr>
        <w:pStyle w:val="Reportdate"/>
        <w:spacing w:after="200"/>
        <w:rPr>
          <w:caps w:val="0"/>
          <w:spacing w:val="-28"/>
          <w:sz w:val="53"/>
        </w:rPr>
      </w:pPr>
      <w:r>
        <w:rPr>
          <w:caps w:val="0"/>
          <w:spacing w:val="-28"/>
          <w:sz w:val="53"/>
        </w:rPr>
        <w:t>Occasional paper</w:t>
      </w:r>
    </w:p>
    <w:p w14:paraId="2A0D979A" w14:textId="2D3715CF" w:rsidR="00784722" w:rsidRDefault="06EBB605" w:rsidP="00EC2B68">
      <w:pPr>
        <w:pStyle w:val="Reportdate"/>
        <w:spacing w:after="720"/>
      </w:pPr>
      <w:r>
        <w:t>MARCH</w:t>
      </w:r>
      <w:r w:rsidR="00BD4421">
        <w:t xml:space="preserve"> 20</w:t>
      </w:r>
      <w:r w:rsidR="0002275E">
        <w:t>2</w:t>
      </w:r>
      <w:r w:rsidR="00F44B0E">
        <w:t>1</w:t>
      </w:r>
    </w:p>
    <w:p w14:paraId="667DA903"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7DC9CF86" w14:textId="77777777" w:rsidR="0005011A" w:rsidRPr="00F44F3A" w:rsidRDefault="0005011A" w:rsidP="00FC07B9">
      <w:pPr>
        <w:pStyle w:val="ACMACorporateAddressHeader"/>
      </w:pPr>
      <w:r w:rsidRPr="00F44F3A">
        <w:lastRenderedPageBreak/>
        <w:t>Canberra</w:t>
      </w:r>
    </w:p>
    <w:p w14:paraId="422B360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EC559A2" w14:textId="77777777" w:rsidR="0005011A" w:rsidRPr="00FC07B9" w:rsidRDefault="0005011A" w:rsidP="00FC07B9">
      <w:pPr>
        <w:pStyle w:val="ACMACorporateAddresses"/>
      </w:pPr>
      <w:r w:rsidRPr="00FC07B9">
        <w:t>PO Box 78</w:t>
      </w:r>
      <w:r w:rsidRPr="00FC07B9">
        <w:br/>
        <w:t>Belconnen ACT 2616</w:t>
      </w:r>
    </w:p>
    <w:p w14:paraId="440C453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5C80CA6" w14:textId="77777777" w:rsidR="0005011A" w:rsidRPr="00F44F3A" w:rsidRDefault="0005011A" w:rsidP="00FC07B9">
      <w:pPr>
        <w:pStyle w:val="ACMACorporateAddressHeader"/>
      </w:pPr>
      <w:r w:rsidRPr="00F44F3A">
        <w:t>Melbourne</w:t>
      </w:r>
    </w:p>
    <w:p w14:paraId="069A0297"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D621CDE"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7FA4B77"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82DCD66" w14:textId="77777777" w:rsidR="0005011A" w:rsidRPr="00F44F3A" w:rsidRDefault="0005011A" w:rsidP="00FC07B9">
      <w:pPr>
        <w:pStyle w:val="ACMACorporateAddressHeader"/>
      </w:pPr>
      <w:r w:rsidRPr="00F44F3A">
        <w:t>Sydney</w:t>
      </w:r>
    </w:p>
    <w:p w14:paraId="102DB29A"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4296AD4"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3F4194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67AF04B" w14:textId="77777777" w:rsidR="00140318" w:rsidRPr="006D46E5" w:rsidRDefault="00140318" w:rsidP="00FC07B9">
      <w:pPr>
        <w:pStyle w:val="ACMACopyrightHeader"/>
      </w:pPr>
      <w:r w:rsidRPr="00140318">
        <w:t>Copyright notice</w:t>
      </w:r>
    </w:p>
    <w:p w14:paraId="756140DD" w14:textId="77777777" w:rsidR="00140318" w:rsidRPr="006D46E5" w:rsidRDefault="00623FF9" w:rsidP="00623FF9">
      <w:pPr>
        <w:pStyle w:val="ACMACClogo"/>
      </w:pPr>
      <w:r>
        <w:rPr>
          <w:noProof/>
        </w:rPr>
        <w:drawing>
          <wp:inline distT="0" distB="0" distL="0" distR="0" wp14:anchorId="2DC9EE7A" wp14:editId="42934A03">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2F025366" w14:textId="77777777" w:rsidR="00AA2DE5" w:rsidRDefault="000C3035" w:rsidP="00AA2DE5">
      <w:pPr>
        <w:pStyle w:val="ACMACorporateAddresses"/>
        <w:rPr>
          <w:rStyle w:val="Hyperlink"/>
        </w:rPr>
      </w:pPr>
      <w:hyperlink r:id="rId14" w:history="1">
        <w:r w:rsidR="00AA2DE5">
          <w:rPr>
            <w:rStyle w:val="Hyperlink"/>
          </w:rPr>
          <w:t>https://creativecommons.org/licenses/by/4.0/</w:t>
        </w:r>
      </w:hyperlink>
    </w:p>
    <w:p w14:paraId="0746464D"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2E03AE13" w14:textId="77777777" w:rsidR="00AA2DE5" w:rsidRDefault="00AA2DE5" w:rsidP="00AA2DE5">
      <w:pPr>
        <w:pStyle w:val="ACMACorporateAddresses"/>
      </w:pPr>
      <w:r>
        <w:t>We request attribution as © Commonwealth of Australia (Australian Communications and Media Authority) 20</w:t>
      </w:r>
      <w:r w:rsidR="0053036B">
        <w:t>2</w:t>
      </w:r>
      <w:r w:rsidR="00F44B0E">
        <w:t>1</w:t>
      </w:r>
      <w:r>
        <w:t>.</w:t>
      </w:r>
    </w:p>
    <w:p w14:paraId="5E39C7EC" w14:textId="77777777" w:rsidR="00AA2DE5" w:rsidRDefault="00AA2DE5" w:rsidP="00AA2DE5">
      <w:pPr>
        <w:pStyle w:val="ACMACorporateAddresses"/>
      </w:pPr>
      <w:r>
        <w:t>All other rights are reserved.</w:t>
      </w:r>
    </w:p>
    <w:p w14:paraId="69B78B56"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16963F1" w14:textId="77777777" w:rsidR="00AA2DE5" w:rsidRDefault="00AA2DE5" w:rsidP="00AA2DE5">
      <w:pPr>
        <w:pStyle w:val="ACMACorporateAddresses"/>
      </w:pPr>
      <w:r>
        <w:t>Written enquiries may be sent to:</w:t>
      </w:r>
    </w:p>
    <w:p w14:paraId="032BFE81"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49CF4832" w14:textId="77777777" w:rsidR="00D16FE3" w:rsidRDefault="00D16FE3" w:rsidP="00D16FE3">
      <w:pPr>
        <w:pStyle w:val="ACMACorporateAddresses"/>
        <w:rPr>
          <w:rStyle w:val="Hyperlink"/>
        </w:rPr>
      </w:pPr>
    </w:p>
    <w:p w14:paraId="30117BE3"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342890E3" w14:textId="049441C7" w:rsidR="00184AF6"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184AF6">
        <w:t>Executive summary</w:t>
      </w:r>
      <w:r w:rsidR="00184AF6">
        <w:tab/>
      </w:r>
      <w:r w:rsidR="00184AF6">
        <w:fldChar w:fldCharType="begin"/>
      </w:r>
      <w:r w:rsidR="00184AF6">
        <w:instrText xml:space="preserve"> PAGEREF _Toc67489149 \h </w:instrText>
      </w:r>
      <w:r w:rsidR="00184AF6">
        <w:fldChar w:fldCharType="separate"/>
      </w:r>
      <w:r w:rsidR="00184AF6">
        <w:t>1</w:t>
      </w:r>
      <w:r w:rsidR="00184AF6">
        <w:fldChar w:fldCharType="end"/>
      </w:r>
    </w:p>
    <w:p w14:paraId="134B1D39" w14:textId="28652797" w:rsidR="00184AF6" w:rsidRDefault="00184AF6">
      <w:pPr>
        <w:pStyle w:val="TOC2"/>
        <w:rPr>
          <w:rFonts w:asciiTheme="minorHAnsi" w:eastAsiaTheme="minorEastAsia" w:hAnsiTheme="minorHAnsi" w:cstheme="minorBidi"/>
          <w:spacing w:val="0"/>
          <w:sz w:val="22"/>
          <w:szCs w:val="22"/>
        </w:rPr>
      </w:pPr>
      <w:r>
        <w:t>Key points</w:t>
      </w:r>
      <w:r>
        <w:tab/>
      </w:r>
      <w:r>
        <w:fldChar w:fldCharType="begin"/>
      </w:r>
      <w:r>
        <w:instrText xml:space="preserve"> PAGEREF _Toc67489150 \h </w:instrText>
      </w:r>
      <w:r>
        <w:fldChar w:fldCharType="separate"/>
      </w:r>
      <w:r>
        <w:t>1</w:t>
      </w:r>
      <w:r>
        <w:fldChar w:fldCharType="end"/>
      </w:r>
    </w:p>
    <w:p w14:paraId="43ACD57F" w14:textId="3F09B3BD" w:rsidR="00184AF6" w:rsidRDefault="00184AF6">
      <w:pPr>
        <w:pStyle w:val="TOC1"/>
        <w:rPr>
          <w:rFonts w:asciiTheme="minorHAnsi" w:eastAsiaTheme="minorEastAsia" w:hAnsiTheme="minorHAnsi" w:cstheme="minorBidi"/>
          <w:b w:val="0"/>
          <w:spacing w:val="0"/>
          <w:sz w:val="22"/>
          <w:szCs w:val="22"/>
        </w:rPr>
      </w:pPr>
      <w:r>
        <w:t>About the research</w:t>
      </w:r>
      <w:r>
        <w:tab/>
      </w:r>
      <w:r>
        <w:fldChar w:fldCharType="begin"/>
      </w:r>
      <w:r>
        <w:instrText xml:space="preserve"> PAGEREF _Toc67489151 \h </w:instrText>
      </w:r>
      <w:r>
        <w:fldChar w:fldCharType="separate"/>
      </w:r>
      <w:r>
        <w:t>2</w:t>
      </w:r>
      <w:r>
        <w:fldChar w:fldCharType="end"/>
      </w:r>
    </w:p>
    <w:p w14:paraId="58872F0B" w14:textId="0B545C04" w:rsidR="00184AF6" w:rsidRDefault="00184AF6">
      <w:pPr>
        <w:pStyle w:val="TOC2"/>
        <w:rPr>
          <w:rFonts w:asciiTheme="minorHAnsi" w:eastAsiaTheme="minorEastAsia" w:hAnsiTheme="minorHAnsi" w:cstheme="minorBidi"/>
          <w:spacing w:val="0"/>
          <w:sz w:val="22"/>
          <w:szCs w:val="22"/>
        </w:rPr>
      </w:pPr>
      <w:r w:rsidRPr="00FC0468">
        <w:t>researchacma</w:t>
      </w:r>
      <w:r>
        <w:tab/>
      </w:r>
      <w:r>
        <w:fldChar w:fldCharType="begin"/>
      </w:r>
      <w:r>
        <w:instrText xml:space="preserve"> PAGEREF _Toc67489152 \h </w:instrText>
      </w:r>
      <w:r>
        <w:fldChar w:fldCharType="separate"/>
      </w:r>
      <w:r>
        <w:t>2</w:t>
      </w:r>
      <w:r>
        <w:fldChar w:fldCharType="end"/>
      </w:r>
    </w:p>
    <w:p w14:paraId="5524A4E4" w14:textId="1A17FDDC" w:rsidR="00184AF6" w:rsidRDefault="00184AF6">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_Toc67489153 \h </w:instrText>
      </w:r>
      <w:r>
        <w:fldChar w:fldCharType="separate"/>
      </w:r>
      <w:r>
        <w:t>3</w:t>
      </w:r>
      <w:r>
        <w:fldChar w:fldCharType="end"/>
      </w:r>
    </w:p>
    <w:p w14:paraId="79D6AE3E" w14:textId="41A72275" w:rsidR="00184AF6" w:rsidRDefault="00184AF6">
      <w:pPr>
        <w:pStyle w:val="TOC2"/>
        <w:rPr>
          <w:rFonts w:asciiTheme="minorHAnsi" w:eastAsiaTheme="minorEastAsia" w:hAnsiTheme="minorHAnsi" w:cstheme="minorBidi"/>
          <w:spacing w:val="0"/>
          <w:sz w:val="22"/>
          <w:szCs w:val="22"/>
        </w:rPr>
      </w:pPr>
      <w:r>
        <w:t>Purpose</w:t>
      </w:r>
      <w:r>
        <w:tab/>
      </w:r>
      <w:r>
        <w:fldChar w:fldCharType="begin"/>
      </w:r>
      <w:r>
        <w:instrText xml:space="preserve"> PAGEREF _Toc67489154 \h </w:instrText>
      </w:r>
      <w:r>
        <w:fldChar w:fldCharType="separate"/>
      </w:r>
      <w:r>
        <w:t>3</w:t>
      </w:r>
      <w:r>
        <w:fldChar w:fldCharType="end"/>
      </w:r>
    </w:p>
    <w:p w14:paraId="3BE7848C" w14:textId="63F5E26D" w:rsidR="00184AF6" w:rsidRDefault="00184AF6">
      <w:pPr>
        <w:pStyle w:val="TOC2"/>
        <w:rPr>
          <w:rFonts w:asciiTheme="minorHAnsi" w:eastAsiaTheme="minorEastAsia" w:hAnsiTheme="minorHAnsi" w:cstheme="minorBidi"/>
          <w:spacing w:val="0"/>
          <w:sz w:val="22"/>
          <w:szCs w:val="22"/>
        </w:rPr>
      </w:pPr>
      <w:r>
        <w:t>Technology overview</w:t>
      </w:r>
      <w:r>
        <w:tab/>
      </w:r>
      <w:r>
        <w:fldChar w:fldCharType="begin"/>
      </w:r>
      <w:r>
        <w:instrText xml:space="preserve"> PAGEREF _Toc67489155 \h </w:instrText>
      </w:r>
      <w:r>
        <w:fldChar w:fldCharType="separate"/>
      </w:r>
      <w:r>
        <w:t>3</w:t>
      </w:r>
      <w:r>
        <w:fldChar w:fldCharType="end"/>
      </w:r>
    </w:p>
    <w:p w14:paraId="3BD4CACC" w14:textId="0E296F0C" w:rsidR="00184AF6" w:rsidRDefault="00184AF6">
      <w:pPr>
        <w:pStyle w:val="TOC1"/>
        <w:rPr>
          <w:rFonts w:asciiTheme="minorHAnsi" w:eastAsiaTheme="minorEastAsia" w:hAnsiTheme="minorHAnsi" w:cstheme="minorBidi"/>
          <w:b w:val="0"/>
          <w:spacing w:val="0"/>
          <w:sz w:val="22"/>
          <w:szCs w:val="22"/>
        </w:rPr>
      </w:pPr>
      <w:r>
        <w:t>Use cases for regulators</w:t>
      </w:r>
      <w:r>
        <w:tab/>
      </w:r>
      <w:r>
        <w:fldChar w:fldCharType="begin"/>
      </w:r>
      <w:r>
        <w:instrText xml:space="preserve"> PAGEREF _Toc67489156 \h </w:instrText>
      </w:r>
      <w:r>
        <w:fldChar w:fldCharType="separate"/>
      </w:r>
      <w:r>
        <w:t>8</w:t>
      </w:r>
      <w:r>
        <w:fldChar w:fldCharType="end"/>
      </w:r>
    </w:p>
    <w:p w14:paraId="6D74C913" w14:textId="6647B7D4" w:rsidR="00184AF6" w:rsidRDefault="00184AF6">
      <w:pPr>
        <w:pStyle w:val="TOC2"/>
        <w:rPr>
          <w:rFonts w:asciiTheme="minorHAnsi" w:eastAsiaTheme="minorEastAsia" w:hAnsiTheme="minorHAnsi" w:cstheme="minorBidi"/>
          <w:spacing w:val="0"/>
          <w:sz w:val="22"/>
          <w:szCs w:val="22"/>
        </w:rPr>
      </w:pPr>
      <w:r>
        <w:t>Monitoring and issue identification</w:t>
      </w:r>
      <w:r>
        <w:tab/>
      </w:r>
      <w:r>
        <w:fldChar w:fldCharType="begin"/>
      </w:r>
      <w:r>
        <w:instrText xml:space="preserve"> PAGEREF _Toc67489157 \h </w:instrText>
      </w:r>
      <w:r>
        <w:fldChar w:fldCharType="separate"/>
      </w:r>
      <w:r>
        <w:t>9</w:t>
      </w:r>
      <w:r>
        <w:fldChar w:fldCharType="end"/>
      </w:r>
    </w:p>
    <w:p w14:paraId="3452DD5B" w14:textId="38672A7B" w:rsidR="00184AF6" w:rsidRDefault="00184AF6">
      <w:pPr>
        <w:pStyle w:val="TOC3"/>
        <w:rPr>
          <w:rFonts w:asciiTheme="minorHAnsi" w:eastAsiaTheme="minorEastAsia" w:hAnsiTheme="minorHAnsi" w:cstheme="minorBidi"/>
        </w:rPr>
      </w:pPr>
      <w:r>
        <w:t>Radiofrequency monitoring</w:t>
      </w:r>
      <w:r>
        <w:tab/>
      </w:r>
      <w:r>
        <w:fldChar w:fldCharType="begin"/>
      </w:r>
      <w:r>
        <w:instrText xml:space="preserve"> PAGEREF _Toc67489158 \h </w:instrText>
      </w:r>
      <w:r>
        <w:fldChar w:fldCharType="separate"/>
      </w:r>
      <w:r>
        <w:t>9</w:t>
      </w:r>
      <w:r>
        <w:fldChar w:fldCharType="end"/>
      </w:r>
    </w:p>
    <w:p w14:paraId="6A02C4D9" w14:textId="0E45293B" w:rsidR="00184AF6" w:rsidRDefault="00184AF6">
      <w:pPr>
        <w:pStyle w:val="TOC3"/>
        <w:rPr>
          <w:rFonts w:asciiTheme="minorHAnsi" w:eastAsiaTheme="minorEastAsia" w:hAnsiTheme="minorHAnsi" w:cstheme="minorBidi"/>
        </w:rPr>
      </w:pPr>
      <w:r>
        <w:t>Electrosense+</w:t>
      </w:r>
      <w:r>
        <w:tab/>
      </w:r>
      <w:r>
        <w:fldChar w:fldCharType="begin"/>
      </w:r>
      <w:r>
        <w:instrText xml:space="preserve"> PAGEREF _Toc67489159 \h </w:instrText>
      </w:r>
      <w:r>
        <w:fldChar w:fldCharType="separate"/>
      </w:r>
      <w:r>
        <w:t>9</w:t>
      </w:r>
      <w:r>
        <w:fldChar w:fldCharType="end"/>
      </w:r>
    </w:p>
    <w:p w14:paraId="07469C0A" w14:textId="2ADA0A8E" w:rsidR="00184AF6" w:rsidRDefault="00184AF6">
      <w:pPr>
        <w:pStyle w:val="TOC3"/>
        <w:rPr>
          <w:rFonts w:asciiTheme="minorHAnsi" w:eastAsiaTheme="minorEastAsia" w:hAnsiTheme="minorHAnsi" w:cstheme="minorBidi"/>
        </w:rPr>
      </w:pPr>
      <w:r w:rsidRPr="00FC0468">
        <w:rPr>
          <w:iCs/>
        </w:rPr>
        <w:t>Communications infrastructure monitoring and management</w:t>
      </w:r>
      <w:r>
        <w:tab/>
      </w:r>
      <w:r>
        <w:fldChar w:fldCharType="begin"/>
      </w:r>
      <w:r>
        <w:instrText xml:space="preserve"> PAGEREF _Toc67489160 \h </w:instrText>
      </w:r>
      <w:r>
        <w:fldChar w:fldCharType="separate"/>
      </w:r>
      <w:r>
        <w:t>10</w:t>
      </w:r>
      <w:r>
        <w:fldChar w:fldCharType="end"/>
      </w:r>
    </w:p>
    <w:p w14:paraId="3ADCF1FE" w14:textId="5C0C7E3E" w:rsidR="00184AF6" w:rsidRDefault="00184AF6">
      <w:pPr>
        <w:pStyle w:val="TOC2"/>
        <w:rPr>
          <w:rFonts w:asciiTheme="minorHAnsi" w:eastAsiaTheme="minorEastAsia" w:hAnsiTheme="minorHAnsi" w:cstheme="minorBidi"/>
          <w:spacing w:val="0"/>
          <w:sz w:val="22"/>
          <w:szCs w:val="22"/>
        </w:rPr>
      </w:pPr>
      <w:r>
        <w:t>Regulatory design</w:t>
      </w:r>
      <w:r>
        <w:tab/>
      </w:r>
      <w:r>
        <w:fldChar w:fldCharType="begin"/>
      </w:r>
      <w:r>
        <w:instrText xml:space="preserve"> PAGEREF _Toc67489161 \h </w:instrText>
      </w:r>
      <w:r>
        <w:fldChar w:fldCharType="separate"/>
      </w:r>
      <w:r>
        <w:t>11</w:t>
      </w:r>
      <w:r>
        <w:fldChar w:fldCharType="end"/>
      </w:r>
    </w:p>
    <w:p w14:paraId="493C6641" w14:textId="76EBB9FB" w:rsidR="00184AF6" w:rsidRDefault="00184AF6">
      <w:pPr>
        <w:pStyle w:val="TOC3"/>
        <w:rPr>
          <w:rFonts w:asciiTheme="minorHAnsi" w:eastAsiaTheme="minorEastAsia" w:hAnsiTheme="minorHAnsi" w:cstheme="minorBidi"/>
        </w:rPr>
      </w:pPr>
      <w:r>
        <w:t>Informing automated spectrum allocation and frequency assignments</w:t>
      </w:r>
      <w:r>
        <w:tab/>
      </w:r>
      <w:r>
        <w:fldChar w:fldCharType="begin"/>
      </w:r>
      <w:r>
        <w:instrText xml:space="preserve"> PAGEREF _Toc67489162 \h </w:instrText>
      </w:r>
      <w:r>
        <w:fldChar w:fldCharType="separate"/>
      </w:r>
      <w:r>
        <w:t>11</w:t>
      </w:r>
      <w:r>
        <w:fldChar w:fldCharType="end"/>
      </w:r>
    </w:p>
    <w:p w14:paraId="2D2BA24F" w14:textId="419DC3D0" w:rsidR="00184AF6" w:rsidRDefault="00184AF6">
      <w:pPr>
        <w:pStyle w:val="TOC3"/>
        <w:rPr>
          <w:rFonts w:asciiTheme="minorHAnsi" w:eastAsiaTheme="minorEastAsia" w:hAnsiTheme="minorHAnsi" w:cstheme="minorBidi"/>
        </w:rPr>
      </w:pPr>
      <w:r>
        <w:t>Coverage analysis and predictive modelling</w:t>
      </w:r>
      <w:r>
        <w:tab/>
      </w:r>
      <w:r>
        <w:fldChar w:fldCharType="begin"/>
      </w:r>
      <w:r>
        <w:instrText xml:space="preserve"> PAGEREF _Toc67489163 \h </w:instrText>
      </w:r>
      <w:r>
        <w:fldChar w:fldCharType="separate"/>
      </w:r>
      <w:r>
        <w:t>11</w:t>
      </w:r>
      <w:r>
        <w:fldChar w:fldCharType="end"/>
      </w:r>
    </w:p>
    <w:p w14:paraId="7DFE6A3E" w14:textId="7FBFA96D" w:rsidR="00184AF6" w:rsidRDefault="00184AF6">
      <w:pPr>
        <w:pStyle w:val="TOC1"/>
        <w:rPr>
          <w:rFonts w:asciiTheme="minorHAnsi" w:eastAsiaTheme="minorEastAsia" w:hAnsiTheme="minorHAnsi" w:cstheme="minorBidi"/>
          <w:b w:val="0"/>
          <w:spacing w:val="0"/>
          <w:sz w:val="22"/>
          <w:szCs w:val="22"/>
        </w:rPr>
      </w:pPr>
      <w:r>
        <w:t>Challenges</w:t>
      </w:r>
      <w:r>
        <w:tab/>
      </w:r>
      <w:r>
        <w:fldChar w:fldCharType="begin"/>
      </w:r>
      <w:r>
        <w:instrText xml:space="preserve"> PAGEREF _Toc67489164 \h </w:instrText>
      </w:r>
      <w:r>
        <w:fldChar w:fldCharType="separate"/>
      </w:r>
      <w:r>
        <w:t>14</w:t>
      </w:r>
      <w:r>
        <w:fldChar w:fldCharType="end"/>
      </w:r>
    </w:p>
    <w:p w14:paraId="243EB98C" w14:textId="31E19D0D" w:rsidR="00184AF6" w:rsidRDefault="00184AF6">
      <w:pPr>
        <w:pStyle w:val="TOC1"/>
        <w:rPr>
          <w:rFonts w:asciiTheme="minorHAnsi" w:eastAsiaTheme="minorEastAsia" w:hAnsiTheme="minorHAnsi" w:cstheme="minorBidi"/>
          <w:b w:val="0"/>
          <w:spacing w:val="0"/>
          <w:sz w:val="22"/>
          <w:szCs w:val="22"/>
        </w:rPr>
      </w:pPr>
      <w:r>
        <w:t>The future of IoT and digital twins in regulatory practice</w:t>
      </w:r>
      <w:r>
        <w:tab/>
      </w:r>
      <w:r>
        <w:fldChar w:fldCharType="begin"/>
      </w:r>
      <w:r>
        <w:instrText xml:space="preserve"> PAGEREF _Toc67489165 \h </w:instrText>
      </w:r>
      <w:r>
        <w:fldChar w:fldCharType="separate"/>
      </w:r>
      <w:r>
        <w:t>15</w:t>
      </w:r>
      <w:r>
        <w:fldChar w:fldCharType="end"/>
      </w:r>
    </w:p>
    <w:p w14:paraId="1560EE6D" w14:textId="22239322" w:rsidR="00184AF6" w:rsidRDefault="00184AF6">
      <w:pPr>
        <w:pStyle w:val="TOC2"/>
        <w:rPr>
          <w:rFonts w:asciiTheme="minorHAnsi" w:eastAsiaTheme="minorEastAsia" w:hAnsiTheme="minorHAnsi" w:cstheme="minorBidi"/>
          <w:spacing w:val="0"/>
          <w:sz w:val="22"/>
          <w:szCs w:val="22"/>
        </w:rPr>
      </w:pPr>
      <w:r>
        <w:t>Potential IoT/digital twin use cases in the ACMA</w:t>
      </w:r>
      <w:r>
        <w:tab/>
      </w:r>
      <w:r>
        <w:fldChar w:fldCharType="begin"/>
      </w:r>
      <w:r>
        <w:instrText xml:space="preserve"> PAGEREF _Toc67489166 \h </w:instrText>
      </w:r>
      <w:r>
        <w:fldChar w:fldCharType="separate"/>
      </w:r>
      <w:r>
        <w:t>15</w:t>
      </w:r>
      <w:r>
        <w:fldChar w:fldCharType="end"/>
      </w:r>
    </w:p>
    <w:p w14:paraId="42A798C6" w14:textId="15373118" w:rsidR="00184AF6" w:rsidRDefault="00184AF6">
      <w:pPr>
        <w:pStyle w:val="TOC2"/>
        <w:rPr>
          <w:rFonts w:asciiTheme="minorHAnsi" w:eastAsiaTheme="minorEastAsia" w:hAnsiTheme="minorHAnsi" w:cstheme="minorBidi"/>
          <w:spacing w:val="0"/>
          <w:sz w:val="22"/>
          <w:szCs w:val="22"/>
        </w:rPr>
      </w:pPr>
      <w:r>
        <w:t>Next steps</w:t>
      </w:r>
      <w:r>
        <w:tab/>
      </w:r>
      <w:r>
        <w:fldChar w:fldCharType="begin"/>
      </w:r>
      <w:r>
        <w:instrText xml:space="preserve"> PAGEREF _Toc67489167 \h </w:instrText>
      </w:r>
      <w:r>
        <w:fldChar w:fldCharType="separate"/>
      </w:r>
      <w:r>
        <w:t>15</w:t>
      </w:r>
      <w:r>
        <w:fldChar w:fldCharType="end"/>
      </w:r>
    </w:p>
    <w:p w14:paraId="2183B154" w14:textId="329CC137"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5436998A" w14:textId="77777777" w:rsidR="009D6C71" w:rsidRPr="009174F3" w:rsidRDefault="009D6C71" w:rsidP="009174F3">
      <w:pPr>
        <w:pStyle w:val="Execsummaryheading"/>
      </w:pPr>
      <w:bookmarkStart w:id="0" w:name="_Toc67489149"/>
      <w:r w:rsidRPr="009174F3">
        <w:lastRenderedPageBreak/>
        <w:t>Executive summary</w:t>
      </w:r>
      <w:bookmarkEnd w:id="0"/>
    </w:p>
    <w:p w14:paraId="74E0C351" w14:textId="68869490" w:rsidR="00760CA4" w:rsidRDefault="00AE77F2" w:rsidP="000F6723">
      <w:pPr>
        <w:spacing w:before="240" w:line="240" w:lineRule="auto"/>
      </w:pPr>
      <w:bookmarkStart w:id="1" w:name="_Toc59622594"/>
      <w:r>
        <w:rPr>
          <w:rStyle w:val="Emphasis"/>
          <w:i w:val="0"/>
          <w:iCs w:val="0"/>
        </w:rPr>
        <w:t>Technology is advancing at a rapid rate</w:t>
      </w:r>
      <w:r w:rsidR="00FC595B">
        <w:rPr>
          <w:rStyle w:val="Emphasis"/>
          <w:i w:val="0"/>
          <w:iCs w:val="0"/>
        </w:rPr>
        <w:t xml:space="preserve"> </w:t>
      </w:r>
      <w:r w:rsidR="000F6723">
        <w:rPr>
          <w:rStyle w:val="Emphasis"/>
          <w:i w:val="0"/>
          <w:iCs w:val="0"/>
        </w:rPr>
        <w:t>within the</w:t>
      </w:r>
      <w:r w:rsidR="00352014" w:rsidRPr="007F5235">
        <w:t xml:space="preserve"> communications and media environment</w:t>
      </w:r>
      <w:r w:rsidR="00C056BA">
        <w:t>,</w:t>
      </w:r>
      <w:r w:rsidR="00060E5B">
        <w:t xml:space="preserve"> with these</w:t>
      </w:r>
      <w:r w:rsidR="00AC2EAE">
        <w:t xml:space="preserve"> advancements</w:t>
      </w:r>
      <w:r w:rsidR="00060E5B">
        <w:t xml:space="preserve"> </w:t>
      </w:r>
      <w:r w:rsidR="00AC2EAE">
        <w:t xml:space="preserve">providing benefits </w:t>
      </w:r>
      <w:r w:rsidR="00212BD6">
        <w:t xml:space="preserve">and opportunities </w:t>
      </w:r>
      <w:r w:rsidR="00AC2EAE">
        <w:t>for consumers, industry and regulators</w:t>
      </w:r>
      <w:r w:rsidR="00212BD6">
        <w:t xml:space="preserve"> alike</w:t>
      </w:r>
      <w:r w:rsidR="00AC2EAE">
        <w:t>.</w:t>
      </w:r>
      <w:r w:rsidR="006D73C5">
        <w:t xml:space="preserve"> </w:t>
      </w:r>
    </w:p>
    <w:p w14:paraId="1239AB52" w14:textId="5128DC7A" w:rsidR="00F66551" w:rsidRDefault="00C10543" w:rsidP="00F66551">
      <w:pPr>
        <w:spacing w:before="240" w:line="240" w:lineRule="auto"/>
      </w:pPr>
      <w:r>
        <w:t>During 2020</w:t>
      </w:r>
      <w:r w:rsidR="00EA135F">
        <w:t>–</w:t>
      </w:r>
      <w:r>
        <w:t>21, the A</w:t>
      </w:r>
      <w:r w:rsidR="001A5304">
        <w:t xml:space="preserve">ustralian </w:t>
      </w:r>
      <w:r>
        <w:t>C</w:t>
      </w:r>
      <w:r w:rsidR="001A5304">
        <w:t xml:space="preserve">ommunications and </w:t>
      </w:r>
      <w:r>
        <w:t>M</w:t>
      </w:r>
      <w:r w:rsidR="001A5304">
        <w:t xml:space="preserve">edia </w:t>
      </w:r>
      <w:r>
        <w:t>A</w:t>
      </w:r>
      <w:r w:rsidR="001A5304">
        <w:t>uthority (ACMA)</w:t>
      </w:r>
      <w:r>
        <w:t xml:space="preserve"> completed research</w:t>
      </w:r>
      <w:r w:rsidR="006E140A">
        <w:t xml:space="preserve"> </w:t>
      </w:r>
      <w:r>
        <w:t>exploring</w:t>
      </w:r>
      <w:r w:rsidR="006E140A">
        <w:t xml:space="preserve"> how</w:t>
      </w:r>
      <w:r>
        <w:t xml:space="preserve"> emerging technologies </w:t>
      </w:r>
      <w:r w:rsidR="006E140A">
        <w:t>could benefit regulatory decision</w:t>
      </w:r>
      <w:r w:rsidR="00C87AF2">
        <w:t>-</w:t>
      </w:r>
      <w:r w:rsidR="006E140A">
        <w:t>making</w:t>
      </w:r>
      <w:r w:rsidR="009139D5">
        <w:t>,</w:t>
      </w:r>
      <w:r w:rsidR="002436B1">
        <w:t xml:space="preserve"> and what role</w:t>
      </w:r>
      <w:r w:rsidR="00002383">
        <w:t>, if any,</w:t>
      </w:r>
      <w:r w:rsidR="002436B1">
        <w:t xml:space="preserve"> emerging technologies may have for the sectors we regulate </w:t>
      </w:r>
      <w:r w:rsidR="00002383">
        <w:t xml:space="preserve">over the medium to long term. </w:t>
      </w:r>
      <w:r w:rsidR="00002383" w:rsidRPr="00605A0D">
        <w:t xml:space="preserve">This paper </w:t>
      </w:r>
      <w:r w:rsidR="000A7966" w:rsidRPr="00605A0D">
        <w:t>covers Internet of Things (IoT) applications and ‘digital twins’</w:t>
      </w:r>
      <w:r w:rsidR="009139D5">
        <w:t>,</w:t>
      </w:r>
      <w:r w:rsidR="0F426C6F">
        <w:t xml:space="preserve"> which</w:t>
      </w:r>
      <w:r w:rsidR="578D88E9">
        <w:t xml:space="preserve"> </w:t>
      </w:r>
      <w:r w:rsidR="005C5E7B">
        <w:t xml:space="preserve">are </w:t>
      </w:r>
      <w:r w:rsidR="578D88E9">
        <w:t>virtual</w:t>
      </w:r>
      <w:r w:rsidR="0053667A">
        <w:t xml:space="preserve"> representations</w:t>
      </w:r>
      <w:r w:rsidR="578D88E9">
        <w:t xml:space="preserve"> of </w:t>
      </w:r>
      <w:r w:rsidR="0053667A">
        <w:t xml:space="preserve">a physical object </w:t>
      </w:r>
      <w:r w:rsidR="000B3C94">
        <w:t>or system</w:t>
      </w:r>
      <w:r w:rsidR="578D88E9">
        <w:t>.</w:t>
      </w:r>
      <w:r w:rsidRPr="120C93C5">
        <w:rPr>
          <w:rStyle w:val="FootnoteReference"/>
        </w:rPr>
        <w:footnoteReference w:id="2"/>
      </w:r>
      <w:r w:rsidR="578D88E9">
        <w:t xml:space="preserve"> </w:t>
      </w:r>
      <w:r w:rsidR="006202B8">
        <w:t xml:space="preserve">Digital twins </w:t>
      </w:r>
      <w:r w:rsidR="00EA6724">
        <w:t>use</w:t>
      </w:r>
      <w:r w:rsidR="00FB2256">
        <w:t xml:space="preserve"> </w:t>
      </w:r>
      <w:r w:rsidR="00EA6724">
        <w:t>real</w:t>
      </w:r>
      <w:r w:rsidR="00C056BA">
        <w:t>-</w:t>
      </w:r>
      <w:r w:rsidR="00EA6724">
        <w:t>time data</w:t>
      </w:r>
      <w:r w:rsidR="00FB2256">
        <w:t xml:space="preserve"> to connect the real and virtual world. </w:t>
      </w:r>
      <w:r w:rsidR="0F426C6F">
        <w:t>Digital twins are</w:t>
      </w:r>
      <w:r w:rsidR="000A7966" w:rsidRPr="00605A0D">
        <w:t xml:space="preserve"> enabled by IoT systems.</w:t>
      </w:r>
      <w:r w:rsidR="000A7966">
        <w:t xml:space="preserve"> </w:t>
      </w:r>
    </w:p>
    <w:p w14:paraId="1E3E9233" w14:textId="4D67456C" w:rsidR="00C7358B" w:rsidRDefault="003E1B92" w:rsidP="003E1B92">
      <w:pPr>
        <w:spacing w:before="240" w:line="240" w:lineRule="auto"/>
        <w:rPr>
          <w:rStyle w:val="Emphasis"/>
          <w:i w:val="0"/>
          <w:iCs w:val="0"/>
        </w:rPr>
      </w:pPr>
      <w:r w:rsidRPr="003E1B92">
        <w:rPr>
          <w:rStyle w:val="Emphasis"/>
          <w:i w:val="0"/>
          <w:iCs w:val="0"/>
        </w:rPr>
        <w:t xml:space="preserve">This </w:t>
      </w:r>
      <w:r w:rsidR="00012BCA" w:rsidRPr="003E1B92">
        <w:rPr>
          <w:rStyle w:val="Emphasis"/>
          <w:i w:val="0"/>
          <w:iCs w:val="0"/>
        </w:rPr>
        <w:t>p</w:t>
      </w:r>
      <w:r w:rsidR="00012BCA">
        <w:rPr>
          <w:rStyle w:val="Emphasis"/>
          <w:i w:val="0"/>
          <w:iCs w:val="0"/>
        </w:rPr>
        <w:t>ape</w:t>
      </w:r>
      <w:r w:rsidR="00012BCA" w:rsidRPr="003E1B92">
        <w:rPr>
          <w:rStyle w:val="Emphasis"/>
          <w:i w:val="0"/>
          <w:iCs w:val="0"/>
        </w:rPr>
        <w:t xml:space="preserve">r </w:t>
      </w:r>
      <w:r w:rsidRPr="003E1B92">
        <w:rPr>
          <w:rStyle w:val="Emphasis"/>
          <w:i w:val="0"/>
          <w:iCs w:val="0"/>
        </w:rPr>
        <w:t>is a part of a series</w:t>
      </w:r>
      <w:r w:rsidR="00652CF8">
        <w:rPr>
          <w:rStyle w:val="Emphasis"/>
          <w:i w:val="0"/>
          <w:iCs w:val="0"/>
        </w:rPr>
        <w:t xml:space="preserve"> of papers</w:t>
      </w:r>
      <w:r w:rsidRPr="003E1B92">
        <w:rPr>
          <w:rStyle w:val="Emphasis"/>
          <w:i w:val="0"/>
          <w:iCs w:val="0"/>
        </w:rPr>
        <w:t xml:space="preserve"> that aims to build the ACMA’s understanding of emerging technologies that could benefit regulatory decision-making. </w:t>
      </w:r>
    </w:p>
    <w:p w14:paraId="18EC1C00" w14:textId="435AC904" w:rsidR="003E1B92" w:rsidRPr="001B4716" w:rsidRDefault="00CE12FB">
      <w:pPr>
        <w:pStyle w:val="Heading2"/>
        <w:rPr>
          <w:rStyle w:val="Emphasis"/>
          <w:i w:val="0"/>
          <w:iCs/>
        </w:rPr>
      </w:pPr>
      <w:bookmarkStart w:id="2" w:name="_Toc67489150"/>
      <w:r w:rsidRPr="001B4716">
        <w:rPr>
          <w:rStyle w:val="Emphasis"/>
          <w:i w:val="0"/>
          <w:iCs/>
        </w:rPr>
        <w:t>Key points</w:t>
      </w:r>
      <w:bookmarkEnd w:id="2"/>
    </w:p>
    <w:tbl>
      <w:tblPr>
        <w:tblStyle w:val="TableGrid"/>
        <w:tblW w:w="0" w:type="auto"/>
        <w:jc w:val="center"/>
        <w:tblBorders>
          <w:top w:val="none" w:sz="0" w:space="0" w:color="auto"/>
          <w:left w:val="single" w:sz="4" w:space="0" w:color="FFFFFF" w:themeColor="background1"/>
          <w:bottom w:val="none" w:sz="0" w:space="0" w:color="auto"/>
          <w:right w:val="none" w:sz="0" w:space="0" w:color="auto"/>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134"/>
        <w:gridCol w:w="6537"/>
      </w:tblGrid>
      <w:tr w:rsidR="00F53C1F" w:rsidRPr="00080029" w14:paraId="4253E59D" w14:textId="77777777" w:rsidTr="001B4716">
        <w:trPr>
          <w:jc w:val="center"/>
        </w:trPr>
        <w:tc>
          <w:tcPr>
            <w:tcW w:w="1134" w:type="dxa"/>
            <w:shd w:val="clear" w:color="auto" w:fill="00A0A4"/>
          </w:tcPr>
          <w:p w14:paraId="1E306DB9" w14:textId="77777777" w:rsidR="00F53C1F" w:rsidRPr="00642F79" w:rsidRDefault="00F53C1F" w:rsidP="00C7177B">
            <w:pPr>
              <w:spacing w:before="120" w:after="120"/>
              <w:jc w:val="center"/>
              <w:rPr>
                <w:rFonts w:cs="Arial"/>
              </w:rPr>
            </w:pPr>
            <w:r>
              <w:rPr>
                <w:noProof/>
              </w:rPr>
              <w:drawing>
                <wp:inline distT="0" distB="0" distL="0" distR="0" wp14:anchorId="4C935543" wp14:editId="7C479093">
                  <wp:extent cx="450564" cy="450564"/>
                  <wp:effectExtent l="0" t="0" r="6985" b="6985"/>
                  <wp:docPr id="22" name="Graphic 22" descr="Internet Of Things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2"/>
                          <pic:cNvPicPr/>
                        </pic:nvPicPr>
                        <pic:blipFill>
                          <a:blip r:embed="rId25">
                            <a:extLst>
                              <a:ext uri="{96DAC541-7B7A-43D3-8B79-37D633B846F1}">
                                <asvg:svgBlip xmlns:asvg="http://schemas.microsoft.com/office/drawing/2016/SVG/main" r:embed="rId26"/>
                              </a:ext>
                            </a:extLst>
                          </a:blip>
                          <a:stretch>
                            <a:fillRect/>
                          </a:stretch>
                        </pic:blipFill>
                        <pic:spPr>
                          <a:xfrm>
                            <a:off x="0" y="0"/>
                            <a:ext cx="450564" cy="450564"/>
                          </a:xfrm>
                          <a:prstGeom prst="rect">
                            <a:avLst/>
                          </a:prstGeom>
                        </pic:spPr>
                      </pic:pic>
                    </a:graphicData>
                  </a:graphic>
                </wp:inline>
              </w:drawing>
            </w:r>
          </w:p>
        </w:tc>
        <w:tc>
          <w:tcPr>
            <w:tcW w:w="6537" w:type="dxa"/>
            <w:shd w:val="clear" w:color="auto" w:fill="F2F2F2" w:themeFill="background1" w:themeFillShade="F2"/>
          </w:tcPr>
          <w:p w14:paraId="42EE12CC" w14:textId="58B39465" w:rsidR="00F53C1F" w:rsidRPr="001B4716" w:rsidRDefault="00F53C1F" w:rsidP="00C7177B">
            <w:pPr>
              <w:widowControl w:val="0"/>
              <w:spacing w:before="120" w:after="120"/>
              <w:rPr>
                <w:rFonts w:cs="Arial"/>
                <w:szCs w:val="20"/>
              </w:rPr>
            </w:pPr>
            <w:r w:rsidRPr="001B4716">
              <w:rPr>
                <w:rFonts w:cs="Arial"/>
                <w:szCs w:val="20"/>
              </w:rPr>
              <w:t xml:space="preserve">IoT devices are </w:t>
            </w:r>
            <w:r w:rsidR="00FA5CE0" w:rsidRPr="001B4716">
              <w:rPr>
                <w:rFonts w:cs="Arial"/>
                <w:szCs w:val="20"/>
              </w:rPr>
              <w:t>expected</w:t>
            </w:r>
            <w:r w:rsidRPr="001B4716">
              <w:rPr>
                <w:rFonts w:cs="Arial"/>
                <w:szCs w:val="20"/>
              </w:rPr>
              <w:t xml:space="preserve"> to become widespread</w:t>
            </w:r>
            <w:r w:rsidR="00EE5812">
              <w:rPr>
                <w:rFonts w:cs="Arial"/>
                <w:szCs w:val="20"/>
              </w:rPr>
              <w:t>,</w:t>
            </w:r>
            <w:r w:rsidRPr="001B4716">
              <w:rPr>
                <w:rFonts w:cs="Arial"/>
                <w:szCs w:val="20"/>
              </w:rPr>
              <w:t xml:space="preserve"> with the</w:t>
            </w:r>
            <w:r w:rsidR="00C056BA">
              <w:rPr>
                <w:rFonts w:cs="Arial"/>
                <w:szCs w:val="20"/>
              </w:rPr>
              <w:t xml:space="preserve"> </w:t>
            </w:r>
            <w:r w:rsidRPr="001B4716">
              <w:rPr>
                <w:rFonts w:cs="Arial"/>
                <w:szCs w:val="20"/>
              </w:rPr>
              <w:t>5G</w:t>
            </w:r>
            <w:r w:rsidR="00DD4B20" w:rsidRPr="001B4716">
              <w:rPr>
                <w:rFonts w:cs="Arial"/>
                <w:szCs w:val="20"/>
              </w:rPr>
              <w:t xml:space="preserve"> rollout</w:t>
            </w:r>
            <w:r w:rsidRPr="001B4716">
              <w:rPr>
                <w:rFonts w:cs="Arial"/>
                <w:szCs w:val="20"/>
              </w:rPr>
              <w:t xml:space="preserve">, </w:t>
            </w:r>
            <w:r w:rsidR="00EE5812">
              <w:rPr>
                <w:rFonts w:cs="Arial"/>
                <w:szCs w:val="20"/>
              </w:rPr>
              <w:t xml:space="preserve">the </w:t>
            </w:r>
            <w:r w:rsidR="00291E31">
              <w:rPr>
                <w:rFonts w:cs="Arial"/>
                <w:szCs w:val="20"/>
              </w:rPr>
              <w:t>declining</w:t>
            </w:r>
            <w:r w:rsidRPr="001B4716">
              <w:rPr>
                <w:rFonts w:cs="Arial"/>
                <w:szCs w:val="20"/>
              </w:rPr>
              <w:t xml:space="preserve"> cost of sensors</w:t>
            </w:r>
            <w:r w:rsidR="00EE5812">
              <w:rPr>
                <w:rFonts w:cs="Arial"/>
                <w:szCs w:val="20"/>
              </w:rPr>
              <w:t xml:space="preserve"> and </w:t>
            </w:r>
            <w:r w:rsidRPr="001B4716">
              <w:rPr>
                <w:rFonts w:cs="Arial"/>
                <w:szCs w:val="20"/>
              </w:rPr>
              <w:t>advancements in data storage and processing</w:t>
            </w:r>
            <w:r w:rsidR="000823BC">
              <w:rPr>
                <w:rFonts w:cs="Arial"/>
                <w:szCs w:val="20"/>
              </w:rPr>
              <w:t xml:space="preserve"> increasing </w:t>
            </w:r>
            <w:r w:rsidR="00EE5812">
              <w:rPr>
                <w:rFonts w:cs="Arial"/>
                <w:szCs w:val="20"/>
              </w:rPr>
              <w:t xml:space="preserve">their </w:t>
            </w:r>
            <w:r w:rsidR="000823BC">
              <w:rPr>
                <w:rFonts w:cs="Arial"/>
                <w:szCs w:val="20"/>
              </w:rPr>
              <w:t>effectiveness</w:t>
            </w:r>
            <w:r w:rsidRPr="001B4716">
              <w:rPr>
                <w:rFonts w:cs="Arial"/>
                <w:szCs w:val="20"/>
              </w:rPr>
              <w:t xml:space="preserve">. IoT is a key enabler of the development of ‘digital twins’ – real-time, virtual replicas of physical assets, systems or processes. Digital twins can be used across </w:t>
            </w:r>
            <w:r w:rsidR="00940B2F">
              <w:rPr>
                <w:rFonts w:cs="Arial"/>
                <w:szCs w:val="20"/>
              </w:rPr>
              <w:t xml:space="preserve">many </w:t>
            </w:r>
            <w:r w:rsidRPr="001B4716">
              <w:rPr>
                <w:rFonts w:cs="Arial"/>
                <w:szCs w:val="20"/>
              </w:rPr>
              <w:t>industries to monitor assets or environments and simulate different scenarios (reducing the need for physical prototypes or tests).</w:t>
            </w:r>
          </w:p>
        </w:tc>
      </w:tr>
      <w:tr w:rsidR="00F53C1F" w:rsidRPr="00080029" w14:paraId="06439526" w14:textId="77777777" w:rsidTr="001B4716">
        <w:trPr>
          <w:jc w:val="center"/>
        </w:trPr>
        <w:tc>
          <w:tcPr>
            <w:tcW w:w="1134" w:type="dxa"/>
            <w:shd w:val="clear" w:color="auto" w:fill="00A0A4"/>
          </w:tcPr>
          <w:p w14:paraId="279C9925" w14:textId="77777777" w:rsidR="00F53C1F" w:rsidRPr="00642F79" w:rsidRDefault="00F53C1F" w:rsidP="00C7177B">
            <w:pPr>
              <w:spacing w:before="120" w:after="120"/>
              <w:jc w:val="center"/>
              <w:rPr>
                <w:rFonts w:cs="Arial"/>
              </w:rPr>
            </w:pPr>
            <w:r>
              <w:rPr>
                <w:noProof/>
              </w:rPr>
              <w:drawing>
                <wp:inline distT="0" distB="0" distL="0" distR="0" wp14:anchorId="6A9356CA" wp14:editId="4417EAA7">
                  <wp:extent cx="528638" cy="528638"/>
                  <wp:effectExtent l="0" t="0" r="0" b="5080"/>
                  <wp:docPr id="24" name="Graphic 24" descr="Lightbulb and gear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4"/>
                          <pic:cNvPicPr/>
                        </pic:nvPicPr>
                        <pic:blipFill>
                          <a:blip r:embed="rId27">
                            <a:extLst>
                              <a:ext uri="{96DAC541-7B7A-43D3-8B79-37D633B846F1}">
                                <asvg:svgBlip xmlns:asvg="http://schemas.microsoft.com/office/drawing/2016/SVG/main" r:embed="rId28"/>
                              </a:ext>
                            </a:extLst>
                          </a:blip>
                          <a:stretch>
                            <a:fillRect/>
                          </a:stretch>
                        </pic:blipFill>
                        <pic:spPr>
                          <a:xfrm>
                            <a:off x="0" y="0"/>
                            <a:ext cx="528638" cy="528638"/>
                          </a:xfrm>
                          <a:prstGeom prst="rect">
                            <a:avLst/>
                          </a:prstGeom>
                        </pic:spPr>
                      </pic:pic>
                    </a:graphicData>
                  </a:graphic>
                </wp:inline>
              </w:drawing>
            </w:r>
          </w:p>
        </w:tc>
        <w:tc>
          <w:tcPr>
            <w:tcW w:w="6537" w:type="dxa"/>
            <w:shd w:val="clear" w:color="auto" w:fill="F2F2F2" w:themeFill="background1" w:themeFillShade="F2"/>
          </w:tcPr>
          <w:p w14:paraId="3DABE381" w14:textId="6049C707" w:rsidR="00F53C1F" w:rsidRPr="001B4716" w:rsidRDefault="00F53C1F" w:rsidP="00C7177B">
            <w:pPr>
              <w:widowControl w:val="0"/>
              <w:spacing w:before="120" w:after="120"/>
              <w:rPr>
                <w:rFonts w:cs="Arial"/>
                <w:szCs w:val="20"/>
              </w:rPr>
            </w:pPr>
            <w:r w:rsidRPr="001B4716">
              <w:rPr>
                <w:rFonts w:cs="Arial"/>
                <w:szCs w:val="20"/>
              </w:rPr>
              <w:t>Digital twins are in an early phase of being deployed across the public and private sectors. Today’s leading examples of digital twins have been developed to support city and infrastructure planning (</w:t>
            </w:r>
            <w:r w:rsidR="00C87AF2" w:rsidRPr="001B4716">
              <w:rPr>
                <w:rFonts w:cs="Arial"/>
                <w:szCs w:val="20"/>
              </w:rPr>
              <w:t xml:space="preserve">for example, the </w:t>
            </w:r>
            <w:hyperlink r:id="rId29" w:history="1">
              <w:r w:rsidRPr="001B4716">
                <w:rPr>
                  <w:rStyle w:val="Hyperlink"/>
                  <w:rFonts w:cs="Arial"/>
                  <w:szCs w:val="20"/>
                </w:rPr>
                <w:t>NSW Spatial Digital Twin</w:t>
              </w:r>
            </w:hyperlink>
            <w:r w:rsidRPr="001B4716">
              <w:rPr>
                <w:rFonts w:cs="Arial"/>
                <w:szCs w:val="20"/>
              </w:rPr>
              <w:t>) and manufacturing (digital prototyping of products and supply chain analysis). In the telecommunications sector, industry ha</w:t>
            </w:r>
            <w:r w:rsidR="00C87AF2" w:rsidRPr="001B4716">
              <w:rPr>
                <w:rFonts w:cs="Arial"/>
                <w:szCs w:val="20"/>
              </w:rPr>
              <w:t>s</w:t>
            </w:r>
            <w:r w:rsidRPr="001B4716">
              <w:rPr>
                <w:rFonts w:cs="Arial"/>
                <w:szCs w:val="20"/>
              </w:rPr>
              <w:t xml:space="preserve"> tested and utilised digital twins to support network design, </w:t>
            </w:r>
            <w:r w:rsidR="00080029" w:rsidRPr="001B4716">
              <w:rPr>
                <w:rFonts w:cs="Arial"/>
                <w:szCs w:val="20"/>
              </w:rPr>
              <w:t>management</w:t>
            </w:r>
            <w:r w:rsidRPr="001B4716">
              <w:rPr>
                <w:rFonts w:cs="Arial"/>
                <w:szCs w:val="20"/>
              </w:rPr>
              <w:t xml:space="preserve"> and optimisation.</w:t>
            </w:r>
          </w:p>
        </w:tc>
      </w:tr>
      <w:tr w:rsidR="00F53C1F" w:rsidRPr="00080029" w14:paraId="796EDB4D" w14:textId="77777777" w:rsidTr="001B4716">
        <w:trPr>
          <w:jc w:val="center"/>
        </w:trPr>
        <w:tc>
          <w:tcPr>
            <w:tcW w:w="1134" w:type="dxa"/>
            <w:shd w:val="clear" w:color="auto" w:fill="00A0A4"/>
          </w:tcPr>
          <w:p w14:paraId="69BD78A4" w14:textId="77777777" w:rsidR="00F53C1F" w:rsidRPr="00642F79" w:rsidRDefault="00F53C1F" w:rsidP="00C7177B">
            <w:pPr>
              <w:spacing w:before="120" w:after="120"/>
              <w:jc w:val="center"/>
              <w:rPr>
                <w:rFonts w:cs="Arial"/>
              </w:rPr>
            </w:pPr>
            <w:r>
              <w:rPr>
                <w:noProof/>
              </w:rPr>
              <w:drawing>
                <wp:inline distT="0" distB="0" distL="0" distR="0" wp14:anchorId="2379979E" wp14:editId="5E7CE425">
                  <wp:extent cx="498764" cy="498764"/>
                  <wp:effectExtent l="0" t="0" r="0" b="0"/>
                  <wp:docPr id="2" name="Graphic 2" descr="Badge Tick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
                          <pic:cNvPicPr/>
                        </pic:nvPicPr>
                        <pic:blipFill>
                          <a:blip r:embed="rId30">
                            <a:extLst>
                              <a:ext uri="{96DAC541-7B7A-43D3-8B79-37D633B846F1}">
                                <asvg:svgBlip xmlns:asvg="http://schemas.microsoft.com/office/drawing/2016/SVG/main" r:embed="rId31"/>
                              </a:ext>
                            </a:extLst>
                          </a:blip>
                          <a:stretch>
                            <a:fillRect/>
                          </a:stretch>
                        </pic:blipFill>
                        <pic:spPr>
                          <a:xfrm>
                            <a:off x="0" y="0"/>
                            <a:ext cx="498764" cy="498764"/>
                          </a:xfrm>
                          <a:prstGeom prst="rect">
                            <a:avLst/>
                          </a:prstGeom>
                        </pic:spPr>
                      </pic:pic>
                    </a:graphicData>
                  </a:graphic>
                </wp:inline>
              </w:drawing>
            </w:r>
          </w:p>
        </w:tc>
        <w:tc>
          <w:tcPr>
            <w:tcW w:w="6537" w:type="dxa"/>
            <w:shd w:val="clear" w:color="auto" w:fill="F2F2F2" w:themeFill="background1" w:themeFillShade="F2"/>
          </w:tcPr>
          <w:p w14:paraId="24CA215E" w14:textId="61C69635" w:rsidR="00F53C1F" w:rsidRPr="001B4716" w:rsidRDefault="00F53C1F" w:rsidP="00C7177B">
            <w:pPr>
              <w:spacing w:before="120" w:after="120"/>
              <w:rPr>
                <w:rFonts w:cs="Arial"/>
                <w:szCs w:val="20"/>
              </w:rPr>
            </w:pPr>
            <w:r w:rsidRPr="001B4716">
              <w:rPr>
                <w:rFonts w:cs="Arial"/>
                <w:szCs w:val="20"/>
              </w:rPr>
              <w:t xml:space="preserve">In the </w:t>
            </w:r>
            <w:r w:rsidR="00C87AF2" w:rsidRPr="001B4716">
              <w:rPr>
                <w:rFonts w:cs="Arial"/>
                <w:szCs w:val="20"/>
              </w:rPr>
              <w:t xml:space="preserve">short </w:t>
            </w:r>
            <w:r w:rsidRPr="001B4716">
              <w:rPr>
                <w:rFonts w:cs="Arial"/>
                <w:szCs w:val="20"/>
              </w:rPr>
              <w:t>term, digital twins are most likely to benefit regulators with remits relating to the planning and management of built and natural environments, including infrastructure, transport and environmental regulators.</w:t>
            </w:r>
          </w:p>
        </w:tc>
      </w:tr>
      <w:tr w:rsidR="00F53C1F" w:rsidRPr="00080029" w14:paraId="7BA3DCF2" w14:textId="77777777" w:rsidTr="001B4716">
        <w:trPr>
          <w:jc w:val="center"/>
        </w:trPr>
        <w:tc>
          <w:tcPr>
            <w:tcW w:w="1134" w:type="dxa"/>
            <w:shd w:val="clear" w:color="auto" w:fill="00A0A4"/>
          </w:tcPr>
          <w:p w14:paraId="2CE0161B" w14:textId="77777777" w:rsidR="00F53C1F" w:rsidRPr="00642F79" w:rsidRDefault="00F53C1F" w:rsidP="00C7177B">
            <w:pPr>
              <w:spacing w:before="120" w:after="120"/>
              <w:jc w:val="center"/>
              <w:rPr>
                <w:rFonts w:cs="Arial"/>
              </w:rPr>
            </w:pPr>
            <w:r>
              <w:rPr>
                <w:noProof/>
              </w:rPr>
              <w:drawing>
                <wp:inline distT="0" distB="0" distL="0" distR="0" wp14:anchorId="5BC5CCDD" wp14:editId="5D743BE3">
                  <wp:extent cx="433415" cy="433415"/>
                  <wp:effectExtent l="0" t="0" r="0" b="5080"/>
                  <wp:docPr id="31" name="Graphic 31" descr="Cell Tower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31"/>
                          <pic:cNvPicPr/>
                        </pic:nvPicPr>
                        <pic:blipFill>
                          <a:blip r:embed="rId32">
                            <a:extLst>
                              <a:ext uri="{96DAC541-7B7A-43D3-8B79-37D633B846F1}">
                                <asvg:svgBlip xmlns:asvg="http://schemas.microsoft.com/office/drawing/2016/SVG/main" r:embed="rId33"/>
                              </a:ext>
                            </a:extLst>
                          </a:blip>
                          <a:stretch>
                            <a:fillRect/>
                          </a:stretch>
                        </pic:blipFill>
                        <pic:spPr>
                          <a:xfrm>
                            <a:off x="0" y="0"/>
                            <a:ext cx="433415" cy="433415"/>
                          </a:xfrm>
                          <a:prstGeom prst="rect">
                            <a:avLst/>
                          </a:prstGeom>
                        </pic:spPr>
                      </pic:pic>
                    </a:graphicData>
                  </a:graphic>
                </wp:inline>
              </w:drawing>
            </w:r>
          </w:p>
        </w:tc>
        <w:tc>
          <w:tcPr>
            <w:tcW w:w="6537" w:type="dxa"/>
            <w:shd w:val="clear" w:color="auto" w:fill="F2F2F2" w:themeFill="background1" w:themeFillShade="F2"/>
          </w:tcPr>
          <w:p w14:paraId="04B0546F" w14:textId="13C5203B" w:rsidR="00F53C1F" w:rsidRPr="001B4716" w:rsidRDefault="00F53C1F" w:rsidP="00C7177B">
            <w:pPr>
              <w:spacing w:before="120" w:after="120"/>
              <w:rPr>
                <w:rFonts w:cs="Arial"/>
                <w:szCs w:val="20"/>
              </w:rPr>
            </w:pPr>
            <w:r w:rsidRPr="001B4716">
              <w:rPr>
                <w:rFonts w:cs="Arial"/>
                <w:szCs w:val="20"/>
              </w:rPr>
              <w:t>In the future, communications regulators could potentially use IoT to monitor and analyse spectrum data on a large scale.</w:t>
            </w:r>
            <w:r w:rsidR="00FA5CE0" w:rsidRPr="001B4716">
              <w:rPr>
                <w:rFonts w:cs="Arial"/>
                <w:szCs w:val="20"/>
              </w:rPr>
              <w:t xml:space="preserve"> </w:t>
            </w:r>
            <w:r w:rsidR="00A739C6" w:rsidRPr="001B4716">
              <w:rPr>
                <w:rFonts w:cs="Arial"/>
                <w:szCs w:val="20"/>
              </w:rPr>
              <w:t>While the</w:t>
            </w:r>
            <w:r w:rsidRPr="001B4716" w:rsidDel="00A739C6">
              <w:rPr>
                <w:rFonts w:cs="Arial"/>
                <w:szCs w:val="20"/>
              </w:rPr>
              <w:t xml:space="preserve"> </w:t>
            </w:r>
            <w:r w:rsidRPr="001B4716">
              <w:rPr>
                <w:rFonts w:cs="Arial"/>
                <w:szCs w:val="20"/>
              </w:rPr>
              <w:t>use of digital twins by communications regulators is</w:t>
            </w:r>
            <w:r w:rsidR="009978B5" w:rsidRPr="001B4716">
              <w:rPr>
                <w:rFonts w:cs="Arial"/>
                <w:szCs w:val="20"/>
              </w:rPr>
              <w:t xml:space="preserve"> currently</w:t>
            </w:r>
            <w:r w:rsidRPr="001B4716">
              <w:rPr>
                <w:rFonts w:cs="Arial"/>
                <w:szCs w:val="20"/>
              </w:rPr>
              <w:t xml:space="preserve"> hypothetical</w:t>
            </w:r>
            <w:r w:rsidR="00A739C6" w:rsidRPr="001B4716">
              <w:rPr>
                <w:rFonts w:cs="Arial"/>
                <w:szCs w:val="20"/>
              </w:rPr>
              <w:t>, d</w:t>
            </w:r>
            <w:r w:rsidR="005B3935" w:rsidRPr="001B4716">
              <w:rPr>
                <w:rFonts w:cs="Arial"/>
                <w:szCs w:val="20"/>
              </w:rPr>
              <w:t>e</w:t>
            </w:r>
            <w:r w:rsidRPr="001B4716">
              <w:rPr>
                <w:rFonts w:cs="Arial"/>
                <w:szCs w:val="20"/>
              </w:rPr>
              <w:t>velopments in IoT suggest that sophisticated digital twins incorporating data about the radiocommunications environment could be feasible in the long term. This type of twin would perform similar functions to current geographic information systems (GIS) though incorporat</w:t>
            </w:r>
            <w:r w:rsidR="008F41C6" w:rsidRPr="001B4716">
              <w:rPr>
                <w:rFonts w:cs="Arial"/>
                <w:szCs w:val="20"/>
              </w:rPr>
              <w:t>ing</w:t>
            </w:r>
            <w:r w:rsidRPr="001B4716">
              <w:rPr>
                <w:rFonts w:cs="Arial"/>
                <w:szCs w:val="20"/>
              </w:rPr>
              <w:t xml:space="preserve"> live data</w:t>
            </w:r>
            <w:r w:rsidR="00F12245">
              <w:rPr>
                <w:rFonts w:cs="Arial"/>
                <w:szCs w:val="20"/>
              </w:rPr>
              <w:t xml:space="preserve"> in real time</w:t>
            </w:r>
            <w:r w:rsidRPr="001B4716">
              <w:rPr>
                <w:rFonts w:cs="Arial"/>
                <w:szCs w:val="20"/>
              </w:rPr>
              <w:t xml:space="preserve">. </w:t>
            </w:r>
          </w:p>
        </w:tc>
      </w:tr>
    </w:tbl>
    <w:p w14:paraId="73B6DF91" w14:textId="77777777" w:rsidR="00784722" w:rsidRDefault="00784722" w:rsidP="00784722">
      <w:pPr>
        <w:pStyle w:val="Heading1"/>
      </w:pPr>
      <w:bookmarkStart w:id="3" w:name="_Toc285789710"/>
      <w:bookmarkStart w:id="4" w:name="_Toc285791789"/>
      <w:bookmarkStart w:id="5" w:name="_Toc286994473"/>
      <w:bookmarkStart w:id="6" w:name="_Toc67489151"/>
      <w:bookmarkEnd w:id="1"/>
      <w:r>
        <w:lastRenderedPageBreak/>
        <w:t xml:space="preserve">About the </w:t>
      </w:r>
      <w:r w:rsidRPr="00784722">
        <w:t>research</w:t>
      </w:r>
      <w:bookmarkEnd w:id="3"/>
      <w:bookmarkEnd w:id="4"/>
      <w:bookmarkEnd w:id="5"/>
      <w:bookmarkEnd w:id="6"/>
    </w:p>
    <w:p w14:paraId="2651411F" w14:textId="77777777" w:rsidR="00063FF2" w:rsidRDefault="00063FF2" w:rsidP="00063FF2">
      <w:pPr>
        <w:pStyle w:val="Heading2"/>
      </w:pPr>
      <w:bookmarkStart w:id="7" w:name="_Toc21531459"/>
      <w:bookmarkStart w:id="8" w:name="_Toc25927377"/>
      <w:bookmarkStart w:id="9" w:name="_Toc63944607"/>
      <w:bookmarkStart w:id="10" w:name="_Toc67489152"/>
      <w:r>
        <w:rPr>
          <w:b w:val="0"/>
        </w:rPr>
        <w:t>research</w:t>
      </w:r>
      <w:r>
        <w:rPr>
          <w:b w:val="0"/>
          <w:bCs w:val="0"/>
        </w:rPr>
        <w:t>acma</w:t>
      </w:r>
      <w:bookmarkEnd w:id="7"/>
      <w:bookmarkEnd w:id="8"/>
      <w:bookmarkEnd w:id="9"/>
      <w:bookmarkEnd w:id="10"/>
    </w:p>
    <w:p w14:paraId="163C1536" w14:textId="21131F1A" w:rsidR="00063FF2" w:rsidRDefault="00063FF2" w:rsidP="00D77CE5">
      <w:pPr>
        <w:spacing w:after="120"/>
      </w:pPr>
      <w:r>
        <w:t xml:space="preserve">Our </w:t>
      </w:r>
      <w:hyperlink r:id="rId34">
        <w:r w:rsidRPr="3E9BEAF0">
          <w:rPr>
            <w:rStyle w:val="Hyperlink"/>
          </w:rPr>
          <w:t>research program</w:t>
        </w:r>
      </w:hyperlink>
      <w:r w:rsidR="0059604C">
        <w:t xml:space="preserve"> – </w:t>
      </w:r>
      <w:r>
        <w:t>researchacma</w:t>
      </w:r>
      <w:r w:rsidR="0059604C">
        <w:t xml:space="preserve"> –</w:t>
      </w:r>
      <w:r w:rsidR="0059604C">
        <w:rPr>
          <w:bCs/>
        </w:rPr>
        <w:t xml:space="preserve"> </w:t>
      </w:r>
      <w:r>
        <w:t xml:space="preserve">underpins our work and decisions as an evidence-informed regulator. It contributes to our strategic </w:t>
      </w:r>
      <w:r w:rsidR="008113A8">
        <w:t>regulatory thinking</w:t>
      </w:r>
      <w:r>
        <w:t xml:space="preserve">, and </w:t>
      </w:r>
      <w:r w:rsidR="00305148">
        <w:t xml:space="preserve">supports </w:t>
      </w:r>
      <w:r>
        <w:t xml:space="preserve">a </w:t>
      </w:r>
      <w:r w:rsidR="00305148">
        <w:t xml:space="preserve">future </w:t>
      </w:r>
      <w:r>
        <w:t>regulatory framework that anticipates change in dynamic communications and media markets.</w:t>
      </w:r>
      <w:r w:rsidR="00AA60AB">
        <w:t xml:space="preserve"> The program also seeks to inform internal and external stakeholders on any developments that may influence our regulatory practice into the future.</w:t>
      </w:r>
    </w:p>
    <w:p w14:paraId="2989243F" w14:textId="1E11178F" w:rsidR="008113A8" w:rsidRDefault="008113A8" w:rsidP="008113A8">
      <w:pPr>
        <w:pStyle w:val="Paragraph"/>
      </w:pPr>
      <w:r>
        <w:t>This paper explores IoT and digital twins</w:t>
      </w:r>
      <w:r w:rsidR="00D77CE5">
        <w:t>,</w:t>
      </w:r>
      <w:r>
        <w:t xml:space="preserve"> and builds on previous research exploring IoT in media and communications published in </w:t>
      </w:r>
      <w:hyperlink r:id="rId35" w:history="1">
        <w:r w:rsidRPr="00025610">
          <w:rPr>
            <w:rStyle w:val="Hyperlink"/>
          </w:rPr>
          <w:t>2015</w:t>
        </w:r>
      </w:hyperlink>
      <w:r>
        <w:t xml:space="preserve"> and </w:t>
      </w:r>
      <w:hyperlink r:id="rId36" w:history="1">
        <w:r w:rsidRPr="00A015AE">
          <w:rPr>
            <w:rStyle w:val="Hyperlink"/>
          </w:rPr>
          <w:t>2020</w:t>
        </w:r>
      </w:hyperlink>
      <w:r>
        <w:t>.</w:t>
      </w:r>
    </w:p>
    <w:p w14:paraId="15028848" w14:textId="10C18066" w:rsidR="008654E9" w:rsidRDefault="008654E9" w:rsidP="008654E9">
      <w:pPr>
        <w:spacing w:after="120"/>
      </w:pPr>
      <w:r>
        <w:t>The research has been developed as an occasional paper and was informed by desktop studies and targeted consultations with a range of stakeholders</w:t>
      </w:r>
      <w:r w:rsidR="00D77CE5">
        <w:t>,</w:t>
      </w:r>
      <w:r>
        <w:t xml:space="preserve"> including domestic and international government agencies. The ACMA would like to thank all of those who contributed to the paper.</w:t>
      </w:r>
    </w:p>
    <w:p w14:paraId="42B4B4CE" w14:textId="24F3E947" w:rsidR="008113A8" w:rsidRDefault="008113A8" w:rsidP="00063FF2">
      <w:pPr>
        <w:spacing w:after="120"/>
      </w:pPr>
    </w:p>
    <w:p w14:paraId="472E71C3" w14:textId="5C05DAB5" w:rsidR="005E250B" w:rsidRDefault="0030687B" w:rsidP="00B5704C">
      <w:pPr>
        <w:pStyle w:val="Heading1"/>
        <w:spacing w:before="240"/>
        <w:rPr>
          <w:b/>
          <w:sz w:val="28"/>
          <w:szCs w:val="28"/>
        </w:rPr>
      </w:pPr>
      <w:bookmarkStart w:id="11" w:name="_Toc67489153"/>
      <w:r>
        <w:lastRenderedPageBreak/>
        <w:t>Introduction</w:t>
      </w:r>
      <w:bookmarkEnd w:id="11"/>
      <w:r>
        <w:t xml:space="preserve"> </w:t>
      </w:r>
    </w:p>
    <w:p w14:paraId="12F8D7A7" w14:textId="34DE70EA" w:rsidR="00927B02" w:rsidRPr="00C96D91" w:rsidRDefault="00927B02" w:rsidP="00642F79">
      <w:pPr>
        <w:pStyle w:val="Heading2"/>
      </w:pPr>
      <w:bookmarkStart w:id="12" w:name="_Toc67489154"/>
      <w:r>
        <w:t>Purpose</w:t>
      </w:r>
      <w:bookmarkEnd w:id="12"/>
      <w:r>
        <w:t xml:space="preserve"> </w:t>
      </w:r>
    </w:p>
    <w:p w14:paraId="2A687F6C" w14:textId="4E727233" w:rsidR="003E26C8" w:rsidRDefault="003E26C8" w:rsidP="003E26C8">
      <w:r>
        <w:t>The ACMA has conducted research on</w:t>
      </w:r>
      <w:r w:rsidR="001F2A67">
        <w:t xml:space="preserve"> IoT and </w:t>
      </w:r>
      <w:r w:rsidR="0059604C">
        <w:t>d</w:t>
      </w:r>
      <w:r w:rsidR="001F2A67">
        <w:t xml:space="preserve">igital </w:t>
      </w:r>
      <w:r w:rsidR="0059604C">
        <w:t>t</w:t>
      </w:r>
      <w:r w:rsidR="001F2A67">
        <w:t>wins</w:t>
      </w:r>
      <w:r>
        <w:t xml:space="preserve"> to </w:t>
      </w:r>
      <w:r w:rsidR="00927B02">
        <w:t xml:space="preserve">help build </w:t>
      </w:r>
      <w:r w:rsidR="008F41C6">
        <w:t xml:space="preserve">our </w:t>
      </w:r>
      <w:r w:rsidR="00927B02">
        <w:t xml:space="preserve">understanding of </w:t>
      </w:r>
      <w:r>
        <w:t>potential opportunities</w:t>
      </w:r>
      <w:r w:rsidR="005746A1">
        <w:t xml:space="preserve"> that IoT and digital twins might have </w:t>
      </w:r>
      <w:r w:rsidR="001C6424">
        <w:t>for the communications and media environment</w:t>
      </w:r>
      <w:r w:rsidR="0009361D">
        <w:t xml:space="preserve">. In particular, we have explored </w:t>
      </w:r>
      <w:r w:rsidR="00927B02" w:rsidRPr="00DA08AA">
        <w:t>whether</w:t>
      </w:r>
      <w:r w:rsidR="00F67E51">
        <w:t>,</w:t>
      </w:r>
      <w:r w:rsidR="00927B02">
        <w:t xml:space="preserve"> and </w:t>
      </w:r>
      <w:r w:rsidR="00927B02" w:rsidRPr="00DA08AA">
        <w:t>how</w:t>
      </w:r>
      <w:r w:rsidR="00F67E51">
        <w:t>,</w:t>
      </w:r>
      <w:r w:rsidR="00927B02" w:rsidRPr="00DA08AA">
        <w:t xml:space="preserve"> these </w:t>
      </w:r>
      <w:r w:rsidR="00927B02">
        <w:t xml:space="preserve">technologies </w:t>
      </w:r>
      <w:r w:rsidR="00927B02" w:rsidRPr="00DA08AA">
        <w:t>can benefit regulatory decision-making in the medium to long term.</w:t>
      </w:r>
    </w:p>
    <w:p w14:paraId="616EC7B4" w14:textId="410FD451" w:rsidR="009E6359" w:rsidRDefault="00710553" w:rsidP="008E070F">
      <w:pPr>
        <w:pStyle w:val="Paragraph"/>
        <w:rPr>
          <w:b/>
          <w:bCs/>
          <w:iCs/>
        </w:rPr>
      </w:pPr>
      <w:r>
        <w:t>A</w:t>
      </w:r>
      <w:r w:rsidR="0022487C">
        <w:t xml:space="preserve">s </w:t>
      </w:r>
      <w:r w:rsidR="003E1B92">
        <w:t>IoT devices and services are anticipated to become more widespread over the coming years, greater monitoring and real-time analysis of assets and environments</w:t>
      </w:r>
      <w:r w:rsidR="00447338">
        <w:t>, it is timely for the ACMA to consider the impacts on the industries that we regulate</w:t>
      </w:r>
      <w:r w:rsidR="0022487C">
        <w:t xml:space="preserve">. </w:t>
      </w:r>
    </w:p>
    <w:p w14:paraId="5CAE315D" w14:textId="6DCE91EC" w:rsidR="008E070F" w:rsidRDefault="008E070F" w:rsidP="00642F79">
      <w:pPr>
        <w:pStyle w:val="Heading2"/>
      </w:pPr>
      <w:bookmarkStart w:id="13" w:name="_Toc67489155"/>
      <w:bookmarkStart w:id="14" w:name="_Hlk26868934"/>
      <w:bookmarkStart w:id="15" w:name="_Hlk26868779"/>
      <w:r>
        <w:t>Technology overview</w:t>
      </w:r>
      <w:bookmarkEnd w:id="13"/>
    </w:p>
    <w:p w14:paraId="162E98A2" w14:textId="77777777" w:rsidR="0022487C" w:rsidRDefault="0022487C" w:rsidP="0022487C">
      <w:pPr>
        <w:pStyle w:val="Paragraph"/>
      </w:pPr>
      <w:r>
        <w:t>The Internet of Things (‘IoT’) generally refers to the multiple wireless and wired interconnections between personal, consumer and industrial devices which exchange data over the internet.</w:t>
      </w:r>
      <w:r>
        <w:rPr>
          <w:rStyle w:val="FootnoteReference"/>
        </w:rPr>
        <w:footnoteReference w:id="3"/>
      </w:r>
      <w:r>
        <w:t xml:space="preserve"> </w:t>
      </w:r>
    </w:p>
    <w:p w14:paraId="14A24A75" w14:textId="1750F175" w:rsidR="0022487C" w:rsidRDefault="0022487C" w:rsidP="0022487C">
      <w:pPr>
        <w:pStyle w:val="Paragraph"/>
      </w:pPr>
      <w:r w:rsidRPr="00BB7D57">
        <w:t>A culmination of technology and market trends are driving the growth of the market for IoT devices and services. Sensors</w:t>
      </w:r>
      <w:r w:rsidRPr="00BB7D57">
        <w:rPr>
          <w:rStyle w:val="FootnoteReference"/>
        </w:rPr>
        <w:footnoteReference w:id="4"/>
      </w:r>
      <w:r w:rsidRPr="00BB7D57">
        <w:t xml:space="preserve"> are becoming smaller, more accurate and cheaper.</w:t>
      </w:r>
      <w:r w:rsidRPr="00BB7D57">
        <w:rPr>
          <w:rStyle w:val="FootnoteReference"/>
        </w:rPr>
        <w:footnoteReference w:id="5"/>
      </w:r>
      <w:r w:rsidRPr="00BB7D57">
        <w:t xml:space="preserve"> </w:t>
      </w:r>
      <w:r w:rsidRPr="001F5F80">
        <w:t xml:space="preserve">The cost of sensors is anticipated to continue </w:t>
      </w:r>
      <w:r w:rsidR="00053BC9">
        <w:t xml:space="preserve">to </w:t>
      </w:r>
      <w:r w:rsidRPr="001F5F80">
        <w:t xml:space="preserve">fall due to increased production volumes and </w:t>
      </w:r>
      <w:r w:rsidR="00053BC9">
        <w:t xml:space="preserve">greater </w:t>
      </w:r>
      <w:r w:rsidRPr="001F5F80">
        <w:t xml:space="preserve">demand for </w:t>
      </w:r>
      <w:r w:rsidRPr="00BB7D57">
        <w:t>IoT devices alongside the rollout of 5G connectivity.</w:t>
      </w:r>
      <w:r w:rsidRPr="00BB7D57">
        <w:rPr>
          <w:rStyle w:val="FootnoteReference"/>
        </w:rPr>
        <w:footnoteReference w:id="6"/>
      </w:r>
      <w:r w:rsidRPr="00BB7D57">
        <w:t xml:space="preserve"> At the same time, the promise of Io</w:t>
      </w:r>
      <w:r w:rsidRPr="001F5F80">
        <w:t>T commercialisation is driving research into new chip architecture that can enable data transmission at higher bandwidths.</w:t>
      </w:r>
      <w:r w:rsidRPr="00BB7D57">
        <w:rPr>
          <w:rStyle w:val="FootnoteReference"/>
        </w:rPr>
        <w:footnoteReference w:id="7"/>
      </w:r>
      <w:r w:rsidRPr="00BB7D57">
        <w:t xml:space="preserve"> Increasing availability of inexpensive computing power and storage</w:t>
      </w:r>
      <w:r w:rsidR="00144DB0">
        <w:t xml:space="preserve"> –</w:t>
      </w:r>
      <w:r w:rsidRPr="00BB7D57">
        <w:t xml:space="preserve"> and advancements in artificial intelligence (AI)</w:t>
      </w:r>
      <w:r w:rsidR="00144DB0">
        <w:t xml:space="preserve"> –</w:t>
      </w:r>
      <w:r w:rsidRPr="00BB7D57">
        <w:t xml:space="preserve"> are supporting the development and use of increasingly sophisticated, ‘smart’ IoT devices and services.</w:t>
      </w:r>
      <w:r>
        <w:t xml:space="preserve">  </w:t>
      </w:r>
    </w:p>
    <w:p w14:paraId="618A419F" w14:textId="1C0900B2" w:rsidR="0022487C" w:rsidRPr="00642F79" w:rsidRDefault="0022487C" w:rsidP="00D77CE5">
      <w:pPr>
        <w:pStyle w:val="Paragraph"/>
        <w:rPr>
          <w:iCs/>
          <w:szCs w:val="16"/>
        </w:rPr>
      </w:pPr>
      <w:r>
        <w:t xml:space="preserve">IoT devices have wide-ranging applications. This includes consumer electronics such as smart watches and televisions. With increased 5G connectivity, it is expected that there will be greater use of IoT in industrial settings, such as in asset tracking, autonomous vehicles, smart utilities management and autonomous mobile robots for factory and warehouse operations. IoT can </w:t>
      </w:r>
      <w:r w:rsidR="0009361D">
        <w:t xml:space="preserve">also </w:t>
      </w:r>
      <w:r>
        <w:t>enable ‘smart cities’, where data about how a city operates is collated and analysed to improve daily operations and citizens’ experience (such as by optimising transport, monitoring the health of infrastructure, environmental monitoring and energy management).</w:t>
      </w:r>
      <w:r w:rsidR="0009361D">
        <w:t xml:space="preserve"> </w:t>
      </w:r>
    </w:p>
    <w:p w14:paraId="0D623486" w14:textId="5F12711D" w:rsidR="0022487C" w:rsidRDefault="0022487C" w:rsidP="0022487C">
      <w:pPr>
        <w:pStyle w:val="Paragraph"/>
      </w:pPr>
      <w:r>
        <w:t xml:space="preserve">IoT is central to a new application type in the technology landscape – </w:t>
      </w:r>
      <w:r w:rsidRPr="003820B4">
        <w:t>‘</w:t>
      </w:r>
      <w:r w:rsidRPr="001B4716">
        <w:t>digital twins</w:t>
      </w:r>
      <w:r w:rsidRPr="003820B4">
        <w:t>’</w:t>
      </w:r>
      <w:r>
        <w:t xml:space="preserve">. </w:t>
      </w:r>
    </w:p>
    <w:p w14:paraId="0B85BB5F" w14:textId="6AF128D1" w:rsidR="0022487C" w:rsidRDefault="0022487C" w:rsidP="001B4716">
      <w:pPr>
        <w:pStyle w:val="Paragraph"/>
        <w:spacing w:after="80"/>
      </w:pPr>
      <w:r>
        <w:t xml:space="preserve">A digital twin is a dynamic, digital simulation of physical assets, systems, or processes. Digital twins incorporate a range of advanced technologies, including machine learning and augmented or virtual reality, to visualise the asset or environment it replicates. The key differentiator between a digital twin and other mapping or modelling applications is that a digital twin incorporates real-world, live data (gathered via IoT </w:t>
      </w:r>
      <w:r>
        <w:lastRenderedPageBreak/>
        <w:t>devices) with more advanced twins</w:t>
      </w:r>
      <w:r w:rsidR="003820B4">
        <w:t>,</w:t>
      </w:r>
      <w:r>
        <w:t xml:space="preserve"> enabling remote control of connected physical objects.</w:t>
      </w:r>
      <w:r>
        <w:rPr>
          <w:rStyle w:val="FootnoteReference"/>
        </w:rPr>
        <w:footnoteReference w:id="8"/>
      </w:r>
      <w:r>
        <w:t xml:space="preserve"> The main capabilities of digital twins are:</w:t>
      </w:r>
      <w:r>
        <w:rPr>
          <w:rStyle w:val="FootnoteReference"/>
        </w:rPr>
        <w:footnoteReference w:id="9"/>
      </w:r>
    </w:p>
    <w:p w14:paraId="2471D1F4" w14:textId="687CF2A1" w:rsidR="0022487C" w:rsidRDefault="005F4E83" w:rsidP="001B4716">
      <w:pPr>
        <w:pStyle w:val="Bulletlevel1"/>
      </w:pPr>
      <w:r>
        <w:t>r</w:t>
      </w:r>
      <w:r w:rsidR="0022487C">
        <w:t>eal-time monitoring of an asset, system or environment</w:t>
      </w:r>
      <w:r w:rsidR="003820B4">
        <w:t xml:space="preserve"> </w:t>
      </w:r>
    </w:p>
    <w:p w14:paraId="3D903816" w14:textId="7E312BB2" w:rsidR="0022487C" w:rsidRDefault="005F4E83" w:rsidP="001B4716">
      <w:pPr>
        <w:pStyle w:val="Bulletlevel1"/>
      </w:pPr>
      <w:r>
        <w:t>s</w:t>
      </w:r>
      <w:r w:rsidR="0022487C">
        <w:t>imulation of different scenarios (‘what if’ testing)</w:t>
      </w:r>
    </w:p>
    <w:p w14:paraId="60C4718B" w14:textId="4365174B" w:rsidR="0022487C" w:rsidRDefault="005F4E83" w:rsidP="001B4716">
      <w:pPr>
        <w:pStyle w:val="Bulletlevel1"/>
        <w:spacing w:after="240"/>
      </w:pPr>
      <w:r>
        <w:t>r</w:t>
      </w:r>
      <w:r w:rsidR="0022487C">
        <w:t xml:space="preserve">emote operations – some more advanced digital twins enable remote control of the connected assets or systems </w:t>
      </w:r>
      <w:r w:rsidR="003820B4">
        <w:t xml:space="preserve">being </w:t>
      </w:r>
      <w:r w:rsidR="0022487C">
        <w:t>replicate</w:t>
      </w:r>
      <w:r w:rsidR="003820B4">
        <w:t>d</w:t>
      </w:r>
      <w:r w:rsidR="0022487C">
        <w:t>.</w:t>
      </w:r>
    </w:p>
    <w:p w14:paraId="6831B7AA" w14:textId="788038F2" w:rsidR="0022487C" w:rsidRDefault="00E35F69" w:rsidP="0022487C">
      <w:pPr>
        <w:pStyle w:val="Paragraph"/>
        <w:ind w:left="66"/>
      </w:pPr>
      <w:r>
        <w:t xml:space="preserve">An example of a </w:t>
      </w:r>
      <w:r w:rsidR="00FD7482">
        <w:t xml:space="preserve">spatially enabled </w:t>
      </w:r>
      <w:r>
        <w:t xml:space="preserve">digital twin is illustrated in </w:t>
      </w:r>
      <w:r w:rsidR="003820B4">
        <w:t>F</w:t>
      </w:r>
      <w:r>
        <w:t xml:space="preserve">igure </w:t>
      </w:r>
      <w:r w:rsidR="00F55249">
        <w:t>1</w:t>
      </w:r>
      <w:r>
        <w:t xml:space="preserve"> below. </w:t>
      </w:r>
    </w:p>
    <w:p w14:paraId="4D646D83" w14:textId="20CA22D1" w:rsidR="0022487C" w:rsidRDefault="0022487C" w:rsidP="0022487C">
      <w:pPr>
        <w:pStyle w:val="Paragraph"/>
        <w:ind w:left="66"/>
      </w:pPr>
    </w:p>
    <w:p w14:paraId="3F3769A7" w14:textId="3094EB82" w:rsidR="0022487C" w:rsidRDefault="00DB2325">
      <w:pPr>
        <w:pStyle w:val="Figureheading"/>
      </w:pPr>
      <w:r>
        <w:t>Spatially enabled digital twins</w:t>
      </w:r>
      <w:r w:rsidR="0022487C">
        <w:rPr>
          <w:rStyle w:val="FootnoteReference"/>
          <w:sz w:val="18"/>
          <w:szCs w:val="18"/>
        </w:rPr>
        <w:footnoteReference w:id="10"/>
      </w:r>
    </w:p>
    <w:p w14:paraId="54319E3A" w14:textId="5916773E" w:rsidR="00F55249" w:rsidRDefault="00991EB4" w:rsidP="001A2DE5">
      <w:pPr>
        <w:pStyle w:val="Figureheading"/>
        <w:numPr>
          <w:ilvl w:val="0"/>
          <w:numId w:val="0"/>
        </w:numPr>
        <w:ind w:left="1021"/>
      </w:pPr>
      <w:r>
        <w:rPr>
          <w:noProof/>
        </w:rPr>
        <w:drawing>
          <wp:inline distT="0" distB="0" distL="0" distR="0" wp14:anchorId="3B609428" wp14:editId="5394B9FF">
            <wp:extent cx="3819525" cy="3616873"/>
            <wp:effectExtent l="0" t="0" r="0" b="0"/>
            <wp:docPr id="4" name="Picture 4" descr="Figure 1: Spatially enabled digital twi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Figure 1: Spatially enabled digital twins"/>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819525" cy="3616873"/>
                    </a:xfrm>
                    <a:prstGeom prst="rect">
                      <a:avLst/>
                    </a:prstGeom>
                    <a:noFill/>
                    <a:ln>
                      <a:noFill/>
                    </a:ln>
                  </pic:spPr>
                </pic:pic>
              </a:graphicData>
            </a:graphic>
          </wp:inline>
        </w:drawing>
      </w:r>
    </w:p>
    <w:p w14:paraId="7B0DBF0F" w14:textId="34EC9DFF" w:rsidR="0022487C" w:rsidRDefault="0022487C" w:rsidP="00723363">
      <w:pPr>
        <w:pStyle w:val="Paragraph"/>
      </w:pPr>
      <w:r w:rsidRPr="0022487C">
        <w:t>Conceptually, digital twins have been around for decades</w:t>
      </w:r>
      <w:r w:rsidR="00384BEA">
        <w:t>. H</w:t>
      </w:r>
      <w:r w:rsidRPr="0022487C">
        <w:t xml:space="preserve">owever, this type of technology application is still </w:t>
      </w:r>
      <w:r w:rsidR="0009361D">
        <w:t>emerging</w:t>
      </w:r>
      <w:r w:rsidR="0009361D" w:rsidRPr="0022487C">
        <w:t xml:space="preserve"> </w:t>
      </w:r>
      <w:r w:rsidRPr="0022487C">
        <w:t>in terms of its use across industries.</w:t>
      </w:r>
      <w:r w:rsidRPr="0022487C">
        <w:rPr>
          <w:rStyle w:val="FootnoteReference"/>
        </w:rPr>
        <w:footnoteReference w:id="11"/>
      </w:r>
      <w:r w:rsidRPr="0022487C">
        <w:t xml:space="preserve"> </w:t>
      </w:r>
      <w:r w:rsidRPr="1F74512C">
        <w:t xml:space="preserve">Notable examples of digital twins within government include the NSW Spatial Digital Twin (see Figure </w:t>
      </w:r>
      <w:r w:rsidR="00D9377C">
        <w:t>2</w:t>
      </w:r>
      <w:r w:rsidRPr="1F74512C">
        <w:t>) launched in February 2020,</w:t>
      </w:r>
      <w:r w:rsidRPr="1F74512C">
        <w:rPr>
          <w:rStyle w:val="FootnoteReference"/>
        </w:rPr>
        <w:footnoteReference w:id="12"/>
      </w:r>
      <w:r w:rsidRPr="1F74512C">
        <w:t xml:space="preserve"> and Singapore’s digital twin developed in 2018.</w:t>
      </w:r>
      <w:r w:rsidRPr="1F74512C">
        <w:rPr>
          <w:rStyle w:val="FootnoteReference"/>
        </w:rPr>
        <w:footnoteReference w:id="13"/>
      </w:r>
      <w:r w:rsidRPr="0022487C">
        <w:rPr>
          <w:szCs w:val="20"/>
        </w:rPr>
        <w:t xml:space="preserve"> </w:t>
      </w:r>
    </w:p>
    <w:p w14:paraId="36E53F04" w14:textId="50F58FB2" w:rsidR="00723363" w:rsidRDefault="001577F2" w:rsidP="001A2DE5">
      <w:pPr>
        <w:pStyle w:val="Paragraph"/>
        <w:keepNext/>
        <w:keepLines/>
        <w:rPr>
          <w:szCs w:val="20"/>
        </w:rPr>
      </w:pPr>
      <w:r w:rsidRPr="4028059A">
        <w:lastRenderedPageBreak/>
        <w:t xml:space="preserve">According to the global </w:t>
      </w:r>
      <w:r w:rsidR="00F02299" w:rsidRPr="4028059A">
        <w:t xml:space="preserve">market research firm Technavio, </w:t>
      </w:r>
      <w:r w:rsidR="00B47299" w:rsidRPr="4028059A">
        <w:t>t</w:t>
      </w:r>
      <w:r w:rsidR="00336ECF" w:rsidRPr="4028059A">
        <w:t xml:space="preserve">he </w:t>
      </w:r>
      <w:r w:rsidR="00E27206" w:rsidRPr="4028059A">
        <w:t>global digital twin market is</w:t>
      </w:r>
      <w:r w:rsidR="005138FA" w:rsidRPr="4028059A">
        <w:t xml:space="preserve"> expected to grow by </w:t>
      </w:r>
      <w:r w:rsidR="00A06709" w:rsidRPr="4028059A">
        <w:t xml:space="preserve">USD </w:t>
      </w:r>
      <w:r w:rsidR="00B47299" w:rsidRPr="4028059A">
        <w:t>$</w:t>
      </w:r>
      <w:r w:rsidR="008354DE" w:rsidRPr="4028059A">
        <w:t xml:space="preserve">16.4 billion </w:t>
      </w:r>
      <w:r w:rsidR="0070224D" w:rsidRPr="4028059A">
        <w:t>with</w:t>
      </w:r>
      <w:r w:rsidR="00B67D5C">
        <w:rPr>
          <w:szCs w:val="20"/>
        </w:rPr>
        <w:t xml:space="preserve"> </w:t>
      </w:r>
      <w:r w:rsidR="00A72054" w:rsidRPr="4028059A">
        <w:t xml:space="preserve">a </w:t>
      </w:r>
      <w:r w:rsidR="00062F02" w:rsidRPr="4028059A">
        <w:t xml:space="preserve">compound annual growth rate of </w:t>
      </w:r>
      <w:r w:rsidR="00B670CD" w:rsidRPr="4028059A">
        <w:t>38</w:t>
      </w:r>
      <w:r w:rsidR="003A1DCF">
        <w:rPr>
          <w:szCs w:val="20"/>
        </w:rPr>
        <w:t>%</w:t>
      </w:r>
      <w:r w:rsidR="00B670CD" w:rsidRPr="4028059A">
        <w:t xml:space="preserve"> </w:t>
      </w:r>
      <w:r w:rsidR="00384BEA">
        <w:t>from</w:t>
      </w:r>
      <w:r w:rsidR="00384BEA" w:rsidRPr="4028059A">
        <w:t xml:space="preserve"> </w:t>
      </w:r>
      <w:r w:rsidR="00B670CD" w:rsidRPr="4028059A">
        <w:t>2020</w:t>
      </w:r>
      <w:r w:rsidR="00384BEA">
        <w:t>–</w:t>
      </w:r>
      <w:r w:rsidR="00B670CD" w:rsidRPr="4028059A">
        <w:t>24.</w:t>
      </w:r>
      <w:r w:rsidR="00B670CD" w:rsidRPr="4028059A">
        <w:rPr>
          <w:rStyle w:val="FootnoteReference"/>
        </w:rPr>
        <w:footnoteReference w:id="14"/>
      </w:r>
      <w:r w:rsidR="00B670CD">
        <w:rPr>
          <w:szCs w:val="20"/>
        </w:rPr>
        <w:t xml:space="preserve"> </w:t>
      </w:r>
      <w:r w:rsidR="002B0F0C" w:rsidRPr="4028059A">
        <w:t>This growth ma</w:t>
      </w:r>
      <w:r w:rsidR="0010426E" w:rsidRPr="4028059A">
        <w:t xml:space="preserve">y be attributed to advancements in </w:t>
      </w:r>
      <w:r w:rsidR="0010426E">
        <w:t xml:space="preserve">simulation and </w:t>
      </w:r>
      <w:r w:rsidR="00D87401">
        <w:t>modelling</w:t>
      </w:r>
      <w:r w:rsidR="0010426E">
        <w:t xml:space="preserve"> capabilities, sensors</w:t>
      </w:r>
      <w:r w:rsidR="006A58EE">
        <w:t xml:space="preserve"> becoming cheaper and more advanced</w:t>
      </w:r>
      <w:r w:rsidR="00384BEA">
        <w:t>,</w:t>
      </w:r>
      <w:r w:rsidR="006A58EE">
        <w:t xml:space="preserve"> along with greater </w:t>
      </w:r>
      <w:r w:rsidR="0010426E">
        <w:t>availability of tools and computing infrastructure.</w:t>
      </w:r>
      <w:r w:rsidR="006A58EE">
        <w:rPr>
          <w:rStyle w:val="FootnoteReference"/>
        </w:rPr>
        <w:footnoteReference w:id="15"/>
      </w:r>
    </w:p>
    <w:p w14:paraId="32CC822C" w14:textId="481DA35B" w:rsidR="00723363" w:rsidRPr="001B4716" w:rsidRDefault="0022487C">
      <w:pPr>
        <w:pStyle w:val="Figureheading"/>
      </w:pPr>
      <w:r>
        <w:t xml:space="preserve">The NSW Spatial Digital Twin </w:t>
      </w:r>
      <w:r w:rsidRPr="001B4716">
        <w:t>platform</w:t>
      </w:r>
    </w:p>
    <w:p w14:paraId="3410A30A" w14:textId="09FF37AC" w:rsidR="00261C9D" w:rsidRDefault="00261C9D" w:rsidP="001B4716">
      <w:pPr>
        <w:pStyle w:val="Paragraph"/>
        <w:shd w:val="clear" w:color="auto" w:fill="F2F2F2" w:themeFill="background1" w:themeFillShade="F2"/>
      </w:pPr>
      <w:r>
        <w:rPr>
          <w:noProof/>
        </w:rPr>
        <w:drawing>
          <wp:inline distT="0" distB="0" distL="0" distR="0" wp14:anchorId="5F629AFC" wp14:editId="0244D7D5">
            <wp:extent cx="4871086" cy="2873736"/>
            <wp:effectExtent l="0" t="0" r="5715" b="3175"/>
            <wp:docPr id="5" name="Picture 5" descr="Real-time transport data showing the location, speed and whether seats are available on the 770 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38">
                      <a:extLst>
                        <a:ext uri="{28A0092B-C50C-407E-A947-70E740481C1C}">
                          <a14:useLocalDpi xmlns:a14="http://schemas.microsoft.com/office/drawing/2010/main" val="0"/>
                        </a:ext>
                      </a:extLst>
                    </a:blip>
                    <a:stretch>
                      <a:fillRect/>
                    </a:stretch>
                  </pic:blipFill>
                  <pic:spPr>
                    <a:xfrm>
                      <a:off x="0" y="0"/>
                      <a:ext cx="4871086" cy="2873736"/>
                    </a:xfrm>
                    <a:prstGeom prst="rect">
                      <a:avLst/>
                    </a:prstGeom>
                  </pic:spPr>
                </pic:pic>
              </a:graphicData>
            </a:graphic>
          </wp:inline>
        </w:drawing>
      </w:r>
    </w:p>
    <w:p w14:paraId="4A4022CB" w14:textId="2962B2BE" w:rsidR="00261C9D" w:rsidRPr="00642F79" w:rsidRDefault="00261C9D" w:rsidP="001B4716">
      <w:pPr>
        <w:pStyle w:val="Tableorfigurenote"/>
        <w:shd w:val="clear" w:color="auto" w:fill="F2F2F2" w:themeFill="background1" w:themeFillShade="F2"/>
      </w:pPr>
      <w:r w:rsidRPr="00642F79">
        <w:t xml:space="preserve">Source: </w:t>
      </w:r>
      <w:hyperlink r:id="rId39" w:history="1">
        <w:r w:rsidRPr="00454376">
          <w:rPr>
            <w:rStyle w:val="Hyperlink"/>
          </w:rPr>
          <w:t>NSW Government</w:t>
        </w:r>
      </w:hyperlink>
      <w:r>
        <w:t>.</w:t>
      </w:r>
      <w:r w:rsidR="00454376">
        <w:t xml:space="preserve"> </w:t>
      </w:r>
      <w:r w:rsidR="00454376" w:rsidRPr="00454376">
        <w:t>© State of New South Wales. For current information go to </w:t>
      </w:r>
      <w:hyperlink r:id="rId40" w:history="1">
        <w:r w:rsidR="00454376" w:rsidRPr="00454376">
          <w:rPr>
            <w:rStyle w:val="Hyperlink"/>
          </w:rPr>
          <w:t>www.nsw.gov.au</w:t>
        </w:r>
      </w:hyperlink>
      <w:r w:rsidR="00454376" w:rsidRPr="00454376">
        <w:t>.</w:t>
      </w:r>
    </w:p>
    <w:p w14:paraId="66AA0720" w14:textId="77777777" w:rsidR="00261C9D" w:rsidRDefault="00261C9D" w:rsidP="001B4716">
      <w:pPr>
        <w:pStyle w:val="Paragraph"/>
        <w:shd w:val="clear" w:color="auto" w:fill="F2F2F2" w:themeFill="background1" w:themeFillShade="F2"/>
        <w:rPr>
          <w:sz w:val="18"/>
          <w:szCs w:val="18"/>
        </w:rPr>
      </w:pPr>
      <w:r>
        <w:rPr>
          <w:sz w:val="18"/>
          <w:szCs w:val="18"/>
        </w:rPr>
        <w:t xml:space="preserve">The NSW digital twin is being developed to enable industry and government to plan and manage infrastructure, as well as publicly provide live data on various qualities including public transport and air pollution. The NSW Spatial Services group is developing a 3D spatial dataset of Government Radio Network (GRN) telecommunications towers and assets across NSW to assist with emergency management and response. The project will scale to include all other telecommunications utility asset data. </w:t>
      </w:r>
    </w:p>
    <w:p w14:paraId="23E045F8" w14:textId="079D14B2" w:rsidR="00261C9D" w:rsidRPr="00642F79" w:rsidRDefault="00261C9D" w:rsidP="001B4716">
      <w:pPr>
        <w:pStyle w:val="Paragraph"/>
        <w:shd w:val="clear" w:color="auto" w:fill="F2F2F2" w:themeFill="background1" w:themeFillShade="F2"/>
        <w:rPr>
          <w:sz w:val="18"/>
          <w:szCs w:val="18"/>
        </w:rPr>
      </w:pPr>
      <w:r>
        <w:rPr>
          <w:sz w:val="18"/>
          <w:szCs w:val="18"/>
        </w:rPr>
        <w:t xml:space="preserve">At this stage of the NSW Digital Twin development it is focused on Western Parkland City, Greater Parramatta and the Olympic Peninsula with the long-term objective of enabling collaboration between smart cities precincts. </w:t>
      </w:r>
    </w:p>
    <w:p w14:paraId="3BAB035E" w14:textId="3C1FDA09" w:rsidR="00723363" w:rsidRDefault="00723363" w:rsidP="001B4716">
      <w:pPr>
        <w:pStyle w:val="Paragraphbeforelist"/>
        <w:keepNext/>
        <w:keepLines/>
      </w:pPr>
      <w:r w:rsidRPr="00723363">
        <w:lastRenderedPageBreak/>
        <w:t>There are examples of digital twins being applied across the automotive</w:t>
      </w:r>
      <w:r w:rsidR="00AD7047">
        <w:t>,</w:t>
      </w:r>
      <w:r w:rsidRPr="00723363">
        <w:rPr>
          <w:rStyle w:val="FootnoteReference"/>
        </w:rPr>
        <w:footnoteReference w:id="16"/>
      </w:r>
      <w:r w:rsidRPr="00723363">
        <w:t xml:space="preserve"> pharmaceutical, manufacturing and aviation industries.</w:t>
      </w:r>
      <w:r w:rsidRPr="00723363">
        <w:rPr>
          <w:rStyle w:val="FootnoteReference"/>
        </w:rPr>
        <w:footnoteReference w:id="17"/>
      </w:r>
      <w:r w:rsidRPr="00723363">
        <w:t xml:space="preserve"> Telecommunications companies are also exploring the use of digital twins to support network planning and management.</w:t>
      </w:r>
      <w:r w:rsidRPr="00723363">
        <w:rPr>
          <w:rStyle w:val="FootnoteReference"/>
          <w:szCs w:val="20"/>
        </w:rPr>
        <w:footnoteReference w:id="18"/>
      </w:r>
      <w:r w:rsidRPr="00723363">
        <w:t xml:space="preserve"> Examples include:</w:t>
      </w:r>
    </w:p>
    <w:p w14:paraId="2AAD0C3C" w14:textId="2CFC725F" w:rsidR="00723363" w:rsidRDefault="00723363" w:rsidP="001B4716">
      <w:pPr>
        <w:pStyle w:val="Bulletlevel1"/>
        <w:keepNext/>
        <w:keepLines/>
      </w:pPr>
      <w:r w:rsidRPr="00723363">
        <w:t>Nokia announced its 5G Digital Design service in 2018. The service supports network design and the creation of digital twins for 5G use cases (such as fixed wireless access, eHealth, and cloud robotics).</w:t>
      </w:r>
      <w:r w:rsidRPr="00723363">
        <w:rPr>
          <w:rStyle w:val="FootnoteReference"/>
          <w:szCs w:val="20"/>
        </w:rPr>
        <w:footnoteReference w:id="19"/>
      </w:r>
      <w:r w:rsidRPr="00723363">
        <w:t xml:space="preserve"> Nokia highlights that its services enable automation of traffic forecasting, 5G candidate site selection based on network measurements, and the automation of site candidate ranking deployments.</w:t>
      </w:r>
      <w:r w:rsidRPr="00723363">
        <w:rPr>
          <w:rStyle w:val="FootnoteReference"/>
          <w:szCs w:val="20"/>
        </w:rPr>
        <w:footnoteReference w:id="20"/>
      </w:r>
      <w:r w:rsidRPr="00723363">
        <w:t xml:space="preserve"> </w:t>
      </w:r>
    </w:p>
    <w:p w14:paraId="4BBB2087" w14:textId="236751D8" w:rsidR="00723363" w:rsidRDefault="00723363" w:rsidP="001B4716">
      <w:pPr>
        <w:pStyle w:val="Bulletlevel1"/>
        <w:keepNext/>
        <w:keepLines/>
      </w:pPr>
      <w:r w:rsidRPr="00723363">
        <w:t>In 2019, Ericsson partnered with Infosys, Etiya, Neural Technology and Huawei on proof-of-concept digital twins. Ericsson’s digital twin demonstrated performing predictive maintenance and demand simulation of an Enterprise IP Network. The digital twin predicted potential network issues and interfaced with another digital twin to determine the impact of network performance on customers. Ericsson noted that ‘organizations armed with this information can take proactive actions to inform their customers or re-route traffic to reduce the impact on their valued customers</w:t>
      </w:r>
      <w:r w:rsidR="00700879">
        <w:t>’</w:t>
      </w:r>
      <w:r w:rsidRPr="00723363">
        <w:t>.</w:t>
      </w:r>
      <w:r w:rsidRPr="00723363">
        <w:rPr>
          <w:rStyle w:val="FootnoteReference"/>
          <w:szCs w:val="20"/>
        </w:rPr>
        <w:footnoteReference w:id="21"/>
      </w:r>
    </w:p>
    <w:p w14:paraId="64DBC6DD" w14:textId="7D053617" w:rsidR="00723363" w:rsidRPr="00723363" w:rsidRDefault="00723363" w:rsidP="001B4716">
      <w:pPr>
        <w:pStyle w:val="Bulletlevel1"/>
        <w:spacing w:after="240"/>
      </w:pPr>
      <w:r w:rsidRPr="00723363">
        <w:t>In September 2020, Telstra and Microsoft announced their partnership focused on developing ‘innovative and sustainable cloud-based solutions across multiple industries’</w:t>
      </w:r>
      <w:r w:rsidR="0079262E">
        <w:t>,</w:t>
      </w:r>
      <w:r w:rsidRPr="00723363">
        <w:t xml:space="preserve"> including solutions harnessing IoT, edge, AI and digital twin capability. Telstra stated the companies will partner on digital twins for Telstra customers as well as for Telstra’s own commercial buildings and other </w:t>
      </w:r>
      <w:r w:rsidR="00737BC6" w:rsidRPr="00723363">
        <w:t xml:space="preserve">selected </w:t>
      </w:r>
      <w:r w:rsidRPr="00723363">
        <w:t xml:space="preserve">infrastructure. Telstra’s digital twin ‘will map physical environments in an online virtual setting, to create models that provide </w:t>
      </w:r>
      <w:r w:rsidR="00E61937">
        <w:t xml:space="preserve">an </w:t>
      </w:r>
      <w:r w:rsidRPr="00723363">
        <w:t>at-a-glance understanding of what is happening in the real world, and support improved what-if scenario planning</w:t>
      </w:r>
      <w:r w:rsidR="0079262E">
        <w:t>’</w:t>
      </w:r>
      <w:r w:rsidRPr="00723363">
        <w:t>.</w:t>
      </w:r>
      <w:r w:rsidRPr="00723363">
        <w:rPr>
          <w:rStyle w:val="FootnoteReference"/>
          <w:szCs w:val="20"/>
        </w:rPr>
        <w:footnoteReference w:id="22"/>
      </w:r>
      <w:r w:rsidRPr="00723363">
        <w:t xml:space="preserve"> Telstra indicated an initial focus on digital twins for asset tracking, supply chain management and smart</w:t>
      </w:r>
      <w:r w:rsidR="0079262E">
        <w:t> </w:t>
      </w:r>
      <w:r w:rsidRPr="00723363">
        <w:t>spaces.</w:t>
      </w:r>
    </w:p>
    <w:p w14:paraId="5E68F4BC" w14:textId="53F08930" w:rsidR="00723363" w:rsidRPr="00723363" w:rsidRDefault="00723363" w:rsidP="00723363">
      <w:pPr>
        <w:rPr>
          <w:rFonts w:cs="Arial"/>
        </w:rPr>
      </w:pPr>
      <w:r w:rsidRPr="3E9BEAF0">
        <w:rPr>
          <w:rFonts w:cs="Arial"/>
        </w:rPr>
        <w:t xml:space="preserve">As telecommunication networks become more complex with the rollout of 5G and the more widespread use of IoT, digital twins </w:t>
      </w:r>
      <w:r w:rsidR="0009361D" w:rsidRPr="3E9BEAF0">
        <w:rPr>
          <w:rFonts w:cs="Arial"/>
        </w:rPr>
        <w:t xml:space="preserve">may </w:t>
      </w:r>
      <w:r w:rsidRPr="3E9BEAF0">
        <w:rPr>
          <w:rFonts w:cs="Arial"/>
        </w:rPr>
        <w:t>become more valuable in informing the decision-making of operators.</w:t>
      </w:r>
      <w:r w:rsidRPr="3E9BEAF0">
        <w:rPr>
          <w:rStyle w:val="FootnoteReference"/>
          <w:rFonts w:cs="Arial"/>
        </w:rPr>
        <w:footnoteReference w:id="23"/>
      </w:r>
    </w:p>
    <w:p w14:paraId="0C1A61C8" w14:textId="77777777" w:rsidR="000C3035" w:rsidRDefault="00510C78" w:rsidP="00510C78">
      <w:pPr>
        <w:tabs>
          <w:tab w:val="left" w:pos="911"/>
        </w:tabs>
      </w:pPr>
      <w:r w:rsidRPr="00510C78">
        <w:t>Digital twins are anticipated to become more widespread over the coming decade with the maturation of key enabling technologies (including IoT, AI, and augmented reality) and their applicability across a range of contexts.</w:t>
      </w:r>
      <w:r w:rsidRPr="00510C78">
        <w:rPr>
          <w:vertAlign w:val="superscript"/>
        </w:rPr>
        <w:footnoteReference w:id="24"/>
      </w:r>
      <w:r w:rsidRPr="00510C78">
        <w:t xml:space="preserve"> A digital twin could support greater efficiency across urban planning, infrastructure development and management, environment management, and transport and logistics. Digital twins could also be used in healthcare to monitor a patient’s physical state and simulate their response to particular treatments, supporting more personalised care.</w:t>
      </w:r>
      <w:r w:rsidRPr="00510C78">
        <w:rPr>
          <w:vertAlign w:val="superscript"/>
        </w:rPr>
        <w:footnoteReference w:id="25"/>
      </w:r>
      <w:r w:rsidRPr="00510C78">
        <w:t xml:space="preserve"> </w:t>
      </w:r>
    </w:p>
    <w:p w14:paraId="305E1495" w14:textId="0B245696" w:rsidR="00510C78" w:rsidRPr="00510C78" w:rsidRDefault="00510C78" w:rsidP="00510C78">
      <w:pPr>
        <w:tabs>
          <w:tab w:val="left" w:pos="911"/>
        </w:tabs>
      </w:pPr>
      <w:r w:rsidRPr="00510C78">
        <w:lastRenderedPageBreak/>
        <w:t xml:space="preserve">Reflecting this potential, the International Organisation for Standardisation (ISO) has established advisory groups under the technical committee </w:t>
      </w:r>
      <w:hyperlink r:id="rId41" w:history="1">
        <w:r w:rsidRPr="00510C78">
          <w:rPr>
            <w:rStyle w:val="Hyperlink"/>
          </w:rPr>
          <w:t>ISO/IEC JTC 1</w:t>
        </w:r>
      </w:hyperlink>
      <w:r w:rsidRPr="00510C78">
        <w:t xml:space="preserve"> to develop standards for digital</w:t>
      </w:r>
      <w:r w:rsidR="009F2ADD">
        <w:t> </w:t>
      </w:r>
      <w:r w:rsidRPr="00510C78">
        <w:t xml:space="preserve">twins. </w:t>
      </w:r>
    </w:p>
    <w:p w14:paraId="244866E1" w14:textId="537AA702" w:rsidR="00510C78" w:rsidRDefault="00454E3E" w:rsidP="00510C78">
      <w:pPr>
        <w:tabs>
          <w:tab w:val="left" w:pos="911"/>
        </w:tabs>
      </w:pPr>
      <w:r>
        <w:t>The International Data Corporation (</w:t>
      </w:r>
      <w:r w:rsidR="00510C78" w:rsidRPr="00510C78">
        <w:t>IDC</w:t>
      </w:r>
      <w:r>
        <w:t>)</w:t>
      </w:r>
      <w:r w:rsidR="00510C78" w:rsidRPr="00510C78">
        <w:t xml:space="preserve"> has projected that by 2022, 40</w:t>
      </w:r>
      <w:r w:rsidR="00301867">
        <w:t>%</w:t>
      </w:r>
      <w:r w:rsidR="00510C78" w:rsidRPr="00510C78">
        <w:t xml:space="preserve"> of IoT platform vendors will integrate simulation platforms, systems and capabilities to create digital twins.</w:t>
      </w:r>
      <w:r w:rsidR="00510C78" w:rsidRPr="00510C78">
        <w:rPr>
          <w:vertAlign w:val="superscript"/>
        </w:rPr>
        <w:footnoteReference w:id="26"/>
      </w:r>
      <w:r w:rsidR="00510C78" w:rsidRPr="00510C78">
        <w:t xml:space="preserve"> Gartner has reported that 13</w:t>
      </w:r>
      <w:r w:rsidR="00301867">
        <w:t>%</w:t>
      </w:r>
      <w:r w:rsidR="00510C78" w:rsidRPr="00510C78">
        <w:t xml:space="preserve"> of organisations implementing IoT projects already use digital twins, while 62</w:t>
      </w:r>
      <w:r w:rsidR="00301867">
        <w:t>%</w:t>
      </w:r>
      <w:r w:rsidR="00510C78" w:rsidRPr="00510C78">
        <w:t xml:space="preserve"> are either in the process of establishing digital twins or planning to do so.</w:t>
      </w:r>
      <w:r w:rsidR="00510C78" w:rsidRPr="00510C78">
        <w:rPr>
          <w:vertAlign w:val="superscript"/>
        </w:rPr>
        <w:footnoteReference w:id="27"/>
      </w:r>
      <w:r w:rsidR="00510C78" w:rsidRPr="00510C78">
        <w:t xml:space="preserve"> </w:t>
      </w:r>
    </w:p>
    <w:p w14:paraId="29344587" w14:textId="77777777" w:rsidR="00510C78" w:rsidRPr="00510C78" w:rsidRDefault="00510C78" w:rsidP="00510C78">
      <w:pPr>
        <w:tabs>
          <w:tab w:val="left" w:pos="911"/>
        </w:tabs>
      </w:pPr>
    </w:p>
    <w:p w14:paraId="30791F8F" w14:textId="77777777" w:rsidR="00510C78" w:rsidRPr="00723363" w:rsidRDefault="00510C78" w:rsidP="00723363">
      <w:pPr>
        <w:tabs>
          <w:tab w:val="left" w:pos="911"/>
        </w:tabs>
      </w:pPr>
    </w:p>
    <w:p w14:paraId="7C10E279" w14:textId="1C48509D" w:rsidR="008E070F" w:rsidRDefault="00510C78" w:rsidP="00201A16">
      <w:pPr>
        <w:pStyle w:val="Heading1"/>
      </w:pPr>
      <w:bookmarkStart w:id="16" w:name="_Toc67489156"/>
      <w:r>
        <w:lastRenderedPageBreak/>
        <w:t>U</w:t>
      </w:r>
      <w:r w:rsidR="00201A16">
        <w:t>se cases for regulators</w:t>
      </w:r>
      <w:bookmarkEnd w:id="16"/>
    </w:p>
    <w:p w14:paraId="2D317549" w14:textId="2D14DCEF" w:rsidR="00510C78" w:rsidRDefault="00510C78" w:rsidP="00510C78">
      <w:pPr>
        <w:pStyle w:val="Paragraph"/>
      </w:pPr>
      <w:r>
        <w:t xml:space="preserve">IoT analytics and digital twins </w:t>
      </w:r>
      <w:r w:rsidR="0009361D">
        <w:t xml:space="preserve">present a range of possible use cases for </w:t>
      </w:r>
      <w:r>
        <w:t xml:space="preserve">government agencies working across several areas. The greatest benefits of IoT and digital twins in the </w:t>
      </w:r>
      <w:r w:rsidR="00C812A2">
        <w:t xml:space="preserve">short </w:t>
      </w:r>
      <w:r>
        <w:t>to medium</w:t>
      </w:r>
      <w:r w:rsidR="00C812A2">
        <w:t>-</w:t>
      </w:r>
      <w:r>
        <w:t xml:space="preserve">term will </w:t>
      </w:r>
      <w:r w:rsidR="009801DC">
        <w:t xml:space="preserve">most </w:t>
      </w:r>
      <w:r>
        <w:t xml:space="preserve">likely be </w:t>
      </w:r>
      <w:r w:rsidR="009801DC">
        <w:t xml:space="preserve">realised </w:t>
      </w:r>
      <w:r>
        <w:t xml:space="preserve">by authorities involved in infrastructure planning, transport, energy and environmental policy and regulation. IoT could enable greater real-time monitoring of assets and environment. IoT data could </w:t>
      </w:r>
      <w:r w:rsidR="00C812A2">
        <w:t xml:space="preserve">also </w:t>
      </w:r>
      <w:r>
        <w:t xml:space="preserve">be fed into digital twins to support future-planning through simulations and the remote control of physical assets. </w:t>
      </w:r>
    </w:p>
    <w:p w14:paraId="5D6D4D01" w14:textId="146C7D91" w:rsidR="00510C78" w:rsidRDefault="00510C78" w:rsidP="00510C78">
      <w:pPr>
        <w:pStyle w:val="Paragraph"/>
      </w:pPr>
      <w:r>
        <w:t xml:space="preserve">In relation to communications and media regulatory decision-making, greater use of IoT could potentially support radiocommunications and network infrastructure monitoring and reporting. Currently, radio spectrum </w:t>
      </w:r>
      <w:r w:rsidRPr="00BD7F56">
        <w:t>data collection poses challenges</w:t>
      </w:r>
      <w:r w:rsidR="009801DC">
        <w:t xml:space="preserve">, largely due to the </w:t>
      </w:r>
      <w:r w:rsidRPr="00BD7F56">
        <w:t xml:space="preserve">volume of </w:t>
      </w:r>
      <w:r w:rsidR="009801DC">
        <w:t xml:space="preserve">collected </w:t>
      </w:r>
      <w:r w:rsidRPr="00BD7F56">
        <w:t>information</w:t>
      </w:r>
      <w:r w:rsidRPr="00BD7F56" w:rsidDel="009801DC">
        <w:t xml:space="preserve"> </w:t>
      </w:r>
      <w:r w:rsidRPr="00BD7F56">
        <w:t>– data wou</w:t>
      </w:r>
      <w:r>
        <w:t>ld be several orders of magnitude larger than data on temperature, air quality, pollution or air traffic</w:t>
      </w:r>
      <w:r w:rsidR="00C812A2">
        <w:t>,</w:t>
      </w:r>
      <w:r>
        <w:t xml:space="preserve"> for example.</w:t>
      </w:r>
      <w:r>
        <w:rPr>
          <w:rStyle w:val="FootnoteReference"/>
        </w:rPr>
        <w:footnoteReference w:id="28"/>
      </w:r>
      <w:r w:rsidRPr="007022B4">
        <w:t xml:space="preserve"> </w:t>
      </w:r>
      <w:r>
        <w:t xml:space="preserve">However, as outlined below, there are several recent examples of steps towards gathering spectrum data on a large scale and providing this information as a service, which could enable better monitoring of radiocommunications and help inform interference management activities. Further, IoT could </w:t>
      </w:r>
      <w:r w:rsidR="00C812A2">
        <w:t xml:space="preserve">in future </w:t>
      </w:r>
      <w:r>
        <w:t>play a role in more dynamic spectrum allocation activities.</w:t>
      </w:r>
      <w:r>
        <w:rPr>
          <w:rStyle w:val="FootnoteReference"/>
        </w:rPr>
        <w:footnoteReference w:id="29"/>
      </w:r>
    </w:p>
    <w:p w14:paraId="45301740" w14:textId="7703C8FA" w:rsidR="00510C78" w:rsidRDefault="00510C78" w:rsidP="00510C78">
      <w:pPr>
        <w:pStyle w:val="Paragraph"/>
      </w:pPr>
      <w:r>
        <w:t xml:space="preserve">Theoretically, a digital twin based on IoT data and other datasets could be produced </w:t>
      </w:r>
      <w:r w:rsidR="009801DC">
        <w:t xml:space="preserve">for the </w:t>
      </w:r>
      <w:r>
        <w:t xml:space="preserve">Australian communications </w:t>
      </w:r>
      <w:r w:rsidR="1658FA22">
        <w:t>environment</w:t>
      </w:r>
      <w:r>
        <w:t xml:space="preserve">. This could potentially support spectrum planning through enhancing predictive modelling – building on the capabilities of </w:t>
      </w:r>
      <w:r w:rsidR="009801DC">
        <w:t xml:space="preserve">existing </w:t>
      </w:r>
      <w:r>
        <w:t>GIS services</w:t>
      </w:r>
      <w:r w:rsidR="00C812A2">
        <w:t>.</w:t>
      </w:r>
      <w:r>
        <w:rPr>
          <w:rStyle w:val="FootnoteReference"/>
        </w:rPr>
        <w:footnoteReference w:id="30"/>
      </w:r>
      <w:r w:rsidR="002D008B" w:rsidDel="009801DC">
        <w:t xml:space="preserve"> </w:t>
      </w:r>
      <w:r w:rsidR="009801DC">
        <w:t xml:space="preserve">The </w:t>
      </w:r>
      <w:r w:rsidR="002D008B">
        <w:t>ACMA</w:t>
      </w:r>
      <w:r w:rsidR="002D008B" w:rsidDel="009801DC">
        <w:t xml:space="preserve"> </w:t>
      </w:r>
      <w:r w:rsidR="009801DC">
        <w:t xml:space="preserve">has found </w:t>
      </w:r>
      <w:r>
        <w:t xml:space="preserve">limited research into the use of digital twins for radiocommunications management. This </w:t>
      </w:r>
      <w:r w:rsidR="002D008B">
        <w:t>may suggest</w:t>
      </w:r>
      <w:r>
        <w:t xml:space="preserve"> technolog</w:t>
      </w:r>
      <w:r w:rsidR="00803BB5">
        <w:t xml:space="preserve">ical </w:t>
      </w:r>
      <w:r>
        <w:t xml:space="preserve">limitations (such as data collection and management challenges) and </w:t>
      </w:r>
      <w:r w:rsidR="002D008B">
        <w:t xml:space="preserve">a potential </w:t>
      </w:r>
      <w:r>
        <w:t>lack of industry appetite for investing in digital twins for this purpose.</w:t>
      </w:r>
    </w:p>
    <w:p w14:paraId="6AEFBB47" w14:textId="2EC05A66" w:rsidR="009801DC" w:rsidRDefault="009801DC" w:rsidP="00510C78">
      <w:pPr>
        <w:pStyle w:val="Paragraph"/>
      </w:pPr>
      <w:r>
        <w:t xml:space="preserve">Figure </w:t>
      </w:r>
      <w:r w:rsidR="00D9377C">
        <w:t>3</w:t>
      </w:r>
      <w:r>
        <w:t xml:space="preserve"> identifies which regulatory processes have the greatest potential for use</w:t>
      </w:r>
      <w:r w:rsidR="00846954">
        <w:t> </w:t>
      </w:r>
      <w:r>
        <w:t>cases.</w:t>
      </w:r>
    </w:p>
    <w:p w14:paraId="6E1D32C6" w14:textId="674208FE" w:rsidR="00510C78" w:rsidRDefault="00510C78">
      <w:pPr>
        <w:pStyle w:val="Figureheading"/>
      </w:pPr>
      <w:r>
        <w:lastRenderedPageBreak/>
        <w:t xml:space="preserve">Use cases across </w:t>
      </w:r>
      <w:r w:rsidRPr="005F4E83">
        <w:t>regulatory</w:t>
      </w:r>
      <w:r>
        <w:t xml:space="preserve"> processes</w:t>
      </w:r>
    </w:p>
    <w:p w14:paraId="05B97FA1" w14:textId="58459A99" w:rsidR="00D87FEB" w:rsidRDefault="00D87FEB">
      <w:pPr>
        <w:pStyle w:val="Paragraph"/>
        <w:keepNext/>
        <w:keepLines/>
        <w:rPr>
          <w:sz w:val="16"/>
          <w:szCs w:val="16"/>
        </w:rPr>
      </w:pPr>
      <w:r>
        <w:rPr>
          <w:noProof/>
        </w:rPr>
        <w:drawing>
          <wp:inline distT="0" distB="0" distL="0" distR="0" wp14:anchorId="6FBC55A2" wp14:editId="1170EC54">
            <wp:extent cx="4494363" cy="2224625"/>
            <wp:effectExtent l="0" t="0" r="1905" b="4445"/>
            <wp:docPr id="21" name="Picture 21" descr="Figure 3: Use cases across regulatory proces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Figure 3: Use cases across regulatory processes"/>
                    <pic:cNvPicPr/>
                  </pic:nvPicPr>
                  <pic:blipFill>
                    <a:blip r:embed="rId42">
                      <a:extLst>
                        <a:ext uri="{28A0092B-C50C-407E-A947-70E740481C1C}">
                          <a14:useLocalDpi xmlns:a14="http://schemas.microsoft.com/office/drawing/2010/main" val="0"/>
                        </a:ext>
                      </a:extLst>
                    </a:blip>
                    <a:stretch>
                      <a:fillRect/>
                    </a:stretch>
                  </pic:blipFill>
                  <pic:spPr>
                    <a:xfrm>
                      <a:off x="0" y="0"/>
                      <a:ext cx="4494363" cy="2224625"/>
                    </a:xfrm>
                    <a:prstGeom prst="rect">
                      <a:avLst/>
                    </a:prstGeom>
                  </pic:spPr>
                </pic:pic>
              </a:graphicData>
            </a:graphic>
          </wp:inline>
        </w:drawing>
      </w:r>
    </w:p>
    <w:p w14:paraId="5D1E71A1" w14:textId="2D21D372" w:rsidR="00510C78" w:rsidRDefault="00510C78" w:rsidP="001B4716">
      <w:pPr>
        <w:pStyle w:val="Tableorfigurenote"/>
      </w:pPr>
      <w:r w:rsidRPr="00982DAD">
        <w:t>Source: ACMA</w:t>
      </w:r>
      <w:r w:rsidR="009801DC" w:rsidRPr="00982DAD">
        <w:t xml:space="preserve"> analysis</w:t>
      </w:r>
      <w:r w:rsidR="009B4503">
        <w:t>.</w:t>
      </w:r>
    </w:p>
    <w:p w14:paraId="0E5682AB" w14:textId="4060E578" w:rsidR="00201A16" w:rsidRDefault="00101EF0" w:rsidP="00101EF0">
      <w:pPr>
        <w:pStyle w:val="Heading2"/>
      </w:pPr>
      <w:bookmarkStart w:id="17" w:name="_Toc67489157"/>
      <w:r>
        <w:t>Monitoring and issue identification</w:t>
      </w:r>
      <w:bookmarkEnd w:id="17"/>
      <w:r>
        <w:t xml:space="preserve"> </w:t>
      </w:r>
    </w:p>
    <w:p w14:paraId="4AB45177" w14:textId="53E23B17" w:rsidR="00101EF0" w:rsidRDefault="00510C78" w:rsidP="00101EF0">
      <w:pPr>
        <w:pStyle w:val="Heading3"/>
      </w:pPr>
      <w:bookmarkStart w:id="18" w:name="_Toc67489158"/>
      <w:r>
        <w:t>Radiofrequency monitoring</w:t>
      </w:r>
      <w:bookmarkEnd w:id="18"/>
      <w:r>
        <w:t xml:space="preserve"> </w:t>
      </w:r>
    </w:p>
    <w:p w14:paraId="105C6C7F" w14:textId="0148D500" w:rsidR="00510C78" w:rsidRPr="00510C78" w:rsidRDefault="00510C78" w:rsidP="00510C78">
      <w:pPr>
        <w:pStyle w:val="Paragraph"/>
      </w:pPr>
      <w:r w:rsidRPr="00510C78">
        <w:t>Unlike the collection of other environmental data such as air quality, temperature or city traffic, wireless spectrum monitoring on a large scale raises several unique challenges</w:t>
      </w:r>
      <w:r w:rsidR="00627239">
        <w:t>,</w:t>
      </w:r>
      <w:r w:rsidRPr="00510C78">
        <w:t xml:space="preserve"> ranging from the data costs associated with the volume of sensed spectrum information</w:t>
      </w:r>
      <w:r w:rsidR="004F2F41">
        <w:t>,</w:t>
      </w:r>
      <w:r w:rsidRPr="00510C78">
        <w:t xml:space="preserve"> to sensor quality and data privacy issues.</w:t>
      </w:r>
      <w:r w:rsidRPr="3E9BEAF0">
        <w:rPr>
          <w:rStyle w:val="FootnoteReference"/>
        </w:rPr>
        <w:footnoteReference w:id="31"/>
      </w:r>
      <w:r w:rsidRPr="00510C78">
        <w:t xml:space="preserve"> A few spectrum monitoring solutions have been established in the past, with examples including Microsoft Spectrum Observatory, Google spectrum for measurements on TV white-spaces, and IBM Horizon</w:t>
      </w:r>
      <w:r w:rsidR="004F2F41">
        <w:t>,</w:t>
      </w:r>
      <w:r w:rsidRPr="00510C78">
        <w:t xml:space="preserve"> which focused on IoT data. While TV White Space and Horizon were limited to specific application deployments, the Observatory did not enable large</w:t>
      </w:r>
      <w:r w:rsidR="004F2F41">
        <w:t>-</w:t>
      </w:r>
      <w:r w:rsidRPr="00510C78">
        <w:t>scale sensor deployment due to the costs of sensing stations.</w:t>
      </w:r>
      <w:r w:rsidRPr="3E9BEAF0">
        <w:rPr>
          <w:rStyle w:val="FootnoteReference"/>
        </w:rPr>
        <w:footnoteReference w:id="32"/>
      </w:r>
      <w:r w:rsidRPr="00510C78">
        <w:t xml:space="preserve"> More recently, there have been several efforts demonstrating the potential for monitoring spectrum at scale.</w:t>
      </w:r>
    </w:p>
    <w:p w14:paraId="21750DFA" w14:textId="77777777" w:rsidR="004F2F41" w:rsidRDefault="00510C78" w:rsidP="001B4716">
      <w:pPr>
        <w:pStyle w:val="Heading3"/>
      </w:pPr>
      <w:bookmarkStart w:id="19" w:name="_Toc67489159"/>
      <w:r w:rsidRPr="00510C78">
        <w:t>Electrosense+</w:t>
      </w:r>
      <w:bookmarkEnd w:id="19"/>
      <w:r w:rsidRPr="00510C78">
        <w:t xml:space="preserve"> </w:t>
      </w:r>
    </w:p>
    <w:p w14:paraId="44BB09AC" w14:textId="7BBB87DF" w:rsidR="00510C78" w:rsidRPr="00510C78" w:rsidRDefault="004F2F41">
      <w:pPr>
        <w:pStyle w:val="Paragraph"/>
      </w:pPr>
      <w:r>
        <w:t xml:space="preserve">This </w:t>
      </w:r>
      <w:r w:rsidR="00510C78" w:rsidRPr="00510C78">
        <w:t>is a general</w:t>
      </w:r>
      <w:r>
        <w:t>-</w:t>
      </w:r>
      <w:r w:rsidR="00510C78" w:rsidRPr="00510C78">
        <w:t>purpose, open platform for spectrum monitoring using low-cost, embedded and software-defined spectrum IoT sensors. The stated purpose of Electrosense+ is ‘empowering people implementing a global spectrum monitoring system which let them connect to any spectrum sensor in the network and decode any publicly decodable radio spectrum part, such as broadcast and control messages, in real time through the internet’.</w:t>
      </w:r>
      <w:r w:rsidR="00510C78" w:rsidRPr="4028059A">
        <w:rPr>
          <w:rStyle w:val="FootnoteReference"/>
        </w:rPr>
        <w:footnoteReference w:id="33"/>
      </w:r>
      <w:r w:rsidR="00510C78" w:rsidRPr="00510C78">
        <w:t xml:space="preserve"> Electrosense+ is a crowdsourced spectrum monitoring system, with sensor owners receiving free data storage, readily available applications and an open </w:t>
      </w:r>
      <w:r w:rsidR="00296375">
        <w:t>application programming interface (</w:t>
      </w:r>
      <w:r w:rsidR="00510C78" w:rsidRPr="00510C78">
        <w:t>API</w:t>
      </w:r>
      <w:r w:rsidR="00296375">
        <w:t>)</w:t>
      </w:r>
      <w:r w:rsidR="00510C78" w:rsidRPr="00510C78">
        <w:t xml:space="preserve"> when they contribute to the network.</w:t>
      </w:r>
      <w:r w:rsidR="00510C78" w:rsidRPr="4028059A">
        <w:rPr>
          <w:rStyle w:val="FootnoteReference"/>
        </w:rPr>
        <w:footnoteReference w:id="34"/>
      </w:r>
      <w:r w:rsidR="00510C78" w:rsidRPr="00510C78">
        <w:t xml:space="preserve"> As at December 2020, Electrosense+ ha</w:t>
      </w:r>
      <w:r w:rsidR="00296375">
        <w:t>d</w:t>
      </w:r>
      <w:r w:rsidR="00510C78" w:rsidRPr="00510C78">
        <w:t xml:space="preserve"> 236 registered sensors and 1</w:t>
      </w:r>
      <w:r w:rsidR="009801DC">
        <w:t>,</w:t>
      </w:r>
      <w:r w:rsidR="00510C78" w:rsidRPr="00510C78">
        <w:t xml:space="preserve">306 registered users around the world, with the majority (46 sensors) </w:t>
      </w:r>
      <w:r w:rsidR="00296375">
        <w:t xml:space="preserve">located </w:t>
      </w:r>
      <w:r w:rsidR="00510C78" w:rsidRPr="00510C78">
        <w:t>in</w:t>
      </w:r>
      <w:r w:rsidR="00296375">
        <w:t> </w:t>
      </w:r>
      <w:r w:rsidR="00510C78" w:rsidRPr="00510C78">
        <w:t>Europe.</w:t>
      </w:r>
      <w:r w:rsidR="00510C78" w:rsidRPr="4028059A">
        <w:rPr>
          <w:rStyle w:val="FootnoteReference"/>
        </w:rPr>
        <w:footnoteReference w:id="35"/>
      </w:r>
    </w:p>
    <w:p w14:paraId="566ED48A" w14:textId="7AE0A60F" w:rsidR="00510C78" w:rsidRDefault="00510C78" w:rsidP="001B4716">
      <w:pPr>
        <w:pStyle w:val="Paragraphbeforelist"/>
      </w:pPr>
      <w:r w:rsidRPr="00510C78">
        <w:lastRenderedPageBreak/>
        <w:t>The developers of Electrosense+ have outlined several envisioned applications of the data generated by the Electrosense+ framework, including:</w:t>
      </w:r>
      <w:r w:rsidRPr="00510C78">
        <w:rPr>
          <w:rStyle w:val="FootnoteReference"/>
          <w:szCs w:val="20"/>
        </w:rPr>
        <w:footnoteReference w:id="36"/>
      </w:r>
    </w:p>
    <w:p w14:paraId="74DC8FCA" w14:textId="6458704B" w:rsidR="00510C78" w:rsidRDefault="00510C78" w:rsidP="001B4716">
      <w:pPr>
        <w:pStyle w:val="Bulletlevel1"/>
      </w:pPr>
      <w:r w:rsidRPr="4028059A">
        <w:rPr>
          <w:b/>
        </w:rPr>
        <w:t>Live and historical spectrum visualisation</w:t>
      </w:r>
      <w:r w:rsidRPr="00510C78">
        <w:t>: spectrum visualisation that allows interactive sensor selection and varying frequency resolution for detailed spectrum</w:t>
      </w:r>
      <w:r w:rsidR="00296375">
        <w:t> </w:t>
      </w:r>
      <w:r w:rsidRPr="00510C78">
        <w:t>viewing.</w:t>
      </w:r>
    </w:p>
    <w:p w14:paraId="4C853A88" w14:textId="00C0C962" w:rsidR="00510C78" w:rsidRDefault="00510C78" w:rsidP="001B4716">
      <w:pPr>
        <w:pStyle w:val="Bulletlevel1"/>
      </w:pPr>
      <w:r w:rsidRPr="4028059A">
        <w:rPr>
          <w:b/>
        </w:rPr>
        <w:t>Spectrum regulatory compliance</w:t>
      </w:r>
      <w:r w:rsidRPr="00510C78">
        <w:t>: Electrosense+ can support anomaly detection through gathering data that informs modulation classifiers, which help detect whether a particular transmission type is allowed in the frequency of interest.</w:t>
      </w:r>
    </w:p>
    <w:p w14:paraId="2E2360E1" w14:textId="105615AB" w:rsidR="00510C78" w:rsidRDefault="00510C78" w:rsidP="001B4716">
      <w:pPr>
        <w:pStyle w:val="Bulletlevel1"/>
      </w:pPr>
      <w:r w:rsidRPr="4028059A">
        <w:rPr>
          <w:b/>
        </w:rPr>
        <w:t>Localisation</w:t>
      </w:r>
      <w:r w:rsidRPr="00510C78">
        <w:t>: Received signal strength indicator information can be obtained from Electrosense</w:t>
      </w:r>
      <w:r w:rsidR="000556B9">
        <w:t>+</w:t>
      </w:r>
      <w:r w:rsidRPr="00510C78">
        <w:t xml:space="preserve"> sensors. </w:t>
      </w:r>
    </w:p>
    <w:p w14:paraId="1E4859AD" w14:textId="2FD8D7DF" w:rsidR="00510C78" w:rsidRPr="00510C78" w:rsidRDefault="00510C78" w:rsidP="001B4716">
      <w:pPr>
        <w:pStyle w:val="Bulletlevel1"/>
        <w:spacing w:after="240"/>
      </w:pPr>
      <w:r w:rsidRPr="4028059A">
        <w:rPr>
          <w:b/>
        </w:rPr>
        <w:t>Dynamic spectrum access (DSA)</w:t>
      </w:r>
      <w:r w:rsidRPr="00510C78">
        <w:t xml:space="preserve">: </w:t>
      </w:r>
      <w:r w:rsidR="00133220">
        <w:t>E</w:t>
      </w:r>
      <w:r w:rsidRPr="00510C78">
        <w:t>nables automated spectrum management in terms of frequency, time, geography, quality and cost of the service. The sensors within the Electrosense+ network can detect unused spectrum to support DSA approaches</w:t>
      </w:r>
      <w:r w:rsidRPr="00510C78">
        <w:rPr>
          <w:rFonts w:ascii="Arial Nova Light" w:hAnsi="Arial Nova Light"/>
        </w:rPr>
        <w:t>.</w:t>
      </w:r>
    </w:p>
    <w:p w14:paraId="0DF059C1" w14:textId="75C65273" w:rsidR="00510C78" w:rsidRPr="006048D4" w:rsidRDefault="00510C78" w:rsidP="006048D4">
      <w:pPr>
        <w:spacing w:before="240"/>
        <w:rPr>
          <w:rFonts w:cs="Arial"/>
        </w:rPr>
      </w:pPr>
      <w:r w:rsidRPr="006048D4">
        <w:rPr>
          <w:rFonts w:cs="Arial"/>
        </w:rPr>
        <w:t xml:space="preserve">Separately, Australian company </w:t>
      </w:r>
      <w:r w:rsidRPr="001B4716">
        <w:rPr>
          <w:rFonts w:cs="Arial"/>
        </w:rPr>
        <w:t>RAN</w:t>
      </w:r>
      <w:r w:rsidR="00F40D7F">
        <w:rPr>
          <w:rFonts w:cs="Arial"/>
        </w:rPr>
        <w:t>l</w:t>
      </w:r>
      <w:r w:rsidRPr="001B4716">
        <w:rPr>
          <w:rFonts w:cs="Arial"/>
        </w:rPr>
        <w:t>ytics</w:t>
      </w:r>
      <w:r w:rsidRPr="006048D4">
        <w:rPr>
          <w:rFonts w:cs="Arial"/>
          <w:b/>
          <w:bCs/>
        </w:rPr>
        <w:t xml:space="preserve"> </w:t>
      </w:r>
      <w:r w:rsidRPr="006048D4">
        <w:rPr>
          <w:rFonts w:cs="Arial"/>
        </w:rPr>
        <w:t>has been established with the aim of providing operators, regulators, network integrators, installers and facility owners and managers with insight into cellular radiofrequency performance.</w:t>
      </w:r>
      <w:r w:rsidRPr="006048D4">
        <w:rPr>
          <w:rStyle w:val="FootnoteReference"/>
          <w:rFonts w:cs="Arial"/>
        </w:rPr>
        <w:footnoteReference w:id="37"/>
      </w:r>
      <w:r w:rsidRPr="006048D4">
        <w:rPr>
          <w:rFonts w:cs="Arial"/>
        </w:rPr>
        <w:t xml:space="preserve"> </w:t>
      </w:r>
      <w:r w:rsidR="00EB52A1">
        <w:rPr>
          <w:rFonts w:cs="Arial"/>
        </w:rPr>
        <w:t>In 2017, t</w:t>
      </w:r>
      <w:r w:rsidR="00EB52A1" w:rsidRPr="006048D4">
        <w:rPr>
          <w:rFonts w:cs="Arial"/>
        </w:rPr>
        <w:t xml:space="preserve">he </w:t>
      </w:r>
      <w:r w:rsidRPr="006048D4">
        <w:rPr>
          <w:rFonts w:cs="Arial"/>
        </w:rPr>
        <w:t>company partner</w:t>
      </w:r>
      <w:r w:rsidR="00AB1B1C">
        <w:rPr>
          <w:rFonts w:cs="Arial"/>
        </w:rPr>
        <w:t>ed</w:t>
      </w:r>
      <w:r w:rsidRPr="006048D4">
        <w:rPr>
          <w:rFonts w:cs="Arial"/>
        </w:rPr>
        <w:t xml:space="preserve"> with Australian Post to provide </w:t>
      </w:r>
      <w:r w:rsidR="009E133E">
        <w:rPr>
          <w:rFonts w:cs="Arial"/>
        </w:rPr>
        <w:t xml:space="preserve">RF </w:t>
      </w:r>
      <w:r w:rsidRPr="006048D4">
        <w:rPr>
          <w:rFonts w:cs="Arial"/>
        </w:rPr>
        <w:t>testing across</w:t>
      </w:r>
      <w:r w:rsidR="004A1EC4">
        <w:rPr>
          <w:rFonts w:cs="Arial"/>
        </w:rPr>
        <w:t xml:space="preserve"> their fleet</w:t>
      </w:r>
      <w:r w:rsidR="00F40D7F">
        <w:rPr>
          <w:rFonts w:cs="Arial"/>
        </w:rPr>
        <w:t xml:space="preserve">. They </w:t>
      </w:r>
      <w:r w:rsidR="004C162B">
        <w:rPr>
          <w:rFonts w:cs="Arial"/>
        </w:rPr>
        <w:t xml:space="preserve">are </w:t>
      </w:r>
      <w:r w:rsidR="00F40D7F">
        <w:rPr>
          <w:rFonts w:cs="Arial"/>
        </w:rPr>
        <w:t xml:space="preserve">working </w:t>
      </w:r>
      <w:r w:rsidR="00370EA2">
        <w:rPr>
          <w:rFonts w:cs="Arial"/>
        </w:rPr>
        <w:t xml:space="preserve">to deploy this </w:t>
      </w:r>
      <w:r w:rsidR="00D81081">
        <w:rPr>
          <w:rFonts w:cs="Arial"/>
        </w:rPr>
        <w:t xml:space="preserve">technology across the entire Australia </w:t>
      </w:r>
      <w:r w:rsidR="00F40D7F">
        <w:rPr>
          <w:rFonts w:cs="Arial"/>
        </w:rPr>
        <w:t>P</w:t>
      </w:r>
      <w:r w:rsidR="00D81081">
        <w:rPr>
          <w:rFonts w:cs="Arial"/>
        </w:rPr>
        <w:t xml:space="preserve">ost fleet for </w:t>
      </w:r>
      <w:r w:rsidR="00912DA2">
        <w:rPr>
          <w:rFonts w:cs="Arial"/>
        </w:rPr>
        <w:t>Australia</w:t>
      </w:r>
      <w:r w:rsidR="00F40D7F">
        <w:rPr>
          <w:rFonts w:cs="Arial"/>
        </w:rPr>
        <w:t>-</w:t>
      </w:r>
      <w:r w:rsidR="00912DA2">
        <w:rPr>
          <w:rFonts w:cs="Arial"/>
        </w:rPr>
        <w:t>wide RF testing</w:t>
      </w:r>
      <w:r w:rsidRPr="006048D4">
        <w:rPr>
          <w:rFonts w:cs="Arial"/>
        </w:rPr>
        <w:t>.</w:t>
      </w:r>
      <w:r w:rsidR="003F13A5">
        <w:rPr>
          <w:rStyle w:val="FootnoteReference"/>
          <w:rFonts w:cs="Arial"/>
        </w:rPr>
        <w:footnoteReference w:id="38"/>
      </w:r>
      <w:r w:rsidRPr="006048D4">
        <w:rPr>
          <w:rFonts w:cs="Arial"/>
        </w:rPr>
        <w:t xml:space="preserve"> </w:t>
      </w:r>
    </w:p>
    <w:p w14:paraId="1D49F8E2" w14:textId="5031DF8D" w:rsidR="00B545C0" w:rsidRPr="001B4716" w:rsidRDefault="00510C78" w:rsidP="004C1AB5">
      <w:r w:rsidRPr="006048D4">
        <w:rPr>
          <w:rFonts w:cs="Arial"/>
        </w:rPr>
        <w:t>On 14 December 2020, Communications Day reported that RAN</w:t>
      </w:r>
      <w:r w:rsidR="00F40D7F">
        <w:rPr>
          <w:rFonts w:cs="Arial"/>
        </w:rPr>
        <w:t>l</w:t>
      </w:r>
      <w:r w:rsidRPr="006048D4">
        <w:rPr>
          <w:rFonts w:cs="Arial"/>
        </w:rPr>
        <w:t>ytics had completed its trial of street-level measurement of all Telstra, Optus and Vodafone mobile phone radiofrequency networks in Newcastle, NSW. All Telstra, Optus and Vodafone 3G and 4G RF bands are now being measured daily on many streets in central Newcastle and surrounds. The resulting data is available to telecommunications engineers to locate blackspots and coverage holes, support network optimisation and improve network performance. The information is also accessible via a map-based web browser interface to organisations other than telecommunications operators</w:t>
      </w:r>
      <w:r w:rsidR="00F40D7F">
        <w:rPr>
          <w:rFonts w:cs="Arial"/>
        </w:rPr>
        <w:t xml:space="preserve"> –</w:t>
      </w:r>
      <w:r w:rsidRPr="006048D4">
        <w:rPr>
          <w:rFonts w:cs="Arial"/>
        </w:rPr>
        <w:t xml:space="preserve"> including government organisations</w:t>
      </w:r>
      <w:r w:rsidR="00F40D7F">
        <w:rPr>
          <w:rFonts w:cs="Arial"/>
        </w:rPr>
        <w:t xml:space="preserve"> –</w:t>
      </w:r>
      <w:r w:rsidRPr="006048D4">
        <w:rPr>
          <w:rFonts w:cs="Arial"/>
        </w:rPr>
        <w:t xml:space="preserve"> </w:t>
      </w:r>
      <w:r w:rsidR="00F40D7F">
        <w:rPr>
          <w:rFonts w:cs="Arial"/>
        </w:rPr>
        <w:t>who</w:t>
      </w:r>
      <w:r w:rsidRPr="006048D4">
        <w:rPr>
          <w:rFonts w:cs="Arial"/>
        </w:rPr>
        <w:t xml:space="preserve"> are interested in understanding mobile network coverage. Measurement of 5G networks commence</w:t>
      </w:r>
      <w:r w:rsidR="00F40D7F">
        <w:rPr>
          <w:rFonts w:cs="Arial"/>
        </w:rPr>
        <w:t>d</w:t>
      </w:r>
      <w:r w:rsidRPr="006048D4">
        <w:rPr>
          <w:rFonts w:cs="Arial"/>
        </w:rPr>
        <w:t xml:space="preserve"> in January</w:t>
      </w:r>
      <w:r w:rsidR="00322D88">
        <w:rPr>
          <w:rFonts w:cs="Arial"/>
        </w:rPr>
        <w:t xml:space="preserve"> 2021</w:t>
      </w:r>
      <w:r w:rsidR="00947A71">
        <w:rPr>
          <w:rFonts w:cs="Arial"/>
        </w:rPr>
        <w:t>, while e</w:t>
      </w:r>
      <w:r w:rsidRPr="006048D4">
        <w:rPr>
          <w:rFonts w:cs="Arial"/>
        </w:rPr>
        <w:t xml:space="preserve">mergency services radio networks – including those used by police, ambulance, rural and country fire services and other agencies – </w:t>
      </w:r>
      <w:r w:rsidR="00F40D7F">
        <w:rPr>
          <w:rFonts w:cs="Arial"/>
        </w:rPr>
        <w:t>were set for</w:t>
      </w:r>
      <w:r w:rsidRPr="006048D4">
        <w:rPr>
          <w:rFonts w:cs="Arial"/>
        </w:rPr>
        <w:t xml:space="preserve"> March 2021.</w:t>
      </w:r>
      <w:r w:rsidRPr="006048D4">
        <w:rPr>
          <w:rStyle w:val="FootnoteReference"/>
          <w:rFonts w:cs="Arial"/>
        </w:rPr>
        <w:footnoteReference w:id="39"/>
      </w:r>
    </w:p>
    <w:p w14:paraId="09D56985" w14:textId="74FFA897" w:rsidR="00510C78" w:rsidRPr="006048D4" w:rsidRDefault="00510C78" w:rsidP="00510C78">
      <w:pPr>
        <w:pStyle w:val="Paragraph"/>
        <w:rPr>
          <w:b/>
        </w:rPr>
      </w:pPr>
      <w:r w:rsidRPr="006048D4">
        <w:t>IoT devices can enable continuous monitoring of the environment. Data from IoT devices can then be monitored and analysed via online platforms</w:t>
      </w:r>
      <w:r w:rsidR="009801DC">
        <w:t xml:space="preserve">, including off-the-shelf </w:t>
      </w:r>
      <w:r w:rsidRPr="006048D4">
        <w:t>IoT analytics platforms</w:t>
      </w:r>
      <w:r w:rsidR="009801DC">
        <w:t xml:space="preserve"> offered by a range of suppliers</w:t>
      </w:r>
      <w:r w:rsidRPr="006048D4">
        <w:t>.</w:t>
      </w:r>
    </w:p>
    <w:p w14:paraId="28FEC744" w14:textId="7AE24E0A" w:rsidR="006048D4" w:rsidRPr="006048D4" w:rsidRDefault="006048D4" w:rsidP="006048D4">
      <w:pPr>
        <w:pStyle w:val="Heading3"/>
        <w:rPr>
          <w:iCs/>
        </w:rPr>
      </w:pPr>
      <w:bookmarkStart w:id="20" w:name="_Toc67489160"/>
      <w:r w:rsidRPr="006048D4">
        <w:rPr>
          <w:iCs/>
        </w:rPr>
        <w:t>Communications infrastructure monitoring and management</w:t>
      </w:r>
      <w:bookmarkEnd w:id="20"/>
    </w:p>
    <w:p w14:paraId="6B0CAD93" w14:textId="77777777" w:rsidR="006048D4" w:rsidRPr="006048D4" w:rsidRDefault="006048D4" w:rsidP="006048D4">
      <w:pPr>
        <w:spacing w:after="120"/>
        <w:rPr>
          <w:rFonts w:cs="Arial"/>
        </w:rPr>
      </w:pPr>
      <w:r w:rsidRPr="006048D4">
        <w:rPr>
          <w:rFonts w:cs="Arial"/>
        </w:rPr>
        <w:t xml:space="preserve">As highlighted above, IoT enables real-time monitoring of an environment or physical asset. This capability could be applied by telecommunications operators to monitor and manage their infrastructure, including during emergency events when network connectivity is essential. For example, IoT sensors could provide early indicators of facilities that could be damaged or impacted during a bushfire, supporting more rapid response and mitigation of service issues. </w:t>
      </w:r>
    </w:p>
    <w:p w14:paraId="606BDBF5" w14:textId="0E0AC394" w:rsidR="006048D4" w:rsidRPr="006048D4" w:rsidRDefault="006048D4" w:rsidP="006048D4">
      <w:pPr>
        <w:rPr>
          <w:rFonts w:cs="Arial"/>
        </w:rPr>
      </w:pPr>
      <w:r w:rsidRPr="006048D4">
        <w:rPr>
          <w:rFonts w:cs="Arial"/>
        </w:rPr>
        <w:t xml:space="preserve">CSIRO’s Data61 has demonstrated the use of sensors to monitor the health of infrastructure and enable predictive maintenance. In 2015, </w:t>
      </w:r>
      <w:r w:rsidRPr="001B4716">
        <w:rPr>
          <w:rFonts w:cs="Arial"/>
        </w:rPr>
        <w:t>Data61</w:t>
      </w:r>
      <w:r w:rsidRPr="006048D4">
        <w:rPr>
          <w:rFonts w:cs="Arial"/>
          <w:b/>
          <w:bCs/>
        </w:rPr>
        <w:t xml:space="preserve"> </w:t>
      </w:r>
      <w:r w:rsidRPr="006048D4">
        <w:rPr>
          <w:rFonts w:cs="Arial"/>
        </w:rPr>
        <w:t xml:space="preserve">partnered with Roads and Maritime Services NSW on a project that aimed to maximise the service life of the Sydney Harbour Bridge road deck. They implemented a monitoring system </w:t>
      </w:r>
      <w:r w:rsidRPr="006048D4">
        <w:rPr>
          <w:rFonts w:cs="Arial"/>
        </w:rPr>
        <w:lastRenderedPageBreak/>
        <w:t>using 2,400 sensors to collect information on the condition of the road and, using machine learning</w:t>
      </w:r>
      <w:r w:rsidR="00852D5A">
        <w:rPr>
          <w:rFonts w:cs="Arial"/>
        </w:rPr>
        <w:t>-</w:t>
      </w:r>
      <w:r w:rsidRPr="006048D4">
        <w:rPr>
          <w:rFonts w:cs="Arial"/>
        </w:rPr>
        <w:t>based predictive analysis, assess</w:t>
      </w:r>
      <w:r w:rsidR="00852D5A">
        <w:rPr>
          <w:rFonts w:cs="Arial"/>
        </w:rPr>
        <w:t>ed</w:t>
      </w:r>
      <w:r w:rsidRPr="006048D4">
        <w:rPr>
          <w:rFonts w:cs="Arial"/>
        </w:rPr>
        <w:t xml:space="preserve"> the data for early indicators of</w:t>
      </w:r>
      <w:r w:rsidR="00852D5A">
        <w:rPr>
          <w:rFonts w:cs="Arial"/>
        </w:rPr>
        <w:t> </w:t>
      </w:r>
      <w:r w:rsidRPr="006048D4">
        <w:rPr>
          <w:rFonts w:cs="Arial"/>
        </w:rPr>
        <w:t>problems.</w:t>
      </w:r>
      <w:r w:rsidRPr="006048D4">
        <w:rPr>
          <w:rStyle w:val="FootnoteReference"/>
          <w:rFonts w:cs="Arial"/>
        </w:rPr>
        <w:footnoteReference w:id="40"/>
      </w:r>
      <w:r w:rsidRPr="006048D4">
        <w:rPr>
          <w:rFonts w:cs="Arial"/>
        </w:rPr>
        <w:t xml:space="preserve">  </w:t>
      </w:r>
    </w:p>
    <w:p w14:paraId="6D72FABC" w14:textId="5626184F" w:rsidR="00510C78" w:rsidRPr="001B4716" w:rsidRDefault="006048D4" w:rsidP="001B4716">
      <w:pPr>
        <w:keepNext/>
        <w:keepLines/>
        <w:rPr>
          <w:rFonts w:cs="Arial"/>
        </w:rPr>
      </w:pPr>
      <w:r w:rsidRPr="006048D4">
        <w:rPr>
          <w:rFonts w:cs="Arial"/>
        </w:rPr>
        <w:t>Digital twins can further support communications infrastructure management, providing a virtual environment to test how infrastructure is impacted under different conditions such as a bushfire. Following Australia’s 2019</w:t>
      </w:r>
      <w:r w:rsidR="00B836DD">
        <w:rPr>
          <w:rFonts w:cs="Arial"/>
        </w:rPr>
        <w:t>–</w:t>
      </w:r>
      <w:r w:rsidRPr="006048D4">
        <w:rPr>
          <w:rFonts w:cs="Arial"/>
        </w:rPr>
        <w:t>20 bushfire season, Data61 partnered with the NSW Department of Customer Service with the aim of updating the NSW Spatial Digital Twin with information about telecommunications towers and assets to support emergency services in protecting these locations.</w:t>
      </w:r>
      <w:r w:rsidRPr="006048D4">
        <w:rPr>
          <w:rStyle w:val="FootnoteReference"/>
          <w:rFonts w:cs="Arial"/>
        </w:rPr>
        <w:footnoteReference w:id="41"/>
      </w:r>
      <w:r w:rsidRPr="006048D4">
        <w:rPr>
          <w:rFonts w:cs="Arial"/>
        </w:rPr>
        <w:t xml:space="preserve"> The project will scale to include all other telecommunications</w:t>
      </w:r>
      <w:r w:rsidR="00A926DE">
        <w:rPr>
          <w:rFonts w:cs="Arial"/>
        </w:rPr>
        <w:t xml:space="preserve"> and</w:t>
      </w:r>
      <w:r w:rsidRPr="006048D4">
        <w:rPr>
          <w:rFonts w:cs="Arial"/>
        </w:rPr>
        <w:t xml:space="preserve"> utility asset data.</w:t>
      </w:r>
      <w:r w:rsidRPr="006048D4">
        <w:rPr>
          <w:rStyle w:val="FootnoteReference"/>
          <w:rFonts w:cs="Arial"/>
        </w:rPr>
        <w:footnoteReference w:id="42"/>
      </w:r>
      <w:r w:rsidRPr="5DE1A59C">
        <w:rPr>
          <w:rFonts w:ascii="Arial Nova Light" w:hAnsi="Arial Nova Light"/>
        </w:rPr>
        <w:t xml:space="preserve"> </w:t>
      </w:r>
    </w:p>
    <w:p w14:paraId="6B7B2E71" w14:textId="65DFC1AE" w:rsidR="00101EF0" w:rsidRDefault="00101EF0" w:rsidP="00101EF0">
      <w:pPr>
        <w:pStyle w:val="Heading2"/>
      </w:pPr>
      <w:bookmarkStart w:id="21" w:name="_Toc67489161"/>
      <w:r>
        <w:t>Regulatory design</w:t>
      </w:r>
      <w:bookmarkEnd w:id="21"/>
      <w:r>
        <w:t xml:space="preserve"> </w:t>
      </w:r>
    </w:p>
    <w:p w14:paraId="6EBD5F21" w14:textId="77777777" w:rsidR="006048D4" w:rsidRPr="006048D4" w:rsidRDefault="006048D4" w:rsidP="006048D4">
      <w:pPr>
        <w:pStyle w:val="Heading3"/>
      </w:pPr>
      <w:bookmarkStart w:id="22" w:name="_Toc67489162"/>
      <w:r w:rsidRPr="006048D4">
        <w:t>Informing automated spectrum allocation and frequency assignments</w:t>
      </w:r>
      <w:bookmarkEnd w:id="22"/>
    </w:p>
    <w:p w14:paraId="58EA0477" w14:textId="1883C05B" w:rsidR="006048D4" w:rsidRPr="006048D4" w:rsidRDefault="006048D4" w:rsidP="006048D4">
      <w:pPr>
        <w:spacing w:after="120"/>
        <w:rPr>
          <w:rFonts w:cs="Arial"/>
        </w:rPr>
      </w:pPr>
      <w:r w:rsidRPr="006048D4">
        <w:rPr>
          <w:rFonts w:cs="Arial"/>
        </w:rPr>
        <w:t xml:space="preserve">New approaches to spectrum allocation and usage, based on emerging technologies, are being explored in several regulatory jurisdictions. In the US, the </w:t>
      </w:r>
      <w:r w:rsidRPr="001B4716">
        <w:rPr>
          <w:rFonts w:cs="Arial"/>
        </w:rPr>
        <w:t>Defense Advanced Research Projects Agency (DARPA)</w:t>
      </w:r>
      <w:r w:rsidRPr="00B836DD">
        <w:rPr>
          <w:rFonts w:cs="Arial"/>
        </w:rPr>
        <w:t xml:space="preserve"> is focusing on find</w:t>
      </w:r>
      <w:r w:rsidRPr="006048D4">
        <w:rPr>
          <w:rFonts w:cs="Arial"/>
        </w:rPr>
        <w:t xml:space="preserve">ing an autonomous, adaptive and cooperative spectrum management platform solution. DARPA’s 3-year ‘Spectrum Collaboration Challenge’ aims to develop a way to have technology, rather than humans, power spectrum sharing across systems. Dynamic spectrum sharing (DSA) approaches were explored and </w:t>
      </w:r>
      <w:hyperlink r:id="rId43" w:history="1">
        <w:r w:rsidRPr="007E7D82">
          <w:rPr>
            <w:rStyle w:val="Hyperlink"/>
            <w:rFonts w:cs="Arial"/>
          </w:rPr>
          <w:t>consulted on</w:t>
        </w:r>
      </w:hyperlink>
      <w:r w:rsidRPr="006048D4">
        <w:rPr>
          <w:rFonts w:cs="Arial"/>
        </w:rPr>
        <w:t xml:space="preserve"> by the ACMA in </w:t>
      </w:r>
      <w:r w:rsidR="007E7D82">
        <w:rPr>
          <w:rFonts w:cs="Arial"/>
        </w:rPr>
        <w:t>2019</w:t>
      </w:r>
      <w:r w:rsidR="00D4488A">
        <w:rPr>
          <w:rFonts w:cs="Arial"/>
        </w:rPr>
        <w:t>–</w:t>
      </w:r>
      <w:r w:rsidRPr="006048D4">
        <w:rPr>
          <w:rFonts w:cs="Arial"/>
        </w:rPr>
        <w:t xml:space="preserve">20, however there was limited industry appetite for progressing new DSA approaches. </w:t>
      </w:r>
    </w:p>
    <w:p w14:paraId="24BA1E93" w14:textId="5E785113" w:rsidR="006048D4" w:rsidRPr="006048D4" w:rsidRDefault="006048D4" w:rsidP="006048D4">
      <w:pPr>
        <w:rPr>
          <w:rFonts w:cs="Arial"/>
        </w:rPr>
      </w:pPr>
      <w:r w:rsidRPr="006048D4">
        <w:rPr>
          <w:rFonts w:cs="Arial"/>
        </w:rPr>
        <w:t xml:space="preserve">IoT devices could play an important role in more autonomous spectrum management approaches. For example, </w:t>
      </w:r>
      <w:r w:rsidR="009801DC">
        <w:rPr>
          <w:rFonts w:cs="Arial"/>
        </w:rPr>
        <w:t xml:space="preserve">the </w:t>
      </w:r>
      <w:r w:rsidRPr="006048D4">
        <w:rPr>
          <w:rFonts w:cs="Arial"/>
        </w:rPr>
        <w:t>B</w:t>
      </w:r>
      <w:r w:rsidR="009801DC">
        <w:rPr>
          <w:rFonts w:cs="Arial"/>
        </w:rPr>
        <w:t xml:space="preserve">oston </w:t>
      </w:r>
      <w:r w:rsidRPr="006048D4">
        <w:rPr>
          <w:rFonts w:cs="Arial"/>
        </w:rPr>
        <w:t>C</w:t>
      </w:r>
      <w:r w:rsidR="009801DC">
        <w:rPr>
          <w:rFonts w:cs="Arial"/>
        </w:rPr>
        <w:t xml:space="preserve">onsulting </w:t>
      </w:r>
      <w:r w:rsidRPr="006048D4">
        <w:rPr>
          <w:rFonts w:cs="Arial"/>
        </w:rPr>
        <w:t>G</w:t>
      </w:r>
      <w:r w:rsidR="009801DC">
        <w:rPr>
          <w:rFonts w:cs="Arial"/>
        </w:rPr>
        <w:t xml:space="preserve">roup </w:t>
      </w:r>
      <w:r w:rsidR="00287629">
        <w:rPr>
          <w:rFonts w:cs="Arial"/>
        </w:rPr>
        <w:t>reports</w:t>
      </w:r>
      <w:r w:rsidRPr="006048D4">
        <w:rPr>
          <w:rFonts w:cs="Arial"/>
        </w:rPr>
        <w:t xml:space="preserve"> the US Federal Communications Commission wants the agency to use blockchain to allocate spectrum more autonomously. IoT devices may serve a useful role in detecting and reporting spectrum activity and interference back to the blockchain. Spectrum usage data collected via IoT devices could be transmitted to a source that can act on the information and adjust allocation in real time.</w:t>
      </w:r>
      <w:r w:rsidRPr="006048D4">
        <w:rPr>
          <w:rStyle w:val="FootnoteReference"/>
          <w:rFonts w:cs="Arial"/>
        </w:rPr>
        <w:footnoteReference w:id="43"/>
      </w:r>
    </w:p>
    <w:p w14:paraId="1333C2F9" w14:textId="117719D6" w:rsidR="006048D4" w:rsidRPr="006048D4" w:rsidRDefault="008A4F39" w:rsidP="006048D4">
      <w:pPr>
        <w:rPr>
          <w:rFonts w:cs="Arial"/>
        </w:rPr>
      </w:pPr>
      <w:r w:rsidRPr="00553D28">
        <w:rPr>
          <w:rFonts w:cs="Arial"/>
          <w:szCs w:val="20"/>
        </w:rPr>
        <w:t xml:space="preserve">The </w:t>
      </w:r>
      <w:r w:rsidRPr="00E84BE7">
        <w:rPr>
          <w:rFonts w:cs="Arial"/>
          <w:color w:val="202122"/>
          <w:szCs w:val="20"/>
          <w:shd w:val="clear" w:color="auto" w:fill="FFFFFF"/>
        </w:rPr>
        <w:t xml:space="preserve">Office of Communications </w:t>
      </w:r>
      <w:r w:rsidR="00553D28" w:rsidRPr="00E84BE7">
        <w:rPr>
          <w:rFonts w:cs="Arial"/>
          <w:color w:val="202122"/>
          <w:szCs w:val="20"/>
          <w:shd w:val="clear" w:color="auto" w:fill="FFFFFF"/>
        </w:rPr>
        <w:t>(</w:t>
      </w:r>
      <w:r w:rsidR="00553D28" w:rsidRPr="00553D28">
        <w:rPr>
          <w:rFonts w:cs="Arial"/>
          <w:szCs w:val="20"/>
        </w:rPr>
        <w:t>Ofcom</w:t>
      </w:r>
      <w:r w:rsidR="00553D28" w:rsidRPr="00E84BE7">
        <w:rPr>
          <w:rFonts w:cs="Arial"/>
          <w:color w:val="202122"/>
          <w:szCs w:val="20"/>
          <w:shd w:val="clear" w:color="auto" w:fill="FFFFFF"/>
        </w:rPr>
        <w:t>) in the</w:t>
      </w:r>
      <w:r w:rsidR="00553D28" w:rsidRPr="00E84BE7">
        <w:rPr>
          <w:rFonts w:cs="Arial"/>
          <w:b/>
          <w:bCs/>
          <w:color w:val="202122"/>
          <w:szCs w:val="20"/>
          <w:shd w:val="clear" w:color="auto" w:fill="FFFFFF"/>
        </w:rPr>
        <w:t xml:space="preserve"> </w:t>
      </w:r>
      <w:r w:rsidR="00553D28" w:rsidRPr="00E84BE7">
        <w:rPr>
          <w:rFonts w:cs="Arial"/>
          <w:color w:val="202122"/>
          <w:szCs w:val="20"/>
          <w:shd w:val="clear" w:color="auto" w:fill="FFFFFF"/>
        </w:rPr>
        <w:t xml:space="preserve">UK </w:t>
      </w:r>
      <w:r w:rsidR="006048D4" w:rsidRPr="00553D28">
        <w:rPr>
          <w:rFonts w:cs="Arial"/>
          <w:szCs w:val="20"/>
        </w:rPr>
        <w:t>similarly</w:t>
      </w:r>
      <w:r w:rsidR="006048D4" w:rsidRPr="006048D4">
        <w:rPr>
          <w:rFonts w:cs="Arial"/>
        </w:rPr>
        <w:t xml:space="preserve"> acknowledged the potential for AI to automate some of its spectrum management decisions to provide more efficient use of spectrum and a faster assignment of frequencies.</w:t>
      </w:r>
      <w:r w:rsidR="006048D4" w:rsidRPr="006048D4">
        <w:rPr>
          <w:rStyle w:val="FootnoteReference"/>
          <w:rFonts w:cs="Arial"/>
        </w:rPr>
        <w:footnoteReference w:id="44"/>
      </w:r>
      <w:r w:rsidR="006048D4" w:rsidRPr="006048D4">
        <w:rPr>
          <w:rFonts w:cs="Arial"/>
        </w:rPr>
        <w:t xml:space="preserve"> However, Ofcom noted that utilising AI-based systems ‘will also require significantly enhanced spectrum monitoring capabilities within environments and devices themselves to allow characterisation of the environment and signal classification necessary as inputs to the system machine learning processes</w:t>
      </w:r>
      <w:r w:rsidR="00D51503">
        <w:rPr>
          <w:rFonts w:cs="Arial"/>
        </w:rPr>
        <w:t>’</w:t>
      </w:r>
      <w:r w:rsidR="006048D4" w:rsidRPr="006048D4">
        <w:rPr>
          <w:rFonts w:cs="Arial"/>
        </w:rPr>
        <w:t>.</w:t>
      </w:r>
      <w:r w:rsidR="006048D4" w:rsidRPr="006048D4">
        <w:rPr>
          <w:rStyle w:val="FootnoteReference"/>
          <w:rFonts w:cs="Arial"/>
        </w:rPr>
        <w:footnoteReference w:id="45"/>
      </w:r>
      <w:r w:rsidR="006048D4" w:rsidRPr="006048D4">
        <w:rPr>
          <w:rFonts w:cs="Arial"/>
        </w:rPr>
        <w:t xml:space="preserve"> Enhancements in sensor technologies will support the capabilities required for more automated spectrum management.</w:t>
      </w:r>
    </w:p>
    <w:p w14:paraId="1D4C6FBA" w14:textId="77777777" w:rsidR="006048D4" w:rsidRDefault="006048D4" w:rsidP="006048D4">
      <w:pPr>
        <w:pStyle w:val="Heading3"/>
        <w:rPr>
          <w:i/>
        </w:rPr>
      </w:pPr>
      <w:bookmarkStart w:id="23" w:name="_Toc67489163"/>
      <w:r>
        <w:t>Coverage analysis and predictive modelling</w:t>
      </w:r>
      <w:bookmarkEnd w:id="23"/>
    </w:p>
    <w:p w14:paraId="28E92977" w14:textId="77777777" w:rsidR="000C3035" w:rsidRDefault="006048D4" w:rsidP="006048D4">
      <w:pPr>
        <w:spacing w:after="120"/>
        <w:rPr>
          <w:rFonts w:cs="Arial"/>
        </w:rPr>
      </w:pPr>
      <w:r w:rsidRPr="006048D4">
        <w:rPr>
          <w:rFonts w:cs="Arial"/>
        </w:rPr>
        <w:t xml:space="preserve">A digital twin, in providing a digital replica of real-world environments, could potentially support coverage analysis and modelling, building on GIS applications currently available. A digital twin could incorporate a range of data including, for example, data collated about licenced devices such as through the ACMA’s </w:t>
      </w:r>
      <w:hyperlink r:id="rId44" w:history="1">
        <w:r w:rsidRPr="00EC65B3">
          <w:rPr>
            <w:rStyle w:val="Hyperlink"/>
            <w:rFonts w:cs="Arial"/>
          </w:rPr>
          <w:t xml:space="preserve">Register of Radiocommunications </w:t>
        </w:r>
        <w:r w:rsidR="00746BF8" w:rsidRPr="00EC65B3">
          <w:rPr>
            <w:rStyle w:val="Hyperlink"/>
            <w:rFonts w:cs="Arial"/>
          </w:rPr>
          <w:t>Licences</w:t>
        </w:r>
      </w:hyperlink>
      <w:r w:rsidR="00BB7A7C">
        <w:rPr>
          <w:rFonts w:cs="Arial"/>
        </w:rPr>
        <w:t>.</w:t>
      </w:r>
      <w:r w:rsidRPr="006048D4">
        <w:rPr>
          <w:rFonts w:cs="Arial"/>
        </w:rPr>
        <w:t xml:space="preserve"> </w:t>
      </w:r>
      <w:r w:rsidR="00BB7A7C">
        <w:rPr>
          <w:rFonts w:cs="Arial"/>
        </w:rPr>
        <w:t xml:space="preserve">It could also incorporate </w:t>
      </w:r>
      <w:r w:rsidRPr="006048D4">
        <w:rPr>
          <w:rFonts w:cs="Arial"/>
        </w:rPr>
        <w:t>data about the features impacting radiocommunications</w:t>
      </w:r>
      <w:r w:rsidR="00BB7A7C">
        <w:rPr>
          <w:rFonts w:cs="Arial"/>
        </w:rPr>
        <w:t>,</w:t>
      </w:r>
      <w:r w:rsidRPr="006048D4">
        <w:rPr>
          <w:rFonts w:cs="Arial"/>
        </w:rPr>
        <w:t xml:space="preserve"> such as trees and buildings, weather, tower locations, </w:t>
      </w:r>
      <w:proofErr w:type="gramStart"/>
      <w:r w:rsidRPr="006048D4">
        <w:rPr>
          <w:rFonts w:cs="Arial"/>
        </w:rPr>
        <w:t>heights</w:t>
      </w:r>
      <w:proofErr w:type="gramEnd"/>
      <w:r w:rsidRPr="006048D4">
        <w:rPr>
          <w:rFonts w:cs="Arial"/>
        </w:rPr>
        <w:t xml:space="preserve"> and antenna types. </w:t>
      </w:r>
    </w:p>
    <w:p w14:paraId="18FE4F8E" w14:textId="6B25EC5A" w:rsidR="006048D4" w:rsidRPr="006048D4" w:rsidRDefault="006048D4" w:rsidP="006048D4">
      <w:pPr>
        <w:spacing w:after="120"/>
        <w:rPr>
          <w:rFonts w:cs="Arial"/>
        </w:rPr>
      </w:pPr>
      <w:r w:rsidRPr="006048D4">
        <w:rPr>
          <w:rFonts w:cs="Arial"/>
        </w:rPr>
        <w:lastRenderedPageBreak/>
        <w:t>Visualisation of the communications environment through a digital twin could enable more efficient analysis</w:t>
      </w:r>
      <w:r w:rsidR="00BB7A7C">
        <w:rPr>
          <w:rFonts w:cs="Arial"/>
        </w:rPr>
        <w:t>,</w:t>
      </w:r>
      <w:r w:rsidRPr="006048D4">
        <w:rPr>
          <w:rFonts w:cs="Arial"/>
        </w:rPr>
        <w:t xml:space="preserve"> including scenario testing. This could potentially inform regulation, such as licence area plans.</w:t>
      </w:r>
    </w:p>
    <w:p w14:paraId="6F3EBC5F" w14:textId="08D9EDB9" w:rsidR="006048D4" w:rsidRPr="006048D4" w:rsidRDefault="00C90217" w:rsidP="006048D4">
      <w:pPr>
        <w:rPr>
          <w:rFonts w:cs="Arial"/>
          <w:szCs w:val="20"/>
        </w:rPr>
      </w:pPr>
      <w:r>
        <w:rPr>
          <w:rFonts w:cs="Arial"/>
        </w:rPr>
        <w:t>The ACMA’s desktop research has not</w:t>
      </w:r>
      <w:r w:rsidR="00CF7988">
        <w:rPr>
          <w:rFonts w:cs="Arial"/>
        </w:rPr>
        <w:t>,</w:t>
      </w:r>
      <w:r w:rsidR="000F5FF1">
        <w:rPr>
          <w:rFonts w:cs="Arial"/>
        </w:rPr>
        <w:t xml:space="preserve"> to date</w:t>
      </w:r>
      <w:r w:rsidR="00CF7988">
        <w:rPr>
          <w:rFonts w:cs="Arial"/>
        </w:rPr>
        <w:t>,</w:t>
      </w:r>
      <w:r w:rsidR="006048D4" w:rsidRPr="006048D4">
        <w:rPr>
          <w:rFonts w:cs="Arial"/>
        </w:rPr>
        <w:t xml:space="preserve"> found examples of communications </w:t>
      </w:r>
      <w:r w:rsidR="006048D4" w:rsidRPr="006048D4">
        <w:rPr>
          <w:rFonts w:cs="Arial"/>
          <w:szCs w:val="20"/>
        </w:rPr>
        <w:t>regulatory authorities testing and using digital twins for radiocommunications modelling</w:t>
      </w:r>
      <w:r w:rsidR="00CF7988">
        <w:rPr>
          <w:rFonts w:cs="Arial"/>
          <w:szCs w:val="20"/>
        </w:rPr>
        <w:t>. Ho</w:t>
      </w:r>
      <w:r w:rsidR="006048D4" w:rsidRPr="006048D4">
        <w:rPr>
          <w:rFonts w:cs="Arial"/>
          <w:szCs w:val="20"/>
        </w:rPr>
        <w:t>wever, there has been research in this area. In 2020, researchers proposed a signal guidance and control system that uses a digital twin to optimise terahertz (THz) signal propagation within an indoor space.</w:t>
      </w:r>
      <w:r w:rsidR="008B702C">
        <w:rPr>
          <w:rStyle w:val="FootnoteReference"/>
          <w:rFonts w:cs="Arial"/>
          <w:szCs w:val="20"/>
        </w:rPr>
        <w:footnoteReference w:id="46"/>
      </w:r>
      <w:r w:rsidR="006048D4" w:rsidRPr="006048D4">
        <w:rPr>
          <w:rFonts w:cs="Arial"/>
          <w:szCs w:val="20"/>
        </w:rPr>
        <w:t xml:space="preserve"> THz frequencies are receiving attention for future high-speed wireless links; however, this spectrum band has propagation limitations that pose challenges. Obstacles can cause coverage blackspots, resulting in the failure of base station to mobile endpoint connections. To solve this issue, the research community has recently explored the use of metasurface</w:t>
      </w:r>
      <w:r w:rsidR="006048D4" w:rsidRPr="006048D4">
        <w:rPr>
          <w:rStyle w:val="FootnoteReference"/>
          <w:rFonts w:cs="Arial"/>
          <w:szCs w:val="20"/>
        </w:rPr>
        <w:footnoteReference w:id="47"/>
      </w:r>
      <w:r w:rsidR="006048D4" w:rsidRPr="006048D4">
        <w:rPr>
          <w:rFonts w:cs="Arial"/>
          <w:szCs w:val="20"/>
        </w:rPr>
        <w:t xml:space="preserve"> reflectors that reflect and steer THz beams around such obstacles. </w:t>
      </w:r>
    </w:p>
    <w:p w14:paraId="54CD74C8" w14:textId="24DB0643" w:rsidR="006048D4" w:rsidRDefault="006048D4" w:rsidP="006048D4">
      <w:pPr>
        <w:rPr>
          <w:rFonts w:cs="Arial"/>
          <w:szCs w:val="20"/>
        </w:rPr>
      </w:pPr>
      <w:r w:rsidRPr="006048D4">
        <w:rPr>
          <w:rFonts w:cs="Arial"/>
          <w:szCs w:val="20"/>
        </w:rPr>
        <w:t>The 2020 research paper outlined the use of a digital twin to derive signal paths that ensure transmission even in the presence of obstacles, with reflectors present to change the direction of the THz beams as needed.</w:t>
      </w:r>
      <w:r w:rsidRPr="006048D4">
        <w:rPr>
          <w:rStyle w:val="FootnoteReference"/>
          <w:rFonts w:cs="Arial"/>
          <w:szCs w:val="20"/>
        </w:rPr>
        <w:footnoteReference w:id="48"/>
      </w:r>
      <w:r w:rsidRPr="006048D4">
        <w:rPr>
          <w:rFonts w:cs="Arial"/>
          <w:szCs w:val="20"/>
        </w:rPr>
        <w:t xml:space="preserve"> The twin enables complex calculations including ray tracing, path</w:t>
      </w:r>
      <w:r w:rsidR="00393F4E">
        <w:rPr>
          <w:rFonts w:cs="Arial"/>
          <w:szCs w:val="20"/>
        </w:rPr>
        <w:t>-</w:t>
      </w:r>
      <w:r w:rsidRPr="006048D4">
        <w:rPr>
          <w:rFonts w:cs="Arial"/>
          <w:szCs w:val="20"/>
        </w:rPr>
        <w:t>loss prediction, and antenna, reflector and mobile endpoint alignment. This system helps ensure the antenna strip selected for emitting the signal has a line of sight from the base station to the mobile endpoint, if necessary, via a reflector. A set of cameras stream images of the space to ensure the digital twin is synchronised with the obstacles that would impact signal transmission. The paper concludes that ‘our proposed solution is the first step towards an autonomous THz propagation control system to provide and maintain reliable high-capacity connections for users in spaces’.</w:t>
      </w:r>
      <w:r w:rsidRPr="006048D4">
        <w:rPr>
          <w:rStyle w:val="FootnoteReference"/>
          <w:rFonts w:cs="Arial"/>
          <w:szCs w:val="20"/>
        </w:rPr>
        <w:footnoteReference w:id="49"/>
      </w:r>
      <w:r w:rsidRPr="006048D4">
        <w:rPr>
          <w:rFonts w:cs="Arial"/>
          <w:szCs w:val="20"/>
        </w:rPr>
        <w:t xml:space="preserve">  </w:t>
      </w:r>
    </w:p>
    <w:p w14:paraId="49ACACAE" w14:textId="6B07A88A" w:rsidR="006048D4" w:rsidRPr="00266CF8" w:rsidRDefault="006048D4" w:rsidP="006048D4">
      <w:pPr>
        <w:pStyle w:val="Figureheading"/>
      </w:pPr>
      <w:r w:rsidRPr="004B02C7">
        <w:rPr>
          <w:sz w:val="18"/>
          <w:szCs w:val="18"/>
        </w:rPr>
        <w:lastRenderedPageBreak/>
        <w:t xml:space="preserve">Digital </w:t>
      </w:r>
      <w:r w:rsidR="00393F4E">
        <w:rPr>
          <w:sz w:val="18"/>
          <w:szCs w:val="18"/>
        </w:rPr>
        <w:t>t</w:t>
      </w:r>
      <w:r w:rsidRPr="004B02C7">
        <w:rPr>
          <w:sz w:val="18"/>
          <w:szCs w:val="18"/>
        </w:rPr>
        <w:t xml:space="preserve">win for </w:t>
      </w:r>
      <w:r w:rsidR="00393F4E">
        <w:rPr>
          <w:sz w:val="18"/>
          <w:szCs w:val="18"/>
        </w:rPr>
        <w:t>m</w:t>
      </w:r>
      <w:r w:rsidRPr="004B02C7">
        <w:rPr>
          <w:sz w:val="18"/>
          <w:szCs w:val="18"/>
        </w:rPr>
        <w:t xml:space="preserve">etasurface </w:t>
      </w:r>
      <w:r w:rsidR="00393F4E">
        <w:rPr>
          <w:sz w:val="18"/>
          <w:szCs w:val="18"/>
        </w:rPr>
        <w:t>r</w:t>
      </w:r>
      <w:r w:rsidRPr="004B02C7">
        <w:rPr>
          <w:sz w:val="18"/>
          <w:szCs w:val="18"/>
        </w:rPr>
        <w:t xml:space="preserve">eflector </w:t>
      </w:r>
      <w:r w:rsidR="00393F4E">
        <w:rPr>
          <w:sz w:val="18"/>
          <w:szCs w:val="18"/>
        </w:rPr>
        <w:t>m</w:t>
      </w:r>
      <w:r w:rsidRPr="004B02C7">
        <w:rPr>
          <w:sz w:val="18"/>
          <w:szCs w:val="18"/>
        </w:rPr>
        <w:t xml:space="preserve">anagement in 6G </w:t>
      </w:r>
      <w:r w:rsidR="00393F4E">
        <w:rPr>
          <w:sz w:val="18"/>
          <w:szCs w:val="18"/>
        </w:rPr>
        <w:t>t</w:t>
      </w:r>
      <w:r w:rsidRPr="004B02C7">
        <w:rPr>
          <w:sz w:val="18"/>
          <w:szCs w:val="18"/>
        </w:rPr>
        <w:t xml:space="preserve">erahertz </w:t>
      </w:r>
      <w:r w:rsidR="00393F4E">
        <w:rPr>
          <w:sz w:val="18"/>
          <w:szCs w:val="18"/>
        </w:rPr>
        <w:t>c</w:t>
      </w:r>
      <w:r w:rsidRPr="004B02C7">
        <w:rPr>
          <w:sz w:val="18"/>
          <w:szCs w:val="18"/>
        </w:rPr>
        <w:t>ommunications</w:t>
      </w:r>
    </w:p>
    <w:p w14:paraId="31E9A6B1" w14:textId="06835935" w:rsidR="00670BA9" w:rsidRDefault="006048D4" w:rsidP="001B4716">
      <w:pPr>
        <w:pStyle w:val="Paragraph"/>
        <w:rPr>
          <w:sz w:val="16"/>
          <w:szCs w:val="16"/>
        </w:rPr>
      </w:pPr>
      <w:r>
        <w:rPr>
          <w:noProof/>
        </w:rPr>
        <w:drawing>
          <wp:inline distT="0" distB="0" distL="0" distR="0" wp14:anchorId="0A1D8337" wp14:editId="12938A07">
            <wp:extent cx="4562475" cy="3110246"/>
            <wp:effectExtent l="0" t="0" r="0" b="0"/>
            <wp:docPr id="10" name="Picture 10" descr="Figure 4: Digital twin for metasurface reflector management in 6G terahertz commun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Figure 4: Digital twin for metasurface reflector management in 6G terahertz communications"/>
                    <pic:cNvPicPr/>
                  </pic:nvPicPr>
                  <pic:blipFill>
                    <a:blip r:embed="rId45">
                      <a:extLst>
                        <a:ext uri="{28A0092B-C50C-407E-A947-70E740481C1C}">
                          <a14:useLocalDpi xmlns:a14="http://schemas.microsoft.com/office/drawing/2010/main" val="0"/>
                        </a:ext>
                      </a:extLst>
                    </a:blip>
                    <a:stretch>
                      <a:fillRect/>
                    </a:stretch>
                  </pic:blipFill>
                  <pic:spPr>
                    <a:xfrm>
                      <a:off x="0" y="0"/>
                      <a:ext cx="4562475" cy="3110246"/>
                    </a:xfrm>
                    <a:prstGeom prst="rect">
                      <a:avLst/>
                    </a:prstGeom>
                  </pic:spPr>
                </pic:pic>
              </a:graphicData>
            </a:graphic>
          </wp:inline>
        </w:drawing>
      </w:r>
    </w:p>
    <w:p w14:paraId="6D90D25D" w14:textId="1257D9F8" w:rsidR="002D008B" w:rsidRPr="00642F79" w:rsidRDefault="002D008B" w:rsidP="001B4716">
      <w:pPr>
        <w:pStyle w:val="Tableorfigurenote"/>
        <w:rPr>
          <w:szCs w:val="16"/>
        </w:rPr>
      </w:pPr>
      <w:r w:rsidRPr="00642F79">
        <w:rPr>
          <w:szCs w:val="16"/>
        </w:rPr>
        <w:t>Source:</w:t>
      </w:r>
      <w:r w:rsidR="004E1F7C" w:rsidRPr="009E0077">
        <w:rPr>
          <w:szCs w:val="16"/>
        </w:rPr>
        <w:t xml:space="preserve"> </w:t>
      </w:r>
      <w:r w:rsidR="004E1F7C" w:rsidRPr="00642F79">
        <w:rPr>
          <w:szCs w:val="16"/>
        </w:rPr>
        <w:t>IEEE Access.</w:t>
      </w:r>
    </w:p>
    <w:p w14:paraId="3850930F" w14:textId="4F51B830" w:rsidR="006048D4" w:rsidRPr="006048D4" w:rsidRDefault="006048D4" w:rsidP="001B4716">
      <w:pPr>
        <w:keepNext/>
        <w:keepLines/>
        <w:rPr>
          <w:rFonts w:cs="Arial"/>
          <w:szCs w:val="20"/>
        </w:rPr>
      </w:pPr>
      <w:r w:rsidRPr="006048D4">
        <w:rPr>
          <w:rFonts w:cs="Arial"/>
          <w:szCs w:val="20"/>
        </w:rPr>
        <w:t>Digital twins are also being deployed by industry to inform their decision-making in relation to network design and management. As highlighted earlier in this paper, Nokia’s ‘Digital Design</w:t>
      </w:r>
      <w:r w:rsidR="00BA420B">
        <w:rPr>
          <w:rFonts w:cs="Arial"/>
          <w:szCs w:val="20"/>
        </w:rPr>
        <w:t>’</w:t>
      </w:r>
      <w:r w:rsidRPr="006048D4">
        <w:rPr>
          <w:rFonts w:cs="Arial"/>
          <w:szCs w:val="20"/>
        </w:rPr>
        <w:t xml:space="preserve"> service announced in 2018 was developed to support network design and the creation of digital twins for 5G use cases.</w:t>
      </w:r>
      <w:r w:rsidRPr="006048D4">
        <w:rPr>
          <w:rStyle w:val="FootnoteReference"/>
          <w:rFonts w:cs="Arial"/>
          <w:szCs w:val="20"/>
        </w:rPr>
        <w:footnoteReference w:id="50"/>
      </w:r>
      <w:r w:rsidRPr="006048D4">
        <w:rPr>
          <w:rFonts w:cs="Arial"/>
          <w:szCs w:val="20"/>
        </w:rPr>
        <w:t xml:space="preserve"> Telstra and Microsoft also announced in 2020 that they were partnering to develop digital twins for Telstra customers, with an initial focus on twins for asset tracking, supply chain management and smart spaces.</w:t>
      </w:r>
    </w:p>
    <w:p w14:paraId="00328B99" w14:textId="61540824" w:rsidR="00101EF0" w:rsidRDefault="006048D4" w:rsidP="00E46E84">
      <w:pPr>
        <w:pStyle w:val="Heading1"/>
      </w:pPr>
      <w:bookmarkStart w:id="24" w:name="_Toc67489164"/>
      <w:r>
        <w:lastRenderedPageBreak/>
        <w:t>Challenges</w:t>
      </w:r>
      <w:bookmarkEnd w:id="24"/>
    </w:p>
    <w:p w14:paraId="13BB98F1" w14:textId="0D13F304" w:rsidR="006048D4" w:rsidRDefault="006048D4" w:rsidP="001B4716">
      <w:pPr>
        <w:pStyle w:val="Paragraphbeforelist"/>
      </w:pPr>
      <w:r>
        <w:t>There are</w:t>
      </w:r>
      <w:r w:rsidDel="00CE3FFA">
        <w:t xml:space="preserve"> </w:t>
      </w:r>
      <w:r w:rsidR="00CE3FFA">
        <w:t xml:space="preserve">a number of challenges associated with the use of </w:t>
      </w:r>
      <w:r>
        <w:t>IoT and digital twins</w:t>
      </w:r>
      <w:r w:rsidR="00CE3FFA">
        <w:t>,</w:t>
      </w:r>
      <w:r w:rsidR="00BA420B">
        <w:t> </w:t>
      </w:r>
      <w:r w:rsidR="00CE3FFA">
        <w:t>including</w:t>
      </w:r>
      <w:r w:rsidDel="00CE3FFA">
        <w:t>:</w:t>
      </w:r>
      <w:r>
        <w:rPr>
          <w:rStyle w:val="FootnoteReference"/>
        </w:rPr>
        <w:footnoteReference w:id="51"/>
      </w:r>
    </w:p>
    <w:p w14:paraId="1EE70296" w14:textId="3501004B" w:rsidR="006048D4" w:rsidRPr="009E0077" w:rsidRDefault="006048D4" w:rsidP="001B4716">
      <w:pPr>
        <w:pStyle w:val="Bulletlevel1"/>
      </w:pPr>
      <w:r w:rsidRPr="009E0077">
        <w:rPr>
          <w:b/>
          <w:bCs/>
        </w:rPr>
        <w:t>Infrastructure</w:t>
      </w:r>
      <w:r w:rsidRPr="0066211D">
        <w:t>: well-planned</w:t>
      </w:r>
      <w:r w:rsidR="0058173E" w:rsidRPr="00642F79">
        <w:t>, high performance</w:t>
      </w:r>
      <w:r w:rsidRPr="009E0077">
        <w:t xml:space="preserve"> infrastructure is required to gather the most useful data</w:t>
      </w:r>
      <w:r w:rsidR="00216608">
        <w:t xml:space="preserve">. </w:t>
      </w:r>
      <w:r w:rsidR="000D7578">
        <w:t>Legacy infrastructure</w:t>
      </w:r>
      <w:r w:rsidR="00BA3143">
        <w:t xml:space="preserve"> may </w:t>
      </w:r>
      <w:r w:rsidR="000D7578">
        <w:t xml:space="preserve">pose challenges with </w:t>
      </w:r>
      <w:r w:rsidR="00A21214">
        <w:t>integration</w:t>
      </w:r>
      <w:r w:rsidR="00086A23">
        <w:t xml:space="preserve"> </w:t>
      </w:r>
      <w:r w:rsidR="009449C8">
        <w:t xml:space="preserve">of new technologies. </w:t>
      </w:r>
      <w:r w:rsidR="00A34FA7">
        <w:t xml:space="preserve"> </w:t>
      </w:r>
    </w:p>
    <w:p w14:paraId="1F5AEE57" w14:textId="1359DEEC" w:rsidR="006048D4" w:rsidRDefault="006048D4" w:rsidP="001B4716">
      <w:pPr>
        <w:pStyle w:val="Bulletlevel1"/>
      </w:pPr>
      <w:r w:rsidRPr="006048D4">
        <w:rPr>
          <w:b/>
          <w:bCs/>
        </w:rPr>
        <w:t>Data quality</w:t>
      </w:r>
      <w:r>
        <w:t>: there is a need to gather quality data</w:t>
      </w:r>
      <w:r w:rsidR="00CE2F3D">
        <w:t xml:space="preserve">, </w:t>
      </w:r>
      <w:r w:rsidR="00F41865">
        <w:t xml:space="preserve">often </w:t>
      </w:r>
      <w:r w:rsidR="00CE2F3D">
        <w:t>in large qua</w:t>
      </w:r>
      <w:r w:rsidR="00F41865">
        <w:t>ntities,</w:t>
      </w:r>
      <w:r>
        <w:t xml:space="preserve"> in a near constant, uninterrupted stream. The quality and number of IoT signals is an essential factor for digital twin data.</w:t>
      </w:r>
      <w:r w:rsidR="00EC6EDA">
        <w:t xml:space="preserve"> If the data used is poor </w:t>
      </w:r>
      <w:r w:rsidR="008E3620">
        <w:t xml:space="preserve">or </w:t>
      </w:r>
      <w:r w:rsidR="00E16FDA">
        <w:t>incomplete</w:t>
      </w:r>
      <w:r w:rsidR="008E3620">
        <w:t xml:space="preserve">, </w:t>
      </w:r>
      <w:r w:rsidR="00766D8A">
        <w:t>th</w:t>
      </w:r>
      <w:r w:rsidR="004F22D5">
        <w:t xml:space="preserve">is </w:t>
      </w:r>
      <w:r w:rsidR="00CE3FFA">
        <w:t>may</w:t>
      </w:r>
      <w:r w:rsidR="00883588">
        <w:t> </w:t>
      </w:r>
      <w:r w:rsidR="00CE3FFA">
        <w:t xml:space="preserve">result in the </w:t>
      </w:r>
      <w:r w:rsidR="00694DA6">
        <w:t xml:space="preserve">digital twin </w:t>
      </w:r>
      <w:r w:rsidR="0062044E">
        <w:t>not performing as expected</w:t>
      </w:r>
      <w:r w:rsidR="00256AFC">
        <w:t xml:space="preserve">. </w:t>
      </w:r>
    </w:p>
    <w:p w14:paraId="7E763BC5" w14:textId="029C7609" w:rsidR="006048D4" w:rsidRDefault="004D006E" w:rsidP="001B4716">
      <w:pPr>
        <w:pStyle w:val="Bulletlevel1"/>
      </w:pPr>
      <w:r>
        <w:rPr>
          <w:b/>
          <w:bCs/>
        </w:rPr>
        <w:t>Safety, p</w:t>
      </w:r>
      <w:r w:rsidRPr="00E46E84">
        <w:rPr>
          <w:b/>
          <w:bCs/>
        </w:rPr>
        <w:t xml:space="preserve">rivacy </w:t>
      </w:r>
      <w:r w:rsidR="006048D4" w:rsidRPr="00E46E84">
        <w:rPr>
          <w:b/>
          <w:bCs/>
        </w:rPr>
        <w:t>and security</w:t>
      </w:r>
      <w:r w:rsidR="006048D4">
        <w:t>: new risks can evolve from the collation of new data</w:t>
      </w:r>
      <w:r w:rsidR="00E67714">
        <w:t xml:space="preserve"> </w:t>
      </w:r>
      <w:r w:rsidR="00D16E61">
        <w:t xml:space="preserve">and, as </w:t>
      </w:r>
      <w:r w:rsidR="00E67714">
        <w:t>with the advent of any new technology, it's important to consider the safety implications and build in protections from the start</w:t>
      </w:r>
      <w:r w:rsidR="006048D4">
        <w:t>.</w:t>
      </w:r>
      <w:r w:rsidR="008504AC">
        <w:rPr>
          <w:rStyle w:val="FootnoteReference"/>
        </w:rPr>
        <w:footnoteReference w:id="52"/>
      </w:r>
      <w:r w:rsidR="006048D4">
        <w:t xml:space="preserve"> With regard to digital twins, the twin could introduce new security vulnerabilities to the assets or environment it replicates.</w:t>
      </w:r>
      <w:r w:rsidR="0062044E">
        <w:t xml:space="preserve"> </w:t>
      </w:r>
    </w:p>
    <w:p w14:paraId="18DFEF4D" w14:textId="16199F71" w:rsidR="006048D4" w:rsidRDefault="006048D4" w:rsidP="001B4716">
      <w:pPr>
        <w:pStyle w:val="Bulletlevel1"/>
      </w:pPr>
      <w:r w:rsidRPr="00E46E84">
        <w:rPr>
          <w:b/>
          <w:bCs/>
        </w:rPr>
        <w:t>Assurance, governance, and trust</w:t>
      </w:r>
      <w:r>
        <w:t>: new procedures will be required to assure users that a digital twin or IoT platform is performing as expected.</w:t>
      </w:r>
      <w:r w:rsidR="00195CAE">
        <w:t xml:space="preserve"> </w:t>
      </w:r>
      <w:r w:rsidR="00E20A9C">
        <w:t xml:space="preserve">There is </w:t>
      </w:r>
      <w:r w:rsidR="00F14D81">
        <w:t xml:space="preserve">also </w:t>
      </w:r>
      <w:r w:rsidR="00E20A9C">
        <w:t xml:space="preserve">a need to ensure that </w:t>
      </w:r>
      <w:r w:rsidR="002B7F3B">
        <w:t>users understand</w:t>
      </w:r>
      <w:r w:rsidR="00A0132F">
        <w:t xml:space="preserve"> </w:t>
      </w:r>
      <w:r w:rsidR="00F27D8B">
        <w:t xml:space="preserve">how </w:t>
      </w:r>
      <w:r w:rsidR="00F41A29">
        <w:t xml:space="preserve">digital twin technology works </w:t>
      </w:r>
      <w:r w:rsidR="0041351E">
        <w:t>so that they understand the benefits</w:t>
      </w:r>
      <w:r w:rsidR="00B24DAD">
        <w:t xml:space="preserve"> and limitations this technology provides. </w:t>
      </w:r>
      <w:r w:rsidR="0041351E">
        <w:t xml:space="preserve"> </w:t>
      </w:r>
    </w:p>
    <w:p w14:paraId="61EC24D4" w14:textId="4FAE1336" w:rsidR="006048D4" w:rsidRDefault="006048D4" w:rsidP="001B4716">
      <w:pPr>
        <w:pStyle w:val="Bulletlevel1"/>
      </w:pPr>
      <w:r w:rsidRPr="00E46E84">
        <w:rPr>
          <w:b/>
          <w:bCs/>
        </w:rPr>
        <w:t>Connectivity</w:t>
      </w:r>
      <w:r>
        <w:t>: power outages, software errors or ongoing deployment errors impact this overall goal of connectivity between IoT devices.</w:t>
      </w:r>
    </w:p>
    <w:p w14:paraId="3B4DBA46" w14:textId="7801F78E" w:rsidR="006048D4" w:rsidRDefault="006048D4" w:rsidP="001B4716">
      <w:pPr>
        <w:pStyle w:val="Bulletlevel1"/>
        <w:spacing w:after="240"/>
      </w:pPr>
      <w:r w:rsidRPr="00E46E84">
        <w:rPr>
          <w:b/>
          <w:bCs/>
        </w:rPr>
        <w:t>Standardised modelling</w:t>
      </w:r>
      <w:r>
        <w:t xml:space="preserve">: </w:t>
      </w:r>
      <w:r w:rsidR="00CA4518">
        <w:t xml:space="preserve">currently, </w:t>
      </w:r>
      <w:r>
        <w:t xml:space="preserve">there is not a standardised approach to modelling for digital twins. This </w:t>
      </w:r>
      <w:r w:rsidR="00032544">
        <w:t xml:space="preserve">may </w:t>
      </w:r>
      <w:r>
        <w:t xml:space="preserve">raise challenges for interoperability between digital twins. </w:t>
      </w:r>
    </w:p>
    <w:p w14:paraId="2FEFE06E" w14:textId="5D773C1B" w:rsidR="006048D4" w:rsidRPr="002566AD" w:rsidRDefault="006048D4">
      <w:pPr>
        <w:pStyle w:val="Paragraph"/>
      </w:pPr>
      <w:r>
        <w:t xml:space="preserve">As with any new technology, implementation of a digital twin would need to </w:t>
      </w:r>
      <w:r w:rsidR="002D008B">
        <w:t xml:space="preserve">explore </w:t>
      </w:r>
      <w:r>
        <w:t>how challenges</w:t>
      </w:r>
      <w:r w:rsidR="00CE3FFA">
        <w:t xml:space="preserve"> </w:t>
      </w:r>
      <w:r>
        <w:t>would be mitigated.</w:t>
      </w:r>
      <w:r w:rsidR="00381667">
        <w:rPr>
          <w:rStyle w:val="FootnoteReference"/>
        </w:rPr>
        <w:footnoteReference w:id="53"/>
      </w:r>
      <w:r>
        <w:t xml:space="preserve"> </w:t>
      </w:r>
      <w:r w:rsidR="00CE3FFA">
        <w:t xml:space="preserve">A further consideration is whether </w:t>
      </w:r>
      <w:r w:rsidR="5C8317C2">
        <w:t>the</w:t>
      </w:r>
      <w:r>
        <w:t xml:space="preserve"> functions sought from a digital twin could be fulfilled by more mature and tested technologies, such as GIS platforms.</w:t>
      </w:r>
    </w:p>
    <w:p w14:paraId="6FC92C76" w14:textId="40CC4304" w:rsidR="006048D4" w:rsidRDefault="00E46E84" w:rsidP="00E46E84">
      <w:pPr>
        <w:pStyle w:val="Heading1"/>
      </w:pPr>
      <w:bookmarkStart w:id="25" w:name="_Toc67489165"/>
      <w:r>
        <w:lastRenderedPageBreak/>
        <w:t>The future of IoT and digital twins in regulatory practice</w:t>
      </w:r>
      <w:bookmarkEnd w:id="25"/>
    </w:p>
    <w:p w14:paraId="0A7D6921" w14:textId="57E43A85" w:rsidR="00E46E84" w:rsidRDefault="00E46E84" w:rsidP="00E46E84">
      <w:pPr>
        <w:pStyle w:val="Paragraph"/>
      </w:pPr>
      <w:r>
        <w:t>IoT devices and services are anticipated to become more widespread over the coming years, enabling greater monitoring and real-time analysis of assets and environments. In line with greater use of IoT and the maturation of other technologies including AI and augmented and virtual reality, ‘digital twins’ – dynamic, digital replicas of physical assets or environments – are anticipated to be more widely developed and deployed. To date, digital twins have largely been deployed to map cities (</w:t>
      </w:r>
      <w:r w:rsidR="00555D01">
        <w:t xml:space="preserve">for example, </w:t>
      </w:r>
      <w:r>
        <w:t xml:space="preserve">the NSW </w:t>
      </w:r>
      <w:r w:rsidR="00555D01">
        <w:t>d</w:t>
      </w:r>
      <w:r>
        <w:t xml:space="preserve">igital </w:t>
      </w:r>
      <w:r w:rsidR="00555D01">
        <w:t>t</w:t>
      </w:r>
      <w:r>
        <w:t>win), infrastructure assets</w:t>
      </w:r>
      <w:r w:rsidR="007243CA">
        <w:t xml:space="preserve"> </w:t>
      </w:r>
      <w:r>
        <w:t>and manufacturing supply chains and production lines. A digital twin can support a range of benefits, such as predictive maintenance on physical infrastructure, optimisation of networks or processes, and the simulation of changed conditions on an object or environment.</w:t>
      </w:r>
    </w:p>
    <w:p w14:paraId="0836DF00" w14:textId="69A5D8BB" w:rsidR="00E46E84" w:rsidRDefault="00E46E84" w:rsidP="00E46E84">
      <w:pPr>
        <w:pStyle w:val="Paragraph"/>
      </w:pPr>
      <w:r>
        <w:t xml:space="preserve">In a regulatory context, the greatest benefits of IoT and digital twins will </w:t>
      </w:r>
      <w:r w:rsidR="00CE3FFA">
        <w:t xml:space="preserve">most </w:t>
      </w:r>
      <w:r>
        <w:t xml:space="preserve">likely first be </w:t>
      </w:r>
      <w:r w:rsidR="00CE3FFA">
        <w:t xml:space="preserve">realised </w:t>
      </w:r>
      <w:r>
        <w:t>by regulators with remits extending across infrastructure, transport, cities and the environment. Communications regulators could also potentially benefit through the utilisation of IoT to monitor infrastructure and the spectrum environment.</w:t>
      </w:r>
      <w:r w:rsidR="006C6AE5">
        <w:t xml:space="preserve"> D</w:t>
      </w:r>
      <w:r>
        <w:t xml:space="preserve">igital twins could </w:t>
      </w:r>
      <w:r w:rsidR="006C6AE5">
        <w:t xml:space="preserve">also </w:t>
      </w:r>
      <w:r>
        <w:t xml:space="preserve">be developed based on IoT data and other relevant data sets to support assessments of different ‘what if’ scenarios. However, </w:t>
      </w:r>
      <w:r w:rsidR="0094165D">
        <w:t>the ACMA</w:t>
      </w:r>
      <w:r>
        <w:t xml:space="preserve"> has not found examples of communications regulators currently developing or using digital twins for this purpose. Advancements in IoT spectrum monitoring technology and the development of digital twins by industry indicate that these use cases could become viable in the longer term. It remains to be seen</w:t>
      </w:r>
      <w:r w:rsidR="006C6AE5">
        <w:t>,</w:t>
      </w:r>
      <w:r>
        <w:t xml:space="preserve"> however, whether a digital twin would offer communications regulators necessary capabilities beyond what can be provided by GIS platforms.</w:t>
      </w:r>
    </w:p>
    <w:p w14:paraId="34F973B8" w14:textId="185EA115" w:rsidR="00832EA7" w:rsidRPr="001B4716" w:rsidRDefault="00832EA7" w:rsidP="001B4716">
      <w:pPr>
        <w:pStyle w:val="Heading2"/>
      </w:pPr>
      <w:bookmarkStart w:id="26" w:name="_Toc67489166"/>
      <w:r w:rsidRPr="00832EA7">
        <w:t>Potential IoT/digital twin use cases in the ACMA</w:t>
      </w:r>
      <w:bookmarkEnd w:id="26"/>
    </w:p>
    <w:tbl>
      <w:tblPr>
        <w:tblStyle w:val="TableGrid"/>
        <w:tblW w:w="7671" w:type="dxa"/>
        <w:jc w:val="cente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shd w:val="clear" w:color="auto" w:fill="F2F2F2" w:themeFill="background1" w:themeFillShade="F2"/>
        <w:tblLook w:val="04A0" w:firstRow="1" w:lastRow="0" w:firstColumn="1" w:lastColumn="0" w:noHBand="0" w:noVBand="1"/>
      </w:tblPr>
      <w:tblGrid>
        <w:gridCol w:w="1687"/>
        <w:gridCol w:w="5984"/>
      </w:tblGrid>
      <w:tr w:rsidR="00E46E84" w:rsidRPr="00304E03" w14:paraId="2A083075" w14:textId="77777777" w:rsidTr="001B4716">
        <w:trPr>
          <w:jc w:val="center"/>
        </w:trPr>
        <w:tc>
          <w:tcPr>
            <w:tcW w:w="1687" w:type="dxa"/>
            <w:shd w:val="clear" w:color="auto" w:fill="00A0A4"/>
          </w:tcPr>
          <w:p w14:paraId="1ED84AD2" w14:textId="004BB0F3" w:rsidR="00E46E84" w:rsidRPr="00642F79" w:rsidRDefault="00E46E84" w:rsidP="00C7177B">
            <w:pPr>
              <w:spacing w:before="120" w:after="120"/>
              <w:jc w:val="center"/>
              <w:rPr>
                <w:rFonts w:cs="Arial"/>
              </w:rPr>
            </w:pPr>
            <w:r>
              <w:rPr>
                <w:noProof/>
              </w:rPr>
              <w:drawing>
                <wp:inline distT="0" distB="0" distL="0" distR="0" wp14:anchorId="6217E51D" wp14:editId="61171C82">
                  <wp:extent cx="417558" cy="417558"/>
                  <wp:effectExtent l="0" t="0" r="1905" b="0"/>
                  <wp:docPr id="272" name="Graphic 272" descr="Podcast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72"/>
                          <pic:cNvPicPr/>
                        </pic:nvPicPr>
                        <pic:blipFill>
                          <a:blip r:embed="rId46">
                            <a:extLst>
                              <a:ext uri="{96DAC541-7B7A-43D3-8B79-37D633B846F1}">
                                <asvg:svgBlip xmlns:asvg="http://schemas.microsoft.com/office/drawing/2016/SVG/main" r:embed="rId47"/>
                              </a:ext>
                            </a:extLst>
                          </a:blip>
                          <a:stretch>
                            <a:fillRect/>
                          </a:stretch>
                        </pic:blipFill>
                        <pic:spPr>
                          <a:xfrm>
                            <a:off x="0" y="0"/>
                            <a:ext cx="417558" cy="417558"/>
                          </a:xfrm>
                          <a:prstGeom prst="rect">
                            <a:avLst/>
                          </a:prstGeom>
                        </pic:spPr>
                      </pic:pic>
                    </a:graphicData>
                  </a:graphic>
                </wp:inline>
              </w:drawing>
            </w:r>
            <w:r>
              <w:br/>
            </w:r>
          </w:p>
        </w:tc>
        <w:tc>
          <w:tcPr>
            <w:tcW w:w="5984" w:type="dxa"/>
            <w:shd w:val="clear" w:color="auto" w:fill="F2F2F2" w:themeFill="background1" w:themeFillShade="F2"/>
          </w:tcPr>
          <w:p w14:paraId="7EFE42CA" w14:textId="7B553265" w:rsidR="00304E03" w:rsidRPr="00642F79" w:rsidRDefault="00304E03" w:rsidP="00C7177B">
            <w:pPr>
              <w:spacing w:before="120" w:after="120"/>
              <w:rPr>
                <w:rFonts w:cs="Arial"/>
                <w:b/>
                <w:bCs/>
              </w:rPr>
            </w:pPr>
            <w:r w:rsidRPr="00642F79">
              <w:rPr>
                <w:rFonts w:cs="Arial"/>
                <w:b/>
                <w:bCs/>
              </w:rPr>
              <w:t>TV and radio coverage analysis</w:t>
            </w:r>
          </w:p>
          <w:p w14:paraId="6ABB2F08" w14:textId="1A7864AA" w:rsidR="00304E03" w:rsidRPr="00642F79" w:rsidRDefault="00E46E84">
            <w:pPr>
              <w:spacing w:before="120" w:after="120"/>
              <w:rPr>
                <w:rFonts w:cs="Arial"/>
              </w:rPr>
            </w:pPr>
            <w:r w:rsidRPr="00642F79">
              <w:rPr>
                <w:rFonts w:cs="Arial"/>
              </w:rPr>
              <w:t>The development of a digital twin of a communications environment can support ACMA analysis of radiocommunications, including testing of different ‘what if’ scenarios. This could support spectrum planning activities.</w:t>
            </w:r>
          </w:p>
        </w:tc>
      </w:tr>
      <w:tr w:rsidR="00E46E84" w:rsidRPr="00304E03" w14:paraId="3B37ADEB" w14:textId="77777777" w:rsidTr="001B4716">
        <w:trPr>
          <w:jc w:val="center"/>
        </w:trPr>
        <w:tc>
          <w:tcPr>
            <w:tcW w:w="1687" w:type="dxa"/>
            <w:shd w:val="clear" w:color="auto" w:fill="00A0A4"/>
          </w:tcPr>
          <w:p w14:paraId="1737B739" w14:textId="77777777" w:rsidR="00E46E84" w:rsidRPr="00642F79" w:rsidRDefault="00E46E84" w:rsidP="00C7177B">
            <w:pPr>
              <w:spacing w:before="120" w:after="120"/>
              <w:jc w:val="center"/>
              <w:rPr>
                <w:rFonts w:cs="Arial"/>
              </w:rPr>
            </w:pPr>
            <w:r>
              <w:rPr>
                <w:noProof/>
              </w:rPr>
              <w:drawing>
                <wp:inline distT="0" distB="0" distL="0" distR="0" wp14:anchorId="041B2EB6" wp14:editId="37502A85">
                  <wp:extent cx="380559" cy="380559"/>
                  <wp:effectExtent l="0" t="0" r="635" b="635"/>
                  <wp:docPr id="264" name="Graphic 264" descr="Research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264"/>
                          <pic:cNvPicPr/>
                        </pic:nvPicPr>
                        <pic:blipFill>
                          <a:blip r:embed="rId48">
                            <a:extLst>
                              <a:ext uri="{96DAC541-7B7A-43D3-8B79-37D633B846F1}">
                                <asvg:svgBlip xmlns:asvg="http://schemas.microsoft.com/office/drawing/2016/SVG/main" r:embed="rId49"/>
                              </a:ext>
                            </a:extLst>
                          </a:blip>
                          <a:stretch>
                            <a:fillRect/>
                          </a:stretch>
                        </pic:blipFill>
                        <pic:spPr>
                          <a:xfrm>
                            <a:off x="0" y="0"/>
                            <a:ext cx="380559" cy="380559"/>
                          </a:xfrm>
                          <a:prstGeom prst="rect">
                            <a:avLst/>
                          </a:prstGeom>
                        </pic:spPr>
                      </pic:pic>
                    </a:graphicData>
                  </a:graphic>
                </wp:inline>
              </w:drawing>
            </w:r>
          </w:p>
          <w:p w14:paraId="4F7CBA75" w14:textId="72CFFE51" w:rsidR="00E46E84" w:rsidRPr="00642F79" w:rsidRDefault="00E46E84" w:rsidP="00C7177B">
            <w:pPr>
              <w:spacing w:before="120" w:after="120"/>
              <w:jc w:val="center"/>
              <w:rPr>
                <w:rFonts w:cs="Arial"/>
              </w:rPr>
            </w:pPr>
          </w:p>
        </w:tc>
        <w:tc>
          <w:tcPr>
            <w:tcW w:w="5984" w:type="dxa"/>
            <w:shd w:val="clear" w:color="auto" w:fill="F2F2F2" w:themeFill="background1" w:themeFillShade="F2"/>
          </w:tcPr>
          <w:p w14:paraId="4E413B4F" w14:textId="3B0712A0" w:rsidR="00304E03" w:rsidRPr="00642F79" w:rsidRDefault="00304E03" w:rsidP="00C7177B">
            <w:pPr>
              <w:spacing w:before="120" w:after="120"/>
              <w:rPr>
                <w:rFonts w:cs="Arial"/>
                <w:b/>
                <w:bCs/>
              </w:rPr>
            </w:pPr>
            <w:r w:rsidRPr="00642F79">
              <w:rPr>
                <w:rFonts w:cs="Arial"/>
                <w:b/>
                <w:bCs/>
              </w:rPr>
              <w:t>Monitoring spectrum use</w:t>
            </w:r>
          </w:p>
          <w:p w14:paraId="7F09EF8B" w14:textId="17BA825C" w:rsidR="00E46E84" w:rsidRPr="00642F79" w:rsidRDefault="00E46E84" w:rsidP="00C7177B">
            <w:pPr>
              <w:spacing w:before="120" w:after="120"/>
              <w:rPr>
                <w:rFonts w:cs="Arial"/>
              </w:rPr>
            </w:pPr>
            <w:r w:rsidRPr="00642F79">
              <w:rPr>
                <w:rFonts w:cs="Arial"/>
              </w:rPr>
              <w:t>IoT could be deployed to monitor spectrum usage in a location. In addition to provid</w:t>
            </w:r>
            <w:r w:rsidR="00EE2982">
              <w:rPr>
                <w:rFonts w:cs="Arial"/>
              </w:rPr>
              <w:t>ing</w:t>
            </w:r>
            <w:r w:rsidRPr="00642F79">
              <w:rPr>
                <w:rFonts w:cs="Arial"/>
              </w:rPr>
              <w:t xml:space="preserve"> insight into spectrum usage, such a system could inform interference management processes. </w:t>
            </w:r>
          </w:p>
        </w:tc>
      </w:tr>
    </w:tbl>
    <w:p w14:paraId="2B0BFDF5" w14:textId="77777777" w:rsidR="00E46E84" w:rsidRDefault="00E46E84" w:rsidP="00E46E84">
      <w:pPr>
        <w:pStyle w:val="Paragraph"/>
      </w:pPr>
    </w:p>
    <w:p w14:paraId="443559B9" w14:textId="77777777" w:rsidR="00982DAD" w:rsidRPr="008B03F6" w:rsidRDefault="00CE3FFA" w:rsidP="001B4716">
      <w:pPr>
        <w:pStyle w:val="Heading2"/>
      </w:pPr>
      <w:bookmarkStart w:id="27" w:name="_Toc67489167"/>
      <w:r w:rsidRPr="008B03F6">
        <w:t>Next steps</w:t>
      </w:r>
      <w:bookmarkEnd w:id="27"/>
    </w:p>
    <w:p w14:paraId="20C8FF8D" w14:textId="36918558" w:rsidR="00CE3FFA" w:rsidRDefault="00CE3FFA" w:rsidP="00E46E84">
      <w:r>
        <w:t xml:space="preserve">The ACMA will continue to monitor developments relating to IoT and </w:t>
      </w:r>
      <w:r w:rsidR="00EE2982">
        <w:t>d</w:t>
      </w:r>
      <w:r>
        <w:t xml:space="preserve">igital </w:t>
      </w:r>
      <w:r w:rsidR="00EE2982">
        <w:t>t</w:t>
      </w:r>
      <w:r>
        <w:t xml:space="preserve">wins. </w:t>
      </w:r>
    </w:p>
    <w:p w14:paraId="12D2FD3B" w14:textId="3B508DF4" w:rsidR="00CE3FFA" w:rsidRPr="00E46E84" w:rsidRDefault="00CE3FFA" w:rsidP="00E46E84">
      <w:r>
        <w:t xml:space="preserve">Feedback on this paper is welcome and can be provided </w:t>
      </w:r>
      <w:r w:rsidR="00982DAD">
        <w:t xml:space="preserve">to </w:t>
      </w:r>
      <w:hyperlink r:id="rId50" w:history="1">
        <w:r w:rsidR="00ED1957" w:rsidRPr="00F03F33">
          <w:rPr>
            <w:rStyle w:val="Hyperlink"/>
          </w:rPr>
          <w:t>regfutures@acma.gov.au</w:t>
        </w:r>
      </w:hyperlink>
      <w:r>
        <w:t>.</w:t>
      </w:r>
      <w:r w:rsidR="00ED1957">
        <w:t xml:space="preserve"> </w:t>
      </w:r>
    </w:p>
    <w:bookmarkEnd w:id="14"/>
    <w:bookmarkEnd w:id="15"/>
    <w:p w14:paraId="31299CF3" w14:textId="2F7AF9F4" w:rsidR="00101EF0" w:rsidRDefault="00101EF0" w:rsidP="00E46E84">
      <w:pPr>
        <w:pStyle w:val="Paragraph"/>
      </w:pPr>
    </w:p>
    <w:sectPr w:rsidR="00101EF0" w:rsidSect="00723363">
      <w:headerReference w:type="even" r:id="rId51"/>
      <w:headerReference w:type="default" r:id="rId52"/>
      <w:footerReference w:type="even" r:id="rId53"/>
      <w:footerReference w:type="default" r:id="rId54"/>
      <w:pgSz w:w="11906" w:h="16838" w:code="9"/>
      <w:pgMar w:top="1701" w:right="3101" w:bottom="142"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727AC8" w14:textId="77777777" w:rsidR="00DB60A4" w:rsidRDefault="00DB60A4">
      <w:r>
        <w:separator/>
      </w:r>
    </w:p>
  </w:endnote>
  <w:endnote w:type="continuationSeparator" w:id="0">
    <w:p w14:paraId="79998218" w14:textId="77777777" w:rsidR="00DB60A4" w:rsidRDefault="00DB60A4">
      <w:r>
        <w:continuationSeparator/>
      </w:r>
    </w:p>
  </w:endnote>
  <w:endnote w:type="continuationNotice" w:id="1">
    <w:p w14:paraId="31710EB1" w14:textId="77777777" w:rsidR="00DB60A4" w:rsidRDefault="00DB60A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Nova Light">
    <w:charset w:val="00"/>
    <w:family w:val="swiss"/>
    <w:pitch w:val="variable"/>
    <w:sig w:usb0="0000028F" w:usb1="00000002"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9B1793" w14:textId="77777777" w:rsidR="00C056BA" w:rsidRDefault="00C056BA" w:rsidP="005E250B">
    <w:pPr>
      <w:pStyle w:val="Footer"/>
      <w:jc w:val="right"/>
    </w:pPr>
    <w:r>
      <w:rPr>
        <w:noProof/>
      </w:rPr>
      <w:drawing>
        <wp:inline distT="0" distB="0" distL="0" distR="0" wp14:anchorId="1149BFF4" wp14:editId="636A57D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07CE6F" w14:textId="77777777" w:rsidR="00C056BA" w:rsidRDefault="00C056B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CC56E6" w14:textId="77777777" w:rsidR="00C056BA" w:rsidRDefault="00C056B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35780" w14:textId="77777777" w:rsidR="00C056BA" w:rsidRPr="00622A3B" w:rsidRDefault="00C056B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3209A0C" w14:textId="77777777" w:rsidR="00C056BA" w:rsidRPr="00A5474E" w:rsidRDefault="00C056B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9BCBD" w14:textId="77777777" w:rsidR="00C056BA" w:rsidRPr="00622A3B" w:rsidRDefault="00C056B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12A8B3B" w14:textId="77777777" w:rsidR="00C056BA" w:rsidRPr="00A5474E" w:rsidRDefault="00C056B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7120B" w14:textId="77777777" w:rsidR="00C056BA" w:rsidRPr="00622A3B" w:rsidRDefault="00C056B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42BE8CA" w14:textId="77777777" w:rsidR="00C056BA" w:rsidRPr="00A5474E" w:rsidRDefault="00C056B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09144" w14:textId="77777777" w:rsidR="00C056BA" w:rsidRPr="00622A3B" w:rsidRDefault="00C056B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241CFAC" w14:textId="77777777" w:rsidR="00C056BA" w:rsidRPr="00A5474E" w:rsidRDefault="00C056B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858AE" w14:textId="77777777" w:rsidR="00C056BA" w:rsidRPr="00622A3B" w:rsidRDefault="00C056B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8AEB47F" w14:textId="77777777" w:rsidR="00C056BA" w:rsidRPr="00A5474E" w:rsidRDefault="00C056B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A31296" w14:textId="77777777" w:rsidR="00DB60A4" w:rsidRDefault="00DB60A4" w:rsidP="00227ED3">
      <w:pPr>
        <w:spacing w:after="0"/>
      </w:pPr>
      <w:r>
        <w:separator/>
      </w:r>
    </w:p>
  </w:footnote>
  <w:footnote w:type="continuationSeparator" w:id="0">
    <w:p w14:paraId="49B9DD88" w14:textId="77777777" w:rsidR="00DB60A4" w:rsidRDefault="00DB60A4">
      <w:r>
        <w:continuationSeparator/>
      </w:r>
    </w:p>
  </w:footnote>
  <w:footnote w:type="continuationNotice" w:id="1">
    <w:p w14:paraId="623EBF5A" w14:textId="77777777" w:rsidR="00DB60A4" w:rsidRDefault="00DB60A4">
      <w:pPr>
        <w:spacing w:after="0" w:line="240" w:lineRule="auto"/>
      </w:pPr>
    </w:p>
  </w:footnote>
  <w:footnote w:id="2">
    <w:p w14:paraId="61AFAC8C" w14:textId="45FACAD9" w:rsidR="00C056BA" w:rsidRDefault="00C056BA">
      <w:r w:rsidRPr="120C93C5">
        <w:rPr>
          <w:rStyle w:val="FootnoteReference"/>
        </w:rPr>
        <w:footnoteRef/>
      </w:r>
      <w:r>
        <w:t xml:space="preserve"> </w:t>
      </w:r>
      <w:r w:rsidRPr="00EE5812">
        <w:rPr>
          <w:sz w:val="16"/>
          <w:szCs w:val="16"/>
        </w:rPr>
        <w:t xml:space="preserve">Mae, M, </w:t>
      </w:r>
      <w:hyperlink r:id="rId1" w:history="1">
        <w:r w:rsidR="00D77CE5">
          <w:rPr>
            <w:rStyle w:val="Hyperlink"/>
            <w:sz w:val="16"/>
            <w:szCs w:val="16"/>
          </w:rPr>
          <w:t>’Cheat sheet: What is Digital T</w:t>
        </w:r>
        <w:r w:rsidRPr="00D77CE5">
          <w:rPr>
            <w:rStyle w:val="Hyperlink"/>
            <w:sz w:val="16"/>
            <w:szCs w:val="16"/>
          </w:rPr>
          <w:t>win?</w:t>
        </w:r>
      </w:hyperlink>
      <w:r w:rsidR="00D77CE5">
        <w:rPr>
          <w:sz w:val="16"/>
          <w:szCs w:val="16"/>
        </w:rPr>
        <w:t>’</w:t>
      </w:r>
      <w:r w:rsidRPr="00EE5812">
        <w:rPr>
          <w:sz w:val="16"/>
          <w:szCs w:val="16"/>
        </w:rPr>
        <w:t>, IBM, 4 December 2020.</w:t>
      </w:r>
    </w:p>
  </w:footnote>
  <w:footnote w:id="3">
    <w:p w14:paraId="2D93459F" w14:textId="305C516E" w:rsidR="00C056BA" w:rsidRPr="00F36BA0" w:rsidRDefault="00C056BA" w:rsidP="0022487C">
      <w:pPr>
        <w:pStyle w:val="FootnoteText"/>
      </w:pPr>
      <w:r>
        <w:rPr>
          <w:rStyle w:val="FootnoteReference"/>
        </w:rPr>
        <w:footnoteRef/>
      </w:r>
      <w:r>
        <w:t xml:space="preserve"> ACMA, </w:t>
      </w:r>
      <w:hyperlink r:id="rId2" w:history="1">
        <w:r w:rsidRPr="00F36BA0">
          <w:rPr>
            <w:rStyle w:val="Hyperlink"/>
            <w:i/>
            <w:iCs/>
          </w:rPr>
          <w:t>Internet of Things in media and communications: Occasional paper</w:t>
        </w:r>
      </w:hyperlink>
      <w:r>
        <w:t xml:space="preserve">, July 2020, pp. 1. </w:t>
      </w:r>
    </w:p>
  </w:footnote>
  <w:footnote w:id="4">
    <w:p w14:paraId="05E2B889" w14:textId="07B554D1" w:rsidR="00C056BA" w:rsidRDefault="00C056BA" w:rsidP="0022487C">
      <w:pPr>
        <w:pStyle w:val="FootnoteText"/>
      </w:pPr>
      <w:r>
        <w:rPr>
          <w:rStyle w:val="FootnoteReference"/>
        </w:rPr>
        <w:footnoteRef/>
      </w:r>
      <w:r>
        <w:t xml:space="preserve"> Broadly speaking, ‘sensors’ refers to devices that detect and respond to changes in an environment. Inputs can include various sources such as light, temperature, motion and pressure. </w:t>
      </w:r>
      <w:r w:rsidRPr="009C5B25">
        <w:t xml:space="preserve">Sensors </w:t>
      </w:r>
      <w:r>
        <w:t>that</w:t>
      </w:r>
      <w:r w:rsidRPr="009C5B25">
        <w:t xml:space="preserve"> are connected to a network can share data with other connected devices and management systems.</w:t>
      </w:r>
    </w:p>
  </w:footnote>
  <w:footnote w:id="5">
    <w:p w14:paraId="65CE1617" w14:textId="56AE2220" w:rsidR="00C056BA" w:rsidRPr="002F4A2A" w:rsidRDefault="00C056BA" w:rsidP="0022487C">
      <w:pPr>
        <w:pStyle w:val="FootnoteText"/>
      </w:pPr>
      <w:r>
        <w:rPr>
          <w:rStyle w:val="FootnoteReference"/>
        </w:rPr>
        <w:footnoteRef/>
      </w:r>
      <w:r>
        <w:t xml:space="preserve"> Deloitte, </w:t>
      </w:r>
      <w:hyperlink r:id="rId3" w:history="1">
        <w:r>
          <w:rPr>
            <w:rStyle w:val="Hyperlink"/>
          </w:rPr>
          <w:t>‘D</w:t>
        </w:r>
        <w:r w:rsidRPr="001B4716">
          <w:rPr>
            <w:rStyle w:val="Hyperlink"/>
          </w:rPr>
          <w:t>igital twins</w:t>
        </w:r>
        <w:r>
          <w:rPr>
            <w:rStyle w:val="Hyperlink"/>
          </w:rPr>
          <w:t>:</w:t>
        </w:r>
        <w:r w:rsidRPr="001B4716">
          <w:rPr>
            <w:rStyle w:val="Hyperlink"/>
          </w:rPr>
          <w:t xml:space="preserve"> </w:t>
        </w:r>
        <w:r>
          <w:rPr>
            <w:rStyle w:val="Hyperlink"/>
          </w:rPr>
          <w:t>B</w:t>
        </w:r>
        <w:r w:rsidRPr="001B4716">
          <w:rPr>
            <w:rStyle w:val="Hyperlink"/>
          </w:rPr>
          <w:t>ridging the physical and digital</w:t>
        </w:r>
        <w:r>
          <w:rPr>
            <w:rStyle w:val="Hyperlink"/>
          </w:rPr>
          <w:t>’</w:t>
        </w:r>
      </w:hyperlink>
      <w:r>
        <w:t>, January 2020.</w:t>
      </w:r>
    </w:p>
  </w:footnote>
  <w:footnote w:id="6">
    <w:p w14:paraId="2E3264A5" w14:textId="71600A40" w:rsidR="00C056BA" w:rsidRDefault="00C056BA" w:rsidP="0022487C">
      <w:pPr>
        <w:pStyle w:val="FootnoteText"/>
      </w:pPr>
      <w:r>
        <w:rPr>
          <w:rStyle w:val="FootnoteReference"/>
        </w:rPr>
        <w:footnoteRef/>
      </w:r>
      <w:r>
        <w:t xml:space="preserve"> GlobalData, </w:t>
      </w:r>
      <w:r w:rsidRPr="00642F79">
        <w:rPr>
          <w:i/>
          <w:iCs/>
        </w:rPr>
        <w:t>Tech, Media, &amp; Telecom Themes 2021</w:t>
      </w:r>
      <w:r>
        <w:t>, 2020, pp. 7–9.</w:t>
      </w:r>
    </w:p>
  </w:footnote>
  <w:footnote w:id="7">
    <w:p w14:paraId="5E4BE42F" w14:textId="1B037182" w:rsidR="00C056BA" w:rsidRDefault="00C056BA" w:rsidP="0022487C">
      <w:pPr>
        <w:pStyle w:val="FootnoteText"/>
      </w:pPr>
      <w:r>
        <w:rPr>
          <w:rStyle w:val="FootnoteReference"/>
        </w:rPr>
        <w:footnoteRef/>
      </w:r>
      <w:r>
        <w:t xml:space="preserve"> Ibid.</w:t>
      </w:r>
    </w:p>
  </w:footnote>
  <w:footnote w:id="8">
    <w:p w14:paraId="6B44BB42" w14:textId="2C7C67C6" w:rsidR="00C056BA" w:rsidRPr="00F9699B" w:rsidRDefault="00C056BA" w:rsidP="0022487C">
      <w:pPr>
        <w:pStyle w:val="FootnoteText"/>
      </w:pPr>
      <w:r w:rsidRPr="00F9699B">
        <w:rPr>
          <w:rStyle w:val="FootnoteReference"/>
        </w:rPr>
        <w:footnoteRef/>
      </w:r>
      <w:r w:rsidRPr="00F9699B">
        <w:t xml:space="preserve"> Deloitte, </w:t>
      </w:r>
      <w:hyperlink r:id="rId4" w:history="1">
        <w:r w:rsidRPr="00F9699B">
          <w:rPr>
            <w:rStyle w:val="Hyperlink"/>
            <w:i/>
            <w:iCs/>
          </w:rPr>
          <w:t>Tech Trends 2020</w:t>
        </w:r>
      </w:hyperlink>
      <w:r w:rsidRPr="00F9699B">
        <w:t xml:space="preserve">, </w:t>
      </w:r>
      <w:r>
        <w:t xml:space="preserve">January </w:t>
      </w:r>
      <w:r w:rsidRPr="00F9699B">
        <w:t>2020</w:t>
      </w:r>
      <w:r>
        <w:t>, pp. 61</w:t>
      </w:r>
      <w:r w:rsidRPr="00F9699B">
        <w:t>.</w:t>
      </w:r>
    </w:p>
  </w:footnote>
  <w:footnote w:id="9">
    <w:p w14:paraId="46D0C40B" w14:textId="2E338CB7" w:rsidR="00C056BA" w:rsidRDefault="00C056BA" w:rsidP="0022487C">
      <w:pPr>
        <w:pStyle w:val="CommentText"/>
        <w:spacing w:after="0"/>
      </w:pPr>
      <w:r w:rsidRPr="00F9699B">
        <w:rPr>
          <w:rStyle w:val="FootnoteReference"/>
          <w:sz w:val="16"/>
          <w:szCs w:val="16"/>
        </w:rPr>
        <w:footnoteRef/>
      </w:r>
      <w:r w:rsidRPr="00F9699B">
        <w:rPr>
          <w:sz w:val="16"/>
          <w:szCs w:val="16"/>
        </w:rPr>
        <w:t xml:space="preserve"> Stanford-Clark A, Frank-Schultz E, Harris M, </w:t>
      </w:r>
      <w:hyperlink r:id="rId5" w:history="1">
        <w:r w:rsidRPr="001B4716">
          <w:rPr>
            <w:rStyle w:val="Hyperlink"/>
            <w:sz w:val="16"/>
            <w:szCs w:val="16"/>
          </w:rPr>
          <w:t>‘What are digital twins?</w:t>
        </w:r>
      </w:hyperlink>
      <w:r w:rsidRPr="001A2DE5">
        <w:rPr>
          <w:rStyle w:val="Hyperlink"/>
          <w:sz w:val="16"/>
          <w:szCs w:val="16"/>
        </w:rPr>
        <w:t>’</w:t>
      </w:r>
      <w:r w:rsidRPr="00F9699B">
        <w:rPr>
          <w:sz w:val="16"/>
          <w:szCs w:val="16"/>
        </w:rPr>
        <w:t xml:space="preserve">, IBM, </w:t>
      </w:r>
      <w:r>
        <w:rPr>
          <w:sz w:val="16"/>
          <w:szCs w:val="16"/>
        </w:rPr>
        <w:t xml:space="preserve">November </w:t>
      </w:r>
      <w:r w:rsidRPr="00F9699B">
        <w:rPr>
          <w:sz w:val="16"/>
          <w:szCs w:val="16"/>
        </w:rPr>
        <w:t>2019</w:t>
      </w:r>
      <w:r>
        <w:rPr>
          <w:sz w:val="16"/>
          <w:szCs w:val="16"/>
        </w:rPr>
        <w:t xml:space="preserve">; </w:t>
      </w:r>
      <w:r w:rsidRPr="00485F90">
        <w:rPr>
          <w:sz w:val="16"/>
          <w:szCs w:val="16"/>
        </w:rPr>
        <w:t xml:space="preserve">Chanthadavong </w:t>
      </w:r>
      <w:r>
        <w:rPr>
          <w:sz w:val="16"/>
          <w:szCs w:val="16"/>
        </w:rPr>
        <w:t xml:space="preserve">A, </w:t>
      </w:r>
      <w:hyperlink r:id="rId6" w:history="1">
        <w:r w:rsidRPr="001B4716">
          <w:rPr>
            <w:rStyle w:val="Hyperlink"/>
            <w:sz w:val="16"/>
            <w:szCs w:val="16"/>
          </w:rPr>
          <w:t>‘Telstra mixes up physical and digital realities for better water flow</w:t>
        </w:r>
      </w:hyperlink>
      <w:r w:rsidRPr="001A2DE5">
        <w:rPr>
          <w:rStyle w:val="Hyperlink"/>
          <w:sz w:val="16"/>
          <w:szCs w:val="16"/>
        </w:rPr>
        <w:t>’</w:t>
      </w:r>
      <w:r>
        <w:rPr>
          <w:sz w:val="16"/>
          <w:szCs w:val="16"/>
        </w:rPr>
        <w:t xml:space="preserve">, ZDNet, </w:t>
      </w:r>
      <w:r>
        <w:rPr>
          <w:sz w:val="16"/>
          <w:szCs w:val="16"/>
        </w:rPr>
        <w:br/>
        <w:t>October 2019.</w:t>
      </w:r>
      <w:r w:rsidRPr="00F9699B">
        <w:rPr>
          <w:i/>
          <w:iCs/>
          <w:sz w:val="16"/>
          <w:szCs w:val="16"/>
        </w:rPr>
        <w:t xml:space="preserve"> </w:t>
      </w:r>
    </w:p>
  </w:footnote>
  <w:footnote w:id="10">
    <w:p w14:paraId="4BDCF4A6" w14:textId="6426549B" w:rsidR="00C056BA" w:rsidRDefault="00C056BA" w:rsidP="0022487C">
      <w:pPr>
        <w:pStyle w:val="FootnoteText"/>
      </w:pPr>
      <w:r>
        <w:rPr>
          <w:rStyle w:val="FootnoteReference"/>
        </w:rPr>
        <w:footnoteRef/>
      </w:r>
      <w:r>
        <w:t xml:space="preserve"> ANZLIC, ‘</w:t>
      </w:r>
      <w:hyperlink r:id="rId7" w:history="1">
        <w:r w:rsidRPr="00B02190">
          <w:rPr>
            <w:rStyle w:val="Hyperlink"/>
          </w:rPr>
          <w:t>Principles for Spatially Enabled Digital Twins of the Built and Natural Environment in Australia</w:t>
        </w:r>
      </w:hyperlink>
      <w:r>
        <w:t xml:space="preserve">’ accessed 22 March 2021 </w:t>
      </w:r>
    </w:p>
  </w:footnote>
  <w:footnote w:id="11">
    <w:p w14:paraId="255C9ECB" w14:textId="20E007C5" w:rsidR="00C056BA" w:rsidRDefault="00C056BA" w:rsidP="0022487C">
      <w:pPr>
        <w:pStyle w:val="FootnoteText"/>
      </w:pPr>
      <w:r>
        <w:rPr>
          <w:rStyle w:val="FootnoteReference"/>
        </w:rPr>
        <w:footnoteRef/>
      </w:r>
      <w:r>
        <w:t xml:space="preserve"> GlobalData, </w:t>
      </w:r>
      <w:r w:rsidRPr="00BD6F1E">
        <w:rPr>
          <w:i/>
          <w:iCs/>
        </w:rPr>
        <w:t>Thematic Research: Technology – Digital Twins</w:t>
      </w:r>
      <w:r>
        <w:t>, pp. 3, December 2020.</w:t>
      </w:r>
    </w:p>
  </w:footnote>
  <w:footnote w:id="12">
    <w:p w14:paraId="6D44A823" w14:textId="38E2B8C5" w:rsidR="00C056BA" w:rsidRDefault="00C056BA" w:rsidP="0022487C">
      <w:pPr>
        <w:pStyle w:val="FootnoteText"/>
      </w:pPr>
      <w:r>
        <w:rPr>
          <w:rStyle w:val="FootnoteReference"/>
        </w:rPr>
        <w:footnoteRef/>
      </w:r>
      <w:r>
        <w:t xml:space="preserve"> NSW Government media release, </w:t>
      </w:r>
      <w:hyperlink r:id="rId8" w:history="1">
        <w:r w:rsidRPr="001B4716">
          <w:rPr>
            <w:rStyle w:val="Hyperlink"/>
          </w:rPr>
          <w:t>‘World leading spatial digital twin launched in NSW</w:t>
        </w:r>
      </w:hyperlink>
      <w:r w:rsidRPr="001B4716">
        <w:rPr>
          <w:rStyle w:val="Hyperlink"/>
        </w:rPr>
        <w:t>’</w:t>
      </w:r>
      <w:r w:rsidRPr="001B4716">
        <w:t>,</w:t>
      </w:r>
      <w:r>
        <w:rPr>
          <w:i/>
          <w:iCs/>
        </w:rPr>
        <w:t xml:space="preserve"> </w:t>
      </w:r>
      <w:r>
        <w:t>24 February 2020.</w:t>
      </w:r>
    </w:p>
  </w:footnote>
  <w:footnote w:id="13">
    <w:p w14:paraId="7DF3311C" w14:textId="6CD71D1A" w:rsidR="00C056BA" w:rsidRDefault="00C056BA" w:rsidP="0022487C">
      <w:pPr>
        <w:pStyle w:val="FootnoteText"/>
      </w:pPr>
      <w:r>
        <w:rPr>
          <w:rStyle w:val="FootnoteReference"/>
        </w:rPr>
        <w:footnoteRef/>
      </w:r>
      <w:r>
        <w:t xml:space="preserve"> National Research Foundation, </w:t>
      </w:r>
      <w:hyperlink r:id="rId9" w:history="1">
        <w:r>
          <w:rPr>
            <w:rStyle w:val="Hyperlink"/>
          </w:rPr>
          <w:t>‘V</w:t>
        </w:r>
        <w:r w:rsidRPr="001B4716">
          <w:rPr>
            <w:rStyle w:val="Hyperlink"/>
          </w:rPr>
          <w:t>irtual Singapore</w:t>
        </w:r>
      </w:hyperlink>
      <w:r>
        <w:t>’</w:t>
      </w:r>
      <w:r>
        <w:rPr>
          <w:i/>
          <w:iCs/>
        </w:rPr>
        <w:t xml:space="preserve">, </w:t>
      </w:r>
      <w:r>
        <w:t>Singapore Government, accessed 25 February 2021.</w:t>
      </w:r>
    </w:p>
  </w:footnote>
  <w:footnote w:id="14">
    <w:p w14:paraId="64235426" w14:textId="13846FD9" w:rsidR="00C056BA" w:rsidRPr="00D90740" w:rsidRDefault="00C056BA">
      <w:pPr>
        <w:pStyle w:val="FootnoteText"/>
      </w:pPr>
      <w:r>
        <w:rPr>
          <w:rStyle w:val="FootnoteReference"/>
        </w:rPr>
        <w:footnoteRef/>
      </w:r>
      <w:r>
        <w:t xml:space="preserve"> Technavio, </w:t>
      </w:r>
      <w:hyperlink r:id="rId10" w:history="1">
        <w:r>
          <w:rPr>
            <w:rStyle w:val="Hyperlink"/>
          </w:rPr>
          <w:t>‘G</w:t>
        </w:r>
        <w:r w:rsidRPr="001B4716">
          <w:rPr>
            <w:rStyle w:val="Hyperlink"/>
          </w:rPr>
          <w:t>lobal Digital Twin Market</w:t>
        </w:r>
      </w:hyperlink>
      <w:r>
        <w:rPr>
          <w:rStyle w:val="Hyperlink"/>
        </w:rPr>
        <w:t>’</w:t>
      </w:r>
      <w:r w:rsidRPr="001B4716">
        <w:t>,</w:t>
      </w:r>
      <w:r>
        <w:rPr>
          <w:i/>
          <w:iCs/>
        </w:rPr>
        <w:t xml:space="preserve"> </w:t>
      </w:r>
      <w:r>
        <w:t>August 2020</w:t>
      </w:r>
    </w:p>
  </w:footnote>
  <w:footnote w:id="15">
    <w:p w14:paraId="2E2DD43F" w14:textId="5AC3A5FB" w:rsidR="00C056BA" w:rsidRPr="0027627E" w:rsidRDefault="00C056BA">
      <w:pPr>
        <w:pStyle w:val="FootnoteText"/>
      </w:pPr>
      <w:r>
        <w:rPr>
          <w:rStyle w:val="FootnoteReference"/>
        </w:rPr>
        <w:footnoteRef/>
      </w:r>
      <w:r>
        <w:t xml:space="preserve"> Deloitte, </w:t>
      </w:r>
      <w:hyperlink r:id="rId11" w:history="1">
        <w:r>
          <w:rPr>
            <w:rStyle w:val="Hyperlink"/>
          </w:rPr>
          <w:t>‘T</w:t>
        </w:r>
        <w:r w:rsidRPr="001B4716">
          <w:rPr>
            <w:rStyle w:val="Hyperlink"/>
          </w:rPr>
          <w:t>ech Trends 2020</w:t>
        </w:r>
      </w:hyperlink>
      <w:r>
        <w:rPr>
          <w:rStyle w:val="Hyperlink"/>
        </w:rPr>
        <w:t>’</w:t>
      </w:r>
      <w:r w:rsidRPr="001B4716">
        <w:t>,</w:t>
      </w:r>
      <w:r>
        <w:rPr>
          <w:i/>
          <w:iCs/>
        </w:rPr>
        <w:t xml:space="preserve"> </w:t>
      </w:r>
      <w:r>
        <w:t>January 2020, pp. 60</w:t>
      </w:r>
    </w:p>
  </w:footnote>
  <w:footnote w:id="16">
    <w:p w14:paraId="7B81B213" w14:textId="1EC37955" w:rsidR="00C056BA" w:rsidRDefault="00C056BA" w:rsidP="00723363">
      <w:pPr>
        <w:pStyle w:val="FootnoteText"/>
      </w:pPr>
      <w:r>
        <w:rPr>
          <w:rStyle w:val="FootnoteReference"/>
        </w:rPr>
        <w:footnoteRef/>
      </w:r>
      <w:r>
        <w:t xml:space="preserve"> </w:t>
      </w:r>
      <w:r w:rsidRPr="00691EB2">
        <w:t>Coors-Blankenship</w:t>
      </w:r>
      <w:r>
        <w:t xml:space="preserve"> J, </w:t>
      </w:r>
      <w:hyperlink r:id="rId12" w:history="1">
        <w:r>
          <w:rPr>
            <w:rStyle w:val="Hyperlink"/>
          </w:rPr>
          <w:t>‘T</w:t>
        </w:r>
        <w:r w:rsidRPr="001B4716">
          <w:rPr>
            <w:rStyle w:val="Hyperlink"/>
          </w:rPr>
          <w:t>aking Digital Twins for a Test Drive with Tesla, Apple</w:t>
        </w:r>
      </w:hyperlink>
      <w:r>
        <w:rPr>
          <w:rStyle w:val="Hyperlink"/>
        </w:rPr>
        <w:t>’</w:t>
      </w:r>
      <w:r w:rsidRPr="00C22774">
        <w:t>,</w:t>
      </w:r>
      <w:r>
        <w:t xml:space="preserve"> Industry Week, April 2020.</w:t>
      </w:r>
    </w:p>
  </w:footnote>
  <w:footnote w:id="17">
    <w:p w14:paraId="399984AE" w14:textId="7D113453" w:rsidR="00C056BA" w:rsidRDefault="00C056BA" w:rsidP="00723363">
      <w:pPr>
        <w:pStyle w:val="FootnoteText"/>
      </w:pPr>
      <w:r>
        <w:rPr>
          <w:rStyle w:val="FootnoteReference"/>
        </w:rPr>
        <w:footnoteRef/>
      </w:r>
      <w:r>
        <w:t xml:space="preserve"> Mussomeli A, Parrott A, Umbenhauer B, Warshaw L, </w:t>
      </w:r>
      <w:hyperlink r:id="rId13" w:history="1">
        <w:r>
          <w:rPr>
            <w:rStyle w:val="Hyperlink"/>
          </w:rPr>
          <w:t>‘D</w:t>
        </w:r>
        <w:r w:rsidRPr="001B4716">
          <w:rPr>
            <w:rStyle w:val="Hyperlink"/>
          </w:rPr>
          <w:t>igital twins: Bridging the physical and digital</w:t>
        </w:r>
      </w:hyperlink>
      <w:r>
        <w:rPr>
          <w:rStyle w:val="Hyperlink"/>
        </w:rPr>
        <w:t>’</w:t>
      </w:r>
      <w:r w:rsidRPr="00C22774">
        <w:t>,</w:t>
      </w:r>
      <w:r>
        <w:t xml:space="preserve"> Deloitte, January 2020.</w:t>
      </w:r>
    </w:p>
  </w:footnote>
  <w:footnote w:id="18">
    <w:p w14:paraId="5183D1C4" w14:textId="1811528F" w:rsidR="00C056BA" w:rsidRDefault="00C056BA" w:rsidP="00723363">
      <w:pPr>
        <w:pStyle w:val="FootnoteText"/>
      </w:pPr>
      <w:r>
        <w:rPr>
          <w:rStyle w:val="FootnoteReference"/>
        </w:rPr>
        <w:footnoteRef/>
      </w:r>
      <w:r>
        <w:t xml:space="preserve"> Araya D, </w:t>
      </w:r>
      <w:hyperlink r:id="rId14" w:history="1">
        <w:r>
          <w:rPr>
            <w:rStyle w:val="Hyperlink"/>
          </w:rPr>
          <w:t>‘H</w:t>
        </w:r>
        <w:r w:rsidRPr="001B4716">
          <w:rPr>
            <w:rStyle w:val="Hyperlink"/>
          </w:rPr>
          <w:t>ow digital twins are driving the future of engineering</w:t>
        </w:r>
      </w:hyperlink>
      <w:r>
        <w:t>’, Futurithmic, April 2020.</w:t>
      </w:r>
      <w:r w:rsidRPr="000036FD">
        <w:t xml:space="preserve"> </w:t>
      </w:r>
    </w:p>
  </w:footnote>
  <w:footnote w:id="19">
    <w:p w14:paraId="49131BC7" w14:textId="6488A914" w:rsidR="00C056BA" w:rsidRDefault="00C056BA" w:rsidP="00723363">
      <w:pPr>
        <w:pStyle w:val="FootnoteText"/>
      </w:pPr>
      <w:r>
        <w:rPr>
          <w:rStyle w:val="FootnoteReference"/>
        </w:rPr>
        <w:footnoteRef/>
      </w:r>
      <w:r>
        <w:t xml:space="preserve"> Nokia, </w:t>
      </w:r>
      <w:hyperlink r:id="rId15" w:anchor="overview" w:history="1">
        <w:r>
          <w:rPr>
            <w:rStyle w:val="Hyperlink"/>
          </w:rPr>
          <w:t>‘D</w:t>
        </w:r>
        <w:r w:rsidRPr="0017795D">
          <w:rPr>
            <w:rStyle w:val="Hyperlink"/>
          </w:rPr>
          <w:t>igital design and deployment</w:t>
        </w:r>
      </w:hyperlink>
      <w:r>
        <w:rPr>
          <w:rStyle w:val="Hyperlink"/>
        </w:rPr>
        <w:t>’</w:t>
      </w:r>
      <w:r>
        <w:t xml:space="preserve">, accessed 15 January 2021; Nokia, </w:t>
      </w:r>
      <w:hyperlink r:id="rId16" w:anchor=":~:text=Nokia%205G%20Digital%20Design%20is,way%20future%20networks%20are%20designed.&amp;text=Cross%2DDomain%20Architecture%20simplifies%20the,operator%2Dspecific%205G%20use%20cases" w:history="1">
        <w:r>
          <w:rPr>
            <w:rStyle w:val="Hyperlink"/>
          </w:rPr>
          <w:t>‘N</w:t>
        </w:r>
        <w:r w:rsidRPr="001B4716">
          <w:rPr>
            <w:rStyle w:val="Hyperlink"/>
          </w:rPr>
          <w:t>okia's new 5G design and deployment services deliver faster time to market and lower total cost</w:t>
        </w:r>
      </w:hyperlink>
      <w:r>
        <w:rPr>
          <w:rStyle w:val="Hyperlink"/>
        </w:rPr>
        <w:t>’</w:t>
      </w:r>
      <w:r w:rsidRPr="00C812A2">
        <w:t>,</w:t>
      </w:r>
      <w:r>
        <w:t xml:space="preserve"> June 2018; Nokia, </w:t>
      </w:r>
      <w:hyperlink r:id="rId17" w:history="1">
        <w:r>
          <w:rPr>
            <w:rStyle w:val="Hyperlink"/>
          </w:rPr>
          <w:t>‘E</w:t>
        </w:r>
        <w:r w:rsidRPr="001B4716">
          <w:rPr>
            <w:rStyle w:val="Hyperlink"/>
          </w:rPr>
          <w:t>xtraordinary Opportunities: 5G creates high impact use cases</w:t>
        </w:r>
      </w:hyperlink>
      <w:r>
        <w:rPr>
          <w:rStyle w:val="Hyperlink"/>
        </w:rPr>
        <w:t>’</w:t>
      </w:r>
      <w:r w:rsidRPr="00C812A2">
        <w:t>,</w:t>
      </w:r>
      <w:r>
        <w:t xml:space="preserve"> accessed 15 January 2021. </w:t>
      </w:r>
    </w:p>
  </w:footnote>
  <w:footnote w:id="20">
    <w:p w14:paraId="7D1D7762" w14:textId="69CB46A5" w:rsidR="00C056BA" w:rsidRDefault="00C056BA" w:rsidP="00723363">
      <w:pPr>
        <w:pStyle w:val="FootnoteText"/>
      </w:pPr>
      <w:r>
        <w:rPr>
          <w:rStyle w:val="FootnoteReference"/>
        </w:rPr>
        <w:footnoteRef/>
      </w:r>
      <w:r>
        <w:t xml:space="preserve"> Nokia, ‘</w:t>
      </w:r>
      <w:hyperlink r:id="rId18" w:anchor="overview" w:history="1">
        <w:r>
          <w:rPr>
            <w:rStyle w:val="Hyperlink"/>
          </w:rPr>
          <w:t>D</w:t>
        </w:r>
        <w:r w:rsidRPr="0017795D">
          <w:rPr>
            <w:rStyle w:val="Hyperlink"/>
          </w:rPr>
          <w:t>igital design and deployment</w:t>
        </w:r>
      </w:hyperlink>
      <w:r>
        <w:rPr>
          <w:rStyle w:val="Hyperlink"/>
        </w:rPr>
        <w:t>’</w:t>
      </w:r>
      <w:r>
        <w:t>, accessed 15 January 2021.</w:t>
      </w:r>
    </w:p>
  </w:footnote>
  <w:footnote w:id="21">
    <w:p w14:paraId="6E79DF7D" w14:textId="366214BD" w:rsidR="00C056BA" w:rsidRDefault="00C056BA" w:rsidP="00723363">
      <w:pPr>
        <w:pStyle w:val="FootnoteText"/>
      </w:pPr>
      <w:r>
        <w:rPr>
          <w:rStyle w:val="FootnoteReference"/>
        </w:rPr>
        <w:footnoteRef/>
      </w:r>
      <w:r>
        <w:t xml:space="preserve"> Foo F, </w:t>
      </w:r>
      <w:hyperlink r:id="rId19" w:history="1">
        <w:r>
          <w:rPr>
            <w:rStyle w:val="Hyperlink"/>
          </w:rPr>
          <w:t>‘D</w:t>
        </w:r>
        <w:r w:rsidRPr="001B4716">
          <w:rPr>
            <w:rStyle w:val="Hyperlink"/>
          </w:rPr>
          <w:t>igital Twins Catalyst reflections from Digital Transformation World</w:t>
        </w:r>
      </w:hyperlink>
      <w:r>
        <w:rPr>
          <w:rStyle w:val="Hyperlink"/>
        </w:rPr>
        <w:t>’</w:t>
      </w:r>
      <w:r w:rsidRPr="00C812A2">
        <w:t>,</w:t>
      </w:r>
      <w:r>
        <w:t xml:space="preserve"> Ericsson, June 2019.</w:t>
      </w:r>
    </w:p>
  </w:footnote>
  <w:footnote w:id="22">
    <w:p w14:paraId="547FA609" w14:textId="6BC2669B" w:rsidR="00C056BA" w:rsidRDefault="00C056BA" w:rsidP="00723363">
      <w:pPr>
        <w:pStyle w:val="FootnoteText"/>
      </w:pPr>
      <w:r>
        <w:rPr>
          <w:rStyle w:val="FootnoteReference"/>
        </w:rPr>
        <w:footnoteRef/>
      </w:r>
      <w:r>
        <w:t xml:space="preserve"> Telstra, </w:t>
      </w:r>
      <w:hyperlink r:id="rId20" w:history="1">
        <w:r>
          <w:rPr>
            <w:rStyle w:val="Hyperlink"/>
          </w:rPr>
          <w:t>‘T</w:t>
        </w:r>
        <w:r w:rsidRPr="001B4716">
          <w:rPr>
            <w:rStyle w:val="Hyperlink"/>
          </w:rPr>
          <w:t>elstra-Microsoft partnership signals new generation digital foundations for Australian businesses</w:t>
        </w:r>
      </w:hyperlink>
      <w:r>
        <w:rPr>
          <w:rStyle w:val="Hyperlink"/>
        </w:rPr>
        <w:t>’</w:t>
      </w:r>
      <w:r w:rsidRPr="00C812A2">
        <w:t xml:space="preserve">, </w:t>
      </w:r>
      <w:r>
        <w:t xml:space="preserve">September 2020. </w:t>
      </w:r>
    </w:p>
  </w:footnote>
  <w:footnote w:id="23">
    <w:p w14:paraId="40118933" w14:textId="1BE7413F" w:rsidR="00C056BA" w:rsidRDefault="00C056BA" w:rsidP="00723363">
      <w:pPr>
        <w:pStyle w:val="FootnoteText"/>
      </w:pPr>
      <w:r>
        <w:rPr>
          <w:rStyle w:val="FootnoteReference"/>
        </w:rPr>
        <w:footnoteRef/>
      </w:r>
      <w:r>
        <w:t xml:space="preserve"> Burrell A, </w:t>
      </w:r>
      <w:hyperlink r:id="rId21" w:history="1">
        <w:r>
          <w:rPr>
            <w:rStyle w:val="Hyperlink"/>
          </w:rPr>
          <w:t>‘D</w:t>
        </w:r>
        <w:r w:rsidRPr="001B4716">
          <w:rPr>
            <w:rStyle w:val="Hyperlink"/>
          </w:rPr>
          <w:t>igital twin technology: double up to meet the challenges of IoT &amp; 5G</w:t>
        </w:r>
      </w:hyperlink>
      <w:r>
        <w:rPr>
          <w:rStyle w:val="Hyperlink"/>
        </w:rPr>
        <w:t>’</w:t>
      </w:r>
      <w:r w:rsidRPr="00C812A2">
        <w:t>,</w:t>
      </w:r>
      <w:r>
        <w:t xml:space="preserve"> Nokia, April 2018.</w:t>
      </w:r>
    </w:p>
  </w:footnote>
  <w:footnote w:id="24">
    <w:p w14:paraId="089F9BE9" w14:textId="36469F19" w:rsidR="00C056BA" w:rsidRDefault="00C056BA" w:rsidP="00510C78">
      <w:pPr>
        <w:pStyle w:val="FootnoteText"/>
      </w:pPr>
      <w:r>
        <w:rPr>
          <w:rStyle w:val="FootnoteReference"/>
        </w:rPr>
        <w:footnoteRef/>
      </w:r>
      <w:r>
        <w:t xml:space="preserve"> </w:t>
      </w:r>
      <w:r w:rsidRPr="00642F79">
        <w:t xml:space="preserve">International Telecommunication Union, </w:t>
      </w:r>
      <w:hyperlink r:id="rId22" w:history="1">
        <w:r>
          <w:rPr>
            <w:rStyle w:val="Hyperlink"/>
          </w:rPr>
          <w:t>‘R</w:t>
        </w:r>
        <w:r w:rsidRPr="001B4716">
          <w:rPr>
            <w:rStyle w:val="Hyperlink"/>
          </w:rPr>
          <w:t>epresentative use cases and key network requirements for network 203</w:t>
        </w:r>
        <w:r>
          <w:rPr>
            <w:rStyle w:val="Hyperlink"/>
          </w:rPr>
          <w:t>0’</w:t>
        </w:r>
      </w:hyperlink>
      <w:r>
        <w:t>,</w:t>
      </w:r>
      <w:r w:rsidRPr="00642F79">
        <w:t xml:space="preserve"> </w:t>
      </w:r>
      <w:r>
        <w:rPr>
          <w:u w:color="0000FF"/>
        </w:rPr>
        <w:t xml:space="preserve">January 2020, </w:t>
      </w:r>
      <w:r>
        <w:t>pp.15</w:t>
      </w:r>
    </w:p>
  </w:footnote>
  <w:footnote w:id="25">
    <w:p w14:paraId="6E2CE8C6" w14:textId="4E5243DE" w:rsidR="00C056BA" w:rsidRDefault="00C056BA" w:rsidP="00510C78">
      <w:pPr>
        <w:pStyle w:val="FootnoteText"/>
      </w:pPr>
      <w:r>
        <w:rPr>
          <w:rStyle w:val="FootnoteReference"/>
        </w:rPr>
        <w:footnoteRef/>
      </w:r>
      <w:r>
        <w:t xml:space="preserve"> The Medical Futurist, </w:t>
      </w:r>
      <w:hyperlink r:id="rId23" w:history="1">
        <w:r>
          <w:rPr>
            <w:rStyle w:val="Hyperlink"/>
          </w:rPr>
          <w:t>‘D</w:t>
        </w:r>
        <w:r w:rsidRPr="001B4716">
          <w:rPr>
            <w:rStyle w:val="Hyperlink"/>
          </w:rPr>
          <w:t>igital Twins and the Promise of Personalized Medicine</w:t>
        </w:r>
      </w:hyperlink>
      <w:r>
        <w:rPr>
          <w:rStyle w:val="Hyperlink"/>
        </w:rPr>
        <w:t>’</w:t>
      </w:r>
      <w:r w:rsidRPr="00C812A2">
        <w:t xml:space="preserve">, </w:t>
      </w:r>
      <w:r>
        <w:t>March 2020.</w:t>
      </w:r>
    </w:p>
  </w:footnote>
  <w:footnote w:id="26">
    <w:p w14:paraId="4BEAD76F" w14:textId="450287EB" w:rsidR="00C056BA" w:rsidRDefault="00C056BA" w:rsidP="00510C78">
      <w:pPr>
        <w:pStyle w:val="FootnoteText"/>
      </w:pPr>
      <w:r>
        <w:rPr>
          <w:rStyle w:val="FootnoteReference"/>
        </w:rPr>
        <w:footnoteRef/>
      </w:r>
      <w:r>
        <w:t xml:space="preserve"> Deloitte, </w:t>
      </w:r>
      <w:hyperlink r:id="rId24" w:history="1">
        <w:r>
          <w:rPr>
            <w:rStyle w:val="Hyperlink"/>
          </w:rPr>
          <w:t>‘T</w:t>
        </w:r>
        <w:r w:rsidRPr="001B4716">
          <w:rPr>
            <w:rStyle w:val="Hyperlink"/>
          </w:rPr>
          <w:t>ech Trends 2020</w:t>
        </w:r>
      </w:hyperlink>
      <w:r>
        <w:rPr>
          <w:rStyle w:val="Hyperlink"/>
        </w:rPr>
        <w:t>’</w:t>
      </w:r>
      <w:r w:rsidRPr="00C812A2">
        <w:t>,</w:t>
      </w:r>
      <w:r>
        <w:t xml:space="preserve"> January 2020.</w:t>
      </w:r>
    </w:p>
  </w:footnote>
  <w:footnote w:id="27">
    <w:p w14:paraId="0B579F8F" w14:textId="0D252E45" w:rsidR="00C056BA" w:rsidRDefault="00C056BA" w:rsidP="00510C78">
      <w:pPr>
        <w:pStyle w:val="FootnoteText"/>
      </w:pPr>
      <w:r>
        <w:rPr>
          <w:rStyle w:val="FootnoteReference"/>
        </w:rPr>
        <w:footnoteRef/>
      </w:r>
      <w:r>
        <w:t xml:space="preserve"> </w:t>
      </w:r>
      <w:r>
        <w:rPr>
          <w:rFonts w:cs="Arial"/>
          <w:color w:val="212529"/>
          <w:shd w:val="clear" w:color="auto" w:fill="FFFFFF"/>
        </w:rPr>
        <w:t xml:space="preserve">Ismail N, </w:t>
      </w:r>
      <w:hyperlink r:id="rId25" w:history="1">
        <w:r>
          <w:rPr>
            <w:rStyle w:val="Hyperlink"/>
            <w:rFonts w:cs="Arial"/>
            <w:shd w:val="clear" w:color="auto" w:fill="FFFFFF"/>
          </w:rPr>
          <w:t>‘G</w:t>
        </w:r>
        <w:r w:rsidRPr="001B4716">
          <w:rPr>
            <w:rStyle w:val="Hyperlink"/>
            <w:rFonts w:cs="Arial"/>
            <w:shd w:val="clear" w:color="auto" w:fill="FFFFFF"/>
          </w:rPr>
          <w:t>artner: digital twins beginning to enter the mainstream</w:t>
        </w:r>
      </w:hyperlink>
      <w:r>
        <w:rPr>
          <w:rStyle w:val="Hyperlink"/>
          <w:rFonts w:cs="Arial"/>
          <w:shd w:val="clear" w:color="auto" w:fill="FFFFFF"/>
        </w:rPr>
        <w:t>’</w:t>
      </w:r>
      <w:r w:rsidRPr="00C812A2">
        <w:rPr>
          <w:rFonts w:cs="Arial"/>
          <w:color w:val="212529"/>
          <w:shd w:val="clear" w:color="auto" w:fill="FFFFFF"/>
        </w:rPr>
        <w:t>,</w:t>
      </w:r>
      <w:r w:rsidRPr="00C812A2">
        <w:rPr>
          <w:rFonts w:cs="Arial"/>
          <w:color w:val="212529"/>
        </w:rPr>
        <w:t xml:space="preserve"> </w:t>
      </w:r>
      <w:r w:rsidRPr="009B4503">
        <w:rPr>
          <w:rFonts w:cs="Arial"/>
          <w:color w:val="212529"/>
          <w:shd w:val="clear" w:color="auto" w:fill="FFFFFF"/>
        </w:rPr>
        <w:t>I</w:t>
      </w:r>
      <w:r>
        <w:rPr>
          <w:rFonts w:cs="Arial"/>
          <w:color w:val="212529"/>
          <w:shd w:val="clear" w:color="auto" w:fill="FFFFFF"/>
        </w:rPr>
        <w:t>nformation Age, February 2019.</w:t>
      </w:r>
    </w:p>
  </w:footnote>
  <w:footnote w:id="28">
    <w:p w14:paraId="60F8BDB3" w14:textId="666CD61F" w:rsidR="00C056BA" w:rsidRDefault="00C056BA" w:rsidP="00510C78">
      <w:pPr>
        <w:pStyle w:val="FootnoteText"/>
      </w:pPr>
      <w:r>
        <w:rPr>
          <w:rStyle w:val="FootnoteReference"/>
        </w:rPr>
        <w:footnoteRef/>
      </w:r>
      <w:r>
        <w:t xml:space="preserve"> </w:t>
      </w:r>
      <w:r w:rsidRPr="00796ECF">
        <w:t>Rajendran</w:t>
      </w:r>
      <w:r>
        <w:t xml:space="preserve"> S</w:t>
      </w:r>
      <w:r w:rsidRPr="00796ECF">
        <w:t>, Calvo-Palomino</w:t>
      </w:r>
      <w:r>
        <w:t xml:space="preserve"> R</w:t>
      </w:r>
      <w:r w:rsidRPr="00796ECF">
        <w:t>, Fuchs</w:t>
      </w:r>
      <w:r>
        <w:t xml:space="preserve"> M</w:t>
      </w:r>
      <w:r w:rsidRPr="00796ECF">
        <w:t>, Van den Bergh</w:t>
      </w:r>
      <w:r>
        <w:t xml:space="preserve"> B</w:t>
      </w:r>
      <w:r w:rsidRPr="00796ECF">
        <w:t>, Cordobés</w:t>
      </w:r>
      <w:r>
        <w:t xml:space="preserve"> H</w:t>
      </w:r>
      <w:r w:rsidRPr="00796ECF">
        <w:t>, Giustiniano</w:t>
      </w:r>
      <w:r>
        <w:t xml:space="preserve"> D</w:t>
      </w:r>
      <w:r w:rsidRPr="00796ECF">
        <w:t>, Pollin</w:t>
      </w:r>
      <w:r>
        <w:t xml:space="preserve"> S</w:t>
      </w:r>
      <w:r w:rsidRPr="00796ECF">
        <w:t>, Lenders</w:t>
      </w:r>
      <w:r>
        <w:t xml:space="preserve"> V, </w:t>
      </w:r>
      <w:hyperlink r:id="rId26" w:history="1">
        <w:r>
          <w:rPr>
            <w:rStyle w:val="Hyperlink"/>
          </w:rPr>
          <w:t>‘E</w:t>
        </w:r>
        <w:r w:rsidRPr="001B4716">
          <w:rPr>
            <w:rStyle w:val="Hyperlink"/>
          </w:rPr>
          <w:t>lectrosense: Open and Big Spectrum Data</w:t>
        </w:r>
      </w:hyperlink>
      <w:r>
        <w:rPr>
          <w:rStyle w:val="Hyperlink"/>
        </w:rPr>
        <w:t>’</w:t>
      </w:r>
      <w:r w:rsidRPr="00803BB5">
        <w:t>,</w:t>
      </w:r>
      <w:r>
        <w:t xml:space="preserve"> IEEE Communications Magazine, 2017, pp. 2.</w:t>
      </w:r>
    </w:p>
  </w:footnote>
  <w:footnote w:id="29">
    <w:p w14:paraId="419278DC" w14:textId="785F40EB" w:rsidR="00C056BA" w:rsidRDefault="00C056BA" w:rsidP="00510C78">
      <w:pPr>
        <w:pStyle w:val="FootnoteText"/>
      </w:pPr>
      <w:r>
        <w:rPr>
          <w:rStyle w:val="FootnoteReference"/>
        </w:rPr>
        <w:footnoteRef/>
      </w:r>
      <w:r>
        <w:t xml:space="preserve"> </w:t>
      </w:r>
      <w:r w:rsidRPr="00DC4B0C">
        <w:t>Panhans</w:t>
      </w:r>
      <w:r>
        <w:t xml:space="preserve"> D</w:t>
      </w:r>
      <w:r w:rsidRPr="00DC4B0C">
        <w:t>, Schicht</w:t>
      </w:r>
      <w:r>
        <w:t xml:space="preserve"> R</w:t>
      </w:r>
      <w:r w:rsidRPr="00DC4B0C">
        <w:t>, Hamady</w:t>
      </w:r>
      <w:r>
        <w:t xml:space="preserve"> F</w:t>
      </w:r>
      <w:r w:rsidRPr="00DC4B0C">
        <w:t>, Werlé</w:t>
      </w:r>
      <w:r>
        <w:t xml:space="preserve"> T, </w:t>
      </w:r>
      <w:hyperlink r:id="rId27" w:history="1">
        <w:r>
          <w:rPr>
            <w:rStyle w:val="Hyperlink"/>
          </w:rPr>
          <w:t>‘T</w:t>
        </w:r>
        <w:r w:rsidRPr="001B4716">
          <w:rPr>
            <w:rStyle w:val="Hyperlink"/>
          </w:rPr>
          <w:t>he Coming Battle for Spectrum</w:t>
        </w:r>
      </w:hyperlink>
      <w:r>
        <w:rPr>
          <w:rStyle w:val="Hyperlink"/>
        </w:rPr>
        <w:t>’</w:t>
      </w:r>
      <w:r w:rsidRPr="00803BB5">
        <w:t xml:space="preserve">, </w:t>
      </w:r>
      <w:r>
        <w:t>BCG, February 2020.</w:t>
      </w:r>
      <w:r w:rsidRPr="00850999">
        <w:t xml:space="preserve"> </w:t>
      </w:r>
    </w:p>
  </w:footnote>
  <w:footnote w:id="30">
    <w:p w14:paraId="2B335AED" w14:textId="794A7985" w:rsidR="00C056BA" w:rsidRDefault="00C056BA" w:rsidP="00510C78">
      <w:pPr>
        <w:pStyle w:val="FootnoteText"/>
      </w:pPr>
      <w:r>
        <w:rPr>
          <w:rStyle w:val="FootnoteReference"/>
        </w:rPr>
        <w:footnoteRef/>
      </w:r>
      <w:r>
        <w:t xml:space="preserve"> </w:t>
      </w:r>
      <w:r w:rsidRPr="00281781">
        <w:t>A geographic information system (GIS) is a system designed to capture, store, manipulate, analyse, manage and present all types of geographical data.</w:t>
      </w:r>
    </w:p>
  </w:footnote>
  <w:footnote w:id="31">
    <w:p w14:paraId="58A515B1" w14:textId="3924D0CA" w:rsidR="00C056BA" w:rsidRDefault="00C056BA" w:rsidP="00510C78">
      <w:pPr>
        <w:pStyle w:val="FootnoteText"/>
      </w:pPr>
      <w:r>
        <w:rPr>
          <w:rStyle w:val="FootnoteReference"/>
        </w:rPr>
        <w:footnoteRef/>
      </w:r>
      <w:r>
        <w:t xml:space="preserve"> Rajendran S, Meert W, Lenders V and Pollin S, </w:t>
      </w:r>
      <w:hyperlink r:id="rId28" w:anchor="paper" w:history="1">
        <w:r>
          <w:rPr>
            <w:rStyle w:val="Hyperlink"/>
          </w:rPr>
          <w:t>‘S</w:t>
        </w:r>
        <w:r w:rsidRPr="001B4716">
          <w:rPr>
            <w:rStyle w:val="Hyperlink"/>
          </w:rPr>
          <w:t>AIFE: Unsupervised Wireless Spectrum Anomaly Detection with Interpretable Features</w:t>
        </w:r>
      </w:hyperlink>
      <w:r>
        <w:rPr>
          <w:rStyle w:val="Hyperlink"/>
        </w:rPr>
        <w:t>’</w:t>
      </w:r>
      <w:r w:rsidRPr="00296375">
        <w:t>,</w:t>
      </w:r>
      <w:r>
        <w:t xml:space="preserve"> 2018, pp. 1.</w:t>
      </w:r>
    </w:p>
  </w:footnote>
  <w:footnote w:id="32">
    <w:p w14:paraId="503E0AF4" w14:textId="546A9765" w:rsidR="00C056BA" w:rsidRDefault="00C056BA" w:rsidP="00510C78">
      <w:pPr>
        <w:pStyle w:val="FootnoteText"/>
      </w:pPr>
      <w:r>
        <w:rPr>
          <w:rStyle w:val="FootnoteReference"/>
        </w:rPr>
        <w:footnoteRef/>
      </w:r>
      <w:r>
        <w:t xml:space="preserve"> </w:t>
      </w:r>
      <w:r w:rsidRPr="00796ECF">
        <w:t>Rajendran</w:t>
      </w:r>
      <w:r>
        <w:t xml:space="preserve"> S</w:t>
      </w:r>
      <w:r w:rsidRPr="00796ECF">
        <w:t>, Calvo-Palomino</w:t>
      </w:r>
      <w:r>
        <w:t xml:space="preserve"> R</w:t>
      </w:r>
      <w:r w:rsidRPr="00796ECF">
        <w:t>, Fuchs</w:t>
      </w:r>
      <w:r>
        <w:t xml:space="preserve"> M</w:t>
      </w:r>
      <w:r w:rsidRPr="00796ECF">
        <w:t>, Van den Bergh</w:t>
      </w:r>
      <w:r>
        <w:t xml:space="preserve"> B</w:t>
      </w:r>
      <w:r w:rsidRPr="00796ECF">
        <w:t>, Cordobés</w:t>
      </w:r>
      <w:r>
        <w:t xml:space="preserve"> H</w:t>
      </w:r>
      <w:r w:rsidRPr="00796ECF">
        <w:t>, Giustiniano</w:t>
      </w:r>
      <w:r>
        <w:t xml:space="preserve"> D</w:t>
      </w:r>
      <w:r w:rsidRPr="00796ECF">
        <w:t>, Pollin</w:t>
      </w:r>
      <w:r>
        <w:t xml:space="preserve"> S</w:t>
      </w:r>
      <w:r w:rsidRPr="00796ECF">
        <w:t>, Lenders</w:t>
      </w:r>
      <w:r>
        <w:t xml:space="preserve"> V, </w:t>
      </w:r>
      <w:hyperlink r:id="rId29" w:history="1">
        <w:r>
          <w:rPr>
            <w:rStyle w:val="Hyperlink"/>
          </w:rPr>
          <w:t>‘E</w:t>
        </w:r>
        <w:r w:rsidRPr="001B4716">
          <w:rPr>
            <w:rStyle w:val="Hyperlink"/>
          </w:rPr>
          <w:t>lectrosense Open and Big Spectrum Data</w:t>
        </w:r>
      </w:hyperlink>
      <w:r>
        <w:rPr>
          <w:rStyle w:val="Hyperlink"/>
        </w:rPr>
        <w:t>’</w:t>
      </w:r>
      <w:r>
        <w:t>, IEEE Communications Magazine, 2017, pp. 2.</w:t>
      </w:r>
    </w:p>
  </w:footnote>
  <w:footnote w:id="33">
    <w:p w14:paraId="773722CE" w14:textId="183ED882" w:rsidR="00C056BA" w:rsidRDefault="00C056BA" w:rsidP="00510C78">
      <w:pPr>
        <w:pStyle w:val="FootnoteText"/>
      </w:pPr>
      <w:r>
        <w:rPr>
          <w:rStyle w:val="FootnoteReference"/>
        </w:rPr>
        <w:footnoteRef/>
      </w:r>
      <w:r>
        <w:t xml:space="preserve"> Calvo-Palominoa R, Cordob´esa H, Engelc M, Fuchsc M, Jaind P, Liechtid M, Rajendranb S, Sch¨aferc M, Van den Berghb B, Pollinb S, Giustinianoa D, Lenderse V, </w:t>
      </w:r>
      <w:hyperlink r:id="rId30" w:history="1">
        <w:r>
          <w:rPr>
            <w:rStyle w:val="Hyperlink"/>
          </w:rPr>
          <w:t>‘E</w:t>
        </w:r>
        <w:r w:rsidRPr="001B4716">
          <w:rPr>
            <w:rStyle w:val="Hyperlink"/>
          </w:rPr>
          <w:t>lectrosense+: Crowdsourcing Radio Spectrum Decoding using IoT Receivers</w:t>
        </w:r>
      </w:hyperlink>
      <w:r>
        <w:rPr>
          <w:rStyle w:val="Hyperlink"/>
        </w:rPr>
        <w:t>’</w:t>
      </w:r>
      <w:r w:rsidRPr="00296375">
        <w:t>,</w:t>
      </w:r>
      <w:r>
        <w:t xml:space="preserve"> May 2020, pp. 2.</w:t>
      </w:r>
    </w:p>
  </w:footnote>
  <w:footnote w:id="34">
    <w:p w14:paraId="193F35D2" w14:textId="3E04AC66" w:rsidR="00C056BA" w:rsidRDefault="00C056BA" w:rsidP="00510C78">
      <w:pPr>
        <w:pStyle w:val="FootnoteText"/>
      </w:pPr>
      <w:r>
        <w:rPr>
          <w:rStyle w:val="FootnoteReference"/>
        </w:rPr>
        <w:footnoteRef/>
      </w:r>
      <w:r>
        <w:t xml:space="preserve"> </w:t>
      </w:r>
      <w:r w:rsidRPr="00796ECF">
        <w:t>Rajendran</w:t>
      </w:r>
      <w:r>
        <w:t xml:space="preserve"> S</w:t>
      </w:r>
      <w:r w:rsidRPr="00796ECF">
        <w:t>, Calvo-Palomino</w:t>
      </w:r>
      <w:r>
        <w:t xml:space="preserve"> R</w:t>
      </w:r>
      <w:r w:rsidRPr="00796ECF">
        <w:t>, Fuchs</w:t>
      </w:r>
      <w:r>
        <w:t xml:space="preserve"> M</w:t>
      </w:r>
      <w:r w:rsidRPr="00796ECF">
        <w:t>, Van den Bergh</w:t>
      </w:r>
      <w:r>
        <w:t xml:space="preserve"> B</w:t>
      </w:r>
      <w:r w:rsidRPr="00796ECF">
        <w:t>, Cordobés</w:t>
      </w:r>
      <w:r>
        <w:t xml:space="preserve"> H</w:t>
      </w:r>
      <w:r w:rsidRPr="00796ECF">
        <w:t>, Giustiniano</w:t>
      </w:r>
      <w:r>
        <w:t xml:space="preserve"> D</w:t>
      </w:r>
      <w:r w:rsidRPr="00796ECF">
        <w:t>, Pollin</w:t>
      </w:r>
      <w:r>
        <w:t xml:space="preserve"> S</w:t>
      </w:r>
      <w:r w:rsidRPr="00796ECF">
        <w:t>, Lenders</w:t>
      </w:r>
      <w:r>
        <w:t xml:space="preserve"> V, </w:t>
      </w:r>
      <w:hyperlink r:id="rId31" w:history="1">
        <w:r>
          <w:rPr>
            <w:rStyle w:val="Hyperlink"/>
          </w:rPr>
          <w:t>‘E</w:t>
        </w:r>
        <w:r w:rsidRPr="001B4716">
          <w:rPr>
            <w:rStyle w:val="Hyperlink"/>
          </w:rPr>
          <w:t>lectrosense Open and Big Spectrum Data</w:t>
        </w:r>
      </w:hyperlink>
      <w:r>
        <w:rPr>
          <w:rStyle w:val="Hyperlink"/>
        </w:rPr>
        <w:t>’</w:t>
      </w:r>
      <w:r w:rsidRPr="00133220">
        <w:t xml:space="preserve">, </w:t>
      </w:r>
      <w:r>
        <w:t>IEEE Communications Magazine, 2017, pp.6.</w:t>
      </w:r>
    </w:p>
  </w:footnote>
  <w:footnote w:id="35">
    <w:p w14:paraId="29006BDE" w14:textId="77777777" w:rsidR="00C056BA" w:rsidRDefault="00C056BA" w:rsidP="00510C78">
      <w:pPr>
        <w:pStyle w:val="FootnoteText"/>
      </w:pPr>
      <w:r>
        <w:rPr>
          <w:rStyle w:val="FootnoteReference"/>
        </w:rPr>
        <w:footnoteRef/>
      </w:r>
      <w:r>
        <w:t xml:space="preserve"> </w:t>
      </w:r>
      <w:hyperlink r:id="rId32" w:anchor="!/" w:history="1">
        <w:r w:rsidRPr="00434368">
          <w:rPr>
            <w:rStyle w:val="Hyperlink"/>
          </w:rPr>
          <w:t>Electrosense beta</w:t>
        </w:r>
      </w:hyperlink>
      <w:r>
        <w:t>, accessed 15 January 2021.</w:t>
      </w:r>
    </w:p>
  </w:footnote>
  <w:footnote w:id="36">
    <w:p w14:paraId="1036EE6E" w14:textId="54568F3C" w:rsidR="00C056BA" w:rsidRDefault="00C056BA" w:rsidP="00510C78">
      <w:pPr>
        <w:pStyle w:val="FootnoteText"/>
      </w:pPr>
      <w:r>
        <w:rPr>
          <w:rStyle w:val="FootnoteReference"/>
        </w:rPr>
        <w:footnoteRef/>
      </w:r>
      <w:r>
        <w:t xml:space="preserve"> </w:t>
      </w:r>
      <w:r w:rsidRPr="00796ECF">
        <w:t>Rajendran</w:t>
      </w:r>
      <w:r>
        <w:t xml:space="preserve"> S</w:t>
      </w:r>
      <w:r w:rsidRPr="00796ECF">
        <w:t>, Calvo-Palomino</w:t>
      </w:r>
      <w:r>
        <w:t xml:space="preserve"> R</w:t>
      </w:r>
      <w:r w:rsidRPr="00796ECF">
        <w:t>, Fuchs</w:t>
      </w:r>
      <w:r>
        <w:t xml:space="preserve"> M</w:t>
      </w:r>
      <w:r w:rsidRPr="00796ECF">
        <w:t>, Van den Bergh</w:t>
      </w:r>
      <w:r>
        <w:t xml:space="preserve"> B</w:t>
      </w:r>
      <w:r w:rsidRPr="00796ECF">
        <w:t>, Cordobés</w:t>
      </w:r>
      <w:r>
        <w:t xml:space="preserve"> H</w:t>
      </w:r>
      <w:r w:rsidRPr="00796ECF">
        <w:t>, Giustiniano</w:t>
      </w:r>
      <w:r>
        <w:t xml:space="preserve"> D</w:t>
      </w:r>
      <w:r w:rsidRPr="00796ECF">
        <w:t>, Pollin</w:t>
      </w:r>
      <w:r>
        <w:t xml:space="preserve"> S</w:t>
      </w:r>
      <w:r w:rsidRPr="00796ECF">
        <w:t>, Lenders</w:t>
      </w:r>
      <w:r>
        <w:t xml:space="preserve"> V, </w:t>
      </w:r>
      <w:hyperlink r:id="rId33" w:history="1">
        <w:r>
          <w:rPr>
            <w:rStyle w:val="Hyperlink"/>
          </w:rPr>
          <w:t>‘E</w:t>
        </w:r>
        <w:r w:rsidRPr="001B4716">
          <w:rPr>
            <w:rStyle w:val="Hyperlink"/>
          </w:rPr>
          <w:t>lectrosense Open and Big Spectrum Data</w:t>
        </w:r>
      </w:hyperlink>
      <w:r>
        <w:rPr>
          <w:rStyle w:val="Hyperlink"/>
        </w:rPr>
        <w:t>’</w:t>
      </w:r>
      <w:r w:rsidRPr="00133220">
        <w:t>,</w:t>
      </w:r>
      <w:r>
        <w:t xml:space="preserve"> IEEE Communications Magazine, 2017, pp. 5-6.</w:t>
      </w:r>
    </w:p>
  </w:footnote>
  <w:footnote w:id="37">
    <w:p w14:paraId="70D13BD4" w14:textId="73EC8909" w:rsidR="00C056BA" w:rsidRDefault="00C056BA" w:rsidP="00510C78">
      <w:pPr>
        <w:pStyle w:val="FootnoteText"/>
      </w:pPr>
      <w:r>
        <w:rPr>
          <w:rStyle w:val="FootnoteReference"/>
        </w:rPr>
        <w:footnoteRef/>
      </w:r>
      <w:r>
        <w:t xml:space="preserve"> </w:t>
      </w:r>
      <w:r w:rsidRPr="00642F79">
        <w:t>RANlytics</w:t>
      </w:r>
      <w:r>
        <w:rPr>
          <w:u w:color="0000FF"/>
        </w:rPr>
        <w:t xml:space="preserve">, </w:t>
      </w:r>
      <w:hyperlink r:id="rId34" w:history="1">
        <w:r w:rsidRPr="004522EC">
          <w:rPr>
            <w:rStyle w:val="Hyperlink"/>
            <w:i/>
            <w:iCs/>
          </w:rPr>
          <w:t>Who is RANlytics?</w:t>
        </w:r>
      </w:hyperlink>
      <w:r>
        <w:rPr>
          <w:u w:color="0000FF"/>
        </w:rPr>
        <w:t>, accessed 15 January 2021.</w:t>
      </w:r>
      <w:r>
        <w:t xml:space="preserve"> </w:t>
      </w:r>
    </w:p>
  </w:footnote>
  <w:footnote w:id="38">
    <w:p w14:paraId="020365E8" w14:textId="30814CD6" w:rsidR="00C056BA" w:rsidRDefault="00C056BA">
      <w:pPr>
        <w:pStyle w:val="FootnoteText"/>
      </w:pPr>
      <w:r>
        <w:rPr>
          <w:rStyle w:val="FootnoteReference"/>
        </w:rPr>
        <w:footnoteRef/>
      </w:r>
      <w:r>
        <w:t xml:space="preserve"> The Postal Industry, Innovation and Markets </w:t>
      </w:r>
      <w:hyperlink r:id="rId35" w:history="1">
        <w:r w:rsidRPr="003E5991">
          <w:rPr>
            <w:rStyle w:val="Hyperlink"/>
          </w:rPr>
          <w:t>N</w:t>
        </w:r>
        <w:r w:rsidRPr="00EA02FA">
          <w:rPr>
            <w:rStyle w:val="Hyperlink"/>
          </w:rPr>
          <w:t>ewsletter</w:t>
        </w:r>
      </w:hyperlink>
      <w:r>
        <w:t>, vol 6, issue 3, 2018, pp. 9</w:t>
      </w:r>
    </w:p>
  </w:footnote>
  <w:footnote w:id="39">
    <w:p w14:paraId="25F11CEB" w14:textId="77777777" w:rsidR="00C056BA" w:rsidRDefault="00C056BA" w:rsidP="00510C78">
      <w:pPr>
        <w:pStyle w:val="FootnoteText"/>
      </w:pPr>
      <w:r>
        <w:rPr>
          <w:rStyle w:val="FootnoteReference"/>
        </w:rPr>
        <w:footnoteRef/>
      </w:r>
      <w:r>
        <w:t xml:space="preserve"> </w:t>
      </w:r>
      <w:r w:rsidRPr="001B4716">
        <w:rPr>
          <w:i/>
          <w:iCs/>
        </w:rPr>
        <w:t>Communications Day</w:t>
      </w:r>
      <w:r>
        <w:t>, Issue 6069, 14 December 2020.</w:t>
      </w:r>
    </w:p>
  </w:footnote>
  <w:footnote w:id="40">
    <w:p w14:paraId="14F4903A" w14:textId="17C1C3E5" w:rsidR="00C056BA" w:rsidRDefault="00C056BA" w:rsidP="006048D4">
      <w:pPr>
        <w:pStyle w:val="FootnoteText"/>
      </w:pPr>
      <w:r>
        <w:rPr>
          <w:rStyle w:val="FootnoteReference"/>
        </w:rPr>
        <w:footnoteRef/>
      </w:r>
      <w:r>
        <w:t xml:space="preserve"> CSIRO Data61, </w:t>
      </w:r>
      <w:hyperlink r:id="rId36" w:history="1">
        <w:r>
          <w:rPr>
            <w:rStyle w:val="Hyperlink"/>
          </w:rPr>
          <w:t>‘M</w:t>
        </w:r>
        <w:r w:rsidRPr="001B4716">
          <w:rPr>
            <w:rStyle w:val="Hyperlink"/>
          </w:rPr>
          <w:t>onitoring the health of structures</w:t>
        </w:r>
      </w:hyperlink>
      <w:r>
        <w:rPr>
          <w:rStyle w:val="Hyperlink"/>
        </w:rPr>
        <w:t>’</w:t>
      </w:r>
      <w:r w:rsidRPr="00852D5A">
        <w:t>,</w:t>
      </w:r>
      <w:r>
        <w:t xml:space="preserve"> accessed 15 January 2021.</w:t>
      </w:r>
    </w:p>
  </w:footnote>
  <w:footnote w:id="41">
    <w:p w14:paraId="054DB3F3" w14:textId="7F84EC86" w:rsidR="00C056BA" w:rsidRDefault="00C056BA" w:rsidP="006048D4">
      <w:pPr>
        <w:pStyle w:val="FootnoteText"/>
      </w:pPr>
      <w:r>
        <w:rPr>
          <w:rStyle w:val="FootnoteReference"/>
        </w:rPr>
        <w:footnoteRef/>
      </w:r>
      <w:r>
        <w:t xml:space="preserve"> CSIRO and NSW Department of Customer Service, </w:t>
      </w:r>
      <w:r w:rsidRPr="00642F79">
        <w:t xml:space="preserve">News release, </w:t>
      </w:r>
      <w:hyperlink r:id="rId37" w:history="1">
        <w:r>
          <w:rPr>
            <w:rStyle w:val="Hyperlink"/>
          </w:rPr>
          <w:t>‘N</w:t>
        </w:r>
        <w:r w:rsidRPr="001B4716">
          <w:rPr>
            <w:rStyle w:val="Hyperlink"/>
          </w:rPr>
          <w:t>SW Digital Twin to inform emergency planning this bushfire season</w:t>
        </w:r>
      </w:hyperlink>
      <w:r>
        <w:rPr>
          <w:rStyle w:val="Hyperlink"/>
        </w:rPr>
        <w:t>’</w:t>
      </w:r>
      <w:r w:rsidRPr="00CF7988">
        <w:t>,</w:t>
      </w:r>
      <w:r>
        <w:t xml:space="preserve"> December 2020. </w:t>
      </w:r>
    </w:p>
  </w:footnote>
  <w:footnote w:id="42">
    <w:p w14:paraId="10FD3192" w14:textId="2972C3B2" w:rsidR="00C056BA" w:rsidRDefault="00C056BA" w:rsidP="006048D4">
      <w:pPr>
        <w:pStyle w:val="FootnoteText"/>
      </w:pPr>
      <w:r>
        <w:rPr>
          <w:rStyle w:val="FootnoteReference"/>
        </w:rPr>
        <w:footnoteRef/>
      </w:r>
      <w:r>
        <w:t xml:space="preserve"> NSW Government, </w:t>
      </w:r>
      <w:hyperlink r:id="rId38" w:history="1">
        <w:r>
          <w:rPr>
            <w:rStyle w:val="Hyperlink"/>
          </w:rPr>
          <w:t>‘S</w:t>
        </w:r>
        <w:r w:rsidRPr="001B4716">
          <w:rPr>
            <w:rStyle w:val="Hyperlink"/>
          </w:rPr>
          <w:t>patial Digital Twin</w:t>
        </w:r>
      </w:hyperlink>
      <w:r>
        <w:rPr>
          <w:rStyle w:val="Hyperlink"/>
        </w:rPr>
        <w:t>’</w:t>
      </w:r>
      <w:r w:rsidRPr="001B4716">
        <w:t>,</w:t>
      </w:r>
      <w:r>
        <w:rPr>
          <w:i/>
          <w:iCs/>
        </w:rPr>
        <w:t xml:space="preserve"> </w:t>
      </w:r>
      <w:r>
        <w:t>accessed 15 January 2021.</w:t>
      </w:r>
    </w:p>
  </w:footnote>
  <w:footnote w:id="43">
    <w:p w14:paraId="43CB8E91" w14:textId="32CA569C" w:rsidR="00C056BA" w:rsidRDefault="00C056BA" w:rsidP="006048D4">
      <w:pPr>
        <w:pStyle w:val="FootnoteText"/>
      </w:pPr>
      <w:r>
        <w:rPr>
          <w:rStyle w:val="FootnoteReference"/>
        </w:rPr>
        <w:footnoteRef/>
      </w:r>
      <w:r>
        <w:t xml:space="preserve"> </w:t>
      </w:r>
      <w:r w:rsidRPr="00DC4B0C">
        <w:t>Panhans</w:t>
      </w:r>
      <w:r>
        <w:t xml:space="preserve"> D</w:t>
      </w:r>
      <w:r w:rsidRPr="00DC4B0C">
        <w:t>, Schicht</w:t>
      </w:r>
      <w:r>
        <w:t xml:space="preserve"> R</w:t>
      </w:r>
      <w:r w:rsidRPr="00DC4B0C">
        <w:t>, Hamady</w:t>
      </w:r>
      <w:r>
        <w:t xml:space="preserve"> F</w:t>
      </w:r>
      <w:r w:rsidRPr="00DC4B0C">
        <w:t>, Werlé</w:t>
      </w:r>
      <w:r>
        <w:t xml:space="preserve"> T, </w:t>
      </w:r>
      <w:hyperlink r:id="rId39" w:history="1">
        <w:r>
          <w:rPr>
            <w:rStyle w:val="Hyperlink"/>
          </w:rPr>
          <w:t>‘T</w:t>
        </w:r>
        <w:r w:rsidRPr="001B4716">
          <w:rPr>
            <w:rStyle w:val="Hyperlink"/>
          </w:rPr>
          <w:t>he Coming Battle for Spectrum</w:t>
        </w:r>
      </w:hyperlink>
      <w:r>
        <w:rPr>
          <w:rStyle w:val="Hyperlink"/>
        </w:rPr>
        <w:t>’</w:t>
      </w:r>
      <w:r w:rsidRPr="00DA1B60">
        <w:t>,</w:t>
      </w:r>
      <w:r>
        <w:t xml:space="preserve"> BCG, February 2020.</w:t>
      </w:r>
    </w:p>
  </w:footnote>
  <w:footnote w:id="44">
    <w:p w14:paraId="73292EC8" w14:textId="44B12638" w:rsidR="00C056BA" w:rsidRDefault="00C056BA" w:rsidP="006048D4">
      <w:pPr>
        <w:pStyle w:val="FootnoteText"/>
      </w:pPr>
      <w:r>
        <w:rPr>
          <w:rStyle w:val="FootnoteReference"/>
        </w:rPr>
        <w:footnoteRef/>
      </w:r>
      <w:r>
        <w:t xml:space="preserve"> Ofcom, </w:t>
      </w:r>
      <w:hyperlink r:id="rId40" w:history="1">
        <w:r w:rsidRPr="001B4716">
          <w:rPr>
            <w:rStyle w:val="Hyperlink"/>
          </w:rPr>
          <w:t xml:space="preserve">Supporting the UK’s wireless future – </w:t>
        </w:r>
        <w:r>
          <w:rPr>
            <w:rStyle w:val="Hyperlink"/>
          </w:rPr>
          <w:t>O</w:t>
        </w:r>
        <w:r w:rsidRPr="001B4716">
          <w:rPr>
            <w:rStyle w:val="Hyperlink"/>
          </w:rPr>
          <w:t>ur spectrum management strategy for the 2020s</w:t>
        </w:r>
      </w:hyperlink>
      <w:r w:rsidRPr="00DA1B60">
        <w:t xml:space="preserve">, </w:t>
      </w:r>
      <w:r>
        <w:t>December 2020, pp. 100–101</w:t>
      </w:r>
      <w:r>
        <w:rPr>
          <w:u w:color="0000FF"/>
        </w:rPr>
        <w:t>.</w:t>
      </w:r>
      <w:r>
        <w:t xml:space="preserve"> </w:t>
      </w:r>
    </w:p>
  </w:footnote>
  <w:footnote w:id="45">
    <w:p w14:paraId="0DF4B442" w14:textId="5B140477" w:rsidR="00C056BA" w:rsidRDefault="00C056BA" w:rsidP="006048D4">
      <w:pPr>
        <w:pStyle w:val="FootnoteText"/>
      </w:pPr>
      <w:r>
        <w:rPr>
          <w:rStyle w:val="FootnoteReference"/>
        </w:rPr>
        <w:footnoteRef/>
      </w:r>
      <w:r>
        <w:t xml:space="preserve"> Ibid.</w:t>
      </w:r>
    </w:p>
  </w:footnote>
  <w:footnote w:id="46">
    <w:p w14:paraId="20AC00EE" w14:textId="29FC2611" w:rsidR="00C056BA" w:rsidRDefault="00C056BA">
      <w:pPr>
        <w:pStyle w:val="FootnoteText"/>
      </w:pPr>
      <w:r>
        <w:rPr>
          <w:rStyle w:val="FootnoteReference"/>
        </w:rPr>
        <w:footnoteRef/>
      </w:r>
      <w:r>
        <w:t xml:space="preserve"> Pengnoo M, Barros M.T, Wuttisittikulkij L, Butler B, </w:t>
      </w:r>
      <w:hyperlink r:id="rId41" w:history="1">
        <w:r>
          <w:rPr>
            <w:rStyle w:val="Hyperlink"/>
          </w:rPr>
          <w:t>‘D</w:t>
        </w:r>
        <w:r w:rsidRPr="001B4716">
          <w:rPr>
            <w:rStyle w:val="Hyperlink"/>
          </w:rPr>
          <w:t>igital Twin for Metasurface Reflector Management in 6G Terahertz Communications</w:t>
        </w:r>
      </w:hyperlink>
      <w:r>
        <w:rPr>
          <w:rStyle w:val="Hyperlink"/>
        </w:rPr>
        <w:t>’</w:t>
      </w:r>
      <w:r w:rsidRPr="00393F4E">
        <w:t>,</w:t>
      </w:r>
      <w:r>
        <w:t xml:space="preserve"> IEEE Access, vol 8, 2020, pp. 114580.</w:t>
      </w:r>
    </w:p>
  </w:footnote>
  <w:footnote w:id="47">
    <w:p w14:paraId="690608A0" w14:textId="77777777" w:rsidR="00C056BA" w:rsidRDefault="00C056BA" w:rsidP="006048D4">
      <w:pPr>
        <w:pStyle w:val="FootnoteText"/>
      </w:pPr>
      <w:r>
        <w:rPr>
          <w:rStyle w:val="FootnoteReference"/>
        </w:rPr>
        <w:footnoteRef/>
      </w:r>
      <w:r>
        <w:t xml:space="preserve"> In this research, ‘metasurface’ was used as an alternate to ‘m</w:t>
      </w:r>
      <w:r w:rsidRPr="005D3C1D">
        <w:t>etamaterials</w:t>
      </w:r>
      <w:r>
        <w:t>’. Metamaterials</w:t>
      </w:r>
      <w:r w:rsidRPr="005D3C1D">
        <w:t xml:space="preserve"> are artificially crafted composite materials that derive their properties from internal microstructure, rather than chemical composition found in natural materials.</w:t>
      </w:r>
      <w:r>
        <w:t xml:space="preserve"> </w:t>
      </w:r>
    </w:p>
  </w:footnote>
  <w:footnote w:id="48">
    <w:p w14:paraId="2785D883" w14:textId="494D360A" w:rsidR="00C056BA" w:rsidRDefault="00C056BA" w:rsidP="006048D4">
      <w:pPr>
        <w:pStyle w:val="FootnoteText"/>
      </w:pPr>
      <w:r>
        <w:rPr>
          <w:rStyle w:val="FootnoteReference"/>
        </w:rPr>
        <w:footnoteRef/>
      </w:r>
      <w:r>
        <w:t xml:space="preserve"> Pengnoo M, Barros M.T, Wuttisittikulkij L, Butler B, </w:t>
      </w:r>
      <w:hyperlink r:id="rId42" w:history="1">
        <w:r>
          <w:rPr>
            <w:rStyle w:val="Hyperlink"/>
          </w:rPr>
          <w:t>‘D</w:t>
        </w:r>
        <w:r w:rsidRPr="001B4716">
          <w:rPr>
            <w:rStyle w:val="Hyperlink"/>
          </w:rPr>
          <w:t>igital Twin for Metasurface Reflector Management in 6G Terahertz Communications</w:t>
        </w:r>
      </w:hyperlink>
      <w:r>
        <w:rPr>
          <w:rStyle w:val="Hyperlink"/>
        </w:rPr>
        <w:t>’</w:t>
      </w:r>
      <w:r w:rsidRPr="00367F83">
        <w:t>,</w:t>
      </w:r>
      <w:r>
        <w:t xml:space="preserve"> IEEE Access, vol 8, 2020, pp. 114594.</w:t>
      </w:r>
    </w:p>
  </w:footnote>
  <w:footnote w:id="49">
    <w:p w14:paraId="54CFF321" w14:textId="321EEBA2" w:rsidR="00C056BA" w:rsidRDefault="00C056BA" w:rsidP="006048D4">
      <w:pPr>
        <w:pStyle w:val="FootnoteText"/>
      </w:pPr>
      <w:r>
        <w:rPr>
          <w:rStyle w:val="FootnoteReference"/>
        </w:rPr>
        <w:footnoteRef/>
      </w:r>
      <w:r>
        <w:t xml:space="preserve"> Ibid.</w:t>
      </w:r>
    </w:p>
  </w:footnote>
  <w:footnote w:id="50">
    <w:p w14:paraId="06268AC8" w14:textId="6D891B54" w:rsidR="00C056BA" w:rsidRDefault="00C056BA" w:rsidP="006048D4">
      <w:pPr>
        <w:pStyle w:val="FootnoteText"/>
      </w:pPr>
      <w:r>
        <w:rPr>
          <w:rStyle w:val="FootnoteReference"/>
        </w:rPr>
        <w:footnoteRef/>
      </w:r>
      <w:r>
        <w:t xml:space="preserve"> Nokia, </w:t>
      </w:r>
      <w:hyperlink r:id="rId43" w:anchor="overview" w:history="1">
        <w:r>
          <w:rPr>
            <w:rStyle w:val="Hyperlink"/>
          </w:rPr>
          <w:t>‘D</w:t>
        </w:r>
        <w:r w:rsidRPr="0017795D">
          <w:rPr>
            <w:rStyle w:val="Hyperlink"/>
          </w:rPr>
          <w:t>igital design and deployment</w:t>
        </w:r>
      </w:hyperlink>
      <w:r>
        <w:rPr>
          <w:rStyle w:val="Hyperlink"/>
        </w:rPr>
        <w:t>’</w:t>
      </w:r>
      <w:r>
        <w:t>, accessed 15 January 2021; Nokia, ‘</w:t>
      </w:r>
      <w:hyperlink r:id="rId44" w:anchor=":~:text=Nokia%205G%20Digital%20Design%20is,way%20future%20networks%20are%20designed.&amp;text=Cross%2DDomain%20Architecture%20simplifies%20the,operator%2Dspecific%205G%20use%20cases" w:history="1">
        <w:r>
          <w:rPr>
            <w:rStyle w:val="Hyperlink"/>
          </w:rPr>
          <w:t>N</w:t>
        </w:r>
        <w:r w:rsidRPr="001B4716">
          <w:rPr>
            <w:rStyle w:val="Hyperlink"/>
          </w:rPr>
          <w:t>okia's new 5G design and deployment services deliver faster time to market and lower total cost</w:t>
        </w:r>
      </w:hyperlink>
      <w:r>
        <w:rPr>
          <w:rStyle w:val="Hyperlink"/>
        </w:rPr>
        <w:t>’</w:t>
      </w:r>
      <w:r w:rsidRPr="00BA420B">
        <w:t xml:space="preserve">, </w:t>
      </w:r>
      <w:r>
        <w:t xml:space="preserve">June 2018; Nokia, </w:t>
      </w:r>
      <w:hyperlink r:id="rId45" w:history="1">
        <w:r>
          <w:rPr>
            <w:rStyle w:val="Hyperlink"/>
          </w:rPr>
          <w:t>‘E</w:t>
        </w:r>
        <w:r w:rsidRPr="001B4716">
          <w:rPr>
            <w:rStyle w:val="Hyperlink"/>
          </w:rPr>
          <w:t>xtraordinary Opportunities</w:t>
        </w:r>
        <w:r>
          <w:rPr>
            <w:rStyle w:val="Hyperlink"/>
          </w:rPr>
          <w:t>:</w:t>
        </w:r>
        <w:r w:rsidRPr="001B4716">
          <w:rPr>
            <w:rStyle w:val="Hyperlink"/>
          </w:rPr>
          <w:t xml:space="preserve"> 5G creates high impact use cases</w:t>
        </w:r>
      </w:hyperlink>
      <w:r>
        <w:rPr>
          <w:rStyle w:val="Hyperlink"/>
        </w:rPr>
        <w:t>’</w:t>
      </w:r>
      <w:r w:rsidRPr="00BA420B">
        <w:t xml:space="preserve">, </w:t>
      </w:r>
      <w:r>
        <w:t>accessed 15 January 2021.</w:t>
      </w:r>
    </w:p>
  </w:footnote>
  <w:footnote w:id="51">
    <w:p w14:paraId="20819D00" w14:textId="554A77A1" w:rsidR="00C056BA" w:rsidRDefault="00C056BA" w:rsidP="006048D4">
      <w:pPr>
        <w:pStyle w:val="FootnoteText"/>
      </w:pPr>
      <w:r>
        <w:rPr>
          <w:rStyle w:val="FootnoteReference"/>
        </w:rPr>
        <w:footnoteRef/>
      </w:r>
      <w:r>
        <w:t xml:space="preserve"> Fuller A, Fan Z, Day C, Barlow C, </w:t>
      </w:r>
      <w:hyperlink r:id="rId46" w:history="1">
        <w:r>
          <w:rPr>
            <w:rStyle w:val="Hyperlink"/>
          </w:rPr>
          <w:t>‘D</w:t>
        </w:r>
        <w:r w:rsidRPr="001B4716">
          <w:rPr>
            <w:rStyle w:val="Hyperlink"/>
          </w:rPr>
          <w:t>igital Twin: Enabling Technologies, Challenges and Open Research</w:t>
        </w:r>
      </w:hyperlink>
      <w:r>
        <w:rPr>
          <w:rStyle w:val="Hyperlink"/>
        </w:rPr>
        <w:t>’</w:t>
      </w:r>
      <w:r w:rsidRPr="00C5495D">
        <w:t xml:space="preserve">, </w:t>
      </w:r>
      <w:r>
        <w:t>IEEE Access, vol 8, 2020, pps. 108956–58.</w:t>
      </w:r>
    </w:p>
  </w:footnote>
  <w:footnote w:id="52">
    <w:p w14:paraId="4768DF35" w14:textId="2D0CAB1F" w:rsidR="008504AC" w:rsidRDefault="008504AC">
      <w:pPr>
        <w:pStyle w:val="FootnoteText"/>
      </w:pPr>
      <w:r>
        <w:rPr>
          <w:rStyle w:val="FootnoteReference"/>
        </w:rPr>
        <w:footnoteRef/>
      </w:r>
      <w:r>
        <w:t xml:space="preserve"> The eSafety Commissioner, ‘</w:t>
      </w:r>
      <w:hyperlink r:id="rId47" w:history="1">
        <w:r w:rsidRPr="008504AC">
          <w:rPr>
            <w:rStyle w:val="Hyperlink"/>
          </w:rPr>
          <w:t>Safety by Design</w:t>
        </w:r>
      </w:hyperlink>
      <w:r>
        <w:t>’, accessed 22 March 2021</w:t>
      </w:r>
      <w:r w:rsidR="004C1AB5">
        <w:t xml:space="preserve">. </w:t>
      </w:r>
      <w:r>
        <w:t xml:space="preserve"> </w:t>
      </w:r>
    </w:p>
  </w:footnote>
  <w:footnote w:id="53">
    <w:p w14:paraId="4249BE63" w14:textId="3980DFE9" w:rsidR="00C056BA" w:rsidRDefault="00C056BA">
      <w:pPr>
        <w:pStyle w:val="FootnoteText"/>
      </w:pPr>
      <w:r>
        <w:rPr>
          <w:rStyle w:val="FootnoteReference"/>
        </w:rPr>
        <w:footnoteRef/>
      </w:r>
      <w:r>
        <w:t xml:space="preserve"> The Department of Home Affairs ‘</w:t>
      </w:r>
      <w:hyperlink r:id="rId48" w:history="1">
        <w:r w:rsidRPr="00CC69FF">
          <w:rPr>
            <w:rStyle w:val="Hyperlink"/>
          </w:rPr>
          <w:t>Code of Practice: Securing the Internet of Things For Consumers’</w:t>
        </w:r>
      </w:hyperlink>
      <w:r>
        <w:t xml:space="preserve"> (Sept 2020) is an industry resource which could mitigate some of the challenges with new IoT technology. IoT Alliance Australia also has a range of </w:t>
      </w:r>
      <w:hyperlink r:id="rId49" w:history="1">
        <w:r w:rsidRPr="00A41816">
          <w:rPr>
            <w:rStyle w:val="Hyperlink"/>
          </w:rPr>
          <w:t>resources</w:t>
        </w:r>
      </w:hyperlink>
      <w:r>
        <w:t xml:space="preserve"> covering IoT.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45CDF2" w14:textId="77777777" w:rsidR="00C056BA" w:rsidRPr="00A5474E" w:rsidRDefault="00C056BA" w:rsidP="00A5474E">
    <w:pPr>
      <w:pStyle w:val="Header"/>
    </w:pPr>
    <w:r>
      <w:rPr>
        <w:noProof/>
      </w:rPr>
      <w:drawing>
        <wp:inline distT="0" distB="0" distL="0" distR="0" wp14:anchorId="41BCF4B5" wp14:editId="65874CF1">
          <wp:extent cx="6283432"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83432"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3AE25" w14:textId="77777777" w:rsidR="00C056BA" w:rsidRPr="00A5474E" w:rsidRDefault="00C056B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66F7D" w14:textId="77777777" w:rsidR="00C056BA" w:rsidRDefault="00C056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EFC73" w14:textId="77777777" w:rsidR="00C056BA" w:rsidRDefault="00C056B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C056BA" w14:paraId="58059ABE" w14:textId="77777777" w:rsidTr="003D5751">
      <w:trPr>
        <w:trHeight w:hRule="exact" w:val="988"/>
      </w:trPr>
      <w:tc>
        <w:tcPr>
          <w:tcW w:w="7678" w:type="dxa"/>
          <w:shd w:val="clear" w:color="auto" w:fill="auto"/>
        </w:tcPr>
        <w:p w14:paraId="1D977F91" w14:textId="77777777" w:rsidR="00C056BA" w:rsidRDefault="00C056BA" w:rsidP="00971914">
          <w:pPr>
            <w:pStyle w:val="Header"/>
          </w:pPr>
        </w:p>
      </w:tc>
    </w:tr>
    <w:tr w:rsidR="00C056BA" w14:paraId="40AB4180" w14:textId="77777777" w:rsidTr="003D5751">
      <w:tc>
        <w:tcPr>
          <w:tcW w:w="7678" w:type="dxa"/>
          <w:shd w:val="clear" w:color="auto" w:fill="auto"/>
        </w:tcPr>
        <w:p w14:paraId="6A0E4649" w14:textId="77777777" w:rsidR="00C056BA" w:rsidRDefault="00C056BA" w:rsidP="00971914">
          <w:pPr>
            <w:pStyle w:val="GridTable31"/>
          </w:pPr>
          <w:r>
            <w:t xml:space="preserve">Contents </w:t>
          </w:r>
          <w:r w:rsidRPr="00915B1C">
            <w:rPr>
              <w:b w:val="0"/>
              <w:spacing w:val="0"/>
              <w:sz w:val="28"/>
              <w:szCs w:val="28"/>
            </w:rPr>
            <w:t>(Continued)</w:t>
          </w:r>
        </w:p>
      </w:tc>
    </w:tr>
    <w:tr w:rsidR="00C056BA" w14:paraId="6B122FC4" w14:textId="77777777" w:rsidTr="003D5751">
      <w:trPr>
        <w:trHeight w:val="1220"/>
      </w:trPr>
      <w:tc>
        <w:tcPr>
          <w:tcW w:w="7678" w:type="dxa"/>
          <w:shd w:val="clear" w:color="auto" w:fill="auto"/>
        </w:tcPr>
        <w:p w14:paraId="04FCA352" w14:textId="77777777" w:rsidR="00C056BA" w:rsidRDefault="00C056BA" w:rsidP="00971914"/>
      </w:tc>
    </w:tr>
  </w:tbl>
  <w:p w14:paraId="33BF6E23" w14:textId="77777777" w:rsidR="00C056BA" w:rsidRDefault="00C056BA"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C056BA" w14:paraId="3692AFDB" w14:textId="77777777" w:rsidTr="003D5751">
      <w:trPr>
        <w:trHeight w:hRule="exact" w:val="988"/>
      </w:trPr>
      <w:tc>
        <w:tcPr>
          <w:tcW w:w="7678" w:type="dxa"/>
          <w:shd w:val="clear" w:color="auto" w:fill="auto"/>
        </w:tcPr>
        <w:p w14:paraId="248C5481" w14:textId="77777777" w:rsidR="00C056BA" w:rsidRDefault="00C056BA" w:rsidP="00971914">
          <w:pPr>
            <w:pStyle w:val="Header"/>
          </w:pPr>
        </w:p>
      </w:tc>
    </w:tr>
    <w:tr w:rsidR="00C056BA" w14:paraId="76CA085B" w14:textId="77777777" w:rsidTr="003D5751">
      <w:tc>
        <w:tcPr>
          <w:tcW w:w="7678" w:type="dxa"/>
          <w:shd w:val="clear" w:color="auto" w:fill="auto"/>
        </w:tcPr>
        <w:p w14:paraId="347139FA" w14:textId="77777777" w:rsidR="00C056BA" w:rsidRDefault="00C056BA" w:rsidP="00971914">
          <w:pPr>
            <w:pStyle w:val="GridTable31"/>
          </w:pPr>
          <w:r>
            <w:t xml:space="preserve">Contents </w:t>
          </w:r>
          <w:r w:rsidRPr="00915B1C">
            <w:rPr>
              <w:b w:val="0"/>
              <w:spacing w:val="0"/>
              <w:sz w:val="28"/>
              <w:szCs w:val="28"/>
            </w:rPr>
            <w:t>(Continued)</w:t>
          </w:r>
        </w:p>
      </w:tc>
    </w:tr>
    <w:tr w:rsidR="00C056BA" w14:paraId="489EA7C7" w14:textId="77777777" w:rsidTr="003D5751">
      <w:trPr>
        <w:trHeight w:val="1220"/>
      </w:trPr>
      <w:tc>
        <w:tcPr>
          <w:tcW w:w="7678" w:type="dxa"/>
          <w:shd w:val="clear" w:color="auto" w:fill="auto"/>
        </w:tcPr>
        <w:p w14:paraId="3FAF7169" w14:textId="77777777" w:rsidR="00C056BA" w:rsidRDefault="00C056BA" w:rsidP="00971914"/>
      </w:tc>
    </w:tr>
  </w:tbl>
  <w:p w14:paraId="099766F2" w14:textId="77777777" w:rsidR="00C056BA" w:rsidRPr="00A5474E" w:rsidRDefault="00C056BA"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08DA31" w14:textId="77777777" w:rsidR="00C056BA" w:rsidRDefault="00C056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30D892" w14:textId="77777777" w:rsidR="00C056BA" w:rsidRDefault="00C056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Bulletlevel1"/>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22122"/>
    <w:multiLevelType w:val="hybridMultilevel"/>
    <w:tmpl w:val="B9F0C21C"/>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90072F"/>
    <w:multiLevelType w:val="hybridMultilevel"/>
    <w:tmpl w:val="A45E4A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CDD7D3D"/>
    <w:multiLevelType w:val="hybridMultilevel"/>
    <w:tmpl w:val="DFC2AD3C"/>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30961B5C"/>
    <w:multiLevelType w:val="hybridMultilevel"/>
    <w:tmpl w:val="2CAAFB14"/>
    <w:lvl w:ilvl="0" w:tplc="6F965DC8">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B817608"/>
    <w:multiLevelType w:val="hybridMultilevel"/>
    <w:tmpl w:val="B1B4F1AE"/>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7C45C03"/>
    <w:multiLevelType w:val="multilevel"/>
    <w:tmpl w:val="5B8217F0"/>
    <w:lvl w:ilvl="0">
      <w:start w:val="2"/>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15:restartNumberingAfterBreak="0">
    <w:nsid w:val="47ED025C"/>
    <w:multiLevelType w:val="multilevel"/>
    <w:tmpl w:val="0B1802B2"/>
    <w:lvl w:ilvl="0">
      <w:start w:val="1"/>
      <w:numFmt w:val="decimal"/>
      <w:lvlText w:val="%1."/>
      <w:lvlJc w:val="left"/>
      <w:pPr>
        <w:ind w:left="720" w:hanging="360"/>
      </w:pPr>
      <w:rPr>
        <w:rFonts w:hint="default"/>
      </w:rPr>
    </w:lvl>
    <w:lvl w:ilvl="1">
      <w:start w:val="2"/>
      <w:numFmt w:val="decimal"/>
      <w:isLgl/>
      <w:lvlText w:val="%1.%2"/>
      <w:lvlJc w:val="left"/>
      <w:pPr>
        <w:ind w:left="825" w:hanging="46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2247A03"/>
    <w:multiLevelType w:val="hybridMultilevel"/>
    <w:tmpl w:val="27C62C6A"/>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CBB3DCC"/>
    <w:multiLevelType w:val="hybridMultilevel"/>
    <w:tmpl w:val="E9C4BC30"/>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11C319E"/>
    <w:multiLevelType w:val="hybridMultilevel"/>
    <w:tmpl w:val="86E0DF6A"/>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5D0301"/>
    <w:multiLevelType w:val="hybridMultilevel"/>
    <w:tmpl w:val="F1B2E5BE"/>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4705B0B"/>
    <w:multiLevelType w:val="hybridMultilevel"/>
    <w:tmpl w:val="127C61B2"/>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5071478"/>
    <w:multiLevelType w:val="hybridMultilevel"/>
    <w:tmpl w:val="16D2B96E"/>
    <w:lvl w:ilvl="0" w:tplc="3A9CF91A">
      <w:start w:val="1"/>
      <w:numFmt w:val="decimal"/>
      <w:pStyle w:val="ACMAFigureHeader"/>
      <w:lvlText w:val="Figure %1: "/>
      <w:lvlJc w:val="left"/>
      <w:pPr>
        <w:tabs>
          <w:tab w:val="num" w:pos="2439"/>
        </w:tabs>
        <w:ind w:left="2439"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B7C0A82"/>
    <w:multiLevelType w:val="hybridMultilevel"/>
    <w:tmpl w:val="9AA8894E"/>
    <w:lvl w:ilvl="0" w:tplc="DBBC471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D0157E5"/>
    <w:multiLevelType w:val="hybridMultilevel"/>
    <w:tmpl w:val="8AAECF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8"/>
  </w:num>
  <w:num w:numId="6">
    <w:abstractNumId w:val="20"/>
  </w:num>
  <w:num w:numId="7">
    <w:abstractNumId w:val="14"/>
  </w:num>
  <w:num w:numId="8">
    <w:abstractNumId w:val="17"/>
  </w:num>
  <w:num w:numId="9">
    <w:abstractNumId w:val="21"/>
  </w:num>
  <w:num w:numId="10">
    <w:abstractNumId w:val="5"/>
  </w:num>
  <w:num w:numId="11">
    <w:abstractNumId w:val="2"/>
    <w:lvlOverride w:ilvl="0">
      <w:startOverride w:val="1"/>
    </w:lvlOverride>
  </w:num>
  <w:num w:numId="12">
    <w:abstractNumId w:val="6"/>
  </w:num>
  <w:num w:numId="13">
    <w:abstractNumId w:val="7"/>
  </w:num>
  <w:num w:numId="14">
    <w:abstractNumId w:val="11"/>
  </w:num>
  <w:num w:numId="15">
    <w:abstractNumId w:val="23"/>
  </w:num>
  <w:num w:numId="16">
    <w:abstractNumId w:val="22"/>
  </w:num>
  <w:num w:numId="17">
    <w:abstractNumId w:val="10"/>
  </w:num>
  <w:num w:numId="18">
    <w:abstractNumId w:val="9"/>
  </w:num>
  <w:num w:numId="19">
    <w:abstractNumId w:val="16"/>
  </w:num>
  <w:num w:numId="20">
    <w:abstractNumId w:val="15"/>
  </w:num>
  <w:num w:numId="21">
    <w:abstractNumId w:val="19"/>
  </w:num>
  <w:num w:numId="22">
    <w:abstractNumId w:val="13"/>
  </w:num>
  <w:num w:numId="23">
    <w:abstractNumId w:val="18"/>
  </w:num>
  <w:num w:numId="24">
    <w:abstractNumId w:val="12"/>
  </w:num>
  <w:num w:numId="25">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687B"/>
    <w:rsid w:val="00001B75"/>
    <w:rsid w:val="00002383"/>
    <w:rsid w:val="00010667"/>
    <w:rsid w:val="000129D5"/>
    <w:rsid w:val="00012BCA"/>
    <w:rsid w:val="00015AE7"/>
    <w:rsid w:val="00016E21"/>
    <w:rsid w:val="0001719C"/>
    <w:rsid w:val="0002224E"/>
    <w:rsid w:val="0002275E"/>
    <w:rsid w:val="00023A09"/>
    <w:rsid w:val="000245E5"/>
    <w:rsid w:val="00025610"/>
    <w:rsid w:val="00026F91"/>
    <w:rsid w:val="00032544"/>
    <w:rsid w:val="00037A9C"/>
    <w:rsid w:val="00041B2D"/>
    <w:rsid w:val="00041CB3"/>
    <w:rsid w:val="0004284F"/>
    <w:rsid w:val="00044452"/>
    <w:rsid w:val="0004764C"/>
    <w:rsid w:val="0005011A"/>
    <w:rsid w:val="0005045A"/>
    <w:rsid w:val="00051C1E"/>
    <w:rsid w:val="000539F9"/>
    <w:rsid w:val="00053BC9"/>
    <w:rsid w:val="00054C27"/>
    <w:rsid w:val="000556B9"/>
    <w:rsid w:val="00055EC3"/>
    <w:rsid w:val="000563CE"/>
    <w:rsid w:val="00060AED"/>
    <w:rsid w:val="00060D91"/>
    <w:rsid w:val="00060E5B"/>
    <w:rsid w:val="00062F02"/>
    <w:rsid w:val="00063FF2"/>
    <w:rsid w:val="0006493C"/>
    <w:rsid w:val="000659B6"/>
    <w:rsid w:val="00065EBE"/>
    <w:rsid w:val="0006686F"/>
    <w:rsid w:val="0006722A"/>
    <w:rsid w:val="00071B48"/>
    <w:rsid w:val="00072E87"/>
    <w:rsid w:val="000732CF"/>
    <w:rsid w:val="00075B96"/>
    <w:rsid w:val="00080029"/>
    <w:rsid w:val="0008196A"/>
    <w:rsid w:val="00081A0F"/>
    <w:rsid w:val="000823BC"/>
    <w:rsid w:val="0008657C"/>
    <w:rsid w:val="00086A23"/>
    <w:rsid w:val="000915ED"/>
    <w:rsid w:val="00091696"/>
    <w:rsid w:val="0009209D"/>
    <w:rsid w:val="0009361D"/>
    <w:rsid w:val="00093CBF"/>
    <w:rsid w:val="0009463C"/>
    <w:rsid w:val="000969BD"/>
    <w:rsid w:val="000969BF"/>
    <w:rsid w:val="00096A38"/>
    <w:rsid w:val="000A0C22"/>
    <w:rsid w:val="000A1400"/>
    <w:rsid w:val="000A3C43"/>
    <w:rsid w:val="000A4A51"/>
    <w:rsid w:val="000A5D2B"/>
    <w:rsid w:val="000A7421"/>
    <w:rsid w:val="000A7966"/>
    <w:rsid w:val="000B3C94"/>
    <w:rsid w:val="000B4664"/>
    <w:rsid w:val="000B5DE3"/>
    <w:rsid w:val="000C0A57"/>
    <w:rsid w:val="000C230C"/>
    <w:rsid w:val="000C3035"/>
    <w:rsid w:val="000C30E1"/>
    <w:rsid w:val="000C6AB4"/>
    <w:rsid w:val="000C73C8"/>
    <w:rsid w:val="000D0A80"/>
    <w:rsid w:val="000D3733"/>
    <w:rsid w:val="000D539C"/>
    <w:rsid w:val="000D71D9"/>
    <w:rsid w:val="000D7578"/>
    <w:rsid w:val="000D76E0"/>
    <w:rsid w:val="000D7E8B"/>
    <w:rsid w:val="000E2FAD"/>
    <w:rsid w:val="000E3304"/>
    <w:rsid w:val="000E3327"/>
    <w:rsid w:val="000E3FD3"/>
    <w:rsid w:val="000E4449"/>
    <w:rsid w:val="000E6097"/>
    <w:rsid w:val="000F52B8"/>
    <w:rsid w:val="000F5FF1"/>
    <w:rsid w:val="000F6723"/>
    <w:rsid w:val="00101EF0"/>
    <w:rsid w:val="00103829"/>
    <w:rsid w:val="0010426E"/>
    <w:rsid w:val="00111FCE"/>
    <w:rsid w:val="001229A5"/>
    <w:rsid w:val="0012489B"/>
    <w:rsid w:val="00125912"/>
    <w:rsid w:val="0012647C"/>
    <w:rsid w:val="00130017"/>
    <w:rsid w:val="00130F91"/>
    <w:rsid w:val="00133220"/>
    <w:rsid w:val="00133C96"/>
    <w:rsid w:val="001349ED"/>
    <w:rsid w:val="00137050"/>
    <w:rsid w:val="001371DF"/>
    <w:rsid w:val="00137424"/>
    <w:rsid w:val="00140318"/>
    <w:rsid w:val="00141AD9"/>
    <w:rsid w:val="00144DB0"/>
    <w:rsid w:val="00146CE6"/>
    <w:rsid w:val="00152903"/>
    <w:rsid w:val="00153FD5"/>
    <w:rsid w:val="0015614F"/>
    <w:rsid w:val="001577C2"/>
    <w:rsid w:val="001577F2"/>
    <w:rsid w:val="00160EF7"/>
    <w:rsid w:val="001633C4"/>
    <w:rsid w:val="001666C4"/>
    <w:rsid w:val="001704D5"/>
    <w:rsid w:val="00171591"/>
    <w:rsid w:val="00173981"/>
    <w:rsid w:val="00176B48"/>
    <w:rsid w:val="0017719D"/>
    <w:rsid w:val="00183FD7"/>
    <w:rsid w:val="00184AF6"/>
    <w:rsid w:val="00185CAB"/>
    <w:rsid w:val="001860CE"/>
    <w:rsid w:val="001875B7"/>
    <w:rsid w:val="00187A32"/>
    <w:rsid w:val="00187CB3"/>
    <w:rsid w:val="0019050A"/>
    <w:rsid w:val="001910D4"/>
    <w:rsid w:val="00192CAE"/>
    <w:rsid w:val="00194B1D"/>
    <w:rsid w:val="001951FC"/>
    <w:rsid w:val="00195CAE"/>
    <w:rsid w:val="001976E3"/>
    <w:rsid w:val="001A2DE5"/>
    <w:rsid w:val="001A44EC"/>
    <w:rsid w:val="001A5304"/>
    <w:rsid w:val="001A7B95"/>
    <w:rsid w:val="001B28D9"/>
    <w:rsid w:val="001B4716"/>
    <w:rsid w:val="001B5522"/>
    <w:rsid w:val="001B58AA"/>
    <w:rsid w:val="001B7E48"/>
    <w:rsid w:val="001C17CE"/>
    <w:rsid w:val="001C2E2A"/>
    <w:rsid w:val="001C2E92"/>
    <w:rsid w:val="001C36CA"/>
    <w:rsid w:val="001C44D1"/>
    <w:rsid w:val="001C4C48"/>
    <w:rsid w:val="001C6424"/>
    <w:rsid w:val="001C6AEE"/>
    <w:rsid w:val="001C7630"/>
    <w:rsid w:val="001D0313"/>
    <w:rsid w:val="001D6D15"/>
    <w:rsid w:val="001D7EC1"/>
    <w:rsid w:val="001F216A"/>
    <w:rsid w:val="001F2A67"/>
    <w:rsid w:val="001F5F80"/>
    <w:rsid w:val="001F7558"/>
    <w:rsid w:val="00201A16"/>
    <w:rsid w:val="00205B57"/>
    <w:rsid w:val="00207A7F"/>
    <w:rsid w:val="00210954"/>
    <w:rsid w:val="00210E33"/>
    <w:rsid w:val="00211F76"/>
    <w:rsid w:val="00212BD6"/>
    <w:rsid w:val="00212D99"/>
    <w:rsid w:val="002153E9"/>
    <w:rsid w:val="002157E0"/>
    <w:rsid w:val="00216608"/>
    <w:rsid w:val="00216A57"/>
    <w:rsid w:val="00217448"/>
    <w:rsid w:val="00217E68"/>
    <w:rsid w:val="00222FC3"/>
    <w:rsid w:val="0022334F"/>
    <w:rsid w:val="0022487C"/>
    <w:rsid w:val="00226819"/>
    <w:rsid w:val="00227432"/>
    <w:rsid w:val="00227ED3"/>
    <w:rsid w:val="00231C89"/>
    <w:rsid w:val="00233101"/>
    <w:rsid w:val="00233817"/>
    <w:rsid w:val="00233B37"/>
    <w:rsid w:val="002367FF"/>
    <w:rsid w:val="00240CE9"/>
    <w:rsid w:val="002434BA"/>
    <w:rsid w:val="002436B1"/>
    <w:rsid w:val="00244668"/>
    <w:rsid w:val="00245CDA"/>
    <w:rsid w:val="00246089"/>
    <w:rsid w:val="00246093"/>
    <w:rsid w:val="00246702"/>
    <w:rsid w:val="002479DC"/>
    <w:rsid w:val="00247C59"/>
    <w:rsid w:val="00247F2E"/>
    <w:rsid w:val="00250ADC"/>
    <w:rsid w:val="00250B07"/>
    <w:rsid w:val="00251EE2"/>
    <w:rsid w:val="00256AFC"/>
    <w:rsid w:val="00257553"/>
    <w:rsid w:val="00260615"/>
    <w:rsid w:val="00260FB2"/>
    <w:rsid w:val="00261C9D"/>
    <w:rsid w:val="00262128"/>
    <w:rsid w:val="00264E38"/>
    <w:rsid w:val="00266CFC"/>
    <w:rsid w:val="00267B6D"/>
    <w:rsid w:val="00270023"/>
    <w:rsid w:val="0027088A"/>
    <w:rsid w:val="0027165D"/>
    <w:rsid w:val="00273CEB"/>
    <w:rsid w:val="0027482E"/>
    <w:rsid w:val="0027627E"/>
    <w:rsid w:val="00281C89"/>
    <w:rsid w:val="0028282F"/>
    <w:rsid w:val="00287629"/>
    <w:rsid w:val="00291E31"/>
    <w:rsid w:val="0029593B"/>
    <w:rsid w:val="00296375"/>
    <w:rsid w:val="00297FC5"/>
    <w:rsid w:val="002A0417"/>
    <w:rsid w:val="002A16D8"/>
    <w:rsid w:val="002A1BC8"/>
    <w:rsid w:val="002A2823"/>
    <w:rsid w:val="002A3EF2"/>
    <w:rsid w:val="002B0DED"/>
    <w:rsid w:val="002B0F0C"/>
    <w:rsid w:val="002B19A2"/>
    <w:rsid w:val="002B381A"/>
    <w:rsid w:val="002B3C19"/>
    <w:rsid w:val="002B4FCC"/>
    <w:rsid w:val="002B5B0E"/>
    <w:rsid w:val="002B7408"/>
    <w:rsid w:val="002B7CFD"/>
    <w:rsid w:val="002B7F3B"/>
    <w:rsid w:val="002C210F"/>
    <w:rsid w:val="002D008B"/>
    <w:rsid w:val="002D0E8F"/>
    <w:rsid w:val="002D206D"/>
    <w:rsid w:val="002D3600"/>
    <w:rsid w:val="002D5D93"/>
    <w:rsid w:val="002E088E"/>
    <w:rsid w:val="002E4DDC"/>
    <w:rsid w:val="002E7B78"/>
    <w:rsid w:val="0030050A"/>
    <w:rsid w:val="00301867"/>
    <w:rsid w:val="00302480"/>
    <w:rsid w:val="00302758"/>
    <w:rsid w:val="00302E7B"/>
    <w:rsid w:val="0030320D"/>
    <w:rsid w:val="003044CA"/>
    <w:rsid w:val="00304E03"/>
    <w:rsid w:val="00305148"/>
    <w:rsid w:val="003060B7"/>
    <w:rsid w:val="0030687B"/>
    <w:rsid w:val="003165E6"/>
    <w:rsid w:val="00317B5A"/>
    <w:rsid w:val="00320EDE"/>
    <w:rsid w:val="003215B5"/>
    <w:rsid w:val="003221CF"/>
    <w:rsid w:val="00322342"/>
    <w:rsid w:val="00322844"/>
    <w:rsid w:val="00322D88"/>
    <w:rsid w:val="003233ED"/>
    <w:rsid w:val="00324D9F"/>
    <w:rsid w:val="0032617C"/>
    <w:rsid w:val="00326696"/>
    <w:rsid w:val="00327948"/>
    <w:rsid w:val="0033000F"/>
    <w:rsid w:val="00332011"/>
    <w:rsid w:val="00332518"/>
    <w:rsid w:val="00332925"/>
    <w:rsid w:val="003332ED"/>
    <w:rsid w:val="003344E7"/>
    <w:rsid w:val="003368DC"/>
    <w:rsid w:val="00336ECF"/>
    <w:rsid w:val="00345797"/>
    <w:rsid w:val="00345927"/>
    <w:rsid w:val="00347452"/>
    <w:rsid w:val="00350584"/>
    <w:rsid w:val="00351024"/>
    <w:rsid w:val="00351857"/>
    <w:rsid w:val="00352014"/>
    <w:rsid w:val="003545E8"/>
    <w:rsid w:val="003548B2"/>
    <w:rsid w:val="003610E1"/>
    <w:rsid w:val="00362E71"/>
    <w:rsid w:val="003671BE"/>
    <w:rsid w:val="00367F83"/>
    <w:rsid w:val="00370EA2"/>
    <w:rsid w:val="00372485"/>
    <w:rsid w:val="003730D6"/>
    <w:rsid w:val="00373200"/>
    <w:rsid w:val="00375EF5"/>
    <w:rsid w:val="003767A5"/>
    <w:rsid w:val="00381667"/>
    <w:rsid w:val="00381D15"/>
    <w:rsid w:val="003820B4"/>
    <w:rsid w:val="00384BEA"/>
    <w:rsid w:val="00385254"/>
    <w:rsid w:val="003852A2"/>
    <w:rsid w:val="003856CE"/>
    <w:rsid w:val="00393F4E"/>
    <w:rsid w:val="00395638"/>
    <w:rsid w:val="003A04DB"/>
    <w:rsid w:val="003A1DCF"/>
    <w:rsid w:val="003A1EE4"/>
    <w:rsid w:val="003A5F5B"/>
    <w:rsid w:val="003A789A"/>
    <w:rsid w:val="003B02D9"/>
    <w:rsid w:val="003B12EC"/>
    <w:rsid w:val="003B5C5F"/>
    <w:rsid w:val="003C6C8B"/>
    <w:rsid w:val="003C77E0"/>
    <w:rsid w:val="003D0501"/>
    <w:rsid w:val="003D10DD"/>
    <w:rsid w:val="003D17D7"/>
    <w:rsid w:val="003D2678"/>
    <w:rsid w:val="003D2B71"/>
    <w:rsid w:val="003D2D37"/>
    <w:rsid w:val="003D3C20"/>
    <w:rsid w:val="003D5751"/>
    <w:rsid w:val="003D71A3"/>
    <w:rsid w:val="003E0FE6"/>
    <w:rsid w:val="003E1B92"/>
    <w:rsid w:val="003E26C8"/>
    <w:rsid w:val="003E2B8A"/>
    <w:rsid w:val="003E5991"/>
    <w:rsid w:val="003F10EE"/>
    <w:rsid w:val="003F13A5"/>
    <w:rsid w:val="003F16F6"/>
    <w:rsid w:val="003F4DC7"/>
    <w:rsid w:val="003F5235"/>
    <w:rsid w:val="003F5741"/>
    <w:rsid w:val="004027E4"/>
    <w:rsid w:val="0041071D"/>
    <w:rsid w:val="0041351E"/>
    <w:rsid w:val="00414AFC"/>
    <w:rsid w:val="004151A7"/>
    <w:rsid w:val="00415310"/>
    <w:rsid w:val="00415933"/>
    <w:rsid w:val="00421709"/>
    <w:rsid w:val="00423763"/>
    <w:rsid w:val="0042762F"/>
    <w:rsid w:val="00427DC7"/>
    <w:rsid w:val="0043056D"/>
    <w:rsid w:val="00431613"/>
    <w:rsid w:val="00431792"/>
    <w:rsid w:val="0043297A"/>
    <w:rsid w:val="00432EB2"/>
    <w:rsid w:val="0043714F"/>
    <w:rsid w:val="004438B5"/>
    <w:rsid w:val="00445169"/>
    <w:rsid w:val="00446833"/>
    <w:rsid w:val="00447037"/>
    <w:rsid w:val="00447338"/>
    <w:rsid w:val="0045124D"/>
    <w:rsid w:val="004522EC"/>
    <w:rsid w:val="00454376"/>
    <w:rsid w:val="00454596"/>
    <w:rsid w:val="00454E3E"/>
    <w:rsid w:val="0045605D"/>
    <w:rsid w:val="004578A1"/>
    <w:rsid w:val="0046135B"/>
    <w:rsid w:val="00461D47"/>
    <w:rsid w:val="00465DE0"/>
    <w:rsid w:val="004664B3"/>
    <w:rsid w:val="0047130F"/>
    <w:rsid w:val="004718CC"/>
    <w:rsid w:val="004728BD"/>
    <w:rsid w:val="00480A7E"/>
    <w:rsid w:val="00481695"/>
    <w:rsid w:val="0048562D"/>
    <w:rsid w:val="00491E3A"/>
    <w:rsid w:val="00495A96"/>
    <w:rsid w:val="00495BB3"/>
    <w:rsid w:val="00495E36"/>
    <w:rsid w:val="004A1EC4"/>
    <w:rsid w:val="004A56BB"/>
    <w:rsid w:val="004A70D6"/>
    <w:rsid w:val="004B0C84"/>
    <w:rsid w:val="004B1751"/>
    <w:rsid w:val="004C0253"/>
    <w:rsid w:val="004C162B"/>
    <w:rsid w:val="004C1AB5"/>
    <w:rsid w:val="004C2722"/>
    <w:rsid w:val="004D006E"/>
    <w:rsid w:val="004D1057"/>
    <w:rsid w:val="004D230E"/>
    <w:rsid w:val="004D56FF"/>
    <w:rsid w:val="004E166A"/>
    <w:rsid w:val="004E1B44"/>
    <w:rsid w:val="004E1F7C"/>
    <w:rsid w:val="004E39D3"/>
    <w:rsid w:val="004E508A"/>
    <w:rsid w:val="004E5369"/>
    <w:rsid w:val="004E616D"/>
    <w:rsid w:val="004F02DD"/>
    <w:rsid w:val="004F1BDE"/>
    <w:rsid w:val="004F22D5"/>
    <w:rsid w:val="004F2CEE"/>
    <w:rsid w:val="004F2F41"/>
    <w:rsid w:val="004F556E"/>
    <w:rsid w:val="004F591C"/>
    <w:rsid w:val="004F6758"/>
    <w:rsid w:val="004F7F44"/>
    <w:rsid w:val="005037B4"/>
    <w:rsid w:val="00504778"/>
    <w:rsid w:val="005060C1"/>
    <w:rsid w:val="00506341"/>
    <w:rsid w:val="005079BF"/>
    <w:rsid w:val="00510C78"/>
    <w:rsid w:val="0051269A"/>
    <w:rsid w:val="005138FA"/>
    <w:rsid w:val="00514790"/>
    <w:rsid w:val="00514F59"/>
    <w:rsid w:val="00515795"/>
    <w:rsid w:val="00517547"/>
    <w:rsid w:val="005219E7"/>
    <w:rsid w:val="00521ED4"/>
    <w:rsid w:val="0053036B"/>
    <w:rsid w:val="00531B9A"/>
    <w:rsid w:val="00531D15"/>
    <w:rsid w:val="0053667A"/>
    <w:rsid w:val="005374FD"/>
    <w:rsid w:val="00537604"/>
    <w:rsid w:val="00542377"/>
    <w:rsid w:val="00542D79"/>
    <w:rsid w:val="00543A79"/>
    <w:rsid w:val="00544D54"/>
    <w:rsid w:val="005476EB"/>
    <w:rsid w:val="00547EAC"/>
    <w:rsid w:val="00547EF7"/>
    <w:rsid w:val="00551782"/>
    <w:rsid w:val="00553C88"/>
    <w:rsid w:val="00553D28"/>
    <w:rsid w:val="00555D01"/>
    <w:rsid w:val="00563EF1"/>
    <w:rsid w:val="00566AB4"/>
    <w:rsid w:val="005746A1"/>
    <w:rsid w:val="00575AC5"/>
    <w:rsid w:val="0057605D"/>
    <w:rsid w:val="00581347"/>
    <w:rsid w:val="0058173E"/>
    <w:rsid w:val="00581AC9"/>
    <w:rsid w:val="005849F8"/>
    <w:rsid w:val="005852BA"/>
    <w:rsid w:val="005938DF"/>
    <w:rsid w:val="00594E02"/>
    <w:rsid w:val="00594E9C"/>
    <w:rsid w:val="0059604C"/>
    <w:rsid w:val="005A0502"/>
    <w:rsid w:val="005A099B"/>
    <w:rsid w:val="005A2D9C"/>
    <w:rsid w:val="005A375D"/>
    <w:rsid w:val="005A55FE"/>
    <w:rsid w:val="005A567A"/>
    <w:rsid w:val="005A652D"/>
    <w:rsid w:val="005A6A11"/>
    <w:rsid w:val="005B3935"/>
    <w:rsid w:val="005B5F54"/>
    <w:rsid w:val="005C5E7B"/>
    <w:rsid w:val="005D17F9"/>
    <w:rsid w:val="005D2502"/>
    <w:rsid w:val="005D40BB"/>
    <w:rsid w:val="005D441E"/>
    <w:rsid w:val="005D47F3"/>
    <w:rsid w:val="005D49BF"/>
    <w:rsid w:val="005D4AA5"/>
    <w:rsid w:val="005D4F6D"/>
    <w:rsid w:val="005D6C7D"/>
    <w:rsid w:val="005D6F4E"/>
    <w:rsid w:val="005D7C73"/>
    <w:rsid w:val="005E250B"/>
    <w:rsid w:val="005E3ACD"/>
    <w:rsid w:val="005E7226"/>
    <w:rsid w:val="005E7A57"/>
    <w:rsid w:val="005E7D80"/>
    <w:rsid w:val="005F0D8B"/>
    <w:rsid w:val="005F24B0"/>
    <w:rsid w:val="005F4585"/>
    <w:rsid w:val="005F4E83"/>
    <w:rsid w:val="005F5030"/>
    <w:rsid w:val="006023AF"/>
    <w:rsid w:val="00604315"/>
    <w:rsid w:val="006048D4"/>
    <w:rsid w:val="00604E26"/>
    <w:rsid w:val="0060523F"/>
    <w:rsid w:val="006052CF"/>
    <w:rsid w:val="00605A0D"/>
    <w:rsid w:val="00607B8D"/>
    <w:rsid w:val="00610363"/>
    <w:rsid w:val="00611F5C"/>
    <w:rsid w:val="00613156"/>
    <w:rsid w:val="00613308"/>
    <w:rsid w:val="0061412F"/>
    <w:rsid w:val="006142FB"/>
    <w:rsid w:val="00614AAA"/>
    <w:rsid w:val="00616E09"/>
    <w:rsid w:val="00617B3A"/>
    <w:rsid w:val="006202B8"/>
    <w:rsid w:val="0062044E"/>
    <w:rsid w:val="00622A3B"/>
    <w:rsid w:val="00622EEA"/>
    <w:rsid w:val="0062396C"/>
    <w:rsid w:val="00623FF9"/>
    <w:rsid w:val="0062419C"/>
    <w:rsid w:val="00627239"/>
    <w:rsid w:val="00627D4E"/>
    <w:rsid w:val="00632B89"/>
    <w:rsid w:val="0063346D"/>
    <w:rsid w:val="00634478"/>
    <w:rsid w:val="00640F58"/>
    <w:rsid w:val="00642F79"/>
    <w:rsid w:val="00644373"/>
    <w:rsid w:val="0064574E"/>
    <w:rsid w:val="00645915"/>
    <w:rsid w:val="006519C3"/>
    <w:rsid w:val="00651C21"/>
    <w:rsid w:val="00652B30"/>
    <w:rsid w:val="00652CF8"/>
    <w:rsid w:val="00653CF3"/>
    <w:rsid w:val="006548FF"/>
    <w:rsid w:val="00656345"/>
    <w:rsid w:val="00656DC6"/>
    <w:rsid w:val="00660EC6"/>
    <w:rsid w:val="0066211D"/>
    <w:rsid w:val="00664110"/>
    <w:rsid w:val="00664D17"/>
    <w:rsid w:val="00666520"/>
    <w:rsid w:val="00667C5B"/>
    <w:rsid w:val="00670BA9"/>
    <w:rsid w:val="00675501"/>
    <w:rsid w:val="0067570C"/>
    <w:rsid w:val="006853D7"/>
    <w:rsid w:val="006876E0"/>
    <w:rsid w:val="00691EB8"/>
    <w:rsid w:val="00692235"/>
    <w:rsid w:val="00692CDE"/>
    <w:rsid w:val="00693073"/>
    <w:rsid w:val="006930ED"/>
    <w:rsid w:val="006935C5"/>
    <w:rsid w:val="00694DA6"/>
    <w:rsid w:val="00696E9C"/>
    <w:rsid w:val="006977FF"/>
    <w:rsid w:val="006A01FA"/>
    <w:rsid w:val="006A0B2F"/>
    <w:rsid w:val="006A0E9E"/>
    <w:rsid w:val="006A25C7"/>
    <w:rsid w:val="006A4AAD"/>
    <w:rsid w:val="006A58EE"/>
    <w:rsid w:val="006A6DA2"/>
    <w:rsid w:val="006A7AB2"/>
    <w:rsid w:val="006B52DE"/>
    <w:rsid w:val="006B5717"/>
    <w:rsid w:val="006B582F"/>
    <w:rsid w:val="006B5EB2"/>
    <w:rsid w:val="006C0CEB"/>
    <w:rsid w:val="006C11AC"/>
    <w:rsid w:val="006C1631"/>
    <w:rsid w:val="006C3B1E"/>
    <w:rsid w:val="006C47FD"/>
    <w:rsid w:val="006C5C19"/>
    <w:rsid w:val="006C6AE5"/>
    <w:rsid w:val="006C70A0"/>
    <w:rsid w:val="006D1FC7"/>
    <w:rsid w:val="006D27CB"/>
    <w:rsid w:val="006D2F08"/>
    <w:rsid w:val="006D3D90"/>
    <w:rsid w:val="006D576C"/>
    <w:rsid w:val="006D5865"/>
    <w:rsid w:val="006D64FB"/>
    <w:rsid w:val="006D73C5"/>
    <w:rsid w:val="006E140A"/>
    <w:rsid w:val="006E45CB"/>
    <w:rsid w:val="006E4B1B"/>
    <w:rsid w:val="006E5445"/>
    <w:rsid w:val="006E5CF0"/>
    <w:rsid w:val="006E7D93"/>
    <w:rsid w:val="00700879"/>
    <w:rsid w:val="0070224D"/>
    <w:rsid w:val="007029A3"/>
    <w:rsid w:val="00706E4E"/>
    <w:rsid w:val="0070791C"/>
    <w:rsid w:val="00710553"/>
    <w:rsid w:val="007107F9"/>
    <w:rsid w:val="0071383C"/>
    <w:rsid w:val="007141A7"/>
    <w:rsid w:val="00715722"/>
    <w:rsid w:val="00721032"/>
    <w:rsid w:val="00721B55"/>
    <w:rsid w:val="00723363"/>
    <w:rsid w:val="007243CA"/>
    <w:rsid w:val="00725817"/>
    <w:rsid w:val="00726CCA"/>
    <w:rsid w:val="00726CE4"/>
    <w:rsid w:val="00734143"/>
    <w:rsid w:val="0073563F"/>
    <w:rsid w:val="007375F0"/>
    <w:rsid w:val="00737BC6"/>
    <w:rsid w:val="00737E47"/>
    <w:rsid w:val="00740183"/>
    <w:rsid w:val="00740EAC"/>
    <w:rsid w:val="00742820"/>
    <w:rsid w:val="00744956"/>
    <w:rsid w:val="00745A5C"/>
    <w:rsid w:val="00745F89"/>
    <w:rsid w:val="0074605F"/>
    <w:rsid w:val="00746BF8"/>
    <w:rsid w:val="00747E94"/>
    <w:rsid w:val="0075271B"/>
    <w:rsid w:val="00754C83"/>
    <w:rsid w:val="00756AE1"/>
    <w:rsid w:val="00757BA3"/>
    <w:rsid w:val="00760CA4"/>
    <w:rsid w:val="00761E5C"/>
    <w:rsid w:val="0076210F"/>
    <w:rsid w:val="00765DF8"/>
    <w:rsid w:val="00766749"/>
    <w:rsid w:val="00766D8A"/>
    <w:rsid w:val="00767C1B"/>
    <w:rsid w:val="007714A9"/>
    <w:rsid w:val="007728CF"/>
    <w:rsid w:val="00774F88"/>
    <w:rsid w:val="00774FDB"/>
    <w:rsid w:val="00777BA2"/>
    <w:rsid w:val="00781408"/>
    <w:rsid w:val="00783C34"/>
    <w:rsid w:val="00784722"/>
    <w:rsid w:val="00784F7F"/>
    <w:rsid w:val="007854D2"/>
    <w:rsid w:val="007878BD"/>
    <w:rsid w:val="0079262E"/>
    <w:rsid w:val="00796F25"/>
    <w:rsid w:val="007A2E98"/>
    <w:rsid w:val="007A3BA3"/>
    <w:rsid w:val="007A5ABD"/>
    <w:rsid w:val="007A6CC0"/>
    <w:rsid w:val="007A7FEC"/>
    <w:rsid w:val="007B0D2D"/>
    <w:rsid w:val="007B1499"/>
    <w:rsid w:val="007B1BBF"/>
    <w:rsid w:val="007B2960"/>
    <w:rsid w:val="007B3017"/>
    <w:rsid w:val="007B355D"/>
    <w:rsid w:val="007B7980"/>
    <w:rsid w:val="007C0DEF"/>
    <w:rsid w:val="007C11BF"/>
    <w:rsid w:val="007C37BA"/>
    <w:rsid w:val="007C5D5A"/>
    <w:rsid w:val="007C607F"/>
    <w:rsid w:val="007C6E44"/>
    <w:rsid w:val="007C79DD"/>
    <w:rsid w:val="007D098D"/>
    <w:rsid w:val="007D1A97"/>
    <w:rsid w:val="007D2CD6"/>
    <w:rsid w:val="007D3063"/>
    <w:rsid w:val="007D3CEB"/>
    <w:rsid w:val="007D44C2"/>
    <w:rsid w:val="007E060C"/>
    <w:rsid w:val="007E2B6B"/>
    <w:rsid w:val="007E7683"/>
    <w:rsid w:val="007E7D82"/>
    <w:rsid w:val="007E7E23"/>
    <w:rsid w:val="007F49FA"/>
    <w:rsid w:val="007F54C4"/>
    <w:rsid w:val="007F676E"/>
    <w:rsid w:val="007F6893"/>
    <w:rsid w:val="007F6E9A"/>
    <w:rsid w:val="00800CCD"/>
    <w:rsid w:val="0080375E"/>
    <w:rsid w:val="00803BB5"/>
    <w:rsid w:val="008044D4"/>
    <w:rsid w:val="008071FF"/>
    <w:rsid w:val="00810AB4"/>
    <w:rsid w:val="008113A8"/>
    <w:rsid w:val="008164D6"/>
    <w:rsid w:val="00817B56"/>
    <w:rsid w:val="00821A88"/>
    <w:rsid w:val="008220B6"/>
    <w:rsid w:val="0082495D"/>
    <w:rsid w:val="00826554"/>
    <w:rsid w:val="008312FB"/>
    <w:rsid w:val="00831AC3"/>
    <w:rsid w:val="00832EA7"/>
    <w:rsid w:val="008354DE"/>
    <w:rsid w:val="00836FCE"/>
    <w:rsid w:val="008408FF"/>
    <w:rsid w:val="008419CD"/>
    <w:rsid w:val="00842293"/>
    <w:rsid w:val="00844DDF"/>
    <w:rsid w:val="00846954"/>
    <w:rsid w:val="008504AC"/>
    <w:rsid w:val="00851F3F"/>
    <w:rsid w:val="00852D5A"/>
    <w:rsid w:val="00853E99"/>
    <w:rsid w:val="0085618F"/>
    <w:rsid w:val="0085658B"/>
    <w:rsid w:val="00856EDC"/>
    <w:rsid w:val="00857A3B"/>
    <w:rsid w:val="008607BC"/>
    <w:rsid w:val="008623B5"/>
    <w:rsid w:val="008645FF"/>
    <w:rsid w:val="0086506B"/>
    <w:rsid w:val="0086515E"/>
    <w:rsid w:val="008654E9"/>
    <w:rsid w:val="00870903"/>
    <w:rsid w:val="00870ABA"/>
    <w:rsid w:val="008710BE"/>
    <w:rsid w:val="008710E1"/>
    <w:rsid w:val="008716E5"/>
    <w:rsid w:val="008741C6"/>
    <w:rsid w:val="00881CA9"/>
    <w:rsid w:val="00883588"/>
    <w:rsid w:val="00883628"/>
    <w:rsid w:val="00885544"/>
    <w:rsid w:val="0088634E"/>
    <w:rsid w:val="008900A4"/>
    <w:rsid w:val="008902EA"/>
    <w:rsid w:val="00890DC6"/>
    <w:rsid w:val="008934CB"/>
    <w:rsid w:val="00893AB8"/>
    <w:rsid w:val="008A04C8"/>
    <w:rsid w:val="008A0792"/>
    <w:rsid w:val="008A4F39"/>
    <w:rsid w:val="008A6913"/>
    <w:rsid w:val="008A7EE5"/>
    <w:rsid w:val="008B03F6"/>
    <w:rsid w:val="008B1A55"/>
    <w:rsid w:val="008B53CB"/>
    <w:rsid w:val="008B702C"/>
    <w:rsid w:val="008B70F3"/>
    <w:rsid w:val="008B71C4"/>
    <w:rsid w:val="008B76DF"/>
    <w:rsid w:val="008C10F4"/>
    <w:rsid w:val="008C65F7"/>
    <w:rsid w:val="008C7FE2"/>
    <w:rsid w:val="008D7D28"/>
    <w:rsid w:val="008E052F"/>
    <w:rsid w:val="008E070F"/>
    <w:rsid w:val="008E1FF6"/>
    <w:rsid w:val="008E2CC5"/>
    <w:rsid w:val="008E3620"/>
    <w:rsid w:val="008E4767"/>
    <w:rsid w:val="008E64E5"/>
    <w:rsid w:val="008E6883"/>
    <w:rsid w:val="008E7A8C"/>
    <w:rsid w:val="008F0C63"/>
    <w:rsid w:val="008F1230"/>
    <w:rsid w:val="008F2B5F"/>
    <w:rsid w:val="008F3ECB"/>
    <w:rsid w:val="008F41C6"/>
    <w:rsid w:val="008F7537"/>
    <w:rsid w:val="008F795B"/>
    <w:rsid w:val="0090203B"/>
    <w:rsid w:val="00903285"/>
    <w:rsid w:val="00905B97"/>
    <w:rsid w:val="00906F40"/>
    <w:rsid w:val="0090731E"/>
    <w:rsid w:val="00912400"/>
    <w:rsid w:val="009125AC"/>
    <w:rsid w:val="00912DA2"/>
    <w:rsid w:val="00912F20"/>
    <w:rsid w:val="009139D5"/>
    <w:rsid w:val="0091419A"/>
    <w:rsid w:val="00915B1C"/>
    <w:rsid w:val="009174F3"/>
    <w:rsid w:val="0091797D"/>
    <w:rsid w:val="009210BD"/>
    <w:rsid w:val="0092211A"/>
    <w:rsid w:val="00922694"/>
    <w:rsid w:val="00923CBA"/>
    <w:rsid w:val="0092494D"/>
    <w:rsid w:val="0092653F"/>
    <w:rsid w:val="00926703"/>
    <w:rsid w:val="00927691"/>
    <w:rsid w:val="00927A5F"/>
    <w:rsid w:val="00927B02"/>
    <w:rsid w:val="00930510"/>
    <w:rsid w:val="009322D0"/>
    <w:rsid w:val="00933471"/>
    <w:rsid w:val="00935B63"/>
    <w:rsid w:val="0094078F"/>
    <w:rsid w:val="00940B2F"/>
    <w:rsid w:val="00940FA3"/>
    <w:rsid w:val="0094165D"/>
    <w:rsid w:val="00941FB0"/>
    <w:rsid w:val="009426D4"/>
    <w:rsid w:val="009428C2"/>
    <w:rsid w:val="009434BF"/>
    <w:rsid w:val="009448AD"/>
    <w:rsid w:val="009449C8"/>
    <w:rsid w:val="00947A71"/>
    <w:rsid w:val="00947F25"/>
    <w:rsid w:val="00950159"/>
    <w:rsid w:val="0095490B"/>
    <w:rsid w:val="009605C5"/>
    <w:rsid w:val="00960A33"/>
    <w:rsid w:val="00962176"/>
    <w:rsid w:val="00971914"/>
    <w:rsid w:val="009727DC"/>
    <w:rsid w:val="00973879"/>
    <w:rsid w:val="00974363"/>
    <w:rsid w:val="00975A42"/>
    <w:rsid w:val="009801DC"/>
    <w:rsid w:val="00981898"/>
    <w:rsid w:val="00981932"/>
    <w:rsid w:val="00982DAD"/>
    <w:rsid w:val="00984FC2"/>
    <w:rsid w:val="00987D49"/>
    <w:rsid w:val="00991D7B"/>
    <w:rsid w:val="00991EB4"/>
    <w:rsid w:val="0099577C"/>
    <w:rsid w:val="009978B5"/>
    <w:rsid w:val="009A6F89"/>
    <w:rsid w:val="009A9C6F"/>
    <w:rsid w:val="009B24A5"/>
    <w:rsid w:val="009B2601"/>
    <w:rsid w:val="009B4429"/>
    <w:rsid w:val="009B4503"/>
    <w:rsid w:val="009B4E9E"/>
    <w:rsid w:val="009B55F4"/>
    <w:rsid w:val="009B7ADE"/>
    <w:rsid w:val="009C1690"/>
    <w:rsid w:val="009C5892"/>
    <w:rsid w:val="009C6345"/>
    <w:rsid w:val="009C6881"/>
    <w:rsid w:val="009C7214"/>
    <w:rsid w:val="009C7759"/>
    <w:rsid w:val="009D019A"/>
    <w:rsid w:val="009D043D"/>
    <w:rsid w:val="009D07C8"/>
    <w:rsid w:val="009D6C71"/>
    <w:rsid w:val="009E0077"/>
    <w:rsid w:val="009E0631"/>
    <w:rsid w:val="009E133E"/>
    <w:rsid w:val="009E16D0"/>
    <w:rsid w:val="009E2051"/>
    <w:rsid w:val="009E38FD"/>
    <w:rsid w:val="009E6359"/>
    <w:rsid w:val="009F13D6"/>
    <w:rsid w:val="009F2ADD"/>
    <w:rsid w:val="009F344B"/>
    <w:rsid w:val="009F4C6B"/>
    <w:rsid w:val="009F5FCD"/>
    <w:rsid w:val="009F78A8"/>
    <w:rsid w:val="00A00FF8"/>
    <w:rsid w:val="00A0132F"/>
    <w:rsid w:val="00A015AE"/>
    <w:rsid w:val="00A02AD6"/>
    <w:rsid w:val="00A034DA"/>
    <w:rsid w:val="00A06709"/>
    <w:rsid w:val="00A07096"/>
    <w:rsid w:val="00A07318"/>
    <w:rsid w:val="00A11370"/>
    <w:rsid w:val="00A13DE5"/>
    <w:rsid w:val="00A14469"/>
    <w:rsid w:val="00A21214"/>
    <w:rsid w:val="00A224CE"/>
    <w:rsid w:val="00A22522"/>
    <w:rsid w:val="00A24AFD"/>
    <w:rsid w:val="00A24F5C"/>
    <w:rsid w:val="00A267F6"/>
    <w:rsid w:val="00A32F96"/>
    <w:rsid w:val="00A34FA7"/>
    <w:rsid w:val="00A371AC"/>
    <w:rsid w:val="00A40871"/>
    <w:rsid w:val="00A412AB"/>
    <w:rsid w:val="00A41816"/>
    <w:rsid w:val="00A4193E"/>
    <w:rsid w:val="00A440E0"/>
    <w:rsid w:val="00A442EF"/>
    <w:rsid w:val="00A46B05"/>
    <w:rsid w:val="00A51D1A"/>
    <w:rsid w:val="00A5418D"/>
    <w:rsid w:val="00A5474E"/>
    <w:rsid w:val="00A5791E"/>
    <w:rsid w:val="00A64234"/>
    <w:rsid w:val="00A70ADF"/>
    <w:rsid w:val="00A71466"/>
    <w:rsid w:val="00A72054"/>
    <w:rsid w:val="00A739C6"/>
    <w:rsid w:val="00A74B5E"/>
    <w:rsid w:val="00A80082"/>
    <w:rsid w:val="00A81BED"/>
    <w:rsid w:val="00A81EC4"/>
    <w:rsid w:val="00A8231F"/>
    <w:rsid w:val="00A824E8"/>
    <w:rsid w:val="00A851E6"/>
    <w:rsid w:val="00A926DE"/>
    <w:rsid w:val="00A927D9"/>
    <w:rsid w:val="00A92E83"/>
    <w:rsid w:val="00A967FD"/>
    <w:rsid w:val="00A97CB1"/>
    <w:rsid w:val="00AA2DE5"/>
    <w:rsid w:val="00AA60AB"/>
    <w:rsid w:val="00AB156C"/>
    <w:rsid w:val="00AB1B1C"/>
    <w:rsid w:val="00AB6814"/>
    <w:rsid w:val="00AB7C2C"/>
    <w:rsid w:val="00AC04BA"/>
    <w:rsid w:val="00AC0E39"/>
    <w:rsid w:val="00AC0F48"/>
    <w:rsid w:val="00AC2EAE"/>
    <w:rsid w:val="00AC45A1"/>
    <w:rsid w:val="00AC7F22"/>
    <w:rsid w:val="00AD3082"/>
    <w:rsid w:val="00AD32B4"/>
    <w:rsid w:val="00AD4AD0"/>
    <w:rsid w:val="00AD5436"/>
    <w:rsid w:val="00AD60CD"/>
    <w:rsid w:val="00AD6C8C"/>
    <w:rsid w:val="00AD7047"/>
    <w:rsid w:val="00AE091D"/>
    <w:rsid w:val="00AE121A"/>
    <w:rsid w:val="00AE3B60"/>
    <w:rsid w:val="00AE53A1"/>
    <w:rsid w:val="00AE77F2"/>
    <w:rsid w:val="00AF2484"/>
    <w:rsid w:val="00AF63E7"/>
    <w:rsid w:val="00AF6E17"/>
    <w:rsid w:val="00B0033B"/>
    <w:rsid w:val="00B0165D"/>
    <w:rsid w:val="00B01B60"/>
    <w:rsid w:val="00B02190"/>
    <w:rsid w:val="00B031F3"/>
    <w:rsid w:val="00B034C8"/>
    <w:rsid w:val="00B052A4"/>
    <w:rsid w:val="00B05DDF"/>
    <w:rsid w:val="00B07A81"/>
    <w:rsid w:val="00B125DE"/>
    <w:rsid w:val="00B13FDD"/>
    <w:rsid w:val="00B165C7"/>
    <w:rsid w:val="00B19CCB"/>
    <w:rsid w:val="00B21EEC"/>
    <w:rsid w:val="00B22EB2"/>
    <w:rsid w:val="00B233CA"/>
    <w:rsid w:val="00B23EF1"/>
    <w:rsid w:val="00B24DAD"/>
    <w:rsid w:val="00B25B92"/>
    <w:rsid w:val="00B27442"/>
    <w:rsid w:val="00B27962"/>
    <w:rsid w:val="00B31167"/>
    <w:rsid w:val="00B329D8"/>
    <w:rsid w:val="00B32BB9"/>
    <w:rsid w:val="00B33AE1"/>
    <w:rsid w:val="00B34A5A"/>
    <w:rsid w:val="00B37C38"/>
    <w:rsid w:val="00B415B9"/>
    <w:rsid w:val="00B4288C"/>
    <w:rsid w:val="00B43262"/>
    <w:rsid w:val="00B44100"/>
    <w:rsid w:val="00B46CBA"/>
    <w:rsid w:val="00B46F94"/>
    <w:rsid w:val="00B47299"/>
    <w:rsid w:val="00B476CD"/>
    <w:rsid w:val="00B543D7"/>
    <w:rsid w:val="00B545C0"/>
    <w:rsid w:val="00B5704C"/>
    <w:rsid w:val="00B6003C"/>
    <w:rsid w:val="00B61F03"/>
    <w:rsid w:val="00B626E4"/>
    <w:rsid w:val="00B62FA2"/>
    <w:rsid w:val="00B670CD"/>
    <w:rsid w:val="00B67D5C"/>
    <w:rsid w:val="00B70581"/>
    <w:rsid w:val="00B71C86"/>
    <w:rsid w:val="00B7230C"/>
    <w:rsid w:val="00B72F4A"/>
    <w:rsid w:val="00B75D12"/>
    <w:rsid w:val="00B836DD"/>
    <w:rsid w:val="00B83C27"/>
    <w:rsid w:val="00B84185"/>
    <w:rsid w:val="00B84BC3"/>
    <w:rsid w:val="00B84BDD"/>
    <w:rsid w:val="00B91882"/>
    <w:rsid w:val="00B92812"/>
    <w:rsid w:val="00B949A1"/>
    <w:rsid w:val="00B94F38"/>
    <w:rsid w:val="00BA00AA"/>
    <w:rsid w:val="00BA3143"/>
    <w:rsid w:val="00BA420B"/>
    <w:rsid w:val="00BB0A50"/>
    <w:rsid w:val="00BB3C0C"/>
    <w:rsid w:val="00BB45A1"/>
    <w:rsid w:val="00BB7686"/>
    <w:rsid w:val="00BB7A7C"/>
    <w:rsid w:val="00BB7D57"/>
    <w:rsid w:val="00BC23F9"/>
    <w:rsid w:val="00BC28AE"/>
    <w:rsid w:val="00BC3421"/>
    <w:rsid w:val="00BC732C"/>
    <w:rsid w:val="00BD4421"/>
    <w:rsid w:val="00BD4A9F"/>
    <w:rsid w:val="00BE2580"/>
    <w:rsid w:val="00BE266D"/>
    <w:rsid w:val="00BE3938"/>
    <w:rsid w:val="00BE4C11"/>
    <w:rsid w:val="00BE6805"/>
    <w:rsid w:val="00BE71C0"/>
    <w:rsid w:val="00BF0390"/>
    <w:rsid w:val="00BF0CE7"/>
    <w:rsid w:val="00BF3930"/>
    <w:rsid w:val="00BF5451"/>
    <w:rsid w:val="00BF610C"/>
    <w:rsid w:val="00C0060B"/>
    <w:rsid w:val="00C01A6C"/>
    <w:rsid w:val="00C0277D"/>
    <w:rsid w:val="00C04176"/>
    <w:rsid w:val="00C04DC2"/>
    <w:rsid w:val="00C053A1"/>
    <w:rsid w:val="00C056BA"/>
    <w:rsid w:val="00C10543"/>
    <w:rsid w:val="00C16007"/>
    <w:rsid w:val="00C16198"/>
    <w:rsid w:val="00C2083D"/>
    <w:rsid w:val="00C22774"/>
    <w:rsid w:val="00C24993"/>
    <w:rsid w:val="00C24A53"/>
    <w:rsid w:val="00C34A05"/>
    <w:rsid w:val="00C35CCE"/>
    <w:rsid w:val="00C4032F"/>
    <w:rsid w:val="00C44047"/>
    <w:rsid w:val="00C45155"/>
    <w:rsid w:val="00C45B23"/>
    <w:rsid w:val="00C45B41"/>
    <w:rsid w:val="00C53627"/>
    <w:rsid w:val="00C5495D"/>
    <w:rsid w:val="00C5498F"/>
    <w:rsid w:val="00C55235"/>
    <w:rsid w:val="00C55C8D"/>
    <w:rsid w:val="00C56EA5"/>
    <w:rsid w:val="00C61260"/>
    <w:rsid w:val="00C64CD0"/>
    <w:rsid w:val="00C65A5E"/>
    <w:rsid w:val="00C6684F"/>
    <w:rsid w:val="00C70E70"/>
    <w:rsid w:val="00C7177B"/>
    <w:rsid w:val="00C7358B"/>
    <w:rsid w:val="00C75E62"/>
    <w:rsid w:val="00C75F8D"/>
    <w:rsid w:val="00C77380"/>
    <w:rsid w:val="00C810EA"/>
    <w:rsid w:val="00C812A2"/>
    <w:rsid w:val="00C82809"/>
    <w:rsid w:val="00C848E0"/>
    <w:rsid w:val="00C87AF2"/>
    <w:rsid w:val="00C87E8A"/>
    <w:rsid w:val="00C90217"/>
    <w:rsid w:val="00C92803"/>
    <w:rsid w:val="00C96D91"/>
    <w:rsid w:val="00C97736"/>
    <w:rsid w:val="00CA345A"/>
    <w:rsid w:val="00CA4518"/>
    <w:rsid w:val="00CA5397"/>
    <w:rsid w:val="00CA5B1E"/>
    <w:rsid w:val="00CA6563"/>
    <w:rsid w:val="00CB00A9"/>
    <w:rsid w:val="00CB1D0C"/>
    <w:rsid w:val="00CB1E82"/>
    <w:rsid w:val="00CB302D"/>
    <w:rsid w:val="00CB4BA8"/>
    <w:rsid w:val="00CB52D7"/>
    <w:rsid w:val="00CB5CF2"/>
    <w:rsid w:val="00CC19ED"/>
    <w:rsid w:val="00CC2D93"/>
    <w:rsid w:val="00CC49B1"/>
    <w:rsid w:val="00CC6732"/>
    <w:rsid w:val="00CD1322"/>
    <w:rsid w:val="00CD1BD4"/>
    <w:rsid w:val="00CD5DD9"/>
    <w:rsid w:val="00CE0E8F"/>
    <w:rsid w:val="00CE12FB"/>
    <w:rsid w:val="00CE2F3D"/>
    <w:rsid w:val="00CE3C96"/>
    <w:rsid w:val="00CE3FFA"/>
    <w:rsid w:val="00CE51A8"/>
    <w:rsid w:val="00CF3534"/>
    <w:rsid w:val="00CF369B"/>
    <w:rsid w:val="00CF539A"/>
    <w:rsid w:val="00CF7988"/>
    <w:rsid w:val="00D00E28"/>
    <w:rsid w:val="00D0269E"/>
    <w:rsid w:val="00D030FC"/>
    <w:rsid w:val="00D0461C"/>
    <w:rsid w:val="00D05D6C"/>
    <w:rsid w:val="00D15810"/>
    <w:rsid w:val="00D16BA4"/>
    <w:rsid w:val="00D16D4E"/>
    <w:rsid w:val="00D16E61"/>
    <w:rsid w:val="00D16FE3"/>
    <w:rsid w:val="00D260D4"/>
    <w:rsid w:val="00D27F41"/>
    <w:rsid w:val="00D30E40"/>
    <w:rsid w:val="00D319AA"/>
    <w:rsid w:val="00D319C1"/>
    <w:rsid w:val="00D31B51"/>
    <w:rsid w:val="00D325B3"/>
    <w:rsid w:val="00D36441"/>
    <w:rsid w:val="00D40092"/>
    <w:rsid w:val="00D4064E"/>
    <w:rsid w:val="00D4488A"/>
    <w:rsid w:val="00D44E9B"/>
    <w:rsid w:val="00D45FD2"/>
    <w:rsid w:val="00D46410"/>
    <w:rsid w:val="00D47AEB"/>
    <w:rsid w:val="00D50DB9"/>
    <w:rsid w:val="00D51302"/>
    <w:rsid w:val="00D51503"/>
    <w:rsid w:val="00D52C43"/>
    <w:rsid w:val="00D558F9"/>
    <w:rsid w:val="00D6010D"/>
    <w:rsid w:val="00D6507F"/>
    <w:rsid w:val="00D71886"/>
    <w:rsid w:val="00D730BC"/>
    <w:rsid w:val="00D73912"/>
    <w:rsid w:val="00D77CE5"/>
    <w:rsid w:val="00D81081"/>
    <w:rsid w:val="00D85226"/>
    <w:rsid w:val="00D86416"/>
    <w:rsid w:val="00D87401"/>
    <w:rsid w:val="00D87B94"/>
    <w:rsid w:val="00D87FEB"/>
    <w:rsid w:val="00D90740"/>
    <w:rsid w:val="00D90F3E"/>
    <w:rsid w:val="00D92D49"/>
    <w:rsid w:val="00D92EC1"/>
    <w:rsid w:val="00D9377C"/>
    <w:rsid w:val="00D96A73"/>
    <w:rsid w:val="00D96DEA"/>
    <w:rsid w:val="00D977FF"/>
    <w:rsid w:val="00DA08AA"/>
    <w:rsid w:val="00DA1B60"/>
    <w:rsid w:val="00DA4E41"/>
    <w:rsid w:val="00DA631D"/>
    <w:rsid w:val="00DA7DD0"/>
    <w:rsid w:val="00DB0F21"/>
    <w:rsid w:val="00DB117A"/>
    <w:rsid w:val="00DB2325"/>
    <w:rsid w:val="00DB2AA5"/>
    <w:rsid w:val="00DB5173"/>
    <w:rsid w:val="00DB5457"/>
    <w:rsid w:val="00DB5DE6"/>
    <w:rsid w:val="00DB60A4"/>
    <w:rsid w:val="00DB7873"/>
    <w:rsid w:val="00DC187B"/>
    <w:rsid w:val="00DC7CD8"/>
    <w:rsid w:val="00DC7DEF"/>
    <w:rsid w:val="00DD1A43"/>
    <w:rsid w:val="00DD2EC1"/>
    <w:rsid w:val="00DD399F"/>
    <w:rsid w:val="00DD4B20"/>
    <w:rsid w:val="00DD73A3"/>
    <w:rsid w:val="00DD73C2"/>
    <w:rsid w:val="00DD7F5C"/>
    <w:rsid w:val="00DE03F3"/>
    <w:rsid w:val="00DE319B"/>
    <w:rsid w:val="00DE7099"/>
    <w:rsid w:val="00DF294C"/>
    <w:rsid w:val="00DF34FE"/>
    <w:rsid w:val="00DF542B"/>
    <w:rsid w:val="00DF56AA"/>
    <w:rsid w:val="00DF56AF"/>
    <w:rsid w:val="00DF78E7"/>
    <w:rsid w:val="00DF7A96"/>
    <w:rsid w:val="00E0531D"/>
    <w:rsid w:val="00E07DFE"/>
    <w:rsid w:val="00E110E0"/>
    <w:rsid w:val="00E15371"/>
    <w:rsid w:val="00E16FDA"/>
    <w:rsid w:val="00E20A9C"/>
    <w:rsid w:val="00E231D3"/>
    <w:rsid w:val="00E23372"/>
    <w:rsid w:val="00E24104"/>
    <w:rsid w:val="00E27206"/>
    <w:rsid w:val="00E2791B"/>
    <w:rsid w:val="00E302D0"/>
    <w:rsid w:val="00E3209C"/>
    <w:rsid w:val="00E33052"/>
    <w:rsid w:val="00E35707"/>
    <w:rsid w:val="00E35F69"/>
    <w:rsid w:val="00E36AA1"/>
    <w:rsid w:val="00E41ECB"/>
    <w:rsid w:val="00E42676"/>
    <w:rsid w:val="00E432A1"/>
    <w:rsid w:val="00E466A7"/>
    <w:rsid w:val="00E46E84"/>
    <w:rsid w:val="00E47E0E"/>
    <w:rsid w:val="00E5174A"/>
    <w:rsid w:val="00E527F9"/>
    <w:rsid w:val="00E54FDB"/>
    <w:rsid w:val="00E5617D"/>
    <w:rsid w:val="00E563D7"/>
    <w:rsid w:val="00E61937"/>
    <w:rsid w:val="00E6218D"/>
    <w:rsid w:val="00E64054"/>
    <w:rsid w:val="00E663F4"/>
    <w:rsid w:val="00E6649D"/>
    <w:rsid w:val="00E666F2"/>
    <w:rsid w:val="00E66A21"/>
    <w:rsid w:val="00E66DD4"/>
    <w:rsid w:val="00E67714"/>
    <w:rsid w:val="00E73113"/>
    <w:rsid w:val="00E748CC"/>
    <w:rsid w:val="00E75415"/>
    <w:rsid w:val="00E7611C"/>
    <w:rsid w:val="00E775B1"/>
    <w:rsid w:val="00E8152A"/>
    <w:rsid w:val="00E84BE7"/>
    <w:rsid w:val="00E91B55"/>
    <w:rsid w:val="00E93629"/>
    <w:rsid w:val="00E93B5C"/>
    <w:rsid w:val="00E94CEC"/>
    <w:rsid w:val="00E96D51"/>
    <w:rsid w:val="00EA02FA"/>
    <w:rsid w:val="00EA04EF"/>
    <w:rsid w:val="00EA135F"/>
    <w:rsid w:val="00EA2182"/>
    <w:rsid w:val="00EA6724"/>
    <w:rsid w:val="00EA6F19"/>
    <w:rsid w:val="00EB52A1"/>
    <w:rsid w:val="00EB7090"/>
    <w:rsid w:val="00EC16E9"/>
    <w:rsid w:val="00EC1BBE"/>
    <w:rsid w:val="00EC2B68"/>
    <w:rsid w:val="00EC2F23"/>
    <w:rsid w:val="00EC3AEF"/>
    <w:rsid w:val="00EC5CD7"/>
    <w:rsid w:val="00EC65B3"/>
    <w:rsid w:val="00EC6EDA"/>
    <w:rsid w:val="00ED1957"/>
    <w:rsid w:val="00EE0B7C"/>
    <w:rsid w:val="00EE2982"/>
    <w:rsid w:val="00EE5812"/>
    <w:rsid w:val="00EE5FB3"/>
    <w:rsid w:val="00EE7F79"/>
    <w:rsid w:val="00EF715A"/>
    <w:rsid w:val="00F00A70"/>
    <w:rsid w:val="00F01BC3"/>
    <w:rsid w:val="00F02299"/>
    <w:rsid w:val="00F02A03"/>
    <w:rsid w:val="00F06E14"/>
    <w:rsid w:val="00F12245"/>
    <w:rsid w:val="00F14D81"/>
    <w:rsid w:val="00F158FC"/>
    <w:rsid w:val="00F16B8B"/>
    <w:rsid w:val="00F179D4"/>
    <w:rsid w:val="00F20314"/>
    <w:rsid w:val="00F27D8B"/>
    <w:rsid w:val="00F3222A"/>
    <w:rsid w:val="00F33C56"/>
    <w:rsid w:val="00F347C7"/>
    <w:rsid w:val="00F34848"/>
    <w:rsid w:val="00F3511D"/>
    <w:rsid w:val="00F35BEF"/>
    <w:rsid w:val="00F40D7F"/>
    <w:rsid w:val="00F41865"/>
    <w:rsid w:val="00F41A29"/>
    <w:rsid w:val="00F42D46"/>
    <w:rsid w:val="00F4376E"/>
    <w:rsid w:val="00F4496C"/>
    <w:rsid w:val="00F44B0E"/>
    <w:rsid w:val="00F44F3A"/>
    <w:rsid w:val="00F45DD5"/>
    <w:rsid w:val="00F51F10"/>
    <w:rsid w:val="00F52562"/>
    <w:rsid w:val="00F529A5"/>
    <w:rsid w:val="00F53C1F"/>
    <w:rsid w:val="00F55249"/>
    <w:rsid w:val="00F60E53"/>
    <w:rsid w:val="00F60F00"/>
    <w:rsid w:val="00F614C0"/>
    <w:rsid w:val="00F61C77"/>
    <w:rsid w:val="00F631F2"/>
    <w:rsid w:val="00F66551"/>
    <w:rsid w:val="00F67E51"/>
    <w:rsid w:val="00F747C1"/>
    <w:rsid w:val="00F823AF"/>
    <w:rsid w:val="00F83848"/>
    <w:rsid w:val="00F915B8"/>
    <w:rsid w:val="00F91DE3"/>
    <w:rsid w:val="00F93E96"/>
    <w:rsid w:val="00F975E9"/>
    <w:rsid w:val="00FA1B7D"/>
    <w:rsid w:val="00FA3C71"/>
    <w:rsid w:val="00FA5CE0"/>
    <w:rsid w:val="00FB2256"/>
    <w:rsid w:val="00FC07B9"/>
    <w:rsid w:val="00FC1308"/>
    <w:rsid w:val="00FC43F0"/>
    <w:rsid w:val="00FC4E21"/>
    <w:rsid w:val="00FC509F"/>
    <w:rsid w:val="00FC595B"/>
    <w:rsid w:val="00FC5F6D"/>
    <w:rsid w:val="00FD0107"/>
    <w:rsid w:val="00FD2C2F"/>
    <w:rsid w:val="00FD3B31"/>
    <w:rsid w:val="00FD4405"/>
    <w:rsid w:val="00FD4EEA"/>
    <w:rsid w:val="00FD7482"/>
    <w:rsid w:val="00FD7E5D"/>
    <w:rsid w:val="00FE1823"/>
    <w:rsid w:val="00FE487A"/>
    <w:rsid w:val="00FE655F"/>
    <w:rsid w:val="00FE792A"/>
    <w:rsid w:val="00FF0569"/>
    <w:rsid w:val="00FF206E"/>
    <w:rsid w:val="00FF3C69"/>
    <w:rsid w:val="00FF61BE"/>
    <w:rsid w:val="00FF6E0A"/>
    <w:rsid w:val="00FF7010"/>
    <w:rsid w:val="00FF7D47"/>
    <w:rsid w:val="050F7F31"/>
    <w:rsid w:val="0661DE2B"/>
    <w:rsid w:val="06EBB605"/>
    <w:rsid w:val="075B56E0"/>
    <w:rsid w:val="0A69F751"/>
    <w:rsid w:val="0A6C4AD7"/>
    <w:rsid w:val="0C088E16"/>
    <w:rsid w:val="0D1A071A"/>
    <w:rsid w:val="0E26F26A"/>
    <w:rsid w:val="0F30109D"/>
    <w:rsid w:val="0F426C6F"/>
    <w:rsid w:val="120C93C5"/>
    <w:rsid w:val="1658FA22"/>
    <w:rsid w:val="1CCBE575"/>
    <w:rsid w:val="1D31D6BB"/>
    <w:rsid w:val="1D53766E"/>
    <w:rsid w:val="1F74512C"/>
    <w:rsid w:val="21641275"/>
    <w:rsid w:val="21F0044B"/>
    <w:rsid w:val="226C74D6"/>
    <w:rsid w:val="240B454E"/>
    <w:rsid w:val="2888A263"/>
    <w:rsid w:val="2DCE482B"/>
    <w:rsid w:val="2ECBC4CC"/>
    <w:rsid w:val="308AD901"/>
    <w:rsid w:val="34B140AB"/>
    <w:rsid w:val="3BF4B55A"/>
    <w:rsid w:val="3E5E161C"/>
    <w:rsid w:val="3E9BEAF0"/>
    <w:rsid w:val="3EDFB2EF"/>
    <w:rsid w:val="3FA9CF51"/>
    <w:rsid w:val="4028059A"/>
    <w:rsid w:val="4193E717"/>
    <w:rsid w:val="4240E9B8"/>
    <w:rsid w:val="43B71EFF"/>
    <w:rsid w:val="455CCBC5"/>
    <w:rsid w:val="49F926D1"/>
    <w:rsid w:val="4BCFAE37"/>
    <w:rsid w:val="4C0C2123"/>
    <w:rsid w:val="4C28C6DE"/>
    <w:rsid w:val="4E1B798C"/>
    <w:rsid w:val="4E6DECAC"/>
    <w:rsid w:val="53081211"/>
    <w:rsid w:val="54B3250B"/>
    <w:rsid w:val="578D88E9"/>
    <w:rsid w:val="5C8317C2"/>
    <w:rsid w:val="5E0E9A45"/>
    <w:rsid w:val="5FA6ED83"/>
    <w:rsid w:val="6031632C"/>
    <w:rsid w:val="67732F97"/>
    <w:rsid w:val="682BAE8E"/>
    <w:rsid w:val="6844B196"/>
    <w:rsid w:val="6B60F170"/>
    <w:rsid w:val="6B6758DB"/>
    <w:rsid w:val="6E4F5DB1"/>
    <w:rsid w:val="6EB8EF25"/>
    <w:rsid w:val="6F45A645"/>
    <w:rsid w:val="73AC7911"/>
    <w:rsid w:val="774E5A4A"/>
    <w:rsid w:val="79C9C717"/>
    <w:rsid w:val="7C7733E5"/>
    <w:rsid w:val="7E831D36"/>
    <w:rsid w:val="7F65E586"/>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03812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CC49B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
    <w:basedOn w:val="Normal"/>
    <w:link w:val="FootnoteTextChar"/>
    <w:uiPriority w:val="99"/>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Normal"/>
    <w:uiPriority w:val="5"/>
    <w:qFormat/>
    <w:rsid w:val="00CC49B1"/>
    <w:pPr>
      <w:numPr>
        <w:numId w:val="1"/>
      </w:numPr>
      <w:spacing w:after="80"/>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tabs>
        <w:tab w:val="clear" w:pos="2439"/>
        <w:tab w:val="num" w:pos="1021"/>
      </w:tabs>
      <w:spacing w:after="160"/>
      <w:ind w:left="1021"/>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Normal"/>
    <w:uiPriority w:val="6"/>
    <w:qFormat/>
    <w:rsid w:val="00CC49B1"/>
    <w:pPr>
      <w:tabs>
        <w:tab w:val="num" w:pos="295"/>
      </w:tabs>
      <w:ind w:left="295" w:hanging="295"/>
    </w:pPr>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character" w:styleId="Strong">
    <w:name w:val="Strong"/>
    <w:basedOn w:val="DefaultParagraphFont"/>
    <w:semiHidden/>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3068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0687B"/>
    <w:rPr>
      <w:rFonts w:ascii="Segoe UI" w:hAnsi="Segoe UI" w:cs="Segoe UI"/>
      <w:sz w:val="18"/>
      <w:szCs w:val="18"/>
    </w:rPr>
  </w:style>
  <w:style w:type="character" w:customStyle="1" w:styleId="FootnoteTextChar">
    <w:name w:val="Footnote Text Char"/>
    <w:aliases w:val="Footnote text Char"/>
    <w:basedOn w:val="DefaultParagraphFont"/>
    <w:link w:val="FootnoteText"/>
    <w:uiPriority w:val="99"/>
    <w:rsid w:val="008E070F"/>
    <w:rPr>
      <w:rFonts w:ascii="Arial" w:hAnsi="Arial"/>
      <w:sz w:val="16"/>
      <w:szCs w:val="16"/>
    </w:rPr>
  </w:style>
  <w:style w:type="character" w:customStyle="1" w:styleId="normaltextrun">
    <w:name w:val="normaltextrun"/>
    <w:basedOn w:val="DefaultParagraphFont"/>
    <w:rsid w:val="00DA08AA"/>
  </w:style>
  <w:style w:type="character" w:customStyle="1" w:styleId="eop">
    <w:name w:val="eop"/>
    <w:basedOn w:val="DefaultParagraphFont"/>
    <w:rsid w:val="00DA08AA"/>
  </w:style>
  <w:style w:type="paragraph" w:styleId="ListParagraph">
    <w:name w:val="List Paragraph"/>
    <w:basedOn w:val="Normal"/>
    <w:uiPriority w:val="34"/>
    <w:qFormat/>
    <w:rsid w:val="00723363"/>
    <w:pPr>
      <w:spacing w:after="160" w:line="259"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3303852">
      <w:bodyDiv w:val="1"/>
      <w:marLeft w:val="0"/>
      <w:marRight w:val="0"/>
      <w:marTop w:val="0"/>
      <w:marBottom w:val="0"/>
      <w:divBdr>
        <w:top w:val="none" w:sz="0" w:space="0" w:color="auto"/>
        <w:left w:val="none" w:sz="0" w:space="0" w:color="auto"/>
        <w:bottom w:val="none" w:sz="0" w:space="0" w:color="auto"/>
        <w:right w:val="none" w:sz="0" w:space="0" w:color="auto"/>
      </w:divBdr>
    </w:div>
    <w:div w:id="425006812">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047340521">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25686193">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image" Target="media/image6.svg"/><Relationship Id="rId39" Type="http://schemas.openxmlformats.org/officeDocument/2006/relationships/hyperlink" Target="https://www.digital.nsw.gov.au/article/twinning-spatial-services-has-created-digital-twin-nsw" TargetMode="External"/><Relationship Id="rId21" Type="http://schemas.openxmlformats.org/officeDocument/2006/relationships/header" Target="header6.xml"/><Relationship Id="rId34" Type="http://schemas.openxmlformats.org/officeDocument/2006/relationships/hyperlink" Target="https://www.acma.gov.au/research-program" TargetMode="External"/><Relationship Id="rId42" Type="http://schemas.openxmlformats.org/officeDocument/2006/relationships/image" Target="media/image15.png"/><Relationship Id="rId47" Type="http://schemas.openxmlformats.org/officeDocument/2006/relationships/image" Target="media/image18.svg"/><Relationship Id="rId50" Type="http://schemas.openxmlformats.org/officeDocument/2006/relationships/hyperlink" Target="mailto:regfutures@acma.gov.au" TargetMode="Externa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image" Target="media/image5.png"/><Relationship Id="rId33" Type="http://schemas.openxmlformats.org/officeDocument/2006/relationships/image" Target="media/image12.svg"/><Relationship Id="rId38" Type="http://schemas.openxmlformats.org/officeDocument/2006/relationships/image" Target="media/image14.jpg"/><Relationship Id="rId46" Type="http://schemas.openxmlformats.org/officeDocument/2006/relationships/image" Target="media/image17.png"/><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yperlink" Target="https://www.spatial.nsw.gov.au/what_we_do/projects/digital_twin" TargetMode="External"/><Relationship Id="rId41" Type="http://schemas.openxmlformats.org/officeDocument/2006/relationships/hyperlink" Target="https://www.iso.org/committee/45020.html" TargetMode="External"/><Relationship Id="rId54"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image" Target="media/image11.png"/><Relationship Id="rId37" Type="http://schemas.openxmlformats.org/officeDocument/2006/relationships/image" Target="media/image13.png"/><Relationship Id="rId40" Type="http://schemas.openxmlformats.org/officeDocument/2006/relationships/hyperlink" Target="https://www.nsw.gov.au/" TargetMode="External"/><Relationship Id="rId45" Type="http://schemas.openxmlformats.org/officeDocument/2006/relationships/image" Target="media/image16.png"/><Relationship Id="rId53"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image" Target="media/image8.svg"/><Relationship Id="rId36" Type="http://schemas.openxmlformats.org/officeDocument/2006/relationships/hyperlink" Target="https://www.acma.gov.au/publications/2020-08/report/internet-things-media-and-communications-occasional-paper" TargetMode="External"/><Relationship Id="rId49" Type="http://schemas.openxmlformats.org/officeDocument/2006/relationships/image" Target="media/image20.svg"/><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image" Target="media/image10.svg"/><Relationship Id="rId44" Type="http://schemas.openxmlformats.org/officeDocument/2006/relationships/hyperlink" Target="https://web.acma.gov.au/rrl/register_search.main_page" TargetMode="External"/><Relationship Id="rId52"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image" Target="media/image7.png"/><Relationship Id="rId30" Type="http://schemas.openxmlformats.org/officeDocument/2006/relationships/image" Target="media/image9.png"/><Relationship Id="rId35" Type="http://schemas.openxmlformats.org/officeDocument/2006/relationships/hyperlink" Target="https://www.acma.gov.au/publications/2015-11/report/internet-things-and-acmas-area-focus-emerging-issues-occasional-paper" TargetMode="External"/><Relationship Id="rId43" Type="http://schemas.openxmlformats.org/officeDocument/2006/relationships/hyperlink" Target="https://www.acma.gov.au/consultations/2019-10/new-approaches-spectrum-sharing-consultation-252019" TargetMode="External"/><Relationship Id="rId48" Type="http://schemas.openxmlformats.org/officeDocument/2006/relationships/image" Target="media/image19.png"/><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eader" Target="header7.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www2.deloitte.com/us/en/insights/focus/tech-trends/2020/digital-twin-applications-bridging-the-physical-and-digital.html/?id=us:2em:3na:4dius6555:5awa:6di:031220:digital&amp;ctr=title&amp;sfid=0031O000035oBdhQAE" TargetMode="External"/><Relationship Id="rId18" Type="http://schemas.openxmlformats.org/officeDocument/2006/relationships/hyperlink" Target="https://www.nokia.com/networks/services/digital-design-and-deployment/" TargetMode="External"/><Relationship Id="rId26" Type="http://schemas.openxmlformats.org/officeDocument/2006/relationships/hyperlink" Target="https://arxiv.org/abs/1703.09989" TargetMode="External"/><Relationship Id="rId39" Type="http://schemas.openxmlformats.org/officeDocument/2006/relationships/hyperlink" Target="https://www.bcg.com/en-au/publications/2020/coming-battle-for-spectrum" TargetMode="External"/><Relationship Id="rId3" Type="http://schemas.openxmlformats.org/officeDocument/2006/relationships/hyperlink" Target="https://www2.deloitte.com/us/en/insights/focus/tech-trends/2020/digital-twin-applications-bridging-the-physical-and-digital.html" TargetMode="External"/><Relationship Id="rId21" Type="http://schemas.openxmlformats.org/officeDocument/2006/relationships/hyperlink" Target="https://www.nokia.com/blog/digital-twin-technology-double-meet-challenges-iot-5g/" TargetMode="External"/><Relationship Id="rId34" Type="http://schemas.openxmlformats.org/officeDocument/2006/relationships/hyperlink" Target="https://www.ranlytics.com/about-us" TargetMode="External"/><Relationship Id="rId42" Type="http://schemas.openxmlformats.org/officeDocument/2006/relationships/hyperlink" Target="https://www.researchgate.net/publication/342318375_Digital_Twin_for_Metasurface_Reflector_Management_in_6G_Terahertz_Communications" TargetMode="External"/><Relationship Id="rId47" Type="http://schemas.openxmlformats.org/officeDocument/2006/relationships/hyperlink" Target="https://www.esafety.gov.au/about-us/safety-by-design" TargetMode="External"/><Relationship Id="rId7" Type="http://schemas.openxmlformats.org/officeDocument/2006/relationships/hyperlink" Target="https://www.anzlic.gov.au/resources/principles-spatially-enabled-digital-twins-built-and-natural-environment-australia" TargetMode="External"/><Relationship Id="rId12" Type="http://schemas.openxmlformats.org/officeDocument/2006/relationships/hyperlink" Target="https://www.industryweek.com/technology-and-iiot/article/21130033/how-digital-twins-are-raising-the-stakes-on-product-development" TargetMode="External"/><Relationship Id="rId17" Type="http://schemas.openxmlformats.org/officeDocument/2006/relationships/hyperlink" Target="https://www.nokia.com/networks/5g/use-cases/" TargetMode="External"/><Relationship Id="rId25" Type="http://schemas.openxmlformats.org/officeDocument/2006/relationships/hyperlink" Target="https://www.information-age.com/gartner-digital-twins-123479330/" TargetMode="External"/><Relationship Id="rId33" Type="http://schemas.openxmlformats.org/officeDocument/2006/relationships/hyperlink" Target="https://arxiv.org/abs/1703.09989" TargetMode="External"/><Relationship Id="rId38" Type="http://schemas.openxmlformats.org/officeDocument/2006/relationships/hyperlink" Target="https://www.spatial.nsw.gov.au/what_we_do/projects/digital_twin" TargetMode="External"/><Relationship Id="rId46" Type="http://schemas.openxmlformats.org/officeDocument/2006/relationships/hyperlink" Target="https://ieeexplore.ieee.org/document/9103025" TargetMode="External"/><Relationship Id="rId2" Type="http://schemas.openxmlformats.org/officeDocument/2006/relationships/hyperlink" Target="https://www.acma.gov.au/publications/2020-08/report/internet-things-media-and-communications-occasional-paper" TargetMode="External"/><Relationship Id="rId16" Type="http://schemas.openxmlformats.org/officeDocument/2006/relationships/hyperlink" Target="https://www.nokia.com/about-us/news/releases/2018/06/12/nokias-new-5g-design-and-deployment-services-deliver-faster-time-to-market-and-lower-total-cost/" TargetMode="External"/><Relationship Id="rId20" Type="http://schemas.openxmlformats.org/officeDocument/2006/relationships/hyperlink" Target="https://www.telstra.com.au/aboutus/media/media-releases/telstra-microsoft-sep-2020" TargetMode="External"/><Relationship Id="rId29" Type="http://schemas.openxmlformats.org/officeDocument/2006/relationships/hyperlink" Target="https://arxiv.org/abs/1703.09989" TargetMode="External"/><Relationship Id="rId41" Type="http://schemas.openxmlformats.org/officeDocument/2006/relationships/hyperlink" Target="https://www.researchgate.net/publication/342318375_Digital_Twin_for_Metasurface_Reflector_Management_in_6G_Terahertz_Communications" TargetMode="External"/><Relationship Id="rId1" Type="http://schemas.openxmlformats.org/officeDocument/2006/relationships/hyperlink" Target="https://www.ibm.com/blogs/internet-of-things/iot-cheat-sheet-digital-twin/" TargetMode="External"/><Relationship Id="rId6" Type="http://schemas.openxmlformats.org/officeDocument/2006/relationships/hyperlink" Target="https://www.zdnet.com/article/telstra-mixes-up-physical-and-digital-realities-for-better-water-flow/" TargetMode="External"/><Relationship Id="rId11" Type="http://schemas.openxmlformats.org/officeDocument/2006/relationships/hyperlink" Target="https://www2.deloitte.com/content/campaigns/za/Tech-Trends-2020/Tech-Trends-2020/Tech-Trends-2020.html" TargetMode="External"/><Relationship Id="rId24" Type="http://schemas.openxmlformats.org/officeDocument/2006/relationships/hyperlink" Target="https://www2.deloitte.com/content/campaigns/za/Tech-Trends-2020/Tech-Trends-2020/Tech-Trends-2020.html" TargetMode="External"/><Relationship Id="rId32" Type="http://schemas.openxmlformats.org/officeDocument/2006/relationships/hyperlink" Target="https://electrosense.org/" TargetMode="External"/><Relationship Id="rId37" Type="http://schemas.openxmlformats.org/officeDocument/2006/relationships/hyperlink" Target="https://www.csiro.au/en/News/News-releases/2020/NSW-Digital-Twin-to-inform-emergency-planning-this-bushfire-season" TargetMode="External"/><Relationship Id="rId40" Type="http://schemas.openxmlformats.org/officeDocument/2006/relationships/hyperlink" Target="https://www.ofcom.org.uk/consultations-and-statements/category-1/supporting-uk-wireless-future" TargetMode="External"/><Relationship Id="rId45" Type="http://schemas.openxmlformats.org/officeDocument/2006/relationships/hyperlink" Target="https://www.nokia.com/networks/5g/use-cases/" TargetMode="External"/><Relationship Id="rId5" Type="http://schemas.openxmlformats.org/officeDocument/2006/relationships/hyperlink" Target="https://developer.ibm.com/technologies/iot/articles/what-are-digital-twins/" TargetMode="External"/><Relationship Id="rId15" Type="http://schemas.openxmlformats.org/officeDocument/2006/relationships/hyperlink" Target="https://www.nokia.com/networks/services/digital-design-and-deployment/" TargetMode="External"/><Relationship Id="rId23" Type="http://schemas.openxmlformats.org/officeDocument/2006/relationships/hyperlink" Target="https://medicalfuturist.com/digital-twin-and-the-promise-of-personalized-medicine/" TargetMode="External"/><Relationship Id="rId28" Type="http://schemas.openxmlformats.org/officeDocument/2006/relationships/hyperlink" Target="https://www.researchhub.com/paper/642197/saife-unsupervised-wireless-spectrum-anomaly-detection-with-interpretable-features" TargetMode="External"/><Relationship Id="rId36" Type="http://schemas.openxmlformats.org/officeDocument/2006/relationships/hyperlink" Target="https://data61.csiro.au/en/Our-Research/Our-Work/Future-Cities/Planning-sustainable-infrastructure/Structural-health-monitoring" TargetMode="External"/><Relationship Id="rId49" Type="http://schemas.openxmlformats.org/officeDocument/2006/relationships/hyperlink" Target="https://iot.org.au/resources/" TargetMode="External"/><Relationship Id="rId10" Type="http://schemas.openxmlformats.org/officeDocument/2006/relationships/hyperlink" Target="https://www.technavio.com/report/digital-twin-market-size-industry-analysis?utm_source=pressrelease&amp;utm_medium=bw&amp;utm_campaign=T44_SegGeo_wk45&amp;utm_content=IRTNTR44829" TargetMode="External"/><Relationship Id="rId19" Type="http://schemas.openxmlformats.org/officeDocument/2006/relationships/hyperlink" Target="https://www.ericsson.com/en/blog/2019/6/digital-twins-catalyst-booth-reflections-from-digital-transformation-world" TargetMode="External"/><Relationship Id="rId31" Type="http://schemas.openxmlformats.org/officeDocument/2006/relationships/hyperlink" Target="https://arxiv.org/abs/1703.09989" TargetMode="External"/><Relationship Id="rId44" Type="http://schemas.openxmlformats.org/officeDocument/2006/relationships/hyperlink" Target="https://www.nokia.com/about-us/news/releases/2018/06/12/nokias-new-5g-design-and-deployment-services-deliver-faster-time-to-market-and-lower-total-cost/" TargetMode="External"/><Relationship Id="rId4" Type="http://schemas.openxmlformats.org/officeDocument/2006/relationships/hyperlink" Target="https://www2.deloitte.com/content/campaigns/za/Tech-Trends-2020/Tech-Trends-2020/Tech-Trends-2020.html" TargetMode="External"/><Relationship Id="rId9" Type="http://schemas.openxmlformats.org/officeDocument/2006/relationships/hyperlink" Target="https://www.nrf.gov.sg/programmes/virtual-singapore" TargetMode="External"/><Relationship Id="rId14" Type="http://schemas.openxmlformats.org/officeDocument/2006/relationships/hyperlink" Target="https://www.futurithmic.com/2020/04/14/how-digital-twins-driving-future-of-engineering/" TargetMode="External"/><Relationship Id="rId22" Type="http://schemas.openxmlformats.org/officeDocument/2006/relationships/hyperlink" Target="https://www.itu.int/pub/T-FG-NET2030-2020-SUB.G1" TargetMode="External"/><Relationship Id="rId27" Type="http://schemas.openxmlformats.org/officeDocument/2006/relationships/hyperlink" Target="https://www.bcg.com/en-au/publications/2020/coming-battle-for-spectrum" TargetMode="External"/><Relationship Id="rId30" Type="http://schemas.openxmlformats.org/officeDocument/2006/relationships/hyperlink" Target="https://arxiv.org/abs/1811.12265" TargetMode="External"/><Relationship Id="rId35" Type="http://schemas.openxmlformats.org/officeDocument/2006/relationships/hyperlink" Target="https://www.postal-innovation.com/publications" TargetMode="External"/><Relationship Id="rId43" Type="http://schemas.openxmlformats.org/officeDocument/2006/relationships/hyperlink" Target="https://www.nokia.com/networks/services/digital-design-and-deployment/" TargetMode="External"/><Relationship Id="rId48" Type="http://schemas.openxmlformats.org/officeDocument/2006/relationships/hyperlink" Target="https://www.homeaffairs.gov.au/reports-and-pubs/files/code-of-practice.pdf" TargetMode="External"/><Relationship Id="rId8" Type="http://schemas.openxmlformats.org/officeDocument/2006/relationships/hyperlink" Target="https://www.nsw.gov.au/nsw-government/ministers/minister-for-customer-service/media-releases/world-leading-spatial-digita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AC4FD8-F505-4897-BBAE-E0A18C9D9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4832</Words>
  <Characters>27549</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32317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2021-03-24T03:44:00Z</dcterms:created>
  <dcterms:modified xsi:type="dcterms:W3CDTF">2021-03-24T03:44:00Z</dcterms:modified>
  <cp:category/>
</cp:coreProperties>
</file>